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BD6457" w:rsidRDefault="00500836" w:rsidP="00500836">
      <w:pPr>
        <w:pStyle w:val="ListParagraph"/>
        <w:numPr>
          <w:ilvl w:val="0"/>
          <w:numId w:val="22"/>
        </w:numPr>
        <w:ind w:left="426"/>
        <w:jc w:val="both"/>
        <w:rPr>
          <w:rFonts w:ascii="Avenir Next" w:hAnsi="Avenir Next" w:cs="Arial"/>
          <w:sz w:val="22"/>
          <w:szCs w:val="22"/>
          <w:highlight w:val="yellow"/>
          <w:lang w:val="en-GB"/>
        </w:rPr>
      </w:pPr>
      <w:r w:rsidRPr="00BD6457">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BD6457" w:rsidRDefault="00D03AE2" w:rsidP="00D03AE2">
      <w:pPr>
        <w:pStyle w:val="ListParagraph"/>
        <w:numPr>
          <w:ilvl w:val="0"/>
          <w:numId w:val="23"/>
        </w:numPr>
        <w:ind w:left="426"/>
        <w:jc w:val="both"/>
        <w:rPr>
          <w:rFonts w:ascii="Avenir Next" w:hAnsi="Avenir Next" w:cs="Arial"/>
          <w:sz w:val="22"/>
          <w:szCs w:val="22"/>
          <w:highlight w:val="yellow"/>
        </w:rPr>
      </w:pPr>
      <w:r w:rsidRPr="00BD6457">
        <w:rPr>
          <w:rFonts w:ascii="Avenir Next" w:hAnsi="Avenir Next" w:cs="Arial"/>
          <w:sz w:val="22"/>
          <w:szCs w:val="22"/>
          <w:highlight w:val="yellow"/>
        </w:rPr>
        <w:t>T</w:t>
      </w:r>
      <w:r w:rsidR="00582326" w:rsidRPr="00BD6457">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BD6457" w:rsidRDefault="00771D67" w:rsidP="00992661">
      <w:pPr>
        <w:pStyle w:val="ListParagraph"/>
        <w:numPr>
          <w:ilvl w:val="0"/>
          <w:numId w:val="24"/>
        </w:numPr>
        <w:ind w:left="426"/>
        <w:rPr>
          <w:rFonts w:ascii="Avenir Next" w:hAnsi="Avenir Next" w:cs="Arial"/>
          <w:sz w:val="22"/>
          <w:szCs w:val="22"/>
          <w:highlight w:val="yellow"/>
        </w:rPr>
      </w:pPr>
      <w:r w:rsidRPr="00BD6457">
        <w:rPr>
          <w:rFonts w:ascii="Avenir Next" w:hAnsi="Avenir Next" w:cs="Arial"/>
          <w:sz w:val="22"/>
          <w:szCs w:val="22"/>
          <w:highlight w:val="yellow"/>
        </w:rPr>
        <w:t xml:space="preserve">The CCAA is available to companies with debts </w:t>
      </w:r>
      <w:r w:rsidR="00992661" w:rsidRPr="00BD6457">
        <w:rPr>
          <w:rFonts w:ascii="Avenir Next" w:hAnsi="Avenir Next" w:cs="Arial"/>
          <w:sz w:val="22"/>
          <w:szCs w:val="22"/>
          <w:highlight w:val="yellow"/>
        </w:rPr>
        <w:t xml:space="preserve">of </w:t>
      </w:r>
      <w:r w:rsidRPr="00BD6457">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proofErr w:type="spellStart"/>
      <w:r w:rsidRPr="00260EF7">
        <w:rPr>
          <w:rFonts w:ascii="Avenir Next" w:hAnsi="Avenir Next" w:cs="Arial"/>
          <w:i/>
          <w:iCs/>
          <w:sz w:val="22"/>
          <w:szCs w:val="22"/>
        </w:rPr>
        <w:t>pari</w:t>
      </w:r>
      <w:proofErr w:type="spellEnd"/>
      <w:r w:rsidRPr="00260EF7">
        <w:rPr>
          <w:rFonts w:ascii="Avenir Next" w:hAnsi="Avenir Next" w:cs="Arial"/>
          <w:i/>
          <w:iCs/>
          <w:sz w:val="22"/>
          <w:szCs w:val="22"/>
        </w:rPr>
        <w:t xml:space="preserve">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BD6457" w:rsidRDefault="00B4609D" w:rsidP="00B4609D">
      <w:pPr>
        <w:pStyle w:val="ListParagraph"/>
        <w:numPr>
          <w:ilvl w:val="0"/>
          <w:numId w:val="25"/>
        </w:numPr>
        <w:ind w:left="426"/>
        <w:jc w:val="both"/>
        <w:rPr>
          <w:rFonts w:ascii="Avenir Next" w:hAnsi="Avenir Next" w:cs="Arial"/>
          <w:sz w:val="22"/>
          <w:szCs w:val="22"/>
          <w:highlight w:val="yellow"/>
        </w:rPr>
      </w:pPr>
      <w:r w:rsidRPr="00BD6457">
        <w:rPr>
          <w:rFonts w:ascii="Avenir Next" w:hAnsi="Avenir Next" w:cs="Arial"/>
          <w:sz w:val="22"/>
          <w:szCs w:val="22"/>
          <w:highlight w:val="yellow"/>
        </w:rPr>
        <w:t>all of the above statements</w:t>
      </w:r>
      <w:r w:rsidR="00D40715" w:rsidRPr="00BD6457">
        <w:rPr>
          <w:rFonts w:ascii="Avenir Next" w:hAnsi="Avenir Next" w:cs="Arial"/>
          <w:sz w:val="22"/>
          <w:szCs w:val="22"/>
          <w:highlight w:val="yellow"/>
        </w:rPr>
        <w:t xml:space="preserve"> are correct</w:t>
      </w:r>
      <w:r w:rsidRPr="00BD6457">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BD6457"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BD6457">
        <w:rPr>
          <w:rFonts w:ascii="Avenir Next" w:hAnsi="Avenir Next" w:cs="Arial"/>
          <w:sz w:val="22"/>
          <w:szCs w:val="22"/>
          <w:highlight w:val="yellow"/>
          <w:lang w:val="en-GB"/>
        </w:rPr>
        <w:t>A</w:t>
      </w:r>
      <w:r w:rsidR="00012B29" w:rsidRPr="00BD6457">
        <w:rPr>
          <w:rFonts w:ascii="Avenir Next" w:hAnsi="Avenir Next" w:cs="Arial"/>
          <w:sz w:val="22"/>
          <w:szCs w:val="22"/>
          <w:highlight w:val="yellow"/>
          <w:lang w:val="en-GB"/>
        </w:rPr>
        <w:t xml:space="preserve"> person whose liabilities to creditors provable as claims under the BIA amount to at least CAD 10,000</w:t>
      </w:r>
      <w:r w:rsidRPr="00BD6457">
        <w:rPr>
          <w:rFonts w:ascii="Avenir Next" w:hAnsi="Avenir Next" w:cs="Arial"/>
          <w:sz w:val="22"/>
          <w:szCs w:val="22"/>
          <w:highlight w:val="yellow"/>
          <w:lang w:val="en-GB"/>
        </w:rPr>
        <w:t>.</w:t>
      </w:r>
      <w:r w:rsidR="00012B29" w:rsidRPr="00BD6457">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BD6457" w:rsidRDefault="00351EF7" w:rsidP="00351EF7">
      <w:pPr>
        <w:pStyle w:val="ListParagraph"/>
        <w:numPr>
          <w:ilvl w:val="0"/>
          <w:numId w:val="27"/>
        </w:numPr>
        <w:ind w:left="426"/>
        <w:jc w:val="both"/>
        <w:rPr>
          <w:rFonts w:ascii="Avenir Next" w:hAnsi="Avenir Next" w:cs="Arial"/>
          <w:sz w:val="22"/>
          <w:szCs w:val="22"/>
          <w:highlight w:val="yellow"/>
          <w:lang w:val="en-GB"/>
        </w:rPr>
      </w:pPr>
      <w:r w:rsidRPr="00BD6457">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BD6457"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BD6457">
        <w:rPr>
          <w:rFonts w:ascii="Avenir Next" w:hAnsi="Avenir Next" w:cs="Arial"/>
          <w:iCs/>
          <w:sz w:val="22"/>
          <w:szCs w:val="22"/>
          <w:highlight w:val="yellow"/>
          <w:lang w:val="en-GB"/>
        </w:rPr>
        <w:t>True</w:t>
      </w:r>
      <w:r w:rsidR="00F47A63" w:rsidRPr="00BD6457">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 xml:space="preserve">The CCAA is a debtor-in-possession restructuring statute designed for the </w:t>
      </w:r>
      <w:proofErr w:type="spellStart"/>
      <w:r w:rsidRPr="00864AC2">
        <w:rPr>
          <w:rFonts w:ascii="Avenir Next" w:hAnsi="Avenir Next" w:cs="Arial"/>
          <w:sz w:val="22"/>
          <w:szCs w:val="22"/>
        </w:rPr>
        <w:t>reorgani</w:t>
      </w:r>
      <w:r w:rsidR="000032D2">
        <w:rPr>
          <w:rFonts w:ascii="Avenir Next" w:hAnsi="Avenir Next" w:cs="Arial"/>
          <w:sz w:val="22"/>
          <w:szCs w:val="22"/>
        </w:rPr>
        <w:t>s</w:t>
      </w:r>
      <w:r w:rsidRPr="00864AC2">
        <w:rPr>
          <w:rFonts w:ascii="Avenir Next" w:hAnsi="Avenir Next" w:cs="Arial"/>
          <w:sz w:val="22"/>
          <w:szCs w:val="22"/>
        </w:rPr>
        <w:t>ation</w:t>
      </w:r>
      <w:proofErr w:type="spellEnd"/>
      <w:r w:rsidRPr="00864AC2">
        <w:rPr>
          <w:rFonts w:ascii="Avenir Next" w:hAnsi="Avenir Next" w:cs="Arial"/>
          <w:sz w:val="22"/>
          <w:szCs w:val="22"/>
        </w:rPr>
        <w:t xml:space="preserve">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BD6457"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BD6457">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BD6457"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BD6457">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BD6457"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BD6457">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7D409295" w14:textId="77777777" w:rsidR="006A0713" w:rsidRDefault="006A0713">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558C2A53"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32A55868" w:rsidR="00F47A63" w:rsidRDefault="00F47A63" w:rsidP="00F47A63">
      <w:pPr>
        <w:jc w:val="both"/>
        <w:rPr>
          <w:rFonts w:ascii="Avenir Next" w:hAnsi="Avenir Next" w:cs="Arial"/>
          <w:sz w:val="22"/>
          <w:szCs w:val="22"/>
          <w:lang w:val="en-GB"/>
        </w:rPr>
      </w:pPr>
    </w:p>
    <w:p w14:paraId="1214CD48" w14:textId="1979D8CE" w:rsidR="006A0713" w:rsidRDefault="006A0713" w:rsidP="006A07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three out of </w:t>
      </w:r>
      <w:r w:rsidR="00745ED3">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four are:</w:t>
      </w:r>
      <w:r>
        <w:rPr>
          <w:rStyle w:val="FootnoteReference"/>
          <w:rFonts w:ascii="Avenir Next" w:hAnsi="Avenir Next" w:cs="Arial"/>
          <w:color w:val="808080" w:themeColor="background1" w:themeShade="80"/>
          <w:sz w:val="22"/>
          <w:szCs w:val="22"/>
          <w:lang w:val="en-GB"/>
        </w:rPr>
        <w:footnoteReference w:id="1"/>
      </w:r>
    </w:p>
    <w:p w14:paraId="6FA7597F" w14:textId="77777777" w:rsidR="006A0713" w:rsidRDefault="006A0713" w:rsidP="006A0713">
      <w:pPr>
        <w:jc w:val="both"/>
        <w:rPr>
          <w:rFonts w:ascii="Avenir Next" w:hAnsi="Avenir Next" w:cs="Arial"/>
          <w:color w:val="808080" w:themeColor="background1" w:themeShade="80"/>
          <w:sz w:val="22"/>
          <w:szCs w:val="22"/>
          <w:lang w:val="en-GB"/>
        </w:rPr>
      </w:pPr>
    </w:p>
    <w:p w14:paraId="3A6A7AF5" w14:textId="057ED796" w:rsidR="006A0713" w:rsidRPr="006A0713" w:rsidRDefault="006A0713" w:rsidP="006A0713">
      <w:pPr>
        <w:pStyle w:val="ListParagraph"/>
        <w:numPr>
          <w:ilvl w:val="0"/>
          <w:numId w:val="31"/>
        </w:numPr>
        <w:ind w:left="567" w:hanging="567"/>
        <w:jc w:val="both"/>
        <w:rPr>
          <w:rFonts w:ascii="Avenir Next" w:hAnsi="Avenir Next" w:cs="Arial"/>
          <w:color w:val="808080" w:themeColor="background1" w:themeShade="80"/>
          <w:sz w:val="22"/>
          <w:szCs w:val="22"/>
          <w:lang w:val="en-GB"/>
        </w:rPr>
      </w:pPr>
      <w:r w:rsidRPr="006A0713">
        <w:rPr>
          <w:rFonts w:ascii="Avenir Next" w:hAnsi="Avenir Next" w:cs="Arial"/>
          <w:color w:val="808080" w:themeColor="background1" w:themeShade="80"/>
          <w:sz w:val="22"/>
          <w:szCs w:val="22"/>
          <w:lang w:val="en-GB"/>
        </w:rPr>
        <w:t>provide for the financial rehabilitation of insolvent persons;</w:t>
      </w:r>
    </w:p>
    <w:p w14:paraId="21FBE3E5" w14:textId="77777777" w:rsidR="006A0713" w:rsidRPr="006A0713" w:rsidRDefault="006A0713" w:rsidP="006A0713">
      <w:pPr>
        <w:ind w:left="567" w:hanging="567"/>
        <w:jc w:val="both"/>
        <w:rPr>
          <w:rFonts w:ascii="Avenir Next" w:hAnsi="Avenir Next" w:cs="Arial"/>
          <w:color w:val="808080" w:themeColor="background1" w:themeShade="80"/>
          <w:sz w:val="22"/>
          <w:szCs w:val="22"/>
          <w:lang w:val="en-GB"/>
        </w:rPr>
      </w:pPr>
    </w:p>
    <w:p w14:paraId="57628854" w14:textId="0551DC9D" w:rsidR="006A0713" w:rsidRPr="006A0713" w:rsidRDefault="006A0713" w:rsidP="006A0713">
      <w:pPr>
        <w:pStyle w:val="ListParagraph"/>
        <w:numPr>
          <w:ilvl w:val="0"/>
          <w:numId w:val="31"/>
        </w:numPr>
        <w:ind w:left="567" w:hanging="567"/>
        <w:jc w:val="both"/>
        <w:rPr>
          <w:rFonts w:ascii="Avenir Next" w:hAnsi="Avenir Next" w:cs="Arial"/>
          <w:color w:val="808080" w:themeColor="background1" w:themeShade="80"/>
          <w:sz w:val="22"/>
          <w:szCs w:val="22"/>
          <w:lang w:val="en-GB"/>
        </w:rPr>
      </w:pPr>
      <w:r w:rsidRPr="006A0713">
        <w:rPr>
          <w:rFonts w:ascii="Avenir Next" w:hAnsi="Avenir Next" w:cs="Arial"/>
          <w:color w:val="808080" w:themeColor="background1" w:themeShade="80"/>
          <w:sz w:val="22"/>
          <w:szCs w:val="22"/>
          <w:lang w:val="en-GB"/>
        </w:rPr>
        <w:t>allow for an investigation to be made into the affairs of a bankrupt; and</w:t>
      </w:r>
    </w:p>
    <w:p w14:paraId="7A14EAEF" w14:textId="77777777" w:rsidR="006A0713" w:rsidRPr="006A0713" w:rsidRDefault="006A0713" w:rsidP="006A0713">
      <w:pPr>
        <w:ind w:left="567" w:hanging="567"/>
        <w:jc w:val="both"/>
        <w:rPr>
          <w:rFonts w:ascii="Avenir Next" w:hAnsi="Avenir Next" w:cs="Arial"/>
          <w:color w:val="808080" w:themeColor="background1" w:themeShade="80"/>
          <w:sz w:val="22"/>
          <w:szCs w:val="22"/>
          <w:lang w:val="en-GB"/>
        </w:rPr>
      </w:pPr>
    </w:p>
    <w:p w14:paraId="61369EDC" w14:textId="191401DE" w:rsidR="006F4E04" w:rsidRPr="006A0713" w:rsidRDefault="006A0713" w:rsidP="006A0713">
      <w:pPr>
        <w:pStyle w:val="ListParagraph"/>
        <w:numPr>
          <w:ilvl w:val="0"/>
          <w:numId w:val="31"/>
        </w:numPr>
        <w:ind w:left="567" w:hanging="567"/>
        <w:jc w:val="both"/>
        <w:rPr>
          <w:rFonts w:ascii="Avenir Next" w:hAnsi="Avenir Next" w:cs="Arial"/>
          <w:color w:val="808080" w:themeColor="background1" w:themeShade="80"/>
          <w:sz w:val="22"/>
          <w:szCs w:val="22"/>
          <w:lang w:val="en-GB"/>
        </w:rPr>
      </w:pPr>
      <w:r w:rsidRPr="006A0713">
        <w:rPr>
          <w:rFonts w:ascii="Avenir Next" w:hAnsi="Avenir Next" w:cs="Arial"/>
          <w:color w:val="808080" w:themeColor="background1" w:themeShade="80"/>
          <w:sz w:val="22"/>
          <w:szCs w:val="22"/>
          <w:lang w:val="en-GB"/>
        </w:rPr>
        <w:t xml:space="preserve">provide a collective proceeding for the orderly and fair distribution of property of a bankrupt among unsecured creditors on a </w:t>
      </w:r>
      <w:proofErr w:type="spellStart"/>
      <w:r w:rsidRPr="006A0713">
        <w:rPr>
          <w:rFonts w:ascii="Avenir Next" w:hAnsi="Avenir Next" w:cs="Arial"/>
          <w:i/>
          <w:iCs/>
          <w:color w:val="808080" w:themeColor="background1" w:themeShade="80"/>
          <w:sz w:val="22"/>
          <w:szCs w:val="22"/>
          <w:lang w:val="en-GB"/>
        </w:rPr>
        <w:t>pari</w:t>
      </w:r>
      <w:proofErr w:type="spellEnd"/>
      <w:r w:rsidRPr="006A0713">
        <w:rPr>
          <w:rFonts w:ascii="Avenir Next" w:hAnsi="Avenir Next" w:cs="Arial"/>
          <w:i/>
          <w:iCs/>
          <w:color w:val="808080" w:themeColor="background1" w:themeShade="80"/>
          <w:sz w:val="22"/>
          <w:szCs w:val="22"/>
          <w:lang w:val="en-GB"/>
        </w:rPr>
        <w:t xml:space="preserve"> passu</w:t>
      </w:r>
      <w:r w:rsidRPr="006A0713">
        <w:rPr>
          <w:rFonts w:ascii="Avenir Next" w:hAnsi="Avenir Next" w:cs="Arial"/>
          <w:color w:val="808080" w:themeColor="background1" w:themeShade="80"/>
          <w:sz w:val="22"/>
          <w:szCs w:val="22"/>
          <w:lang w:val="en-GB"/>
        </w:rPr>
        <w:t xml:space="preserve"> basis.</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7154D0F5" w:rsidR="006F4E04" w:rsidRDefault="00745ED3"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Exempt property generally</w:t>
      </w:r>
      <w:r>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includes (but depends on the province or territory):</w:t>
      </w:r>
    </w:p>
    <w:p w14:paraId="318CF0D5" w14:textId="06FFE1F7" w:rsidR="00745ED3" w:rsidRDefault="00745ED3" w:rsidP="006F4E04">
      <w:pPr>
        <w:jc w:val="both"/>
        <w:rPr>
          <w:rFonts w:ascii="Avenir Next" w:hAnsi="Avenir Next" w:cs="Arial"/>
          <w:color w:val="808080" w:themeColor="background1" w:themeShade="80"/>
          <w:sz w:val="22"/>
          <w:szCs w:val="22"/>
          <w:lang w:val="en-GB"/>
        </w:rPr>
      </w:pPr>
    </w:p>
    <w:p w14:paraId="218C7841" w14:textId="782BB443" w:rsidR="00745ED3" w:rsidRDefault="00745ED3" w:rsidP="00745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personal items/clothing;</w:t>
      </w:r>
    </w:p>
    <w:p w14:paraId="3FAF701E" w14:textId="6CDBD31C" w:rsidR="00745ED3" w:rsidRDefault="00745ED3" w:rsidP="00745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household furniture, food and utensils at the debtor’s permanent domicile;</w:t>
      </w:r>
    </w:p>
    <w:p w14:paraId="2B31A17F" w14:textId="79BA8C73" w:rsidR="00745ED3" w:rsidRPr="00745ED3" w:rsidRDefault="00745ED3" w:rsidP="00745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tools of trade;</w:t>
      </w:r>
    </w:p>
    <w:p w14:paraId="260C7078" w14:textId="59E66B23" w:rsidR="00745ED3" w:rsidRDefault="00745ED3" w:rsidP="00745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motor vehicle up to a certain value limit; and</w:t>
      </w:r>
    </w:p>
    <w:p w14:paraId="52804E0F" w14:textId="724FF7FB" w:rsidR="00745ED3" w:rsidRPr="00745ED3" w:rsidRDefault="00745ED3" w:rsidP="00745ED3">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certain farm property.</w:t>
      </w: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6F741D5B" w:rsidR="006F4E04" w:rsidRDefault="00775CF6" w:rsidP="00775CF6">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Trustees – which manages the bankruptcy proceedings under the BIA</w:t>
      </w:r>
      <w:r w:rsidR="00A75E22">
        <w:rPr>
          <w:rFonts w:ascii="Avenir Next" w:hAnsi="Avenir Next" w:cs="Arial"/>
          <w:color w:val="808080" w:themeColor="background1" w:themeShade="80"/>
          <w:sz w:val="22"/>
          <w:szCs w:val="22"/>
          <w:lang w:val="en-GB"/>
        </w:rPr>
        <w:t>, including by seeking court approval to sell the debtor’s property and finalising the discharge</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3"/>
      </w:r>
    </w:p>
    <w:p w14:paraId="76922EB6" w14:textId="30CBD2D8" w:rsidR="00775CF6" w:rsidRDefault="00775CF6" w:rsidP="00775CF6">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Receivers</w:t>
      </w:r>
      <w:r w:rsidR="00A75E22">
        <w:rPr>
          <w:rFonts w:ascii="Avenir Next" w:hAnsi="Avenir Next" w:cs="Arial"/>
          <w:color w:val="808080" w:themeColor="background1" w:themeShade="80"/>
          <w:sz w:val="22"/>
          <w:szCs w:val="22"/>
          <w:lang w:val="en-GB"/>
        </w:rPr>
        <w:t xml:space="preserve"> under instrument or by the court, typically in respect of security interest.</w:t>
      </w:r>
      <w:r w:rsidR="00A75E22">
        <w:rPr>
          <w:rStyle w:val="FootnoteReference"/>
          <w:rFonts w:ascii="Avenir Next" w:hAnsi="Avenir Next" w:cs="Arial"/>
          <w:color w:val="808080" w:themeColor="background1" w:themeShade="80"/>
          <w:sz w:val="22"/>
          <w:szCs w:val="22"/>
          <w:lang w:val="en-GB"/>
        </w:rPr>
        <w:footnoteReference w:id="4"/>
      </w:r>
    </w:p>
    <w:p w14:paraId="6F191E8C" w14:textId="5279B0DE" w:rsidR="00775CF6" w:rsidRPr="00775CF6" w:rsidRDefault="00775CF6" w:rsidP="00775CF6">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CCAA monitor</w:t>
      </w:r>
      <w:r w:rsidR="00A75E22">
        <w:rPr>
          <w:rFonts w:ascii="Avenir Next" w:hAnsi="Avenir Next" w:cs="Arial"/>
          <w:color w:val="808080" w:themeColor="background1" w:themeShade="80"/>
          <w:sz w:val="22"/>
          <w:szCs w:val="22"/>
          <w:lang w:val="en-GB"/>
        </w:rPr>
        <w:t xml:space="preserve"> – which oversees (on behalf of the court) the plan of arrangement approved by creditors.</w:t>
      </w:r>
      <w:r w:rsidR="00A75E22">
        <w:rPr>
          <w:rStyle w:val="FootnoteReference"/>
          <w:rFonts w:ascii="Avenir Next" w:hAnsi="Avenir Next" w:cs="Arial"/>
          <w:color w:val="808080" w:themeColor="background1" w:themeShade="80"/>
          <w:sz w:val="22"/>
          <w:szCs w:val="22"/>
          <w:lang w:val="en-GB"/>
        </w:rPr>
        <w:footnoteReference w:id="5"/>
      </w: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2545F25" w14:textId="77777777" w:rsidR="00A75E22" w:rsidRDefault="00A75E22">
      <w:pPr>
        <w:rPr>
          <w:rFonts w:ascii="Avenir Next Demi Bold" w:eastAsiaTheme="minorEastAsia" w:hAnsi="Avenir Next Demi Bold" w:cs="Arial"/>
          <w:b/>
          <w:bCs/>
          <w:sz w:val="22"/>
          <w:szCs w:val="22"/>
          <w:lang w:val="en-GB"/>
        </w:rPr>
      </w:pPr>
      <w:r>
        <w:rPr>
          <w:rFonts w:ascii="Avenir Next Demi Bold" w:hAnsi="Avenir Next Demi Bold"/>
          <w:iCs/>
        </w:rPr>
        <w:br w:type="page"/>
      </w:r>
    </w:p>
    <w:p w14:paraId="5A607551" w14:textId="00DA50A4"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09D2F7CC" w:rsidR="006F4E04" w:rsidRDefault="00A75E22"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2 of the BIA defines a person as including a natural person, partnership, an unincorporated association, corporation, a cooperative society/organisation, and other relevant legal representatives of the person. </w:t>
      </w:r>
    </w:p>
    <w:p w14:paraId="7D78F485" w14:textId="244980FD" w:rsidR="00A75E22" w:rsidRDefault="00A75E22" w:rsidP="000101F5">
      <w:pPr>
        <w:jc w:val="both"/>
        <w:rPr>
          <w:rFonts w:ascii="Avenir Next" w:hAnsi="Avenir Next" w:cs="Arial"/>
          <w:color w:val="808080" w:themeColor="background1" w:themeShade="80"/>
          <w:sz w:val="22"/>
          <w:szCs w:val="22"/>
          <w:lang w:val="en-GB"/>
        </w:rPr>
      </w:pPr>
    </w:p>
    <w:p w14:paraId="32E62854" w14:textId="2058C151" w:rsidR="00A75E22" w:rsidRPr="002D2DAC" w:rsidRDefault="00A75E22"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 of the BIA defines a corporation as including a company or legal person that is incorporated under parliament/legislature</w:t>
      </w:r>
      <w:r w:rsidR="00574822">
        <w:rPr>
          <w:rFonts w:ascii="Avenir Next" w:hAnsi="Avenir Next" w:cs="Arial"/>
          <w:color w:val="808080" w:themeColor="background1" w:themeShade="80"/>
          <w:sz w:val="22"/>
          <w:szCs w:val="22"/>
          <w:lang w:val="en-GB"/>
        </w:rPr>
        <w:t xml:space="preserve"> and that is authorised to carry on business (or has an office or property) in Canada.</w:t>
      </w:r>
    </w:p>
    <w:p w14:paraId="28819F38" w14:textId="77777777" w:rsidR="00574822" w:rsidRDefault="00574822" w:rsidP="00F47A63">
      <w:pPr>
        <w:rPr>
          <w:rFonts w:ascii="Avenir Next Demi Bold" w:hAnsi="Avenir Next Demi Bold" w:cs="Arial"/>
          <w:b/>
          <w:bCs/>
          <w:color w:val="000000" w:themeColor="text1"/>
          <w:sz w:val="22"/>
          <w:szCs w:val="22"/>
          <w:lang w:val="en-GB"/>
        </w:rPr>
      </w:pPr>
    </w:p>
    <w:p w14:paraId="592D0416" w14:textId="0EA9F0A5"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248D4E3E" w:rsidR="00C57600" w:rsidRDefault="00C57600" w:rsidP="00574822">
      <w:pPr>
        <w:jc w:val="both"/>
        <w:rPr>
          <w:rFonts w:ascii="Avenir Next" w:hAnsi="Avenir Next" w:cs="Arial"/>
          <w:sz w:val="22"/>
          <w:szCs w:val="22"/>
          <w:lang w:val="en-GB"/>
        </w:rPr>
      </w:pPr>
    </w:p>
    <w:p w14:paraId="5BFF6E39" w14:textId="23E20910" w:rsidR="00574822" w:rsidRDefault="00574822" w:rsidP="00574822">
      <w:pPr>
        <w:jc w:val="both"/>
        <w:rPr>
          <w:rFonts w:ascii="Avenir Next" w:hAnsi="Avenir Next" w:cs="Arial"/>
          <w:sz w:val="22"/>
          <w:szCs w:val="22"/>
          <w:lang w:val="en-GB"/>
        </w:rPr>
      </w:pPr>
      <w:r w:rsidRPr="00574822">
        <w:rPr>
          <w:rFonts w:ascii="Avenir Next" w:hAnsi="Avenir Next" w:cs="Arial"/>
          <w:color w:val="808080" w:themeColor="background1" w:themeShade="80"/>
          <w:sz w:val="22"/>
          <w:szCs w:val="22"/>
          <w:lang w:val="en-GB"/>
        </w:rPr>
        <w:t>Receivers</w:t>
      </w:r>
      <w:r>
        <w:rPr>
          <w:rFonts w:ascii="Avenir Next" w:hAnsi="Avenir Next" w:cs="Arial"/>
          <w:color w:val="808080" w:themeColor="background1" w:themeShade="80"/>
          <w:sz w:val="22"/>
          <w:szCs w:val="22"/>
          <w:lang w:val="en-GB"/>
        </w:rPr>
        <w:t>hips are said to be an equitable remedy under common law for the benefit of secured creditors. Under Canadian law, there are two types of receiverships: (1) private receiverships; and (2) court-appointed receiverships. The following table addresses the key differences between private and court-appointed receiverships:</w:t>
      </w:r>
      <w:r w:rsidR="00C932B7">
        <w:rPr>
          <w:rStyle w:val="FootnoteReference"/>
          <w:rFonts w:ascii="Avenir Next" w:hAnsi="Avenir Next" w:cs="Arial"/>
          <w:color w:val="808080" w:themeColor="background1" w:themeShade="80"/>
          <w:sz w:val="22"/>
          <w:szCs w:val="22"/>
          <w:lang w:val="en-GB"/>
        </w:rPr>
        <w:footnoteReference w:id="6"/>
      </w:r>
    </w:p>
    <w:p w14:paraId="0296469C" w14:textId="77777777" w:rsidR="00574822" w:rsidRDefault="00574822" w:rsidP="00574822">
      <w:pPr>
        <w:jc w:val="both"/>
        <w:rPr>
          <w:rFonts w:ascii="Avenir Next" w:hAnsi="Avenir Next" w:cs="Arial"/>
          <w:sz w:val="22"/>
          <w:szCs w:val="22"/>
          <w:lang w:val="en-GB"/>
        </w:rPr>
      </w:pPr>
    </w:p>
    <w:tbl>
      <w:tblPr>
        <w:tblStyle w:val="TableGrid"/>
        <w:tblW w:w="9067" w:type="dxa"/>
        <w:tblLook w:val="04A0" w:firstRow="1" w:lastRow="0" w:firstColumn="1" w:lastColumn="0" w:noHBand="0" w:noVBand="1"/>
      </w:tblPr>
      <w:tblGrid>
        <w:gridCol w:w="2122"/>
        <w:gridCol w:w="3402"/>
        <w:gridCol w:w="3543"/>
      </w:tblGrid>
      <w:tr w:rsidR="00574822" w14:paraId="243C2916" w14:textId="77777777" w:rsidTr="00C12398">
        <w:trPr>
          <w:tblHeader/>
        </w:trPr>
        <w:tc>
          <w:tcPr>
            <w:tcW w:w="2122" w:type="dxa"/>
          </w:tcPr>
          <w:p w14:paraId="6B6E0DC9" w14:textId="77777777" w:rsidR="00574822" w:rsidRPr="00574822" w:rsidRDefault="00574822" w:rsidP="00574822">
            <w:pPr>
              <w:jc w:val="both"/>
              <w:rPr>
                <w:rFonts w:ascii="Avenir Next" w:hAnsi="Avenir Next" w:cs="Arial"/>
                <w:color w:val="808080" w:themeColor="background1" w:themeShade="80"/>
                <w:sz w:val="22"/>
                <w:szCs w:val="22"/>
                <w:lang w:val="en-GB"/>
              </w:rPr>
            </w:pPr>
          </w:p>
        </w:tc>
        <w:tc>
          <w:tcPr>
            <w:tcW w:w="3402" w:type="dxa"/>
          </w:tcPr>
          <w:p w14:paraId="7813C782" w14:textId="547F9AC8" w:rsidR="00574822" w:rsidRPr="00574822" w:rsidRDefault="00574822" w:rsidP="00574822">
            <w:pPr>
              <w:jc w:val="center"/>
              <w:rPr>
                <w:rFonts w:ascii="Avenir Next" w:hAnsi="Avenir Next" w:cs="Arial"/>
                <w:b/>
                <w:bCs/>
                <w:color w:val="808080" w:themeColor="background1" w:themeShade="80"/>
                <w:sz w:val="22"/>
                <w:szCs w:val="22"/>
                <w:lang w:val="en-GB"/>
              </w:rPr>
            </w:pPr>
            <w:r w:rsidRPr="00574822">
              <w:rPr>
                <w:rFonts w:ascii="Avenir Next" w:hAnsi="Avenir Next" w:cs="Arial"/>
                <w:b/>
                <w:bCs/>
                <w:color w:val="808080" w:themeColor="background1" w:themeShade="80"/>
                <w:sz w:val="22"/>
                <w:szCs w:val="22"/>
                <w:lang w:val="en-GB"/>
              </w:rPr>
              <w:t>Private receiver</w:t>
            </w:r>
          </w:p>
        </w:tc>
        <w:tc>
          <w:tcPr>
            <w:tcW w:w="3543" w:type="dxa"/>
          </w:tcPr>
          <w:p w14:paraId="29D9D138" w14:textId="6E869639" w:rsidR="00574822" w:rsidRPr="00574822" w:rsidRDefault="00574822" w:rsidP="00574822">
            <w:pPr>
              <w:jc w:val="center"/>
              <w:rPr>
                <w:rFonts w:ascii="Avenir Next" w:hAnsi="Avenir Next" w:cs="Arial"/>
                <w:b/>
                <w:bCs/>
                <w:color w:val="808080" w:themeColor="background1" w:themeShade="80"/>
                <w:sz w:val="22"/>
                <w:szCs w:val="22"/>
                <w:lang w:val="en-GB"/>
              </w:rPr>
            </w:pPr>
            <w:r w:rsidRPr="00574822">
              <w:rPr>
                <w:rFonts w:ascii="Avenir Next" w:hAnsi="Avenir Next" w:cs="Arial"/>
                <w:b/>
                <w:bCs/>
                <w:color w:val="808080" w:themeColor="background1" w:themeShade="80"/>
                <w:sz w:val="22"/>
                <w:szCs w:val="22"/>
                <w:lang w:val="en-GB"/>
              </w:rPr>
              <w:t>Court</w:t>
            </w:r>
            <w:r w:rsidR="00C12398">
              <w:rPr>
                <w:rFonts w:ascii="Avenir Next" w:hAnsi="Avenir Next" w:cs="Arial"/>
                <w:b/>
                <w:bCs/>
                <w:color w:val="808080" w:themeColor="background1" w:themeShade="80"/>
                <w:sz w:val="22"/>
                <w:szCs w:val="22"/>
                <w:lang w:val="en-GB"/>
              </w:rPr>
              <w:t>-</w:t>
            </w:r>
            <w:r w:rsidRPr="00574822">
              <w:rPr>
                <w:rFonts w:ascii="Avenir Next" w:hAnsi="Avenir Next" w:cs="Arial"/>
                <w:b/>
                <w:bCs/>
                <w:color w:val="808080" w:themeColor="background1" w:themeShade="80"/>
                <w:sz w:val="22"/>
                <w:szCs w:val="22"/>
                <w:lang w:val="en-GB"/>
              </w:rPr>
              <w:t>appointed receiver</w:t>
            </w:r>
          </w:p>
        </w:tc>
      </w:tr>
      <w:tr w:rsidR="00574822" w14:paraId="169BEABD" w14:textId="77777777" w:rsidTr="00C12398">
        <w:tc>
          <w:tcPr>
            <w:tcW w:w="2122" w:type="dxa"/>
          </w:tcPr>
          <w:p w14:paraId="3300FF5E" w14:textId="7D5421E2" w:rsidR="00574822" w:rsidRPr="00C932B7" w:rsidRDefault="00574822" w:rsidP="00574822">
            <w:pPr>
              <w:jc w:val="both"/>
              <w:rPr>
                <w:rFonts w:ascii="Avenir Next" w:hAnsi="Avenir Next" w:cs="Arial"/>
                <w:b/>
                <w:bCs/>
                <w:color w:val="808080" w:themeColor="background1" w:themeShade="80"/>
                <w:sz w:val="22"/>
                <w:szCs w:val="22"/>
                <w:lang w:val="en-GB"/>
              </w:rPr>
            </w:pPr>
            <w:r w:rsidRPr="00C932B7">
              <w:rPr>
                <w:rFonts w:ascii="Avenir Next" w:hAnsi="Avenir Next" w:cs="Arial"/>
                <w:b/>
                <w:bCs/>
                <w:color w:val="808080" w:themeColor="background1" w:themeShade="80"/>
                <w:sz w:val="22"/>
                <w:szCs w:val="22"/>
                <w:lang w:val="en-GB"/>
              </w:rPr>
              <w:t>How appointed?</w:t>
            </w:r>
          </w:p>
        </w:tc>
        <w:tc>
          <w:tcPr>
            <w:tcW w:w="3402" w:type="dxa"/>
          </w:tcPr>
          <w:p w14:paraId="485192D6" w14:textId="58A34167" w:rsidR="00574822" w:rsidRPr="00574822" w:rsidRDefault="00574822" w:rsidP="00574822">
            <w:pPr>
              <w:jc w:val="both"/>
              <w:rPr>
                <w:rFonts w:ascii="Avenir Next" w:hAnsi="Avenir Next" w:cs="Arial"/>
                <w:color w:val="808080" w:themeColor="background1" w:themeShade="80"/>
                <w:sz w:val="22"/>
                <w:szCs w:val="22"/>
                <w:lang w:val="en-GB"/>
              </w:rPr>
            </w:pPr>
            <w:r w:rsidRPr="00574822">
              <w:rPr>
                <w:rFonts w:ascii="Avenir Next" w:hAnsi="Avenir Next" w:cs="Arial"/>
                <w:color w:val="808080" w:themeColor="background1" w:themeShade="80"/>
                <w:sz w:val="22"/>
                <w:szCs w:val="22"/>
                <w:lang w:val="en-GB"/>
              </w:rPr>
              <w:t xml:space="preserve">Under instrument, </w:t>
            </w:r>
            <w:proofErr w:type="spellStart"/>
            <w:r w:rsidRPr="00574822">
              <w:rPr>
                <w:rFonts w:ascii="Avenir Next" w:hAnsi="Avenir Next" w:cs="Arial"/>
                <w:color w:val="808080" w:themeColor="background1" w:themeShade="80"/>
                <w:sz w:val="22"/>
                <w:szCs w:val="22"/>
                <w:lang w:val="en-GB"/>
              </w:rPr>
              <w:t>ie</w:t>
            </w:r>
            <w:proofErr w:type="spellEnd"/>
            <w:r w:rsidRPr="00574822">
              <w:rPr>
                <w:rFonts w:ascii="Avenir Next" w:hAnsi="Avenir Next" w:cs="Arial"/>
                <w:color w:val="808080" w:themeColor="background1" w:themeShade="80"/>
                <w:sz w:val="22"/>
                <w:szCs w:val="22"/>
                <w:lang w:val="en-GB"/>
              </w:rPr>
              <w:t xml:space="preserve"> the security agreement between the debtor and creditor. The instrument must specifically provide for such an appointment and set out the extent of the powers and rights of the Receiver.</w:t>
            </w:r>
          </w:p>
        </w:tc>
        <w:tc>
          <w:tcPr>
            <w:tcW w:w="3543" w:type="dxa"/>
          </w:tcPr>
          <w:p w14:paraId="021E5E0D" w14:textId="7CF15C83" w:rsidR="00574822" w:rsidRDefault="00574822"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secured creditor may apply to court under s</w:t>
            </w:r>
            <w:r w:rsidRPr="00574822">
              <w:rPr>
                <w:rFonts w:ascii="Avenir Next" w:hAnsi="Avenir Next" w:cs="Arial"/>
                <w:color w:val="808080" w:themeColor="background1" w:themeShade="80"/>
                <w:sz w:val="22"/>
                <w:szCs w:val="22"/>
                <w:lang w:val="en-GB"/>
              </w:rPr>
              <w:t xml:space="preserve">ection 243 of the BIA </w:t>
            </w:r>
            <w:r>
              <w:rPr>
                <w:rFonts w:ascii="Avenir Next" w:hAnsi="Avenir Next" w:cs="Arial"/>
                <w:color w:val="808080" w:themeColor="background1" w:themeShade="80"/>
                <w:sz w:val="22"/>
                <w:szCs w:val="22"/>
                <w:lang w:val="en-GB"/>
              </w:rPr>
              <w:t>for the appointment of a receiver</w:t>
            </w:r>
            <w:r w:rsidR="00C932B7">
              <w:rPr>
                <w:rFonts w:ascii="Avenir Next" w:hAnsi="Avenir Next" w:cs="Arial"/>
                <w:color w:val="808080" w:themeColor="background1" w:themeShade="80"/>
                <w:sz w:val="22"/>
                <w:szCs w:val="22"/>
                <w:lang w:val="en-GB"/>
              </w:rPr>
              <w:t xml:space="preserve"> or an interim receiver</w:t>
            </w:r>
            <w:r w:rsidR="00C932B7">
              <w:rPr>
                <w:rStyle w:val="FootnoteReference"/>
                <w:rFonts w:ascii="Avenir Next" w:hAnsi="Avenir Next" w:cs="Arial"/>
                <w:color w:val="808080" w:themeColor="background1" w:themeShade="80"/>
                <w:sz w:val="22"/>
                <w:szCs w:val="22"/>
                <w:lang w:val="en-GB"/>
              </w:rPr>
              <w:footnoteReference w:id="7"/>
            </w:r>
            <w:r>
              <w:rPr>
                <w:rFonts w:ascii="Avenir Next" w:hAnsi="Avenir Next" w:cs="Arial"/>
                <w:color w:val="808080" w:themeColor="background1" w:themeShade="80"/>
                <w:sz w:val="22"/>
                <w:szCs w:val="22"/>
                <w:lang w:val="en-GB"/>
              </w:rPr>
              <w:t xml:space="preserve"> over a debtor. </w:t>
            </w:r>
          </w:p>
          <w:p w14:paraId="54E0BFD6" w14:textId="77777777" w:rsidR="00574822" w:rsidRDefault="00574822" w:rsidP="00574822">
            <w:pPr>
              <w:jc w:val="both"/>
              <w:rPr>
                <w:rFonts w:ascii="Avenir Next" w:hAnsi="Avenir Next" w:cs="Arial"/>
                <w:color w:val="808080" w:themeColor="background1" w:themeShade="80"/>
                <w:sz w:val="22"/>
                <w:szCs w:val="22"/>
                <w:lang w:val="en-GB"/>
              </w:rPr>
            </w:pPr>
          </w:p>
          <w:p w14:paraId="028D15A5" w14:textId="77777777" w:rsidR="00574822" w:rsidRDefault="00574822"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equitable receiver may also be appointed by a court on an application by, for instance, shareholders or unsecured creditors. The power to do so is under the Courts of Justice Act.</w:t>
            </w:r>
          </w:p>
          <w:p w14:paraId="580AA8FD" w14:textId="77777777" w:rsidR="00C12398" w:rsidRDefault="00C12398" w:rsidP="00574822">
            <w:pPr>
              <w:jc w:val="both"/>
              <w:rPr>
                <w:rFonts w:ascii="Avenir Next" w:hAnsi="Avenir Next" w:cs="Arial"/>
                <w:color w:val="808080" w:themeColor="background1" w:themeShade="80"/>
                <w:sz w:val="22"/>
                <w:szCs w:val="22"/>
                <w:lang w:val="en-GB"/>
              </w:rPr>
            </w:pPr>
          </w:p>
          <w:p w14:paraId="7C7B05D6" w14:textId="3F689E57" w:rsidR="00C12398" w:rsidRPr="00574822" w:rsidRDefault="00C12398"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powers are conferred by the court order. For example, these powers may include stay on enforcement actions, the right to continue to trade the business of the debtor, sell assets (subject to court supervision), render </w:t>
            </w:r>
            <w:r>
              <w:rPr>
                <w:rFonts w:ascii="Avenir Next" w:hAnsi="Avenir Next" w:cs="Arial"/>
                <w:i/>
                <w:iCs/>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 inoperable and obtain DIP </w:t>
            </w:r>
            <w:r>
              <w:rPr>
                <w:rFonts w:ascii="Avenir Next" w:hAnsi="Avenir Next" w:cs="Arial"/>
                <w:color w:val="808080" w:themeColor="background1" w:themeShade="80"/>
                <w:sz w:val="22"/>
                <w:szCs w:val="22"/>
                <w:lang w:val="en-GB"/>
              </w:rPr>
              <w:lastRenderedPageBreak/>
              <w:t xml:space="preserve">financing (in appropriate circumstances). </w:t>
            </w:r>
          </w:p>
        </w:tc>
      </w:tr>
      <w:tr w:rsidR="00574822" w14:paraId="6E732D38" w14:textId="77777777" w:rsidTr="00C12398">
        <w:tc>
          <w:tcPr>
            <w:tcW w:w="2122" w:type="dxa"/>
          </w:tcPr>
          <w:p w14:paraId="47BB68B2" w14:textId="1514EE5F" w:rsidR="00574822" w:rsidRPr="00C932B7" w:rsidRDefault="00574822" w:rsidP="00574822">
            <w:pPr>
              <w:jc w:val="both"/>
              <w:rPr>
                <w:rFonts w:ascii="Avenir Next" w:hAnsi="Avenir Next" w:cs="Arial"/>
                <w:b/>
                <w:bCs/>
                <w:color w:val="808080" w:themeColor="background1" w:themeShade="80"/>
                <w:sz w:val="22"/>
                <w:szCs w:val="22"/>
                <w:lang w:val="en-GB"/>
              </w:rPr>
            </w:pPr>
            <w:r w:rsidRPr="00C932B7">
              <w:rPr>
                <w:rFonts w:ascii="Avenir Next" w:hAnsi="Avenir Next" w:cs="Arial"/>
                <w:b/>
                <w:bCs/>
                <w:color w:val="808080" w:themeColor="background1" w:themeShade="80"/>
                <w:sz w:val="22"/>
                <w:szCs w:val="22"/>
                <w:lang w:val="en-GB"/>
              </w:rPr>
              <w:lastRenderedPageBreak/>
              <w:t>Duties</w:t>
            </w:r>
          </w:p>
        </w:tc>
        <w:tc>
          <w:tcPr>
            <w:tcW w:w="3402" w:type="dxa"/>
          </w:tcPr>
          <w:p w14:paraId="7BAC529F" w14:textId="1CA8832B" w:rsidR="00574822" w:rsidRPr="00574822" w:rsidRDefault="00574822"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Primarily to the secured creditor </w:t>
            </w:r>
            <w:r w:rsidR="00C12398">
              <w:rPr>
                <w:rFonts w:ascii="Avenir Next" w:hAnsi="Avenir Next" w:cs="Arial"/>
                <w:color w:val="808080" w:themeColor="background1" w:themeShade="80"/>
                <w:sz w:val="22"/>
                <w:szCs w:val="22"/>
                <w:lang w:val="en-GB"/>
              </w:rPr>
              <w:t>appointor. However, these duties also extend to acting honestly, in good faith and in a commercially reasonable manner (like when selling the debtor’s assets).</w:t>
            </w:r>
            <w:r w:rsidR="00C12398">
              <w:rPr>
                <w:rStyle w:val="FootnoteReference"/>
                <w:rFonts w:ascii="Avenir Next" w:hAnsi="Avenir Next" w:cs="Arial"/>
                <w:color w:val="808080" w:themeColor="background1" w:themeShade="80"/>
                <w:sz w:val="22"/>
                <w:szCs w:val="22"/>
                <w:lang w:val="en-GB"/>
              </w:rPr>
              <w:footnoteReference w:id="8"/>
            </w:r>
          </w:p>
        </w:tc>
        <w:tc>
          <w:tcPr>
            <w:tcW w:w="3543" w:type="dxa"/>
          </w:tcPr>
          <w:p w14:paraId="1B7FA1C8" w14:textId="605BE941" w:rsidR="00574822" w:rsidRDefault="00C932B7" w:rsidP="00C932B7">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Officer of the court</w:t>
            </w:r>
          </w:p>
          <w:p w14:paraId="70FB8CF9" w14:textId="77777777" w:rsidR="00C932B7" w:rsidRDefault="00C932B7" w:rsidP="00C932B7">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duties to all creditors of the debtor, not just to the secured creditor</w:t>
            </w:r>
          </w:p>
          <w:p w14:paraId="551F2DBA" w14:textId="77777777" w:rsidR="00C932B7" w:rsidRDefault="00C932B7" w:rsidP="00C932B7">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Takes instructions from the court</w:t>
            </w:r>
          </w:p>
          <w:p w14:paraId="1CEA956D" w14:textId="703FA80F" w:rsidR="00C932B7" w:rsidRPr="00C932B7" w:rsidRDefault="00C932B7" w:rsidP="00C932B7">
            <w:pPr>
              <w:pStyle w:val="ListParagraph"/>
              <w:numPr>
                <w:ilvl w:val="0"/>
                <w:numId w:val="33"/>
              </w:numPr>
              <w:jc w:val="both"/>
              <w:rPr>
                <w:rFonts w:ascii="Avenir Next" w:hAnsi="Avenir Next" w:cs="Arial"/>
                <w:color w:val="808080" w:themeColor="background1" w:themeShade="80"/>
                <w:sz w:val="22"/>
                <w:szCs w:val="22"/>
                <w:lang w:val="en-GB"/>
              </w:rPr>
            </w:pPr>
          </w:p>
        </w:tc>
      </w:tr>
      <w:tr w:rsidR="00574822" w14:paraId="16BCF190" w14:textId="77777777" w:rsidTr="00C12398">
        <w:tc>
          <w:tcPr>
            <w:tcW w:w="2122" w:type="dxa"/>
          </w:tcPr>
          <w:p w14:paraId="72FA0065" w14:textId="18F4157F" w:rsidR="00574822" w:rsidRPr="00C932B7" w:rsidRDefault="00574822" w:rsidP="00574822">
            <w:pPr>
              <w:jc w:val="both"/>
              <w:rPr>
                <w:rFonts w:ascii="Avenir Next" w:hAnsi="Avenir Next" w:cs="Arial"/>
                <w:b/>
                <w:bCs/>
                <w:color w:val="808080" w:themeColor="background1" w:themeShade="80"/>
                <w:sz w:val="22"/>
                <w:szCs w:val="22"/>
                <w:lang w:val="en-GB"/>
              </w:rPr>
            </w:pPr>
            <w:r w:rsidRPr="00C932B7">
              <w:rPr>
                <w:rFonts w:ascii="Avenir Next" w:hAnsi="Avenir Next" w:cs="Arial"/>
                <w:b/>
                <w:bCs/>
                <w:color w:val="808080" w:themeColor="background1" w:themeShade="80"/>
                <w:sz w:val="22"/>
                <w:szCs w:val="22"/>
                <w:lang w:val="en-GB"/>
              </w:rPr>
              <w:t>General circumstances the appointed receiver may be used</w:t>
            </w:r>
          </w:p>
        </w:tc>
        <w:tc>
          <w:tcPr>
            <w:tcW w:w="3402" w:type="dxa"/>
          </w:tcPr>
          <w:p w14:paraId="7BEE29C9" w14:textId="0F9DCF63" w:rsidR="00574822" w:rsidRPr="00574822" w:rsidRDefault="00C12398"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May be used for small, uncomplex matters, typically involving small to medium sized businesses. Also, where there is not likely to be competing secured creditor claims or disputes.</w:t>
            </w:r>
          </w:p>
        </w:tc>
        <w:tc>
          <w:tcPr>
            <w:tcW w:w="3543" w:type="dxa"/>
          </w:tcPr>
          <w:p w14:paraId="3FDE9058" w14:textId="3E12D6A0" w:rsidR="00574822" w:rsidRDefault="00C12398"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May be used for more complex matters, where there may be competing claims / disputes with creditors. </w:t>
            </w:r>
          </w:p>
          <w:p w14:paraId="73C095C9" w14:textId="77777777" w:rsidR="00C932B7" w:rsidRDefault="00C932B7" w:rsidP="00574822">
            <w:pPr>
              <w:jc w:val="both"/>
              <w:rPr>
                <w:rFonts w:ascii="Avenir Next" w:hAnsi="Avenir Next" w:cs="Arial"/>
                <w:color w:val="808080" w:themeColor="background1" w:themeShade="80"/>
                <w:sz w:val="22"/>
                <w:szCs w:val="22"/>
                <w:lang w:val="en-GB"/>
              </w:rPr>
            </w:pPr>
          </w:p>
          <w:p w14:paraId="7AC5F109" w14:textId="1E623FA5" w:rsidR="00C12398" w:rsidRPr="00574822" w:rsidRDefault="00C12398"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 assistance on an ongoing basis may be another reason why this type of receivership may be used over a private receiver. </w:t>
            </w:r>
          </w:p>
        </w:tc>
      </w:tr>
      <w:tr w:rsidR="00C12398" w14:paraId="7469B5FA" w14:textId="77777777" w:rsidTr="00C12398">
        <w:tc>
          <w:tcPr>
            <w:tcW w:w="2122" w:type="dxa"/>
          </w:tcPr>
          <w:p w14:paraId="2E1F77B1" w14:textId="596A678D" w:rsidR="00C12398" w:rsidRPr="00C932B7" w:rsidRDefault="00C12398" w:rsidP="00574822">
            <w:pPr>
              <w:jc w:val="both"/>
              <w:rPr>
                <w:rFonts w:ascii="Avenir Next" w:hAnsi="Avenir Next" w:cs="Arial"/>
                <w:b/>
                <w:bCs/>
                <w:color w:val="808080" w:themeColor="background1" w:themeShade="80"/>
                <w:sz w:val="22"/>
                <w:szCs w:val="22"/>
                <w:lang w:val="en-GB"/>
              </w:rPr>
            </w:pPr>
            <w:r w:rsidRPr="00C932B7">
              <w:rPr>
                <w:rFonts w:ascii="Avenir Next" w:hAnsi="Avenir Next" w:cs="Arial"/>
                <w:b/>
                <w:bCs/>
                <w:color w:val="808080" w:themeColor="background1" w:themeShade="80"/>
                <w:sz w:val="22"/>
                <w:szCs w:val="22"/>
                <w:lang w:val="en-GB"/>
              </w:rPr>
              <w:t>Cost and efficiency</w:t>
            </w:r>
          </w:p>
        </w:tc>
        <w:tc>
          <w:tcPr>
            <w:tcW w:w="3402" w:type="dxa"/>
          </w:tcPr>
          <w:p w14:paraId="083F9466" w14:textId="67609989" w:rsidR="00C12398" w:rsidRPr="00574822" w:rsidRDefault="00C12398"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does not require court interference and can be quick and/or less costly than court-appointed receiverships. </w:t>
            </w:r>
          </w:p>
        </w:tc>
        <w:tc>
          <w:tcPr>
            <w:tcW w:w="3543" w:type="dxa"/>
          </w:tcPr>
          <w:p w14:paraId="0A2CD165" w14:textId="01D406BB" w:rsidR="00C12398" w:rsidRPr="00574822" w:rsidRDefault="00C932B7"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Requires material court interference and direction and is typically more costly than a private receivership. </w:t>
            </w:r>
          </w:p>
        </w:tc>
      </w:tr>
      <w:tr w:rsidR="00C12398" w14:paraId="488A9D03" w14:textId="77777777" w:rsidTr="00C12398">
        <w:tc>
          <w:tcPr>
            <w:tcW w:w="2122" w:type="dxa"/>
          </w:tcPr>
          <w:p w14:paraId="5176C66A" w14:textId="293B8C63" w:rsidR="00C12398" w:rsidRPr="00C932B7" w:rsidRDefault="00C12398" w:rsidP="00574822">
            <w:pPr>
              <w:jc w:val="both"/>
              <w:rPr>
                <w:rFonts w:ascii="Avenir Next" w:hAnsi="Avenir Next" w:cs="Arial"/>
                <w:b/>
                <w:bCs/>
                <w:color w:val="808080" w:themeColor="background1" w:themeShade="80"/>
                <w:sz w:val="22"/>
                <w:szCs w:val="22"/>
                <w:lang w:val="en-GB"/>
              </w:rPr>
            </w:pPr>
            <w:r w:rsidRPr="00C932B7">
              <w:rPr>
                <w:rFonts w:ascii="Avenir Next" w:hAnsi="Avenir Next" w:cs="Arial"/>
                <w:b/>
                <w:bCs/>
                <w:color w:val="808080" w:themeColor="background1" w:themeShade="80"/>
                <w:sz w:val="22"/>
                <w:szCs w:val="22"/>
                <w:lang w:val="en-GB"/>
              </w:rPr>
              <w:t>Successor liability</w:t>
            </w:r>
          </w:p>
        </w:tc>
        <w:tc>
          <w:tcPr>
            <w:tcW w:w="3402" w:type="dxa"/>
          </w:tcPr>
          <w:p w14:paraId="54A6C3AC" w14:textId="0D196FC8" w:rsidR="00C12398" w:rsidRDefault="00C12398"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Possible liability</w:t>
            </w:r>
            <w:r w:rsidR="00C932B7">
              <w:rPr>
                <w:rFonts w:ascii="Avenir Next" w:hAnsi="Avenir Next" w:cs="Arial"/>
                <w:color w:val="808080" w:themeColor="background1" w:themeShade="80"/>
                <w:sz w:val="22"/>
                <w:szCs w:val="22"/>
                <w:lang w:val="en-GB"/>
              </w:rPr>
              <w:t>, as there is no court supervision. The private receiver needs to strictly adhere to their duties, particularly when it comes to selling the debtor’s business/assets.</w:t>
            </w:r>
          </w:p>
        </w:tc>
        <w:tc>
          <w:tcPr>
            <w:tcW w:w="3543" w:type="dxa"/>
          </w:tcPr>
          <w:p w14:paraId="1CAD89C2" w14:textId="43FC8AF0" w:rsidR="00C12398" w:rsidRPr="00574822" w:rsidRDefault="00C12398"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sale requires court approval, and, as such, it is less likely that the receiver would be subjected to successor liability.</w:t>
            </w:r>
          </w:p>
        </w:tc>
      </w:tr>
      <w:tr w:rsidR="00C932B7" w14:paraId="6D233B96" w14:textId="77777777" w:rsidTr="00C12398">
        <w:tc>
          <w:tcPr>
            <w:tcW w:w="2122" w:type="dxa"/>
          </w:tcPr>
          <w:p w14:paraId="7E96F943" w14:textId="2E70A328" w:rsidR="00C932B7" w:rsidRPr="00C932B7" w:rsidRDefault="00C932B7" w:rsidP="00574822">
            <w:pPr>
              <w:jc w:val="both"/>
              <w:rPr>
                <w:rFonts w:ascii="Avenir Next" w:hAnsi="Avenir Next" w:cs="Arial"/>
                <w:b/>
                <w:bCs/>
                <w:color w:val="808080" w:themeColor="background1" w:themeShade="80"/>
                <w:sz w:val="22"/>
                <w:szCs w:val="22"/>
                <w:lang w:val="en-GB"/>
              </w:rPr>
            </w:pPr>
            <w:r w:rsidRPr="00C932B7">
              <w:rPr>
                <w:rFonts w:ascii="Avenir Next" w:hAnsi="Avenir Next" w:cs="Arial"/>
                <w:b/>
                <w:bCs/>
                <w:color w:val="808080" w:themeColor="background1" w:themeShade="80"/>
                <w:sz w:val="22"/>
                <w:szCs w:val="22"/>
                <w:lang w:val="en-GB"/>
              </w:rPr>
              <w:t>Notice provided to the debtor before the appointment?</w:t>
            </w:r>
          </w:p>
        </w:tc>
        <w:tc>
          <w:tcPr>
            <w:tcW w:w="3402" w:type="dxa"/>
          </w:tcPr>
          <w:p w14:paraId="00E569D1" w14:textId="6D23412F" w:rsidR="00C932B7" w:rsidRDefault="00C932B7"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Will depend on the terms of the finance agreement and any applicable statutory obligations. But not necessarily an obligation.</w:t>
            </w:r>
          </w:p>
        </w:tc>
        <w:tc>
          <w:tcPr>
            <w:tcW w:w="3543" w:type="dxa"/>
          </w:tcPr>
          <w:p w14:paraId="7C192EBE" w14:textId="198D1388" w:rsidR="00C932B7" w:rsidRDefault="00C932B7"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Requires a 10-day s244 notice to the debtor of the secured party’s intention to apply to court to appoint a receiver.</w:t>
            </w:r>
          </w:p>
        </w:tc>
      </w:tr>
      <w:tr w:rsidR="00C932B7" w14:paraId="5AB07851" w14:textId="77777777" w:rsidTr="00C12398">
        <w:tc>
          <w:tcPr>
            <w:tcW w:w="2122" w:type="dxa"/>
          </w:tcPr>
          <w:p w14:paraId="39B927F4" w14:textId="252D9FEC" w:rsidR="00C932B7" w:rsidRPr="00C932B7" w:rsidRDefault="00C932B7" w:rsidP="00574822">
            <w:pPr>
              <w:jc w:val="both"/>
              <w:rPr>
                <w:rFonts w:ascii="Avenir Next" w:hAnsi="Avenir Next" w:cs="Arial"/>
                <w:b/>
                <w:bCs/>
                <w:color w:val="808080" w:themeColor="background1" w:themeShade="80"/>
                <w:sz w:val="22"/>
                <w:szCs w:val="22"/>
                <w:lang w:val="en-GB"/>
              </w:rPr>
            </w:pPr>
            <w:r w:rsidRPr="00C932B7">
              <w:rPr>
                <w:rFonts w:ascii="Avenir Next" w:hAnsi="Avenir Next" w:cs="Arial"/>
                <w:b/>
                <w:bCs/>
                <w:color w:val="808080" w:themeColor="background1" w:themeShade="80"/>
                <w:sz w:val="22"/>
                <w:szCs w:val="22"/>
                <w:lang w:val="en-GB"/>
              </w:rPr>
              <w:t>Reporting</w:t>
            </w:r>
          </w:p>
        </w:tc>
        <w:tc>
          <w:tcPr>
            <w:tcW w:w="3402" w:type="dxa"/>
          </w:tcPr>
          <w:p w14:paraId="0F3E8B4B" w14:textId="00FAAC2A" w:rsidR="00C932B7" w:rsidRDefault="00C932B7"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Must report to creditors and file same with the OSB. </w:t>
            </w:r>
          </w:p>
        </w:tc>
        <w:tc>
          <w:tcPr>
            <w:tcW w:w="3543" w:type="dxa"/>
          </w:tcPr>
          <w:p w14:paraId="6D7272F1" w14:textId="7036E517" w:rsidR="00C932B7" w:rsidRDefault="00C932B7" w:rsidP="005748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report to creditors and file same with the OSB. Also, must report to court as and when necessary.</w:t>
            </w:r>
          </w:p>
        </w:tc>
      </w:tr>
    </w:tbl>
    <w:p w14:paraId="5A03BC27" w14:textId="37E861EE" w:rsidR="006F4E04" w:rsidRDefault="006F4E04" w:rsidP="006F4E04">
      <w:pPr>
        <w:rPr>
          <w:lang w:val="en-GB"/>
        </w:rPr>
      </w:pPr>
    </w:p>
    <w:p w14:paraId="2DF525D9" w14:textId="77777777" w:rsidR="004138C2" w:rsidRDefault="004138C2">
      <w:pPr>
        <w:rPr>
          <w:rFonts w:ascii="Avenir Next Demi Bold" w:eastAsiaTheme="minorEastAsia" w:hAnsi="Avenir Next Demi Bold" w:cs="Arial"/>
          <w:b/>
          <w:bCs/>
          <w:sz w:val="22"/>
          <w:szCs w:val="22"/>
          <w:lang w:val="en-GB"/>
        </w:rPr>
      </w:pPr>
      <w:r>
        <w:rPr>
          <w:rFonts w:ascii="Avenir Next Demi Bold" w:hAnsi="Avenir Next Demi Bold"/>
          <w:iCs/>
        </w:rPr>
        <w:br w:type="page"/>
      </w:r>
    </w:p>
    <w:p w14:paraId="23D4EE7A" w14:textId="239BE035"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785311FE" w14:textId="3DCD6B51" w:rsidR="00C932B7" w:rsidRDefault="00C932B7"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three methods of entering into bankruptcy are: (1) involuntary; (2) voluntary; and (3) a failure of a BIA proposal (whether merely by failing to perform a term of a BIA proposal).</w:t>
      </w:r>
      <w:r w:rsidR="009B1827">
        <w:rPr>
          <w:rStyle w:val="FootnoteReference"/>
          <w:rFonts w:ascii="Avenir Next" w:hAnsi="Avenir Next" w:cs="Arial"/>
          <w:color w:val="808080" w:themeColor="background1" w:themeShade="80"/>
          <w:sz w:val="22"/>
          <w:szCs w:val="22"/>
          <w:lang w:val="en-GB"/>
        </w:rPr>
        <w:footnoteReference w:id="9"/>
      </w:r>
    </w:p>
    <w:p w14:paraId="3773A050" w14:textId="5B28988F" w:rsidR="006F4E04" w:rsidRDefault="006F4E04" w:rsidP="004D67B3">
      <w:pPr>
        <w:jc w:val="both"/>
        <w:rPr>
          <w:rFonts w:ascii="Avenir Next" w:hAnsi="Avenir Next" w:cs="Arial"/>
          <w:color w:val="808080" w:themeColor="background1" w:themeShade="80"/>
          <w:sz w:val="22"/>
          <w:szCs w:val="22"/>
          <w:lang w:val="en-GB"/>
        </w:rPr>
      </w:pPr>
    </w:p>
    <w:p w14:paraId="3F718230" w14:textId="26F275BF" w:rsidR="00C932B7" w:rsidRPr="004138C2" w:rsidRDefault="004138C2" w:rsidP="004138C2">
      <w:pPr>
        <w:pStyle w:val="ListParagraph"/>
        <w:numPr>
          <w:ilvl w:val="0"/>
          <w:numId w:val="36"/>
        </w:numPr>
        <w:jc w:val="both"/>
        <w:rPr>
          <w:rFonts w:ascii="Avenir Next" w:hAnsi="Avenir Next" w:cs="Arial"/>
          <w:b/>
          <w:bCs/>
          <w:color w:val="808080" w:themeColor="background1" w:themeShade="80"/>
          <w:sz w:val="22"/>
          <w:szCs w:val="22"/>
          <w:lang w:val="en-GB"/>
        </w:rPr>
      </w:pPr>
      <w:r w:rsidRPr="004138C2">
        <w:rPr>
          <w:rFonts w:ascii="Avenir Next" w:hAnsi="Avenir Next" w:cs="Arial"/>
          <w:b/>
          <w:bCs/>
          <w:color w:val="808080" w:themeColor="background1" w:themeShade="80"/>
          <w:sz w:val="22"/>
          <w:szCs w:val="22"/>
          <w:lang w:val="en-GB"/>
        </w:rPr>
        <w:t>Involuntary</w:t>
      </w:r>
    </w:p>
    <w:p w14:paraId="3E9BEB77" w14:textId="7EA50E37" w:rsidR="004138C2" w:rsidRDefault="004138C2" w:rsidP="004138C2">
      <w:pPr>
        <w:pStyle w:val="ListParagraph"/>
        <w:jc w:val="both"/>
        <w:rPr>
          <w:rFonts w:ascii="Avenir Next" w:hAnsi="Avenir Next" w:cs="Arial"/>
          <w:color w:val="808080" w:themeColor="background1" w:themeShade="80"/>
          <w:sz w:val="22"/>
          <w:szCs w:val="22"/>
          <w:lang w:val="en-GB"/>
        </w:rPr>
      </w:pPr>
    </w:p>
    <w:p w14:paraId="2DC40036" w14:textId="488F33F2" w:rsidR="004138C2" w:rsidRDefault="004138C2" w:rsidP="004138C2">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petitioning creditor, when applying to court, must show that they are owed at least CAD 1,000 and that the debtor has committed an act of bankruptcy within six months of the filing of the petition</w:t>
      </w:r>
      <w:r w:rsidR="009B1827">
        <w:rPr>
          <w:rFonts w:ascii="Avenir Next" w:hAnsi="Avenir Next" w:cs="Arial"/>
          <w:color w:val="808080" w:themeColor="background1" w:themeShade="80"/>
          <w:sz w:val="22"/>
          <w:szCs w:val="22"/>
          <w:lang w:val="en-GB"/>
        </w:rPr>
        <w:t xml:space="preserve"> (</w:t>
      </w:r>
      <w:r w:rsidR="009B1827" w:rsidRPr="009B1827">
        <w:rPr>
          <w:rFonts w:ascii="Avenir Next" w:hAnsi="Avenir Next" w:cs="Arial"/>
          <w:b/>
          <w:bCs/>
          <w:color w:val="808080" w:themeColor="background1" w:themeShade="80"/>
          <w:sz w:val="22"/>
          <w:szCs w:val="22"/>
          <w:lang w:val="en-GB"/>
        </w:rPr>
        <w:t>Threshold Elements</w:t>
      </w:r>
      <w:r w:rsidR="009B182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0"/>
      </w:r>
      <w:r>
        <w:rPr>
          <w:rFonts w:ascii="Avenir Next" w:hAnsi="Avenir Next" w:cs="Arial"/>
          <w:color w:val="808080" w:themeColor="background1" w:themeShade="80"/>
          <w:sz w:val="22"/>
          <w:szCs w:val="22"/>
          <w:lang w:val="en-GB"/>
        </w:rPr>
        <w:t xml:space="preserve"> The petition must be presented in the location where the debtor is ordinarily domiciled, does business, has assets/property or where it did business within the previous year.</w:t>
      </w:r>
    </w:p>
    <w:p w14:paraId="2BEBDAA6" w14:textId="77777777" w:rsidR="004138C2" w:rsidRDefault="004138C2" w:rsidP="004138C2">
      <w:pPr>
        <w:pStyle w:val="ListParagraph"/>
        <w:ind w:left="360"/>
        <w:jc w:val="both"/>
        <w:rPr>
          <w:rFonts w:ascii="Avenir Next" w:hAnsi="Avenir Next" w:cs="Arial"/>
          <w:color w:val="808080" w:themeColor="background1" w:themeShade="80"/>
          <w:sz w:val="22"/>
          <w:szCs w:val="22"/>
          <w:lang w:val="en-GB"/>
        </w:rPr>
      </w:pPr>
    </w:p>
    <w:p w14:paraId="1D1F59F4" w14:textId="59CD4C66" w:rsidR="004138C2" w:rsidRDefault="004138C2" w:rsidP="004138C2">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 of the BIA lists the circumstances in which a debtor may have committed an act of bankruptcy. The list is made up of two different types of conduct, namely, one that violates certain norms of commercial morality and the other that demonstrates that the debtor is insolvent.</w:t>
      </w:r>
      <w:r>
        <w:rPr>
          <w:rStyle w:val="FootnoteReference"/>
          <w:rFonts w:ascii="Avenir Next" w:hAnsi="Avenir Next" w:cs="Arial"/>
          <w:color w:val="808080" w:themeColor="background1" w:themeShade="80"/>
          <w:sz w:val="22"/>
          <w:szCs w:val="22"/>
          <w:lang w:val="en-GB"/>
        </w:rPr>
        <w:footnoteReference w:id="11"/>
      </w:r>
      <w:r>
        <w:rPr>
          <w:rFonts w:ascii="Avenir Next" w:hAnsi="Avenir Next" w:cs="Arial"/>
          <w:color w:val="808080" w:themeColor="background1" w:themeShade="80"/>
          <w:sz w:val="22"/>
          <w:szCs w:val="22"/>
          <w:lang w:val="en-GB"/>
        </w:rPr>
        <w:t xml:space="preserve">  </w:t>
      </w:r>
    </w:p>
    <w:p w14:paraId="33F8C27E" w14:textId="694A22A7" w:rsidR="004138C2" w:rsidRDefault="004138C2" w:rsidP="004138C2">
      <w:pPr>
        <w:pStyle w:val="ListParagraph"/>
        <w:ind w:left="360"/>
        <w:jc w:val="both"/>
        <w:rPr>
          <w:rFonts w:ascii="Avenir Next" w:hAnsi="Avenir Next" w:cs="Arial"/>
          <w:color w:val="808080" w:themeColor="background1" w:themeShade="80"/>
          <w:sz w:val="22"/>
          <w:szCs w:val="22"/>
          <w:lang w:val="en-GB"/>
        </w:rPr>
      </w:pPr>
    </w:p>
    <w:p w14:paraId="5C205A6D" w14:textId="1D556823" w:rsidR="004138C2" w:rsidRDefault="004138C2" w:rsidP="004138C2">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list includes, where the debtor</w:t>
      </w:r>
      <w:r w:rsidR="009B1827">
        <w:rPr>
          <w:rFonts w:ascii="Avenir Next" w:hAnsi="Avenir Next" w:cs="Arial"/>
          <w:color w:val="808080" w:themeColor="background1" w:themeShade="80"/>
          <w:sz w:val="22"/>
          <w:szCs w:val="22"/>
          <w:lang w:val="en-GB"/>
        </w:rPr>
        <w:t xml:space="preserve"> (</w:t>
      </w:r>
      <w:r w:rsidR="009B1827" w:rsidRPr="009B1827">
        <w:rPr>
          <w:rFonts w:ascii="Avenir Next" w:hAnsi="Avenir Next" w:cs="Arial"/>
          <w:b/>
          <w:bCs/>
          <w:color w:val="808080" w:themeColor="background1" w:themeShade="80"/>
          <w:sz w:val="22"/>
          <w:szCs w:val="22"/>
          <w:lang w:val="en-GB"/>
        </w:rPr>
        <w:t>Act</w:t>
      </w:r>
      <w:r w:rsidR="009B1827">
        <w:rPr>
          <w:rFonts w:ascii="Avenir Next" w:hAnsi="Avenir Next" w:cs="Arial"/>
          <w:b/>
          <w:bCs/>
          <w:color w:val="808080" w:themeColor="background1" w:themeShade="80"/>
          <w:sz w:val="22"/>
          <w:szCs w:val="22"/>
          <w:lang w:val="en-GB"/>
        </w:rPr>
        <w:t>s</w:t>
      </w:r>
      <w:r w:rsidR="009B1827" w:rsidRPr="009B1827">
        <w:rPr>
          <w:rFonts w:ascii="Avenir Next" w:hAnsi="Avenir Next" w:cs="Arial"/>
          <w:b/>
          <w:bCs/>
          <w:color w:val="808080" w:themeColor="background1" w:themeShade="80"/>
          <w:sz w:val="22"/>
          <w:szCs w:val="22"/>
          <w:lang w:val="en-GB"/>
        </w:rPr>
        <w:t xml:space="preserve"> of Bankruptcy List</w:t>
      </w:r>
      <w:r w:rsidR="009B182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40B3D3D1" w14:textId="4DD1DD8E" w:rsidR="004138C2" w:rsidRDefault="004138C2" w:rsidP="004138C2">
      <w:pPr>
        <w:pStyle w:val="ListParagraph"/>
        <w:ind w:left="360"/>
        <w:jc w:val="both"/>
        <w:rPr>
          <w:rFonts w:ascii="Avenir Next" w:hAnsi="Avenir Next" w:cs="Arial"/>
          <w:color w:val="808080" w:themeColor="background1" w:themeShade="80"/>
          <w:sz w:val="22"/>
          <w:szCs w:val="22"/>
          <w:lang w:val="en-GB"/>
        </w:rPr>
      </w:pPr>
    </w:p>
    <w:p w14:paraId="072D6841" w14:textId="215FADBC" w:rsidR="004138C2" w:rsidRDefault="004138C2" w:rsidP="004138C2">
      <w:pPr>
        <w:pStyle w:val="ListParagraph"/>
        <w:numPr>
          <w:ilvl w:val="1"/>
          <w:numId w:val="33"/>
        </w:numPr>
        <w:ind w:left="709"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made an assignment of their property to a trustee for the benefit of creditors;</w:t>
      </w:r>
    </w:p>
    <w:p w14:paraId="6E98CF19" w14:textId="05D57F19" w:rsidR="004138C2" w:rsidRDefault="004138C2" w:rsidP="004138C2">
      <w:pPr>
        <w:pStyle w:val="ListParagraph"/>
        <w:numPr>
          <w:ilvl w:val="1"/>
          <w:numId w:val="33"/>
        </w:numPr>
        <w:ind w:left="709"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Makes a fraudulent gift, preference, transfer, execution, or disposition of property that otherwise would be available to creditors</w:t>
      </w:r>
      <w:r w:rsidR="009B1827">
        <w:rPr>
          <w:rFonts w:ascii="Avenir Next" w:hAnsi="Avenir Next" w:cs="Arial"/>
          <w:color w:val="808080" w:themeColor="background1" w:themeShade="80"/>
          <w:sz w:val="22"/>
          <w:szCs w:val="22"/>
          <w:lang w:val="en-GB"/>
        </w:rPr>
        <w:t>, or does so with the intention to defeat or delay creditors</w:t>
      </w:r>
      <w:r>
        <w:rPr>
          <w:rFonts w:ascii="Avenir Next" w:hAnsi="Avenir Next" w:cs="Arial"/>
          <w:color w:val="808080" w:themeColor="background1" w:themeShade="80"/>
          <w:sz w:val="22"/>
          <w:szCs w:val="22"/>
          <w:lang w:val="en-GB"/>
        </w:rPr>
        <w:t>;</w:t>
      </w:r>
    </w:p>
    <w:p w14:paraId="194F7AD9" w14:textId="113F3324" w:rsidR="004138C2" w:rsidRDefault="004138C2" w:rsidP="004138C2">
      <w:pPr>
        <w:pStyle w:val="ListParagraph"/>
        <w:numPr>
          <w:ilvl w:val="1"/>
          <w:numId w:val="33"/>
        </w:numPr>
        <w:ind w:left="709"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Departs Canada or their personal dwelling with the intention to defeat or delay creditors;</w:t>
      </w:r>
    </w:p>
    <w:p w14:paraId="4099A2A0" w14:textId="5F386FDD" w:rsidR="004138C2" w:rsidRDefault="004138C2" w:rsidP="004138C2">
      <w:pPr>
        <w:pStyle w:val="ListParagraph"/>
        <w:numPr>
          <w:ilvl w:val="1"/>
          <w:numId w:val="33"/>
        </w:numPr>
        <w:ind w:left="709"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admission of inability to pay debts</w:t>
      </w:r>
      <w:r w:rsidR="009B1827">
        <w:rPr>
          <w:rFonts w:ascii="Avenir Next" w:hAnsi="Avenir Next" w:cs="Arial"/>
          <w:color w:val="808080" w:themeColor="background1" w:themeShade="80"/>
          <w:sz w:val="22"/>
          <w:szCs w:val="22"/>
          <w:lang w:val="en-GB"/>
        </w:rPr>
        <w:t xml:space="preserve"> or expresses a suspension (or the intention to suspend) of payment of debt</w:t>
      </w:r>
      <w:r>
        <w:rPr>
          <w:rFonts w:ascii="Avenir Next" w:hAnsi="Avenir Next" w:cs="Arial"/>
          <w:color w:val="808080" w:themeColor="background1" w:themeShade="80"/>
          <w:sz w:val="22"/>
          <w:szCs w:val="22"/>
          <w:lang w:val="en-GB"/>
        </w:rPr>
        <w:t>;</w:t>
      </w:r>
    </w:p>
    <w:p w14:paraId="19B177DF" w14:textId="1E42090D" w:rsidR="004138C2" w:rsidRDefault="009B1827" w:rsidP="004138C2">
      <w:pPr>
        <w:pStyle w:val="ListParagraph"/>
        <w:numPr>
          <w:ilvl w:val="1"/>
          <w:numId w:val="33"/>
        </w:numPr>
        <w:ind w:left="709"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Defaulting on a proposal; and</w:t>
      </w:r>
    </w:p>
    <w:p w14:paraId="6661F610" w14:textId="5F61A98F" w:rsidR="009B1827" w:rsidRDefault="009B1827" w:rsidP="004138C2">
      <w:pPr>
        <w:pStyle w:val="ListParagraph"/>
        <w:numPr>
          <w:ilvl w:val="1"/>
          <w:numId w:val="33"/>
        </w:numPr>
        <w:ind w:left="709"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debtor fails to meet its liabilities generally as and when they become due. Generally, this requires more than just the petitioning creditors debt being unpaid (unless the petitioning creditor is the only claimant or it makes up a materially large portion of debts).</w:t>
      </w:r>
      <w:r>
        <w:rPr>
          <w:rStyle w:val="FootnoteReference"/>
          <w:rFonts w:ascii="Avenir Next" w:hAnsi="Avenir Next" w:cs="Arial"/>
          <w:color w:val="808080" w:themeColor="background1" w:themeShade="80"/>
          <w:sz w:val="22"/>
          <w:szCs w:val="22"/>
          <w:lang w:val="en-GB"/>
        </w:rPr>
        <w:footnoteReference w:id="12"/>
      </w:r>
      <w:r>
        <w:rPr>
          <w:rFonts w:ascii="Avenir Next" w:hAnsi="Avenir Next" w:cs="Arial"/>
          <w:color w:val="808080" w:themeColor="background1" w:themeShade="80"/>
          <w:sz w:val="22"/>
          <w:szCs w:val="22"/>
          <w:lang w:val="en-GB"/>
        </w:rPr>
        <w:t xml:space="preserve"> </w:t>
      </w:r>
    </w:p>
    <w:p w14:paraId="39D3325C" w14:textId="55EBE25E" w:rsidR="004138C2" w:rsidRDefault="004138C2" w:rsidP="009B1827">
      <w:pPr>
        <w:ind w:left="284"/>
        <w:jc w:val="both"/>
        <w:rPr>
          <w:rFonts w:ascii="Avenir Next" w:hAnsi="Avenir Next" w:cs="Arial"/>
          <w:color w:val="808080" w:themeColor="background1" w:themeShade="80"/>
          <w:sz w:val="22"/>
          <w:szCs w:val="22"/>
          <w:lang w:val="en-GB"/>
        </w:rPr>
      </w:pPr>
    </w:p>
    <w:p w14:paraId="55582449" w14:textId="6CE0E3C9" w:rsidR="009B1827" w:rsidRDefault="009B1827" w:rsidP="009B1827">
      <w:pPr>
        <w:ind w:left="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Notwithstanding a petitioning creditor meeting the Threshold Elements, a court may still exercise its discretion to dismiss the petition if the debtor can prove that it has the ability</w:t>
      </w:r>
      <w:r>
        <w:rPr>
          <w:rStyle w:val="FootnoteReference"/>
          <w:rFonts w:ascii="Avenir Next" w:hAnsi="Avenir Next" w:cs="Arial"/>
          <w:color w:val="808080" w:themeColor="background1" w:themeShade="80"/>
          <w:sz w:val="22"/>
          <w:szCs w:val="22"/>
          <w:lang w:val="en-GB"/>
        </w:rPr>
        <w:footnoteReference w:id="13"/>
      </w:r>
      <w:r>
        <w:rPr>
          <w:rFonts w:ascii="Avenir Next" w:hAnsi="Avenir Next" w:cs="Arial"/>
          <w:color w:val="808080" w:themeColor="background1" w:themeShade="80"/>
          <w:sz w:val="22"/>
          <w:szCs w:val="22"/>
          <w:lang w:val="en-GB"/>
        </w:rPr>
        <w:t xml:space="preserve"> to pay the debt.</w:t>
      </w:r>
    </w:p>
    <w:p w14:paraId="0A8F75DB" w14:textId="3CA91253" w:rsidR="009B1827" w:rsidRDefault="009B1827" w:rsidP="009B1827">
      <w:pPr>
        <w:ind w:left="284"/>
        <w:jc w:val="both"/>
        <w:rPr>
          <w:rFonts w:ascii="Avenir Next" w:hAnsi="Avenir Next" w:cs="Arial"/>
          <w:color w:val="808080" w:themeColor="background1" w:themeShade="80"/>
          <w:sz w:val="22"/>
          <w:szCs w:val="22"/>
          <w:lang w:val="en-GB"/>
        </w:rPr>
      </w:pPr>
    </w:p>
    <w:p w14:paraId="3D30C3BC" w14:textId="0C243237" w:rsidR="009B1827" w:rsidRDefault="009B1827" w:rsidP="009B1827">
      <w:pPr>
        <w:ind w:left="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court grants the petition, the property and affairs of the debtor vest in a licensed court-appointed trustee. </w:t>
      </w:r>
    </w:p>
    <w:p w14:paraId="6EA25D23" w14:textId="77777777" w:rsidR="009B1827" w:rsidRPr="009B1827" w:rsidRDefault="009B1827" w:rsidP="009B1827">
      <w:pPr>
        <w:ind w:left="284"/>
        <w:jc w:val="both"/>
        <w:rPr>
          <w:rFonts w:ascii="Avenir Next" w:hAnsi="Avenir Next" w:cs="Arial"/>
          <w:color w:val="808080" w:themeColor="background1" w:themeShade="80"/>
          <w:sz w:val="22"/>
          <w:szCs w:val="22"/>
          <w:lang w:val="en-GB"/>
        </w:rPr>
      </w:pPr>
    </w:p>
    <w:p w14:paraId="77C31ABA" w14:textId="7088D277" w:rsidR="004138C2" w:rsidRPr="009B1827" w:rsidRDefault="004138C2" w:rsidP="004138C2">
      <w:pPr>
        <w:pStyle w:val="ListParagraph"/>
        <w:numPr>
          <w:ilvl w:val="0"/>
          <w:numId w:val="36"/>
        </w:numPr>
        <w:jc w:val="both"/>
        <w:rPr>
          <w:rFonts w:ascii="Avenir Next" w:hAnsi="Avenir Next" w:cs="Arial"/>
          <w:b/>
          <w:bCs/>
          <w:color w:val="808080" w:themeColor="background1" w:themeShade="80"/>
          <w:sz w:val="22"/>
          <w:szCs w:val="22"/>
          <w:lang w:val="en-GB"/>
        </w:rPr>
      </w:pPr>
      <w:r w:rsidRPr="009B1827">
        <w:rPr>
          <w:rFonts w:ascii="Avenir Next" w:hAnsi="Avenir Next" w:cs="Arial"/>
          <w:b/>
          <w:bCs/>
          <w:color w:val="808080" w:themeColor="background1" w:themeShade="80"/>
          <w:sz w:val="22"/>
          <w:szCs w:val="22"/>
          <w:lang w:val="en-GB"/>
        </w:rPr>
        <w:t>Voluntary</w:t>
      </w:r>
    </w:p>
    <w:p w14:paraId="4BFF1192" w14:textId="1351EF13" w:rsidR="009B1827" w:rsidRDefault="009B1827" w:rsidP="009B1827">
      <w:pPr>
        <w:pStyle w:val="ListParagraph"/>
        <w:ind w:left="360"/>
        <w:jc w:val="both"/>
        <w:rPr>
          <w:rFonts w:ascii="Avenir Next" w:hAnsi="Avenir Next" w:cs="Arial"/>
          <w:color w:val="808080" w:themeColor="background1" w:themeShade="80"/>
          <w:sz w:val="22"/>
          <w:szCs w:val="22"/>
          <w:lang w:val="en-GB"/>
        </w:rPr>
      </w:pPr>
    </w:p>
    <w:p w14:paraId="494D67FF" w14:textId="3A387990" w:rsidR="009B1827" w:rsidRDefault="009B1827" w:rsidP="009B1827">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 may voluntarily apply to the Official Receiver to commence their bankruptcy (once accepted), as long as they meet one of the limbs of the Acts of Bankruptcy List, above. The documents filed by the debtor is a sworn statement of the affairs, property and creditors of the debtor, along with an assignment of its property for the benefit of its creditors. </w:t>
      </w:r>
    </w:p>
    <w:p w14:paraId="320C5EA3" w14:textId="7F1EB006" w:rsidR="004138C2" w:rsidRPr="00A2653E" w:rsidRDefault="004138C2" w:rsidP="004138C2">
      <w:pPr>
        <w:pStyle w:val="ListParagraph"/>
        <w:numPr>
          <w:ilvl w:val="0"/>
          <w:numId w:val="36"/>
        </w:numPr>
        <w:jc w:val="both"/>
        <w:rPr>
          <w:rFonts w:ascii="Avenir Next" w:hAnsi="Avenir Next" w:cs="Arial"/>
          <w:b/>
          <w:bCs/>
          <w:color w:val="808080" w:themeColor="background1" w:themeShade="80"/>
          <w:sz w:val="22"/>
          <w:szCs w:val="22"/>
          <w:lang w:val="en-GB"/>
        </w:rPr>
      </w:pPr>
      <w:r w:rsidRPr="00A2653E">
        <w:rPr>
          <w:rFonts w:ascii="Avenir Next" w:hAnsi="Avenir Next" w:cs="Arial"/>
          <w:b/>
          <w:bCs/>
          <w:color w:val="808080" w:themeColor="background1" w:themeShade="80"/>
          <w:sz w:val="22"/>
          <w:szCs w:val="22"/>
          <w:lang w:val="en-GB"/>
        </w:rPr>
        <w:lastRenderedPageBreak/>
        <w:t>Failure of a BIA proposal</w:t>
      </w:r>
    </w:p>
    <w:p w14:paraId="5753D6AF" w14:textId="0C5A1B03" w:rsidR="00A2653E" w:rsidRDefault="00A2653E" w:rsidP="00A2653E">
      <w:pPr>
        <w:jc w:val="both"/>
        <w:rPr>
          <w:rFonts w:ascii="Avenir Next" w:hAnsi="Avenir Next" w:cs="Arial"/>
          <w:color w:val="808080" w:themeColor="background1" w:themeShade="80"/>
          <w:sz w:val="22"/>
          <w:szCs w:val="22"/>
          <w:lang w:val="en-GB"/>
        </w:rPr>
      </w:pPr>
    </w:p>
    <w:p w14:paraId="466FF0DF" w14:textId="77777777" w:rsidR="00A2653E" w:rsidRDefault="00A2653E" w:rsidP="00A2653E">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BIA proposals allow debtors to reach agreements with their creditors under the BIA. </w:t>
      </w:r>
    </w:p>
    <w:p w14:paraId="5908594F" w14:textId="77777777" w:rsidR="00A2653E" w:rsidRDefault="00A2653E" w:rsidP="00A2653E">
      <w:pPr>
        <w:ind w:left="360"/>
        <w:jc w:val="both"/>
        <w:rPr>
          <w:rFonts w:ascii="Avenir Next" w:hAnsi="Avenir Next" w:cs="Arial"/>
          <w:color w:val="808080" w:themeColor="background1" w:themeShade="80"/>
          <w:sz w:val="22"/>
          <w:szCs w:val="22"/>
          <w:lang w:val="en-GB"/>
        </w:rPr>
      </w:pPr>
    </w:p>
    <w:p w14:paraId="77CAECF2" w14:textId="305710B4" w:rsidR="00A2653E" w:rsidRDefault="00A2653E" w:rsidP="00A2653E">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BIA proposal is rejected by a class of creditors voting on the proposal, the debtor is deemed to have made an assignment in bankruptcy, which in turn would meet the first bullet point under the Acts of Bankruptcy List above. </w:t>
      </w:r>
    </w:p>
    <w:p w14:paraId="17289D8A" w14:textId="0C3069F0" w:rsidR="00A2653E" w:rsidRDefault="00A2653E" w:rsidP="00A2653E">
      <w:pPr>
        <w:ind w:left="360"/>
        <w:jc w:val="both"/>
        <w:rPr>
          <w:rFonts w:ascii="Avenir Next" w:hAnsi="Avenir Next" w:cs="Arial"/>
          <w:color w:val="808080" w:themeColor="background1" w:themeShade="80"/>
          <w:sz w:val="22"/>
          <w:szCs w:val="22"/>
          <w:lang w:val="en-GB"/>
        </w:rPr>
      </w:pPr>
    </w:p>
    <w:p w14:paraId="385CD582" w14:textId="478A551F" w:rsidR="00A2653E" w:rsidRPr="00A2653E" w:rsidRDefault="00A2653E" w:rsidP="00A2653E">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BIA proposal is accepted, but a relevant term of the proposal is not met, the proposal trustee can make a motion to court to annul the proposal.</w:t>
      </w:r>
      <w:r>
        <w:rPr>
          <w:rStyle w:val="FootnoteReference"/>
          <w:rFonts w:ascii="Avenir Next" w:hAnsi="Avenir Next" w:cs="Arial"/>
          <w:color w:val="808080" w:themeColor="background1" w:themeShade="80"/>
          <w:sz w:val="22"/>
          <w:szCs w:val="22"/>
          <w:lang w:val="en-GB"/>
        </w:rPr>
        <w:footnoteReference w:id="14"/>
      </w:r>
      <w:r>
        <w:rPr>
          <w:rFonts w:ascii="Avenir Next" w:hAnsi="Avenir Next" w:cs="Arial"/>
          <w:color w:val="808080" w:themeColor="background1" w:themeShade="80"/>
          <w:sz w:val="22"/>
          <w:szCs w:val="22"/>
          <w:lang w:val="en-GB"/>
        </w:rPr>
        <w:t xml:space="preserve"> This annulment is automatically deemed an assignment in bankruptcy.  This does not apply to consumer bankruptcy’s.</w:t>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512AD64A" w14:textId="77777777" w:rsidR="0087184B" w:rsidRDefault="0087184B" w:rsidP="00F47A63">
      <w:pPr>
        <w:spacing w:line="276" w:lineRule="auto"/>
        <w:jc w:val="both"/>
        <w:rPr>
          <w:rFonts w:ascii="Avenir Next" w:hAnsi="Avenir Next" w:cs="Arial"/>
          <w:color w:val="808080" w:themeColor="background1" w:themeShade="80"/>
          <w:sz w:val="22"/>
          <w:szCs w:val="22"/>
          <w:lang w:val="en-GB"/>
        </w:rPr>
      </w:pPr>
    </w:p>
    <w:p w14:paraId="3AE30FB5" w14:textId="1F065656" w:rsidR="0087184B" w:rsidRDefault="0087184B" w:rsidP="00F47A63">
      <w:pPr>
        <w:spacing w:line="276" w:lineRule="auto"/>
        <w:jc w:val="both"/>
        <w:rPr>
          <w:rFonts w:ascii="Avenir Next" w:hAnsi="Avenir Next" w:cs="Arial"/>
          <w:color w:val="808080" w:themeColor="background1" w:themeShade="80"/>
          <w:sz w:val="22"/>
          <w:szCs w:val="22"/>
          <w:lang w:val="en-GB"/>
        </w:rPr>
      </w:pPr>
      <w:r w:rsidRPr="0087184B">
        <w:rPr>
          <w:rFonts w:ascii="Avenir Next" w:hAnsi="Avenir Next" w:cs="Arial"/>
          <w:color w:val="808080" w:themeColor="background1" w:themeShade="80"/>
          <w:sz w:val="22"/>
          <w:szCs w:val="22"/>
          <w:lang w:val="en-GB"/>
        </w:rPr>
        <w:t>Recogn</w:t>
      </w:r>
      <w:r>
        <w:rPr>
          <w:rFonts w:ascii="Avenir Next" w:hAnsi="Avenir Next" w:cs="Arial"/>
          <w:color w:val="808080" w:themeColor="background1" w:themeShade="80"/>
          <w:sz w:val="22"/>
          <w:szCs w:val="22"/>
          <w:lang w:val="en-GB"/>
        </w:rPr>
        <w:t>ition of a foreign proceedings requires three main requirements:</w:t>
      </w:r>
    </w:p>
    <w:p w14:paraId="6B5F1823" w14:textId="3A2DF51F" w:rsidR="0087184B" w:rsidRDefault="0087184B" w:rsidP="00F47A63">
      <w:pPr>
        <w:spacing w:line="276" w:lineRule="auto"/>
        <w:jc w:val="both"/>
        <w:rPr>
          <w:rFonts w:ascii="Avenir Next" w:hAnsi="Avenir Next" w:cs="Arial"/>
          <w:color w:val="808080" w:themeColor="background1" w:themeShade="80"/>
          <w:sz w:val="22"/>
          <w:szCs w:val="22"/>
          <w:lang w:val="en-GB"/>
        </w:rPr>
      </w:pPr>
    </w:p>
    <w:p w14:paraId="10216A3A" w14:textId="0D2F2229" w:rsidR="0087184B" w:rsidRDefault="0087184B" w:rsidP="0087184B">
      <w:pPr>
        <w:pStyle w:val="ListParagraph"/>
        <w:numPr>
          <w:ilvl w:val="0"/>
          <w:numId w:val="39"/>
        </w:numPr>
        <w:spacing w:line="276" w:lineRule="auto"/>
        <w:jc w:val="both"/>
        <w:rPr>
          <w:rFonts w:ascii="Avenir Next" w:hAnsi="Avenir Next" w:cs="Arial"/>
          <w:color w:val="808080" w:themeColor="background1" w:themeShade="80"/>
          <w:sz w:val="22"/>
          <w:szCs w:val="22"/>
          <w:lang w:val="en-GB"/>
        </w:rPr>
      </w:pPr>
      <w:r w:rsidRPr="0087184B">
        <w:rPr>
          <w:rFonts w:ascii="Avenir Next" w:hAnsi="Avenir Next" w:cs="Arial"/>
          <w:color w:val="808080" w:themeColor="background1" w:themeShade="80"/>
          <w:sz w:val="22"/>
          <w:szCs w:val="22"/>
          <w:lang w:val="en-GB"/>
        </w:rPr>
        <w:t>The proceeding</w:t>
      </w:r>
      <w:r>
        <w:rPr>
          <w:rFonts w:ascii="Avenir Next" w:hAnsi="Avenir Next" w:cs="Arial"/>
          <w:color w:val="808080" w:themeColor="background1" w:themeShade="80"/>
          <w:sz w:val="22"/>
          <w:szCs w:val="22"/>
          <w:lang w:val="en-GB"/>
        </w:rPr>
        <w:t xml:space="preserve"> is a foreign proceeding. A foreign proceeding means a “</w:t>
      </w:r>
      <w:r w:rsidRPr="0087184B">
        <w:rPr>
          <w:rFonts w:ascii="Avenir Next" w:hAnsi="Avenir Next" w:cs="Arial"/>
          <w:i/>
          <w:iCs/>
          <w:color w:val="808080" w:themeColor="background1" w:themeShade="80"/>
          <w:sz w:val="22"/>
          <w:szCs w:val="22"/>
          <w:lang w:val="en-GB"/>
        </w:rPr>
        <w:t>judicial or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w:t>
      </w:r>
      <w:r w:rsidRPr="0087184B">
        <w:rPr>
          <w:rFonts w:ascii="Avenir Next" w:hAnsi="Avenir Next" w:cs="Arial"/>
          <w:i/>
          <w:iCs/>
          <w:color w:val="808080" w:themeColor="background1" w:themeShade="80"/>
          <w:sz w:val="22"/>
          <w:szCs w:val="22"/>
          <w:lang w:val="en-GB"/>
        </w:rPr>
        <w:t>s</w:t>
      </w:r>
      <w:r w:rsidRPr="0087184B">
        <w:rPr>
          <w:rFonts w:ascii="Avenir Next" w:hAnsi="Avenir Next" w:cs="Arial"/>
          <w:i/>
          <w:iCs/>
          <w:color w:val="808080" w:themeColor="background1" w:themeShade="80"/>
          <w:sz w:val="22"/>
          <w:szCs w:val="22"/>
          <w:lang w:val="en-GB"/>
        </w:rPr>
        <w:t>ation or liquidation</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5"/>
      </w:r>
    </w:p>
    <w:p w14:paraId="643E306C" w14:textId="40D47B8C" w:rsidR="0087184B" w:rsidRDefault="0087184B" w:rsidP="0087184B">
      <w:pPr>
        <w:pStyle w:val="ListParagraph"/>
        <w:spacing w:line="276" w:lineRule="auto"/>
        <w:jc w:val="both"/>
        <w:rPr>
          <w:rFonts w:ascii="Avenir Next" w:hAnsi="Avenir Next" w:cs="Arial"/>
          <w:color w:val="808080" w:themeColor="background1" w:themeShade="80"/>
          <w:sz w:val="22"/>
          <w:szCs w:val="22"/>
          <w:lang w:val="en-GB"/>
        </w:rPr>
      </w:pPr>
    </w:p>
    <w:p w14:paraId="32947B4F" w14:textId="2B935597" w:rsidR="0087184B" w:rsidRDefault="0087184B" w:rsidP="0087184B">
      <w:pPr>
        <w:pStyle w:val="ListParagraph"/>
        <w:spacing w:line="276" w:lineRule="auto"/>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facts says that the foreign representative is empowered </w:t>
      </w:r>
      <w:r w:rsidRPr="0087184B">
        <w:rPr>
          <w:rFonts w:ascii="Avenir Next" w:hAnsi="Avenir Next" w:cs="Arial"/>
          <w:color w:val="808080" w:themeColor="background1" w:themeShade="80"/>
          <w:sz w:val="22"/>
          <w:szCs w:val="22"/>
          <w:lang w:val="en-GB"/>
        </w:rPr>
        <w:t>under the law of that foreign jurisdiction to deal with the assets of insolvent companies</w:t>
      </w:r>
      <w:r>
        <w:rPr>
          <w:rFonts w:ascii="Avenir Next" w:hAnsi="Avenir Next" w:cs="Arial"/>
          <w:color w:val="808080" w:themeColor="background1" w:themeShade="80"/>
          <w:sz w:val="22"/>
          <w:szCs w:val="22"/>
          <w:lang w:val="en-GB"/>
        </w:rPr>
        <w:t xml:space="preserve">. The facts however </w:t>
      </w:r>
      <w:r>
        <w:rPr>
          <w:rFonts w:ascii="Avenir Next" w:hAnsi="Avenir Next" w:cs="Arial"/>
          <w:color w:val="808080" w:themeColor="background1" w:themeShade="80"/>
          <w:sz w:val="22"/>
          <w:szCs w:val="22"/>
          <w:lang w:val="en-GB"/>
        </w:rPr>
        <w:lastRenderedPageBreak/>
        <w:t>do not explain the nature of the law granting said power or whether the power is derived from a judicial or administrative proceeding.</w:t>
      </w:r>
    </w:p>
    <w:p w14:paraId="4E4743F1" w14:textId="77777777" w:rsidR="0087184B" w:rsidRDefault="0087184B" w:rsidP="0087184B">
      <w:pPr>
        <w:pStyle w:val="ListParagraph"/>
        <w:spacing w:line="276" w:lineRule="auto"/>
        <w:ind w:left="1440"/>
        <w:jc w:val="both"/>
        <w:rPr>
          <w:rFonts w:ascii="Avenir Next" w:hAnsi="Avenir Next" w:cs="Arial"/>
          <w:color w:val="808080" w:themeColor="background1" w:themeShade="80"/>
          <w:sz w:val="22"/>
          <w:szCs w:val="22"/>
          <w:lang w:val="en-GB"/>
        </w:rPr>
      </w:pPr>
    </w:p>
    <w:p w14:paraId="04472130" w14:textId="59800DC0" w:rsidR="0087184B" w:rsidRDefault="0087184B" w:rsidP="0087184B">
      <w:pPr>
        <w:pStyle w:val="ListParagraph"/>
        <w:numPr>
          <w:ilvl w:val="0"/>
          <w:numId w:val="39"/>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applicant is a foreign representative. A</w:t>
      </w:r>
      <w:r>
        <w:rPr>
          <w:rFonts w:ascii="Avenir Next" w:hAnsi="Avenir Next" w:cs="Arial"/>
          <w:color w:val="808080" w:themeColor="background1" w:themeShade="80"/>
          <w:sz w:val="22"/>
          <w:szCs w:val="22"/>
          <w:lang w:val="en-GB"/>
        </w:rPr>
        <w:t xml:space="preserve"> foreign representative</w:t>
      </w:r>
      <w:r>
        <w:rPr>
          <w:rFonts w:ascii="Avenir Next" w:hAnsi="Avenir Next" w:cs="Arial"/>
          <w:color w:val="808080" w:themeColor="background1" w:themeShade="80"/>
          <w:sz w:val="22"/>
          <w:szCs w:val="22"/>
          <w:lang w:val="en-GB"/>
        </w:rPr>
        <w:t xml:space="preserve"> means a person/body that authorised in a foreign proceeding to “</w:t>
      </w:r>
      <w:r w:rsidRPr="0087184B">
        <w:rPr>
          <w:rFonts w:ascii="Avenir Next" w:hAnsi="Avenir Next" w:cs="Arial"/>
          <w:i/>
          <w:iCs/>
          <w:color w:val="808080" w:themeColor="background1" w:themeShade="80"/>
          <w:sz w:val="22"/>
          <w:szCs w:val="22"/>
          <w:lang w:val="en-GB"/>
        </w:rPr>
        <w:t>administer the debtor’s property or affairs for the purpose of reorganization or liquidation</w:t>
      </w:r>
      <w:r>
        <w:rPr>
          <w:rFonts w:ascii="Avenir Next" w:hAnsi="Avenir Next" w:cs="Arial"/>
          <w:color w:val="808080" w:themeColor="background1" w:themeShade="80"/>
          <w:sz w:val="22"/>
          <w:szCs w:val="22"/>
          <w:lang w:val="en-GB"/>
        </w:rPr>
        <w:t>” or “</w:t>
      </w:r>
      <w:r w:rsidRPr="0087184B">
        <w:rPr>
          <w:rFonts w:ascii="Avenir Next" w:hAnsi="Avenir Next" w:cs="Arial"/>
          <w:i/>
          <w:iCs/>
          <w:color w:val="808080" w:themeColor="background1" w:themeShade="80"/>
          <w:sz w:val="22"/>
          <w:szCs w:val="22"/>
          <w:lang w:val="en-GB"/>
        </w:rPr>
        <w:t>act as a representative in respect of the foreign proceeding</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6"/>
      </w:r>
      <w:r>
        <w:rPr>
          <w:rFonts w:ascii="Avenir Next" w:hAnsi="Avenir Next" w:cs="Arial"/>
          <w:color w:val="808080" w:themeColor="background1" w:themeShade="80"/>
          <w:sz w:val="22"/>
          <w:szCs w:val="22"/>
          <w:lang w:val="en-GB"/>
        </w:rPr>
        <w:t xml:space="preserve"> and</w:t>
      </w:r>
    </w:p>
    <w:p w14:paraId="209C7344" w14:textId="2CFEBC7D" w:rsidR="0087184B" w:rsidRDefault="0087184B" w:rsidP="0087184B">
      <w:pPr>
        <w:pStyle w:val="ListParagraph"/>
        <w:spacing w:line="276" w:lineRule="auto"/>
        <w:jc w:val="both"/>
        <w:rPr>
          <w:rFonts w:ascii="Avenir Next" w:hAnsi="Avenir Next" w:cs="Arial"/>
          <w:color w:val="808080" w:themeColor="background1" w:themeShade="80"/>
          <w:sz w:val="22"/>
          <w:szCs w:val="22"/>
          <w:lang w:val="en-GB"/>
        </w:rPr>
      </w:pPr>
    </w:p>
    <w:p w14:paraId="4391D782" w14:textId="1C02B740" w:rsidR="0087184B" w:rsidRDefault="0087184B" w:rsidP="0087184B">
      <w:pPr>
        <w:pStyle w:val="ListParagraph"/>
        <w:spacing w:line="276" w:lineRule="auto"/>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facts says that the foreign representative is empowered </w:t>
      </w:r>
      <w:r w:rsidRPr="0087184B">
        <w:rPr>
          <w:rFonts w:ascii="Avenir Next" w:hAnsi="Avenir Next" w:cs="Arial"/>
          <w:color w:val="808080" w:themeColor="background1" w:themeShade="80"/>
          <w:sz w:val="22"/>
          <w:szCs w:val="22"/>
          <w:lang w:val="en-GB"/>
        </w:rPr>
        <w:t>under the law of that foreign jurisdiction</w:t>
      </w:r>
      <w:r>
        <w:rPr>
          <w:rFonts w:ascii="Avenir Next" w:hAnsi="Avenir Next" w:cs="Arial"/>
          <w:color w:val="808080" w:themeColor="background1" w:themeShade="80"/>
          <w:sz w:val="22"/>
          <w:szCs w:val="22"/>
          <w:lang w:val="en-GB"/>
        </w:rPr>
        <w:t>,</w:t>
      </w:r>
      <w:r w:rsidRPr="0087184B">
        <w:rPr>
          <w:rFonts w:ascii="Avenir Next" w:hAnsi="Avenir Next" w:cs="Arial"/>
          <w:color w:val="808080" w:themeColor="background1" w:themeShade="80"/>
          <w:sz w:val="22"/>
          <w:szCs w:val="22"/>
          <w:lang w:val="en-GB"/>
        </w:rPr>
        <w:t xml:space="preserve"> by the legislation and courts</w:t>
      </w:r>
      <w:r>
        <w:rPr>
          <w:rFonts w:ascii="Avenir Next" w:hAnsi="Avenir Next" w:cs="Arial"/>
          <w:color w:val="808080" w:themeColor="background1" w:themeShade="80"/>
          <w:sz w:val="22"/>
          <w:szCs w:val="22"/>
          <w:lang w:val="en-GB"/>
        </w:rPr>
        <w:t xml:space="preserve">, </w:t>
      </w:r>
      <w:r w:rsidRPr="0087184B">
        <w:rPr>
          <w:rFonts w:ascii="Avenir Next" w:hAnsi="Avenir Next" w:cs="Arial"/>
          <w:color w:val="808080" w:themeColor="background1" w:themeShade="80"/>
          <w:sz w:val="22"/>
          <w:szCs w:val="22"/>
          <w:lang w:val="en-GB"/>
        </w:rPr>
        <w:t>to deal with the assets of insolvent companies</w:t>
      </w:r>
      <w:r>
        <w:rPr>
          <w:rFonts w:ascii="Avenir Next" w:hAnsi="Avenir Next" w:cs="Arial"/>
          <w:color w:val="808080" w:themeColor="background1" w:themeShade="80"/>
          <w:sz w:val="22"/>
          <w:szCs w:val="22"/>
          <w:lang w:val="en-GB"/>
        </w:rPr>
        <w:t>. Accordingly, it is likely that the foreign representative meets this limbs.</w:t>
      </w:r>
    </w:p>
    <w:p w14:paraId="65A8E256" w14:textId="77777777" w:rsidR="0087184B" w:rsidRDefault="0087184B" w:rsidP="0087184B">
      <w:pPr>
        <w:pStyle w:val="ListParagraph"/>
        <w:spacing w:line="276" w:lineRule="auto"/>
        <w:jc w:val="both"/>
        <w:rPr>
          <w:rFonts w:ascii="Avenir Next" w:hAnsi="Avenir Next" w:cs="Arial"/>
          <w:color w:val="808080" w:themeColor="background1" w:themeShade="80"/>
          <w:sz w:val="22"/>
          <w:szCs w:val="22"/>
          <w:lang w:val="en-GB"/>
        </w:rPr>
      </w:pPr>
    </w:p>
    <w:p w14:paraId="0890190D" w14:textId="77777777" w:rsidR="0087184B" w:rsidRDefault="0087184B" w:rsidP="0087184B">
      <w:pPr>
        <w:pStyle w:val="ListParagraph"/>
        <w:numPr>
          <w:ilvl w:val="0"/>
          <w:numId w:val="39"/>
        </w:num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foreign proceeding is a foreign main proceeding or a </w:t>
      </w:r>
      <w:r>
        <w:rPr>
          <w:rFonts w:ascii="Avenir Next" w:hAnsi="Avenir Next" w:cs="Arial"/>
          <w:color w:val="808080" w:themeColor="background1" w:themeShade="80"/>
          <w:sz w:val="22"/>
          <w:szCs w:val="22"/>
          <w:lang w:val="en-GB"/>
        </w:rPr>
        <w:t xml:space="preserve">foreign </w:t>
      </w:r>
      <w:r>
        <w:rPr>
          <w:rFonts w:ascii="Avenir Next" w:hAnsi="Avenir Next" w:cs="Arial"/>
          <w:color w:val="808080" w:themeColor="background1" w:themeShade="80"/>
          <w:sz w:val="22"/>
          <w:szCs w:val="22"/>
          <w:lang w:val="en-GB"/>
        </w:rPr>
        <w:t>non-</w:t>
      </w:r>
      <w:r>
        <w:rPr>
          <w:rFonts w:ascii="Avenir Next" w:hAnsi="Avenir Next" w:cs="Arial"/>
          <w:color w:val="808080" w:themeColor="background1" w:themeShade="80"/>
          <w:sz w:val="22"/>
          <w:szCs w:val="22"/>
          <w:lang w:val="en-GB"/>
        </w:rPr>
        <w:t>main proceeding</w:t>
      </w:r>
      <w:r>
        <w:rPr>
          <w:rFonts w:ascii="Avenir Next" w:hAnsi="Avenir Next" w:cs="Arial"/>
          <w:color w:val="808080" w:themeColor="background1" w:themeShade="80"/>
          <w:sz w:val="22"/>
          <w:szCs w:val="22"/>
          <w:lang w:val="en-GB"/>
        </w:rPr>
        <w:t xml:space="preserve">, by reference to the COMI test. </w:t>
      </w:r>
    </w:p>
    <w:p w14:paraId="5E196B68" w14:textId="77777777" w:rsidR="0087184B" w:rsidRDefault="0087184B" w:rsidP="0087184B">
      <w:pPr>
        <w:pStyle w:val="ListParagraph"/>
        <w:spacing w:line="276" w:lineRule="auto"/>
        <w:jc w:val="both"/>
        <w:rPr>
          <w:rFonts w:ascii="Avenir Next" w:hAnsi="Avenir Next" w:cs="Arial"/>
          <w:color w:val="808080" w:themeColor="background1" w:themeShade="80"/>
          <w:sz w:val="22"/>
          <w:szCs w:val="22"/>
          <w:lang w:val="en-GB"/>
        </w:rPr>
      </w:pPr>
    </w:p>
    <w:p w14:paraId="5F5DE3F8" w14:textId="1B1DB79B" w:rsidR="0087184B" w:rsidRPr="0087184B" w:rsidRDefault="0087184B" w:rsidP="0087184B">
      <w:pPr>
        <w:pStyle w:val="ListParagraph"/>
        <w:spacing w:line="276" w:lineRule="auto"/>
        <w:ind w:left="1440"/>
        <w:jc w:val="both"/>
        <w:rPr>
          <w:rFonts w:ascii="Avenir Next" w:hAnsi="Avenir Next" w:cs="Arial"/>
          <w:color w:val="808080" w:themeColor="background1" w:themeShade="80"/>
          <w:sz w:val="22"/>
          <w:szCs w:val="22"/>
          <w:lang w:val="en-GB"/>
        </w:rPr>
      </w:pPr>
      <w:r w:rsidRPr="0087184B">
        <w:rPr>
          <w:rFonts w:ascii="Avenir Next" w:hAnsi="Avenir Next" w:cs="Arial"/>
          <w:color w:val="808080" w:themeColor="background1" w:themeShade="80"/>
          <w:sz w:val="22"/>
          <w:szCs w:val="22"/>
          <w:lang w:val="en-GB"/>
        </w:rPr>
        <w:t>For a company, the centre of main interest (</w:t>
      </w:r>
      <w:r w:rsidRPr="0087184B">
        <w:rPr>
          <w:rFonts w:ascii="Avenir Next" w:hAnsi="Avenir Next" w:cs="Arial"/>
          <w:b/>
          <w:bCs/>
          <w:color w:val="808080" w:themeColor="background1" w:themeShade="80"/>
          <w:sz w:val="22"/>
          <w:szCs w:val="22"/>
          <w:lang w:val="en-GB"/>
        </w:rPr>
        <w:t>COMI</w:t>
      </w:r>
      <w:r w:rsidRPr="0087184B">
        <w:rPr>
          <w:rFonts w:ascii="Avenir Next" w:hAnsi="Avenir Next" w:cs="Arial"/>
          <w:color w:val="808080" w:themeColor="background1" w:themeShade="80"/>
          <w:sz w:val="22"/>
          <w:szCs w:val="22"/>
          <w:lang w:val="en-GB"/>
        </w:rPr>
        <w:t>) is presumed (on a rebuttable basis) to be the location of the debtor’s registered office.</w:t>
      </w:r>
      <w:r>
        <w:rPr>
          <w:rStyle w:val="FootnoteReference"/>
          <w:rFonts w:ascii="Avenir Next" w:hAnsi="Avenir Next" w:cs="Arial"/>
          <w:color w:val="808080" w:themeColor="background1" w:themeShade="80"/>
          <w:sz w:val="22"/>
          <w:szCs w:val="22"/>
          <w:lang w:val="en-GB"/>
        </w:rPr>
        <w:footnoteReference w:id="17"/>
      </w:r>
      <w:r w:rsidRPr="0087184B">
        <w:rPr>
          <w:rFonts w:ascii="Avenir Next" w:hAnsi="Avenir Next" w:cs="Arial"/>
          <w:color w:val="808080" w:themeColor="background1" w:themeShade="80"/>
          <w:sz w:val="22"/>
          <w:szCs w:val="22"/>
          <w:lang w:val="en-GB"/>
        </w:rPr>
        <w:t xml:space="preserve"> On the facts, the registered office of the online seller is said to be in the jurisdiction of the foreign agent. Accordingly, the online seller’s COMI is presumed to be in the foreign jurisdiction.</w:t>
      </w:r>
    </w:p>
    <w:p w14:paraId="2FFF9D07" w14:textId="77777777" w:rsidR="0087184B" w:rsidRDefault="0087184B" w:rsidP="0087184B">
      <w:pPr>
        <w:jc w:val="both"/>
        <w:rPr>
          <w:rFonts w:ascii="Avenir Next" w:hAnsi="Avenir Next" w:cs="Arial"/>
          <w:color w:val="808080" w:themeColor="background1" w:themeShade="80"/>
          <w:sz w:val="22"/>
          <w:szCs w:val="22"/>
          <w:lang w:val="en-GB"/>
        </w:rPr>
      </w:pPr>
    </w:p>
    <w:p w14:paraId="7C37D9A6" w14:textId="77777777" w:rsidR="0087184B" w:rsidRDefault="0087184B" w:rsidP="0087184B">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rebut this presumption, Courts in Canada have identified the following three key indicia to determine COMI:</w:t>
      </w:r>
      <w:r>
        <w:rPr>
          <w:rStyle w:val="FootnoteReference"/>
          <w:rFonts w:ascii="Avenir Next" w:hAnsi="Avenir Next" w:cs="Arial"/>
          <w:color w:val="808080" w:themeColor="background1" w:themeShade="80"/>
          <w:sz w:val="22"/>
          <w:szCs w:val="22"/>
          <w:lang w:val="en-GB"/>
        </w:rPr>
        <w:footnoteReference w:id="18"/>
      </w:r>
    </w:p>
    <w:p w14:paraId="05A5B9C8" w14:textId="77777777" w:rsidR="0087184B" w:rsidRDefault="0087184B" w:rsidP="0087184B">
      <w:pPr>
        <w:rPr>
          <w:lang w:val="en-GB"/>
        </w:rPr>
      </w:pPr>
    </w:p>
    <w:p w14:paraId="41D4E687" w14:textId="77777777" w:rsidR="0087184B" w:rsidRDefault="0087184B" w:rsidP="004507CE">
      <w:pPr>
        <w:pStyle w:val="ListParagraph"/>
        <w:numPr>
          <w:ilvl w:val="0"/>
          <w:numId w:val="40"/>
        </w:numPr>
        <w:ind w:left="1800"/>
        <w:rPr>
          <w:rFonts w:ascii="Avenir Next" w:hAnsi="Avenir Next" w:cs="Arial"/>
          <w:color w:val="808080" w:themeColor="background1" w:themeShade="80"/>
          <w:sz w:val="22"/>
          <w:szCs w:val="22"/>
          <w:lang w:val="en-GB"/>
        </w:rPr>
      </w:pPr>
      <w:r w:rsidRPr="00854E9E">
        <w:rPr>
          <w:rFonts w:ascii="Avenir Next" w:hAnsi="Avenir Next" w:cs="Arial"/>
          <w:color w:val="808080" w:themeColor="background1" w:themeShade="80"/>
          <w:sz w:val="22"/>
          <w:szCs w:val="22"/>
          <w:lang w:val="en-GB"/>
        </w:rPr>
        <w:t xml:space="preserve">The location </w:t>
      </w:r>
      <w:r>
        <w:rPr>
          <w:rFonts w:ascii="Avenir Next" w:hAnsi="Avenir Next" w:cs="Arial"/>
          <w:color w:val="808080" w:themeColor="background1" w:themeShade="80"/>
          <w:sz w:val="22"/>
          <w:szCs w:val="22"/>
          <w:lang w:val="en-GB"/>
        </w:rPr>
        <w:t>that significant creditors recognise as the COMI for the debtor. The facts suggest that the online seller has creditors in Canada (by reason of the class action), but also that its main financiers are foreign-based lenders. The factual matrix does not contain sufficient information about the quantum, type and location of the online seller’s creditors to be able to determine this indicia;</w:t>
      </w:r>
    </w:p>
    <w:p w14:paraId="1F9C9DB7" w14:textId="77777777" w:rsidR="0087184B" w:rsidRDefault="0087184B" w:rsidP="004507CE">
      <w:pPr>
        <w:pStyle w:val="ListParagraph"/>
        <w:ind w:left="2880"/>
        <w:rPr>
          <w:rFonts w:ascii="Avenir Next" w:hAnsi="Avenir Next" w:cs="Arial"/>
          <w:color w:val="808080" w:themeColor="background1" w:themeShade="80"/>
          <w:sz w:val="22"/>
          <w:szCs w:val="22"/>
          <w:lang w:val="en-GB"/>
        </w:rPr>
      </w:pPr>
    </w:p>
    <w:p w14:paraId="565B32B2" w14:textId="77777777" w:rsidR="0087184B" w:rsidRDefault="0087184B" w:rsidP="004507CE">
      <w:pPr>
        <w:pStyle w:val="ListParagraph"/>
        <w:numPr>
          <w:ilvl w:val="0"/>
          <w:numId w:val="40"/>
        </w:numPr>
        <w:ind w:left="180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the debtor’s principal assets.</w:t>
      </w:r>
      <w:r w:rsidRPr="005672B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On the facts, the online seller has a fulfilment office and warehouse in Canada, but it also supplies clothing around the world. The factual matrix does not contain sufficient information about the quantum, type and location of the online seller’s assets to be able to determine this indicia; and</w:t>
      </w:r>
    </w:p>
    <w:p w14:paraId="03B4BFDE" w14:textId="77777777" w:rsidR="0087184B" w:rsidRDefault="0087184B" w:rsidP="004507CE">
      <w:pPr>
        <w:pStyle w:val="ListParagraph"/>
        <w:ind w:left="2880"/>
        <w:rPr>
          <w:rFonts w:ascii="Avenir Next" w:hAnsi="Avenir Next" w:cs="Arial"/>
          <w:color w:val="808080" w:themeColor="background1" w:themeShade="80"/>
          <w:sz w:val="22"/>
          <w:szCs w:val="22"/>
          <w:lang w:val="en-GB"/>
        </w:rPr>
      </w:pPr>
    </w:p>
    <w:p w14:paraId="48315C06" w14:textId="77777777" w:rsidR="0087184B" w:rsidRDefault="0087184B" w:rsidP="004507CE">
      <w:pPr>
        <w:pStyle w:val="ListParagraph"/>
        <w:numPr>
          <w:ilvl w:val="0"/>
          <w:numId w:val="40"/>
        </w:numPr>
        <w:ind w:left="180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head office. On the facts, the foreign jurisdiction is the location of the head office.</w:t>
      </w:r>
    </w:p>
    <w:p w14:paraId="28A42ABF" w14:textId="77777777" w:rsidR="0087184B" w:rsidRPr="005672BC" w:rsidRDefault="0087184B" w:rsidP="0087184B">
      <w:pPr>
        <w:pStyle w:val="ListParagraph"/>
        <w:rPr>
          <w:rFonts w:ascii="Avenir Next" w:hAnsi="Avenir Next" w:cs="Arial"/>
          <w:color w:val="808080" w:themeColor="background1" w:themeShade="80"/>
          <w:sz w:val="22"/>
          <w:szCs w:val="22"/>
          <w:lang w:val="en-GB"/>
        </w:rPr>
      </w:pPr>
    </w:p>
    <w:p w14:paraId="3D08AFB0" w14:textId="77777777" w:rsidR="0087184B" w:rsidRPr="005672BC" w:rsidRDefault="0087184B" w:rsidP="0087184B">
      <w:pPr>
        <w:ind w:left="108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 believe that the facts do not contain sufficient information to rebut the presumption of the COMI being in the foreign jurisdiction. </w:t>
      </w:r>
    </w:p>
    <w:p w14:paraId="55E330CA" w14:textId="07D38A6E" w:rsidR="0087184B" w:rsidRPr="004507CE" w:rsidRDefault="0087184B" w:rsidP="00F47A63">
      <w:pPr>
        <w:spacing w:line="276" w:lineRule="auto"/>
        <w:jc w:val="both"/>
        <w:rPr>
          <w:rFonts w:ascii="Avenir Next" w:hAnsi="Avenir Next" w:cs="Arial"/>
          <w:color w:val="808080" w:themeColor="background1" w:themeShade="80"/>
          <w:sz w:val="22"/>
          <w:szCs w:val="22"/>
          <w:lang w:val="en-GB"/>
        </w:rPr>
      </w:pPr>
    </w:p>
    <w:p w14:paraId="597257A8" w14:textId="0CFDFE28" w:rsidR="0087184B" w:rsidRPr="004507CE" w:rsidRDefault="004507CE" w:rsidP="004507CE">
      <w:pPr>
        <w:spacing w:line="276" w:lineRule="auto"/>
        <w:ind w:left="720"/>
        <w:jc w:val="both"/>
        <w:rPr>
          <w:rFonts w:ascii="Avenir Next" w:hAnsi="Avenir Next" w:cs="Arial"/>
          <w:color w:val="808080" w:themeColor="background1" w:themeShade="80"/>
          <w:sz w:val="22"/>
          <w:szCs w:val="22"/>
          <w:lang w:val="en-GB"/>
        </w:rPr>
      </w:pPr>
      <w:r w:rsidRPr="004507CE">
        <w:rPr>
          <w:rFonts w:ascii="Avenir Next" w:hAnsi="Avenir Next" w:cs="Arial"/>
          <w:color w:val="808080" w:themeColor="background1" w:themeShade="80"/>
          <w:sz w:val="22"/>
          <w:szCs w:val="22"/>
          <w:lang w:val="en-GB"/>
        </w:rPr>
        <w:t>Accordingly,</w:t>
      </w:r>
      <w:r>
        <w:rPr>
          <w:rFonts w:ascii="Avenir Next" w:hAnsi="Avenir Next" w:cs="Arial"/>
          <w:color w:val="808080" w:themeColor="background1" w:themeShade="80"/>
          <w:sz w:val="22"/>
          <w:szCs w:val="22"/>
          <w:lang w:val="en-GB"/>
        </w:rPr>
        <w:t xml:space="preserve"> on the facts (as currently presented) it is likely that the foreign proceeding will be recognised as a foreign non-main proceeding. This means that the foreign agent is not automatically entitled to a stay in Canada (but they can apply to the courts for a stay), but the </w:t>
      </w:r>
      <w:r>
        <w:rPr>
          <w:rFonts w:ascii="Avenir Next" w:hAnsi="Avenir Next" w:cs="Arial"/>
          <w:color w:val="808080" w:themeColor="background1" w:themeShade="80"/>
          <w:sz w:val="22"/>
          <w:szCs w:val="22"/>
          <w:lang w:val="en-GB"/>
        </w:rPr>
        <w:lastRenderedPageBreak/>
        <w:t>foreign agent is entitled to cooperation from Canadian authorities, standing before a Canadian court and many other powers (like obtaining documents and evidence).</w:t>
      </w:r>
      <w:r>
        <w:rPr>
          <w:rStyle w:val="FootnoteReference"/>
          <w:rFonts w:ascii="Avenir Next" w:hAnsi="Avenir Next" w:cs="Arial"/>
          <w:color w:val="808080" w:themeColor="background1" w:themeShade="80"/>
          <w:sz w:val="22"/>
          <w:szCs w:val="22"/>
          <w:lang w:val="en-GB"/>
        </w:rPr>
        <w:footnoteReference w:id="19"/>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79C1A6B9" w:rsidR="006F4E04" w:rsidRDefault="00854E9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company, the centre of main interest (</w:t>
      </w:r>
      <w:r w:rsidRPr="00854E9E">
        <w:rPr>
          <w:rFonts w:ascii="Avenir Next" w:hAnsi="Avenir Next" w:cs="Arial"/>
          <w:b/>
          <w:bCs/>
          <w:color w:val="808080" w:themeColor="background1" w:themeShade="80"/>
          <w:sz w:val="22"/>
          <w:szCs w:val="22"/>
          <w:lang w:val="en-GB"/>
        </w:rPr>
        <w:t>COMI</w:t>
      </w:r>
      <w:r>
        <w:rPr>
          <w:rFonts w:ascii="Avenir Next" w:hAnsi="Avenir Next" w:cs="Arial"/>
          <w:color w:val="808080" w:themeColor="background1" w:themeShade="80"/>
          <w:sz w:val="22"/>
          <w:szCs w:val="22"/>
          <w:lang w:val="en-GB"/>
        </w:rPr>
        <w:t>) is presumed (on a rebuttable basis) to be the location of the debtor’s registered office.</w:t>
      </w:r>
      <w:r>
        <w:rPr>
          <w:rStyle w:val="FootnoteReference"/>
          <w:rFonts w:ascii="Avenir Next" w:hAnsi="Avenir Next" w:cs="Arial"/>
          <w:color w:val="808080" w:themeColor="background1" w:themeShade="80"/>
          <w:sz w:val="22"/>
          <w:szCs w:val="22"/>
          <w:lang w:val="en-GB"/>
        </w:rPr>
        <w:footnoteReference w:id="20"/>
      </w:r>
      <w:r>
        <w:rPr>
          <w:rFonts w:ascii="Avenir Next" w:hAnsi="Avenir Next" w:cs="Arial"/>
          <w:color w:val="808080" w:themeColor="background1" w:themeShade="80"/>
          <w:sz w:val="22"/>
          <w:szCs w:val="22"/>
          <w:lang w:val="en-GB"/>
        </w:rPr>
        <w:t xml:space="preserve"> On the facts, the registered office of the online seller is said to be in the jurisdiction of the foreign agent. Accordingly, the online seller’s COMI is presumed to be in the foreign jurisdiction.</w:t>
      </w:r>
    </w:p>
    <w:p w14:paraId="1526040A" w14:textId="6E75BEC9" w:rsidR="00854E9E" w:rsidRDefault="00854E9E" w:rsidP="006F4E04">
      <w:pPr>
        <w:jc w:val="both"/>
        <w:rPr>
          <w:rFonts w:ascii="Avenir Next" w:hAnsi="Avenir Next" w:cs="Arial"/>
          <w:color w:val="808080" w:themeColor="background1" w:themeShade="80"/>
          <w:sz w:val="22"/>
          <w:szCs w:val="22"/>
          <w:lang w:val="en-GB"/>
        </w:rPr>
      </w:pPr>
    </w:p>
    <w:p w14:paraId="362505FA" w14:textId="42ABFB57" w:rsidR="00854E9E" w:rsidRDefault="00854E9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rebut this presumption, Courts in Canada have identified the following three key indicia to determine COMI:</w:t>
      </w:r>
      <w:r>
        <w:rPr>
          <w:rStyle w:val="FootnoteReference"/>
          <w:rFonts w:ascii="Avenir Next" w:hAnsi="Avenir Next" w:cs="Arial"/>
          <w:color w:val="808080" w:themeColor="background1" w:themeShade="80"/>
          <w:sz w:val="22"/>
          <w:szCs w:val="22"/>
          <w:lang w:val="en-GB"/>
        </w:rPr>
        <w:footnoteReference w:id="21"/>
      </w:r>
    </w:p>
    <w:p w14:paraId="69BDE481" w14:textId="79948EFF" w:rsidR="006F4E04" w:rsidRDefault="006F4E04" w:rsidP="006F4E04">
      <w:pPr>
        <w:rPr>
          <w:lang w:val="en-GB"/>
        </w:rPr>
      </w:pPr>
    </w:p>
    <w:p w14:paraId="533ED754" w14:textId="05B00210" w:rsidR="00C57600" w:rsidRDefault="00854E9E" w:rsidP="004507CE">
      <w:pPr>
        <w:pStyle w:val="ListParagraph"/>
        <w:numPr>
          <w:ilvl w:val="0"/>
          <w:numId w:val="37"/>
        </w:numPr>
        <w:ind w:left="360"/>
        <w:rPr>
          <w:rFonts w:ascii="Avenir Next" w:hAnsi="Avenir Next" w:cs="Arial"/>
          <w:color w:val="808080" w:themeColor="background1" w:themeShade="80"/>
          <w:sz w:val="22"/>
          <w:szCs w:val="22"/>
          <w:lang w:val="en-GB"/>
        </w:rPr>
      </w:pPr>
      <w:r w:rsidRPr="00854E9E">
        <w:rPr>
          <w:rFonts w:ascii="Avenir Next" w:hAnsi="Avenir Next" w:cs="Arial"/>
          <w:color w:val="808080" w:themeColor="background1" w:themeShade="80"/>
          <w:sz w:val="22"/>
          <w:szCs w:val="22"/>
          <w:lang w:val="en-GB"/>
        </w:rPr>
        <w:t xml:space="preserve">The location </w:t>
      </w:r>
      <w:r w:rsidR="005672BC">
        <w:rPr>
          <w:rFonts w:ascii="Avenir Next" w:hAnsi="Avenir Next" w:cs="Arial"/>
          <w:color w:val="808080" w:themeColor="background1" w:themeShade="80"/>
          <w:sz w:val="22"/>
          <w:szCs w:val="22"/>
          <w:lang w:val="en-GB"/>
        </w:rPr>
        <w:t xml:space="preserve">that significant creditors recognise as the COMI for the debtor. The facts suggest that the online seller has creditors in Canada (by reason of the class action), but also that its main financiers are foreign-based lenders. </w:t>
      </w:r>
      <w:r w:rsidR="005672BC">
        <w:rPr>
          <w:rFonts w:ascii="Avenir Next" w:hAnsi="Avenir Next" w:cs="Arial"/>
          <w:color w:val="808080" w:themeColor="background1" w:themeShade="80"/>
          <w:sz w:val="22"/>
          <w:szCs w:val="22"/>
          <w:lang w:val="en-GB"/>
        </w:rPr>
        <w:t xml:space="preserve">The factual matrix does not contain sufficient information about the quantum, type and location of the online seller’s </w:t>
      </w:r>
      <w:r w:rsidR="005672BC">
        <w:rPr>
          <w:rFonts w:ascii="Avenir Next" w:hAnsi="Avenir Next" w:cs="Arial"/>
          <w:color w:val="808080" w:themeColor="background1" w:themeShade="80"/>
          <w:sz w:val="22"/>
          <w:szCs w:val="22"/>
          <w:lang w:val="en-GB"/>
        </w:rPr>
        <w:t>creditors</w:t>
      </w:r>
      <w:r w:rsidR="005672BC">
        <w:rPr>
          <w:rFonts w:ascii="Avenir Next" w:hAnsi="Avenir Next" w:cs="Arial"/>
          <w:color w:val="808080" w:themeColor="background1" w:themeShade="80"/>
          <w:sz w:val="22"/>
          <w:szCs w:val="22"/>
          <w:lang w:val="en-GB"/>
        </w:rPr>
        <w:t xml:space="preserve"> to be able to determine this indicia</w:t>
      </w:r>
      <w:r w:rsidR="005672BC">
        <w:rPr>
          <w:rFonts w:ascii="Avenir Next" w:hAnsi="Avenir Next" w:cs="Arial"/>
          <w:color w:val="808080" w:themeColor="background1" w:themeShade="80"/>
          <w:sz w:val="22"/>
          <w:szCs w:val="22"/>
          <w:lang w:val="en-GB"/>
        </w:rPr>
        <w:t>;</w:t>
      </w:r>
    </w:p>
    <w:p w14:paraId="4C4BD7C9" w14:textId="77777777" w:rsidR="005672BC" w:rsidRDefault="005672BC" w:rsidP="004507CE">
      <w:pPr>
        <w:pStyle w:val="ListParagraph"/>
        <w:ind w:left="360"/>
        <w:rPr>
          <w:rFonts w:ascii="Avenir Next" w:hAnsi="Avenir Next" w:cs="Arial"/>
          <w:color w:val="808080" w:themeColor="background1" w:themeShade="80"/>
          <w:sz w:val="22"/>
          <w:szCs w:val="22"/>
          <w:lang w:val="en-GB"/>
        </w:rPr>
      </w:pPr>
    </w:p>
    <w:p w14:paraId="2560521F" w14:textId="0CC26547" w:rsidR="005672BC" w:rsidRDefault="005672BC" w:rsidP="004507CE">
      <w:pPr>
        <w:pStyle w:val="ListParagraph"/>
        <w:numPr>
          <w:ilvl w:val="0"/>
          <w:numId w:val="37"/>
        </w:numPr>
        <w:ind w:left="36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the debtor’s principal assets.</w:t>
      </w:r>
      <w:r w:rsidRPr="005672B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On the facts, the </w:t>
      </w:r>
      <w:r>
        <w:rPr>
          <w:rFonts w:ascii="Avenir Next" w:hAnsi="Avenir Next" w:cs="Arial"/>
          <w:color w:val="808080" w:themeColor="background1" w:themeShade="80"/>
          <w:sz w:val="22"/>
          <w:szCs w:val="22"/>
          <w:lang w:val="en-GB"/>
        </w:rPr>
        <w:t>online seller has a fulfilment office and warehouse in Canada, but it also supplies clothing around the world. The factual matrix does not contain sufficient information about the quantum, type and location of the online seller’s assets to be able to determine this indicia; and</w:t>
      </w:r>
    </w:p>
    <w:p w14:paraId="18B41BC1" w14:textId="77777777" w:rsidR="005672BC" w:rsidRDefault="005672BC" w:rsidP="004507CE">
      <w:pPr>
        <w:pStyle w:val="ListParagraph"/>
        <w:ind w:left="360"/>
        <w:rPr>
          <w:rFonts w:ascii="Avenir Next" w:hAnsi="Avenir Next" w:cs="Arial"/>
          <w:color w:val="808080" w:themeColor="background1" w:themeShade="80"/>
          <w:sz w:val="22"/>
          <w:szCs w:val="22"/>
          <w:lang w:val="en-GB"/>
        </w:rPr>
      </w:pPr>
    </w:p>
    <w:p w14:paraId="41286463" w14:textId="14A207CC" w:rsidR="005672BC" w:rsidRDefault="005672BC" w:rsidP="004507CE">
      <w:pPr>
        <w:pStyle w:val="ListParagraph"/>
        <w:numPr>
          <w:ilvl w:val="0"/>
          <w:numId w:val="37"/>
        </w:numPr>
        <w:ind w:left="36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head office. On the facts, the foreign jurisdiction is the location of the head office.</w:t>
      </w:r>
    </w:p>
    <w:p w14:paraId="749AF835" w14:textId="77777777" w:rsidR="005672BC" w:rsidRPr="005672BC" w:rsidRDefault="005672BC" w:rsidP="005672BC">
      <w:pPr>
        <w:pStyle w:val="ListParagraph"/>
        <w:rPr>
          <w:rFonts w:ascii="Avenir Next" w:hAnsi="Avenir Next" w:cs="Arial"/>
          <w:color w:val="808080" w:themeColor="background1" w:themeShade="80"/>
          <w:sz w:val="22"/>
          <w:szCs w:val="22"/>
          <w:lang w:val="en-GB"/>
        </w:rPr>
      </w:pPr>
    </w:p>
    <w:p w14:paraId="2711E56B" w14:textId="17880338" w:rsidR="005672BC" w:rsidRPr="005672BC" w:rsidRDefault="005672BC" w:rsidP="005672BC">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 believe that the facts do not contain sufficient information to rebut the presumption of the COMI being in the foreign jurisdiction. </w:t>
      </w:r>
    </w:p>
    <w:p w14:paraId="2E154888" w14:textId="018C5A8F" w:rsidR="00854E9E" w:rsidRDefault="00854E9E" w:rsidP="006F4E04">
      <w:pPr>
        <w:rPr>
          <w:lang w:val="en-GB"/>
        </w:rPr>
      </w:pPr>
    </w:p>
    <w:p w14:paraId="50173C7B" w14:textId="77777777" w:rsidR="00854E9E" w:rsidRPr="006F4E04" w:rsidRDefault="00854E9E"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4E32F7F4" w:rsidR="006F4E04" w:rsidRDefault="005672B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section 121 of the BIA, all debts and liabilities (whether domestic or foreign)</w:t>
      </w:r>
      <w:r w:rsidR="00476E57">
        <w:rPr>
          <w:rStyle w:val="FootnoteReference"/>
          <w:rFonts w:ascii="Avenir Next" w:hAnsi="Avenir Next" w:cs="Arial"/>
          <w:color w:val="808080" w:themeColor="background1" w:themeShade="80"/>
          <w:sz w:val="22"/>
          <w:szCs w:val="22"/>
          <w:lang w:val="en-GB"/>
        </w:rPr>
        <w:footnoteReference w:id="22"/>
      </w:r>
      <w:r>
        <w:rPr>
          <w:rFonts w:ascii="Avenir Next" w:hAnsi="Avenir Next" w:cs="Arial"/>
          <w:color w:val="808080" w:themeColor="background1" w:themeShade="80"/>
          <w:sz w:val="22"/>
          <w:szCs w:val="22"/>
          <w:lang w:val="en-GB"/>
        </w:rPr>
        <w:t xml:space="preserve"> are provable in the bankruptcy. </w:t>
      </w:r>
      <w:r w:rsidR="00476E57">
        <w:rPr>
          <w:rFonts w:ascii="Avenir Next" w:hAnsi="Avenir Next" w:cs="Arial"/>
          <w:color w:val="808080" w:themeColor="background1" w:themeShade="80"/>
          <w:sz w:val="22"/>
          <w:szCs w:val="22"/>
          <w:lang w:val="en-GB"/>
        </w:rPr>
        <w:t>For a claim to be provable, the claim must be:</w:t>
      </w:r>
      <w:r w:rsidR="00476E57">
        <w:rPr>
          <w:rStyle w:val="FootnoteReference"/>
          <w:rFonts w:ascii="Avenir Next" w:hAnsi="Avenir Next" w:cs="Arial"/>
          <w:color w:val="808080" w:themeColor="background1" w:themeShade="80"/>
          <w:sz w:val="22"/>
          <w:szCs w:val="22"/>
          <w:lang w:val="en-GB"/>
        </w:rPr>
        <w:footnoteReference w:id="23"/>
      </w:r>
    </w:p>
    <w:p w14:paraId="3533B2D5" w14:textId="1B605FC9" w:rsidR="00476E57" w:rsidRDefault="00476E57" w:rsidP="006F4E04">
      <w:pPr>
        <w:jc w:val="both"/>
        <w:rPr>
          <w:rFonts w:ascii="Avenir Next" w:hAnsi="Avenir Next" w:cs="Arial"/>
          <w:color w:val="808080" w:themeColor="background1" w:themeShade="80"/>
          <w:sz w:val="22"/>
          <w:szCs w:val="22"/>
          <w:lang w:val="en-GB"/>
        </w:rPr>
      </w:pPr>
    </w:p>
    <w:p w14:paraId="5B4763A8" w14:textId="2B1CB20D" w:rsidR="00476E57" w:rsidRDefault="004507CE" w:rsidP="00476E5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476E57">
        <w:rPr>
          <w:rFonts w:ascii="Avenir Next" w:hAnsi="Avenir Next" w:cs="Arial"/>
          <w:color w:val="808080" w:themeColor="background1" w:themeShade="80"/>
          <w:sz w:val="22"/>
          <w:szCs w:val="22"/>
          <w:lang w:val="en-GB"/>
        </w:rPr>
        <w:t xml:space="preserve"> debt, liability or obligation owed to the creditor;</w:t>
      </w:r>
    </w:p>
    <w:p w14:paraId="1C72E860" w14:textId="75E224D5" w:rsidR="00476E57" w:rsidRDefault="004507CE" w:rsidP="00476E5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476E57">
        <w:rPr>
          <w:rFonts w:ascii="Avenir Next" w:hAnsi="Avenir Next" w:cs="Arial"/>
          <w:color w:val="808080" w:themeColor="background1" w:themeShade="80"/>
          <w:sz w:val="22"/>
          <w:szCs w:val="22"/>
          <w:lang w:val="en-GB"/>
        </w:rPr>
        <w:t>ncurred prior to the debtor becoming bankrupt; and</w:t>
      </w:r>
    </w:p>
    <w:p w14:paraId="73860D7F" w14:textId="004B78FD" w:rsidR="00476E57" w:rsidRDefault="004507CE" w:rsidP="00476E57">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w:t>
      </w:r>
      <w:r w:rsidR="00476E57">
        <w:rPr>
          <w:rFonts w:ascii="Avenir Next" w:hAnsi="Avenir Next" w:cs="Arial"/>
          <w:color w:val="808080" w:themeColor="background1" w:themeShade="80"/>
          <w:sz w:val="22"/>
          <w:szCs w:val="22"/>
          <w:lang w:val="en-GB"/>
        </w:rPr>
        <w:t>ossible of attaching a monetary value to it.</w:t>
      </w:r>
    </w:p>
    <w:p w14:paraId="2511CD16" w14:textId="273E86C4" w:rsidR="00476E57" w:rsidRDefault="00476E57" w:rsidP="00476E57">
      <w:pPr>
        <w:jc w:val="both"/>
        <w:rPr>
          <w:rFonts w:ascii="Avenir Next" w:hAnsi="Avenir Next" w:cs="Arial"/>
          <w:color w:val="808080" w:themeColor="background1" w:themeShade="80"/>
          <w:sz w:val="22"/>
          <w:szCs w:val="22"/>
          <w:lang w:val="en-GB"/>
        </w:rPr>
      </w:pPr>
    </w:p>
    <w:p w14:paraId="24C4C4A7" w14:textId="762B0B9A" w:rsidR="00476E57" w:rsidRDefault="00476E57" w:rsidP="00476E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 may even be contingent or unliquidated. </w:t>
      </w:r>
    </w:p>
    <w:p w14:paraId="6C6912D8" w14:textId="1604EB12" w:rsidR="00476E57" w:rsidRDefault="00476E57" w:rsidP="00476E57">
      <w:pPr>
        <w:jc w:val="both"/>
        <w:rPr>
          <w:rFonts w:ascii="Avenir Next" w:hAnsi="Avenir Next" w:cs="Arial"/>
          <w:color w:val="808080" w:themeColor="background1" w:themeShade="80"/>
          <w:sz w:val="22"/>
          <w:szCs w:val="22"/>
          <w:lang w:val="en-GB"/>
        </w:rPr>
      </w:pPr>
    </w:p>
    <w:p w14:paraId="55BADC17" w14:textId="50533C4F" w:rsidR="00476E57" w:rsidRDefault="00476E57" w:rsidP="00476E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124 of the BIA requires that all creditors must prove their claim, in the approved form, otherwise they will not be entitled to share in any distributions. </w:t>
      </w:r>
    </w:p>
    <w:p w14:paraId="243D7E90" w14:textId="662D2850" w:rsidR="00476E57" w:rsidRDefault="00476E57" w:rsidP="00476E57">
      <w:pPr>
        <w:jc w:val="both"/>
        <w:rPr>
          <w:rFonts w:ascii="Avenir Next" w:hAnsi="Avenir Next" w:cs="Arial"/>
          <w:color w:val="808080" w:themeColor="background1" w:themeShade="80"/>
          <w:sz w:val="22"/>
          <w:szCs w:val="22"/>
          <w:lang w:val="en-GB"/>
        </w:rPr>
      </w:pPr>
    </w:p>
    <w:p w14:paraId="6D706245" w14:textId="5E1A4981" w:rsidR="00476E57" w:rsidRPr="00476E57" w:rsidRDefault="00476E57" w:rsidP="00476E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some of the foreign-based creditors are lenders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secured creditors), section 127 of the BIA provides the basis upon which a secured creditor needs to prove for the shortfall portion of their secured debt. </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3369" w14:textId="77777777" w:rsidR="00A225B6" w:rsidRDefault="00A225B6" w:rsidP="00241B44">
      <w:r>
        <w:separator/>
      </w:r>
    </w:p>
  </w:endnote>
  <w:endnote w:type="continuationSeparator" w:id="0">
    <w:p w14:paraId="2F2EBCF9" w14:textId="77777777" w:rsidR="00A225B6" w:rsidRDefault="00A225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2EA9471" w:rsidR="00241FA3" w:rsidRPr="005628AC" w:rsidRDefault="005628AC" w:rsidP="009B4976">
    <w:pPr>
      <w:pStyle w:val="Footer"/>
      <w:ind w:right="360"/>
      <w:rPr>
        <w:rFonts w:ascii="Arial" w:hAnsi="Arial" w:cs="Arial"/>
        <w:sz w:val="18"/>
        <w:szCs w:val="18"/>
        <w:lang w:val="en-GB"/>
      </w:rPr>
    </w:pPr>
    <w:r w:rsidRPr="005628AC">
      <w:rPr>
        <w:rFonts w:ascii="Avenir Next" w:hAnsi="Avenir Next" w:cs="Arial"/>
        <w:sz w:val="18"/>
        <w:szCs w:val="18"/>
        <w:lang w:val="en-GB"/>
      </w:rPr>
      <w:t>202122-595</w:t>
    </w:r>
    <w:r w:rsidR="0073158B" w:rsidRPr="005628AC">
      <w:rPr>
        <w:rFonts w:ascii="Arial" w:hAnsi="Arial" w:cs="Arial"/>
        <w:sz w:val="18"/>
        <w:szCs w:val="18"/>
        <w:lang w:val="en-GB"/>
      </w:rPr>
      <w:t>.assessment</w:t>
    </w:r>
    <w:r w:rsidR="008665AF" w:rsidRPr="005628AC">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9303" w14:textId="77777777" w:rsidR="00A225B6" w:rsidRDefault="00A225B6" w:rsidP="00241B44">
      <w:r>
        <w:separator/>
      </w:r>
    </w:p>
  </w:footnote>
  <w:footnote w:type="continuationSeparator" w:id="0">
    <w:p w14:paraId="5AFC5DF6" w14:textId="77777777" w:rsidR="00A225B6" w:rsidRDefault="00A225B6" w:rsidP="00241B44">
      <w:r>
        <w:continuationSeparator/>
      </w:r>
    </w:p>
  </w:footnote>
  <w:footnote w:id="1">
    <w:p w14:paraId="0B7F423C" w14:textId="598E0117" w:rsidR="006A0713" w:rsidRPr="006A0713" w:rsidRDefault="006A0713">
      <w:pPr>
        <w:pStyle w:val="FootnoteText"/>
        <w:rPr>
          <w:lang w:val="en-AU"/>
        </w:rPr>
      </w:pPr>
      <w:r>
        <w:rPr>
          <w:rStyle w:val="FootnoteReference"/>
        </w:rPr>
        <w:footnoteRef/>
      </w:r>
      <w:r>
        <w:t xml:space="preserve"> Hon Mr Justice Lloyd </w:t>
      </w:r>
      <w:proofErr w:type="spellStart"/>
      <w:r>
        <w:t>Houlden</w:t>
      </w:r>
      <w:proofErr w:type="spellEnd"/>
      <w:r>
        <w:t xml:space="preserve">, Mr Justice Geoffrey B Morawetz and Dr </w:t>
      </w:r>
      <w:proofErr w:type="spellStart"/>
      <w:r>
        <w:t>Jannis</w:t>
      </w:r>
      <w:proofErr w:type="spellEnd"/>
      <w:r>
        <w:t xml:space="preserve"> P </w:t>
      </w:r>
      <w:proofErr w:type="spellStart"/>
      <w:r>
        <w:t>Sarra</w:t>
      </w:r>
      <w:proofErr w:type="spellEnd"/>
      <w:r>
        <w:t>, “The 2019 Annotated Bankruptcy and Insolvency Act” A</w:t>
      </w:r>
      <w:r w:rsidR="00745ED3" w:rsidRPr="00745ED3">
        <w:t>§</w:t>
      </w:r>
      <w:r w:rsidR="00745ED3">
        <w:t>2.</w:t>
      </w:r>
    </w:p>
  </w:footnote>
  <w:footnote w:id="2">
    <w:p w14:paraId="5DE14ACE" w14:textId="7E08C5BA" w:rsidR="00745ED3" w:rsidRPr="00745ED3" w:rsidRDefault="00745ED3">
      <w:pPr>
        <w:pStyle w:val="FootnoteText"/>
        <w:rPr>
          <w:lang w:val="en-AU"/>
        </w:rPr>
      </w:pPr>
      <w:r>
        <w:rPr>
          <w:rStyle w:val="FootnoteReference"/>
        </w:rPr>
        <w:footnoteRef/>
      </w:r>
      <w:r>
        <w:t xml:space="preserve"> </w:t>
      </w:r>
      <w:r>
        <w:rPr>
          <w:lang w:val="en-AU"/>
        </w:rPr>
        <w:t>Execution Act [1990], c E 24, s 2(2) provides that where the value of equity in the debtor’s principal place of residence is less than CAD 10,000 (or some other prescribed amount), the debtor can retain that equity.</w:t>
      </w:r>
    </w:p>
  </w:footnote>
  <w:footnote w:id="3">
    <w:p w14:paraId="76259FBE" w14:textId="3722840D" w:rsidR="00775CF6" w:rsidRPr="00775CF6" w:rsidRDefault="00775CF6">
      <w:pPr>
        <w:pStyle w:val="FootnoteText"/>
        <w:rPr>
          <w:lang w:val="en-AU"/>
        </w:rPr>
      </w:pPr>
      <w:r>
        <w:rPr>
          <w:rStyle w:val="FootnoteReference"/>
        </w:rPr>
        <w:footnoteRef/>
      </w:r>
      <w:r>
        <w:t xml:space="preserve"> </w:t>
      </w:r>
      <w:r>
        <w:rPr>
          <w:lang w:val="en-AU"/>
        </w:rPr>
        <w:t>Guidance text, page 20.</w:t>
      </w:r>
      <w:r w:rsidR="008E430A">
        <w:rPr>
          <w:lang w:val="en-AU"/>
        </w:rPr>
        <w:t xml:space="preserve"> Please note any reference to guidance text page numbers is to the electronic page number, not the written page number.</w:t>
      </w:r>
    </w:p>
  </w:footnote>
  <w:footnote w:id="4">
    <w:p w14:paraId="1664750D" w14:textId="34D7B64E" w:rsidR="00A75E22" w:rsidRPr="00A75E22" w:rsidRDefault="00A75E22">
      <w:pPr>
        <w:pStyle w:val="FootnoteText"/>
        <w:rPr>
          <w:lang w:val="en-AU"/>
        </w:rPr>
      </w:pPr>
      <w:r>
        <w:rPr>
          <w:rStyle w:val="FootnoteReference"/>
        </w:rPr>
        <w:footnoteRef/>
      </w:r>
      <w:r>
        <w:t xml:space="preserve"> </w:t>
      </w:r>
      <w:r>
        <w:rPr>
          <w:lang w:val="en-AU"/>
        </w:rPr>
        <w:t>Ibid, 21</w:t>
      </w:r>
    </w:p>
  </w:footnote>
  <w:footnote w:id="5">
    <w:p w14:paraId="21830905" w14:textId="6730A145" w:rsidR="00A75E22" w:rsidRPr="00A75E22" w:rsidRDefault="00A75E22">
      <w:pPr>
        <w:pStyle w:val="FootnoteText"/>
        <w:rPr>
          <w:lang w:val="en-AU"/>
        </w:rPr>
      </w:pPr>
      <w:r>
        <w:rPr>
          <w:rStyle w:val="FootnoteReference"/>
        </w:rPr>
        <w:footnoteRef/>
      </w:r>
      <w:r>
        <w:t xml:space="preserve"> </w:t>
      </w:r>
      <w:r>
        <w:rPr>
          <w:lang w:val="en-AU"/>
        </w:rPr>
        <w:t>Ibid.</w:t>
      </w:r>
    </w:p>
  </w:footnote>
  <w:footnote w:id="6">
    <w:p w14:paraId="31826BE4" w14:textId="5666F7B6" w:rsidR="00C932B7" w:rsidRPr="00C932B7" w:rsidRDefault="00C932B7">
      <w:pPr>
        <w:pStyle w:val="FootnoteText"/>
        <w:rPr>
          <w:lang w:val="en-AU"/>
        </w:rPr>
      </w:pPr>
      <w:r>
        <w:rPr>
          <w:rStyle w:val="FootnoteReference"/>
        </w:rPr>
        <w:footnoteRef/>
      </w:r>
      <w:r>
        <w:t xml:space="preserve"> </w:t>
      </w:r>
      <w:r>
        <w:rPr>
          <w:lang w:val="en-AU"/>
        </w:rPr>
        <w:t>Guidance text, pages 41-44.</w:t>
      </w:r>
    </w:p>
  </w:footnote>
  <w:footnote w:id="7">
    <w:p w14:paraId="5276F9A3" w14:textId="0705881A" w:rsidR="00C932B7" w:rsidRPr="00C932B7" w:rsidRDefault="00C932B7">
      <w:pPr>
        <w:pStyle w:val="FootnoteText"/>
        <w:rPr>
          <w:lang w:val="en-AU"/>
        </w:rPr>
      </w:pPr>
      <w:r>
        <w:rPr>
          <w:rStyle w:val="FootnoteReference"/>
        </w:rPr>
        <w:footnoteRef/>
      </w:r>
      <w:r>
        <w:t xml:space="preserve"> </w:t>
      </w:r>
      <w:r>
        <w:rPr>
          <w:lang w:val="en-AU"/>
        </w:rPr>
        <w:t>BIA, ss 46-47.</w:t>
      </w:r>
    </w:p>
  </w:footnote>
  <w:footnote w:id="8">
    <w:p w14:paraId="07BCD953" w14:textId="64D5D821" w:rsidR="00C12398" w:rsidRPr="00C12398" w:rsidRDefault="00C12398">
      <w:pPr>
        <w:pStyle w:val="FootnoteText"/>
        <w:rPr>
          <w:lang w:val="en-AU"/>
        </w:rPr>
      </w:pPr>
      <w:r>
        <w:rPr>
          <w:rStyle w:val="FootnoteReference"/>
        </w:rPr>
        <w:footnoteRef/>
      </w:r>
      <w:r>
        <w:t xml:space="preserve"> </w:t>
      </w:r>
      <w:r>
        <w:rPr>
          <w:lang w:val="en-AU"/>
        </w:rPr>
        <w:t>Rogers and Huff, p 18.</w:t>
      </w:r>
    </w:p>
  </w:footnote>
  <w:footnote w:id="9">
    <w:p w14:paraId="0C9AD84C" w14:textId="43B963DA" w:rsidR="009B1827" w:rsidRPr="009B1827" w:rsidRDefault="009B1827">
      <w:pPr>
        <w:pStyle w:val="FootnoteText"/>
        <w:rPr>
          <w:lang w:val="en-AU"/>
        </w:rPr>
      </w:pPr>
      <w:r>
        <w:rPr>
          <w:rStyle w:val="FootnoteReference"/>
        </w:rPr>
        <w:footnoteRef/>
      </w:r>
      <w:r>
        <w:t xml:space="preserve"> </w:t>
      </w:r>
      <w:r w:rsidR="00A2653E">
        <w:rPr>
          <w:lang w:val="en-AU"/>
        </w:rPr>
        <w:t>Guidance text, pages 25-25.</w:t>
      </w:r>
    </w:p>
  </w:footnote>
  <w:footnote w:id="10">
    <w:p w14:paraId="4C8DB02C" w14:textId="02333B4F" w:rsidR="004138C2" w:rsidRPr="004138C2" w:rsidRDefault="004138C2">
      <w:pPr>
        <w:pStyle w:val="FootnoteText"/>
        <w:rPr>
          <w:lang w:val="en-AU"/>
        </w:rPr>
      </w:pPr>
      <w:r>
        <w:rPr>
          <w:rStyle w:val="FootnoteReference"/>
        </w:rPr>
        <w:footnoteRef/>
      </w:r>
      <w:r>
        <w:t xml:space="preserve"> </w:t>
      </w:r>
      <w:r>
        <w:rPr>
          <w:lang w:val="en-AU"/>
        </w:rPr>
        <w:t>BIA, s 43(1).</w:t>
      </w:r>
    </w:p>
  </w:footnote>
  <w:footnote w:id="11">
    <w:p w14:paraId="661DF0BB" w14:textId="1D19A740" w:rsidR="004138C2" w:rsidRPr="004138C2" w:rsidRDefault="004138C2">
      <w:pPr>
        <w:pStyle w:val="FootnoteText"/>
        <w:rPr>
          <w:lang w:val="en-AU"/>
        </w:rPr>
      </w:pPr>
      <w:r>
        <w:rPr>
          <w:rStyle w:val="FootnoteReference"/>
        </w:rPr>
        <w:footnoteRef/>
      </w:r>
      <w:r>
        <w:t xml:space="preserve"> </w:t>
      </w:r>
      <w:r>
        <w:rPr>
          <w:lang w:val="en-AU"/>
        </w:rPr>
        <w:t>BIA, s 42(1)(a) and Wood, p 62.</w:t>
      </w:r>
    </w:p>
  </w:footnote>
  <w:footnote w:id="12">
    <w:p w14:paraId="57E2ABE9" w14:textId="7855D18D" w:rsidR="009B1827" w:rsidRPr="009B1827" w:rsidRDefault="009B1827">
      <w:pPr>
        <w:pStyle w:val="FootnoteText"/>
        <w:rPr>
          <w:lang w:val="en-AU"/>
        </w:rPr>
      </w:pPr>
      <w:r>
        <w:rPr>
          <w:rStyle w:val="FootnoteReference"/>
        </w:rPr>
        <w:footnoteRef/>
      </w:r>
      <w:r>
        <w:t xml:space="preserve"> </w:t>
      </w:r>
      <w:r w:rsidRPr="009B1827">
        <w:rPr>
          <w:i/>
          <w:iCs/>
          <w:lang w:val="en-AU"/>
        </w:rPr>
        <w:t>Re Real Time Fibre Supply Ltd</w:t>
      </w:r>
      <w:r>
        <w:rPr>
          <w:lang w:val="en-AU"/>
        </w:rPr>
        <w:t xml:space="preserve">, 2007 </w:t>
      </w:r>
      <w:proofErr w:type="spellStart"/>
      <w:r>
        <w:rPr>
          <w:lang w:val="en-AU"/>
        </w:rPr>
        <w:t>CarswellBC</w:t>
      </w:r>
      <w:proofErr w:type="spellEnd"/>
      <w:r>
        <w:rPr>
          <w:lang w:val="en-AU"/>
        </w:rPr>
        <w:t xml:space="preserve"> 580.</w:t>
      </w:r>
    </w:p>
  </w:footnote>
  <w:footnote w:id="13">
    <w:p w14:paraId="149E603F" w14:textId="1B00BBAB" w:rsidR="009B1827" w:rsidRPr="009B1827" w:rsidRDefault="009B1827">
      <w:pPr>
        <w:pStyle w:val="FootnoteText"/>
        <w:rPr>
          <w:lang w:val="en-AU"/>
        </w:rPr>
      </w:pPr>
      <w:r>
        <w:rPr>
          <w:rStyle w:val="FootnoteReference"/>
        </w:rPr>
        <w:footnoteRef/>
      </w:r>
      <w:r>
        <w:t xml:space="preserve"> </w:t>
      </w:r>
      <w:r>
        <w:rPr>
          <w:lang w:val="en-AU"/>
        </w:rPr>
        <w:t>BIA, s 43(7).</w:t>
      </w:r>
    </w:p>
  </w:footnote>
  <w:footnote w:id="14">
    <w:p w14:paraId="517C0026" w14:textId="403C92FD" w:rsidR="00A2653E" w:rsidRPr="00A2653E" w:rsidRDefault="00A2653E">
      <w:pPr>
        <w:pStyle w:val="FootnoteText"/>
        <w:rPr>
          <w:lang w:val="en-AU"/>
        </w:rPr>
      </w:pPr>
      <w:r>
        <w:rPr>
          <w:rStyle w:val="FootnoteReference"/>
        </w:rPr>
        <w:footnoteRef/>
      </w:r>
      <w:r>
        <w:t xml:space="preserve"> </w:t>
      </w:r>
      <w:r>
        <w:rPr>
          <w:lang w:val="en-AU"/>
        </w:rPr>
        <w:t>See for instance BIA, ss 50(12), 50.4(9) and 50.4(11).</w:t>
      </w:r>
    </w:p>
  </w:footnote>
  <w:footnote w:id="15">
    <w:p w14:paraId="7E58085D" w14:textId="5F49AD80" w:rsidR="0087184B" w:rsidRPr="0087184B" w:rsidRDefault="0087184B">
      <w:pPr>
        <w:pStyle w:val="FootnoteText"/>
        <w:rPr>
          <w:lang w:val="en-AU"/>
        </w:rPr>
      </w:pPr>
      <w:r>
        <w:rPr>
          <w:rStyle w:val="FootnoteReference"/>
        </w:rPr>
        <w:footnoteRef/>
      </w:r>
      <w:r>
        <w:t xml:space="preserve"> </w:t>
      </w:r>
      <w:r>
        <w:rPr>
          <w:lang w:val="en-AU"/>
        </w:rPr>
        <w:t>Section 268(1) of the BIA.</w:t>
      </w:r>
    </w:p>
  </w:footnote>
  <w:footnote w:id="16">
    <w:p w14:paraId="3ABC4B0B" w14:textId="4538BDEA" w:rsidR="0087184B" w:rsidRPr="0087184B" w:rsidRDefault="0087184B">
      <w:pPr>
        <w:pStyle w:val="FootnoteText"/>
        <w:rPr>
          <w:lang w:val="en-AU"/>
        </w:rPr>
      </w:pPr>
      <w:r>
        <w:rPr>
          <w:rStyle w:val="FootnoteReference"/>
        </w:rPr>
        <w:footnoteRef/>
      </w:r>
      <w:r>
        <w:t xml:space="preserve"> Ibid.</w:t>
      </w:r>
    </w:p>
  </w:footnote>
  <w:footnote w:id="17">
    <w:p w14:paraId="1148C5A9" w14:textId="77777777" w:rsidR="0087184B" w:rsidRPr="00854E9E" w:rsidRDefault="0087184B" w:rsidP="0087184B">
      <w:pPr>
        <w:pStyle w:val="FootnoteText"/>
        <w:rPr>
          <w:lang w:val="en-AU"/>
        </w:rPr>
      </w:pPr>
      <w:r>
        <w:rPr>
          <w:rStyle w:val="FootnoteReference"/>
        </w:rPr>
        <w:footnoteRef/>
      </w:r>
      <w:r>
        <w:t xml:space="preserve"> </w:t>
      </w:r>
      <w:r>
        <w:rPr>
          <w:lang w:val="en-AU"/>
        </w:rPr>
        <w:t>Section 268 of the BIA and section 45 of CCAA.</w:t>
      </w:r>
    </w:p>
  </w:footnote>
  <w:footnote w:id="18">
    <w:p w14:paraId="2FD3AC41" w14:textId="77777777" w:rsidR="0087184B" w:rsidRPr="00854E9E" w:rsidRDefault="0087184B" w:rsidP="0087184B">
      <w:pPr>
        <w:pStyle w:val="FootnoteText"/>
        <w:rPr>
          <w:lang w:val="en-AU"/>
        </w:rPr>
      </w:pPr>
      <w:r>
        <w:rPr>
          <w:rStyle w:val="FootnoteReference"/>
        </w:rPr>
        <w:footnoteRef/>
      </w:r>
      <w:r>
        <w:t xml:space="preserve"> </w:t>
      </w:r>
      <w:r w:rsidRPr="00854E9E">
        <w:rPr>
          <w:i/>
          <w:iCs/>
          <w:lang w:val="en-AU"/>
        </w:rPr>
        <w:t>Re Mt Gox</w:t>
      </w:r>
      <w:r>
        <w:rPr>
          <w:lang w:val="en-AU"/>
        </w:rPr>
        <w:t xml:space="preserve"> [2014], ONSC 5811; </w:t>
      </w:r>
      <w:r w:rsidRPr="00854E9E">
        <w:rPr>
          <w:i/>
          <w:iCs/>
          <w:lang w:val="en-AU"/>
        </w:rPr>
        <w:t>Re Massachusetts Elephant &amp; Castle Group Inc</w:t>
      </w:r>
      <w:r>
        <w:rPr>
          <w:lang w:val="en-AU"/>
        </w:rPr>
        <w:t xml:space="preserve"> (2011), 81 CBR (5</w:t>
      </w:r>
      <w:r w:rsidRPr="00854E9E">
        <w:rPr>
          <w:vertAlign w:val="superscript"/>
          <w:lang w:val="en-AU"/>
        </w:rPr>
        <w:t>th</w:t>
      </w:r>
      <w:r>
        <w:rPr>
          <w:lang w:val="en-AU"/>
        </w:rPr>
        <w:t>) 102 (</w:t>
      </w:r>
      <w:proofErr w:type="spellStart"/>
      <w:r>
        <w:rPr>
          <w:lang w:val="en-AU"/>
        </w:rPr>
        <w:t>Ont</w:t>
      </w:r>
      <w:proofErr w:type="spellEnd"/>
      <w:r>
        <w:rPr>
          <w:lang w:val="en-AU"/>
        </w:rPr>
        <w:t xml:space="preserve"> SCJ); and </w:t>
      </w:r>
      <w:r w:rsidRPr="00854E9E">
        <w:rPr>
          <w:i/>
          <w:iCs/>
          <w:lang w:val="en-AU"/>
        </w:rPr>
        <w:t xml:space="preserve">Re </w:t>
      </w:r>
      <w:proofErr w:type="spellStart"/>
      <w:r w:rsidRPr="00854E9E">
        <w:rPr>
          <w:i/>
          <w:iCs/>
          <w:lang w:val="en-AU"/>
        </w:rPr>
        <w:t>Lightsquared</w:t>
      </w:r>
      <w:proofErr w:type="spellEnd"/>
      <w:r w:rsidRPr="00854E9E">
        <w:rPr>
          <w:i/>
          <w:iCs/>
          <w:lang w:val="en-AU"/>
        </w:rPr>
        <w:t xml:space="preserve"> LP</w:t>
      </w:r>
      <w:r>
        <w:rPr>
          <w:lang w:val="en-AU"/>
        </w:rPr>
        <w:t xml:space="preserve">, 2012 </w:t>
      </w:r>
      <w:proofErr w:type="spellStart"/>
      <w:r>
        <w:rPr>
          <w:lang w:val="en-AU"/>
        </w:rPr>
        <w:t>CarsewellOnt</w:t>
      </w:r>
      <w:proofErr w:type="spellEnd"/>
      <w:r>
        <w:rPr>
          <w:lang w:val="en-AU"/>
        </w:rPr>
        <w:t xml:space="preserve"> 8614 (</w:t>
      </w:r>
      <w:proofErr w:type="spellStart"/>
      <w:r>
        <w:rPr>
          <w:lang w:val="en-AU"/>
        </w:rPr>
        <w:t>Ont</w:t>
      </w:r>
      <w:proofErr w:type="spellEnd"/>
      <w:r>
        <w:rPr>
          <w:lang w:val="en-AU"/>
        </w:rPr>
        <w:t xml:space="preserve"> SCJ [Commercial List]).</w:t>
      </w:r>
    </w:p>
  </w:footnote>
  <w:footnote w:id="19">
    <w:p w14:paraId="070C0114" w14:textId="6391E5BE" w:rsidR="004507CE" w:rsidRPr="004507CE" w:rsidRDefault="004507CE">
      <w:pPr>
        <w:pStyle w:val="FootnoteText"/>
        <w:rPr>
          <w:lang w:val="en-AU"/>
        </w:rPr>
      </w:pPr>
      <w:r>
        <w:rPr>
          <w:rStyle w:val="FootnoteReference"/>
        </w:rPr>
        <w:footnoteRef/>
      </w:r>
      <w:r>
        <w:t xml:space="preserve"> </w:t>
      </w:r>
      <w:r>
        <w:rPr>
          <w:lang w:val="en-AU"/>
        </w:rPr>
        <w:t>Guidance text, page 64 and section 272(1) of the BIA.</w:t>
      </w:r>
    </w:p>
  </w:footnote>
  <w:footnote w:id="20">
    <w:p w14:paraId="25E40CA2" w14:textId="693EAAA8" w:rsidR="00854E9E" w:rsidRPr="00854E9E" w:rsidRDefault="00854E9E">
      <w:pPr>
        <w:pStyle w:val="FootnoteText"/>
        <w:rPr>
          <w:lang w:val="en-AU"/>
        </w:rPr>
      </w:pPr>
      <w:r>
        <w:rPr>
          <w:rStyle w:val="FootnoteReference"/>
        </w:rPr>
        <w:footnoteRef/>
      </w:r>
      <w:r>
        <w:t xml:space="preserve"> </w:t>
      </w:r>
      <w:r>
        <w:rPr>
          <w:lang w:val="en-AU"/>
        </w:rPr>
        <w:t>Section 268 of the BIA and section 45 of CCAA.</w:t>
      </w:r>
    </w:p>
  </w:footnote>
  <w:footnote w:id="21">
    <w:p w14:paraId="5AD60CC0" w14:textId="36086F5E" w:rsidR="00854E9E" w:rsidRPr="00854E9E" w:rsidRDefault="00854E9E">
      <w:pPr>
        <w:pStyle w:val="FootnoteText"/>
        <w:rPr>
          <w:lang w:val="en-AU"/>
        </w:rPr>
      </w:pPr>
      <w:r>
        <w:rPr>
          <w:rStyle w:val="FootnoteReference"/>
        </w:rPr>
        <w:footnoteRef/>
      </w:r>
      <w:r>
        <w:t xml:space="preserve"> </w:t>
      </w:r>
      <w:r w:rsidRPr="00854E9E">
        <w:rPr>
          <w:i/>
          <w:iCs/>
          <w:lang w:val="en-AU"/>
        </w:rPr>
        <w:t>Re Mt Gox</w:t>
      </w:r>
      <w:r>
        <w:rPr>
          <w:lang w:val="en-AU"/>
        </w:rPr>
        <w:t xml:space="preserve"> [2014], ONSC 5811; </w:t>
      </w:r>
      <w:r w:rsidRPr="00854E9E">
        <w:rPr>
          <w:i/>
          <w:iCs/>
          <w:lang w:val="en-AU"/>
        </w:rPr>
        <w:t>Re Massachusetts Elephant &amp; Castle Group Inc</w:t>
      </w:r>
      <w:r>
        <w:rPr>
          <w:lang w:val="en-AU"/>
        </w:rPr>
        <w:t xml:space="preserve"> (2011), 81 CBR (5</w:t>
      </w:r>
      <w:r w:rsidRPr="00854E9E">
        <w:rPr>
          <w:vertAlign w:val="superscript"/>
          <w:lang w:val="en-AU"/>
        </w:rPr>
        <w:t>th</w:t>
      </w:r>
      <w:r>
        <w:rPr>
          <w:lang w:val="en-AU"/>
        </w:rPr>
        <w:t>) 102 (</w:t>
      </w:r>
      <w:proofErr w:type="spellStart"/>
      <w:r>
        <w:rPr>
          <w:lang w:val="en-AU"/>
        </w:rPr>
        <w:t>Ont</w:t>
      </w:r>
      <w:proofErr w:type="spellEnd"/>
      <w:r>
        <w:rPr>
          <w:lang w:val="en-AU"/>
        </w:rPr>
        <w:t xml:space="preserve"> SCJ); and </w:t>
      </w:r>
      <w:r w:rsidRPr="00854E9E">
        <w:rPr>
          <w:i/>
          <w:iCs/>
          <w:lang w:val="en-AU"/>
        </w:rPr>
        <w:t xml:space="preserve">Re </w:t>
      </w:r>
      <w:proofErr w:type="spellStart"/>
      <w:r w:rsidRPr="00854E9E">
        <w:rPr>
          <w:i/>
          <w:iCs/>
          <w:lang w:val="en-AU"/>
        </w:rPr>
        <w:t>Lightsquared</w:t>
      </w:r>
      <w:proofErr w:type="spellEnd"/>
      <w:r w:rsidRPr="00854E9E">
        <w:rPr>
          <w:i/>
          <w:iCs/>
          <w:lang w:val="en-AU"/>
        </w:rPr>
        <w:t xml:space="preserve"> LP</w:t>
      </w:r>
      <w:r>
        <w:rPr>
          <w:lang w:val="en-AU"/>
        </w:rPr>
        <w:t xml:space="preserve">, 2012 </w:t>
      </w:r>
      <w:proofErr w:type="spellStart"/>
      <w:r>
        <w:rPr>
          <w:lang w:val="en-AU"/>
        </w:rPr>
        <w:t>CarsewellOnt</w:t>
      </w:r>
      <w:proofErr w:type="spellEnd"/>
      <w:r>
        <w:rPr>
          <w:lang w:val="en-AU"/>
        </w:rPr>
        <w:t xml:space="preserve"> 8614 (</w:t>
      </w:r>
      <w:proofErr w:type="spellStart"/>
      <w:r>
        <w:rPr>
          <w:lang w:val="en-AU"/>
        </w:rPr>
        <w:t>Ont</w:t>
      </w:r>
      <w:proofErr w:type="spellEnd"/>
      <w:r>
        <w:rPr>
          <w:lang w:val="en-AU"/>
        </w:rPr>
        <w:t xml:space="preserve"> SCJ [Commercial List]).</w:t>
      </w:r>
    </w:p>
  </w:footnote>
  <w:footnote w:id="22">
    <w:p w14:paraId="0AADB9AE" w14:textId="7A53A698" w:rsidR="00476E57" w:rsidRPr="00476E57" w:rsidRDefault="00476E57">
      <w:pPr>
        <w:pStyle w:val="FootnoteText"/>
        <w:rPr>
          <w:lang w:val="en-AU"/>
        </w:rPr>
      </w:pPr>
      <w:r>
        <w:rPr>
          <w:rStyle w:val="FootnoteReference"/>
        </w:rPr>
        <w:footnoteRef/>
      </w:r>
      <w:r>
        <w:t xml:space="preserve"> </w:t>
      </w:r>
      <w:r>
        <w:rPr>
          <w:lang w:val="en-AU"/>
        </w:rPr>
        <w:t>Guidance text, pages 28 and 60.</w:t>
      </w:r>
    </w:p>
  </w:footnote>
  <w:footnote w:id="23">
    <w:p w14:paraId="145F312C" w14:textId="4BF2EE29" w:rsidR="00476E57" w:rsidRPr="00476E57" w:rsidRDefault="00476E57">
      <w:pPr>
        <w:pStyle w:val="FootnoteText"/>
        <w:rPr>
          <w:lang w:val="en-AU"/>
        </w:rPr>
      </w:pPr>
      <w:r>
        <w:rPr>
          <w:rStyle w:val="FootnoteReference"/>
        </w:rPr>
        <w:footnoteRef/>
      </w:r>
      <w:r>
        <w:t xml:space="preserve"> </w:t>
      </w:r>
      <w:r w:rsidRPr="00476E57">
        <w:rPr>
          <w:i/>
          <w:iCs/>
          <w:lang w:val="en-AU"/>
        </w:rPr>
        <w:t>Newfoundland and Labrador v AbitibiBowater Inc</w:t>
      </w:r>
      <w:r>
        <w:rPr>
          <w:lang w:val="en-AU"/>
        </w:rPr>
        <w:t xml:space="preserve"> [2012] SCC 67,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CA097B"/>
    <w:multiLevelType w:val="hybridMultilevel"/>
    <w:tmpl w:val="7834DB58"/>
    <w:lvl w:ilvl="0" w:tplc="E87C60E4">
      <w:start w:val="1"/>
      <w:numFmt w:val="decimal"/>
      <w:lvlText w:val="%1)"/>
      <w:lvlJc w:val="left"/>
      <w:pPr>
        <w:ind w:left="720" w:hanging="360"/>
      </w:pPr>
      <w:rPr>
        <w:rFonts w:eastAsia="Times New Roman" w:hint="default"/>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338D1"/>
    <w:multiLevelType w:val="hybridMultilevel"/>
    <w:tmpl w:val="30663D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7E69C8"/>
    <w:multiLevelType w:val="hybridMultilevel"/>
    <w:tmpl w:val="4DC4AE84"/>
    <w:lvl w:ilvl="0" w:tplc="0C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0B2B8C"/>
    <w:multiLevelType w:val="hybridMultilevel"/>
    <w:tmpl w:val="9980605E"/>
    <w:lvl w:ilvl="0" w:tplc="9518474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F1041C"/>
    <w:multiLevelType w:val="hybridMultilevel"/>
    <w:tmpl w:val="977CDA16"/>
    <w:lvl w:ilvl="0" w:tplc="1660DDD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831186"/>
    <w:multiLevelType w:val="hybridMultilevel"/>
    <w:tmpl w:val="E2C07E52"/>
    <w:lvl w:ilvl="0" w:tplc="17EAC8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9C31F60"/>
    <w:multiLevelType w:val="hybridMultilevel"/>
    <w:tmpl w:val="6BF063E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1163145"/>
    <w:multiLevelType w:val="hybridMultilevel"/>
    <w:tmpl w:val="8A789558"/>
    <w:lvl w:ilvl="0" w:tplc="7C2416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236086"/>
    <w:multiLevelType w:val="hybridMultilevel"/>
    <w:tmpl w:val="882C69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F15693"/>
    <w:multiLevelType w:val="hybridMultilevel"/>
    <w:tmpl w:val="607E52CA"/>
    <w:lvl w:ilvl="0" w:tplc="C39E13A0">
      <w:start w:val="3"/>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2280626">
    <w:abstractNumId w:val="33"/>
  </w:num>
  <w:num w:numId="2" w16cid:durableId="273827590">
    <w:abstractNumId w:val="8"/>
  </w:num>
  <w:num w:numId="3" w16cid:durableId="1249005168">
    <w:abstractNumId w:val="22"/>
  </w:num>
  <w:num w:numId="4" w16cid:durableId="1800031853">
    <w:abstractNumId w:val="17"/>
  </w:num>
  <w:num w:numId="5" w16cid:durableId="1164668435">
    <w:abstractNumId w:val="9"/>
  </w:num>
  <w:num w:numId="6" w16cid:durableId="1106462058">
    <w:abstractNumId w:val="36"/>
  </w:num>
  <w:num w:numId="7" w16cid:durableId="444229804">
    <w:abstractNumId w:val="16"/>
  </w:num>
  <w:num w:numId="8" w16cid:durableId="1046563458">
    <w:abstractNumId w:val="30"/>
  </w:num>
  <w:num w:numId="9" w16cid:durableId="932857370">
    <w:abstractNumId w:val="34"/>
  </w:num>
  <w:num w:numId="10" w16cid:durableId="2050182147">
    <w:abstractNumId w:val="12"/>
  </w:num>
  <w:num w:numId="11" w16cid:durableId="946501487">
    <w:abstractNumId w:val="13"/>
  </w:num>
  <w:num w:numId="12" w16cid:durableId="1183938721">
    <w:abstractNumId w:val="0"/>
  </w:num>
  <w:num w:numId="13" w16cid:durableId="1091582383">
    <w:abstractNumId w:val="18"/>
  </w:num>
  <w:num w:numId="14" w16cid:durableId="1209874716">
    <w:abstractNumId w:val="3"/>
  </w:num>
  <w:num w:numId="15" w16cid:durableId="532228121">
    <w:abstractNumId w:val="38"/>
  </w:num>
  <w:num w:numId="16" w16cid:durableId="1032417709">
    <w:abstractNumId w:val="26"/>
  </w:num>
  <w:num w:numId="17" w16cid:durableId="1336153094">
    <w:abstractNumId w:val="31"/>
  </w:num>
  <w:num w:numId="18" w16cid:durableId="116030730">
    <w:abstractNumId w:val="25"/>
  </w:num>
  <w:num w:numId="19" w16cid:durableId="986671457">
    <w:abstractNumId w:val="20"/>
  </w:num>
  <w:num w:numId="20" w16cid:durableId="841089032">
    <w:abstractNumId w:val="19"/>
  </w:num>
  <w:num w:numId="21" w16cid:durableId="176116817">
    <w:abstractNumId w:val="2"/>
  </w:num>
  <w:num w:numId="22" w16cid:durableId="940601971">
    <w:abstractNumId w:val="37"/>
  </w:num>
  <w:num w:numId="23" w16cid:durableId="1992709638">
    <w:abstractNumId w:val="15"/>
  </w:num>
  <w:num w:numId="24" w16cid:durableId="845632390">
    <w:abstractNumId w:val="11"/>
  </w:num>
  <w:num w:numId="25" w16cid:durableId="2026858016">
    <w:abstractNumId w:val="32"/>
  </w:num>
  <w:num w:numId="26" w16cid:durableId="204564951">
    <w:abstractNumId w:val="35"/>
  </w:num>
  <w:num w:numId="27" w16cid:durableId="1642229112">
    <w:abstractNumId w:val="23"/>
  </w:num>
  <w:num w:numId="28" w16cid:durableId="70276586">
    <w:abstractNumId w:val="1"/>
  </w:num>
  <w:num w:numId="29" w16cid:durableId="1036739876">
    <w:abstractNumId w:val="28"/>
  </w:num>
  <w:num w:numId="30" w16cid:durableId="54862236">
    <w:abstractNumId w:val="39"/>
  </w:num>
  <w:num w:numId="31" w16cid:durableId="602301291">
    <w:abstractNumId w:val="27"/>
  </w:num>
  <w:num w:numId="32" w16cid:durableId="1395856982">
    <w:abstractNumId w:val="10"/>
  </w:num>
  <w:num w:numId="33" w16cid:durableId="1164051381">
    <w:abstractNumId w:val="29"/>
  </w:num>
  <w:num w:numId="34" w16cid:durableId="346102676">
    <w:abstractNumId w:val="24"/>
  </w:num>
  <w:num w:numId="35" w16cid:durableId="2129545517">
    <w:abstractNumId w:val="14"/>
  </w:num>
  <w:num w:numId="36" w16cid:durableId="1684017978">
    <w:abstractNumId w:val="7"/>
  </w:num>
  <w:num w:numId="37" w16cid:durableId="214318884">
    <w:abstractNumId w:val="5"/>
  </w:num>
  <w:num w:numId="38" w16cid:durableId="1064065644">
    <w:abstractNumId w:val="21"/>
  </w:num>
  <w:num w:numId="39" w16cid:durableId="1715930915">
    <w:abstractNumId w:val="4"/>
  </w:num>
  <w:num w:numId="40" w16cid:durableId="155978578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2A9"/>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38C2"/>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7CE"/>
    <w:rsid w:val="00450A62"/>
    <w:rsid w:val="004534C2"/>
    <w:rsid w:val="00454129"/>
    <w:rsid w:val="0045446F"/>
    <w:rsid w:val="00454E2B"/>
    <w:rsid w:val="0045683E"/>
    <w:rsid w:val="00461166"/>
    <w:rsid w:val="00462498"/>
    <w:rsid w:val="0047497A"/>
    <w:rsid w:val="00475CC7"/>
    <w:rsid w:val="00476E5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28AC"/>
    <w:rsid w:val="00563084"/>
    <w:rsid w:val="0056391B"/>
    <w:rsid w:val="00564DFE"/>
    <w:rsid w:val="005650E2"/>
    <w:rsid w:val="00565AD2"/>
    <w:rsid w:val="00566713"/>
    <w:rsid w:val="005672BC"/>
    <w:rsid w:val="00567AD7"/>
    <w:rsid w:val="00567AE6"/>
    <w:rsid w:val="005739CA"/>
    <w:rsid w:val="00574822"/>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83F"/>
    <w:rsid w:val="00680EF2"/>
    <w:rsid w:val="00687A1D"/>
    <w:rsid w:val="00687EA0"/>
    <w:rsid w:val="00691CCD"/>
    <w:rsid w:val="00691D5F"/>
    <w:rsid w:val="0069476B"/>
    <w:rsid w:val="00697EA1"/>
    <w:rsid w:val="006A0713"/>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5ED3"/>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75CF6"/>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4E9E"/>
    <w:rsid w:val="008619A1"/>
    <w:rsid w:val="00864762"/>
    <w:rsid w:val="00864AC2"/>
    <w:rsid w:val="008665AF"/>
    <w:rsid w:val="0086705F"/>
    <w:rsid w:val="00867701"/>
    <w:rsid w:val="0087184B"/>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430A"/>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1827"/>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653E"/>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5E22"/>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022"/>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D6457"/>
    <w:rsid w:val="00BE0F37"/>
    <w:rsid w:val="00BE4005"/>
    <w:rsid w:val="00BE4FF3"/>
    <w:rsid w:val="00BF2335"/>
    <w:rsid w:val="00BF499E"/>
    <w:rsid w:val="00BF50F7"/>
    <w:rsid w:val="00C02F29"/>
    <w:rsid w:val="00C03ED0"/>
    <w:rsid w:val="00C100C3"/>
    <w:rsid w:val="00C12398"/>
    <w:rsid w:val="00C14675"/>
    <w:rsid w:val="00C17718"/>
    <w:rsid w:val="00C20AFE"/>
    <w:rsid w:val="00C22A25"/>
    <w:rsid w:val="00C24907"/>
    <w:rsid w:val="00C24D9B"/>
    <w:rsid w:val="00C26095"/>
    <w:rsid w:val="00C27B6A"/>
    <w:rsid w:val="00C35671"/>
    <w:rsid w:val="00C35B77"/>
    <w:rsid w:val="00C3600E"/>
    <w:rsid w:val="00C376EB"/>
    <w:rsid w:val="00C37DDE"/>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32B7"/>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76EF7"/>
    <w:rsid w:val="00D84752"/>
    <w:rsid w:val="00D85481"/>
    <w:rsid w:val="00D85733"/>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5ABF"/>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table" w:styleId="TableGrid">
    <w:name w:val="Table Grid"/>
    <w:basedOn w:val="TableNormal"/>
    <w:uiPriority w:val="39"/>
    <w:rsid w:val="0057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Matthew Hudson</cp:lastModifiedBy>
  <cp:revision>14</cp:revision>
  <cp:lastPrinted>2019-08-27T05:42:00Z</cp:lastPrinted>
  <dcterms:created xsi:type="dcterms:W3CDTF">2023-07-01T05:34:00Z</dcterms:created>
  <dcterms:modified xsi:type="dcterms:W3CDTF">2023-07-31T21:35:00Z</dcterms:modified>
</cp:coreProperties>
</file>