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E74B73" w:rsidRDefault="00CE0ECD" w:rsidP="00B77B19">
      <w:pPr>
        <w:pStyle w:val="AODocTxt"/>
        <w:numPr>
          <w:ilvl w:val="0"/>
          <w:numId w:val="14"/>
        </w:numPr>
        <w:spacing w:before="0" w:line="240" w:lineRule="auto"/>
        <w:ind w:left="426"/>
        <w:rPr>
          <w:rFonts w:ascii="Avenir Next" w:hAnsi="Avenir Next"/>
          <w:highlight w:val="yellow"/>
        </w:rPr>
      </w:pPr>
      <w:r w:rsidRPr="00E74B73">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E74B73">
        <w:rPr>
          <w:rFonts w:ascii="Avenir Next" w:hAnsi="Avenir Next"/>
          <w:highlight w:val="yellow"/>
        </w:rPr>
        <w:t>(b)</w:t>
      </w:r>
      <w:r w:rsidRPr="00E74B73">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9410EB" w:rsidRDefault="00CE0ECD" w:rsidP="00097D56">
      <w:pPr>
        <w:pStyle w:val="AODocTxt"/>
        <w:numPr>
          <w:ilvl w:val="0"/>
          <w:numId w:val="16"/>
        </w:numPr>
        <w:spacing w:before="0" w:line="240" w:lineRule="auto"/>
        <w:ind w:left="426"/>
        <w:rPr>
          <w:rFonts w:ascii="Avenir Next" w:hAnsi="Avenir Next"/>
          <w:highlight w:val="yellow"/>
        </w:rPr>
      </w:pPr>
      <w:r w:rsidRPr="009410EB">
        <w:rPr>
          <w:rFonts w:ascii="Avenir Next" w:hAnsi="Avenir Next"/>
          <w:highlight w:val="yellow"/>
        </w:rPr>
        <w:t xml:space="preserve">A </w:t>
      </w:r>
      <w:r w:rsidR="00D06A30" w:rsidRPr="009410EB">
        <w:rPr>
          <w:rFonts w:ascii="Avenir Next" w:hAnsi="Avenir Next"/>
          <w:highlight w:val="yellow"/>
        </w:rPr>
        <w:t>10</w:t>
      </w:r>
      <w:r w:rsidRPr="009410EB">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Pr="009410EB" w:rsidRDefault="00CE0ECD" w:rsidP="00A82B32">
      <w:pPr>
        <w:pStyle w:val="AODocTxt"/>
        <w:numPr>
          <w:ilvl w:val="0"/>
          <w:numId w:val="18"/>
        </w:numPr>
        <w:spacing w:before="0" w:line="240" w:lineRule="auto"/>
        <w:ind w:left="426"/>
        <w:rPr>
          <w:rFonts w:ascii="Avenir Next" w:hAnsi="Avenir Next"/>
          <w:highlight w:val="yellow"/>
        </w:rPr>
      </w:pPr>
      <w:r w:rsidRPr="009410EB">
        <w:rPr>
          <w:rFonts w:ascii="Avenir Next" w:hAnsi="Avenir Next"/>
          <w:highlight w:val="yellow"/>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9410EB" w:rsidRDefault="00CE0ECD" w:rsidP="00E421C6">
      <w:pPr>
        <w:pStyle w:val="AODocTxt"/>
        <w:numPr>
          <w:ilvl w:val="0"/>
          <w:numId w:val="20"/>
        </w:numPr>
        <w:spacing w:before="0" w:line="240" w:lineRule="auto"/>
        <w:ind w:left="426"/>
        <w:rPr>
          <w:rFonts w:ascii="Avenir Next" w:hAnsi="Avenir Next"/>
          <w:highlight w:val="yellow"/>
        </w:rPr>
      </w:pPr>
      <w:r w:rsidRPr="009410EB">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9410EB" w:rsidRDefault="00CE0ECD" w:rsidP="00E421C6">
      <w:pPr>
        <w:pStyle w:val="AODocTxt"/>
        <w:numPr>
          <w:ilvl w:val="0"/>
          <w:numId w:val="22"/>
        </w:numPr>
        <w:spacing w:before="0" w:line="240" w:lineRule="auto"/>
        <w:ind w:left="426"/>
        <w:rPr>
          <w:rFonts w:ascii="Avenir Next" w:hAnsi="Avenir Next"/>
          <w:highlight w:val="yellow"/>
        </w:rPr>
      </w:pPr>
      <w:r w:rsidRPr="009410EB">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Pr="009410EB" w:rsidRDefault="00CE0ECD" w:rsidP="000346E7">
      <w:pPr>
        <w:pStyle w:val="AODocTxt"/>
        <w:numPr>
          <w:ilvl w:val="0"/>
          <w:numId w:val="24"/>
        </w:numPr>
        <w:spacing w:before="0" w:line="240" w:lineRule="auto"/>
        <w:ind w:left="426"/>
        <w:rPr>
          <w:rFonts w:ascii="Avenir Next" w:hAnsi="Avenir Next"/>
          <w:highlight w:val="yellow"/>
        </w:rPr>
      </w:pPr>
      <w:r w:rsidRPr="009410EB">
        <w:rPr>
          <w:rFonts w:ascii="Avenir Next" w:hAnsi="Avenir Next"/>
          <w:highlight w:val="yellow"/>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2C4932" w:rsidRDefault="00CE0ECD" w:rsidP="004830F8">
      <w:pPr>
        <w:pStyle w:val="AODocTxt"/>
        <w:numPr>
          <w:ilvl w:val="0"/>
          <w:numId w:val="26"/>
        </w:numPr>
        <w:spacing w:before="0" w:line="240" w:lineRule="auto"/>
        <w:ind w:left="426"/>
        <w:rPr>
          <w:rFonts w:ascii="Avenir Next" w:hAnsi="Avenir Next"/>
        </w:rPr>
      </w:pPr>
      <w:r w:rsidRPr="002C4932">
        <w:rPr>
          <w:rFonts w:ascii="Avenir Next" w:hAnsi="Avenir Next"/>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9410EB">
        <w:rPr>
          <w:rFonts w:ascii="Avenir Next" w:hAnsi="Avenir Next"/>
          <w:highlight w:val="yellow"/>
        </w:rPr>
        <w:t>On the filing of a voluntary petition but not on the filing of an involuntary petition.</w:t>
      </w:r>
      <w:r w:rsidRPr="00B77B19">
        <w:rPr>
          <w:rFonts w:ascii="Avenir Next" w:hAnsi="Avenir Next"/>
        </w:rPr>
        <w:t xml:space="preserve">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5C37A6" w:rsidRDefault="00CE0ECD" w:rsidP="004830F8">
      <w:pPr>
        <w:pStyle w:val="AODocTxt"/>
        <w:numPr>
          <w:ilvl w:val="0"/>
          <w:numId w:val="28"/>
        </w:numPr>
        <w:spacing w:before="0" w:line="240" w:lineRule="auto"/>
        <w:ind w:left="426"/>
        <w:rPr>
          <w:rFonts w:ascii="Avenir Next" w:hAnsi="Avenir Next"/>
          <w:highlight w:val="yellow"/>
        </w:rPr>
      </w:pPr>
      <w:r w:rsidRPr="005C37A6">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5C37A6" w:rsidRDefault="00CE0ECD" w:rsidP="00AA0280">
      <w:pPr>
        <w:pStyle w:val="AODocTxt"/>
        <w:numPr>
          <w:ilvl w:val="0"/>
          <w:numId w:val="30"/>
        </w:numPr>
        <w:spacing w:before="0" w:line="240" w:lineRule="auto"/>
        <w:ind w:left="426"/>
        <w:rPr>
          <w:rFonts w:ascii="Avenir Next" w:hAnsi="Avenir Next"/>
          <w:highlight w:val="yellow"/>
        </w:rPr>
      </w:pPr>
      <w:r w:rsidRPr="005C37A6">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4D12AEB6" w14:textId="447C6AC4" w:rsidR="006A46AD" w:rsidRDefault="006A46A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ordinarily allows a creditor to net-off debts owed to it from a debtor, by debts it owes to the debtor. </w:t>
      </w:r>
    </w:p>
    <w:p w14:paraId="7418A995" w14:textId="712EA4CC" w:rsidR="006A46AD" w:rsidRDefault="006A46AD" w:rsidP="00E41578">
      <w:pPr>
        <w:jc w:val="both"/>
        <w:rPr>
          <w:rFonts w:ascii="Avenir Next" w:hAnsi="Avenir Next" w:cs="Arial"/>
          <w:color w:val="7B7B7B" w:themeColor="accent3" w:themeShade="BF"/>
          <w:sz w:val="22"/>
          <w:szCs w:val="22"/>
          <w:lang w:val="en-GB"/>
        </w:rPr>
      </w:pPr>
    </w:p>
    <w:p w14:paraId="5702440C" w14:textId="701AD062" w:rsidR="006A46AD" w:rsidRPr="00E41578" w:rsidRDefault="006A46A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avoid a creditor that is otherwise obligated to the estate from acquiring claims to manufacture an offset (ie to gain an unfair preference), set-off is not allowed in a number of prescribed circumstances. These circumstances include, for example, where the creditor’s claim was acquired post-petition or at a time when the debtor was insolvent within 90 days of the petition. The debtor is presumed insolvent during this 90 day period.</w:t>
      </w:r>
      <w:r>
        <w:rPr>
          <w:rStyle w:val="FootnoteReference"/>
          <w:rFonts w:ascii="Avenir Next" w:hAnsi="Avenir Next" w:cs="Arial"/>
          <w:color w:val="7B7B7B" w:themeColor="accent3" w:themeShade="BF"/>
          <w:sz w:val="22"/>
          <w:szCs w:val="22"/>
          <w:lang w:val="en-GB"/>
        </w:rPr>
        <w:footnoteReference w:id="1"/>
      </w:r>
      <w:r>
        <w:rPr>
          <w:rFonts w:ascii="Avenir Next" w:hAnsi="Avenir Next" w:cs="Arial"/>
          <w:color w:val="7B7B7B" w:themeColor="accent3" w:themeShade="BF"/>
          <w:sz w:val="22"/>
          <w:szCs w:val="22"/>
          <w:lang w:val="en-GB"/>
        </w:rPr>
        <w:t xml:space="preserve"> </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3536FE4B" w:rsidR="00E41578" w:rsidRDefault="006A46AD" w:rsidP="006A46A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Federal Rules of Bankruptcy Procedure (</w:t>
      </w:r>
      <w:r w:rsidRPr="006A46AD">
        <w:rPr>
          <w:rFonts w:ascii="Avenir Next" w:hAnsi="Avenir Next" w:cs="Arial"/>
          <w:b/>
          <w:bCs/>
          <w:color w:val="7B7B7B" w:themeColor="accent3" w:themeShade="BF"/>
          <w:sz w:val="22"/>
          <w:szCs w:val="22"/>
          <w:lang w:val="en-GB"/>
        </w:rPr>
        <w:t>Bankruptcy Rules</w:t>
      </w:r>
      <w:r>
        <w:rPr>
          <w:rFonts w:ascii="Avenir Next" w:hAnsi="Avenir Next" w:cs="Arial"/>
          <w:color w:val="7B7B7B" w:themeColor="accent3" w:themeShade="BF"/>
          <w:sz w:val="22"/>
          <w:szCs w:val="22"/>
          <w:lang w:val="en-GB"/>
        </w:rPr>
        <w:t xml:space="preserve">) </w:t>
      </w:r>
    </w:p>
    <w:p w14:paraId="5BDABB15" w14:textId="0B7FAC41" w:rsidR="006A46AD" w:rsidRDefault="006A46AD" w:rsidP="006A46A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Federal Rules of Civil Procedure</w:t>
      </w:r>
    </w:p>
    <w:p w14:paraId="3BFFFEC6" w14:textId="468849CD" w:rsidR="006A46AD" w:rsidRDefault="006A46AD" w:rsidP="006A46A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Local rules of the bankruptcy court</w:t>
      </w:r>
    </w:p>
    <w:p w14:paraId="758407B9" w14:textId="27B3B758" w:rsidR="006A46AD" w:rsidRPr="006A46AD" w:rsidRDefault="006A46AD" w:rsidP="006A46A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Judge’s personal practices</w:t>
      </w:r>
    </w:p>
    <w:p w14:paraId="4EC1CD7D" w14:textId="204B51FC" w:rsidR="00622C36" w:rsidRDefault="00622C36"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8614C6C" w14:textId="6A7075B5" w:rsidR="006A46AD" w:rsidRDefault="006A46A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absolute priority rule requires that each sub-class of priority creditor in Chapter 7</w:t>
      </w:r>
      <w:r>
        <w:rPr>
          <w:rStyle w:val="FootnoteReference"/>
          <w:rFonts w:ascii="Avenir Next" w:hAnsi="Avenir Next" w:cs="Arial"/>
          <w:color w:val="7B7B7B" w:themeColor="accent3" w:themeShade="BF"/>
          <w:sz w:val="22"/>
          <w:szCs w:val="22"/>
          <w:lang w:val="en-GB"/>
        </w:rPr>
        <w:footnoteReference w:id="2"/>
      </w:r>
      <w:r>
        <w:rPr>
          <w:rFonts w:ascii="Avenir Next" w:hAnsi="Avenir Next" w:cs="Arial"/>
          <w:color w:val="7B7B7B" w:themeColor="accent3" w:themeShade="BF"/>
          <w:sz w:val="22"/>
          <w:szCs w:val="22"/>
          <w:lang w:val="en-GB"/>
        </w:rPr>
        <w:t xml:space="preserve"> must be paid in full before the next sub-class can be paid. For example, </w:t>
      </w:r>
      <w:r w:rsidR="00104A1E">
        <w:rPr>
          <w:rFonts w:ascii="Avenir Next" w:hAnsi="Avenir Next" w:cs="Arial"/>
          <w:color w:val="7B7B7B" w:themeColor="accent3" w:themeShade="BF"/>
          <w:sz w:val="22"/>
          <w:szCs w:val="22"/>
          <w:lang w:val="en-GB"/>
        </w:rPr>
        <w:t>all domestic support obligations of individual debtors</w:t>
      </w:r>
      <w:r w:rsidR="00104A1E">
        <w:rPr>
          <w:rStyle w:val="FootnoteReference"/>
          <w:rFonts w:ascii="Avenir Next" w:hAnsi="Avenir Next" w:cs="Arial"/>
          <w:color w:val="7B7B7B" w:themeColor="accent3" w:themeShade="BF"/>
          <w:sz w:val="22"/>
          <w:szCs w:val="22"/>
          <w:lang w:val="en-GB"/>
        </w:rPr>
        <w:footnoteReference w:id="3"/>
      </w:r>
      <w:r w:rsidR="00104A1E">
        <w:rPr>
          <w:rFonts w:ascii="Avenir Next" w:hAnsi="Avenir Next" w:cs="Arial"/>
          <w:color w:val="7B7B7B" w:themeColor="accent3" w:themeShade="BF"/>
          <w:sz w:val="22"/>
          <w:szCs w:val="22"/>
          <w:lang w:val="en-GB"/>
        </w:rPr>
        <w:t xml:space="preserve"> must be paid in full before administrative expenses</w:t>
      </w:r>
      <w:r w:rsidR="00104A1E">
        <w:rPr>
          <w:rStyle w:val="FootnoteReference"/>
          <w:rFonts w:ascii="Avenir Next" w:hAnsi="Avenir Next" w:cs="Arial"/>
          <w:color w:val="7B7B7B" w:themeColor="accent3" w:themeShade="BF"/>
          <w:sz w:val="22"/>
          <w:szCs w:val="22"/>
          <w:lang w:val="en-GB"/>
        </w:rPr>
        <w:footnoteReference w:id="4"/>
      </w:r>
      <w:r w:rsidR="00104A1E">
        <w:rPr>
          <w:rFonts w:ascii="Avenir Next" w:hAnsi="Avenir Next" w:cs="Arial"/>
          <w:color w:val="7B7B7B" w:themeColor="accent3" w:themeShade="BF"/>
          <w:sz w:val="22"/>
          <w:szCs w:val="22"/>
          <w:lang w:val="en-GB"/>
        </w:rPr>
        <w:t xml:space="preserve"> can be paid.</w:t>
      </w:r>
    </w:p>
    <w:p w14:paraId="304331B3" w14:textId="1CD663FD" w:rsidR="00104A1E" w:rsidRDefault="00104A1E" w:rsidP="00E41578">
      <w:pPr>
        <w:jc w:val="both"/>
        <w:rPr>
          <w:rFonts w:ascii="Avenir Next" w:hAnsi="Avenir Next" w:cs="Arial"/>
          <w:color w:val="7B7B7B" w:themeColor="accent3" w:themeShade="BF"/>
          <w:sz w:val="22"/>
          <w:szCs w:val="22"/>
          <w:lang w:val="en-GB"/>
        </w:rPr>
      </w:pPr>
    </w:p>
    <w:p w14:paraId="67C6B115" w14:textId="0EE1FC41" w:rsidR="00104A1E" w:rsidRPr="00E41578" w:rsidRDefault="00104A1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In a Chapter 11 Plan, the absolute priority rule can be deviated from with the consent of the affected creditors.</w:t>
      </w:r>
      <w:r>
        <w:rPr>
          <w:rStyle w:val="FootnoteReference"/>
          <w:rFonts w:ascii="Avenir Next" w:hAnsi="Avenir Next" w:cs="Arial"/>
          <w:color w:val="7B7B7B" w:themeColor="accent3" w:themeShade="BF"/>
          <w:sz w:val="22"/>
          <w:szCs w:val="22"/>
          <w:lang w:val="en-GB"/>
        </w:rPr>
        <w:footnoteReference w:id="5"/>
      </w: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29FDA609" w14:textId="51E26B67" w:rsidR="00104A1E" w:rsidRPr="00E41578" w:rsidRDefault="00104A1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a debtor in Chapter 11 potentially does not have sufficient means to pay post-petition expenses from ongoing trading activities, it can apply for debtor-in-possession (</w:t>
      </w:r>
      <w:r w:rsidRPr="00104A1E">
        <w:rPr>
          <w:rFonts w:ascii="Avenir Next" w:hAnsi="Avenir Next" w:cs="Arial"/>
          <w:b/>
          <w:bCs/>
          <w:color w:val="7B7B7B" w:themeColor="accent3" w:themeShade="BF"/>
          <w:sz w:val="22"/>
          <w:szCs w:val="22"/>
          <w:lang w:val="en-GB"/>
        </w:rPr>
        <w:t>DIP</w:t>
      </w:r>
      <w:r>
        <w:rPr>
          <w:rFonts w:ascii="Avenir Next" w:hAnsi="Avenir Next" w:cs="Arial"/>
          <w:color w:val="7B7B7B" w:themeColor="accent3" w:themeShade="BF"/>
          <w:sz w:val="22"/>
          <w:szCs w:val="22"/>
          <w:lang w:val="en-GB"/>
        </w:rPr>
        <w:t>) financing. Where the debtor does not have sufficient unencumbered property to secure DIP financing, courts may grant a priming lien that is in priority to, or equal than, pre-petition securities.</w:t>
      </w:r>
      <w:r>
        <w:rPr>
          <w:rStyle w:val="FootnoteReference"/>
          <w:rFonts w:ascii="Avenir Next" w:hAnsi="Avenir Next" w:cs="Arial"/>
          <w:color w:val="7B7B7B" w:themeColor="accent3" w:themeShade="BF"/>
          <w:sz w:val="22"/>
          <w:szCs w:val="22"/>
          <w:lang w:val="en-GB"/>
        </w:rPr>
        <w:footnoteReference w:id="6"/>
      </w:r>
      <w:r>
        <w:rPr>
          <w:rFonts w:ascii="Avenir Next" w:hAnsi="Avenir Next" w:cs="Arial"/>
          <w:color w:val="7B7B7B" w:themeColor="accent3" w:themeShade="BF"/>
          <w:sz w:val="22"/>
          <w:szCs w:val="22"/>
          <w:lang w:val="en-GB"/>
        </w:rPr>
        <w:t xml:space="preserve"> To do this, the debtor must</w:t>
      </w:r>
      <w:r w:rsidR="00601506">
        <w:rPr>
          <w:rFonts w:ascii="Avenir Next" w:hAnsi="Avenir Next" w:cs="Arial"/>
          <w:color w:val="7B7B7B" w:themeColor="accent3" w:themeShade="BF"/>
          <w:sz w:val="22"/>
          <w:szCs w:val="22"/>
          <w:lang w:val="en-GB"/>
        </w:rPr>
        <w:t xml:space="preserve"> give notice to the affected party and</w:t>
      </w:r>
      <w:r>
        <w:rPr>
          <w:rFonts w:ascii="Avenir Next" w:hAnsi="Avenir Next" w:cs="Arial"/>
          <w:color w:val="7B7B7B" w:themeColor="accent3" w:themeShade="BF"/>
          <w:sz w:val="22"/>
          <w:szCs w:val="22"/>
          <w:lang w:val="en-GB"/>
        </w:rPr>
        <w:t xml:space="preserve"> demonstrate that the pre-petition secured creditor is adequately protected</w:t>
      </w:r>
      <w:r w:rsidR="00601506">
        <w:rPr>
          <w:rFonts w:ascii="Avenir Next" w:hAnsi="Avenir Next" w:cs="Arial"/>
          <w:color w:val="7B7B7B" w:themeColor="accent3" w:themeShade="BF"/>
          <w:sz w:val="22"/>
          <w:szCs w:val="22"/>
          <w:lang w:val="en-GB"/>
        </w:rPr>
        <w:t>.</w:t>
      </w: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2BC647AE" w14:textId="4A9C77B8" w:rsidR="00601506" w:rsidRDefault="0060150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a transfer from the estate exceeds what the person otherwise would have received in a Chapter 7, then the transfer may be ordered to be returned to the estate (subject to meeting various elements).</w:t>
      </w:r>
      <w:r>
        <w:rPr>
          <w:rStyle w:val="FootnoteReference"/>
          <w:rFonts w:ascii="Avenir Next" w:hAnsi="Avenir Next" w:cs="Arial"/>
          <w:color w:val="7B7B7B" w:themeColor="accent3" w:themeShade="BF"/>
          <w:sz w:val="22"/>
          <w:szCs w:val="22"/>
          <w:lang w:val="en-GB"/>
        </w:rPr>
        <w:footnoteReference w:id="7"/>
      </w:r>
      <w:r>
        <w:rPr>
          <w:rFonts w:ascii="Avenir Next" w:hAnsi="Avenir Next" w:cs="Arial"/>
          <w:color w:val="7B7B7B" w:themeColor="accent3" w:themeShade="BF"/>
          <w:sz w:val="22"/>
          <w:szCs w:val="22"/>
          <w:lang w:val="en-GB"/>
        </w:rPr>
        <w:t xml:space="preserve"> The purpose of this is to reduce the likelihood of a race to collect a distressed debtor’s assets and promote a </w:t>
      </w:r>
      <w:r w:rsidRPr="00601506">
        <w:rPr>
          <w:rFonts w:ascii="Avenir Next" w:hAnsi="Avenir Next" w:cs="Arial"/>
          <w:i/>
          <w:iCs/>
          <w:color w:val="7B7B7B" w:themeColor="accent3" w:themeShade="BF"/>
          <w:sz w:val="22"/>
          <w:szCs w:val="22"/>
          <w:lang w:val="en-GB"/>
        </w:rPr>
        <w:t>pari passu</w:t>
      </w:r>
      <w:r>
        <w:rPr>
          <w:rFonts w:ascii="Avenir Next" w:hAnsi="Avenir Next" w:cs="Arial"/>
          <w:color w:val="7B7B7B" w:themeColor="accent3" w:themeShade="BF"/>
          <w:sz w:val="22"/>
          <w:szCs w:val="22"/>
          <w:lang w:val="en-GB"/>
        </w:rPr>
        <w:t xml:space="preserve"> treatment of creditors (where applicable).</w:t>
      </w:r>
    </w:p>
    <w:p w14:paraId="6B4871A3" w14:textId="553C78C5" w:rsidR="00601506" w:rsidRDefault="00601506" w:rsidP="00E41578">
      <w:pPr>
        <w:jc w:val="both"/>
        <w:rPr>
          <w:rFonts w:ascii="Avenir Next" w:hAnsi="Avenir Next" w:cs="Arial"/>
          <w:color w:val="7B7B7B" w:themeColor="accent3" w:themeShade="BF"/>
          <w:sz w:val="22"/>
          <w:szCs w:val="22"/>
          <w:lang w:val="en-GB"/>
        </w:rPr>
      </w:pPr>
    </w:p>
    <w:p w14:paraId="0BF1EF77" w14:textId="1F79F78A" w:rsidR="00601506" w:rsidRDefault="0060150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 fault needs to be shown by either the debtor or the creditor.</w:t>
      </w:r>
      <w:r>
        <w:rPr>
          <w:rStyle w:val="FootnoteReference"/>
          <w:rFonts w:ascii="Avenir Next" w:hAnsi="Avenir Next" w:cs="Arial"/>
          <w:color w:val="7B7B7B" w:themeColor="accent3" w:themeShade="BF"/>
          <w:sz w:val="22"/>
          <w:szCs w:val="22"/>
          <w:lang w:val="en-GB"/>
        </w:rPr>
        <w:footnoteReference w:id="8"/>
      </w:r>
    </w:p>
    <w:p w14:paraId="3BF9C719" w14:textId="7857D89B" w:rsidR="00601506" w:rsidRDefault="00601506" w:rsidP="00E41578">
      <w:pPr>
        <w:jc w:val="both"/>
        <w:rPr>
          <w:rFonts w:ascii="Avenir Next" w:hAnsi="Avenir Next" w:cs="Arial"/>
          <w:color w:val="7B7B7B" w:themeColor="accent3" w:themeShade="BF"/>
          <w:sz w:val="22"/>
          <w:szCs w:val="22"/>
          <w:lang w:val="en-GB"/>
        </w:rPr>
      </w:pPr>
    </w:p>
    <w:p w14:paraId="5D1D99EF" w14:textId="4414C62E" w:rsidR="00601506" w:rsidRDefault="0060150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elements are: </w:t>
      </w:r>
    </w:p>
    <w:p w14:paraId="6C03B145" w14:textId="64B486BF" w:rsidR="00601506" w:rsidRDefault="00601506" w:rsidP="00E41578">
      <w:pPr>
        <w:jc w:val="both"/>
        <w:rPr>
          <w:rFonts w:ascii="Avenir Next" w:hAnsi="Avenir Next" w:cs="Arial"/>
          <w:color w:val="7B7B7B" w:themeColor="accent3" w:themeShade="BF"/>
          <w:sz w:val="22"/>
          <w:szCs w:val="22"/>
          <w:lang w:val="en-GB"/>
        </w:rPr>
      </w:pPr>
    </w:p>
    <w:p w14:paraId="54A2202C" w14:textId="77777777" w:rsidR="00601506" w:rsidRDefault="00601506" w:rsidP="00601506">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Transfer of a debtor’s interest in property (like cash, shares, plant and equipment or granting securities/liens in appropriate circumstances);</w:t>
      </w:r>
    </w:p>
    <w:p w14:paraId="7CA22FC4" w14:textId="5543AF2C" w:rsidR="00601506" w:rsidRDefault="00601506" w:rsidP="00601506">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transfer is to, or for the benefit of, a creditor</w:t>
      </w:r>
      <w:r w:rsidR="00C7782E">
        <w:rPr>
          <w:rFonts w:ascii="Avenir Next" w:hAnsi="Avenir Next" w:cs="Arial"/>
          <w:color w:val="7B7B7B" w:themeColor="accent3" w:themeShade="BF"/>
          <w:sz w:val="22"/>
          <w:szCs w:val="22"/>
          <w:lang w:val="en-GB"/>
        </w:rPr>
        <w:t>;</w:t>
      </w:r>
    </w:p>
    <w:p w14:paraId="0CA80644" w14:textId="20A40281" w:rsidR="00C7782E" w:rsidRDefault="00C7782E" w:rsidP="00601506">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creditor’s debt must be pre-existing, and cannot be for payment for cash-on-delivery or for contemporaneous exchange;</w:t>
      </w:r>
      <w:r>
        <w:rPr>
          <w:rStyle w:val="FootnoteReference"/>
          <w:rFonts w:ascii="Avenir Next" w:hAnsi="Avenir Next" w:cs="Arial"/>
          <w:color w:val="7B7B7B" w:themeColor="accent3" w:themeShade="BF"/>
          <w:sz w:val="22"/>
          <w:szCs w:val="22"/>
          <w:lang w:val="en-GB"/>
        </w:rPr>
        <w:footnoteReference w:id="9"/>
      </w:r>
    </w:p>
    <w:p w14:paraId="4F00C855" w14:textId="427F94D4" w:rsidR="00C7782E" w:rsidRDefault="00C7782E" w:rsidP="00601506">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At a time when the debtor was insolvent. Insolvency is presumed in the 90 days preceding the petition,</w:t>
      </w:r>
      <w:r>
        <w:rPr>
          <w:rStyle w:val="FootnoteReference"/>
          <w:rFonts w:ascii="Avenir Next" w:hAnsi="Avenir Next" w:cs="Arial"/>
          <w:color w:val="7B7B7B" w:themeColor="accent3" w:themeShade="BF"/>
          <w:sz w:val="22"/>
          <w:szCs w:val="22"/>
          <w:lang w:val="en-GB"/>
        </w:rPr>
        <w:footnoteReference w:id="10"/>
      </w:r>
      <w:r>
        <w:rPr>
          <w:rFonts w:ascii="Avenir Next" w:hAnsi="Avenir Next" w:cs="Arial"/>
          <w:color w:val="7B7B7B" w:themeColor="accent3" w:themeShade="BF"/>
          <w:sz w:val="22"/>
          <w:szCs w:val="22"/>
          <w:lang w:val="en-GB"/>
        </w:rPr>
        <w:t xml:space="preserve"> but is rebuttable. Insolvency is assessed on a balance sheet test basis,</w:t>
      </w:r>
      <w:r>
        <w:rPr>
          <w:rStyle w:val="FootnoteReference"/>
          <w:rFonts w:ascii="Avenir Next" w:hAnsi="Avenir Next" w:cs="Arial"/>
          <w:color w:val="7B7B7B" w:themeColor="accent3" w:themeShade="BF"/>
          <w:sz w:val="22"/>
          <w:szCs w:val="22"/>
          <w:lang w:val="en-GB"/>
        </w:rPr>
        <w:footnoteReference w:id="11"/>
      </w:r>
      <w:r>
        <w:rPr>
          <w:rFonts w:ascii="Avenir Next" w:hAnsi="Avenir Next" w:cs="Arial"/>
          <w:color w:val="7B7B7B" w:themeColor="accent3" w:themeShade="BF"/>
          <w:sz w:val="22"/>
          <w:szCs w:val="22"/>
          <w:lang w:val="en-GB"/>
        </w:rPr>
        <w:t xml:space="preserve"> unlike many other countries (like Australia), which adopt a cash flow test</w:t>
      </w:r>
      <w:r w:rsidR="004F7CDD">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36E72B02" w14:textId="22D8CA9D" w:rsidR="00C7782E" w:rsidRDefault="004F7CDD" w:rsidP="00601506">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transfer occurred during the 90-day suspect period for third parties, or one year suspect period for related</w:t>
      </w:r>
      <w:r>
        <w:rPr>
          <w:rStyle w:val="FootnoteReference"/>
          <w:rFonts w:ascii="Avenir Next" w:hAnsi="Avenir Next" w:cs="Arial"/>
          <w:color w:val="7B7B7B" w:themeColor="accent3" w:themeShade="BF"/>
          <w:sz w:val="22"/>
          <w:szCs w:val="22"/>
          <w:lang w:val="en-GB"/>
        </w:rPr>
        <w:footnoteReference w:id="12"/>
      </w:r>
      <w:r>
        <w:rPr>
          <w:rFonts w:ascii="Avenir Next" w:hAnsi="Avenir Next" w:cs="Arial"/>
          <w:color w:val="7B7B7B" w:themeColor="accent3" w:themeShade="BF"/>
          <w:sz w:val="22"/>
          <w:szCs w:val="22"/>
          <w:lang w:val="en-GB"/>
        </w:rPr>
        <w:t xml:space="preserve"> parties; and</w:t>
      </w:r>
    </w:p>
    <w:p w14:paraId="02BC7B7D" w14:textId="7389F2E0" w:rsidR="004F7CDD" w:rsidRDefault="004F7CDD" w:rsidP="00601506">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transfer gives the creditor more than what they would have received in Chapter 7; and </w:t>
      </w:r>
    </w:p>
    <w:p w14:paraId="0E376122" w14:textId="71E1B708" w:rsidR="004F7CDD" w:rsidRPr="00601506" w:rsidRDefault="004F7CDD" w:rsidP="00601506">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 valid defence applies (like contemporaneous exchange, payment was in ordinary course, secured debt, liens, ‘net result rule’ and safe harbours for financial markets.</w:t>
      </w:r>
      <w:r>
        <w:rPr>
          <w:rStyle w:val="FootnoteReference"/>
          <w:rFonts w:ascii="Avenir Next" w:hAnsi="Avenir Next" w:cs="Arial"/>
          <w:color w:val="7B7B7B" w:themeColor="accent3" w:themeShade="BF"/>
          <w:sz w:val="22"/>
          <w:szCs w:val="22"/>
          <w:lang w:val="en-GB"/>
        </w:rPr>
        <w:footnoteReference w:id="13"/>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1C3586FB" w:rsidR="00E41578" w:rsidRDefault="004F7CD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Bankruptcy courts may enter a final order in relation to core matters.</w:t>
      </w:r>
      <w:r>
        <w:rPr>
          <w:rStyle w:val="FootnoteReference"/>
          <w:rFonts w:ascii="Avenir Next" w:hAnsi="Avenir Next" w:cs="Arial"/>
          <w:color w:val="7B7B7B" w:themeColor="accent3" w:themeShade="BF"/>
          <w:sz w:val="22"/>
          <w:szCs w:val="22"/>
          <w:lang w:val="en-GB"/>
        </w:rPr>
        <w:footnoteReference w:id="14"/>
      </w:r>
      <w:r>
        <w:rPr>
          <w:rFonts w:ascii="Avenir Next" w:hAnsi="Avenir Next" w:cs="Arial"/>
          <w:color w:val="7B7B7B" w:themeColor="accent3" w:themeShade="BF"/>
          <w:sz w:val="22"/>
          <w:szCs w:val="22"/>
          <w:lang w:val="en-GB"/>
        </w:rPr>
        <w:t xml:space="preserve"> Core matters include matters concerning the administration of an estate, proceedings to avoid preferences, determination of claims against the estate, etc.</w:t>
      </w:r>
      <w:r>
        <w:rPr>
          <w:rStyle w:val="FootnoteReference"/>
          <w:rFonts w:ascii="Avenir Next" w:hAnsi="Avenir Next" w:cs="Arial"/>
          <w:color w:val="7B7B7B" w:themeColor="accent3" w:themeShade="BF"/>
          <w:sz w:val="22"/>
          <w:szCs w:val="22"/>
          <w:lang w:val="en-GB"/>
        </w:rPr>
        <w:footnoteReference w:id="15"/>
      </w:r>
      <w:r>
        <w:rPr>
          <w:rFonts w:ascii="Avenir Next" w:hAnsi="Avenir Next" w:cs="Arial"/>
          <w:color w:val="7B7B7B" w:themeColor="accent3" w:themeShade="BF"/>
          <w:sz w:val="22"/>
          <w:szCs w:val="22"/>
          <w:lang w:val="en-GB"/>
        </w:rPr>
        <w:t xml:space="preserve"> </w:t>
      </w:r>
    </w:p>
    <w:p w14:paraId="4C88101E" w14:textId="1ADF2CF0" w:rsidR="004F7CDD" w:rsidRDefault="004F7CDD" w:rsidP="00E41578">
      <w:pPr>
        <w:jc w:val="both"/>
        <w:rPr>
          <w:rFonts w:ascii="Avenir Next" w:hAnsi="Avenir Next" w:cs="Arial"/>
          <w:color w:val="7B7B7B" w:themeColor="accent3" w:themeShade="BF"/>
          <w:sz w:val="22"/>
          <w:szCs w:val="22"/>
          <w:lang w:val="en-GB"/>
        </w:rPr>
      </w:pPr>
    </w:p>
    <w:p w14:paraId="7ECBA516" w14:textId="79690DDC" w:rsidR="004F7CDD" w:rsidRDefault="004F7CD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District Courts have been granted jurisdiction to hear and determine bankruptcy proceedings.</w:t>
      </w:r>
      <w:r>
        <w:rPr>
          <w:rStyle w:val="FootnoteReference"/>
          <w:rFonts w:ascii="Avenir Next" w:hAnsi="Avenir Next" w:cs="Arial"/>
          <w:color w:val="7B7B7B" w:themeColor="accent3" w:themeShade="BF"/>
          <w:sz w:val="22"/>
          <w:szCs w:val="22"/>
          <w:lang w:val="en-GB"/>
        </w:rPr>
        <w:footnoteReference w:id="16"/>
      </w:r>
      <w:r w:rsidR="001A3E2D">
        <w:rPr>
          <w:rFonts w:ascii="Avenir Next" w:hAnsi="Avenir Next" w:cs="Arial"/>
          <w:color w:val="7B7B7B" w:themeColor="accent3" w:themeShade="BF"/>
          <w:sz w:val="22"/>
          <w:szCs w:val="22"/>
          <w:lang w:val="en-GB"/>
        </w:rPr>
        <w:t xml:space="preserve"> However, that depends if there is another basis for the matter in federal jurisdiction.</w:t>
      </w:r>
      <w:r w:rsidR="001A3E2D">
        <w:rPr>
          <w:rStyle w:val="FootnoteReference"/>
          <w:rFonts w:ascii="Avenir Next" w:hAnsi="Avenir Next" w:cs="Arial"/>
          <w:color w:val="7B7B7B" w:themeColor="accent3" w:themeShade="BF"/>
          <w:sz w:val="22"/>
          <w:szCs w:val="22"/>
          <w:lang w:val="en-GB"/>
        </w:rPr>
        <w:footnoteReference w:id="17"/>
      </w:r>
    </w:p>
    <w:p w14:paraId="4E45A463" w14:textId="60C0405B" w:rsidR="001A3E2D" w:rsidRDefault="001A3E2D" w:rsidP="00E41578">
      <w:pPr>
        <w:jc w:val="both"/>
        <w:rPr>
          <w:rFonts w:ascii="Avenir Next" w:hAnsi="Avenir Next" w:cs="Arial"/>
          <w:color w:val="7B7B7B" w:themeColor="accent3" w:themeShade="BF"/>
          <w:sz w:val="22"/>
          <w:szCs w:val="22"/>
          <w:lang w:val="en-GB"/>
        </w:rPr>
      </w:pPr>
    </w:p>
    <w:p w14:paraId="4A71CD75" w14:textId="47C3EF23" w:rsidR="001A3E2D" w:rsidRDefault="001A3E2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matter is non-core, then the bankruptcy court may nonetheless hear (but not decide) the matter if it is sufficiently connected to the bankruptcy proceeding in question.</w:t>
      </w:r>
      <w:r>
        <w:rPr>
          <w:rStyle w:val="FootnoteReference"/>
          <w:rFonts w:ascii="Avenir Next" w:hAnsi="Avenir Next" w:cs="Arial"/>
          <w:color w:val="7B7B7B" w:themeColor="accent3" w:themeShade="BF"/>
          <w:sz w:val="22"/>
          <w:szCs w:val="22"/>
          <w:lang w:val="en-GB"/>
        </w:rPr>
        <w:footnoteReference w:id="18"/>
      </w:r>
      <w:r>
        <w:rPr>
          <w:rFonts w:ascii="Avenir Next" w:hAnsi="Avenir Next" w:cs="Arial"/>
          <w:color w:val="7B7B7B" w:themeColor="accent3" w:themeShade="BF"/>
          <w:sz w:val="22"/>
          <w:szCs w:val="22"/>
          <w:lang w:val="en-GB"/>
        </w:rPr>
        <w:t xml:space="preserve"> The bankruptcy court instead provides findings of fact and law to the district court for final determination.</w:t>
      </w:r>
      <w:r>
        <w:rPr>
          <w:rStyle w:val="FootnoteReference"/>
          <w:rFonts w:ascii="Avenir Next" w:hAnsi="Avenir Next" w:cs="Arial"/>
          <w:color w:val="7B7B7B" w:themeColor="accent3" w:themeShade="BF"/>
          <w:sz w:val="22"/>
          <w:szCs w:val="22"/>
          <w:lang w:val="en-GB"/>
        </w:rPr>
        <w:footnoteReference w:id="19"/>
      </w:r>
      <w:r>
        <w:rPr>
          <w:rFonts w:ascii="Avenir Next" w:hAnsi="Avenir Next" w:cs="Arial"/>
          <w:color w:val="7B7B7B" w:themeColor="accent3" w:themeShade="BF"/>
          <w:sz w:val="22"/>
          <w:szCs w:val="22"/>
          <w:lang w:val="en-GB"/>
        </w:rPr>
        <w:t xml:space="preserve"> </w:t>
      </w:r>
    </w:p>
    <w:p w14:paraId="42B9EF60" w14:textId="415D8391" w:rsidR="001A3E2D" w:rsidRDefault="001A3E2D" w:rsidP="00E41578">
      <w:pPr>
        <w:jc w:val="both"/>
        <w:rPr>
          <w:rFonts w:ascii="Avenir Next" w:hAnsi="Avenir Next" w:cs="Arial"/>
          <w:color w:val="7B7B7B" w:themeColor="accent3" w:themeShade="BF"/>
          <w:sz w:val="22"/>
          <w:szCs w:val="22"/>
          <w:lang w:val="en-GB"/>
        </w:rPr>
      </w:pPr>
    </w:p>
    <w:p w14:paraId="3B8D1AE2" w14:textId="159D9A05" w:rsidR="001A3E2D" w:rsidRPr="00E41578" w:rsidRDefault="001A3E2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determination of whether a matter is core or non-core initially relies on the motion/pleading of each respective party to the bankruptcy court, so that the bankruptcy court can decide its jurisdiction.</w:t>
      </w:r>
    </w:p>
    <w:p w14:paraId="37B4DE3A" w14:textId="1AB63B0B" w:rsidR="00E01803" w:rsidRDefault="00E01803"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05059782" w:rsidR="00E41578" w:rsidRDefault="001A3E2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Provisions that automatically apply upon recognition of a foreign main proceeding include:</w:t>
      </w:r>
      <w:r>
        <w:rPr>
          <w:rStyle w:val="FootnoteReference"/>
          <w:rFonts w:ascii="Avenir Next" w:hAnsi="Avenir Next" w:cs="Arial"/>
          <w:color w:val="7B7B7B" w:themeColor="accent3" w:themeShade="BF"/>
          <w:sz w:val="22"/>
          <w:szCs w:val="22"/>
          <w:lang w:val="en-GB"/>
        </w:rPr>
        <w:footnoteReference w:id="20"/>
      </w:r>
    </w:p>
    <w:p w14:paraId="0B54C651" w14:textId="4E48C726" w:rsidR="001A3E2D" w:rsidRDefault="001A3E2D" w:rsidP="00E41578">
      <w:pPr>
        <w:jc w:val="both"/>
        <w:rPr>
          <w:rFonts w:ascii="Avenir Next" w:hAnsi="Avenir Next" w:cs="Arial"/>
          <w:color w:val="7B7B7B" w:themeColor="accent3" w:themeShade="BF"/>
          <w:sz w:val="22"/>
          <w:szCs w:val="22"/>
          <w:lang w:val="en-GB"/>
        </w:rPr>
      </w:pPr>
    </w:p>
    <w:p w14:paraId="590CDFB5" w14:textId="1338AD18" w:rsidR="001A3E2D" w:rsidRDefault="001A3E2D" w:rsidP="00394FAB">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Stay of proceedings (11 USC section 1520(c));</w:t>
      </w:r>
    </w:p>
    <w:p w14:paraId="00552726" w14:textId="782DE8FC" w:rsidR="001A3E2D" w:rsidRDefault="001A3E2D" w:rsidP="00394FAB">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Operation of the debtor’s business in the ordinary course by a foreign representative;</w:t>
      </w:r>
    </w:p>
    <w:p w14:paraId="14500BFA" w14:textId="0AD36A26" w:rsidR="001A3E2D" w:rsidRDefault="001A3E2D" w:rsidP="00394FAB">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Sale/transfer/use of the debtor’s property, in the ordinary course;</w:t>
      </w:r>
      <w:r w:rsidR="00394FAB">
        <w:rPr>
          <w:rFonts w:ascii="Avenir Next" w:hAnsi="Avenir Next" w:cs="Arial"/>
          <w:color w:val="7B7B7B" w:themeColor="accent3" w:themeShade="BF"/>
          <w:sz w:val="22"/>
          <w:szCs w:val="22"/>
          <w:lang w:val="en-GB"/>
        </w:rPr>
        <w:t xml:space="preserve"> and</w:t>
      </w:r>
    </w:p>
    <w:p w14:paraId="7EA6749F" w14:textId="65428BC4" w:rsidR="001A3E2D" w:rsidRDefault="001A3E2D" w:rsidP="00394FAB">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Avoidance of post-petition transfers/security.</w:t>
      </w:r>
    </w:p>
    <w:p w14:paraId="44F8CF58" w14:textId="6592615B" w:rsidR="001A3E2D" w:rsidRDefault="001A3E2D" w:rsidP="001A3E2D">
      <w:pPr>
        <w:jc w:val="both"/>
        <w:rPr>
          <w:rFonts w:ascii="Avenir Next" w:hAnsi="Avenir Next" w:cs="Arial"/>
          <w:color w:val="7B7B7B" w:themeColor="accent3" w:themeShade="BF"/>
          <w:sz w:val="22"/>
          <w:szCs w:val="22"/>
          <w:lang w:val="en-GB"/>
        </w:rPr>
      </w:pPr>
    </w:p>
    <w:p w14:paraId="3BADBE65" w14:textId="1938AF96" w:rsidR="001A3E2D" w:rsidRDefault="001A3E2D" w:rsidP="001A3E2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Discretionary relief includes:</w:t>
      </w:r>
      <w:r>
        <w:rPr>
          <w:rStyle w:val="FootnoteReference"/>
          <w:rFonts w:ascii="Avenir Next" w:hAnsi="Avenir Next" w:cs="Arial"/>
          <w:color w:val="7B7B7B" w:themeColor="accent3" w:themeShade="BF"/>
          <w:sz w:val="22"/>
          <w:szCs w:val="22"/>
          <w:lang w:val="en-GB"/>
        </w:rPr>
        <w:footnoteReference w:id="21"/>
      </w:r>
    </w:p>
    <w:p w14:paraId="6BE6ADE9" w14:textId="0BAAB098" w:rsidR="001A3E2D" w:rsidRDefault="001A3E2D" w:rsidP="001A3E2D">
      <w:pPr>
        <w:jc w:val="both"/>
        <w:rPr>
          <w:rFonts w:ascii="Avenir Next" w:hAnsi="Avenir Next" w:cs="Arial"/>
          <w:color w:val="7B7B7B" w:themeColor="accent3" w:themeShade="BF"/>
          <w:sz w:val="22"/>
          <w:szCs w:val="22"/>
          <w:lang w:val="en-GB"/>
        </w:rPr>
      </w:pPr>
    </w:p>
    <w:p w14:paraId="1B68C52D" w14:textId="325E4BA1" w:rsidR="00394FAB" w:rsidRDefault="00394FAB" w:rsidP="00394FAB">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Discovery of a debtor’s affairs;</w:t>
      </w:r>
    </w:p>
    <w:p w14:paraId="630E68CD" w14:textId="05FF6695" w:rsidR="00394FAB" w:rsidRDefault="00394FAB" w:rsidP="00394FAB">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Entrusting the debtor’s assets/business with the foreign representative (or others);</w:t>
      </w:r>
    </w:p>
    <w:p w14:paraId="63A75EF1" w14:textId="0C6238A3" w:rsidR="00394FAB" w:rsidRDefault="00394FAB" w:rsidP="00394FAB">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Extension of provisional relief; and</w:t>
      </w:r>
    </w:p>
    <w:p w14:paraId="1562A1C6" w14:textId="6B9BDF1D" w:rsidR="00394FAB" w:rsidRPr="00394FAB" w:rsidRDefault="00394FAB" w:rsidP="00394FAB">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other relief necessary to effectuate Chapter 15 or consistent with the principle of comity.</w:t>
      </w:r>
      <w:r>
        <w:rPr>
          <w:rStyle w:val="FootnoteReference"/>
          <w:rFonts w:ascii="Avenir Next" w:hAnsi="Avenir Next" w:cs="Arial"/>
          <w:color w:val="7B7B7B" w:themeColor="accent3" w:themeShade="BF"/>
          <w:sz w:val="22"/>
          <w:szCs w:val="22"/>
          <w:lang w:val="en-GB"/>
        </w:rPr>
        <w:footnoteReference w:id="22"/>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lastRenderedPageBreak/>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286D421C" w:rsidR="00E41578" w:rsidRDefault="00BB635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ordinary course of business, the overriding duty of a director is the fiduciary duty of loyalty the company’s best interest and a duty of care in educated decision-making.</w:t>
      </w:r>
      <w:r>
        <w:rPr>
          <w:rStyle w:val="FootnoteReference"/>
          <w:rFonts w:ascii="Avenir Next" w:hAnsi="Avenir Next" w:cs="Arial"/>
          <w:color w:val="7B7B7B" w:themeColor="accent3" w:themeShade="BF"/>
          <w:sz w:val="22"/>
          <w:szCs w:val="22"/>
          <w:lang w:val="en-GB"/>
        </w:rPr>
        <w:footnoteReference w:id="23"/>
      </w:r>
      <w:r>
        <w:rPr>
          <w:rFonts w:ascii="Avenir Next" w:hAnsi="Avenir Next" w:cs="Arial"/>
          <w:color w:val="7B7B7B" w:themeColor="accent3" w:themeShade="BF"/>
          <w:sz w:val="22"/>
          <w:szCs w:val="22"/>
          <w:lang w:val="en-GB"/>
        </w:rPr>
        <w:t xml:space="preserve"> </w:t>
      </w:r>
    </w:p>
    <w:p w14:paraId="05C4CE74" w14:textId="6A30E7A5" w:rsidR="00BB6357" w:rsidRDefault="00BB6357" w:rsidP="00E41578">
      <w:pPr>
        <w:jc w:val="both"/>
        <w:rPr>
          <w:rFonts w:ascii="Avenir Next" w:hAnsi="Avenir Next" w:cs="Arial"/>
          <w:color w:val="7B7B7B" w:themeColor="accent3" w:themeShade="BF"/>
          <w:sz w:val="22"/>
          <w:szCs w:val="22"/>
          <w:lang w:val="en-GB"/>
        </w:rPr>
      </w:pPr>
    </w:p>
    <w:p w14:paraId="27C859A1" w14:textId="44B0A32F" w:rsidR="00BB6357" w:rsidRDefault="00BB635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may be protected by the business judgement rule from liability for errors of judgment; in that they are presumed to have acted in good faith in reliance on reasonable information. To rebut that presumption, one needs to show that the majority of the board: </w:t>
      </w:r>
    </w:p>
    <w:p w14:paraId="7E17E42E" w14:textId="77777777" w:rsidR="00BB6357" w:rsidRDefault="00BB6357" w:rsidP="00E41578">
      <w:pPr>
        <w:jc w:val="both"/>
        <w:rPr>
          <w:rFonts w:ascii="Avenir Next" w:hAnsi="Avenir Next" w:cs="Arial"/>
          <w:color w:val="7B7B7B" w:themeColor="accent3" w:themeShade="BF"/>
          <w:sz w:val="22"/>
          <w:szCs w:val="22"/>
          <w:lang w:val="en-GB"/>
        </w:rPr>
      </w:pPr>
    </w:p>
    <w:p w14:paraId="55D117E2" w14:textId="77777777" w:rsidR="00BB6357" w:rsidRDefault="00BB6357" w:rsidP="00BB6357">
      <w:pPr>
        <w:pStyle w:val="ListParagraph"/>
        <w:numPr>
          <w:ilvl w:val="0"/>
          <w:numId w:val="32"/>
        </w:numPr>
        <w:jc w:val="both"/>
        <w:rPr>
          <w:rFonts w:ascii="Avenir Next" w:hAnsi="Avenir Next" w:cs="Arial"/>
          <w:color w:val="7B7B7B" w:themeColor="accent3" w:themeShade="BF"/>
          <w:sz w:val="22"/>
          <w:szCs w:val="22"/>
          <w:lang w:val="en-GB"/>
        </w:rPr>
      </w:pPr>
      <w:r w:rsidRPr="00BB6357">
        <w:rPr>
          <w:rFonts w:ascii="Avenir Next" w:hAnsi="Avenir Next" w:cs="Arial"/>
          <w:color w:val="7B7B7B" w:themeColor="accent3" w:themeShade="BF"/>
          <w:sz w:val="22"/>
          <w:szCs w:val="22"/>
          <w:lang w:val="en-GB"/>
        </w:rPr>
        <w:t>was not reasonably informed</w:t>
      </w:r>
      <w:r>
        <w:rPr>
          <w:rFonts w:ascii="Avenir Next" w:hAnsi="Avenir Next" w:cs="Arial"/>
          <w:color w:val="7B7B7B" w:themeColor="accent3" w:themeShade="BF"/>
          <w:sz w:val="22"/>
          <w:szCs w:val="22"/>
          <w:lang w:val="en-GB"/>
        </w:rPr>
        <w:t>;</w:t>
      </w:r>
      <w:r w:rsidRPr="00BB6357">
        <w:rPr>
          <w:rFonts w:ascii="Avenir Next" w:hAnsi="Avenir Next" w:cs="Arial"/>
          <w:color w:val="7B7B7B" w:themeColor="accent3" w:themeShade="BF"/>
          <w:sz w:val="22"/>
          <w:szCs w:val="22"/>
          <w:lang w:val="en-GB"/>
        </w:rPr>
        <w:t xml:space="preserve"> </w:t>
      </w:r>
    </w:p>
    <w:p w14:paraId="12A12DAF" w14:textId="47710F07" w:rsidR="00BB6357" w:rsidRDefault="00BB6357" w:rsidP="00BB6357">
      <w:pPr>
        <w:pStyle w:val="ListParagraph"/>
        <w:numPr>
          <w:ilvl w:val="0"/>
          <w:numId w:val="32"/>
        </w:numPr>
        <w:jc w:val="both"/>
        <w:rPr>
          <w:rFonts w:ascii="Avenir Next" w:hAnsi="Avenir Next" w:cs="Arial"/>
          <w:color w:val="7B7B7B" w:themeColor="accent3" w:themeShade="BF"/>
          <w:sz w:val="22"/>
          <w:szCs w:val="22"/>
          <w:lang w:val="en-GB"/>
        </w:rPr>
      </w:pPr>
      <w:r w:rsidRPr="00BB6357">
        <w:rPr>
          <w:rFonts w:ascii="Avenir Next" w:hAnsi="Avenir Next" w:cs="Arial"/>
          <w:color w:val="7B7B7B" w:themeColor="accent3" w:themeShade="BF"/>
          <w:sz w:val="22"/>
          <w:szCs w:val="22"/>
          <w:lang w:val="en-GB"/>
        </w:rPr>
        <w:t>did not have a reasonably honest belief that their decision/actions were in the best interest of the company</w:t>
      </w:r>
      <w:r>
        <w:rPr>
          <w:rFonts w:ascii="Avenir Next" w:hAnsi="Avenir Next" w:cs="Arial"/>
          <w:color w:val="7B7B7B" w:themeColor="accent3" w:themeShade="BF"/>
          <w:sz w:val="22"/>
          <w:szCs w:val="22"/>
          <w:lang w:val="en-GB"/>
        </w:rPr>
        <w:t>;</w:t>
      </w:r>
      <w:r w:rsidRPr="00BB6357">
        <w:rPr>
          <w:rFonts w:ascii="Avenir Next" w:hAnsi="Avenir Next" w:cs="Arial"/>
          <w:color w:val="7B7B7B" w:themeColor="accent3" w:themeShade="BF"/>
          <w:sz w:val="22"/>
          <w:szCs w:val="22"/>
          <w:lang w:val="en-GB"/>
        </w:rPr>
        <w:t xml:space="preserve"> </w:t>
      </w:r>
    </w:p>
    <w:p w14:paraId="713384EC" w14:textId="5E0FC283" w:rsidR="00BB6357" w:rsidRDefault="00BB6357" w:rsidP="00BB6357">
      <w:pPr>
        <w:pStyle w:val="ListParagraph"/>
        <w:numPr>
          <w:ilvl w:val="0"/>
          <w:numId w:val="32"/>
        </w:numPr>
        <w:jc w:val="both"/>
        <w:rPr>
          <w:rFonts w:ascii="Avenir Next" w:hAnsi="Avenir Next" w:cs="Arial"/>
          <w:color w:val="7B7B7B" w:themeColor="accent3" w:themeShade="BF"/>
          <w:sz w:val="22"/>
          <w:szCs w:val="22"/>
          <w:lang w:val="en-GB"/>
        </w:rPr>
      </w:pPr>
      <w:r w:rsidRPr="00BB6357">
        <w:rPr>
          <w:rFonts w:ascii="Avenir Next" w:hAnsi="Avenir Next" w:cs="Arial"/>
          <w:color w:val="7B7B7B" w:themeColor="accent3" w:themeShade="BF"/>
          <w:sz w:val="22"/>
          <w:szCs w:val="22"/>
          <w:lang w:val="en-GB"/>
        </w:rPr>
        <w:t>were not acting in good faith</w:t>
      </w:r>
      <w:r>
        <w:rPr>
          <w:rFonts w:ascii="Avenir Next" w:hAnsi="Avenir Next" w:cs="Arial"/>
          <w:color w:val="7B7B7B" w:themeColor="accent3" w:themeShade="BF"/>
          <w:sz w:val="22"/>
          <w:szCs w:val="22"/>
          <w:lang w:val="en-GB"/>
        </w:rPr>
        <w:t>; or</w:t>
      </w:r>
    </w:p>
    <w:p w14:paraId="1DA60504" w14:textId="361D2834" w:rsidR="00BB6357" w:rsidRPr="00BB6357" w:rsidRDefault="00BB6357" w:rsidP="00BB6357">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were not disinterested or independent.</w:t>
      </w:r>
    </w:p>
    <w:p w14:paraId="4A07A2C3" w14:textId="179C1A60" w:rsidR="00E01803" w:rsidRDefault="00E01803" w:rsidP="000778B1">
      <w:pPr>
        <w:pStyle w:val="AODocTxt"/>
        <w:spacing w:before="0" w:line="240" w:lineRule="auto"/>
        <w:rPr>
          <w:rFonts w:ascii="Avenir Next" w:hAnsi="Avenir Next"/>
        </w:rPr>
      </w:pPr>
    </w:p>
    <w:p w14:paraId="5AAC934A" w14:textId="2F673BD2" w:rsidR="00BB6357" w:rsidRDefault="00BB6357" w:rsidP="000778B1">
      <w:pPr>
        <w:pStyle w:val="AODocTxt"/>
        <w:spacing w:before="0" w:line="240" w:lineRule="auto"/>
        <w:rPr>
          <w:rFonts w:ascii="Avenir Next" w:hAnsi="Avenir Next"/>
        </w:rPr>
      </w:pPr>
      <w:r>
        <w:rPr>
          <w:rFonts w:ascii="Avenir Next" w:hAnsi="Avenir Next" w:cs="Arial"/>
          <w:color w:val="7B7B7B" w:themeColor="accent3" w:themeShade="BF"/>
          <w:lang w:val="en-GB"/>
        </w:rPr>
        <w:t>These duties are to the company and its shareholders, not creditors. This is so even where the company is insolvent (or likely to become insolvent).</w:t>
      </w:r>
      <w:r>
        <w:rPr>
          <w:rStyle w:val="FootnoteReference"/>
          <w:rFonts w:ascii="Avenir Next" w:hAnsi="Avenir Next" w:cs="Arial"/>
          <w:color w:val="7B7B7B" w:themeColor="accent3" w:themeShade="BF"/>
          <w:lang w:val="en-GB"/>
        </w:rPr>
        <w:footnoteReference w:id="24"/>
      </w:r>
      <w:r>
        <w:rPr>
          <w:rFonts w:ascii="Avenir Next" w:hAnsi="Avenir Next" w:cs="Arial"/>
          <w:color w:val="7B7B7B" w:themeColor="accent3" w:themeShade="BF"/>
          <w:lang w:val="en-GB"/>
        </w:rPr>
        <w:t xml:space="preserve"> This means that there is no obligation on the board to cease trading in insolvency-related circumstances.</w:t>
      </w:r>
      <w:r>
        <w:rPr>
          <w:rStyle w:val="FootnoteReference"/>
          <w:rFonts w:ascii="Avenir Next" w:hAnsi="Avenir Next" w:cs="Arial"/>
          <w:color w:val="7B7B7B" w:themeColor="accent3" w:themeShade="BF"/>
          <w:lang w:val="en-GB"/>
        </w:rPr>
        <w:footnoteReference w:id="25"/>
      </w:r>
      <w:r>
        <w:rPr>
          <w:rFonts w:ascii="Avenir Next" w:hAnsi="Avenir Next" w:cs="Arial"/>
          <w:color w:val="7B7B7B" w:themeColor="accent3" w:themeShade="BF"/>
          <w:lang w:val="en-GB"/>
        </w:rPr>
        <w:t xml:space="preserve"> </w:t>
      </w: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30C863E3" w:rsidR="00F03051" w:rsidRPr="006958C1" w:rsidRDefault="00F62818"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Involuntary proceedings may be commenced by a petitioning creditor under only Chapter 7 or Chapter 11.</w:t>
      </w:r>
      <w:r>
        <w:rPr>
          <w:rStyle w:val="FootnoteReference"/>
          <w:rFonts w:ascii="Avenir Next" w:hAnsi="Avenir Next" w:cs="Arial"/>
          <w:color w:val="7B7B7B" w:themeColor="accent3" w:themeShade="BF"/>
          <w:sz w:val="22"/>
          <w:szCs w:val="22"/>
          <w:lang w:val="en-GB"/>
        </w:rPr>
        <w:footnoteReference w:id="26"/>
      </w:r>
      <w:r>
        <w:rPr>
          <w:rFonts w:ascii="Avenir Next" w:hAnsi="Avenir Next" w:cs="Arial"/>
          <w:color w:val="7B7B7B" w:themeColor="accent3" w:themeShade="BF"/>
          <w:sz w:val="22"/>
          <w:szCs w:val="22"/>
          <w:lang w:val="en-GB"/>
        </w:rPr>
        <w:t xml:space="preserve"> To apply for involuntary proceedings, at least one petitioning creditor must file proceedings (where there is fewer than 12 prescribed creditors); or at least three petitioning creditors, where there are more than 12 prescribed creditors.</w:t>
      </w:r>
      <w:r w:rsidR="006958C1">
        <w:rPr>
          <w:rFonts w:ascii="Avenir Next" w:hAnsi="Avenir Next" w:cs="Arial"/>
          <w:color w:val="7B7B7B" w:themeColor="accent3" w:themeShade="BF"/>
          <w:sz w:val="22"/>
          <w:szCs w:val="22"/>
          <w:lang w:val="en-GB"/>
        </w:rPr>
        <w:t xml:space="preserve"> Also, the petition must (</w:t>
      </w:r>
      <w:r w:rsidR="006958C1">
        <w:rPr>
          <w:rFonts w:ascii="Avenir Next" w:hAnsi="Avenir Next" w:cs="Arial"/>
          <w:i/>
          <w:iCs/>
          <w:color w:val="7B7B7B" w:themeColor="accent3" w:themeShade="BF"/>
          <w:sz w:val="22"/>
          <w:szCs w:val="22"/>
          <w:lang w:val="en-GB"/>
        </w:rPr>
        <w:t>inter alia</w:t>
      </w:r>
      <w:r w:rsidR="006958C1">
        <w:rPr>
          <w:rFonts w:ascii="Avenir Next" w:hAnsi="Avenir Next" w:cs="Arial"/>
          <w:color w:val="7B7B7B" w:themeColor="accent3" w:themeShade="BF"/>
          <w:sz w:val="22"/>
          <w:szCs w:val="22"/>
          <w:lang w:val="en-GB"/>
        </w:rPr>
        <w:t>) allege</w:t>
      </w:r>
      <w:r w:rsidR="006958C1" w:rsidRPr="006958C1">
        <w:rPr>
          <w:rFonts w:ascii="Avenir Next" w:hAnsi="Avenir Next" w:cs="Arial"/>
          <w:color w:val="7B7B7B" w:themeColor="accent3" w:themeShade="BF"/>
          <w:sz w:val="22"/>
          <w:szCs w:val="22"/>
          <w:lang w:val="en-GB"/>
        </w:rPr>
        <w:t xml:space="preserve"> </w:t>
      </w:r>
      <w:r w:rsidR="006958C1">
        <w:rPr>
          <w:rFonts w:ascii="Avenir Next" w:hAnsi="Avenir Next" w:cs="Arial"/>
          <w:color w:val="7B7B7B" w:themeColor="accent3" w:themeShade="BF"/>
          <w:sz w:val="22"/>
          <w:szCs w:val="22"/>
          <w:lang w:val="en-GB"/>
        </w:rPr>
        <w:t>that the debtor is generally not paying its debts when due.</w:t>
      </w:r>
      <w:r w:rsidR="006958C1">
        <w:rPr>
          <w:rStyle w:val="FootnoteReference"/>
          <w:rFonts w:ascii="Avenir Next" w:hAnsi="Avenir Next" w:cs="Arial"/>
          <w:color w:val="7B7B7B" w:themeColor="accent3" w:themeShade="BF"/>
          <w:sz w:val="22"/>
          <w:szCs w:val="22"/>
          <w:lang w:val="en-GB"/>
        </w:rPr>
        <w:footnoteReference w:id="27"/>
      </w:r>
    </w:p>
    <w:p w14:paraId="60BB837D" w14:textId="14B02A74" w:rsidR="00F62818" w:rsidRDefault="00F62818" w:rsidP="00F03051">
      <w:pPr>
        <w:jc w:val="both"/>
        <w:rPr>
          <w:rFonts w:ascii="Avenir Next" w:hAnsi="Avenir Next" w:cs="Arial"/>
          <w:color w:val="7B7B7B" w:themeColor="accent3" w:themeShade="BF"/>
          <w:sz w:val="22"/>
          <w:szCs w:val="22"/>
          <w:lang w:val="en-GB"/>
        </w:rPr>
      </w:pPr>
    </w:p>
    <w:p w14:paraId="45596807" w14:textId="092AD705" w:rsidR="00F62818" w:rsidRDefault="00F62818"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qualify, the petitioning creditor must have a claim against the debtor that is:</w:t>
      </w:r>
    </w:p>
    <w:p w14:paraId="66F06951" w14:textId="30052CE8" w:rsidR="00F62818" w:rsidRDefault="00F62818" w:rsidP="00F03051">
      <w:pPr>
        <w:jc w:val="both"/>
        <w:rPr>
          <w:rFonts w:ascii="Avenir Next" w:hAnsi="Avenir Next" w:cs="Arial"/>
          <w:color w:val="7B7B7B" w:themeColor="accent3" w:themeShade="BF"/>
          <w:sz w:val="22"/>
          <w:szCs w:val="22"/>
          <w:lang w:val="en-GB"/>
        </w:rPr>
      </w:pPr>
    </w:p>
    <w:p w14:paraId="51988A03" w14:textId="069CE14D" w:rsidR="00F62818" w:rsidRDefault="00F62818" w:rsidP="006958C1">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non-contingent debt – ie a debt that is not contingent on the happening of a future event or one that is unmatured. An example of a non-contingent debt would be a trade creditor owed money from a customer. An example of a contingent debt would be an unliquidated damage claim from say a tort;</w:t>
      </w:r>
    </w:p>
    <w:p w14:paraId="691A467B" w14:textId="3EF21754" w:rsidR="00F62818" w:rsidRDefault="00F62818" w:rsidP="006958C1">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 bona fide – ie not subject to dispute, even if only in part. A bona fide dispute is one in which there is an objective (cannot be subjective), reasonable basis for the dispute on factual/legal grounds. A bona fide dispute example may be that the customer can </w:t>
      </w:r>
      <w:r w:rsidR="006958C1">
        <w:rPr>
          <w:rFonts w:ascii="Avenir Next" w:hAnsi="Avenir Next" w:cs="Arial"/>
          <w:color w:val="7B7B7B" w:themeColor="accent3" w:themeShade="BF"/>
          <w:sz w:val="22"/>
          <w:szCs w:val="22"/>
          <w:lang w:val="en-GB"/>
        </w:rPr>
        <w:t>evidence</w:t>
      </w:r>
      <w:r>
        <w:rPr>
          <w:rFonts w:ascii="Avenir Next" w:hAnsi="Avenir Next" w:cs="Arial"/>
          <w:color w:val="7B7B7B" w:themeColor="accent3" w:themeShade="BF"/>
          <w:sz w:val="22"/>
          <w:szCs w:val="22"/>
          <w:lang w:val="en-GB"/>
        </w:rPr>
        <w:t xml:space="preserve"> that the delivery of goods from the supplier was never </w:t>
      </w:r>
      <w:r w:rsidR="006958C1">
        <w:rPr>
          <w:rFonts w:ascii="Avenir Next" w:hAnsi="Avenir Next" w:cs="Arial"/>
          <w:color w:val="7B7B7B" w:themeColor="accent3" w:themeShade="BF"/>
          <w:sz w:val="22"/>
          <w:szCs w:val="22"/>
          <w:lang w:val="en-GB"/>
        </w:rPr>
        <w:t>achieved and therefore there is no debt</w:t>
      </w:r>
      <w:r>
        <w:rPr>
          <w:rFonts w:ascii="Avenir Next" w:hAnsi="Avenir Next" w:cs="Arial"/>
          <w:color w:val="7B7B7B" w:themeColor="accent3" w:themeShade="BF"/>
          <w:sz w:val="22"/>
          <w:szCs w:val="22"/>
          <w:lang w:val="en-GB"/>
        </w:rPr>
        <w:t>; and</w:t>
      </w:r>
    </w:p>
    <w:p w14:paraId="5FF470CA" w14:textId="2CCCD469" w:rsidR="00F62818" w:rsidRDefault="00F62818" w:rsidP="006958C1">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unsecured (or in respect of a shortfall amount of a secured debt) in the aggregate amount of at least USD 16,750 (subject to periodical change).</w:t>
      </w: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lastRenderedPageBreak/>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2B1E5C7E" w:rsidR="00F03051" w:rsidRDefault="002D349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worldwide automatic stay is extremely broad under the Bankruptcy Code, which is said to include a stay on:</w:t>
      </w:r>
      <w:r>
        <w:rPr>
          <w:rStyle w:val="FootnoteReference"/>
          <w:rFonts w:ascii="Avenir Next" w:hAnsi="Avenir Next" w:cs="Arial"/>
          <w:color w:val="7B7B7B" w:themeColor="accent3" w:themeShade="BF"/>
          <w:sz w:val="22"/>
          <w:szCs w:val="22"/>
          <w:lang w:val="en-GB"/>
        </w:rPr>
        <w:footnoteReference w:id="28"/>
      </w:r>
    </w:p>
    <w:p w14:paraId="505D3A8D" w14:textId="239C0B0A" w:rsidR="002D3490" w:rsidRDefault="002D3490" w:rsidP="00F03051">
      <w:pPr>
        <w:jc w:val="both"/>
        <w:rPr>
          <w:rFonts w:ascii="Avenir Next" w:hAnsi="Avenir Next" w:cs="Arial"/>
          <w:color w:val="7B7B7B" w:themeColor="accent3" w:themeShade="BF"/>
          <w:sz w:val="22"/>
          <w:szCs w:val="22"/>
          <w:lang w:val="en-GB"/>
        </w:rPr>
      </w:pPr>
    </w:p>
    <w:p w14:paraId="346053FA" w14:textId="36F3BAF7" w:rsidR="002D3490" w:rsidRDefault="002D3490" w:rsidP="002D3490">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litigation of pre-petition claims – this would likely include the delinquent lease (to the extent damages are claimed), the margin loan default or employment discrimination;</w:t>
      </w:r>
    </w:p>
    <w:p w14:paraId="3AEA050C" w14:textId="5C07601E" w:rsidR="002D3490" w:rsidRDefault="002D3490" w:rsidP="002D3490">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enforcement of pre-petition judgment against the estate, including any act to obtain possession or control of property;</w:t>
      </w:r>
    </w:p>
    <w:p w14:paraId="35DE73DE" w14:textId="52A4A919" w:rsidR="002D3490" w:rsidRDefault="002D3490" w:rsidP="002D3490">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perfection or creation of a lien/charge over the estate’s assets;</w:t>
      </w:r>
    </w:p>
    <w:p w14:paraId="11F80F15" w14:textId="464E0660" w:rsidR="002D3490" w:rsidRDefault="002D3490" w:rsidP="002D3490">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attempts to collect on pre-petition claims; or </w:t>
      </w:r>
    </w:p>
    <w:p w14:paraId="3A576F6F" w14:textId="58363CA2" w:rsidR="002D3490" w:rsidRDefault="002D3490" w:rsidP="002D3490">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set-off.</w:t>
      </w:r>
    </w:p>
    <w:p w14:paraId="33C106FE" w14:textId="3F682B7D" w:rsidR="002D3490" w:rsidRDefault="002D3490" w:rsidP="002D3490">
      <w:pPr>
        <w:jc w:val="both"/>
        <w:rPr>
          <w:rFonts w:ascii="Avenir Next" w:hAnsi="Avenir Next" w:cs="Arial"/>
          <w:color w:val="7B7B7B" w:themeColor="accent3" w:themeShade="BF"/>
          <w:sz w:val="22"/>
          <w:szCs w:val="22"/>
          <w:lang w:val="en-GB"/>
        </w:rPr>
      </w:pPr>
    </w:p>
    <w:p w14:paraId="1A5922B8" w14:textId="6B669F51" w:rsidR="002D3490" w:rsidRDefault="002D3490" w:rsidP="002D349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the stay only prohibits affirmative acts that change the status quo of the estate’s property.</w:t>
      </w:r>
      <w:r>
        <w:rPr>
          <w:rStyle w:val="FootnoteReference"/>
          <w:rFonts w:ascii="Avenir Next" w:hAnsi="Avenir Next" w:cs="Arial"/>
          <w:color w:val="7B7B7B" w:themeColor="accent3" w:themeShade="BF"/>
          <w:sz w:val="22"/>
          <w:szCs w:val="22"/>
          <w:lang w:val="en-GB"/>
        </w:rPr>
        <w:footnoteReference w:id="29"/>
      </w:r>
    </w:p>
    <w:p w14:paraId="5AFAC7C2" w14:textId="61CE3584" w:rsidR="002D3490" w:rsidRDefault="002D3490" w:rsidP="002D3490">
      <w:pPr>
        <w:jc w:val="both"/>
        <w:rPr>
          <w:rFonts w:ascii="Avenir Next" w:hAnsi="Avenir Next" w:cs="Arial"/>
          <w:color w:val="7B7B7B" w:themeColor="accent3" w:themeShade="BF"/>
          <w:sz w:val="22"/>
          <w:szCs w:val="22"/>
          <w:lang w:val="en-GB"/>
        </w:rPr>
      </w:pPr>
    </w:p>
    <w:p w14:paraId="3EE7F334" w14:textId="56F68834" w:rsidR="002D3490" w:rsidRDefault="002D3490" w:rsidP="002D349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automatic stay does not apply in the following relevant statutory exceptions:</w:t>
      </w:r>
      <w:r>
        <w:rPr>
          <w:rStyle w:val="FootnoteReference"/>
          <w:rFonts w:ascii="Avenir Next" w:hAnsi="Avenir Next" w:cs="Arial"/>
          <w:color w:val="7B7B7B" w:themeColor="accent3" w:themeShade="BF"/>
          <w:sz w:val="22"/>
          <w:szCs w:val="22"/>
          <w:lang w:val="en-GB"/>
        </w:rPr>
        <w:footnoteReference w:id="30"/>
      </w:r>
    </w:p>
    <w:p w14:paraId="4AD40C48" w14:textId="43E7F462" w:rsidR="002D3490" w:rsidRDefault="002D3490" w:rsidP="002D3490">
      <w:pPr>
        <w:jc w:val="both"/>
        <w:rPr>
          <w:rFonts w:ascii="Avenir Next" w:hAnsi="Avenir Next" w:cs="Arial"/>
          <w:color w:val="7B7B7B" w:themeColor="accent3" w:themeShade="BF"/>
          <w:sz w:val="22"/>
          <w:szCs w:val="22"/>
          <w:lang w:val="en-GB"/>
        </w:rPr>
      </w:pPr>
    </w:p>
    <w:p w14:paraId="34971F5B" w14:textId="3B28996A" w:rsidR="002D3490" w:rsidRDefault="002D3490" w:rsidP="00563F53">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criminal proceedings or regulatory investigations – which would likely include the DOJ investigation;</w:t>
      </w:r>
      <w:r w:rsidR="00563F53">
        <w:rPr>
          <w:rFonts w:ascii="Avenir Next" w:hAnsi="Avenir Next" w:cs="Arial"/>
          <w:color w:val="7B7B7B" w:themeColor="accent3" w:themeShade="BF"/>
          <w:sz w:val="22"/>
          <w:szCs w:val="22"/>
          <w:lang w:val="en-GB"/>
        </w:rPr>
        <w:t xml:space="preserve"> or</w:t>
      </w:r>
    </w:p>
    <w:p w14:paraId="65A4967A" w14:textId="4AC07B15" w:rsidR="002D3490" w:rsidRPr="002D3490" w:rsidRDefault="00563F53" w:rsidP="00563F53">
      <w:pPr>
        <w:pStyle w:val="ListParagraph"/>
        <w:numPr>
          <w:ilvl w:val="0"/>
          <w:numId w:val="32"/>
        </w:numPr>
        <w:ind w:left="426" w:hanging="426"/>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exercise of rights under commodity, forward or security contract or rights under a swap agreement – it is not clear on the facts whether the margin loan default would fall under this exception.</w:t>
      </w:r>
    </w:p>
    <w:p w14:paraId="15558FE6" w14:textId="77777777" w:rsidR="002D3490" w:rsidRDefault="002D3490" w:rsidP="000778B1">
      <w:pPr>
        <w:pStyle w:val="AODocTxt"/>
        <w:spacing w:before="0" w:line="240" w:lineRule="auto"/>
        <w:rPr>
          <w:rFonts w:ascii="Avenir Next" w:hAnsi="Avenir Next"/>
        </w:rPr>
      </w:pPr>
    </w:p>
    <w:p w14:paraId="244657CC" w14:textId="77777777" w:rsidR="00563F53" w:rsidRDefault="00563F53">
      <w:pPr>
        <w:rPr>
          <w:rFonts w:ascii="Avenir Next Demi Bold" w:eastAsiaTheme="minorHAnsi" w:hAnsi="Avenir Next Demi Bold" w:cs="Times New Roman"/>
          <w:b/>
          <w:bCs/>
          <w:sz w:val="22"/>
          <w:szCs w:val="22"/>
        </w:rPr>
      </w:pPr>
      <w:r>
        <w:rPr>
          <w:rFonts w:ascii="Avenir Next Demi Bold" w:hAnsi="Avenir Next Demi Bold"/>
          <w:b/>
          <w:bCs/>
        </w:rPr>
        <w:br w:type="page"/>
      </w:r>
    </w:p>
    <w:p w14:paraId="31E2C378" w14:textId="3D9BFD04"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lastRenderedPageBreak/>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60EEA0CF"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33E1BD46" w:rsidR="00F03051" w:rsidRDefault="00563F53"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Chapter 15 is a near </w:t>
      </w:r>
      <w:r>
        <w:rPr>
          <w:rFonts w:ascii="Avenir Next" w:hAnsi="Avenir Next" w:cs="Arial"/>
          <w:i/>
          <w:iCs/>
          <w:color w:val="7B7B7B" w:themeColor="accent3" w:themeShade="BF"/>
          <w:sz w:val="22"/>
          <w:szCs w:val="22"/>
          <w:lang w:val="en-GB"/>
        </w:rPr>
        <w:t>verbatim</w:t>
      </w:r>
      <w:r>
        <w:rPr>
          <w:rFonts w:ascii="Avenir Next" w:hAnsi="Avenir Next" w:cs="Arial"/>
          <w:color w:val="7B7B7B" w:themeColor="accent3" w:themeShade="BF"/>
          <w:sz w:val="22"/>
          <w:szCs w:val="22"/>
          <w:lang w:val="en-GB"/>
        </w:rPr>
        <w:t xml:space="preserve"> copy of the UNCITRAL Model Law on cross-border insolvencies. Chapter 15 requires a petition by the foreign representative of the debtor.</w:t>
      </w:r>
      <w:r>
        <w:rPr>
          <w:rStyle w:val="FootnoteReference"/>
          <w:rFonts w:ascii="Avenir Next" w:hAnsi="Avenir Next" w:cs="Arial"/>
          <w:color w:val="7B7B7B" w:themeColor="accent3" w:themeShade="BF"/>
          <w:sz w:val="22"/>
          <w:szCs w:val="22"/>
          <w:lang w:val="en-GB"/>
        </w:rPr>
        <w:footnoteReference w:id="31"/>
      </w:r>
      <w:r>
        <w:rPr>
          <w:rFonts w:ascii="Avenir Next" w:hAnsi="Avenir Next" w:cs="Arial"/>
          <w:color w:val="7B7B7B" w:themeColor="accent3" w:themeShade="BF"/>
          <w:sz w:val="22"/>
          <w:szCs w:val="22"/>
          <w:lang w:val="en-GB"/>
        </w:rPr>
        <w:t xml:space="preserve"> The stay under Chapter 15 requires the court to grant the petition for recognition of the foreign proceeding as a foreign main proceeding and is limited only to the property within the USA.</w:t>
      </w:r>
      <w:r>
        <w:rPr>
          <w:rStyle w:val="FootnoteReference"/>
          <w:rFonts w:ascii="Avenir Next" w:hAnsi="Avenir Next" w:cs="Arial"/>
          <w:color w:val="7B7B7B" w:themeColor="accent3" w:themeShade="BF"/>
          <w:sz w:val="22"/>
          <w:szCs w:val="22"/>
          <w:lang w:val="en-GB"/>
        </w:rPr>
        <w:footnoteReference w:id="32"/>
      </w:r>
    </w:p>
    <w:p w14:paraId="7626FF71" w14:textId="51228A29" w:rsidR="00563F53" w:rsidRDefault="00563F53" w:rsidP="00F03051">
      <w:pPr>
        <w:jc w:val="both"/>
        <w:rPr>
          <w:rFonts w:ascii="Avenir Next" w:hAnsi="Avenir Next" w:cs="Arial"/>
          <w:color w:val="7B7B7B" w:themeColor="accent3" w:themeShade="BF"/>
          <w:sz w:val="22"/>
          <w:szCs w:val="22"/>
          <w:lang w:val="en-GB"/>
        </w:rPr>
      </w:pPr>
    </w:p>
    <w:p w14:paraId="351B2754" w14:textId="642AFDBE" w:rsidR="00563F53" w:rsidRDefault="00563F53"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English practitioner must establish that a foreign court or administrative proceeding is pending and that the English practitioner is empowered to act.</w:t>
      </w:r>
      <w:r>
        <w:rPr>
          <w:rStyle w:val="FootnoteReference"/>
          <w:rFonts w:ascii="Avenir Next" w:hAnsi="Avenir Next" w:cs="Arial"/>
          <w:color w:val="7B7B7B" w:themeColor="accent3" w:themeShade="BF"/>
          <w:sz w:val="22"/>
          <w:szCs w:val="22"/>
          <w:lang w:val="en-GB"/>
        </w:rPr>
        <w:footnoteReference w:id="33"/>
      </w:r>
      <w:r>
        <w:rPr>
          <w:rFonts w:ascii="Avenir Next" w:hAnsi="Avenir Next" w:cs="Arial"/>
          <w:color w:val="7B7B7B" w:themeColor="accent3" w:themeShade="BF"/>
          <w:sz w:val="22"/>
          <w:szCs w:val="22"/>
          <w:lang w:val="en-GB"/>
        </w:rPr>
        <w:t xml:space="preserve"> </w:t>
      </w:r>
      <w:r w:rsidR="00C4347D">
        <w:rPr>
          <w:rFonts w:ascii="Avenir Next" w:hAnsi="Avenir Next" w:cs="Arial"/>
          <w:color w:val="7B7B7B" w:themeColor="accent3" w:themeShade="BF"/>
          <w:sz w:val="22"/>
          <w:szCs w:val="22"/>
          <w:lang w:val="en-GB"/>
        </w:rPr>
        <w:t>The foreign proceeding need not be a recognised USA proceeding, for instance scheme of arrangements from the UK have been recognised in the USA.</w:t>
      </w:r>
      <w:r w:rsidR="00C4347D">
        <w:rPr>
          <w:rStyle w:val="FootnoteReference"/>
          <w:rFonts w:ascii="Avenir Next" w:hAnsi="Avenir Next" w:cs="Arial"/>
          <w:color w:val="7B7B7B" w:themeColor="accent3" w:themeShade="BF"/>
          <w:sz w:val="22"/>
          <w:szCs w:val="22"/>
          <w:lang w:val="en-GB"/>
        </w:rPr>
        <w:footnoteReference w:id="34"/>
      </w:r>
    </w:p>
    <w:p w14:paraId="60554E98" w14:textId="43B4FEA0" w:rsidR="00C4347D" w:rsidRDefault="00C4347D" w:rsidP="00F03051">
      <w:pPr>
        <w:jc w:val="both"/>
        <w:rPr>
          <w:rFonts w:ascii="Avenir Next" w:hAnsi="Avenir Next" w:cs="Arial"/>
          <w:color w:val="7B7B7B" w:themeColor="accent3" w:themeShade="BF"/>
          <w:sz w:val="22"/>
          <w:szCs w:val="22"/>
          <w:lang w:val="en-GB"/>
        </w:rPr>
      </w:pPr>
    </w:p>
    <w:p w14:paraId="13DF2E40" w14:textId="15FEFAA3" w:rsidR="00F737F9" w:rsidRDefault="00C4347D" w:rsidP="00F737F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final key test is whether proceeding is a foreign main, or foreign non-main, proceeding. A foreign main proceedings is one that is commenced in the debtor’s COMI. </w:t>
      </w:r>
      <w:r w:rsidR="00F737F9">
        <w:rPr>
          <w:rFonts w:ascii="Avenir Next" w:hAnsi="Avenir Next" w:cs="Arial"/>
          <w:color w:val="7B7B7B" w:themeColor="accent3" w:themeShade="BF"/>
          <w:sz w:val="22"/>
          <w:szCs w:val="22"/>
          <w:lang w:val="en-GB"/>
        </w:rPr>
        <w:t>A foreign non-main proceeding is one where Stella has an establishment in the UK (ie a place where it carried out non-transitory economic activity).</w:t>
      </w:r>
    </w:p>
    <w:p w14:paraId="71E1FADB" w14:textId="77777777" w:rsidR="00F737F9" w:rsidRPr="00F737F9" w:rsidRDefault="00F737F9" w:rsidP="00F737F9">
      <w:pPr>
        <w:jc w:val="both"/>
        <w:rPr>
          <w:rFonts w:ascii="Avenir Next" w:hAnsi="Avenir Next" w:cs="Arial"/>
          <w:color w:val="7B7B7B" w:themeColor="accent3" w:themeShade="BF"/>
          <w:sz w:val="22"/>
          <w:szCs w:val="22"/>
          <w:lang w:val="en-GB"/>
        </w:rPr>
      </w:pPr>
    </w:p>
    <w:p w14:paraId="50E0B229" w14:textId="056193E1" w:rsidR="00C4347D" w:rsidRDefault="00C4347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debtor’s COMI is presumed to be its place of incorporation, but this is rebuttable.</w:t>
      </w:r>
      <w:r>
        <w:rPr>
          <w:rStyle w:val="FootnoteReference"/>
          <w:rFonts w:ascii="Avenir Next" w:hAnsi="Avenir Next" w:cs="Arial"/>
          <w:color w:val="7B7B7B" w:themeColor="accent3" w:themeShade="BF"/>
          <w:sz w:val="22"/>
          <w:szCs w:val="22"/>
          <w:lang w:val="en-GB"/>
        </w:rPr>
        <w:footnoteReference w:id="35"/>
      </w:r>
      <w:r>
        <w:rPr>
          <w:rFonts w:ascii="Avenir Next" w:hAnsi="Avenir Next" w:cs="Arial"/>
          <w:color w:val="7B7B7B" w:themeColor="accent3" w:themeShade="BF"/>
          <w:sz w:val="22"/>
          <w:szCs w:val="22"/>
          <w:lang w:val="en-GB"/>
        </w:rPr>
        <w:t xml:space="preserve"> On the facts, France is stated to be the place of incorporation for Stella. Accordingly, Stella’s COMI is presumed to be France, without more.Other relevant COMI factors that can be taken into account, on an objective basis,</w:t>
      </w:r>
      <w:r>
        <w:rPr>
          <w:rStyle w:val="FootnoteReference"/>
          <w:rFonts w:ascii="Avenir Next" w:hAnsi="Avenir Next" w:cs="Arial"/>
          <w:color w:val="7B7B7B" w:themeColor="accent3" w:themeShade="BF"/>
          <w:sz w:val="22"/>
          <w:szCs w:val="22"/>
          <w:lang w:val="en-GB"/>
        </w:rPr>
        <w:footnoteReference w:id="36"/>
      </w:r>
      <w:r>
        <w:rPr>
          <w:rFonts w:ascii="Avenir Next" w:hAnsi="Avenir Next" w:cs="Arial"/>
          <w:color w:val="7B7B7B" w:themeColor="accent3" w:themeShade="BF"/>
          <w:sz w:val="22"/>
          <w:szCs w:val="22"/>
          <w:lang w:val="en-GB"/>
        </w:rPr>
        <w:t xml:space="preserve"> are:</w:t>
      </w:r>
    </w:p>
    <w:p w14:paraId="228A5C77" w14:textId="3109F575" w:rsidR="00C4347D" w:rsidRDefault="00C4347D" w:rsidP="00F03051">
      <w:pPr>
        <w:jc w:val="both"/>
        <w:rPr>
          <w:rFonts w:ascii="Avenir Next" w:hAnsi="Avenir Next" w:cs="Arial"/>
          <w:color w:val="7B7B7B" w:themeColor="accent3" w:themeShade="BF"/>
          <w:sz w:val="22"/>
          <w:szCs w:val="22"/>
          <w:lang w:val="en-GB"/>
        </w:rPr>
      </w:pPr>
    </w:p>
    <w:p w14:paraId="661A5421" w14:textId="0002F8DF" w:rsidR="00C4347D" w:rsidRDefault="00C4347D" w:rsidP="00F737F9">
      <w:pPr>
        <w:pStyle w:val="ListParagraph"/>
        <w:numPr>
          <w:ilvl w:val="0"/>
          <w:numId w:val="32"/>
        </w:numPr>
        <w:ind w:left="284" w:hanging="284"/>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location of headquarters – again the facts say this is France;</w:t>
      </w:r>
    </w:p>
    <w:p w14:paraId="0D12434E" w14:textId="16888BE8" w:rsidR="00C4347D" w:rsidRDefault="00C4347D" w:rsidP="00F737F9">
      <w:pPr>
        <w:pStyle w:val="ListParagraph"/>
        <w:numPr>
          <w:ilvl w:val="0"/>
          <w:numId w:val="32"/>
        </w:numPr>
        <w:ind w:left="284" w:hanging="284"/>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location of management – given headquarters is in France, I assume that the management team is also in France;</w:t>
      </w:r>
    </w:p>
    <w:p w14:paraId="46B7CD3B" w14:textId="6CBA3D1B" w:rsidR="00C4347D" w:rsidRDefault="00C4347D" w:rsidP="00F737F9">
      <w:pPr>
        <w:pStyle w:val="ListParagraph"/>
        <w:numPr>
          <w:ilvl w:val="0"/>
          <w:numId w:val="32"/>
        </w:numPr>
        <w:ind w:left="284" w:hanging="284"/>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location of primary assets – the facts suggest that Stella’s retail supplies are made in Italy but shipped to retail stores in Europe and in the UK. I would want to see a balance sheet or breakdown of the portion of assets (whether tangible or intangible) that are located in each of these locations;</w:t>
      </w:r>
    </w:p>
    <w:p w14:paraId="47428CE1" w14:textId="218C42F0" w:rsidR="00C4347D" w:rsidRDefault="00C4347D" w:rsidP="00F737F9">
      <w:pPr>
        <w:pStyle w:val="ListParagraph"/>
        <w:numPr>
          <w:ilvl w:val="0"/>
          <w:numId w:val="32"/>
        </w:numPr>
        <w:ind w:left="284" w:hanging="284"/>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location of a majority of the debtor’s creditors – it is not clear what percentage of Stella’s debts comes from the funding from the UK Eurobonds/bank loans. I assume that the phrase “Stella’s funding comes from”</w:t>
      </w:r>
      <w:r w:rsidR="00F737F9">
        <w:rPr>
          <w:rFonts w:ascii="Avenir Next" w:hAnsi="Avenir Next" w:cs="Arial"/>
          <w:color w:val="7B7B7B" w:themeColor="accent3" w:themeShade="BF"/>
          <w:sz w:val="22"/>
          <w:szCs w:val="22"/>
          <w:lang w:val="en-GB"/>
        </w:rPr>
        <w:t xml:space="preserve"> could be read as meaning the majority in value of creditors relates to the Eurobonds</w:t>
      </w:r>
      <w:r>
        <w:rPr>
          <w:rFonts w:ascii="Avenir Next" w:hAnsi="Avenir Next" w:cs="Arial"/>
          <w:color w:val="7B7B7B" w:themeColor="accent3" w:themeShade="BF"/>
          <w:sz w:val="22"/>
          <w:szCs w:val="22"/>
          <w:lang w:val="en-GB"/>
        </w:rPr>
        <w:t>; and</w:t>
      </w:r>
    </w:p>
    <w:p w14:paraId="154FED60" w14:textId="78E67DDD" w:rsidR="00F737F9" w:rsidRDefault="00C4347D" w:rsidP="00F737F9">
      <w:pPr>
        <w:pStyle w:val="ListParagraph"/>
        <w:numPr>
          <w:ilvl w:val="0"/>
          <w:numId w:val="32"/>
        </w:numPr>
        <w:ind w:left="284" w:hanging="284"/>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jurisdiction of whose law will apply to most disputes</w:t>
      </w:r>
      <w:r w:rsidR="00F737F9">
        <w:rPr>
          <w:rFonts w:ascii="Avenir Next" w:hAnsi="Avenir Next" w:cs="Arial"/>
          <w:color w:val="7B7B7B" w:themeColor="accent3" w:themeShade="BF"/>
          <w:sz w:val="22"/>
          <w:szCs w:val="22"/>
          <w:lang w:val="en-GB"/>
        </w:rPr>
        <w:t xml:space="preserve"> – the Eurobonds are said to be governed by UK law. If the requisite majority of creditors are covered by the UK law, then this limb may be met</w:t>
      </w:r>
      <w:r>
        <w:rPr>
          <w:rFonts w:ascii="Avenir Next" w:hAnsi="Avenir Next" w:cs="Arial"/>
          <w:color w:val="7B7B7B" w:themeColor="accent3" w:themeShade="BF"/>
          <w:sz w:val="22"/>
          <w:szCs w:val="22"/>
          <w:lang w:val="en-GB"/>
        </w:rPr>
        <w:t>.</w:t>
      </w:r>
    </w:p>
    <w:p w14:paraId="18A0E51C" w14:textId="77777777" w:rsidR="00F737F9" w:rsidRDefault="00F737F9" w:rsidP="00F737F9">
      <w:pPr>
        <w:jc w:val="both"/>
        <w:rPr>
          <w:rFonts w:ascii="Avenir Next" w:hAnsi="Avenir Next" w:cs="Arial"/>
          <w:color w:val="7B7B7B" w:themeColor="accent3" w:themeShade="BF"/>
          <w:sz w:val="22"/>
          <w:szCs w:val="22"/>
          <w:lang w:val="en-GB"/>
        </w:rPr>
      </w:pPr>
    </w:p>
    <w:p w14:paraId="405CF5CB" w14:textId="2011307B" w:rsidR="00C4347D" w:rsidRDefault="00F737F9" w:rsidP="00F737F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Therefore, assuming the Eurobonds make up a material majority of Stella’s creditor pool, it is possible that an American court may recognise the scheme of arrangement as a foreign main proceeding.</w:t>
      </w:r>
    </w:p>
    <w:p w14:paraId="4E7DA47B" w14:textId="451BD0F2" w:rsidR="00F737F9" w:rsidRDefault="00F737F9" w:rsidP="00F737F9">
      <w:pPr>
        <w:jc w:val="both"/>
        <w:rPr>
          <w:rFonts w:ascii="Avenir Next" w:hAnsi="Avenir Next" w:cs="Arial"/>
          <w:color w:val="7B7B7B" w:themeColor="accent3" w:themeShade="BF"/>
          <w:sz w:val="22"/>
          <w:szCs w:val="22"/>
          <w:lang w:val="en-GB"/>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5A255D9F" w:rsidR="00F03051" w:rsidRPr="00E41578" w:rsidRDefault="00D275E7"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executory contract is one where there is a material underperformed obligation on both sides.</w:t>
      </w:r>
      <w:r>
        <w:rPr>
          <w:rStyle w:val="FootnoteReference"/>
          <w:rFonts w:ascii="Avenir Next" w:hAnsi="Avenir Next" w:cs="Arial"/>
          <w:color w:val="7B7B7B" w:themeColor="accent3" w:themeShade="BF"/>
          <w:sz w:val="22"/>
          <w:szCs w:val="22"/>
          <w:lang w:val="en-GB"/>
        </w:rPr>
        <w:footnoteReference w:id="37"/>
      </w:r>
      <w:r>
        <w:rPr>
          <w:rFonts w:ascii="Avenir Next" w:hAnsi="Avenir Next" w:cs="Arial"/>
          <w:color w:val="7B7B7B" w:themeColor="accent3" w:themeShade="BF"/>
          <w:sz w:val="22"/>
          <w:szCs w:val="22"/>
          <w:lang w:val="en-GB"/>
        </w:rPr>
        <w:t xml:space="preserve"> I do not believe that the licence is executory, as ToyCo is not underperforming its side of the obligation. </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431D5F90" w:rsidR="00F03051" w:rsidRPr="00E41578" w:rsidRDefault="00D275E7"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363 sale grants </w:t>
      </w:r>
      <w:r w:rsidR="00E77331">
        <w:rPr>
          <w:rFonts w:ascii="Avenir Next" w:hAnsi="Avenir Next" w:cs="Arial"/>
          <w:color w:val="7B7B7B" w:themeColor="accent3" w:themeShade="BF"/>
          <w:sz w:val="22"/>
          <w:szCs w:val="22"/>
          <w:lang w:val="en-GB"/>
        </w:rPr>
        <w:t>the debtor the ability to sell its property clear of any creditor interests with court approval.</w:t>
      </w:r>
      <w:r w:rsidR="00E77331">
        <w:rPr>
          <w:rStyle w:val="FootnoteReference"/>
          <w:rFonts w:ascii="Avenir Next" w:hAnsi="Avenir Next" w:cs="Arial"/>
          <w:color w:val="7B7B7B" w:themeColor="accent3" w:themeShade="BF"/>
          <w:sz w:val="22"/>
          <w:szCs w:val="22"/>
          <w:lang w:val="en-GB"/>
        </w:rPr>
        <w:footnoteReference w:id="38"/>
      </w:r>
      <w:r w:rsidR="00E77331">
        <w:rPr>
          <w:rFonts w:ascii="Avenir Next" w:hAnsi="Avenir Next" w:cs="Arial"/>
          <w:color w:val="7B7B7B" w:themeColor="accent3" w:themeShade="BF"/>
          <w:sz w:val="22"/>
          <w:szCs w:val="22"/>
          <w:lang w:val="en-GB"/>
        </w:rPr>
        <w:t xml:space="preserve"> Licensees of patents and copyrights are protected from 363 sales, without the consent of the licensee (ie ToyCo).</w:t>
      </w:r>
      <w:r w:rsidR="00E77331">
        <w:rPr>
          <w:rStyle w:val="FootnoteReference"/>
          <w:rFonts w:ascii="Avenir Next" w:hAnsi="Avenir Next" w:cs="Arial"/>
          <w:color w:val="7B7B7B" w:themeColor="accent3" w:themeShade="BF"/>
          <w:sz w:val="22"/>
          <w:szCs w:val="22"/>
          <w:lang w:val="en-GB"/>
        </w:rPr>
        <w:footnoteReference w:id="39"/>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6F4EE3C6" w:rsidR="00F03051" w:rsidRPr="00E41578" w:rsidRDefault="00E7733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363 sale grants the debtor the ability to sell its property clear of any creditor interests with court approval.</w:t>
      </w:r>
      <w:r>
        <w:rPr>
          <w:rStyle w:val="FootnoteReference"/>
          <w:rFonts w:ascii="Avenir Next" w:hAnsi="Avenir Next" w:cs="Arial"/>
          <w:color w:val="7B7B7B" w:themeColor="accent3" w:themeShade="BF"/>
          <w:sz w:val="22"/>
          <w:szCs w:val="22"/>
          <w:lang w:val="en-GB"/>
        </w:rPr>
        <w:footnoteReference w:id="40"/>
      </w:r>
      <w:r>
        <w:rPr>
          <w:rFonts w:ascii="Avenir Next" w:hAnsi="Avenir Next" w:cs="Arial"/>
          <w:color w:val="7B7B7B" w:themeColor="accent3" w:themeShade="BF"/>
          <w:sz w:val="22"/>
          <w:szCs w:val="22"/>
          <w:lang w:val="en-GB"/>
        </w:rPr>
        <w:t xml:space="preserve"> The factory lease may we transferred as an executory contract, without approval and despite contractual terms to the contrary, as long as the transferee gives adequate assurances of future performance to LandCorp.</w:t>
      </w:r>
      <w:r>
        <w:rPr>
          <w:rStyle w:val="FootnoteReference"/>
          <w:rFonts w:ascii="Avenir Next" w:hAnsi="Avenir Next" w:cs="Arial"/>
          <w:color w:val="7B7B7B" w:themeColor="accent3" w:themeShade="BF"/>
          <w:sz w:val="22"/>
          <w:szCs w:val="22"/>
          <w:lang w:val="en-GB"/>
        </w:rPr>
        <w:footnoteReference w:id="41"/>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64AA2B72" w:rsidR="00241FA3" w:rsidRPr="00494B81" w:rsidRDefault="00D57551" w:rsidP="009B4976">
    <w:pPr>
      <w:pStyle w:val="Footer"/>
      <w:ind w:right="360"/>
      <w:rPr>
        <w:rFonts w:ascii="Avenir Next" w:hAnsi="Avenir Next" w:cs="Arial"/>
        <w:sz w:val="22"/>
        <w:szCs w:val="22"/>
        <w:lang w:val="en-GB"/>
      </w:rPr>
    </w:pPr>
    <w:r>
      <w:rPr>
        <w:rFonts w:ascii="Avenir Next" w:hAnsi="Avenir Next" w:cs="Arial"/>
        <w:sz w:val="18"/>
        <w:szCs w:val="18"/>
        <w:lang w:val="en-GB"/>
      </w:rPr>
      <w:t>202122-595</w:t>
    </w:r>
    <w:r w:rsidR="0073158B" w:rsidRPr="00D57551">
      <w:rPr>
        <w:rFonts w:ascii="Avenir Next" w:hAnsi="Avenir Next" w:cs="Arial"/>
        <w:sz w:val="18"/>
        <w:szCs w:val="18"/>
        <w:lang w:val="en-GB"/>
      </w:rPr>
      <w:t>.assessment</w:t>
    </w:r>
    <w:r w:rsidR="00610AC7" w:rsidRPr="00D57551">
      <w:rPr>
        <w:rFonts w:ascii="Avenir Next" w:hAnsi="Avenir Next"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 w:id="1">
    <w:p w14:paraId="4FB9396F" w14:textId="509CC149" w:rsidR="006A46AD" w:rsidRPr="006A46AD" w:rsidRDefault="006A46AD">
      <w:pPr>
        <w:pStyle w:val="FootnoteText"/>
        <w:rPr>
          <w:lang w:val="en-AU"/>
        </w:rPr>
      </w:pPr>
      <w:r>
        <w:rPr>
          <w:rStyle w:val="FootnoteReference"/>
        </w:rPr>
        <w:footnoteRef/>
      </w:r>
      <w:r>
        <w:t xml:space="preserve"> </w:t>
      </w:r>
      <w:r>
        <w:rPr>
          <w:lang w:val="en-AU"/>
        </w:rPr>
        <w:t>Guidance text, pages 61-62.</w:t>
      </w:r>
    </w:p>
  </w:footnote>
  <w:footnote w:id="2">
    <w:p w14:paraId="06B69EF3" w14:textId="0DECA4B3" w:rsidR="006A46AD" w:rsidRPr="006A46AD" w:rsidRDefault="006A46AD">
      <w:pPr>
        <w:pStyle w:val="FootnoteText"/>
        <w:rPr>
          <w:lang w:val="en-AU"/>
        </w:rPr>
      </w:pPr>
      <w:r>
        <w:rPr>
          <w:rStyle w:val="FootnoteReference"/>
        </w:rPr>
        <w:footnoteRef/>
      </w:r>
      <w:r>
        <w:t xml:space="preserve"> </w:t>
      </w:r>
      <w:r>
        <w:rPr>
          <w:lang w:val="en-AU"/>
        </w:rPr>
        <w:t>11 USC sections 726(a)(</w:t>
      </w:r>
      <w:r w:rsidR="00104A1E">
        <w:rPr>
          <w:lang w:val="en-AU"/>
        </w:rPr>
        <w:t>1</w:t>
      </w:r>
      <w:r>
        <w:rPr>
          <w:lang w:val="en-AU"/>
        </w:rPr>
        <w:t>)-(6).</w:t>
      </w:r>
    </w:p>
  </w:footnote>
  <w:footnote w:id="3">
    <w:p w14:paraId="0AEE29AD" w14:textId="0460655E" w:rsidR="00104A1E" w:rsidRPr="00104A1E" w:rsidRDefault="00104A1E">
      <w:pPr>
        <w:pStyle w:val="FootnoteText"/>
        <w:rPr>
          <w:lang w:val="en-AU"/>
        </w:rPr>
      </w:pPr>
      <w:r>
        <w:rPr>
          <w:rStyle w:val="FootnoteReference"/>
        </w:rPr>
        <w:footnoteRef/>
      </w:r>
      <w:r>
        <w:t xml:space="preserve"> </w:t>
      </w:r>
      <w:r>
        <w:rPr>
          <w:lang w:val="en-AU"/>
        </w:rPr>
        <w:t>11 USC section 507(a)(1).</w:t>
      </w:r>
    </w:p>
  </w:footnote>
  <w:footnote w:id="4">
    <w:p w14:paraId="628BC295" w14:textId="5B0229FE" w:rsidR="00104A1E" w:rsidRPr="00104A1E" w:rsidRDefault="00104A1E">
      <w:pPr>
        <w:pStyle w:val="FootnoteText"/>
        <w:rPr>
          <w:lang w:val="en-AU"/>
        </w:rPr>
      </w:pPr>
      <w:r>
        <w:rPr>
          <w:rStyle w:val="FootnoteReference"/>
        </w:rPr>
        <w:footnoteRef/>
      </w:r>
      <w:r>
        <w:t xml:space="preserve"> </w:t>
      </w:r>
      <w:r>
        <w:rPr>
          <w:lang w:val="en-AU"/>
        </w:rPr>
        <w:t>11 USC section 507(a)(2).</w:t>
      </w:r>
    </w:p>
  </w:footnote>
  <w:footnote w:id="5">
    <w:p w14:paraId="0E970F9A" w14:textId="3B9B9A3E" w:rsidR="00104A1E" w:rsidRPr="00104A1E" w:rsidRDefault="00104A1E">
      <w:pPr>
        <w:pStyle w:val="FootnoteText"/>
        <w:rPr>
          <w:lang w:val="en-AU"/>
        </w:rPr>
      </w:pPr>
      <w:r>
        <w:rPr>
          <w:rStyle w:val="FootnoteReference"/>
        </w:rPr>
        <w:footnoteRef/>
      </w:r>
      <w:r>
        <w:t xml:space="preserve"> </w:t>
      </w:r>
      <w:r>
        <w:rPr>
          <w:lang w:val="en-AU"/>
        </w:rPr>
        <w:t>Guidance Text, page 51.</w:t>
      </w:r>
    </w:p>
  </w:footnote>
  <w:footnote w:id="6">
    <w:p w14:paraId="340A4942" w14:textId="2CA9D308" w:rsidR="00104A1E" w:rsidRPr="00104A1E" w:rsidRDefault="00104A1E">
      <w:pPr>
        <w:pStyle w:val="FootnoteText"/>
        <w:rPr>
          <w:lang w:val="en-AU"/>
        </w:rPr>
      </w:pPr>
      <w:r>
        <w:rPr>
          <w:rStyle w:val="FootnoteReference"/>
        </w:rPr>
        <w:footnoteRef/>
      </w:r>
      <w:r>
        <w:t xml:space="preserve"> </w:t>
      </w:r>
      <w:r>
        <w:rPr>
          <w:lang w:val="en-AU"/>
        </w:rPr>
        <w:t>See 11 USC section 364.</w:t>
      </w:r>
    </w:p>
  </w:footnote>
  <w:footnote w:id="7">
    <w:p w14:paraId="5378A076" w14:textId="3E4C4F11" w:rsidR="00601506" w:rsidRPr="00601506" w:rsidRDefault="00601506">
      <w:pPr>
        <w:pStyle w:val="FootnoteText"/>
        <w:rPr>
          <w:lang w:val="en-AU"/>
        </w:rPr>
      </w:pPr>
      <w:r>
        <w:rPr>
          <w:rStyle w:val="FootnoteReference"/>
        </w:rPr>
        <w:footnoteRef/>
      </w:r>
      <w:r>
        <w:t xml:space="preserve"> </w:t>
      </w:r>
      <w:r>
        <w:rPr>
          <w:lang w:val="en-AU"/>
        </w:rPr>
        <w:t>11 USC section 547.</w:t>
      </w:r>
    </w:p>
  </w:footnote>
  <w:footnote w:id="8">
    <w:p w14:paraId="251A3530" w14:textId="472921B8" w:rsidR="00601506" w:rsidRPr="00601506" w:rsidRDefault="00601506">
      <w:pPr>
        <w:pStyle w:val="FootnoteText"/>
        <w:rPr>
          <w:lang w:val="en-AU"/>
        </w:rPr>
      </w:pPr>
      <w:r>
        <w:rPr>
          <w:rStyle w:val="FootnoteReference"/>
        </w:rPr>
        <w:footnoteRef/>
      </w:r>
      <w:r>
        <w:t xml:space="preserve"> </w:t>
      </w:r>
      <w:r>
        <w:rPr>
          <w:lang w:val="en-AU"/>
        </w:rPr>
        <w:t>Guidance text, page 53.</w:t>
      </w:r>
    </w:p>
  </w:footnote>
  <w:footnote w:id="9">
    <w:p w14:paraId="41C170E1" w14:textId="77777777" w:rsidR="00C7782E" w:rsidRPr="00C7782E" w:rsidRDefault="00C7782E" w:rsidP="00C7782E">
      <w:pPr>
        <w:pStyle w:val="FootnoteText"/>
        <w:rPr>
          <w:lang w:val="en-AU"/>
        </w:rPr>
      </w:pPr>
      <w:r>
        <w:rPr>
          <w:rStyle w:val="FootnoteReference"/>
        </w:rPr>
        <w:footnoteRef/>
      </w:r>
      <w:r>
        <w:t xml:space="preserve"> </w:t>
      </w:r>
      <w:r w:rsidRPr="00C7782E">
        <w:rPr>
          <w:i/>
          <w:iCs/>
          <w:lang w:val="en-AU"/>
        </w:rPr>
        <w:t>In re Hechinger Inv Co of Delaware, Inc</w:t>
      </w:r>
      <w:r>
        <w:rPr>
          <w:lang w:val="en-AU"/>
        </w:rPr>
        <w:t xml:space="preserve"> No 01-3170(PBL), 2004 WL 3113718, at 2. </w:t>
      </w:r>
    </w:p>
  </w:footnote>
  <w:footnote w:id="10">
    <w:p w14:paraId="1D0E8F54" w14:textId="0740D609" w:rsidR="00C7782E" w:rsidRPr="00C7782E" w:rsidRDefault="00C7782E">
      <w:pPr>
        <w:pStyle w:val="FootnoteText"/>
        <w:rPr>
          <w:lang w:val="en-AU"/>
        </w:rPr>
      </w:pPr>
      <w:r>
        <w:rPr>
          <w:rStyle w:val="FootnoteReference"/>
        </w:rPr>
        <w:footnoteRef/>
      </w:r>
      <w:r>
        <w:t xml:space="preserve"> </w:t>
      </w:r>
      <w:r>
        <w:rPr>
          <w:lang w:val="en-AU"/>
        </w:rPr>
        <w:t>11 USC section 547(f).</w:t>
      </w:r>
    </w:p>
  </w:footnote>
  <w:footnote w:id="11">
    <w:p w14:paraId="5D9B086F" w14:textId="51F3EEAA" w:rsidR="00C7782E" w:rsidRPr="00C7782E" w:rsidRDefault="00C7782E">
      <w:pPr>
        <w:pStyle w:val="FootnoteText"/>
        <w:rPr>
          <w:lang w:val="en-AU"/>
        </w:rPr>
      </w:pPr>
      <w:r>
        <w:rPr>
          <w:rStyle w:val="FootnoteReference"/>
        </w:rPr>
        <w:footnoteRef/>
      </w:r>
      <w:r>
        <w:t xml:space="preserve"> </w:t>
      </w:r>
      <w:r w:rsidR="004F7CDD">
        <w:t xml:space="preserve">11 USC section 101(32) and </w:t>
      </w:r>
      <w:r w:rsidRPr="004F7CDD">
        <w:rPr>
          <w:i/>
          <w:iCs/>
          <w:lang w:val="en-AU"/>
        </w:rPr>
        <w:t>In re American Classic Voyages Co</w:t>
      </w:r>
      <w:r>
        <w:rPr>
          <w:lang w:val="en-AU"/>
        </w:rPr>
        <w:t>, 367 BR 500 (Bankr D Del 2007).</w:t>
      </w:r>
    </w:p>
  </w:footnote>
  <w:footnote w:id="12">
    <w:p w14:paraId="4F225D69" w14:textId="55A150CA" w:rsidR="004F7CDD" w:rsidRPr="004F7CDD" w:rsidRDefault="004F7CDD">
      <w:pPr>
        <w:pStyle w:val="FootnoteText"/>
        <w:rPr>
          <w:lang w:val="en-AU"/>
        </w:rPr>
      </w:pPr>
      <w:r>
        <w:rPr>
          <w:rStyle w:val="FootnoteReference"/>
        </w:rPr>
        <w:footnoteRef/>
      </w:r>
      <w:r>
        <w:t xml:space="preserve"> </w:t>
      </w:r>
      <w:r>
        <w:rPr>
          <w:lang w:val="en-AU"/>
        </w:rPr>
        <w:t>11 USC section 101(31).</w:t>
      </w:r>
    </w:p>
  </w:footnote>
  <w:footnote w:id="13">
    <w:p w14:paraId="7B37B17A" w14:textId="1582159E" w:rsidR="004F7CDD" w:rsidRPr="004F7CDD" w:rsidRDefault="004F7CDD">
      <w:pPr>
        <w:pStyle w:val="FootnoteText"/>
        <w:rPr>
          <w:lang w:val="en-AU"/>
        </w:rPr>
      </w:pPr>
      <w:r>
        <w:rPr>
          <w:rStyle w:val="FootnoteReference"/>
        </w:rPr>
        <w:footnoteRef/>
      </w:r>
      <w:r>
        <w:t xml:space="preserve"> </w:t>
      </w:r>
      <w:r>
        <w:rPr>
          <w:lang w:val="en-AU"/>
        </w:rPr>
        <w:t>Guidance text, pages 55-58.</w:t>
      </w:r>
    </w:p>
  </w:footnote>
  <w:footnote w:id="14">
    <w:p w14:paraId="30338DFA" w14:textId="00F8CA7D" w:rsidR="004F7CDD" w:rsidRPr="004F7CDD" w:rsidRDefault="004F7CDD">
      <w:pPr>
        <w:pStyle w:val="FootnoteText"/>
        <w:rPr>
          <w:lang w:val="en-AU"/>
        </w:rPr>
      </w:pPr>
      <w:r>
        <w:rPr>
          <w:rStyle w:val="FootnoteReference"/>
        </w:rPr>
        <w:footnoteRef/>
      </w:r>
      <w:r>
        <w:t xml:space="preserve"> </w:t>
      </w:r>
      <w:r>
        <w:rPr>
          <w:lang w:val="en-AU"/>
        </w:rPr>
        <w:t>11 USC section 157.</w:t>
      </w:r>
    </w:p>
  </w:footnote>
  <w:footnote w:id="15">
    <w:p w14:paraId="25D0225B" w14:textId="3DEC957E" w:rsidR="004F7CDD" w:rsidRPr="004F7CDD" w:rsidRDefault="004F7CDD">
      <w:pPr>
        <w:pStyle w:val="FootnoteText"/>
        <w:rPr>
          <w:lang w:val="en-AU"/>
        </w:rPr>
      </w:pPr>
      <w:r>
        <w:rPr>
          <w:rStyle w:val="FootnoteReference"/>
        </w:rPr>
        <w:footnoteRef/>
      </w:r>
      <w:r>
        <w:t xml:space="preserve"> </w:t>
      </w:r>
      <w:r>
        <w:rPr>
          <w:lang w:val="en-AU"/>
        </w:rPr>
        <w:t>Ibid.</w:t>
      </w:r>
    </w:p>
  </w:footnote>
  <w:footnote w:id="16">
    <w:p w14:paraId="7BB63FA2" w14:textId="31097E2F" w:rsidR="004F7CDD" w:rsidRPr="004F7CDD" w:rsidRDefault="004F7CDD">
      <w:pPr>
        <w:pStyle w:val="FootnoteText"/>
        <w:rPr>
          <w:lang w:val="en-AU"/>
        </w:rPr>
      </w:pPr>
      <w:r>
        <w:rPr>
          <w:rStyle w:val="FootnoteReference"/>
        </w:rPr>
        <w:footnoteRef/>
      </w:r>
      <w:r>
        <w:t xml:space="preserve"> </w:t>
      </w:r>
      <w:r>
        <w:rPr>
          <w:lang w:val="en-AU"/>
        </w:rPr>
        <w:t>28 USC sections 157 and 1334.</w:t>
      </w:r>
    </w:p>
  </w:footnote>
  <w:footnote w:id="17">
    <w:p w14:paraId="4BEB8969" w14:textId="316E8ECD" w:rsidR="001A3E2D" w:rsidRPr="001A3E2D" w:rsidRDefault="001A3E2D">
      <w:pPr>
        <w:pStyle w:val="FootnoteText"/>
        <w:rPr>
          <w:lang w:val="en-AU"/>
        </w:rPr>
      </w:pPr>
      <w:r>
        <w:rPr>
          <w:rStyle w:val="FootnoteReference"/>
        </w:rPr>
        <w:footnoteRef/>
      </w:r>
      <w:r>
        <w:t xml:space="preserve"> </w:t>
      </w:r>
      <w:r>
        <w:rPr>
          <w:lang w:val="en-AU"/>
        </w:rPr>
        <w:t>Guidance text, footnote 31.</w:t>
      </w:r>
    </w:p>
  </w:footnote>
  <w:footnote w:id="18">
    <w:p w14:paraId="5CC6B2E8" w14:textId="1A4D5CAD" w:rsidR="001A3E2D" w:rsidRPr="001A3E2D" w:rsidRDefault="001A3E2D">
      <w:pPr>
        <w:pStyle w:val="FootnoteText"/>
        <w:rPr>
          <w:lang w:val="en-AU"/>
        </w:rPr>
      </w:pPr>
      <w:r>
        <w:rPr>
          <w:rStyle w:val="FootnoteReference"/>
        </w:rPr>
        <w:footnoteRef/>
      </w:r>
      <w:r>
        <w:t xml:space="preserve"> </w:t>
      </w:r>
      <w:r>
        <w:rPr>
          <w:lang w:val="en-AU"/>
        </w:rPr>
        <w:t>Guidance text, page 20.</w:t>
      </w:r>
    </w:p>
  </w:footnote>
  <w:footnote w:id="19">
    <w:p w14:paraId="4EB38215" w14:textId="6D0401FC" w:rsidR="001A3E2D" w:rsidRPr="001A3E2D" w:rsidRDefault="001A3E2D">
      <w:pPr>
        <w:pStyle w:val="FootnoteText"/>
        <w:rPr>
          <w:lang w:val="en-AU"/>
        </w:rPr>
      </w:pPr>
      <w:r>
        <w:rPr>
          <w:rStyle w:val="FootnoteReference"/>
        </w:rPr>
        <w:footnoteRef/>
      </w:r>
      <w:r>
        <w:t xml:space="preserve"> </w:t>
      </w:r>
      <w:r>
        <w:rPr>
          <w:lang w:val="en-AU"/>
        </w:rPr>
        <w:t>28 USC section 157(c).</w:t>
      </w:r>
    </w:p>
  </w:footnote>
  <w:footnote w:id="20">
    <w:p w14:paraId="4291FB2B" w14:textId="44A46E19" w:rsidR="001A3E2D" w:rsidRPr="001A3E2D" w:rsidRDefault="001A3E2D">
      <w:pPr>
        <w:pStyle w:val="FootnoteText"/>
        <w:rPr>
          <w:lang w:val="en-AU"/>
        </w:rPr>
      </w:pPr>
      <w:r>
        <w:rPr>
          <w:rStyle w:val="FootnoteReference"/>
        </w:rPr>
        <w:footnoteRef/>
      </w:r>
      <w:r>
        <w:t xml:space="preserve"> </w:t>
      </w:r>
      <w:r>
        <w:rPr>
          <w:lang w:val="en-AU"/>
        </w:rPr>
        <w:t>11 USC section 1524.</w:t>
      </w:r>
    </w:p>
  </w:footnote>
  <w:footnote w:id="21">
    <w:p w14:paraId="2EB4BF19" w14:textId="5099F44C" w:rsidR="001A3E2D" w:rsidRPr="001A3E2D" w:rsidRDefault="001A3E2D">
      <w:pPr>
        <w:pStyle w:val="FootnoteText"/>
        <w:rPr>
          <w:lang w:val="en-AU"/>
        </w:rPr>
      </w:pPr>
      <w:r>
        <w:rPr>
          <w:rStyle w:val="FootnoteReference"/>
        </w:rPr>
        <w:footnoteRef/>
      </w:r>
      <w:r>
        <w:t xml:space="preserve"> </w:t>
      </w:r>
      <w:r w:rsidR="00394FAB">
        <w:rPr>
          <w:lang w:val="en-AU"/>
        </w:rPr>
        <w:t>11 USC section 1521.</w:t>
      </w:r>
    </w:p>
  </w:footnote>
  <w:footnote w:id="22">
    <w:p w14:paraId="55CB4BEB" w14:textId="68BE3AEC" w:rsidR="00394FAB" w:rsidRPr="00394FAB" w:rsidRDefault="00394FAB">
      <w:pPr>
        <w:pStyle w:val="FootnoteText"/>
        <w:rPr>
          <w:lang w:val="en-AU"/>
        </w:rPr>
      </w:pPr>
      <w:r>
        <w:rPr>
          <w:rStyle w:val="FootnoteReference"/>
        </w:rPr>
        <w:footnoteRef/>
      </w:r>
      <w:r>
        <w:t xml:space="preserve"> </w:t>
      </w:r>
      <w:r>
        <w:rPr>
          <w:lang w:val="en-AU"/>
        </w:rPr>
        <w:t>11 USC section 1507(b).</w:t>
      </w:r>
    </w:p>
  </w:footnote>
  <w:footnote w:id="23">
    <w:p w14:paraId="4CAB5F8F" w14:textId="34770EAF" w:rsidR="00BB6357" w:rsidRPr="00BB6357" w:rsidRDefault="00BB6357">
      <w:pPr>
        <w:pStyle w:val="FootnoteText"/>
        <w:rPr>
          <w:lang w:val="en-AU"/>
        </w:rPr>
      </w:pPr>
      <w:r>
        <w:rPr>
          <w:rStyle w:val="FootnoteReference"/>
        </w:rPr>
        <w:footnoteRef/>
      </w:r>
      <w:r>
        <w:t xml:space="preserve"> </w:t>
      </w:r>
      <w:r>
        <w:rPr>
          <w:lang w:val="en-AU"/>
        </w:rPr>
        <w:t>Guidance text, page 62.</w:t>
      </w:r>
    </w:p>
  </w:footnote>
  <w:footnote w:id="24">
    <w:p w14:paraId="538CF915" w14:textId="11E51B41" w:rsidR="00BB6357" w:rsidRPr="00BB6357" w:rsidRDefault="00BB6357">
      <w:pPr>
        <w:pStyle w:val="FootnoteText"/>
        <w:rPr>
          <w:lang w:val="en-AU"/>
        </w:rPr>
      </w:pPr>
      <w:r>
        <w:rPr>
          <w:rStyle w:val="FootnoteReference"/>
        </w:rPr>
        <w:footnoteRef/>
      </w:r>
      <w:r>
        <w:t xml:space="preserve"> </w:t>
      </w:r>
      <w:r w:rsidRPr="00BB6357">
        <w:rPr>
          <w:i/>
          <w:iCs/>
        </w:rPr>
        <w:t>North Am Catholic Educational Programming Foundation, Inc v Gheewalla</w:t>
      </w:r>
      <w:r>
        <w:t>, 930 A.2d 92, 103 (Del 2007).</w:t>
      </w:r>
    </w:p>
  </w:footnote>
  <w:footnote w:id="25">
    <w:p w14:paraId="266EBBA9" w14:textId="4374ABFD" w:rsidR="00BB6357" w:rsidRPr="00BB6357" w:rsidRDefault="00BB6357">
      <w:pPr>
        <w:pStyle w:val="FootnoteText"/>
        <w:rPr>
          <w:lang w:val="en-AU"/>
        </w:rPr>
      </w:pPr>
      <w:r>
        <w:rPr>
          <w:rStyle w:val="FootnoteReference"/>
        </w:rPr>
        <w:footnoteRef/>
      </w:r>
      <w:r>
        <w:t xml:space="preserve"> </w:t>
      </w:r>
      <w:r w:rsidRPr="00BB6357">
        <w:rPr>
          <w:i/>
          <w:iCs/>
        </w:rPr>
        <w:t>Trenwick Am Litig Trust v Ernest &amp; Young, LLP</w:t>
      </w:r>
      <w:r>
        <w:t>, 906 A.2d 168 (Del Ch 2006).</w:t>
      </w:r>
    </w:p>
  </w:footnote>
  <w:footnote w:id="26">
    <w:p w14:paraId="182BE496" w14:textId="4E6CB77C" w:rsidR="00F62818" w:rsidRPr="00F62818" w:rsidRDefault="00F62818">
      <w:pPr>
        <w:pStyle w:val="FootnoteText"/>
        <w:rPr>
          <w:lang w:val="en-AU"/>
        </w:rPr>
      </w:pPr>
      <w:r>
        <w:rPr>
          <w:rStyle w:val="FootnoteReference"/>
        </w:rPr>
        <w:footnoteRef/>
      </w:r>
      <w:r>
        <w:t xml:space="preserve"> </w:t>
      </w:r>
      <w:r>
        <w:rPr>
          <w:lang w:val="en-AU"/>
        </w:rPr>
        <w:t>11 USC section 303.</w:t>
      </w:r>
    </w:p>
  </w:footnote>
  <w:footnote w:id="27">
    <w:p w14:paraId="12ACCD84" w14:textId="049D6F4A" w:rsidR="006958C1" w:rsidRPr="006958C1" w:rsidRDefault="006958C1">
      <w:pPr>
        <w:pStyle w:val="FootnoteText"/>
        <w:rPr>
          <w:lang w:val="en-AU"/>
        </w:rPr>
      </w:pPr>
      <w:r>
        <w:rPr>
          <w:rStyle w:val="FootnoteReference"/>
        </w:rPr>
        <w:footnoteRef/>
      </w:r>
      <w:r>
        <w:t xml:space="preserve"> </w:t>
      </w:r>
      <w:r>
        <w:rPr>
          <w:lang w:val="en-AU"/>
        </w:rPr>
        <w:t xml:space="preserve">Form B205 at 2 and guidance text, page 14. </w:t>
      </w:r>
    </w:p>
  </w:footnote>
  <w:footnote w:id="28">
    <w:p w14:paraId="46CF1C99" w14:textId="78446D5C" w:rsidR="002D3490" w:rsidRPr="002D3490" w:rsidRDefault="002D3490">
      <w:pPr>
        <w:pStyle w:val="FootnoteText"/>
        <w:rPr>
          <w:lang w:val="en-AU"/>
        </w:rPr>
      </w:pPr>
      <w:r>
        <w:rPr>
          <w:rStyle w:val="FootnoteReference"/>
        </w:rPr>
        <w:footnoteRef/>
      </w:r>
      <w:r>
        <w:t xml:space="preserve"> </w:t>
      </w:r>
      <w:r>
        <w:rPr>
          <w:lang w:val="en-AU"/>
        </w:rPr>
        <w:t>11 USC section 362(a).</w:t>
      </w:r>
    </w:p>
  </w:footnote>
  <w:footnote w:id="29">
    <w:p w14:paraId="15FF2A8B" w14:textId="5CAECC2F" w:rsidR="002D3490" w:rsidRPr="002D3490" w:rsidRDefault="002D3490">
      <w:pPr>
        <w:pStyle w:val="FootnoteText"/>
        <w:rPr>
          <w:lang w:val="en-AU"/>
        </w:rPr>
      </w:pPr>
      <w:r>
        <w:rPr>
          <w:rStyle w:val="FootnoteReference"/>
        </w:rPr>
        <w:footnoteRef/>
      </w:r>
      <w:r>
        <w:t xml:space="preserve"> </w:t>
      </w:r>
      <w:r w:rsidRPr="002D3490">
        <w:rPr>
          <w:i/>
          <w:iCs/>
          <w:lang w:val="en-AU"/>
        </w:rPr>
        <w:t>City of Chicago v Fulton</w:t>
      </w:r>
      <w:r>
        <w:rPr>
          <w:lang w:val="en-AU"/>
        </w:rPr>
        <w:t>, 529 US 140 (2021).</w:t>
      </w:r>
    </w:p>
  </w:footnote>
  <w:footnote w:id="30">
    <w:p w14:paraId="0A571809" w14:textId="1EC71828" w:rsidR="002D3490" w:rsidRPr="002D3490" w:rsidRDefault="002D3490">
      <w:pPr>
        <w:pStyle w:val="FootnoteText"/>
        <w:rPr>
          <w:lang w:val="en-AU"/>
        </w:rPr>
      </w:pPr>
      <w:r>
        <w:rPr>
          <w:rStyle w:val="FootnoteReference"/>
        </w:rPr>
        <w:footnoteRef/>
      </w:r>
      <w:r>
        <w:t xml:space="preserve"> </w:t>
      </w:r>
      <w:r>
        <w:rPr>
          <w:lang w:val="en-AU"/>
        </w:rPr>
        <w:t>11 USC section 362(b).</w:t>
      </w:r>
    </w:p>
  </w:footnote>
  <w:footnote w:id="31">
    <w:p w14:paraId="54F8E0AA" w14:textId="66C81FF7" w:rsidR="00563F53" w:rsidRPr="00563F53" w:rsidRDefault="00563F53">
      <w:pPr>
        <w:pStyle w:val="FootnoteText"/>
        <w:rPr>
          <w:lang w:val="en-AU"/>
        </w:rPr>
      </w:pPr>
      <w:r>
        <w:rPr>
          <w:rStyle w:val="FootnoteReference"/>
        </w:rPr>
        <w:footnoteRef/>
      </w:r>
      <w:r>
        <w:t xml:space="preserve"> </w:t>
      </w:r>
      <w:r>
        <w:rPr>
          <w:lang w:val="en-AU"/>
        </w:rPr>
        <w:t>11 USC section 1501(a).</w:t>
      </w:r>
    </w:p>
  </w:footnote>
  <w:footnote w:id="32">
    <w:p w14:paraId="761D6DBD" w14:textId="63B1B7B6" w:rsidR="00563F53" w:rsidRPr="00563F53" w:rsidRDefault="00563F53">
      <w:pPr>
        <w:pStyle w:val="FootnoteText"/>
        <w:rPr>
          <w:lang w:val="en-AU"/>
        </w:rPr>
      </w:pPr>
      <w:r>
        <w:rPr>
          <w:rStyle w:val="FootnoteReference"/>
        </w:rPr>
        <w:footnoteRef/>
      </w:r>
      <w:r>
        <w:t xml:space="preserve"> </w:t>
      </w:r>
      <w:r>
        <w:rPr>
          <w:lang w:val="en-AU"/>
        </w:rPr>
        <w:t>Ibid, section 1520(a)(1).</w:t>
      </w:r>
    </w:p>
  </w:footnote>
  <w:footnote w:id="33">
    <w:p w14:paraId="5CDFEDD9" w14:textId="780615D2" w:rsidR="00563F53" w:rsidRPr="00563F53" w:rsidRDefault="00563F53">
      <w:pPr>
        <w:pStyle w:val="FootnoteText"/>
        <w:rPr>
          <w:lang w:val="en-AU"/>
        </w:rPr>
      </w:pPr>
      <w:r>
        <w:rPr>
          <w:rStyle w:val="FootnoteReference"/>
        </w:rPr>
        <w:footnoteRef/>
      </w:r>
      <w:r>
        <w:t xml:space="preserve"> </w:t>
      </w:r>
      <w:r>
        <w:rPr>
          <w:lang w:val="en-AU"/>
        </w:rPr>
        <w:t>Ibid, section 101(23).</w:t>
      </w:r>
    </w:p>
  </w:footnote>
  <w:footnote w:id="34">
    <w:p w14:paraId="591D9505" w14:textId="41AEA634" w:rsidR="00C4347D" w:rsidRPr="00C4347D" w:rsidRDefault="00C4347D">
      <w:pPr>
        <w:pStyle w:val="FootnoteText"/>
        <w:rPr>
          <w:lang w:val="en-AU"/>
        </w:rPr>
      </w:pPr>
      <w:r>
        <w:rPr>
          <w:rStyle w:val="FootnoteReference"/>
        </w:rPr>
        <w:footnoteRef/>
      </w:r>
      <w:r>
        <w:t xml:space="preserve"> </w:t>
      </w:r>
      <w:r>
        <w:rPr>
          <w:lang w:val="en-AU"/>
        </w:rPr>
        <w:t>Ibid. See also guidance text page 65.</w:t>
      </w:r>
    </w:p>
  </w:footnote>
  <w:footnote w:id="35">
    <w:p w14:paraId="69A3F6A9" w14:textId="14DECB8E" w:rsidR="00C4347D" w:rsidRPr="00C4347D" w:rsidRDefault="00C4347D">
      <w:pPr>
        <w:pStyle w:val="FootnoteText"/>
        <w:rPr>
          <w:lang w:val="en-AU"/>
        </w:rPr>
      </w:pPr>
      <w:r>
        <w:rPr>
          <w:rStyle w:val="FootnoteReference"/>
        </w:rPr>
        <w:footnoteRef/>
      </w:r>
      <w:r>
        <w:t xml:space="preserve"> </w:t>
      </w:r>
      <w:r>
        <w:rPr>
          <w:lang w:val="en-AU"/>
        </w:rPr>
        <w:t>11 USC, section 1516(c).</w:t>
      </w:r>
    </w:p>
  </w:footnote>
  <w:footnote w:id="36">
    <w:p w14:paraId="09886D4A" w14:textId="44B3931B" w:rsidR="00C4347D" w:rsidRPr="00C4347D" w:rsidRDefault="00C4347D">
      <w:pPr>
        <w:pStyle w:val="FootnoteText"/>
        <w:rPr>
          <w:lang w:val="en-AU"/>
        </w:rPr>
      </w:pPr>
      <w:r>
        <w:rPr>
          <w:rStyle w:val="FootnoteReference"/>
        </w:rPr>
        <w:footnoteRef/>
      </w:r>
      <w:r>
        <w:t xml:space="preserve"> </w:t>
      </w:r>
      <w:r w:rsidRPr="00C4347D">
        <w:rPr>
          <w:i/>
          <w:iCs/>
          <w:lang w:val="en-AU"/>
        </w:rPr>
        <w:t>Morning Mist</w:t>
      </w:r>
      <w:r>
        <w:rPr>
          <w:lang w:val="en-AU"/>
        </w:rPr>
        <w:t>, 714 F.3d at 134.</w:t>
      </w:r>
    </w:p>
  </w:footnote>
  <w:footnote w:id="37">
    <w:p w14:paraId="5E520372" w14:textId="373CC295" w:rsidR="00D275E7" w:rsidRPr="00D275E7" w:rsidRDefault="00D275E7">
      <w:pPr>
        <w:pStyle w:val="FootnoteText"/>
        <w:rPr>
          <w:lang w:val="en-AU"/>
        </w:rPr>
      </w:pPr>
      <w:r>
        <w:rPr>
          <w:rStyle w:val="FootnoteReference"/>
        </w:rPr>
        <w:footnoteRef/>
      </w:r>
      <w:r>
        <w:t xml:space="preserve"> </w:t>
      </w:r>
      <w:r>
        <w:rPr>
          <w:lang w:val="en-AU"/>
        </w:rPr>
        <w:t>11 USC, section 365.</w:t>
      </w:r>
    </w:p>
  </w:footnote>
  <w:footnote w:id="38">
    <w:p w14:paraId="1352E84B" w14:textId="122AA06A" w:rsidR="00E77331" w:rsidRPr="00E77331" w:rsidRDefault="00E77331">
      <w:pPr>
        <w:pStyle w:val="FootnoteText"/>
        <w:rPr>
          <w:lang w:val="en-AU"/>
        </w:rPr>
      </w:pPr>
      <w:r>
        <w:rPr>
          <w:rStyle w:val="FootnoteReference"/>
        </w:rPr>
        <w:footnoteRef/>
      </w:r>
      <w:r>
        <w:t xml:space="preserve"> </w:t>
      </w:r>
      <w:r>
        <w:rPr>
          <w:lang w:val="en-AU"/>
        </w:rPr>
        <w:t>11 USC, section 363(f).</w:t>
      </w:r>
    </w:p>
  </w:footnote>
  <w:footnote w:id="39">
    <w:p w14:paraId="512B11C0" w14:textId="5465D6CE" w:rsidR="00E77331" w:rsidRPr="00E77331" w:rsidRDefault="00E77331">
      <w:pPr>
        <w:pStyle w:val="FootnoteText"/>
        <w:rPr>
          <w:lang w:val="en-AU"/>
        </w:rPr>
      </w:pPr>
      <w:r>
        <w:rPr>
          <w:rStyle w:val="FootnoteReference"/>
        </w:rPr>
        <w:footnoteRef/>
      </w:r>
      <w:r>
        <w:t xml:space="preserve"> </w:t>
      </w:r>
      <w:r>
        <w:rPr>
          <w:lang w:val="en-AU"/>
        </w:rPr>
        <w:t>11 USC, section 365(n)</w:t>
      </w:r>
    </w:p>
  </w:footnote>
  <w:footnote w:id="40">
    <w:p w14:paraId="760AD16A" w14:textId="77777777" w:rsidR="00E77331" w:rsidRPr="00E77331" w:rsidRDefault="00E77331" w:rsidP="00E77331">
      <w:pPr>
        <w:pStyle w:val="FootnoteText"/>
        <w:rPr>
          <w:lang w:val="en-AU"/>
        </w:rPr>
      </w:pPr>
      <w:r>
        <w:rPr>
          <w:rStyle w:val="FootnoteReference"/>
        </w:rPr>
        <w:footnoteRef/>
      </w:r>
      <w:r>
        <w:t xml:space="preserve"> </w:t>
      </w:r>
      <w:r>
        <w:rPr>
          <w:lang w:val="en-AU"/>
        </w:rPr>
        <w:t>11 USC, section 363(f).</w:t>
      </w:r>
    </w:p>
  </w:footnote>
  <w:footnote w:id="41">
    <w:p w14:paraId="40851FD6" w14:textId="76F2FF6A" w:rsidR="00E77331" w:rsidRPr="00E77331" w:rsidRDefault="00E77331">
      <w:pPr>
        <w:pStyle w:val="FootnoteText"/>
        <w:rPr>
          <w:lang w:val="en-AU"/>
        </w:rPr>
      </w:pPr>
      <w:r>
        <w:rPr>
          <w:rStyle w:val="FootnoteReference"/>
        </w:rPr>
        <w:footnoteRef/>
      </w:r>
      <w:r>
        <w:t xml:space="preserve"> </w:t>
      </w:r>
      <w:r>
        <w:rPr>
          <w:lang w:val="en-AU"/>
        </w:rPr>
        <w:t>Ibid, sections 365(c), (e) and (f).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806076"/>
    <w:multiLevelType w:val="hybridMultilevel"/>
    <w:tmpl w:val="3B3854E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B37061"/>
    <w:multiLevelType w:val="hybridMultilevel"/>
    <w:tmpl w:val="2A2AD5B4"/>
    <w:lvl w:ilvl="0" w:tplc="12BC179C">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5711223">
    <w:abstractNumId w:val="22"/>
  </w:num>
  <w:num w:numId="2" w16cid:durableId="1170027933">
    <w:abstractNumId w:val="25"/>
  </w:num>
  <w:num w:numId="3" w16cid:durableId="955336283">
    <w:abstractNumId w:val="4"/>
  </w:num>
  <w:num w:numId="4" w16cid:durableId="60105653">
    <w:abstractNumId w:val="8"/>
  </w:num>
  <w:num w:numId="5" w16cid:durableId="1178352988">
    <w:abstractNumId w:val="10"/>
  </w:num>
  <w:num w:numId="6" w16cid:durableId="489370041">
    <w:abstractNumId w:val="28"/>
  </w:num>
  <w:num w:numId="7" w16cid:durableId="53239825">
    <w:abstractNumId w:val="5"/>
  </w:num>
  <w:num w:numId="8" w16cid:durableId="732971351">
    <w:abstractNumId w:val="31"/>
  </w:num>
  <w:num w:numId="9" w16cid:durableId="761533710">
    <w:abstractNumId w:val="11"/>
  </w:num>
  <w:num w:numId="10" w16cid:durableId="730932999">
    <w:abstractNumId w:val="24"/>
  </w:num>
  <w:num w:numId="11" w16cid:durableId="1996255481">
    <w:abstractNumId w:val="13"/>
  </w:num>
  <w:num w:numId="12" w16cid:durableId="156238089">
    <w:abstractNumId w:val="21"/>
  </w:num>
  <w:num w:numId="13" w16cid:durableId="1472987255">
    <w:abstractNumId w:val="0"/>
  </w:num>
  <w:num w:numId="14" w16cid:durableId="1105805681">
    <w:abstractNumId w:val="9"/>
  </w:num>
  <w:num w:numId="15" w16cid:durableId="97068608">
    <w:abstractNumId w:val="16"/>
  </w:num>
  <w:num w:numId="16" w16cid:durableId="2087459875">
    <w:abstractNumId w:val="7"/>
  </w:num>
  <w:num w:numId="17" w16cid:durableId="2024235681">
    <w:abstractNumId w:val="3"/>
  </w:num>
  <w:num w:numId="18" w16cid:durableId="1157958215">
    <w:abstractNumId w:val="2"/>
  </w:num>
  <w:num w:numId="19" w16cid:durableId="2139640442">
    <w:abstractNumId w:val="26"/>
  </w:num>
  <w:num w:numId="20" w16cid:durableId="1741101542">
    <w:abstractNumId w:val="6"/>
  </w:num>
  <w:num w:numId="21" w16cid:durableId="976029337">
    <w:abstractNumId w:val="23"/>
  </w:num>
  <w:num w:numId="22" w16cid:durableId="486165803">
    <w:abstractNumId w:val="32"/>
  </w:num>
  <w:num w:numId="23" w16cid:durableId="1728650434">
    <w:abstractNumId w:val="12"/>
  </w:num>
  <w:num w:numId="24" w16cid:durableId="400441871">
    <w:abstractNumId w:val="27"/>
  </w:num>
  <w:num w:numId="25" w16cid:durableId="527253442">
    <w:abstractNumId w:val="17"/>
  </w:num>
  <w:num w:numId="26" w16cid:durableId="305355257">
    <w:abstractNumId w:val="19"/>
  </w:num>
  <w:num w:numId="27" w16cid:durableId="1461529425">
    <w:abstractNumId w:val="14"/>
  </w:num>
  <w:num w:numId="28" w16cid:durableId="1979045">
    <w:abstractNumId w:val="30"/>
  </w:num>
  <w:num w:numId="29" w16cid:durableId="1667129892">
    <w:abstractNumId w:val="1"/>
  </w:num>
  <w:num w:numId="30" w16cid:durableId="1513488449">
    <w:abstractNumId w:val="15"/>
  </w:num>
  <w:num w:numId="31" w16cid:durableId="1726175962">
    <w:abstractNumId w:val="20"/>
  </w:num>
  <w:num w:numId="32" w16cid:durableId="1834373512">
    <w:abstractNumId w:val="29"/>
  </w:num>
  <w:num w:numId="33" w16cid:durableId="171357430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04A1E"/>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3E2D"/>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3490"/>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4FAB"/>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4F7CDD"/>
    <w:rsid w:val="00515810"/>
    <w:rsid w:val="005177FE"/>
    <w:rsid w:val="0052263B"/>
    <w:rsid w:val="00524728"/>
    <w:rsid w:val="005331CA"/>
    <w:rsid w:val="00537424"/>
    <w:rsid w:val="00537970"/>
    <w:rsid w:val="00540E3A"/>
    <w:rsid w:val="00544127"/>
    <w:rsid w:val="005463A9"/>
    <w:rsid w:val="00553EB2"/>
    <w:rsid w:val="00560534"/>
    <w:rsid w:val="0056391B"/>
    <w:rsid w:val="00563F53"/>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C37A6"/>
    <w:rsid w:val="005D1293"/>
    <w:rsid w:val="005D43E0"/>
    <w:rsid w:val="005D58A3"/>
    <w:rsid w:val="005D6642"/>
    <w:rsid w:val="005E1B79"/>
    <w:rsid w:val="005E6076"/>
    <w:rsid w:val="005E7008"/>
    <w:rsid w:val="005F026D"/>
    <w:rsid w:val="005F2AEA"/>
    <w:rsid w:val="005F2D0B"/>
    <w:rsid w:val="005F4B31"/>
    <w:rsid w:val="00601506"/>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58C1"/>
    <w:rsid w:val="00697EA1"/>
    <w:rsid w:val="006A2646"/>
    <w:rsid w:val="006A46AD"/>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4F15"/>
    <w:rsid w:val="008B5333"/>
    <w:rsid w:val="008B6223"/>
    <w:rsid w:val="008C66E0"/>
    <w:rsid w:val="008E3339"/>
    <w:rsid w:val="008F20FC"/>
    <w:rsid w:val="008F5FFE"/>
    <w:rsid w:val="00902FA7"/>
    <w:rsid w:val="00905A43"/>
    <w:rsid w:val="00912C79"/>
    <w:rsid w:val="00921B8C"/>
    <w:rsid w:val="0092565E"/>
    <w:rsid w:val="0093467C"/>
    <w:rsid w:val="009410EB"/>
    <w:rsid w:val="00942123"/>
    <w:rsid w:val="0095207B"/>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6DB1"/>
    <w:rsid w:val="00B87869"/>
    <w:rsid w:val="00B9639B"/>
    <w:rsid w:val="00BB0F2B"/>
    <w:rsid w:val="00BB6357"/>
    <w:rsid w:val="00BD4A58"/>
    <w:rsid w:val="00BD7337"/>
    <w:rsid w:val="00BE4FF3"/>
    <w:rsid w:val="00BF50F7"/>
    <w:rsid w:val="00C02F29"/>
    <w:rsid w:val="00C05A9F"/>
    <w:rsid w:val="00C20AFE"/>
    <w:rsid w:val="00C22A25"/>
    <w:rsid w:val="00C35671"/>
    <w:rsid w:val="00C35B77"/>
    <w:rsid w:val="00C362AA"/>
    <w:rsid w:val="00C376EB"/>
    <w:rsid w:val="00C4347D"/>
    <w:rsid w:val="00C452BC"/>
    <w:rsid w:val="00C46A92"/>
    <w:rsid w:val="00C46EC1"/>
    <w:rsid w:val="00C51EA5"/>
    <w:rsid w:val="00C52796"/>
    <w:rsid w:val="00C53E2C"/>
    <w:rsid w:val="00C550C8"/>
    <w:rsid w:val="00C56B61"/>
    <w:rsid w:val="00C606C3"/>
    <w:rsid w:val="00C620F4"/>
    <w:rsid w:val="00C651D6"/>
    <w:rsid w:val="00C72848"/>
    <w:rsid w:val="00C7736C"/>
    <w:rsid w:val="00C7782E"/>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275E7"/>
    <w:rsid w:val="00D316F2"/>
    <w:rsid w:val="00D34584"/>
    <w:rsid w:val="00D53719"/>
    <w:rsid w:val="00D57551"/>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4B73"/>
    <w:rsid w:val="00E77331"/>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2818"/>
    <w:rsid w:val="00F66AFF"/>
    <w:rsid w:val="00F71433"/>
    <w:rsid w:val="00F737F9"/>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Hudson</cp:lastModifiedBy>
  <cp:revision>10</cp:revision>
  <cp:lastPrinted>2023-07-31T05:32:00Z</cp:lastPrinted>
  <dcterms:created xsi:type="dcterms:W3CDTF">2022-07-01T09:50:00Z</dcterms:created>
  <dcterms:modified xsi:type="dcterms:W3CDTF">2023-07-31T20:41:00Z</dcterms:modified>
</cp:coreProperties>
</file>