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26587E" w:rsidRDefault="00BA41E0" w:rsidP="004D2090">
      <w:pPr>
        <w:pStyle w:val="ListParagraph"/>
        <w:numPr>
          <w:ilvl w:val="0"/>
          <w:numId w:val="1"/>
        </w:numPr>
        <w:ind w:left="426"/>
        <w:jc w:val="both"/>
        <w:rPr>
          <w:rFonts w:ascii="Avenir Next" w:hAnsi="Avenir Next" w:cs="Arial"/>
          <w:sz w:val="22"/>
          <w:szCs w:val="22"/>
          <w:highlight w:val="yellow"/>
          <w:lang w:val="en-GB"/>
        </w:rPr>
      </w:pPr>
      <w:r w:rsidRPr="0026587E">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26587E" w:rsidRDefault="0052366A" w:rsidP="004D2090">
      <w:pPr>
        <w:pStyle w:val="ListParagraph"/>
        <w:numPr>
          <w:ilvl w:val="0"/>
          <w:numId w:val="2"/>
        </w:numPr>
        <w:ind w:left="426"/>
        <w:jc w:val="both"/>
        <w:rPr>
          <w:rFonts w:ascii="Avenir Next" w:hAnsi="Avenir Next" w:cs="Arial"/>
          <w:sz w:val="22"/>
          <w:szCs w:val="22"/>
          <w:highlight w:val="yellow"/>
          <w:lang w:val="en-GB"/>
        </w:rPr>
      </w:pPr>
      <w:r w:rsidRPr="0026587E">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centre of main interests of the debtor is located in Singapore.</w:t>
      </w:r>
    </w:p>
    <w:p w14:paraId="0CC131D7" w14:textId="0AF40751" w:rsidR="002938AD" w:rsidRPr="004F0CF9" w:rsidRDefault="002938AD" w:rsidP="002938AD">
      <w:pPr>
        <w:ind w:left="66"/>
        <w:jc w:val="both"/>
        <w:rPr>
          <w:rFonts w:ascii="Avenir Next" w:hAnsi="Avenir Next" w:cs="Arial"/>
          <w:sz w:val="22"/>
          <w:szCs w:val="22"/>
          <w:lang w:val="en-GB"/>
        </w:rPr>
      </w:pPr>
    </w:p>
    <w:p w14:paraId="4EC95C22" w14:textId="77777777" w:rsidR="00C03A89" w:rsidRPr="004F0CF9" w:rsidRDefault="00C03A89" w:rsidP="002938AD">
      <w:pPr>
        <w:ind w:left="66"/>
        <w:jc w:val="both"/>
        <w:rPr>
          <w:rFonts w:ascii="Avenir Next" w:hAnsi="Avenir Next" w:cs="Arial"/>
          <w:sz w:val="22"/>
          <w:szCs w:val="22"/>
          <w:lang w:val="en-GB"/>
        </w:rPr>
      </w:pPr>
    </w:p>
    <w:p w14:paraId="6AA1AD91"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26587E" w:rsidRDefault="002938AD" w:rsidP="004D2090">
      <w:pPr>
        <w:pStyle w:val="ListParagraph"/>
        <w:numPr>
          <w:ilvl w:val="0"/>
          <w:numId w:val="3"/>
        </w:numPr>
        <w:ind w:left="426"/>
        <w:jc w:val="both"/>
        <w:rPr>
          <w:rFonts w:ascii="Avenir Next" w:hAnsi="Avenir Next" w:cs="Arial"/>
          <w:sz w:val="22"/>
          <w:szCs w:val="22"/>
          <w:highlight w:val="yellow"/>
          <w:lang w:val="en-GB"/>
        </w:rPr>
      </w:pPr>
      <w:r w:rsidRPr="0026587E">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784E1E" w:rsidRDefault="001A512B" w:rsidP="004D2090">
      <w:pPr>
        <w:pStyle w:val="ListParagraph"/>
        <w:numPr>
          <w:ilvl w:val="0"/>
          <w:numId w:val="4"/>
        </w:numPr>
        <w:ind w:left="426"/>
        <w:jc w:val="both"/>
        <w:rPr>
          <w:rFonts w:ascii="Avenir Next" w:hAnsi="Avenir Next" w:cs="Arial"/>
          <w:sz w:val="22"/>
          <w:szCs w:val="22"/>
          <w:highlight w:val="yellow"/>
          <w:lang w:val="en-GB"/>
        </w:rPr>
      </w:pPr>
      <w:r w:rsidRPr="00784E1E">
        <w:rPr>
          <w:rFonts w:ascii="Avenir Next" w:hAnsi="Avenir Next" w:cs="Arial"/>
          <w:sz w:val="22"/>
          <w:szCs w:val="22"/>
          <w:highlight w:val="yellow"/>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784E1E" w:rsidRDefault="00DF1875" w:rsidP="004D2090">
      <w:pPr>
        <w:pStyle w:val="ListParagraph"/>
        <w:numPr>
          <w:ilvl w:val="0"/>
          <w:numId w:val="5"/>
        </w:numPr>
        <w:ind w:left="426"/>
        <w:jc w:val="both"/>
        <w:rPr>
          <w:rFonts w:ascii="Avenir Next" w:hAnsi="Avenir Next" w:cs="Arial"/>
          <w:sz w:val="22"/>
          <w:szCs w:val="22"/>
          <w:highlight w:val="yellow"/>
          <w:lang w:val="en-GB"/>
        </w:rPr>
      </w:pPr>
      <w:r w:rsidRPr="00784E1E">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to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that is likely to affect the national interest, or economic interest, of Singapore, as may be prescribed</w:t>
      </w:r>
      <w:r w:rsidR="00EE1A0C" w:rsidRPr="004F0CF9">
        <w:rPr>
          <w:rFonts w:ascii="Avenir Next" w:hAnsi="Avenir Next" w:cs="Arial"/>
          <w:sz w:val="22"/>
          <w:szCs w:val="22"/>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784E1E" w:rsidRDefault="00025846" w:rsidP="004D2090">
      <w:pPr>
        <w:pStyle w:val="ListParagraph"/>
        <w:numPr>
          <w:ilvl w:val="0"/>
          <w:numId w:val="6"/>
        </w:numPr>
        <w:ind w:left="426"/>
        <w:jc w:val="both"/>
        <w:rPr>
          <w:rFonts w:ascii="Avenir Next" w:hAnsi="Avenir Next" w:cs="Arial"/>
          <w:sz w:val="22"/>
          <w:szCs w:val="22"/>
          <w:highlight w:val="yellow"/>
          <w:lang w:val="en-GB"/>
        </w:rPr>
      </w:pPr>
      <w:r w:rsidRPr="00784E1E">
        <w:rPr>
          <w:rFonts w:ascii="Avenir Next" w:hAnsi="Avenir Next" w:cs="Arial"/>
          <w:sz w:val="22"/>
          <w:szCs w:val="22"/>
          <w:highlight w:val="yellow"/>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4F0CF9" w:rsidRDefault="00E631C5"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preserve</w:t>
      </w:r>
      <w:r w:rsidR="00FA2EAC" w:rsidRPr="004F0CF9">
        <w:rPr>
          <w:rFonts w:ascii="Avenir Next" w:hAnsi="Avenir Next" w:cs="Arial"/>
          <w:sz w:val="22"/>
          <w:szCs w:val="22"/>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E53003" w:rsidRDefault="00FA2EAC" w:rsidP="004D2090">
      <w:pPr>
        <w:pStyle w:val="ListParagraph"/>
        <w:numPr>
          <w:ilvl w:val="0"/>
          <w:numId w:val="7"/>
        </w:numPr>
        <w:ind w:left="426"/>
        <w:jc w:val="both"/>
        <w:rPr>
          <w:rFonts w:ascii="Avenir Next" w:hAnsi="Avenir Next" w:cs="Arial"/>
          <w:sz w:val="22"/>
          <w:szCs w:val="22"/>
          <w:highlight w:val="yellow"/>
          <w:lang w:val="en-GB"/>
        </w:rPr>
      </w:pPr>
      <w:r w:rsidRPr="00E53003">
        <w:rPr>
          <w:rFonts w:ascii="Avenir Next" w:hAnsi="Avenir Next" w:cs="Arial"/>
          <w:sz w:val="22"/>
          <w:szCs w:val="22"/>
          <w:highlight w:val="yellow"/>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lastRenderedPageBreak/>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E53003" w:rsidRDefault="001B3AEE" w:rsidP="004D2090">
      <w:pPr>
        <w:pStyle w:val="ListParagraph"/>
        <w:numPr>
          <w:ilvl w:val="0"/>
          <w:numId w:val="8"/>
        </w:numPr>
        <w:ind w:left="426"/>
        <w:jc w:val="both"/>
        <w:rPr>
          <w:rFonts w:ascii="Avenir Next" w:hAnsi="Avenir Next" w:cs="Arial"/>
          <w:sz w:val="22"/>
          <w:szCs w:val="22"/>
          <w:highlight w:val="yellow"/>
          <w:lang w:val="en-GB"/>
        </w:rPr>
      </w:pPr>
      <w:r w:rsidRPr="00E53003">
        <w:rPr>
          <w:rFonts w:ascii="Avenir Next" w:hAnsi="Avenir Next" w:cs="Arial"/>
          <w:sz w:val="22"/>
          <w:szCs w:val="22"/>
          <w:highlight w:val="yellow"/>
          <w:lang w:val="en-GB"/>
        </w:rPr>
        <w:t xml:space="preserve">An individual whose parents </w:t>
      </w:r>
      <w:r w:rsidR="000940F4" w:rsidRPr="00E53003">
        <w:rPr>
          <w:rFonts w:ascii="Avenir Next" w:hAnsi="Avenir Next" w:cs="Arial"/>
          <w:sz w:val="22"/>
          <w:szCs w:val="22"/>
          <w:highlight w:val="yellow"/>
          <w:lang w:val="en-GB"/>
        </w:rPr>
        <w:t>live</w:t>
      </w:r>
      <w:r w:rsidRPr="00E53003">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E53003">
        <w:rPr>
          <w:rFonts w:ascii="Avenir Next" w:hAnsi="Avenir Next" w:cs="Arial"/>
          <w:sz w:val="22"/>
          <w:szCs w:val="22"/>
          <w:highlight w:val="yellow"/>
          <w:lang w:val="en-GB"/>
        </w:rPr>
        <w:t xml:space="preserve">Rescue financing enjoys preferential treatment automatically without the sanction of </w:t>
      </w:r>
      <w:r w:rsidR="00CD338E" w:rsidRPr="00E53003">
        <w:rPr>
          <w:rFonts w:ascii="Avenir Next" w:hAnsi="Avenir Next" w:cs="Arial"/>
          <w:sz w:val="22"/>
          <w:szCs w:val="22"/>
          <w:highlight w:val="yellow"/>
          <w:lang w:val="en-GB"/>
        </w:rPr>
        <w:t>c</w:t>
      </w:r>
      <w:r w:rsidRPr="00E53003">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E53003" w:rsidRDefault="00981ED1" w:rsidP="004D2090">
      <w:pPr>
        <w:pStyle w:val="ListParagraph"/>
        <w:numPr>
          <w:ilvl w:val="0"/>
          <w:numId w:val="10"/>
        </w:numPr>
        <w:ind w:left="426"/>
        <w:jc w:val="both"/>
        <w:rPr>
          <w:rFonts w:ascii="Avenir Next" w:hAnsi="Avenir Next" w:cs="Arial"/>
          <w:sz w:val="22"/>
          <w:szCs w:val="22"/>
          <w:highlight w:val="yellow"/>
          <w:lang w:val="en-GB"/>
        </w:rPr>
      </w:pPr>
      <w:r w:rsidRPr="00E53003">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5E9A330B" w14:textId="77777777" w:rsidR="00081808" w:rsidRDefault="00081808">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1751BD74" w14:textId="46665365"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lastRenderedPageBreak/>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77777777" w:rsidR="004A3793" w:rsidRDefault="004A3793" w:rsidP="008C35C9">
      <w:pPr>
        <w:jc w:val="both"/>
        <w:rPr>
          <w:rFonts w:ascii="Avenir Next" w:hAnsi="Avenir Next" w:cs="Arial"/>
          <w:sz w:val="22"/>
          <w:szCs w:val="22"/>
          <w:lang w:val="en-GB"/>
        </w:rPr>
      </w:pPr>
    </w:p>
    <w:p w14:paraId="43FD29C4" w14:textId="3562B491" w:rsidR="008C35C9" w:rsidRDefault="005E689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r w:rsidR="0057272A">
        <w:rPr>
          <w:rFonts w:ascii="Avenir Next" w:hAnsi="Avenir Next" w:cs="Arial"/>
          <w:color w:val="808080" w:themeColor="background1" w:themeShade="80"/>
          <w:sz w:val="22"/>
          <w:szCs w:val="22"/>
          <w:lang w:val="en-GB"/>
        </w:rPr>
        <w:t>cross-class cram-down allows a scheme of arrangement to be approved notwithstanding the rejection of the scheme by one or more classes of creditors.</w:t>
      </w:r>
      <w:r w:rsidR="00081808">
        <w:rPr>
          <w:rStyle w:val="FootnoteReference"/>
          <w:rFonts w:ascii="Avenir Next" w:hAnsi="Avenir Next" w:cs="Arial"/>
          <w:color w:val="808080" w:themeColor="background1" w:themeShade="80"/>
          <w:sz w:val="22"/>
          <w:szCs w:val="22"/>
          <w:lang w:val="en-GB"/>
        </w:rPr>
        <w:footnoteReference w:id="1"/>
      </w:r>
      <w:r w:rsidR="0057272A">
        <w:rPr>
          <w:rFonts w:ascii="Avenir Next" w:hAnsi="Avenir Next" w:cs="Arial"/>
          <w:color w:val="808080" w:themeColor="background1" w:themeShade="80"/>
          <w:sz w:val="22"/>
          <w:szCs w:val="22"/>
          <w:lang w:val="en-GB"/>
        </w:rPr>
        <w:t xml:space="preserve"> The stated purpose was to limit the influence of minority creditors. </w:t>
      </w:r>
    </w:p>
    <w:p w14:paraId="26B5E363" w14:textId="2AE11619" w:rsidR="00081808" w:rsidRDefault="00081808" w:rsidP="008C35C9">
      <w:pPr>
        <w:jc w:val="both"/>
        <w:rPr>
          <w:rFonts w:ascii="Avenir Next" w:hAnsi="Avenir Next" w:cs="Arial"/>
          <w:color w:val="808080" w:themeColor="background1" w:themeShade="80"/>
          <w:sz w:val="22"/>
          <w:szCs w:val="22"/>
          <w:lang w:val="en-GB"/>
        </w:rPr>
      </w:pPr>
    </w:p>
    <w:p w14:paraId="18197B5A" w14:textId="6D432EBA" w:rsidR="00081808" w:rsidRDefault="0008180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court will grant a cross-class cram-down on creditors (but not shareholders) if:</w:t>
      </w:r>
      <w:r>
        <w:rPr>
          <w:rStyle w:val="FootnoteReference"/>
          <w:rFonts w:ascii="Avenir Next" w:hAnsi="Avenir Next" w:cs="Arial"/>
          <w:color w:val="808080" w:themeColor="background1" w:themeShade="80"/>
          <w:sz w:val="22"/>
          <w:szCs w:val="22"/>
          <w:lang w:val="en-GB"/>
        </w:rPr>
        <w:footnoteReference w:id="2"/>
      </w:r>
    </w:p>
    <w:p w14:paraId="1E6F884D" w14:textId="37CCB376" w:rsidR="00081808" w:rsidRDefault="00081808" w:rsidP="008C35C9">
      <w:pPr>
        <w:jc w:val="both"/>
        <w:rPr>
          <w:rFonts w:ascii="Avenir Next" w:hAnsi="Avenir Next" w:cs="Arial"/>
          <w:color w:val="808080" w:themeColor="background1" w:themeShade="80"/>
          <w:sz w:val="22"/>
          <w:szCs w:val="22"/>
          <w:lang w:val="en-GB"/>
        </w:rPr>
      </w:pPr>
    </w:p>
    <w:p w14:paraId="430D8644" w14:textId="6444595D" w:rsidR="00081808" w:rsidRDefault="00081808" w:rsidP="00081808">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majority in number of participating creditors voted in favour of the arrangement;</w:t>
      </w:r>
    </w:p>
    <w:p w14:paraId="2D253481" w14:textId="6217468A" w:rsidR="00081808" w:rsidRDefault="00081808" w:rsidP="00081808">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majority represents three-fourths in value of the participating creditors; and</w:t>
      </w:r>
    </w:p>
    <w:p w14:paraId="31FA08DB" w14:textId="5AD3CBF8" w:rsidR="00081808" w:rsidRPr="00081808" w:rsidRDefault="00081808" w:rsidP="00081808">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arrangement does not discriminate unfairly between two or more classes and is fair and equitable, having regard to the absolute priority rule. Fair and equitable means, in effect, that each class of creditor would otherwise receive if the arrangement was not approved by the court.</w:t>
      </w:r>
    </w:p>
    <w:p w14:paraId="04C818F4" w14:textId="482FCA24" w:rsidR="00CB75C5" w:rsidRDefault="00CB75C5" w:rsidP="008C35C9">
      <w:pPr>
        <w:ind w:right="851"/>
        <w:jc w:val="both"/>
        <w:rPr>
          <w:rFonts w:ascii="Avenir Next" w:hAnsi="Avenir Next" w:cs="Arial"/>
          <w:sz w:val="22"/>
          <w:szCs w:val="22"/>
          <w:lang w:val="en-GB"/>
        </w:rPr>
      </w:pPr>
    </w:p>
    <w:p w14:paraId="6C6A9FDE" w14:textId="77777777" w:rsidR="007637DE" w:rsidRDefault="007637DE"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3AC6D56F" w14:textId="64F608E4" w:rsidR="008C35C9" w:rsidRDefault="00205DC8" w:rsidP="00205DC8">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Enhance Singapore’s insolvency and restructuring laws; and</w:t>
      </w:r>
    </w:p>
    <w:p w14:paraId="4DC00997" w14:textId="618F7888" w:rsidR="00205DC8" w:rsidRPr="00205DC8" w:rsidRDefault="00205DC8" w:rsidP="00205DC8">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Establish a regulatory regime for insolvency practitioners.</w:t>
      </w:r>
      <w:r>
        <w:rPr>
          <w:rStyle w:val="FootnoteReference"/>
          <w:rFonts w:ascii="Avenir Next" w:hAnsi="Avenir Next" w:cs="Arial"/>
          <w:color w:val="808080" w:themeColor="background1" w:themeShade="80"/>
          <w:sz w:val="22"/>
          <w:szCs w:val="22"/>
          <w:lang w:val="en-GB"/>
        </w:rPr>
        <w:footnoteReference w:id="3"/>
      </w:r>
    </w:p>
    <w:p w14:paraId="437E1FBC" w14:textId="07F02D09" w:rsidR="001A0ABE" w:rsidRDefault="001A0ABE" w:rsidP="008C35C9">
      <w:pPr>
        <w:jc w:val="both"/>
        <w:rPr>
          <w:rFonts w:ascii="Avenir Next" w:hAnsi="Avenir Next" w:cs="Arial"/>
          <w:color w:val="808080" w:themeColor="background1" w:themeShade="80"/>
          <w:sz w:val="22"/>
          <w:szCs w:val="22"/>
          <w:lang w:val="en-GB"/>
        </w:rPr>
      </w:pP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1CF2559B" w14:textId="3527675E" w:rsidR="008C35C9" w:rsidRDefault="00205DC8" w:rsidP="00205DC8">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Quantum of debts that are due or will fall due in the reasonably foreseeable future;</w:t>
      </w:r>
    </w:p>
    <w:p w14:paraId="43B55DFC" w14:textId="4A1AED9B" w:rsidR="00205DC8" w:rsidRDefault="00205DC8" w:rsidP="00205DC8">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Value of currents assets that are realisable or will be realisable in the reasonably foreseeable future;</w:t>
      </w:r>
    </w:p>
    <w:p w14:paraId="061A268F" w14:textId="78C41404" w:rsidR="00205DC8" w:rsidRDefault="00205DC8" w:rsidP="00205DC8">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the company has failed to pay any of its debts, the quantum of same and the time period in which failure has occurred; and</w:t>
      </w:r>
    </w:p>
    <w:p w14:paraId="1540CDB3" w14:textId="51D1FF90" w:rsidR="00205DC8" w:rsidRPr="00205DC8" w:rsidRDefault="00205DC8" w:rsidP="00205DC8">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due or overdue debts are being demand or likely to be demanded.</w:t>
      </w:r>
      <w:r>
        <w:rPr>
          <w:rStyle w:val="FootnoteReference"/>
          <w:rFonts w:ascii="Avenir Next" w:hAnsi="Avenir Next" w:cs="Arial"/>
          <w:color w:val="808080" w:themeColor="background1" w:themeShade="80"/>
          <w:sz w:val="22"/>
          <w:szCs w:val="22"/>
          <w:lang w:val="en-GB"/>
        </w:rPr>
        <w:footnoteReference w:id="4"/>
      </w:r>
    </w:p>
    <w:p w14:paraId="1907EDAA" w14:textId="29CE5443" w:rsidR="00D926E1" w:rsidRDefault="00D926E1" w:rsidP="008C35C9">
      <w:pPr>
        <w:jc w:val="both"/>
        <w:rPr>
          <w:rFonts w:ascii="Avenir Next" w:hAnsi="Avenir Next" w:cs="Arial"/>
          <w:color w:val="808080" w:themeColor="background1" w:themeShade="80"/>
          <w:sz w:val="22"/>
          <w:szCs w:val="22"/>
          <w:lang w:val="en-GB"/>
        </w:rPr>
      </w:pP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022451E4" w14:textId="77777777" w:rsidR="00081808" w:rsidRDefault="00081808">
      <w:pP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br w:type="page"/>
      </w:r>
    </w:p>
    <w:p w14:paraId="592D0416" w14:textId="7E07891E"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lastRenderedPageBreak/>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F651EED" w14:textId="77777777" w:rsidR="00986233" w:rsidRDefault="00986233" w:rsidP="00986233">
      <w:pPr>
        <w:jc w:val="both"/>
        <w:rPr>
          <w:rFonts w:ascii="Avenir Next" w:hAnsi="Avenir Next" w:cs="Arial"/>
          <w:sz w:val="22"/>
          <w:szCs w:val="22"/>
          <w:lang w:val="en-GB"/>
        </w:rPr>
      </w:pPr>
    </w:p>
    <w:p w14:paraId="0A815931" w14:textId="77777777" w:rsidR="00F70C5D" w:rsidRDefault="00F70C5D" w:rsidP="00F70C5D">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Rescue financing</w:t>
      </w:r>
    </w:p>
    <w:p w14:paraId="560A670E" w14:textId="77777777" w:rsidR="00F70C5D" w:rsidRDefault="00F70C5D" w:rsidP="00F70C5D">
      <w:pPr>
        <w:jc w:val="both"/>
        <w:rPr>
          <w:rFonts w:ascii="Avenir Next" w:hAnsi="Avenir Next" w:cs="Arial"/>
          <w:color w:val="808080" w:themeColor="background1" w:themeShade="80"/>
          <w:sz w:val="22"/>
          <w:szCs w:val="22"/>
          <w:lang w:val="en-GB"/>
        </w:rPr>
      </w:pPr>
    </w:p>
    <w:p w14:paraId="544D2C0A" w14:textId="20C58EF7" w:rsidR="00205DC8" w:rsidRPr="00F70C5D" w:rsidRDefault="00205DC8" w:rsidP="00F70C5D">
      <w:pPr>
        <w:jc w:val="both"/>
        <w:rPr>
          <w:rFonts w:ascii="Avenir Next" w:hAnsi="Avenir Next" w:cs="Arial"/>
          <w:color w:val="808080" w:themeColor="background1" w:themeShade="80"/>
          <w:sz w:val="22"/>
          <w:szCs w:val="22"/>
          <w:lang w:val="en-GB"/>
        </w:rPr>
      </w:pPr>
      <w:r w:rsidRPr="00F70C5D">
        <w:rPr>
          <w:rFonts w:ascii="Avenir Next" w:hAnsi="Avenir Next" w:cs="Arial"/>
          <w:color w:val="808080" w:themeColor="background1" w:themeShade="80"/>
          <w:sz w:val="22"/>
          <w:szCs w:val="22"/>
          <w:lang w:val="en-GB"/>
        </w:rPr>
        <w:t xml:space="preserve">The Insolvency Restructuring and Dissolution Act </w:t>
      </w:r>
      <w:r w:rsidR="00BB3B2A" w:rsidRPr="00F70C5D">
        <w:rPr>
          <w:rFonts w:ascii="Avenir Next" w:hAnsi="Avenir Next" w:cs="Arial"/>
          <w:color w:val="808080" w:themeColor="background1" w:themeShade="80"/>
          <w:sz w:val="22"/>
          <w:szCs w:val="22"/>
          <w:lang w:val="en-GB"/>
        </w:rPr>
        <w:t>(</w:t>
      </w:r>
      <w:r w:rsidR="00BB3B2A" w:rsidRPr="00F70C5D">
        <w:rPr>
          <w:rFonts w:ascii="Avenir Next" w:hAnsi="Avenir Next" w:cs="Arial"/>
          <w:b/>
          <w:bCs/>
          <w:color w:val="808080" w:themeColor="background1" w:themeShade="80"/>
          <w:sz w:val="22"/>
          <w:szCs w:val="22"/>
          <w:lang w:val="en-GB"/>
        </w:rPr>
        <w:t>IRD Act</w:t>
      </w:r>
      <w:r w:rsidR="00BB3B2A" w:rsidRPr="00F70C5D">
        <w:rPr>
          <w:rFonts w:ascii="Avenir Next" w:hAnsi="Avenir Next" w:cs="Arial"/>
          <w:color w:val="808080" w:themeColor="background1" w:themeShade="80"/>
          <w:sz w:val="22"/>
          <w:szCs w:val="22"/>
          <w:lang w:val="en-GB"/>
        </w:rPr>
        <w:t xml:space="preserve">) </w:t>
      </w:r>
      <w:r w:rsidRPr="00F70C5D">
        <w:rPr>
          <w:rFonts w:ascii="Avenir Next" w:hAnsi="Avenir Next" w:cs="Arial"/>
          <w:color w:val="808080" w:themeColor="background1" w:themeShade="80"/>
          <w:sz w:val="22"/>
          <w:szCs w:val="22"/>
          <w:lang w:val="en-GB"/>
        </w:rPr>
        <w:t>consists of two main rehabilitative procedures, being: 1) the scheme of arrangement; and 2) judicial management.</w:t>
      </w:r>
    </w:p>
    <w:p w14:paraId="586F01D4" w14:textId="35A610D6" w:rsidR="00205DC8" w:rsidRDefault="00205DC8" w:rsidP="008C35C9">
      <w:pPr>
        <w:jc w:val="both"/>
        <w:rPr>
          <w:rFonts w:ascii="Avenir Next" w:hAnsi="Avenir Next" w:cs="Arial"/>
          <w:color w:val="808080" w:themeColor="background1" w:themeShade="80"/>
          <w:sz w:val="22"/>
          <w:szCs w:val="22"/>
          <w:lang w:val="en-GB"/>
        </w:rPr>
      </w:pPr>
    </w:p>
    <w:p w14:paraId="3EE0AE05" w14:textId="16DBAF0F" w:rsidR="00205DC8" w:rsidRDefault="00205DC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Scheme of arrangement is dealt with under s</w:t>
      </w:r>
      <w:r w:rsidR="00BB3B2A">
        <w:rPr>
          <w:rFonts w:ascii="Avenir Next" w:hAnsi="Avenir Next" w:cs="Arial"/>
          <w:color w:val="808080" w:themeColor="background1" w:themeShade="80"/>
          <w:sz w:val="22"/>
          <w:szCs w:val="22"/>
          <w:lang w:val="en-GB"/>
        </w:rPr>
        <w:t>64 of the IRD Act, and introduces a debtor-in-possession restructuring regime. This is in contrast with judicial management, which involves an insolvency practitioner taking over control of the debtor company.</w:t>
      </w:r>
      <w:r w:rsidR="00BB3B2A">
        <w:rPr>
          <w:rStyle w:val="FootnoteReference"/>
          <w:rFonts w:ascii="Avenir Next" w:hAnsi="Avenir Next" w:cs="Arial"/>
          <w:color w:val="808080" w:themeColor="background1" w:themeShade="80"/>
          <w:sz w:val="22"/>
          <w:szCs w:val="22"/>
          <w:lang w:val="en-GB"/>
        </w:rPr>
        <w:footnoteReference w:id="5"/>
      </w:r>
      <w:r w:rsidR="00BB3B2A">
        <w:rPr>
          <w:rFonts w:ascii="Avenir Next" w:hAnsi="Avenir Next" w:cs="Arial"/>
          <w:color w:val="808080" w:themeColor="background1" w:themeShade="80"/>
          <w:sz w:val="22"/>
          <w:szCs w:val="22"/>
          <w:vertAlign w:val="superscript"/>
          <w:lang w:val="en-GB"/>
        </w:rPr>
        <w:t xml:space="preserve">, </w:t>
      </w:r>
      <w:r w:rsidR="00BB3B2A">
        <w:rPr>
          <w:rStyle w:val="FootnoteReference"/>
          <w:rFonts w:ascii="Avenir Next" w:hAnsi="Avenir Next" w:cs="Arial"/>
          <w:color w:val="808080" w:themeColor="background1" w:themeShade="80"/>
          <w:sz w:val="22"/>
          <w:szCs w:val="22"/>
          <w:lang w:val="en-GB"/>
        </w:rPr>
        <w:footnoteReference w:id="6"/>
      </w:r>
    </w:p>
    <w:p w14:paraId="4F104C11" w14:textId="3F431559" w:rsidR="00BB3B2A" w:rsidRDefault="00BB3B2A" w:rsidP="008C35C9">
      <w:pPr>
        <w:jc w:val="both"/>
        <w:rPr>
          <w:rFonts w:ascii="Avenir Next" w:hAnsi="Avenir Next" w:cs="Arial"/>
          <w:color w:val="808080" w:themeColor="background1" w:themeShade="80"/>
          <w:sz w:val="22"/>
          <w:szCs w:val="22"/>
          <w:lang w:val="en-GB"/>
        </w:rPr>
      </w:pPr>
    </w:p>
    <w:p w14:paraId="16058711" w14:textId="5B45E5A3" w:rsidR="00BB3B2A" w:rsidRDefault="00BB3B2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Both</w:t>
      </w:r>
      <w:r>
        <w:rPr>
          <w:rStyle w:val="FootnoteReference"/>
          <w:rFonts w:ascii="Avenir Next" w:hAnsi="Avenir Next" w:cs="Arial"/>
          <w:color w:val="808080" w:themeColor="background1" w:themeShade="80"/>
          <w:sz w:val="22"/>
          <w:szCs w:val="22"/>
          <w:lang w:val="en-GB"/>
        </w:rPr>
        <w:footnoteReference w:id="7"/>
      </w:r>
      <w:r>
        <w:rPr>
          <w:rFonts w:ascii="Avenir Next" w:hAnsi="Avenir Next" w:cs="Arial"/>
          <w:color w:val="808080" w:themeColor="background1" w:themeShade="80"/>
          <w:sz w:val="22"/>
          <w:szCs w:val="22"/>
          <w:lang w:val="en-GB"/>
        </w:rPr>
        <w:t xml:space="preserve"> mechanisms allow for rescue financing in the appropriate circumstances and upon a court order. Rescue financing can involve obtaining financing that is necessary for the survival of the debtor and/or necessary to achieve a better realisation of debtors (compared to a liquidation).</w:t>
      </w:r>
      <w:r>
        <w:rPr>
          <w:rStyle w:val="FootnoteReference"/>
          <w:rFonts w:ascii="Avenir Next" w:hAnsi="Avenir Next" w:cs="Arial"/>
          <w:color w:val="808080" w:themeColor="background1" w:themeShade="80"/>
          <w:sz w:val="22"/>
          <w:szCs w:val="22"/>
          <w:lang w:val="en-GB"/>
        </w:rPr>
        <w:footnoteReference w:id="8"/>
      </w:r>
      <w:r>
        <w:rPr>
          <w:rFonts w:ascii="Avenir Next" w:hAnsi="Avenir Next" w:cs="Arial"/>
          <w:color w:val="808080" w:themeColor="background1" w:themeShade="80"/>
          <w:sz w:val="22"/>
          <w:szCs w:val="22"/>
          <w:lang w:val="en-GB"/>
        </w:rPr>
        <w:t xml:space="preserve"> For example, emergency financing to complete a customer project to convert WIP into billings. The court order can include that the rescue financing, be:</w:t>
      </w:r>
    </w:p>
    <w:p w14:paraId="23877A3B" w14:textId="77777777" w:rsidR="00F70C5D" w:rsidRDefault="00F70C5D" w:rsidP="008C35C9">
      <w:pPr>
        <w:jc w:val="both"/>
        <w:rPr>
          <w:rFonts w:ascii="Avenir Next" w:hAnsi="Avenir Next" w:cs="Arial"/>
          <w:color w:val="808080" w:themeColor="background1" w:themeShade="80"/>
          <w:sz w:val="22"/>
          <w:szCs w:val="22"/>
          <w:lang w:val="en-GB"/>
        </w:rPr>
      </w:pPr>
    </w:p>
    <w:p w14:paraId="3F827FBD" w14:textId="68F3227D" w:rsidR="00BB3B2A" w:rsidRDefault="00BB3B2A" w:rsidP="00BB3B2A">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treated as a cost of the winding-up (if same was to occur);</w:t>
      </w:r>
    </w:p>
    <w:p w14:paraId="68ED9CFE" w14:textId="527F0979" w:rsidR="00BB3B2A" w:rsidRDefault="00BB3B2A" w:rsidP="00BB3B2A">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provided with priority over preferential debts;</w:t>
      </w:r>
    </w:p>
    <w:p w14:paraId="0AEDF407" w14:textId="6E9B4EA8" w:rsidR="00BB3B2A" w:rsidRDefault="00BB3B2A" w:rsidP="00BB3B2A">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secured over unencumbered property; and/or</w:t>
      </w:r>
    </w:p>
    <w:p w14:paraId="4A85C4D5" w14:textId="51A78EE4" w:rsidR="00BB3B2A" w:rsidRPr="00BB3B2A" w:rsidRDefault="00BB3B2A" w:rsidP="00BB3B2A">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secured over encumbered property, in appropriate circumstances.</w:t>
      </w:r>
      <w:r>
        <w:rPr>
          <w:rStyle w:val="FootnoteReference"/>
          <w:rFonts w:ascii="Avenir Next" w:hAnsi="Avenir Next" w:cs="Arial"/>
          <w:color w:val="808080" w:themeColor="background1" w:themeShade="80"/>
          <w:sz w:val="22"/>
          <w:szCs w:val="22"/>
          <w:lang w:val="en-GB"/>
        </w:rPr>
        <w:footnoteReference w:id="9"/>
      </w:r>
    </w:p>
    <w:p w14:paraId="2D7560F5" w14:textId="77CCE02F" w:rsidR="008C35C9" w:rsidRDefault="008C35C9" w:rsidP="008C35C9">
      <w:pPr>
        <w:jc w:val="both"/>
        <w:rPr>
          <w:rFonts w:ascii="Avenir Next" w:hAnsi="Avenir Next" w:cs="Arial"/>
          <w:sz w:val="22"/>
          <w:szCs w:val="22"/>
          <w:lang w:val="en-GB"/>
        </w:rPr>
      </w:pPr>
    </w:p>
    <w:p w14:paraId="1F68DF02" w14:textId="2EAB7C7E" w:rsidR="00F70C5D" w:rsidRDefault="00F70C5D" w:rsidP="00F70C5D">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Wrongful trading</w:t>
      </w:r>
    </w:p>
    <w:p w14:paraId="03D3B376" w14:textId="19742D1B" w:rsidR="00F70C5D" w:rsidRDefault="00F70C5D" w:rsidP="00F70C5D">
      <w:pPr>
        <w:jc w:val="both"/>
        <w:rPr>
          <w:rFonts w:ascii="Avenir Next" w:hAnsi="Avenir Next" w:cs="Arial"/>
          <w:color w:val="808080" w:themeColor="background1" w:themeShade="80"/>
          <w:sz w:val="22"/>
          <w:szCs w:val="22"/>
          <w:lang w:val="en-GB"/>
        </w:rPr>
      </w:pPr>
    </w:p>
    <w:p w14:paraId="18F32BD8" w14:textId="1AFFE2C6" w:rsidR="00F70C5D" w:rsidRDefault="00F70C5D" w:rsidP="00F70C5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an application by a prescribed person,</w:t>
      </w:r>
      <w:r>
        <w:rPr>
          <w:rStyle w:val="FootnoteReference"/>
          <w:rFonts w:ascii="Avenir Next" w:hAnsi="Avenir Next" w:cs="Arial"/>
          <w:color w:val="808080" w:themeColor="background1" w:themeShade="80"/>
          <w:sz w:val="22"/>
          <w:szCs w:val="22"/>
          <w:lang w:val="en-GB"/>
        </w:rPr>
        <w:footnoteReference w:id="10"/>
      </w:r>
      <w:r>
        <w:rPr>
          <w:rFonts w:ascii="Avenir Next" w:hAnsi="Avenir Next" w:cs="Arial"/>
          <w:color w:val="808080" w:themeColor="background1" w:themeShade="80"/>
          <w:sz w:val="22"/>
          <w:szCs w:val="22"/>
          <w:lang w:val="en-GB"/>
        </w:rPr>
        <w:t xml:space="preserve"> section 239 of the IRD Act imposes personal liability for company debts on a person if: </w:t>
      </w:r>
    </w:p>
    <w:p w14:paraId="6ACE297A" w14:textId="021A0E6E" w:rsidR="00F70C5D" w:rsidRDefault="00F70C5D" w:rsidP="00F70C5D">
      <w:pPr>
        <w:jc w:val="both"/>
        <w:rPr>
          <w:rFonts w:ascii="Avenir Next" w:hAnsi="Avenir Next" w:cs="Arial"/>
          <w:color w:val="808080" w:themeColor="background1" w:themeShade="80"/>
          <w:sz w:val="22"/>
          <w:szCs w:val="22"/>
          <w:lang w:val="en-GB"/>
        </w:rPr>
      </w:pPr>
    </w:p>
    <w:p w14:paraId="3CA85506" w14:textId="70698093" w:rsidR="00F70C5D" w:rsidRDefault="00F70C5D" w:rsidP="00F70C5D">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person knew the company was trading wrongfully; or</w:t>
      </w:r>
    </w:p>
    <w:p w14:paraId="7E496A93" w14:textId="5F67A98A" w:rsidR="00F70C5D" w:rsidRDefault="00F70C5D" w:rsidP="00F70C5D">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an officer of the company, ought, in all the circumstances to have known</w:t>
      </w:r>
      <w:r w:rsidRPr="00F70C5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 company was trading wrongfully.</w:t>
      </w:r>
    </w:p>
    <w:p w14:paraId="26DFEBDA" w14:textId="41F9DAA7" w:rsidR="00F70C5D" w:rsidRDefault="00F70C5D" w:rsidP="00F70C5D">
      <w:pPr>
        <w:jc w:val="both"/>
        <w:rPr>
          <w:rFonts w:ascii="Avenir Next" w:hAnsi="Avenir Next" w:cs="Arial"/>
          <w:color w:val="808080" w:themeColor="background1" w:themeShade="80"/>
          <w:sz w:val="22"/>
          <w:szCs w:val="22"/>
          <w:lang w:val="en-GB"/>
        </w:rPr>
      </w:pPr>
    </w:p>
    <w:p w14:paraId="294601BA" w14:textId="7C15F1B2" w:rsidR="00F70C5D" w:rsidRDefault="00F70C5D" w:rsidP="00F70C5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Trading wrongfully is defined in section 239(12) of the IRD Act as including circumstances where a company incurs a debt without reasonable prospect of being able to pay same. </w:t>
      </w:r>
    </w:p>
    <w:p w14:paraId="70E622C9" w14:textId="47D1733A" w:rsidR="00F70C5D" w:rsidRDefault="00F70C5D" w:rsidP="00F70C5D">
      <w:pPr>
        <w:jc w:val="both"/>
        <w:rPr>
          <w:rFonts w:ascii="Avenir Next" w:hAnsi="Avenir Next" w:cs="Arial"/>
          <w:color w:val="808080" w:themeColor="background1" w:themeShade="80"/>
          <w:sz w:val="22"/>
          <w:szCs w:val="22"/>
          <w:lang w:val="en-GB"/>
        </w:rPr>
      </w:pPr>
    </w:p>
    <w:p w14:paraId="493E5BCD" w14:textId="20513AB4" w:rsidR="00F70C5D" w:rsidRPr="00F70C5D" w:rsidRDefault="00F70C5D" w:rsidP="00F70C5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It is a defence for the relevant person if they can demonstrate that they acted honestly and (after having regard to all the circumstances) they should be relieved of liability by the court: section 239(2) of the IRD Act.</w:t>
      </w:r>
    </w:p>
    <w:p w14:paraId="53002D62" w14:textId="77777777" w:rsidR="007A2831" w:rsidRDefault="007A2831"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26BFADB9" w14:textId="5C92C153" w:rsidR="00F70C5D" w:rsidRDefault="00F70C5D" w:rsidP="00F70C5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Scheme of arrangement is dealt with under s64 of the IRD Act, and introduces a debtor-in-possession restructuring regime. </w:t>
      </w:r>
      <w:r w:rsidR="00862D95">
        <w:rPr>
          <w:rFonts w:ascii="Avenir Next" w:hAnsi="Avenir Next" w:cs="Arial"/>
          <w:color w:val="808080" w:themeColor="background1" w:themeShade="80"/>
          <w:sz w:val="22"/>
          <w:szCs w:val="22"/>
          <w:lang w:val="en-GB"/>
        </w:rPr>
        <w:t xml:space="preserve">It is the management/director team that ultimately puts forward the relevant arrangement/scheme for the consideration of creditors. </w:t>
      </w:r>
      <w:r>
        <w:rPr>
          <w:rFonts w:ascii="Avenir Next" w:hAnsi="Avenir Next" w:cs="Arial"/>
          <w:color w:val="808080" w:themeColor="background1" w:themeShade="80"/>
          <w:sz w:val="22"/>
          <w:szCs w:val="22"/>
          <w:lang w:val="en-GB"/>
        </w:rPr>
        <w:t>This is in contrast with judicial management, which involves an insolvency practitioner taking over control of the debtor company.</w:t>
      </w:r>
      <w:r>
        <w:rPr>
          <w:rStyle w:val="FootnoteReference"/>
          <w:rFonts w:ascii="Avenir Next" w:hAnsi="Avenir Next" w:cs="Arial"/>
          <w:color w:val="808080" w:themeColor="background1" w:themeShade="80"/>
          <w:sz w:val="22"/>
          <w:szCs w:val="22"/>
          <w:lang w:val="en-GB"/>
        </w:rPr>
        <w:footnoteReference w:id="11"/>
      </w:r>
      <w:r>
        <w:rPr>
          <w:rFonts w:ascii="Avenir Next" w:hAnsi="Avenir Next" w:cs="Arial"/>
          <w:color w:val="808080" w:themeColor="background1" w:themeShade="80"/>
          <w:sz w:val="22"/>
          <w:szCs w:val="22"/>
          <w:vertAlign w:val="superscript"/>
          <w:lang w:val="en-GB"/>
        </w:rPr>
        <w:t xml:space="preserve">, </w:t>
      </w:r>
      <w:r>
        <w:rPr>
          <w:rStyle w:val="FootnoteReference"/>
          <w:rFonts w:ascii="Avenir Next" w:hAnsi="Avenir Next" w:cs="Arial"/>
          <w:color w:val="808080" w:themeColor="background1" w:themeShade="80"/>
          <w:sz w:val="22"/>
          <w:szCs w:val="22"/>
          <w:lang w:val="en-GB"/>
        </w:rPr>
        <w:footnoteReference w:id="12"/>
      </w:r>
    </w:p>
    <w:p w14:paraId="2665B439" w14:textId="050F67E5" w:rsidR="00F70C5D" w:rsidRDefault="00F70C5D" w:rsidP="008C35C9">
      <w:pPr>
        <w:jc w:val="both"/>
        <w:rPr>
          <w:rFonts w:ascii="Avenir Next" w:hAnsi="Avenir Next" w:cs="Arial"/>
          <w:color w:val="808080" w:themeColor="background1" w:themeShade="80"/>
          <w:sz w:val="22"/>
          <w:szCs w:val="22"/>
          <w:lang w:val="en-GB"/>
        </w:rPr>
      </w:pPr>
    </w:p>
    <w:p w14:paraId="3B116E65" w14:textId="6B70B9EC" w:rsidR="00862D95" w:rsidRDefault="00862D9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following table highlights </w:t>
      </w:r>
      <w:r w:rsidR="00C128BD">
        <w:rPr>
          <w:rFonts w:ascii="Avenir Next" w:hAnsi="Avenir Next" w:cs="Arial"/>
          <w:color w:val="808080" w:themeColor="background1" w:themeShade="80"/>
          <w:sz w:val="22"/>
          <w:szCs w:val="22"/>
          <w:lang w:val="en-GB"/>
        </w:rPr>
        <w:t xml:space="preserve">some of </w:t>
      </w:r>
      <w:r>
        <w:rPr>
          <w:rFonts w:ascii="Avenir Next" w:hAnsi="Avenir Next" w:cs="Arial"/>
          <w:color w:val="808080" w:themeColor="background1" w:themeShade="80"/>
          <w:sz w:val="22"/>
          <w:szCs w:val="22"/>
          <w:lang w:val="en-GB"/>
        </w:rPr>
        <w:t>the key differences between the two regimes:</w:t>
      </w:r>
    </w:p>
    <w:p w14:paraId="5E81EFBC" w14:textId="39D6D6BD" w:rsidR="00862D95" w:rsidRDefault="00862D95" w:rsidP="008C35C9">
      <w:pPr>
        <w:jc w:val="both"/>
        <w:rPr>
          <w:rFonts w:ascii="Avenir Next" w:hAnsi="Avenir Next" w:cs="Arial"/>
          <w:color w:val="808080" w:themeColor="background1" w:themeShade="80"/>
          <w:sz w:val="22"/>
          <w:szCs w:val="22"/>
          <w:lang w:val="en-GB"/>
        </w:rPr>
      </w:pPr>
    </w:p>
    <w:tbl>
      <w:tblPr>
        <w:tblStyle w:val="TableGrid"/>
        <w:tblW w:w="9067" w:type="dxa"/>
        <w:tblLook w:val="04A0" w:firstRow="1" w:lastRow="0" w:firstColumn="1" w:lastColumn="0" w:noHBand="0" w:noVBand="1"/>
      </w:tblPr>
      <w:tblGrid>
        <w:gridCol w:w="1980"/>
        <w:gridCol w:w="3827"/>
        <w:gridCol w:w="3260"/>
      </w:tblGrid>
      <w:tr w:rsidR="00862D95" w14:paraId="671D91EA" w14:textId="77777777" w:rsidTr="00862D95">
        <w:trPr>
          <w:tblHeader/>
        </w:trPr>
        <w:tc>
          <w:tcPr>
            <w:tcW w:w="1980" w:type="dxa"/>
          </w:tcPr>
          <w:p w14:paraId="33B06E33" w14:textId="77777777" w:rsidR="00862D95" w:rsidRPr="00862D95" w:rsidRDefault="00862D95" w:rsidP="008C35C9">
            <w:pPr>
              <w:jc w:val="both"/>
              <w:rPr>
                <w:rFonts w:ascii="Avenir Next" w:hAnsi="Avenir Next" w:cs="Arial"/>
                <w:b/>
                <w:bCs/>
                <w:color w:val="808080" w:themeColor="background1" w:themeShade="80"/>
                <w:sz w:val="22"/>
                <w:szCs w:val="22"/>
                <w:lang w:val="en-GB"/>
              </w:rPr>
            </w:pPr>
          </w:p>
        </w:tc>
        <w:tc>
          <w:tcPr>
            <w:tcW w:w="3827" w:type="dxa"/>
          </w:tcPr>
          <w:p w14:paraId="12805D97" w14:textId="5858A08D" w:rsidR="00862D95" w:rsidRPr="00862D95" w:rsidRDefault="00862D95" w:rsidP="00862D95">
            <w:pPr>
              <w:jc w:val="center"/>
              <w:rPr>
                <w:rFonts w:ascii="Avenir Next" w:hAnsi="Avenir Next" w:cs="Arial"/>
                <w:b/>
                <w:bCs/>
                <w:color w:val="808080" w:themeColor="background1" w:themeShade="80"/>
                <w:sz w:val="22"/>
                <w:szCs w:val="22"/>
                <w:lang w:val="en-GB"/>
              </w:rPr>
            </w:pPr>
            <w:r w:rsidRPr="00862D95">
              <w:rPr>
                <w:rFonts w:ascii="Avenir Next" w:hAnsi="Avenir Next" w:cs="Arial"/>
                <w:b/>
                <w:bCs/>
                <w:color w:val="808080" w:themeColor="background1" w:themeShade="80"/>
                <w:sz w:val="22"/>
                <w:szCs w:val="22"/>
                <w:lang w:val="en-GB"/>
              </w:rPr>
              <w:t>Scheme of Arrangement</w:t>
            </w:r>
          </w:p>
        </w:tc>
        <w:tc>
          <w:tcPr>
            <w:tcW w:w="3260" w:type="dxa"/>
          </w:tcPr>
          <w:p w14:paraId="61933322" w14:textId="08D19892" w:rsidR="00862D95" w:rsidRPr="00862D95" w:rsidRDefault="00862D95" w:rsidP="00862D95">
            <w:pPr>
              <w:jc w:val="center"/>
              <w:rPr>
                <w:rFonts w:ascii="Avenir Next" w:hAnsi="Avenir Next" w:cs="Arial"/>
                <w:b/>
                <w:bCs/>
                <w:color w:val="808080" w:themeColor="background1" w:themeShade="80"/>
                <w:sz w:val="22"/>
                <w:szCs w:val="22"/>
                <w:lang w:val="en-GB"/>
              </w:rPr>
            </w:pPr>
            <w:r w:rsidRPr="00862D95">
              <w:rPr>
                <w:rFonts w:ascii="Avenir Next" w:hAnsi="Avenir Next" w:cs="Arial"/>
                <w:b/>
                <w:bCs/>
                <w:color w:val="808080" w:themeColor="background1" w:themeShade="80"/>
                <w:sz w:val="22"/>
                <w:szCs w:val="22"/>
                <w:lang w:val="en-GB"/>
              </w:rPr>
              <w:t>Judicial management</w:t>
            </w:r>
          </w:p>
        </w:tc>
      </w:tr>
      <w:tr w:rsidR="00862D95" w14:paraId="0D1F7658" w14:textId="77777777" w:rsidTr="00862D95">
        <w:tc>
          <w:tcPr>
            <w:tcW w:w="1980" w:type="dxa"/>
          </w:tcPr>
          <w:p w14:paraId="7473B3CB" w14:textId="31830397" w:rsidR="00862D95" w:rsidRPr="00862D95" w:rsidRDefault="00862D95" w:rsidP="008C35C9">
            <w:pPr>
              <w:jc w:val="both"/>
              <w:rPr>
                <w:rFonts w:ascii="Avenir Next" w:hAnsi="Avenir Next" w:cs="Arial"/>
                <w:b/>
                <w:bCs/>
                <w:color w:val="808080" w:themeColor="background1" w:themeShade="80"/>
                <w:sz w:val="22"/>
                <w:szCs w:val="22"/>
                <w:lang w:val="en-GB"/>
              </w:rPr>
            </w:pPr>
            <w:r w:rsidRPr="00862D95">
              <w:rPr>
                <w:rFonts w:ascii="Avenir Next" w:hAnsi="Avenir Next" w:cs="Arial"/>
                <w:b/>
                <w:bCs/>
                <w:color w:val="808080" w:themeColor="background1" w:themeShade="80"/>
                <w:sz w:val="22"/>
                <w:szCs w:val="22"/>
                <w:lang w:val="en-GB"/>
              </w:rPr>
              <w:t>Control</w:t>
            </w:r>
            <w:r>
              <w:rPr>
                <w:rStyle w:val="FootnoteReference"/>
                <w:rFonts w:ascii="Avenir Next" w:hAnsi="Avenir Next" w:cs="Arial"/>
                <w:b/>
                <w:bCs/>
                <w:color w:val="808080" w:themeColor="background1" w:themeShade="80"/>
                <w:sz w:val="22"/>
                <w:szCs w:val="22"/>
                <w:lang w:val="en-GB"/>
              </w:rPr>
              <w:footnoteReference w:id="13"/>
            </w:r>
          </w:p>
        </w:tc>
        <w:tc>
          <w:tcPr>
            <w:tcW w:w="3827" w:type="dxa"/>
          </w:tcPr>
          <w:p w14:paraId="15C56145" w14:textId="0D87E4D7" w:rsidR="00C128BD" w:rsidRDefault="00862D9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Vests with management under a debtor-in-possession process</w:t>
            </w:r>
            <w:r w:rsidR="00C128BD">
              <w:rPr>
                <w:rFonts w:ascii="Avenir Next" w:hAnsi="Avenir Next" w:cs="Arial"/>
                <w:color w:val="808080" w:themeColor="background1" w:themeShade="80"/>
                <w:sz w:val="22"/>
                <w:szCs w:val="22"/>
                <w:lang w:val="en-GB"/>
              </w:rPr>
              <w:t>. However, a scheme manager can be appointed. Also, the role of the scheme manager is limited to administering the scheme.</w:t>
            </w:r>
          </w:p>
        </w:tc>
        <w:tc>
          <w:tcPr>
            <w:tcW w:w="3260" w:type="dxa"/>
          </w:tcPr>
          <w:p w14:paraId="5031448B" w14:textId="1701EE24" w:rsidR="00862D95" w:rsidRDefault="00862D9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Vests in an insolvency practitioner</w:t>
            </w:r>
            <w:r w:rsidR="00C128BD">
              <w:rPr>
                <w:rFonts w:ascii="Avenir Next" w:hAnsi="Avenir Next" w:cs="Arial"/>
                <w:color w:val="808080" w:themeColor="background1" w:themeShade="80"/>
                <w:sz w:val="22"/>
                <w:szCs w:val="22"/>
                <w:lang w:val="en-GB"/>
              </w:rPr>
              <w:t>. The judicial manager’s role is far broader than the scheme manager’s role and includes the power to sell assets.</w:t>
            </w:r>
          </w:p>
        </w:tc>
      </w:tr>
      <w:tr w:rsidR="00862D95" w14:paraId="6704D06E" w14:textId="77777777" w:rsidTr="00862D95">
        <w:tc>
          <w:tcPr>
            <w:tcW w:w="1980" w:type="dxa"/>
          </w:tcPr>
          <w:p w14:paraId="0B0BCC63" w14:textId="365B663D" w:rsidR="00862D95" w:rsidRPr="00862D95" w:rsidRDefault="00862D95" w:rsidP="008C35C9">
            <w:pPr>
              <w:jc w:val="both"/>
              <w:rPr>
                <w:rFonts w:ascii="Avenir Next" w:hAnsi="Avenir Next" w:cs="Arial"/>
                <w:b/>
                <w:bCs/>
                <w:color w:val="808080" w:themeColor="background1" w:themeShade="80"/>
                <w:sz w:val="22"/>
                <w:szCs w:val="22"/>
                <w:lang w:val="en-GB"/>
              </w:rPr>
            </w:pPr>
            <w:r w:rsidRPr="00862D95">
              <w:rPr>
                <w:rFonts w:ascii="Avenir Next" w:hAnsi="Avenir Next" w:cs="Arial"/>
                <w:b/>
                <w:bCs/>
                <w:color w:val="808080" w:themeColor="background1" w:themeShade="80"/>
                <w:sz w:val="22"/>
                <w:szCs w:val="22"/>
                <w:lang w:val="en-GB"/>
              </w:rPr>
              <w:t>Court supervision</w:t>
            </w:r>
            <w:r>
              <w:rPr>
                <w:rStyle w:val="FootnoteReference"/>
                <w:rFonts w:ascii="Avenir Next" w:hAnsi="Avenir Next" w:cs="Arial"/>
                <w:b/>
                <w:bCs/>
                <w:color w:val="808080" w:themeColor="background1" w:themeShade="80"/>
                <w:sz w:val="22"/>
                <w:szCs w:val="22"/>
                <w:lang w:val="en-GB"/>
              </w:rPr>
              <w:footnoteReference w:id="14"/>
            </w:r>
          </w:p>
        </w:tc>
        <w:tc>
          <w:tcPr>
            <w:tcW w:w="3827" w:type="dxa"/>
          </w:tcPr>
          <w:p w14:paraId="502FC6A6" w14:textId="77777777" w:rsidR="00862D95" w:rsidRDefault="00862D9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Supervisory only, and is generally limited to an oversight role of the restructuring process and monitoring disclosure obligations</w:t>
            </w:r>
            <w:r w:rsidR="009459BD">
              <w:rPr>
                <w:rFonts w:ascii="Avenir Next" w:hAnsi="Avenir Next" w:cs="Arial"/>
                <w:color w:val="808080" w:themeColor="background1" w:themeShade="80"/>
                <w:sz w:val="22"/>
                <w:szCs w:val="22"/>
                <w:lang w:val="en-GB"/>
              </w:rPr>
              <w:t>.</w:t>
            </w:r>
          </w:p>
          <w:p w14:paraId="04E87291" w14:textId="77777777" w:rsidR="009459BD" w:rsidRDefault="009459BD" w:rsidP="008C35C9">
            <w:pPr>
              <w:jc w:val="both"/>
              <w:rPr>
                <w:rFonts w:ascii="Avenir Next" w:hAnsi="Avenir Next" w:cs="Arial"/>
                <w:color w:val="808080" w:themeColor="background1" w:themeShade="80"/>
                <w:sz w:val="22"/>
                <w:szCs w:val="22"/>
                <w:lang w:val="en-GB"/>
              </w:rPr>
            </w:pPr>
          </w:p>
          <w:p w14:paraId="5EACB134" w14:textId="6339FDCF" w:rsidR="009459BD" w:rsidRDefault="009459B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Granted automatic stay for 30 days (subject to further extension(s) granted by the court).</w:t>
            </w:r>
            <w:r>
              <w:rPr>
                <w:rStyle w:val="FootnoteReference"/>
                <w:rFonts w:ascii="Avenir Next" w:hAnsi="Avenir Next" w:cs="Arial"/>
                <w:color w:val="808080" w:themeColor="background1" w:themeShade="80"/>
                <w:sz w:val="22"/>
                <w:szCs w:val="22"/>
                <w:lang w:val="en-GB"/>
              </w:rPr>
              <w:footnoteReference w:id="15"/>
            </w:r>
          </w:p>
        </w:tc>
        <w:tc>
          <w:tcPr>
            <w:tcW w:w="3260" w:type="dxa"/>
          </w:tcPr>
          <w:p w14:paraId="2216FD6C" w14:textId="138DF0D4" w:rsidR="00862D95" w:rsidRDefault="00862D9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insolvency practitioner is appointed by the court.</w:t>
            </w:r>
            <w:r>
              <w:rPr>
                <w:rStyle w:val="FootnoteReference"/>
                <w:rFonts w:ascii="Avenir Next" w:hAnsi="Avenir Next" w:cs="Arial"/>
                <w:color w:val="808080" w:themeColor="background1" w:themeShade="80"/>
                <w:sz w:val="22"/>
                <w:szCs w:val="22"/>
                <w:lang w:val="en-GB"/>
              </w:rPr>
              <w:footnoteReference w:id="16"/>
            </w:r>
          </w:p>
        </w:tc>
      </w:tr>
      <w:tr w:rsidR="00862D95" w14:paraId="632EEBDF" w14:textId="77777777" w:rsidTr="00862D95">
        <w:tc>
          <w:tcPr>
            <w:tcW w:w="1980" w:type="dxa"/>
          </w:tcPr>
          <w:p w14:paraId="036BB11D" w14:textId="74D093A8" w:rsidR="00862D95" w:rsidRPr="00862D95" w:rsidRDefault="00862D95" w:rsidP="008C35C9">
            <w:pPr>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Role of creditors</w:t>
            </w:r>
            <w:r>
              <w:rPr>
                <w:rStyle w:val="FootnoteReference"/>
                <w:rFonts w:ascii="Avenir Next" w:hAnsi="Avenir Next" w:cs="Arial"/>
                <w:b/>
                <w:bCs/>
                <w:color w:val="808080" w:themeColor="background1" w:themeShade="80"/>
                <w:sz w:val="22"/>
                <w:szCs w:val="22"/>
                <w:lang w:val="en-GB"/>
              </w:rPr>
              <w:footnoteReference w:id="17"/>
            </w:r>
          </w:p>
        </w:tc>
        <w:tc>
          <w:tcPr>
            <w:tcW w:w="3827" w:type="dxa"/>
          </w:tcPr>
          <w:p w14:paraId="5B3E0E54" w14:textId="77777777" w:rsidR="00862D95" w:rsidRDefault="00862D9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Liaise/negotiate with management, vote on the scheme and challenge the company’s decision on creditor classifications (if applicable)</w:t>
            </w:r>
            <w:r w:rsidR="00C128BD">
              <w:rPr>
                <w:rFonts w:ascii="Avenir Next" w:hAnsi="Avenir Next" w:cs="Arial"/>
                <w:color w:val="808080" w:themeColor="background1" w:themeShade="80"/>
                <w:sz w:val="22"/>
                <w:szCs w:val="22"/>
                <w:lang w:val="en-GB"/>
              </w:rPr>
              <w:t>.</w:t>
            </w:r>
          </w:p>
          <w:p w14:paraId="1F5AAA7E" w14:textId="77777777" w:rsidR="00C128BD" w:rsidRDefault="00C128BD" w:rsidP="008C35C9">
            <w:pPr>
              <w:jc w:val="both"/>
              <w:rPr>
                <w:rFonts w:ascii="Avenir Next" w:hAnsi="Avenir Next" w:cs="Arial"/>
                <w:color w:val="808080" w:themeColor="background1" w:themeShade="80"/>
                <w:sz w:val="22"/>
                <w:szCs w:val="22"/>
                <w:lang w:val="en-GB"/>
              </w:rPr>
            </w:pPr>
          </w:p>
          <w:p w14:paraId="55765CAE" w14:textId="1CA98025" w:rsidR="00C128BD" w:rsidRDefault="00C128B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Not all creditors have to be involved.</w:t>
            </w:r>
            <w:r>
              <w:rPr>
                <w:rStyle w:val="FootnoteReference"/>
                <w:rFonts w:ascii="Avenir Next" w:hAnsi="Avenir Next" w:cs="Arial"/>
                <w:color w:val="808080" w:themeColor="background1" w:themeShade="80"/>
                <w:sz w:val="22"/>
                <w:szCs w:val="22"/>
                <w:lang w:val="en-GB"/>
              </w:rPr>
              <w:footnoteReference w:id="18"/>
            </w:r>
          </w:p>
        </w:tc>
        <w:tc>
          <w:tcPr>
            <w:tcW w:w="3260" w:type="dxa"/>
          </w:tcPr>
          <w:p w14:paraId="46C6D42F" w14:textId="3C3FAD68" w:rsidR="00862D95" w:rsidRDefault="00862D9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Creditors can form a creditors committee.</w:t>
            </w:r>
            <w:r>
              <w:rPr>
                <w:rStyle w:val="FootnoteReference"/>
                <w:rFonts w:ascii="Avenir Next" w:hAnsi="Avenir Next" w:cs="Arial"/>
                <w:color w:val="808080" w:themeColor="background1" w:themeShade="80"/>
                <w:sz w:val="22"/>
                <w:szCs w:val="22"/>
                <w:lang w:val="en-GB"/>
              </w:rPr>
              <w:footnoteReference w:id="19"/>
            </w:r>
            <w:r w:rsidR="00C128BD">
              <w:rPr>
                <w:rFonts w:ascii="Avenir Next" w:hAnsi="Avenir Next" w:cs="Arial"/>
                <w:color w:val="808080" w:themeColor="background1" w:themeShade="80"/>
                <w:sz w:val="22"/>
                <w:szCs w:val="22"/>
                <w:lang w:val="en-GB"/>
              </w:rPr>
              <w:t xml:space="preserve"> A committee (in the appropriate circumstances), can give directions to the judicial manager.</w:t>
            </w:r>
            <w:r w:rsidR="00C128BD">
              <w:rPr>
                <w:rStyle w:val="FootnoteReference"/>
                <w:rFonts w:ascii="Avenir Next" w:hAnsi="Avenir Next" w:cs="Arial"/>
                <w:color w:val="808080" w:themeColor="background1" w:themeShade="80"/>
                <w:sz w:val="22"/>
                <w:szCs w:val="22"/>
                <w:lang w:val="en-GB"/>
              </w:rPr>
              <w:footnoteReference w:id="20"/>
            </w:r>
          </w:p>
          <w:p w14:paraId="6D890EB0" w14:textId="77777777" w:rsidR="00862D95" w:rsidRDefault="00862D95" w:rsidP="008C35C9">
            <w:pPr>
              <w:jc w:val="both"/>
              <w:rPr>
                <w:rFonts w:ascii="Avenir Next" w:hAnsi="Avenir Next" w:cs="Arial"/>
                <w:color w:val="808080" w:themeColor="background1" w:themeShade="80"/>
                <w:sz w:val="22"/>
                <w:szCs w:val="22"/>
                <w:lang w:val="en-GB"/>
              </w:rPr>
            </w:pPr>
          </w:p>
          <w:p w14:paraId="38CE736D" w14:textId="71EC43F9" w:rsidR="00862D95" w:rsidRDefault="00862D9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Has no power over management.</w:t>
            </w:r>
          </w:p>
        </w:tc>
      </w:tr>
      <w:tr w:rsidR="00862D95" w14:paraId="544E46D2" w14:textId="77777777" w:rsidTr="00862D95">
        <w:tc>
          <w:tcPr>
            <w:tcW w:w="1980" w:type="dxa"/>
          </w:tcPr>
          <w:p w14:paraId="7FC37848" w14:textId="251222C0" w:rsidR="00862D95" w:rsidRDefault="00862D95" w:rsidP="008C35C9">
            <w:pPr>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Impeachable transactions</w:t>
            </w:r>
            <w:r>
              <w:rPr>
                <w:rStyle w:val="FootnoteReference"/>
                <w:rFonts w:ascii="Avenir Next" w:hAnsi="Avenir Next" w:cs="Arial"/>
                <w:b/>
                <w:bCs/>
                <w:color w:val="808080" w:themeColor="background1" w:themeShade="80"/>
                <w:sz w:val="22"/>
                <w:szCs w:val="22"/>
                <w:lang w:val="en-GB"/>
              </w:rPr>
              <w:footnoteReference w:id="21"/>
            </w:r>
          </w:p>
        </w:tc>
        <w:tc>
          <w:tcPr>
            <w:tcW w:w="3827" w:type="dxa"/>
          </w:tcPr>
          <w:p w14:paraId="08EA4E0F" w14:textId="1EDCD613" w:rsidR="00862D95" w:rsidRDefault="00862D9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 such power granted under schemes of arrangement</w:t>
            </w:r>
          </w:p>
        </w:tc>
        <w:tc>
          <w:tcPr>
            <w:tcW w:w="3260" w:type="dxa"/>
          </w:tcPr>
          <w:p w14:paraId="1FC143AF" w14:textId="1AB6E48B" w:rsidR="00862D95" w:rsidRDefault="00862D9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Judicial manager granted such power under section 224 to 299 of </w:t>
            </w:r>
            <w:r>
              <w:rPr>
                <w:rFonts w:ascii="Avenir Next" w:hAnsi="Avenir Next" w:cs="Arial"/>
                <w:color w:val="808080" w:themeColor="background1" w:themeShade="80"/>
                <w:sz w:val="22"/>
                <w:szCs w:val="22"/>
                <w:lang w:val="en-GB"/>
              </w:rPr>
              <w:lastRenderedPageBreak/>
              <w:t>the IRD Act (in the appropriate circumstances).</w:t>
            </w:r>
          </w:p>
        </w:tc>
      </w:tr>
      <w:tr w:rsidR="00862D95" w14:paraId="46F7A217" w14:textId="77777777" w:rsidTr="00862D95">
        <w:tc>
          <w:tcPr>
            <w:tcW w:w="1980" w:type="dxa"/>
          </w:tcPr>
          <w:p w14:paraId="713512BE" w14:textId="6951AF68" w:rsidR="00862D95" w:rsidRDefault="009459BD" w:rsidP="008C35C9">
            <w:pPr>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lastRenderedPageBreak/>
              <w:t>Timing</w:t>
            </w:r>
            <w:r>
              <w:rPr>
                <w:rStyle w:val="FootnoteReference"/>
                <w:rFonts w:ascii="Avenir Next" w:hAnsi="Avenir Next" w:cs="Arial"/>
                <w:b/>
                <w:bCs/>
                <w:color w:val="808080" w:themeColor="background1" w:themeShade="80"/>
                <w:sz w:val="22"/>
                <w:szCs w:val="22"/>
                <w:lang w:val="en-GB"/>
              </w:rPr>
              <w:footnoteReference w:id="22"/>
            </w:r>
          </w:p>
        </w:tc>
        <w:tc>
          <w:tcPr>
            <w:tcW w:w="3827" w:type="dxa"/>
          </w:tcPr>
          <w:p w14:paraId="1C1CF657" w14:textId="6CEDACCD" w:rsidR="00862D95" w:rsidRDefault="009459B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Process lasts </w:t>
            </w:r>
            <w:r w:rsidR="00C128BD">
              <w:rPr>
                <w:rFonts w:ascii="Avenir Next" w:hAnsi="Avenir Next" w:cs="Arial"/>
                <w:color w:val="808080" w:themeColor="background1" w:themeShade="80"/>
                <w:sz w:val="22"/>
                <w:szCs w:val="22"/>
                <w:lang w:val="en-GB"/>
              </w:rPr>
              <w:t>circa</w:t>
            </w:r>
            <w:r>
              <w:rPr>
                <w:rFonts w:ascii="Avenir Next" w:hAnsi="Avenir Next" w:cs="Arial"/>
                <w:color w:val="808080" w:themeColor="background1" w:themeShade="80"/>
                <w:sz w:val="22"/>
                <w:szCs w:val="22"/>
                <w:lang w:val="en-GB"/>
              </w:rPr>
              <w:t xml:space="preserve"> 30 days (subject to extension) and requires the publishing of a notice in the Government Gazette and in one English local daily newspaper</w:t>
            </w:r>
          </w:p>
        </w:tc>
        <w:tc>
          <w:tcPr>
            <w:tcW w:w="3260" w:type="dxa"/>
          </w:tcPr>
          <w:p w14:paraId="1E233010" w14:textId="23530FA9" w:rsidR="00862D95" w:rsidRDefault="009459B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Process lasts approximately 180 days (subject to further extension). </w:t>
            </w:r>
          </w:p>
        </w:tc>
      </w:tr>
      <w:tr w:rsidR="009459BD" w14:paraId="34647163" w14:textId="77777777" w:rsidTr="00862D95">
        <w:tc>
          <w:tcPr>
            <w:tcW w:w="1980" w:type="dxa"/>
          </w:tcPr>
          <w:p w14:paraId="004FC73A" w14:textId="4A69DCAE" w:rsidR="009459BD" w:rsidRDefault="009459BD" w:rsidP="008C35C9">
            <w:pPr>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Debtor eligibility</w:t>
            </w:r>
            <w:r>
              <w:rPr>
                <w:rStyle w:val="FootnoteReference"/>
                <w:rFonts w:ascii="Avenir Next" w:hAnsi="Avenir Next" w:cs="Arial"/>
                <w:b/>
                <w:bCs/>
                <w:color w:val="808080" w:themeColor="background1" w:themeShade="80"/>
                <w:sz w:val="22"/>
                <w:szCs w:val="22"/>
                <w:lang w:val="en-GB"/>
              </w:rPr>
              <w:footnoteReference w:id="23"/>
            </w:r>
          </w:p>
        </w:tc>
        <w:tc>
          <w:tcPr>
            <w:tcW w:w="3827" w:type="dxa"/>
          </w:tcPr>
          <w:p w14:paraId="0F9AB432" w14:textId="112AABD4" w:rsidR="009459BD" w:rsidRDefault="00C128B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Governed by s64 of the IRD Act. But no relevance to the test for judicial management. </w:t>
            </w:r>
          </w:p>
        </w:tc>
        <w:tc>
          <w:tcPr>
            <w:tcW w:w="3260" w:type="dxa"/>
          </w:tcPr>
          <w:p w14:paraId="3CFF9784" w14:textId="3D4B24A1" w:rsidR="009459BD" w:rsidRDefault="009459B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Must be eligible to be wound-up under the IRD Act,</w:t>
            </w:r>
            <w:r>
              <w:rPr>
                <w:rStyle w:val="FootnoteReference"/>
                <w:rFonts w:ascii="Avenir Next" w:hAnsi="Avenir Next" w:cs="Arial"/>
                <w:color w:val="808080" w:themeColor="background1" w:themeShade="80"/>
                <w:sz w:val="22"/>
                <w:szCs w:val="22"/>
                <w:lang w:val="en-GB"/>
              </w:rPr>
              <w:footnoteReference w:id="24"/>
            </w:r>
            <w:r>
              <w:rPr>
                <w:rFonts w:ascii="Avenir Next" w:hAnsi="Avenir Next" w:cs="Arial"/>
                <w:color w:val="808080" w:themeColor="background1" w:themeShade="80"/>
                <w:sz w:val="22"/>
                <w:szCs w:val="22"/>
                <w:lang w:val="en-GB"/>
              </w:rPr>
              <w:t xml:space="preserve"> including foreign debtors that have a substantial connection to Singapore.</w:t>
            </w:r>
            <w:r>
              <w:rPr>
                <w:rStyle w:val="FootnoteReference"/>
                <w:rFonts w:ascii="Avenir Next" w:hAnsi="Avenir Next" w:cs="Arial"/>
                <w:color w:val="808080" w:themeColor="background1" w:themeShade="80"/>
                <w:sz w:val="22"/>
                <w:szCs w:val="22"/>
                <w:lang w:val="en-GB"/>
              </w:rPr>
              <w:footnoteReference w:id="25"/>
            </w:r>
          </w:p>
        </w:tc>
      </w:tr>
      <w:tr w:rsidR="009459BD" w14:paraId="4B6A2CD1" w14:textId="77777777" w:rsidTr="00862D95">
        <w:tc>
          <w:tcPr>
            <w:tcW w:w="1980" w:type="dxa"/>
          </w:tcPr>
          <w:p w14:paraId="15D3699C" w14:textId="0B952674" w:rsidR="009459BD" w:rsidRDefault="009459BD" w:rsidP="008C35C9">
            <w:pPr>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Conversion to liquidation</w:t>
            </w:r>
            <w:r>
              <w:rPr>
                <w:rStyle w:val="FootnoteReference"/>
                <w:rFonts w:ascii="Avenir Next" w:hAnsi="Avenir Next" w:cs="Arial"/>
                <w:b/>
                <w:bCs/>
                <w:color w:val="808080" w:themeColor="background1" w:themeShade="80"/>
                <w:sz w:val="22"/>
                <w:szCs w:val="22"/>
                <w:lang w:val="en-GB"/>
              </w:rPr>
              <w:footnoteReference w:id="26"/>
            </w:r>
          </w:p>
        </w:tc>
        <w:tc>
          <w:tcPr>
            <w:tcW w:w="3827" w:type="dxa"/>
          </w:tcPr>
          <w:p w14:paraId="6A87552B" w14:textId="46C4EBC1" w:rsidR="009459BD" w:rsidRDefault="009459B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 conversion mechanism. Once the moratorium expires, the scheme of arrangement ends. Creditors may then apply to wind-up the company.</w:t>
            </w:r>
          </w:p>
        </w:tc>
        <w:tc>
          <w:tcPr>
            <w:tcW w:w="3260" w:type="dxa"/>
          </w:tcPr>
          <w:p w14:paraId="64DB481B" w14:textId="005D2733" w:rsidR="009459BD" w:rsidRDefault="00C128B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end of the judicial management period does not automatically result in a liquidation. Rather, the court has discretion to do so. </w:t>
            </w:r>
          </w:p>
        </w:tc>
      </w:tr>
      <w:tr w:rsidR="00C128BD" w14:paraId="4EF68886" w14:textId="77777777" w:rsidTr="00862D95">
        <w:tc>
          <w:tcPr>
            <w:tcW w:w="1980" w:type="dxa"/>
          </w:tcPr>
          <w:p w14:paraId="6D981AE7" w14:textId="75E3E15E" w:rsidR="00C128BD" w:rsidRDefault="00C128BD" w:rsidP="008C35C9">
            <w:pPr>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Disclaimers</w:t>
            </w:r>
          </w:p>
        </w:tc>
        <w:tc>
          <w:tcPr>
            <w:tcW w:w="3827" w:type="dxa"/>
          </w:tcPr>
          <w:p w14:paraId="7F4CF9F0" w14:textId="14996684" w:rsidR="00C128BD" w:rsidRDefault="00C128B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Onerous contracts cannot be disclaimed</w:t>
            </w:r>
          </w:p>
        </w:tc>
        <w:tc>
          <w:tcPr>
            <w:tcW w:w="3260" w:type="dxa"/>
          </w:tcPr>
          <w:p w14:paraId="471D6D4A" w14:textId="17AE96CB" w:rsidR="00C128BD" w:rsidRDefault="00C128B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Onerous contracts can be disclaimed: s230 IRD Act.</w:t>
            </w:r>
          </w:p>
        </w:tc>
      </w:tr>
    </w:tbl>
    <w:p w14:paraId="01F8E987" w14:textId="77777777" w:rsidR="00862D95" w:rsidRPr="00E7629A" w:rsidRDefault="00862D95" w:rsidP="008C35C9">
      <w:pPr>
        <w:jc w:val="both"/>
        <w:rPr>
          <w:rFonts w:ascii="Avenir Next" w:hAnsi="Avenir Next" w:cs="Arial"/>
          <w:color w:val="808080" w:themeColor="background1" w:themeShade="80"/>
          <w:sz w:val="22"/>
          <w:szCs w:val="22"/>
          <w:lang w:val="en-GB"/>
        </w:rPr>
      </w:pPr>
    </w:p>
    <w:p w14:paraId="2C61397A" w14:textId="279FCF07" w:rsidR="008C35C9" w:rsidRDefault="008C35C9" w:rsidP="008C35C9">
      <w:pPr>
        <w:jc w:val="both"/>
        <w:rPr>
          <w:rFonts w:ascii="Avenir Next" w:hAnsi="Avenir Next" w:cs="Arial"/>
          <w:sz w:val="22"/>
          <w:szCs w:val="22"/>
          <w:lang w:val="en-GB"/>
        </w:rPr>
      </w:pPr>
    </w:p>
    <w:p w14:paraId="38D6041A" w14:textId="77777777" w:rsidR="007A2831" w:rsidRPr="00FC1BC1" w:rsidRDefault="007A2831" w:rsidP="008C35C9">
      <w:pPr>
        <w:jc w:val="both"/>
        <w:rPr>
          <w:rFonts w:ascii="Avenir Next" w:hAnsi="Avenir Next" w:cs="Arial"/>
          <w:sz w:val="22"/>
          <w:szCs w:val="22"/>
          <w:lang w:val="en-GB"/>
        </w:rPr>
      </w:pPr>
    </w:p>
    <w:p w14:paraId="40D85EB3" w14:textId="77777777" w:rsidR="00C128BD" w:rsidRDefault="00C128BD">
      <w:pP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br w:type="page"/>
      </w:r>
    </w:p>
    <w:p w14:paraId="3CDB0DE9" w14:textId="5E99798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lastRenderedPageBreak/>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at 31 December 2021, the </w:t>
      </w:r>
      <w:r w:rsidR="00A3292F">
        <w:rPr>
          <w:rFonts w:ascii="Avenir Next" w:hAnsi="Avenir Next"/>
          <w:sz w:val="22"/>
          <w:szCs w:val="22"/>
        </w:rPr>
        <w:t xml:space="preserve">ABC </w:t>
      </w:r>
      <w:r w:rsidRPr="0018452A">
        <w:rPr>
          <w:rFonts w:ascii="Avenir Next" w:hAnsi="Avenir Next"/>
          <w:sz w:val="22"/>
          <w:szCs w:val="22"/>
        </w:rPr>
        <w:t>Group owns and operates 16 construction drilling rigs outside of Singapore in Australia and the United Kingdom. The Company’s directors and major shareholders are Mr X and Mr</w:t>
      </w:r>
      <w:r w:rsidR="007875E5">
        <w:rPr>
          <w:rFonts w:ascii="Avenir Next" w:hAnsi="Avenir Next"/>
          <w:sz w:val="22"/>
          <w:szCs w:val="22"/>
        </w:rPr>
        <w:t xml:space="preserve"> </w:t>
      </w:r>
      <w:r w:rsidRPr="0018452A">
        <w:rPr>
          <w:rFonts w:ascii="Avenir Next" w:hAnsi="Avenir Next"/>
          <w:sz w:val="22"/>
          <w:szCs w:val="22"/>
        </w:rPr>
        <w:t>Y, who collectively own 57% of the shares in the Company. Mr X and Mr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mortgaged to a Singapore bank pursuant to a bank facility that is governed by Singapore law. Mr X and Mr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600 million. Funds raised by the Company under the MTN were either advanced to its subsidiaries as intercompany 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 injected as capital into its subsidiaries. As at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The Company also provided corporate guarantees to financial institutions to guarantee the performance of its subsidiaries under various facility agreements. As at 31 December 2021, the 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120 million from Mr</w:t>
      </w:r>
      <w:r w:rsidR="003D3048">
        <w:rPr>
          <w:rFonts w:ascii="Avenir Next" w:hAnsi="Avenir Next"/>
          <w:sz w:val="22"/>
          <w:szCs w:val="22"/>
        </w:rPr>
        <w:t xml:space="preserve"> </w:t>
      </w:r>
      <w:r w:rsidRPr="0018452A">
        <w:rPr>
          <w:rFonts w:ascii="Avenir Next" w:hAnsi="Avenir Next"/>
          <w:sz w:val="22"/>
          <w:szCs w:val="22"/>
        </w:rPr>
        <w:t xml:space="preserve">X and Mr Y. These shareholders’ loans are repayable on demand.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11A7D589" w14:textId="77E12F13" w:rsidR="00F7160A" w:rsidRDefault="00F7160A" w:rsidP="004D2090">
      <w:pPr>
        <w:pStyle w:val="ListParagraph"/>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Confirmation of the purpose of judicial management proceedings and what must be presented to the court in order to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14D7F421" w14:textId="3BBD42B9" w:rsidR="00EA78A1" w:rsidRDefault="00EA78A1" w:rsidP="00EA78A1">
      <w:pPr>
        <w:pStyle w:val="ListParagraph"/>
        <w:ind w:left="426"/>
        <w:jc w:val="both"/>
        <w:rPr>
          <w:rFonts w:ascii="Avenir Next" w:hAnsi="Avenir Next" w:cs="Arial"/>
          <w:sz w:val="22"/>
          <w:szCs w:val="22"/>
          <w:lang w:val="en-GB"/>
        </w:rPr>
      </w:pPr>
    </w:p>
    <w:p w14:paraId="5AB7DC25" w14:textId="2A86FC33" w:rsidR="00EA78A1" w:rsidRDefault="00EA78A1" w:rsidP="00EA78A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Judicial management is a feature of the corporate rescue tools in Singapore that involves an insolvency practitioner (ie judicial manager) taking over control of the debtor company, on appointment by the court.</w:t>
      </w:r>
      <w:r>
        <w:rPr>
          <w:rStyle w:val="FootnoteReference"/>
          <w:rFonts w:ascii="Avenir Next" w:hAnsi="Avenir Next" w:cs="Arial"/>
          <w:color w:val="808080" w:themeColor="background1" w:themeShade="80"/>
          <w:sz w:val="22"/>
          <w:szCs w:val="22"/>
          <w:lang w:val="en-GB"/>
        </w:rPr>
        <w:footnoteReference w:id="27"/>
      </w:r>
      <w:r>
        <w:rPr>
          <w:rFonts w:ascii="Avenir Next" w:hAnsi="Avenir Next" w:cs="Arial"/>
          <w:color w:val="808080" w:themeColor="background1" w:themeShade="80"/>
          <w:sz w:val="22"/>
          <w:szCs w:val="22"/>
          <w:lang w:val="en-GB"/>
        </w:rPr>
        <w:t xml:space="preserve"> The effect of the judicial manager’s appointment is to take over the responsibility for running of the company from the directors.</w:t>
      </w:r>
    </w:p>
    <w:p w14:paraId="1785E9B3" w14:textId="07634236" w:rsidR="00EA78A1" w:rsidRDefault="00EA78A1" w:rsidP="00EA78A1">
      <w:pPr>
        <w:jc w:val="both"/>
        <w:rPr>
          <w:rFonts w:ascii="Avenir Next" w:hAnsi="Avenir Next" w:cs="Arial"/>
          <w:color w:val="808080" w:themeColor="background1" w:themeShade="80"/>
          <w:sz w:val="22"/>
          <w:szCs w:val="22"/>
          <w:lang w:val="en-GB"/>
        </w:rPr>
      </w:pPr>
    </w:p>
    <w:p w14:paraId="05EFBE5A" w14:textId="479677FB" w:rsidR="00EA78A1" w:rsidRDefault="00EA78A1" w:rsidP="00EA78A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obtain a judicial management order from the court, the court must be satisfied that:</w:t>
      </w:r>
      <w:r>
        <w:rPr>
          <w:rStyle w:val="FootnoteReference"/>
          <w:rFonts w:ascii="Avenir Next" w:hAnsi="Avenir Next" w:cs="Arial"/>
          <w:color w:val="808080" w:themeColor="background1" w:themeShade="80"/>
          <w:sz w:val="22"/>
          <w:szCs w:val="22"/>
          <w:lang w:val="en-GB"/>
        </w:rPr>
        <w:footnoteReference w:id="28"/>
      </w:r>
    </w:p>
    <w:p w14:paraId="68B8F76B" w14:textId="1AF8C14E" w:rsidR="00EA78A1" w:rsidRDefault="00EA78A1" w:rsidP="00EA78A1">
      <w:pPr>
        <w:jc w:val="both"/>
        <w:rPr>
          <w:rFonts w:ascii="Avenir Next" w:hAnsi="Avenir Next" w:cs="Arial"/>
          <w:color w:val="808080" w:themeColor="background1" w:themeShade="80"/>
          <w:sz w:val="22"/>
          <w:szCs w:val="22"/>
          <w:lang w:val="en-GB"/>
        </w:rPr>
      </w:pPr>
    </w:p>
    <w:p w14:paraId="541C835C" w14:textId="07A2650F" w:rsidR="00EA78A1" w:rsidRDefault="00EA78A1" w:rsidP="00EA78A1">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 company is unable to pay its debts; and</w:t>
      </w:r>
    </w:p>
    <w:p w14:paraId="1E4C598C" w14:textId="461BC580" w:rsidR="00EA78A1" w:rsidRDefault="00EA78A1" w:rsidP="00EA78A1">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order would likely achieve one of the following purposes:</w:t>
      </w:r>
    </w:p>
    <w:p w14:paraId="3274A27B" w14:textId="5367CB2E" w:rsidR="00EA78A1" w:rsidRDefault="00EA78A1" w:rsidP="00EA78A1">
      <w:pPr>
        <w:pStyle w:val="ListParagraph"/>
        <w:numPr>
          <w:ilvl w:val="1"/>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Survival of the company (or a part of same) as a going concern;</w:t>
      </w:r>
    </w:p>
    <w:p w14:paraId="4FEA984C" w14:textId="6AECCF34" w:rsidR="00EA78A1" w:rsidRDefault="00EA78A1" w:rsidP="00EA78A1">
      <w:pPr>
        <w:pStyle w:val="ListParagraph"/>
        <w:numPr>
          <w:ilvl w:val="1"/>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an approval or compromise under s210 of the Companies Act; or</w:t>
      </w:r>
    </w:p>
    <w:p w14:paraId="19D5F122" w14:textId="5A280541" w:rsidR="00EA78A1" w:rsidRPr="00EA78A1" w:rsidRDefault="00EA78A1" w:rsidP="00EA78A1">
      <w:pPr>
        <w:pStyle w:val="ListParagraph"/>
        <w:numPr>
          <w:ilvl w:val="1"/>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order would result in a greater return than if the debtor company was wound-up.</w:t>
      </w:r>
    </w:p>
    <w:p w14:paraId="6EB7A4DC" w14:textId="77777777" w:rsidR="00F7160A" w:rsidRPr="00F7160A" w:rsidRDefault="00F7160A" w:rsidP="00D22362">
      <w:pPr>
        <w:ind w:left="426"/>
        <w:jc w:val="both"/>
        <w:rPr>
          <w:rFonts w:ascii="Avenir Next" w:hAnsi="Avenir Next" w:cs="Arial"/>
          <w:sz w:val="22"/>
          <w:szCs w:val="22"/>
          <w:lang w:val="en-GB"/>
        </w:rPr>
      </w:pPr>
    </w:p>
    <w:p w14:paraId="163C7FB0" w14:textId="67A2FFD0" w:rsidR="00F7160A" w:rsidRPr="00F7160A" w:rsidRDefault="00F7160A" w:rsidP="004D2090">
      <w:pPr>
        <w:pStyle w:val="ListParagraph"/>
        <w:numPr>
          <w:ilvl w:val="0"/>
          <w:numId w:val="12"/>
        </w:numPr>
        <w:ind w:left="426"/>
        <w:jc w:val="both"/>
        <w:rPr>
          <w:rFonts w:ascii="Avenir Next" w:hAnsi="Avenir Next"/>
          <w:lang w:val="en-GB"/>
        </w:rPr>
      </w:pPr>
      <w:r w:rsidRPr="00F7160A">
        <w:rPr>
          <w:rFonts w:ascii="Avenir Next" w:hAnsi="Avenir Next" w:cs="Arial"/>
          <w:sz w:val="22"/>
          <w:szCs w:val="22"/>
          <w:lang w:val="en-GB"/>
        </w:rPr>
        <w:t>Assuming that the Company is placed under judicial management, what requirements must be satisfied in order for</w:t>
      </w:r>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p w14:paraId="0E7C117B" w14:textId="77777777" w:rsidR="00100A09" w:rsidRPr="00F7160A" w:rsidRDefault="00100A09" w:rsidP="00D22362">
      <w:pPr>
        <w:pStyle w:val="ListParagraph"/>
        <w:ind w:left="426"/>
        <w:rPr>
          <w:rFonts w:ascii="Avenir Next" w:hAnsi="Avenir Next" w:cs="Arial"/>
          <w:sz w:val="22"/>
          <w:szCs w:val="22"/>
          <w:lang w:val="en-GB"/>
        </w:rPr>
      </w:pPr>
    </w:p>
    <w:p w14:paraId="525F2D46" w14:textId="19F5DAEC" w:rsidR="005E6893" w:rsidRDefault="005E6893" w:rsidP="005E689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Rescue financing can be obtained in the appropriate circumstances and upon a court order.</w:t>
      </w:r>
      <w:r>
        <w:rPr>
          <w:rStyle w:val="FootnoteReference"/>
          <w:rFonts w:ascii="Avenir Next" w:hAnsi="Avenir Next" w:cs="Arial"/>
          <w:color w:val="808080" w:themeColor="background1" w:themeShade="80"/>
          <w:sz w:val="22"/>
          <w:szCs w:val="22"/>
          <w:lang w:val="en-GB"/>
        </w:rPr>
        <w:footnoteReference w:id="29"/>
      </w:r>
      <w:r>
        <w:rPr>
          <w:rFonts w:ascii="Avenir Next" w:hAnsi="Avenir Next" w:cs="Arial"/>
          <w:color w:val="808080" w:themeColor="background1" w:themeShade="80"/>
          <w:sz w:val="22"/>
          <w:szCs w:val="22"/>
          <w:lang w:val="en-GB"/>
        </w:rPr>
        <w:t xml:space="preserve"> Rescue financing can involve obtaining financing that is necessary for the survival of the debtor and/or necessary to achieve a better realisation of debtors (compared to a liquidation).</w:t>
      </w:r>
      <w:r>
        <w:rPr>
          <w:rStyle w:val="FootnoteReference"/>
          <w:rFonts w:ascii="Avenir Next" w:hAnsi="Avenir Next" w:cs="Arial"/>
          <w:color w:val="808080" w:themeColor="background1" w:themeShade="80"/>
          <w:sz w:val="22"/>
          <w:szCs w:val="22"/>
          <w:lang w:val="en-GB"/>
        </w:rPr>
        <w:footnoteReference w:id="30"/>
      </w:r>
      <w:r>
        <w:rPr>
          <w:rFonts w:ascii="Avenir Next" w:hAnsi="Avenir Next" w:cs="Arial"/>
          <w:color w:val="808080" w:themeColor="background1" w:themeShade="80"/>
          <w:sz w:val="22"/>
          <w:szCs w:val="22"/>
          <w:lang w:val="en-GB"/>
        </w:rPr>
        <w:t xml:space="preserve"> The court order can include that the rescue financing, be:</w:t>
      </w:r>
    </w:p>
    <w:p w14:paraId="2858C759" w14:textId="77777777" w:rsidR="005E6893" w:rsidRDefault="005E6893" w:rsidP="005E6893">
      <w:pPr>
        <w:jc w:val="both"/>
        <w:rPr>
          <w:rFonts w:ascii="Avenir Next" w:hAnsi="Avenir Next" w:cs="Arial"/>
          <w:color w:val="808080" w:themeColor="background1" w:themeShade="80"/>
          <w:sz w:val="22"/>
          <w:szCs w:val="22"/>
          <w:lang w:val="en-GB"/>
        </w:rPr>
      </w:pPr>
    </w:p>
    <w:p w14:paraId="70E470E7" w14:textId="77777777" w:rsidR="005E6893" w:rsidRDefault="005E6893" w:rsidP="005E6893">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treated as a cost of the winding-up (if same was to occur);</w:t>
      </w:r>
    </w:p>
    <w:p w14:paraId="06CC4A61" w14:textId="77777777" w:rsidR="005E6893" w:rsidRDefault="005E6893" w:rsidP="005E6893">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provided with priority over preferential debts;</w:t>
      </w:r>
    </w:p>
    <w:p w14:paraId="664E1379" w14:textId="77777777" w:rsidR="005E6893" w:rsidRDefault="005E6893" w:rsidP="005E6893">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secured over unencumbered property; and/or</w:t>
      </w:r>
    </w:p>
    <w:p w14:paraId="5C4DF78D" w14:textId="1E2903E2" w:rsidR="005E6893" w:rsidRDefault="005E6893" w:rsidP="005E6893">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secured over encumbered property, in appropriate circumstances.</w:t>
      </w:r>
      <w:r>
        <w:rPr>
          <w:rStyle w:val="FootnoteReference"/>
          <w:rFonts w:ascii="Avenir Next" w:hAnsi="Avenir Next" w:cs="Arial"/>
          <w:color w:val="808080" w:themeColor="background1" w:themeShade="80"/>
          <w:sz w:val="22"/>
          <w:szCs w:val="22"/>
          <w:lang w:val="en-GB"/>
        </w:rPr>
        <w:footnoteReference w:id="31"/>
      </w:r>
    </w:p>
    <w:p w14:paraId="2686B89D" w14:textId="40313FA0" w:rsidR="005E6893" w:rsidRDefault="005E6893" w:rsidP="005E6893">
      <w:pPr>
        <w:jc w:val="both"/>
        <w:rPr>
          <w:rFonts w:ascii="Avenir Next" w:hAnsi="Avenir Next" w:cs="Arial"/>
          <w:color w:val="808080" w:themeColor="background1" w:themeShade="80"/>
          <w:sz w:val="22"/>
          <w:szCs w:val="22"/>
          <w:lang w:val="en-GB"/>
        </w:rPr>
      </w:pPr>
    </w:p>
    <w:p w14:paraId="3C62A4FB" w14:textId="1B161962" w:rsidR="005E6893" w:rsidRDefault="005E6893" w:rsidP="005E689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101(2) of the IRD Act requires that the judicial manager send a notice of the application to each creditor of the debtor company.</w:t>
      </w:r>
    </w:p>
    <w:p w14:paraId="53BD7E95" w14:textId="27ADF518" w:rsidR="005E6893" w:rsidRDefault="005E6893" w:rsidP="005E6893">
      <w:pPr>
        <w:jc w:val="both"/>
        <w:rPr>
          <w:rFonts w:ascii="Avenir Next" w:hAnsi="Avenir Next" w:cs="Arial"/>
          <w:color w:val="808080" w:themeColor="background1" w:themeShade="80"/>
          <w:sz w:val="22"/>
          <w:szCs w:val="22"/>
          <w:lang w:val="en-GB"/>
        </w:rPr>
      </w:pPr>
    </w:p>
    <w:p w14:paraId="7A3C27BD" w14:textId="465C257B" w:rsidR="005E6893" w:rsidRPr="005E6893" w:rsidRDefault="005E689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101(5) of the IRD Act requires</w:t>
      </w:r>
      <w:r w:rsidRPr="005E689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that the judicial manager lodge a copy of the order with the Registrar of Companies within 14 days of the date of the order.</w:t>
      </w:r>
    </w:p>
    <w:p w14:paraId="22CC0A9D" w14:textId="77777777" w:rsidR="008C35C9" w:rsidRPr="00B87DBA" w:rsidRDefault="008C35C9" w:rsidP="008C35C9">
      <w:pPr>
        <w:jc w:val="both"/>
        <w:rPr>
          <w:rFonts w:ascii="Avenir Next" w:eastAsia="Calibri" w:hAnsi="Avenir Next" w:cs="Arial"/>
          <w:sz w:val="22"/>
          <w:szCs w:val="22"/>
          <w:lang w:val="en-ZA"/>
        </w:rPr>
      </w:pPr>
    </w:p>
    <w:p w14:paraId="53D09CC7" w14:textId="77777777" w:rsidR="00081808" w:rsidRDefault="00081808">
      <w:pPr>
        <w:rPr>
          <w:rFonts w:ascii="Avenir Next Demi Bold" w:eastAsiaTheme="minorEastAsia" w:hAnsi="Avenir Next Demi Bold" w:cs="Arial"/>
          <w:b/>
          <w:bCs/>
          <w:sz w:val="22"/>
          <w:szCs w:val="22"/>
          <w:lang w:val="en-GB"/>
        </w:rPr>
      </w:pPr>
      <w:r>
        <w:rPr>
          <w:rFonts w:ascii="Avenir Next Demi Bold" w:hAnsi="Avenir Next Demi Bold"/>
          <w:b/>
          <w:bCs/>
          <w:iCs/>
        </w:rPr>
        <w:br w:type="page"/>
      </w:r>
    </w:p>
    <w:p w14:paraId="0378A434" w14:textId="502919D3"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lastRenderedPageBreak/>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in order to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16355502" w14:textId="03210201" w:rsidR="00D9104B" w:rsidRDefault="00D9104B" w:rsidP="00D9104B">
      <w:pPr>
        <w:ind w:left="66"/>
        <w:jc w:val="both"/>
        <w:rPr>
          <w:rFonts w:ascii="Avenir Next" w:hAnsi="Avenir Next"/>
          <w:lang w:val="en-GB"/>
        </w:rPr>
      </w:pPr>
    </w:p>
    <w:p w14:paraId="7D7123D6" w14:textId="23C9D17A" w:rsidR="00081808" w:rsidRDefault="00081808" w:rsidP="00D910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94 of the IRD provides the statutory basis for creditors placing </w:t>
      </w:r>
      <w:r w:rsidR="00AA684C">
        <w:rPr>
          <w:rFonts w:ascii="Avenir Next" w:hAnsi="Avenir Next" w:cs="Arial"/>
          <w:color w:val="808080" w:themeColor="background1" w:themeShade="80"/>
          <w:sz w:val="22"/>
          <w:szCs w:val="22"/>
          <w:lang w:val="en-GB"/>
        </w:rPr>
        <w:t>Alpha and Beta</w:t>
      </w:r>
      <w:r>
        <w:rPr>
          <w:rFonts w:ascii="Avenir Next" w:hAnsi="Avenir Next" w:cs="Arial"/>
          <w:color w:val="808080" w:themeColor="background1" w:themeShade="80"/>
          <w:sz w:val="22"/>
          <w:szCs w:val="22"/>
          <w:lang w:val="en-GB"/>
        </w:rPr>
        <w:t xml:space="preserve"> into judicial management. </w:t>
      </w:r>
      <w:r w:rsidR="00E54A3E">
        <w:rPr>
          <w:rFonts w:ascii="Avenir Next" w:hAnsi="Avenir Next" w:cs="Arial"/>
          <w:color w:val="808080" w:themeColor="background1" w:themeShade="80"/>
          <w:sz w:val="22"/>
          <w:szCs w:val="22"/>
          <w:lang w:val="en-GB"/>
        </w:rPr>
        <w:t>The company must obtain a resolution of the company’s creditors that it be placed into judicial management only if it considers that it is, or is likely to become, unable to pay its debts and one of the purposes of s89(1) of the IRD Act applies.</w:t>
      </w:r>
    </w:p>
    <w:p w14:paraId="211E58CD" w14:textId="244178C8" w:rsidR="00E54A3E" w:rsidRDefault="00E54A3E" w:rsidP="00D9104B">
      <w:pPr>
        <w:jc w:val="both"/>
        <w:rPr>
          <w:rFonts w:ascii="Avenir Next" w:hAnsi="Avenir Next" w:cs="Arial"/>
          <w:color w:val="808080" w:themeColor="background1" w:themeShade="80"/>
          <w:sz w:val="22"/>
          <w:szCs w:val="22"/>
          <w:lang w:val="en-GB"/>
        </w:rPr>
      </w:pPr>
    </w:p>
    <w:p w14:paraId="7EC34EFE" w14:textId="540BABB8" w:rsidR="00E54A3E" w:rsidRDefault="00E54A3E" w:rsidP="00D910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Before obtaining said resolution, the company must:</w:t>
      </w:r>
    </w:p>
    <w:p w14:paraId="5EC78277" w14:textId="26E4FA28" w:rsidR="00E54A3E" w:rsidRDefault="00E54A3E" w:rsidP="00D9104B">
      <w:pPr>
        <w:jc w:val="both"/>
        <w:rPr>
          <w:rFonts w:ascii="Avenir Next" w:hAnsi="Avenir Next" w:cs="Arial"/>
          <w:color w:val="808080" w:themeColor="background1" w:themeShade="80"/>
          <w:sz w:val="22"/>
          <w:szCs w:val="22"/>
          <w:lang w:val="en-GB"/>
        </w:rPr>
      </w:pPr>
    </w:p>
    <w:p w14:paraId="395D8BBA" w14:textId="4743C171" w:rsidR="00E54A3E" w:rsidRDefault="00E54A3E" w:rsidP="00E54A3E">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Give at least 7 days written notice (</w:t>
      </w:r>
      <w:r w:rsidRPr="00E54A3E">
        <w:rPr>
          <w:rFonts w:ascii="Avenir Next" w:hAnsi="Avenir Next" w:cs="Arial"/>
          <w:b/>
          <w:bCs/>
          <w:color w:val="808080" w:themeColor="background1" w:themeShade="80"/>
          <w:sz w:val="22"/>
          <w:szCs w:val="22"/>
          <w:lang w:val="en-GB"/>
        </w:rPr>
        <w:t>7 Day Notice</w:t>
      </w:r>
      <w:r>
        <w:rPr>
          <w:rFonts w:ascii="Avenir Next" w:hAnsi="Avenir Next" w:cs="Arial"/>
          <w:color w:val="808080" w:themeColor="background1" w:themeShade="80"/>
          <w:sz w:val="22"/>
          <w:szCs w:val="22"/>
          <w:lang w:val="en-GB"/>
        </w:rPr>
        <w:t>) to the proposed licensed</w:t>
      </w:r>
      <w:r>
        <w:rPr>
          <w:rStyle w:val="FootnoteReference"/>
          <w:rFonts w:ascii="Avenir Next" w:hAnsi="Avenir Next" w:cs="Arial"/>
          <w:color w:val="808080" w:themeColor="background1" w:themeShade="80"/>
          <w:sz w:val="22"/>
          <w:szCs w:val="22"/>
          <w:lang w:val="en-GB"/>
        </w:rPr>
        <w:footnoteReference w:id="32"/>
      </w:r>
      <w:r>
        <w:rPr>
          <w:rFonts w:ascii="Avenir Next" w:hAnsi="Avenir Next" w:cs="Arial"/>
          <w:color w:val="808080" w:themeColor="background1" w:themeShade="80"/>
          <w:sz w:val="22"/>
          <w:szCs w:val="22"/>
          <w:lang w:val="en-GB"/>
        </w:rPr>
        <w:t xml:space="preserve"> interim judicial manager and any of the company’s relevant secured creditors;</w:t>
      </w:r>
      <w:r>
        <w:rPr>
          <w:rStyle w:val="FootnoteReference"/>
          <w:rFonts w:ascii="Avenir Next" w:hAnsi="Avenir Next" w:cs="Arial"/>
          <w:color w:val="808080" w:themeColor="background1" w:themeShade="80"/>
          <w:sz w:val="22"/>
          <w:szCs w:val="22"/>
          <w:lang w:val="en-GB"/>
        </w:rPr>
        <w:footnoteReference w:id="33"/>
      </w:r>
    </w:p>
    <w:p w14:paraId="46292369" w14:textId="59561BEF" w:rsidR="00E54A3E" w:rsidRDefault="00E54A3E" w:rsidP="00E54A3E">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Obtain approval by way of resolution of the members/directors of the company (subject to the terms of the company’s constitution);</w:t>
      </w:r>
      <w:r>
        <w:rPr>
          <w:rStyle w:val="FootnoteReference"/>
          <w:rFonts w:ascii="Avenir Next" w:hAnsi="Avenir Next" w:cs="Arial"/>
          <w:color w:val="808080" w:themeColor="background1" w:themeShade="80"/>
          <w:sz w:val="22"/>
          <w:szCs w:val="22"/>
          <w:lang w:val="en-GB"/>
        </w:rPr>
        <w:footnoteReference w:id="34"/>
      </w:r>
    </w:p>
    <w:p w14:paraId="1F92B196" w14:textId="630F4F5C" w:rsidR="00E54A3E" w:rsidRDefault="00E54A3E" w:rsidP="00E54A3E">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Obtain this resolution within 21 days after the 7 Day Notice;</w:t>
      </w:r>
      <w:r>
        <w:rPr>
          <w:rStyle w:val="FootnoteReference"/>
          <w:rFonts w:ascii="Avenir Next" w:hAnsi="Avenir Next" w:cs="Arial"/>
          <w:color w:val="808080" w:themeColor="background1" w:themeShade="80"/>
          <w:sz w:val="22"/>
          <w:szCs w:val="22"/>
          <w:lang w:val="en-GB"/>
        </w:rPr>
        <w:footnoteReference w:id="35"/>
      </w:r>
    </w:p>
    <w:p w14:paraId="5D646253" w14:textId="434B4807" w:rsidR="00E54A3E" w:rsidRDefault="00E54A3E" w:rsidP="00E54A3E">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parties in i) must have validly consented in writing;</w:t>
      </w:r>
      <w:r>
        <w:rPr>
          <w:rStyle w:val="FootnoteReference"/>
          <w:rFonts w:ascii="Avenir Next" w:hAnsi="Avenir Next" w:cs="Arial"/>
          <w:color w:val="808080" w:themeColor="background1" w:themeShade="80"/>
          <w:sz w:val="22"/>
          <w:szCs w:val="22"/>
          <w:lang w:val="en-GB"/>
        </w:rPr>
        <w:footnoteReference w:id="36"/>
      </w:r>
      <w:r>
        <w:rPr>
          <w:rFonts w:ascii="Avenir Next" w:hAnsi="Avenir Next" w:cs="Arial"/>
          <w:color w:val="808080" w:themeColor="background1" w:themeShade="80"/>
          <w:sz w:val="22"/>
          <w:szCs w:val="22"/>
          <w:lang w:val="en-GB"/>
        </w:rPr>
        <w:t xml:space="preserve"> and</w:t>
      </w:r>
    </w:p>
    <w:p w14:paraId="3A170012" w14:textId="72ADDC79" w:rsidR="00E54A3E" w:rsidRPr="00E54A3E" w:rsidRDefault="00E54A3E" w:rsidP="00E54A3E">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has lodge the relevant statutory declaration with the Registrar of Companies.</w:t>
      </w:r>
      <w:r>
        <w:rPr>
          <w:rStyle w:val="FootnoteReference"/>
          <w:rFonts w:ascii="Avenir Next" w:hAnsi="Avenir Next" w:cs="Arial"/>
          <w:color w:val="808080" w:themeColor="background1" w:themeShade="80"/>
          <w:sz w:val="22"/>
          <w:szCs w:val="22"/>
          <w:lang w:val="en-GB"/>
        </w:rPr>
        <w:footnoteReference w:id="37"/>
      </w:r>
    </w:p>
    <w:p w14:paraId="49DD8137" w14:textId="51B301EE" w:rsidR="00E54A3E" w:rsidRDefault="00E54A3E" w:rsidP="00D9104B">
      <w:pPr>
        <w:jc w:val="both"/>
        <w:rPr>
          <w:rFonts w:ascii="Avenir Next" w:hAnsi="Avenir Next" w:cs="Arial"/>
          <w:color w:val="808080" w:themeColor="background1" w:themeShade="80"/>
          <w:sz w:val="22"/>
          <w:szCs w:val="22"/>
          <w:lang w:val="en-GB"/>
        </w:rPr>
      </w:pPr>
    </w:p>
    <w:p w14:paraId="5B5DF754" w14:textId="48AE6BE1" w:rsidR="00E54A3E" w:rsidRDefault="00AA684C" w:rsidP="00D910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obtain the resolution from the creditors, the company must convene a meeting of the creditors in accordance with ss94(7)-(11) of the IRD Act.</w:t>
      </w:r>
    </w:p>
    <w:p w14:paraId="41EFF252" w14:textId="2D3003AA" w:rsidR="00081808" w:rsidRDefault="00081808" w:rsidP="00D9104B">
      <w:pPr>
        <w:jc w:val="both"/>
        <w:rPr>
          <w:rFonts w:ascii="Avenir Next" w:hAnsi="Avenir Next" w:cs="Arial"/>
          <w:color w:val="808080" w:themeColor="background1" w:themeShade="80"/>
          <w:sz w:val="22"/>
          <w:szCs w:val="22"/>
          <w:lang w:val="en-GB"/>
        </w:rPr>
      </w:pPr>
    </w:p>
    <w:p w14:paraId="6354C89A" w14:textId="71C1E01E" w:rsidR="00E548AC" w:rsidRPr="00E548AC" w:rsidRDefault="00E47E5C" w:rsidP="004D2090">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46A0BA46" w14:textId="77777777" w:rsidR="00E548AC" w:rsidRPr="00E548AC" w:rsidRDefault="00E548AC" w:rsidP="00D22362">
      <w:pPr>
        <w:pStyle w:val="ListParagraph"/>
        <w:ind w:left="426"/>
        <w:jc w:val="both"/>
        <w:rPr>
          <w:rFonts w:ascii="Avenir Next" w:hAnsi="Avenir Next" w:cs="Arial"/>
          <w:sz w:val="22"/>
          <w:szCs w:val="22"/>
          <w:lang w:val="en-GB"/>
        </w:rPr>
      </w:pPr>
    </w:p>
    <w:p w14:paraId="7851E56F" w14:textId="5AD485AF" w:rsidR="008C35C9" w:rsidRDefault="00D8421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Judicial management only applies eligible companies under the IRD Act,</w:t>
      </w:r>
      <w:r>
        <w:rPr>
          <w:rStyle w:val="FootnoteReference"/>
          <w:rFonts w:ascii="Avenir Next" w:hAnsi="Avenir Next" w:cs="Arial"/>
          <w:color w:val="808080" w:themeColor="background1" w:themeShade="80"/>
          <w:sz w:val="22"/>
          <w:szCs w:val="22"/>
          <w:lang w:val="en-GB"/>
        </w:rPr>
        <w:footnoteReference w:id="38"/>
      </w:r>
      <w:r>
        <w:rPr>
          <w:rFonts w:ascii="Avenir Next" w:hAnsi="Avenir Next" w:cs="Arial"/>
          <w:color w:val="808080" w:themeColor="background1" w:themeShade="80"/>
          <w:sz w:val="22"/>
          <w:szCs w:val="22"/>
          <w:lang w:val="en-GB"/>
        </w:rPr>
        <w:t xml:space="preserve"> which includes foreign debtors. Foreign debtors must have a substantial connection with Singapore.</w:t>
      </w:r>
      <w:r>
        <w:rPr>
          <w:rStyle w:val="FootnoteReference"/>
          <w:rFonts w:ascii="Avenir Next" w:hAnsi="Avenir Next" w:cs="Arial"/>
          <w:color w:val="808080" w:themeColor="background1" w:themeShade="80"/>
          <w:sz w:val="22"/>
          <w:szCs w:val="22"/>
          <w:lang w:val="en-GB"/>
        </w:rPr>
        <w:footnoteReference w:id="39"/>
      </w:r>
      <w:r>
        <w:rPr>
          <w:rFonts w:ascii="Avenir Next" w:hAnsi="Avenir Next" w:cs="Arial"/>
          <w:color w:val="808080" w:themeColor="background1" w:themeShade="80"/>
          <w:sz w:val="22"/>
          <w:szCs w:val="22"/>
          <w:lang w:val="en-GB"/>
        </w:rPr>
        <w:t xml:space="preserve"> </w:t>
      </w:r>
    </w:p>
    <w:p w14:paraId="26197EB7" w14:textId="3B1EFAC9" w:rsidR="00D84218" w:rsidRDefault="00D84218" w:rsidP="008C35C9">
      <w:pPr>
        <w:jc w:val="both"/>
        <w:rPr>
          <w:rFonts w:ascii="Avenir Next" w:hAnsi="Avenir Next" w:cs="Arial"/>
          <w:color w:val="808080" w:themeColor="background1" w:themeShade="80"/>
          <w:sz w:val="22"/>
          <w:szCs w:val="22"/>
          <w:lang w:val="en-GB"/>
        </w:rPr>
      </w:pPr>
    </w:p>
    <w:p w14:paraId="2E87D5B9" w14:textId="2A26CBA5" w:rsidR="00D84218" w:rsidRDefault="00D8421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Substantial connection can be established by one or more of the following:</w:t>
      </w:r>
    </w:p>
    <w:p w14:paraId="2D5F4419" w14:textId="3AC42DAD" w:rsidR="00D84218" w:rsidRDefault="00D84218" w:rsidP="008C35C9">
      <w:pPr>
        <w:jc w:val="both"/>
        <w:rPr>
          <w:rFonts w:ascii="Avenir Next" w:hAnsi="Avenir Next" w:cs="Arial"/>
          <w:color w:val="808080" w:themeColor="background1" w:themeShade="80"/>
          <w:sz w:val="22"/>
          <w:szCs w:val="22"/>
          <w:lang w:val="en-GB"/>
        </w:rPr>
      </w:pPr>
    </w:p>
    <w:p w14:paraId="13192157" w14:textId="3139369F" w:rsidR="00D84218" w:rsidRDefault="00D84218" w:rsidP="00D84218">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COMI of the debtor is located in Singapore;</w:t>
      </w:r>
    </w:p>
    <w:p w14:paraId="3517AE80" w14:textId="5127C9AD" w:rsidR="00D84218" w:rsidRDefault="00D84218" w:rsidP="00D84218">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 is carrying on business in Singapore or has a place of business in Singapore. Charlie Pty Ltd is not carrying on a business in Singapore;</w:t>
      </w:r>
    </w:p>
    <w:p w14:paraId="7E70DC64" w14:textId="4234138A" w:rsidR="00D84218" w:rsidRDefault="00D84218" w:rsidP="00D84218">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 is registered as a foreign company in Singapore. The factual matrix does not provide any information about whether Charlie is a registered foreign company;</w:t>
      </w:r>
    </w:p>
    <w:p w14:paraId="62DE7E41" w14:textId="18766FCD" w:rsidR="00D84218" w:rsidRDefault="00D84218" w:rsidP="00D84218">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 has substantial assets in Singapore. Charlie is said to only have assets in Australia;</w:t>
      </w:r>
    </w:p>
    <w:p w14:paraId="5B3FB10E" w14:textId="77777777" w:rsidR="00D84218" w:rsidRDefault="00D84218" w:rsidP="00D84218">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debtor has chosen Singapore law under contract for a loan, etc. The facts says that the Australian property owned by Charlie is secured by a loan to a Singaporean bank, which is said to be governed by Singaporean law. It is therefore likely that this limb is satisfied;</w:t>
      </w:r>
    </w:p>
    <w:p w14:paraId="12ABDC19" w14:textId="745BD601" w:rsidR="00D84218" w:rsidRDefault="00D84218" w:rsidP="00D84218">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 has submitted to the jurisdiction of Singaporean law, at least in relation to a particular loan. Again, Charlie’s loan with the Singapore bank is said to be governed by Singapore law. It is therefore likely that this limb is satisfied.</w:t>
      </w:r>
    </w:p>
    <w:p w14:paraId="427F6173" w14:textId="77777777" w:rsidR="00D84218" w:rsidRDefault="00D84218" w:rsidP="00D84218">
      <w:pPr>
        <w:jc w:val="both"/>
        <w:rPr>
          <w:rFonts w:ascii="Avenir Next" w:hAnsi="Avenir Next" w:cs="Arial"/>
          <w:color w:val="808080" w:themeColor="background1" w:themeShade="80"/>
          <w:sz w:val="22"/>
          <w:szCs w:val="22"/>
          <w:lang w:val="en-GB"/>
        </w:rPr>
      </w:pPr>
    </w:p>
    <w:p w14:paraId="022DD97B" w14:textId="35FFB90F" w:rsidR="00D84218" w:rsidRPr="00D84218" w:rsidRDefault="00D84218" w:rsidP="00D8421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Accordingly, given limbs e) and f) (at least) are met, Charlie likely qualifies for judicial management as a foreign company.</w:t>
      </w:r>
    </w:p>
    <w:p w14:paraId="0867ED0A" w14:textId="77777777" w:rsidR="00EE062F" w:rsidRDefault="00EE062F"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0C9B8539" w14:textId="54889404" w:rsidR="00F47A63" w:rsidRDefault="00F47A63" w:rsidP="008C35C9">
      <w:pPr>
        <w:jc w:val="both"/>
        <w:rPr>
          <w:rFonts w:ascii="Avenir Next" w:hAnsi="Avenir Next" w:cs="Arial"/>
          <w:b/>
          <w:bCs/>
          <w:sz w:val="22"/>
          <w:szCs w:val="22"/>
          <w:lang w:val="en-GB"/>
        </w:rPr>
      </w:pPr>
    </w:p>
    <w:p w14:paraId="642D59EA" w14:textId="655B92D6" w:rsidR="00EE062F" w:rsidRPr="008C35C9" w:rsidRDefault="007F4E1E"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65 of the IRD Act provides the basis for providing protection to the ABC Group. Section 99 of the IRD Act provides the basis for a judicial manager having the power to deal in assets of the relevant companies.</w:t>
      </w:r>
    </w:p>
    <w:p w14:paraId="16A34D2D" w14:textId="51C50BF9" w:rsidR="00EE062F" w:rsidRDefault="00EE062F" w:rsidP="008C35C9">
      <w:pPr>
        <w:jc w:val="both"/>
        <w:rPr>
          <w:rFonts w:ascii="Avenir Next" w:hAnsi="Avenir Next" w:cs="Arial"/>
          <w:b/>
          <w:bCs/>
          <w:sz w:val="22"/>
          <w:szCs w:val="22"/>
          <w:lang w:val="en-GB"/>
        </w:rPr>
      </w:pP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D41C" w14:textId="77777777" w:rsidR="00025872" w:rsidRDefault="00025872" w:rsidP="00241B44">
      <w:r>
        <w:separator/>
      </w:r>
    </w:p>
  </w:endnote>
  <w:endnote w:type="continuationSeparator" w:id="0">
    <w:p w14:paraId="3533B05E" w14:textId="77777777" w:rsidR="00025872" w:rsidRDefault="000258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2A2EB929" w:rsidR="00241FA3" w:rsidRPr="00CB75C5" w:rsidRDefault="00AE10BC" w:rsidP="009B4976">
    <w:pPr>
      <w:pStyle w:val="Footer"/>
      <w:ind w:right="360"/>
      <w:rPr>
        <w:rFonts w:ascii="Avenir Next" w:hAnsi="Avenir Next" w:cs="Arial"/>
        <w:sz w:val="18"/>
        <w:szCs w:val="18"/>
        <w:lang w:val="en-GB"/>
      </w:rPr>
    </w:pPr>
    <w:r w:rsidRPr="00AE10BC">
      <w:rPr>
        <w:rFonts w:ascii="Avenir Next" w:hAnsi="Avenir Next" w:cs="Arial"/>
        <w:sz w:val="18"/>
        <w:szCs w:val="18"/>
        <w:lang w:val="en-GB"/>
      </w:rPr>
      <w:t>202122-595</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BB30" w14:textId="77777777" w:rsidR="00025872" w:rsidRDefault="00025872" w:rsidP="00241B44">
      <w:r>
        <w:separator/>
      </w:r>
    </w:p>
  </w:footnote>
  <w:footnote w:type="continuationSeparator" w:id="0">
    <w:p w14:paraId="33F97631" w14:textId="77777777" w:rsidR="00025872" w:rsidRDefault="00025872" w:rsidP="00241B44">
      <w:r>
        <w:continuationSeparator/>
      </w:r>
    </w:p>
  </w:footnote>
  <w:footnote w:id="1">
    <w:p w14:paraId="323CDCE4" w14:textId="1A1F1483" w:rsidR="00081808" w:rsidRPr="00081808" w:rsidRDefault="00081808">
      <w:pPr>
        <w:pStyle w:val="FootnoteText"/>
        <w:rPr>
          <w:lang w:val="en-AU"/>
        </w:rPr>
      </w:pPr>
      <w:r>
        <w:rPr>
          <w:rStyle w:val="FootnoteReference"/>
        </w:rPr>
        <w:footnoteRef/>
      </w:r>
      <w:r>
        <w:t xml:space="preserve"> </w:t>
      </w:r>
      <w:r>
        <w:rPr>
          <w:lang w:val="en-AU"/>
        </w:rPr>
        <w:t>Section 70 of the IRD Act.</w:t>
      </w:r>
    </w:p>
  </w:footnote>
  <w:footnote w:id="2">
    <w:p w14:paraId="456499F8" w14:textId="4883A96D" w:rsidR="00081808" w:rsidRPr="00081808" w:rsidRDefault="00081808">
      <w:pPr>
        <w:pStyle w:val="FootnoteText"/>
        <w:rPr>
          <w:lang w:val="en-AU"/>
        </w:rPr>
      </w:pPr>
      <w:r>
        <w:rPr>
          <w:rStyle w:val="FootnoteReference"/>
        </w:rPr>
        <w:footnoteRef/>
      </w:r>
      <w:r>
        <w:t xml:space="preserve"> </w:t>
      </w:r>
      <w:r>
        <w:rPr>
          <w:lang w:val="en-AU"/>
        </w:rPr>
        <w:t>Guidance text, pages 57-58.</w:t>
      </w:r>
    </w:p>
  </w:footnote>
  <w:footnote w:id="3">
    <w:p w14:paraId="580FE0BB" w14:textId="00EA1469" w:rsidR="00205DC8" w:rsidRPr="00205DC8" w:rsidRDefault="00205DC8">
      <w:pPr>
        <w:pStyle w:val="FootnoteText"/>
        <w:rPr>
          <w:lang w:val="en-AU"/>
        </w:rPr>
      </w:pPr>
      <w:r>
        <w:rPr>
          <w:rStyle w:val="FootnoteReference"/>
        </w:rPr>
        <w:footnoteRef/>
      </w:r>
      <w:r>
        <w:t xml:space="preserve"> </w:t>
      </w:r>
      <w:r>
        <w:rPr>
          <w:lang w:val="en-AU"/>
        </w:rPr>
        <w:t>Guidance text, page 65.</w:t>
      </w:r>
    </w:p>
  </w:footnote>
  <w:footnote w:id="4">
    <w:p w14:paraId="00462A7B" w14:textId="4378C496" w:rsidR="00205DC8" w:rsidRPr="00205DC8" w:rsidRDefault="00205DC8">
      <w:pPr>
        <w:pStyle w:val="FootnoteText"/>
        <w:rPr>
          <w:lang w:val="en-AU"/>
        </w:rPr>
      </w:pPr>
      <w:r>
        <w:rPr>
          <w:rStyle w:val="FootnoteReference"/>
        </w:rPr>
        <w:footnoteRef/>
      </w:r>
      <w:r>
        <w:t xml:space="preserve"> </w:t>
      </w:r>
      <w:r>
        <w:rPr>
          <w:lang w:val="en-AU"/>
        </w:rPr>
        <w:t>Guidance text, page 35.</w:t>
      </w:r>
    </w:p>
  </w:footnote>
  <w:footnote w:id="5">
    <w:p w14:paraId="7AD73448" w14:textId="7D8395B8" w:rsidR="00BB3B2A" w:rsidRPr="00BB3B2A" w:rsidRDefault="00BB3B2A">
      <w:pPr>
        <w:pStyle w:val="FootnoteText"/>
        <w:rPr>
          <w:lang w:val="en-AU"/>
        </w:rPr>
      </w:pPr>
      <w:r>
        <w:rPr>
          <w:rStyle w:val="FootnoteReference"/>
        </w:rPr>
        <w:footnoteRef/>
      </w:r>
      <w:r>
        <w:t xml:space="preserve"> </w:t>
      </w:r>
      <w:r>
        <w:rPr>
          <w:lang w:val="en-AU"/>
        </w:rPr>
        <w:t>Guidance text, page 48.</w:t>
      </w:r>
    </w:p>
  </w:footnote>
  <w:footnote w:id="6">
    <w:p w14:paraId="3878C6ED" w14:textId="178BEDA3" w:rsidR="00BB3B2A" w:rsidRPr="00BB3B2A" w:rsidRDefault="00BB3B2A">
      <w:pPr>
        <w:pStyle w:val="FootnoteText"/>
        <w:rPr>
          <w:lang w:val="en-AU"/>
        </w:rPr>
      </w:pPr>
      <w:r>
        <w:rPr>
          <w:rStyle w:val="FootnoteReference"/>
        </w:rPr>
        <w:footnoteRef/>
      </w:r>
      <w:r>
        <w:t xml:space="preserve"> </w:t>
      </w:r>
      <w:r>
        <w:rPr>
          <w:lang w:val="en-AU"/>
        </w:rPr>
        <w:t>Section 88 of the IRD Act.</w:t>
      </w:r>
    </w:p>
  </w:footnote>
  <w:footnote w:id="7">
    <w:p w14:paraId="5B1FDEEF" w14:textId="045DECAB" w:rsidR="00BB3B2A" w:rsidRPr="00BB3B2A" w:rsidRDefault="00BB3B2A">
      <w:pPr>
        <w:pStyle w:val="FootnoteText"/>
        <w:rPr>
          <w:lang w:val="en-AU"/>
        </w:rPr>
      </w:pPr>
      <w:r>
        <w:rPr>
          <w:rStyle w:val="FootnoteReference"/>
        </w:rPr>
        <w:footnoteRef/>
      </w:r>
      <w:r>
        <w:t xml:space="preserve"> </w:t>
      </w:r>
      <w:r>
        <w:rPr>
          <w:lang w:val="en-AU"/>
        </w:rPr>
        <w:t>Sections 67 and 101 of the IRD Act, respectively.</w:t>
      </w:r>
    </w:p>
  </w:footnote>
  <w:footnote w:id="8">
    <w:p w14:paraId="163C9351" w14:textId="402DE56E" w:rsidR="00BB3B2A" w:rsidRPr="00BB3B2A" w:rsidRDefault="00BB3B2A">
      <w:pPr>
        <w:pStyle w:val="FootnoteText"/>
        <w:rPr>
          <w:lang w:val="en-AU"/>
        </w:rPr>
      </w:pPr>
      <w:r>
        <w:rPr>
          <w:rStyle w:val="FootnoteReference"/>
        </w:rPr>
        <w:footnoteRef/>
      </w:r>
      <w:r>
        <w:t xml:space="preserve"> </w:t>
      </w:r>
      <w:r>
        <w:rPr>
          <w:lang w:val="en-AU"/>
        </w:rPr>
        <w:t>Guidance text, page 54.</w:t>
      </w:r>
    </w:p>
  </w:footnote>
  <w:footnote w:id="9">
    <w:p w14:paraId="2421B4F8" w14:textId="7AB891B8" w:rsidR="00BB3B2A" w:rsidRPr="00BB3B2A" w:rsidRDefault="00BB3B2A">
      <w:pPr>
        <w:pStyle w:val="FootnoteText"/>
        <w:rPr>
          <w:lang w:val="en-AU"/>
        </w:rPr>
      </w:pPr>
      <w:r>
        <w:rPr>
          <w:rStyle w:val="FootnoteReference"/>
        </w:rPr>
        <w:footnoteRef/>
      </w:r>
      <w:r>
        <w:t xml:space="preserve"> </w:t>
      </w:r>
      <w:r>
        <w:rPr>
          <w:lang w:val="en-AU"/>
        </w:rPr>
        <w:t>Guidance text, page 55.</w:t>
      </w:r>
    </w:p>
  </w:footnote>
  <w:footnote w:id="10">
    <w:p w14:paraId="65AB7CED" w14:textId="4EEFC50F" w:rsidR="00F70C5D" w:rsidRPr="00F70C5D" w:rsidRDefault="00F70C5D">
      <w:pPr>
        <w:pStyle w:val="FootnoteText"/>
        <w:rPr>
          <w:lang w:val="en-AU"/>
        </w:rPr>
      </w:pPr>
      <w:r>
        <w:rPr>
          <w:rStyle w:val="FootnoteReference"/>
        </w:rPr>
        <w:footnoteRef/>
      </w:r>
      <w:r>
        <w:t xml:space="preserve"> </w:t>
      </w:r>
      <w:r>
        <w:rPr>
          <w:lang w:val="en-AU"/>
        </w:rPr>
        <w:t>Section 239(5) of the IRD Act.</w:t>
      </w:r>
    </w:p>
  </w:footnote>
  <w:footnote w:id="11">
    <w:p w14:paraId="227862D5" w14:textId="77777777" w:rsidR="00F70C5D" w:rsidRPr="00BB3B2A" w:rsidRDefault="00F70C5D" w:rsidP="00F70C5D">
      <w:pPr>
        <w:pStyle w:val="FootnoteText"/>
        <w:rPr>
          <w:lang w:val="en-AU"/>
        </w:rPr>
      </w:pPr>
      <w:r>
        <w:rPr>
          <w:rStyle w:val="FootnoteReference"/>
        </w:rPr>
        <w:footnoteRef/>
      </w:r>
      <w:r>
        <w:t xml:space="preserve"> </w:t>
      </w:r>
      <w:r>
        <w:rPr>
          <w:lang w:val="en-AU"/>
        </w:rPr>
        <w:t>Guidance text, page 48.</w:t>
      </w:r>
    </w:p>
  </w:footnote>
  <w:footnote w:id="12">
    <w:p w14:paraId="7F7449EF" w14:textId="77777777" w:rsidR="00F70C5D" w:rsidRPr="00BB3B2A" w:rsidRDefault="00F70C5D" w:rsidP="00F70C5D">
      <w:pPr>
        <w:pStyle w:val="FootnoteText"/>
        <w:rPr>
          <w:lang w:val="en-AU"/>
        </w:rPr>
      </w:pPr>
      <w:r>
        <w:rPr>
          <w:rStyle w:val="FootnoteReference"/>
        </w:rPr>
        <w:footnoteRef/>
      </w:r>
      <w:r>
        <w:t xml:space="preserve"> </w:t>
      </w:r>
      <w:r>
        <w:rPr>
          <w:lang w:val="en-AU"/>
        </w:rPr>
        <w:t>Section 88 of the IRD Act.</w:t>
      </w:r>
    </w:p>
  </w:footnote>
  <w:footnote w:id="13">
    <w:p w14:paraId="0A2D9538" w14:textId="3DD00A33" w:rsidR="00862D95" w:rsidRPr="00862D95" w:rsidRDefault="00862D95">
      <w:pPr>
        <w:pStyle w:val="FootnoteText"/>
        <w:rPr>
          <w:lang w:val="en-AU"/>
        </w:rPr>
      </w:pPr>
      <w:r>
        <w:rPr>
          <w:rStyle w:val="FootnoteReference"/>
        </w:rPr>
        <w:footnoteRef/>
      </w:r>
      <w:r>
        <w:t xml:space="preserve"> </w:t>
      </w:r>
      <w:r>
        <w:rPr>
          <w:lang w:val="en-AU"/>
        </w:rPr>
        <w:t>Guidance text, page</w:t>
      </w:r>
      <w:r w:rsidR="00C128BD">
        <w:rPr>
          <w:lang w:val="en-AU"/>
        </w:rPr>
        <w:t>s</w:t>
      </w:r>
      <w:r>
        <w:rPr>
          <w:lang w:val="en-AU"/>
        </w:rPr>
        <w:t xml:space="preserve"> 15</w:t>
      </w:r>
      <w:r w:rsidR="00C128BD">
        <w:rPr>
          <w:lang w:val="en-AU"/>
        </w:rPr>
        <w:t xml:space="preserve"> and 52-53</w:t>
      </w:r>
      <w:r>
        <w:rPr>
          <w:lang w:val="en-AU"/>
        </w:rPr>
        <w:t>.</w:t>
      </w:r>
    </w:p>
  </w:footnote>
  <w:footnote w:id="14">
    <w:p w14:paraId="6B6E0C26" w14:textId="3C6B5A9F" w:rsidR="00862D95" w:rsidRPr="00862D95" w:rsidRDefault="00862D95">
      <w:pPr>
        <w:pStyle w:val="FootnoteText"/>
        <w:rPr>
          <w:lang w:val="en-AU"/>
        </w:rPr>
      </w:pPr>
      <w:r>
        <w:rPr>
          <w:rStyle w:val="FootnoteReference"/>
        </w:rPr>
        <w:footnoteRef/>
      </w:r>
      <w:r>
        <w:t xml:space="preserve"> </w:t>
      </w:r>
      <w:r>
        <w:rPr>
          <w:lang w:val="en-AU"/>
        </w:rPr>
        <w:t>Ibid.</w:t>
      </w:r>
    </w:p>
  </w:footnote>
  <w:footnote w:id="15">
    <w:p w14:paraId="42CAE616" w14:textId="3E14D75E" w:rsidR="009459BD" w:rsidRPr="009459BD" w:rsidRDefault="009459BD">
      <w:pPr>
        <w:pStyle w:val="FootnoteText"/>
        <w:rPr>
          <w:lang w:val="en-AU"/>
        </w:rPr>
      </w:pPr>
      <w:r>
        <w:rPr>
          <w:rStyle w:val="FootnoteReference"/>
        </w:rPr>
        <w:footnoteRef/>
      </w:r>
      <w:r>
        <w:t xml:space="preserve"> </w:t>
      </w:r>
      <w:r>
        <w:rPr>
          <w:lang w:val="en-AU"/>
        </w:rPr>
        <w:t>Section 64 of the IRD Act.</w:t>
      </w:r>
    </w:p>
  </w:footnote>
  <w:footnote w:id="16">
    <w:p w14:paraId="475CA472" w14:textId="7824A244" w:rsidR="00862D95" w:rsidRPr="00862D95" w:rsidRDefault="00862D95">
      <w:pPr>
        <w:pStyle w:val="FootnoteText"/>
        <w:rPr>
          <w:lang w:val="en-AU"/>
        </w:rPr>
      </w:pPr>
      <w:r>
        <w:rPr>
          <w:rStyle w:val="FootnoteReference"/>
        </w:rPr>
        <w:footnoteRef/>
      </w:r>
      <w:r>
        <w:t xml:space="preserve"> </w:t>
      </w:r>
      <w:r>
        <w:rPr>
          <w:lang w:val="en-AU"/>
        </w:rPr>
        <w:t>Section 99 of the IRD Act.</w:t>
      </w:r>
    </w:p>
  </w:footnote>
  <w:footnote w:id="17">
    <w:p w14:paraId="00BD93B7" w14:textId="337F0D9C" w:rsidR="00862D95" w:rsidRPr="00862D95" w:rsidRDefault="00862D95">
      <w:pPr>
        <w:pStyle w:val="FootnoteText"/>
        <w:rPr>
          <w:lang w:val="en-AU"/>
        </w:rPr>
      </w:pPr>
      <w:r>
        <w:rPr>
          <w:rStyle w:val="FootnoteReference"/>
        </w:rPr>
        <w:footnoteRef/>
      </w:r>
      <w:r>
        <w:t xml:space="preserve"> </w:t>
      </w:r>
      <w:r>
        <w:rPr>
          <w:lang w:val="en-AU"/>
        </w:rPr>
        <w:t>Guidance text, pages 15-16.</w:t>
      </w:r>
    </w:p>
  </w:footnote>
  <w:footnote w:id="18">
    <w:p w14:paraId="2DA5C1C4" w14:textId="41B584CD" w:rsidR="00C128BD" w:rsidRPr="00C128BD" w:rsidRDefault="00C128BD">
      <w:pPr>
        <w:pStyle w:val="FootnoteText"/>
        <w:rPr>
          <w:lang w:val="en-AU"/>
        </w:rPr>
      </w:pPr>
      <w:r>
        <w:rPr>
          <w:rStyle w:val="FootnoteReference"/>
        </w:rPr>
        <w:footnoteRef/>
      </w:r>
      <w:r>
        <w:t xml:space="preserve"> </w:t>
      </w:r>
      <w:r>
        <w:rPr>
          <w:lang w:val="en-AU"/>
        </w:rPr>
        <w:t>Guidance text, page 58.</w:t>
      </w:r>
    </w:p>
  </w:footnote>
  <w:footnote w:id="19">
    <w:p w14:paraId="152330CA" w14:textId="2BC6C463" w:rsidR="00862D95" w:rsidRPr="00862D95" w:rsidRDefault="00862D95">
      <w:pPr>
        <w:pStyle w:val="FootnoteText"/>
        <w:rPr>
          <w:lang w:val="en-AU"/>
        </w:rPr>
      </w:pPr>
      <w:r>
        <w:rPr>
          <w:rStyle w:val="FootnoteReference"/>
        </w:rPr>
        <w:footnoteRef/>
      </w:r>
      <w:r>
        <w:t xml:space="preserve"> </w:t>
      </w:r>
      <w:r>
        <w:rPr>
          <w:lang w:val="en-AU"/>
        </w:rPr>
        <w:t>Section 109 of the IRD Act.</w:t>
      </w:r>
    </w:p>
  </w:footnote>
  <w:footnote w:id="20">
    <w:p w14:paraId="106CE2A6" w14:textId="77777777" w:rsidR="00C128BD" w:rsidRPr="00862D95" w:rsidRDefault="00C128BD" w:rsidP="00C128BD">
      <w:pPr>
        <w:pStyle w:val="FootnoteText"/>
        <w:rPr>
          <w:lang w:val="en-AU"/>
        </w:rPr>
      </w:pPr>
      <w:r>
        <w:rPr>
          <w:rStyle w:val="FootnoteReference"/>
        </w:rPr>
        <w:footnoteRef/>
      </w:r>
      <w:r>
        <w:t xml:space="preserve"> </w:t>
      </w:r>
      <w:r>
        <w:rPr>
          <w:lang w:val="en-AU"/>
        </w:rPr>
        <w:t>Companies Regulations, reg 86(3).</w:t>
      </w:r>
    </w:p>
  </w:footnote>
  <w:footnote w:id="21">
    <w:p w14:paraId="43CBE3C9" w14:textId="2E10FEC6" w:rsidR="00862D95" w:rsidRPr="00862D95" w:rsidRDefault="00862D95">
      <w:pPr>
        <w:pStyle w:val="FootnoteText"/>
        <w:rPr>
          <w:lang w:val="en-AU"/>
        </w:rPr>
      </w:pPr>
      <w:r>
        <w:rPr>
          <w:rStyle w:val="FootnoteReference"/>
        </w:rPr>
        <w:footnoteRef/>
      </w:r>
      <w:r>
        <w:t xml:space="preserve"> Guidance text, page</w:t>
      </w:r>
      <w:r w:rsidR="009459BD">
        <w:t>s</w:t>
      </w:r>
      <w:r>
        <w:t xml:space="preserve"> 40</w:t>
      </w:r>
      <w:r w:rsidR="009459BD">
        <w:t>-41</w:t>
      </w:r>
      <w:r>
        <w:t>.</w:t>
      </w:r>
    </w:p>
  </w:footnote>
  <w:footnote w:id="22">
    <w:p w14:paraId="7DC31041" w14:textId="7B45FC0E" w:rsidR="009459BD" w:rsidRPr="009459BD" w:rsidRDefault="009459BD">
      <w:pPr>
        <w:pStyle w:val="FootnoteText"/>
        <w:rPr>
          <w:lang w:val="en-AU"/>
        </w:rPr>
      </w:pPr>
      <w:r>
        <w:rPr>
          <w:rStyle w:val="FootnoteReference"/>
        </w:rPr>
        <w:footnoteRef/>
      </w:r>
      <w:r>
        <w:t xml:space="preserve"> Guidance text, pages 48-50.</w:t>
      </w:r>
    </w:p>
  </w:footnote>
  <w:footnote w:id="23">
    <w:p w14:paraId="5A43E231" w14:textId="2F70DAAF" w:rsidR="009459BD" w:rsidRPr="009459BD" w:rsidRDefault="009459BD">
      <w:pPr>
        <w:pStyle w:val="FootnoteText"/>
        <w:rPr>
          <w:lang w:val="en-AU"/>
        </w:rPr>
      </w:pPr>
      <w:r>
        <w:rPr>
          <w:rStyle w:val="FootnoteReference"/>
        </w:rPr>
        <w:footnoteRef/>
      </w:r>
      <w:r>
        <w:t xml:space="preserve"> </w:t>
      </w:r>
      <w:r>
        <w:rPr>
          <w:lang w:val="en-AU"/>
        </w:rPr>
        <w:t>Guidance text, page 48-49.</w:t>
      </w:r>
    </w:p>
  </w:footnote>
  <w:footnote w:id="24">
    <w:p w14:paraId="6C9C1C14" w14:textId="7E206EE4" w:rsidR="009459BD" w:rsidRPr="009459BD" w:rsidRDefault="009459BD">
      <w:pPr>
        <w:pStyle w:val="FootnoteText"/>
        <w:rPr>
          <w:lang w:val="en-AU"/>
        </w:rPr>
      </w:pPr>
      <w:r>
        <w:rPr>
          <w:rStyle w:val="FootnoteReference"/>
        </w:rPr>
        <w:footnoteRef/>
      </w:r>
      <w:r>
        <w:t xml:space="preserve"> </w:t>
      </w:r>
      <w:r>
        <w:rPr>
          <w:lang w:val="en-AU"/>
        </w:rPr>
        <w:t>Section 88 of the IRD Act.</w:t>
      </w:r>
    </w:p>
  </w:footnote>
  <w:footnote w:id="25">
    <w:p w14:paraId="06C8FB73" w14:textId="0E46BA68" w:rsidR="009459BD" w:rsidRPr="009459BD" w:rsidRDefault="009459BD">
      <w:pPr>
        <w:pStyle w:val="FootnoteText"/>
        <w:rPr>
          <w:lang w:val="en-AU"/>
        </w:rPr>
      </w:pPr>
      <w:r>
        <w:rPr>
          <w:rStyle w:val="FootnoteReference"/>
        </w:rPr>
        <w:footnoteRef/>
      </w:r>
      <w:r>
        <w:t xml:space="preserve"> </w:t>
      </w:r>
      <w:r>
        <w:rPr>
          <w:lang w:val="en-AU"/>
        </w:rPr>
        <w:t>Section 246 of the IRD Act.</w:t>
      </w:r>
    </w:p>
  </w:footnote>
  <w:footnote w:id="26">
    <w:p w14:paraId="73F0F3B9" w14:textId="6509084F" w:rsidR="009459BD" w:rsidRPr="009459BD" w:rsidRDefault="009459BD">
      <w:pPr>
        <w:pStyle w:val="FootnoteText"/>
        <w:rPr>
          <w:lang w:val="en-AU"/>
        </w:rPr>
      </w:pPr>
      <w:r>
        <w:rPr>
          <w:rStyle w:val="FootnoteReference"/>
        </w:rPr>
        <w:footnoteRef/>
      </w:r>
      <w:r>
        <w:t xml:space="preserve"> </w:t>
      </w:r>
      <w:r>
        <w:rPr>
          <w:lang w:val="en-AU"/>
        </w:rPr>
        <w:t>Guidance text, page</w:t>
      </w:r>
      <w:r w:rsidR="00C128BD">
        <w:rPr>
          <w:lang w:val="en-AU"/>
        </w:rPr>
        <w:t>s</w:t>
      </w:r>
      <w:r>
        <w:rPr>
          <w:lang w:val="en-AU"/>
        </w:rPr>
        <w:t xml:space="preserve"> </w:t>
      </w:r>
      <w:r w:rsidR="00C128BD">
        <w:rPr>
          <w:lang w:val="en-AU"/>
        </w:rPr>
        <w:t>50-51.</w:t>
      </w:r>
    </w:p>
  </w:footnote>
  <w:footnote w:id="27">
    <w:p w14:paraId="328BBFFF" w14:textId="0AE07C14" w:rsidR="00EA78A1" w:rsidRPr="00BB3B2A" w:rsidRDefault="00EA78A1" w:rsidP="00EA78A1">
      <w:pPr>
        <w:pStyle w:val="FootnoteText"/>
        <w:rPr>
          <w:lang w:val="en-AU"/>
        </w:rPr>
      </w:pPr>
      <w:r>
        <w:rPr>
          <w:rStyle w:val="FootnoteReference"/>
        </w:rPr>
        <w:footnoteRef/>
      </w:r>
      <w:r>
        <w:t xml:space="preserve"> </w:t>
      </w:r>
      <w:r>
        <w:rPr>
          <w:lang w:val="en-AU"/>
        </w:rPr>
        <w:t>Section 88 of the IRD Act. See also the guidance text, page 48.</w:t>
      </w:r>
    </w:p>
  </w:footnote>
  <w:footnote w:id="28">
    <w:p w14:paraId="7285B671" w14:textId="450233CE" w:rsidR="00EA78A1" w:rsidRPr="00EA78A1" w:rsidRDefault="00EA78A1">
      <w:pPr>
        <w:pStyle w:val="FootnoteText"/>
        <w:rPr>
          <w:lang w:val="en-AU"/>
        </w:rPr>
      </w:pPr>
      <w:r>
        <w:rPr>
          <w:rStyle w:val="FootnoteReference"/>
        </w:rPr>
        <w:footnoteRef/>
      </w:r>
      <w:r>
        <w:t xml:space="preserve"> </w:t>
      </w:r>
      <w:r>
        <w:rPr>
          <w:lang w:val="en-AU"/>
        </w:rPr>
        <w:t>Section 9(1) of the IRD Act.</w:t>
      </w:r>
    </w:p>
  </w:footnote>
  <w:footnote w:id="29">
    <w:p w14:paraId="07DC5E0A" w14:textId="103AB99D" w:rsidR="005E6893" w:rsidRPr="005E6893" w:rsidRDefault="005E6893">
      <w:pPr>
        <w:pStyle w:val="FootnoteText"/>
        <w:rPr>
          <w:lang w:val="en-AU"/>
        </w:rPr>
      </w:pPr>
      <w:r>
        <w:rPr>
          <w:rStyle w:val="FootnoteReference"/>
        </w:rPr>
        <w:footnoteRef/>
      </w:r>
      <w:r>
        <w:t xml:space="preserve"> </w:t>
      </w:r>
      <w:r>
        <w:rPr>
          <w:lang w:val="en-AU"/>
        </w:rPr>
        <w:t>Section 101(1) of the IRD Act.</w:t>
      </w:r>
    </w:p>
  </w:footnote>
  <w:footnote w:id="30">
    <w:p w14:paraId="361EB9F5" w14:textId="77777777" w:rsidR="005E6893" w:rsidRPr="00BB3B2A" w:rsidRDefault="005E6893" w:rsidP="005E6893">
      <w:pPr>
        <w:pStyle w:val="FootnoteText"/>
        <w:rPr>
          <w:lang w:val="en-AU"/>
        </w:rPr>
      </w:pPr>
      <w:r>
        <w:rPr>
          <w:rStyle w:val="FootnoteReference"/>
        </w:rPr>
        <w:footnoteRef/>
      </w:r>
      <w:r>
        <w:t xml:space="preserve"> </w:t>
      </w:r>
      <w:r>
        <w:rPr>
          <w:lang w:val="en-AU"/>
        </w:rPr>
        <w:t>Guidance text, page 54.</w:t>
      </w:r>
    </w:p>
  </w:footnote>
  <w:footnote w:id="31">
    <w:p w14:paraId="53D0CEC2" w14:textId="77777777" w:rsidR="005E6893" w:rsidRPr="00BB3B2A" w:rsidRDefault="005E6893" w:rsidP="005E6893">
      <w:pPr>
        <w:pStyle w:val="FootnoteText"/>
        <w:rPr>
          <w:lang w:val="en-AU"/>
        </w:rPr>
      </w:pPr>
      <w:r>
        <w:rPr>
          <w:rStyle w:val="FootnoteReference"/>
        </w:rPr>
        <w:footnoteRef/>
      </w:r>
      <w:r>
        <w:t xml:space="preserve"> </w:t>
      </w:r>
      <w:r>
        <w:rPr>
          <w:lang w:val="en-AU"/>
        </w:rPr>
        <w:t>Guidance text, page 55.</w:t>
      </w:r>
    </w:p>
  </w:footnote>
  <w:footnote w:id="32">
    <w:p w14:paraId="0D60E166" w14:textId="3F647811" w:rsidR="00E54A3E" w:rsidRPr="00E54A3E" w:rsidRDefault="00E54A3E">
      <w:pPr>
        <w:pStyle w:val="FootnoteText"/>
        <w:rPr>
          <w:lang w:val="en-AU"/>
        </w:rPr>
      </w:pPr>
      <w:r>
        <w:rPr>
          <w:rStyle w:val="FootnoteReference"/>
        </w:rPr>
        <w:footnoteRef/>
      </w:r>
      <w:r>
        <w:t xml:space="preserve"> </w:t>
      </w:r>
      <w:r>
        <w:rPr>
          <w:lang w:val="en-AU"/>
        </w:rPr>
        <w:t>Section 94(3)(g) of the IRD Act.</w:t>
      </w:r>
    </w:p>
  </w:footnote>
  <w:footnote w:id="33">
    <w:p w14:paraId="3D5A467B" w14:textId="0BC822E2" w:rsidR="00E54A3E" w:rsidRPr="00E54A3E" w:rsidRDefault="00E54A3E">
      <w:pPr>
        <w:pStyle w:val="FootnoteText"/>
        <w:rPr>
          <w:lang w:val="en-AU"/>
        </w:rPr>
      </w:pPr>
      <w:r>
        <w:rPr>
          <w:rStyle w:val="FootnoteReference"/>
        </w:rPr>
        <w:footnoteRef/>
      </w:r>
      <w:r>
        <w:t xml:space="preserve"> </w:t>
      </w:r>
      <w:r>
        <w:rPr>
          <w:lang w:val="en-AU"/>
        </w:rPr>
        <w:t>Section 94(2) of the IRD Act.</w:t>
      </w:r>
    </w:p>
  </w:footnote>
  <w:footnote w:id="34">
    <w:p w14:paraId="577A86ED" w14:textId="41AAD737" w:rsidR="00E54A3E" w:rsidRPr="00E54A3E" w:rsidRDefault="00E54A3E">
      <w:pPr>
        <w:pStyle w:val="FootnoteText"/>
        <w:rPr>
          <w:lang w:val="en-AU"/>
        </w:rPr>
      </w:pPr>
      <w:r>
        <w:rPr>
          <w:rStyle w:val="FootnoteReference"/>
        </w:rPr>
        <w:footnoteRef/>
      </w:r>
      <w:r>
        <w:t xml:space="preserve"> </w:t>
      </w:r>
      <w:r>
        <w:rPr>
          <w:lang w:val="en-AU"/>
        </w:rPr>
        <w:t>Section 94(3)(a) of the IRD Act.</w:t>
      </w:r>
    </w:p>
  </w:footnote>
  <w:footnote w:id="35">
    <w:p w14:paraId="0ABE94A8" w14:textId="08EF6556" w:rsidR="00E54A3E" w:rsidRPr="00E54A3E" w:rsidRDefault="00E54A3E">
      <w:pPr>
        <w:pStyle w:val="FootnoteText"/>
        <w:rPr>
          <w:lang w:val="en-AU"/>
        </w:rPr>
      </w:pPr>
      <w:r>
        <w:rPr>
          <w:rStyle w:val="FootnoteReference"/>
        </w:rPr>
        <w:footnoteRef/>
      </w:r>
      <w:r>
        <w:t xml:space="preserve"> </w:t>
      </w:r>
      <w:r>
        <w:rPr>
          <w:lang w:val="en-AU"/>
        </w:rPr>
        <w:t>Section 94(3)(c) of the IRD Act.</w:t>
      </w:r>
    </w:p>
  </w:footnote>
  <w:footnote w:id="36">
    <w:p w14:paraId="4D40C8AF" w14:textId="0D9FB765" w:rsidR="00E54A3E" w:rsidRPr="00E54A3E" w:rsidRDefault="00E54A3E">
      <w:pPr>
        <w:pStyle w:val="FootnoteText"/>
        <w:rPr>
          <w:lang w:val="en-AU"/>
        </w:rPr>
      </w:pPr>
      <w:r>
        <w:rPr>
          <w:rStyle w:val="FootnoteReference"/>
        </w:rPr>
        <w:footnoteRef/>
      </w:r>
      <w:r>
        <w:t xml:space="preserve"> </w:t>
      </w:r>
      <w:r>
        <w:rPr>
          <w:lang w:val="en-AU"/>
        </w:rPr>
        <w:t>Sections 94(3)(d) and 94(3)(e) of the IRD Act.</w:t>
      </w:r>
    </w:p>
  </w:footnote>
  <w:footnote w:id="37">
    <w:p w14:paraId="12EFF2D0" w14:textId="2C49534D" w:rsidR="00E54A3E" w:rsidRPr="00E54A3E" w:rsidRDefault="00E54A3E">
      <w:pPr>
        <w:pStyle w:val="FootnoteText"/>
        <w:rPr>
          <w:lang w:val="en-AU"/>
        </w:rPr>
      </w:pPr>
      <w:r>
        <w:rPr>
          <w:rStyle w:val="FootnoteReference"/>
        </w:rPr>
        <w:footnoteRef/>
      </w:r>
      <w:r>
        <w:t xml:space="preserve"> </w:t>
      </w:r>
      <w:r>
        <w:rPr>
          <w:lang w:val="en-AU"/>
        </w:rPr>
        <w:t>Section 94(3)(f) of the IRD Act.</w:t>
      </w:r>
    </w:p>
  </w:footnote>
  <w:footnote w:id="38">
    <w:p w14:paraId="535AE80B" w14:textId="56BADEA5" w:rsidR="00D84218" w:rsidRPr="00D84218" w:rsidRDefault="00D84218">
      <w:pPr>
        <w:pStyle w:val="FootnoteText"/>
        <w:rPr>
          <w:lang w:val="en-AU"/>
        </w:rPr>
      </w:pPr>
      <w:r>
        <w:rPr>
          <w:rStyle w:val="FootnoteReference"/>
        </w:rPr>
        <w:footnoteRef/>
      </w:r>
      <w:r>
        <w:t xml:space="preserve"> </w:t>
      </w:r>
      <w:r>
        <w:rPr>
          <w:lang w:val="en-AU"/>
        </w:rPr>
        <w:t>Section 88 of the IRD Act.</w:t>
      </w:r>
    </w:p>
  </w:footnote>
  <w:footnote w:id="39">
    <w:p w14:paraId="084B45C8" w14:textId="72D327AC" w:rsidR="00D84218" w:rsidRPr="00D84218" w:rsidRDefault="00D84218">
      <w:pPr>
        <w:pStyle w:val="FootnoteText"/>
        <w:rPr>
          <w:lang w:val="en-AU"/>
        </w:rPr>
      </w:pPr>
      <w:r>
        <w:rPr>
          <w:rStyle w:val="FootnoteReference"/>
        </w:rPr>
        <w:footnoteRef/>
      </w:r>
      <w:r>
        <w:t xml:space="preserve"> </w:t>
      </w:r>
      <w:r>
        <w:rPr>
          <w:lang w:val="en-AU"/>
        </w:rPr>
        <w:t>Section 246 of the IRD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440A"/>
    <w:multiLevelType w:val="hybridMultilevel"/>
    <w:tmpl w:val="DCFC5B94"/>
    <w:lvl w:ilvl="0" w:tplc="B602EF02">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09A1D35"/>
    <w:multiLevelType w:val="hybridMultilevel"/>
    <w:tmpl w:val="22382940"/>
    <w:lvl w:ilvl="0" w:tplc="A88466B2">
      <w:start w:val="1"/>
      <w:numFmt w:val="bullet"/>
      <w:lvlText w:val=""/>
      <w:lvlJc w:val="left"/>
      <w:pPr>
        <w:ind w:left="360" w:hanging="360"/>
      </w:pPr>
      <w:rPr>
        <w:rFonts w:ascii="Symbol" w:eastAsia="Times New Roman" w:hAnsi="Symbol" w:cs="Arial" w:hint="default"/>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3"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5" w15:restartNumberingAfterBreak="0">
    <w:nsid w:val="21783D8E"/>
    <w:multiLevelType w:val="hybridMultilevel"/>
    <w:tmpl w:val="5546E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B07BBA"/>
    <w:multiLevelType w:val="hybridMultilevel"/>
    <w:tmpl w:val="1B1A3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9"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3"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0150426"/>
    <w:multiLevelType w:val="hybridMultilevel"/>
    <w:tmpl w:val="9E02619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6" w15:restartNumberingAfterBreak="0">
    <w:nsid w:val="5D892ABC"/>
    <w:multiLevelType w:val="hybridMultilevel"/>
    <w:tmpl w:val="14043A10"/>
    <w:lvl w:ilvl="0" w:tplc="A9A6D586">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DB58E1"/>
    <w:multiLevelType w:val="hybridMultilevel"/>
    <w:tmpl w:val="516C1E0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1123884864">
    <w:abstractNumId w:val="3"/>
  </w:num>
  <w:num w:numId="2" w16cid:durableId="1858347410">
    <w:abstractNumId w:val="9"/>
  </w:num>
  <w:num w:numId="3" w16cid:durableId="434793661">
    <w:abstractNumId w:val="24"/>
  </w:num>
  <w:num w:numId="4" w16cid:durableId="1192763843">
    <w:abstractNumId w:val="4"/>
  </w:num>
  <w:num w:numId="5" w16cid:durableId="1180003607">
    <w:abstractNumId w:val="21"/>
  </w:num>
  <w:num w:numId="6" w16cid:durableId="257523390">
    <w:abstractNumId w:val="22"/>
  </w:num>
  <w:num w:numId="7" w16cid:durableId="1748726735">
    <w:abstractNumId w:val="7"/>
  </w:num>
  <w:num w:numId="8" w16cid:durableId="510147685">
    <w:abstractNumId w:val="20"/>
  </w:num>
  <w:num w:numId="9" w16cid:durableId="1985041124">
    <w:abstractNumId w:val="10"/>
  </w:num>
  <w:num w:numId="10" w16cid:durableId="1354110675">
    <w:abstractNumId w:val="11"/>
  </w:num>
  <w:num w:numId="11" w16cid:durableId="565722290">
    <w:abstractNumId w:val="2"/>
  </w:num>
  <w:num w:numId="12" w16cid:durableId="2050110506">
    <w:abstractNumId w:val="12"/>
  </w:num>
  <w:num w:numId="13" w16cid:durableId="943653347">
    <w:abstractNumId w:val="8"/>
  </w:num>
  <w:num w:numId="14" w16cid:durableId="64568051">
    <w:abstractNumId w:val="17"/>
  </w:num>
  <w:num w:numId="15" w16cid:durableId="1473984250">
    <w:abstractNumId w:val="13"/>
  </w:num>
  <w:num w:numId="16" w16cid:durableId="276378628">
    <w:abstractNumId w:val="15"/>
  </w:num>
  <w:num w:numId="17" w16cid:durableId="1607149491">
    <w:abstractNumId w:val="19"/>
  </w:num>
  <w:num w:numId="18" w16cid:durableId="1718697177">
    <w:abstractNumId w:val="18"/>
  </w:num>
  <w:num w:numId="19" w16cid:durableId="2106487602">
    <w:abstractNumId w:val="6"/>
  </w:num>
  <w:num w:numId="20" w16cid:durableId="1028094688">
    <w:abstractNumId w:val="5"/>
  </w:num>
  <w:num w:numId="21" w16cid:durableId="1129782278">
    <w:abstractNumId w:val="1"/>
  </w:num>
  <w:num w:numId="22" w16cid:durableId="864027069">
    <w:abstractNumId w:val="16"/>
  </w:num>
  <w:num w:numId="23" w16cid:durableId="1652975974">
    <w:abstractNumId w:val="14"/>
  </w:num>
  <w:num w:numId="24" w16cid:durableId="1576936602">
    <w:abstractNumId w:val="0"/>
  </w:num>
  <w:num w:numId="25" w16cid:durableId="527794081">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46"/>
    <w:rsid w:val="00025872"/>
    <w:rsid w:val="00026897"/>
    <w:rsid w:val="00026F16"/>
    <w:rsid w:val="00031603"/>
    <w:rsid w:val="000329AF"/>
    <w:rsid w:val="000358E5"/>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31FC"/>
    <w:rsid w:val="00053A36"/>
    <w:rsid w:val="000548DC"/>
    <w:rsid w:val="000627E0"/>
    <w:rsid w:val="00065166"/>
    <w:rsid w:val="00067160"/>
    <w:rsid w:val="00067C67"/>
    <w:rsid w:val="0007191F"/>
    <w:rsid w:val="00073992"/>
    <w:rsid w:val="00075AA9"/>
    <w:rsid w:val="00076686"/>
    <w:rsid w:val="00076AC5"/>
    <w:rsid w:val="0007787B"/>
    <w:rsid w:val="00080F56"/>
    <w:rsid w:val="00081808"/>
    <w:rsid w:val="00081984"/>
    <w:rsid w:val="00082016"/>
    <w:rsid w:val="00082609"/>
    <w:rsid w:val="000851CC"/>
    <w:rsid w:val="00086F43"/>
    <w:rsid w:val="00087303"/>
    <w:rsid w:val="00087F21"/>
    <w:rsid w:val="00091826"/>
    <w:rsid w:val="00093BE8"/>
    <w:rsid w:val="0009401D"/>
    <w:rsid w:val="000940F4"/>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5AD9"/>
    <w:rsid w:val="000D6327"/>
    <w:rsid w:val="000D6339"/>
    <w:rsid w:val="000D65DB"/>
    <w:rsid w:val="000D6963"/>
    <w:rsid w:val="000E13F7"/>
    <w:rsid w:val="000E4841"/>
    <w:rsid w:val="000E4FA3"/>
    <w:rsid w:val="000F1677"/>
    <w:rsid w:val="000F1FFD"/>
    <w:rsid w:val="000F3D6C"/>
    <w:rsid w:val="000F3F76"/>
    <w:rsid w:val="000F708F"/>
    <w:rsid w:val="00100A09"/>
    <w:rsid w:val="001010E3"/>
    <w:rsid w:val="00101707"/>
    <w:rsid w:val="0010170D"/>
    <w:rsid w:val="00102CC9"/>
    <w:rsid w:val="001037C8"/>
    <w:rsid w:val="0010593A"/>
    <w:rsid w:val="00111F83"/>
    <w:rsid w:val="00113522"/>
    <w:rsid w:val="00113AA1"/>
    <w:rsid w:val="0011473D"/>
    <w:rsid w:val="00115C85"/>
    <w:rsid w:val="001163B2"/>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452A"/>
    <w:rsid w:val="00186035"/>
    <w:rsid w:val="00186F3A"/>
    <w:rsid w:val="00190CF7"/>
    <w:rsid w:val="00191387"/>
    <w:rsid w:val="00195644"/>
    <w:rsid w:val="001966D9"/>
    <w:rsid w:val="001A007A"/>
    <w:rsid w:val="001A02F7"/>
    <w:rsid w:val="001A0ABE"/>
    <w:rsid w:val="001A2205"/>
    <w:rsid w:val="001A2441"/>
    <w:rsid w:val="001A27E8"/>
    <w:rsid w:val="001A512B"/>
    <w:rsid w:val="001A7E9A"/>
    <w:rsid w:val="001B0F70"/>
    <w:rsid w:val="001B165B"/>
    <w:rsid w:val="001B3956"/>
    <w:rsid w:val="001B3AEE"/>
    <w:rsid w:val="001B462C"/>
    <w:rsid w:val="001B5016"/>
    <w:rsid w:val="001B5D64"/>
    <w:rsid w:val="001B5DC2"/>
    <w:rsid w:val="001C04CD"/>
    <w:rsid w:val="001C1FE0"/>
    <w:rsid w:val="001C2AC2"/>
    <w:rsid w:val="001C34B4"/>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2899"/>
    <w:rsid w:val="001F52A0"/>
    <w:rsid w:val="001F7412"/>
    <w:rsid w:val="001F7FCF"/>
    <w:rsid w:val="0020090A"/>
    <w:rsid w:val="00200FB6"/>
    <w:rsid w:val="00201840"/>
    <w:rsid w:val="00202DFE"/>
    <w:rsid w:val="0020537C"/>
    <w:rsid w:val="00205DC8"/>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587E"/>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8AD"/>
    <w:rsid w:val="00293C84"/>
    <w:rsid w:val="002942A6"/>
    <w:rsid w:val="0029433F"/>
    <w:rsid w:val="00294829"/>
    <w:rsid w:val="00295646"/>
    <w:rsid w:val="0029690F"/>
    <w:rsid w:val="00297C8A"/>
    <w:rsid w:val="002A29B0"/>
    <w:rsid w:val="002A2A60"/>
    <w:rsid w:val="002A37BB"/>
    <w:rsid w:val="002A3B3B"/>
    <w:rsid w:val="002A6E48"/>
    <w:rsid w:val="002B1C45"/>
    <w:rsid w:val="002B1F24"/>
    <w:rsid w:val="002B5711"/>
    <w:rsid w:val="002B6E91"/>
    <w:rsid w:val="002B725E"/>
    <w:rsid w:val="002C0DAA"/>
    <w:rsid w:val="002C13C8"/>
    <w:rsid w:val="002C1EC5"/>
    <w:rsid w:val="002C2B46"/>
    <w:rsid w:val="002C2FDA"/>
    <w:rsid w:val="002C3547"/>
    <w:rsid w:val="002C47C0"/>
    <w:rsid w:val="002C5EF6"/>
    <w:rsid w:val="002C69B4"/>
    <w:rsid w:val="002D0021"/>
    <w:rsid w:val="002D1232"/>
    <w:rsid w:val="002D299D"/>
    <w:rsid w:val="002D3473"/>
    <w:rsid w:val="002D427E"/>
    <w:rsid w:val="002D4943"/>
    <w:rsid w:val="002E00E5"/>
    <w:rsid w:val="002E1A20"/>
    <w:rsid w:val="002E3CEB"/>
    <w:rsid w:val="002F1956"/>
    <w:rsid w:val="002F3440"/>
    <w:rsid w:val="002F46C8"/>
    <w:rsid w:val="002F75A3"/>
    <w:rsid w:val="002F7711"/>
    <w:rsid w:val="00303C2F"/>
    <w:rsid w:val="00305E53"/>
    <w:rsid w:val="003067CD"/>
    <w:rsid w:val="00307C79"/>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42C"/>
    <w:rsid w:val="003D16C4"/>
    <w:rsid w:val="003D3048"/>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EDA"/>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3658"/>
    <w:rsid w:val="00454113"/>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DFB"/>
    <w:rsid w:val="004C5A9F"/>
    <w:rsid w:val="004D0603"/>
    <w:rsid w:val="004D17F6"/>
    <w:rsid w:val="004D1A5A"/>
    <w:rsid w:val="004D1DE3"/>
    <w:rsid w:val="004D2090"/>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CF9"/>
    <w:rsid w:val="004F0EDA"/>
    <w:rsid w:val="004F3A8D"/>
    <w:rsid w:val="004F5FDF"/>
    <w:rsid w:val="00500ADE"/>
    <w:rsid w:val="00500FDE"/>
    <w:rsid w:val="00502C57"/>
    <w:rsid w:val="00503068"/>
    <w:rsid w:val="00504629"/>
    <w:rsid w:val="00504765"/>
    <w:rsid w:val="005054A9"/>
    <w:rsid w:val="00506B49"/>
    <w:rsid w:val="00506C3F"/>
    <w:rsid w:val="005076E4"/>
    <w:rsid w:val="00515C35"/>
    <w:rsid w:val="005177FE"/>
    <w:rsid w:val="0052263B"/>
    <w:rsid w:val="005235A0"/>
    <w:rsid w:val="0052366A"/>
    <w:rsid w:val="00524728"/>
    <w:rsid w:val="00532F16"/>
    <w:rsid w:val="005331CA"/>
    <w:rsid w:val="00533B9E"/>
    <w:rsid w:val="005356BF"/>
    <w:rsid w:val="00537970"/>
    <w:rsid w:val="00540E3A"/>
    <w:rsid w:val="00542882"/>
    <w:rsid w:val="00544127"/>
    <w:rsid w:val="005463A9"/>
    <w:rsid w:val="0054663F"/>
    <w:rsid w:val="00547499"/>
    <w:rsid w:val="00547A77"/>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272A"/>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6893"/>
    <w:rsid w:val="005E7008"/>
    <w:rsid w:val="005F026D"/>
    <w:rsid w:val="005F25A8"/>
    <w:rsid w:val="005F2AEA"/>
    <w:rsid w:val="005F2D0B"/>
    <w:rsid w:val="005F4B31"/>
    <w:rsid w:val="005F53AD"/>
    <w:rsid w:val="005F643C"/>
    <w:rsid w:val="005F7B12"/>
    <w:rsid w:val="005F7B9A"/>
    <w:rsid w:val="00600529"/>
    <w:rsid w:val="00601D70"/>
    <w:rsid w:val="0060450F"/>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6ACA"/>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6C92"/>
    <w:rsid w:val="00747162"/>
    <w:rsid w:val="007537B8"/>
    <w:rsid w:val="00754BBC"/>
    <w:rsid w:val="00756C74"/>
    <w:rsid w:val="007603F5"/>
    <w:rsid w:val="007620D0"/>
    <w:rsid w:val="007637DE"/>
    <w:rsid w:val="00764DB0"/>
    <w:rsid w:val="00765A8B"/>
    <w:rsid w:val="00765AE9"/>
    <w:rsid w:val="0076764D"/>
    <w:rsid w:val="0077498C"/>
    <w:rsid w:val="00775BCC"/>
    <w:rsid w:val="0077686D"/>
    <w:rsid w:val="007809BC"/>
    <w:rsid w:val="00784128"/>
    <w:rsid w:val="00784E1E"/>
    <w:rsid w:val="00785C03"/>
    <w:rsid w:val="00785FE5"/>
    <w:rsid w:val="00786E84"/>
    <w:rsid w:val="007875E5"/>
    <w:rsid w:val="00787A23"/>
    <w:rsid w:val="00787BCC"/>
    <w:rsid w:val="00792E0B"/>
    <w:rsid w:val="00793173"/>
    <w:rsid w:val="0079455A"/>
    <w:rsid w:val="00796E9A"/>
    <w:rsid w:val="00796F12"/>
    <w:rsid w:val="00796FC9"/>
    <w:rsid w:val="007978EC"/>
    <w:rsid w:val="007A15CC"/>
    <w:rsid w:val="007A1C65"/>
    <w:rsid w:val="007A2831"/>
    <w:rsid w:val="007A2A33"/>
    <w:rsid w:val="007A4DDD"/>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07F"/>
    <w:rsid w:val="007D4A65"/>
    <w:rsid w:val="007D63C5"/>
    <w:rsid w:val="007D6C96"/>
    <w:rsid w:val="007D6DF1"/>
    <w:rsid w:val="007D7C92"/>
    <w:rsid w:val="007E042D"/>
    <w:rsid w:val="007E1154"/>
    <w:rsid w:val="007E3C8F"/>
    <w:rsid w:val="007E54A1"/>
    <w:rsid w:val="007E66FD"/>
    <w:rsid w:val="007E6BA4"/>
    <w:rsid w:val="007E70EC"/>
    <w:rsid w:val="007F1022"/>
    <w:rsid w:val="007F1A39"/>
    <w:rsid w:val="007F39A0"/>
    <w:rsid w:val="007F41F8"/>
    <w:rsid w:val="007F48BB"/>
    <w:rsid w:val="007F4E1E"/>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1074"/>
    <w:rsid w:val="008415BE"/>
    <w:rsid w:val="0084282E"/>
    <w:rsid w:val="00844879"/>
    <w:rsid w:val="008504EE"/>
    <w:rsid w:val="00851B6A"/>
    <w:rsid w:val="0085270E"/>
    <w:rsid w:val="00855F61"/>
    <w:rsid w:val="008619A1"/>
    <w:rsid w:val="00862D95"/>
    <w:rsid w:val="00864762"/>
    <w:rsid w:val="008648D2"/>
    <w:rsid w:val="0086705F"/>
    <w:rsid w:val="00867701"/>
    <w:rsid w:val="008723F3"/>
    <w:rsid w:val="00874FFA"/>
    <w:rsid w:val="00875427"/>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27CE4"/>
    <w:rsid w:val="009309A0"/>
    <w:rsid w:val="009310A2"/>
    <w:rsid w:val="009314AD"/>
    <w:rsid w:val="00931E20"/>
    <w:rsid w:val="00940120"/>
    <w:rsid w:val="0094117F"/>
    <w:rsid w:val="00942123"/>
    <w:rsid w:val="009434CB"/>
    <w:rsid w:val="009459BD"/>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1ED1"/>
    <w:rsid w:val="00982B1B"/>
    <w:rsid w:val="00983761"/>
    <w:rsid w:val="00985477"/>
    <w:rsid w:val="009854E0"/>
    <w:rsid w:val="00985BF5"/>
    <w:rsid w:val="00986233"/>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C6EB8"/>
    <w:rsid w:val="009D0811"/>
    <w:rsid w:val="009D0EE1"/>
    <w:rsid w:val="009D1139"/>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292F"/>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17D"/>
    <w:rsid w:val="00A6627C"/>
    <w:rsid w:val="00A7023F"/>
    <w:rsid w:val="00A71019"/>
    <w:rsid w:val="00A764B9"/>
    <w:rsid w:val="00A7673A"/>
    <w:rsid w:val="00A76786"/>
    <w:rsid w:val="00A77FB4"/>
    <w:rsid w:val="00A80144"/>
    <w:rsid w:val="00A81029"/>
    <w:rsid w:val="00A82010"/>
    <w:rsid w:val="00A845F5"/>
    <w:rsid w:val="00A85685"/>
    <w:rsid w:val="00A86EA2"/>
    <w:rsid w:val="00A93FD4"/>
    <w:rsid w:val="00A96489"/>
    <w:rsid w:val="00AA0ADB"/>
    <w:rsid w:val="00AA4EEA"/>
    <w:rsid w:val="00AA50B6"/>
    <w:rsid w:val="00AA67A8"/>
    <w:rsid w:val="00AA684C"/>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0BC"/>
    <w:rsid w:val="00AE1A12"/>
    <w:rsid w:val="00AE1DA9"/>
    <w:rsid w:val="00AE3DA8"/>
    <w:rsid w:val="00AE5EB6"/>
    <w:rsid w:val="00AF02E5"/>
    <w:rsid w:val="00AF195B"/>
    <w:rsid w:val="00AF228E"/>
    <w:rsid w:val="00AF4CE5"/>
    <w:rsid w:val="00B016A8"/>
    <w:rsid w:val="00B05601"/>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3933"/>
    <w:rsid w:val="00B64929"/>
    <w:rsid w:val="00B66E53"/>
    <w:rsid w:val="00B6780F"/>
    <w:rsid w:val="00B71885"/>
    <w:rsid w:val="00B71BE6"/>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1E0"/>
    <w:rsid w:val="00BA4CAA"/>
    <w:rsid w:val="00BA4D0F"/>
    <w:rsid w:val="00BA4E28"/>
    <w:rsid w:val="00BA70DA"/>
    <w:rsid w:val="00BB0E34"/>
    <w:rsid w:val="00BB0E4B"/>
    <w:rsid w:val="00BB0F2B"/>
    <w:rsid w:val="00BB244E"/>
    <w:rsid w:val="00BB37F6"/>
    <w:rsid w:val="00BB3B2A"/>
    <w:rsid w:val="00BB3EC9"/>
    <w:rsid w:val="00BB7DFD"/>
    <w:rsid w:val="00BC24AD"/>
    <w:rsid w:val="00BC56F4"/>
    <w:rsid w:val="00BC6005"/>
    <w:rsid w:val="00BC7AD4"/>
    <w:rsid w:val="00BD3F78"/>
    <w:rsid w:val="00BD4A3D"/>
    <w:rsid w:val="00BD545E"/>
    <w:rsid w:val="00BD5C7A"/>
    <w:rsid w:val="00BE4005"/>
    <w:rsid w:val="00BE4FF3"/>
    <w:rsid w:val="00BF1E73"/>
    <w:rsid w:val="00BF2335"/>
    <w:rsid w:val="00BF499E"/>
    <w:rsid w:val="00BF49E3"/>
    <w:rsid w:val="00BF50F7"/>
    <w:rsid w:val="00BF7606"/>
    <w:rsid w:val="00C0252A"/>
    <w:rsid w:val="00C02F29"/>
    <w:rsid w:val="00C03A89"/>
    <w:rsid w:val="00C03B69"/>
    <w:rsid w:val="00C03ED0"/>
    <w:rsid w:val="00C100C3"/>
    <w:rsid w:val="00C128BD"/>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00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712A"/>
    <w:rsid w:val="00C902C8"/>
    <w:rsid w:val="00C919D1"/>
    <w:rsid w:val="00C95696"/>
    <w:rsid w:val="00C963D3"/>
    <w:rsid w:val="00CA254C"/>
    <w:rsid w:val="00CA7B50"/>
    <w:rsid w:val="00CB1983"/>
    <w:rsid w:val="00CB2CBB"/>
    <w:rsid w:val="00CB6BB0"/>
    <w:rsid w:val="00CB6CCB"/>
    <w:rsid w:val="00CB729F"/>
    <w:rsid w:val="00CB75C5"/>
    <w:rsid w:val="00CB7CAC"/>
    <w:rsid w:val="00CC4C50"/>
    <w:rsid w:val="00CC5335"/>
    <w:rsid w:val="00CC5451"/>
    <w:rsid w:val="00CC5BA4"/>
    <w:rsid w:val="00CC6F73"/>
    <w:rsid w:val="00CD338E"/>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2362"/>
    <w:rsid w:val="00D23C70"/>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602E"/>
    <w:rsid w:val="00D8393A"/>
    <w:rsid w:val="00D84218"/>
    <w:rsid w:val="00D84752"/>
    <w:rsid w:val="00D85481"/>
    <w:rsid w:val="00D86B3B"/>
    <w:rsid w:val="00D8745B"/>
    <w:rsid w:val="00D8748A"/>
    <w:rsid w:val="00D9104B"/>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3984"/>
    <w:rsid w:val="00DC4420"/>
    <w:rsid w:val="00DD0802"/>
    <w:rsid w:val="00DD1465"/>
    <w:rsid w:val="00DD2E11"/>
    <w:rsid w:val="00DD40CD"/>
    <w:rsid w:val="00DD6BB5"/>
    <w:rsid w:val="00DE03AF"/>
    <w:rsid w:val="00DE05BA"/>
    <w:rsid w:val="00DE121C"/>
    <w:rsid w:val="00DE34A9"/>
    <w:rsid w:val="00DE366A"/>
    <w:rsid w:val="00DE4387"/>
    <w:rsid w:val="00DE498F"/>
    <w:rsid w:val="00DE6633"/>
    <w:rsid w:val="00DE6A6E"/>
    <w:rsid w:val="00DE7516"/>
    <w:rsid w:val="00DF1875"/>
    <w:rsid w:val="00DF2D3C"/>
    <w:rsid w:val="00DF3293"/>
    <w:rsid w:val="00DF4B6C"/>
    <w:rsid w:val="00DF75F8"/>
    <w:rsid w:val="00DF7A3A"/>
    <w:rsid w:val="00E00A0F"/>
    <w:rsid w:val="00E00C00"/>
    <w:rsid w:val="00E01304"/>
    <w:rsid w:val="00E04B79"/>
    <w:rsid w:val="00E07C5A"/>
    <w:rsid w:val="00E15215"/>
    <w:rsid w:val="00E159ED"/>
    <w:rsid w:val="00E15B75"/>
    <w:rsid w:val="00E15BA9"/>
    <w:rsid w:val="00E15F1C"/>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50A4"/>
    <w:rsid w:val="00E46C58"/>
    <w:rsid w:val="00E47E5C"/>
    <w:rsid w:val="00E506BE"/>
    <w:rsid w:val="00E53003"/>
    <w:rsid w:val="00E548AC"/>
    <w:rsid w:val="00E549D8"/>
    <w:rsid w:val="00E54A3E"/>
    <w:rsid w:val="00E55547"/>
    <w:rsid w:val="00E56D74"/>
    <w:rsid w:val="00E62FE8"/>
    <w:rsid w:val="00E6302B"/>
    <w:rsid w:val="00E631C5"/>
    <w:rsid w:val="00E6452F"/>
    <w:rsid w:val="00E64F45"/>
    <w:rsid w:val="00E6742D"/>
    <w:rsid w:val="00E71CB0"/>
    <w:rsid w:val="00E73FB9"/>
    <w:rsid w:val="00E750D0"/>
    <w:rsid w:val="00E7629A"/>
    <w:rsid w:val="00E77C3D"/>
    <w:rsid w:val="00E8240E"/>
    <w:rsid w:val="00E85922"/>
    <w:rsid w:val="00E90971"/>
    <w:rsid w:val="00E90991"/>
    <w:rsid w:val="00E909F0"/>
    <w:rsid w:val="00E90D47"/>
    <w:rsid w:val="00E91FAB"/>
    <w:rsid w:val="00E93993"/>
    <w:rsid w:val="00E9426A"/>
    <w:rsid w:val="00E9451A"/>
    <w:rsid w:val="00E94BBA"/>
    <w:rsid w:val="00E9597C"/>
    <w:rsid w:val="00E96283"/>
    <w:rsid w:val="00EA062B"/>
    <w:rsid w:val="00EA06DA"/>
    <w:rsid w:val="00EA0913"/>
    <w:rsid w:val="00EA1069"/>
    <w:rsid w:val="00EA1179"/>
    <w:rsid w:val="00EA4B1E"/>
    <w:rsid w:val="00EA5B00"/>
    <w:rsid w:val="00EA6D87"/>
    <w:rsid w:val="00EA78A1"/>
    <w:rsid w:val="00EB146B"/>
    <w:rsid w:val="00EB2A16"/>
    <w:rsid w:val="00EB31B0"/>
    <w:rsid w:val="00EB421B"/>
    <w:rsid w:val="00EB45AC"/>
    <w:rsid w:val="00EB77AD"/>
    <w:rsid w:val="00EC10DE"/>
    <w:rsid w:val="00EC1E6D"/>
    <w:rsid w:val="00EC388D"/>
    <w:rsid w:val="00EC441F"/>
    <w:rsid w:val="00EC4755"/>
    <w:rsid w:val="00ED0445"/>
    <w:rsid w:val="00ED0BC4"/>
    <w:rsid w:val="00ED2492"/>
    <w:rsid w:val="00ED3A06"/>
    <w:rsid w:val="00ED447D"/>
    <w:rsid w:val="00ED4B4D"/>
    <w:rsid w:val="00ED6085"/>
    <w:rsid w:val="00EE00AC"/>
    <w:rsid w:val="00EE0481"/>
    <w:rsid w:val="00EE062F"/>
    <w:rsid w:val="00EE1A0C"/>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C97"/>
    <w:rsid w:val="00F43F7A"/>
    <w:rsid w:val="00F47A63"/>
    <w:rsid w:val="00F51F75"/>
    <w:rsid w:val="00F5524B"/>
    <w:rsid w:val="00F60538"/>
    <w:rsid w:val="00F60FDF"/>
    <w:rsid w:val="00F61DD2"/>
    <w:rsid w:val="00F648DF"/>
    <w:rsid w:val="00F66AFF"/>
    <w:rsid w:val="00F67DAD"/>
    <w:rsid w:val="00F67EA8"/>
    <w:rsid w:val="00F70573"/>
    <w:rsid w:val="00F70C5D"/>
    <w:rsid w:val="00F71433"/>
    <w:rsid w:val="00F71568"/>
    <w:rsid w:val="00F7160A"/>
    <w:rsid w:val="00F7423D"/>
    <w:rsid w:val="00F76CBA"/>
    <w:rsid w:val="00F814B1"/>
    <w:rsid w:val="00F83DBA"/>
    <w:rsid w:val="00F840B2"/>
    <w:rsid w:val="00F85679"/>
    <w:rsid w:val="00F8668C"/>
    <w:rsid w:val="00F90C34"/>
    <w:rsid w:val="00F93E2A"/>
    <w:rsid w:val="00F95410"/>
    <w:rsid w:val="00F97C5B"/>
    <w:rsid w:val="00FA2EAC"/>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 w:type="table" w:styleId="TableGrid">
    <w:name w:val="Table Grid"/>
    <w:basedOn w:val="TableNormal"/>
    <w:uiPriority w:val="39"/>
    <w:rsid w:val="0086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13</Pages>
  <Words>3313</Words>
  <Characters>18888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Matthew Hudson</cp:lastModifiedBy>
  <cp:revision>11</cp:revision>
  <cp:lastPrinted>2019-08-27T05:42:00Z</cp:lastPrinted>
  <dcterms:created xsi:type="dcterms:W3CDTF">2022-12-08T09:03:00Z</dcterms:created>
  <dcterms:modified xsi:type="dcterms:W3CDTF">2023-07-31T20:40:00Z</dcterms:modified>
</cp:coreProperties>
</file>