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“student</w:t>
      </w:r>
      <w:r w:rsidR="00265D2D" w:rsidRPr="00B2234F">
        <w:rPr>
          <w:rFonts w:ascii="Avenir Next" w:hAnsi="Avenir Next" w:cs="Arial"/>
          <w:bCs/>
          <w:sz w:val="22"/>
          <w:szCs w:val="22"/>
          <w:lang w:val="en-GB"/>
        </w:rPr>
        <w:t>ID</w:t>
      </w:r>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783167" w:rsidRDefault="00AD12C7" w:rsidP="00265D2D">
      <w:pPr>
        <w:pStyle w:val="ListParagraph"/>
        <w:numPr>
          <w:ilvl w:val="0"/>
          <w:numId w:val="11"/>
        </w:numPr>
        <w:ind w:left="426"/>
        <w:jc w:val="both"/>
        <w:rPr>
          <w:rFonts w:ascii="Avenir Next" w:hAnsi="Avenir Next"/>
          <w:sz w:val="22"/>
          <w:szCs w:val="22"/>
          <w:highlight w:val="yellow"/>
          <w:lang w:val="en-GB"/>
        </w:rPr>
      </w:pPr>
      <w:r w:rsidRPr="00783167">
        <w:rPr>
          <w:rFonts w:ascii="Avenir Next" w:hAnsi="Avenir Next"/>
          <w:sz w:val="22"/>
          <w:szCs w:val="22"/>
          <w:highlight w:val="yellow"/>
          <w:lang w:val="en-GB"/>
        </w:rPr>
        <w:t>apply to the court for the decision to be reversed or varied</w:t>
      </w:r>
      <w:r w:rsidR="005A2E18" w:rsidRPr="00783167">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S</w:t>
      </w:r>
      <w:r w:rsidR="00422295" w:rsidRPr="00B2234F">
        <w:rPr>
          <w:rFonts w:ascii="Avenir Next" w:hAnsi="Avenir Next" w:cs="Arial"/>
          <w:sz w:val="22"/>
          <w:szCs w:val="22"/>
          <w:lang w:val="en-GB"/>
        </w:rPr>
        <w:t>mall company restructuring</w:t>
      </w:r>
      <w:r w:rsidR="005A2E18" w:rsidRPr="00B2234F">
        <w:rPr>
          <w:rFonts w:ascii="Avenir Next" w:hAnsi="Avenir Next" w:cs="Arial"/>
          <w:sz w:val="22"/>
          <w:szCs w:val="22"/>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783167">
        <w:rPr>
          <w:rFonts w:ascii="Avenir Next" w:hAnsi="Avenir Next" w:cs="Arial"/>
          <w:sz w:val="22"/>
          <w:szCs w:val="22"/>
          <w:highlight w:val="yellow"/>
          <w:lang w:val="en-GB"/>
        </w:rPr>
        <w:t>D</w:t>
      </w:r>
      <w:r w:rsidR="00AD12C7" w:rsidRPr="00783167">
        <w:rPr>
          <w:rFonts w:ascii="Avenir Next" w:hAnsi="Avenir Next" w:cs="Arial"/>
          <w:sz w:val="22"/>
          <w:szCs w:val="22"/>
          <w:highlight w:val="yellow"/>
          <w:lang w:val="en-GB"/>
        </w:rPr>
        <w:t>eed of company arrangement</w:t>
      </w:r>
      <w:r w:rsidR="005A2E18" w:rsidRPr="00783167">
        <w:rPr>
          <w:rFonts w:ascii="Avenir Next" w:hAnsi="Avenir Next" w:cs="Arial"/>
          <w:sz w:val="22"/>
          <w:szCs w:val="22"/>
          <w:highlight w:val="yellow"/>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6F8C608F" w14:textId="7761399E" w:rsidR="009B01E9" w:rsidRDefault="009B01E9" w:rsidP="00C55824">
      <w:pPr>
        <w:ind w:left="66"/>
        <w:jc w:val="both"/>
        <w:rPr>
          <w:rFonts w:ascii="Avenir Next" w:hAnsi="Avenir Next" w:cs="Arial"/>
          <w:iCs/>
          <w:sz w:val="22"/>
          <w:szCs w:val="22"/>
          <w:lang w:val="en-GB"/>
        </w:rPr>
      </w:pPr>
    </w:p>
    <w:p w14:paraId="67EC6359" w14:textId="72AC3E65" w:rsidR="009B01E9" w:rsidRDefault="009B01E9" w:rsidP="00C55824">
      <w:pPr>
        <w:ind w:left="66"/>
        <w:jc w:val="both"/>
        <w:rPr>
          <w:rFonts w:ascii="Avenir Next" w:hAnsi="Avenir Next" w:cs="Arial"/>
          <w:iCs/>
          <w:sz w:val="22"/>
          <w:szCs w:val="22"/>
          <w:lang w:val="en-GB"/>
        </w:rPr>
      </w:pPr>
    </w:p>
    <w:p w14:paraId="54E2AC90" w14:textId="17030487" w:rsidR="009B01E9" w:rsidRDefault="009B01E9" w:rsidP="00C55824">
      <w:pPr>
        <w:ind w:left="66"/>
        <w:jc w:val="both"/>
        <w:rPr>
          <w:rFonts w:ascii="Avenir Next" w:hAnsi="Avenir Next" w:cs="Arial"/>
          <w:iCs/>
          <w:sz w:val="22"/>
          <w:szCs w:val="22"/>
          <w:lang w:val="en-GB"/>
        </w:rPr>
      </w:pPr>
    </w:p>
    <w:p w14:paraId="69D17E51" w14:textId="24E7CA03" w:rsidR="009B01E9" w:rsidRDefault="009B01E9" w:rsidP="00C55824">
      <w:pPr>
        <w:ind w:left="66"/>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lastRenderedPageBreak/>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724CE2" w:rsidRDefault="009B01E9" w:rsidP="00265D2D">
      <w:pPr>
        <w:pStyle w:val="ListParagraph"/>
        <w:numPr>
          <w:ilvl w:val="0"/>
          <w:numId w:val="13"/>
        </w:numPr>
        <w:ind w:left="426"/>
        <w:jc w:val="both"/>
        <w:rPr>
          <w:rFonts w:ascii="Avenir Next" w:hAnsi="Avenir Next" w:cs="Arial"/>
          <w:sz w:val="22"/>
          <w:szCs w:val="22"/>
          <w:highlight w:val="yellow"/>
          <w:lang w:val="en-GB"/>
        </w:rPr>
      </w:pPr>
      <w:r w:rsidRPr="00724CE2">
        <w:rPr>
          <w:rFonts w:ascii="Avenir Next" w:hAnsi="Avenir Next" w:cs="Arial"/>
          <w:sz w:val="22"/>
          <w:szCs w:val="22"/>
          <w:highlight w:val="yellow"/>
          <w:lang w:val="en-GB"/>
        </w:rPr>
        <w:t>C</w:t>
      </w:r>
      <w:r w:rsidR="0089536F" w:rsidRPr="00724CE2">
        <w:rPr>
          <w:rFonts w:ascii="Avenir Next" w:hAnsi="Avenir Next" w:cs="Arial"/>
          <w:sz w:val="22"/>
          <w:szCs w:val="22"/>
          <w:highlight w:val="yellow"/>
          <w:lang w:val="en-GB"/>
        </w:rPr>
        <w:t>reditors’ scheme of arrangement</w:t>
      </w:r>
      <w:r w:rsidR="00265D2D" w:rsidRPr="00724CE2">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AE20EB" w:rsidRPr="00B2234F">
        <w:rPr>
          <w:rFonts w:ascii="Avenir Next" w:hAnsi="Avenir Next" w:cs="Arial"/>
          <w:sz w:val="22"/>
          <w:szCs w:val="22"/>
          <w:lang w:val="en-GB"/>
        </w:rPr>
        <w:t xml:space="preserve"> debt agreement under Part IX</w:t>
      </w:r>
      <w:r w:rsidR="00E131DE" w:rsidRPr="00B2234F">
        <w:rPr>
          <w:rFonts w:ascii="Avenir Next" w:hAnsi="Avenir Next" w:cs="Arial"/>
          <w:sz w:val="22"/>
          <w:szCs w:val="22"/>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783167" w:rsidRDefault="009B01E9" w:rsidP="00265D2D">
      <w:pPr>
        <w:pStyle w:val="ListParagraph"/>
        <w:numPr>
          <w:ilvl w:val="0"/>
          <w:numId w:val="14"/>
        </w:numPr>
        <w:ind w:left="426"/>
        <w:rPr>
          <w:rFonts w:ascii="Avenir Next" w:hAnsi="Avenir Next" w:cs="Arial"/>
          <w:sz w:val="22"/>
          <w:szCs w:val="22"/>
          <w:highlight w:val="yellow"/>
          <w:lang w:val="en-GB"/>
        </w:rPr>
      </w:pPr>
      <w:r w:rsidRPr="00783167">
        <w:rPr>
          <w:rFonts w:ascii="Avenir Next" w:hAnsi="Avenir Next" w:cs="Arial"/>
          <w:sz w:val="22"/>
          <w:szCs w:val="22"/>
          <w:highlight w:val="yellow"/>
          <w:lang w:val="en-GB"/>
        </w:rPr>
        <w:t>A</w:t>
      </w:r>
      <w:r w:rsidR="00E131DE" w:rsidRPr="00783167">
        <w:rPr>
          <w:rFonts w:ascii="Avenir Next" w:hAnsi="Avenir Next" w:cs="Arial"/>
          <w:sz w:val="22"/>
          <w:szCs w:val="22"/>
          <w:highlight w:val="yellow"/>
          <w:lang w:val="en-GB"/>
        </w:rPr>
        <w:t xml:space="preserve"> small company restructuring</w:t>
      </w:r>
      <w:r w:rsidR="00265D2D" w:rsidRPr="00783167">
        <w:rPr>
          <w:rFonts w:ascii="Avenir Next" w:hAnsi="Avenir Next" w:cs="Arial"/>
          <w:sz w:val="22"/>
          <w:szCs w:val="22"/>
          <w:highlight w:val="yellow"/>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5ED413D" w14:textId="7BEB6548"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68C2D7AD" w14:textId="46CE4CD7" w:rsidR="00265D2D" w:rsidRDefault="00265D2D" w:rsidP="00265D2D">
      <w:pPr>
        <w:ind w:left="426"/>
        <w:rPr>
          <w:rFonts w:ascii="Avenir Next" w:hAnsi="Avenir Next" w:cs="Arial"/>
          <w:sz w:val="22"/>
          <w:szCs w:val="22"/>
          <w:lang w:val="en-GB"/>
        </w:rPr>
      </w:pPr>
    </w:p>
    <w:p w14:paraId="7366A074" w14:textId="432685DD" w:rsidR="008465BE" w:rsidRDefault="008465BE" w:rsidP="00265D2D">
      <w:pPr>
        <w:ind w:left="426"/>
        <w:rPr>
          <w:rFonts w:ascii="Avenir Next" w:hAnsi="Avenir Next" w:cs="Arial"/>
          <w:sz w:val="22"/>
          <w:szCs w:val="22"/>
          <w:lang w:val="en-GB"/>
        </w:rPr>
      </w:pP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C03460" w:rsidRDefault="008465BE" w:rsidP="00265D2D">
      <w:pPr>
        <w:pStyle w:val="ListParagraph"/>
        <w:numPr>
          <w:ilvl w:val="0"/>
          <w:numId w:val="15"/>
        </w:numPr>
        <w:ind w:left="426"/>
        <w:rPr>
          <w:rFonts w:ascii="Avenir Next" w:hAnsi="Avenir Next" w:cs="Arial"/>
          <w:sz w:val="22"/>
          <w:szCs w:val="22"/>
          <w:highlight w:val="yellow"/>
          <w:lang w:val="en-GB"/>
        </w:rPr>
      </w:pPr>
      <w:r w:rsidRPr="00C03460">
        <w:rPr>
          <w:rFonts w:ascii="Avenir Next" w:hAnsi="Avenir Next" w:cs="Arial"/>
          <w:sz w:val="22"/>
          <w:szCs w:val="22"/>
          <w:highlight w:val="yellow"/>
          <w:lang w:val="en-GB"/>
        </w:rPr>
        <w:lastRenderedPageBreak/>
        <w:t>T</w:t>
      </w:r>
      <w:r w:rsidR="00FB4C6B" w:rsidRPr="00C03460">
        <w:rPr>
          <w:rFonts w:ascii="Avenir Next" w:hAnsi="Avenir Next" w:cs="Arial"/>
          <w:sz w:val="22"/>
          <w:szCs w:val="22"/>
          <w:highlight w:val="yellow"/>
          <w:lang w:val="en-GB"/>
        </w:rPr>
        <w:t>he bankrupt’s family home</w:t>
      </w:r>
      <w:r w:rsidR="007B3A5E" w:rsidRPr="00C03460">
        <w:rPr>
          <w:rFonts w:ascii="Avenir Next" w:hAnsi="Avenir Next" w:cs="Arial"/>
          <w:sz w:val="22"/>
          <w:szCs w:val="22"/>
          <w:highlight w:val="yellow"/>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B2234F" w:rsidRDefault="008465BE" w:rsidP="00265D2D">
      <w:pPr>
        <w:pStyle w:val="ListParagraph"/>
        <w:numPr>
          <w:ilvl w:val="0"/>
          <w:numId w:val="15"/>
        </w:numPr>
        <w:autoSpaceDE w:val="0"/>
        <w:autoSpaceDN w:val="0"/>
        <w:adjustRightInd w:val="0"/>
        <w:ind w:left="426"/>
        <w:jc w:val="both"/>
        <w:rPr>
          <w:rFonts w:ascii="Avenir Next" w:hAnsi="Avenir Next" w:cs="Arial"/>
          <w:sz w:val="22"/>
          <w:szCs w:val="22"/>
        </w:rPr>
      </w:pPr>
      <w:r>
        <w:rPr>
          <w:rFonts w:ascii="Avenir Next" w:hAnsi="Avenir Next" w:cs="Arial"/>
          <w:sz w:val="22"/>
          <w:szCs w:val="22"/>
          <w:lang w:val="en-GB"/>
        </w:rPr>
        <w:t>S</w:t>
      </w:r>
      <w:r w:rsidR="00AD12C7" w:rsidRPr="00B2234F">
        <w:rPr>
          <w:rFonts w:ascii="Avenir Next" w:hAnsi="Avenir Next" w:cs="Arial"/>
          <w:sz w:val="22"/>
          <w:szCs w:val="22"/>
          <w:lang w:val="en-GB"/>
        </w:rPr>
        <w:t>uperannuation funds</w:t>
      </w:r>
      <w:r w:rsidR="007B3A5E" w:rsidRPr="00B2234F">
        <w:rPr>
          <w:rFonts w:ascii="Avenir Next" w:hAnsi="Avenir Next" w:cs="Arial"/>
          <w:sz w:val="22"/>
          <w:szCs w:val="22"/>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C03460" w:rsidRDefault="008465BE" w:rsidP="00265D2D">
      <w:pPr>
        <w:pStyle w:val="ListParagraph"/>
        <w:numPr>
          <w:ilvl w:val="0"/>
          <w:numId w:val="16"/>
        </w:numPr>
        <w:ind w:left="426"/>
        <w:jc w:val="both"/>
        <w:rPr>
          <w:rFonts w:ascii="Avenir Next" w:hAnsi="Avenir Next" w:cs="Arial"/>
          <w:sz w:val="22"/>
          <w:szCs w:val="22"/>
          <w:lang w:val="en-GB"/>
        </w:rPr>
      </w:pPr>
      <w:r w:rsidRPr="00C03460">
        <w:rPr>
          <w:rFonts w:ascii="Avenir Next" w:hAnsi="Avenir Next" w:cs="Arial"/>
          <w:sz w:val="22"/>
          <w:szCs w:val="22"/>
          <w:lang w:val="en-GB"/>
        </w:rPr>
        <w:t>C</w:t>
      </w:r>
      <w:r w:rsidR="00BF0AFE" w:rsidRPr="00C03460">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C03460" w:rsidRDefault="008465BE" w:rsidP="00265D2D">
      <w:pPr>
        <w:pStyle w:val="ListParagraph"/>
        <w:numPr>
          <w:ilvl w:val="0"/>
          <w:numId w:val="16"/>
        </w:numPr>
        <w:ind w:left="426"/>
        <w:jc w:val="both"/>
        <w:rPr>
          <w:rFonts w:ascii="Avenir Next" w:hAnsi="Avenir Next" w:cs="Arial"/>
          <w:sz w:val="22"/>
          <w:szCs w:val="22"/>
          <w:highlight w:val="yellow"/>
          <w:lang w:val="en-GB"/>
        </w:rPr>
      </w:pPr>
      <w:r w:rsidRPr="00C03460">
        <w:rPr>
          <w:rFonts w:ascii="Avenir Next" w:hAnsi="Avenir Next" w:cs="Arial"/>
          <w:sz w:val="22"/>
          <w:szCs w:val="22"/>
          <w:highlight w:val="yellow"/>
          <w:lang w:val="en-GB"/>
        </w:rPr>
        <w:t>P</w:t>
      </w:r>
      <w:r w:rsidR="00BF0AFE" w:rsidRPr="00C03460">
        <w:rPr>
          <w:rFonts w:ascii="Avenir Next" w:hAnsi="Avenir Next" w:cs="Arial"/>
          <w:sz w:val="22"/>
          <w:szCs w:val="22"/>
          <w:highlight w:val="yellow"/>
          <w:lang w:val="en-GB"/>
        </w:rPr>
        <w:t>enalties or fines imposed by a court in respect of an offence against a law</w:t>
      </w:r>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laims for damages for personal injury</w:t>
      </w:r>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C03460" w:rsidRDefault="0089536F" w:rsidP="00265D2D">
      <w:pPr>
        <w:pStyle w:val="ListParagraph"/>
        <w:numPr>
          <w:ilvl w:val="0"/>
          <w:numId w:val="17"/>
        </w:numPr>
        <w:ind w:left="426"/>
        <w:rPr>
          <w:rFonts w:ascii="Avenir Next" w:hAnsi="Avenir Next" w:cs="Arial"/>
          <w:sz w:val="22"/>
          <w:szCs w:val="22"/>
          <w:highlight w:val="yellow"/>
          <w:lang w:val="en-GB"/>
        </w:rPr>
      </w:pPr>
      <w:r w:rsidRPr="00C03460">
        <w:rPr>
          <w:rFonts w:ascii="Avenir Next" w:hAnsi="Avenir Next" w:cs="Arial"/>
          <w:sz w:val="22"/>
          <w:szCs w:val="22"/>
          <w:highlight w:val="yellow"/>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304B3F" w:rsidRDefault="00AD12C7" w:rsidP="00265D2D">
      <w:pPr>
        <w:pStyle w:val="ListParagraph"/>
        <w:numPr>
          <w:ilvl w:val="0"/>
          <w:numId w:val="19"/>
        </w:numPr>
        <w:ind w:left="426"/>
        <w:jc w:val="both"/>
        <w:rPr>
          <w:rFonts w:ascii="Avenir Next" w:hAnsi="Avenir Next" w:cs="Arial"/>
          <w:sz w:val="22"/>
          <w:szCs w:val="22"/>
          <w:highlight w:val="yellow"/>
          <w:lang w:val="en-GB"/>
        </w:rPr>
      </w:pPr>
      <w:r w:rsidRPr="00304B3F">
        <w:rPr>
          <w:rFonts w:ascii="Avenir Next" w:hAnsi="Avenir Next" w:cs="Arial"/>
          <w:sz w:val="22"/>
          <w:szCs w:val="22"/>
          <w:highlight w:val="yellow"/>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39BAEA52" w14:textId="182706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 and not of the secured creditor that appointed the receiver.</w:t>
      </w:r>
    </w:p>
    <w:p w14:paraId="2C3F121F" w14:textId="6BE36C22" w:rsidR="00265D2D" w:rsidRDefault="00265D2D" w:rsidP="00265D2D">
      <w:pPr>
        <w:ind w:left="66"/>
        <w:jc w:val="both"/>
        <w:rPr>
          <w:rFonts w:ascii="Avenir Next" w:hAnsi="Avenir Next" w:cs="Arial"/>
          <w:sz w:val="22"/>
          <w:szCs w:val="22"/>
          <w:lang w:val="en-GB"/>
        </w:rPr>
      </w:pPr>
    </w:p>
    <w:p w14:paraId="0EB83B28" w14:textId="4CC22919" w:rsidR="008465BE" w:rsidRDefault="008465BE" w:rsidP="00265D2D">
      <w:pPr>
        <w:ind w:left="66"/>
        <w:jc w:val="both"/>
        <w:rPr>
          <w:rFonts w:ascii="Avenir Next" w:hAnsi="Avenir Next" w:cs="Arial"/>
          <w:sz w:val="22"/>
          <w:szCs w:val="22"/>
          <w:lang w:val="en-GB"/>
        </w:rPr>
      </w:pP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lastRenderedPageBreak/>
        <w:t>is an agent of the company</w:t>
      </w:r>
      <w:r w:rsidR="00796B95" w:rsidRPr="00B2234F">
        <w:rPr>
          <w:rFonts w:ascii="Avenir Next" w:hAnsi="Avenir Next" w:cs="Arial"/>
          <w:sz w:val="22"/>
          <w:szCs w:val="22"/>
          <w:lang w:val="en-GB"/>
        </w:rPr>
        <w:t>,</w:t>
      </w:r>
      <w:r w:rsidRPr="00B2234F">
        <w:rPr>
          <w:rFonts w:ascii="Avenir Next" w:hAnsi="Avenir Next" w:cs="Arial"/>
          <w:sz w:val="22"/>
          <w:szCs w:val="22"/>
          <w:lang w:val="en-GB"/>
        </w:rPr>
        <w:t xml:space="preserve"> until the appointment of a liquidator to </w:t>
      </w:r>
      <w:r w:rsidR="00023705" w:rsidRPr="00B2234F">
        <w:rPr>
          <w:rFonts w:ascii="Avenir Next" w:hAnsi="Avenir Next" w:cs="Arial"/>
          <w:sz w:val="22"/>
          <w:szCs w:val="22"/>
          <w:lang w:val="en-GB"/>
        </w:rPr>
        <w:t xml:space="preserve">the </w:t>
      </w:r>
      <w:r w:rsidRPr="00B2234F">
        <w:rPr>
          <w:rFonts w:ascii="Avenir Next" w:hAnsi="Avenir Next" w:cs="Arial"/>
          <w:sz w:val="22"/>
          <w:szCs w:val="22"/>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304B3F" w:rsidRDefault="00E131DE" w:rsidP="00265D2D">
      <w:pPr>
        <w:pStyle w:val="ListParagraph"/>
        <w:numPr>
          <w:ilvl w:val="0"/>
          <w:numId w:val="20"/>
        </w:numPr>
        <w:ind w:left="426"/>
        <w:jc w:val="both"/>
        <w:rPr>
          <w:rFonts w:ascii="Avenir Next" w:hAnsi="Avenir Next" w:cs="Arial"/>
          <w:sz w:val="22"/>
          <w:szCs w:val="22"/>
          <w:highlight w:val="yellow"/>
          <w:lang w:val="en-GB"/>
        </w:rPr>
      </w:pPr>
      <w:r w:rsidRPr="00304B3F">
        <w:rPr>
          <w:rFonts w:ascii="Avenir Next" w:hAnsi="Avenir Next" w:cs="Arial"/>
          <w:sz w:val="22"/>
          <w:szCs w:val="22"/>
          <w:highlight w:val="yellow"/>
          <w:lang w:val="en-GB"/>
        </w:rPr>
        <w:t>t</w:t>
      </w:r>
      <w:r w:rsidR="002476AF" w:rsidRPr="00304B3F">
        <w:rPr>
          <w:rFonts w:ascii="Avenir Next" w:hAnsi="Avenir Next" w:cs="Arial"/>
          <w:sz w:val="22"/>
          <w:szCs w:val="22"/>
          <w:highlight w:val="yellow"/>
          <w:lang w:val="en-GB"/>
        </w:rPr>
        <w:t xml:space="preserve">he part dealing with receivers, and other controllers, of property of </w:t>
      </w:r>
      <w:r w:rsidR="00416D2B" w:rsidRPr="00304B3F">
        <w:rPr>
          <w:rFonts w:ascii="Avenir Next" w:hAnsi="Avenir Next" w:cs="Arial"/>
          <w:sz w:val="22"/>
          <w:szCs w:val="22"/>
          <w:highlight w:val="yellow"/>
          <w:lang w:val="en-GB"/>
        </w:rPr>
        <w:t xml:space="preserve">the </w:t>
      </w:r>
      <w:r w:rsidR="002476AF" w:rsidRPr="00304B3F">
        <w:rPr>
          <w:rFonts w:ascii="Avenir Next" w:hAnsi="Avenir Next" w:cs="Arial"/>
          <w:sz w:val="22"/>
          <w:szCs w:val="22"/>
          <w:highlight w:val="yellow"/>
          <w:lang w:val="en-GB"/>
        </w:rPr>
        <w:t>corporation</w:t>
      </w:r>
      <w:r w:rsidR="00416D2B" w:rsidRPr="00304B3F">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304B3F" w:rsidRDefault="008465BE" w:rsidP="00265D2D">
      <w:pPr>
        <w:pStyle w:val="ListParagraph"/>
        <w:numPr>
          <w:ilvl w:val="0"/>
          <w:numId w:val="21"/>
        </w:numPr>
        <w:ind w:left="426"/>
        <w:jc w:val="both"/>
        <w:rPr>
          <w:rFonts w:ascii="Avenir Next" w:hAnsi="Avenir Next" w:cs="Arial"/>
          <w:sz w:val="22"/>
          <w:szCs w:val="22"/>
          <w:lang w:val="en-GB"/>
        </w:rPr>
      </w:pPr>
      <w:r w:rsidRPr="00304B3F">
        <w:rPr>
          <w:rFonts w:ascii="Avenir Next" w:hAnsi="Avenir Next" w:cs="Arial"/>
          <w:sz w:val="22"/>
          <w:szCs w:val="22"/>
          <w:lang w:val="en-GB"/>
        </w:rPr>
        <w:t>A</w:t>
      </w:r>
      <w:r w:rsidR="002476AF" w:rsidRPr="00304B3F">
        <w:rPr>
          <w:rFonts w:ascii="Avenir Next" w:hAnsi="Avenir Next" w:cs="Arial"/>
          <w:sz w:val="22"/>
          <w:szCs w:val="22"/>
          <w:lang w:val="en-GB"/>
        </w:rPr>
        <w:t xml:space="preserve">n </w:t>
      </w:r>
      <w:r w:rsidR="002476AF" w:rsidRPr="00304B3F">
        <w:rPr>
          <w:rFonts w:ascii="Avenir Next" w:hAnsi="Avenir Next" w:cs="Arial"/>
          <w:i/>
          <w:sz w:val="22"/>
          <w:szCs w:val="22"/>
          <w:lang w:val="en-GB"/>
        </w:rPr>
        <w:t>ipso facto</w:t>
      </w:r>
      <w:r w:rsidR="002476AF" w:rsidRPr="00304B3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304B3F" w:rsidRDefault="008465BE" w:rsidP="00265D2D">
      <w:pPr>
        <w:pStyle w:val="ListParagraph"/>
        <w:numPr>
          <w:ilvl w:val="0"/>
          <w:numId w:val="21"/>
        </w:numPr>
        <w:ind w:left="426"/>
        <w:jc w:val="both"/>
        <w:rPr>
          <w:rFonts w:ascii="Avenir Next" w:hAnsi="Avenir Next" w:cs="Arial"/>
          <w:sz w:val="22"/>
          <w:szCs w:val="22"/>
          <w:highlight w:val="yellow"/>
          <w:lang w:val="en-GB"/>
        </w:rPr>
      </w:pPr>
      <w:r w:rsidRPr="00304B3F">
        <w:rPr>
          <w:rFonts w:ascii="Avenir Next" w:hAnsi="Avenir Next" w:cs="Arial"/>
          <w:sz w:val="22"/>
          <w:szCs w:val="22"/>
          <w:highlight w:val="yellow"/>
          <w:lang w:val="en-GB"/>
        </w:rPr>
        <w:t>S</w:t>
      </w:r>
      <w:r w:rsidR="002476AF" w:rsidRPr="00304B3F">
        <w:rPr>
          <w:rFonts w:ascii="Avenir Next" w:hAnsi="Avenir Next" w:cs="Arial"/>
          <w:sz w:val="22"/>
          <w:szCs w:val="22"/>
          <w:highlight w:val="yellow"/>
          <w:lang w:val="en-GB"/>
        </w:rPr>
        <w:t xml:space="preserve">implified </w:t>
      </w:r>
      <w:r w:rsidR="008235B7" w:rsidRPr="00304B3F">
        <w:rPr>
          <w:rFonts w:ascii="Avenir Next" w:hAnsi="Avenir Next" w:cs="Arial"/>
          <w:sz w:val="22"/>
          <w:szCs w:val="22"/>
          <w:highlight w:val="yellow"/>
          <w:lang w:val="en-GB"/>
        </w:rPr>
        <w:t>restructuring and liquidation regimes for small companies</w:t>
      </w:r>
      <w:r w:rsidR="002476AF" w:rsidRPr="00304B3F">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reversed by a liquidator on application to the court,</w:t>
      </w:r>
      <w:r w:rsidR="00823B29" w:rsidRPr="00B2234F">
        <w:rPr>
          <w:rFonts w:ascii="Avenir Next" w:hAnsi="Avenir Next" w:cs="Arial"/>
          <w:sz w:val="22"/>
          <w:szCs w:val="22"/>
          <w:lang w:val="en-GB"/>
        </w:rPr>
        <w:t xml:space="preserve"> and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1608E544" w14:textId="0A2AEE79" w:rsidR="00724CE2" w:rsidRDefault="005E4380" w:rsidP="002476A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The types of voidable transactions referred to above are as follows;</w:t>
      </w:r>
    </w:p>
    <w:p w14:paraId="359CFE7C" w14:textId="77777777" w:rsidR="005E4380" w:rsidRDefault="005E4380" w:rsidP="002476AF">
      <w:pPr>
        <w:jc w:val="both"/>
        <w:rPr>
          <w:rFonts w:ascii="Avenir Next" w:hAnsi="Avenir Next" w:cs="Arial"/>
          <w:color w:val="4472C4" w:themeColor="accent1"/>
          <w:sz w:val="22"/>
          <w:szCs w:val="22"/>
          <w:lang w:val="en-GB"/>
        </w:rPr>
      </w:pPr>
    </w:p>
    <w:p w14:paraId="3DD87559" w14:textId="2CEC3C70" w:rsidR="005E4380" w:rsidRDefault="005E4380" w:rsidP="005E4380">
      <w:pPr>
        <w:pStyle w:val="ListParagraph"/>
        <w:numPr>
          <w:ilvl w:val="0"/>
          <w:numId w:val="29"/>
        </w:numPr>
        <w:jc w:val="both"/>
        <w:rPr>
          <w:rFonts w:ascii="Avenir Next" w:hAnsi="Avenir Next" w:cs="Arial"/>
          <w:color w:val="4472C4" w:themeColor="accent1"/>
          <w:sz w:val="22"/>
          <w:szCs w:val="22"/>
          <w:lang w:val="en-GB"/>
        </w:rPr>
      </w:pPr>
      <w:r w:rsidRPr="005E4380">
        <w:rPr>
          <w:rFonts w:ascii="Avenir Next" w:hAnsi="Avenir Next" w:cs="Arial"/>
          <w:color w:val="4472C4" w:themeColor="accent1"/>
          <w:sz w:val="22"/>
          <w:szCs w:val="22"/>
          <w:lang w:val="en-GB"/>
        </w:rPr>
        <w:t xml:space="preserve">Preference transactions: </w:t>
      </w:r>
      <w:r w:rsidRPr="005E4380">
        <w:rPr>
          <w:rFonts w:ascii="Avenir Next" w:hAnsi="Avenir Next" w:cs="Arial"/>
          <w:color w:val="4472C4" w:themeColor="accent1"/>
          <w:sz w:val="22"/>
          <w:szCs w:val="22"/>
          <w:lang w:val="en-GB"/>
        </w:rPr>
        <w:t xml:space="preserve">The underlying rationale in the rule against preference is that the assets of an insolvent company should be held for the benefit of its creditors and no one creditor ought to be allowed to obtain an advantage over and beyond that which he is entitled to in the ordinary course of the </w:t>
      </w:r>
      <w:r w:rsidR="00EF7B46">
        <w:rPr>
          <w:rFonts w:ascii="Avenir Next" w:hAnsi="Avenir Next" w:cs="Arial"/>
          <w:color w:val="4472C4" w:themeColor="accent1"/>
          <w:sz w:val="22"/>
          <w:szCs w:val="22"/>
          <w:lang w:val="en-GB"/>
        </w:rPr>
        <w:t xml:space="preserve">liquidation. This is established by showing that the debtor was insolvent at the time and the particular transaction was designed to give the creditor an unfair advantage. </w:t>
      </w:r>
      <w:r w:rsidR="00693E95">
        <w:rPr>
          <w:rFonts w:ascii="Avenir Next" w:hAnsi="Avenir Next" w:cs="Arial"/>
          <w:color w:val="4472C4" w:themeColor="accent1"/>
          <w:sz w:val="22"/>
          <w:szCs w:val="22"/>
          <w:lang w:val="en-GB"/>
        </w:rPr>
        <w:t>It is a complete defence to this that the creditor did know that the company was insolvent.</w:t>
      </w:r>
    </w:p>
    <w:p w14:paraId="2E60B06E" w14:textId="77777777" w:rsidR="001A52F5" w:rsidRDefault="001A52F5" w:rsidP="001A52F5">
      <w:pPr>
        <w:pStyle w:val="ListParagraph"/>
        <w:jc w:val="both"/>
        <w:rPr>
          <w:rFonts w:ascii="Avenir Next" w:hAnsi="Avenir Next" w:cs="Arial"/>
          <w:color w:val="4472C4" w:themeColor="accent1"/>
          <w:sz w:val="22"/>
          <w:szCs w:val="22"/>
          <w:lang w:val="en-GB"/>
        </w:rPr>
      </w:pPr>
    </w:p>
    <w:p w14:paraId="3B0BD689" w14:textId="0CA09368" w:rsidR="001A52F5" w:rsidRDefault="001A52F5" w:rsidP="005E4380">
      <w:pPr>
        <w:pStyle w:val="ListParagraph"/>
        <w:numPr>
          <w:ilvl w:val="0"/>
          <w:numId w:val="2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Uncommercial contracts</w:t>
      </w:r>
      <w:r w:rsidR="00D87E34">
        <w:rPr>
          <w:rFonts w:ascii="Avenir Next" w:hAnsi="Avenir Next" w:cs="Arial"/>
          <w:color w:val="4472C4" w:themeColor="accent1"/>
          <w:sz w:val="22"/>
          <w:szCs w:val="22"/>
          <w:lang w:val="en-GB"/>
        </w:rPr>
        <w:t xml:space="preserve"> and transactions</w:t>
      </w:r>
      <w:r>
        <w:rPr>
          <w:rFonts w:ascii="Avenir Next" w:hAnsi="Avenir Next" w:cs="Arial"/>
          <w:color w:val="4472C4" w:themeColor="accent1"/>
          <w:sz w:val="22"/>
          <w:szCs w:val="22"/>
          <w:lang w:val="en-GB"/>
        </w:rPr>
        <w:t xml:space="preserve"> can be avoided by the liquidator if it can be shown that a reasonable person in the company’s position would not have entered into the </w:t>
      </w:r>
      <w:r w:rsidR="00D87E34">
        <w:rPr>
          <w:rFonts w:ascii="Avenir Next" w:hAnsi="Avenir Next" w:cs="Arial"/>
          <w:color w:val="4472C4" w:themeColor="accent1"/>
          <w:sz w:val="22"/>
          <w:szCs w:val="22"/>
          <w:lang w:val="en-GB"/>
        </w:rPr>
        <w:t xml:space="preserve">transaction. </w:t>
      </w:r>
      <w:r w:rsidR="00D87E34">
        <w:rPr>
          <w:rFonts w:ascii="Avenir Next" w:hAnsi="Avenir Next" w:cs="Arial"/>
          <w:color w:val="4472C4" w:themeColor="accent1"/>
          <w:sz w:val="22"/>
          <w:szCs w:val="22"/>
          <w:lang w:val="en-GB"/>
        </w:rPr>
        <w:t>It is a complete defence if it can be shown that the transferee did not know that the company was insolvent at the time of the transaction.</w:t>
      </w:r>
    </w:p>
    <w:p w14:paraId="497F07D5" w14:textId="77777777" w:rsidR="00693E95" w:rsidRDefault="00693E95" w:rsidP="00693E95">
      <w:pPr>
        <w:pStyle w:val="ListParagraph"/>
        <w:jc w:val="both"/>
        <w:rPr>
          <w:rFonts w:ascii="Avenir Next" w:hAnsi="Avenir Next" w:cs="Arial"/>
          <w:color w:val="4472C4" w:themeColor="accent1"/>
          <w:sz w:val="22"/>
          <w:szCs w:val="22"/>
          <w:lang w:val="en-GB"/>
        </w:rPr>
      </w:pPr>
    </w:p>
    <w:p w14:paraId="170AD68E" w14:textId="3C1196D1" w:rsidR="00BB0133" w:rsidRDefault="00D87E34" w:rsidP="00AD106D">
      <w:pPr>
        <w:pStyle w:val="ListParagraph"/>
        <w:numPr>
          <w:ilvl w:val="0"/>
          <w:numId w:val="29"/>
        </w:numPr>
        <w:jc w:val="both"/>
        <w:rPr>
          <w:rFonts w:ascii="Avenir Next" w:hAnsi="Avenir Next" w:cs="Arial"/>
          <w:color w:val="4472C4" w:themeColor="accent1"/>
          <w:sz w:val="22"/>
          <w:szCs w:val="22"/>
          <w:lang w:val="en-GB"/>
        </w:rPr>
      </w:pPr>
      <w:r w:rsidRPr="007F54FB">
        <w:rPr>
          <w:rFonts w:ascii="Avenir Next" w:hAnsi="Avenir Next" w:cs="Arial"/>
          <w:color w:val="4472C4" w:themeColor="accent1"/>
          <w:sz w:val="22"/>
          <w:szCs w:val="22"/>
          <w:lang w:val="en-GB"/>
        </w:rPr>
        <w:t xml:space="preserve">Unreasonable director-related transactions can be avoided </w:t>
      </w:r>
      <w:r w:rsidR="007F54FB" w:rsidRPr="007F54FB">
        <w:rPr>
          <w:rFonts w:ascii="Avenir Next" w:hAnsi="Avenir Next" w:cs="Arial"/>
          <w:color w:val="4472C4" w:themeColor="accent1"/>
          <w:sz w:val="22"/>
          <w:szCs w:val="22"/>
          <w:lang w:val="en-GB"/>
        </w:rPr>
        <w:t xml:space="preserve">if entered into within the relation back period. If a transaction is found to have been unreasonable, it is not a defence that the company was insolvent at the time. </w:t>
      </w:r>
    </w:p>
    <w:p w14:paraId="03C34E19" w14:textId="77777777" w:rsidR="007F54FB" w:rsidRPr="007F54FB" w:rsidRDefault="007F54FB" w:rsidP="007F54FB">
      <w:pPr>
        <w:pStyle w:val="ListParagraph"/>
        <w:rPr>
          <w:rFonts w:ascii="Avenir Next" w:hAnsi="Avenir Next" w:cs="Arial"/>
          <w:color w:val="4472C4" w:themeColor="accent1"/>
          <w:sz w:val="22"/>
          <w:szCs w:val="22"/>
          <w:lang w:val="en-GB"/>
        </w:rPr>
      </w:pPr>
    </w:p>
    <w:p w14:paraId="181BF644" w14:textId="620A2FA9" w:rsidR="007F54FB" w:rsidRDefault="007F54FB" w:rsidP="00AD106D">
      <w:pPr>
        <w:pStyle w:val="ListParagraph"/>
        <w:numPr>
          <w:ilvl w:val="0"/>
          <w:numId w:val="2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Unfair loans” unfair loans can be avoided if it is found that the interest charged or the terms of the loan were unfair. This is a question of fact. </w:t>
      </w:r>
      <w:r w:rsidR="00BB76A0">
        <w:rPr>
          <w:rFonts w:ascii="Avenir Next" w:hAnsi="Avenir Next" w:cs="Arial"/>
          <w:color w:val="4472C4" w:themeColor="accent1"/>
          <w:sz w:val="22"/>
          <w:szCs w:val="22"/>
          <w:lang w:val="en-GB"/>
        </w:rPr>
        <w:t>The solvency of the company is not a defence to this claim</w:t>
      </w:r>
    </w:p>
    <w:p w14:paraId="694BA05D" w14:textId="77777777" w:rsidR="00BB76A0" w:rsidRPr="00BB76A0" w:rsidRDefault="00BB76A0" w:rsidP="00BB76A0">
      <w:pPr>
        <w:pStyle w:val="ListParagraph"/>
        <w:rPr>
          <w:rFonts w:ascii="Avenir Next" w:hAnsi="Avenir Next" w:cs="Arial"/>
          <w:color w:val="4472C4" w:themeColor="accent1"/>
          <w:sz w:val="22"/>
          <w:szCs w:val="22"/>
          <w:lang w:val="en-GB"/>
        </w:rPr>
      </w:pPr>
    </w:p>
    <w:p w14:paraId="34C0F389" w14:textId="4B00408D" w:rsidR="00BB76A0" w:rsidRPr="007F54FB" w:rsidRDefault="00BB76A0" w:rsidP="00AD106D">
      <w:pPr>
        <w:pStyle w:val="ListParagraph"/>
        <w:numPr>
          <w:ilvl w:val="0"/>
          <w:numId w:val="2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Circulating security interests or floating charges can be set aside if it is found that they were entered into at a time when the company was insolvent and it secured past indebtedness. It is a complete defence to this claim if the beneficiary can show that he was unaware of the company’s insolvent status. </w:t>
      </w:r>
    </w:p>
    <w:p w14:paraId="216E7750" w14:textId="4C1FDA49" w:rsidR="00007BF3" w:rsidRPr="00B2234F" w:rsidRDefault="00007BF3" w:rsidP="001A52F5">
      <w:pPr>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692EC5A6" w14:textId="426157F5" w:rsidR="002C31EF" w:rsidRDefault="00FE3227" w:rsidP="00B04780">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determining the scope of the stay to be imposed in the context of a recognition application, the Australia court must consider what “the case requires”. In other words, the court will impose stay that is appropriate having regard to the nature of the proceedings before it. </w:t>
      </w:r>
      <w:r w:rsidR="002C31EF">
        <w:rPr>
          <w:rFonts w:ascii="Avenir Next" w:hAnsi="Avenir Next" w:cs="Arial"/>
          <w:color w:val="4472C4" w:themeColor="accent1"/>
          <w:sz w:val="22"/>
          <w:szCs w:val="22"/>
          <w:lang w:val="en-GB"/>
        </w:rPr>
        <w:t xml:space="preserve"> </w:t>
      </w:r>
    </w:p>
    <w:p w14:paraId="3B56993B" w14:textId="77777777" w:rsidR="002C31EF" w:rsidRDefault="002C31EF" w:rsidP="00B04780">
      <w:pPr>
        <w:jc w:val="both"/>
        <w:rPr>
          <w:rFonts w:ascii="Avenir Next" w:hAnsi="Avenir Next" w:cs="Arial"/>
          <w:color w:val="4472C4" w:themeColor="accent1"/>
          <w:sz w:val="22"/>
          <w:szCs w:val="22"/>
          <w:lang w:val="en-GB"/>
        </w:rPr>
      </w:pPr>
    </w:p>
    <w:p w14:paraId="130C806F" w14:textId="7937047E" w:rsidR="002C31EF" w:rsidRDefault="002C31EF" w:rsidP="00B04780">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As has been made clear in the fairly recent case of Tai-Soo Suk v Hanjin Shipping Co Ltd at paragraph 24, the court in answering this question is not exercising a decision but rather engaging in a comparative exercise by comparing the proceedings before it with the nature of the foreign proceedings in respect of which the recognition is being sought. </w:t>
      </w:r>
    </w:p>
    <w:p w14:paraId="7582EE6A" w14:textId="77777777" w:rsidR="002C31EF" w:rsidRDefault="002C31EF" w:rsidP="00B04780">
      <w:pPr>
        <w:jc w:val="both"/>
        <w:rPr>
          <w:rFonts w:ascii="Avenir Next" w:hAnsi="Avenir Next" w:cs="Arial"/>
          <w:color w:val="4472C4" w:themeColor="accent1"/>
          <w:sz w:val="22"/>
          <w:szCs w:val="22"/>
          <w:lang w:val="en-GB"/>
        </w:rPr>
      </w:pPr>
    </w:p>
    <w:p w14:paraId="3A6AD5AF" w14:textId="53854024" w:rsidR="002C31EF" w:rsidRDefault="002C31EF" w:rsidP="00B04780">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Th</w:t>
      </w:r>
      <w:r w:rsidR="007D1640">
        <w:rPr>
          <w:rFonts w:ascii="Avenir Next" w:hAnsi="Avenir Next" w:cs="Arial"/>
          <w:color w:val="4472C4" w:themeColor="accent1"/>
          <w:sz w:val="22"/>
          <w:szCs w:val="22"/>
          <w:lang w:val="en-GB"/>
        </w:rPr>
        <w:t xml:space="preserve">is </w:t>
      </w:r>
      <w:r>
        <w:rPr>
          <w:rFonts w:ascii="Avenir Next" w:hAnsi="Avenir Next" w:cs="Arial"/>
          <w:color w:val="4472C4" w:themeColor="accent1"/>
          <w:sz w:val="22"/>
          <w:szCs w:val="22"/>
          <w:lang w:val="en-GB"/>
        </w:rPr>
        <w:t xml:space="preserve">determines whether the court will </w:t>
      </w:r>
      <w:r w:rsidR="007D1640">
        <w:rPr>
          <w:rFonts w:ascii="Avenir Next" w:hAnsi="Avenir Next" w:cs="Arial"/>
          <w:color w:val="4472C4" w:themeColor="accent1"/>
          <w:sz w:val="22"/>
          <w:szCs w:val="22"/>
          <w:lang w:val="en-GB"/>
        </w:rPr>
        <w:t xml:space="preserve">grant to broader stay which restrains even some secured creditors or the more limited stay which restrains unsecured creditors. </w:t>
      </w:r>
    </w:p>
    <w:p w14:paraId="36DEC077" w14:textId="77777777" w:rsidR="007D1640" w:rsidRDefault="007D1640" w:rsidP="00B04780">
      <w:pPr>
        <w:jc w:val="both"/>
        <w:rPr>
          <w:rFonts w:ascii="Avenir Next" w:hAnsi="Avenir Next" w:cs="Arial"/>
          <w:color w:val="4472C4" w:themeColor="accent1"/>
          <w:sz w:val="22"/>
          <w:szCs w:val="22"/>
          <w:lang w:val="en-GB"/>
        </w:rPr>
      </w:pPr>
    </w:p>
    <w:p w14:paraId="480E02AA" w14:textId="50FAB698" w:rsidR="007D1640" w:rsidRDefault="007D1640" w:rsidP="00B04780">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position as set out in Tai-Soo Suk appears there to be that where the foreign proceedings is more in the nature a business rescue then the standard stay which restrains unsecured creditors only while be imposed; conversely, where the foreign proceedings are </w:t>
      </w:r>
      <w:r w:rsidR="00F853F6">
        <w:rPr>
          <w:rFonts w:ascii="Avenir Next" w:hAnsi="Avenir Next" w:cs="Arial"/>
          <w:color w:val="4472C4" w:themeColor="accent1"/>
          <w:sz w:val="22"/>
          <w:szCs w:val="22"/>
          <w:lang w:val="en-GB"/>
        </w:rPr>
        <w:t xml:space="preserve">more in the nature of liquidations then the broader stay will be imposed. </w:t>
      </w:r>
    </w:p>
    <w:p w14:paraId="3BF1A806" w14:textId="77777777" w:rsidR="00F853F6" w:rsidRDefault="00F853F6" w:rsidP="00B04780">
      <w:pPr>
        <w:jc w:val="both"/>
        <w:rPr>
          <w:rFonts w:ascii="Avenir Next" w:hAnsi="Avenir Next" w:cs="Arial"/>
          <w:color w:val="4472C4" w:themeColor="accent1"/>
          <w:sz w:val="22"/>
          <w:szCs w:val="22"/>
          <w:lang w:val="en-GB"/>
        </w:rPr>
      </w:pPr>
    </w:p>
    <w:p w14:paraId="479F8409" w14:textId="56B9EEF2" w:rsidR="00F853F6" w:rsidRPr="00FE3227" w:rsidRDefault="00F853F6" w:rsidP="00B04780">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Invariably, in circumstances where there is no </w:t>
      </w:r>
      <w:proofErr w:type="gramStart"/>
      <w:r>
        <w:rPr>
          <w:rFonts w:ascii="Avenir Next" w:hAnsi="Avenir Next" w:cs="Arial"/>
          <w:color w:val="4472C4" w:themeColor="accent1"/>
          <w:sz w:val="22"/>
          <w:szCs w:val="22"/>
          <w:lang w:val="en-GB"/>
        </w:rPr>
        <w:t>clear cut</w:t>
      </w:r>
      <w:proofErr w:type="gramEnd"/>
      <w:r>
        <w:rPr>
          <w:rFonts w:ascii="Avenir Next" w:hAnsi="Avenir Next" w:cs="Arial"/>
          <w:color w:val="4472C4" w:themeColor="accent1"/>
          <w:sz w:val="22"/>
          <w:szCs w:val="22"/>
          <w:lang w:val="en-GB"/>
        </w:rPr>
        <w:t xml:space="preserve"> answers, the court will impose the stay which most closely fits into the analogous foreign proceedings although there may be some degree of overlap.</w:t>
      </w:r>
    </w:p>
    <w:p w14:paraId="48DD1B04" w14:textId="77777777" w:rsidR="00B04780" w:rsidRPr="00B2234F" w:rsidRDefault="00B04780" w:rsidP="002476AF">
      <w:pPr>
        <w:jc w:val="both"/>
        <w:rPr>
          <w:rFonts w:ascii="Avenir Next" w:hAnsi="Avenir Next" w:cs="Arial"/>
          <w:sz w:val="22"/>
          <w:szCs w:val="22"/>
          <w:lang w:val="en-GB"/>
        </w:rPr>
      </w:pP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0F0B063D" w14:textId="6E619D0E" w:rsidR="008B4C93" w:rsidRDefault="008B4C93" w:rsidP="008420F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key differences between regular liquidations and </w:t>
      </w:r>
      <w:r w:rsidR="00927504">
        <w:rPr>
          <w:rFonts w:ascii="Avenir Next" w:hAnsi="Avenir Next" w:cs="Arial"/>
          <w:color w:val="4472C4" w:themeColor="accent1"/>
          <w:sz w:val="22"/>
          <w:szCs w:val="22"/>
          <w:lang w:val="en-GB"/>
        </w:rPr>
        <w:t xml:space="preserve">small </w:t>
      </w:r>
      <w:r>
        <w:rPr>
          <w:rFonts w:ascii="Avenir Next" w:hAnsi="Avenir Next" w:cs="Arial"/>
          <w:color w:val="4472C4" w:themeColor="accent1"/>
          <w:sz w:val="22"/>
          <w:szCs w:val="22"/>
          <w:lang w:val="en-GB"/>
        </w:rPr>
        <w:t>company liquidations can be summarised as follows:</w:t>
      </w:r>
    </w:p>
    <w:p w14:paraId="0A0E371F" w14:textId="77777777" w:rsidR="00DB279E" w:rsidRDefault="00DB279E" w:rsidP="008420F8">
      <w:pPr>
        <w:jc w:val="both"/>
        <w:rPr>
          <w:rFonts w:ascii="Avenir Next" w:hAnsi="Avenir Next" w:cs="Arial"/>
          <w:color w:val="4472C4" w:themeColor="accent1"/>
          <w:sz w:val="22"/>
          <w:szCs w:val="22"/>
          <w:lang w:val="en-GB"/>
        </w:rPr>
      </w:pPr>
    </w:p>
    <w:p w14:paraId="1E3942B3" w14:textId="13A3D3F2" w:rsidR="008B4C93" w:rsidRDefault="008B4C93" w:rsidP="008B4C93">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Small company liquidations are less onerous in that the</w:t>
      </w:r>
      <w:r w:rsidR="00706E27">
        <w:rPr>
          <w:rFonts w:ascii="Avenir Next" w:hAnsi="Avenir Next" w:cs="Arial"/>
          <w:color w:val="4472C4" w:themeColor="accent1"/>
          <w:sz w:val="22"/>
          <w:szCs w:val="22"/>
          <w:lang w:val="en-GB"/>
        </w:rPr>
        <w:t>re are</w:t>
      </w:r>
      <w:r>
        <w:rPr>
          <w:rFonts w:ascii="Avenir Next" w:hAnsi="Avenir Next" w:cs="Arial"/>
          <w:color w:val="4472C4" w:themeColor="accent1"/>
          <w:sz w:val="22"/>
          <w:szCs w:val="22"/>
          <w:lang w:val="en-GB"/>
        </w:rPr>
        <w:t xml:space="preserve"> </w:t>
      </w:r>
      <w:r w:rsidR="00706E27">
        <w:rPr>
          <w:rFonts w:ascii="Avenir Next" w:hAnsi="Avenir Next" w:cs="Arial"/>
          <w:color w:val="4472C4" w:themeColor="accent1"/>
          <w:sz w:val="22"/>
          <w:szCs w:val="22"/>
          <w:lang w:val="en-GB"/>
        </w:rPr>
        <w:t xml:space="preserve">less statutory obligations imposed on a liquidator to </w:t>
      </w:r>
      <w:r w:rsidR="00927504">
        <w:rPr>
          <w:rFonts w:ascii="Avenir Next" w:hAnsi="Avenir Next" w:cs="Arial"/>
          <w:color w:val="4472C4" w:themeColor="accent1"/>
          <w:sz w:val="22"/>
          <w:szCs w:val="22"/>
          <w:lang w:val="en-GB"/>
        </w:rPr>
        <w:t>pursue potentially unlawful</w:t>
      </w:r>
      <w:r w:rsidR="00706E27">
        <w:rPr>
          <w:rFonts w:ascii="Avenir Next" w:hAnsi="Avenir Next" w:cs="Arial"/>
          <w:color w:val="4472C4" w:themeColor="accent1"/>
          <w:sz w:val="22"/>
          <w:szCs w:val="22"/>
          <w:lang w:val="en-GB"/>
        </w:rPr>
        <w:t xml:space="preserve"> actions committed by officers of the company unless there are reasonable grounds to conclude that there was misconduct of some sort</w:t>
      </w:r>
    </w:p>
    <w:p w14:paraId="31BB1389" w14:textId="3E20B68A" w:rsidR="00706E27" w:rsidRDefault="00706E27" w:rsidP="00706E27">
      <w:pPr>
        <w:pStyle w:val="ListParagraph"/>
        <w:jc w:val="both"/>
        <w:rPr>
          <w:rFonts w:ascii="Avenir Next" w:hAnsi="Avenir Next" w:cs="Arial"/>
          <w:color w:val="4472C4" w:themeColor="accent1"/>
          <w:sz w:val="22"/>
          <w:szCs w:val="22"/>
          <w:lang w:val="en-GB"/>
        </w:rPr>
      </w:pPr>
    </w:p>
    <w:p w14:paraId="61C1EAF8" w14:textId="0E0624B9" w:rsidR="00706E27" w:rsidRDefault="00927504" w:rsidP="008B4C93">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There is no requirement in small company liquidations to call creditors meetings as is the case in ordinary liquidations in which the creditors’ committee plays a key role in the liquidation process</w:t>
      </w:r>
    </w:p>
    <w:p w14:paraId="6F049CEE" w14:textId="77777777" w:rsidR="00927504" w:rsidRPr="00927504" w:rsidRDefault="00927504" w:rsidP="00927504">
      <w:pPr>
        <w:pStyle w:val="ListParagraph"/>
        <w:rPr>
          <w:rFonts w:ascii="Avenir Next" w:hAnsi="Avenir Next" w:cs="Arial"/>
          <w:color w:val="4472C4" w:themeColor="accent1"/>
          <w:sz w:val="22"/>
          <w:szCs w:val="22"/>
          <w:lang w:val="en-GB"/>
        </w:rPr>
      </w:pPr>
    </w:p>
    <w:p w14:paraId="4FB85E40" w14:textId="30C0FE11" w:rsidR="00927504" w:rsidRDefault="00927504" w:rsidP="008B4C93">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process by which debts are proved and dividends paid in small company liquidations is simpler to reflect the need to reduce the costs of the liquidation on smaller companies with the view to having those costs paid to its creditors</w:t>
      </w:r>
    </w:p>
    <w:p w14:paraId="62501710" w14:textId="77777777" w:rsidR="00927504" w:rsidRPr="00927504" w:rsidRDefault="00927504" w:rsidP="00927504">
      <w:pPr>
        <w:pStyle w:val="ListParagraph"/>
        <w:rPr>
          <w:rFonts w:ascii="Avenir Next" w:hAnsi="Avenir Next" w:cs="Arial"/>
          <w:color w:val="4472C4" w:themeColor="accent1"/>
          <w:sz w:val="22"/>
          <w:szCs w:val="22"/>
          <w:lang w:val="en-GB"/>
        </w:rPr>
      </w:pPr>
    </w:p>
    <w:p w14:paraId="7AA68BDA" w14:textId="2CE53B12" w:rsidR="00927504" w:rsidRDefault="000C5BBD" w:rsidP="008B4C93">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small liquidation process is intended to be subject to a fixed fee unlike the ordinary liquidation process which can be quite expensive </w:t>
      </w:r>
    </w:p>
    <w:p w14:paraId="493A1AA5" w14:textId="77777777" w:rsidR="000C5BBD" w:rsidRPr="000C5BBD" w:rsidRDefault="000C5BBD" w:rsidP="000C5BBD">
      <w:pPr>
        <w:pStyle w:val="ListParagraph"/>
        <w:rPr>
          <w:rFonts w:ascii="Avenir Next" w:hAnsi="Avenir Next" w:cs="Arial"/>
          <w:color w:val="4472C4" w:themeColor="accent1"/>
          <w:sz w:val="22"/>
          <w:szCs w:val="22"/>
          <w:lang w:val="en-GB"/>
        </w:rPr>
      </w:pPr>
    </w:p>
    <w:p w14:paraId="3C6D53F1" w14:textId="0BC93EB4" w:rsidR="000C5BBD" w:rsidRDefault="000C5BBD" w:rsidP="008B4C93">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policy objective behind the small business liquidations is designed to ensure that small businesses which can be rehabilitated should be given that opportunity and this new regime is arguably more debtor friendly than the creditor driven process found otherwise in which the main aim is to maximise assets for the benefit of the company’s creditors</w:t>
      </w:r>
    </w:p>
    <w:p w14:paraId="558C9339" w14:textId="77777777" w:rsidR="00DB279E" w:rsidRPr="00DB279E" w:rsidRDefault="00DB279E" w:rsidP="00DB279E">
      <w:pPr>
        <w:pStyle w:val="ListParagraph"/>
        <w:rPr>
          <w:rFonts w:ascii="Avenir Next" w:hAnsi="Avenir Next" w:cs="Arial"/>
          <w:color w:val="4472C4" w:themeColor="accent1"/>
          <w:sz w:val="22"/>
          <w:szCs w:val="22"/>
          <w:lang w:val="en-GB"/>
        </w:rPr>
      </w:pPr>
    </w:p>
    <w:p w14:paraId="6CFD8963" w14:textId="4AAD1DEB" w:rsidR="00DB279E" w:rsidRPr="008B4C93" w:rsidRDefault="00DB279E" w:rsidP="008B4C93">
      <w:pPr>
        <w:pStyle w:val="ListParagraph"/>
        <w:numPr>
          <w:ilvl w:val="0"/>
          <w:numId w:val="3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Small businesses will benefit from a moratorium on claims from unsecured creditor and a limited number of secured creditors in order to restructure and implement rehabilitative measures. </w:t>
      </w:r>
    </w:p>
    <w:p w14:paraId="6AB84C4E" w14:textId="77777777" w:rsidR="008420F8" w:rsidRPr="00B2234F" w:rsidRDefault="008420F8" w:rsidP="002476AF">
      <w:pPr>
        <w:jc w:val="both"/>
        <w:rPr>
          <w:rFonts w:ascii="Avenir Next" w:hAnsi="Avenir Next" w:cs="Arial"/>
          <w:sz w:val="22"/>
          <w:szCs w:val="22"/>
          <w:lang w:val="en-GB"/>
        </w:rPr>
      </w:pPr>
    </w:p>
    <w:p w14:paraId="6035801B" w14:textId="201AD05F" w:rsidR="002476AF" w:rsidRPr="00B2234F" w:rsidRDefault="002476AF"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55A1E513"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r w:rsidR="0089536F" w:rsidRPr="00B2234F">
        <w:rPr>
          <w:rFonts w:ascii="Avenir Next" w:hAnsi="Avenir Next" w:cs="Arial"/>
          <w:sz w:val="22"/>
          <w:szCs w:val="22"/>
          <w:lang w:val="en-GB"/>
        </w:rPr>
        <w:t xml:space="preserve">creditor-friendly.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 xml:space="preserve">a debtor-friendly </w:t>
      </w:r>
      <w:r w:rsidR="00693E95" w:rsidRPr="00B2234F">
        <w:rPr>
          <w:rFonts w:ascii="Avenir Next" w:hAnsi="Avenir Next" w:cs="Arial"/>
          <w:sz w:val="22"/>
          <w:szCs w:val="22"/>
          <w:lang w:val="en-GB"/>
        </w:rPr>
        <w:t>jurisdiction. “</w:t>
      </w:r>
    </w:p>
    <w:p w14:paraId="3551A64F" w14:textId="77777777" w:rsidR="00265D2D" w:rsidRPr="00B2234F" w:rsidRDefault="00265D2D" w:rsidP="002476AF">
      <w:pPr>
        <w:jc w:val="both"/>
        <w:rPr>
          <w:rFonts w:ascii="Avenir Next" w:hAnsi="Avenir Next" w:cs="Arial"/>
          <w:sz w:val="22"/>
          <w:szCs w:val="22"/>
          <w:lang w:val="en-GB"/>
        </w:rPr>
      </w:pPr>
    </w:p>
    <w:p w14:paraId="7F1B7DE0" w14:textId="0D8B9B9E" w:rsidR="0094450F" w:rsidRDefault="002476AF" w:rsidP="008420F8">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09FF548" w14:textId="77777777" w:rsidR="00B75663" w:rsidRDefault="00B75663" w:rsidP="008420F8">
      <w:pPr>
        <w:jc w:val="both"/>
        <w:rPr>
          <w:rFonts w:ascii="Avenir Next" w:hAnsi="Avenir Next" w:cs="Arial"/>
          <w:sz w:val="22"/>
          <w:szCs w:val="22"/>
          <w:lang w:val="en-GB"/>
        </w:rPr>
      </w:pPr>
    </w:p>
    <w:p w14:paraId="24FCAC4C" w14:textId="77777777" w:rsidR="00DB450F" w:rsidRDefault="00B75663" w:rsidP="008420F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Although there has been some reform in the recent past, </w:t>
      </w:r>
      <w:r>
        <w:rPr>
          <w:rFonts w:ascii="Avenir Next" w:hAnsi="Avenir Next" w:cs="Arial"/>
          <w:color w:val="4472C4" w:themeColor="accent1"/>
          <w:sz w:val="22"/>
          <w:szCs w:val="22"/>
          <w:lang w:val="en-GB"/>
        </w:rPr>
        <w:t xml:space="preserve">Australia’s restructuring and environment </w:t>
      </w:r>
      <w:r>
        <w:rPr>
          <w:rFonts w:ascii="Avenir Next" w:hAnsi="Avenir Next" w:cs="Arial"/>
          <w:color w:val="4472C4" w:themeColor="accent1"/>
          <w:sz w:val="22"/>
          <w:szCs w:val="22"/>
          <w:lang w:val="en-GB"/>
        </w:rPr>
        <w:t>still remains a large creditor friendly system. This is said for several reasons</w:t>
      </w:r>
      <w:r w:rsidR="00DB450F">
        <w:rPr>
          <w:rFonts w:ascii="Avenir Next" w:hAnsi="Avenir Next" w:cs="Arial"/>
          <w:color w:val="4472C4" w:themeColor="accent1"/>
          <w:sz w:val="22"/>
          <w:szCs w:val="22"/>
          <w:lang w:val="en-GB"/>
        </w:rPr>
        <w:t xml:space="preserve">. </w:t>
      </w:r>
    </w:p>
    <w:p w14:paraId="70CFF6B2" w14:textId="77777777" w:rsidR="00DB450F" w:rsidRDefault="00DB450F" w:rsidP="008420F8">
      <w:pPr>
        <w:jc w:val="both"/>
        <w:rPr>
          <w:rFonts w:ascii="Avenir Next" w:hAnsi="Avenir Next" w:cs="Arial"/>
          <w:color w:val="4472C4" w:themeColor="accent1"/>
          <w:sz w:val="22"/>
          <w:szCs w:val="22"/>
          <w:lang w:val="en-GB"/>
        </w:rPr>
      </w:pPr>
    </w:p>
    <w:p w14:paraId="4A56040D" w14:textId="2B3AC828" w:rsidR="00B75663" w:rsidRDefault="00DB450F" w:rsidP="008420F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traditional terrain in Australia has been very creditor focused and there is particular emphasis on ensuring that secured creditors are still able to enforce their security rights even during a liquidation. This is compounded by the fact that substantial creditors who control large swathes of the company’s assets are able </w:t>
      </w:r>
      <w:r w:rsidR="000531F2">
        <w:rPr>
          <w:rFonts w:ascii="Avenir Next" w:hAnsi="Avenir Next" w:cs="Arial"/>
          <w:color w:val="4472C4" w:themeColor="accent1"/>
          <w:sz w:val="22"/>
          <w:szCs w:val="22"/>
          <w:lang w:val="en-GB"/>
        </w:rPr>
        <w:t xml:space="preserve">to appoint a receiver whose role and purpose is likely to frustrate a voluntary administrator. </w:t>
      </w:r>
    </w:p>
    <w:p w14:paraId="47072568" w14:textId="77777777" w:rsidR="000531F2" w:rsidRDefault="000531F2" w:rsidP="008420F8">
      <w:pPr>
        <w:jc w:val="both"/>
        <w:rPr>
          <w:rFonts w:ascii="Avenir Next" w:hAnsi="Avenir Next" w:cs="Arial"/>
          <w:color w:val="4472C4" w:themeColor="accent1"/>
          <w:sz w:val="22"/>
          <w:szCs w:val="22"/>
          <w:lang w:val="en-GB"/>
        </w:rPr>
      </w:pPr>
    </w:p>
    <w:p w14:paraId="07DB1C10" w14:textId="77777777" w:rsidR="002B0C86" w:rsidRDefault="000531F2" w:rsidP="008420F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Unlike in other major insolvency systems, some secured creditors and select parties such as landlords and other individuals can continue to conduct enforcement action </w:t>
      </w:r>
      <w:r w:rsidR="00981CA1">
        <w:rPr>
          <w:rFonts w:ascii="Avenir Next" w:hAnsi="Avenir Next" w:cs="Arial"/>
          <w:color w:val="4472C4" w:themeColor="accent1"/>
          <w:sz w:val="22"/>
          <w:szCs w:val="22"/>
          <w:lang w:val="en-GB"/>
        </w:rPr>
        <w:t>in circumstances</w:t>
      </w:r>
      <w:r>
        <w:rPr>
          <w:rFonts w:ascii="Avenir Next" w:hAnsi="Avenir Next" w:cs="Arial"/>
          <w:color w:val="4472C4" w:themeColor="accent1"/>
          <w:sz w:val="22"/>
          <w:szCs w:val="22"/>
          <w:lang w:val="en-GB"/>
        </w:rPr>
        <w:t xml:space="preserve"> where they </w:t>
      </w:r>
      <w:r w:rsidR="00981CA1">
        <w:rPr>
          <w:rFonts w:ascii="Avenir Next" w:hAnsi="Avenir Next" w:cs="Arial"/>
          <w:color w:val="4472C4" w:themeColor="accent1"/>
          <w:sz w:val="22"/>
          <w:szCs w:val="22"/>
          <w:lang w:val="en-GB"/>
        </w:rPr>
        <w:t xml:space="preserve">were commenced prior to the appointment of a voluntary liquidator. This essentially forces a company to incur both the costs of the defence of the enforcement action while in voluntary liquidation. </w:t>
      </w:r>
    </w:p>
    <w:p w14:paraId="7D8C55BF" w14:textId="77777777" w:rsidR="002B0C86" w:rsidRDefault="002B0C86" w:rsidP="008420F8">
      <w:pPr>
        <w:jc w:val="both"/>
        <w:rPr>
          <w:rFonts w:ascii="Avenir Next" w:hAnsi="Avenir Next" w:cs="Arial"/>
          <w:color w:val="4472C4" w:themeColor="accent1"/>
          <w:sz w:val="22"/>
          <w:szCs w:val="22"/>
          <w:lang w:val="en-GB"/>
        </w:rPr>
      </w:pPr>
    </w:p>
    <w:p w14:paraId="108050ED" w14:textId="7BD034F3" w:rsidR="00981CA1" w:rsidRDefault="00981CA1" w:rsidP="008420F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This is in complete contrasts to other jurisdictions such as Jamaica in which the entry into the process akin to voluntary liquidation results in the imposition of stay which prevents the prosecution of these types of claims whether instituted prior to the entry into liquidation or not, with the stated aim of allowing the company to rehabilitate. The absence of such a stay in favour of the debtor confirms Australia’s status as a creditor friendly regime.</w:t>
      </w:r>
    </w:p>
    <w:p w14:paraId="0526927D" w14:textId="77777777" w:rsidR="00981CA1" w:rsidRDefault="00981CA1" w:rsidP="008420F8">
      <w:pPr>
        <w:jc w:val="both"/>
        <w:rPr>
          <w:rFonts w:ascii="Avenir Next" w:hAnsi="Avenir Next" w:cs="Arial"/>
          <w:color w:val="4472C4" w:themeColor="accent1"/>
          <w:sz w:val="22"/>
          <w:szCs w:val="22"/>
          <w:lang w:val="en-GB"/>
        </w:rPr>
      </w:pPr>
    </w:p>
    <w:p w14:paraId="4F96A238" w14:textId="2C9E7C85" w:rsidR="002B0C86" w:rsidRDefault="002B0C86" w:rsidP="008420F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This is also confirmed when one looks at the relation back period over which certain transactions can be clawed back in Australia versus that in other countries. </w:t>
      </w:r>
      <w:r w:rsidR="00690C4E">
        <w:rPr>
          <w:rFonts w:ascii="Avenir Next" w:hAnsi="Avenir Next" w:cs="Arial"/>
          <w:color w:val="4472C4" w:themeColor="accent1"/>
          <w:sz w:val="22"/>
          <w:szCs w:val="22"/>
          <w:lang w:val="en-GB"/>
        </w:rPr>
        <w:t>These periods</w:t>
      </w:r>
      <w:r>
        <w:rPr>
          <w:rFonts w:ascii="Avenir Next" w:hAnsi="Avenir Next" w:cs="Arial"/>
          <w:color w:val="4472C4" w:themeColor="accent1"/>
          <w:sz w:val="22"/>
          <w:szCs w:val="22"/>
          <w:lang w:val="en-GB"/>
        </w:rPr>
        <w:t xml:space="preserve"> range from 2 years to five years and emphasises the underlying policy goal of ensuring that the assets of a company in liquidation are maximised for the benefit of the creditors. </w:t>
      </w:r>
    </w:p>
    <w:p w14:paraId="2874650B" w14:textId="77777777" w:rsidR="002B0C86" w:rsidRDefault="002B0C86" w:rsidP="008420F8">
      <w:pPr>
        <w:jc w:val="both"/>
        <w:rPr>
          <w:rFonts w:ascii="Avenir Next" w:hAnsi="Avenir Next" w:cs="Arial"/>
          <w:color w:val="4472C4" w:themeColor="accent1"/>
          <w:sz w:val="22"/>
          <w:szCs w:val="22"/>
          <w:lang w:val="en-GB"/>
        </w:rPr>
      </w:pPr>
    </w:p>
    <w:p w14:paraId="520E2EE0" w14:textId="7F89F277" w:rsidR="000531F2" w:rsidRDefault="002B0C86" w:rsidP="008420F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 further point on this is the fact that Australia remains one of the few countries which substantial wrongful trading liability</w:t>
      </w:r>
      <w:r w:rsidR="002B05C0">
        <w:rPr>
          <w:rFonts w:ascii="Avenir Next" w:hAnsi="Avenir Next" w:cs="Arial"/>
          <w:color w:val="4472C4" w:themeColor="accent1"/>
          <w:sz w:val="22"/>
          <w:szCs w:val="22"/>
          <w:lang w:val="en-GB"/>
        </w:rPr>
        <w:t xml:space="preserve"> pursuant to which a liquidator can recover substantial damages from directors who allowed a company to trade while insolvent. Again, the aim behind this is to ensure that as much of the company’s assets as possible are available for realisation and distribution to its creditors.</w:t>
      </w:r>
    </w:p>
    <w:p w14:paraId="105B28EC" w14:textId="77777777" w:rsidR="002B05C0" w:rsidRDefault="002B05C0" w:rsidP="008420F8">
      <w:pPr>
        <w:jc w:val="both"/>
        <w:rPr>
          <w:rFonts w:ascii="Avenir Next" w:hAnsi="Avenir Next" w:cs="Arial"/>
          <w:color w:val="4472C4" w:themeColor="accent1"/>
          <w:sz w:val="22"/>
          <w:szCs w:val="22"/>
          <w:lang w:val="en-GB"/>
        </w:rPr>
      </w:pPr>
    </w:p>
    <w:p w14:paraId="1A22DEAE" w14:textId="2F1C168A" w:rsidR="002B05C0" w:rsidRDefault="00690C4E" w:rsidP="008420F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Admittedly, there has been some reform in recent years mainly designed to assist small businesses in accessing rehabilitative mechanisms rather than being liquidated. These measures have included:</w:t>
      </w:r>
    </w:p>
    <w:p w14:paraId="5F3FC6E1" w14:textId="0E0CCE8F" w:rsidR="00690C4E" w:rsidRDefault="00690C4E" w:rsidP="00690C4E">
      <w:pPr>
        <w:pStyle w:val="ListParagraph"/>
        <w:numPr>
          <w:ilvl w:val="0"/>
          <w:numId w:val="31"/>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The evolution and development of the voluntary administration regime which has improved the business rescue options. This regime has the stated purpose of maximising the chances of an insolvent company returning to solvency</w:t>
      </w:r>
      <w:r w:rsidR="007A4EE0">
        <w:rPr>
          <w:rFonts w:ascii="Avenir Next" w:hAnsi="Avenir Next" w:cs="Arial"/>
          <w:color w:val="4472C4" w:themeColor="accent1"/>
          <w:sz w:val="22"/>
          <w:szCs w:val="22"/>
          <w:lang w:val="en-GB"/>
        </w:rPr>
        <w:t xml:space="preserve"> as can be seen in the use of the deed of creditors’ arrangement which is a welcomed addition.</w:t>
      </w:r>
    </w:p>
    <w:p w14:paraId="3317B0D9" w14:textId="77777777" w:rsidR="001356AE" w:rsidRDefault="001356AE" w:rsidP="001356AE">
      <w:pPr>
        <w:jc w:val="both"/>
        <w:rPr>
          <w:rFonts w:ascii="Avenir Next" w:hAnsi="Avenir Next" w:cs="Arial"/>
          <w:color w:val="4472C4" w:themeColor="accent1"/>
          <w:sz w:val="22"/>
          <w:szCs w:val="22"/>
          <w:lang w:val="en-GB"/>
        </w:rPr>
      </w:pPr>
    </w:p>
    <w:p w14:paraId="12A926D4" w14:textId="0821F87D" w:rsidR="001356AE" w:rsidRDefault="001356AE" w:rsidP="001356AE">
      <w:pPr>
        <w:pStyle w:val="ListParagraph"/>
        <w:numPr>
          <w:ilvl w:val="0"/>
          <w:numId w:val="31"/>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threshold for the issuance of statutory demands have been doubled which means that a higher level of debt is required to justify a possible winding up order</w:t>
      </w:r>
    </w:p>
    <w:p w14:paraId="3E7B1B37" w14:textId="77777777" w:rsidR="001356AE" w:rsidRPr="001356AE" w:rsidRDefault="001356AE" w:rsidP="001356AE">
      <w:pPr>
        <w:pStyle w:val="ListParagraph"/>
        <w:rPr>
          <w:rFonts w:ascii="Avenir Next" w:hAnsi="Avenir Next" w:cs="Arial"/>
          <w:color w:val="4472C4" w:themeColor="accent1"/>
          <w:sz w:val="22"/>
          <w:szCs w:val="22"/>
          <w:lang w:val="en-GB"/>
        </w:rPr>
      </w:pPr>
    </w:p>
    <w:p w14:paraId="1F669BFE" w14:textId="58ACD0D7" w:rsidR="001356AE" w:rsidRDefault="001356AE" w:rsidP="001356AE">
      <w:pPr>
        <w:pStyle w:val="ListParagraph"/>
        <w:numPr>
          <w:ilvl w:val="0"/>
          <w:numId w:val="31"/>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fairly stringent provisions dealing with directors</w:t>
      </w:r>
      <w:r w:rsidR="007A4EE0">
        <w:rPr>
          <w:rFonts w:ascii="Avenir Next" w:hAnsi="Avenir Next" w:cs="Arial"/>
          <w:color w:val="4472C4" w:themeColor="accent1"/>
          <w:sz w:val="22"/>
          <w:szCs w:val="22"/>
          <w:lang w:val="en-GB"/>
        </w:rPr>
        <w:t>’</w:t>
      </w:r>
      <w:r>
        <w:rPr>
          <w:rFonts w:ascii="Avenir Next" w:hAnsi="Avenir Next" w:cs="Arial"/>
          <w:color w:val="4472C4" w:themeColor="accent1"/>
          <w:sz w:val="22"/>
          <w:szCs w:val="22"/>
          <w:lang w:val="en-GB"/>
        </w:rPr>
        <w:t xml:space="preserve"> liability </w:t>
      </w:r>
      <w:r w:rsidR="007A4EE0">
        <w:rPr>
          <w:rFonts w:ascii="Avenir Next" w:hAnsi="Avenir Next" w:cs="Arial"/>
          <w:color w:val="4472C4" w:themeColor="accent1"/>
          <w:sz w:val="22"/>
          <w:szCs w:val="22"/>
          <w:lang w:val="en-GB"/>
        </w:rPr>
        <w:t>have been relaxed in favour of “safe harbour” provisions in the Treasury Laws Amendment Act 2017. This allows directors to trade for a limited period of time with a view to implementing an out of court restructuring plan in order to return the company to solvency.</w:t>
      </w:r>
    </w:p>
    <w:p w14:paraId="51479DEA" w14:textId="77777777" w:rsidR="007A4EE0" w:rsidRPr="007A4EE0" w:rsidRDefault="007A4EE0" w:rsidP="007A4EE0">
      <w:pPr>
        <w:pStyle w:val="ListParagraph"/>
        <w:rPr>
          <w:rFonts w:ascii="Avenir Next" w:hAnsi="Avenir Next" w:cs="Arial"/>
          <w:color w:val="4472C4" w:themeColor="accent1"/>
          <w:sz w:val="22"/>
          <w:szCs w:val="22"/>
          <w:lang w:val="en-GB"/>
        </w:rPr>
      </w:pPr>
    </w:p>
    <w:p w14:paraId="5700E683" w14:textId="4306F124" w:rsidR="008420F8" w:rsidRPr="003C7202" w:rsidRDefault="007A4EE0" w:rsidP="002476A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However, these reforms have been counteracted by the continuing focus on </w:t>
      </w:r>
      <w:r w:rsidR="003C7202">
        <w:rPr>
          <w:rFonts w:ascii="Avenir Next" w:hAnsi="Avenir Next" w:cs="Arial"/>
          <w:color w:val="4472C4" w:themeColor="accent1"/>
          <w:sz w:val="22"/>
          <w:szCs w:val="22"/>
          <w:lang w:val="en-GB"/>
        </w:rPr>
        <w:t xml:space="preserve">anti-phoenixing regime which created new offences and set sights on impugning even more transactions which can be seen as calculated to defraud creditors. This is also coupled with the lack of a broad based mortarium regime which would prevent both secured and unsecured creditors from continuing enforcement of certain categories of proceedings in circumstances where there is an ongoing liquidation. </w:t>
      </w:r>
      <w:r w:rsidR="00797406">
        <w:rPr>
          <w:rFonts w:ascii="Avenir Next" w:hAnsi="Avenir Next" w:cs="Arial"/>
          <w:color w:val="4472C4" w:themeColor="accent1"/>
          <w:sz w:val="22"/>
          <w:szCs w:val="22"/>
          <w:lang w:val="en-GB"/>
        </w:rPr>
        <w:t xml:space="preserve">Further, it can be arguably said that the raft of improvements for voluntary liquidation was more line with the desire to protect Australia’s airline industry rather than move away from a largely creditor-centric insolvency system. </w:t>
      </w: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Pty Ltd (</w:t>
      </w:r>
      <w:r w:rsidRPr="00B2234F">
        <w:rPr>
          <w:rFonts w:ascii="Avenir Next" w:hAnsi="Avenir Next" w:cs="Arial"/>
          <w:bCs/>
          <w:sz w:val="22"/>
          <w:szCs w:val="22"/>
          <w:lang w:val="en-GB"/>
        </w:rPr>
        <w:t>Aussiebee</w:t>
      </w:r>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wholly-owned subsidiary of Aussiebee. </w:t>
      </w:r>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Aussiebee has offices in both Sydney and in Lyonesse. </w:t>
      </w:r>
      <w:r w:rsidR="00F477C9" w:rsidRPr="00B2234F">
        <w:rPr>
          <w:rFonts w:ascii="Avenir Next" w:hAnsi="Avenir Next" w:cs="Arial"/>
          <w:sz w:val="22"/>
          <w:szCs w:val="22"/>
          <w:lang w:val="en-GB"/>
        </w:rPr>
        <w:t xml:space="preserve">Its warehouses are only in Sydney. </w:t>
      </w:r>
      <w:r w:rsidRPr="00B2234F">
        <w:rPr>
          <w:rFonts w:ascii="Avenir Next" w:hAnsi="Avenir Next" w:cs="Arial"/>
          <w:sz w:val="22"/>
          <w:szCs w:val="22"/>
          <w:lang w:val="en-GB"/>
        </w:rPr>
        <w:t>Aussiebee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 and NewYums share a board of directors, made up of six Australians and one Lyonessian. 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20 in Sydney and 20 in Lyonesse. Aussiebee’s CEO is an Australian, but resident in Lyonesse. Aussiebee’s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is insolvent. NewYums,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 liquidator has been appointed to Aussiebee in Lyonesse. She applies to the Federal Court of Australia for recognition of the Lyonessian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xml:space="preserve">, and for orders entrusting </w:t>
      </w:r>
      <w:r w:rsidRPr="00B2234F">
        <w:rPr>
          <w:rFonts w:ascii="Avenir Next" w:hAnsi="Avenir Next" w:cs="Arial"/>
          <w:sz w:val="22"/>
          <w:szCs w:val="22"/>
          <w:lang w:val="en-GB"/>
        </w:rPr>
        <w:lastRenderedPageBreak/>
        <w:t>Aussiebee’s assets (including Aussiebee’s shares in NewYums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20 million) to her, so that she can realise them for the benefit of creditors in the Lyonessian 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73B59E33" w14:textId="77777777" w:rsidR="00001483" w:rsidRDefault="00DA6A22" w:rsidP="008420F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ATO would be advised to </w:t>
      </w:r>
      <w:r w:rsidR="00001483">
        <w:rPr>
          <w:rFonts w:ascii="Avenir Next" w:hAnsi="Avenir Next" w:cs="Arial"/>
          <w:color w:val="4472C4" w:themeColor="accent1"/>
          <w:sz w:val="22"/>
          <w:szCs w:val="22"/>
          <w:lang w:val="en-GB"/>
        </w:rPr>
        <w:t>take the following course of action:</w:t>
      </w:r>
    </w:p>
    <w:p w14:paraId="51459071" w14:textId="77777777" w:rsidR="00001483" w:rsidRDefault="00001483" w:rsidP="008420F8">
      <w:pPr>
        <w:jc w:val="both"/>
        <w:rPr>
          <w:rFonts w:ascii="Avenir Next" w:hAnsi="Avenir Next" w:cs="Arial"/>
          <w:color w:val="4472C4" w:themeColor="accent1"/>
          <w:sz w:val="22"/>
          <w:szCs w:val="22"/>
          <w:lang w:val="en-GB"/>
        </w:rPr>
      </w:pPr>
    </w:p>
    <w:p w14:paraId="05B26E9A" w14:textId="43B3CBA8" w:rsidR="008420F8" w:rsidRDefault="00DA6A22" w:rsidP="00001483">
      <w:pPr>
        <w:pStyle w:val="ListParagraph"/>
        <w:numPr>
          <w:ilvl w:val="0"/>
          <w:numId w:val="34"/>
        </w:numPr>
        <w:jc w:val="both"/>
        <w:rPr>
          <w:rFonts w:ascii="Avenir Next" w:hAnsi="Avenir Next" w:cs="Arial"/>
          <w:color w:val="4472C4" w:themeColor="accent1"/>
          <w:sz w:val="22"/>
          <w:szCs w:val="22"/>
          <w:lang w:val="en-GB"/>
        </w:rPr>
      </w:pPr>
      <w:r w:rsidRPr="00001483">
        <w:rPr>
          <w:rFonts w:ascii="Avenir Next" w:hAnsi="Avenir Next" w:cs="Arial"/>
          <w:color w:val="4472C4" w:themeColor="accent1"/>
          <w:sz w:val="22"/>
          <w:szCs w:val="22"/>
          <w:lang w:val="en-GB"/>
        </w:rPr>
        <w:t>object to the application for recognition on the following bas</w:t>
      </w:r>
      <w:r w:rsidR="00001483">
        <w:rPr>
          <w:rFonts w:ascii="Avenir Next" w:hAnsi="Avenir Next" w:cs="Arial"/>
          <w:color w:val="4472C4" w:themeColor="accent1"/>
          <w:sz w:val="22"/>
          <w:szCs w:val="22"/>
          <w:lang w:val="en-GB"/>
        </w:rPr>
        <w:t>es that the Lyonesse proceedings are recognised as main foreign proceeding</w:t>
      </w:r>
      <w:r w:rsidR="00405652">
        <w:rPr>
          <w:rFonts w:ascii="Avenir Next" w:hAnsi="Avenir Next" w:cs="Arial"/>
          <w:color w:val="4472C4" w:themeColor="accent1"/>
          <w:sz w:val="22"/>
          <w:szCs w:val="22"/>
          <w:lang w:val="en-GB"/>
        </w:rPr>
        <w:t>s. this can be established when the following facts are considered:</w:t>
      </w:r>
    </w:p>
    <w:p w14:paraId="77FCE165" w14:textId="77777777" w:rsidR="00405652" w:rsidRDefault="00405652" w:rsidP="00405652">
      <w:pPr>
        <w:pStyle w:val="ListParagraph"/>
        <w:jc w:val="both"/>
        <w:rPr>
          <w:rFonts w:ascii="Avenir Next" w:hAnsi="Avenir Next" w:cs="Arial"/>
          <w:color w:val="4472C4" w:themeColor="accent1"/>
          <w:sz w:val="22"/>
          <w:szCs w:val="22"/>
          <w:lang w:val="en-GB"/>
        </w:rPr>
      </w:pPr>
    </w:p>
    <w:p w14:paraId="66DE1437" w14:textId="5C641F29" w:rsidR="00405652" w:rsidRDefault="00405652" w:rsidP="00405652">
      <w:pPr>
        <w:pStyle w:val="ListParagraph"/>
        <w:numPr>
          <w:ilvl w:val="0"/>
          <w:numId w:val="3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most of the staff are Australian including the most senior staff members</w:t>
      </w:r>
    </w:p>
    <w:p w14:paraId="22F998B5" w14:textId="11589470" w:rsidR="00405652" w:rsidRDefault="00405652" w:rsidP="00405652">
      <w:pPr>
        <w:pStyle w:val="ListParagraph"/>
        <w:numPr>
          <w:ilvl w:val="0"/>
          <w:numId w:val="3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significant assets in the form of the warehouses are located in Australia </w:t>
      </w:r>
    </w:p>
    <w:p w14:paraId="472F03D7" w14:textId="1428BD04" w:rsidR="00405652" w:rsidRDefault="00933DEA" w:rsidP="00405652">
      <w:pPr>
        <w:pStyle w:val="ListParagraph"/>
        <w:numPr>
          <w:ilvl w:val="0"/>
          <w:numId w:val="3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NewYums is an Australia corporation </w:t>
      </w:r>
    </w:p>
    <w:p w14:paraId="569E116B" w14:textId="615C2EEA" w:rsidR="00933DEA" w:rsidRPr="00001483" w:rsidRDefault="00933DEA" w:rsidP="00405652">
      <w:pPr>
        <w:pStyle w:val="ListParagraph"/>
        <w:numPr>
          <w:ilvl w:val="0"/>
          <w:numId w:val="35"/>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NewYums remains solvent</w:t>
      </w:r>
    </w:p>
    <w:p w14:paraId="5FAB4A63" w14:textId="77777777" w:rsidR="00DA6A22" w:rsidRDefault="00DA6A22" w:rsidP="008420F8">
      <w:pPr>
        <w:jc w:val="both"/>
        <w:rPr>
          <w:rFonts w:ascii="Avenir Next" w:hAnsi="Avenir Next" w:cs="Arial"/>
          <w:color w:val="4472C4" w:themeColor="accent1"/>
          <w:sz w:val="22"/>
          <w:szCs w:val="22"/>
          <w:lang w:val="en-GB"/>
        </w:rPr>
      </w:pPr>
    </w:p>
    <w:p w14:paraId="11F5771F" w14:textId="10E79B88" w:rsidR="00933DEA" w:rsidRDefault="00405652" w:rsidP="00DA6A22">
      <w:pPr>
        <w:pStyle w:val="ListParagraph"/>
        <w:numPr>
          <w:ilvl w:val="0"/>
          <w:numId w:val="34"/>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ATO should </w:t>
      </w:r>
      <w:r w:rsidR="00933DEA">
        <w:rPr>
          <w:rFonts w:ascii="Avenir Next" w:hAnsi="Avenir Next" w:cs="Arial"/>
          <w:color w:val="4472C4" w:themeColor="accent1"/>
          <w:sz w:val="22"/>
          <w:szCs w:val="22"/>
          <w:lang w:val="en-GB"/>
        </w:rPr>
        <w:t>also object to the recognition order on the basis that its interests as a creditor would not be adequately protected as Article 19 requires since it would not be able to prove the outstanding tax liability in the Lyonessian liquidation.</w:t>
      </w:r>
    </w:p>
    <w:p w14:paraId="1CA123CD" w14:textId="77777777" w:rsidR="00933DEA" w:rsidRDefault="00933DEA" w:rsidP="00933DEA">
      <w:pPr>
        <w:pStyle w:val="ListParagraph"/>
        <w:jc w:val="both"/>
        <w:rPr>
          <w:rFonts w:ascii="Avenir Next" w:hAnsi="Avenir Next" w:cs="Arial"/>
          <w:color w:val="4472C4" w:themeColor="accent1"/>
          <w:sz w:val="22"/>
          <w:szCs w:val="22"/>
          <w:lang w:val="en-GB"/>
        </w:rPr>
      </w:pPr>
    </w:p>
    <w:p w14:paraId="4B5819E6" w14:textId="25F66E84" w:rsidR="00933DEA" w:rsidRDefault="00933DEA" w:rsidP="00DA6A22">
      <w:pPr>
        <w:pStyle w:val="ListParagraph"/>
        <w:numPr>
          <w:ilvl w:val="0"/>
          <w:numId w:val="34"/>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This inability to prove may also constitute a public policy reason to refuse recognition</w:t>
      </w:r>
    </w:p>
    <w:p w14:paraId="7CBE38B8" w14:textId="77777777" w:rsidR="00933DEA" w:rsidRPr="00933DEA" w:rsidRDefault="00933DEA" w:rsidP="00933DEA">
      <w:pPr>
        <w:jc w:val="both"/>
        <w:rPr>
          <w:rFonts w:ascii="Avenir Next" w:hAnsi="Avenir Next" w:cs="Arial"/>
          <w:color w:val="4472C4" w:themeColor="accent1"/>
          <w:sz w:val="22"/>
          <w:szCs w:val="22"/>
          <w:lang w:val="en-GB"/>
        </w:rPr>
      </w:pPr>
    </w:p>
    <w:p w14:paraId="5C053E78" w14:textId="356FE54D" w:rsidR="00DA6A22" w:rsidRPr="00DA6A22" w:rsidRDefault="00933DEA" w:rsidP="00DA6A22">
      <w:pPr>
        <w:pStyle w:val="ListParagraph"/>
        <w:numPr>
          <w:ilvl w:val="0"/>
          <w:numId w:val="34"/>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  In the event that the court granted recognition despite the objective, t</w:t>
      </w:r>
      <w:r w:rsidR="00405652">
        <w:rPr>
          <w:rFonts w:ascii="Avenir Next" w:hAnsi="Avenir Next" w:cs="Arial"/>
          <w:color w:val="4472C4" w:themeColor="accent1"/>
          <w:sz w:val="22"/>
          <w:szCs w:val="22"/>
          <w:lang w:val="en-GB"/>
        </w:rPr>
        <w:t xml:space="preserve">hen </w:t>
      </w:r>
      <w:r>
        <w:rPr>
          <w:rFonts w:ascii="Avenir Next" w:hAnsi="Avenir Next" w:cs="Arial"/>
          <w:color w:val="4472C4" w:themeColor="accent1"/>
          <w:sz w:val="22"/>
          <w:szCs w:val="22"/>
          <w:lang w:val="en-GB"/>
        </w:rPr>
        <w:t xml:space="preserve">ATO should </w:t>
      </w:r>
      <w:r w:rsidR="00405652">
        <w:rPr>
          <w:rFonts w:ascii="Avenir Next" w:hAnsi="Avenir Next" w:cs="Arial"/>
          <w:color w:val="4472C4" w:themeColor="accent1"/>
          <w:sz w:val="22"/>
          <w:szCs w:val="22"/>
          <w:lang w:val="en-GB"/>
        </w:rPr>
        <w:t xml:space="preserve">make an application seeking leave of the court to enforce its claim against </w:t>
      </w:r>
      <w:r w:rsidR="001B34BE">
        <w:rPr>
          <w:rFonts w:ascii="Avenir Next" w:hAnsi="Avenir Next" w:cs="Arial"/>
          <w:color w:val="4472C4" w:themeColor="accent1"/>
          <w:sz w:val="22"/>
          <w:szCs w:val="22"/>
          <w:lang w:val="en-GB"/>
        </w:rPr>
        <w:t xml:space="preserve">NewYums in order to ensure that it is able to collect on the tax liability in Australia as if it were entitled to do so in the Lyonessian proceedings. This is a condition that was applied by the Courtin Ackers v Deputy Commissioners of Taxation and ought to be used to ensure that the interests of creditors are adequately protected in the recognition </w:t>
      </w:r>
      <w:r>
        <w:rPr>
          <w:rFonts w:ascii="Avenir Next" w:hAnsi="Avenir Next" w:cs="Arial"/>
          <w:color w:val="4472C4" w:themeColor="accent1"/>
          <w:sz w:val="22"/>
          <w:szCs w:val="22"/>
          <w:lang w:val="en-GB"/>
        </w:rPr>
        <w:t xml:space="preserve"> </w:t>
      </w:r>
      <w:r w:rsidR="001B34BE">
        <w:rPr>
          <w:rFonts w:ascii="Avenir Next" w:hAnsi="Avenir Next" w:cs="Arial"/>
          <w:color w:val="4472C4" w:themeColor="accent1"/>
          <w:sz w:val="22"/>
          <w:szCs w:val="22"/>
          <w:lang w:val="en-GB"/>
        </w:rPr>
        <w:t xml:space="preserve">process. </w:t>
      </w:r>
    </w:p>
    <w:p w14:paraId="61835074" w14:textId="77777777" w:rsidR="008420F8" w:rsidRPr="00B2234F" w:rsidRDefault="008420F8" w:rsidP="00E14FED">
      <w:pPr>
        <w:jc w:val="both"/>
        <w:rPr>
          <w:rFonts w:ascii="Avenir Next" w:hAnsi="Avenir Next" w:cs="Arial"/>
          <w:sz w:val="22"/>
          <w:szCs w:val="22"/>
          <w:lang w:val="en-GB"/>
        </w:rPr>
      </w:pPr>
    </w:p>
    <w:p w14:paraId="65F5F5B0" w14:textId="1894AE21" w:rsidR="00E14FED" w:rsidRPr="00B2234F" w:rsidRDefault="00E14FED" w:rsidP="002476AF">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 w:name="_Hlk60755414"/>
      <w:r w:rsidRPr="00B2234F">
        <w:rPr>
          <w:rFonts w:ascii="Avenir Next" w:hAnsi="Avenir Next" w:cs="Arial"/>
          <w:sz w:val="22"/>
          <w:szCs w:val="22"/>
          <w:lang w:val="en-GB"/>
        </w:rPr>
        <w:t>Hy</w:t>
      </w:r>
      <w:r w:rsidR="00E409FC" w:rsidRPr="00B2234F">
        <w:rPr>
          <w:rFonts w:ascii="Avenir Next" w:hAnsi="Avenir Next" w:cs="Arial"/>
          <w:sz w:val="22"/>
          <w:szCs w:val="22"/>
          <w:lang w:val="en-GB"/>
        </w:rPr>
        <w:t xml:space="preserve">rofine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r w:rsidR="00533704" w:rsidRPr="00B2234F">
        <w:rPr>
          <w:rFonts w:ascii="Avenir Next" w:hAnsi="Avenir Next" w:cs="Arial"/>
          <w:sz w:val="22"/>
          <w:szCs w:val="22"/>
          <w:lang w:val="en-GB"/>
        </w:rPr>
        <w:t xml:space="preserve">All of the shares in HA are owned by HA’s parent company, Hyrofine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w:t>
      </w:r>
      <w:proofErr w:type="gramStart"/>
      <w:r w:rsidR="00176286" w:rsidRPr="00B2234F">
        <w:rPr>
          <w:rFonts w:ascii="Avenir Next" w:hAnsi="Avenir Next" w:cs="Arial"/>
          <w:sz w:val="22"/>
          <w:szCs w:val="22"/>
          <w:lang w:val="en-GB"/>
        </w:rPr>
        <w:t>directors</w:t>
      </w:r>
      <w:proofErr w:type="gramEnd"/>
      <w:r w:rsidR="00176286" w:rsidRPr="00B2234F">
        <w:rPr>
          <w:rFonts w:ascii="Avenir Next" w:hAnsi="Avenir Next" w:cs="Arial"/>
          <w:sz w:val="22"/>
          <w:szCs w:val="22"/>
          <w:lang w:val="en-GB"/>
        </w:rPr>
        <w:t xml:space="preserve">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lastRenderedPageBreak/>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r w:rsidR="00FC7249" w:rsidRPr="00B2234F">
        <w:rPr>
          <w:rFonts w:ascii="Avenir Next" w:hAnsi="Avenir Next" w:cs="Arial"/>
          <w:sz w:val="22"/>
          <w:szCs w:val="22"/>
          <w:lang w:val="en-GB"/>
        </w:rPr>
        <w:t>unprofitable</w:t>
      </w:r>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r w:rsidR="00FA0CE9" w:rsidRPr="00B2234F">
        <w:rPr>
          <w:rFonts w:ascii="Avenir Next" w:hAnsi="Avenir Next" w:cs="Arial"/>
          <w:sz w:val="22"/>
          <w:szCs w:val="22"/>
          <w:lang w:val="en-GB"/>
        </w:rPr>
        <w:t>enters into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in </w:t>
      </w:r>
      <w:r w:rsidR="00FC7249" w:rsidRPr="00B2234F">
        <w:rPr>
          <w:rFonts w:ascii="Avenir Next" w:hAnsi="Avenir Next" w:cs="Arial"/>
          <w:sz w:val="22"/>
          <w:szCs w:val="22"/>
          <w:lang w:val="en-GB"/>
        </w:rPr>
        <w:t>light of the facts set out above?</w:t>
      </w:r>
    </w:p>
    <w:p w14:paraId="0B429D70" w14:textId="159E8D2F" w:rsidR="008420F8" w:rsidRDefault="008420F8" w:rsidP="00FC7249">
      <w:pPr>
        <w:jc w:val="both"/>
        <w:rPr>
          <w:rFonts w:ascii="Avenir Next" w:hAnsi="Avenir Next" w:cs="Arial"/>
          <w:sz w:val="22"/>
          <w:szCs w:val="22"/>
          <w:lang w:val="en-GB"/>
        </w:rPr>
      </w:pPr>
    </w:p>
    <w:p w14:paraId="1B5F5F27" w14:textId="5B07F357" w:rsidR="008420F8" w:rsidRDefault="00777285" w:rsidP="008420F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There are several options open to the Board and several matters of which it should be aware. These are as follows:</w:t>
      </w:r>
    </w:p>
    <w:p w14:paraId="6FFBC7A9" w14:textId="77777777" w:rsidR="00777285" w:rsidRDefault="00777285" w:rsidP="008420F8">
      <w:pPr>
        <w:jc w:val="both"/>
        <w:rPr>
          <w:rFonts w:ascii="Avenir Next" w:hAnsi="Avenir Next" w:cs="Arial"/>
          <w:color w:val="4472C4" w:themeColor="accent1"/>
          <w:sz w:val="22"/>
          <w:szCs w:val="22"/>
          <w:lang w:val="en-GB"/>
        </w:rPr>
      </w:pPr>
    </w:p>
    <w:p w14:paraId="29D12FE2" w14:textId="77777777" w:rsidR="00E04737" w:rsidRDefault="00777285" w:rsidP="00777285">
      <w:pPr>
        <w:pStyle w:val="ListParagraph"/>
        <w:numPr>
          <w:ilvl w:val="0"/>
          <w:numId w:val="3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question arises as to whether the directors are engaged in insolvent trading such that would attract a lability claim against them by liquidator in the event that HA ent</w:t>
      </w:r>
      <w:r w:rsidR="005F7C50">
        <w:rPr>
          <w:rFonts w:ascii="Avenir Next" w:hAnsi="Avenir Next" w:cs="Arial"/>
          <w:color w:val="4472C4" w:themeColor="accent1"/>
          <w:sz w:val="22"/>
          <w:szCs w:val="22"/>
          <w:lang w:val="en-GB"/>
        </w:rPr>
        <w:t xml:space="preserve">ers liquidation. The date of the judgment is clearly within the </w:t>
      </w:r>
      <w:r w:rsidR="005F7C50">
        <w:rPr>
          <w:rFonts w:ascii="Avenir Next" w:hAnsi="Avenir Next" w:cs="Arial"/>
          <w:color w:val="4472C4" w:themeColor="accent1"/>
          <w:sz w:val="22"/>
          <w:szCs w:val="22"/>
          <w:lang w:val="en-GB"/>
        </w:rPr>
        <w:lastRenderedPageBreak/>
        <w:t xml:space="preserve">clawback date and the question arises as to whether a reasonable director would continue to have the company trade in those circumstances. </w:t>
      </w:r>
    </w:p>
    <w:p w14:paraId="3E98047E" w14:textId="77777777" w:rsidR="00E04737" w:rsidRDefault="00E04737" w:rsidP="00E04737">
      <w:pPr>
        <w:pStyle w:val="ListParagraph"/>
        <w:ind w:left="1080"/>
        <w:jc w:val="both"/>
        <w:rPr>
          <w:rFonts w:ascii="Avenir Next" w:hAnsi="Avenir Next" w:cs="Arial"/>
          <w:color w:val="4472C4" w:themeColor="accent1"/>
          <w:sz w:val="22"/>
          <w:szCs w:val="22"/>
          <w:lang w:val="en-GB"/>
        </w:rPr>
      </w:pPr>
    </w:p>
    <w:p w14:paraId="6EDF920E" w14:textId="4F1FADCA" w:rsidR="00777285" w:rsidRDefault="005F7C50" w:rsidP="00777285">
      <w:pPr>
        <w:pStyle w:val="ListParagraph"/>
        <w:numPr>
          <w:ilvl w:val="0"/>
          <w:numId w:val="3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In light of that, the Board can either immediately consider making an out of court effort to restructure in order to reduce the likelihood of a</w:t>
      </w:r>
      <w:r w:rsidR="00E04737">
        <w:rPr>
          <w:rFonts w:ascii="Avenir Next" w:hAnsi="Avenir Next" w:cs="Arial"/>
          <w:color w:val="4472C4" w:themeColor="accent1"/>
          <w:sz w:val="22"/>
          <w:szCs w:val="22"/>
          <w:lang w:val="en-GB"/>
        </w:rPr>
        <w:t>n</w:t>
      </w:r>
      <w:r>
        <w:rPr>
          <w:rFonts w:ascii="Avenir Next" w:hAnsi="Avenir Next" w:cs="Arial"/>
          <w:color w:val="4472C4" w:themeColor="accent1"/>
          <w:sz w:val="22"/>
          <w:szCs w:val="22"/>
          <w:lang w:val="en-GB"/>
        </w:rPr>
        <w:t xml:space="preserve"> insolvent trading charge</w:t>
      </w:r>
      <w:r w:rsidR="00E04737">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so that it can be restructured</w:t>
      </w:r>
      <w:r w:rsidR="00E04737">
        <w:rPr>
          <w:rFonts w:ascii="Avenir Next" w:hAnsi="Avenir Next" w:cs="Arial"/>
          <w:color w:val="4472C4" w:themeColor="accent1"/>
          <w:sz w:val="22"/>
          <w:szCs w:val="22"/>
          <w:lang w:val="en-GB"/>
        </w:rPr>
        <w:t xml:space="preserve"> with a view to returning to solvency. </w:t>
      </w:r>
    </w:p>
    <w:p w14:paraId="72688C14" w14:textId="77777777" w:rsidR="005F7C50" w:rsidRDefault="005F7C50" w:rsidP="005F7C50">
      <w:pPr>
        <w:pStyle w:val="ListParagraph"/>
        <w:ind w:left="1080"/>
        <w:jc w:val="both"/>
        <w:rPr>
          <w:rFonts w:ascii="Avenir Next" w:hAnsi="Avenir Next" w:cs="Arial"/>
          <w:color w:val="4472C4" w:themeColor="accent1"/>
          <w:sz w:val="22"/>
          <w:szCs w:val="22"/>
          <w:lang w:val="en-GB"/>
        </w:rPr>
      </w:pPr>
    </w:p>
    <w:p w14:paraId="370CB522" w14:textId="77777777" w:rsidR="00E04737" w:rsidRDefault="00E04737" w:rsidP="00FC7249">
      <w:pPr>
        <w:pStyle w:val="ListParagraph"/>
        <w:numPr>
          <w:ilvl w:val="0"/>
          <w:numId w:val="3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Board should also consider voluntary liquidation which would provide ample protection to HA while negotiating a possible sale to its competitor. </w:t>
      </w:r>
    </w:p>
    <w:p w14:paraId="7D8DBD3A" w14:textId="77777777" w:rsidR="00E04737" w:rsidRPr="00E04737" w:rsidRDefault="00E04737" w:rsidP="00E04737">
      <w:pPr>
        <w:pStyle w:val="ListParagraph"/>
        <w:rPr>
          <w:rFonts w:ascii="Avenir Next" w:hAnsi="Avenir Next" w:cs="Arial"/>
          <w:color w:val="4472C4" w:themeColor="accent1"/>
          <w:sz w:val="22"/>
          <w:szCs w:val="22"/>
          <w:lang w:val="en-GB"/>
        </w:rPr>
      </w:pPr>
    </w:p>
    <w:p w14:paraId="7E9B0017" w14:textId="46A60F52" w:rsidR="008420F8" w:rsidRDefault="00E04737" w:rsidP="00FC7249">
      <w:pPr>
        <w:pStyle w:val="ListParagraph"/>
        <w:numPr>
          <w:ilvl w:val="0"/>
          <w:numId w:val="3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Continuing</w:t>
      </w:r>
      <w:r>
        <w:rPr>
          <w:rFonts w:ascii="Avenir Next" w:hAnsi="Avenir Next" w:cs="Arial"/>
          <w:color w:val="4472C4" w:themeColor="accent1"/>
          <w:sz w:val="22"/>
          <w:szCs w:val="22"/>
          <w:lang w:val="en-GB"/>
        </w:rPr>
        <w:t xml:space="preserve"> to trade in those circumstances</w:t>
      </w:r>
      <w:r>
        <w:rPr>
          <w:rFonts w:ascii="Avenir Next" w:hAnsi="Avenir Next" w:cs="Arial"/>
          <w:color w:val="4472C4" w:themeColor="accent1"/>
          <w:sz w:val="22"/>
          <w:szCs w:val="22"/>
          <w:lang w:val="en-GB"/>
        </w:rPr>
        <w:t xml:space="preserve"> as described above also makes the transactions entered into </w:t>
      </w:r>
      <w:r w:rsidR="004B1624">
        <w:rPr>
          <w:rFonts w:ascii="Avenir Next" w:hAnsi="Avenir Next" w:cs="Arial"/>
          <w:color w:val="4472C4" w:themeColor="accent1"/>
          <w:sz w:val="22"/>
          <w:szCs w:val="22"/>
          <w:lang w:val="en-GB"/>
        </w:rPr>
        <w:t xml:space="preserve">subject to the new anti-phoenixing regime which seeks to prevent and invalidate transactions which are designed to defeat the interests of creditors. </w:t>
      </w:r>
    </w:p>
    <w:p w14:paraId="75BA46CF" w14:textId="77777777" w:rsidR="004B1624" w:rsidRPr="004B1624" w:rsidRDefault="004B1624" w:rsidP="004B1624">
      <w:pPr>
        <w:pStyle w:val="ListParagraph"/>
        <w:rPr>
          <w:rFonts w:ascii="Avenir Next" w:hAnsi="Avenir Next" w:cs="Arial"/>
          <w:color w:val="4472C4" w:themeColor="accent1"/>
          <w:sz w:val="22"/>
          <w:szCs w:val="22"/>
          <w:lang w:val="en-GB"/>
        </w:rPr>
      </w:pPr>
    </w:p>
    <w:p w14:paraId="7043D7CA" w14:textId="684F0B41" w:rsidR="004B1624" w:rsidRPr="00E04737" w:rsidRDefault="004B1624" w:rsidP="00FC7249">
      <w:pPr>
        <w:pStyle w:val="ListParagraph"/>
        <w:numPr>
          <w:ilvl w:val="0"/>
          <w:numId w:val="3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Board should also note that the mortgages over the trucks and the loan agreement secured by the plant can be separately enforced by the lender in accordance with the terms of the loan. It is likely that a receiver will be appointed </w:t>
      </w:r>
      <w:r w:rsidR="00DE10FD">
        <w:rPr>
          <w:rFonts w:ascii="Avenir Next" w:hAnsi="Avenir Next" w:cs="Arial"/>
          <w:color w:val="4472C4" w:themeColor="accent1"/>
          <w:sz w:val="22"/>
          <w:szCs w:val="22"/>
          <w:lang w:val="en-GB"/>
        </w:rPr>
        <w:t>in the event that HA defaults as expected. At this point, the issues pointed out above will become even more pressing.</w:t>
      </w: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19FE" w14:textId="77777777" w:rsidR="00583C3F" w:rsidRDefault="00583C3F" w:rsidP="00241B44">
      <w:r>
        <w:separator/>
      </w:r>
    </w:p>
  </w:endnote>
  <w:endnote w:type="continuationSeparator" w:id="0">
    <w:p w14:paraId="6649BB72" w14:textId="77777777" w:rsidR="00583C3F" w:rsidRDefault="00583C3F" w:rsidP="00241B44">
      <w:r>
        <w:continuationSeparator/>
      </w:r>
    </w:p>
  </w:endnote>
  <w:endnote w:type="continuationNotice" w:id="1">
    <w:p w14:paraId="3003547F" w14:textId="77777777" w:rsidR="00583C3F" w:rsidRDefault="00583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Ƣ悀"/>
    <w:panose1 w:val="020B0503020202020204"/>
    <w:charset w:val="00"/>
    <w:family w:val="swiss"/>
    <w:pitch w:val="variable"/>
    <w:sig w:usb0="800000AF" w:usb1="5000204A" w:usb2="00000000" w:usb3="00000000" w:csb0="0000009B"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F9AF1B7" w:rsidR="00542A3A" w:rsidRPr="009B4976" w:rsidRDefault="00FA1EFC" w:rsidP="009B4976">
    <w:pPr>
      <w:pStyle w:val="Footer"/>
      <w:ind w:right="360"/>
      <w:rPr>
        <w:rFonts w:ascii="Arial" w:hAnsi="Arial" w:cs="Arial"/>
        <w:sz w:val="18"/>
        <w:szCs w:val="18"/>
        <w:lang w:val="en-GB"/>
      </w:rPr>
    </w:pPr>
    <w:r>
      <w:rPr>
        <w:rFonts w:ascii="Arial" w:hAnsi="Arial" w:cs="Arial"/>
        <w:sz w:val="18"/>
        <w:szCs w:val="18"/>
        <w:lang w:val="en-GB"/>
      </w:rPr>
      <w:t>202223.1001</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6D69" w14:textId="77777777" w:rsidR="00583C3F" w:rsidRDefault="00583C3F" w:rsidP="00241B44">
      <w:r>
        <w:separator/>
      </w:r>
    </w:p>
  </w:footnote>
  <w:footnote w:type="continuationSeparator" w:id="0">
    <w:p w14:paraId="4780EBC1" w14:textId="77777777" w:rsidR="00583C3F" w:rsidRDefault="00583C3F" w:rsidP="00241B44">
      <w:r>
        <w:continuationSeparator/>
      </w:r>
    </w:p>
  </w:footnote>
  <w:footnote w:type="continuationNotice" w:id="1">
    <w:p w14:paraId="50FAB157" w14:textId="77777777" w:rsidR="00583C3F" w:rsidRDefault="00583C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277389A"/>
    <w:multiLevelType w:val="hybridMultilevel"/>
    <w:tmpl w:val="008ECA2E"/>
    <w:lvl w:ilvl="0" w:tplc="2996E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A1F"/>
    <w:multiLevelType w:val="hybridMultilevel"/>
    <w:tmpl w:val="6B1C81DC"/>
    <w:lvl w:ilvl="0" w:tplc="D5023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C456C"/>
    <w:multiLevelType w:val="hybridMultilevel"/>
    <w:tmpl w:val="75B4E446"/>
    <w:lvl w:ilvl="0" w:tplc="0248C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55D2105"/>
    <w:multiLevelType w:val="hybridMultilevel"/>
    <w:tmpl w:val="15F6CF96"/>
    <w:lvl w:ilvl="0" w:tplc="0A0845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9282C2D"/>
    <w:multiLevelType w:val="hybridMultilevel"/>
    <w:tmpl w:val="06A083AC"/>
    <w:lvl w:ilvl="0" w:tplc="305C9A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917390"/>
    <w:multiLevelType w:val="hybridMultilevel"/>
    <w:tmpl w:val="391083E0"/>
    <w:lvl w:ilvl="0" w:tplc="B1827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B4936"/>
    <w:multiLevelType w:val="hybridMultilevel"/>
    <w:tmpl w:val="CC62728A"/>
    <w:lvl w:ilvl="0" w:tplc="C3EE3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0C453A"/>
    <w:multiLevelType w:val="hybridMultilevel"/>
    <w:tmpl w:val="9A44C010"/>
    <w:lvl w:ilvl="0" w:tplc="1B90A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1292369">
    <w:abstractNumId w:val="31"/>
  </w:num>
  <w:num w:numId="2" w16cid:durableId="1322000976">
    <w:abstractNumId w:val="16"/>
  </w:num>
  <w:num w:numId="3" w16cid:durableId="792140177">
    <w:abstractNumId w:val="14"/>
  </w:num>
  <w:num w:numId="4" w16cid:durableId="597830762">
    <w:abstractNumId w:val="27"/>
  </w:num>
  <w:num w:numId="5" w16cid:durableId="1415273478">
    <w:abstractNumId w:val="15"/>
  </w:num>
  <w:num w:numId="6" w16cid:durableId="1885872064">
    <w:abstractNumId w:val="19"/>
  </w:num>
  <w:num w:numId="7" w16cid:durableId="2112896249">
    <w:abstractNumId w:val="29"/>
  </w:num>
  <w:num w:numId="8" w16cid:durableId="726687480">
    <w:abstractNumId w:val="24"/>
  </w:num>
  <w:num w:numId="9" w16cid:durableId="1992251049">
    <w:abstractNumId w:val="12"/>
  </w:num>
  <w:num w:numId="10" w16cid:durableId="225724657">
    <w:abstractNumId w:val="9"/>
  </w:num>
  <w:num w:numId="11" w16cid:durableId="1607693674">
    <w:abstractNumId w:val="0"/>
  </w:num>
  <w:num w:numId="12" w16cid:durableId="676619141">
    <w:abstractNumId w:val="26"/>
  </w:num>
  <w:num w:numId="13" w16cid:durableId="538319342">
    <w:abstractNumId w:val="32"/>
  </w:num>
  <w:num w:numId="14" w16cid:durableId="2053000707">
    <w:abstractNumId w:val="10"/>
  </w:num>
  <w:num w:numId="15" w16cid:durableId="745686298">
    <w:abstractNumId w:val="5"/>
  </w:num>
  <w:num w:numId="16" w16cid:durableId="1298687039">
    <w:abstractNumId w:val="3"/>
  </w:num>
  <w:num w:numId="17" w16cid:durableId="2138139893">
    <w:abstractNumId w:val="33"/>
  </w:num>
  <w:num w:numId="18" w16cid:durableId="2043633671">
    <w:abstractNumId w:val="6"/>
  </w:num>
  <w:num w:numId="19" w16cid:durableId="1937251708">
    <w:abstractNumId w:val="22"/>
  </w:num>
  <w:num w:numId="20" w16cid:durableId="1980256647">
    <w:abstractNumId w:val="4"/>
  </w:num>
  <w:num w:numId="21" w16cid:durableId="1110735618">
    <w:abstractNumId w:val="20"/>
  </w:num>
  <w:num w:numId="22" w16cid:durableId="1363745076">
    <w:abstractNumId w:val="34"/>
  </w:num>
  <w:num w:numId="23" w16cid:durableId="113670183">
    <w:abstractNumId w:val="17"/>
  </w:num>
  <w:num w:numId="24" w16cid:durableId="72049430">
    <w:abstractNumId w:val="21"/>
  </w:num>
  <w:num w:numId="25" w16cid:durableId="1716002904">
    <w:abstractNumId w:val="23"/>
  </w:num>
  <w:num w:numId="26" w16cid:durableId="1610969408">
    <w:abstractNumId w:val="28"/>
  </w:num>
  <w:num w:numId="27" w16cid:durableId="1236630051">
    <w:abstractNumId w:val="8"/>
  </w:num>
  <w:num w:numId="28" w16cid:durableId="1113089337">
    <w:abstractNumId w:val="30"/>
  </w:num>
  <w:num w:numId="29" w16cid:durableId="687416614">
    <w:abstractNumId w:val="25"/>
  </w:num>
  <w:num w:numId="30" w16cid:durableId="1065104517">
    <w:abstractNumId w:val="7"/>
  </w:num>
  <w:num w:numId="31" w16cid:durableId="1389455343">
    <w:abstractNumId w:val="11"/>
  </w:num>
  <w:num w:numId="32" w16cid:durableId="1147666791">
    <w:abstractNumId w:val="2"/>
  </w:num>
  <w:num w:numId="33" w16cid:durableId="1483042381">
    <w:abstractNumId w:val="18"/>
  </w:num>
  <w:num w:numId="34" w16cid:durableId="388580790">
    <w:abstractNumId w:val="1"/>
  </w:num>
  <w:num w:numId="35" w16cid:durableId="149641558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1483"/>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31F2"/>
    <w:rsid w:val="00054BD6"/>
    <w:rsid w:val="00065166"/>
    <w:rsid w:val="00082609"/>
    <w:rsid w:val="000851CC"/>
    <w:rsid w:val="00087F21"/>
    <w:rsid w:val="00093BE8"/>
    <w:rsid w:val="000A407B"/>
    <w:rsid w:val="000A68ED"/>
    <w:rsid w:val="000B5FF1"/>
    <w:rsid w:val="000B609F"/>
    <w:rsid w:val="000C5BBD"/>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3356C"/>
    <w:rsid w:val="001356AE"/>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52F5"/>
    <w:rsid w:val="001A7E9A"/>
    <w:rsid w:val="001B0F70"/>
    <w:rsid w:val="001B34BE"/>
    <w:rsid w:val="001B5016"/>
    <w:rsid w:val="001C45FC"/>
    <w:rsid w:val="001D0469"/>
    <w:rsid w:val="001D29C0"/>
    <w:rsid w:val="001D4862"/>
    <w:rsid w:val="001E25B9"/>
    <w:rsid w:val="001E49E0"/>
    <w:rsid w:val="001E7B5A"/>
    <w:rsid w:val="001F7412"/>
    <w:rsid w:val="0020090A"/>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903A7"/>
    <w:rsid w:val="0029433F"/>
    <w:rsid w:val="00294829"/>
    <w:rsid w:val="002956E6"/>
    <w:rsid w:val="0029690F"/>
    <w:rsid w:val="00297C8A"/>
    <w:rsid w:val="002A2A60"/>
    <w:rsid w:val="002A2C11"/>
    <w:rsid w:val="002A37BB"/>
    <w:rsid w:val="002A4B95"/>
    <w:rsid w:val="002B05C0"/>
    <w:rsid w:val="002B0C86"/>
    <w:rsid w:val="002B1C45"/>
    <w:rsid w:val="002C13C8"/>
    <w:rsid w:val="002C31EF"/>
    <w:rsid w:val="002C3547"/>
    <w:rsid w:val="002D0021"/>
    <w:rsid w:val="002D299D"/>
    <w:rsid w:val="002D3473"/>
    <w:rsid w:val="002F1956"/>
    <w:rsid w:val="002F3440"/>
    <w:rsid w:val="002F75A3"/>
    <w:rsid w:val="00303C2F"/>
    <w:rsid w:val="003042CB"/>
    <w:rsid w:val="00304B3F"/>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C7202"/>
    <w:rsid w:val="003D0A6D"/>
    <w:rsid w:val="003E0B16"/>
    <w:rsid w:val="003E67D1"/>
    <w:rsid w:val="003E7620"/>
    <w:rsid w:val="00404329"/>
    <w:rsid w:val="00405652"/>
    <w:rsid w:val="00405DC1"/>
    <w:rsid w:val="00415F1F"/>
    <w:rsid w:val="00416D2B"/>
    <w:rsid w:val="0042108F"/>
    <w:rsid w:val="00422295"/>
    <w:rsid w:val="00430FED"/>
    <w:rsid w:val="00433844"/>
    <w:rsid w:val="00434A8C"/>
    <w:rsid w:val="00437297"/>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1624"/>
    <w:rsid w:val="004B23A2"/>
    <w:rsid w:val="004C15FB"/>
    <w:rsid w:val="004D05ED"/>
    <w:rsid w:val="004D1A5A"/>
    <w:rsid w:val="004D2FFF"/>
    <w:rsid w:val="004D3721"/>
    <w:rsid w:val="004D468D"/>
    <w:rsid w:val="004D64F9"/>
    <w:rsid w:val="004E3A6B"/>
    <w:rsid w:val="004E622C"/>
    <w:rsid w:val="004F5FDF"/>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3C3F"/>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4380"/>
    <w:rsid w:val="005E6076"/>
    <w:rsid w:val="005E7008"/>
    <w:rsid w:val="005F026D"/>
    <w:rsid w:val="005F2AEA"/>
    <w:rsid w:val="005F2D0B"/>
    <w:rsid w:val="005F4B31"/>
    <w:rsid w:val="005F7C50"/>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573EF"/>
    <w:rsid w:val="006639DB"/>
    <w:rsid w:val="006661EF"/>
    <w:rsid w:val="00671AF1"/>
    <w:rsid w:val="00677AEB"/>
    <w:rsid w:val="00680EF2"/>
    <w:rsid w:val="00687A1D"/>
    <w:rsid w:val="00690AFA"/>
    <w:rsid w:val="00690C4E"/>
    <w:rsid w:val="00693E95"/>
    <w:rsid w:val="00697EA1"/>
    <w:rsid w:val="006A2646"/>
    <w:rsid w:val="006A4280"/>
    <w:rsid w:val="006A5375"/>
    <w:rsid w:val="006A6530"/>
    <w:rsid w:val="006B435A"/>
    <w:rsid w:val="006B4C64"/>
    <w:rsid w:val="006B7879"/>
    <w:rsid w:val="006D6BD5"/>
    <w:rsid w:val="006E481A"/>
    <w:rsid w:val="006E5298"/>
    <w:rsid w:val="006E6760"/>
    <w:rsid w:val="006F4A78"/>
    <w:rsid w:val="006F734A"/>
    <w:rsid w:val="00700D83"/>
    <w:rsid w:val="00704852"/>
    <w:rsid w:val="00706E27"/>
    <w:rsid w:val="007074E9"/>
    <w:rsid w:val="00713DA4"/>
    <w:rsid w:val="00714BF1"/>
    <w:rsid w:val="00721383"/>
    <w:rsid w:val="0072360C"/>
    <w:rsid w:val="00724CE2"/>
    <w:rsid w:val="0073158B"/>
    <w:rsid w:val="007333CC"/>
    <w:rsid w:val="0073399A"/>
    <w:rsid w:val="0074088D"/>
    <w:rsid w:val="00740DAD"/>
    <w:rsid w:val="007522E8"/>
    <w:rsid w:val="007603F5"/>
    <w:rsid w:val="00764DB0"/>
    <w:rsid w:val="0076764D"/>
    <w:rsid w:val="0077498C"/>
    <w:rsid w:val="00775C59"/>
    <w:rsid w:val="00777285"/>
    <w:rsid w:val="007809BC"/>
    <w:rsid w:val="00783167"/>
    <w:rsid w:val="00784128"/>
    <w:rsid w:val="00785534"/>
    <w:rsid w:val="00787BCC"/>
    <w:rsid w:val="00793173"/>
    <w:rsid w:val="00796B95"/>
    <w:rsid w:val="00797406"/>
    <w:rsid w:val="007A2A33"/>
    <w:rsid w:val="007A4EE0"/>
    <w:rsid w:val="007B22CF"/>
    <w:rsid w:val="007B3A5E"/>
    <w:rsid w:val="007B5C89"/>
    <w:rsid w:val="007C1FCC"/>
    <w:rsid w:val="007C6201"/>
    <w:rsid w:val="007D1640"/>
    <w:rsid w:val="007D7C92"/>
    <w:rsid w:val="007E1154"/>
    <w:rsid w:val="007E6BA4"/>
    <w:rsid w:val="007E7432"/>
    <w:rsid w:val="007F41F8"/>
    <w:rsid w:val="007F54FB"/>
    <w:rsid w:val="007F659B"/>
    <w:rsid w:val="00800BA5"/>
    <w:rsid w:val="0080454E"/>
    <w:rsid w:val="00804C32"/>
    <w:rsid w:val="00806302"/>
    <w:rsid w:val="00807119"/>
    <w:rsid w:val="008235B7"/>
    <w:rsid w:val="00823B29"/>
    <w:rsid w:val="0082483F"/>
    <w:rsid w:val="008279C0"/>
    <w:rsid w:val="008420F8"/>
    <w:rsid w:val="008465BE"/>
    <w:rsid w:val="00867701"/>
    <w:rsid w:val="00867C22"/>
    <w:rsid w:val="008723F3"/>
    <w:rsid w:val="0087682F"/>
    <w:rsid w:val="00876F56"/>
    <w:rsid w:val="00881DE6"/>
    <w:rsid w:val="008837A6"/>
    <w:rsid w:val="0089145D"/>
    <w:rsid w:val="0089536F"/>
    <w:rsid w:val="008A3075"/>
    <w:rsid w:val="008A4DF2"/>
    <w:rsid w:val="008A6CFE"/>
    <w:rsid w:val="008A7666"/>
    <w:rsid w:val="008B4C93"/>
    <w:rsid w:val="008B5333"/>
    <w:rsid w:val="008B6223"/>
    <w:rsid w:val="008C3FB9"/>
    <w:rsid w:val="008C66E0"/>
    <w:rsid w:val="008D4D4A"/>
    <w:rsid w:val="008E3339"/>
    <w:rsid w:val="008F20FC"/>
    <w:rsid w:val="008F240F"/>
    <w:rsid w:val="008F2C4E"/>
    <w:rsid w:val="008F5FFE"/>
    <w:rsid w:val="00905A43"/>
    <w:rsid w:val="00912C79"/>
    <w:rsid w:val="00921B8C"/>
    <w:rsid w:val="00927504"/>
    <w:rsid w:val="00933DEA"/>
    <w:rsid w:val="00942123"/>
    <w:rsid w:val="0094450F"/>
    <w:rsid w:val="009512E1"/>
    <w:rsid w:val="0095207B"/>
    <w:rsid w:val="00962045"/>
    <w:rsid w:val="00980E61"/>
    <w:rsid w:val="00981CA1"/>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A7A"/>
    <w:rsid w:val="00A27DC9"/>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E20EB"/>
    <w:rsid w:val="00AE21A8"/>
    <w:rsid w:val="00AF228E"/>
    <w:rsid w:val="00B016A8"/>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5663"/>
    <w:rsid w:val="00B77F46"/>
    <w:rsid w:val="00B811C1"/>
    <w:rsid w:val="00B82586"/>
    <w:rsid w:val="00B829A3"/>
    <w:rsid w:val="00B8406D"/>
    <w:rsid w:val="00B86DB1"/>
    <w:rsid w:val="00B87869"/>
    <w:rsid w:val="00B91EA1"/>
    <w:rsid w:val="00B9639B"/>
    <w:rsid w:val="00BA3AE6"/>
    <w:rsid w:val="00BA4008"/>
    <w:rsid w:val="00BA5FCB"/>
    <w:rsid w:val="00BA7B65"/>
    <w:rsid w:val="00BB0133"/>
    <w:rsid w:val="00BB0F2B"/>
    <w:rsid w:val="00BB76A0"/>
    <w:rsid w:val="00BC5A60"/>
    <w:rsid w:val="00BE4FF3"/>
    <w:rsid w:val="00BF0AFE"/>
    <w:rsid w:val="00BF50F7"/>
    <w:rsid w:val="00C02F29"/>
    <w:rsid w:val="00C03460"/>
    <w:rsid w:val="00C06B6D"/>
    <w:rsid w:val="00C15EA3"/>
    <w:rsid w:val="00C17217"/>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079CC"/>
    <w:rsid w:val="00D148DC"/>
    <w:rsid w:val="00D17FDC"/>
    <w:rsid w:val="00D21D8C"/>
    <w:rsid w:val="00D45B4F"/>
    <w:rsid w:val="00D53719"/>
    <w:rsid w:val="00D6188D"/>
    <w:rsid w:val="00D63EFD"/>
    <w:rsid w:val="00D801B5"/>
    <w:rsid w:val="00D84752"/>
    <w:rsid w:val="00D86B3B"/>
    <w:rsid w:val="00D8748A"/>
    <w:rsid w:val="00D87E34"/>
    <w:rsid w:val="00D91BE8"/>
    <w:rsid w:val="00D93196"/>
    <w:rsid w:val="00DA078F"/>
    <w:rsid w:val="00DA0DC0"/>
    <w:rsid w:val="00DA6A22"/>
    <w:rsid w:val="00DB243C"/>
    <w:rsid w:val="00DB279E"/>
    <w:rsid w:val="00DB450F"/>
    <w:rsid w:val="00DB482A"/>
    <w:rsid w:val="00DB50FB"/>
    <w:rsid w:val="00DB56F2"/>
    <w:rsid w:val="00DB6EF5"/>
    <w:rsid w:val="00DC3089"/>
    <w:rsid w:val="00DC4420"/>
    <w:rsid w:val="00DD0802"/>
    <w:rsid w:val="00DD2E11"/>
    <w:rsid w:val="00DE03AF"/>
    <w:rsid w:val="00DE10FD"/>
    <w:rsid w:val="00DE121C"/>
    <w:rsid w:val="00DE6633"/>
    <w:rsid w:val="00DF75F8"/>
    <w:rsid w:val="00DF7A3A"/>
    <w:rsid w:val="00E00C00"/>
    <w:rsid w:val="00E04737"/>
    <w:rsid w:val="00E05C07"/>
    <w:rsid w:val="00E07C5A"/>
    <w:rsid w:val="00E11C54"/>
    <w:rsid w:val="00E131DE"/>
    <w:rsid w:val="00E14FED"/>
    <w:rsid w:val="00E15BA9"/>
    <w:rsid w:val="00E26E19"/>
    <w:rsid w:val="00E27C4D"/>
    <w:rsid w:val="00E31DF3"/>
    <w:rsid w:val="00E409FC"/>
    <w:rsid w:val="00E43938"/>
    <w:rsid w:val="00E450A4"/>
    <w:rsid w:val="00E47E46"/>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D6316"/>
    <w:rsid w:val="00EE4971"/>
    <w:rsid w:val="00EE6CB0"/>
    <w:rsid w:val="00EF090E"/>
    <w:rsid w:val="00EF5572"/>
    <w:rsid w:val="00EF7B46"/>
    <w:rsid w:val="00F033DA"/>
    <w:rsid w:val="00F134FE"/>
    <w:rsid w:val="00F13691"/>
    <w:rsid w:val="00F13FB1"/>
    <w:rsid w:val="00F27CD8"/>
    <w:rsid w:val="00F30351"/>
    <w:rsid w:val="00F32C2B"/>
    <w:rsid w:val="00F3323E"/>
    <w:rsid w:val="00F341F4"/>
    <w:rsid w:val="00F34F9D"/>
    <w:rsid w:val="00F35CCE"/>
    <w:rsid w:val="00F477C9"/>
    <w:rsid w:val="00F5165C"/>
    <w:rsid w:val="00F5524B"/>
    <w:rsid w:val="00F60531"/>
    <w:rsid w:val="00F60538"/>
    <w:rsid w:val="00F61DD2"/>
    <w:rsid w:val="00F66AFF"/>
    <w:rsid w:val="00F71433"/>
    <w:rsid w:val="00F853F6"/>
    <w:rsid w:val="00F97C5B"/>
    <w:rsid w:val="00FA0CE9"/>
    <w:rsid w:val="00FA18CF"/>
    <w:rsid w:val="00FA1EFC"/>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E322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13</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John Doe</cp:lastModifiedBy>
  <cp:revision>14</cp:revision>
  <cp:lastPrinted>2019-08-27T05:42:00Z</cp:lastPrinted>
  <dcterms:created xsi:type="dcterms:W3CDTF">2022-09-12T13:55:00Z</dcterms:created>
  <dcterms:modified xsi:type="dcterms:W3CDTF">2023-07-31T21:27:00Z</dcterms:modified>
</cp:coreProperties>
</file>