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CE233E" w:rsidRDefault="00CE0ECD" w:rsidP="00B77B19">
      <w:pPr>
        <w:pStyle w:val="AODocTxt"/>
        <w:numPr>
          <w:ilvl w:val="0"/>
          <w:numId w:val="14"/>
        </w:numPr>
        <w:spacing w:before="0" w:line="240" w:lineRule="auto"/>
        <w:ind w:left="426"/>
        <w:rPr>
          <w:rFonts w:ascii="Avenir Next" w:hAnsi="Avenir Next"/>
          <w:highlight w:val="yellow"/>
        </w:rPr>
      </w:pPr>
      <w:r w:rsidRPr="00CE233E">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263E77" w:rsidRDefault="00CE0ECD" w:rsidP="00B77B19">
      <w:pPr>
        <w:pStyle w:val="AODocTxt"/>
        <w:numPr>
          <w:ilvl w:val="0"/>
          <w:numId w:val="14"/>
        </w:numPr>
        <w:spacing w:before="0" w:line="240" w:lineRule="auto"/>
        <w:ind w:left="426"/>
        <w:rPr>
          <w:rFonts w:ascii="Avenir Next" w:hAnsi="Avenir Next"/>
        </w:rPr>
      </w:pPr>
      <w:r w:rsidRPr="00263E77">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r>
      <w:r w:rsidRPr="009351B3">
        <w:rPr>
          <w:rFonts w:ascii="Avenir Next" w:hAnsi="Avenir Next"/>
          <w:highlight w:val="yellow"/>
        </w:rPr>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9351B3">
        <w:rPr>
          <w:rFonts w:ascii="Avenir Next" w:hAnsi="Avenir Next"/>
        </w:rPr>
        <w:t>(b)</w:t>
      </w:r>
      <w:r w:rsidRPr="009351B3">
        <w:rPr>
          <w:rFonts w:ascii="Avenir Next" w:hAnsi="Avenir Next"/>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5D7CB5" w:rsidRDefault="00CE0ECD" w:rsidP="00097D56">
      <w:pPr>
        <w:pStyle w:val="AODocTxt"/>
        <w:numPr>
          <w:ilvl w:val="0"/>
          <w:numId w:val="16"/>
        </w:numPr>
        <w:spacing w:before="0" w:line="240" w:lineRule="auto"/>
        <w:ind w:left="426"/>
        <w:rPr>
          <w:rFonts w:ascii="Avenir Next" w:hAnsi="Avenir Next"/>
          <w:highlight w:val="yellow"/>
        </w:rPr>
      </w:pPr>
      <w:r w:rsidRPr="005D7CB5">
        <w:rPr>
          <w:rFonts w:ascii="Avenir Next" w:hAnsi="Avenir Next"/>
          <w:highlight w:val="yellow"/>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BA31AE" w:rsidRDefault="00CE0ECD" w:rsidP="00A82B32">
      <w:pPr>
        <w:pStyle w:val="AODocTxt"/>
        <w:numPr>
          <w:ilvl w:val="0"/>
          <w:numId w:val="18"/>
        </w:numPr>
        <w:spacing w:before="0" w:line="240" w:lineRule="auto"/>
        <w:ind w:left="426"/>
        <w:rPr>
          <w:rFonts w:ascii="Avenir Next" w:hAnsi="Avenir Next"/>
          <w:highlight w:val="yellow"/>
        </w:rPr>
      </w:pPr>
      <w:r w:rsidRPr="00BA31AE">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63E77" w:rsidRDefault="00CE0ECD" w:rsidP="00E421C6">
      <w:pPr>
        <w:pStyle w:val="AODocTxt"/>
        <w:numPr>
          <w:ilvl w:val="0"/>
          <w:numId w:val="20"/>
        </w:numPr>
        <w:spacing w:before="0" w:line="240" w:lineRule="auto"/>
        <w:ind w:left="426"/>
        <w:rPr>
          <w:rFonts w:ascii="Avenir Next" w:hAnsi="Avenir Next"/>
          <w:highlight w:val="yellow"/>
        </w:rPr>
      </w:pPr>
      <w:r w:rsidRPr="00263E7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Pr="00BA31AE" w:rsidRDefault="00CE0ECD" w:rsidP="00E421C6">
      <w:pPr>
        <w:pStyle w:val="AODocTxt"/>
        <w:numPr>
          <w:ilvl w:val="0"/>
          <w:numId w:val="22"/>
        </w:numPr>
        <w:spacing w:before="0" w:line="240" w:lineRule="auto"/>
        <w:ind w:left="426"/>
        <w:rPr>
          <w:rFonts w:ascii="Avenir Next" w:hAnsi="Avenir Next"/>
          <w:highlight w:val="yellow"/>
        </w:rPr>
      </w:pPr>
      <w:r w:rsidRPr="00BA31AE">
        <w:rPr>
          <w:rFonts w:ascii="Avenir Next" w:hAnsi="Avenir Next"/>
          <w:highlight w:val="yellow"/>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A31AE">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89672A" w:rsidRDefault="00CE0ECD" w:rsidP="004830F8">
      <w:pPr>
        <w:pStyle w:val="AODocTxt"/>
        <w:numPr>
          <w:ilvl w:val="0"/>
          <w:numId w:val="26"/>
        </w:numPr>
        <w:spacing w:before="0" w:line="240" w:lineRule="auto"/>
        <w:ind w:left="426"/>
        <w:rPr>
          <w:rFonts w:ascii="Avenir Next" w:hAnsi="Avenir Next"/>
          <w:highlight w:val="yellow"/>
        </w:rPr>
      </w:pPr>
      <w:r w:rsidRPr="0089672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5D7CB5" w:rsidRDefault="00CE0ECD" w:rsidP="004830F8">
      <w:pPr>
        <w:pStyle w:val="AODocTxt"/>
        <w:numPr>
          <w:ilvl w:val="0"/>
          <w:numId w:val="28"/>
        </w:numPr>
        <w:spacing w:before="0" w:line="240" w:lineRule="auto"/>
        <w:ind w:left="426"/>
        <w:rPr>
          <w:rFonts w:ascii="Avenir Next" w:hAnsi="Avenir Next"/>
          <w:highlight w:val="yellow"/>
        </w:rPr>
      </w:pPr>
      <w:r w:rsidRPr="005D7CB5">
        <w:rPr>
          <w:rFonts w:ascii="Avenir Next" w:hAnsi="Avenir Next"/>
          <w:highlight w:val="yellow"/>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89672A" w:rsidRDefault="00CE0ECD" w:rsidP="00AA0280">
      <w:pPr>
        <w:pStyle w:val="AODocTxt"/>
        <w:numPr>
          <w:ilvl w:val="0"/>
          <w:numId w:val="30"/>
        </w:numPr>
        <w:spacing w:before="0" w:line="240" w:lineRule="auto"/>
        <w:ind w:left="426"/>
        <w:rPr>
          <w:rFonts w:ascii="Avenir Next" w:hAnsi="Avenir Next"/>
          <w:highlight w:val="yellow"/>
        </w:rPr>
      </w:pPr>
      <w:r w:rsidRPr="0089672A">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3D39B2C7" w:rsidR="00E41578" w:rsidRPr="00865922" w:rsidRDefault="00865922"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Set off refers to the process by </w:t>
      </w:r>
      <w:r w:rsidR="00246331">
        <w:rPr>
          <w:rFonts w:ascii="Avenir Next" w:hAnsi="Avenir Next" w:cs="Arial"/>
          <w:color w:val="4472C4" w:themeColor="accent1"/>
          <w:sz w:val="22"/>
          <w:szCs w:val="22"/>
          <w:lang w:val="en-GB"/>
        </w:rPr>
        <w:t>which creditor</w:t>
      </w:r>
      <w:r>
        <w:rPr>
          <w:rFonts w:ascii="Avenir Next" w:hAnsi="Avenir Next" w:cs="Arial"/>
          <w:color w:val="4472C4" w:themeColor="accent1"/>
          <w:sz w:val="22"/>
          <w:szCs w:val="22"/>
          <w:lang w:val="en-GB"/>
        </w:rPr>
        <w:t xml:space="preserve"> holding a claim against the debtor as well as simultaneously owing the debtor is allowed to set off these two amounts against each other. </w:t>
      </w:r>
      <w:r w:rsidR="00246331">
        <w:rPr>
          <w:rFonts w:ascii="Avenir Next" w:hAnsi="Avenir Next" w:cs="Arial"/>
          <w:color w:val="4472C4" w:themeColor="accent1"/>
          <w:sz w:val="22"/>
          <w:szCs w:val="22"/>
          <w:lang w:val="en-GB"/>
        </w:rPr>
        <w:t>Set off rights can usually improve the position of creditors in relation to other unsecured creditors who do not owe the debtor since it gives the creditor the benefit of the full amount owed to rather than dealing with the lower amount owed by the debtor on the claim which is invariable unsecured.</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3F526826" w:rsidR="00E41578" w:rsidRPr="009351B3" w:rsidRDefault="009351B3"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filing a petition in US Bankruptcy Court, one needs to review the </w:t>
      </w:r>
      <w:r w:rsidR="000930D0">
        <w:rPr>
          <w:rFonts w:ascii="Avenir Next" w:hAnsi="Avenir Next" w:cs="Arial"/>
          <w:color w:val="4472C4" w:themeColor="accent1"/>
          <w:sz w:val="22"/>
          <w:szCs w:val="22"/>
          <w:lang w:val="en-GB"/>
        </w:rPr>
        <w:t>Federal Bankruptcy Rules of Procedure. These Rules establish the procedure followed in the US Bankruptcy jurisdiction and are actually promulgated by the Supreme Court.  You would also need to be familiar with the Federal Rules of Civil Procedure as these may impact on the conduct of bankruptcy p</w:t>
      </w:r>
      <w:r w:rsidR="004D52CC">
        <w:rPr>
          <w:rFonts w:ascii="Avenir Next" w:hAnsi="Avenir Next" w:cs="Arial"/>
          <w:color w:val="4472C4" w:themeColor="accent1"/>
          <w:sz w:val="22"/>
          <w:szCs w:val="22"/>
          <w:lang w:val="en-GB"/>
        </w:rPr>
        <w:t>roc</w:t>
      </w:r>
      <w:r w:rsidR="000930D0">
        <w:rPr>
          <w:rFonts w:ascii="Avenir Next" w:hAnsi="Avenir Next" w:cs="Arial"/>
          <w:color w:val="4472C4" w:themeColor="accent1"/>
          <w:sz w:val="22"/>
          <w:szCs w:val="22"/>
          <w:lang w:val="en-GB"/>
        </w:rPr>
        <w:t xml:space="preserve">eedings together with the bankruptcy rules made by the local court in which the </w:t>
      </w:r>
      <w:r w:rsidR="004D52CC">
        <w:rPr>
          <w:rFonts w:ascii="Avenir Next" w:hAnsi="Avenir Next" w:cs="Arial"/>
          <w:color w:val="4472C4" w:themeColor="accent1"/>
          <w:sz w:val="22"/>
          <w:szCs w:val="22"/>
          <w:lang w:val="en-GB"/>
        </w:rPr>
        <w:t xml:space="preserve">filing is proposed to be made as well as any local practices (both of the judge and the local attorneys) in the relevant legal profession.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4546C787" w14:textId="33D89FA8" w:rsidR="006714A9" w:rsidRDefault="009B1B94" w:rsidP="006714A9">
      <w:pPr>
        <w:pStyle w:val="AODocTxt"/>
        <w:spacing w:before="0" w:line="240" w:lineRule="auto"/>
        <w:rPr>
          <w:rFonts w:ascii="Avenir Next" w:hAnsi="Avenir Next"/>
          <w:color w:val="4472C4" w:themeColor="accent1"/>
        </w:rPr>
      </w:pPr>
      <w:r>
        <w:rPr>
          <w:rFonts w:ascii="Avenir Next" w:hAnsi="Avenir Next"/>
          <w:color w:val="4472C4" w:themeColor="accent1"/>
        </w:rPr>
        <w:t>The absolute priority is a rule in US bankruptcy law which determines the order in which payments are made to the creditors of a person (juridical or individual) in liquidation and its shareholders where applicable. It provides that some debts are to be settled in absolute priority to other debts</w:t>
      </w:r>
      <w:r w:rsidR="006714A9">
        <w:rPr>
          <w:rFonts w:ascii="Avenir Next" w:hAnsi="Avenir Next"/>
          <w:color w:val="4472C4" w:themeColor="accent1"/>
        </w:rPr>
        <w:t xml:space="preserve"> as part of the fair and equitable requirement which underpins the distribution</w:t>
      </w:r>
      <w:r>
        <w:rPr>
          <w:rFonts w:ascii="Avenir Next" w:hAnsi="Avenir Next"/>
          <w:color w:val="4472C4" w:themeColor="accent1"/>
        </w:rPr>
        <w:t>. Those debts are usually the costs of the bankruptcy proceedings and in the case of an individual debtor, any outstanding estate debts.</w:t>
      </w:r>
      <w:r w:rsidR="006714A9">
        <w:rPr>
          <w:rFonts w:ascii="Avenir Next" w:hAnsi="Avenir Next"/>
          <w:color w:val="4472C4" w:themeColor="accent1"/>
        </w:rPr>
        <w:t xml:space="preserve"> The principle requires that secured creditors be paid first followed by unsecured creditors and then shareholders.</w:t>
      </w:r>
    </w:p>
    <w:p w14:paraId="77C51C0E" w14:textId="77777777" w:rsidR="006714A9" w:rsidRDefault="006714A9" w:rsidP="006714A9">
      <w:pPr>
        <w:pStyle w:val="AODocTxt"/>
        <w:spacing w:before="0" w:line="240" w:lineRule="auto"/>
        <w:rPr>
          <w:rFonts w:ascii="Avenir Next" w:hAnsi="Avenir Next"/>
          <w:color w:val="4472C4" w:themeColor="accent1"/>
        </w:rPr>
      </w:pPr>
    </w:p>
    <w:p w14:paraId="21E6CBFA" w14:textId="5F7F1285" w:rsidR="006714A9" w:rsidRPr="006714A9" w:rsidRDefault="006714A9" w:rsidP="006714A9">
      <w:pPr>
        <w:pStyle w:val="AODocTxt"/>
        <w:spacing w:before="0" w:line="240" w:lineRule="auto"/>
        <w:rPr>
          <w:rFonts w:ascii="Avenir Next" w:hAnsi="Avenir Next"/>
          <w:color w:val="4472C4" w:themeColor="accent1"/>
        </w:rPr>
      </w:pPr>
      <w:r>
        <w:rPr>
          <w:rFonts w:ascii="Avenir Next" w:hAnsi="Avenir Next"/>
          <w:color w:val="4472C4" w:themeColor="accent1"/>
        </w:rPr>
        <w:t>The recognised exception to this rule is th</w:t>
      </w:r>
      <w:r w:rsidR="00E90067">
        <w:rPr>
          <w:rFonts w:ascii="Avenir Next" w:hAnsi="Avenir Next"/>
          <w:color w:val="4472C4" w:themeColor="accent1"/>
        </w:rPr>
        <w:t xml:space="preserve">at </w:t>
      </w:r>
      <w:r>
        <w:rPr>
          <w:rFonts w:ascii="Avenir Next" w:hAnsi="Avenir Next"/>
          <w:color w:val="4472C4" w:themeColor="accent1"/>
        </w:rPr>
        <w:t xml:space="preserve">a lower ranking creditor who invests </w:t>
      </w:r>
      <w:r w:rsidR="00E90067">
        <w:rPr>
          <w:rFonts w:ascii="Avenir Next" w:hAnsi="Avenir Next"/>
          <w:color w:val="4472C4" w:themeColor="accent1"/>
        </w:rPr>
        <w:t>new money into the debtor could be placed in a better position to a higher-ranking creditor in another class. In order to meet this requirement, the new injection must be new, substantial, necessary for the success of the reorganisation plan, reasonable equivalent to the value retained and in the form of money or money’s worth.</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7CCCF5CD" w:rsidR="003A5537" w:rsidRPr="00CC1943" w:rsidRDefault="00CC1943" w:rsidP="00622C36">
      <w:pPr>
        <w:pStyle w:val="AODocTxt"/>
        <w:spacing w:before="0" w:line="240" w:lineRule="auto"/>
        <w:rPr>
          <w:rFonts w:ascii="Avenir Next" w:hAnsi="Avenir Next"/>
          <w:color w:val="4472C4" w:themeColor="accent1"/>
        </w:rPr>
      </w:pPr>
      <w:r>
        <w:rPr>
          <w:rFonts w:ascii="Avenir Next" w:hAnsi="Avenir Next"/>
          <w:color w:val="4472C4" w:themeColor="accent1"/>
        </w:rPr>
        <w:t xml:space="preserve">A priming lien refers to a lien which has been collateralized and made to rank at least on the same level as or senior as liens which existed before the bankruptcy proceedings were commenced. </w:t>
      </w:r>
      <w:r w:rsidR="00852AFA">
        <w:rPr>
          <w:rFonts w:ascii="Avenir Next" w:hAnsi="Avenir Next"/>
          <w:color w:val="4472C4" w:themeColor="accent1"/>
        </w:rPr>
        <w:t xml:space="preserve"> It is usually granted by the court when other methods of DIP financing are </w:t>
      </w:r>
      <w:r w:rsidR="00852AFA">
        <w:rPr>
          <w:rFonts w:ascii="Avenir Next" w:hAnsi="Avenir Next"/>
          <w:color w:val="4472C4" w:themeColor="accent1"/>
        </w:rPr>
        <w:lastRenderedPageBreak/>
        <w:t xml:space="preserve">not available. </w:t>
      </w:r>
      <w:r>
        <w:rPr>
          <w:rFonts w:ascii="Avenir Next" w:hAnsi="Avenir Next"/>
          <w:color w:val="4472C4" w:themeColor="accent1"/>
        </w:rPr>
        <w:t>I</w:t>
      </w:r>
      <w:r w:rsidR="00852AFA">
        <w:rPr>
          <w:rFonts w:ascii="Avenir Next" w:hAnsi="Avenir Next"/>
          <w:color w:val="4472C4" w:themeColor="accent1"/>
        </w:rPr>
        <w:t xml:space="preserve">n order for this lien to be granted, the debtor must show by the interests of the secured creditor </w:t>
      </w:r>
      <w:r w:rsidR="007029B3">
        <w:rPr>
          <w:rFonts w:ascii="Avenir Next" w:hAnsi="Avenir Next"/>
          <w:color w:val="4472C4" w:themeColor="accent1"/>
        </w:rPr>
        <w:t>holding pre-existing</w:t>
      </w:r>
      <w:r w:rsidR="00852AFA">
        <w:rPr>
          <w:rFonts w:ascii="Avenir Next" w:hAnsi="Avenir Next"/>
          <w:color w:val="4472C4" w:themeColor="accent1"/>
        </w:rPr>
        <w:t xml:space="preserve"> lien</w:t>
      </w:r>
      <w:r w:rsidR="007029B3">
        <w:rPr>
          <w:rFonts w:ascii="Avenir Next" w:hAnsi="Avenir Next"/>
          <w:color w:val="4472C4" w:themeColor="accent1"/>
        </w:rPr>
        <w:t>s</w:t>
      </w:r>
      <w:r w:rsidR="00852AFA">
        <w:rPr>
          <w:rFonts w:ascii="Avenir Next" w:hAnsi="Avenir Next"/>
          <w:color w:val="4472C4" w:themeColor="accent1"/>
        </w:rPr>
        <w:t xml:space="preserve"> are adequately protected.</w:t>
      </w:r>
      <w:r w:rsidR="007029B3">
        <w:rPr>
          <w:rFonts w:ascii="Avenir Next" w:hAnsi="Avenir Next"/>
          <w:color w:val="4472C4" w:themeColor="accent1"/>
        </w:rPr>
        <w:t xml:space="preserve"> This protection is usually demonstrated by (as provided in section 361(e) of the Bankruptcy Code) period payments to set off any decrease in collateral value, additional/replacement lien to the same value of any decrease in collateral value of any other mechanism through which the secured creditor </w:t>
      </w:r>
      <w:r w:rsidR="00865922">
        <w:rPr>
          <w:rFonts w:ascii="Avenir Next" w:hAnsi="Avenir Next"/>
          <w:color w:val="4472C4" w:themeColor="accent1"/>
        </w:rPr>
        <w:t>is compensated for the value of its collateral.</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40D62EE" w14:textId="77777777" w:rsidR="00E354D0" w:rsidRDefault="00AD1C01"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An underlying principle of bankruptcy proceedings in the US is the notion that creditors in the same class should be subject to the same rules of recouping their investment in the debtor and that all creditors should be treated equally and without preference. </w:t>
      </w:r>
      <w:r w:rsidR="00E354D0">
        <w:rPr>
          <w:rFonts w:ascii="Avenir Next" w:hAnsi="Avenir Next" w:cs="Arial"/>
          <w:color w:val="4472C4" w:themeColor="accent1"/>
          <w:sz w:val="22"/>
          <w:szCs w:val="22"/>
          <w:lang w:val="en-GB"/>
        </w:rPr>
        <w:t xml:space="preserve">In enforcing this principle there are circumstances in which pre-bankruptcy payments made to creditors could be recouped and made available to the general pool of creditors. </w:t>
      </w:r>
    </w:p>
    <w:p w14:paraId="69918B28" w14:textId="77777777" w:rsidR="00E354D0" w:rsidRDefault="00E354D0" w:rsidP="00E41578">
      <w:pPr>
        <w:jc w:val="both"/>
        <w:rPr>
          <w:rFonts w:ascii="Avenir Next" w:hAnsi="Avenir Next" w:cs="Arial"/>
          <w:color w:val="4472C4" w:themeColor="accent1"/>
          <w:sz w:val="22"/>
          <w:szCs w:val="22"/>
          <w:lang w:val="en-GB"/>
        </w:rPr>
      </w:pPr>
    </w:p>
    <w:p w14:paraId="7842B491" w14:textId="340BDACB" w:rsidR="00E41578" w:rsidRDefault="00AD1C01"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 preference claim refers to a claim</w:t>
      </w:r>
      <w:r w:rsidR="00E354D0">
        <w:rPr>
          <w:rFonts w:ascii="Avenir Next" w:hAnsi="Avenir Next" w:cs="Arial"/>
          <w:color w:val="4472C4" w:themeColor="accent1"/>
          <w:sz w:val="22"/>
          <w:szCs w:val="22"/>
          <w:lang w:val="en-GB"/>
        </w:rPr>
        <w:t xml:space="preserve"> usually made under section 547 of the Bankruptcy Code which provides that certain payments made by the debtor within a prescribed period should be clawed back and made available for distribution to the general pool of creditors. Every payment made by the debtor before entering </w:t>
      </w:r>
      <w:r w:rsidR="00073068">
        <w:rPr>
          <w:rFonts w:ascii="Avenir Next" w:hAnsi="Avenir Next" w:cs="Arial"/>
          <w:color w:val="4472C4" w:themeColor="accent1"/>
          <w:sz w:val="22"/>
          <w:szCs w:val="22"/>
          <w:lang w:val="en-GB"/>
        </w:rPr>
        <w:t>bankruptcy is not liable to be deemed as preferential and in order to be so classified, the transaction must satisfy the following requirements:</w:t>
      </w:r>
    </w:p>
    <w:p w14:paraId="2509B8D4" w14:textId="77777777" w:rsidR="00073068" w:rsidRDefault="00073068" w:rsidP="00E41578">
      <w:pPr>
        <w:jc w:val="both"/>
        <w:rPr>
          <w:rFonts w:ascii="Avenir Next" w:hAnsi="Avenir Next" w:cs="Arial"/>
          <w:color w:val="4472C4" w:themeColor="accent1"/>
          <w:sz w:val="22"/>
          <w:szCs w:val="22"/>
          <w:lang w:val="en-GB"/>
        </w:rPr>
      </w:pPr>
    </w:p>
    <w:p w14:paraId="1EEF73AB" w14:textId="09E96038" w:rsidR="00073068" w:rsidRDefault="00073068"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transaction should provide something of value to the creditor. This is to be determined on the facts and usually includes the payment of money or some other interest in property. </w:t>
      </w:r>
    </w:p>
    <w:p w14:paraId="460E93F6" w14:textId="13B81524" w:rsidR="00073068" w:rsidRDefault="00073068"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transaction should have been </w:t>
      </w:r>
      <w:r w:rsidR="00EB73A9">
        <w:rPr>
          <w:rFonts w:ascii="Avenir Next" w:hAnsi="Avenir Next" w:cs="Arial"/>
          <w:color w:val="4472C4" w:themeColor="accent1"/>
          <w:sz w:val="22"/>
          <w:szCs w:val="22"/>
          <w:lang w:val="en-GB"/>
        </w:rPr>
        <w:t>for the benefit of the creditor</w:t>
      </w:r>
    </w:p>
    <w:p w14:paraId="30D7F108" w14:textId="0133D1B1" w:rsidR="00EB73A9" w:rsidRDefault="00EB73A9"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payment or value received must have been in respect of a pre-existing debt owed to the creditor</w:t>
      </w:r>
    </w:p>
    <w:p w14:paraId="6BD6DDBB" w14:textId="573A8DAD" w:rsidR="00EB73A9" w:rsidRDefault="00EB73A9"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transaction has to have been made within 90 days of the bankruptcy petition for arm’s length creditors and 365 days in respect of a creditor connected with the debtor</w:t>
      </w:r>
    </w:p>
    <w:p w14:paraId="252883CD" w14:textId="6DF0BF48" w:rsidR="00EB73A9" w:rsidRDefault="00EB73A9"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transaction must have been made while the debtor was insolvent. This presumption arising in the 90-day period before the issuance of the petition</w:t>
      </w:r>
    </w:p>
    <w:p w14:paraId="4576D660" w14:textId="0C86FC1C" w:rsidR="00EB73A9" w:rsidRDefault="0089672A" w:rsidP="00073068">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transaction must have allowed the creditor to receive a better return or payment than it would have obtained under the bankruptcy process. </w:t>
      </w:r>
    </w:p>
    <w:p w14:paraId="0CA1E81D" w14:textId="77777777" w:rsidR="0089672A" w:rsidRDefault="0089672A" w:rsidP="0089672A">
      <w:pPr>
        <w:jc w:val="both"/>
        <w:rPr>
          <w:rFonts w:ascii="Avenir Next" w:hAnsi="Avenir Next" w:cs="Arial"/>
          <w:color w:val="4472C4" w:themeColor="accent1"/>
          <w:sz w:val="22"/>
          <w:szCs w:val="22"/>
          <w:lang w:val="en-GB"/>
        </w:rPr>
      </w:pPr>
    </w:p>
    <w:p w14:paraId="6E4F8BDD" w14:textId="7759BBED" w:rsidR="0089672A" w:rsidRPr="0089672A" w:rsidRDefault="0089672A" w:rsidP="0089672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It is important to note that no fault on the part of either the debtor or creditor is required to establish a preference payment under section 547</w:t>
      </w:r>
    </w:p>
    <w:p w14:paraId="017348A0" w14:textId="77777777" w:rsidR="00E41578" w:rsidRDefault="00E41578" w:rsidP="00E41578">
      <w:pPr>
        <w:jc w:val="both"/>
        <w:rPr>
          <w:rFonts w:ascii="Avenir Next" w:hAnsi="Avenir Next" w:cs="Arial"/>
          <w:color w:val="7B7B7B" w:themeColor="accent3" w:themeShade="BF"/>
          <w:sz w:val="22"/>
          <w:szCs w:val="22"/>
          <w:lang w:val="en-GB"/>
        </w:rPr>
      </w:pPr>
    </w:p>
    <w:p w14:paraId="5AE714CB" w14:textId="77777777" w:rsidR="00DC4116" w:rsidRDefault="00DC4116" w:rsidP="00E41578">
      <w:pPr>
        <w:jc w:val="both"/>
        <w:rPr>
          <w:rFonts w:ascii="Avenir Next" w:hAnsi="Avenir Next" w:cs="Arial"/>
          <w:color w:val="7B7B7B" w:themeColor="accent3" w:themeShade="BF"/>
          <w:sz w:val="22"/>
          <w:szCs w:val="22"/>
          <w:lang w:val="en-GB"/>
        </w:rPr>
      </w:pPr>
    </w:p>
    <w:p w14:paraId="4C6B843B" w14:textId="77777777" w:rsidR="00DC4116" w:rsidRDefault="00DC4116" w:rsidP="00E41578">
      <w:pPr>
        <w:jc w:val="both"/>
        <w:rPr>
          <w:rFonts w:ascii="Avenir Next" w:hAnsi="Avenir Next" w:cs="Arial"/>
          <w:color w:val="7B7B7B" w:themeColor="accent3" w:themeShade="BF"/>
          <w:sz w:val="22"/>
          <w:szCs w:val="22"/>
          <w:lang w:val="en-GB"/>
        </w:rPr>
      </w:pPr>
    </w:p>
    <w:p w14:paraId="08876FCF" w14:textId="77777777" w:rsidR="00DC4116" w:rsidRDefault="00DC4116" w:rsidP="00E41578">
      <w:pPr>
        <w:jc w:val="both"/>
        <w:rPr>
          <w:rFonts w:ascii="Avenir Next" w:hAnsi="Avenir Next" w:cs="Arial"/>
          <w:color w:val="7B7B7B" w:themeColor="accent3" w:themeShade="BF"/>
          <w:sz w:val="22"/>
          <w:szCs w:val="22"/>
          <w:lang w:val="en-GB"/>
        </w:rPr>
      </w:pPr>
    </w:p>
    <w:p w14:paraId="7A3C9F83" w14:textId="77777777" w:rsidR="00DC4116" w:rsidRPr="00E41578" w:rsidRDefault="00DC4116"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lastRenderedPageBreak/>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1F83ABD" w14:textId="31D9B121" w:rsidR="0043719F" w:rsidRDefault="00DC4116"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 b</w:t>
      </w:r>
      <w:r w:rsidR="0022021C">
        <w:rPr>
          <w:rFonts w:ascii="Avenir Next" w:hAnsi="Avenir Next" w:cs="Arial"/>
          <w:color w:val="4472C4" w:themeColor="accent1"/>
          <w:sz w:val="22"/>
          <w:szCs w:val="22"/>
          <w:lang w:val="en-GB"/>
        </w:rPr>
        <w:t xml:space="preserve">ankruptcy court is a court created by statute in the Bankruptcy Code 1978. They are subject to the </w:t>
      </w:r>
      <w:r w:rsidR="003A2ECD">
        <w:rPr>
          <w:rFonts w:ascii="Avenir Next" w:hAnsi="Avenir Next" w:cs="Arial"/>
          <w:color w:val="4472C4" w:themeColor="accent1"/>
          <w:sz w:val="22"/>
          <w:szCs w:val="22"/>
          <w:lang w:val="en-GB"/>
        </w:rPr>
        <w:t xml:space="preserve">general jurisdiction of the district court which refers bankruptcy matters to them for determination. As part of this process of jurisdictional control, bankruptcy courts are only permitted to issue </w:t>
      </w:r>
      <w:r w:rsidR="00C75360">
        <w:rPr>
          <w:rFonts w:ascii="Avenir Next" w:hAnsi="Avenir Next" w:cs="Arial"/>
          <w:color w:val="4472C4" w:themeColor="accent1"/>
          <w:sz w:val="22"/>
          <w:szCs w:val="22"/>
          <w:lang w:val="en-GB"/>
        </w:rPr>
        <w:t xml:space="preserve">review and issue </w:t>
      </w:r>
      <w:r w:rsidR="003A2ECD">
        <w:rPr>
          <w:rFonts w:ascii="Avenir Next" w:hAnsi="Avenir Next" w:cs="Arial"/>
          <w:color w:val="4472C4" w:themeColor="accent1"/>
          <w:sz w:val="22"/>
          <w:szCs w:val="22"/>
          <w:lang w:val="en-GB"/>
        </w:rPr>
        <w:t>final order</w:t>
      </w:r>
      <w:r w:rsidR="00C75360">
        <w:rPr>
          <w:rFonts w:ascii="Avenir Next" w:hAnsi="Avenir Next" w:cs="Arial"/>
          <w:color w:val="4472C4" w:themeColor="accent1"/>
          <w:sz w:val="22"/>
          <w:szCs w:val="22"/>
          <w:lang w:val="en-GB"/>
        </w:rPr>
        <w:t xml:space="preserve">s </w:t>
      </w:r>
      <w:r w:rsidR="003A2ECD">
        <w:rPr>
          <w:rFonts w:ascii="Avenir Next" w:hAnsi="Avenir Next" w:cs="Arial"/>
          <w:color w:val="4472C4" w:themeColor="accent1"/>
          <w:sz w:val="22"/>
          <w:szCs w:val="22"/>
          <w:lang w:val="en-GB"/>
        </w:rPr>
        <w:t xml:space="preserve">in core proceedings. </w:t>
      </w:r>
      <w:r w:rsidR="00C75360">
        <w:rPr>
          <w:rFonts w:ascii="Avenir Next" w:hAnsi="Avenir Next" w:cs="Arial"/>
          <w:color w:val="4472C4" w:themeColor="accent1"/>
          <w:sz w:val="22"/>
          <w:szCs w:val="22"/>
          <w:lang w:val="en-GB"/>
        </w:rPr>
        <w:t>the court may hear non-core proceedings which are related to core proceedings but must submit its proposed final determination to the district court for confirmation.</w:t>
      </w:r>
    </w:p>
    <w:p w14:paraId="56525457" w14:textId="77777777" w:rsidR="0043719F" w:rsidRDefault="0043719F" w:rsidP="00E41578">
      <w:pPr>
        <w:jc w:val="both"/>
        <w:rPr>
          <w:rFonts w:ascii="Avenir Next" w:hAnsi="Avenir Next" w:cs="Arial"/>
          <w:color w:val="4472C4" w:themeColor="accent1"/>
          <w:sz w:val="22"/>
          <w:szCs w:val="22"/>
          <w:lang w:val="en-GB"/>
        </w:rPr>
      </w:pPr>
    </w:p>
    <w:p w14:paraId="0F2F0A99" w14:textId="44275545" w:rsidR="00E41578" w:rsidRDefault="003A2ECD"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Core proceedings are related to the </w:t>
      </w:r>
      <w:r w:rsidR="0043719F">
        <w:rPr>
          <w:rFonts w:ascii="Avenir Next" w:hAnsi="Avenir Next" w:cs="Arial"/>
          <w:color w:val="4472C4" w:themeColor="accent1"/>
          <w:sz w:val="22"/>
          <w:szCs w:val="22"/>
          <w:lang w:val="en-GB"/>
        </w:rPr>
        <w:t>administration</w:t>
      </w:r>
      <w:r>
        <w:rPr>
          <w:rFonts w:ascii="Avenir Next" w:hAnsi="Avenir Next" w:cs="Arial"/>
          <w:color w:val="4472C4" w:themeColor="accent1"/>
          <w:sz w:val="22"/>
          <w:szCs w:val="22"/>
          <w:lang w:val="en-GB"/>
        </w:rPr>
        <w:t xml:space="preserve"> of the bankrupt’s estate, the allowance or disallowance of </w:t>
      </w:r>
      <w:r w:rsidR="0043719F">
        <w:rPr>
          <w:rFonts w:ascii="Avenir Next" w:hAnsi="Avenir Next" w:cs="Arial"/>
          <w:color w:val="4472C4" w:themeColor="accent1"/>
          <w:sz w:val="22"/>
          <w:szCs w:val="22"/>
          <w:lang w:val="en-GB"/>
        </w:rPr>
        <w:t>claims,</w:t>
      </w:r>
      <w:r>
        <w:rPr>
          <w:rFonts w:ascii="Avenir Next" w:hAnsi="Avenir Next" w:cs="Arial"/>
          <w:color w:val="4472C4" w:themeColor="accent1"/>
          <w:sz w:val="22"/>
          <w:szCs w:val="22"/>
          <w:lang w:val="en-GB"/>
        </w:rPr>
        <w:t xml:space="preserve"> counterclaims, orders in relation to </w:t>
      </w:r>
      <w:r w:rsidR="0043719F">
        <w:rPr>
          <w:rFonts w:ascii="Avenir Next" w:hAnsi="Avenir Next" w:cs="Arial"/>
          <w:color w:val="4472C4" w:themeColor="accent1"/>
          <w:sz w:val="22"/>
          <w:szCs w:val="22"/>
          <w:lang w:val="en-GB"/>
        </w:rPr>
        <w:t>obtaining credit and similar issues. The list of what may qualify as a core proceeding is non-exhaustive and is designed to be flexible.</w:t>
      </w:r>
      <w:r w:rsidR="00C75360">
        <w:rPr>
          <w:rFonts w:ascii="Avenir Next" w:hAnsi="Avenir Next" w:cs="Arial"/>
          <w:color w:val="4472C4" w:themeColor="accent1"/>
          <w:sz w:val="22"/>
          <w:szCs w:val="22"/>
          <w:lang w:val="en-GB"/>
        </w:rPr>
        <w:t xml:space="preserve"> It </w:t>
      </w:r>
      <w:r w:rsidR="00C60F19">
        <w:rPr>
          <w:rFonts w:ascii="Avenir Next" w:hAnsi="Avenir Next" w:cs="Arial"/>
          <w:color w:val="4472C4" w:themeColor="accent1"/>
          <w:sz w:val="22"/>
          <w:szCs w:val="22"/>
          <w:lang w:val="en-GB"/>
        </w:rPr>
        <w:t>should</w:t>
      </w:r>
      <w:r w:rsidR="00C75360">
        <w:rPr>
          <w:rFonts w:ascii="Avenir Next" w:hAnsi="Avenir Next" w:cs="Arial"/>
          <w:color w:val="4472C4" w:themeColor="accent1"/>
          <w:sz w:val="22"/>
          <w:szCs w:val="22"/>
          <w:lang w:val="en-GB"/>
        </w:rPr>
        <w:t xml:space="preserve"> be noted that final </w:t>
      </w:r>
      <w:r w:rsidR="00C60F19">
        <w:rPr>
          <w:rFonts w:ascii="Avenir Next" w:hAnsi="Avenir Next" w:cs="Arial"/>
          <w:color w:val="4472C4" w:themeColor="accent1"/>
          <w:sz w:val="22"/>
          <w:szCs w:val="22"/>
          <w:lang w:val="en-GB"/>
        </w:rPr>
        <w:t>orders</w:t>
      </w:r>
      <w:r w:rsidR="00C75360">
        <w:rPr>
          <w:rFonts w:ascii="Avenir Next" w:hAnsi="Avenir Next" w:cs="Arial"/>
          <w:color w:val="4472C4" w:themeColor="accent1"/>
          <w:sz w:val="22"/>
          <w:szCs w:val="22"/>
          <w:lang w:val="en-GB"/>
        </w:rPr>
        <w:t xml:space="preserve"> in core proceedings which impinge on the </w:t>
      </w:r>
      <w:r w:rsidR="00C60F19">
        <w:rPr>
          <w:rFonts w:ascii="Avenir Next" w:hAnsi="Avenir Next" w:cs="Arial"/>
          <w:color w:val="4472C4" w:themeColor="accent1"/>
          <w:sz w:val="22"/>
          <w:szCs w:val="22"/>
          <w:lang w:val="en-GB"/>
        </w:rPr>
        <w:t>Article III jurisdiction of the district, circuit and Supreme Court are prohibited.</w:t>
      </w:r>
    </w:p>
    <w:p w14:paraId="5A9B4BBF" w14:textId="77777777" w:rsidR="00C60F19" w:rsidRDefault="00C60F19" w:rsidP="00E41578">
      <w:pPr>
        <w:jc w:val="both"/>
        <w:rPr>
          <w:rFonts w:ascii="Avenir Next" w:hAnsi="Avenir Next" w:cs="Arial"/>
          <w:color w:val="4472C4" w:themeColor="accent1"/>
          <w:sz w:val="22"/>
          <w:szCs w:val="22"/>
          <w:lang w:val="en-GB"/>
        </w:rPr>
      </w:pPr>
    </w:p>
    <w:p w14:paraId="47985A28" w14:textId="242AE5A8" w:rsidR="0043719F" w:rsidRDefault="00C60F19"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Appeals from a bankruptcy court are sent to the district </w:t>
      </w:r>
      <w:r w:rsidR="001F53A2">
        <w:rPr>
          <w:rFonts w:ascii="Avenir Next" w:hAnsi="Avenir Next" w:cs="Arial"/>
          <w:color w:val="4472C4" w:themeColor="accent1"/>
          <w:sz w:val="22"/>
          <w:szCs w:val="22"/>
          <w:lang w:val="en-GB"/>
        </w:rPr>
        <w:t xml:space="preserve">court overseeing the bankruptcy court. In some circuits, the bankruptcy appeal </w:t>
      </w:r>
      <w:proofErr w:type="gramStart"/>
      <w:r w:rsidR="001F53A2">
        <w:rPr>
          <w:rFonts w:ascii="Avenir Next" w:hAnsi="Avenir Next" w:cs="Arial"/>
          <w:color w:val="4472C4" w:themeColor="accent1"/>
          <w:sz w:val="22"/>
          <w:szCs w:val="22"/>
          <w:lang w:val="en-GB"/>
        </w:rPr>
        <w:t>are</w:t>
      </w:r>
      <w:proofErr w:type="gramEnd"/>
      <w:r w:rsidR="001F53A2">
        <w:rPr>
          <w:rFonts w:ascii="Avenir Next" w:hAnsi="Avenir Next" w:cs="Arial"/>
          <w:color w:val="4472C4" w:themeColor="accent1"/>
          <w:sz w:val="22"/>
          <w:szCs w:val="22"/>
          <w:lang w:val="en-GB"/>
        </w:rPr>
        <w:t xml:space="preserve"> heard by a Bankruptcy Appellate Panel, a specialist panel. </w:t>
      </w:r>
    </w:p>
    <w:p w14:paraId="0850BB4F" w14:textId="77777777" w:rsidR="001F53A2" w:rsidRDefault="001F53A2" w:rsidP="00E41578">
      <w:pPr>
        <w:jc w:val="both"/>
        <w:rPr>
          <w:rFonts w:ascii="Avenir Next" w:hAnsi="Avenir Next" w:cs="Arial"/>
          <w:color w:val="4472C4" w:themeColor="accent1"/>
          <w:sz w:val="22"/>
          <w:szCs w:val="22"/>
          <w:lang w:val="en-GB"/>
        </w:rPr>
      </w:pPr>
    </w:p>
    <w:p w14:paraId="3DE5C547" w14:textId="09840A9B" w:rsidR="001F53A2" w:rsidRDefault="001F53A2" w:rsidP="00E4157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Non final orders are defined an </w:t>
      </w:r>
      <w:r w:rsidR="00266B02">
        <w:rPr>
          <w:rFonts w:ascii="Avenir Next" w:hAnsi="Avenir Next" w:cs="Arial"/>
          <w:color w:val="4472C4" w:themeColor="accent1"/>
          <w:sz w:val="22"/>
          <w:szCs w:val="22"/>
          <w:lang w:val="en-GB"/>
        </w:rPr>
        <w:t>interlocutory order</w:t>
      </w:r>
      <w:r>
        <w:rPr>
          <w:rFonts w:ascii="Avenir Next" w:hAnsi="Avenir Next" w:cs="Arial"/>
          <w:color w:val="4472C4" w:themeColor="accent1"/>
          <w:sz w:val="22"/>
          <w:szCs w:val="22"/>
          <w:lang w:val="en-GB"/>
        </w:rPr>
        <w:t xml:space="preserve"> which do not decide the final litigation between the parties one way or another. In reviewing non final orders on appeal</w:t>
      </w:r>
      <w:r w:rsidR="00266B02">
        <w:rPr>
          <w:rFonts w:ascii="Avenir Next" w:hAnsi="Avenir Next" w:cs="Arial"/>
          <w:color w:val="4472C4" w:themeColor="accent1"/>
          <w:sz w:val="22"/>
          <w:szCs w:val="22"/>
          <w:lang w:val="en-GB"/>
        </w:rPr>
        <w:t xml:space="preserve">, the appeal must have been commenced by leave of either the bankruptcy court or the district court. The standard of revie applied is that the decision will only be interfered with if the bankruptcy court committed an abuse of discretion. This is established if the bankruptcy court consideration irrelevant factors or failed to consider relevant factors, made an error or law of fact or </w:t>
      </w:r>
      <w:r w:rsidR="00DF6CE1">
        <w:rPr>
          <w:rFonts w:ascii="Avenir Next" w:hAnsi="Avenir Next" w:cs="Arial"/>
          <w:color w:val="4472C4" w:themeColor="accent1"/>
          <w:sz w:val="22"/>
          <w:szCs w:val="22"/>
          <w:lang w:val="en-GB"/>
        </w:rPr>
        <w:t xml:space="preserve">acted arbitrarily.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361AC7B4" w14:textId="77777777" w:rsidR="00DF6CE1" w:rsidRDefault="00DF6CE1" w:rsidP="000778B1">
      <w:pPr>
        <w:pStyle w:val="AODocTxt"/>
        <w:spacing w:before="0" w:line="240" w:lineRule="auto"/>
        <w:rPr>
          <w:rFonts w:ascii="Avenir Next" w:hAnsi="Avenir Next"/>
        </w:rPr>
      </w:pPr>
    </w:p>
    <w:p w14:paraId="16E55C3E" w14:textId="343D3A78" w:rsidR="00DF6CE1" w:rsidRDefault="00DF6CE1"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Upon the recognition </w:t>
      </w:r>
      <w:r w:rsidR="00965049">
        <w:rPr>
          <w:rFonts w:ascii="Avenir Next" w:hAnsi="Avenir Next"/>
          <w:color w:val="4472C4" w:themeColor="accent1"/>
        </w:rPr>
        <w:t xml:space="preserve">of a foreign main proceeding, several provisions of the Bankruptcy Code automatically apply. Firstly, an automatic stay takes effect. This </w:t>
      </w:r>
      <w:r w:rsidR="00E22DC2">
        <w:rPr>
          <w:rFonts w:ascii="Avenir Next" w:hAnsi="Avenir Next"/>
          <w:color w:val="4472C4" w:themeColor="accent1"/>
        </w:rPr>
        <w:t xml:space="preserve">stay </w:t>
      </w:r>
      <w:r w:rsidR="00965049">
        <w:rPr>
          <w:rFonts w:ascii="Avenir Next" w:hAnsi="Avenir Next"/>
          <w:color w:val="4472C4" w:themeColor="accent1"/>
        </w:rPr>
        <w:t xml:space="preserve">prevents creditors from commencing, continuing and enforcing any court proceedings against the debtor and </w:t>
      </w:r>
      <w:proofErr w:type="spellStart"/>
      <w:r w:rsidR="00965049">
        <w:rPr>
          <w:rFonts w:ascii="Avenir Next" w:hAnsi="Avenir Next"/>
          <w:color w:val="4472C4" w:themeColor="accent1"/>
        </w:rPr>
        <w:t>its</w:t>
      </w:r>
      <w:proofErr w:type="spellEnd"/>
      <w:r w:rsidR="00965049">
        <w:rPr>
          <w:rFonts w:ascii="Avenir Next" w:hAnsi="Avenir Next"/>
          <w:color w:val="4472C4" w:themeColor="accent1"/>
        </w:rPr>
        <w:t xml:space="preserve"> assets. The for</w:t>
      </w:r>
      <w:r w:rsidR="00E22DC2">
        <w:rPr>
          <w:rFonts w:ascii="Avenir Next" w:hAnsi="Avenir Next"/>
          <w:color w:val="4472C4" w:themeColor="accent1"/>
        </w:rPr>
        <w:t>eign</w:t>
      </w:r>
      <w:r w:rsidR="00965049">
        <w:rPr>
          <w:rFonts w:ascii="Avenir Next" w:hAnsi="Avenir Next"/>
          <w:color w:val="4472C4" w:themeColor="accent1"/>
        </w:rPr>
        <w:t xml:space="preserve"> representative in the foreign main proceedings is also granted the permission to operate the debtor’s business in the ordinary course of such business pending finalization of the proceedings. </w:t>
      </w:r>
      <w:r w:rsidR="00DA6A9C">
        <w:rPr>
          <w:rFonts w:ascii="Avenir Next" w:hAnsi="Avenir Next"/>
          <w:color w:val="4472C4" w:themeColor="accent1"/>
        </w:rPr>
        <w:t xml:space="preserve">There is also an automatic prohibition on the sale, transfer and use of the debtor’s property and assets for transactions outside the ordinary </w:t>
      </w:r>
      <w:r w:rsidR="00DA6A9C">
        <w:rPr>
          <w:rFonts w:ascii="Avenir Next" w:hAnsi="Avenir Next"/>
          <w:color w:val="4472C4" w:themeColor="accent1"/>
        </w:rPr>
        <w:lastRenderedPageBreak/>
        <w:t xml:space="preserve">course of business. There is also the prohibition on post-petition transfers and perfection of security interests. </w:t>
      </w:r>
    </w:p>
    <w:p w14:paraId="2BC9580E" w14:textId="77777777" w:rsidR="00DA6A9C" w:rsidRDefault="00DA6A9C" w:rsidP="000778B1">
      <w:pPr>
        <w:pStyle w:val="AODocTxt"/>
        <w:spacing w:before="0" w:line="240" w:lineRule="auto"/>
        <w:rPr>
          <w:rFonts w:ascii="Avenir Next" w:hAnsi="Avenir Next"/>
          <w:color w:val="4472C4" w:themeColor="accent1"/>
        </w:rPr>
      </w:pPr>
    </w:p>
    <w:p w14:paraId="603C0A6C" w14:textId="404DE491" w:rsidR="00DA6A9C" w:rsidRDefault="00DA6A9C"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These relief may be granted on a discretionary basis in foreign non main proceedings provided that the foreign representative can convince the US bankruptcy court that </w:t>
      </w:r>
      <w:r w:rsidR="00E22DC2">
        <w:rPr>
          <w:rFonts w:ascii="Avenir Next" w:hAnsi="Avenir Next"/>
          <w:color w:val="4472C4" w:themeColor="accent1"/>
        </w:rPr>
        <w:t>an order in those terms is appropriate under US law. This is one of the prime disadvantages of being recognised as a foreign non-main proceeding vis-à-vis a foreign main proceeding.</w:t>
      </w:r>
    </w:p>
    <w:p w14:paraId="015A5C35" w14:textId="77777777" w:rsidR="00E22DC2" w:rsidRDefault="00E22DC2" w:rsidP="000778B1">
      <w:pPr>
        <w:pStyle w:val="AODocTxt"/>
        <w:spacing w:before="0" w:line="240" w:lineRule="auto"/>
        <w:rPr>
          <w:rFonts w:ascii="Avenir Next" w:hAnsi="Avenir Next"/>
          <w:color w:val="4472C4" w:themeColor="accent1"/>
        </w:rPr>
      </w:pPr>
    </w:p>
    <w:p w14:paraId="6C7700C0" w14:textId="39BB8870" w:rsidR="00E22DC2" w:rsidRDefault="00E22DC2" w:rsidP="000778B1">
      <w:pPr>
        <w:pStyle w:val="AODocTxt"/>
        <w:spacing w:before="0" w:line="240" w:lineRule="auto"/>
        <w:rPr>
          <w:rFonts w:ascii="Avenir Next" w:hAnsi="Avenir Next"/>
          <w:color w:val="4472C4" w:themeColor="accent1"/>
        </w:rPr>
      </w:pPr>
      <w:r>
        <w:rPr>
          <w:rFonts w:ascii="Avenir Next" w:hAnsi="Avenir Next"/>
          <w:color w:val="4472C4" w:themeColor="accent1"/>
        </w:rPr>
        <w:t>Upon recognition as either a foreign main or non-main proceeding, a foreign representative may apply for discretionary relief in the form of discovery in respect of the debtor’s assets and financial affair</w:t>
      </w:r>
      <w:r w:rsidR="00FB3FB1">
        <w:rPr>
          <w:rFonts w:ascii="Avenir Next" w:hAnsi="Avenir Next"/>
          <w:color w:val="4472C4" w:themeColor="accent1"/>
        </w:rPr>
        <w:t>s and</w:t>
      </w:r>
      <w:r>
        <w:rPr>
          <w:rFonts w:ascii="Avenir Next" w:hAnsi="Avenir Next"/>
          <w:color w:val="4472C4" w:themeColor="accent1"/>
        </w:rPr>
        <w:t xml:space="preserve"> </w:t>
      </w:r>
      <w:r w:rsidR="00FB3FB1">
        <w:rPr>
          <w:rFonts w:ascii="Avenir Next" w:hAnsi="Avenir Next"/>
          <w:color w:val="4472C4" w:themeColor="accent1"/>
        </w:rPr>
        <w:t>the vesting of the debtor’s US assets in the foreign representative or other person for management. The foreign representative is also able to seek any other relief which is necessary for the management and purposes of the bankruptcy process and to protect the assets of the debtor or safeguard the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250874BC" w14:textId="77777777" w:rsidR="00803FD5" w:rsidRDefault="00803FD5"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Two main duties are owed to a Delaware corporation by its directors. These are a fiduciary duty which requires the director to be loyal to the best interests of the corporation as well as a duty of care to make educated and informed decision making in carryout his duties as a director. </w:t>
      </w:r>
    </w:p>
    <w:p w14:paraId="68CEC44E" w14:textId="77777777" w:rsidR="00803FD5" w:rsidRDefault="00803FD5" w:rsidP="000778B1">
      <w:pPr>
        <w:pStyle w:val="AODocTxt"/>
        <w:spacing w:before="0" w:line="240" w:lineRule="auto"/>
        <w:rPr>
          <w:rFonts w:ascii="Avenir Next" w:hAnsi="Avenir Next"/>
          <w:color w:val="4472C4" w:themeColor="accent1"/>
        </w:rPr>
      </w:pPr>
    </w:p>
    <w:p w14:paraId="4A07A2C3" w14:textId="10EA8E2E" w:rsidR="00E01803" w:rsidRDefault="00803FD5"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These duties are essentially limited by the </w:t>
      </w:r>
      <w:r w:rsidR="00871DBF">
        <w:rPr>
          <w:rFonts w:ascii="Avenir Next" w:hAnsi="Avenir Next"/>
          <w:color w:val="4472C4" w:themeColor="accent1"/>
        </w:rPr>
        <w:t>operation of the business judgment rule. This rule presumes that the director has acted in good faith and on the basis of reasonable information. This presumption can only be rebutted where it can be shown that the director had no honest belief in the course of action undertaken, or was not reasonably informed</w:t>
      </w:r>
      <w:r>
        <w:rPr>
          <w:rFonts w:ascii="Avenir Next" w:hAnsi="Avenir Next"/>
          <w:color w:val="4472C4" w:themeColor="accent1"/>
        </w:rPr>
        <w:t xml:space="preserve"> </w:t>
      </w:r>
      <w:r w:rsidR="00871DBF">
        <w:rPr>
          <w:rFonts w:ascii="Avenir Next" w:hAnsi="Avenir Next"/>
          <w:color w:val="4472C4" w:themeColor="accent1"/>
        </w:rPr>
        <w:t xml:space="preserve">or where the action complained of was not in the best interests of the corporation. These are all questions of fact and law which must be judged against the appropriate factual background. </w:t>
      </w:r>
      <w:r w:rsidR="00A14A13">
        <w:rPr>
          <w:rFonts w:ascii="Avenir Next" w:hAnsi="Avenir Next"/>
          <w:color w:val="4472C4" w:themeColor="accent1"/>
        </w:rPr>
        <w:t xml:space="preserve">Unless the presumption is rebutted as set out above, a director of a Delaware corporation may only be liable on account of gross negligence in the performance of his duties although in practice he is also likely to be exempted from liability in accordance with the corporation’s internal documents. </w:t>
      </w:r>
    </w:p>
    <w:p w14:paraId="3D2F4B37" w14:textId="77777777" w:rsidR="00A14A13" w:rsidRDefault="00A14A13" w:rsidP="000778B1">
      <w:pPr>
        <w:pStyle w:val="AODocTxt"/>
        <w:spacing w:before="0" w:line="240" w:lineRule="auto"/>
        <w:rPr>
          <w:rFonts w:ascii="Avenir Next" w:hAnsi="Avenir Next"/>
          <w:color w:val="4472C4" w:themeColor="accent1"/>
        </w:rPr>
      </w:pPr>
    </w:p>
    <w:p w14:paraId="7CE8C626" w14:textId="27595728" w:rsidR="00A14A13" w:rsidRPr="00803FD5" w:rsidRDefault="00A14A13"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These </w:t>
      </w:r>
      <w:r w:rsidR="00032AB8">
        <w:rPr>
          <w:rFonts w:ascii="Avenir Next" w:hAnsi="Avenir Next"/>
          <w:color w:val="4472C4" w:themeColor="accent1"/>
        </w:rPr>
        <w:t>directors’</w:t>
      </w:r>
      <w:r>
        <w:rPr>
          <w:rFonts w:ascii="Avenir Next" w:hAnsi="Avenir Next"/>
          <w:color w:val="4472C4" w:themeColor="accent1"/>
        </w:rPr>
        <w:t xml:space="preserve"> duties are owed to the corporation itself and to its shareholders. </w:t>
      </w:r>
      <w:r w:rsidR="00032AB8">
        <w:rPr>
          <w:rFonts w:ascii="Avenir Next" w:hAnsi="Avenir Next"/>
          <w:color w:val="4472C4" w:themeColor="accent1"/>
        </w:rPr>
        <w:t xml:space="preserve">It should be noted that unlike other jurisdictions, these duties are not owed to creditors when the corporation is potentially or actually insolvent. The debate on this issue was firmly established in the case of </w:t>
      </w:r>
      <w:r w:rsidR="00032AB8" w:rsidRPr="00032AB8">
        <w:rPr>
          <w:rFonts w:ascii="Avenir Next" w:hAnsi="Avenir Next"/>
          <w:i/>
          <w:iCs/>
          <w:color w:val="4472C4" w:themeColor="accent1"/>
        </w:rPr>
        <w:t xml:space="preserve">North Am Catholic Educational Programming Foundation Inc v </w:t>
      </w:r>
      <w:proofErr w:type="spellStart"/>
      <w:r w:rsidR="00032AB8" w:rsidRPr="00032AB8">
        <w:rPr>
          <w:rFonts w:ascii="Avenir Next" w:hAnsi="Avenir Next"/>
          <w:i/>
          <w:iCs/>
          <w:color w:val="4472C4" w:themeColor="accent1"/>
        </w:rPr>
        <w:t>Gheewalla</w:t>
      </w:r>
      <w:proofErr w:type="spellEnd"/>
      <w:r w:rsidR="00032AB8" w:rsidRPr="00032AB8">
        <w:rPr>
          <w:rFonts w:ascii="Avenir Next" w:hAnsi="Avenir Next"/>
          <w:i/>
          <w:iCs/>
          <w:color w:val="4472C4" w:themeColor="accent1"/>
        </w:rPr>
        <w:t xml:space="preserve"> where</w:t>
      </w:r>
      <w:r w:rsidR="00032AB8">
        <w:rPr>
          <w:rFonts w:ascii="Avenir Next" w:hAnsi="Avenir Next"/>
          <w:color w:val="4472C4" w:themeColor="accent1"/>
        </w:rPr>
        <w:t xml:space="preserve"> it was remarked that individual creditors have no standing to prosecute a claim of breach of fiduciary duty by a director.</w:t>
      </w:r>
    </w:p>
    <w:p w14:paraId="3F639179" w14:textId="77777777" w:rsidR="00F03051" w:rsidRPr="00E01803" w:rsidRDefault="00F03051" w:rsidP="000778B1">
      <w:pPr>
        <w:pStyle w:val="AODocTxt"/>
        <w:spacing w:before="0" w:line="240" w:lineRule="auto"/>
        <w:rPr>
          <w:rFonts w:ascii="Avenir Next" w:hAnsi="Avenir Next"/>
        </w:rPr>
      </w:pPr>
    </w:p>
    <w:p w14:paraId="139E324D" w14:textId="77777777" w:rsidR="00032AB8" w:rsidRDefault="00032AB8" w:rsidP="000778B1">
      <w:pPr>
        <w:pStyle w:val="AODocTxt"/>
        <w:spacing w:before="0" w:line="240" w:lineRule="auto"/>
        <w:rPr>
          <w:rFonts w:ascii="Avenir Next Demi Bold" w:hAnsi="Avenir Next Demi Bold"/>
          <w:b/>
          <w:bCs/>
        </w:rPr>
      </w:pPr>
    </w:p>
    <w:p w14:paraId="21FBFC7E" w14:textId="7696D60A"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003E69A5" w14:textId="77777777" w:rsidR="000C543C" w:rsidRDefault="000C543C" w:rsidP="000778B1">
      <w:pPr>
        <w:pStyle w:val="AODocTxt"/>
        <w:spacing w:before="0" w:line="240" w:lineRule="auto"/>
        <w:rPr>
          <w:rFonts w:ascii="Avenir Next" w:hAnsi="Avenir Next"/>
        </w:rPr>
      </w:pPr>
    </w:p>
    <w:p w14:paraId="214F05B6" w14:textId="5BD23F59" w:rsidR="000C543C" w:rsidRPr="000C543C" w:rsidRDefault="000C543C" w:rsidP="000778B1">
      <w:pPr>
        <w:pStyle w:val="AODocTxt"/>
        <w:spacing w:before="0" w:line="240" w:lineRule="auto"/>
        <w:rPr>
          <w:rFonts w:ascii="Avenir Next" w:hAnsi="Avenir Next"/>
          <w:color w:val="4472C4" w:themeColor="accent1"/>
        </w:rPr>
      </w:pPr>
      <w:r w:rsidRPr="000C543C">
        <w:rPr>
          <w:rFonts w:ascii="Avenir Next" w:hAnsi="Avenir Next"/>
          <w:color w:val="4472C4" w:themeColor="accent1"/>
        </w:rPr>
        <w:t xml:space="preserve">An involuntary proceeding refers to proceedings commenced by the creditors of a debtor under either chapter 7 or chapter 11 of the Bankruptcy Code. </w:t>
      </w:r>
      <w:r w:rsidR="00337CAD">
        <w:rPr>
          <w:rFonts w:ascii="Avenir Next" w:hAnsi="Avenir Next"/>
          <w:color w:val="4472C4" w:themeColor="accent1"/>
        </w:rPr>
        <w:t xml:space="preserve">These types of proceedings cannot be commenced against a farmer, family farmer or nonprofit corporation  or under any of the other chapters in the Bankruptcy Code. </w:t>
      </w:r>
    </w:p>
    <w:p w14:paraId="30894E24" w14:textId="2A76875D" w:rsidR="00F03051" w:rsidRDefault="00F03051" w:rsidP="00F03051">
      <w:pPr>
        <w:jc w:val="both"/>
        <w:rPr>
          <w:rFonts w:ascii="Avenir Next" w:hAnsi="Avenir Next" w:cs="Arial"/>
          <w:color w:val="7B7B7B" w:themeColor="accent3" w:themeShade="BF"/>
          <w:sz w:val="22"/>
          <w:szCs w:val="22"/>
          <w:lang w:val="en-GB"/>
        </w:rPr>
      </w:pPr>
    </w:p>
    <w:p w14:paraId="7A9707AA" w14:textId="7963D6FE" w:rsidR="00D64EF4" w:rsidRDefault="00D64EF4" w:rsidP="00F0305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order to qualify as a petitioning creditor, a creditor’s claim must fulfil the following conditions:</w:t>
      </w:r>
    </w:p>
    <w:p w14:paraId="3D2B29FD" w14:textId="77777777" w:rsidR="00D64EF4" w:rsidRDefault="00D64EF4" w:rsidP="00F03051">
      <w:pPr>
        <w:jc w:val="both"/>
        <w:rPr>
          <w:rFonts w:ascii="Avenir Next" w:hAnsi="Avenir Next" w:cs="Arial"/>
          <w:color w:val="4472C4" w:themeColor="accent1"/>
          <w:sz w:val="22"/>
          <w:szCs w:val="22"/>
          <w:lang w:val="en-GB"/>
        </w:rPr>
      </w:pPr>
    </w:p>
    <w:p w14:paraId="3D25AB42" w14:textId="43CCDEDD" w:rsidR="000A56A1" w:rsidRDefault="000A56A1" w:rsidP="000A56A1">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debt must be at least USD16, 750. This figure is not fixed and is periodically increased in accordance with inflation. </w:t>
      </w:r>
    </w:p>
    <w:p w14:paraId="1AD48211" w14:textId="77777777" w:rsidR="000A56A1" w:rsidRPr="000A56A1" w:rsidRDefault="000A56A1" w:rsidP="000A56A1">
      <w:pPr>
        <w:pStyle w:val="ListParagraph"/>
        <w:jc w:val="both"/>
        <w:rPr>
          <w:rFonts w:ascii="Avenir Next" w:hAnsi="Avenir Next" w:cs="Arial"/>
          <w:color w:val="4472C4" w:themeColor="accent1"/>
          <w:sz w:val="22"/>
          <w:szCs w:val="22"/>
          <w:lang w:val="en-GB"/>
        </w:rPr>
      </w:pPr>
    </w:p>
    <w:p w14:paraId="7E4A9B39" w14:textId="4330AB3A" w:rsidR="00D64EF4" w:rsidRDefault="002E5F2E" w:rsidP="00D64EF4">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It m</w:t>
      </w:r>
      <w:r w:rsidR="002E4CB6">
        <w:rPr>
          <w:rFonts w:ascii="Avenir Next" w:hAnsi="Avenir Next" w:cs="Arial"/>
          <w:color w:val="4472C4" w:themeColor="accent1"/>
          <w:sz w:val="22"/>
          <w:szCs w:val="22"/>
          <w:lang w:val="en-GB"/>
        </w:rPr>
        <w:t xml:space="preserve">ust be a non-contingent claim. That is, it must be a claim whose existence does not depend on the occurrence of a future event such a default on the part of the debtor or an unmatured debt in respect of which the obligation on the part of the debtor to pay has not yet arisen. </w:t>
      </w:r>
    </w:p>
    <w:p w14:paraId="527D3FD0" w14:textId="77777777" w:rsidR="002E4CB6" w:rsidRDefault="002E4CB6" w:rsidP="002E4CB6">
      <w:pPr>
        <w:pStyle w:val="ListParagraph"/>
        <w:jc w:val="both"/>
        <w:rPr>
          <w:rFonts w:ascii="Avenir Next" w:hAnsi="Avenir Next" w:cs="Arial"/>
          <w:color w:val="4472C4" w:themeColor="accent1"/>
          <w:sz w:val="22"/>
          <w:szCs w:val="22"/>
          <w:lang w:val="en-GB"/>
        </w:rPr>
      </w:pPr>
    </w:p>
    <w:p w14:paraId="61BD960A" w14:textId="1A6A6F17" w:rsidR="002E4CB6" w:rsidRDefault="002E4CB6" w:rsidP="00D64EF4">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claim itself must not be the subject of a bona fide dispute as to the liability for the debt or the actual amount owed. In determining what constitutes a bona fide dispute, </w:t>
      </w:r>
      <w:r w:rsidR="00447715">
        <w:rPr>
          <w:rFonts w:ascii="Avenir Next" w:hAnsi="Avenir Next" w:cs="Arial"/>
          <w:color w:val="4472C4" w:themeColor="accent1"/>
          <w:sz w:val="22"/>
          <w:szCs w:val="22"/>
          <w:lang w:val="en-GB"/>
        </w:rPr>
        <w:t xml:space="preserve">there must be an objectively verifiable challenge to either the liability or amount of the debt said to be owed. For these purposes, the personal or subjective belief of the debtor that the money is not owed at all or in the amount claimed is not sufficient. </w:t>
      </w:r>
      <w:r w:rsidR="002B66C7">
        <w:rPr>
          <w:rFonts w:ascii="Avenir Next" w:hAnsi="Avenir Next" w:cs="Arial"/>
          <w:color w:val="4472C4" w:themeColor="accent1"/>
          <w:sz w:val="22"/>
          <w:szCs w:val="22"/>
          <w:lang w:val="en-GB"/>
        </w:rPr>
        <w:t xml:space="preserve">Where only a portion of the debt is disputed, then the undisputed portion may not be used to found the petition even where it exceeds the statutory amount. </w:t>
      </w:r>
    </w:p>
    <w:p w14:paraId="23ACBCB9" w14:textId="77777777" w:rsidR="000A56A1" w:rsidRPr="000A56A1" w:rsidRDefault="000A56A1" w:rsidP="000A56A1">
      <w:pPr>
        <w:pStyle w:val="ListParagraph"/>
        <w:rPr>
          <w:rFonts w:ascii="Avenir Next" w:hAnsi="Avenir Next" w:cs="Arial"/>
          <w:color w:val="4472C4" w:themeColor="accent1"/>
          <w:sz w:val="22"/>
          <w:szCs w:val="22"/>
          <w:lang w:val="en-GB"/>
        </w:rPr>
      </w:pPr>
    </w:p>
    <w:p w14:paraId="3A833F16" w14:textId="269369FE" w:rsidR="00E01803" w:rsidRPr="00EE2768" w:rsidRDefault="000A56A1" w:rsidP="000778B1">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petition must claim that the debtor has not or is unable to pay its debts as they fall due or that a receiver or other custodian of assets has been appointed over the debtor in the previous 120 days. </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1747F499" w14:textId="7A2EF0F7" w:rsidR="00F03051" w:rsidRDefault="00E01803" w:rsidP="00EE2768">
      <w:pPr>
        <w:pStyle w:val="AODocTxt"/>
        <w:spacing w:before="0" w:line="240" w:lineRule="auto"/>
        <w:rPr>
          <w:rFonts w:ascii="Avenir Next" w:hAnsi="Avenir Next"/>
        </w:rPr>
      </w:pPr>
      <w:r w:rsidRPr="00E01803">
        <w:rPr>
          <w:rFonts w:ascii="Avenir Next" w:hAnsi="Avenir Next"/>
        </w:rPr>
        <w:lastRenderedPageBreak/>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0DD85502" w14:textId="77777777" w:rsidR="00EE2768" w:rsidRDefault="00EE2768" w:rsidP="00EE2768">
      <w:pPr>
        <w:pStyle w:val="AODocTxt"/>
        <w:spacing w:before="0" w:line="240" w:lineRule="auto"/>
        <w:rPr>
          <w:rFonts w:ascii="Avenir Next" w:hAnsi="Avenir Next"/>
        </w:rPr>
      </w:pPr>
    </w:p>
    <w:p w14:paraId="6093F517" w14:textId="6B69A6F2" w:rsidR="00EE2768" w:rsidRDefault="00EE2768" w:rsidP="00EE2768">
      <w:pPr>
        <w:pStyle w:val="AODocTxt"/>
        <w:spacing w:before="0" w:line="240" w:lineRule="auto"/>
        <w:rPr>
          <w:rFonts w:ascii="Avenir Next" w:hAnsi="Avenir Next"/>
          <w:color w:val="4472C4" w:themeColor="accent1"/>
        </w:rPr>
      </w:pPr>
      <w:r>
        <w:rPr>
          <w:rFonts w:ascii="Avenir Next" w:hAnsi="Avenir Next"/>
          <w:color w:val="4472C4" w:themeColor="accent1"/>
        </w:rPr>
        <w:t xml:space="preserve">Once a petition has been filed pursuant to Chapter 11 of the Bankruptcy Code, an automatic stay comes into effect. This stay is a very broad one under section 362 </w:t>
      </w:r>
      <w:r w:rsidR="00174092">
        <w:rPr>
          <w:rFonts w:ascii="Avenir Next" w:hAnsi="Avenir Next"/>
          <w:color w:val="4472C4" w:themeColor="accent1"/>
        </w:rPr>
        <w:t>and prohibits the interference with any assets of the debtor whether located in the US or elsewhere. Any breach of this stay is likely to be considered a contempt of court which attracts the usual contempt sanctions in addition to potentially rendering the underlying transaction void or voidable.</w:t>
      </w:r>
    </w:p>
    <w:p w14:paraId="7726AD64" w14:textId="77777777" w:rsidR="00174092" w:rsidRDefault="00174092" w:rsidP="00EE2768">
      <w:pPr>
        <w:pStyle w:val="AODocTxt"/>
        <w:spacing w:before="0" w:line="240" w:lineRule="auto"/>
        <w:rPr>
          <w:rFonts w:ascii="Avenir Next" w:hAnsi="Avenir Next"/>
          <w:color w:val="4472C4" w:themeColor="accent1"/>
        </w:rPr>
      </w:pPr>
    </w:p>
    <w:p w14:paraId="384F4AA8" w14:textId="54EFE353" w:rsidR="001F50CC" w:rsidRDefault="00174092" w:rsidP="00EE2768">
      <w:pPr>
        <w:pStyle w:val="AODocTxt"/>
        <w:spacing w:before="0" w:line="240" w:lineRule="auto"/>
        <w:rPr>
          <w:rFonts w:ascii="Avenir Next" w:hAnsi="Avenir Next"/>
          <w:color w:val="4472C4" w:themeColor="accent1"/>
        </w:rPr>
      </w:pPr>
      <w:r>
        <w:rPr>
          <w:rFonts w:ascii="Avenir Next" w:hAnsi="Avenir Next"/>
          <w:color w:val="4472C4" w:themeColor="accent1"/>
        </w:rPr>
        <w:t>The wide ambit of the stay is sub</w:t>
      </w:r>
      <w:r w:rsidR="001F50CC">
        <w:rPr>
          <w:rFonts w:ascii="Avenir Next" w:hAnsi="Avenir Next"/>
          <w:color w:val="4472C4" w:themeColor="accent1"/>
        </w:rPr>
        <w:t>ject to certain statutory exceptions which have been set out in section 362(b) – (d).  The actions set out above are affected as follows:</w:t>
      </w:r>
    </w:p>
    <w:p w14:paraId="5E256B0E" w14:textId="77777777" w:rsidR="001F50CC" w:rsidRDefault="001F50CC" w:rsidP="00EE2768">
      <w:pPr>
        <w:pStyle w:val="AODocTxt"/>
        <w:spacing w:before="0" w:line="240" w:lineRule="auto"/>
        <w:rPr>
          <w:rFonts w:ascii="Avenir Next" w:hAnsi="Avenir Next"/>
          <w:color w:val="4472C4" w:themeColor="accent1"/>
        </w:rPr>
      </w:pPr>
    </w:p>
    <w:p w14:paraId="07C4E474" w14:textId="584E2C28" w:rsidR="001F50CC" w:rsidRDefault="001F50CC" w:rsidP="001F50CC">
      <w:pPr>
        <w:pStyle w:val="AODocTxt"/>
        <w:numPr>
          <w:ilvl w:val="0"/>
          <w:numId w:val="34"/>
        </w:numPr>
        <w:spacing w:before="0" w:line="240" w:lineRule="auto"/>
        <w:rPr>
          <w:rFonts w:ascii="Avenir Next" w:hAnsi="Avenir Next"/>
          <w:color w:val="4472C4" w:themeColor="accent1"/>
        </w:rPr>
      </w:pPr>
      <w:r>
        <w:rPr>
          <w:rFonts w:ascii="Avenir Next" w:hAnsi="Avenir Next"/>
          <w:color w:val="4472C4" w:themeColor="accent1"/>
        </w:rPr>
        <w:t>The DOJ investigation is exempted from the stay as the investigation is part of the regulatory process and does not in any way interfere with the assets or property of the debtor.</w:t>
      </w:r>
    </w:p>
    <w:p w14:paraId="548A5C93" w14:textId="36D77CB8" w:rsidR="001F50CC" w:rsidRDefault="001F50CC" w:rsidP="001F50CC">
      <w:pPr>
        <w:pStyle w:val="AODocTxt"/>
        <w:spacing w:before="0" w:line="240" w:lineRule="auto"/>
        <w:ind w:left="720"/>
        <w:rPr>
          <w:rFonts w:ascii="Avenir Next" w:hAnsi="Avenir Next"/>
          <w:color w:val="4472C4" w:themeColor="accent1"/>
        </w:rPr>
      </w:pPr>
    </w:p>
    <w:p w14:paraId="1CCED2F6" w14:textId="3959F366" w:rsidR="001F50CC" w:rsidRDefault="001F50CC" w:rsidP="001F50CC">
      <w:pPr>
        <w:pStyle w:val="AODocTxt"/>
        <w:numPr>
          <w:ilvl w:val="0"/>
          <w:numId w:val="34"/>
        </w:numPr>
        <w:spacing w:before="0" w:line="240" w:lineRule="auto"/>
        <w:rPr>
          <w:rFonts w:ascii="Avenir Next" w:hAnsi="Avenir Next"/>
          <w:color w:val="4472C4" w:themeColor="accent1"/>
        </w:rPr>
      </w:pPr>
      <w:r>
        <w:rPr>
          <w:rFonts w:ascii="Avenir Next" w:hAnsi="Avenir Next"/>
          <w:color w:val="4472C4" w:themeColor="accent1"/>
        </w:rPr>
        <w:t xml:space="preserve">The margin loan default similarly is exempted on the basis that </w:t>
      </w:r>
      <w:r w:rsidR="004F5D87">
        <w:rPr>
          <w:rFonts w:ascii="Avenir Next" w:hAnsi="Avenir Next"/>
          <w:color w:val="4472C4" w:themeColor="accent1"/>
        </w:rPr>
        <w:t>any enforcement of it would b</w:t>
      </w:r>
      <w:r w:rsidR="00B86AC0">
        <w:rPr>
          <w:rFonts w:ascii="Avenir Next" w:hAnsi="Avenir Next"/>
          <w:color w:val="4472C4" w:themeColor="accent1"/>
        </w:rPr>
        <w:t>e an exercise of rights under a security contract.</w:t>
      </w:r>
    </w:p>
    <w:p w14:paraId="45FF314D" w14:textId="77777777" w:rsidR="00B86AC0" w:rsidRDefault="00B86AC0" w:rsidP="00B86AC0">
      <w:pPr>
        <w:pStyle w:val="ListParagraph"/>
        <w:rPr>
          <w:rFonts w:ascii="Avenir Next" w:hAnsi="Avenir Next"/>
          <w:color w:val="4472C4" w:themeColor="accent1"/>
        </w:rPr>
      </w:pPr>
    </w:p>
    <w:p w14:paraId="5AB75330" w14:textId="497370DF" w:rsidR="00B86AC0" w:rsidRDefault="00B86AC0" w:rsidP="001F50CC">
      <w:pPr>
        <w:pStyle w:val="AODocTxt"/>
        <w:numPr>
          <w:ilvl w:val="0"/>
          <w:numId w:val="34"/>
        </w:numPr>
        <w:spacing w:before="0" w:line="240" w:lineRule="auto"/>
        <w:rPr>
          <w:rFonts w:ascii="Avenir Next" w:hAnsi="Avenir Next"/>
          <w:color w:val="4472C4" w:themeColor="accent1"/>
        </w:rPr>
      </w:pPr>
      <w:r>
        <w:rPr>
          <w:rFonts w:ascii="Avenir Next" w:hAnsi="Avenir Next"/>
          <w:color w:val="4472C4" w:themeColor="accent1"/>
        </w:rPr>
        <w:t>The landlord would be prevented from acting on the delinquent lease as that would constitute an acting to either establish a pre-petition claim for rent owed or an attempt to obtain possession of the demised premises which would constitute interference with the debtor’s property.</w:t>
      </w:r>
    </w:p>
    <w:p w14:paraId="7E22DFB5" w14:textId="77777777" w:rsidR="00E971B6" w:rsidRDefault="00E971B6" w:rsidP="00E971B6">
      <w:pPr>
        <w:pStyle w:val="ListParagraph"/>
        <w:rPr>
          <w:rFonts w:ascii="Avenir Next" w:hAnsi="Avenir Next"/>
          <w:color w:val="4472C4" w:themeColor="accent1"/>
        </w:rPr>
      </w:pPr>
    </w:p>
    <w:p w14:paraId="5C793B3F" w14:textId="670346B0" w:rsidR="00E01803" w:rsidRPr="00E971B6" w:rsidRDefault="00E971B6" w:rsidP="000778B1">
      <w:pPr>
        <w:pStyle w:val="AODocTxt"/>
        <w:numPr>
          <w:ilvl w:val="0"/>
          <w:numId w:val="34"/>
        </w:numPr>
        <w:spacing w:before="0" w:line="240" w:lineRule="auto"/>
        <w:rPr>
          <w:rFonts w:ascii="Avenir Next" w:hAnsi="Avenir Next"/>
          <w:color w:val="4472C4" w:themeColor="accent1"/>
        </w:rPr>
      </w:pPr>
      <w:r>
        <w:rPr>
          <w:rFonts w:ascii="Avenir Next" w:hAnsi="Avenir Next"/>
          <w:color w:val="4472C4" w:themeColor="accent1"/>
        </w:rPr>
        <w:t>The continuation of the employment lawsuit would be prohibited since it would constitute litigation on a pre-litigation claim which is specifically prohibited by section 362.</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0F7580C4"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4700780A" w14:textId="0BCFA6DD" w:rsidR="00E01803" w:rsidRDefault="00B819E0" w:rsidP="000778B1">
      <w:pPr>
        <w:pStyle w:val="AODocTxt"/>
        <w:spacing w:before="0" w:line="240" w:lineRule="auto"/>
        <w:rPr>
          <w:rFonts w:ascii="Avenir Next" w:hAnsi="Avenir Next"/>
          <w:color w:val="4472C4" w:themeColor="accent1"/>
        </w:rPr>
      </w:pPr>
      <w:r>
        <w:rPr>
          <w:rFonts w:ascii="Avenir Next" w:hAnsi="Avenir Next"/>
          <w:color w:val="4472C4" w:themeColor="accent1"/>
        </w:rPr>
        <w:t>In order to obtain recognition of the English scheme of arrangement, the foreign representative must satisfy the US court that a foreign proceeding in relation to the debtor is</w:t>
      </w:r>
      <w:r w:rsidR="00EF3307">
        <w:rPr>
          <w:rFonts w:ascii="Avenir Next" w:hAnsi="Avenir Next"/>
          <w:color w:val="4472C4" w:themeColor="accent1"/>
        </w:rPr>
        <w:t xml:space="preserve"> pending and that in those proceedings, the foreign representative has been authorised to act.  It should be noted that the foreign proceeding need not resemble in US bankruptcy </w:t>
      </w:r>
      <w:r w:rsidR="00EF3307">
        <w:rPr>
          <w:rFonts w:ascii="Avenir Next" w:hAnsi="Avenir Next"/>
          <w:color w:val="4472C4" w:themeColor="accent1"/>
        </w:rPr>
        <w:lastRenderedPageBreak/>
        <w:t xml:space="preserve">proceeding in order for the recognition order to be granted once it falls under the fairly </w:t>
      </w:r>
      <w:r w:rsidR="00C5126E">
        <w:rPr>
          <w:rFonts w:ascii="Avenir Next" w:hAnsi="Avenir Next"/>
          <w:color w:val="4472C4" w:themeColor="accent1"/>
        </w:rPr>
        <w:t xml:space="preserve">broad definition of a foreign proceeding under section 101(23) of the Bankruptcy Code. </w:t>
      </w:r>
    </w:p>
    <w:p w14:paraId="34E81376" w14:textId="77777777" w:rsidR="00C5126E" w:rsidRDefault="00C5126E" w:rsidP="000778B1">
      <w:pPr>
        <w:pStyle w:val="AODocTxt"/>
        <w:spacing w:before="0" w:line="240" w:lineRule="auto"/>
        <w:rPr>
          <w:rFonts w:ascii="Avenir Next" w:hAnsi="Avenir Next"/>
          <w:color w:val="4472C4" w:themeColor="accent1"/>
        </w:rPr>
      </w:pPr>
    </w:p>
    <w:p w14:paraId="0A45C916" w14:textId="0E9C7B28" w:rsidR="00C5126E" w:rsidRDefault="00C5126E" w:rsidP="000778B1">
      <w:pPr>
        <w:pStyle w:val="AODocTxt"/>
        <w:spacing w:before="0" w:line="240" w:lineRule="auto"/>
        <w:rPr>
          <w:rFonts w:ascii="Avenir Next" w:hAnsi="Avenir Next"/>
          <w:color w:val="4472C4" w:themeColor="accent1"/>
        </w:rPr>
      </w:pPr>
      <w:r>
        <w:rPr>
          <w:rFonts w:ascii="Avenir Next" w:hAnsi="Avenir Next"/>
          <w:color w:val="4472C4" w:themeColor="accent1"/>
        </w:rPr>
        <w:t xml:space="preserve">In order to determine whether the English scheme of arrangement </w:t>
      </w:r>
      <w:r w:rsidR="002E21B6">
        <w:rPr>
          <w:rFonts w:ascii="Avenir Next" w:hAnsi="Avenir Next"/>
          <w:color w:val="4472C4" w:themeColor="accent1"/>
        </w:rPr>
        <w:t xml:space="preserve">should be recognised </w:t>
      </w:r>
      <w:proofErr w:type="gramStart"/>
      <w:r w:rsidR="002E21B6">
        <w:rPr>
          <w:rFonts w:ascii="Avenir Next" w:hAnsi="Avenir Next"/>
          <w:color w:val="4472C4" w:themeColor="accent1"/>
        </w:rPr>
        <w:t>a</w:t>
      </w:r>
      <w:proofErr w:type="gramEnd"/>
      <w:r w:rsidR="002E21B6">
        <w:rPr>
          <w:rFonts w:ascii="Avenir Next" w:hAnsi="Avenir Next"/>
          <w:color w:val="4472C4" w:themeColor="accent1"/>
        </w:rPr>
        <w:t xml:space="preserve"> either foreign main or </w:t>
      </w:r>
      <w:r w:rsidR="00BE478C">
        <w:rPr>
          <w:rFonts w:ascii="Avenir Next" w:hAnsi="Avenir Next"/>
          <w:color w:val="4472C4" w:themeColor="accent1"/>
        </w:rPr>
        <w:t>non-main</w:t>
      </w:r>
      <w:r w:rsidR="002E21B6">
        <w:rPr>
          <w:rFonts w:ascii="Avenir Next" w:hAnsi="Avenir Next"/>
          <w:color w:val="4472C4" w:themeColor="accent1"/>
        </w:rPr>
        <w:t xml:space="preserve"> proceeding, the US court must consider the location of the company’s headquarters, the location of its management and primary assets, the location of the majority of its creditors and the law governing the disputes.</w:t>
      </w:r>
    </w:p>
    <w:p w14:paraId="740E9F1F" w14:textId="77777777" w:rsidR="002E21B6" w:rsidRDefault="002E21B6" w:rsidP="000778B1">
      <w:pPr>
        <w:pStyle w:val="AODocTxt"/>
        <w:spacing w:before="0" w:line="240" w:lineRule="auto"/>
        <w:rPr>
          <w:rFonts w:ascii="Avenir Next" w:hAnsi="Avenir Next"/>
          <w:color w:val="4472C4" w:themeColor="accent1"/>
        </w:rPr>
      </w:pPr>
    </w:p>
    <w:p w14:paraId="3D240C9B" w14:textId="18890258" w:rsidR="00BE478C" w:rsidRPr="00B819E0" w:rsidRDefault="002E21B6" w:rsidP="00BE478C">
      <w:pPr>
        <w:pStyle w:val="AODocTxt"/>
        <w:spacing w:before="0" w:line="240" w:lineRule="auto"/>
        <w:rPr>
          <w:rFonts w:ascii="Avenir Next" w:hAnsi="Avenir Next"/>
          <w:color w:val="4472C4" w:themeColor="accent1"/>
        </w:rPr>
      </w:pPr>
      <w:r>
        <w:rPr>
          <w:rFonts w:ascii="Avenir Next" w:hAnsi="Avenir Next"/>
          <w:color w:val="4472C4" w:themeColor="accent1"/>
        </w:rPr>
        <w:t xml:space="preserve">On consideration of these factors, it is likely that the English scheme of arrangement would be considered </w:t>
      </w:r>
      <w:r w:rsidR="00BE478C">
        <w:rPr>
          <w:rFonts w:ascii="Avenir Next" w:hAnsi="Avenir Next"/>
          <w:color w:val="4472C4" w:themeColor="accent1"/>
        </w:rPr>
        <w:t>a foreign main proceeding for the main reason that, although, Stella is incorporated in and managed from France, the loans and bonds which fund its business are governed by English law and are likely advanced by English creditors. This means that most of Stella’s creditors will be based in England and English law will govern most the disputes likely to arise in the bankruptcy.</w:t>
      </w:r>
      <w:r w:rsidR="001F6815">
        <w:rPr>
          <w:rFonts w:ascii="Avenir Next" w:hAnsi="Avenir Next"/>
          <w:color w:val="4472C4" w:themeColor="accent1"/>
        </w:rPr>
        <w:t xml:space="preserve"> These two factors outweigh the fact that the factories are located in Italy and business is conducted worldwide. There is simply a greater connect with England on the fact to justify the scheme of arrangement being designated a foreign main proceeding.</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32D2DAF2" w:rsidR="00F03051" w:rsidRPr="00674A5F" w:rsidRDefault="00674A5F" w:rsidP="00F0305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license to manufacture </w:t>
      </w:r>
      <w:proofErr w:type="spellStart"/>
      <w:r>
        <w:rPr>
          <w:rFonts w:ascii="Avenir Next" w:hAnsi="Avenir Next" w:cs="Arial"/>
          <w:color w:val="4472C4" w:themeColor="accent1"/>
          <w:sz w:val="22"/>
          <w:szCs w:val="22"/>
          <w:lang w:val="en-GB"/>
        </w:rPr>
        <w:t>Xblox</w:t>
      </w:r>
      <w:proofErr w:type="spellEnd"/>
      <w:r>
        <w:rPr>
          <w:rFonts w:ascii="Avenir Next" w:hAnsi="Avenir Next" w:cs="Arial"/>
          <w:color w:val="4472C4" w:themeColor="accent1"/>
          <w:sz w:val="22"/>
          <w:szCs w:val="22"/>
          <w:lang w:val="en-GB"/>
        </w:rPr>
        <w:t xml:space="preserve"> should be considered as an executory contract given that as at the current date, the majority of the obligations owed by </w:t>
      </w:r>
      <w:proofErr w:type="spellStart"/>
      <w:r>
        <w:rPr>
          <w:rFonts w:ascii="Avenir Next" w:hAnsi="Avenir Next" w:cs="Arial"/>
          <w:color w:val="4472C4" w:themeColor="accent1"/>
          <w:sz w:val="22"/>
          <w:szCs w:val="22"/>
          <w:lang w:val="en-GB"/>
        </w:rPr>
        <w:t>GameMart</w:t>
      </w:r>
      <w:proofErr w:type="spellEnd"/>
      <w:r>
        <w:rPr>
          <w:rFonts w:ascii="Avenir Next" w:hAnsi="Avenir Next" w:cs="Arial"/>
          <w:color w:val="4472C4" w:themeColor="accent1"/>
          <w:sz w:val="22"/>
          <w:szCs w:val="22"/>
          <w:lang w:val="en-GB"/>
        </w:rPr>
        <w:t xml:space="preserve"> are yet to be performed. Indeed, the contract itself is a </w:t>
      </w:r>
      <w:r w:rsidR="00FC320D">
        <w:rPr>
          <w:rFonts w:ascii="Avenir Next" w:hAnsi="Avenir Next" w:cs="Arial"/>
          <w:color w:val="4472C4" w:themeColor="accent1"/>
          <w:sz w:val="22"/>
          <w:szCs w:val="22"/>
          <w:lang w:val="en-GB"/>
        </w:rPr>
        <w:t>long-term</w:t>
      </w:r>
      <w:r>
        <w:rPr>
          <w:rFonts w:ascii="Avenir Next" w:hAnsi="Avenir Next" w:cs="Arial"/>
          <w:color w:val="4472C4" w:themeColor="accent1"/>
          <w:sz w:val="22"/>
          <w:szCs w:val="22"/>
          <w:lang w:val="en-GB"/>
        </w:rPr>
        <w:t xml:space="preserve"> contract heavily based on future performance.</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7AF79EF8" w14:textId="653FAC99" w:rsidR="00F03051" w:rsidRDefault="00F03051" w:rsidP="00F03051">
      <w:pPr>
        <w:jc w:val="both"/>
        <w:rPr>
          <w:rFonts w:ascii="Avenir Next" w:hAnsi="Avenir Next" w:cs="Arial"/>
          <w:color w:val="7B7B7B" w:themeColor="accent3" w:themeShade="BF"/>
          <w:sz w:val="22"/>
          <w:szCs w:val="22"/>
          <w:lang w:val="en-GB"/>
        </w:rPr>
      </w:pPr>
    </w:p>
    <w:p w14:paraId="22CE6CBF" w14:textId="101C39F7" w:rsidR="00FC320D" w:rsidRPr="00FC320D" w:rsidRDefault="00FC320D" w:rsidP="00FC320D">
      <w:pPr>
        <w:jc w:val="both"/>
        <w:rPr>
          <w:rFonts w:ascii="Avenir Next" w:hAnsi="Avenir Next" w:cs="Arial"/>
          <w:color w:val="4472C4" w:themeColor="accent1"/>
          <w:sz w:val="22"/>
          <w:szCs w:val="22"/>
          <w:lang w:val="en-GB"/>
        </w:rPr>
      </w:pPr>
      <w:proofErr w:type="spellStart"/>
      <w:r>
        <w:rPr>
          <w:rFonts w:ascii="Avenir Next" w:hAnsi="Avenir Next" w:cs="Arial"/>
          <w:color w:val="4472C4" w:themeColor="accent1"/>
          <w:sz w:val="22"/>
          <w:szCs w:val="22"/>
          <w:lang w:val="en-GB"/>
        </w:rPr>
        <w:t>GameMart</w:t>
      </w:r>
      <w:proofErr w:type="spellEnd"/>
      <w:r>
        <w:rPr>
          <w:rFonts w:ascii="Avenir Next" w:hAnsi="Avenir Next" w:cs="Arial"/>
          <w:color w:val="4472C4" w:themeColor="accent1"/>
          <w:sz w:val="22"/>
          <w:szCs w:val="22"/>
          <w:lang w:val="en-GB"/>
        </w:rPr>
        <w:t xml:space="preserve"> would be unable to transfer the </w:t>
      </w:r>
      <w:proofErr w:type="spellStart"/>
      <w:r>
        <w:rPr>
          <w:rFonts w:ascii="Avenir Next" w:hAnsi="Avenir Next" w:cs="Arial"/>
          <w:color w:val="4472C4" w:themeColor="accent1"/>
          <w:sz w:val="22"/>
          <w:szCs w:val="22"/>
          <w:lang w:val="en-GB"/>
        </w:rPr>
        <w:t>Xblox</w:t>
      </w:r>
      <w:proofErr w:type="spellEnd"/>
      <w:r>
        <w:rPr>
          <w:rFonts w:ascii="Avenir Next" w:hAnsi="Avenir Next" w:cs="Arial"/>
          <w:color w:val="4472C4" w:themeColor="accent1"/>
          <w:sz w:val="22"/>
          <w:szCs w:val="22"/>
          <w:lang w:val="en-GB"/>
        </w:rPr>
        <w:t xml:space="preserve"> licence as part of a 363 sale</w:t>
      </w:r>
      <w:r w:rsidR="0046530E">
        <w:rPr>
          <w:rFonts w:ascii="Avenir Next" w:hAnsi="Avenir Next" w:cs="Arial"/>
          <w:color w:val="4472C4" w:themeColor="accent1"/>
          <w:sz w:val="22"/>
          <w:szCs w:val="22"/>
          <w:lang w:val="en-GB"/>
        </w:rPr>
        <w:t xml:space="preserve"> in the absence of </w:t>
      </w:r>
      <w:proofErr w:type="spellStart"/>
      <w:r w:rsidR="0046530E">
        <w:rPr>
          <w:rFonts w:ascii="Avenir Next" w:hAnsi="Avenir Next" w:cs="Arial"/>
          <w:color w:val="4472C4" w:themeColor="accent1"/>
          <w:sz w:val="22"/>
          <w:szCs w:val="22"/>
          <w:lang w:val="en-GB"/>
        </w:rPr>
        <w:t>Toyco’s</w:t>
      </w:r>
      <w:proofErr w:type="spellEnd"/>
      <w:r>
        <w:rPr>
          <w:rFonts w:ascii="Avenir Next" w:hAnsi="Avenir Next" w:cs="Arial"/>
          <w:color w:val="4472C4" w:themeColor="accent1"/>
          <w:sz w:val="22"/>
          <w:szCs w:val="22"/>
          <w:lang w:val="en-GB"/>
        </w:rPr>
        <w:t xml:space="preserve">. The exclusive license most likely contains copyright information </w:t>
      </w:r>
      <w:r w:rsidR="00B543F5">
        <w:rPr>
          <w:rFonts w:ascii="Avenir Next" w:hAnsi="Avenir Next" w:cs="Arial"/>
          <w:color w:val="4472C4" w:themeColor="accent1"/>
          <w:sz w:val="22"/>
          <w:szCs w:val="22"/>
          <w:lang w:val="en-GB"/>
        </w:rPr>
        <w:t xml:space="preserve">which </w:t>
      </w:r>
      <w:r w:rsidR="0046530E">
        <w:rPr>
          <w:rFonts w:ascii="Avenir Next" w:hAnsi="Avenir Next" w:cs="Arial"/>
          <w:color w:val="4472C4" w:themeColor="accent1"/>
          <w:sz w:val="22"/>
          <w:szCs w:val="22"/>
          <w:lang w:val="en-GB"/>
        </w:rPr>
        <w:t xml:space="preserve">means that </w:t>
      </w:r>
      <w:proofErr w:type="spellStart"/>
      <w:r w:rsidR="0046530E">
        <w:rPr>
          <w:rFonts w:ascii="Avenir Next" w:hAnsi="Avenir Next" w:cs="Arial"/>
          <w:color w:val="4472C4" w:themeColor="accent1"/>
          <w:sz w:val="22"/>
          <w:szCs w:val="22"/>
          <w:lang w:val="en-GB"/>
        </w:rPr>
        <w:t>ToyCo’s</w:t>
      </w:r>
      <w:proofErr w:type="spellEnd"/>
      <w:r w:rsidR="0046530E">
        <w:rPr>
          <w:rFonts w:ascii="Avenir Next" w:hAnsi="Avenir Next" w:cs="Arial"/>
          <w:color w:val="4472C4" w:themeColor="accent1"/>
          <w:sz w:val="22"/>
          <w:szCs w:val="22"/>
          <w:lang w:val="en-GB"/>
        </w:rPr>
        <w:t xml:space="preserve"> consent would be required.</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0F3C409" w14:textId="3528EE55" w:rsidR="00E01803" w:rsidRDefault="00E01803" w:rsidP="0046530E">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38EE9DCF" w14:textId="5C7C2D72" w:rsidR="0046530E" w:rsidRPr="0046530E" w:rsidRDefault="0046530E" w:rsidP="0046530E">
      <w:pPr>
        <w:pStyle w:val="AODocTxt"/>
        <w:spacing w:before="0" w:line="240" w:lineRule="auto"/>
        <w:ind w:left="720" w:hanging="720"/>
        <w:rPr>
          <w:rFonts w:ascii="Avenir Next" w:hAnsi="Avenir Next"/>
          <w:color w:val="4472C4" w:themeColor="accent1"/>
        </w:rPr>
      </w:pPr>
      <w:proofErr w:type="spellStart"/>
      <w:r w:rsidRPr="0046530E">
        <w:rPr>
          <w:rFonts w:ascii="Avenir Next" w:hAnsi="Avenir Next"/>
          <w:color w:val="4472C4" w:themeColor="accent1"/>
        </w:rPr>
        <w:lastRenderedPageBreak/>
        <w:t>GameMart</w:t>
      </w:r>
      <w:proofErr w:type="spellEnd"/>
      <w:r w:rsidRPr="0046530E">
        <w:rPr>
          <w:rFonts w:ascii="Avenir Next" w:hAnsi="Avenir Next"/>
          <w:color w:val="4472C4" w:themeColor="accent1"/>
        </w:rPr>
        <w:t xml:space="preserve"> would be able to transfer the lease notwithstanding the terms that the </w:t>
      </w:r>
      <w:r w:rsidRPr="0046530E">
        <w:rPr>
          <w:rFonts w:ascii="Avenir Next" w:hAnsi="Avenir Next"/>
          <w:color w:val="4472C4" w:themeColor="accent1"/>
        </w:rPr>
        <w:t>landlord’s</w:t>
      </w:r>
    </w:p>
    <w:p w14:paraId="027B802C" w14:textId="77777777" w:rsidR="0060229C" w:rsidRDefault="0046530E" w:rsidP="0046530E">
      <w:pPr>
        <w:pStyle w:val="AODocTxt"/>
        <w:spacing w:before="0" w:line="240" w:lineRule="auto"/>
        <w:ind w:left="720" w:hanging="720"/>
        <w:rPr>
          <w:rFonts w:ascii="Avenir Next" w:hAnsi="Avenir Next"/>
          <w:color w:val="4472C4" w:themeColor="accent1"/>
        </w:rPr>
      </w:pPr>
      <w:r w:rsidRPr="0046530E">
        <w:rPr>
          <w:rFonts w:ascii="Avenir Next" w:hAnsi="Avenir Next"/>
          <w:color w:val="4472C4" w:themeColor="accent1"/>
        </w:rPr>
        <w:t>C</w:t>
      </w:r>
      <w:r w:rsidRPr="0046530E">
        <w:rPr>
          <w:rFonts w:ascii="Avenir Next" w:hAnsi="Avenir Next"/>
          <w:color w:val="4472C4" w:themeColor="accent1"/>
        </w:rPr>
        <w:t>onsent</w:t>
      </w:r>
      <w:r>
        <w:rPr>
          <w:rFonts w:ascii="Avenir Next" w:hAnsi="Avenir Next"/>
          <w:color w:val="4472C4" w:themeColor="accent1"/>
        </w:rPr>
        <w:t xml:space="preserve"> is required. The question becomes whether the 363 sale </w:t>
      </w:r>
      <w:r w:rsidR="0060229C">
        <w:rPr>
          <w:rFonts w:ascii="Avenir Next" w:hAnsi="Avenir Next"/>
          <w:color w:val="4472C4" w:themeColor="accent1"/>
        </w:rPr>
        <w:t xml:space="preserve">is being undertaken </w:t>
      </w:r>
      <w:proofErr w:type="gramStart"/>
      <w:r w:rsidR="0060229C">
        <w:rPr>
          <w:rFonts w:ascii="Avenir Next" w:hAnsi="Avenir Next"/>
          <w:color w:val="4472C4" w:themeColor="accent1"/>
        </w:rPr>
        <w:t>In</w:t>
      </w:r>
      <w:proofErr w:type="gramEnd"/>
      <w:r w:rsidR="0060229C">
        <w:rPr>
          <w:rFonts w:ascii="Avenir Next" w:hAnsi="Avenir Next"/>
          <w:color w:val="4472C4" w:themeColor="accent1"/>
        </w:rPr>
        <w:t xml:space="preserve"> its</w:t>
      </w:r>
    </w:p>
    <w:p w14:paraId="6F277AA0" w14:textId="77777777" w:rsidR="0060229C"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 xml:space="preserve">business judgment in respect of which creditors must be considered and the fiduciary duty </w:t>
      </w:r>
    </w:p>
    <w:p w14:paraId="62DDC4E8" w14:textId="77777777" w:rsidR="0060229C"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 xml:space="preserve">to them complied with. </w:t>
      </w:r>
      <w:proofErr w:type="spellStart"/>
      <w:r>
        <w:rPr>
          <w:rFonts w:ascii="Avenir Next" w:hAnsi="Avenir Next"/>
          <w:color w:val="4472C4" w:themeColor="accent1"/>
        </w:rPr>
        <w:t>GameMart</w:t>
      </w:r>
      <w:proofErr w:type="spellEnd"/>
      <w:r>
        <w:rPr>
          <w:rFonts w:ascii="Avenir Next" w:hAnsi="Avenir Next"/>
          <w:color w:val="4472C4" w:themeColor="accent1"/>
        </w:rPr>
        <w:t xml:space="preserve"> must also show that the transaction is in the best interests </w:t>
      </w:r>
    </w:p>
    <w:p w14:paraId="68732A29" w14:textId="42EB92FF" w:rsidR="0046530E"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of the company as a whole.</w:t>
      </w:r>
    </w:p>
    <w:p w14:paraId="731F3F42" w14:textId="77777777" w:rsidR="0060229C" w:rsidRDefault="0060229C" w:rsidP="0046530E">
      <w:pPr>
        <w:pStyle w:val="AODocTxt"/>
        <w:spacing w:before="0" w:line="240" w:lineRule="auto"/>
        <w:ind w:left="720" w:hanging="720"/>
        <w:rPr>
          <w:rFonts w:ascii="Avenir Next" w:hAnsi="Avenir Next"/>
          <w:color w:val="4472C4" w:themeColor="accent1"/>
        </w:rPr>
      </w:pPr>
    </w:p>
    <w:p w14:paraId="715AEF15" w14:textId="77777777" w:rsidR="0060229C"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 xml:space="preserve">Given the performance of the toy lines and the resulting impact on its business operations, </w:t>
      </w:r>
    </w:p>
    <w:p w14:paraId="495555A5" w14:textId="77777777" w:rsidR="0060229C"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 xml:space="preserve">Game Mart would be able to establish these two points and transfer the lease even if the </w:t>
      </w:r>
    </w:p>
    <w:p w14:paraId="4E3F61C5" w14:textId="4892F888" w:rsidR="0060229C" w:rsidRDefault="0060229C" w:rsidP="0046530E">
      <w:pPr>
        <w:pStyle w:val="AODocTxt"/>
        <w:spacing w:before="0" w:line="240" w:lineRule="auto"/>
        <w:ind w:left="720" w:hanging="720"/>
        <w:rPr>
          <w:rFonts w:ascii="Avenir Next" w:hAnsi="Avenir Next"/>
          <w:color w:val="4472C4" w:themeColor="accent1"/>
        </w:rPr>
      </w:pPr>
      <w:r>
        <w:rPr>
          <w:rFonts w:ascii="Avenir Next" w:hAnsi="Avenir Next"/>
          <w:color w:val="4472C4" w:themeColor="accent1"/>
        </w:rPr>
        <w:t xml:space="preserve">landlord’s consent is not </w:t>
      </w:r>
      <w:proofErr w:type="gramStart"/>
      <w:r>
        <w:rPr>
          <w:rFonts w:ascii="Avenir Next" w:hAnsi="Avenir Next"/>
          <w:color w:val="4472C4" w:themeColor="accent1"/>
        </w:rPr>
        <w:t>obtain</w:t>
      </w:r>
      <w:proofErr w:type="gramEnd"/>
      <w:r>
        <w:rPr>
          <w:rFonts w:ascii="Avenir Next" w:hAnsi="Avenir Next"/>
          <w:color w:val="4472C4" w:themeColor="accent1"/>
        </w:rPr>
        <w:t xml:space="preserve">. </w:t>
      </w:r>
    </w:p>
    <w:p w14:paraId="0E2891E2" w14:textId="77777777" w:rsidR="0060229C" w:rsidRDefault="0060229C" w:rsidP="0046530E">
      <w:pPr>
        <w:pStyle w:val="AODocTxt"/>
        <w:spacing w:before="0" w:line="240" w:lineRule="auto"/>
        <w:ind w:left="720" w:hanging="720"/>
        <w:rPr>
          <w:rFonts w:ascii="Avenir Next" w:hAnsi="Avenir Next"/>
          <w:color w:val="4472C4" w:themeColor="accent1"/>
        </w:rPr>
      </w:pPr>
    </w:p>
    <w:p w14:paraId="226F5CFA" w14:textId="77777777" w:rsidR="0060229C" w:rsidRPr="0046530E" w:rsidRDefault="0060229C" w:rsidP="0046530E">
      <w:pPr>
        <w:pStyle w:val="AODocTxt"/>
        <w:spacing w:before="0" w:line="240" w:lineRule="auto"/>
        <w:ind w:left="720" w:hanging="720"/>
        <w:rPr>
          <w:rFonts w:ascii="Avenir Next" w:hAnsi="Avenir Next"/>
          <w:color w:val="4472C4" w:themeColor="accent1"/>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B25C" w14:textId="77777777" w:rsidR="001C3AD9" w:rsidRDefault="001C3AD9" w:rsidP="00241B44">
      <w:r>
        <w:separator/>
      </w:r>
    </w:p>
  </w:endnote>
  <w:endnote w:type="continuationSeparator" w:id="0">
    <w:p w14:paraId="24F14B13" w14:textId="77777777" w:rsidR="001C3AD9" w:rsidRDefault="001C3A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Ƣ悀"/>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4A5CBA0" w:rsidR="00241FA3" w:rsidRPr="00494B81" w:rsidRDefault="005D7CB5" w:rsidP="009B4976">
    <w:pPr>
      <w:pStyle w:val="Footer"/>
      <w:ind w:right="360"/>
      <w:rPr>
        <w:rFonts w:ascii="Avenir Next" w:hAnsi="Avenir Next" w:cs="Arial"/>
        <w:sz w:val="22"/>
        <w:szCs w:val="22"/>
        <w:lang w:val="en-GB"/>
      </w:rPr>
    </w:pPr>
    <w:r>
      <w:rPr>
        <w:rFonts w:ascii="Avenir Next" w:hAnsi="Avenir Next" w:cs="Arial"/>
        <w:sz w:val="22"/>
        <w:szCs w:val="22"/>
        <w:lang w:val="en-GB"/>
      </w:rPr>
      <w:t>202223-1001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89E5" w14:textId="77777777" w:rsidR="001C3AD9" w:rsidRDefault="001C3AD9" w:rsidP="00241B44">
      <w:r>
        <w:separator/>
      </w:r>
    </w:p>
  </w:footnote>
  <w:footnote w:type="continuationSeparator" w:id="0">
    <w:p w14:paraId="0EC4B324" w14:textId="77777777" w:rsidR="001C3AD9" w:rsidRDefault="001C3A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27C46"/>
    <w:multiLevelType w:val="hybridMultilevel"/>
    <w:tmpl w:val="1E72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24086"/>
    <w:multiLevelType w:val="hybridMultilevel"/>
    <w:tmpl w:val="D12E8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5617E"/>
    <w:multiLevelType w:val="hybridMultilevel"/>
    <w:tmpl w:val="806E6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429AA"/>
    <w:multiLevelType w:val="hybridMultilevel"/>
    <w:tmpl w:val="2F3C9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52AF9"/>
    <w:multiLevelType w:val="hybridMultilevel"/>
    <w:tmpl w:val="0C463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7751835">
    <w:abstractNumId w:val="24"/>
  </w:num>
  <w:num w:numId="2" w16cid:durableId="2057927498">
    <w:abstractNumId w:val="28"/>
  </w:num>
  <w:num w:numId="3" w16cid:durableId="517426779">
    <w:abstractNumId w:val="5"/>
  </w:num>
  <w:num w:numId="4" w16cid:durableId="13583484">
    <w:abstractNumId w:val="9"/>
  </w:num>
  <w:num w:numId="5" w16cid:durableId="1555040679">
    <w:abstractNumId w:val="12"/>
  </w:num>
  <w:num w:numId="6" w16cid:durableId="261650093">
    <w:abstractNumId w:val="31"/>
  </w:num>
  <w:num w:numId="7" w16cid:durableId="1024748213">
    <w:abstractNumId w:val="6"/>
  </w:num>
  <w:num w:numId="8" w16cid:durableId="2124881678">
    <w:abstractNumId w:val="34"/>
  </w:num>
  <w:num w:numId="9" w16cid:durableId="1779448110">
    <w:abstractNumId w:val="13"/>
  </w:num>
  <w:num w:numId="10" w16cid:durableId="1931549375">
    <w:abstractNumId w:val="26"/>
  </w:num>
  <w:num w:numId="11" w16cid:durableId="509637981">
    <w:abstractNumId w:val="15"/>
  </w:num>
  <w:num w:numId="12" w16cid:durableId="1208252939">
    <w:abstractNumId w:val="23"/>
  </w:num>
  <w:num w:numId="13" w16cid:durableId="2052488964">
    <w:abstractNumId w:val="0"/>
  </w:num>
  <w:num w:numId="14" w16cid:durableId="532232144">
    <w:abstractNumId w:val="11"/>
  </w:num>
  <w:num w:numId="15" w16cid:durableId="730428205">
    <w:abstractNumId w:val="18"/>
  </w:num>
  <w:num w:numId="16" w16cid:durableId="1361935241">
    <w:abstractNumId w:val="8"/>
  </w:num>
  <w:num w:numId="17" w16cid:durableId="646787871">
    <w:abstractNumId w:val="4"/>
  </w:num>
  <w:num w:numId="18" w16cid:durableId="1393458381">
    <w:abstractNumId w:val="2"/>
  </w:num>
  <w:num w:numId="19" w16cid:durableId="1548837076">
    <w:abstractNumId w:val="29"/>
  </w:num>
  <w:num w:numId="20" w16cid:durableId="523180018">
    <w:abstractNumId w:val="7"/>
  </w:num>
  <w:num w:numId="21" w16cid:durableId="1898935601">
    <w:abstractNumId w:val="25"/>
  </w:num>
  <w:num w:numId="22" w16cid:durableId="767196718">
    <w:abstractNumId w:val="35"/>
  </w:num>
  <w:num w:numId="23" w16cid:durableId="2041857548">
    <w:abstractNumId w:val="14"/>
  </w:num>
  <w:num w:numId="24" w16cid:durableId="321011422">
    <w:abstractNumId w:val="30"/>
  </w:num>
  <w:num w:numId="25" w16cid:durableId="1000962090">
    <w:abstractNumId w:val="20"/>
  </w:num>
  <w:num w:numId="26" w16cid:durableId="1003094829">
    <w:abstractNumId w:val="21"/>
  </w:num>
  <w:num w:numId="27" w16cid:durableId="956178189">
    <w:abstractNumId w:val="16"/>
  </w:num>
  <w:num w:numId="28" w16cid:durableId="1796025456">
    <w:abstractNumId w:val="32"/>
  </w:num>
  <w:num w:numId="29" w16cid:durableId="2027706084">
    <w:abstractNumId w:val="1"/>
  </w:num>
  <w:num w:numId="30" w16cid:durableId="115682719">
    <w:abstractNumId w:val="17"/>
  </w:num>
  <w:num w:numId="31" w16cid:durableId="128405184">
    <w:abstractNumId w:val="22"/>
  </w:num>
  <w:num w:numId="32" w16cid:durableId="952127541">
    <w:abstractNumId w:val="19"/>
  </w:num>
  <w:num w:numId="33" w16cid:durableId="1023289300">
    <w:abstractNumId w:val="27"/>
  </w:num>
  <w:num w:numId="34" w16cid:durableId="1685979602">
    <w:abstractNumId w:val="3"/>
  </w:num>
  <w:num w:numId="35" w16cid:durableId="741878745">
    <w:abstractNumId w:val="10"/>
  </w:num>
  <w:num w:numId="36" w16cid:durableId="51179842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2AB8"/>
    <w:rsid w:val="000346E7"/>
    <w:rsid w:val="00037621"/>
    <w:rsid w:val="00037671"/>
    <w:rsid w:val="00042C87"/>
    <w:rsid w:val="00044D46"/>
    <w:rsid w:val="00045088"/>
    <w:rsid w:val="00045904"/>
    <w:rsid w:val="000502FD"/>
    <w:rsid w:val="00065166"/>
    <w:rsid w:val="00073068"/>
    <w:rsid w:val="000778B1"/>
    <w:rsid w:val="00082609"/>
    <w:rsid w:val="000851CC"/>
    <w:rsid w:val="000930D0"/>
    <w:rsid w:val="00093BE8"/>
    <w:rsid w:val="00097B45"/>
    <w:rsid w:val="00097D56"/>
    <w:rsid w:val="000A407B"/>
    <w:rsid w:val="000A56A1"/>
    <w:rsid w:val="000A636A"/>
    <w:rsid w:val="000A68ED"/>
    <w:rsid w:val="000A7A3D"/>
    <w:rsid w:val="000B5FF1"/>
    <w:rsid w:val="000B609F"/>
    <w:rsid w:val="000C4C5B"/>
    <w:rsid w:val="000C543C"/>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73D14"/>
    <w:rsid w:val="00174092"/>
    <w:rsid w:val="00180548"/>
    <w:rsid w:val="00180AC4"/>
    <w:rsid w:val="00180CCE"/>
    <w:rsid w:val="0018267A"/>
    <w:rsid w:val="00182779"/>
    <w:rsid w:val="001830DF"/>
    <w:rsid w:val="001966D9"/>
    <w:rsid w:val="00197E4B"/>
    <w:rsid w:val="001A7E9A"/>
    <w:rsid w:val="001B0F70"/>
    <w:rsid w:val="001B5016"/>
    <w:rsid w:val="001C3AD9"/>
    <w:rsid w:val="001C45FC"/>
    <w:rsid w:val="001D0469"/>
    <w:rsid w:val="001D4862"/>
    <w:rsid w:val="001E25B9"/>
    <w:rsid w:val="001E49E0"/>
    <w:rsid w:val="001E7B5A"/>
    <w:rsid w:val="001F50CC"/>
    <w:rsid w:val="001F53A2"/>
    <w:rsid w:val="001F6815"/>
    <w:rsid w:val="001F7412"/>
    <w:rsid w:val="00202DFE"/>
    <w:rsid w:val="0020725B"/>
    <w:rsid w:val="002110F1"/>
    <w:rsid w:val="0022021C"/>
    <w:rsid w:val="00223917"/>
    <w:rsid w:val="0024116D"/>
    <w:rsid w:val="00241B44"/>
    <w:rsid w:val="00241FA3"/>
    <w:rsid w:val="00245EFB"/>
    <w:rsid w:val="00246331"/>
    <w:rsid w:val="0025386E"/>
    <w:rsid w:val="00256B74"/>
    <w:rsid w:val="002638B0"/>
    <w:rsid w:val="00263E77"/>
    <w:rsid w:val="0026647A"/>
    <w:rsid w:val="002668D3"/>
    <w:rsid w:val="00266B02"/>
    <w:rsid w:val="00267AB3"/>
    <w:rsid w:val="0027299F"/>
    <w:rsid w:val="00284EBE"/>
    <w:rsid w:val="002903A7"/>
    <w:rsid w:val="0029433F"/>
    <w:rsid w:val="00294829"/>
    <w:rsid w:val="0029690F"/>
    <w:rsid w:val="00297C8A"/>
    <w:rsid w:val="002A2A60"/>
    <w:rsid w:val="002A37BB"/>
    <w:rsid w:val="002B1C45"/>
    <w:rsid w:val="002B5D64"/>
    <w:rsid w:val="002B66C7"/>
    <w:rsid w:val="002C13C8"/>
    <w:rsid w:val="002C3547"/>
    <w:rsid w:val="002C4932"/>
    <w:rsid w:val="002D0021"/>
    <w:rsid w:val="002D299D"/>
    <w:rsid w:val="002D3473"/>
    <w:rsid w:val="002D6789"/>
    <w:rsid w:val="002D78C5"/>
    <w:rsid w:val="002E21B6"/>
    <w:rsid w:val="002E4CB6"/>
    <w:rsid w:val="002E5F2E"/>
    <w:rsid w:val="002F1956"/>
    <w:rsid w:val="002F3440"/>
    <w:rsid w:val="002F75A3"/>
    <w:rsid w:val="00301D2B"/>
    <w:rsid w:val="00303C2F"/>
    <w:rsid w:val="00313CE1"/>
    <w:rsid w:val="003144EF"/>
    <w:rsid w:val="00323167"/>
    <w:rsid w:val="00325A8F"/>
    <w:rsid w:val="00326292"/>
    <w:rsid w:val="00326415"/>
    <w:rsid w:val="00330937"/>
    <w:rsid w:val="00330F31"/>
    <w:rsid w:val="00334648"/>
    <w:rsid w:val="0033768C"/>
    <w:rsid w:val="00337938"/>
    <w:rsid w:val="00337CAD"/>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2ECD"/>
    <w:rsid w:val="003A5537"/>
    <w:rsid w:val="003A75F4"/>
    <w:rsid w:val="003B170F"/>
    <w:rsid w:val="003B3C5F"/>
    <w:rsid w:val="003B7184"/>
    <w:rsid w:val="003C3388"/>
    <w:rsid w:val="003C4471"/>
    <w:rsid w:val="003C53FE"/>
    <w:rsid w:val="003D0A6D"/>
    <w:rsid w:val="003E0B16"/>
    <w:rsid w:val="003E67D1"/>
    <w:rsid w:val="003F35F0"/>
    <w:rsid w:val="00404329"/>
    <w:rsid w:val="00405DC1"/>
    <w:rsid w:val="00415F1F"/>
    <w:rsid w:val="0042108F"/>
    <w:rsid w:val="004248F6"/>
    <w:rsid w:val="004273B0"/>
    <w:rsid w:val="00430FED"/>
    <w:rsid w:val="00434A8C"/>
    <w:rsid w:val="0043719F"/>
    <w:rsid w:val="00437297"/>
    <w:rsid w:val="00444284"/>
    <w:rsid w:val="00445CE6"/>
    <w:rsid w:val="00447715"/>
    <w:rsid w:val="004534C2"/>
    <w:rsid w:val="0045446F"/>
    <w:rsid w:val="00455018"/>
    <w:rsid w:val="0045683E"/>
    <w:rsid w:val="0046530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52CC"/>
    <w:rsid w:val="004D64F9"/>
    <w:rsid w:val="004E3A6B"/>
    <w:rsid w:val="004E5AF5"/>
    <w:rsid w:val="004E622C"/>
    <w:rsid w:val="004F49B5"/>
    <w:rsid w:val="004F5D87"/>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D7CB5"/>
    <w:rsid w:val="005E1B79"/>
    <w:rsid w:val="005E6076"/>
    <w:rsid w:val="005E7008"/>
    <w:rsid w:val="005F026D"/>
    <w:rsid w:val="005F2AEA"/>
    <w:rsid w:val="005F2D0B"/>
    <w:rsid w:val="005F4B31"/>
    <w:rsid w:val="0060229C"/>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5D2D"/>
    <w:rsid w:val="006661EF"/>
    <w:rsid w:val="006714A9"/>
    <w:rsid w:val="00674A5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29B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3FD5"/>
    <w:rsid w:val="0080454E"/>
    <w:rsid w:val="00804C32"/>
    <w:rsid w:val="00805305"/>
    <w:rsid w:val="00806302"/>
    <w:rsid w:val="00807119"/>
    <w:rsid w:val="0082483F"/>
    <w:rsid w:val="008279C0"/>
    <w:rsid w:val="00834F92"/>
    <w:rsid w:val="00852AFA"/>
    <w:rsid w:val="00865922"/>
    <w:rsid w:val="00871DBF"/>
    <w:rsid w:val="008723F3"/>
    <w:rsid w:val="00881DE6"/>
    <w:rsid w:val="008837A6"/>
    <w:rsid w:val="0089145D"/>
    <w:rsid w:val="00895EF1"/>
    <w:rsid w:val="0089672A"/>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351B3"/>
    <w:rsid w:val="00942123"/>
    <w:rsid w:val="0095207B"/>
    <w:rsid w:val="00962045"/>
    <w:rsid w:val="00965049"/>
    <w:rsid w:val="00980E61"/>
    <w:rsid w:val="00991428"/>
    <w:rsid w:val="00992676"/>
    <w:rsid w:val="009954B2"/>
    <w:rsid w:val="00996691"/>
    <w:rsid w:val="009B0723"/>
    <w:rsid w:val="009B07AD"/>
    <w:rsid w:val="009B0883"/>
    <w:rsid w:val="009B15E2"/>
    <w:rsid w:val="009B1B94"/>
    <w:rsid w:val="009B366C"/>
    <w:rsid w:val="009B4976"/>
    <w:rsid w:val="009C0B8E"/>
    <w:rsid w:val="009C1BC8"/>
    <w:rsid w:val="009C2442"/>
    <w:rsid w:val="009D0811"/>
    <w:rsid w:val="009D0EE1"/>
    <w:rsid w:val="009D4FA6"/>
    <w:rsid w:val="009D5B73"/>
    <w:rsid w:val="009E2AEB"/>
    <w:rsid w:val="009E2E27"/>
    <w:rsid w:val="009E45DF"/>
    <w:rsid w:val="009E4DE3"/>
    <w:rsid w:val="009F275E"/>
    <w:rsid w:val="00A024E7"/>
    <w:rsid w:val="00A047EE"/>
    <w:rsid w:val="00A04D79"/>
    <w:rsid w:val="00A14A13"/>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1C01"/>
    <w:rsid w:val="00AD4BE8"/>
    <w:rsid w:val="00AF228E"/>
    <w:rsid w:val="00B016A8"/>
    <w:rsid w:val="00B01E81"/>
    <w:rsid w:val="00B10961"/>
    <w:rsid w:val="00B14819"/>
    <w:rsid w:val="00B15E2F"/>
    <w:rsid w:val="00B17AA9"/>
    <w:rsid w:val="00B27E6E"/>
    <w:rsid w:val="00B44713"/>
    <w:rsid w:val="00B543F5"/>
    <w:rsid w:val="00B56103"/>
    <w:rsid w:val="00B64929"/>
    <w:rsid w:val="00B736DF"/>
    <w:rsid w:val="00B743D6"/>
    <w:rsid w:val="00B74FBD"/>
    <w:rsid w:val="00B77B19"/>
    <w:rsid w:val="00B77F46"/>
    <w:rsid w:val="00B819E0"/>
    <w:rsid w:val="00B82586"/>
    <w:rsid w:val="00B829A3"/>
    <w:rsid w:val="00B86AC0"/>
    <w:rsid w:val="00B86DB1"/>
    <w:rsid w:val="00B87869"/>
    <w:rsid w:val="00B9639B"/>
    <w:rsid w:val="00BA31AE"/>
    <w:rsid w:val="00BB0F2B"/>
    <w:rsid w:val="00BD4A58"/>
    <w:rsid w:val="00BD7337"/>
    <w:rsid w:val="00BE478C"/>
    <w:rsid w:val="00BE4FF3"/>
    <w:rsid w:val="00BF50F7"/>
    <w:rsid w:val="00C02F29"/>
    <w:rsid w:val="00C05A9F"/>
    <w:rsid w:val="00C20AFE"/>
    <w:rsid w:val="00C22A25"/>
    <w:rsid w:val="00C35671"/>
    <w:rsid w:val="00C35B77"/>
    <w:rsid w:val="00C362AA"/>
    <w:rsid w:val="00C376EB"/>
    <w:rsid w:val="00C452BC"/>
    <w:rsid w:val="00C46A92"/>
    <w:rsid w:val="00C46EC1"/>
    <w:rsid w:val="00C5126E"/>
    <w:rsid w:val="00C51EA5"/>
    <w:rsid w:val="00C52796"/>
    <w:rsid w:val="00C53E2C"/>
    <w:rsid w:val="00C550C8"/>
    <w:rsid w:val="00C56B61"/>
    <w:rsid w:val="00C606C3"/>
    <w:rsid w:val="00C60F19"/>
    <w:rsid w:val="00C620F4"/>
    <w:rsid w:val="00C651D6"/>
    <w:rsid w:val="00C72848"/>
    <w:rsid w:val="00C75360"/>
    <w:rsid w:val="00C7736C"/>
    <w:rsid w:val="00C82D87"/>
    <w:rsid w:val="00C8712A"/>
    <w:rsid w:val="00C87E0A"/>
    <w:rsid w:val="00C902C8"/>
    <w:rsid w:val="00C919D1"/>
    <w:rsid w:val="00C963D3"/>
    <w:rsid w:val="00CB1983"/>
    <w:rsid w:val="00CB2CBB"/>
    <w:rsid w:val="00CB6578"/>
    <w:rsid w:val="00CB7CAC"/>
    <w:rsid w:val="00CC1943"/>
    <w:rsid w:val="00CC4818"/>
    <w:rsid w:val="00CC5335"/>
    <w:rsid w:val="00CC5BA4"/>
    <w:rsid w:val="00CD4998"/>
    <w:rsid w:val="00CE0ECD"/>
    <w:rsid w:val="00CE1035"/>
    <w:rsid w:val="00CE233E"/>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64EF4"/>
    <w:rsid w:val="00D84752"/>
    <w:rsid w:val="00D86B3B"/>
    <w:rsid w:val="00D8748A"/>
    <w:rsid w:val="00D93196"/>
    <w:rsid w:val="00D9565D"/>
    <w:rsid w:val="00DA0DC0"/>
    <w:rsid w:val="00DA1D45"/>
    <w:rsid w:val="00DA6A9C"/>
    <w:rsid w:val="00DB243C"/>
    <w:rsid w:val="00DB482A"/>
    <w:rsid w:val="00DB50FB"/>
    <w:rsid w:val="00DB56F2"/>
    <w:rsid w:val="00DB6EF5"/>
    <w:rsid w:val="00DC3089"/>
    <w:rsid w:val="00DC359F"/>
    <w:rsid w:val="00DC4116"/>
    <w:rsid w:val="00DC4420"/>
    <w:rsid w:val="00DD0802"/>
    <w:rsid w:val="00DD2E11"/>
    <w:rsid w:val="00DE03AF"/>
    <w:rsid w:val="00DE121C"/>
    <w:rsid w:val="00DE5357"/>
    <w:rsid w:val="00DE6633"/>
    <w:rsid w:val="00DE7E9B"/>
    <w:rsid w:val="00DF158F"/>
    <w:rsid w:val="00DF6CE1"/>
    <w:rsid w:val="00DF75F8"/>
    <w:rsid w:val="00DF7A3A"/>
    <w:rsid w:val="00E00C00"/>
    <w:rsid w:val="00E01803"/>
    <w:rsid w:val="00E07C5A"/>
    <w:rsid w:val="00E15BA9"/>
    <w:rsid w:val="00E22DC2"/>
    <w:rsid w:val="00E26E10"/>
    <w:rsid w:val="00E26E19"/>
    <w:rsid w:val="00E30E60"/>
    <w:rsid w:val="00E31DF3"/>
    <w:rsid w:val="00E354D0"/>
    <w:rsid w:val="00E41578"/>
    <w:rsid w:val="00E421C6"/>
    <w:rsid w:val="00E450A4"/>
    <w:rsid w:val="00E506BE"/>
    <w:rsid w:val="00E55547"/>
    <w:rsid w:val="00E6302B"/>
    <w:rsid w:val="00E6452F"/>
    <w:rsid w:val="00E64F45"/>
    <w:rsid w:val="00E6742D"/>
    <w:rsid w:val="00E71CB0"/>
    <w:rsid w:val="00E77C3D"/>
    <w:rsid w:val="00E90067"/>
    <w:rsid w:val="00E90991"/>
    <w:rsid w:val="00E909F0"/>
    <w:rsid w:val="00E90D47"/>
    <w:rsid w:val="00E93993"/>
    <w:rsid w:val="00E9597C"/>
    <w:rsid w:val="00E971B6"/>
    <w:rsid w:val="00EA0913"/>
    <w:rsid w:val="00EA5B00"/>
    <w:rsid w:val="00EA78AC"/>
    <w:rsid w:val="00EB146B"/>
    <w:rsid w:val="00EB45AC"/>
    <w:rsid w:val="00EB73A9"/>
    <w:rsid w:val="00EC441F"/>
    <w:rsid w:val="00EC4755"/>
    <w:rsid w:val="00ED0BC4"/>
    <w:rsid w:val="00ED1A39"/>
    <w:rsid w:val="00ED447D"/>
    <w:rsid w:val="00ED738F"/>
    <w:rsid w:val="00ED74BC"/>
    <w:rsid w:val="00EE2768"/>
    <w:rsid w:val="00EE4971"/>
    <w:rsid w:val="00EF090E"/>
    <w:rsid w:val="00EF3307"/>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3FB1"/>
    <w:rsid w:val="00FB7FBD"/>
    <w:rsid w:val="00FC320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14</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Doe</cp:lastModifiedBy>
  <cp:revision>17</cp:revision>
  <cp:lastPrinted>2019-08-27T05:42:00Z</cp:lastPrinted>
  <dcterms:created xsi:type="dcterms:W3CDTF">2022-07-01T09:50:00Z</dcterms:created>
  <dcterms:modified xsi:type="dcterms:W3CDTF">2023-07-31T08:48:00Z</dcterms:modified>
</cp:coreProperties>
</file>