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w:t>
      </w:r>
      <w:r w:rsidR="00397D3A" w:rsidRPr="00CE0ECD">
        <w:rPr>
          <w:rFonts w:ascii="Avenir Next" w:hAnsi="Avenir Next" w:cs="Arial"/>
          <w:sz w:val="22"/>
          <w:szCs w:val="22"/>
          <w:highlight w:val="yellow"/>
          <w:lang w:val="en-GB"/>
        </w:rPr>
        <w:lastRenderedPageBreak/>
        <w:t xml:space="preserve">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565CDF">
        <w:rPr>
          <w:rFonts w:ascii="Avenir Next" w:hAnsi="Avenir Next"/>
          <w:highlight w:val="yellow"/>
        </w:rPr>
        <w:t>All of</w:t>
      </w:r>
      <w:proofErr w:type="gramEnd"/>
      <w:r w:rsidRPr="00565CDF">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565CDF">
        <w:rPr>
          <w:rFonts w:ascii="Avenir Next" w:hAnsi="Avenir Next"/>
          <w:highlight w:val="yellow"/>
        </w:rPr>
        <w:t>(b)</w:t>
      </w:r>
      <w:r w:rsidRPr="00565CDF">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565CDF" w:rsidRDefault="00CE0ECD" w:rsidP="00097D56">
      <w:pPr>
        <w:pStyle w:val="AODocTxt"/>
        <w:numPr>
          <w:ilvl w:val="0"/>
          <w:numId w:val="16"/>
        </w:numPr>
        <w:spacing w:before="0" w:line="240" w:lineRule="auto"/>
        <w:ind w:left="426"/>
        <w:rPr>
          <w:rFonts w:ascii="Avenir Next" w:hAnsi="Avenir Next"/>
          <w:highlight w:val="yellow"/>
        </w:rPr>
      </w:pPr>
      <w:r w:rsidRPr="00565CDF">
        <w:rPr>
          <w:rFonts w:ascii="Avenir Next" w:hAnsi="Avenir Next"/>
          <w:highlight w:val="yellow"/>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lastRenderedPageBreak/>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65CDF" w:rsidRDefault="00CE0ECD" w:rsidP="00E421C6">
      <w:pPr>
        <w:pStyle w:val="AODocTxt"/>
        <w:numPr>
          <w:ilvl w:val="0"/>
          <w:numId w:val="20"/>
        </w:numPr>
        <w:spacing w:before="0" w:line="240" w:lineRule="auto"/>
        <w:ind w:left="426"/>
        <w:rPr>
          <w:rFonts w:ascii="Avenir Next" w:hAnsi="Avenir Next"/>
          <w:highlight w:val="yellow"/>
        </w:rPr>
      </w:pPr>
      <w:r w:rsidRPr="00565CDF">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565CDF">
        <w:rPr>
          <w:rFonts w:ascii="Avenir Next" w:hAnsi="Avenir Next"/>
          <w:highlight w:val="yellow"/>
        </w:rPr>
        <w:t>In chapter 15 proceedings, a foreign court’s approval alone suffices for a 363 sale</w:t>
      </w:r>
      <w:r w:rsidRPr="002C4932">
        <w:rPr>
          <w:rFonts w:ascii="Avenir Next" w:hAnsi="Avenir Next"/>
        </w:rPr>
        <w:t>.</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565CDF" w:rsidRDefault="00CE0ECD" w:rsidP="000346E7">
      <w:pPr>
        <w:pStyle w:val="AODocTxt"/>
        <w:numPr>
          <w:ilvl w:val="0"/>
          <w:numId w:val="24"/>
        </w:numPr>
        <w:spacing w:before="0" w:line="240" w:lineRule="auto"/>
        <w:ind w:left="426"/>
        <w:rPr>
          <w:rFonts w:ascii="Avenir Next" w:hAnsi="Avenir Next"/>
          <w:highlight w:val="yellow"/>
        </w:rPr>
      </w:pPr>
      <w:r w:rsidRPr="00565CDF">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565CDF">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65CDF" w:rsidRDefault="00CE0ECD" w:rsidP="004830F8">
      <w:pPr>
        <w:pStyle w:val="AODocTxt"/>
        <w:numPr>
          <w:ilvl w:val="0"/>
          <w:numId w:val="28"/>
        </w:numPr>
        <w:spacing w:before="0" w:line="240" w:lineRule="auto"/>
        <w:ind w:left="426"/>
        <w:rPr>
          <w:rFonts w:ascii="Avenir Next" w:hAnsi="Avenir Next"/>
          <w:highlight w:val="yellow"/>
        </w:rPr>
      </w:pPr>
      <w:r w:rsidRPr="00565CDF">
        <w:rPr>
          <w:rFonts w:ascii="Avenir Next" w:hAnsi="Avenir Next"/>
          <w:highlight w:val="yellow"/>
        </w:rPr>
        <w:t xml:space="preserve">If a creditor can show it extended credit </w:t>
      </w:r>
      <w:proofErr w:type="gramStart"/>
      <w:r w:rsidRPr="00565CDF">
        <w:rPr>
          <w:rFonts w:ascii="Avenir Next" w:hAnsi="Avenir Next"/>
          <w:highlight w:val="yellow"/>
        </w:rPr>
        <w:t>on the basis of</w:t>
      </w:r>
      <w:proofErr w:type="gramEnd"/>
      <w:r w:rsidRPr="00565CDF">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65CDF" w:rsidRDefault="00CE0ECD" w:rsidP="00AA0280">
      <w:pPr>
        <w:pStyle w:val="AODocTxt"/>
        <w:numPr>
          <w:ilvl w:val="0"/>
          <w:numId w:val="30"/>
        </w:numPr>
        <w:spacing w:before="0" w:line="240" w:lineRule="auto"/>
        <w:ind w:left="426"/>
        <w:rPr>
          <w:rFonts w:ascii="Avenir Next" w:hAnsi="Avenir Next"/>
          <w:highlight w:val="yellow"/>
        </w:rPr>
      </w:pPr>
      <w:proofErr w:type="gramStart"/>
      <w:r w:rsidRPr="00565CDF">
        <w:rPr>
          <w:rFonts w:ascii="Avenir Next" w:hAnsi="Avenir Next"/>
          <w:highlight w:val="yellow"/>
        </w:rPr>
        <w:t>All of</w:t>
      </w:r>
      <w:proofErr w:type="gramEnd"/>
      <w:r w:rsidRPr="00565CDF">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lastRenderedPageBreak/>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7BDBDBCE" w14:textId="6265CEF7" w:rsidR="00565CDF" w:rsidRDefault="00565CDF" w:rsidP="00565CDF">
      <w:pPr>
        <w:jc w:val="both"/>
        <w:rPr>
          <w:rFonts w:ascii="Avenir Next" w:eastAsia="Avenir Next" w:hAnsi="Avenir Next" w:cs="Avenir Next"/>
          <w:color w:val="7B7B7B"/>
        </w:rPr>
      </w:pPr>
      <w:r>
        <w:rPr>
          <w:rFonts w:ascii="Avenir Next" w:eastAsia="Avenir Next" w:hAnsi="Avenir Next" w:cs="Avenir Next"/>
          <w:color w:val="7B7B7B"/>
          <w:sz w:val="22"/>
        </w:rPr>
        <w:t xml:space="preserve">A setoff is where a creditor holding a claim against a debtor, </w:t>
      </w:r>
      <w:r>
        <w:rPr>
          <w:rFonts w:ascii="Avenir Next" w:eastAsia="Avenir Next" w:hAnsi="Avenir Next" w:cs="Avenir Next"/>
          <w:color w:val="7B7B7B"/>
          <w:sz w:val="22"/>
        </w:rPr>
        <w:t>simultaneously</w:t>
      </w:r>
      <w:r>
        <w:rPr>
          <w:rFonts w:ascii="Avenir Next" w:eastAsia="Avenir Next" w:hAnsi="Avenir Next" w:cs="Avenir Next"/>
          <w:color w:val="7B7B7B"/>
          <w:sz w:val="22"/>
        </w:rPr>
        <w:t xml:space="preserve"> owes money to the debtor and the obligations are netted out as against each other. It is not permitted in many circumstances as can improve the position of the creditor as against other creditors.</w:t>
      </w:r>
    </w:p>
    <w:p w14:paraId="3E67FBD8" w14:textId="3C8C67AB" w:rsidR="00E41578" w:rsidRPr="00565CDF" w:rsidRDefault="00E41578" w:rsidP="00E41578">
      <w:pPr>
        <w:jc w:val="both"/>
        <w:rPr>
          <w:rFonts w:ascii="Avenir Next" w:hAnsi="Avenir Next" w:cs="Arial"/>
          <w:color w:val="7B7B7B" w:themeColor="accent3" w:themeShade="BF"/>
          <w:sz w:val="22"/>
          <w:szCs w:val="22"/>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1500EEB" w14:textId="70DEA3B0"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When preparing a filing for a bankruptcy court, you should review the:</w:t>
      </w:r>
    </w:p>
    <w:p w14:paraId="4758FF46" w14:textId="77777777" w:rsidR="00565CDF" w:rsidRPr="00565CDF" w:rsidRDefault="00565CDF" w:rsidP="00565CDF">
      <w:pPr>
        <w:numPr>
          <w:ilvl w:val="0"/>
          <w:numId w:val="32"/>
        </w:numPr>
        <w:ind w:left="720" w:hanging="360"/>
        <w:jc w:val="both"/>
        <w:rPr>
          <w:rFonts w:ascii="Arial" w:eastAsia="Avenir Next" w:hAnsi="Arial" w:cs="Arial"/>
          <w:color w:val="7B7B7B"/>
          <w:sz w:val="22"/>
        </w:rPr>
      </w:pPr>
      <w:r w:rsidRPr="00565CDF">
        <w:rPr>
          <w:rFonts w:ascii="Arial" w:eastAsia="Avenir Next" w:hAnsi="Arial" w:cs="Arial"/>
          <w:color w:val="7B7B7B"/>
          <w:sz w:val="22"/>
        </w:rPr>
        <w:t xml:space="preserve">Bankruptcy </w:t>
      </w:r>
      <w:proofErr w:type="gramStart"/>
      <w:r w:rsidRPr="00565CDF">
        <w:rPr>
          <w:rFonts w:ascii="Arial" w:eastAsia="Avenir Next" w:hAnsi="Arial" w:cs="Arial"/>
          <w:color w:val="7B7B7B"/>
          <w:sz w:val="22"/>
        </w:rPr>
        <w:t>Rules;</w:t>
      </w:r>
      <w:proofErr w:type="gramEnd"/>
    </w:p>
    <w:p w14:paraId="3C45F938" w14:textId="77777777" w:rsidR="00565CDF" w:rsidRPr="00565CDF" w:rsidRDefault="00565CDF" w:rsidP="00565CDF">
      <w:pPr>
        <w:numPr>
          <w:ilvl w:val="0"/>
          <w:numId w:val="32"/>
        </w:numPr>
        <w:ind w:left="720" w:hanging="360"/>
        <w:jc w:val="both"/>
        <w:rPr>
          <w:rFonts w:ascii="Arial" w:eastAsia="Avenir Next" w:hAnsi="Arial" w:cs="Arial"/>
          <w:color w:val="7B7B7B"/>
          <w:sz w:val="22"/>
        </w:rPr>
      </w:pPr>
      <w:r w:rsidRPr="00565CDF">
        <w:rPr>
          <w:rFonts w:ascii="Arial" w:eastAsia="Avenir Next" w:hAnsi="Arial" w:cs="Arial"/>
          <w:color w:val="7B7B7B"/>
          <w:sz w:val="22"/>
        </w:rPr>
        <w:t xml:space="preserve">Federal Rules of Civil </w:t>
      </w:r>
      <w:proofErr w:type="gramStart"/>
      <w:r w:rsidRPr="00565CDF">
        <w:rPr>
          <w:rFonts w:ascii="Arial" w:eastAsia="Avenir Next" w:hAnsi="Arial" w:cs="Arial"/>
          <w:color w:val="7B7B7B"/>
          <w:sz w:val="22"/>
        </w:rPr>
        <w:t>Procedure;</w:t>
      </w:r>
      <w:proofErr w:type="gramEnd"/>
    </w:p>
    <w:p w14:paraId="16B233C2" w14:textId="74A28094" w:rsidR="00E41578" w:rsidRPr="00565CDF" w:rsidRDefault="00565CDF" w:rsidP="00E41578">
      <w:pPr>
        <w:numPr>
          <w:ilvl w:val="0"/>
          <w:numId w:val="32"/>
        </w:numPr>
        <w:ind w:left="720" w:hanging="360"/>
        <w:jc w:val="both"/>
        <w:rPr>
          <w:rFonts w:ascii="Arial" w:eastAsia="Avenir Next" w:hAnsi="Arial" w:cs="Arial"/>
          <w:color w:val="7B7B7B"/>
          <w:sz w:val="22"/>
        </w:rPr>
      </w:pPr>
      <w:r w:rsidRPr="00565CDF">
        <w:rPr>
          <w:rFonts w:ascii="Arial" w:eastAsia="Avenir Next" w:hAnsi="Arial" w:cs="Arial"/>
          <w:color w:val="7B7B7B"/>
          <w:sz w:val="22"/>
        </w:rPr>
        <w:t xml:space="preserve">local rules of the bankruptcy court (and the </w:t>
      </w:r>
      <w:r w:rsidRPr="00565CDF">
        <w:rPr>
          <w:rFonts w:ascii="Arial" w:eastAsia="Avenir Next" w:hAnsi="Arial" w:cs="Arial"/>
          <w:color w:val="7B7B7B"/>
          <w:sz w:val="22"/>
        </w:rPr>
        <w:t>judge’s</w:t>
      </w:r>
      <w:r w:rsidRPr="00565CDF">
        <w:rPr>
          <w:rFonts w:ascii="Arial" w:eastAsia="Avenir Next" w:hAnsi="Arial" w:cs="Arial"/>
          <w:color w:val="7B7B7B"/>
          <w:sz w:val="22"/>
        </w:rPr>
        <w:t xml:space="preserve"> personal practices).</w:t>
      </w:r>
    </w:p>
    <w:p w14:paraId="4EC1CD7D" w14:textId="204B51FC" w:rsidR="00622C36" w:rsidRPr="00565CDF" w:rsidRDefault="00622C36" w:rsidP="00565CDF">
      <w:pPr>
        <w:ind w:left="720"/>
        <w:jc w:val="both"/>
        <w:rPr>
          <w:rFonts w:ascii="Avenir Next" w:eastAsia="Avenir Next" w:hAnsi="Avenir Next" w:cs="Avenir Next"/>
          <w:color w:val="7B7B7B"/>
          <w:sz w:val="22"/>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Pr="00565CDF" w:rsidRDefault="003A5537" w:rsidP="00622C36">
      <w:pPr>
        <w:pStyle w:val="AODocTxt"/>
        <w:spacing w:before="0" w:line="240" w:lineRule="auto"/>
        <w:rPr>
          <w:rFonts w:ascii="Arial" w:hAnsi="Arial" w:cs="Arial"/>
        </w:rPr>
      </w:pPr>
    </w:p>
    <w:p w14:paraId="1F6078B6" w14:textId="1EA046F7" w:rsidR="00E41578" w:rsidRPr="00565CDF" w:rsidRDefault="00565CDF" w:rsidP="00E41578">
      <w:pPr>
        <w:jc w:val="both"/>
        <w:rPr>
          <w:rFonts w:ascii="Arial" w:eastAsia="Avenir Next" w:hAnsi="Arial" w:cs="Arial"/>
          <w:color w:val="7B7B7B"/>
        </w:rPr>
      </w:pPr>
      <w:r w:rsidRPr="00565CDF">
        <w:rPr>
          <w:rFonts w:ascii="Arial" w:eastAsia="Avenir Next" w:hAnsi="Arial" w:cs="Arial"/>
          <w:color w:val="7B7B7B"/>
          <w:sz w:val="22"/>
        </w:rPr>
        <w:t xml:space="preserve">The absolute priority rule requires that certain employee expenses, primarily for </w:t>
      </w:r>
      <w:r w:rsidRPr="00565CDF">
        <w:rPr>
          <w:rFonts w:ascii="Arial" w:eastAsia="Avenir Next" w:hAnsi="Arial" w:cs="Arial"/>
          <w:color w:val="7B7B7B"/>
          <w:sz w:val="22"/>
        </w:rPr>
        <w:t>unpaid</w:t>
      </w:r>
      <w:r w:rsidRPr="00565CDF">
        <w:rPr>
          <w:rFonts w:ascii="Arial" w:eastAsia="Avenir Next" w:hAnsi="Arial" w:cs="Arial"/>
          <w:color w:val="7B7B7B"/>
          <w:sz w:val="22"/>
        </w:rPr>
        <w:t xml:space="preserve"> salaries and contributions to employee benefit plans for the 180 days prior to the petition date or ce</w:t>
      </w:r>
      <w:r w:rsidRPr="00565CDF">
        <w:rPr>
          <w:rFonts w:ascii="Arial" w:eastAsia="Avenir Next" w:hAnsi="Arial" w:cs="Arial"/>
          <w:color w:val="7B7B7B"/>
          <w:sz w:val="22"/>
        </w:rPr>
        <w:t xml:space="preserve">ssation </w:t>
      </w:r>
      <w:r w:rsidRPr="00565CDF">
        <w:rPr>
          <w:rFonts w:ascii="Arial" w:eastAsia="Avenir Next" w:hAnsi="Arial" w:cs="Arial"/>
          <w:color w:val="7B7B7B"/>
          <w:sz w:val="22"/>
        </w:rPr>
        <w:t>of business can receive no worse treatment under a plan of reorganisation than they would have received in a chapter 7 liquidation. The rule can be deviated from with consent of the employee.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65C6AB63" w14:textId="7A250129"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A priming lien is senior or equal to a pre-petition lien on estate property. A priming lien may be granted by the Court in circumstances where financing cannot be </w:t>
      </w:r>
      <w:r w:rsidRPr="00565CDF">
        <w:rPr>
          <w:rFonts w:ascii="Arial" w:eastAsia="Avenir Next" w:hAnsi="Arial" w:cs="Arial"/>
          <w:color w:val="7B7B7B"/>
          <w:sz w:val="22"/>
        </w:rPr>
        <w:t>obtained</w:t>
      </w:r>
      <w:r w:rsidRPr="00565CDF">
        <w:rPr>
          <w:rFonts w:ascii="Arial" w:eastAsia="Avenir Next" w:hAnsi="Arial" w:cs="Arial"/>
          <w:color w:val="7B7B7B"/>
          <w:sz w:val="22"/>
        </w:rPr>
        <w:t xml:space="preserve"> on any other terms. Further, a </w:t>
      </w:r>
      <w:r w:rsidRPr="00565CDF">
        <w:rPr>
          <w:rFonts w:ascii="Arial" w:eastAsia="Avenir Next" w:hAnsi="Arial" w:cs="Arial"/>
          <w:color w:val="7B7B7B"/>
          <w:sz w:val="22"/>
        </w:rPr>
        <w:t>debtor</w:t>
      </w:r>
      <w:r w:rsidRPr="00565CDF">
        <w:rPr>
          <w:rFonts w:ascii="Arial" w:eastAsia="Avenir Next" w:hAnsi="Arial" w:cs="Arial"/>
          <w:color w:val="7B7B7B"/>
          <w:sz w:val="22"/>
        </w:rPr>
        <w:t xml:space="preserve"> must demonstrate that the interest of the secured creditor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0B8EB9BD"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A preference is where a debtor transfers property in a suspect period before the petition date. The property must be returned to the estate if the amount received by the creditor exceeds that which they would have obtained in a chapter 7 liquidation had the transfer not been made.</w:t>
      </w:r>
    </w:p>
    <w:p w14:paraId="7D7830CB" w14:textId="77777777" w:rsidR="00565CDF" w:rsidRPr="00565CDF" w:rsidRDefault="00565CDF" w:rsidP="00565CDF">
      <w:pPr>
        <w:jc w:val="both"/>
        <w:rPr>
          <w:rFonts w:ascii="Arial" w:eastAsia="Avenir Next" w:hAnsi="Arial" w:cs="Arial"/>
          <w:color w:val="7B7B7B"/>
        </w:rPr>
      </w:pPr>
    </w:p>
    <w:p w14:paraId="06F4D13D"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The requirements to prove a preference are:</w:t>
      </w:r>
    </w:p>
    <w:p w14:paraId="790BBD71" w14:textId="6B251844"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a </w:t>
      </w:r>
      <w:r w:rsidRPr="00565CDF">
        <w:rPr>
          <w:rFonts w:ascii="Arial" w:eastAsia="Avenir Next" w:hAnsi="Arial" w:cs="Arial"/>
          <w:color w:val="7B7B7B"/>
          <w:sz w:val="22"/>
        </w:rPr>
        <w:t>transfer</w:t>
      </w:r>
      <w:r w:rsidRPr="00565CDF">
        <w:rPr>
          <w:rFonts w:ascii="Arial" w:eastAsia="Avenir Next" w:hAnsi="Arial" w:cs="Arial"/>
          <w:color w:val="7B7B7B"/>
          <w:sz w:val="22"/>
        </w:rPr>
        <w:t xml:space="preserve"> of an interest of the debtor </w:t>
      </w:r>
      <w:proofErr w:type="gramStart"/>
      <w:r w:rsidRPr="00565CDF">
        <w:rPr>
          <w:rFonts w:ascii="Arial" w:eastAsia="Avenir Next" w:hAnsi="Arial" w:cs="Arial"/>
          <w:color w:val="7B7B7B"/>
          <w:sz w:val="22"/>
        </w:rPr>
        <w:t>property;</w:t>
      </w:r>
      <w:proofErr w:type="gramEnd"/>
    </w:p>
    <w:p w14:paraId="526F7F4D" w14:textId="77777777"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lastRenderedPageBreak/>
        <w:t xml:space="preserve">to or for the benefit of a </w:t>
      </w:r>
      <w:proofErr w:type="gramStart"/>
      <w:r w:rsidRPr="00565CDF">
        <w:rPr>
          <w:rFonts w:ascii="Arial" w:eastAsia="Avenir Next" w:hAnsi="Arial" w:cs="Arial"/>
          <w:color w:val="7B7B7B"/>
          <w:sz w:val="22"/>
        </w:rPr>
        <w:t>creditor;</w:t>
      </w:r>
      <w:proofErr w:type="gramEnd"/>
    </w:p>
    <w:p w14:paraId="1A739281" w14:textId="13E4F139"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for or on account of an antecedent debt owed by the debtor before the </w:t>
      </w:r>
      <w:r w:rsidRPr="00565CDF">
        <w:rPr>
          <w:rFonts w:ascii="Arial" w:eastAsia="Avenir Next" w:hAnsi="Arial" w:cs="Arial"/>
          <w:color w:val="7B7B7B"/>
          <w:sz w:val="22"/>
        </w:rPr>
        <w:t>transfer</w:t>
      </w:r>
      <w:r w:rsidRPr="00565CDF">
        <w:rPr>
          <w:rFonts w:ascii="Arial" w:eastAsia="Avenir Next" w:hAnsi="Arial" w:cs="Arial"/>
          <w:color w:val="7B7B7B"/>
          <w:sz w:val="22"/>
        </w:rPr>
        <w:t xml:space="preserve"> was </w:t>
      </w:r>
      <w:proofErr w:type="gramStart"/>
      <w:r w:rsidRPr="00565CDF">
        <w:rPr>
          <w:rFonts w:ascii="Arial" w:eastAsia="Avenir Next" w:hAnsi="Arial" w:cs="Arial"/>
          <w:color w:val="7B7B7B"/>
          <w:sz w:val="22"/>
        </w:rPr>
        <w:t>made;</w:t>
      </w:r>
      <w:proofErr w:type="gramEnd"/>
    </w:p>
    <w:p w14:paraId="5EC8170F" w14:textId="77777777"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made while the debtor was </w:t>
      </w:r>
      <w:proofErr w:type="gramStart"/>
      <w:r w:rsidRPr="00565CDF">
        <w:rPr>
          <w:rFonts w:ascii="Arial" w:eastAsia="Avenir Next" w:hAnsi="Arial" w:cs="Arial"/>
          <w:color w:val="7B7B7B"/>
          <w:sz w:val="22"/>
        </w:rPr>
        <w:t>insolvent;</w:t>
      </w:r>
      <w:proofErr w:type="gramEnd"/>
    </w:p>
    <w:p w14:paraId="3D297D21" w14:textId="77777777"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made during the suspect </w:t>
      </w:r>
      <w:proofErr w:type="gramStart"/>
      <w:r w:rsidRPr="00565CDF">
        <w:rPr>
          <w:rFonts w:ascii="Arial" w:eastAsia="Avenir Next" w:hAnsi="Arial" w:cs="Arial"/>
          <w:color w:val="7B7B7B"/>
          <w:sz w:val="22"/>
        </w:rPr>
        <w:t>period;</w:t>
      </w:r>
      <w:proofErr w:type="gramEnd"/>
    </w:p>
    <w:p w14:paraId="7BB23D4A" w14:textId="77777777" w:rsidR="00565CDF" w:rsidRPr="00565CDF" w:rsidRDefault="00565CDF" w:rsidP="00565CDF">
      <w:pPr>
        <w:numPr>
          <w:ilvl w:val="0"/>
          <w:numId w:val="33"/>
        </w:numPr>
        <w:ind w:left="720" w:hanging="360"/>
        <w:jc w:val="both"/>
        <w:rPr>
          <w:rFonts w:ascii="Arial" w:eastAsia="Avenir Next" w:hAnsi="Arial" w:cs="Arial"/>
          <w:color w:val="7B7B7B"/>
        </w:rPr>
      </w:pPr>
      <w:r w:rsidRPr="00565CDF">
        <w:rPr>
          <w:rFonts w:ascii="Arial" w:eastAsia="Avenir Next" w:hAnsi="Arial" w:cs="Arial"/>
          <w:color w:val="7B7B7B"/>
          <w:sz w:val="22"/>
        </w:rPr>
        <w:t>that enables the creditor to receive more that it would have in a chapter 7 liquidation.</w:t>
      </w:r>
    </w:p>
    <w:p w14:paraId="7FE64C12" w14:textId="77777777" w:rsidR="00565CDF" w:rsidRDefault="00565CDF" w:rsidP="00565CDF">
      <w:pPr>
        <w:jc w:val="both"/>
        <w:rPr>
          <w:rFonts w:ascii="Avenir Next" w:eastAsia="Avenir Next" w:hAnsi="Avenir Next" w:cs="Avenir Next"/>
          <w:color w:val="7B7B7B"/>
        </w:rPr>
      </w:pPr>
    </w:p>
    <w:p w14:paraId="7842B491" w14:textId="4101490C" w:rsidR="00E41578" w:rsidRPr="00565CDF" w:rsidRDefault="00565CDF" w:rsidP="00565CDF">
      <w:pPr>
        <w:jc w:val="both"/>
        <w:rPr>
          <w:rFonts w:ascii="Arial" w:hAnsi="Arial" w:cs="Arial"/>
          <w:color w:val="7B7B7B" w:themeColor="accent3" w:themeShade="BF"/>
          <w:sz w:val="22"/>
          <w:szCs w:val="22"/>
          <w:lang w:val="en-GB"/>
        </w:rPr>
      </w:pPr>
      <w:r w:rsidRPr="00565CDF">
        <w:rPr>
          <w:rFonts w:ascii="Arial" w:eastAsia="Avenir Next" w:hAnsi="Arial" w:cs="Arial"/>
          <w:color w:val="7B7B7B"/>
          <w:sz w:val="22"/>
        </w:rPr>
        <w:t>It is not necessary to show fault by either the debtor or recipient to establish a preference.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Pr="00565CDF" w:rsidRDefault="00484B73" w:rsidP="000778B1">
      <w:pPr>
        <w:pStyle w:val="AODocTxt"/>
        <w:spacing w:before="0" w:line="240" w:lineRule="auto"/>
        <w:rPr>
          <w:rFonts w:asciiTheme="minorHAnsi" w:hAnsiTheme="minorHAnsi" w:cstheme="minorHAnsi"/>
        </w:rPr>
      </w:pPr>
    </w:p>
    <w:p w14:paraId="40EEF26E" w14:textId="2B580A21"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A bankruptcy court may enter a final order in relation to "core" bankruptcy issues and limited jurisdiction to make final orders in other matters. The </w:t>
      </w:r>
      <w:r w:rsidRPr="00565CDF">
        <w:rPr>
          <w:rFonts w:ascii="Arial" w:eastAsia="Avenir Next" w:hAnsi="Arial" w:cs="Arial"/>
          <w:color w:val="7B7B7B"/>
          <w:sz w:val="22"/>
        </w:rPr>
        <w:t>Bankruptcy</w:t>
      </w:r>
      <w:r w:rsidRPr="00565CDF">
        <w:rPr>
          <w:rFonts w:ascii="Arial" w:eastAsia="Avenir Next" w:hAnsi="Arial" w:cs="Arial"/>
          <w:color w:val="7B7B7B"/>
          <w:sz w:val="22"/>
        </w:rPr>
        <w:t xml:space="preserve"> Code sets out a non-exhaustive list of core proceedings upon which a bankruptcy court may make final orders. However, the Court may not issue a final order in so far as that matter over state law claims as this was determined by the Supreme Court to be unconstitutional under Article III, unless the parties provide consent. Similarly, a bankruptcy court may issue final orders in relation to "non-core" matters if the parties </w:t>
      </w:r>
      <w:r w:rsidRPr="00565CDF">
        <w:rPr>
          <w:rFonts w:ascii="Arial" w:eastAsia="Avenir Next" w:hAnsi="Arial" w:cs="Arial"/>
          <w:color w:val="7B7B7B"/>
          <w:sz w:val="22"/>
        </w:rPr>
        <w:t>provide</w:t>
      </w:r>
      <w:r w:rsidRPr="00565CDF">
        <w:rPr>
          <w:rFonts w:ascii="Arial" w:eastAsia="Avenir Next" w:hAnsi="Arial" w:cs="Arial"/>
          <w:color w:val="7B7B7B"/>
          <w:sz w:val="22"/>
        </w:rPr>
        <w:t xml:space="preserve"> consent in advance.</w:t>
      </w:r>
    </w:p>
    <w:p w14:paraId="29D73C0E" w14:textId="77777777" w:rsidR="00565CDF" w:rsidRPr="00565CDF" w:rsidRDefault="00565CDF" w:rsidP="00565CDF">
      <w:pPr>
        <w:jc w:val="both"/>
        <w:rPr>
          <w:rFonts w:ascii="Arial" w:eastAsia="Avenir Next" w:hAnsi="Arial" w:cs="Arial"/>
          <w:color w:val="7B7B7B"/>
        </w:rPr>
      </w:pPr>
    </w:p>
    <w:p w14:paraId="4127B39C" w14:textId="2FADBAA3"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Generally, the district court hears appeals from bankruptcy courts within its district. However, in certain circuits, appeals are heard by a Bankruptcy Appellate Panel, unless a party request</w:t>
      </w:r>
      <w:r w:rsidRPr="00565CDF">
        <w:rPr>
          <w:rFonts w:ascii="Arial" w:eastAsia="Avenir Next" w:hAnsi="Arial" w:cs="Arial"/>
          <w:color w:val="7B7B7B"/>
          <w:sz w:val="22"/>
        </w:rPr>
        <w:t>s</w:t>
      </w:r>
      <w:r w:rsidRPr="00565CDF">
        <w:rPr>
          <w:rFonts w:ascii="Arial" w:eastAsia="Avenir Next" w:hAnsi="Arial" w:cs="Arial"/>
          <w:color w:val="7B7B7B"/>
          <w:sz w:val="22"/>
        </w:rPr>
        <w:t xml:space="preserve"> that the appeal is heard by the district court instead.</w:t>
      </w:r>
    </w:p>
    <w:p w14:paraId="2B224F4D" w14:textId="77777777" w:rsidR="00565CDF" w:rsidRPr="00565CDF" w:rsidRDefault="00565CDF" w:rsidP="00565CDF">
      <w:pPr>
        <w:jc w:val="both"/>
        <w:rPr>
          <w:rFonts w:ascii="Arial" w:eastAsia="Avenir Next" w:hAnsi="Arial" w:cs="Arial"/>
          <w:color w:val="7B7B7B"/>
        </w:rPr>
      </w:pPr>
    </w:p>
    <w:p w14:paraId="5E48F877"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If the court makes a ruling that is not a final order, the district court or Bankruptcy </w:t>
      </w:r>
      <w:proofErr w:type="spellStart"/>
      <w:r w:rsidRPr="00565CDF">
        <w:rPr>
          <w:rFonts w:ascii="Arial" w:eastAsia="Avenir Next" w:hAnsi="Arial" w:cs="Arial"/>
          <w:color w:val="7B7B7B"/>
          <w:sz w:val="22"/>
        </w:rPr>
        <w:t>Apellate</w:t>
      </w:r>
      <w:proofErr w:type="spellEnd"/>
      <w:r w:rsidRPr="00565CDF">
        <w:rPr>
          <w:rFonts w:ascii="Arial" w:eastAsia="Avenir Next" w:hAnsi="Arial" w:cs="Arial"/>
          <w:color w:val="7B7B7B"/>
          <w:sz w:val="22"/>
        </w:rPr>
        <w:t xml:space="preserve"> Panel reviews all findings of fact and conclusions of law that are appealed on a </w:t>
      </w:r>
      <w:r w:rsidRPr="00565CDF">
        <w:rPr>
          <w:rFonts w:ascii="Arial" w:eastAsia="Avenir Next" w:hAnsi="Arial" w:cs="Arial"/>
          <w:i/>
          <w:color w:val="7B7B7B"/>
          <w:sz w:val="22"/>
        </w:rPr>
        <w:t>de novo</w:t>
      </w:r>
      <w:r w:rsidRPr="00565CDF">
        <w:rPr>
          <w:rFonts w:ascii="Arial" w:eastAsia="Avenir Next" w:hAnsi="Arial" w:cs="Arial"/>
          <w:color w:val="7B7B7B"/>
          <w:sz w:val="22"/>
        </w:rPr>
        <w:t xml:space="preserve"> basis.</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1628B203" w14:textId="499CD130"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Upon recognition of a foreign main proceeding, the following provisions of the Bankruptcy Code will automatically apply to the debtor's property that is within the United States' jurisdiction:</w:t>
      </w:r>
    </w:p>
    <w:p w14:paraId="3241D30A" w14:textId="77777777" w:rsidR="00565CDF" w:rsidRPr="00565CDF" w:rsidRDefault="00565CDF" w:rsidP="00565CDF">
      <w:pPr>
        <w:numPr>
          <w:ilvl w:val="0"/>
          <w:numId w:val="34"/>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Automatic </w:t>
      </w:r>
      <w:proofErr w:type="gramStart"/>
      <w:r w:rsidRPr="00565CDF">
        <w:rPr>
          <w:rFonts w:ascii="Arial" w:eastAsia="Avenir Next" w:hAnsi="Arial" w:cs="Arial"/>
          <w:color w:val="7B7B7B"/>
          <w:sz w:val="22"/>
        </w:rPr>
        <w:t>stay;</w:t>
      </w:r>
      <w:proofErr w:type="gramEnd"/>
    </w:p>
    <w:p w14:paraId="2249F815" w14:textId="77777777" w:rsidR="00565CDF" w:rsidRPr="00565CDF" w:rsidRDefault="00565CDF" w:rsidP="00565CDF">
      <w:pPr>
        <w:numPr>
          <w:ilvl w:val="0"/>
          <w:numId w:val="34"/>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operation of the debtor's business in the ordinary course by the foreign </w:t>
      </w:r>
      <w:proofErr w:type="gramStart"/>
      <w:r w:rsidRPr="00565CDF">
        <w:rPr>
          <w:rFonts w:ascii="Arial" w:eastAsia="Avenir Next" w:hAnsi="Arial" w:cs="Arial"/>
          <w:color w:val="7B7B7B"/>
          <w:sz w:val="22"/>
        </w:rPr>
        <w:t>representative;</w:t>
      </w:r>
      <w:proofErr w:type="gramEnd"/>
    </w:p>
    <w:p w14:paraId="0ABF021E" w14:textId="77777777" w:rsidR="00565CDF" w:rsidRPr="00565CDF" w:rsidRDefault="00565CDF" w:rsidP="00565CDF">
      <w:pPr>
        <w:numPr>
          <w:ilvl w:val="0"/>
          <w:numId w:val="34"/>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sale, </w:t>
      </w:r>
      <w:proofErr w:type="gramStart"/>
      <w:r w:rsidRPr="00565CDF">
        <w:rPr>
          <w:rFonts w:ascii="Arial" w:eastAsia="Avenir Next" w:hAnsi="Arial" w:cs="Arial"/>
          <w:color w:val="7B7B7B"/>
          <w:sz w:val="22"/>
        </w:rPr>
        <w:t>transfer</w:t>
      </w:r>
      <w:proofErr w:type="gramEnd"/>
      <w:r w:rsidRPr="00565CDF">
        <w:rPr>
          <w:rFonts w:ascii="Arial" w:eastAsia="Avenir Next" w:hAnsi="Arial" w:cs="Arial"/>
          <w:color w:val="7B7B7B"/>
          <w:sz w:val="22"/>
        </w:rPr>
        <w:t xml:space="preserve"> or use of property outside the ordinary course; and</w:t>
      </w:r>
    </w:p>
    <w:p w14:paraId="5CC0ED1F" w14:textId="77777777" w:rsidR="00565CDF" w:rsidRPr="00565CDF" w:rsidRDefault="00565CDF" w:rsidP="00565CDF">
      <w:pPr>
        <w:numPr>
          <w:ilvl w:val="0"/>
          <w:numId w:val="34"/>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avoidance of </w:t>
      </w:r>
      <w:proofErr w:type="spellStart"/>
      <w:r w:rsidRPr="00565CDF">
        <w:rPr>
          <w:rFonts w:ascii="Arial" w:eastAsia="Avenir Next" w:hAnsi="Arial" w:cs="Arial"/>
          <w:color w:val="7B7B7B"/>
          <w:sz w:val="22"/>
        </w:rPr>
        <w:t>post petition</w:t>
      </w:r>
      <w:proofErr w:type="spellEnd"/>
      <w:r w:rsidRPr="00565CDF">
        <w:rPr>
          <w:rFonts w:ascii="Arial" w:eastAsia="Avenir Next" w:hAnsi="Arial" w:cs="Arial"/>
          <w:color w:val="7B7B7B"/>
          <w:sz w:val="22"/>
        </w:rPr>
        <w:t xml:space="preserve"> transfers and </w:t>
      </w:r>
      <w:proofErr w:type="spellStart"/>
      <w:r w:rsidRPr="00565CDF">
        <w:rPr>
          <w:rFonts w:ascii="Arial" w:eastAsia="Avenir Next" w:hAnsi="Arial" w:cs="Arial"/>
          <w:color w:val="7B7B7B"/>
          <w:sz w:val="22"/>
        </w:rPr>
        <w:t>post petition</w:t>
      </w:r>
      <w:proofErr w:type="spellEnd"/>
      <w:r w:rsidRPr="00565CDF">
        <w:rPr>
          <w:rFonts w:ascii="Arial" w:eastAsia="Avenir Next" w:hAnsi="Arial" w:cs="Arial"/>
          <w:color w:val="7B7B7B"/>
          <w:sz w:val="22"/>
        </w:rPr>
        <w:t xml:space="preserve"> perfection of security interests.</w:t>
      </w:r>
    </w:p>
    <w:p w14:paraId="7055AF40" w14:textId="77777777" w:rsidR="00565CDF" w:rsidRPr="00565CDF" w:rsidRDefault="00565CDF" w:rsidP="00565CDF">
      <w:pPr>
        <w:jc w:val="both"/>
        <w:rPr>
          <w:rFonts w:ascii="Arial" w:eastAsia="Avenir Next" w:hAnsi="Arial" w:cs="Arial"/>
          <w:color w:val="7B7B7B"/>
        </w:rPr>
      </w:pPr>
    </w:p>
    <w:p w14:paraId="22312728" w14:textId="77777777" w:rsidR="00565CDF" w:rsidRPr="00565CDF" w:rsidRDefault="00565CDF" w:rsidP="00565CDF">
      <w:pPr>
        <w:jc w:val="both"/>
        <w:rPr>
          <w:rFonts w:ascii="Arial" w:eastAsia="Avenir Next" w:hAnsi="Arial" w:cs="Arial"/>
          <w:color w:val="7B7B7B"/>
        </w:rPr>
      </w:pPr>
      <w:proofErr w:type="gramStart"/>
      <w:r w:rsidRPr="00565CDF">
        <w:rPr>
          <w:rFonts w:ascii="Arial" w:eastAsia="Avenir Next" w:hAnsi="Arial" w:cs="Arial"/>
          <w:color w:val="7B7B7B"/>
          <w:sz w:val="22"/>
        </w:rPr>
        <w:t>All of</w:t>
      </w:r>
      <w:proofErr w:type="gramEnd"/>
      <w:r w:rsidRPr="00565CDF">
        <w:rPr>
          <w:rFonts w:ascii="Arial" w:eastAsia="Avenir Next" w:hAnsi="Arial" w:cs="Arial"/>
          <w:color w:val="7B7B7B"/>
          <w:sz w:val="22"/>
        </w:rPr>
        <w:t xml:space="preserve"> the above provisions may be granted on a discretionary basis in the case of recognition of foreign non-main proceedings. In both foreign main and non-main proceedings, the following discretionary relief may also be granted:</w:t>
      </w:r>
    </w:p>
    <w:p w14:paraId="52B7FB94" w14:textId="6DA3330D" w:rsidR="00565CDF" w:rsidRPr="00565CDF" w:rsidRDefault="00565CDF" w:rsidP="00565CDF">
      <w:pPr>
        <w:numPr>
          <w:ilvl w:val="0"/>
          <w:numId w:val="35"/>
        </w:numPr>
        <w:ind w:left="720" w:hanging="360"/>
        <w:jc w:val="both"/>
        <w:rPr>
          <w:rFonts w:ascii="Arial" w:eastAsia="Avenir Next" w:hAnsi="Arial" w:cs="Arial"/>
          <w:color w:val="7B7B7B"/>
        </w:rPr>
      </w:pPr>
      <w:r w:rsidRPr="00565CDF">
        <w:rPr>
          <w:rFonts w:ascii="Arial" w:eastAsia="Avenir Next" w:hAnsi="Arial" w:cs="Arial"/>
          <w:color w:val="7B7B7B"/>
          <w:sz w:val="22"/>
        </w:rPr>
        <w:t>Authori</w:t>
      </w:r>
      <w:r>
        <w:rPr>
          <w:rFonts w:ascii="Arial" w:eastAsia="Avenir Next" w:hAnsi="Arial" w:cs="Arial"/>
          <w:color w:val="7B7B7B"/>
          <w:sz w:val="22"/>
        </w:rPr>
        <w:t>s</w:t>
      </w:r>
      <w:r w:rsidRPr="00565CDF">
        <w:rPr>
          <w:rFonts w:ascii="Arial" w:eastAsia="Avenir Next" w:hAnsi="Arial" w:cs="Arial"/>
          <w:color w:val="7B7B7B"/>
          <w:sz w:val="22"/>
        </w:rPr>
        <w:t>ation</w:t>
      </w:r>
      <w:r w:rsidRPr="00565CDF">
        <w:rPr>
          <w:rFonts w:ascii="Arial" w:eastAsia="Avenir Next" w:hAnsi="Arial" w:cs="Arial"/>
          <w:color w:val="7B7B7B"/>
          <w:sz w:val="22"/>
        </w:rPr>
        <w:t xml:space="preserve"> of discovery regarding the debtor's assets and </w:t>
      </w:r>
      <w:proofErr w:type="gramStart"/>
      <w:r w:rsidRPr="00565CDF">
        <w:rPr>
          <w:rFonts w:ascii="Arial" w:eastAsia="Avenir Next" w:hAnsi="Arial" w:cs="Arial"/>
          <w:color w:val="7B7B7B"/>
          <w:sz w:val="22"/>
        </w:rPr>
        <w:t>affairs;</w:t>
      </w:r>
      <w:proofErr w:type="gramEnd"/>
    </w:p>
    <w:p w14:paraId="773B32A1" w14:textId="77777777" w:rsidR="00565CDF" w:rsidRPr="00565CDF" w:rsidRDefault="00565CDF" w:rsidP="00565CDF">
      <w:pPr>
        <w:numPr>
          <w:ilvl w:val="0"/>
          <w:numId w:val="35"/>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entrusting administration of the debtor's assets to the foreign representative or other </w:t>
      </w:r>
      <w:proofErr w:type="gramStart"/>
      <w:r w:rsidRPr="00565CDF">
        <w:rPr>
          <w:rFonts w:ascii="Arial" w:eastAsia="Avenir Next" w:hAnsi="Arial" w:cs="Arial"/>
          <w:color w:val="7B7B7B"/>
          <w:sz w:val="22"/>
        </w:rPr>
        <w:t>person;</w:t>
      </w:r>
      <w:proofErr w:type="gramEnd"/>
    </w:p>
    <w:p w14:paraId="351250D6" w14:textId="6DA3A3E3" w:rsidR="00565CDF" w:rsidRPr="00565CDF" w:rsidRDefault="00565CDF" w:rsidP="00565CDF">
      <w:pPr>
        <w:numPr>
          <w:ilvl w:val="0"/>
          <w:numId w:val="35"/>
        </w:numPr>
        <w:ind w:left="720" w:hanging="360"/>
        <w:jc w:val="both"/>
        <w:rPr>
          <w:rFonts w:ascii="Arial" w:eastAsia="Avenir Next" w:hAnsi="Arial" w:cs="Arial"/>
          <w:color w:val="7B7B7B"/>
        </w:rPr>
      </w:pPr>
      <w:r w:rsidRPr="00565CDF">
        <w:rPr>
          <w:rFonts w:ascii="Arial" w:eastAsia="Avenir Next" w:hAnsi="Arial" w:cs="Arial"/>
          <w:color w:val="7B7B7B"/>
          <w:sz w:val="22"/>
        </w:rPr>
        <w:t>extension of provisional relief</w:t>
      </w:r>
      <w:r>
        <w:rPr>
          <w:rFonts w:ascii="Arial" w:eastAsia="Avenir Next" w:hAnsi="Arial" w:cs="Arial"/>
          <w:color w:val="7B7B7B"/>
          <w:sz w:val="22"/>
        </w:rPr>
        <w:t>; and</w:t>
      </w:r>
    </w:p>
    <w:p w14:paraId="711A9A60" w14:textId="157B5DEA" w:rsidR="00E41578" w:rsidRPr="00565CDF" w:rsidRDefault="00565CDF" w:rsidP="00565CDF">
      <w:pPr>
        <w:numPr>
          <w:ilvl w:val="0"/>
          <w:numId w:val="35"/>
        </w:numPr>
        <w:ind w:left="720" w:hanging="360"/>
        <w:jc w:val="both"/>
        <w:rPr>
          <w:rFonts w:ascii="Arial" w:hAnsi="Arial" w:cs="Arial"/>
          <w:color w:val="7B7B7B" w:themeColor="accent3" w:themeShade="BF"/>
          <w:sz w:val="22"/>
          <w:szCs w:val="22"/>
          <w:lang w:val="en-GB"/>
        </w:rPr>
      </w:pPr>
      <w:r w:rsidRPr="00565CDF">
        <w:rPr>
          <w:rFonts w:ascii="Arial" w:eastAsia="Avenir Next" w:hAnsi="Arial" w:cs="Arial"/>
          <w:color w:val="7B7B7B"/>
          <w:sz w:val="22"/>
        </w:rPr>
        <w:t xml:space="preserve">any other </w:t>
      </w:r>
      <w:r w:rsidRPr="00565CDF">
        <w:rPr>
          <w:rFonts w:ascii="Arial" w:eastAsia="Avenir Next" w:hAnsi="Arial" w:cs="Arial"/>
          <w:color w:val="7B7B7B"/>
          <w:sz w:val="22"/>
        </w:rPr>
        <w:t>relief</w:t>
      </w:r>
      <w:r w:rsidRPr="00565CDF">
        <w:rPr>
          <w:rFonts w:ascii="Arial" w:eastAsia="Avenir Next" w:hAnsi="Arial" w:cs="Arial"/>
          <w:color w:val="7B7B7B"/>
          <w:sz w:val="22"/>
        </w:rPr>
        <w:t xml:space="preserve"> necessary to effectuate the purposes of chapter 15 and to protect the assets of the debtor or interest of creditors</w:t>
      </w:r>
      <w:r>
        <w:rPr>
          <w:rFonts w:ascii="Arial" w:eastAsia="Avenir Next" w:hAnsi="Arial" w:cs="Arial"/>
          <w:color w:val="7B7B7B"/>
          <w:sz w:val="22"/>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C73CAC8" w14:textId="404EF10A"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Directors owe a fiduciary duty of loyalty to act in the corporation's best interest and a duty of care in educated decision making. </w:t>
      </w:r>
    </w:p>
    <w:p w14:paraId="51371F24" w14:textId="77777777" w:rsidR="00565CDF" w:rsidRPr="00565CDF" w:rsidRDefault="00565CDF" w:rsidP="00565CDF">
      <w:pPr>
        <w:jc w:val="both"/>
        <w:rPr>
          <w:rFonts w:ascii="Arial" w:eastAsia="Avenir Next" w:hAnsi="Arial" w:cs="Arial"/>
          <w:color w:val="7B7B7B"/>
        </w:rPr>
      </w:pPr>
    </w:p>
    <w:p w14:paraId="4AB282AB"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Director's duties are owed to the company and its shareholders when the corporation is potentially or </w:t>
      </w:r>
      <w:proofErr w:type="gramStart"/>
      <w:r w:rsidRPr="00565CDF">
        <w:rPr>
          <w:rFonts w:ascii="Arial" w:eastAsia="Avenir Next" w:hAnsi="Arial" w:cs="Arial"/>
          <w:color w:val="7B7B7B"/>
          <w:sz w:val="22"/>
        </w:rPr>
        <w:t>actually insolvent</w:t>
      </w:r>
      <w:proofErr w:type="gramEnd"/>
      <w:r w:rsidRPr="00565CDF">
        <w:rPr>
          <w:rFonts w:ascii="Arial" w:eastAsia="Avenir Next" w:hAnsi="Arial" w:cs="Arial"/>
          <w:color w:val="7B7B7B"/>
          <w:sz w:val="22"/>
        </w:rPr>
        <w:t xml:space="preserve">. Directors are protected from liability from errors of judgment by the business judgment rule in the absence of gross negligence. </w:t>
      </w:r>
    </w:p>
    <w:p w14:paraId="3D4BA4C0" w14:textId="77777777" w:rsidR="00565CDF" w:rsidRPr="00565CDF" w:rsidRDefault="00565CDF" w:rsidP="00565CDF">
      <w:pPr>
        <w:jc w:val="both"/>
        <w:rPr>
          <w:rFonts w:ascii="Arial" w:eastAsia="Avenir Next" w:hAnsi="Arial" w:cs="Arial"/>
          <w:color w:val="7B7B7B"/>
        </w:rPr>
      </w:pPr>
    </w:p>
    <w:p w14:paraId="417344D2" w14:textId="7195AC55" w:rsidR="00E41578" w:rsidRPr="00565CDF" w:rsidRDefault="00565CDF" w:rsidP="00E41578">
      <w:pPr>
        <w:jc w:val="both"/>
        <w:rPr>
          <w:rFonts w:ascii="Arial" w:eastAsia="Avenir Next" w:hAnsi="Arial" w:cs="Arial"/>
          <w:color w:val="7B7B7B"/>
        </w:rPr>
      </w:pPr>
      <w:r w:rsidRPr="00565CDF">
        <w:rPr>
          <w:rFonts w:ascii="Arial" w:eastAsia="Avenir Next" w:hAnsi="Arial" w:cs="Arial"/>
          <w:color w:val="7B7B7B"/>
          <w:sz w:val="22"/>
        </w:rPr>
        <w:t xml:space="preserve">Directors are presumed to have acted in good faith </w:t>
      </w:r>
      <w:proofErr w:type="gramStart"/>
      <w:r w:rsidRPr="00565CDF">
        <w:rPr>
          <w:rFonts w:ascii="Arial" w:eastAsia="Avenir Next" w:hAnsi="Arial" w:cs="Arial"/>
          <w:color w:val="7B7B7B"/>
          <w:sz w:val="22"/>
        </w:rPr>
        <w:t>on the basis of</w:t>
      </w:r>
      <w:proofErr w:type="gramEnd"/>
      <w:r w:rsidRPr="00565CDF">
        <w:rPr>
          <w:rFonts w:ascii="Arial" w:eastAsia="Avenir Next" w:hAnsi="Arial" w:cs="Arial"/>
          <w:color w:val="7B7B7B"/>
          <w:sz w:val="22"/>
        </w:rPr>
        <w:t xml:space="preserve"> reasonable information under the business judgment rule. However, the rule may be rebutted by showing that </w:t>
      </w:r>
      <w:proofErr w:type="gramStart"/>
      <w:r w:rsidRPr="00565CDF">
        <w:rPr>
          <w:rFonts w:ascii="Arial" w:eastAsia="Avenir Next" w:hAnsi="Arial" w:cs="Arial"/>
          <w:color w:val="7B7B7B"/>
          <w:sz w:val="22"/>
        </w:rPr>
        <w:t>a majority of</w:t>
      </w:r>
      <w:proofErr w:type="gramEnd"/>
      <w:r w:rsidRPr="00565CDF">
        <w:rPr>
          <w:rFonts w:ascii="Arial" w:eastAsia="Avenir Next" w:hAnsi="Arial" w:cs="Arial"/>
          <w:color w:val="7B7B7B"/>
          <w:sz w:val="22"/>
        </w:rPr>
        <w:t xml:space="preserve"> the board were not reasonably informed, did not honestly </w:t>
      </w:r>
      <w:r w:rsidRPr="00565CDF">
        <w:rPr>
          <w:rFonts w:ascii="Arial" w:eastAsia="Avenir Next" w:hAnsi="Arial" w:cs="Arial"/>
          <w:color w:val="7B7B7B"/>
          <w:sz w:val="22"/>
        </w:rPr>
        <w:t>believe</w:t>
      </w:r>
      <w:r w:rsidRPr="00565CDF">
        <w:rPr>
          <w:rFonts w:ascii="Arial" w:eastAsia="Avenir Next" w:hAnsi="Arial" w:cs="Arial"/>
          <w:color w:val="7B7B7B"/>
          <w:sz w:val="22"/>
        </w:rPr>
        <w:t xml:space="preserve"> their decision was in the corporation's best </w:t>
      </w:r>
      <w:r w:rsidRPr="00565CDF">
        <w:rPr>
          <w:rFonts w:ascii="Arial" w:eastAsia="Avenir Next" w:hAnsi="Arial" w:cs="Arial"/>
          <w:color w:val="7B7B7B"/>
          <w:sz w:val="22"/>
        </w:rPr>
        <w:t>interest</w:t>
      </w:r>
      <w:r w:rsidRPr="00565CDF">
        <w:rPr>
          <w:rFonts w:ascii="Arial" w:eastAsia="Avenir Next" w:hAnsi="Arial" w:cs="Arial"/>
          <w:color w:val="7B7B7B"/>
          <w:sz w:val="22"/>
        </w:rPr>
        <w:t xml:space="preserve"> or were not acting in good faith.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17CBFFFF"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To qualify as a petitioning creditor in an involuntary proceeding, the creditor must have a claim against the debtor that is:</w:t>
      </w:r>
    </w:p>
    <w:p w14:paraId="0828A1B9" w14:textId="4FB12AD4" w:rsidR="00565CDF" w:rsidRPr="00565CDF" w:rsidRDefault="00565CDF" w:rsidP="00565CDF">
      <w:pPr>
        <w:numPr>
          <w:ilvl w:val="0"/>
          <w:numId w:val="36"/>
        </w:numPr>
        <w:ind w:left="720" w:hanging="360"/>
        <w:jc w:val="both"/>
        <w:rPr>
          <w:rFonts w:ascii="Arial" w:eastAsia="Avenir Next" w:hAnsi="Arial" w:cs="Arial"/>
          <w:color w:val="7B7B7B"/>
        </w:rPr>
      </w:pPr>
      <w:r w:rsidRPr="00565CDF">
        <w:rPr>
          <w:rFonts w:ascii="Arial" w:eastAsia="Avenir Next" w:hAnsi="Arial" w:cs="Arial"/>
          <w:color w:val="7B7B7B"/>
          <w:sz w:val="22"/>
        </w:rPr>
        <w:t>non-</w:t>
      </w:r>
      <w:r w:rsidRPr="00565CDF">
        <w:rPr>
          <w:rFonts w:ascii="Arial" w:eastAsia="Avenir Next" w:hAnsi="Arial" w:cs="Arial"/>
          <w:color w:val="7B7B7B"/>
          <w:sz w:val="22"/>
        </w:rPr>
        <w:t>contingent</w:t>
      </w:r>
      <w:r w:rsidRPr="00565CDF">
        <w:rPr>
          <w:rFonts w:ascii="Arial" w:eastAsia="Avenir Next" w:hAnsi="Arial" w:cs="Arial"/>
          <w:color w:val="7B7B7B"/>
          <w:sz w:val="22"/>
        </w:rPr>
        <w:t xml:space="preserve"> - meaning the claim does not depend on the </w:t>
      </w:r>
      <w:r w:rsidRPr="00565CDF">
        <w:rPr>
          <w:rFonts w:ascii="Arial" w:eastAsia="Avenir Next" w:hAnsi="Arial" w:cs="Arial"/>
          <w:color w:val="7B7B7B"/>
          <w:sz w:val="22"/>
        </w:rPr>
        <w:t>occurrence</w:t>
      </w:r>
      <w:r w:rsidRPr="00565CDF">
        <w:rPr>
          <w:rFonts w:ascii="Arial" w:eastAsia="Avenir Next" w:hAnsi="Arial" w:cs="Arial"/>
          <w:color w:val="7B7B7B"/>
          <w:sz w:val="22"/>
        </w:rPr>
        <w:t xml:space="preserve"> of a future event but rather has already </w:t>
      </w:r>
      <w:r w:rsidRPr="00565CDF">
        <w:rPr>
          <w:rFonts w:ascii="Arial" w:eastAsia="Avenir Next" w:hAnsi="Arial" w:cs="Arial"/>
          <w:color w:val="7B7B7B"/>
          <w:sz w:val="22"/>
        </w:rPr>
        <w:t>crystalised</w:t>
      </w:r>
      <w:r w:rsidRPr="00565CDF">
        <w:rPr>
          <w:rFonts w:ascii="Arial" w:eastAsia="Avenir Next" w:hAnsi="Arial" w:cs="Arial"/>
          <w:color w:val="7B7B7B"/>
          <w:sz w:val="22"/>
        </w:rPr>
        <w:t xml:space="preserve"> (noting that an unmatured debt is not contingent if all </w:t>
      </w:r>
      <w:r w:rsidRPr="00565CDF">
        <w:rPr>
          <w:rFonts w:ascii="Arial" w:eastAsia="Avenir Next" w:hAnsi="Arial" w:cs="Arial"/>
          <w:color w:val="7B7B7B"/>
          <w:sz w:val="22"/>
        </w:rPr>
        <w:t>requirements</w:t>
      </w:r>
      <w:r w:rsidRPr="00565CDF">
        <w:rPr>
          <w:rFonts w:ascii="Arial" w:eastAsia="Avenir Next" w:hAnsi="Arial" w:cs="Arial"/>
          <w:color w:val="7B7B7B"/>
          <w:sz w:val="22"/>
        </w:rPr>
        <w:t xml:space="preserve"> for liability, but for the passage of time, have occurred</w:t>
      </w:r>
      <w:proofErr w:type="gramStart"/>
      <w:r w:rsidRPr="00565CDF">
        <w:rPr>
          <w:rFonts w:ascii="Arial" w:eastAsia="Avenir Next" w:hAnsi="Arial" w:cs="Arial"/>
          <w:color w:val="7B7B7B"/>
          <w:sz w:val="22"/>
        </w:rPr>
        <w:t>);</w:t>
      </w:r>
      <w:proofErr w:type="gramEnd"/>
    </w:p>
    <w:p w14:paraId="19D0DFA5" w14:textId="77777777" w:rsidR="00565CDF" w:rsidRPr="00565CDF" w:rsidRDefault="00565CDF" w:rsidP="00565CDF">
      <w:pPr>
        <w:numPr>
          <w:ilvl w:val="0"/>
          <w:numId w:val="36"/>
        </w:numPr>
        <w:ind w:left="720" w:hanging="360"/>
        <w:jc w:val="both"/>
        <w:rPr>
          <w:rFonts w:ascii="Arial" w:eastAsia="Avenir Next" w:hAnsi="Arial" w:cs="Arial"/>
          <w:color w:val="7B7B7B"/>
        </w:rPr>
      </w:pPr>
      <w:r w:rsidRPr="00565CDF">
        <w:rPr>
          <w:rFonts w:ascii="Arial" w:eastAsia="Avenir Next" w:hAnsi="Arial" w:cs="Arial"/>
          <w:color w:val="7B7B7B"/>
          <w:sz w:val="22"/>
        </w:rPr>
        <w:t>not the subject of a bona fide dispute as to liability or amount - meaning there may not be an objectively reasonable basis for a dispute in relation to a matter of fact or law.</w:t>
      </w:r>
    </w:p>
    <w:p w14:paraId="7D208193" w14:textId="36EADABC" w:rsidR="00565CDF" w:rsidRPr="00565CDF" w:rsidRDefault="00565CDF" w:rsidP="00565CDF">
      <w:pPr>
        <w:numPr>
          <w:ilvl w:val="0"/>
          <w:numId w:val="36"/>
        </w:numPr>
        <w:ind w:left="720" w:hanging="360"/>
        <w:jc w:val="both"/>
        <w:rPr>
          <w:rFonts w:ascii="Arial" w:eastAsia="Avenir Next" w:hAnsi="Arial" w:cs="Arial"/>
          <w:color w:val="7B7B7B"/>
        </w:rPr>
      </w:pPr>
      <w:r w:rsidRPr="00565CDF">
        <w:rPr>
          <w:rFonts w:ascii="Arial" w:eastAsia="Avenir Next" w:hAnsi="Arial" w:cs="Arial"/>
          <w:color w:val="7B7B7B"/>
          <w:sz w:val="22"/>
        </w:rPr>
        <w:t xml:space="preserve">in the amount of at least USD $16,750 and is unsecured or </w:t>
      </w:r>
      <w:r w:rsidRPr="00565CDF">
        <w:rPr>
          <w:rFonts w:ascii="Arial" w:eastAsia="Avenir Next" w:hAnsi="Arial" w:cs="Arial"/>
          <w:color w:val="7B7B7B"/>
          <w:sz w:val="22"/>
        </w:rPr>
        <w:t>under secured</w:t>
      </w:r>
      <w:r w:rsidRPr="00565CDF">
        <w:rPr>
          <w:rFonts w:ascii="Arial" w:eastAsia="Avenir Next" w:hAnsi="Arial" w:cs="Arial"/>
          <w:color w:val="7B7B7B"/>
          <w:sz w:val="22"/>
        </w:rPr>
        <w:t>, separately or in the aggregate with all other petitioning creditors' claims.</w:t>
      </w:r>
    </w:p>
    <w:p w14:paraId="6317CCED" w14:textId="77777777" w:rsidR="00565CDF" w:rsidRPr="00565CDF" w:rsidRDefault="00565CDF" w:rsidP="00565CDF">
      <w:pPr>
        <w:jc w:val="both"/>
        <w:rPr>
          <w:rFonts w:ascii="Arial" w:eastAsia="Avenir Next" w:hAnsi="Arial" w:cs="Arial"/>
          <w:color w:val="7B7B7B"/>
        </w:rPr>
      </w:pPr>
    </w:p>
    <w:p w14:paraId="231D88ED" w14:textId="37C1420D"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It is also necessary for the creditor to allege that the debtor is generally not paying its debts as they become due (unless subject to a bona fide </w:t>
      </w:r>
      <w:r w:rsidRPr="00565CDF">
        <w:rPr>
          <w:rFonts w:ascii="Arial" w:eastAsia="Avenir Next" w:hAnsi="Arial" w:cs="Arial"/>
          <w:color w:val="7B7B7B"/>
          <w:sz w:val="22"/>
        </w:rPr>
        <w:t>dispute</w:t>
      </w:r>
      <w:r w:rsidRPr="00565CDF">
        <w:rPr>
          <w:rFonts w:ascii="Arial" w:eastAsia="Avenir Next" w:hAnsi="Arial" w:cs="Arial"/>
          <w:color w:val="7B7B7B"/>
          <w:sz w:val="22"/>
        </w:rPr>
        <w:t xml:space="preserve"> as to liability or quantum). Alternatively, the creditor must allege that within 120 days before filing the petition, that a custodian other than a trustee, receiver or agent appointed to take charge of less than substantially </w:t>
      </w:r>
      <w:proofErr w:type="gramStart"/>
      <w:r w:rsidRPr="00565CDF">
        <w:rPr>
          <w:rFonts w:ascii="Arial" w:eastAsia="Avenir Next" w:hAnsi="Arial" w:cs="Arial"/>
          <w:color w:val="7B7B7B"/>
          <w:sz w:val="22"/>
        </w:rPr>
        <w:t>all of</w:t>
      </w:r>
      <w:proofErr w:type="gramEnd"/>
      <w:r w:rsidRPr="00565CDF">
        <w:rPr>
          <w:rFonts w:ascii="Arial" w:eastAsia="Avenir Next" w:hAnsi="Arial" w:cs="Arial"/>
          <w:color w:val="7B7B7B"/>
          <w:sz w:val="22"/>
        </w:rPr>
        <w:t xml:space="preserve"> the property of the debtor for the purposes of enforcing a lien against the property was appointed or took possession.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w:t>
      </w:r>
      <w:r w:rsidRPr="00E01803">
        <w:rPr>
          <w:rFonts w:ascii="Avenir Next" w:hAnsi="Avenir Next"/>
        </w:rPr>
        <w:lastRenderedPageBreak/>
        <w:t xml:space="preserve">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6177BB9F" w14:textId="77777777"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u w:val="single"/>
        </w:rPr>
        <w:t>DOJ investigation</w:t>
      </w:r>
    </w:p>
    <w:p w14:paraId="4965AAB0" w14:textId="77777777" w:rsidR="00565CDF" w:rsidRPr="00565CDF" w:rsidRDefault="00565CDF" w:rsidP="00565CDF">
      <w:pPr>
        <w:jc w:val="both"/>
        <w:rPr>
          <w:rFonts w:ascii="Arial" w:eastAsia="Avenir Next" w:hAnsi="Arial" w:cs="Arial"/>
          <w:color w:val="7B7B7B"/>
        </w:rPr>
      </w:pPr>
    </w:p>
    <w:p w14:paraId="5C51F94D" w14:textId="77777777"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rPr>
        <w:t>The filing of a chapter 11 petition would have no impact on the DOJ investigation. While a stay of proceedings would automatically follow from filing the petition, regulatory investigations are exempt from the stay by way of statute.</w:t>
      </w:r>
    </w:p>
    <w:p w14:paraId="4FD5F73B" w14:textId="77777777" w:rsidR="00565CDF" w:rsidRPr="00565CDF" w:rsidRDefault="00565CDF" w:rsidP="00565CDF">
      <w:pPr>
        <w:jc w:val="both"/>
        <w:rPr>
          <w:rFonts w:ascii="Arial" w:eastAsia="Avenir Next" w:hAnsi="Arial" w:cs="Arial"/>
          <w:color w:val="7B7B7B"/>
          <w:u w:val="single"/>
        </w:rPr>
      </w:pPr>
    </w:p>
    <w:p w14:paraId="5E7A80BA" w14:textId="77777777"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u w:val="single"/>
        </w:rPr>
        <w:t>Margin loan default</w:t>
      </w:r>
    </w:p>
    <w:p w14:paraId="1CA947CC" w14:textId="77777777" w:rsidR="00565CDF" w:rsidRPr="00565CDF" w:rsidRDefault="00565CDF" w:rsidP="00565CDF">
      <w:pPr>
        <w:jc w:val="both"/>
        <w:rPr>
          <w:rFonts w:ascii="Arial" w:eastAsia="Avenir Next" w:hAnsi="Arial" w:cs="Arial"/>
          <w:color w:val="7B7B7B"/>
          <w:u w:val="single"/>
        </w:rPr>
      </w:pPr>
    </w:p>
    <w:p w14:paraId="253429FD" w14:textId="56898E35"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rPr>
        <w:t>Filing</w:t>
      </w:r>
      <w:r w:rsidRPr="00565CDF">
        <w:rPr>
          <w:rFonts w:ascii="Arial" w:eastAsia="Avenir Next" w:hAnsi="Arial" w:cs="Arial"/>
          <w:color w:val="7B7B7B"/>
          <w:sz w:val="22"/>
        </w:rPr>
        <w:t xml:space="preserve"> of the chapter 11 petition would not prevent the broker from calling upon the shares as collateral following default. Unless the transfer is made with the intent to defraud creditors, the recovery of the shares by the broker will not be avoided despite being done after filing the petition due to the safe harbour provided to securities and commodities contracts. </w:t>
      </w:r>
    </w:p>
    <w:p w14:paraId="5D3B9052" w14:textId="77777777" w:rsidR="00565CDF" w:rsidRPr="00565CDF" w:rsidRDefault="00565CDF" w:rsidP="00565CDF">
      <w:pPr>
        <w:jc w:val="both"/>
        <w:rPr>
          <w:rFonts w:ascii="Arial" w:eastAsia="Avenir Next" w:hAnsi="Arial" w:cs="Arial"/>
          <w:color w:val="7B7B7B"/>
          <w:u w:val="single"/>
        </w:rPr>
      </w:pPr>
    </w:p>
    <w:p w14:paraId="511C8995" w14:textId="77777777"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u w:val="single"/>
        </w:rPr>
        <w:t>Delinquent lease</w:t>
      </w:r>
    </w:p>
    <w:p w14:paraId="4ED6F344" w14:textId="77777777" w:rsidR="00565CDF" w:rsidRPr="00565CDF" w:rsidRDefault="00565CDF" w:rsidP="00565CDF">
      <w:pPr>
        <w:jc w:val="both"/>
        <w:rPr>
          <w:rFonts w:ascii="Arial" w:eastAsia="Avenir Next" w:hAnsi="Arial" w:cs="Arial"/>
          <w:color w:val="7B7B7B"/>
          <w:u w:val="single"/>
        </w:rPr>
      </w:pPr>
    </w:p>
    <w:p w14:paraId="273F6540" w14:textId="542D2608"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rPr>
        <w:t>The effect of the petition will depend on whether the term of the lease has expired or not. If the lease has expired, the landlord may commence proceedings to evict Speculation regardless of the automatic stay due to a statu</w:t>
      </w:r>
      <w:r>
        <w:rPr>
          <w:rFonts w:ascii="Arial" w:eastAsia="Avenir Next" w:hAnsi="Arial" w:cs="Arial"/>
          <w:color w:val="7B7B7B"/>
          <w:sz w:val="22"/>
        </w:rPr>
        <w:t>to</w:t>
      </w:r>
      <w:r w:rsidRPr="00565CDF">
        <w:rPr>
          <w:rFonts w:ascii="Arial" w:eastAsia="Avenir Next" w:hAnsi="Arial" w:cs="Arial"/>
          <w:color w:val="7B7B7B"/>
          <w:sz w:val="22"/>
        </w:rPr>
        <w:t xml:space="preserve">ry exemption. If the lease has not expired, Speculation will be required to </w:t>
      </w:r>
      <w:proofErr w:type="gramStart"/>
      <w:r w:rsidRPr="00565CDF">
        <w:rPr>
          <w:rFonts w:ascii="Arial" w:eastAsia="Avenir Next" w:hAnsi="Arial" w:cs="Arial"/>
          <w:color w:val="7B7B7B"/>
          <w:sz w:val="22"/>
        </w:rPr>
        <w:t>make a decision</w:t>
      </w:r>
      <w:proofErr w:type="gramEnd"/>
      <w:r w:rsidRPr="00565CDF">
        <w:rPr>
          <w:rFonts w:ascii="Arial" w:eastAsia="Avenir Next" w:hAnsi="Arial" w:cs="Arial"/>
          <w:color w:val="7B7B7B"/>
          <w:sz w:val="22"/>
        </w:rPr>
        <w:t xml:space="preserve"> in relation to the executory contract within 120 days of the order for relief. </w:t>
      </w:r>
    </w:p>
    <w:p w14:paraId="461C1128" w14:textId="77777777" w:rsidR="00565CDF" w:rsidRPr="00565CDF" w:rsidRDefault="00565CDF" w:rsidP="00565CDF">
      <w:pPr>
        <w:jc w:val="both"/>
        <w:rPr>
          <w:rFonts w:ascii="Arial" w:eastAsia="Avenir Next" w:hAnsi="Arial" w:cs="Arial"/>
          <w:color w:val="7B7B7B"/>
          <w:u w:val="single"/>
        </w:rPr>
      </w:pPr>
    </w:p>
    <w:p w14:paraId="3DCAFB41"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u w:val="single"/>
        </w:rPr>
        <w:t>Employment discrimination lawsuit</w:t>
      </w:r>
    </w:p>
    <w:p w14:paraId="2F15D0A5" w14:textId="77777777" w:rsidR="00565CDF" w:rsidRPr="00565CDF" w:rsidRDefault="00565CDF" w:rsidP="00565CDF">
      <w:pPr>
        <w:jc w:val="both"/>
        <w:rPr>
          <w:rFonts w:ascii="Arial" w:eastAsia="Avenir Next" w:hAnsi="Arial" w:cs="Arial"/>
          <w:color w:val="7B7B7B"/>
        </w:rPr>
      </w:pPr>
    </w:p>
    <w:p w14:paraId="72F21039" w14:textId="1D58E4A2" w:rsidR="00565CDF" w:rsidRPr="00565CDF" w:rsidRDefault="00565CDF" w:rsidP="00565CDF">
      <w:pPr>
        <w:jc w:val="both"/>
        <w:rPr>
          <w:rFonts w:ascii="Arial" w:eastAsia="Avenir Next" w:hAnsi="Arial" w:cs="Arial"/>
        </w:rPr>
      </w:pPr>
      <w:r w:rsidRPr="00565CDF">
        <w:rPr>
          <w:rFonts w:ascii="Arial" w:eastAsia="Avenir Next" w:hAnsi="Arial" w:cs="Arial"/>
          <w:color w:val="7B7B7B"/>
          <w:sz w:val="22"/>
        </w:rPr>
        <w:t>An automatic stay prevents litigation on pre-petition claims upon filing of a chapter 11 petition. There is no statu</w:t>
      </w:r>
      <w:r>
        <w:rPr>
          <w:rFonts w:ascii="Arial" w:eastAsia="Avenir Next" w:hAnsi="Arial" w:cs="Arial"/>
          <w:color w:val="7B7B7B"/>
          <w:sz w:val="22"/>
        </w:rPr>
        <w:t>to</w:t>
      </w:r>
      <w:r w:rsidRPr="00565CDF">
        <w:rPr>
          <w:rFonts w:ascii="Arial" w:eastAsia="Avenir Next" w:hAnsi="Arial" w:cs="Arial"/>
          <w:color w:val="7B7B7B"/>
          <w:sz w:val="22"/>
        </w:rPr>
        <w:t xml:space="preserve">ry exemption for discrimination claims. Accordingly, the </w:t>
      </w:r>
      <w:r w:rsidRPr="00565CDF">
        <w:rPr>
          <w:rFonts w:ascii="Arial" w:eastAsia="Avenir Next" w:hAnsi="Arial" w:cs="Arial"/>
          <w:color w:val="7B7B7B"/>
          <w:sz w:val="22"/>
        </w:rPr>
        <w:t>employee</w:t>
      </w:r>
      <w:r w:rsidRPr="00565CDF">
        <w:rPr>
          <w:rFonts w:ascii="Arial" w:eastAsia="Avenir Next" w:hAnsi="Arial" w:cs="Arial"/>
          <w:color w:val="7B7B7B"/>
          <w:sz w:val="22"/>
        </w:rPr>
        <w:t xml:space="preserve"> would be stayed from bringing her claim.</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6F2B5640" w14:textId="77777777" w:rsidR="00565CDF" w:rsidRPr="00565CDF" w:rsidRDefault="00565CDF" w:rsidP="00565CDF">
      <w:pPr>
        <w:jc w:val="both"/>
        <w:rPr>
          <w:rFonts w:ascii="Arial" w:eastAsia="Avenir Next" w:hAnsi="Arial" w:cs="Arial"/>
          <w:color w:val="7B7B7B"/>
          <w:u w:val="single"/>
        </w:rPr>
      </w:pPr>
      <w:r w:rsidRPr="00565CDF">
        <w:rPr>
          <w:rFonts w:ascii="Arial" w:eastAsia="Avenir Next" w:hAnsi="Arial" w:cs="Arial"/>
          <w:color w:val="7B7B7B"/>
          <w:sz w:val="22"/>
          <w:u w:val="single"/>
        </w:rPr>
        <w:t>Recognition</w:t>
      </w:r>
    </w:p>
    <w:p w14:paraId="6C98CA10" w14:textId="77777777" w:rsidR="00565CDF" w:rsidRPr="00565CDF" w:rsidRDefault="00565CDF" w:rsidP="00565CDF">
      <w:pPr>
        <w:jc w:val="both"/>
        <w:rPr>
          <w:rFonts w:ascii="Arial" w:eastAsia="Avenir Next" w:hAnsi="Arial" w:cs="Arial"/>
          <w:color w:val="7B7B7B"/>
          <w:u w:val="single"/>
        </w:rPr>
      </w:pPr>
    </w:p>
    <w:p w14:paraId="3C8CA88C" w14:textId="532096D4"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The presence of a retail store, </w:t>
      </w:r>
      <w:proofErr w:type="gramStart"/>
      <w:r w:rsidRPr="00565CDF">
        <w:rPr>
          <w:rFonts w:ascii="Arial" w:eastAsia="Avenir Next" w:hAnsi="Arial" w:cs="Arial"/>
          <w:color w:val="7B7B7B"/>
          <w:sz w:val="22"/>
        </w:rPr>
        <w:t>being  a</w:t>
      </w:r>
      <w:proofErr w:type="gramEnd"/>
      <w:r w:rsidRPr="00565CDF">
        <w:rPr>
          <w:rFonts w:ascii="Arial" w:eastAsia="Avenir Next" w:hAnsi="Arial" w:cs="Arial"/>
          <w:color w:val="7B7B7B"/>
          <w:sz w:val="22"/>
        </w:rPr>
        <w:t xml:space="preserve"> place of business, will satisfy the minimum requirement to be a debtor under the Bankruptcy Code. Equally, the </w:t>
      </w:r>
      <w:r w:rsidRPr="00565CDF">
        <w:rPr>
          <w:rFonts w:ascii="Arial" w:eastAsia="Avenir Next" w:hAnsi="Arial" w:cs="Arial"/>
          <w:color w:val="7B7B7B"/>
          <w:sz w:val="22"/>
        </w:rPr>
        <w:t>presence</w:t>
      </w:r>
      <w:r w:rsidRPr="00565CDF">
        <w:rPr>
          <w:rFonts w:ascii="Arial" w:eastAsia="Avenir Next" w:hAnsi="Arial" w:cs="Arial"/>
          <w:color w:val="7B7B7B"/>
          <w:sz w:val="22"/>
        </w:rPr>
        <w:t xml:space="preserve"> of assets in the form of stock held in the retail store would also satisfy the presence of assets requirement. Accordingly, a recognition application under chapter 15 may be filed in relation to the English scheme of arrangement in relation to Stella.</w:t>
      </w:r>
    </w:p>
    <w:p w14:paraId="7B2AC983" w14:textId="77777777" w:rsidR="00565CDF" w:rsidRPr="00565CDF" w:rsidRDefault="00565CDF" w:rsidP="00565CDF">
      <w:pPr>
        <w:jc w:val="both"/>
        <w:rPr>
          <w:rFonts w:ascii="Arial" w:eastAsia="Avenir Next" w:hAnsi="Arial" w:cs="Arial"/>
          <w:color w:val="7B7B7B"/>
        </w:rPr>
      </w:pPr>
    </w:p>
    <w:p w14:paraId="3381B1CF" w14:textId="3D7FD251" w:rsidR="00565CDF" w:rsidRPr="00565CDF" w:rsidRDefault="00565CDF" w:rsidP="00565CDF">
      <w:pPr>
        <w:jc w:val="both"/>
        <w:rPr>
          <w:rFonts w:ascii="Arial" w:eastAsia="Avenir Next" w:hAnsi="Arial" w:cs="Arial"/>
          <w:color w:val="7B7B7B"/>
          <w:u w:val="single"/>
        </w:rPr>
      </w:pPr>
      <w:proofErr w:type="gramStart"/>
      <w:r w:rsidRPr="00565CDF">
        <w:rPr>
          <w:rFonts w:ascii="Arial" w:eastAsia="Avenir Next" w:hAnsi="Arial" w:cs="Arial"/>
          <w:color w:val="7B7B7B"/>
          <w:sz w:val="22"/>
        </w:rPr>
        <w:lastRenderedPageBreak/>
        <w:t>In order to</w:t>
      </w:r>
      <w:proofErr w:type="gramEnd"/>
      <w:r w:rsidRPr="00565CDF">
        <w:rPr>
          <w:rFonts w:ascii="Arial" w:eastAsia="Avenir Next" w:hAnsi="Arial" w:cs="Arial"/>
          <w:color w:val="7B7B7B"/>
          <w:sz w:val="22"/>
        </w:rPr>
        <w:t xml:space="preserve"> obtain recognition, the foreign representative must establish that a foreign court or administrative proceeding with respect to the debtor is pending and the foreign representative is </w:t>
      </w:r>
      <w:r w:rsidRPr="00565CDF">
        <w:rPr>
          <w:rFonts w:ascii="Arial" w:eastAsia="Avenir Next" w:hAnsi="Arial" w:cs="Arial"/>
          <w:color w:val="7B7B7B"/>
          <w:sz w:val="22"/>
        </w:rPr>
        <w:t>empowered</w:t>
      </w:r>
      <w:r w:rsidRPr="00565CDF">
        <w:rPr>
          <w:rFonts w:ascii="Arial" w:eastAsia="Avenir Next" w:hAnsi="Arial" w:cs="Arial"/>
          <w:color w:val="7B7B7B"/>
          <w:sz w:val="22"/>
        </w:rPr>
        <w:t xml:space="preserve"> to act by the proceeding. If the representative can satisfy the above requirements, the scheme could be recognised. Schemes of arrangement have been granted recognition previously as having met the definition of foreign proceeding under the Bankruptcy Code.</w:t>
      </w:r>
    </w:p>
    <w:p w14:paraId="118F188F" w14:textId="77777777" w:rsidR="00565CDF" w:rsidRPr="00565CDF" w:rsidRDefault="00565CDF" w:rsidP="00565CDF">
      <w:pPr>
        <w:jc w:val="both"/>
        <w:rPr>
          <w:rFonts w:ascii="Arial" w:eastAsia="Avenir Next" w:hAnsi="Arial" w:cs="Arial"/>
          <w:color w:val="7B7B7B"/>
          <w:u w:val="single"/>
        </w:rPr>
      </w:pPr>
    </w:p>
    <w:p w14:paraId="39ADEEEE"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u w:val="single"/>
        </w:rPr>
        <w:t>Foreign main or non-main</w:t>
      </w:r>
    </w:p>
    <w:p w14:paraId="60B3F727" w14:textId="77777777" w:rsidR="00565CDF" w:rsidRPr="00565CDF" w:rsidRDefault="00565CDF" w:rsidP="00565CDF">
      <w:pPr>
        <w:jc w:val="both"/>
        <w:rPr>
          <w:rFonts w:ascii="Arial" w:eastAsia="Avenir Next" w:hAnsi="Arial" w:cs="Arial"/>
          <w:color w:val="7B7B7B"/>
        </w:rPr>
      </w:pPr>
    </w:p>
    <w:p w14:paraId="731D7313"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Whether the proceeding is recognised as Foreign main or non-main will depend on where its COMI is located.</w:t>
      </w:r>
    </w:p>
    <w:p w14:paraId="4BD48CEC" w14:textId="77777777" w:rsidR="00565CDF" w:rsidRPr="00565CDF" w:rsidRDefault="00565CDF" w:rsidP="00565CDF">
      <w:pPr>
        <w:jc w:val="both"/>
        <w:rPr>
          <w:rFonts w:ascii="Arial" w:eastAsia="Avenir Next" w:hAnsi="Arial" w:cs="Arial"/>
          <w:color w:val="7B7B7B"/>
        </w:rPr>
      </w:pPr>
    </w:p>
    <w:p w14:paraId="342F1EAA" w14:textId="70C92CC3"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In the US, a debtor's COMI is presumed to be its place of incorporation. Accordingly, the fact that Stella is incorporated in France would create a rebuttable presumption that England is not the COMI, such that the </w:t>
      </w:r>
      <w:r w:rsidRPr="00565CDF">
        <w:rPr>
          <w:rFonts w:ascii="Arial" w:eastAsia="Avenir Next" w:hAnsi="Arial" w:cs="Arial"/>
          <w:color w:val="7B7B7B"/>
          <w:sz w:val="22"/>
        </w:rPr>
        <w:t>scheme</w:t>
      </w:r>
      <w:r w:rsidRPr="00565CDF">
        <w:rPr>
          <w:rFonts w:ascii="Arial" w:eastAsia="Avenir Next" w:hAnsi="Arial" w:cs="Arial"/>
          <w:color w:val="7B7B7B"/>
          <w:sz w:val="22"/>
        </w:rPr>
        <w:t xml:space="preserve"> would likely be </w:t>
      </w:r>
      <w:r w:rsidRPr="00565CDF">
        <w:rPr>
          <w:rFonts w:ascii="Arial" w:eastAsia="Avenir Next" w:hAnsi="Arial" w:cs="Arial"/>
          <w:color w:val="7B7B7B"/>
          <w:sz w:val="22"/>
        </w:rPr>
        <w:t>recognised</w:t>
      </w:r>
      <w:r w:rsidRPr="00565CDF">
        <w:rPr>
          <w:rFonts w:ascii="Arial" w:eastAsia="Avenir Next" w:hAnsi="Arial" w:cs="Arial"/>
          <w:color w:val="7B7B7B"/>
          <w:sz w:val="22"/>
        </w:rPr>
        <w:t xml:space="preserve"> as non-main </w:t>
      </w:r>
      <w:r w:rsidRPr="00565CDF">
        <w:rPr>
          <w:rFonts w:ascii="Arial" w:eastAsia="Avenir Next" w:hAnsi="Arial" w:cs="Arial"/>
          <w:color w:val="7B7B7B"/>
          <w:sz w:val="22"/>
        </w:rPr>
        <w:t>foreign</w:t>
      </w:r>
      <w:r w:rsidRPr="00565CDF">
        <w:rPr>
          <w:rFonts w:ascii="Arial" w:eastAsia="Avenir Next" w:hAnsi="Arial" w:cs="Arial"/>
          <w:color w:val="7B7B7B"/>
          <w:sz w:val="22"/>
        </w:rPr>
        <w:t xml:space="preserve"> proceeding. The fact that Stella's headquarters </w:t>
      </w:r>
      <w:proofErr w:type="gramStart"/>
      <w:r w:rsidRPr="00565CDF">
        <w:rPr>
          <w:rFonts w:ascii="Arial" w:eastAsia="Avenir Next" w:hAnsi="Arial" w:cs="Arial"/>
          <w:color w:val="7B7B7B"/>
          <w:sz w:val="22"/>
        </w:rPr>
        <w:t>are located in</w:t>
      </w:r>
      <w:proofErr w:type="gramEnd"/>
      <w:r w:rsidRPr="00565CDF">
        <w:rPr>
          <w:rFonts w:ascii="Arial" w:eastAsia="Avenir Next" w:hAnsi="Arial" w:cs="Arial"/>
          <w:color w:val="7B7B7B"/>
          <w:sz w:val="22"/>
        </w:rPr>
        <w:t xml:space="preserve"> Paris would also weigh in favour of France being the COMI rather than England.</w:t>
      </w:r>
    </w:p>
    <w:p w14:paraId="0EB82CF0" w14:textId="77777777" w:rsidR="00565CDF" w:rsidRPr="00565CDF" w:rsidRDefault="00565CDF" w:rsidP="00565CDF">
      <w:pPr>
        <w:jc w:val="both"/>
        <w:rPr>
          <w:rFonts w:ascii="Arial" w:eastAsia="Avenir Next" w:hAnsi="Arial" w:cs="Arial"/>
          <w:color w:val="7B7B7B"/>
        </w:rPr>
      </w:pPr>
    </w:p>
    <w:p w14:paraId="4AA0AA1C"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Further, the fact that Stella's products are made in Italy also suggest that England is not the COMI.</w:t>
      </w:r>
    </w:p>
    <w:p w14:paraId="10AAD37C" w14:textId="77777777" w:rsidR="00565CDF" w:rsidRPr="00565CDF" w:rsidRDefault="00565CDF" w:rsidP="00565CDF">
      <w:pPr>
        <w:jc w:val="both"/>
        <w:rPr>
          <w:rFonts w:ascii="Arial" w:eastAsia="Avenir Next" w:hAnsi="Arial" w:cs="Arial"/>
          <w:color w:val="7B7B7B"/>
        </w:rPr>
      </w:pPr>
    </w:p>
    <w:p w14:paraId="047FF153"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However, the fact that the loan and Eurobonds are governed by English law would weigh in favour of England being the COMI.</w:t>
      </w:r>
    </w:p>
    <w:p w14:paraId="3B59B640"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 xml:space="preserve"> </w:t>
      </w:r>
    </w:p>
    <w:p w14:paraId="7BB17875" w14:textId="77777777" w:rsidR="00565CDF" w:rsidRPr="00565CDF" w:rsidRDefault="00565CDF" w:rsidP="00565CDF">
      <w:pPr>
        <w:jc w:val="both"/>
        <w:rPr>
          <w:rFonts w:ascii="Arial" w:eastAsia="Avenir Next" w:hAnsi="Arial" w:cs="Arial"/>
          <w:color w:val="7B7B7B"/>
        </w:rPr>
      </w:pPr>
      <w:r w:rsidRPr="00565CDF">
        <w:rPr>
          <w:rFonts w:ascii="Arial" w:eastAsia="Avenir Next" w:hAnsi="Arial" w:cs="Arial"/>
          <w:color w:val="7B7B7B"/>
          <w:sz w:val="22"/>
        </w:rPr>
        <w:t>The location of the Eurobond issuer and bank that provided Stella with the loan, as majority creditors, will also impact the analysis. However, it is not clear on the facts exactly where either is located.</w:t>
      </w:r>
    </w:p>
    <w:p w14:paraId="62671E15" w14:textId="77777777" w:rsidR="00565CDF" w:rsidRPr="00565CDF" w:rsidRDefault="00565CDF" w:rsidP="00565CDF">
      <w:pPr>
        <w:jc w:val="both"/>
        <w:rPr>
          <w:rFonts w:ascii="Arial" w:eastAsia="Avenir Next" w:hAnsi="Arial" w:cs="Arial"/>
          <w:color w:val="7B7B7B"/>
        </w:rPr>
      </w:pPr>
    </w:p>
    <w:p w14:paraId="28F9F5F4" w14:textId="764D6961" w:rsidR="00565CDF" w:rsidRPr="00565CDF" w:rsidRDefault="00565CDF" w:rsidP="00565CDF">
      <w:pPr>
        <w:jc w:val="both"/>
        <w:rPr>
          <w:rFonts w:ascii="Arial" w:eastAsia="Avenir Next" w:hAnsi="Arial" w:cs="Arial"/>
        </w:rPr>
      </w:pPr>
      <w:r w:rsidRPr="00565CDF">
        <w:rPr>
          <w:rFonts w:ascii="Arial" w:eastAsia="Avenir Next" w:hAnsi="Arial" w:cs="Arial"/>
          <w:color w:val="7B7B7B"/>
          <w:sz w:val="22"/>
        </w:rPr>
        <w:t xml:space="preserve">On the facts provided, it is likely the presumption that France is the COMI would not be rebutted such that the scheme of arrangement commenced in England would be recognised as a foreign non-main proceeding. The result may differ if the </w:t>
      </w:r>
      <w:r w:rsidRPr="00565CDF">
        <w:rPr>
          <w:rFonts w:ascii="Arial" w:eastAsia="Avenir Next" w:hAnsi="Arial" w:cs="Arial"/>
          <w:color w:val="7B7B7B"/>
          <w:sz w:val="22"/>
        </w:rPr>
        <w:t>Eurobonds</w:t>
      </w:r>
      <w:r w:rsidRPr="00565CDF">
        <w:rPr>
          <w:rFonts w:ascii="Arial" w:eastAsia="Avenir Next" w:hAnsi="Arial" w:cs="Arial"/>
          <w:color w:val="7B7B7B"/>
          <w:sz w:val="22"/>
        </w:rPr>
        <w:t xml:space="preserve"> issuer and the bank that provided the loan </w:t>
      </w:r>
      <w:proofErr w:type="gramStart"/>
      <w:r w:rsidRPr="00565CDF">
        <w:rPr>
          <w:rFonts w:ascii="Arial" w:eastAsia="Avenir Next" w:hAnsi="Arial" w:cs="Arial"/>
          <w:color w:val="7B7B7B"/>
          <w:sz w:val="22"/>
        </w:rPr>
        <w:t>are located in</w:t>
      </w:r>
      <w:proofErr w:type="gramEnd"/>
      <w:r w:rsidRPr="00565CDF">
        <w:rPr>
          <w:rFonts w:ascii="Arial" w:eastAsia="Avenir Next" w:hAnsi="Arial" w:cs="Arial"/>
          <w:color w:val="7B7B7B"/>
          <w:sz w:val="22"/>
        </w:rPr>
        <w:t xml:space="preserve"> England.</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0003872F" w14:textId="4B1206A8" w:rsidR="00E219B7" w:rsidRDefault="00E219B7" w:rsidP="00E219B7">
      <w:pPr>
        <w:jc w:val="both"/>
        <w:rPr>
          <w:rFonts w:ascii="Avenir Next" w:eastAsia="Avenir Next" w:hAnsi="Avenir Next" w:cs="Avenir Next"/>
          <w:color w:val="7B7B7B"/>
        </w:rPr>
      </w:pPr>
      <w:r>
        <w:rPr>
          <w:rFonts w:ascii="Avenir Next" w:eastAsia="Avenir Next" w:hAnsi="Avenir Next" w:cs="Avenir Next"/>
          <w:color w:val="7B7B7B"/>
          <w:sz w:val="22"/>
        </w:rPr>
        <w:t xml:space="preserve">The </w:t>
      </w:r>
      <w:r>
        <w:rPr>
          <w:rFonts w:ascii="Avenir Next" w:eastAsia="Avenir Next" w:hAnsi="Avenir Next" w:cs="Avenir Next"/>
          <w:color w:val="7B7B7B"/>
          <w:sz w:val="22"/>
        </w:rPr>
        <w:t>license</w:t>
      </w:r>
      <w:r>
        <w:rPr>
          <w:rFonts w:ascii="Avenir Next" w:eastAsia="Avenir Next" w:hAnsi="Avenir Next" w:cs="Avenir Next"/>
          <w:color w:val="7B7B7B"/>
          <w:sz w:val="22"/>
        </w:rPr>
        <w:t xml:space="preserve"> to manufacture </w:t>
      </w:r>
      <w:proofErr w:type="spellStart"/>
      <w:r>
        <w:rPr>
          <w:rFonts w:ascii="Avenir Next" w:eastAsia="Avenir Next" w:hAnsi="Avenir Next" w:cs="Avenir Next"/>
          <w:color w:val="7B7B7B"/>
          <w:sz w:val="22"/>
        </w:rPr>
        <w:t>Xblox</w:t>
      </w:r>
      <w:proofErr w:type="spellEnd"/>
      <w:r>
        <w:rPr>
          <w:rFonts w:ascii="Avenir Next" w:eastAsia="Avenir Next" w:hAnsi="Avenir Next" w:cs="Avenir Next"/>
          <w:color w:val="7B7B7B"/>
          <w:sz w:val="22"/>
        </w:rPr>
        <w:t xml:space="preserve"> is not an executory contract. Presently, </w:t>
      </w:r>
      <w:proofErr w:type="spellStart"/>
      <w:r>
        <w:rPr>
          <w:rFonts w:ascii="Avenir Next" w:eastAsia="Avenir Next" w:hAnsi="Avenir Next" w:cs="Avenir Next"/>
          <w:color w:val="7B7B7B"/>
          <w:sz w:val="22"/>
        </w:rPr>
        <w:t>Gamemart</w:t>
      </w:r>
      <w:proofErr w:type="spellEnd"/>
      <w:r>
        <w:rPr>
          <w:rFonts w:ascii="Avenir Next" w:eastAsia="Avenir Next" w:hAnsi="Avenir Next" w:cs="Avenir Next"/>
          <w:color w:val="7B7B7B"/>
          <w:sz w:val="22"/>
        </w:rPr>
        <w:t xml:space="preserve"> pays </w:t>
      </w:r>
      <w:proofErr w:type="spellStart"/>
      <w:r>
        <w:rPr>
          <w:rFonts w:ascii="Avenir Next" w:eastAsia="Avenir Next" w:hAnsi="Avenir Next" w:cs="Avenir Next"/>
          <w:color w:val="7B7B7B"/>
          <w:sz w:val="22"/>
        </w:rPr>
        <w:t>ToyCo</w:t>
      </w:r>
      <w:proofErr w:type="spellEnd"/>
      <w:r>
        <w:rPr>
          <w:rFonts w:ascii="Avenir Next" w:eastAsia="Avenir Next" w:hAnsi="Avenir Next" w:cs="Avenir Next"/>
          <w:color w:val="7B7B7B"/>
          <w:sz w:val="22"/>
        </w:rPr>
        <w:t xml:space="preserve"> monthly royalties and </w:t>
      </w:r>
      <w:proofErr w:type="spellStart"/>
      <w:r>
        <w:rPr>
          <w:rFonts w:ascii="Avenir Next" w:eastAsia="Avenir Next" w:hAnsi="Avenir Next" w:cs="Avenir Next"/>
          <w:color w:val="7B7B7B"/>
          <w:sz w:val="22"/>
        </w:rPr>
        <w:t>ToyCo</w:t>
      </w:r>
      <w:proofErr w:type="spellEnd"/>
      <w:r>
        <w:rPr>
          <w:rFonts w:ascii="Avenir Next" w:eastAsia="Avenir Next" w:hAnsi="Avenir Next" w:cs="Avenir Next"/>
          <w:color w:val="7B7B7B"/>
          <w:sz w:val="22"/>
        </w:rPr>
        <w:t xml:space="preserve"> is permitting the exclusive manufacture of </w:t>
      </w:r>
      <w:proofErr w:type="spellStart"/>
      <w:r>
        <w:rPr>
          <w:rFonts w:ascii="Avenir Next" w:eastAsia="Avenir Next" w:hAnsi="Avenir Next" w:cs="Avenir Next"/>
          <w:color w:val="7B7B7B"/>
          <w:sz w:val="22"/>
        </w:rPr>
        <w:t>Xblox</w:t>
      </w:r>
      <w:proofErr w:type="spellEnd"/>
      <w:r>
        <w:rPr>
          <w:rFonts w:ascii="Avenir Next" w:eastAsia="Avenir Next" w:hAnsi="Avenir Next" w:cs="Avenir Next"/>
          <w:color w:val="7B7B7B"/>
          <w:sz w:val="22"/>
        </w:rPr>
        <w:t xml:space="preserve">. Accordingly, there is no </w:t>
      </w:r>
      <w:r>
        <w:rPr>
          <w:rFonts w:ascii="Avenir Next" w:eastAsia="Avenir Next" w:hAnsi="Avenir Next" w:cs="Avenir Next"/>
          <w:color w:val="7B7B7B"/>
          <w:sz w:val="22"/>
        </w:rPr>
        <w:t>underperformance</w:t>
      </w:r>
      <w:r>
        <w:rPr>
          <w:rFonts w:ascii="Avenir Next" w:eastAsia="Avenir Next" w:hAnsi="Avenir Next" w:cs="Avenir Next"/>
          <w:color w:val="7B7B7B"/>
          <w:sz w:val="22"/>
        </w:rPr>
        <w:t xml:space="preserve"> of the contract by either party which would indicate the contract is executory.</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2135E2A5" w14:textId="2100C247" w:rsidR="00E219B7" w:rsidRDefault="00E219B7" w:rsidP="00E219B7">
      <w:pPr>
        <w:jc w:val="both"/>
        <w:rPr>
          <w:rFonts w:ascii="Avenir Next" w:eastAsia="Avenir Next" w:hAnsi="Avenir Next" w:cs="Avenir Next"/>
        </w:rPr>
      </w:pPr>
      <w:proofErr w:type="spellStart"/>
      <w:r>
        <w:rPr>
          <w:rFonts w:ascii="Avenir Next" w:eastAsia="Avenir Next" w:hAnsi="Avenir Next" w:cs="Avenir Next"/>
          <w:color w:val="7B7B7B"/>
          <w:sz w:val="22"/>
        </w:rPr>
        <w:lastRenderedPageBreak/>
        <w:t>GameMart</w:t>
      </w:r>
      <w:proofErr w:type="spellEnd"/>
      <w:r>
        <w:rPr>
          <w:rFonts w:ascii="Avenir Next" w:eastAsia="Avenir Next" w:hAnsi="Avenir Next" w:cs="Avenir Next"/>
          <w:color w:val="7B7B7B"/>
          <w:sz w:val="22"/>
        </w:rPr>
        <w:t xml:space="preserve"> may not transfer the </w:t>
      </w:r>
      <w:r>
        <w:rPr>
          <w:rFonts w:ascii="Avenir Next" w:eastAsia="Avenir Next" w:hAnsi="Avenir Next" w:cs="Avenir Next"/>
          <w:color w:val="7B7B7B"/>
          <w:sz w:val="22"/>
        </w:rPr>
        <w:t>license</w:t>
      </w:r>
      <w:r>
        <w:rPr>
          <w:rFonts w:ascii="Avenir Next" w:eastAsia="Avenir Next" w:hAnsi="Avenir Next" w:cs="Avenir Next"/>
          <w:color w:val="7B7B7B"/>
          <w:sz w:val="22"/>
        </w:rPr>
        <w:t xml:space="preserve"> as part of a 363 sale without </w:t>
      </w:r>
      <w:proofErr w:type="spellStart"/>
      <w:r>
        <w:rPr>
          <w:rFonts w:ascii="Avenir Next" w:eastAsia="Avenir Next" w:hAnsi="Avenir Next" w:cs="Avenir Next"/>
          <w:color w:val="7B7B7B"/>
          <w:sz w:val="22"/>
        </w:rPr>
        <w:t>ToyCo's</w:t>
      </w:r>
      <w:proofErr w:type="spellEnd"/>
      <w:r>
        <w:rPr>
          <w:rFonts w:ascii="Avenir Next" w:eastAsia="Avenir Next" w:hAnsi="Avenir Next" w:cs="Avenir Next"/>
          <w:color w:val="7B7B7B"/>
          <w:sz w:val="22"/>
        </w:rPr>
        <w:t xml:space="preserve"> consent. Licensees of patents owned by debtors are protected under s 365(n) of the </w:t>
      </w:r>
      <w:r>
        <w:rPr>
          <w:rFonts w:ascii="Avenir Next" w:eastAsia="Avenir Next" w:hAnsi="Avenir Next" w:cs="Avenir Next"/>
          <w:color w:val="7B7B7B"/>
          <w:sz w:val="22"/>
        </w:rPr>
        <w:t>Bankruptcy</w:t>
      </w:r>
      <w:r>
        <w:rPr>
          <w:rFonts w:ascii="Avenir Next" w:eastAsia="Avenir Next" w:hAnsi="Avenir Next" w:cs="Avenir Next"/>
          <w:color w:val="7B7B7B"/>
          <w:sz w:val="22"/>
        </w:rPr>
        <w:t xml:space="preserve"> Code such that consent is necessary.</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173113EE" w14:textId="1E1427F0" w:rsidR="00E219B7" w:rsidRDefault="00E219B7" w:rsidP="00E219B7">
      <w:pPr>
        <w:jc w:val="both"/>
        <w:rPr>
          <w:rFonts w:ascii="Avenir Next" w:eastAsia="Avenir Next" w:hAnsi="Avenir Next" w:cs="Avenir Next"/>
          <w:color w:val="7B7B7B"/>
        </w:rPr>
      </w:pPr>
      <w:r>
        <w:rPr>
          <w:rFonts w:ascii="Avenir Next" w:eastAsia="Avenir Next" w:hAnsi="Avenir Next" w:cs="Avenir Next"/>
          <w:color w:val="7B7B7B"/>
          <w:sz w:val="22"/>
        </w:rPr>
        <w:t xml:space="preserve">The contractual limitation requiring consent to assign the lease would be abrogated by the Bankruptcy Code if transfer of the lease would enable </w:t>
      </w:r>
      <w:proofErr w:type="spellStart"/>
      <w:r>
        <w:rPr>
          <w:rFonts w:ascii="Avenir Next" w:eastAsia="Avenir Next" w:hAnsi="Avenir Next" w:cs="Avenir Next"/>
          <w:color w:val="7B7B7B"/>
          <w:sz w:val="22"/>
        </w:rPr>
        <w:t>Game</w:t>
      </w:r>
      <w:r>
        <w:rPr>
          <w:rFonts w:ascii="Avenir Next" w:eastAsia="Avenir Next" w:hAnsi="Avenir Next" w:cs="Avenir Next"/>
          <w:color w:val="7B7B7B"/>
          <w:sz w:val="22"/>
        </w:rPr>
        <w:t>M</w:t>
      </w:r>
      <w:r>
        <w:rPr>
          <w:rFonts w:ascii="Avenir Next" w:eastAsia="Avenir Next" w:hAnsi="Avenir Next" w:cs="Avenir Next"/>
          <w:color w:val="7B7B7B"/>
          <w:sz w:val="22"/>
        </w:rPr>
        <w:t>art</w:t>
      </w:r>
      <w:proofErr w:type="spellEnd"/>
      <w:r>
        <w:rPr>
          <w:rFonts w:ascii="Avenir Next" w:eastAsia="Avenir Next" w:hAnsi="Avenir Next" w:cs="Avenir Next"/>
          <w:color w:val="7B7B7B"/>
          <w:sz w:val="22"/>
        </w:rPr>
        <w:t xml:space="preserve"> to </w:t>
      </w:r>
      <w:r>
        <w:rPr>
          <w:rFonts w:ascii="Avenir Next" w:eastAsia="Avenir Next" w:hAnsi="Avenir Next" w:cs="Avenir Next"/>
          <w:color w:val="7B7B7B"/>
          <w:sz w:val="22"/>
        </w:rPr>
        <w:t>achieve</w:t>
      </w:r>
      <w:r>
        <w:rPr>
          <w:rFonts w:ascii="Avenir Next" w:eastAsia="Avenir Next" w:hAnsi="Avenir Next" w:cs="Avenir Next"/>
          <w:color w:val="7B7B7B"/>
          <w:sz w:val="22"/>
        </w:rPr>
        <w:t xml:space="preserve"> a higher value for the Factory than if the assignment limitation was enforced.</w:t>
      </w:r>
      <w:r>
        <w:rPr>
          <w:rFonts w:ascii="Avenir Next" w:eastAsia="Avenir Next" w:hAnsi="Avenir Next" w:cs="Avenir Next"/>
          <w:color w:val="7B7B7B"/>
          <w:sz w:val="22"/>
        </w:rPr>
        <w:t xml:space="preserve">  In those circumstances, </w:t>
      </w:r>
      <w:proofErr w:type="spellStart"/>
      <w:r>
        <w:rPr>
          <w:rFonts w:ascii="Avenir Next" w:eastAsia="Avenir Next" w:hAnsi="Avenir Next" w:cs="Avenir Next"/>
          <w:color w:val="7B7B7B"/>
          <w:sz w:val="22"/>
        </w:rPr>
        <w:t>GameMart</w:t>
      </w:r>
      <w:proofErr w:type="spellEnd"/>
      <w:r>
        <w:rPr>
          <w:rFonts w:ascii="Avenir Next" w:eastAsia="Avenir Next" w:hAnsi="Avenir Next" w:cs="Avenir Next"/>
          <w:color w:val="7B7B7B"/>
          <w:sz w:val="22"/>
        </w:rPr>
        <w:t xml:space="preserve"> may transfer the factory lease as part of a 363 without Land Corp’s consent.</w:t>
      </w:r>
    </w:p>
    <w:p w14:paraId="2BD8B1AF" w14:textId="50D64157" w:rsidR="00F03051" w:rsidRPr="00E219B7" w:rsidRDefault="00F03051" w:rsidP="00F03051">
      <w:pPr>
        <w:jc w:val="both"/>
        <w:rPr>
          <w:rFonts w:ascii="Avenir Next" w:hAnsi="Avenir Next" w:cs="Arial"/>
          <w:color w:val="7B7B7B" w:themeColor="accent3" w:themeShade="BF"/>
          <w:sz w:val="22"/>
          <w:szCs w:val="22"/>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mbria"/>
    <w:charset w:val="00"/>
    <w:family w:val="swiss"/>
    <w:pitch w:val="variable"/>
    <w:sig w:usb0="8000002F" w:usb1="5000204A" w:usb2="00000000" w:usb3="00000000" w:csb0="0000009B" w:csb1="00000000"/>
  </w:font>
  <w:font w:name="Avenir Next">
    <w:altName w:val="Cambria"/>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F3E2BC4" w:rsidR="00241FA3" w:rsidRPr="00494B81" w:rsidRDefault="00F97B4F" w:rsidP="009B4976">
    <w:pPr>
      <w:pStyle w:val="Footer"/>
      <w:ind w:right="360"/>
      <w:rPr>
        <w:rFonts w:ascii="Avenir Next" w:hAnsi="Avenir Next" w:cs="Arial"/>
        <w:sz w:val="22"/>
        <w:szCs w:val="22"/>
        <w:lang w:val="en-GB"/>
      </w:rPr>
    </w:pPr>
    <w:r>
      <w:rPr>
        <w:rFonts w:ascii="Avenir Next" w:hAnsi="Avenir Next" w:cs="Arial"/>
        <w:sz w:val="22"/>
        <w:szCs w:val="22"/>
        <w:lang w:val="en-GB"/>
      </w:rPr>
      <w:t>202223-935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B007C"/>
    <w:multiLevelType w:val="multilevel"/>
    <w:tmpl w:val="713A5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9424C"/>
    <w:multiLevelType w:val="multilevel"/>
    <w:tmpl w:val="2F3ED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203F0"/>
    <w:multiLevelType w:val="multilevel"/>
    <w:tmpl w:val="56069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83F4C"/>
    <w:multiLevelType w:val="multilevel"/>
    <w:tmpl w:val="F094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40727"/>
    <w:multiLevelType w:val="multilevel"/>
    <w:tmpl w:val="078C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217694">
    <w:abstractNumId w:val="24"/>
  </w:num>
  <w:num w:numId="2" w16cid:durableId="155850010">
    <w:abstractNumId w:val="27"/>
  </w:num>
  <w:num w:numId="3" w16cid:durableId="904800817">
    <w:abstractNumId w:val="5"/>
  </w:num>
  <w:num w:numId="4" w16cid:durableId="965502958">
    <w:abstractNumId w:val="9"/>
  </w:num>
  <w:num w:numId="5" w16cid:durableId="638610958">
    <w:abstractNumId w:val="11"/>
  </w:num>
  <w:num w:numId="6" w16cid:durableId="175390659">
    <w:abstractNumId w:val="30"/>
  </w:num>
  <w:num w:numId="7" w16cid:durableId="1707021330">
    <w:abstractNumId w:val="6"/>
  </w:num>
  <w:num w:numId="8" w16cid:durableId="675155296">
    <w:abstractNumId w:val="33"/>
  </w:num>
  <w:num w:numId="9" w16cid:durableId="1457480352">
    <w:abstractNumId w:val="12"/>
  </w:num>
  <w:num w:numId="10" w16cid:durableId="1232229207">
    <w:abstractNumId w:val="26"/>
  </w:num>
  <w:num w:numId="11" w16cid:durableId="519592390">
    <w:abstractNumId w:val="14"/>
  </w:num>
  <w:num w:numId="12" w16cid:durableId="1528641556">
    <w:abstractNumId w:val="23"/>
  </w:num>
  <w:num w:numId="13" w16cid:durableId="1086922358">
    <w:abstractNumId w:val="0"/>
  </w:num>
  <w:num w:numId="14" w16cid:durableId="618076125">
    <w:abstractNumId w:val="10"/>
  </w:num>
  <w:num w:numId="15" w16cid:durableId="1254513121">
    <w:abstractNumId w:val="19"/>
  </w:num>
  <w:num w:numId="16" w16cid:durableId="1763525957">
    <w:abstractNumId w:val="8"/>
  </w:num>
  <w:num w:numId="17" w16cid:durableId="1093666934">
    <w:abstractNumId w:val="3"/>
  </w:num>
  <w:num w:numId="18" w16cid:durableId="1645164392">
    <w:abstractNumId w:val="2"/>
  </w:num>
  <w:num w:numId="19" w16cid:durableId="119348787">
    <w:abstractNumId w:val="28"/>
  </w:num>
  <w:num w:numId="20" w16cid:durableId="1844466119">
    <w:abstractNumId w:val="7"/>
  </w:num>
  <w:num w:numId="21" w16cid:durableId="1160386158">
    <w:abstractNumId w:val="25"/>
  </w:num>
  <w:num w:numId="22" w16cid:durableId="1978486962">
    <w:abstractNumId w:val="35"/>
  </w:num>
  <w:num w:numId="23" w16cid:durableId="1832406158">
    <w:abstractNumId w:val="13"/>
  </w:num>
  <w:num w:numId="24" w16cid:durableId="54351689">
    <w:abstractNumId w:val="29"/>
  </w:num>
  <w:num w:numId="25" w16cid:durableId="2103640567">
    <w:abstractNumId w:val="20"/>
  </w:num>
  <w:num w:numId="26" w16cid:durableId="1971666081">
    <w:abstractNumId w:val="21"/>
  </w:num>
  <w:num w:numId="27" w16cid:durableId="612052054">
    <w:abstractNumId w:val="15"/>
  </w:num>
  <w:num w:numId="28" w16cid:durableId="2078235254">
    <w:abstractNumId w:val="32"/>
  </w:num>
  <w:num w:numId="29" w16cid:durableId="1412701364">
    <w:abstractNumId w:val="1"/>
  </w:num>
  <w:num w:numId="30" w16cid:durableId="282270155">
    <w:abstractNumId w:val="17"/>
  </w:num>
  <w:num w:numId="31" w16cid:durableId="620917133">
    <w:abstractNumId w:val="22"/>
  </w:num>
  <w:num w:numId="32" w16cid:durableId="1410805339">
    <w:abstractNumId w:val="31"/>
  </w:num>
  <w:num w:numId="33" w16cid:durableId="1670331078">
    <w:abstractNumId w:val="18"/>
  </w:num>
  <w:num w:numId="34" w16cid:durableId="946229475">
    <w:abstractNumId w:val="34"/>
  </w:num>
  <w:num w:numId="35" w16cid:durableId="1339043317">
    <w:abstractNumId w:val="16"/>
  </w:num>
  <w:num w:numId="36" w16cid:durableId="53997531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5CDF"/>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19B7"/>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B4F"/>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Luke</cp:lastModifiedBy>
  <cp:revision>2</cp:revision>
  <cp:lastPrinted>2019-08-27T05:42:00Z</cp:lastPrinted>
  <dcterms:created xsi:type="dcterms:W3CDTF">2023-07-31T14:22:00Z</dcterms:created>
  <dcterms:modified xsi:type="dcterms:W3CDTF">2023-07-31T14:22:00Z</dcterms:modified>
</cp:coreProperties>
</file>