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377C39" w:rsidRDefault="00D66F96" w:rsidP="005B7C95">
      <w:pPr>
        <w:pStyle w:val="ListParagraph"/>
        <w:numPr>
          <w:ilvl w:val="0"/>
          <w:numId w:val="26"/>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377C39"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377C39">
        <w:rPr>
          <w:rFonts w:ascii="Avenir Next" w:hAnsi="Avenir Next" w:cs="Arial"/>
          <w:iCs/>
          <w:sz w:val="22"/>
          <w:szCs w:val="22"/>
          <w:highlight w:val="yellow"/>
          <w:lang w:val="en-GB"/>
        </w:rPr>
        <w:t>t</w:t>
      </w:r>
      <w:r w:rsidR="00302D76" w:rsidRPr="00377C39">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377C39"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377C39">
        <w:rPr>
          <w:rFonts w:ascii="Avenir Next" w:hAnsi="Avenir Next" w:cs="Arial"/>
          <w:iCs/>
          <w:sz w:val="22"/>
          <w:szCs w:val="22"/>
          <w:highlight w:val="yellow"/>
          <w:lang w:val="en-GB"/>
        </w:rPr>
        <w:t xml:space="preserve">The EIR 2000 was generally regarded as a successful instrument </w:t>
      </w:r>
      <w:proofErr w:type="gramStart"/>
      <w:r w:rsidRPr="00377C39">
        <w:rPr>
          <w:rFonts w:ascii="Avenir Next" w:hAnsi="Avenir Next" w:cs="Arial"/>
          <w:iCs/>
          <w:sz w:val="22"/>
          <w:szCs w:val="22"/>
          <w:highlight w:val="yellow"/>
          <w:lang w:val="en-GB"/>
        </w:rPr>
        <w:t>in the area of</w:t>
      </w:r>
      <w:proofErr w:type="gramEnd"/>
      <w:r w:rsidRPr="00377C39">
        <w:rPr>
          <w:rFonts w:ascii="Avenir Next" w:hAnsi="Avenir Next" w:cs="Arial"/>
          <w:iCs/>
          <w:sz w:val="22"/>
          <w:szCs w:val="22"/>
          <w:highlight w:val="yellow"/>
          <w:lang w:val="en-GB"/>
        </w:rPr>
        <w:t xml:space="preserve"> European insolvency law by the EU institutions, practitioners and academics. However, </w:t>
      </w:r>
      <w:proofErr w:type="gramStart"/>
      <w:r w:rsidRPr="00377C39">
        <w:rPr>
          <w:rFonts w:ascii="Avenir Next" w:hAnsi="Avenir Next" w:cs="Arial"/>
          <w:iCs/>
          <w:sz w:val="22"/>
          <w:szCs w:val="22"/>
          <w:highlight w:val="yellow"/>
          <w:lang w:val="en-GB"/>
        </w:rPr>
        <w:t>a number of</w:t>
      </w:r>
      <w:proofErr w:type="gramEnd"/>
      <w:r w:rsidRPr="00377C39">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377C39" w:rsidRDefault="00971896" w:rsidP="003C4BCB">
      <w:pPr>
        <w:pStyle w:val="ListParagraph"/>
        <w:numPr>
          <w:ilvl w:val="0"/>
          <w:numId w:val="5"/>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377C39">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377C39" w:rsidRDefault="00CA7069" w:rsidP="008E3C96">
      <w:pPr>
        <w:pStyle w:val="ListParagraph"/>
        <w:numPr>
          <w:ilvl w:val="0"/>
          <w:numId w:val="28"/>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Article 31 EIR Recast (“</w:t>
      </w:r>
      <w:r w:rsidRPr="00377C39">
        <w:rPr>
          <w:rFonts w:ascii="Avenir Next" w:hAnsi="Avenir Next" w:cs="Arial"/>
          <w:bCs/>
          <w:sz w:val="22"/>
          <w:szCs w:val="22"/>
          <w:highlight w:val="yellow"/>
          <w:lang w:val="en-GB"/>
        </w:rPr>
        <w:t>Honouring of an obligation to a debtor”</w:t>
      </w:r>
      <w:r w:rsidRPr="00377C39">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377C39" w:rsidRDefault="00CA7069" w:rsidP="003C4BCB">
      <w:pPr>
        <w:pStyle w:val="ListParagraph"/>
        <w:numPr>
          <w:ilvl w:val="0"/>
          <w:numId w:val="7"/>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 xml:space="preserve">Each Member State will define </w:t>
      </w:r>
      <w:r w:rsidR="001A68CC" w:rsidRPr="00377C39">
        <w:rPr>
          <w:rFonts w:ascii="Avenir Next" w:hAnsi="Avenir Next" w:cs="Arial"/>
          <w:sz w:val="22"/>
          <w:szCs w:val="22"/>
          <w:highlight w:val="yellow"/>
          <w:lang w:val="en-GB"/>
        </w:rPr>
        <w:t>“</w:t>
      </w:r>
      <w:r w:rsidRPr="00377C39">
        <w:rPr>
          <w:rFonts w:ascii="Avenir Next" w:hAnsi="Avenir Next" w:cs="Arial"/>
          <w:sz w:val="22"/>
          <w:szCs w:val="22"/>
          <w:highlight w:val="yellow"/>
          <w:lang w:val="en-GB"/>
        </w:rPr>
        <w:t>insolvency</w:t>
      </w:r>
      <w:r w:rsidR="001A68CC" w:rsidRPr="00377C39">
        <w:rPr>
          <w:rFonts w:ascii="Avenir Next" w:hAnsi="Avenir Next" w:cs="Arial"/>
          <w:sz w:val="22"/>
          <w:szCs w:val="22"/>
          <w:highlight w:val="yellow"/>
          <w:lang w:val="en-GB"/>
        </w:rPr>
        <w:t>”</w:t>
      </w:r>
      <w:r w:rsidRPr="00377C39">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377C39" w:rsidRDefault="00CA7069" w:rsidP="00CA7069">
      <w:pPr>
        <w:pStyle w:val="ListParagraph"/>
        <w:numPr>
          <w:ilvl w:val="0"/>
          <w:numId w:val="8"/>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377C39" w:rsidRDefault="00C15FA2" w:rsidP="008E3C96">
      <w:pPr>
        <w:pStyle w:val="ListParagraph"/>
        <w:numPr>
          <w:ilvl w:val="0"/>
          <w:numId w:val="29"/>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377C39" w:rsidRDefault="00EC242E" w:rsidP="008E3C96">
      <w:pPr>
        <w:pStyle w:val="ListParagraph"/>
        <w:numPr>
          <w:ilvl w:val="0"/>
          <w:numId w:val="30"/>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377C39" w:rsidRDefault="00054E15" w:rsidP="00054E15">
      <w:pPr>
        <w:pStyle w:val="ListParagraph"/>
        <w:numPr>
          <w:ilvl w:val="0"/>
          <w:numId w:val="9"/>
        </w:numPr>
        <w:ind w:left="426"/>
        <w:jc w:val="both"/>
        <w:rPr>
          <w:rFonts w:ascii="Avenir Next" w:hAnsi="Avenir Next" w:cs="Arial"/>
          <w:sz w:val="22"/>
          <w:szCs w:val="22"/>
          <w:highlight w:val="yellow"/>
          <w:lang w:val="en-GB"/>
        </w:rPr>
      </w:pPr>
      <w:r w:rsidRPr="00377C39">
        <w:rPr>
          <w:rFonts w:ascii="Avenir Next" w:hAnsi="Avenir Next" w:cs="Arial"/>
          <w:sz w:val="22"/>
          <w:szCs w:val="22"/>
          <w:highlight w:val="yellow"/>
          <w:lang w:val="en-GB"/>
        </w:rPr>
        <w:t xml:space="preserve">The contested payments </w:t>
      </w:r>
      <w:r w:rsidR="00FC235E" w:rsidRPr="00377C39">
        <w:rPr>
          <w:rFonts w:ascii="Avenir Next" w:hAnsi="Avenir Next" w:cs="Arial"/>
          <w:sz w:val="22"/>
          <w:szCs w:val="22"/>
          <w:highlight w:val="yellow"/>
          <w:lang w:val="en-GB"/>
        </w:rPr>
        <w:t>will</w:t>
      </w:r>
      <w:r w:rsidRPr="00377C39">
        <w:rPr>
          <w:rFonts w:ascii="Avenir Next" w:hAnsi="Avenir Next" w:cs="Arial"/>
          <w:sz w:val="22"/>
          <w:szCs w:val="22"/>
          <w:highlight w:val="yellow"/>
          <w:lang w:val="en-GB"/>
        </w:rPr>
        <w:t xml:space="preserve"> not be avoided if </w:t>
      </w:r>
      <w:proofErr w:type="spellStart"/>
      <w:r w:rsidRPr="00377C39">
        <w:rPr>
          <w:rFonts w:ascii="Avenir Next" w:hAnsi="Avenir Next" w:cs="Arial"/>
          <w:sz w:val="22"/>
          <w:szCs w:val="22"/>
          <w:highlight w:val="yellow"/>
          <w:lang w:val="en-GB"/>
        </w:rPr>
        <w:t>Canetier</w:t>
      </w:r>
      <w:proofErr w:type="spellEnd"/>
      <w:r w:rsidRPr="00377C39">
        <w:rPr>
          <w:rFonts w:ascii="Avenir Next" w:hAnsi="Avenir Next" w:cs="Arial"/>
          <w:sz w:val="22"/>
          <w:szCs w:val="22"/>
          <w:highlight w:val="yellow"/>
          <w:lang w:val="en-GB"/>
        </w:rPr>
        <w:t xml:space="preserve"> SARL proves that such transactions cannot be challenged </w:t>
      </w:r>
      <w:proofErr w:type="gramStart"/>
      <w:r w:rsidRPr="00377C39">
        <w:rPr>
          <w:rFonts w:ascii="Avenir Next" w:hAnsi="Avenir Next" w:cs="Arial"/>
          <w:sz w:val="22"/>
          <w:szCs w:val="22"/>
          <w:highlight w:val="yellow"/>
          <w:lang w:val="en-GB"/>
        </w:rPr>
        <w:t>on the basis of</w:t>
      </w:r>
      <w:proofErr w:type="gramEnd"/>
      <w:r w:rsidRPr="00377C39">
        <w:rPr>
          <w:rFonts w:ascii="Avenir Next" w:hAnsi="Avenir Next" w:cs="Arial"/>
          <w:sz w:val="22"/>
          <w:szCs w:val="22"/>
          <w:highlight w:val="yellow"/>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377C39" w:rsidRDefault="00636C15" w:rsidP="00636C15">
      <w:pPr>
        <w:ind w:left="720" w:hanging="720"/>
        <w:jc w:val="both"/>
        <w:rPr>
          <w:rFonts w:ascii="Avenir Next" w:hAnsi="Avenir Next" w:cs="Arial"/>
          <w:sz w:val="28"/>
          <w:szCs w:val="28"/>
        </w:rPr>
      </w:pPr>
    </w:p>
    <w:p w14:paraId="6F8EDF2D" w14:textId="2BD7C9C7" w:rsidR="00377C39" w:rsidRPr="00377C39" w:rsidRDefault="00377C39" w:rsidP="00377C39">
      <w:pPr>
        <w:ind w:left="720" w:hanging="720"/>
        <w:jc w:val="both"/>
        <w:rPr>
          <w:rFonts w:ascii="Arial" w:eastAsia="Avenir Next" w:hAnsi="Arial" w:cs="Arial"/>
          <w:color w:val="7B7B7B"/>
          <w:sz w:val="22"/>
          <w:szCs w:val="32"/>
        </w:rPr>
      </w:pPr>
      <w:r w:rsidRPr="00377C39">
        <w:rPr>
          <w:rFonts w:ascii="Arial" w:eastAsia="Avenir Next" w:hAnsi="Arial" w:cs="Arial"/>
          <w:color w:val="7B7B7B"/>
          <w:sz w:val="22"/>
          <w:szCs w:val="32"/>
        </w:rPr>
        <w:t>1: the COMI Presumption - Article 3(1) of EIR Recast.</w:t>
      </w:r>
    </w:p>
    <w:p w14:paraId="5714A856" w14:textId="77777777" w:rsidR="00377C39" w:rsidRPr="00377C39" w:rsidRDefault="00377C39" w:rsidP="00377C39">
      <w:pPr>
        <w:ind w:left="720" w:hanging="720"/>
        <w:jc w:val="both"/>
        <w:rPr>
          <w:rFonts w:ascii="Arial" w:eastAsia="Avenir Next" w:hAnsi="Arial" w:cs="Arial"/>
          <w:sz w:val="22"/>
          <w:szCs w:val="32"/>
        </w:rPr>
      </w:pPr>
      <w:r w:rsidRPr="00377C39">
        <w:rPr>
          <w:rFonts w:ascii="Arial" w:eastAsia="Avenir Next" w:hAnsi="Arial" w:cs="Arial"/>
          <w:color w:val="7B7B7B"/>
          <w:sz w:val="22"/>
          <w:szCs w:val="32"/>
        </w:rPr>
        <w:t>2: material scope - Article 1 of EIR Recast.</w:t>
      </w:r>
    </w:p>
    <w:p w14:paraId="5C7DD9F3" w14:textId="4E8ACB86" w:rsidR="00636C15" w:rsidRPr="008E3C96" w:rsidRDefault="00636C15" w:rsidP="00636C15">
      <w:pPr>
        <w:ind w:left="720" w:hanging="720"/>
        <w:jc w:val="both"/>
        <w:rPr>
          <w:rFonts w:ascii="Avenir Next" w:hAnsi="Avenir Next" w:cs="Arial"/>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377C39" w:rsidRDefault="00222FB5" w:rsidP="00636C15">
      <w:pPr>
        <w:jc w:val="both"/>
        <w:rPr>
          <w:rFonts w:ascii="Avenir Next" w:hAnsi="Avenir Next" w:cs="Arial"/>
          <w:sz w:val="24"/>
          <w:lang w:val="en-GB"/>
        </w:rPr>
      </w:pPr>
    </w:p>
    <w:p w14:paraId="336C37B6" w14:textId="5B396F4C" w:rsidR="00377C39" w:rsidRPr="00377C39" w:rsidRDefault="00377C39" w:rsidP="00377C39">
      <w:pPr>
        <w:ind w:left="720" w:hanging="720"/>
        <w:jc w:val="both"/>
        <w:rPr>
          <w:rFonts w:ascii="Arial" w:eastAsia="Avenir Next" w:hAnsi="Arial" w:cs="Arial"/>
          <w:color w:val="7B7B7B"/>
          <w:sz w:val="22"/>
          <w:szCs w:val="32"/>
        </w:rPr>
      </w:pPr>
      <w:r w:rsidRPr="00377C39">
        <w:rPr>
          <w:rFonts w:ascii="Arial" w:eastAsia="Avenir Next" w:hAnsi="Arial" w:cs="Arial"/>
          <w:color w:val="7B7B7B"/>
          <w:sz w:val="22"/>
          <w:szCs w:val="32"/>
        </w:rPr>
        <w:t>1: Article 3(2) of the EIR Recast permits the opening of separate proceedings in a different state to the main proceedings if it possesses an establishment in that state. The effect of those proceedings is restricted to that state.</w:t>
      </w:r>
    </w:p>
    <w:p w14:paraId="59A21389" w14:textId="65E847B8" w:rsidR="00377C39" w:rsidRPr="00377C39" w:rsidRDefault="00377C39" w:rsidP="00377C39">
      <w:pPr>
        <w:ind w:left="720" w:hanging="720"/>
        <w:jc w:val="both"/>
        <w:rPr>
          <w:rFonts w:ascii="Arial" w:eastAsia="Avenir Next" w:hAnsi="Arial" w:cs="Arial"/>
          <w:color w:val="7B7B7B"/>
          <w:sz w:val="22"/>
          <w:szCs w:val="32"/>
        </w:rPr>
      </w:pPr>
      <w:r w:rsidRPr="00377C39">
        <w:rPr>
          <w:rFonts w:ascii="Arial" w:eastAsia="Avenir Next" w:hAnsi="Arial" w:cs="Arial"/>
          <w:color w:val="7B7B7B"/>
          <w:sz w:val="22"/>
          <w:szCs w:val="32"/>
        </w:rPr>
        <w:t xml:space="preserve">2: Article 8(1) of the EIR Recast holds that rights in rem held by creditors in relation to specific assets are not affected by the opening of insolvency proceedings. </w:t>
      </w:r>
    </w:p>
    <w:p w14:paraId="39D4677B" w14:textId="0E758D4D" w:rsidR="00377C39" w:rsidRPr="00377C39" w:rsidRDefault="00377C39" w:rsidP="00377C39">
      <w:pPr>
        <w:ind w:left="720" w:hanging="720"/>
        <w:jc w:val="both"/>
        <w:rPr>
          <w:rFonts w:ascii="Arial" w:eastAsia="Avenir Next" w:hAnsi="Arial" w:cs="Arial"/>
          <w:sz w:val="22"/>
          <w:szCs w:val="32"/>
        </w:rPr>
      </w:pPr>
      <w:r w:rsidRPr="00377C39">
        <w:rPr>
          <w:rFonts w:ascii="Arial" w:eastAsia="Avenir Next" w:hAnsi="Arial" w:cs="Arial"/>
          <w:color w:val="7B7B7B"/>
          <w:sz w:val="22"/>
          <w:szCs w:val="32"/>
        </w:rPr>
        <w:t>3: Article 19(2) of the EIR Recast records that recognition of main proceedings shall not preclude the opening of the proceedings referred to in Article 3(2) by a court in another Member State.</w:t>
      </w:r>
    </w:p>
    <w:p w14:paraId="6948B395" w14:textId="65A1604F" w:rsidR="00E90991" w:rsidRPr="00377C39" w:rsidRDefault="00E90991" w:rsidP="002A37BB">
      <w:pPr>
        <w:ind w:left="720" w:hanging="720"/>
        <w:jc w:val="both"/>
        <w:rPr>
          <w:rFonts w:ascii="Avenir Next" w:hAnsi="Avenir Next" w:cs="Arial"/>
          <w:sz w:val="22"/>
          <w:szCs w:val="22"/>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3743CBC2" w14:textId="77777777" w:rsidR="00377C39" w:rsidRPr="00377C39" w:rsidRDefault="00377C39" w:rsidP="00377C39">
      <w:pPr>
        <w:ind w:left="720" w:hanging="720"/>
        <w:jc w:val="both"/>
        <w:rPr>
          <w:rFonts w:ascii="Arial" w:eastAsia="Avenir Next" w:hAnsi="Arial" w:cs="Arial"/>
          <w:color w:val="7B7B7B"/>
          <w:sz w:val="22"/>
          <w:szCs w:val="32"/>
        </w:rPr>
      </w:pPr>
      <w:r w:rsidRPr="00377C39">
        <w:rPr>
          <w:rFonts w:ascii="Arial" w:eastAsia="Avenir Next" w:hAnsi="Arial" w:cs="Arial"/>
          <w:color w:val="7B7B7B"/>
          <w:sz w:val="22"/>
          <w:szCs w:val="32"/>
        </w:rPr>
        <w:t>1: Article 41</w:t>
      </w:r>
    </w:p>
    <w:p w14:paraId="3EEC9716" w14:textId="77777777" w:rsidR="00377C39" w:rsidRPr="00377C39" w:rsidRDefault="00377C39" w:rsidP="00377C39">
      <w:pPr>
        <w:ind w:left="720" w:hanging="720"/>
        <w:jc w:val="both"/>
        <w:rPr>
          <w:rFonts w:ascii="Arial" w:eastAsia="Avenir Next" w:hAnsi="Arial" w:cs="Arial"/>
          <w:color w:val="7B7B7B"/>
          <w:sz w:val="22"/>
          <w:szCs w:val="32"/>
        </w:rPr>
      </w:pPr>
      <w:r w:rsidRPr="00377C39">
        <w:rPr>
          <w:rFonts w:ascii="Arial" w:eastAsia="Avenir Next" w:hAnsi="Arial" w:cs="Arial"/>
          <w:color w:val="7B7B7B"/>
          <w:sz w:val="22"/>
          <w:szCs w:val="32"/>
        </w:rPr>
        <w:t>2: Article 42</w:t>
      </w:r>
    </w:p>
    <w:p w14:paraId="156CF705" w14:textId="77777777" w:rsidR="00377C39" w:rsidRPr="00377C39" w:rsidRDefault="00377C39" w:rsidP="00377C39">
      <w:pPr>
        <w:ind w:left="720" w:hanging="720"/>
        <w:jc w:val="both"/>
        <w:rPr>
          <w:rFonts w:ascii="Arial" w:eastAsia="Avenir Next" w:hAnsi="Arial" w:cs="Arial"/>
          <w:color w:val="7B7B7B"/>
          <w:sz w:val="22"/>
          <w:szCs w:val="32"/>
        </w:rPr>
      </w:pPr>
      <w:r w:rsidRPr="00377C39">
        <w:rPr>
          <w:rFonts w:ascii="Arial" w:eastAsia="Avenir Next" w:hAnsi="Arial" w:cs="Arial"/>
          <w:color w:val="7B7B7B"/>
          <w:sz w:val="22"/>
          <w:szCs w:val="32"/>
        </w:rPr>
        <w:t>3: Article 43</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287523" w:rsidRDefault="00DD47EF" w:rsidP="002A37BB">
      <w:pPr>
        <w:jc w:val="both"/>
        <w:rPr>
          <w:rFonts w:ascii="Avenir Next" w:hAnsi="Avenir Next" w:cs="Arial"/>
          <w:sz w:val="28"/>
          <w:szCs w:val="28"/>
          <w:lang w:val="en-GB"/>
        </w:rPr>
      </w:pPr>
    </w:p>
    <w:p w14:paraId="07FCEF7D" w14:textId="77777777" w:rsidR="00377C39" w:rsidRPr="00287523" w:rsidRDefault="00377C39" w:rsidP="00377C39">
      <w:pPr>
        <w:ind w:left="720" w:hanging="720"/>
        <w:jc w:val="both"/>
        <w:rPr>
          <w:rFonts w:ascii="Arial" w:eastAsia="Avenir Next" w:hAnsi="Arial" w:cs="Arial"/>
          <w:color w:val="7B7B7B"/>
          <w:sz w:val="22"/>
          <w:szCs w:val="32"/>
        </w:rPr>
      </w:pPr>
      <w:r w:rsidRPr="00287523">
        <w:rPr>
          <w:rFonts w:ascii="Arial" w:eastAsia="Avenir Next" w:hAnsi="Arial" w:cs="Arial"/>
          <w:color w:val="7B7B7B"/>
          <w:sz w:val="22"/>
          <w:szCs w:val="32"/>
          <w:u w:val="single"/>
        </w:rPr>
        <w:t>Right to give an undertaking</w:t>
      </w:r>
    </w:p>
    <w:p w14:paraId="0D7C397F" w14:textId="77777777" w:rsidR="00377C39" w:rsidRPr="00287523" w:rsidRDefault="00377C39" w:rsidP="00377C39">
      <w:pPr>
        <w:ind w:left="720" w:hanging="720"/>
        <w:jc w:val="both"/>
        <w:rPr>
          <w:rFonts w:ascii="Arial" w:eastAsia="Avenir Next" w:hAnsi="Arial" w:cs="Arial"/>
          <w:color w:val="7B7B7B"/>
          <w:sz w:val="22"/>
          <w:szCs w:val="32"/>
        </w:rPr>
      </w:pPr>
    </w:p>
    <w:p w14:paraId="71B6819E" w14:textId="77777777" w:rsidR="00377C39" w:rsidRPr="00287523" w:rsidRDefault="00377C39" w:rsidP="00377C39">
      <w:pPr>
        <w:ind w:left="720" w:hanging="720"/>
        <w:jc w:val="both"/>
        <w:rPr>
          <w:rFonts w:ascii="Arial" w:eastAsia="Avenir Next" w:hAnsi="Arial" w:cs="Arial"/>
          <w:color w:val="7B7B7B"/>
          <w:sz w:val="22"/>
          <w:szCs w:val="32"/>
        </w:rPr>
      </w:pPr>
      <w:r w:rsidRPr="00287523">
        <w:rPr>
          <w:rFonts w:ascii="Arial" w:eastAsia="Avenir Next" w:hAnsi="Arial" w:cs="Arial"/>
          <w:color w:val="7B7B7B"/>
          <w:sz w:val="22"/>
          <w:szCs w:val="32"/>
        </w:rPr>
        <w:t>Pursuant to Article 38(2) of EIR Recast, if an insolvency practitioner in the main insolvency proceedings has given an undertaking in accordance with Article 36, the Court shall, upon request from the insolvency practitioner, not open secondary proceedings if it is satisfied local creditors are adequately protected.</w:t>
      </w:r>
    </w:p>
    <w:p w14:paraId="01978B5B" w14:textId="77777777" w:rsidR="00377C39" w:rsidRPr="00287523" w:rsidRDefault="00377C39" w:rsidP="00377C39">
      <w:pPr>
        <w:ind w:left="720" w:hanging="720"/>
        <w:jc w:val="both"/>
        <w:rPr>
          <w:rFonts w:ascii="Arial" w:eastAsia="Avenir Next" w:hAnsi="Arial" w:cs="Arial"/>
          <w:color w:val="7B7B7B"/>
          <w:sz w:val="22"/>
          <w:szCs w:val="32"/>
        </w:rPr>
      </w:pPr>
    </w:p>
    <w:p w14:paraId="2DC9C666" w14:textId="77777777" w:rsidR="00377C39" w:rsidRPr="00287523" w:rsidRDefault="00377C39" w:rsidP="00377C39">
      <w:pPr>
        <w:ind w:left="720" w:hanging="720"/>
        <w:jc w:val="both"/>
        <w:rPr>
          <w:rFonts w:ascii="Arial" w:eastAsia="Avenir Next" w:hAnsi="Arial" w:cs="Arial"/>
          <w:color w:val="7B7B7B"/>
          <w:sz w:val="22"/>
          <w:szCs w:val="32"/>
        </w:rPr>
      </w:pPr>
      <w:r w:rsidRPr="00287523">
        <w:rPr>
          <w:rFonts w:ascii="Arial" w:eastAsia="Avenir Next" w:hAnsi="Arial" w:cs="Arial"/>
          <w:color w:val="7B7B7B"/>
          <w:sz w:val="22"/>
          <w:szCs w:val="32"/>
          <w:u w:val="single"/>
        </w:rPr>
        <w:t>Stay</w:t>
      </w:r>
    </w:p>
    <w:p w14:paraId="30CD1491" w14:textId="77777777" w:rsidR="00377C39" w:rsidRPr="00287523" w:rsidRDefault="00377C39" w:rsidP="00377C39">
      <w:pPr>
        <w:ind w:left="720" w:hanging="720"/>
        <w:jc w:val="both"/>
        <w:rPr>
          <w:rFonts w:ascii="Arial" w:eastAsia="Avenir Next" w:hAnsi="Arial" w:cs="Arial"/>
          <w:color w:val="7B7B7B"/>
          <w:sz w:val="22"/>
          <w:szCs w:val="32"/>
        </w:rPr>
      </w:pPr>
    </w:p>
    <w:p w14:paraId="469AD807" w14:textId="3E354ABD" w:rsidR="00377C39" w:rsidRPr="00287523" w:rsidRDefault="00377C39" w:rsidP="00377C39">
      <w:pPr>
        <w:ind w:left="720" w:hanging="720"/>
        <w:jc w:val="both"/>
        <w:rPr>
          <w:rFonts w:ascii="Arial" w:eastAsia="Avenir Next" w:hAnsi="Arial" w:cs="Arial"/>
          <w:sz w:val="22"/>
          <w:szCs w:val="32"/>
        </w:rPr>
      </w:pPr>
      <w:r w:rsidRPr="00287523">
        <w:rPr>
          <w:rFonts w:ascii="Arial" w:eastAsia="Avenir Next" w:hAnsi="Arial" w:cs="Arial"/>
          <w:color w:val="7B7B7B"/>
          <w:sz w:val="22"/>
          <w:szCs w:val="32"/>
        </w:rPr>
        <w:t>Pursuant to Article 38(3) of EIR Recast, the Court may grant at the request of an insolvency practitioner, a stay on the opening of secondary proceedings. Again, the Court must be satisfied that local creditors are adequately protected before doing so.</w:t>
      </w:r>
    </w:p>
    <w:p w14:paraId="321358EA" w14:textId="77777777" w:rsidR="009954B2" w:rsidRPr="00377C39" w:rsidRDefault="009954B2" w:rsidP="002A37BB">
      <w:pPr>
        <w:jc w:val="both"/>
        <w:rPr>
          <w:rFonts w:ascii="Avenir Next" w:hAnsi="Avenir Next" w:cs="Arial"/>
          <w:bCs/>
          <w:sz w:val="22"/>
          <w:szCs w:val="22"/>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lastRenderedPageBreak/>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661521" w:rsidRDefault="00241FA3" w:rsidP="002A37BB">
      <w:pPr>
        <w:jc w:val="both"/>
        <w:rPr>
          <w:rFonts w:ascii="Avenir Next" w:hAnsi="Avenir Next" w:cs="Arial"/>
          <w:color w:val="7B7B7B" w:themeColor="accent3" w:themeShade="BF"/>
          <w:sz w:val="22"/>
          <w:szCs w:val="22"/>
          <w:lang w:val="en-GB"/>
        </w:rPr>
      </w:pPr>
    </w:p>
    <w:p w14:paraId="0C43FFD2" w14:textId="361C9A31" w:rsidR="005B2A69" w:rsidRPr="003215C8" w:rsidRDefault="00661521" w:rsidP="002A37BB">
      <w:pPr>
        <w:jc w:val="both"/>
        <w:rPr>
          <w:rFonts w:ascii="Arial" w:hAnsi="Arial" w:cs="Arial"/>
          <w:color w:val="7B7B7B" w:themeColor="accent3" w:themeShade="BF"/>
          <w:sz w:val="22"/>
          <w:szCs w:val="22"/>
          <w:lang w:val="en-GB"/>
        </w:rPr>
      </w:pPr>
      <w:r w:rsidRPr="003215C8">
        <w:rPr>
          <w:rFonts w:ascii="Arial" w:hAnsi="Arial" w:cs="Arial"/>
          <w:color w:val="7B7B7B" w:themeColor="accent3" w:themeShade="BF"/>
          <w:sz w:val="22"/>
          <w:szCs w:val="22"/>
          <w:lang w:val="en-GB"/>
        </w:rPr>
        <w:t xml:space="preserve">In accordance with its obligations under Article 46 of the EIR, the European Commission was required to report on the application of the Regulation. </w:t>
      </w:r>
      <w:r w:rsidR="005B2A69" w:rsidRPr="003215C8">
        <w:rPr>
          <w:rFonts w:ascii="Arial" w:hAnsi="Arial" w:cs="Arial"/>
          <w:color w:val="7B7B7B" w:themeColor="accent3" w:themeShade="BF"/>
          <w:sz w:val="22"/>
          <w:szCs w:val="22"/>
          <w:lang w:val="en-GB"/>
        </w:rPr>
        <w:t xml:space="preserve">During the reform process of the EIR, The European Commission identified </w:t>
      </w:r>
      <w:proofErr w:type="gramStart"/>
      <w:r w:rsidR="005B2A69" w:rsidRPr="003215C8">
        <w:rPr>
          <w:rFonts w:ascii="Arial" w:hAnsi="Arial" w:cs="Arial"/>
          <w:color w:val="7B7B7B" w:themeColor="accent3" w:themeShade="BF"/>
          <w:sz w:val="22"/>
          <w:szCs w:val="22"/>
          <w:lang w:val="en-GB"/>
        </w:rPr>
        <w:t>a</w:t>
      </w:r>
      <w:r w:rsidR="0073293C">
        <w:rPr>
          <w:rFonts w:ascii="Arial" w:hAnsi="Arial" w:cs="Arial"/>
          <w:color w:val="7B7B7B" w:themeColor="accent3" w:themeShade="BF"/>
          <w:sz w:val="22"/>
          <w:szCs w:val="22"/>
          <w:lang w:val="en-GB"/>
        </w:rPr>
        <w:t xml:space="preserve"> number of</w:t>
      </w:r>
      <w:proofErr w:type="gramEnd"/>
      <w:r w:rsidR="005B2A69" w:rsidRPr="003215C8">
        <w:rPr>
          <w:rFonts w:ascii="Arial" w:hAnsi="Arial" w:cs="Arial"/>
          <w:color w:val="7B7B7B" w:themeColor="accent3" w:themeShade="BF"/>
          <w:sz w:val="22"/>
          <w:szCs w:val="22"/>
          <w:lang w:val="en-GB"/>
        </w:rPr>
        <w:t xml:space="preserve"> elements that needed reform in its report titled “a </w:t>
      </w:r>
      <w:r w:rsidR="00F728AC">
        <w:rPr>
          <w:rFonts w:ascii="Arial" w:hAnsi="Arial" w:cs="Arial"/>
          <w:color w:val="7B7B7B" w:themeColor="accent3" w:themeShade="BF"/>
          <w:sz w:val="22"/>
          <w:szCs w:val="22"/>
          <w:lang w:val="en-GB"/>
        </w:rPr>
        <w:t xml:space="preserve">proposal for a regulation of the European Parliament and of the Council amending regulation </w:t>
      </w:r>
      <w:r w:rsidR="00F728AC" w:rsidRPr="00F728AC">
        <w:rPr>
          <w:rFonts w:ascii="Arial" w:hAnsi="Arial" w:cs="Arial"/>
          <w:color w:val="7B7B7B" w:themeColor="accent3" w:themeShade="BF"/>
          <w:sz w:val="22"/>
          <w:szCs w:val="22"/>
          <w:lang w:val="en-GB"/>
        </w:rPr>
        <w:t>amending Council Regulation (EC) No 1346/2000 on insolvency proceedings</w:t>
      </w:r>
      <w:r w:rsidR="00F728AC">
        <w:rPr>
          <w:rFonts w:ascii="Arial" w:hAnsi="Arial" w:cs="Arial"/>
          <w:color w:val="7B7B7B" w:themeColor="accent3" w:themeShade="BF"/>
          <w:sz w:val="22"/>
          <w:szCs w:val="22"/>
          <w:lang w:val="en-GB"/>
        </w:rPr>
        <w:t>”.</w:t>
      </w:r>
      <w:r w:rsidR="00F728AC">
        <w:rPr>
          <w:rStyle w:val="FootnoteReference"/>
          <w:rFonts w:ascii="Arial" w:hAnsi="Arial" w:cs="Arial"/>
          <w:color w:val="7B7B7B" w:themeColor="accent3" w:themeShade="BF"/>
          <w:sz w:val="22"/>
          <w:szCs w:val="22"/>
          <w:lang w:val="en-GB"/>
        </w:rPr>
        <w:footnoteReference w:id="1"/>
      </w:r>
      <w:r w:rsidR="00F728AC" w:rsidRPr="003215C8">
        <w:rPr>
          <w:rFonts w:ascii="Arial" w:hAnsi="Arial" w:cs="Arial"/>
          <w:color w:val="7B7B7B" w:themeColor="accent3" w:themeShade="BF"/>
          <w:sz w:val="22"/>
          <w:szCs w:val="22"/>
          <w:lang w:val="en-GB"/>
        </w:rPr>
        <w:t xml:space="preserve"> </w:t>
      </w:r>
      <w:r w:rsidR="005B2A69" w:rsidRPr="003215C8">
        <w:rPr>
          <w:rFonts w:ascii="Arial" w:hAnsi="Arial" w:cs="Arial"/>
          <w:color w:val="7B7B7B" w:themeColor="accent3" w:themeShade="BF"/>
          <w:sz w:val="22"/>
          <w:szCs w:val="22"/>
          <w:lang w:val="en-GB"/>
        </w:rPr>
        <w:t xml:space="preserve">The main elements </w:t>
      </w:r>
      <w:r w:rsidR="00F728AC">
        <w:rPr>
          <w:rFonts w:ascii="Arial" w:hAnsi="Arial" w:cs="Arial"/>
          <w:color w:val="7B7B7B" w:themeColor="accent3" w:themeShade="BF"/>
          <w:sz w:val="22"/>
          <w:szCs w:val="22"/>
          <w:lang w:val="en-GB"/>
        </w:rPr>
        <w:t>identified as requiring revision in</w:t>
      </w:r>
      <w:r w:rsidR="005B2A69" w:rsidRPr="003215C8">
        <w:rPr>
          <w:rFonts w:ascii="Arial" w:hAnsi="Arial" w:cs="Arial"/>
          <w:color w:val="7B7B7B" w:themeColor="accent3" w:themeShade="BF"/>
          <w:sz w:val="22"/>
          <w:szCs w:val="22"/>
          <w:lang w:val="en-GB"/>
        </w:rPr>
        <w:t xml:space="preserve"> the report are summarised below.</w:t>
      </w:r>
    </w:p>
    <w:p w14:paraId="1F1E3CCA" w14:textId="77777777" w:rsidR="005B2A69" w:rsidRPr="003215C8" w:rsidRDefault="005B2A69" w:rsidP="002A37BB">
      <w:pPr>
        <w:jc w:val="both"/>
        <w:rPr>
          <w:rFonts w:ascii="Arial" w:hAnsi="Arial" w:cs="Arial"/>
          <w:color w:val="7B7B7B" w:themeColor="accent3" w:themeShade="BF"/>
          <w:sz w:val="22"/>
          <w:szCs w:val="22"/>
          <w:lang w:val="en-GB"/>
        </w:rPr>
      </w:pPr>
    </w:p>
    <w:p w14:paraId="54758C23" w14:textId="77777777" w:rsidR="008A7C8D" w:rsidRDefault="008A7C8D">
      <w:pPr>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Scope</w:t>
      </w:r>
    </w:p>
    <w:p w14:paraId="0621FC27" w14:textId="2F93CD99" w:rsidR="008A7C8D" w:rsidRPr="003215C8" w:rsidRDefault="008A7C8D" w:rsidP="008A7C8D">
      <w:pPr>
        <w:jc w:val="both"/>
        <w:rPr>
          <w:rFonts w:ascii="Arial" w:hAnsi="Arial" w:cs="Arial"/>
          <w:sz w:val="22"/>
          <w:szCs w:val="22"/>
        </w:rPr>
      </w:pPr>
      <w:r w:rsidRPr="008A7C8D">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commission considered that the regulation should be amended to cover restructuring proceedings at a pre-insolvency stage. While EIR 2000 solely focussed on traditional liquidations, </w:t>
      </w:r>
      <w:r w:rsidRPr="003215C8">
        <w:rPr>
          <w:rFonts w:ascii="Arial" w:hAnsi="Arial" w:cs="Arial"/>
          <w:color w:val="7B7B7B" w:themeColor="accent3" w:themeShade="BF"/>
          <w:sz w:val="22"/>
          <w:szCs w:val="22"/>
          <w:lang w:val="en-GB"/>
        </w:rPr>
        <w:t>EIR recast deals with rescuing economically viable but financially distressed business</w:t>
      </w:r>
      <w:r>
        <w:rPr>
          <w:rFonts w:ascii="Arial" w:hAnsi="Arial" w:cs="Arial"/>
          <w:color w:val="7B7B7B" w:themeColor="accent3" w:themeShade="BF"/>
          <w:sz w:val="22"/>
          <w:szCs w:val="22"/>
          <w:lang w:val="en-GB"/>
        </w:rPr>
        <w:t>es in response to the issues identified by the Commission.</w:t>
      </w:r>
    </w:p>
    <w:p w14:paraId="64F040C2" w14:textId="77777777" w:rsidR="008A7C8D" w:rsidRDefault="008A7C8D">
      <w:pPr>
        <w:rPr>
          <w:rFonts w:ascii="Arial" w:hAnsi="Arial" w:cs="Arial"/>
          <w:color w:val="7B7B7B" w:themeColor="accent3" w:themeShade="BF"/>
          <w:sz w:val="22"/>
          <w:szCs w:val="22"/>
          <w:lang w:val="en-GB"/>
        </w:rPr>
      </w:pPr>
    </w:p>
    <w:p w14:paraId="13BC3FE6" w14:textId="74E07EF7" w:rsidR="008A7C8D" w:rsidRPr="008A7C8D" w:rsidRDefault="008A7C8D">
      <w:pPr>
        <w:rPr>
          <w:rFonts w:ascii="Arial" w:hAnsi="Arial" w:cs="Arial"/>
          <w:color w:val="7B7B7B" w:themeColor="accent3" w:themeShade="BF"/>
          <w:sz w:val="22"/>
          <w:szCs w:val="22"/>
          <w:u w:val="single"/>
          <w:lang w:val="en-GB"/>
        </w:rPr>
      </w:pPr>
      <w:r w:rsidRPr="008A7C8D">
        <w:rPr>
          <w:rFonts w:ascii="Arial" w:hAnsi="Arial" w:cs="Arial"/>
          <w:color w:val="7B7B7B" w:themeColor="accent3" w:themeShade="BF"/>
          <w:sz w:val="22"/>
          <w:szCs w:val="22"/>
          <w:u w:val="single"/>
          <w:lang w:val="en-GB"/>
        </w:rPr>
        <w:t>Competency of jurisdiction</w:t>
      </w:r>
    </w:p>
    <w:p w14:paraId="4CB7529F" w14:textId="24CA99C1" w:rsidR="008A7C8D" w:rsidRDefault="008A7C8D">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commission observed that there were difficulties in identifying the COMI of a business creating issues as to where a main proceeding was located during the reform process. Further, EIR 2000 permitted forum shopping. In response to the European Commission’s findings, the EIR Recast introduced a </w:t>
      </w:r>
      <w:r w:rsidR="00EC5FEF">
        <w:rPr>
          <w:rFonts w:ascii="Arial" w:hAnsi="Arial" w:cs="Arial"/>
          <w:color w:val="7B7B7B" w:themeColor="accent3" w:themeShade="BF"/>
          <w:sz w:val="22"/>
          <w:szCs w:val="22"/>
          <w:lang w:val="en-GB"/>
        </w:rPr>
        <w:t>rebuttable</w:t>
      </w:r>
      <w:r>
        <w:rPr>
          <w:rFonts w:ascii="Arial" w:hAnsi="Arial" w:cs="Arial"/>
          <w:color w:val="7B7B7B" w:themeColor="accent3" w:themeShade="BF"/>
          <w:sz w:val="22"/>
          <w:szCs w:val="22"/>
          <w:lang w:val="en-GB"/>
        </w:rPr>
        <w:t xml:space="preserve"> presumption in relation to the COMI and introduced </w:t>
      </w:r>
      <w:r w:rsidR="00EC5FEF" w:rsidRPr="00EC5FEF">
        <w:rPr>
          <w:rFonts w:ascii="Arial" w:hAnsi="Arial" w:cs="Arial"/>
          <w:color w:val="7B7B7B" w:themeColor="accent3" w:themeShade="BF"/>
          <w:sz w:val="22"/>
          <w:szCs w:val="22"/>
          <w:lang w:val="en-GB"/>
        </w:rPr>
        <w:t xml:space="preserve">Recital 30 </w:t>
      </w:r>
      <w:r w:rsidR="00EC5FEF">
        <w:rPr>
          <w:rFonts w:ascii="Arial" w:hAnsi="Arial" w:cs="Arial"/>
          <w:color w:val="7B7B7B" w:themeColor="accent3" w:themeShade="BF"/>
          <w:sz w:val="22"/>
          <w:szCs w:val="22"/>
          <w:lang w:val="en-GB"/>
        </w:rPr>
        <w:t xml:space="preserve">to create certainty. It also introduced provisions to resist forum shopping by creating a </w:t>
      </w:r>
      <w:proofErr w:type="gramStart"/>
      <w:r w:rsidR="00EC5FEF">
        <w:rPr>
          <w:rFonts w:ascii="Arial" w:hAnsi="Arial" w:cs="Arial"/>
          <w:color w:val="7B7B7B" w:themeColor="accent3" w:themeShade="BF"/>
          <w:sz w:val="22"/>
          <w:szCs w:val="22"/>
          <w:lang w:val="en-GB"/>
        </w:rPr>
        <w:t>three month</w:t>
      </w:r>
      <w:proofErr w:type="gramEnd"/>
      <w:r w:rsidR="00EC5FEF">
        <w:rPr>
          <w:rFonts w:ascii="Arial" w:hAnsi="Arial" w:cs="Arial"/>
          <w:color w:val="7B7B7B" w:themeColor="accent3" w:themeShade="BF"/>
          <w:sz w:val="22"/>
          <w:szCs w:val="22"/>
          <w:lang w:val="en-GB"/>
        </w:rPr>
        <w:t xml:space="preserve"> period in relation to businesses that move their principle place of business.</w:t>
      </w:r>
    </w:p>
    <w:p w14:paraId="294DCFC0" w14:textId="77777777" w:rsidR="008A7C8D" w:rsidRDefault="008A7C8D">
      <w:pPr>
        <w:rPr>
          <w:rFonts w:ascii="Arial" w:hAnsi="Arial" w:cs="Arial"/>
          <w:color w:val="7B7B7B" w:themeColor="accent3" w:themeShade="BF"/>
          <w:sz w:val="22"/>
          <w:szCs w:val="22"/>
          <w:lang w:val="en-GB"/>
        </w:rPr>
      </w:pPr>
    </w:p>
    <w:p w14:paraId="753A39E2" w14:textId="3861445A" w:rsidR="008A7C8D" w:rsidRPr="008A7C8D" w:rsidRDefault="008A7C8D">
      <w:pPr>
        <w:rPr>
          <w:rFonts w:ascii="Arial" w:hAnsi="Arial" w:cs="Arial"/>
          <w:color w:val="7B7B7B" w:themeColor="accent3" w:themeShade="BF"/>
          <w:sz w:val="22"/>
          <w:szCs w:val="22"/>
          <w:u w:val="single"/>
          <w:lang w:val="en-GB"/>
        </w:rPr>
      </w:pPr>
      <w:r w:rsidRPr="008A7C8D">
        <w:rPr>
          <w:rFonts w:ascii="Arial" w:hAnsi="Arial" w:cs="Arial"/>
          <w:color w:val="7B7B7B" w:themeColor="accent3" w:themeShade="BF"/>
          <w:sz w:val="22"/>
          <w:szCs w:val="22"/>
          <w:u w:val="single"/>
          <w:lang w:val="en-GB"/>
        </w:rPr>
        <w:t>Secondary proceedings</w:t>
      </w:r>
    </w:p>
    <w:p w14:paraId="5716FEE4" w14:textId="183D4876" w:rsidR="008A7C8D" w:rsidRDefault="008A7C8D">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Commission identified issues with respect to secondary proceedings. The</w:t>
      </w:r>
      <w:r w:rsidR="00EC5FE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commencement of secondary proceeding</w:t>
      </w:r>
      <w:r w:rsidR="00EC5FEF">
        <w:rPr>
          <w:rFonts w:ascii="Arial" w:hAnsi="Arial" w:cs="Arial"/>
          <w:color w:val="7B7B7B" w:themeColor="accent3" w:themeShade="BF"/>
          <w:sz w:val="22"/>
          <w:szCs w:val="22"/>
          <w:lang w:val="en-GB"/>
        </w:rPr>
        <w:t xml:space="preserve">s was seen by the Commission as limiting the efficiency of administering a debtor’s estate. While EIR Recast permits secondary proceedings, it limits the scope it introduced provisions (such as the right to give an undertaking) which may reduce their use. </w:t>
      </w:r>
    </w:p>
    <w:p w14:paraId="206E1281" w14:textId="77777777" w:rsidR="008A7C8D" w:rsidRDefault="008A7C8D">
      <w:pPr>
        <w:rPr>
          <w:rFonts w:ascii="Arial" w:hAnsi="Arial" w:cs="Arial"/>
          <w:color w:val="7B7B7B" w:themeColor="accent3" w:themeShade="BF"/>
          <w:sz w:val="22"/>
          <w:szCs w:val="22"/>
          <w:lang w:val="en-GB"/>
        </w:rPr>
      </w:pPr>
    </w:p>
    <w:p w14:paraId="23B26C85" w14:textId="1BD7279F" w:rsidR="008A7C8D" w:rsidRPr="008A7C8D" w:rsidRDefault="008A7C8D">
      <w:pPr>
        <w:rPr>
          <w:rFonts w:ascii="Arial" w:hAnsi="Arial" w:cs="Arial"/>
          <w:color w:val="7B7B7B" w:themeColor="accent3" w:themeShade="BF"/>
          <w:sz w:val="22"/>
          <w:szCs w:val="22"/>
          <w:u w:val="single"/>
          <w:lang w:val="en-GB"/>
        </w:rPr>
      </w:pPr>
      <w:r w:rsidRPr="008A7C8D">
        <w:rPr>
          <w:rFonts w:ascii="Arial" w:hAnsi="Arial" w:cs="Arial"/>
          <w:color w:val="7B7B7B" w:themeColor="accent3" w:themeShade="BF"/>
          <w:sz w:val="22"/>
          <w:szCs w:val="22"/>
          <w:u w:val="single"/>
          <w:lang w:val="en-GB"/>
        </w:rPr>
        <w:t>Publicity of claims</w:t>
      </w:r>
    </w:p>
    <w:p w14:paraId="23AD1BB0" w14:textId="77777777" w:rsidR="008A7C8D" w:rsidRDefault="008A7C8D">
      <w:pPr>
        <w:rPr>
          <w:rFonts w:ascii="Arial" w:hAnsi="Arial" w:cs="Arial"/>
          <w:color w:val="7B7B7B" w:themeColor="accent3" w:themeShade="BF"/>
          <w:sz w:val="22"/>
          <w:szCs w:val="22"/>
          <w:lang w:val="en-GB"/>
        </w:rPr>
      </w:pPr>
    </w:p>
    <w:p w14:paraId="011F16DB" w14:textId="1FB52FC1" w:rsidR="008A7C8D" w:rsidRPr="003215C8" w:rsidRDefault="008A7C8D" w:rsidP="008A7C8D">
      <w:pPr>
        <w:jc w:val="both"/>
        <w:rPr>
          <w:rFonts w:ascii="Arial" w:hAnsi="Arial" w:cs="Arial"/>
          <w:color w:val="7B7B7B" w:themeColor="accent3" w:themeShade="BF"/>
          <w:sz w:val="22"/>
          <w:szCs w:val="22"/>
          <w:lang w:val="en-GB"/>
        </w:rPr>
      </w:pPr>
      <w:r w:rsidRPr="003215C8">
        <w:rPr>
          <w:rFonts w:ascii="Arial" w:hAnsi="Arial" w:cs="Arial"/>
          <w:color w:val="7B7B7B" w:themeColor="accent3" w:themeShade="BF"/>
          <w:sz w:val="22"/>
          <w:szCs w:val="22"/>
          <w:lang w:val="en-GB"/>
        </w:rPr>
        <w:t xml:space="preserve">Under EIR 2000, every member state had its own insolvency registration </w:t>
      </w:r>
      <w:proofErr w:type="gramStart"/>
      <w:r w:rsidRPr="003215C8">
        <w:rPr>
          <w:rFonts w:ascii="Arial" w:hAnsi="Arial" w:cs="Arial"/>
          <w:color w:val="7B7B7B" w:themeColor="accent3" w:themeShade="BF"/>
          <w:sz w:val="22"/>
          <w:szCs w:val="22"/>
          <w:lang w:val="en-GB"/>
        </w:rPr>
        <w:t>system</w:t>
      </w:r>
      <w:proofErr w:type="gramEnd"/>
      <w:r w:rsidRPr="003215C8">
        <w:rPr>
          <w:rFonts w:ascii="Arial" w:hAnsi="Arial" w:cs="Arial"/>
          <w:color w:val="7B7B7B" w:themeColor="accent3" w:themeShade="BF"/>
          <w:sz w:val="22"/>
          <w:szCs w:val="22"/>
          <w:lang w:val="en-GB"/>
        </w:rPr>
        <w:t xml:space="preserve"> and the interconnectedness was not ensured. By requiring member states to establish and maintain insolvency registers, the adoption of Article 24 of EIR Recast addresses a key area of EIR 20</w:t>
      </w:r>
      <w:r>
        <w:rPr>
          <w:rFonts w:ascii="Arial" w:hAnsi="Arial" w:cs="Arial"/>
          <w:color w:val="7B7B7B" w:themeColor="accent3" w:themeShade="BF"/>
          <w:sz w:val="22"/>
          <w:szCs w:val="22"/>
          <w:lang w:val="en-GB"/>
        </w:rPr>
        <w:t>0</w:t>
      </w:r>
      <w:r w:rsidRPr="003215C8">
        <w:rPr>
          <w:rFonts w:ascii="Arial" w:hAnsi="Arial" w:cs="Arial"/>
          <w:color w:val="7B7B7B" w:themeColor="accent3" w:themeShade="BF"/>
          <w:sz w:val="22"/>
          <w:szCs w:val="22"/>
          <w:lang w:val="en-GB"/>
        </w:rPr>
        <w:t>0 which required revision</w:t>
      </w:r>
      <w:r>
        <w:rPr>
          <w:rFonts w:ascii="Arial" w:hAnsi="Arial" w:cs="Arial"/>
          <w:color w:val="7B7B7B" w:themeColor="accent3" w:themeShade="BF"/>
          <w:sz w:val="22"/>
          <w:szCs w:val="22"/>
          <w:lang w:val="en-GB"/>
        </w:rPr>
        <w:t xml:space="preserve"> as identified by the Commission</w:t>
      </w:r>
      <w:r w:rsidRPr="003215C8">
        <w:rPr>
          <w:rFonts w:ascii="Arial" w:hAnsi="Arial" w:cs="Arial"/>
          <w:color w:val="7B7B7B" w:themeColor="accent3" w:themeShade="BF"/>
          <w:sz w:val="22"/>
          <w:szCs w:val="22"/>
          <w:lang w:val="en-GB"/>
        </w:rPr>
        <w:t xml:space="preserve">. </w:t>
      </w:r>
    </w:p>
    <w:p w14:paraId="3A642965" w14:textId="77777777" w:rsidR="008A7C8D" w:rsidRDefault="008A7C8D">
      <w:pPr>
        <w:rPr>
          <w:rFonts w:ascii="Arial" w:hAnsi="Arial" w:cs="Arial"/>
          <w:color w:val="7B7B7B" w:themeColor="accent3" w:themeShade="BF"/>
          <w:sz w:val="22"/>
          <w:szCs w:val="22"/>
          <w:lang w:val="en-GB"/>
        </w:rPr>
      </w:pPr>
    </w:p>
    <w:p w14:paraId="6CA88AD3" w14:textId="0A0511AA" w:rsidR="008A7C8D" w:rsidRPr="008A7C8D" w:rsidRDefault="008A7C8D">
      <w:pPr>
        <w:rPr>
          <w:rFonts w:ascii="Arial" w:hAnsi="Arial" w:cs="Arial"/>
          <w:color w:val="7B7B7B" w:themeColor="accent3" w:themeShade="BF"/>
          <w:sz w:val="22"/>
          <w:szCs w:val="22"/>
          <w:u w:val="single"/>
          <w:lang w:val="en-GB"/>
        </w:rPr>
      </w:pPr>
      <w:r w:rsidRPr="008A7C8D">
        <w:rPr>
          <w:rFonts w:ascii="Arial" w:hAnsi="Arial" w:cs="Arial"/>
          <w:color w:val="7B7B7B" w:themeColor="accent3" w:themeShade="BF"/>
          <w:sz w:val="22"/>
          <w:szCs w:val="22"/>
          <w:u w:val="single"/>
          <w:lang w:val="en-GB"/>
        </w:rPr>
        <w:t>Group insolvencies</w:t>
      </w:r>
    </w:p>
    <w:p w14:paraId="79EDEC04" w14:textId="77777777" w:rsidR="008A7C8D" w:rsidRDefault="008A7C8D">
      <w:pPr>
        <w:rPr>
          <w:rFonts w:ascii="Arial" w:hAnsi="Arial" w:cs="Arial"/>
          <w:color w:val="7B7B7B" w:themeColor="accent3" w:themeShade="BF"/>
          <w:sz w:val="22"/>
          <w:szCs w:val="22"/>
          <w:lang w:val="en-GB"/>
        </w:rPr>
      </w:pPr>
    </w:p>
    <w:p w14:paraId="0B0474ED" w14:textId="13C61F12" w:rsidR="00EE5FB1" w:rsidRPr="003215C8" w:rsidRDefault="00EC5FE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Commission identified that the EIR 2000 did not contain rule for dealing with the insolvency of a multi-national enterprise group. T</w:t>
      </w:r>
      <w:r w:rsidR="008039C5">
        <w:rPr>
          <w:rFonts w:ascii="Arial" w:hAnsi="Arial" w:cs="Arial"/>
          <w:color w:val="7B7B7B" w:themeColor="accent3" w:themeShade="BF"/>
          <w:sz w:val="22"/>
          <w:szCs w:val="22"/>
          <w:lang w:val="en-GB"/>
        </w:rPr>
        <w:t>his</w:t>
      </w:r>
      <w:r>
        <w:rPr>
          <w:rFonts w:ascii="Arial" w:hAnsi="Arial" w:cs="Arial"/>
          <w:color w:val="7B7B7B" w:themeColor="accent3" w:themeShade="BF"/>
          <w:sz w:val="22"/>
          <w:szCs w:val="22"/>
          <w:lang w:val="en-GB"/>
        </w:rPr>
        <w:t xml:space="preserve"> issu</w:t>
      </w:r>
      <w:r w:rsidR="008039C5">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w:t>
      </w:r>
      <w:r w:rsidR="008039C5">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specifically addressed in </w:t>
      </w:r>
      <w:r w:rsidR="008039C5">
        <w:rPr>
          <w:rFonts w:ascii="Arial" w:hAnsi="Arial" w:cs="Arial"/>
          <w:color w:val="7B7B7B" w:themeColor="accent3" w:themeShade="BF"/>
          <w:sz w:val="22"/>
          <w:szCs w:val="22"/>
          <w:lang w:val="en-GB"/>
        </w:rPr>
        <w:t xml:space="preserve">Chapter V of EIR Recast which creates a framework for responding to group insolvencies. </w:t>
      </w:r>
      <w:r>
        <w:rPr>
          <w:rFonts w:ascii="Arial" w:hAnsi="Arial" w:cs="Arial"/>
          <w:color w:val="7B7B7B" w:themeColor="accent3" w:themeShade="BF"/>
          <w:sz w:val="22"/>
          <w:szCs w:val="22"/>
          <w:lang w:val="en-GB"/>
        </w:rPr>
        <w:t xml:space="preserve"> </w:t>
      </w:r>
    </w:p>
    <w:p w14:paraId="6E32387A" w14:textId="77777777" w:rsidR="00EE5FB1" w:rsidRDefault="00EE5FB1" w:rsidP="002A37BB">
      <w:pPr>
        <w:jc w:val="both"/>
        <w:rPr>
          <w:rFonts w:ascii="Arial" w:hAnsi="Arial" w:cs="Arial"/>
          <w:color w:val="7B7B7B" w:themeColor="accent3" w:themeShade="BF"/>
          <w:sz w:val="22"/>
          <w:szCs w:val="22"/>
          <w:lang w:val="en-GB"/>
        </w:rPr>
      </w:pPr>
    </w:p>
    <w:p w14:paraId="7A52C557" w14:textId="77777777" w:rsidR="008039C5" w:rsidRDefault="008039C5" w:rsidP="002A37BB">
      <w:pPr>
        <w:jc w:val="both"/>
        <w:rPr>
          <w:rFonts w:ascii="Arial" w:hAnsi="Arial" w:cs="Arial"/>
          <w:color w:val="7B7B7B" w:themeColor="accent3" w:themeShade="BF"/>
          <w:sz w:val="22"/>
          <w:szCs w:val="22"/>
          <w:lang w:val="en-GB"/>
        </w:rPr>
      </w:pPr>
    </w:p>
    <w:p w14:paraId="73A6BA75" w14:textId="77777777" w:rsidR="008039C5" w:rsidRDefault="008039C5" w:rsidP="002A37BB">
      <w:pPr>
        <w:jc w:val="both"/>
        <w:rPr>
          <w:rFonts w:ascii="Arial" w:hAnsi="Arial" w:cs="Arial"/>
          <w:color w:val="7B7B7B" w:themeColor="accent3" w:themeShade="BF"/>
          <w:sz w:val="22"/>
          <w:szCs w:val="22"/>
          <w:lang w:val="en-GB"/>
        </w:rPr>
      </w:pPr>
    </w:p>
    <w:p w14:paraId="29757A65" w14:textId="77777777" w:rsidR="008039C5" w:rsidRPr="003215C8" w:rsidRDefault="008039C5" w:rsidP="002A37BB">
      <w:pPr>
        <w:jc w:val="both"/>
        <w:rPr>
          <w:rFonts w:ascii="Arial" w:hAnsi="Arial" w:cs="Arial"/>
          <w:color w:val="7B7B7B" w:themeColor="accent3" w:themeShade="BF"/>
          <w:sz w:val="22"/>
          <w:szCs w:val="22"/>
          <w:lang w:val="en-GB"/>
        </w:rPr>
      </w:pP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16FEB48" w14:textId="1E380836" w:rsidR="00377C39" w:rsidRPr="00D50023" w:rsidRDefault="00377C39" w:rsidP="00377C39">
      <w:pPr>
        <w:jc w:val="both"/>
        <w:rPr>
          <w:rFonts w:ascii="Arial" w:eastAsia="Avenir Next" w:hAnsi="Arial" w:cs="Arial"/>
          <w:color w:val="7B7B7B"/>
          <w:sz w:val="22"/>
          <w:szCs w:val="32"/>
        </w:rPr>
      </w:pPr>
      <w:r w:rsidRPr="00D50023">
        <w:rPr>
          <w:rFonts w:ascii="Arial" w:eastAsia="Avenir Next" w:hAnsi="Arial" w:cs="Arial"/>
          <w:color w:val="7B7B7B"/>
          <w:sz w:val="22"/>
          <w:szCs w:val="32"/>
        </w:rPr>
        <w:t xml:space="preserve">One flaw or shortcoming of the EIR Recast is the framework established for group coordination of proceedings. The regulation is aimed at securing the efficient administration of group insolvency proceedings. However, there are </w:t>
      </w:r>
      <w:proofErr w:type="gramStart"/>
      <w:r w:rsidRPr="00D50023">
        <w:rPr>
          <w:rFonts w:ascii="Arial" w:eastAsia="Avenir Next" w:hAnsi="Arial" w:cs="Arial"/>
          <w:color w:val="7B7B7B"/>
          <w:sz w:val="22"/>
          <w:szCs w:val="32"/>
        </w:rPr>
        <w:t>a number of</w:t>
      </w:r>
      <w:proofErr w:type="gramEnd"/>
      <w:r w:rsidRPr="00D50023">
        <w:rPr>
          <w:rFonts w:ascii="Arial" w:eastAsia="Avenir Next" w:hAnsi="Arial" w:cs="Arial"/>
          <w:color w:val="7B7B7B"/>
          <w:sz w:val="22"/>
          <w:szCs w:val="32"/>
        </w:rPr>
        <w:t xml:space="preserve"> features of the framework which could go further to achieve the intended effects. </w:t>
      </w:r>
    </w:p>
    <w:p w14:paraId="6DA22084" w14:textId="77777777" w:rsidR="00377C39" w:rsidRPr="00D50023" w:rsidRDefault="00377C39" w:rsidP="00377C39">
      <w:pPr>
        <w:jc w:val="both"/>
        <w:rPr>
          <w:rFonts w:ascii="Arial" w:eastAsia="Avenir Next" w:hAnsi="Arial" w:cs="Arial"/>
          <w:color w:val="7B7B7B"/>
          <w:sz w:val="22"/>
          <w:szCs w:val="32"/>
        </w:rPr>
      </w:pPr>
    </w:p>
    <w:p w14:paraId="7FC64F6D" w14:textId="2B48ADD0" w:rsidR="00377C39" w:rsidRPr="00D50023" w:rsidRDefault="00377C39" w:rsidP="00377C39">
      <w:pPr>
        <w:jc w:val="both"/>
        <w:rPr>
          <w:rFonts w:ascii="Arial" w:eastAsia="Avenir Next" w:hAnsi="Arial" w:cs="Arial"/>
          <w:color w:val="7B7B7B"/>
          <w:sz w:val="22"/>
          <w:szCs w:val="32"/>
        </w:rPr>
      </w:pPr>
      <w:r w:rsidRPr="00D50023">
        <w:rPr>
          <w:rFonts w:ascii="Arial" w:eastAsia="Avenir Next" w:hAnsi="Arial" w:cs="Arial"/>
          <w:color w:val="7B7B7B"/>
          <w:sz w:val="22"/>
          <w:szCs w:val="32"/>
        </w:rPr>
        <w:t xml:space="preserve">One of the key issues with this part of EIR Recast is that pursuant to Recital 56, it is voluntary in </w:t>
      </w:r>
      <w:proofErr w:type="gramStart"/>
      <w:r w:rsidRPr="00D50023">
        <w:rPr>
          <w:rFonts w:ascii="Arial" w:eastAsia="Avenir Next" w:hAnsi="Arial" w:cs="Arial"/>
          <w:color w:val="7B7B7B"/>
          <w:sz w:val="22"/>
          <w:szCs w:val="32"/>
        </w:rPr>
        <w:t>nature</w:t>
      </w:r>
      <w:proofErr w:type="gramEnd"/>
      <w:r w:rsidRPr="00D50023">
        <w:rPr>
          <w:rFonts w:ascii="Arial" w:eastAsia="Avenir Next" w:hAnsi="Arial" w:cs="Arial"/>
          <w:color w:val="7B7B7B"/>
          <w:sz w:val="22"/>
          <w:szCs w:val="32"/>
        </w:rPr>
        <w:t xml:space="preserve"> and it is possible to opt out without explanation or good cause under Article 64.  While the EIR Recast made group coordination proceedings voluntary </w:t>
      </w:r>
      <w:proofErr w:type="gramStart"/>
      <w:r w:rsidRPr="00D50023">
        <w:rPr>
          <w:rFonts w:ascii="Arial" w:eastAsia="Avenir Next" w:hAnsi="Arial" w:cs="Arial"/>
          <w:color w:val="7B7B7B"/>
          <w:sz w:val="22"/>
          <w:szCs w:val="32"/>
        </w:rPr>
        <w:t>in order to</w:t>
      </w:r>
      <w:proofErr w:type="gramEnd"/>
      <w:r w:rsidRPr="00D50023">
        <w:rPr>
          <w:rFonts w:ascii="Arial" w:eastAsia="Avenir Next" w:hAnsi="Arial" w:cs="Arial"/>
          <w:color w:val="7B7B7B"/>
          <w:sz w:val="22"/>
          <w:szCs w:val="32"/>
        </w:rPr>
        <w:t xml:space="preserve"> respect each group's separate legal personality, the effect is that the system is non-committal. The uncertainty that may arise as a result will likely lead to increased costs and complexity in managing group proceedings. One way to correct this part of the EIR Recast would be to restrict the ability for entities to opt out - for example, by requiring a good reason as to why the entity should not be included in the group proceeding. Restricting the ability to opt out would infringe on the entity's legal independence. However, it would promote the use of the group proceeding and its intended aims in circumstances where it should be used.</w:t>
      </w:r>
    </w:p>
    <w:p w14:paraId="75E202F4" w14:textId="77777777" w:rsidR="00377C39" w:rsidRPr="00D50023" w:rsidRDefault="00377C39" w:rsidP="00377C39">
      <w:pPr>
        <w:jc w:val="both"/>
        <w:rPr>
          <w:rFonts w:ascii="Arial" w:eastAsia="Avenir Next" w:hAnsi="Arial" w:cs="Arial"/>
          <w:color w:val="7B7B7B"/>
          <w:sz w:val="22"/>
          <w:szCs w:val="32"/>
        </w:rPr>
      </w:pPr>
    </w:p>
    <w:p w14:paraId="7A983C4E" w14:textId="10DDE28B" w:rsidR="00377C39" w:rsidRPr="00D50023" w:rsidRDefault="00377C39" w:rsidP="00377C39">
      <w:pPr>
        <w:jc w:val="both"/>
        <w:rPr>
          <w:rFonts w:ascii="Arial" w:eastAsia="Avenir Next" w:hAnsi="Arial" w:cs="Arial"/>
          <w:sz w:val="22"/>
          <w:szCs w:val="32"/>
        </w:rPr>
      </w:pPr>
      <w:r w:rsidRPr="00D50023">
        <w:rPr>
          <w:rFonts w:ascii="Arial" w:eastAsia="Avenir Next" w:hAnsi="Arial" w:cs="Arial"/>
          <w:color w:val="7B7B7B"/>
          <w:sz w:val="22"/>
          <w:szCs w:val="32"/>
        </w:rPr>
        <w:t xml:space="preserve">A second flaw of EIR recast, which also relates to group insolvencies, is the </w:t>
      </w:r>
      <w:proofErr w:type="gramStart"/>
      <w:r w:rsidRPr="00D50023">
        <w:rPr>
          <w:rFonts w:ascii="Arial" w:eastAsia="Avenir Next" w:hAnsi="Arial" w:cs="Arial"/>
          <w:color w:val="7B7B7B"/>
          <w:sz w:val="22"/>
          <w:szCs w:val="32"/>
        </w:rPr>
        <w:t>manner in which</w:t>
      </w:r>
      <w:proofErr w:type="gramEnd"/>
      <w:r w:rsidRPr="00D50023">
        <w:rPr>
          <w:rFonts w:ascii="Arial" w:eastAsia="Avenir Next" w:hAnsi="Arial" w:cs="Arial"/>
          <w:color w:val="7B7B7B"/>
          <w:sz w:val="22"/>
          <w:szCs w:val="32"/>
        </w:rPr>
        <w:t xml:space="preserve"> cooperation and communication is prescribed. While general duties of communication and cooperation are imposed between as between insolvency practitioners, between courts, and insolvency practitioners and the courts under Articles 56 to 58, there are aspects of the cooperation and communication provisions that could have gone further to achieve their aims. For example, Article 56 which sets out the duties of insolvency practitioners to communicate and cooperate in group insolvency proceedings.  Article 41 of the EIR Recast similarly sets out duties of cooperation and coordination between insolvency practitioners in main and secondary proceedings. When these two provisions are compared, Article 56 allows for circumstances to avoid adhering to the provision which are not present in Article 41. </w:t>
      </w:r>
      <w:r w:rsidR="00287523" w:rsidRPr="00D50023">
        <w:rPr>
          <w:rFonts w:ascii="Arial" w:eastAsia="Avenir Next" w:hAnsi="Arial" w:cs="Arial"/>
          <w:color w:val="7B7B7B"/>
          <w:sz w:val="22"/>
          <w:szCs w:val="32"/>
        </w:rPr>
        <w:t>These</w:t>
      </w:r>
      <w:r w:rsidRPr="00D50023">
        <w:rPr>
          <w:rFonts w:ascii="Arial" w:eastAsia="Avenir Next" w:hAnsi="Arial" w:cs="Arial"/>
          <w:color w:val="7B7B7B"/>
          <w:sz w:val="22"/>
          <w:szCs w:val="32"/>
        </w:rPr>
        <w:t xml:space="preserve"> circumstances, being when cooperation does not make commercial sense, and the imperative to avoid a conflict of interest, may create scope for practitioners to refuse to cooperate in circumstances that are inconsistent with the aims of the section. Modifying Article 56 to </w:t>
      </w:r>
      <w:proofErr w:type="gramStart"/>
      <w:r w:rsidRPr="00D50023">
        <w:rPr>
          <w:rFonts w:ascii="Arial" w:eastAsia="Avenir Next" w:hAnsi="Arial" w:cs="Arial"/>
          <w:color w:val="7B7B7B"/>
          <w:sz w:val="22"/>
          <w:szCs w:val="32"/>
        </w:rPr>
        <w:t>more similarly reflect Article 41</w:t>
      </w:r>
      <w:proofErr w:type="gramEnd"/>
      <w:r w:rsidRPr="00D50023">
        <w:rPr>
          <w:rFonts w:ascii="Arial" w:eastAsia="Avenir Next" w:hAnsi="Arial" w:cs="Arial"/>
          <w:color w:val="7B7B7B"/>
          <w:sz w:val="22"/>
          <w:szCs w:val="32"/>
        </w:rPr>
        <w:t>, or clearly defining circumstances when cooperation may be refused may create more certainty and more effectively achieve the intended outcome of cooperation in group proceedings by limiting the scope for non-compliance.</w:t>
      </w:r>
    </w:p>
    <w:p w14:paraId="7940D274" w14:textId="3D4E6B4E" w:rsidR="00DF75F8" w:rsidRPr="00377C39" w:rsidRDefault="00DF75F8" w:rsidP="002A37BB">
      <w:pPr>
        <w:jc w:val="both"/>
        <w:rPr>
          <w:rFonts w:ascii="Avenir Next" w:hAnsi="Avenir Next" w:cs="Arial"/>
          <w:sz w:val="22"/>
          <w:szCs w:val="22"/>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0355BC91" w14:textId="4724810D" w:rsidR="004051E4" w:rsidRDefault="00377C39" w:rsidP="002A37BB">
      <w:pPr>
        <w:jc w:val="both"/>
        <w:rPr>
          <w:rFonts w:ascii="Arial" w:eastAsia="Avenir Next" w:hAnsi="Arial" w:cs="Arial"/>
          <w:color w:val="7B7B7B"/>
          <w:sz w:val="22"/>
          <w:szCs w:val="32"/>
        </w:rPr>
      </w:pPr>
      <w:r w:rsidRPr="00692651">
        <w:rPr>
          <w:rFonts w:ascii="Arial" w:eastAsia="Avenir Next" w:hAnsi="Arial" w:cs="Arial"/>
          <w:color w:val="7B7B7B"/>
          <w:sz w:val="22"/>
          <w:szCs w:val="32"/>
        </w:rPr>
        <w:t xml:space="preserve">One way in which the Regulation and the Directive differ is that the Directive provides debtors with access to "warning tools". These warning tools are aimed at providing debtors with the </w:t>
      </w:r>
      <w:r w:rsidRPr="00692651">
        <w:rPr>
          <w:rFonts w:ascii="Arial" w:eastAsia="Avenir Next" w:hAnsi="Arial" w:cs="Arial"/>
          <w:color w:val="7B7B7B"/>
          <w:sz w:val="22"/>
          <w:szCs w:val="32"/>
        </w:rPr>
        <w:lastRenderedPageBreak/>
        <w:t>ability to identify, at an early stage, when their business is struggling so that they can engage in a restructuring process. By requiring member states to ensure access to early warning tools, the</w:t>
      </w:r>
      <w:r w:rsidR="004051E4">
        <w:rPr>
          <w:rFonts w:ascii="Arial" w:eastAsia="Avenir Next" w:hAnsi="Arial" w:cs="Arial"/>
          <w:color w:val="7B7B7B"/>
          <w:sz w:val="22"/>
          <w:szCs w:val="32"/>
        </w:rPr>
        <w:t xml:space="preserve"> business</w:t>
      </w:r>
      <w:r w:rsidRPr="00692651">
        <w:rPr>
          <w:rFonts w:ascii="Arial" w:eastAsia="Avenir Next" w:hAnsi="Arial" w:cs="Arial"/>
          <w:color w:val="7B7B7B"/>
          <w:sz w:val="22"/>
          <w:szCs w:val="32"/>
        </w:rPr>
        <w:t xml:space="preserve"> m</w:t>
      </w:r>
      <w:r w:rsidR="001E4C63">
        <w:rPr>
          <w:rFonts w:ascii="Arial" w:eastAsia="Avenir Next" w:hAnsi="Arial" w:cs="Arial"/>
          <w:color w:val="7B7B7B"/>
          <w:sz w:val="22"/>
          <w:szCs w:val="32"/>
        </w:rPr>
        <w:t>a</w:t>
      </w:r>
      <w:r w:rsidRPr="00692651">
        <w:rPr>
          <w:rFonts w:ascii="Arial" w:eastAsia="Avenir Next" w:hAnsi="Arial" w:cs="Arial"/>
          <w:color w:val="7B7B7B"/>
          <w:sz w:val="22"/>
          <w:szCs w:val="32"/>
        </w:rPr>
        <w:t xml:space="preserve">y </w:t>
      </w:r>
      <w:r w:rsidR="004051E4">
        <w:rPr>
          <w:rFonts w:ascii="Arial" w:eastAsia="Avenir Next" w:hAnsi="Arial" w:cs="Arial"/>
          <w:color w:val="7B7B7B"/>
          <w:sz w:val="22"/>
          <w:szCs w:val="32"/>
        </w:rPr>
        <w:t xml:space="preserve">have a better chance successfully restructuring </w:t>
      </w:r>
      <w:r w:rsidRPr="00692651">
        <w:rPr>
          <w:rFonts w:ascii="Arial" w:eastAsia="Avenir Next" w:hAnsi="Arial" w:cs="Arial"/>
          <w:color w:val="7B7B7B"/>
          <w:sz w:val="22"/>
          <w:szCs w:val="32"/>
        </w:rPr>
        <w:t>than they might have under the Regulation.</w:t>
      </w:r>
    </w:p>
    <w:p w14:paraId="321DAF0D" w14:textId="77777777" w:rsidR="006E1125" w:rsidRDefault="006E1125" w:rsidP="002A37BB">
      <w:pPr>
        <w:jc w:val="both"/>
        <w:rPr>
          <w:rFonts w:ascii="Arial" w:eastAsia="Avenir Next" w:hAnsi="Arial" w:cs="Arial"/>
          <w:color w:val="7B7B7B"/>
          <w:sz w:val="22"/>
          <w:szCs w:val="32"/>
        </w:rPr>
      </w:pPr>
    </w:p>
    <w:p w14:paraId="750FB735" w14:textId="0A98EF0D" w:rsidR="006E1125" w:rsidRPr="006E1125" w:rsidRDefault="006E1125" w:rsidP="002A37BB">
      <w:pPr>
        <w:jc w:val="both"/>
        <w:rPr>
          <w:rFonts w:ascii="Arial" w:eastAsia="Avenir Next" w:hAnsi="Arial" w:cs="Arial"/>
          <w:color w:val="7B7B7B"/>
          <w:sz w:val="22"/>
          <w:szCs w:val="32"/>
        </w:rPr>
      </w:pPr>
      <w:r>
        <w:rPr>
          <w:rFonts w:ascii="Arial" w:eastAsia="Avenir Next" w:hAnsi="Arial" w:cs="Arial"/>
          <w:color w:val="7B7B7B"/>
          <w:sz w:val="22"/>
          <w:szCs w:val="32"/>
        </w:rPr>
        <w:t xml:space="preserve">Another way in which the regulation and the directive differ is that the Directive introduces a </w:t>
      </w:r>
      <w:proofErr w:type="gramStart"/>
      <w:r>
        <w:rPr>
          <w:rFonts w:ascii="Arial" w:eastAsia="Avenir Next" w:hAnsi="Arial" w:cs="Arial"/>
          <w:color w:val="7B7B7B"/>
          <w:sz w:val="22"/>
          <w:szCs w:val="32"/>
        </w:rPr>
        <w:t>minimum standards</w:t>
      </w:r>
      <w:proofErr w:type="gramEnd"/>
      <w:r>
        <w:rPr>
          <w:rFonts w:ascii="Arial" w:eastAsia="Avenir Next" w:hAnsi="Arial" w:cs="Arial"/>
          <w:color w:val="7B7B7B"/>
          <w:sz w:val="22"/>
          <w:szCs w:val="32"/>
        </w:rPr>
        <w:t xml:space="preserve"> for preventative restructuring mechanisms. While the Regulation covers preventative procedures, it does not address the disparities between national laws regulating those procedures. Accordingly, the Directive introduces substantive minimum standards required in member states </w:t>
      </w:r>
      <w:proofErr w:type="gramStart"/>
      <w:r>
        <w:rPr>
          <w:rFonts w:ascii="Arial" w:eastAsia="Avenir Next" w:hAnsi="Arial" w:cs="Arial"/>
          <w:color w:val="7B7B7B"/>
          <w:sz w:val="22"/>
          <w:szCs w:val="32"/>
        </w:rPr>
        <w:t>in order to</w:t>
      </w:r>
      <w:proofErr w:type="gramEnd"/>
      <w:r>
        <w:rPr>
          <w:rFonts w:ascii="Arial" w:eastAsia="Avenir Next" w:hAnsi="Arial" w:cs="Arial"/>
          <w:color w:val="7B7B7B"/>
          <w:sz w:val="22"/>
          <w:szCs w:val="32"/>
        </w:rPr>
        <w:t xml:space="preserve"> create further procedural </w:t>
      </w:r>
      <w:r w:rsidR="008039C5">
        <w:rPr>
          <w:rFonts w:ascii="Arial" w:eastAsia="Avenir Next" w:hAnsi="Arial" w:cs="Arial"/>
          <w:color w:val="7B7B7B"/>
          <w:sz w:val="22"/>
          <w:szCs w:val="32"/>
        </w:rPr>
        <w:t>harmonisation</w:t>
      </w:r>
      <w:r>
        <w:rPr>
          <w:rFonts w:ascii="Arial" w:eastAsia="Avenir Next" w:hAnsi="Arial" w:cs="Arial"/>
          <w:color w:val="7B7B7B"/>
          <w:sz w:val="22"/>
          <w:szCs w:val="32"/>
        </w:rPr>
        <w:t xml:space="preserve">. </w:t>
      </w:r>
      <w:r w:rsidR="009267AD">
        <w:rPr>
          <w:rFonts w:ascii="Arial" w:eastAsia="Avenir Next" w:hAnsi="Arial" w:cs="Arial"/>
          <w:color w:val="7B7B7B"/>
          <w:sz w:val="22"/>
          <w:szCs w:val="32"/>
        </w:rPr>
        <w:t xml:space="preserve">Ultimately, however, these minimum standards introduced under the Directive permit a wide scope for derogation so are not likely to achieve the desired harmonisation that was absent under the Regulation. </w:t>
      </w:r>
    </w:p>
    <w:p w14:paraId="41C30A4E" w14:textId="77777777" w:rsidR="004051E4" w:rsidRPr="00377C39" w:rsidRDefault="004051E4" w:rsidP="002A37BB">
      <w:pPr>
        <w:jc w:val="both"/>
        <w:rPr>
          <w:rFonts w:ascii="Avenir Next" w:hAnsi="Avenir Next" w:cs="Arial"/>
          <w:sz w:val="22"/>
          <w:szCs w:val="22"/>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w:t>
      </w:r>
      <w:r w:rsidRPr="00377C39">
        <w:rPr>
          <w:rFonts w:ascii="Avenir Next" w:hAnsi="Avenir Next" w:cs="Arial"/>
          <w:sz w:val="22"/>
          <w:szCs w:val="22"/>
          <w:lang w:val="en-GB"/>
        </w:rPr>
        <w:t>its employees are located in these countries</w:t>
      </w:r>
      <w:r w:rsidR="00AC4C4F" w:rsidRPr="00377C39">
        <w:rPr>
          <w:rFonts w:ascii="Avenir Next" w:hAnsi="Avenir Next" w:cs="Arial"/>
          <w:sz w:val="22"/>
          <w:szCs w:val="22"/>
          <w:lang w:val="en-GB"/>
        </w:rPr>
        <w:t xml:space="preserve"> and</w:t>
      </w:r>
      <w:r w:rsidRPr="00377C39">
        <w:rPr>
          <w:rFonts w:ascii="Avenir Next" w:hAnsi="Avenir Next" w:cs="Arial"/>
          <w:sz w:val="22"/>
          <w:szCs w:val="22"/>
          <w:lang w:val="en-GB"/>
        </w:rPr>
        <w:t xml:space="preserve"> most of its customers are also located in these</w:t>
      </w:r>
      <w:r w:rsidRPr="008E3C96">
        <w:rPr>
          <w:rFonts w:ascii="Avenir Next" w:hAnsi="Avenir Next" w:cs="Arial"/>
          <w:sz w:val="22"/>
          <w:szCs w:val="22"/>
          <w:lang w:val="en-GB"/>
        </w:rPr>
        <w:t xml:space="preserv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35E6B091" w14:textId="77777777" w:rsidR="008039C5" w:rsidRDefault="008039C5" w:rsidP="000A07A6">
      <w:pPr>
        <w:jc w:val="both"/>
        <w:rPr>
          <w:rFonts w:ascii="Arial" w:hAnsi="Arial" w:cs="Arial"/>
          <w:color w:val="7B7B7B" w:themeColor="accent3" w:themeShade="BF"/>
          <w:sz w:val="22"/>
          <w:szCs w:val="22"/>
          <w:lang w:val="en-GB"/>
        </w:rPr>
      </w:pPr>
    </w:p>
    <w:p w14:paraId="78F6C4EF" w14:textId="3E614D7E" w:rsidR="000A07A6" w:rsidRPr="001E4C63" w:rsidRDefault="000A07A6" w:rsidP="000A07A6">
      <w:pPr>
        <w:jc w:val="both"/>
        <w:rPr>
          <w:rFonts w:ascii="Arial" w:hAnsi="Arial" w:cs="Arial"/>
          <w:color w:val="7B7B7B" w:themeColor="accent3" w:themeShade="BF"/>
          <w:sz w:val="22"/>
          <w:szCs w:val="22"/>
          <w:lang w:val="en-GB"/>
        </w:rPr>
      </w:pPr>
      <w:r w:rsidRPr="001E4C63">
        <w:rPr>
          <w:rFonts w:ascii="Arial" w:hAnsi="Arial" w:cs="Arial"/>
          <w:color w:val="7B7B7B" w:themeColor="accent3" w:themeShade="BF"/>
          <w:sz w:val="22"/>
          <w:szCs w:val="22"/>
          <w:lang w:val="en-GB"/>
        </w:rPr>
        <w:t>The EIR 2000 defines the international jurisdiction for insolvency cases with the EU. However, whether a member state may open proceedings is a question of national or domestic law of that country. In the circumstance, whether the Strasbourg High Court has jurisdiction to open safeguard proceedings does not strictly arise under the EIR 2000</w:t>
      </w:r>
      <w:r w:rsidR="006B20E8" w:rsidRPr="001E4C63">
        <w:rPr>
          <w:rFonts w:ascii="Arial" w:hAnsi="Arial" w:cs="Arial"/>
          <w:color w:val="7B7B7B" w:themeColor="accent3" w:themeShade="BF"/>
          <w:sz w:val="22"/>
          <w:szCs w:val="22"/>
          <w:lang w:val="en-GB"/>
        </w:rPr>
        <w:t xml:space="preserve"> but will rather be a question of French law</w:t>
      </w:r>
      <w:r w:rsidRPr="001E4C63">
        <w:rPr>
          <w:rFonts w:ascii="Arial" w:hAnsi="Arial" w:cs="Arial"/>
          <w:color w:val="7B7B7B" w:themeColor="accent3" w:themeShade="BF"/>
          <w:sz w:val="22"/>
          <w:szCs w:val="22"/>
          <w:lang w:val="en-GB"/>
        </w:rPr>
        <w:t xml:space="preserve">. </w:t>
      </w:r>
    </w:p>
    <w:p w14:paraId="1DF63E4B" w14:textId="77777777" w:rsidR="000A07A6" w:rsidRPr="001E4C63" w:rsidRDefault="000A07A6" w:rsidP="000A07A6">
      <w:pPr>
        <w:jc w:val="both"/>
        <w:rPr>
          <w:rFonts w:ascii="Arial" w:hAnsi="Arial" w:cs="Arial"/>
          <w:color w:val="7B7B7B" w:themeColor="accent3" w:themeShade="BF"/>
          <w:sz w:val="22"/>
          <w:szCs w:val="22"/>
          <w:lang w:val="en-GB"/>
        </w:rPr>
      </w:pPr>
    </w:p>
    <w:p w14:paraId="791A7EB2" w14:textId="77777777" w:rsidR="00786C9D" w:rsidRPr="001E4C63" w:rsidRDefault="00786C9D" w:rsidP="002A37BB">
      <w:pPr>
        <w:jc w:val="both"/>
        <w:rPr>
          <w:rFonts w:ascii="Arial" w:hAnsi="Arial" w:cs="Arial"/>
          <w:color w:val="7B7B7B" w:themeColor="accent3" w:themeShade="BF"/>
          <w:sz w:val="22"/>
          <w:szCs w:val="22"/>
          <w:lang w:val="en-GB"/>
        </w:rPr>
      </w:pPr>
      <w:r w:rsidRPr="001E4C63">
        <w:rPr>
          <w:rFonts w:ascii="Arial" w:hAnsi="Arial" w:cs="Arial"/>
          <w:color w:val="7B7B7B" w:themeColor="accent3" w:themeShade="BF"/>
          <w:sz w:val="22"/>
          <w:szCs w:val="22"/>
          <w:lang w:val="en-GB"/>
        </w:rPr>
        <w:t>Despite the technical observation detailed above, m</w:t>
      </w:r>
      <w:r w:rsidR="00525E89" w:rsidRPr="001E4C63">
        <w:rPr>
          <w:rFonts w:ascii="Arial" w:hAnsi="Arial" w:cs="Arial"/>
          <w:color w:val="7B7B7B" w:themeColor="accent3" w:themeShade="BF"/>
          <w:sz w:val="22"/>
          <w:szCs w:val="22"/>
          <w:lang w:val="en-GB"/>
        </w:rPr>
        <w:t xml:space="preserve">ain insolvency proceedings may be initiated at a place of a debtors COMI pursuant to Article 3(1) of EIR 2000. </w:t>
      </w:r>
      <w:r w:rsidR="000A07A6" w:rsidRPr="001E4C63">
        <w:rPr>
          <w:rFonts w:ascii="Arial" w:hAnsi="Arial" w:cs="Arial"/>
          <w:color w:val="7B7B7B" w:themeColor="accent3" w:themeShade="BF"/>
          <w:sz w:val="22"/>
          <w:szCs w:val="22"/>
          <w:lang w:val="en-GB"/>
        </w:rPr>
        <w:t xml:space="preserve"> The EIR does not </w:t>
      </w:r>
      <w:r w:rsidR="000A07A6" w:rsidRPr="001E4C63">
        <w:rPr>
          <w:rFonts w:ascii="Arial" w:hAnsi="Arial" w:cs="Arial"/>
          <w:color w:val="7B7B7B" w:themeColor="accent3" w:themeShade="BF"/>
          <w:sz w:val="22"/>
          <w:szCs w:val="22"/>
          <w:lang w:val="en-GB"/>
        </w:rPr>
        <w:lastRenderedPageBreak/>
        <w:t xml:space="preserve">provide a definition for COMI. However, the Decision of </w:t>
      </w:r>
      <w:proofErr w:type="spellStart"/>
      <w:r w:rsidR="000A07A6" w:rsidRPr="001E4C63">
        <w:rPr>
          <w:rFonts w:ascii="Arial" w:hAnsi="Arial" w:cs="Arial"/>
          <w:i/>
          <w:iCs/>
          <w:color w:val="7B7B7B" w:themeColor="accent3" w:themeShade="BF"/>
          <w:sz w:val="22"/>
          <w:szCs w:val="22"/>
          <w:lang w:val="en-GB"/>
        </w:rPr>
        <w:t>Eurofood</w:t>
      </w:r>
      <w:proofErr w:type="spellEnd"/>
      <w:r w:rsidR="000A07A6" w:rsidRPr="001E4C63">
        <w:rPr>
          <w:rFonts w:ascii="Arial" w:hAnsi="Arial" w:cs="Arial"/>
          <w:i/>
          <w:iCs/>
          <w:color w:val="7B7B7B" w:themeColor="accent3" w:themeShade="BF"/>
          <w:sz w:val="22"/>
          <w:szCs w:val="22"/>
          <w:lang w:val="en-GB"/>
        </w:rPr>
        <w:t xml:space="preserve"> IFSC Ltd</w:t>
      </w:r>
      <w:r w:rsidR="000A07A6" w:rsidRPr="001E4C63">
        <w:rPr>
          <w:rStyle w:val="FootnoteReference"/>
          <w:rFonts w:ascii="Arial" w:hAnsi="Arial" w:cs="Arial"/>
          <w:color w:val="7B7B7B" w:themeColor="accent3" w:themeShade="BF"/>
          <w:sz w:val="22"/>
          <w:szCs w:val="22"/>
          <w:lang w:val="en-GB"/>
        </w:rPr>
        <w:footnoteReference w:id="2"/>
      </w:r>
      <w:r w:rsidR="000A07A6" w:rsidRPr="001E4C63">
        <w:rPr>
          <w:rFonts w:ascii="Arial" w:hAnsi="Arial" w:cs="Arial"/>
          <w:color w:val="7B7B7B" w:themeColor="accent3" w:themeShade="BF"/>
          <w:sz w:val="22"/>
          <w:szCs w:val="22"/>
          <w:lang w:val="en-GB"/>
        </w:rPr>
        <w:t xml:space="preserve"> provides a guidance as to determining where a COMI is located. As noted in that case, COMI has an autonomous meaning and must be interpreted in a uniform way that is independent of what a similar term may mean in national legislation.</w:t>
      </w:r>
      <w:r w:rsidRPr="001E4C63">
        <w:rPr>
          <w:rFonts w:ascii="Arial" w:hAnsi="Arial" w:cs="Arial"/>
          <w:color w:val="7B7B7B" w:themeColor="accent3" w:themeShade="BF"/>
          <w:sz w:val="22"/>
          <w:szCs w:val="22"/>
          <w:lang w:val="en-GB"/>
        </w:rPr>
        <w:t xml:space="preserve">  Further, the COMI must also be determined by reference to criteria that are both objective and ascertainable by third parties.  The fact that Bella </w:t>
      </w:r>
      <w:proofErr w:type="spellStart"/>
      <w:r w:rsidRPr="001E4C63">
        <w:rPr>
          <w:rFonts w:ascii="Arial" w:hAnsi="Arial" w:cs="Arial"/>
          <w:color w:val="7B7B7B" w:themeColor="accent3" w:themeShade="BF"/>
          <w:sz w:val="22"/>
          <w:szCs w:val="22"/>
          <w:lang w:val="en-GB"/>
        </w:rPr>
        <w:t>SARl</w:t>
      </w:r>
      <w:proofErr w:type="spellEnd"/>
      <w:r w:rsidRPr="001E4C63">
        <w:rPr>
          <w:rFonts w:ascii="Arial" w:hAnsi="Arial" w:cs="Arial"/>
          <w:color w:val="7B7B7B" w:themeColor="accent3" w:themeShade="BF"/>
          <w:sz w:val="22"/>
          <w:szCs w:val="22"/>
          <w:lang w:val="en-GB"/>
        </w:rPr>
        <w:t xml:space="preserve"> is incorporated in France weighs in favour of France being the COMI. Furthermore, the fact that it has operations in France, it cannot be said to be a “letterbox” company.  </w:t>
      </w:r>
    </w:p>
    <w:p w14:paraId="002117DD" w14:textId="77777777" w:rsidR="00786C9D" w:rsidRPr="001E4C63" w:rsidRDefault="00786C9D" w:rsidP="002A37BB">
      <w:pPr>
        <w:jc w:val="both"/>
        <w:rPr>
          <w:rFonts w:ascii="Arial" w:hAnsi="Arial" w:cs="Arial"/>
          <w:color w:val="7B7B7B" w:themeColor="accent3" w:themeShade="BF"/>
          <w:sz w:val="22"/>
          <w:szCs w:val="22"/>
          <w:lang w:val="en-GB"/>
        </w:rPr>
      </w:pPr>
    </w:p>
    <w:p w14:paraId="6501B312" w14:textId="0B51B0A3" w:rsidR="00786C9D" w:rsidRPr="001E4C63" w:rsidRDefault="00786C9D" w:rsidP="002A37BB">
      <w:pPr>
        <w:jc w:val="both"/>
        <w:rPr>
          <w:rFonts w:ascii="Arial" w:hAnsi="Arial" w:cs="Arial"/>
          <w:color w:val="7B7B7B" w:themeColor="accent3" w:themeShade="BF"/>
          <w:sz w:val="22"/>
          <w:szCs w:val="22"/>
          <w:lang w:val="en-GB"/>
        </w:rPr>
      </w:pPr>
      <w:r w:rsidRPr="001E4C63">
        <w:rPr>
          <w:rFonts w:ascii="Arial" w:hAnsi="Arial" w:cs="Arial"/>
          <w:color w:val="7B7B7B" w:themeColor="accent3" w:themeShade="BF"/>
          <w:sz w:val="22"/>
          <w:szCs w:val="22"/>
          <w:lang w:val="en-GB"/>
        </w:rPr>
        <w:t xml:space="preserve">There is activity across </w:t>
      </w:r>
      <w:proofErr w:type="gramStart"/>
      <w:r w:rsidRPr="001E4C63">
        <w:rPr>
          <w:rFonts w:ascii="Arial" w:hAnsi="Arial" w:cs="Arial"/>
          <w:color w:val="7B7B7B" w:themeColor="accent3" w:themeShade="BF"/>
          <w:sz w:val="22"/>
          <w:szCs w:val="22"/>
          <w:lang w:val="en-GB"/>
        </w:rPr>
        <w:t>Europe</w:t>
      </w:r>
      <w:proofErr w:type="gramEnd"/>
      <w:r w:rsidRPr="001E4C63">
        <w:rPr>
          <w:rFonts w:ascii="Arial" w:hAnsi="Arial" w:cs="Arial"/>
          <w:color w:val="7B7B7B" w:themeColor="accent3" w:themeShade="BF"/>
          <w:sz w:val="22"/>
          <w:szCs w:val="22"/>
          <w:lang w:val="en-GB"/>
        </w:rPr>
        <w:t xml:space="preserve"> but two potential alternative countries might arguably be held to be the COMI. The fact that the main warehouse </w:t>
      </w:r>
      <w:proofErr w:type="gramStart"/>
      <w:r w:rsidRPr="001E4C63">
        <w:rPr>
          <w:rFonts w:ascii="Arial" w:hAnsi="Arial" w:cs="Arial"/>
          <w:color w:val="7B7B7B" w:themeColor="accent3" w:themeShade="BF"/>
          <w:sz w:val="22"/>
          <w:szCs w:val="22"/>
          <w:lang w:val="en-GB"/>
        </w:rPr>
        <w:t>is located in</w:t>
      </w:r>
      <w:proofErr w:type="gramEnd"/>
      <w:r w:rsidRPr="001E4C63">
        <w:rPr>
          <w:rFonts w:ascii="Arial" w:hAnsi="Arial" w:cs="Arial"/>
          <w:color w:val="7B7B7B" w:themeColor="accent3" w:themeShade="BF"/>
          <w:sz w:val="22"/>
          <w:szCs w:val="22"/>
          <w:lang w:val="en-GB"/>
        </w:rPr>
        <w:t xml:space="preserve"> Ireland is indicative that the COMI might be based there. Further, there is </w:t>
      </w:r>
      <w:proofErr w:type="spellStart"/>
      <w:proofErr w:type="gramStart"/>
      <w:r w:rsidRPr="001E4C63">
        <w:rPr>
          <w:rFonts w:ascii="Arial" w:hAnsi="Arial" w:cs="Arial"/>
          <w:color w:val="7B7B7B" w:themeColor="accent3" w:themeShade="BF"/>
          <w:sz w:val="22"/>
          <w:szCs w:val="22"/>
          <w:lang w:val="en-GB"/>
        </w:rPr>
        <w:t>a</w:t>
      </w:r>
      <w:proofErr w:type="spellEnd"/>
      <w:proofErr w:type="gramEnd"/>
      <w:r w:rsidRPr="001E4C63">
        <w:rPr>
          <w:rFonts w:ascii="Arial" w:hAnsi="Arial" w:cs="Arial"/>
          <w:color w:val="7B7B7B" w:themeColor="accent3" w:themeShade="BF"/>
          <w:sz w:val="22"/>
          <w:szCs w:val="22"/>
          <w:lang w:val="en-GB"/>
        </w:rPr>
        <w:t xml:space="preserve"> additional activity occurring in Spain (in addition to the presence of a w</w:t>
      </w:r>
      <w:r w:rsidR="00A37BE1" w:rsidRPr="001E4C63">
        <w:rPr>
          <w:rFonts w:ascii="Arial" w:hAnsi="Arial" w:cs="Arial"/>
          <w:color w:val="7B7B7B" w:themeColor="accent3" w:themeShade="BF"/>
          <w:sz w:val="22"/>
          <w:szCs w:val="22"/>
          <w:lang w:val="en-GB"/>
        </w:rPr>
        <w:t>arehouse which is present in the other European Countries).</w:t>
      </w:r>
      <w:r w:rsidRPr="001E4C63">
        <w:rPr>
          <w:rFonts w:ascii="Arial" w:hAnsi="Arial" w:cs="Arial"/>
          <w:color w:val="7B7B7B" w:themeColor="accent3" w:themeShade="BF"/>
          <w:sz w:val="22"/>
          <w:szCs w:val="22"/>
          <w:lang w:val="en-GB"/>
        </w:rPr>
        <w:t xml:space="preserve"> </w:t>
      </w:r>
      <w:r w:rsidR="00A37BE1" w:rsidRPr="001E4C63">
        <w:rPr>
          <w:rFonts w:ascii="Arial" w:hAnsi="Arial" w:cs="Arial"/>
          <w:color w:val="7B7B7B" w:themeColor="accent3" w:themeShade="BF"/>
          <w:sz w:val="22"/>
          <w:szCs w:val="22"/>
          <w:lang w:val="en-GB"/>
        </w:rPr>
        <w:t xml:space="preserve"> Ultimately, the activity in the member state should be regular and lasting. The additional activities in </w:t>
      </w:r>
      <w:r w:rsidR="006B20E8" w:rsidRPr="001E4C63">
        <w:rPr>
          <w:rFonts w:ascii="Arial" w:hAnsi="Arial" w:cs="Arial"/>
          <w:color w:val="7B7B7B" w:themeColor="accent3" w:themeShade="BF"/>
          <w:sz w:val="22"/>
          <w:szCs w:val="22"/>
          <w:lang w:val="en-GB"/>
        </w:rPr>
        <w:t>S</w:t>
      </w:r>
      <w:r w:rsidR="00A37BE1" w:rsidRPr="001E4C63">
        <w:rPr>
          <w:rFonts w:ascii="Arial" w:hAnsi="Arial" w:cs="Arial"/>
          <w:color w:val="7B7B7B" w:themeColor="accent3" w:themeShade="BF"/>
          <w:sz w:val="22"/>
          <w:szCs w:val="22"/>
          <w:lang w:val="en-GB"/>
        </w:rPr>
        <w:t xml:space="preserve">pain are more aspirational than regular lasting activity so do </w:t>
      </w:r>
      <w:r w:rsidR="006B20E8" w:rsidRPr="001E4C63">
        <w:rPr>
          <w:rFonts w:ascii="Arial" w:hAnsi="Arial" w:cs="Arial"/>
          <w:color w:val="7B7B7B" w:themeColor="accent3" w:themeShade="BF"/>
          <w:sz w:val="22"/>
          <w:szCs w:val="22"/>
          <w:lang w:val="en-GB"/>
        </w:rPr>
        <w:t xml:space="preserve">not </w:t>
      </w:r>
      <w:r w:rsidR="00A37BE1" w:rsidRPr="001E4C63">
        <w:rPr>
          <w:rFonts w:ascii="Arial" w:hAnsi="Arial" w:cs="Arial"/>
          <w:color w:val="7B7B7B" w:themeColor="accent3" w:themeShade="BF"/>
          <w:sz w:val="22"/>
          <w:szCs w:val="22"/>
          <w:lang w:val="en-GB"/>
        </w:rPr>
        <w:t xml:space="preserve">add much additional weight to a suggestion that </w:t>
      </w:r>
      <w:r w:rsidR="006B20E8" w:rsidRPr="001E4C63">
        <w:rPr>
          <w:rFonts w:ascii="Arial" w:hAnsi="Arial" w:cs="Arial"/>
          <w:color w:val="7B7B7B" w:themeColor="accent3" w:themeShade="BF"/>
          <w:sz w:val="22"/>
          <w:szCs w:val="22"/>
          <w:lang w:val="en-GB"/>
        </w:rPr>
        <w:t xml:space="preserve">it should be the COMI rather than France. </w:t>
      </w:r>
    </w:p>
    <w:p w14:paraId="6AF149DB" w14:textId="77777777" w:rsidR="00344948" w:rsidRPr="001E4C63" w:rsidRDefault="00344948" w:rsidP="002A37BB">
      <w:pPr>
        <w:jc w:val="both"/>
        <w:rPr>
          <w:rFonts w:ascii="Arial" w:hAnsi="Arial" w:cs="Arial"/>
          <w:color w:val="7B7B7B" w:themeColor="accent3" w:themeShade="BF"/>
          <w:sz w:val="22"/>
          <w:szCs w:val="22"/>
          <w:lang w:val="en-GB"/>
        </w:rPr>
      </w:pPr>
    </w:p>
    <w:p w14:paraId="4195866B" w14:textId="1358AC6C" w:rsidR="00525E89" w:rsidRPr="001E4C63" w:rsidRDefault="006B20E8" w:rsidP="00525E89">
      <w:pPr>
        <w:jc w:val="both"/>
        <w:rPr>
          <w:rFonts w:ascii="Arial" w:hAnsi="Arial" w:cs="Arial"/>
          <w:color w:val="7B7B7B" w:themeColor="accent3" w:themeShade="BF"/>
          <w:sz w:val="22"/>
          <w:szCs w:val="22"/>
          <w:lang w:val="en-GB"/>
        </w:rPr>
      </w:pPr>
      <w:r w:rsidRPr="001E4C63">
        <w:rPr>
          <w:rFonts w:ascii="Arial" w:hAnsi="Arial" w:cs="Arial"/>
          <w:color w:val="7B7B7B" w:themeColor="accent3" w:themeShade="BF"/>
          <w:sz w:val="22"/>
          <w:szCs w:val="22"/>
          <w:lang w:val="en-GB"/>
        </w:rPr>
        <w:t>Ultimately, however i</w:t>
      </w:r>
      <w:r w:rsidR="00344948" w:rsidRPr="001E4C63">
        <w:rPr>
          <w:rFonts w:ascii="Arial" w:hAnsi="Arial" w:cs="Arial"/>
          <w:color w:val="7B7B7B" w:themeColor="accent3" w:themeShade="BF"/>
          <w:sz w:val="22"/>
          <w:szCs w:val="22"/>
          <w:lang w:val="en-GB"/>
        </w:rPr>
        <w:t>t is noted that Annex A of the EIR 200</w:t>
      </w:r>
      <w:r w:rsidRPr="001E4C63">
        <w:rPr>
          <w:rFonts w:ascii="Arial" w:hAnsi="Arial" w:cs="Arial"/>
          <w:color w:val="7B7B7B" w:themeColor="accent3" w:themeShade="BF"/>
          <w:sz w:val="22"/>
          <w:szCs w:val="22"/>
          <w:lang w:val="en-GB"/>
        </w:rPr>
        <w:t>0</w:t>
      </w:r>
      <w:r w:rsidR="00344948" w:rsidRPr="001E4C63">
        <w:rPr>
          <w:rFonts w:ascii="Arial" w:hAnsi="Arial" w:cs="Arial"/>
          <w:color w:val="7B7B7B" w:themeColor="accent3" w:themeShade="BF"/>
          <w:sz w:val="22"/>
          <w:szCs w:val="22"/>
          <w:lang w:val="en-GB"/>
        </w:rPr>
        <w:t xml:space="preserve"> does not refer to safeguard</w:t>
      </w:r>
      <w:r w:rsidR="00525E89" w:rsidRPr="001E4C63">
        <w:rPr>
          <w:rFonts w:ascii="Arial" w:hAnsi="Arial" w:cs="Arial"/>
          <w:color w:val="7B7B7B" w:themeColor="accent3" w:themeShade="BF"/>
          <w:sz w:val="22"/>
          <w:szCs w:val="22"/>
          <w:lang w:val="en-GB"/>
        </w:rPr>
        <w:t xml:space="preserve"> proceedings</w:t>
      </w:r>
      <w:r w:rsidR="00344948" w:rsidRPr="001E4C63">
        <w:rPr>
          <w:rFonts w:ascii="Arial" w:hAnsi="Arial" w:cs="Arial"/>
          <w:color w:val="7B7B7B" w:themeColor="accent3" w:themeShade="BF"/>
          <w:sz w:val="22"/>
          <w:szCs w:val="22"/>
          <w:lang w:val="en-GB"/>
        </w:rPr>
        <w:t>. Rather, only</w:t>
      </w:r>
      <w:r w:rsidR="00525E89" w:rsidRPr="001E4C63">
        <w:rPr>
          <w:rFonts w:ascii="Arial" w:hAnsi="Arial" w:cs="Arial"/>
          <w:color w:val="7B7B7B" w:themeColor="accent3" w:themeShade="BF"/>
          <w:sz w:val="22"/>
          <w:szCs w:val="22"/>
          <w:lang w:val="en-GB"/>
        </w:rPr>
        <w:t xml:space="preserve"> “Liquidation </w:t>
      </w:r>
      <w:proofErr w:type="spellStart"/>
      <w:r w:rsidR="00525E89" w:rsidRPr="001E4C63">
        <w:rPr>
          <w:rFonts w:ascii="Arial" w:hAnsi="Arial" w:cs="Arial"/>
          <w:color w:val="7B7B7B" w:themeColor="accent3" w:themeShade="BF"/>
          <w:sz w:val="22"/>
          <w:szCs w:val="22"/>
          <w:lang w:val="en-GB"/>
        </w:rPr>
        <w:t>judiciaire</w:t>
      </w:r>
      <w:proofErr w:type="spellEnd"/>
      <w:r w:rsidR="00525E89" w:rsidRPr="001E4C63">
        <w:rPr>
          <w:rFonts w:ascii="Arial" w:hAnsi="Arial" w:cs="Arial"/>
          <w:color w:val="7B7B7B" w:themeColor="accent3" w:themeShade="BF"/>
          <w:sz w:val="22"/>
          <w:szCs w:val="22"/>
          <w:lang w:val="en-GB"/>
        </w:rPr>
        <w:t>” and “</w:t>
      </w:r>
      <w:proofErr w:type="spellStart"/>
      <w:r w:rsidR="00525E89" w:rsidRPr="001E4C63">
        <w:rPr>
          <w:rFonts w:ascii="Arial" w:hAnsi="Arial" w:cs="Arial"/>
          <w:color w:val="7B7B7B" w:themeColor="accent3" w:themeShade="BF"/>
          <w:sz w:val="22"/>
          <w:szCs w:val="22"/>
          <w:lang w:val="en-GB"/>
        </w:rPr>
        <w:t>Redressement</w:t>
      </w:r>
      <w:proofErr w:type="spellEnd"/>
      <w:r w:rsidR="00525E89" w:rsidRPr="001E4C63">
        <w:rPr>
          <w:rFonts w:ascii="Arial" w:hAnsi="Arial" w:cs="Arial"/>
          <w:color w:val="7B7B7B" w:themeColor="accent3" w:themeShade="BF"/>
          <w:sz w:val="22"/>
          <w:szCs w:val="22"/>
          <w:lang w:val="en-GB"/>
        </w:rPr>
        <w:t xml:space="preserve"> </w:t>
      </w:r>
      <w:proofErr w:type="spellStart"/>
      <w:r w:rsidR="00525E89" w:rsidRPr="001E4C63">
        <w:rPr>
          <w:rFonts w:ascii="Arial" w:hAnsi="Arial" w:cs="Arial"/>
          <w:color w:val="7B7B7B" w:themeColor="accent3" w:themeShade="BF"/>
          <w:sz w:val="22"/>
          <w:szCs w:val="22"/>
          <w:lang w:val="en-GB"/>
        </w:rPr>
        <w:t>judiciaire</w:t>
      </w:r>
      <w:proofErr w:type="spellEnd"/>
      <w:r w:rsidR="00525E89" w:rsidRPr="001E4C63">
        <w:rPr>
          <w:rFonts w:ascii="Arial" w:hAnsi="Arial" w:cs="Arial"/>
          <w:color w:val="7B7B7B" w:themeColor="accent3" w:themeShade="BF"/>
          <w:sz w:val="22"/>
          <w:szCs w:val="22"/>
          <w:lang w:val="en-GB"/>
        </w:rPr>
        <w:t xml:space="preserve"> avec nomination d'un </w:t>
      </w:r>
      <w:proofErr w:type="spellStart"/>
      <w:r w:rsidR="00525E89" w:rsidRPr="001E4C63">
        <w:rPr>
          <w:rFonts w:ascii="Arial" w:hAnsi="Arial" w:cs="Arial"/>
          <w:color w:val="7B7B7B" w:themeColor="accent3" w:themeShade="BF"/>
          <w:sz w:val="22"/>
          <w:szCs w:val="22"/>
          <w:lang w:val="en-GB"/>
        </w:rPr>
        <w:t>administrateu</w:t>
      </w:r>
      <w:proofErr w:type="spellEnd"/>
      <w:r w:rsidR="00525E89" w:rsidRPr="001E4C63">
        <w:rPr>
          <w:rFonts w:ascii="Arial" w:hAnsi="Arial" w:cs="Arial"/>
          <w:color w:val="7B7B7B" w:themeColor="accent3" w:themeShade="BF"/>
          <w:sz w:val="22"/>
          <w:szCs w:val="22"/>
          <w:lang w:val="en-GB"/>
        </w:rPr>
        <w:t>” are listed in Annex A.</w:t>
      </w:r>
      <w:r w:rsidRPr="001E4C63">
        <w:rPr>
          <w:rFonts w:ascii="Arial" w:hAnsi="Arial" w:cs="Arial"/>
          <w:color w:val="7B7B7B" w:themeColor="accent3" w:themeShade="BF"/>
          <w:sz w:val="22"/>
          <w:szCs w:val="22"/>
          <w:lang w:val="en-GB"/>
        </w:rPr>
        <w:t xml:space="preserve"> Accordingly, the requested safeguard proceedings would not fall under the EIR 2000.</w:t>
      </w:r>
    </w:p>
    <w:p w14:paraId="589C8F0D" w14:textId="20528AB8" w:rsidR="00344948" w:rsidRPr="00525E89" w:rsidRDefault="00344948" w:rsidP="002A37BB">
      <w:pPr>
        <w:jc w:val="both"/>
        <w:rPr>
          <w:rFonts w:ascii="Avenir Next" w:hAnsi="Avenir Next" w:cs="Arial"/>
          <w:color w:val="7B7B7B" w:themeColor="accent3" w:themeShade="BF"/>
          <w:sz w:val="22"/>
          <w:szCs w:val="22"/>
        </w:rPr>
      </w:pP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5EFED230" w14:textId="20536479" w:rsidR="00393254" w:rsidRPr="00B62BFD" w:rsidRDefault="00393254" w:rsidP="002A37BB">
      <w:pPr>
        <w:autoSpaceDE w:val="0"/>
        <w:autoSpaceDN w:val="0"/>
        <w:adjustRightInd w:val="0"/>
        <w:jc w:val="both"/>
        <w:rPr>
          <w:rFonts w:ascii="Arial" w:hAnsi="Arial" w:cs="Arial"/>
          <w:color w:val="7B7B7B" w:themeColor="accent3" w:themeShade="BF"/>
          <w:sz w:val="22"/>
          <w:szCs w:val="22"/>
          <w:lang w:val="en-GB"/>
        </w:rPr>
      </w:pPr>
      <w:r w:rsidRPr="00B62BFD">
        <w:rPr>
          <w:rFonts w:ascii="Arial" w:hAnsi="Arial" w:cs="Arial"/>
          <w:color w:val="7B7B7B" w:themeColor="accent3" w:themeShade="BF"/>
          <w:sz w:val="22"/>
          <w:szCs w:val="22"/>
          <w:lang w:val="en-GB"/>
        </w:rPr>
        <w:t xml:space="preserve">Determination of applicability of EIR Recast will require consideration of temporal scope, personal scope, material scope and geographical scope. </w:t>
      </w:r>
    </w:p>
    <w:p w14:paraId="13906C19" w14:textId="77777777" w:rsidR="00CA38AF" w:rsidRPr="00B62BFD" w:rsidRDefault="00CA38AF" w:rsidP="002A37BB">
      <w:pPr>
        <w:autoSpaceDE w:val="0"/>
        <w:autoSpaceDN w:val="0"/>
        <w:adjustRightInd w:val="0"/>
        <w:jc w:val="both"/>
        <w:rPr>
          <w:rFonts w:ascii="Arial" w:hAnsi="Arial" w:cs="Arial"/>
          <w:color w:val="7B7B7B" w:themeColor="accent3" w:themeShade="BF"/>
          <w:sz w:val="22"/>
          <w:szCs w:val="22"/>
          <w:lang w:val="en-GB"/>
        </w:rPr>
      </w:pPr>
    </w:p>
    <w:p w14:paraId="73647BE2" w14:textId="69F91AB7" w:rsidR="00CA38AF" w:rsidRPr="00B62BFD" w:rsidRDefault="00CA38AF" w:rsidP="002A37BB">
      <w:pPr>
        <w:autoSpaceDE w:val="0"/>
        <w:autoSpaceDN w:val="0"/>
        <w:adjustRightInd w:val="0"/>
        <w:jc w:val="both"/>
        <w:rPr>
          <w:rFonts w:ascii="Arial" w:hAnsi="Arial" w:cs="Arial"/>
          <w:color w:val="7B7B7B" w:themeColor="accent3" w:themeShade="BF"/>
          <w:sz w:val="22"/>
          <w:szCs w:val="22"/>
          <w:u w:val="single"/>
          <w:lang w:val="en-GB"/>
        </w:rPr>
      </w:pPr>
      <w:r w:rsidRPr="00B62BFD">
        <w:rPr>
          <w:rFonts w:ascii="Arial" w:hAnsi="Arial" w:cs="Arial"/>
          <w:color w:val="7B7B7B" w:themeColor="accent3" w:themeShade="BF"/>
          <w:sz w:val="22"/>
          <w:szCs w:val="22"/>
          <w:u w:val="single"/>
          <w:lang w:val="en-GB"/>
        </w:rPr>
        <w:t>Territorial scope</w:t>
      </w:r>
    </w:p>
    <w:p w14:paraId="626FA5C6" w14:textId="66195519" w:rsidR="002D3473" w:rsidRPr="00B62BFD" w:rsidRDefault="00393254" w:rsidP="002A37BB">
      <w:pPr>
        <w:autoSpaceDE w:val="0"/>
        <w:autoSpaceDN w:val="0"/>
        <w:adjustRightInd w:val="0"/>
        <w:jc w:val="both"/>
        <w:rPr>
          <w:rFonts w:ascii="Arial" w:hAnsi="Arial" w:cs="Arial"/>
          <w:color w:val="7B7B7B" w:themeColor="accent3" w:themeShade="BF"/>
          <w:sz w:val="22"/>
          <w:szCs w:val="22"/>
          <w:lang w:val="en-GB"/>
        </w:rPr>
      </w:pPr>
      <w:r w:rsidRPr="00B62BFD">
        <w:rPr>
          <w:rFonts w:ascii="Arial" w:hAnsi="Arial" w:cs="Arial"/>
          <w:color w:val="7B7B7B" w:themeColor="accent3" w:themeShade="BF"/>
          <w:sz w:val="22"/>
          <w:szCs w:val="22"/>
          <w:lang w:val="en-GB"/>
        </w:rPr>
        <w:t xml:space="preserve">The first step is to determine whether Bella SARL has its COMI in a Member state of the EU (That is not Denmark). The fact that the company is French registered would create a rebuttable presumption that its COMI is in France. However, given the Company has operations in </w:t>
      </w:r>
      <w:proofErr w:type="gramStart"/>
      <w:r w:rsidRPr="00B62BFD">
        <w:rPr>
          <w:rFonts w:ascii="Arial" w:hAnsi="Arial" w:cs="Arial"/>
          <w:color w:val="7B7B7B" w:themeColor="accent3" w:themeShade="BF"/>
          <w:sz w:val="22"/>
          <w:szCs w:val="22"/>
          <w:lang w:val="en-GB"/>
        </w:rPr>
        <w:t>a number of</w:t>
      </w:r>
      <w:proofErr w:type="gramEnd"/>
      <w:r w:rsidRPr="00B62BFD">
        <w:rPr>
          <w:rFonts w:ascii="Arial" w:hAnsi="Arial" w:cs="Arial"/>
          <w:color w:val="7B7B7B" w:themeColor="accent3" w:themeShade="BF"/>
          <w:sz w:val="22"/>
          <w:szCs w:val="22"/>
          <w:lang w:val="en-GB"/>
        </w:rPr>
        <w:t xml:space="preserve"> other countries, it may be that it’s COMI is located elsewhere such as Ireland where its main warehouse is located</w:t>
      </w:r>
      <w:r w:rsidR="006B20E8" w:rsidRPr="00B62BFD">
        <w:rPr>
          <w:rFonts w:ascii="Arial" w:hAnsi="Arial" w:cs="Arial"/>
          <w:color w:val="7B7B7B" w:themeColor="accent3" w:themeShade="BF"/>
          <w:sz w:val="22"/>
          <w:szCs w:val="22"/>
          <w:lang w:val="en-GB"/>
        </w:rPr>
        <w:t xml:space="preserve"> or Spain where it has a recent expansion of activity</w:t>
      </w:r>
      <w:r w:rsidRPr="00B62BFD">
        <w:rPr>
          <w:rFonts w:ascii="Arial" w:hAnsi="Arial" w:cs="Arial"/>
          <w:color w:val="7B7B7B" w:themeColor="accent3" w:themeShade="BF"/>
          <w:sz w:val="22"/>
          <w:szCs w:val="22"/>
          <w:lang w:val="en-GB"/>
        </w:rPr>
        <w:t xml:space="preserve">. In </w:t>
      </w:r>
      <w:r w:rsidR="006B20E8" w:rsidRPr="00B62BFD">
        <w:rPr>
          <w:rFonts w:ascii="Arial" w:hAnsi="Arial" w:cs="Arial"/>
          <w:color w:val="7B7B7B" w:themeColor="accent3" w:themeShade="BF"/>
          <w:sz w:val="22"/>
          <w:szCs w:val="22"/>
          <w:lang w:val="en-GB"/>
        </w:rPr>
        <w:t>any</w:t>
      </w:r>
      <w:r w:rsidRPr="00B62BFD">
        <w:rPr>
          <w:rFonts w:ascii="Arial" w:hAnsi="Arial" w:cs="Arial"/>
          <w:color w:val="7B7B7B" w:themeColor="accent3" w:themeShade="BF"/>
          <w:sz w:val="22"/>
          <w:szCs w:val="22"/>
          <w:lang w:val="en-GB"/>
        </w:rPr>
        <w:t xml:space="preserve"> case, </w:t>
      </w:r>
      <w:r w:rsidR="006B20E8" w:rsidRPr="00B62BFD">
        <w:rPr>
          <w:rFonts w:ascii="Arial" w:hAnsi="Arial" w:cs="Arial"/>
          <w:color w:val="7B7B7B" w:themeColor="accent3" w:themeShade="BF"/>
          <w:sz w:val="22"/>
          <w:szCs w:val="22"/>
          <w:lang w:val="en-GB"/>
        </w:rPr>
        <w:t xml:space="preserve">the </w:t>
      </w:r>
      <w:r w:rsidRPr="00B62BFD">
        <w:rPr>
          <w:rFonts w:ascii="Arial" w:hAnsi="Arial" w:cs="Arial"/>
          <w:color w:val="7B7B7B" w:themeColor="accent3" w:themeShade="BF"/>
          <w:sz w:val="22"/>
          <w:szCs w:val="22"/>
          <w:lang w:val="en-GB"/>
        </w:rPr>
        <w:t>countries are EU member states</w:t>
      </w:r>
      <w:r w:rsidR="006B20E8" w:rsidRPr="00B62BFD">
        <w:rPr>
          <w:rFonts w:ascii="Arial" w:hAnsi="Arial" w:cs="Arial"/>
          <w:color w:val="7B7B7B" w:themeColor="accent3" w:themeShade="BF"/>
          <w:sz w:val="22"/>
          <w:szCs w:val="22"/>
          <w:lang w:val="en-GB"/>
        </w:rPr>
        <w:t xml:space="preserve"> so the COMI location will invariably be in a member state</w:t>
      </w:r>
      <w:r w:rsidRPr="00B62BFD">
        <w:rPr>
          <w:rFonts w:ascii="Arial" w:hAnsi="Arial" w:cs="Arial"/>
          <w:color w:val="7B7B7B" w:themeColor="accent3" w:themeShade="BF"/>
          <w:sz w:val="22"/>
          <w:szCs w:val="22"/>
          <w:lang w:val="en-GB"/>
        </w:rPr>
        <w:t>.</w:t>
      </w:r>
    </w:p>
    <w:p w14:paraId="206BB374" w14:textId="77777777" w:rsidR="00393254" w:rsidRPr="00B62BFD" w:rsidRDefault="00393254" w:rsidP="002A37BB">
      <w:pPr>
        <w:autoSpaceDE w:val="0"/>
        <w:autoSpaceDN w:val="0"/>
        <w:adjustRightInd w:val="0"/>
        <w:jc w:val="both"/>
        <w:rPr>
          <w:rFonts w:ascii="Arial" w:hAnsi="Arial" w:cs="Arial"/>
          <w:color w:val="7B7B7B" w:themeColor="accent3" w:themeShade="BF"/>
          <w:sz w:val="22"/>
          <w:szCs w:val="22"/>
          <w:lang w:val="en-GB"/>
        </w:rPr>
      </w:pPr>
    </w:p>
    <w:p w14:paraId="7549A032" w14:textId="256C6ED6" w:rsidR="00CA38AF" w:rsidRPr="00B62BFD" w:rsidRDefault="00CA38AF" w:rsidP="002A37BB">
      <w:pPr>
        <w:autoSpaceDE w:val="0"/>
        <w:autoSpaceDN w:val="0"/>
        <w:adjustRightInd w:val="0"/>
        <w:jc w:val="both"/>
        <w:rPr>
          <w:rFonts w:ascii="Arial" w:hAnsi="Arial" w:cs="Arial"/>
          <w:color w:val="7B7B7B" w:themeColor="accent3" w:themeShade="BF"/>
          <w:sz w:val="22"/>
          <w:szCs w:val="22"/>
          <w:u w:val="single"/>
          <w:lang w:val="en-GB"/>
        </w:rPr>
      </w:pPr>
      <w:r w:rsidRPr="00B62BFD">
        <w:rPr>
          <w:rFonts w:ascii="Arial" w:hAnsi="Arial" w:cs="Arial"/>
          <w:color w:val="7B7B7B" w:themeColor="accent3" w:themeShade="BF"/>
          <w:sz w:val="22"/>
          <w:szCs w:val="22"/>
          <w:u w:val="single"/>
          <w:lang w:val="en-GB"/>
        </w:rPr>
        <w:t>Personal scope</w:t>
      </w:r>
    </w:p>
    <w:p w14:paraId="79FC0868" w14:textId="650B15A1" w:rsidR="00393254" w:rsidRPr="00B62BFD" w:rsidRDefault="00393254" w:rsidP="002A37BB">
      <w:pPr>
        <w:autoSpaceDE w:val="0"/>
        <w:autoSpaceDN w:val="0"/>
        <w:adjustRightInd w:val="0"/>
        <w:jc w:val="both"/>
        <w:rPr>
          <w:rFonts w:ascii="Arial" w:hAnsi="Arial" w:cs="Arial"/>
          <w:color w:val="7B7B7B" w:themeColor="accent3" w:themeShade="BF"/>
          <w:sz w:val="22"/>
          <w:szCs w:val="22"/>
          <w:lang w:val="en-GB"/>
        </w:rPr>
      </w:pPr>
      <w:r w:rsidRPr="00B62BFD">
        <w:rPr>
          <w:rFonts w:ascii="Arial" w:hAnsi="Arial" w:cs="Arial"/>
          <w:color w:val="7B7B7B" w:themeColor="accent3" w:themeShade="BF"/>
          <w:sz w:val="22"/>
          <w:szCs w:val="22"/>
          <w:lang w:val="en-GB"/>
        </w:rPr>
        <w:t>It is then necessary to consider whether Bella SARL is a bank, insurance company or other excluded undertaking. On the facts, no exclusion applies.</w:t>
      </w:r>
    </w:p>
    <w:p w14:paraId="57537158" w14:textId="77777777" w:rsidR="00393254" w:rsidRPr="00B62BFD" w:rsidRDefault="00393254" w:rsidP="002A37BB">
      <w:pPr>
        <w:autoSpaceDE w:val="0"/>
        <w:autoSpaceDN w:val="0"/>
        <w:adjustRightInd w:val="0"/>
        <w:jc w:val="both"/>
        <w:rPr>
          <w:rFonts w:ascii="Arial" w:hAnsi="Arial" w:cs="Arial"/>
          <w:color w:val="7B7B7B" w:themeColor="accent3" w:themeShade="BF"/>
          <w:sz w:val="22"/>
          <w:szCs w:val="22"/>
          <w:lang w:val="en-GB"/>
        </w:rPr>
      </w:pPr>
    </w:p>
    <w:p w14:paraId="0BA271D8" w14:textId="3AF85CC0" w:rsidR="00CA38AF" w:rsidRPr="00B62BFD" w:rsidRDefault="00CA38AF" w:rsidP="002A37BB">
      <w:pPr>
        <w:autoSpaceDE w:val="0"/>
        <w:autoSpaceDN w:val="0"/>
        <w:adjustRightInd w:val="0"/>
        <w:jc w:val="both"/>
        <w:rPr>
          <w:rFonts w:ascii="Arial" w:hAnsi="Arial" w:cs="Arial"/>
          <w:color w:val="7B7B7B" w:themeColor="accent3" w:themeShade="BF"/>
          <w:sz w:val="22"/>
          <w:szCs w:val="22"/>
          <w:u w:val="single"/>
          <w:lang w:val="en-GB"/>
        </w:rPr>
      </w:pPr>
      <w:r w:rsidRPr="00B62BFD">
        <w:rPr>
          <w:rFonts w:ascii="Arial" w:hAnsi="Arial" w:cs="Arial"/>
          <w:color w:val="7B7B7B" w:themeColor="accent3" w:themeShade="BF"/>
          <w:sz w:val="22"/>
          <w:szCs w:val="22"/>
          <w:u w:val="single"/>
          <w:lang w:val="en-GB"/>
        </w:rPr>
        <w:t>Material scope</w:t>
      </w:r>
    </w:p>
    <w:p w14:paraId="4D20FB44" w14:textId="7581B24F" w:rsidR="00393254" w:rsidRPr="00B62BFD" w:rsidRDefault="00393254" w:rsidP="002A37BB">
      <w:pPr>
        <w:autoSpaceDE w:val="0"/>
        <w:autoSpaceDN w:val="0"/>
        <w:adjustRightInd w:val="0"/>
        <w:jc w:val="both"/>
        <w:rPr>
          <w:rFonts w:ascii="Arial" w:hAnsi="Arial" w:cs="Arial"/>
          <w:color w:val="7B7B7B" w:themeColor="accent3" w:themeShade="BF"/>
          <w:sz w:val="22"/>
          <w:szCs w:val="22"/>
          <w:lang w:val="en-GB"/>
        </w:rPr>
      </w:pPr>
      <w:r w:rsidRPr="00B62BFD">
        <w:rPr>
          <w:rFonts w:ascii="Arial" w:hAnsi="Arial" w:cs="Arial"/>
          <w:color w:val="7B7B7B" w:themeColor="accent3" w:themeShade="BF"/>
          <w:sz w:val="22"/>
          <w:szCs w:val="22"/>
          <w:lang w:val="en-GB"/>
        </w:rPr>
        <w:t xml:space="preserve">The next question to consider is whether the safeguard proceedings </w:t>
      </w:r>
      <w:r w:rsidR="00CA38AF" w:rsidRPr="00B62BFD">
        <w:rPr>
          <w:rFonts w:ascii="Arial" w:hAnsi="Arial" w:cs="Arial"/>
          <w:color w:val="7B7B7B" w:themeColor="accent3" w:themeShade="BF"/>
          <w:sz w:val="22"/>
          <w:szCs w:val="22"/>
          <w:lang w:val="en-GB"/>
        </w:rPr>
        <w:t xml:space="preserve">as </w:t>
      </w:r>
      <w:r w:rsidRPr="00B62BFD">
        <w:rPr>
          <w:rFonts w:ascii="Arial" w:hAnsi="Arial" w:cs="Arial"/>
          <w:color w:val="7B7B7B" w:themeColor="accent3" w:themeShade="BF"/>
          <w:sz w:val="22"/>
          <w:szCs w:val="22"/>
          <w:lang w:val="en-GB"/>
        </w:rPr>
        <w:t>open</w:t>
      </w:r>
      <w:r w:rsidR="00CA38AF" w:rsidRPr="00B62BFD">
        <w:rPr>
          <w:rFonts w:ascii="Arial" w:hAnsi="Arial" w:cs="Arial"/>
          <w:color w:val="7B7B7B" w:themeColor="accent3" w:themeShade="BF"/>
          <w:sz w:val="22"/>
          <w:szCs w:val="22"/>
          <w:lang w:val="en-GB"/>
        </w:rPr>
        <w:t>ed are listed in Annex A to the EIR Recast.</w:t>
      </w:r>
      <w:r w:rsidRPr="00B62BFD">
        <w:rPr>
          <w:rFonts w:ascii="Arial" w:hAnsi="Arial" w:cs="Arial"/>
          <w:color w:val="7B7B7B" w:themeColor="accent3" w:themeShade="BF"/>
          <w:sz w:val="22"/>
          <w:szCs w:val="22"/>
          <w:lang w:val="en-GB"/>
        </w:rPr>
        <w:t xml:space="preserve"> </w:t>
      </w:r>
      <w:r w:rsidR="00CA38AF" w:rsidRPr="00B62BFD">
        <w:rPr>
          <w:rFonts w:ascii="Arial" w:hAnsi="Arial" w:cs="Arial"/>
          <w:color w:val="7B7B7B" w:themeColor="accent3" w:themeShade="BF"/>
          <w:sz w:val="22"/>
          <w:szCs w:val="22"/>
          <w:lang w:val="en-GB"/>
        </w:rPr>
        <w:t xml:space="preserve"> Annex A makes specific reference to safeguard (or </w:t>
      </w:r>
      <w:proofErr w:type="spellStart"/>
      <w:r w:rsidR="00CA38AF" w:rsidRPr="00B62BFD">
        <w:rPr>
          <w:rFonts w:ascii="Arial" w:hAnsi="Arial" w:cs="Arial"/>
          <w:color w:val="7B7B7B" w:themeColor="accent3" w:themeShade="BF"/>
          <w:sz w:val="22"/>
          <w:szCs w:val="22"/>
          <w:lang w:val="en-GB"/>
        </w:rPr>
        <w:t>sauvegarde</w:t>
      </w:r>
      <w:proofErr w:type="spellEnd"/>
      <w:r w:rsidR="00CA38AF" w:rsidRPr="00B62BFD">
        <w:rPr>
          <w:rFonts w:ascii="Arial" w:hAnsi="Arial" w:cs="Arial"/>
          <w:color w:val="7B7B7B" w:themeColor="accent3" w:themeShade="BF"/>
          <w:sz w:val="22"/>
          <w:szCs w:val="22"/>
          <w:lang w:val="en-GB"/>
        </w:rPr>
        <w:t xml:space="preserve">) proceedings under the French heading. </w:t>
      </w:r>
    </w:p>
    <w:p w14:paraId="6E50C380" w14:textId="77777777" w:rsidR="00CA38AF" w:rsidRPr="00B62BFD" w:rsidRDefault="00CA38AF" w:rsidP="002A37BB">
      <w:pPr>
        <w:autoSpaceDE w:val="0"/>
        <w:autoSpaceDN w:val="0"/>
        <w:adjustRightInd w:val="0"/>
        <w:jc w:val="both"/>
        <w:rPr>
          <w:rFonts w:ascii="Arial" w:hAnsi="Arial" w:cs="Arial"/>
          <w:color w:val="7B7B7B" w:themeColor="accent3" w:themeShade="BF"/>
          <w:sz w:val="22"/>
          <w:szCs w:val="22"/>
          <w:lang w:val="en-GB"/>
        </w:rPr>
      </w:pPr>
    </w:p>
    <w:p w14:paraId="14FA9D74" w14:textId="77777777" w:rsidR="00287523" w:rsidRDefault="00287523" w:rsidP="002A37BB">
      <w:pPr>
        <w:autoSpaceDE w:val="0"/>
        <w:autoSpaceDN w:val="0"/>
        <w:adjustRightInd w:val="0"/>
        <w:jc w:val="both"/>
        <w:rPr>
          <w:rFonts w:ascii="Arial" w:hAnsi="Arial" w:cs="Arial"/>
          <w:color w:val="7B7B7B" w:themeColor="accent3" w:themeShade="BF"/>
          <w:sz w:val="22"/>
          <w:szCs w:val="22"/>
          <w:u w:val="single"/>
          <w:lang w:val="en-GB"/>
        </w:rPr>
      </w:pPr>
    </w:p>
    <w:p w14:paraId="0FAE62DF" w14:textId="181FBF4D" w:rsidR="00CA38AF" w:rsidRPr="00B62BFD" w:rsidRDefault="00CA38AF" w:rsidP="002A37BB">
      <w:pPr>
        <w:autoSpaceDE w:val="0"/>
        <w:autoSpaceDN w:val="0"/>
        <w:adjustRightInd w:val="0"/>
        <w:jc w:val="both"/>
        <w:rPr>
          <w:rFonts w:ascii="Arial" w:hAnsi="Arial" w:cs="Arial"/>
          <w:color w:val="7B7B7B" w:themeColor="accent3" w:themeShade="BF"/>
          <w:sz w:val="22"/>
          <w:szCs w:val="22"/>
          <w:u w:val="single"/>
          <w:lang w:val="en-GB"/>
        </w:rPr>
      </w:pPr>
      <w:r w:rsidRPr="00B62BFD">
        <w:rPr>
          <w:rFonts w:ascii="Arial" w:hAnsi="Arial" w:cs="Arial"/>
          <w:color w:val="7B7B7B" w:themeColor="accent3" w:themeShade="BF"/>
          <w:sz w:val="22"/>
          <w:szCs w:val="22"/>
          <w:u w:val="single"/>
          <w:lang w:val="en-GB"/>
        </w:rPr>
        <w:t>Temporal scope</w:t>
      </w:r>
    </w:p>
    <w:p w14:paraId="753AF116" w14:textId="75AD2D43" w:rsidR="00CA38AF" w:rsidRPr="00B62BFD" w:rsidRDefault="00CA38AF" w:rsidP="002A37BB">
      <w:pPr>
        <w:autoSpaceDE w:val="0"/>
        <w:autoSpaceDN w:val="0"/>
        <w:adjustRightInd w:val="0"/>
        <w:jc w:val="both"/>
        <w:rPr>
          <w:rFonts w:ascii="Arial" w:hAnsi="Arial" w:cs="Arial"/>
          <w:sz w:val="22"/>
          <w:szCs w:val="22"/>
          <w:lang w:val="en-GB"/>
        </w:rPr>
      </w:pPr>
      <w:r w:rsidRPr="00B62BFD">
        <w:rPr>
          <w:rFonts w:ascii="Arial" w:hAnsi="Arial" w:cs="Arial"/>
          <w:color w:val="7B7B7B" w:themeColor="accent3" w:themeShade="BF"/>
          <w:sz w:val="22"/>
          <w:szCs w:val="22"/>
          <w:lang w:val="en-GB"/>
        </w:rPr>
        <w:t>The final question is to consider whether the proceeding was opened after 26 June 2017. As the petition was filed on 20 June 2017, EIR Recast will not apply.</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2F19E6E" w14:textId="10739D2C" w:rsidR="009267AD" w:rsidRPr="008039C5" w:rsidRDefault="009267AD" w:rsidP="002A37BB">
      <w:pPr>
        <w:jc w:val="both"/>
        <w:rPr>
          <w:rFonts w:ascii="Arial" w:hAnsi="Arial" w:cs="Arial"/>
          <w:color w:val="7B7B7B" w:themeColor="accent3" w:themeShade="BF"/>
          <w:sz w:val="22"/>
          <w:szCs w:val="22"/>
          <w:lang w:val="en-GB"/>
        </w:rPr>
      </w:pPr>
      <w:r w:rsidRPr="008039C5">
        <w:rPr>
          <w:rFonts w:ascii="Arial" w:hAnsi="Arial" w:cs="Arial"/>
          <w:color w:val="7B7B7B" w:themeColor="accent3" w:themeShade="BF"/>
          <w:sz w:val="22"/>
          <w:szCs w:val="22"/>
          <w:lang w:val="en-GB"/>
        </w:rPr>
        <w:t xml:space="preserve">As set out in the facts, a safeguard petition has been filed in France. </w:t>
      </w:r>
      <w:r w:rsidR="009606A0" w:rsidRPr="008039C5">
        <w:rPr>
          <w:rFonts w:ascii="Arial" w:hAnsi="Arial" w:cs="Arial"/>
          <w:color w:val="7B7B7B" w:themeColor="accent3" w:themeShade="BF"/>
          <w:sz w:val="22"/>
          <w:szCs w:val="22"/>
          <w:lang w:val="en-GB"/>
        </w:rPr>
        <w:t xml:space="preserve"> Under Article 3(1) </w:t>
      </w:r>
      <w:r w:rsidRPr="008039C5">
        <w:rPr>
          <w:rFonts w:ascii="Arial" w:hAnsi="Arial" w:cs="Arial"/>
          <w:color w:val="7B7B7B" w:themeColor="accent3" w:themeShade="BF"/>
          <w:sz w:val="22"/>
          <w:szCs w:val="22"/>
          <w:lang w:val="en-GB"/>
        </w:rPr>
        <w:t>the EIR Recast, it is likely that the French proceeding will be the main proceeding given the presumption which follows from its registered office being located there</w:t>
      </w:r>
      <w:r w:rsidR="009606A0" w:rsidRPr="008039C5">
        <w:rPr>
          <w:rFonts w:ascii="Arial" w:hAnsi="Arial" w:cs="Arial"/>
          <w:color w:val="7B7B7B" w:themeColor="accent3" w:themeShade="BF"/>
          <w:sz w:val="22"/>
          <w:szCs w:val="22"/>
          <w:lang w:val="en-GB"/>
        </w:rPr>
        <w:t>.</w:t>
      </w:r>
      <w:r w:rsidRPr="008039C5">
        <w:rPr>
          <w:rFonts w:ascii="Arial" w:hAnsi="Arial" w:cs="Arial"/>
          <w:color w:val="7B7B7B" w:themeColor="accent3" w:themeShade="BF"/>
          <w:sz w:val="22"/>
          <w:szCs w:val="22"/>
          <w:lang w:val="en-GB"/>
        </w:rPr>
        <w:t xml:space="preserve"> </w:t>
      </w:r>
      <w:r w:rsidR="009606A0" w:rsidRPr="008039C5">
        <w:rPr>
          <w:rFonts w:ascii="Arial" w:hAnsi="Arial" w:cs="Arial"/>
          <w:color w:val="7B7B7B" w:themeColor="accent3" w:themeShade="BF"/>
          <w:sz w:val="22"/>
          <w:szCs w:val="22"/>
          <w:lang w:val="en-GB"/>
        </w:rPr>
        <w:t>S</w:t>
      </w:r>
      <w:r w:rsidRPr="008039C5">
        <w:rPr>
          <w:rFonts w:ascii="Arial" w:hAnsi="Arial" w:cs="Arial"/>
          <w:color w:val="7B7B7B" w:themeColor="accent3" w:themeShade="BF"/>
          <w:sz w:val="22"/>
          <w:szCs w:val="22"/>
          <w:lang w:val="en-GB"/>
        </w:rPr>
        <w:t>ubject to a consideration of the relevant factors</w:t>
      </w:r>
      <w:r w:rsidR="009606A0" w:rsidRPr="008039C5">
        <w:rPr>
          <w:rFonts w:ascii="Arial" w:hAnsi="Arial" w:cs="Arial"/>
          <w:color w:val="7B7B7B" w:themeColor="accent3" w:themeShade="BF"/>
          <w:sz w:val="22"/>
          <w:szCs w:val="22"/>
          <w:lang w:val="en-GB"/>
        </w:rPr>
        <w:t xml:space="preserve"> as set out in Recital 30 </w:t>
      </w:r>
      <w:r w:rsidRPr="008039C5">
        <w:rPr>
          <w:rFonts w:ascii="Arial" w:hAnsi="Arial" w:cs="Arial"/>
          <w:color w:val="7B7B7B" w:themeColor="accent3" w:themeShade="BF"/>
          <w:sz w:val="22"/>
          <w:szCs w:val="22"/>
          <w:lang w:val="en-GB"/>
        </w:rPr>
        <w:t>which</w:t>
      </w:r>
      <w:r w:rsidR="009606A0" w:rsidRPr="008039C5">
        <w:rPr>
          <w:rFonts w:ascii="Arial" w:hAnsi="Arial" w:cs="Arial"/>
          <w:color w:val="7B7B7B" w:themeColor="accent3" w:themeShade="BF"/>
          <w:sz w:val="22"/>
          <w:szCs w:val="22"/>
          <w:lang w:val="en-GB"/>
        </w:rPr>
        <w:t xml:space="preserve"> requires consideration of whether</w:t>
      </w:r>
      <w:r w:rsidRPr="008039C5">
        <w:rPr>
          <w:rFonts w:ascii="Arial" w:hAnsi="Arial" w:cs="Arial"/>
          <w:color w:val="7B7B7B" w:themeColor="accent3" w:themeShade="BF"/>
          <w:sz w:val="22"/>
          <w:szCs w:val="22"/>
          <w:lang w:val="en-GB"/>
        </w:rPr>
        <w:t>, as ascertainable by third parties,</w:t>
      </w:r>
      <w:r w:rsidR="009606A0" w:rsidRPr="008039C5">
        <w:rPr>
          <w:rFonts w:ascii="Arial" w:hAnsi="Arial" w:cs="Arial"/>
          <w:color w:val="7B7B7B" w:themeColor="accent3" w:themeShade="BF"/>
          <w:sz w:val="22"/>
          <w:szCs w:val="22"/>
          <w:lang w:val="en-GB"/>
        </w:rPr>
        <w:t xml:space="preserve"> the company actual centre of management and supervision and of the management of its interests is located – it does not seem that the presumption would be </w:t>
      </w:r>
      <w:proofErr w:type="gramStart"/>
      <w:r w:rsidR="009606A0" w:rsidRPr="008039C5">
        <w:rPr>
          <w:rFonts w:ascii="Arial" w:hAnsi="Arial" w:cs="Arial"/>
          <w:color w:val="7B7B7B" w:themeColor="accent3" w:themeShade="BF"/>
          <w:sz w:val="22"/>
          <w:szCs w:val="22"/>
          <w:lang w:val="en-GB"/>
        </w:rPr>
        <w:t>rebutted</w:t>
      </w:r>
      <w:proofErr w:type="gramEnd"/>
      <w:r w:rsidR="009606A0" w:rsidRPr="008039C5">
        <w:rPr>
          <w:rFonts w:ascii="Arial" w:hAnsi="Arial" w:cs="Arial"/>
          <w:color w:val="7B7B7B" w:themeColor="accent3" w:themeShade="BF"/>
          <w:sz w:val="22"/>
          <w:szCs w:val="22"/>
          <w:lang w:val="en-GB"/>
        </w:rPr>
        <w:t xml:space="preserve"> and that France would be the COMI and the safeguard proceeding would be the main proceeding.</w:t>
      </w:r>
      <w:r w:rsidRPr="008039C5">
        <w:rPr>
          <w:rFonts w:ascii="Arial" w:hAnsi="Arial" w:cs="Arial"/>
          <w:color w:val="7B7B7B" w:themeColor="accent3" w:themeShade="BF"/>
          <w:sz w:val="22"/>
          <w:szCs w:val="22"/>
          <w:lang w:val="en-GB"/>
        </w:rPr>
        <w:t xml:space="preserve"> </w:t>
      </w:r>
    </w:p>
    <w:p w14:paraId="55955925" w14:textId="77777777" w:rsidR="009267AD" w:rsidRPr="008039C5" w:rsidRDefault="009267AD" w:rsidP="002A37BB">
      <w:pPr>
        <w:jc w:val="both"/>
        <w:rPr>
          <w:rFonts w:ascii="Arial" w:hAnsi="Arial" w:cs="Arial"/>
          <w:color w:val="7B7B7B" w:themeColor="accent3" w:themeShade="BF"/>
          <w:sz w:val="22"/>
          <w:szCs w:val="22"/>
          <w:lang w:val="en-GB"/>
        </w:rPr>
      </w:pPr>
    </w:p>
    <w:p w14:paraId="7BB5AEF8" w14:textId="72DE7A17" w:rsidR="00BF693B" w:rsidRPr="008039C5" w:rsidRDefault="00CA38AF" w:rsidP="002A37BB">
      <w:pPr>
        <w:jc w:val="both"/>
        <w:rPr>
          <w:rFonts w:ascii="Arial" w:hAnsi="Arial" w:cs="Arial"/>
          <w:color w:val="7B7B7B" w:themeColor="accent3" w:themeShade="BF"/>
          <w:sz w:val="22"/>
          <w:szCs w:val="22"/>
          <w:lang w:val="en-GB"/>
        </w:rPr>
      </w:pPr>
      <w:r w:rsidRPr="008039C5">
        <w:rPr>
          <w:rFonts w:ascii="Arial" w:hAnsi="Arial" w:cs="Arial"/>
          <w:color w:val="7B7B7B" w:themeColor="accent3" w:themeShade="BF"/>
          <w:sz w:val="22"/>
          <w:szCs w:val="22"/>
          <w:lang w:val="en-GB"/>
        </w:rPr>
        <w:t xml:space="preserve">The EIR Recast </w:t>
      </w:r>
      <w:r w:rsidR="00651DA1" w:rsidRPr="008039C5">
        <w:rPr>
          <w:rFonts w:ascii="Arial" w:hAnsi="Arial" w:cs="Arial"/>
          <w:color w:val="7B7B7B" w:themeColor="accent3" w:themeShade="BF"/>
          <w:sz w:val="22"/>
          <w:szCs w:val="22"/>
          <w:lang w:val="en-GB"/>
        </w:rPr>
        <w:t xml:space="preserve">permits the opening of secondary proceedings in any </w:t>
      </w:r>
      <w:r w:rsidR="009606A0" w:rsidRPr="008039C5">
        <w:rPr>
          <w:rFonts w:ascii="Arial" w:hAnsi="Arial" w:cs="Arial"/>
          <w:color w:val="7B7B7B" w:themeColor="accent3" w:themeShade="BF"/>
          <w:sz w:val="22"/>
          <w:szCs w:val="22"/>
          <w:lang w:val="en-GB"/>
        </w:rPr>
        <w:t xml:space="preserve">member state </w:t>
      </w:r>
      <w:r w:rsidR="00651DA1" w:rsidRPr="008039C5">
        <w:rPr>
          <w:rFonts w:ascii="Arial" w:hAnsi="Arial" w:cs="Arial"/>
          <w:color w:val="7B7B7B" w:themeColor="accent3" w:themeShade="BF"/>
          <w:sz w:val="22"/>
          <w:szCs w:val="22"/>
          <w:lang w:val="en-GB"/>
        </w:rPr>
        <w:t xml:space="preserve">in which the debtor has an establishment.  As set out under Article 2(10) of EIR Recast, “Establishment” means any place of operations where a debtor carries out or </w:t>
      </w:r>
      <w:r w:rsidR="00BF693B" w:rsidRPr="008039C5">
        <w:rPr>
          <w:rFonts w:ascii="Arial" w:hAnsi="Arial" w:cs="Arial"/>
          <w:color w:val="7B7B7B" w:themeColor="accent3" w:themeShade="BF"/>
          <w:sz w:val="22"/>
          <w:szCs w:val="22"/>
          <w:lang w:val="en-GB"/>
        </w:rPr>
        <w:t>has carried out in the three-month period prior to the request to open main insolvency proceedings a non-transitory economic activity with human means and assets.</w:t>
      </w:r>
      <w:r w:rsidR="009606A0" w:rsidRPr="008039C5">
        <w:rPr>
          <w:rFonts w:ascii="Arial" w:hAnsi="Arial" w:cs="Arial"/>
          <w:color w:val="7B7B7B" w:themeColor="accent3" w:themeShade="BF"/>
          <w:sz w:val="22"/>
          <w:szCs w:val="22"/>
          <w:lang w:val="en-GB"/>
        </w:rPr>
        <w:t xml:space="preserve">  T</w:t>
      </w:r>
      <w:r w:rsidR="00D50023" w:rsidRPr="008039C5">
        <w:rPr>
          <w:rFonts w:ascii="Arial" w:hAnsi="Arial" w:cs="Arial"/>
          <w:color w:val="7B7B7B" w:themeColor="accent3" w:themeShade="BF"/>
          <w:sz w:val="22"/>
          <w:szCs w:val="22"/>
          <w:lang w:val="en-GB"/>
        </w:rPr>
        <w:t xml:space="preserve">he CJEU </w:t>
      </w:r>
      <w:r w:rsidR="00BF693B" w:rsidRPr="008039C5">
        <w:rPr>
          <w:rFonts w:ascii="Arial" w:hAnsi="Arial" w:cs="Arial"/>
          <w:color w:val="7B7B7B" w:themeColor="accent3" w:themeShade="BF"/>
          <w:sz w:val="22"/>
          <w:szCs w:val="22"/>
          <w:lang w:val="en-GB"/>
        </w:rPr>
        <w:t xml:space="preserve">in </w:t>
      </w:r>
      <w:r w:rsidR="00BF693B" w:rsidRPr="008039C5">
        <w:rPr>
          <w:rFonts w:ascii="Arial" w:hAnsi="Arial" w:cs="Arial"/>
          <w:i/>
          <w:iCs/>
          <w:color w:val="7B7B7B" w:themeColor="accent3" w:themeShade="BF"/>
          <w:sz w:val="22"/>
          <w:szCs w:val="22"/>
          <w:lang w:val="en-GB"/>
        </w:rPr>
        <w:t>Interedil</w:t>
      </w:r>
      <w:r w:rsidR="00D50023" w:rsidRPr="008039C5">
        <w:rPr>
          <w:rFonts w:ascii="Arial" w:hAnsi="Arial" w:cs="Arial"/>
          <w:i/>
          <w:iCs/>
          <w:color w:val="7B7B7B" w:themeColor="accent3" w:themeShade="BF"/>
          <w:sz w:val="22"/>
          <w:szCs w:val="22"/>
          <w:lang w:val="en-GB"/>
        </w:rPr>
        <w:t xml:space="preserve"> </w:t>
      </w:r>
      <w:proofErr w:type="spellStart"/>
      <w:r w:rsidR="00D50023" w:rsidRPr="008039C5">
        <w:rPr>
          <w:rFonts w:ascii="Arial" w:hAnsi="Arial" w:cs="Arial"/>
          <w:i/>
          <w:iCs/>
          <w:color w:val="7B7B7B" w:themeColor="accent3" w:themeShade="BF"/>
          <w:sz w:val="22"/>
          <w:szCs w:val="22"/>
          <w:lang w:val="en-GB"/>
        </w:rPr>
        <w:t>SRl</w:t>
      </w:r>
      <w:proofErr w:type="spellEnd"/>
      <w:r w:rsidR="00D50023" w:rsidRPr="008039C5">
        <w:rPr>
          <w:rFonts w:ascii="Arial" w:hAnsi="Arial" w:cs="Arial"/>
          <w:i/>
          <w:iCs/>
          <w:color w:val="7B7B7B" w:themeColor="accent3" w:themeShade="BF"/>
          <w:sz w:val="22"/>
          <w:szCs w:val="22"/>
          <w:lang w:val="en-GB"/>
        </w:rPr>
        <w:t xml:space="preserve"> v </w:t>
      </w:r>
      <w:proofErr w:type="spellStart"/>
      <w:r w:rsidR="00D50023" w:rsidRPr="008039C5">
        <w:rPr>
          <w:rFonts w:ascii="Arial" w:hAnsi="Arial" w:cs="Arial"/>
          <w:i/>
          <w:iCs/>
          <w:color w:val="7B7B7B" w:themeColor="accent3" w:themeShade="BF"/>
          <w:sz w:val="22"/>
          <w:szCs w:val="22"/>
          <w:lang w:val="en-GB"/>
        </w:rPr>
        <w:t>Fallimento</w:t>
      </w:r>
      <w:proofErr w:type="spellEnd"/>
      <w:r w:rsidR="00D50023" w:rsidRPr="008039C5">
        <w:rPr>
          <w:rFonts w:ascii="Arial" w:hAnsi="Arial" w:cs="Arial"/>
          <w:i/>
          <w:iCs/>
          <w:color w:val="7B7B7B" w:themeColor="accent3" w:themeShade="BF"/>
          <w:sz w:val="22"/>
          <w:szCs w:val="22"/>
          <w:lang w:val="en-GB"/>
        </w:rPr>
        <w:t xml:space="preserve"> Interedil </w:t>
      </w:r>
      <w:proofErr w:type="spellStart"/>
      <w:r w:rsidR="00D50023" w:rsidRPr="008039C5">
        <w:rPr>
          <w:rFonts w:ascii="Arial" w:hAnsi="Arial" w:cs="Arial"/>
          <w:i/>
          <w:iCs/>
          <w:color w:val="7B7B7B" w:themeColor="accent3" w:themeShade="BF"/>
          <w:sz w:val="22"/>
          <w:szCs w:val="22"/>
          <w:lang w:val="en-GB"/>
        </w:rPr>
        <w:t>SRl</w:t>
      </w:r>
      <w:proofErr w:type="spellEnd"/>
      <w:r w:rsidR="00D50023" w:rsidRPr="008039C5">
        <w:rPr>
          <w:rStyle w:val="FootnoteReference"/>
          <w:rFonts w:ascii="Arial" w:hAnsi="Arial" w:cs="Arial"/>
          <w:i/>
          <w:iCs/>
          <w:color w:val="7B7B7B" w:themeColor="accent3" w:themeShade="BF"/>
          <w:sz w:val="22"/>
          <w:szCs w:val="22"/>
          <w:lang w:val="en-GB"/>
        </w:rPr>
        <w:footnoteReference w:id="3"/>
      </w:r>
      <w:r w:rsidR="00D50023" w:rsidRPr="008039C5">
        <w:rPr>
          <w:rFonts w:ascii="Arial" w:hAnsi="Arial" w:cs="Arial"/>
          <w:i/>
          <w:iCs/>
          <w:color w:val="7B7B7B" w:themeColor="accent3" w:themeShade="BF"/>
          <w:sz w:val="22"/>
          <w:szCs w:val="22"/>
          <w:lang w:val="en-GB"/>
        </w:rPr>
        <w:t xml:space="preserve"> </w:t>
      </w:r>
      <w:r w:rsidR="009606A0" w:rsidRPr="008039C5">
        <w:rPr>
          <w:rFonts w:ascii="Arial" w:hAnsi="Arial" w:cs="Arial"/>
          <w:color w:val="7B7B7B" w:themeColor="accent3" w:themeShade="BF"/>
          <w:sz w:val="22"/>
          <w:szCs w:val="22"/>
          <w:lang w:val="en-GB"/>
        </w:rPr>
        <w:t xml:space="preserve">set out that </w:t>
      </w:r>
      <w:r w:rsidR="00BF693B" w:rsidRPr="008039C5">
        <w:rPr>
          <w:rFonts w:ascii="Arial" w:hAnsi="Arial" w:cs="Arial"/>
          <w:color w:val="7B7B7B" w:themeColor="accent3" w:themeShade="BF"/>
          <w:sz w:val="22"/>
          <w:szCs w:val="22"/>
          <w:lang w:val="en-GB"/>
        </w:rPr>
        <w:t>the pursuit of an economic activity is linked to the presence of human resources. Accordingly, a minimum level of organisation and degree of stability are required. It is necessary to conduct the analysis of whether an establishment exists as at the time of filing the petition to open secondary proceedings.</w:t>
      </w:r>
    </w:p>
    <w:p w14:paraId="03DFB2FA" w14:textId="77777777" w:rsidR="00BF693B" w:rsidRPr="008039C5" w:rsidRDefault="00BF693B" w:rsidP="002A37BB">
      <w:pPr>
        <w:jc w:val="both"/>
        <w:rPr>
          <w:rFonts w:ascii="Arial" w:hAnsi="Arial" w:cs="Arial"/>
          <w:color w:val="7B7B7B" w:themeColor="accent3" w:themeShade="BF"/>
          <w:sz w:val="22"/>
          <w:szCs w:val="22"/>
          <w:lang w:val="en-GB"/>
        </w:rPr>
      </w:pPr>
    </w:p>
    <w:p w14:paraId="62D13D04" w14:textId="10EE2839" w:rsidR="00BF693B" w:rsidRPr="008039C5" w:rsidRDefault="00BF693B" w:rsidP="002A37BB">
      <w:pPr>
        <w:jc w:val="both"/>
        <w:rPr>
          <w:rFonts w:ascii="Arial" w:hAnsi="Arial" w:cs="Arial"/>
          <w:color w:val="7B7B7B" w:themeColor="accent3" w:themeShade="BF"/>
          <w:sz w:val="22"/>
          <w:szCs w:val="22"/>
          <w:lang w:val="en-GB"/>
        </w:rPr>
      </w:pPr>
      <w:r w:rsidRPr="008039C5">
        <w:rPr>
          <w:rFonts w:ascii="Arial" w:hAnsi="Arial" w:cs="Arial"/>
          <w:color w:val="7B7B7B" w:themeColor="accent3" w:themeShade="BF"/>
          <w:sz w:val="22"/>
          <w:szCs w:val="22"/>
          <w:lang w:val="en-GB"/>
        </w:rPr>
        <w:t xml:space="preserve">From the facts, we know that Bella SARL has a warehouse in Italy which would satisfy the asset requirement of the analysis. Further, we also know that the company has employees </w:t>
      </w:r>
      <w:r w:rsidR="00F75D2F" w:rsidRPr="008039C5">
        <w:rPr>
          <w:rFonts w:ascii="Arial" w:hAnsi="Arial" w:cs="Arial"/>
          <w:color w:val="7B7B7B" w:themeColor="accent3" w:themeShade="BF"/>
          <w:sz w:val="22"/>
          <w:szCs w:val="22"/>
          <w:lang w:val="en-GB"/>
        </w:rPr>
        <w:t>working in Italy. Accordingly, it is likely that it</w:t>
      </w:r>
      <w:r w:rsidR="00BA5705" w:rsidRPr="008039C5">
        <w:rPr>
          <w:rFonts w:ascii="Arial" w:hAnsi="Arial" w:cs="Arial"/>
          <w:color w:val="7B7B7B" w:themeColor="accent3" w:themeShade="BF"/>
          <w:sz w:val="22"/>
          <w:szCs w:val="22"/>
          <w:lang w:val="en-GB"/>
        </w:rPr>
        <w:t>s</w:t>
      </w:r>
      <w:r w:rsidR="00F75D2F" w:rsidRPr="008039C5">
        <w:rPr>
          <w:rFonts w:ascii="Arial" w:hAnsi="Arial" w:cs="Arial"/>
          <w:color w:val="7B7B7B" w:themeColor="accent3" w:themeShade="BF"/>
          <w:sz w:val="22"/>
          <w:szCs w:val="22"/>
          <w:lang w:val="en-GB"/>
        </w:rPr>
        <w:t xml:space="preserve"> operations in Italy would be considered as non-transitory economic activity with human means and assets such that secondary proceedings may be opened in Italy.</w:t>
      </w:r>
    </w:p>
    <w:p w14:paraId="5319C82D" w14:textId="77777777" w:rsidR="00BF693B" w:rsidRDefault="00BF693B" w:rsidP="002A37BB">
      <w:pPr>
        <w:jc w:val="both"/>
        <w:rPr>
          <w:rFonts w:ascii="Avenir Next" w:hAnsi="Avenir Next" w:cs="Arial"/>
          <w:color w:val="7B7B7B" w:themeColor="accent3" w:themeShade="BF"/>
          <w:sz w:val="22"/>
          <w:szCs w:val="22"/>
          <w:lang w:val="en-GB"/>
        </w:rPr>
      </w:pPr>
    </w:p>
    <w:p w14:paraId="5A071ED7" w14:textId="77777777" w:rsidR="00BF693B" w:rsidRPr="008E3C96" w:rsidRDefault="00BF693B"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mbria"/>
    <w:charset w:val="00"/>
    <w:family w:val="swiss"/>
    <w:pitch w:val="variable"/>
    <w:sig w:usb0="8000002F" w:usb1="5000204A" w:usb2="00000000" w:usb3="00000000" w:csb0="0000009B" w:csb1="00000000"/>
  </w:font>
  <w:font w:name="Avenir Next Demi Bold">
    <w:altName w:val="Cambria"/>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5F168B2F" w:rsidR="00D509A5" w:rsidRPr="00E36039" w:rsidRDefault="00287523" w:rsidP="009B4976">
    <w:pPr>
      <w:pStyle w:val="Footer"/>
      <w:ind w:right="360"/>
      <w:rPr>
        <w:rFonts w:ascii="Avenir Next" w:hAnsi="Avenir Next" w:cs="Arial"/>
        <w:sz w:val="22"/>
        <w:szCs w:val="22"/>
        <w:lang w:val="en-GB"/>
      </w:rPr>
    </w:pPr>
    <w:r>
      <w:rPr>
        <w:rFonts w:ascii="Avenir Next" w:hAnsi="Avenir Next" w:cs="Arial"/>
        <w:sz w:val="22"/>
        <w:szCs w:val="22"/>
        <w:lang w:val="en-GB"/>
      </w:rPr>
      <w:t>202223-935</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 w:id="1">
    <w:p w14:paraId="4FF858D6" w14:textId="2A415635" w:rsidR="00F728AC" w:rsidRPr="00F728AC" w:rsidRDefault="00F728AC">
      <w:pPr>
        <w:pStyle w:val="FootnoteText"/>
        <w:rPr>
          <w:lang w:val="pt-BR"/>
        </w:rPr>
      </w:pPr>
      <w:r>
        <w:rPr>
          <w:rStyle w:val="FootnoteReference"/>
        </w:rPr>
        <w:footnoteRef/>
      </w:r>
      <w:r w:rsidRPr="00F728AC">
        <w:rPr>
          <w:lang w:val="pt-BR"/>
        </w:rPr>
        <w:t xml:space="preserve"> </w:t>
      </w:r>
      <w:proofErr w:type="gramStart"/>
      <w:r w:rsidRPr="005B2A69">
        <w:rPr>
          <w:lang w:val="pt-BR"/>
        </w:rPr>
        <w:t>COM(</w:t>
      </w:r>
      <w:proofErr w:type="gramEnd"/>
      <w:r w:rsidRPr="005B2A69">
        <w:rPr>
          <w:lang w:val="pt-BR"/>
        </w:rPr>
        <w:t>2012) 74</w:t>
      </w:r>
      <w:r>
        <w:rPr>
          <w:lang w:val="pt-BR"/>
        </w:rPr>
        <w:t>4</w:t>
      </w:r>
      <w:r w:rsidRPr="005B2A69">
        <w:rPr>
          <w:lang w:val="pt-BR"/>
        </w:rPr>
        <w:t xml:space="preserve"> </w:t>
      </w:r>
      <w:r>
        <w:rPr>
          <w:lang w:val="pt-BR"/>
        </w:rPr>
        <w:t>final.</w:t>
      </w:r>
    </w:p>
  </w:footnote>
  <w:footnote w:id="2">
    <w:p w14:paraId="13221C21" w14:textId="7DB4695D" w:rsidR="000A07A6" w:rsidRPr="001D562A" w:rsidRDefault="000A07A6">
      <w:pPr>
        <w:pStyle w:val="FootnoteText"/>
        <w:rPr>
          <w:rFonts w:ascii="Arial" w:hAnsi="Arial" w:cs="Arial"/>
          <w:lang w:val="pt-BR"/>
        </w:rPr>
      </w:pPr>
      <w:r w:rsidRPr="001D562A">
        <w:rPr>
          <w:rStyle w:val="FootnoteReference"/>
          <w:rFonts w:ascii="Arial" w:hAnsi="Arial" w:cs="Arial"/>
          <w:sz w:val="22"/>
          <w:szCs w:val="22"/>
        </w:rPr>
        <w:footnoteRef/>
      </w:r>
      <w:r w:rsidRPr="001D562A">
        <w:rPr>
          <w:rFonts w:ascii="Arial" w:hAnsi="Arial" w:cs="Arial"/>
          <w:sz w:val="22"/>
          <w:szCs w:val="22"/>
          <w:lang w:val="pt-BR"/>
        </w:rPr>
        <w:t xml:space="preserve"> Case C-341/04, ECLI:EU:C2006:281 (May 2, 2006).</w:t>
      </w:r>
    </w:p>
  </w:footnote>
  <w:footnote w:id="3">
    <w:p w14:paraId="304EA294" w14:textId="61977702" w:rsidR="00D50023" w:rsidRDefault="00D50023">
      <w:pPr>
        <w:pStyle w:val="FootnoteText"/>
      </w:pPr>
      <w:r>
        <w:rPr>
          <w:rStyle w:val="FootnoteReference"/>
        </w:rPr>
        <w:footnoteRef/>
      </w:r>
      <w:r>
        <w:t xml:space="preserve"> </w:t>
      </w:r>
      <w:r w:rsidRPr="001D562A">
        <w:rPr>
          <w:rFonts w:ascii="Arial" w:hAnsi="Arial" w:cs="Arial"/>
          <w:color w:val="7B7B7B" w:themeColor="accent3" w:themeShade="BF"/>
          <w:sz w:val="22"/>
          <w:szCs w:val="22"/>
          <w:lang w:val="en-GB"/>
        </w:rPr>
        <w:t xml:space="preserve">Case C-396/0, </w:t>
      </w:r>
      <w:proofErr w:type="gramStart"/>
      <w:r w:rsidRPr="001D562A">
        <w:rPr>
          <w:rFonts w:ascii="Arial" w:hAnsi="Arial" w:cs="Arial"/>
          <w:color w:val="7B7B7B" w:themeColor="accent3" w:themeShade="BF"/>
          <w:sz w:val="22"/>
          <w:szCs w:val="22"/>
          <w:lang w:val="en-GB"/>
        </w:rPr>
        <w:t>ECLI:EUC</w:t>
      </w:r>
      <w:proofErr w:type="gramEnd"/>
      <w:r w:rsidRPr="001D562A">
        <w:rPr>
          <w:rFonts w:ascii="Arial" w:hAnsi="Arial" w:cs="Arial"/>
          <w:color w:val="7B7B7B" w:themeColor="accent3" w:themeShade="BF"/>
          <w:sz w:val="22"/>
          <w:szCs w:val="22"/>
          <w:lang w:val="en-GB"/>
        </w:rPr>
        <w:t>:2011:671 (Oct 20,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835183">
    <w:abstractNumId w:val="12"/>
  </w:num>
  <w:num w:numId="2" w16cid:durableId="907421710">
    <w:abstractNumId w:val="21"/>
  </w:num>
  <w:num w:numId="3" w16cid:durableId="1356073984">
    <w:abstractNumId w:val="15"/>
  </w:num>
  <w:num w:numId="4" w16cid:durableId="414522836">
    <w:abstractNumId w:val="26"/>
  </w:num>
  <w:num w:numId="5" w16cid:durableId="1220555383">
    <w:abstractNumId w:val="20"/>
  </w:num>
  <w:num w:numId="6" w16cid:durableId="767969191">
    <w:abstractNumId w:val="23"/>
  </w:num>
  <w:num w:numId="7" w16cid:durableId="645204625">
    <w:abstractNumId w:val="6"/>
  </w:num>
  <w:num w:numId="8" w16cid:durableId="445005451">
    <w:abstractNumId w:val="18"/>
  </w:num>
  <w:num w:numId="9" w16cid:durableId="1040865123">
    <w:abstractNumId w:val="17"/>
  </w:num>
  <w:num w:numId="10" w16cid:durableId="1839885346">
    <w:abstractNumId w:val="13"/>
  </w:num>
  <w:num w:numId="11" w16cid:durableId="1289968907">
    <w:abstractNumId w:val="19"/>
  </w:num>
  <w:num w:numId="12" w16cid:durableId="1174416379">
    <w:abstractNumId w:val="2"/>
  </w:num>
  <w:num w:numId="13" w16cid:durableId="874271126">
    <w:abstractNumId w:val="10"/>
  </w:num>
  <w:num w:numId="14" w16cid:durableId="508181085">
    <w:abstractNumId w:val="16"/>
  </w:num>
  <w:num w:numId="15" w16cid:durableId="2066221822">
    <w:abstractNumId w:val="14"/>
  </w:num>
  <w:num w:numId="16" w16cid:durableId="834687703">
    <w:abstractNumId w:val="9"/>
  </w:num>
  <w:num w:numId="17" w16cid:durableId="1014961314">
    <w:abstractNumId w:val="12"/>
  </w:num>
  <w:num w:numId="18" w16cid:durableId="1614634938">
    <w:abstractNumId w:val="3"/>
  </w:num>
  <w:num w:numId="19" w16cid:durableId="678699727">
    <w:abstractNumId w:val="0"/>
  </w:num>
  <w:num w:numId="20" w16cid:durableId="498738290">
    <w:abstractNumId w:val="5"/>
  </w:num>
  <w:num w:numId="21" w16cid:durableId="1736539970">
    <w:abstractNumId w:val="0"/>
  </w:num>
  <w:num w:numId="22" w16cid:durableId="1098136616">
    <w:abstractNumId w:val="7"/>
  </w:num>
  <w:num w:numId="23" w16cid:durableId="1958487991">
    <w:abstractNumId w:val="22"/>
  </w:num>
  <w:num w:numId="24" w16cid:durableId="1211721248">
    <w:abstractNumId w:val="24"/>
  </w:num>
  <w:num w:numId="25" w16cid:durableId="2113619905">
    <w:abstractNumId w:val="4"/>
  </w:num>
  <w:num w:numId="26" w16cid:durableId="104274677">
    <w:abstractNumId w:val="27"/>
  </w:num>
  <w:num w:numId="27" w16cid:durableId="1960606414">
    <w:abstractNumId w:val="8"/>
  </w:num>
  <w:num w:numId="28" w16cid:durableId="1279726921">
    <w:abstractNumId w:val="1"/>
  </w:num>
  <w:num w:numId="29" w16cid:durableId="676272910">
    <w:abstractNumId w:val="11"/>
  </w:num>
  <w:num w:numId="30" w16cid:durableId="126526168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17889"/>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A07A6"/>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8B0"/>
    <w:rsid w:val="00115C85"/>
    <w:rsid w:val="00123855"/>
    <w:rsid w:val="00126A4D"/>
    <w:rsid w:val="0014171F"/>
    <w:rsid w:val="0014622C"/>
    <w:rsid w:val="00152348"/>
    <w:rsid w:val="0015456D"/>
    <w:rsid w:val="00155FA2"/>
    <w:rsid w:val="00161F1B"/>
    <w:rsid w:val="00162829"/>
    <w:rsid w:val="0016439A"/>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562A"/>
    <w:rsid w:val="001D6E1C"/>
    <w:rsid w:val="001E25B9"/>
    <w:rsid w:val="001E49E0"/>
    <w:rsid w:val="001E4C63"/>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87523"/>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15C8"/>
    <w:rsid w:val="003252C2"/>
    <w:rsid w:val="00326292"/>
    <w:rsid w:val="00326415"/>
    <w:rsid w:val="00330937"/>
    <w:rsid w:val="00330F31"/>
    <w:rsid w:val="00331480"/>
    <w:rsid w:val="00334648"/>
    <w:rsid w:val="0033768C"/>
    <w:rsid w:val="00337938"/>
    <w:rsid w:val="00340769"/>
    <w:rsid w:val="00341AA6"/>
    <w:rsid w:val="00344948"/>
    <w:rsid w:val="0034705B"/>
    <w:rsid w:val="003525B6"/>
    <w:rsid w:val="00361A0A"/>
    <w:rsid w:val="00364836"/>
    <w:rsid w:val="003650E5"/>
    <w:rsid w:val="0036565C"/>
    <w:rsid w:val="0036625E"/>
    <w:rsid w:val="00366415"/>
    <w:rsid w:val="0037465A"/>
    <w:rsid w:val="00375D11"/>
    <w:rsid w:val="00377C39"/>
    <w:rsid w:val="00382C98"/>
    <w:rsid w:val="0038533C"/>
    <w:rsid w:val="00386568"/>
    <w:rsid w:val="00390B57"/>
    <w:rsid w:val="00393254"/>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1E4"/>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25E89"/>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0FDC"/>
    <w:rsid w:val="005A726D"/>
    <w:rsid w:val="005B2A69"/>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1DA1"/>
    <w:rsid w:val="00654B27"/>
    <w:rsid w:val="00654C2F"/>
    <w:rsid w:val="00656DA7"/>
    <w:rsid w:val="00657087"/>
    <w:rsid w:val="006603F1"/>
    <w:rsid w:val="00661521"/>
    <w:rsid w:val="006639DB"/>
    <w:rsid w:val="006661EF"/>
    <w:rsid w:val="006723E9"/>
    <w:rsid w:val="00677AEB"/>
    <w:rsid w:val="00680EF2"/>
    <w:rsid w:val="00687A1D"/>
    <w:rsid w:val="00692651"/>
    <w:rsid w:val="00696ED8"/>
    <w:rsid w:val="00697EA1"/>
    <w:rsid w:val="006A1507"/>
    <w:rsid w:val="006A2646"/>
    <w:rsid w:val="006A6530"/>
    <w:rsid w:val="006B20E8"/>
    <w:rsid w:val="006B435A"/>
    <w:rsid w:val="006B4C64"/>
    <w:rsid w:val="006C4FAA"/>
    <w:rsid w:val="006D217A"/>
    <w:rsid w:val="006D6BD5"/>
    <w:rsid w:val="006E112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293C"/>
    <w:rsid w:val="007333CC"/>
    <w:rsid w:val="0073399A"/>
    <w:rsid w:val="00745D6F"/>
    <w:rsid w:val="007603F5"/>
    <w:rsid w:val="00764DB0"/>
    <w:rsid w:val="0076764D"/>
    <w:rsid w:val="0077498C"/>
    <w:rsid w:val="007772BD"/>
    <w:rsid w:val="007809BC"/>
    <w:rsid w:val="00782DF0"/>
    <w:rsid w:val="00782EE1"/>
    <w:rsid w:val="00784128"/>
    <w:rsid w:val="00786C9D"/>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39C5"/>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A7C8D"/>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267AD"/>
    <w:rsid w:val="00935A21"/>
    <w:rsid w:val="00942123"/>
    <w:rsid w:val="0095207B"/>
    <w:rsid w:val="009606A0"/>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37BE1"/>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6272"/>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2BFD"/>
    <w:rsid w:val="00B64929"/>
    <w:rsid w:val="00B70CB2"/>
    <w:rsid w:val="00B736DF"/>
    <w:rsid w:val="00B743D6"/>
    <w:rsid w:val="00B74FBD"/>
    <w:rsid w:val="00B77F46"/>
    <w:rsid w:val="00B82586"/>
    <w:rsid w:val="00B829A3"/>
    <w:rsid w:val="00B86DB1"/>
    <w:rsid w:val="00B87869"/>
    <w:rsid w:val="00B96CE3"/>
    <w:rsid w:val="00BA543A"/>
    <w:rsid w:val="00BA5705"/>
    <w:rsid w:val="00BB0F2B"/>
    <w:rsid w:val="00BB38D1"/>
    <w:rsid w:val="00BD73DA"/>
    <w:rsid w:val="00BE4FF3"/>
    <w:rsid w:val="00BF50F7"/>
    <w:rsid w:val="00BF693B"/>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38AF"/>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023"/>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857DE"/>
    <w:rsid w:val="00E90991"/>
    <w:rsid w:val="00E909F0"/>
    <w:rsid w:val="00E90D47"/>
    <w:rsid w:val="00E93993"/>
    <w:rsid w:val="00E9597C"/>
    <w:rsid w:val="00EA0913"/>
    <w:rsid w:val="00EA5B00"/>
    <w:rsid w:val="00EB146B"/>
    <w:rsid w:val="00EB45AC"/>
    <w:rsid w:val="00EB5CA4"/>
    <w:rsid w:val="00EC00F9"/>
    <w:rsid w:val="00EC242E"/>
    <w:rsid w:val="00EC5FEF"/>
    <w:rsid w:val="00ED0BC4"/>
    <w:rsid w:val="00ED20E8"/>
    <w:rsid w:val="00ED472A"/>
    <w:rsid w:val="00ED54B6"/>
    <w:rsid w:val="00EE4971"/>
    <w:rsid w:val="00EE5FB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28AC"/>
    <w:rsid w:val="00F75D2F"/>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265694855">
      <w:bodyDiv w:val="1"/>
      <w:marLeft w:val="0"/>
      <w:marRight w:val="0"/>
      <w:marTop w:val="0"/>
      <w:marBottom w:val="0"/>
      <w:divBdr>
        <w:top w:val="none" w:sz="0" w:space="0" w:color="auto"/>
        <w:left w:val="none" w:sz="0" w:space="0" w:color="auto"/>
        <w:bottom w:val="none" w:sz="0" w:space="0" w:color="auto"/>
        <w:right w:val="none" w:sz="0" w:space="0" w:color="auto"/>
      </w:divBdr>
    </w:div>
    <w:div w:id="29013433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8851945">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82427522">
      <w:bodyDiv w:val="1"/>
      <w:marLeft w:val="0"/>
      <w:marRight w:val="0"/>
      <w:marTop w:val="0"/>
      <w:marBottom w:val="0"/>
      <w:divBdr>
        <w:top w:val="none" w:sz="0" w:space="0" w:color="auto"/>
        <w:left w:val="none" w:sz="0" w:space="0" w:color="auto"/>
        <w:bottom w:val="none" w:sz="0" w:space="0" w:color="auto"/>
        <w:right w:val="none" w:sz="0" w:space="0" w:color="auto"/>
      </w:divBdr>
    </w:div>
    <w:div w:id="1265184765">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37487732">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693990780">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4721</Words>
  <Characters>26915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Fraser, Luke</cp:lastModifiedBy>
  <cp:revision>5</cp:revision>
  <cp:lastPrinted>2019-08-27T05:42:00Z</cp:lastPrinted>
  <dcterms:created xsi:type="dcterms:W3CDTF">2023-07-31T19:45:00Z</dcterms:created>
  <dcterms:modified xsi:type="dcterms:W3CDTF">2023-07-31T19:49:00Z</dcterms:modified>
</cp:coreProperties>
</file>