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0C87AD33" w:rsidR="004B23A2" w:rsidRDefault="00AD2687" w:rsidP="00524728">
      <w:pPr>
        <w:jc w:val="center"/>
        <w:rPr>
          <w:rFonts w:ascii="Arial" w:hAnsi="Arial" w:cs="Arial"/>
          <w:b/>
          <w:sz w:val="22"/>
          <w:szCs w:val="22"/>
          <w:lang w:val="en-GB"/>
        </w:rPr>
      </w:pPr>
      <w:r>
        <w:rPr>
          <w:rFonts w:ascii="Arial" w:hAnsi="Arial" w:cs="Arial"/>
          <w:b/>
          <w:sz w:val="22"/>
          <w:szCs w:val="22"/>
          <w:lang w:val="en-GB"/>
        </w:rPr>
        <w:t xml:space="preserve">  </w:t>
      </w:r>
      <w:r w:rsidR="007D0192">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351E43" w:rsidRDefault="00CE0ECD" w:rsidP="00B77B19">
      <w:pPr>
        <w:pStyle w:val="AODocTxt"/>
        <w:numPr>
          <w:ilvl w:val="0"/>
          <w:numId w:val="14"/>
        </w:numPr>
        <w:spacing w:before="0" w:line="240" w:lineRule="auto"/>
        <w:ind w:left="426"/>
        <w:rPr>
          <w:rFonts w:ascii="Avenir Next" w:hAnsi="Avenir Next"/>
          <w:highlight w:val="yellow"/>
        </w:rPr>
      </w:pPr>
      <w:r w:rsidRPr="00351E43">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646BAE">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257543" w:rsidRDefault="00CE0ECD" w:rsidP="00B77B19">
      <w:pPr>
        <w:pStyle w:val="AODocTxt"/>
        <w:keepNext/>
        <w:spacing w:before="0" w:line="240" w:lineRule="auto"/>
        <w:rPr>
          <w:rFonts w:ascii="Avenir Next Demi Bold" w:hAnsi="Avenir Next Demi Bold"/>
          <w:b/>
          <w:bCs/>
          <w:color w:val="000000" w:themeColor="text1"/>
        </w:rPr>
      </w:pPr>
      <w:r w:rsidRPr="00257543">
        <w:rPr>
          <w:rFonts w:ascii="Avenir Next Demi Bold" w:hAnsi="Avenir Next Demi Bold"/>
          <w:b/>
          <w:bCs/>
          <w:color w:val="000000" w:themeColor="text1"/>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D92834" w:rsidRDefault="00CE0ECD" w:rsidP="00097D56">
      <w:pPr>
        <w:pStyle w:val="AODocTxt"/>
        <w:numPr>
          <w:ilvl w:val="0"/>
          <w:numId w:val="16"/>
        </w:numPr>
        <w:spacing w:before="0" w:line="240" w:lineRule="auto"/>
        <w:ind w:left="426"/>
        <w:rPr>
          <w:rFonts w:ascii="Avenir Next" w:hAnsi="Avenir Next"/>
          <w:highlight w:val="yellow"/>
        </w:rPr>
      </w:pPr>
      <w:r w:rsidRPr="00D92834">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Pr="002923BA" w:rsidRDefault="00CE0ECD" w:rsidP="00A82B32">
      <w:pPr>
        <w:pStyle w:val="AODocTxt"/>
        <w:numPr>
          <w:ilvl w:val="0"/>
          <w:numId w:val="18"/>
        </w:numPr>
        <w:spacing w:before="0" w:line="240" w:lineRule="auto"/>
        <w:ind w:left="426"/>
        <w:rPr>
          <w:rFonts w:ascii="Avenir Next" w:hAnsi="Avenir Next"/>
          <w:highlight w:val="yellow"/>
        </w:rPr>
      </w:pPr>
      <w:r w:rsidRPr="002923BA">
        <w:rPr>
          <w:rFonts w:ascii="Avenir Next" w:hAnsi="Avenir Next"/>
          <w:highlight w:val="yellow"/>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w:t>
      </w:r>
      <w:proofErr w:type="spellStart"/>
      <w:r w:rsidRPr="00B77B19">
        <w:rPr>
          <w:rFonts w:ascii="Avenir Next" w:hAnsi="Avenir Next"/>
        </w:rPr>
        <w:t>cramdowns</w:t>
      </w:r>
      <w:proofErr w:type="spellEnd"/>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1EE64C28" w14:textId="4ADDD589" w:rsidR="00D04AFE" w:rsidRDefault="00CE0ECD" w:rsidP="002923BA">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3B55CDC6" w14:textId="77777777" w:rsidR="002923BA" w:rsidRPr="002923BA" w:rsidRDefault="002923BA" w:rsidP="002923BA">
      <w:pPr>
        <w:pStyle w:val="AODocTxt"/>
        <w:spacing w:before="0" w:line="240" w:lineRule="auto"/>
        <w:rPr>
          <w:rFonts w:ascii="Avenir Next" w:hAnsi="Avenir Next"/>
        </w:rPr>
      </w:pPr>
    </w:p>
    <w:p w14:paraId="3CF4AEE4" w14:textId="2A37271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 xml:space="preserve">Class definition is often a battleground when a debtor tries to </w:t>
      </w:r>
      <w:proofErr w:type="spellStart"/>
      <w:r w:rsidRPr="00B77B19">
        <w:rPr>
          <w:rFonts w:ascii="Avenir Next" w:hAnsi="Avenir Next"/>
        </w:rPr>
        <w:t>cramdown</w:t>
      </w:r>
      <w:proofErr w:type="spellEnd"/>
      <w:r w:rsidRPr="00B77B19">
        <w:rPr>
          <w:rFonts w:ascii="Avenir Next" w:hAnsi="Avenir Next"/>
        </w:rPr>
        <w:t xml:space="preserve"> classes.</w:t>
      </w:r>
    </w:p>
    <w:p w14:paraId="20E296DD" w14:textId="77777777" w:rsidR="002923BA" w:rsidRDefault="002923BA" w:rsidP="002923BA">
      <w:pPr>
        <w:pStyle w:val="AODocTxt"/>
        <w:spacing w:before="0" w:line="240" w:lineRule="auto"/>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 xml:space="preserve">Dissenting creditors are permitted to challenge the classification of a creditor supporting the </w:t>
      </w:r>
      <w:proofErr w:type="spellStart"/>
      <w:r w:rsidRPr="00B77B19">
        <w:rPr>
          <w:rFonts w:ascii="Avenir Next" w:hAnsi="Avenir Next"/>
        </w:rPr>
        <w:t>cramdown</w:t>
      </w:r>
      <w:proofErr w:type="spellEnd"/>
      <w:r w:rsidRPr="00B77B19">
        <w:rPr>
          <w:rFonts w:ascii="Avenir Next" w:hAnsi="Avenir Next"/>
        </w:rPr>
        <w:t>.</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923BA" w:rsidRDefault="00CE0ECD" w:rsidP="00E421C6">
      <w:pPr>
        <w:pStyle w:val="AODocTxt"/>
        <w:numPr>
          <w:ilvl w:val="0"/>
          <w:numId w:val="20"/>
        </w:numPr>
        <w:spacing w:before="0" w:line="240" w:lineRule="auto"/>
        <w:ind w:left="426"/>
        <w:rPr>
          <w:rFonts w:ascii="Avenir Next" w:hAnsi="Avenir Next"/>
          <w:highlight w:val="yellow"/>
        </w:rPr>
      </w:pPr>
      <w:r w:rsidRPr="002923BA">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431FED" w:rsidRDefault="00CE0ECD" w:rsidP="00B77B19">
      <w:pPr>
        <w:pStyle w:val="AODocTxt"/>
        <w:keepNext/>
        <w:spacing w:before="0" w:line="240" w:lineRule="auto"/>
        <w:rPr>
          <w:rFonts w:ascii="Avenir Next Demi Bold" w:hAnsi="Avenir Next Demi Bold"/>
          <w:b/>
          <w:bCs/>
          <w:color w:val="FF0000"/>
        </w:rPr>
      </w:pPr>
      <w:r w:rsidRPr="00431FED">
        <w:rPr>
          <w:rFonts w:ascii="Avenir Next Demi Bold" w:hAnsi="Avenir Next Demi Bold"/>
          <w:b/>
          <w:bCs/>
          <w:color w:val="FF0000"/>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81375A" w:rsidRDefault="00CE0ECD" w:rsidP="00E421C6">
      <w:pPr>
        <w:pStyle w:val="AODocTxt"/>
        <w:numPr>
          <w:ilvl w:val="0"/>
          <w:numId w:val="22"/>
        </w:numPr>
        <w:spacing w:before="0" w:line="240" w:lineRule="auto"/>
        <w:ind w:left="426"/>
        <w:rPr>
          <w:rFonts w:ascii="Avenir Next" w:hAnsi="Avenir Next"/>
          <w:highlight w:val="yellow"/>
        </w:rPr>
      </w:pPr>
      <w:r w:rsidRPr="002C4932">
        <w:rPr>
          <w:rFonts w:ascii="Avenir Next" w:hAnsi="Avenir Next"/>
        </w:rPr>
        <w:t>I</w:t>
      </w:r>
      <w:r w:rsidRPr="0081375A">
        <w:rPr>
          <w:rFonts w:ascii="Avenir Next" w:hAnsi="Avenir Next"/>
          <w:highlight w:val="yellow"/>
        </w:rPr>
        <w:t>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F31F5E" w:rsidRDefault="00CE0ECD" w:rsidP="000346E7">
      <w:pPr>
        <w:pStyle w:val="AODocTxt"/>
        <w:numPr>
          <w:ilvl w:val="0"/>
          <w:numId w:val="24"/>
        </w:numPr>
        <w:spacing w:before="0" w:line="240" w:lineRule="auto"/>
        <w:ind w:left="426"/>
        <w:rPr>
          <w:rFonts w:ascii="Avenir Next" w:hAnsi="Avenir Next"/>
          <w:highlight w:val="yellow"/>
        </w:rPr>
      </w:pPr>
      <w:r w:rsidRPr="00F31F5E">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F31F5E">
      <w:pPr>
        <w:pStyle w:val="AODocTxt"/>
        <w:spacing w:before="0" w:line="240" w:lineRule="auto"/>
        <w:ind w:left="78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E55CCA" w:rsidRDefault="00CE0ECD" w:rsidP="004830F8">
      <w:pPr>
        <w:pStyle w:val="AODocTxt"/>
        <w:numPr>
          <w:ilvl w:val="0"/>
          <w:numId w:val="26"/>
        </w:numPr>
        <w:spacing w:before="0" w:line="240" w:lineRule="auto"/>
        <w:ind w:left="426"/>
        <w:rPr>
          <w:rFonts w:ascii="Avenir Next" w:hAnsi="Avenir Next"/>
          <w:highlight w:val="yellow"/>
        </w:rPr>
      </w:pPr>
      <w:r w:rsidRPr="00E55CCA">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06DA8913" w14:textId="77777777" w:rsidR="00543A61"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 the filing of a voluntary petition but not on the filing of an involuntary petition.</w:t>
      </w:r>
    </w:p>
    <w:p w14:paraId="57AB0350" w14:textId="4D59BDFE" w:rsidR="00CE0ECD" w:rsidRDefault="00CE0ECD" w:rsidP="00543A61">
      <w:pPr>
        <w:pStyle w:val="AODocTxt"/>
        <w:spacing w:before="0" w:line="240" w:lineRule="auto"/>
        <w:rPr>
          <w:rFonts w:ascii="Avenir Next" w:hAnsi="Avenir Next"/>
        </w:rPr>
      </w:pPr>
      <w:r w:rsidRPr="00B77B19">
        <w:rPr>
          <w:rFonts w:ascii="Avenir Next" w:hAnsi="Avenir Next"/>
        </w:rPr>
        <w:t xml:space="preserve">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257543" w:rsidRDefault="00CE0ECD" w:rsidP="00B77B19">
      <w:pPr>
        <w:pStyle w:val="AODocTxt"/>
        <w:keepNext/>
        <w:spacing w:before="0" w:line="240" w:lineRule="auto"/>
        <w:rPr>
          <w:rFonts w:ascii="Avenir Next Demi Bold" w:hAnsi="Avenir Next Demi Bold"/>
          <w:b/>
          <w:bCs/>
          <w:color w:val="000000" w:themeColor="text1"/>
        </w:rPr>
      </w:pPr>
      <w:r w:rsidRPr="00257543">
        <w:rPr>
          <w:rFonts w:ascii="Avenir Next Demi Bold" w:hAnsi="Avenir Next Demi Bold"/>
          <w:b/>
          <w:bCs/>
          <w:color w:val="000000" w:themeColor="text1"/>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543A61" w:rsidRDefault="00CE0ECD" w:rsidP="004830F8">
      <w:pPr>
        <w:pStyle w:val="AODocTxt"/>
        <w:numPr>
          <w:ilvl w:val="0"/>
          <w:numId w:val="28"/>
        </w:numPr>
        <w:spacing w:before="0" w:line="240" w:lineRule="auto"/>
        <w:ind w:left="426"/>
        <w:rPr>
          <w:rFonts w:ascii="Avenir Next" w:hAnsi="Avenir Next"/>
          <w:highlight w:val="yellow"/>
        </w:rPr>
      </w:pPr>
      <w:r w:rsidRPr="00543A61">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5B252D" w:rsidRDefault="00CE0ECD" w:rsidP="00AA0280">
      <w:pPr>
        <w:pStyle w:val="AODocTxt"/>
        <w:numPr>
          <w:ilvl w:val="0"/>
          <w:numId w:val="30"/>
        </w:numPr>
        <w:spacing w:before="0" w:line="240" w:lineRule="auto"/>
        <w:ind w:left="426"/>
        <w:rPr>
          <w:rFonts w:ascii="Avenir Next" w:hAnsi="Avenir Next"/>
          <w:highlight w:val="yellow"/>
        </w:rPr>
      </w:pPr>
      <w:r w:rsidRPr="005B252D">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2D4A5AD1" w:rsidR="00E41578" w:rsidRPr="00E41578" w:rsidRDefault="00AB5F0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a mechanism which allows a creditor holding a claim against a debtor and who also owes the debtor to net out the two obligations. The Bankruptcy Code exempts the use of </w:t>
      </w:r>
      <w:r w:rsidR="00B9737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etoff</w:t>
      </w:r>
      <w:r w:rsidR="00B97379">
        <w:rPr>
          <w:rFonts w:ascii="Avenir Next" w:hAnsi="Avenir Next" w:cs="Arial"/>
          <w:color w:val="7B7B7B" w:themeColor="accent3" w:themeShade="BF"/>
          <w:sz w:val="22"/>
          <w:szCs w:val="22"/>
          <w:lang w:val="en-GB"/>
        </w:rPr>
        <w:t>s as it</w:t>
      </w:r>
      <w:r>
        <w:rPr>
          <w:rFonts w:ascii="Avenir Next" w:hAnsi="Avenir Next" w:cs="Arial"/>
          <w:color w:val="7B7B7B" w:themeColor="accent3" w:themeShade="BF"/>
          <w:sz w:val="22"/>
          <w:szCs w:val="22"/>
          <w:lang w:val="en-GB"/>
        </w:rPr>
        <w:t xml:space="preserve"> can improve the position of the creditor as opposed to other unsecured creditors</w:t>
      </w:r>
      <w:r w:rsidR="00B97379">
        <w:rPr>
          <w:rFonts w:ascii="Avenir Next" w:hAnsi="Avenir Next" w:cs="Arial"/>
          <w:color w:val="7B7B7B" w:themeColor="accent3" w:themeShade="BF"/>
          <w:sz w:val="22"/>
          <w:szCs w:val="22"/>
          <w:lang w:val="en-GB"/>
        </w:rPr>
        <w:t>.</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74186EDF" w:rsidR="00E41578" w:rsidRPr="00E41578" w:rsidRDefault="00B9737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Rules, the Federal Rules of Civil Procedure, local rules of the particular bankruptcy court and any personal practices issued by the particular judge should be reviewed and considered.</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7499E348" w14:textId="00FA1A0A" w:rsidR="00481820" w:rsidRPr="00481820" w:rsidRDefault="00067E65" w:rsidP="0048182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w:t>
      </w:r>
      <w:r w:rsidR="00996122">
        <w:rPr>
          <w:rFonts w:ascii="Avenir Next" w:hAnsi="Avenir Next" w:cs="Arial"/>
          <w:color w:val="7B7B7B" w:themeColor="accent3" w:themeShade="BF"/>
          <w:sz w:val="22"/>
          <w:szCs w:val="22"/>
          <w:lang w:val="en-GB"/>
        </w:rPr>
        <w:t>provides that under a plan of reorganization no creditor or class of creditors may receive less than it would</w:t>
      </w:r>
      <w:r w:rsidR="00184FDD">
        <w:rPr>
          <w:rFonts w:ascii="Avenir Next" w:hAnsi="Avenir Next" w:cs="Arial"/>
          <w:color w:val="7B7B7B" w:themeColor="accent3" w:themeShade="BF"/>
          <w:sz w:val="22"/>
          <w:szCs w:val="22"/>
          <w:lang w:val="en-GB"/>
        </w:rPr>
        <w:t xml:space="preserve"> </w:t>
      </w:r>
      <w:r w:rsidR="00184FDD" w:rsidRPr="00184FDD">
        <w:rPr>
          <w:rFonts w:ascii="Avenir Next" w:hAnsi="Avenir Next" w:cs="Arial"/>
          <w:color w:val="7B7B7B" w:themeColor="accent3" w:themeShade="BF"/>
          <w:sz w:val="22"/>
          <w:szCs w:val="22"/>
          <w:lang w:val="en-GB"/>
        </w:rPr>
        <w:t>be paid in accordance with statutorily required priorities</w:t>
      </w:r>
      <w:r w:rsidR="00481820">
        <w:rPr>
          <w:rFonts w:ascii="Avenir Next" w:hAnsi="Avenir Next" w:cs="Arial"/>
          <w:color w:val="7B7B7B" w:themeColor="accent3" w:themeShade="BF"/>
          <w:sz w:val="22"/>
          <w:szCs w:val="22"/>
          <w:lang w:val="en-GB"/>
        </w:rPr>
        <w:t>.</w:t>
      </w:r>
      <w:r w:rsidR="00481820" w:rsidRPr="00481820">
        <w:t xml:space="preserve"> </w:t>
      </w:r>
      <w:r w:rsidR="00481820" w:rsidRPr="00481820">
        <w:rPr>
          <w:rFonts w:ascii="Avenir Next" w:hAnsi="Avenir Next" w:cs="Arial"/>
          <w:color w:val="7B7B7B" w:themeColor="accent3" w:themeShade="BF"/>
          <w:sz w:val="22"/>
          <w:szCs w:val="22"/>
          <w:lang w:val="en-GB"/>
        </w:rPr>
        <w:t xml:space="preserve">Payment in full must be made to each category of claims before the next category receives their payment. </w:t>
      </w:r>
    </w:p>
    <w:p w14:paraId="3F403B01" w14:textId="77777777" w:rsidR="00184FDD" w:rsidRDefault="00184FDD" w:rsidP="00E41578">
      <w:pPr>
        <w:jc w:val="both"/>
        <w:rPr>
          <w:rFonts w:ascii="Avenir Next" w:hAnsi="Avenir Next" w:cs="Arial"/>
          <w:color w:val="7B7B7B" w:themeColor="accent3" w:themeShade="BF"/>
          <w:sz w:val="22"/>
          <w:szCs w:val="22"/>
          <w:lang w:val="en-GB"/>
        </w:rPr>
      </w:pPr>
    </w:p>
    <w:p w14:paraId="568EB128" w14:textId="5E5BF695" w:rsidR="00996122" w:rsidRPr="00E41578" w:rsidRDefault="0048182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in a</w:t>
      </w:r>
      <w:r w:rsidR="00996122">
        <w:rPr>
          <w:rFonts w:ascii="Avenir Next" w:hAnsi="Avenir Next" w:cs="Arial"/>
          <w:color w:val="7B7B7B" w:themeColor="accent3" w:themeShade="BF"/>
          <w:sz w:val="22"/>
          <w:szCs w:val="22"/>
          <w:lang w:val="en-GB"/>
        </w:rPr>
        <w:t xml:space="preserve"> Chap 7 </w:t>
      </w:r>
      <w:r>
        <w:rPr>
          <w:rFonts w:ascii="Avenir Next" w:hAnsi="Avenir Next" w:cs="Arial"/>
          <w:color w:val="7B7B7B" w:themeColor="accent3" w:themeShade="BF"/>
          <w:sz w:val="22"/>
          <w:szCs w:val="22"/>
          <w:lang w:val="en-GB"/>
        </w:rPr>
        <w:t>deviation is not permitted, i</w:t>
      </w:r>
      <w:r w:rsidR="00996122">
        <w:rPr>
          <w:rFonts w:ascii="Avenir Next" w:hAnsi="Avenir Next" w:cs="Arial"/>
          <w:color w:val="7B7B7B" w:themeColor="accent3" w:themeShade="BF"/>
          <w:sz w:val="22"/>
          <w:szCs w:val="22"/>
          <w:lang w:val="en-GB"/>
        </w:rPr>
        <w:t>n a Chap 11 plan, a</w:t>
      </w:r>
      <w:r>
        <w:rPr>
          <w:rFonts w:ascii="Avenir Next" w:hAnsi="Avenir Next" w:cs="Arial"/>
          <w:color w:val="7B7B7B" w:themeColor="accent3" w:themeShade="BF"/>
          <w:sz w:val="22"/>
          <w:szCs w:val="22"/>
          <w:lang w:val="en-GB"/>
        </w:rPr>
        <w:t>n affected</w:t>
      </w:r>
      <w:r w:rsidR="00996122">
        <w:rPr>
          <w:rFonts w:ascii="Avenir Next" w:hAnsi="Avenir Next" w:cs="Arial"/>
          <w:color w:val="7B7B7B" w:themeColor="accent3" w:themeShade="BF"/>
          <w:sz w:val="22"/>
          <w:szCs w:val="22"/>
          <w:lang w:val="en-GB"/>
        </w:rPr>
        <w:t xml:space="preserve"> creditor </w:t>
      </w:r>
      <w:r>
        <w:rPr>
          <w:rFonts w:ascii="Avenir Next" w:hAnsi="Avenir Next" w:cs="Arial"/>
          <w:color w:val="7B7B7B" w:themeColor="accent3" w:themeShade="BF"/>
          <w:sz w:val="22"/>
          <w:szCs w:val="22"/>
          <w:lang w:val="en-GB"/>
        </w:rPr>
        <w:t>can consent to the deviation.  In a Chap 11, a senior creditor may consent to a deviation if receiving less if distribution of the funds to lower priority claimants is necessary to obtain approval of the reorganization plan.</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62FCFE16" w:rsidR="00E41578" w:rsidRPr="00E41578" w:rsidRDefault="0081375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 priming lien is a lien on property which is senior to an existing lien or the same priority to the existing lien. A priming lien which requires court approval may be granted if the debtor can show that the interest of the secured creditor being primed is adequately protected.</w:t>
      </w:r>
      <w:r w:rsidR="0076778F">
        <w:rPr>
          <w:rFonts w:ascii="Avenir Next" w:hAnsi="Avenir Next" w:cs="Arial"/>
          <w:color w:val="7B7B7B" w:themeColor="accent3" w:themeShade="BF"/>
          <w:sz w:val="22"/>
          <w:szCs w:val="22"/>
          <w:lang w:val="en-GB"/>
        </w:rPr>
        <w:t xml:space="preserve"> The court will also consider whether any other source of funds </w:t>
      </w:r>
      <w:proofErr w:type="gramStart"/>
      <w:r w:rsidR="0076778F">
        <w:rPr>
          <w:rFonts w:ascii="Avenir Next" w:hAnsi="Avenir Next" w:cs="Arial"/>
          <w:color w:val="7B7B7B" w:themeColor="accent3" w:themeShade="BF"/>
          <w:sz w:val="22"/>
          <w:szCs w:val="22"/>
          <w:lang w:val="en-GB"/>
        </w:rPr>
        <w:t>are</w:t>
      </w:r>
      <w:proofErr w:type="gramEnd"/>
      <w:r w:rsidR="0076778F">
        <w:rPr>
          <w:rFonts w:ascii="Avenir Next" w:hAnsi="Avenir Next" w:cs="Arial"/>
          <w:color w:val="7B7B7B" w:themeColor="accent3" w:themeShade="BF"/>
          <w:sz w:val="22"/>
          <w:szCs w:val="22"/>
          <w:lang w:val="en-GB"/>
        </w:rPr>
        <w:t xml:space="preserve"> available which does not include a priming lien and whether the additional credit being made available to the debtor is substantial.</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41256B96" w:rsidR="00E41578" w:rsidRDefault="00D66EA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transfer is where 90 days prior to a petition date, a debtor transfers its property to a </w:t>
      </w:r>
      <w:r w:rsidR="00797B84">
        <w:rPr>
          <w:rFonts w:ascii="Avenir Next" w:hAnsi="Avenir Next" w:cs="Arial"/>
          <w:color w:val="7B7B7B" w:themeColor="accent3" w:themeShade="BF"/>
          <w:sz w:val="22"/>
          <w:szCs w:val="22"/>
          <w:lang w:val="en-GB"/>
        </w:rPr>
        <w:t xml:space="preserve">creditor </w:t>
      </w:r>
      <w:r>
        <w:rPr>
          <w:rFonts w:ascii="Avenir Next" w:hAnsi="Avenir Next" w:cs="Arial"/>
          <w:color w:val="7B7B7B" w:themeColor="accent3" w:themeShade="BF"/>
          <w:sz w:val="22"/>
          <w:szCs w:val="22"/>
          <w:lang w:val="en-GB"/>
        </w:rPr>
        <w:t xml:space="preserve">which exceeds the amount that the </w:t>
      </w:r>
      <w:r w:rsidR="00797B84">
        <w:rPr>
          <w:rFonts w:ascii="Avenir Next" w:hAnsi="Avenir Next" w:cs="Arial"/>
          <w:color w:val="7B7B7B" w:themeColor="accent3" w:themeShade="BF"/>
          <w:sz w:val="22"/>
          <w:szCs w:val="22"/>
          <w:lang w:val="en-GB"/>
        </w:rPr>
        <w:t>creditor</w:t>
      </w:r>
      <w:r>
        <w:rPr>
          <w:rFonts w:ascii="Avenir Next" w:hAnsi="Avenir Next" w:cs="Arial"/>
          <w:color w:val="7B7B7B" w:themeColor="accent3" w:themeShade="BF"/>
          <w:sz w:val="22"/>
          <w:szCs w:val="22"/>
          <w:lang w:val="en-GB"/>
        </w:rPr>
        <w:t xml:space="preserve"> would receive in a Chap 7 liquidation.</w:t>
      </w:r>
      <w:r w:rsidR="002E5C76">
        <w:rPr>
          <w:rFonts w:ascii="Avenir Next" w:hAnsi="Avenir Next" w:cs="Arial"/>
          <w:color w:val="7B7B7B" w:themeColor="accent3" w:themeShade="BF"/>
          <w:sz w:val="22"/>
          <w:szCs w:val="22"/>
          <w:lang w:val="en-GB"/>
        </w:rPr>
        <w:t xml:space="preserve"> The property must be returned to the debtor as per 11 </w:t>
      </w:r>
      <w:proofErr w:type="gramStart"/>
      <w:r w:rsidR="002E5C76">
        <w:rPr>
          <w:rFonts w:ascii="Avenir Next" w:hAnsi="Avenir Next" w:cs="Arial"/>
          <w:color w:val="7B7B7B" w:themeColor="accent3" w:themeShade="BF"/>
          <w:sz w:val="22"/>
          <w:szCs w:val="22"/>
          <w:lang w:val="en-GB"/>
        </w:rPr>
        <w:t>USC,</w:t>
      </w:r>
      <w:r w:rsidR="002E5C76">
        <w:rPr>
          <w:rFonts w:ascii="Calibri" w:hAnsi="Calibri" w:cs="Calibri"/>
          <w:color w:val="7B7B7B" w:themeColor="accent3" w:themeShade="BF"/>
          <w:sz w:val="22"/>
          <w:szCs w:val="22"/>
          <w:lang w:val="en-GB"/>
        </w:rPr>
        <w:t>§</w:t>
      </w:r>
      <w:proofErr w:type="gramEnd"/>
      <w:r w:rsidR="00797B84">
        <w:rPr>
          <w:rFonts w:ascii="Avenir Next" w:hAnsi="Avenir Next" w:cs="Arial"/>
          <w:color w:val="7B7B7B" w:themeColor="accent3" w:themeShade="BF"/>
          <w:sz w:val="22"/>
          <w:szCs w:val="22"/>
          <w:lang w:val="en-GB"/>
        </w:rPr>
        <w:t xml:space="preserve">547. </w:t>
      </w:r>
    </w:p>
    <w:p w14:paraId="49B3FA25" w14:textId="18903E40" w:rsidR="002E5C76" w:rsidRDefault="002E5C76" w:rsidP="00E41578">
      <w:pPr>
        <w:jc w:val="both"/>
        <w:rPr>
          <w:rFonts w:ascii="Avenir Next" w:hAnsi="Avenir Next" w:cs="Arial"/>
          <w:color w:val="7B7B7B" w:themeColor="accent3" w:themeShade="BF"/>
          <w:sz w:val="22"/>
          <w:szCs w:val="22"/>
          <w:lang w:val="en-GB"/>
        </w:rPr>
      </w:pPr>
    </w:p>
    <w:p w14:paraId="70B0EACC" w14:textId="07CD8825" w:rsidR="002E5C76" w:rsidRDefault="002E5C7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requirement to show fault of either the debtor or the creditor and there is also no penalty other than the return of the property. The purpose of preference transfer is to maintain an equal playing field among the creditors in the same group</w:t>
      </w:r>
      <w:r w:rsidR="00797B84">
        <w:rPr>
          <w:rFonts w:ascii="Avenir Next" w:hAnsi="Avenir Next" w:cs="Arial"/>
          <w:color w:val="7B7B7B" w:themeColor="accent3" w:themeShade="BF"/>
          <w:sz w:val="22"/>
          <w:szCs w:val="22"/>
          <w:lang w:val="en-GB"/>
        </w:rPr>
        <w:t xml:space="preserve">. </w:t>
      </w:r>
    </w:p>
    <w:p w14:paraId="72ECB2AE" w14:textId="7D8FA2BC" w:rsidR="00797B84" w:rsidRDefault="00797B84" w:rsidP="00E41578">
      <w:pPr>
        <w:jc w:val="both"/>
        <w:rPr>
          <w:rFonts w:ascii="Avenir Next" w:hAnsi="Avenir Next" w:cs="Arial"/>
          <w:color w:val="7B7B7B" w:themeColor="accent3" w:themeShade="BF"/>
          <w:sz w:val="22"/>
          <w:szCs w:val="22"/>
          <w:lang w:val="en-GB"/>
        </w:rPr>
      </w:pPr>
    </w:p>
    <w:p w14:paraId="0A630B4C" w14:textId="0785DF1F" w:rsidR="00797B84" w:rsidRDefault="00797B8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elements of a preference transfer claim are:</w:t>
      </w:r>
    </w:p>
    <w:p w14:paraId="35CD49E8" w14:textId="0100B67B" w:rsidR="00797B84" w:rsidRDefault="00797B84" w:rsidP="00797B8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transfer of interest of the debtor in property</w:t>
      </w:r>
      <w:r w:rsidR="00B25271">
        <w:rPr>
          <w:rFonts w:ascii="Avenir Next" w:hAnsi="Avenir Next" w:cs="Arial"/>
          <w:color w:val="7B7B7B" w:themeColor="accent3" w:themeShade="BF"/>
          <w:sz w:val="22"/>
          <w:szCs w:val="22"/>
          <w:lang w:val="en-GB"/>
        </w:rPr>
        <w:t>;</w:t>
      </w:r>
    </w:p>
    <w:p w14:paraId="260574BD" w14:textId="13652AE2" w:rsidR="00797B84" w:rsidRDefault="00797B84" w:rsidP="00797B8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Transfer was to or for the benefit of the creditor</w:t>
      </w:r>
      <w:r w:rsidR="00B25271">
        <w:rPr>
          <w:rFonts w:ascii="Avenir Next" w:hAnsi="Avenir Next" w:cs="Arial"/>
          <w:color w:val="7B7B7B" w:themeColor="accent3" w:themeShade="BF"/>
          <w:sz w:val="22"/>
          <w:szCs w:val="22"/>
          <w:lang w:val="en-GB"/>
        </w:rPr>
        <w:t>;</w:t>
      </w:r>
    </w:p>
    <w:p w14:paraId="7CBEFC13" w14:textId="2B2ADB4C" w:rsidR="00797B84" w:rsidRDefault="00B00211" w:rsidP="00797B8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 was pre-</w:t>
      </w:r>
      <w:proofErr w:type="gramStart"/>
      <w:r>
        <w:rPr>
          <w:rFonts w:ascii="Avenir Next" w:hAnsi="Avenir Next" w:cs="Arial"/>
          <w:color w:val="7B7B7B" w:themeColor="accent3" w:themeShade="BF"/>
          <w:sz w:val="22"/>
          <w:szCs w:val="22"/>
          <w:lang w:val="en-GB"/>
        </w:rPr>
        <w:t xml:space="preserve">existing </w:t>
      </w:r>
      <w:r w:rsidR="00B25271">
        <w:rPr>
          <w:rFonts w:ascii="Avenir Next" w:hAnsi="Avenir Next" w:cs="Arial"/>
          <w:color w:val="7B7B7B" w:themeColor="accent3" w:themeShade="BF"/>
          <w:sz w:val="22"/>
          <w:szCs w:val="22"/>
          <w:lang w:val="en-GB"/>
        </w:rPr>
        <w:t>;</w:t>
      </w:r>
      <w:proofErr w:type="gramEnd"/>
    </w:p>
    <w:p w14:paraId="3AE674FD" w14:textId="262BC49F" w:rsidR="00B00211" w:rsidRDefault="00B00211" w:rsidP="00797B8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Transfer occurred when the debtor was insolvent</w:t>
      </w:r>
      <w:r w:rsidR="00B25271">
        <w:rPr>
          <w:rFonts w:ascii="Avenir Next" w:hAnsi="Avenir Next" w:cs="Arial"/>
          <w:color w:val="7B7B7B" w:themeColor="accent3" w:themeShade="BF"/>
          <w:sz w:val="22"/>
          <w:szCs w:val="22"/>
          <w:lang w:val="en-GB"/>
        </w:rPr>
        <w:t>;</w:t>
      </w:r>
    </w:p>
    <w:p w14:paraId="7432A41A" w14:textId="1EE1FE96" w:rsidR="00296B99" w:rsidRDefault="00296B99" w:rsidP="00797B8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Transfer was done 90 days prior to a petition date</w:t>
      </w:r>
      <w:r w:rsidR="00B25271">
        <w:rPr>
          <w:rFonts w:ascii="Avenir Next" w:hAnsi="Avenir Next" w:cs="Arial"/>
          <w:color w:val="7B7B7B" w:themeColor="accent3" w:themeShade="BF"/>
          <w:sz w:val="22"/>
          <w:szCs w:val="22"/>
          <w:lang w:val="en-GB"/>
        </w:rPr>
        <w:t>; and</w:t>
      </w:r>
    </w:p>
    <w:p w14:paraId="3C9385CF" w14:textId="42E6CDAE" w:rsidR="00296B99" w:rsidRPr="00797B84" w:rsidRDefault="00296B99" w:rsidP="00797B8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 received more from the transfer than they would in a Chap 7 liquidation.</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2143D7A0" w14:textId="77777777" w:rsidR="00296B99" w:rsidRDefault="00296B99" w:rsidP="000778B1">
      <w:pPr>
        <w:pStyle w:val="AODocTxt"/>
        <w:spacing w:before="0" w:line="240" w:lineRule="auto"/>
        <w:rPr>
          <w:rFonts w:ascii="Avenir Next" w:hAnsi="Avenir Next"/>
        </w:rPr>
      </w:pPr>
    </w:p>
    <w:p w14:paraId="4A77CC9C" w14:textId="2B6D7590"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0F2F0A99" w14:textId="4F365AB5" w:rsidR="00E41578" w:rsidRDefault="00E41578" w:rsidP="00E41578">
      <w:pPr>
        <w:jc w:val="both"/>
        <w:rPr>
          <w:rFonts w:ascii="Avenir Next" w:hAnsi="Avenir Next" w:cs="Arial"/>
          <w:color w:val="7B7B7B" w:themeColor="accent3" w:themeShade="BF"/>
          <w:sz w:val="22"/>
          <w:szCs w:val="22"/>
          <w:lang w:val="en-GB"/>
        </w:rPr>
      </w:pPr>
    </w:p>
    <w:p w14:paraId="7342B3D5" w14:textId="43BC72E9" w:rsidR="00296B99" w:rsidRPr="00E41578" w:rsidRDefault="00296B9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judge under the referral statute is allowed to hear and </w:t>
      </w:r>
      <w:r w:rsidR="00B31AF1">
        <w:rPr>
          <w:rFonts w:ascii="Avenir Next" w:hAnsi="Avenir Next" w:cs="Arial"/>
          <w:color w:val="7B7B7B" w:themeColor="accent3" w:themeShade="BF"/>
          <w:sz w:val="22"/>
          <w:szCs w:val="22"/>
          <w:lang w:val="en-GB"/>
        </w:rPr>
        <w:t xml:space="preserve">make determinations of only core proceedings. While a bankruptcy judge may hear a non-core proceeding if it is sufficiently related to a bankruptcy proceeding, the judge </w:t>
      </w:r>
      <w:proofErr w:type="spellStart"/>
      <w:r w:rsidR="00B31AF1">
        <w:rPr>
          <w:rFonts w:ascii="Avenir Next" w:hAnsi="Avenir Next" w:cs="Arial"/>
          <w:color w:val="7B7B7B" w:themeColor="accent3" w:themeShade="BF"/>
          <w:sz w:val="22"/>
          <w:szCs w:val="22"/>
          <w:lang w:val="en-GB"/>
        </w:rPr>
        <w:t>can not</w:t>
      </w:r>
      <w:proofErr w:type="spellEnd"/>
      <w:r w:rsidR="00B31AF1">
        <w:rPr>
          <w:rFonts w:ascii="Avenir Next" w:hAnsi="Avenir Next" w:cs="Arial"/>
          <w:color w:val="7B7B7B" w:themeColor="accent3" w:themeShade="BF"/>
          <w:sz w:val="22"/>
          <w:szCs w:val="22"/>
          <w:lang w:val="en-GB"/>
        </w:rPr>
        <w:t xml:space="preserve"> make a final determination. The judge </w:t>
      </w:r>
      <w:proofErr w:type="gramStart"/>
      <w:r w:rsidR="00B31AF1">
        <w:rPr>
          <w:rFonts w:ascii="Avenir Next" w:hAnsi="Avenir Next" w:cs="Arial"/>
          <w:color w:val="7B7B7B" w:themeColor="accent3" w:themeShade="BF"/>
          <w:sz w:val="22"/>
          <w:szCs w:val="22"/>
          <w:lang w:val="en-GB"/>
        </w:rPr>
        <w:t>is  required</w:t>
      </w:r>
      <w:proofErr w:type="gramEnd"/>
      <w:r w:rsidR="00B31AF1">
        <w:rPr>
          <w:rFonts w:ascii="Avenir Next" w:hAnsi="Avenir Next" w:cs="Arial"/>
          <w:color w:val="7B7B7B" w:themeColor="accent3" w:themeShade="BF"/>
          <w:sz w:val="22"/>
          <w:szCs w:val="22"/>
          <w:lang w:val="en-GB"/>
        </w:rPr>
        <w:t xml:space="preserve"> to submit the proposed findings of fact and conclusions of law to the district court for a final decision</w:t>
      </w:r>
      <w:r w:rsidR="00826D9B">
        <w:rPr>
          <w:rFonts w:ascii="Avenir Next" w:hAnsi="Avenir Next" w:cs="Arial"/>
          <w:color w:val="7B7B7B" w:themeColor="accent3" w:themeShade="BF"/>
          <w:sz w:val="22"/>
          <w:szCs w:val="22"/>
          <w:lang w:val="en-GB"/>
        </w:rPr>
        <w:t xml:space="preserve"> as per 28 USC,</w:t>
      </w:r>
      <w:r w:rsidR="00826D9B">
        <w:rPr>
          <w:rFonts w:ascii="Calibri" w:hAnsi="Calibri" w:cs="Calibri"/>
          <w:color w:val="7B7B7B" w:themeColor="accent3" w:themeShade="BF"/>
          <w:sz w:val="22"/>
          <w:szCs w:val="22"/>
          <w:lang w:val="en-GB"/>
        </w:rPr>
        <w:t>§</w:t>
      </w:r>
      <w:r w:rsidR="00826D9B">
        <w:rPr>
          <w:rFonts w:ascii="Avenir Next" w:hAnsi="Avenir Next" w:cs="Arial"/>
          <w:color w:val="7B7B7B" w:themeColor="accent3" w:themeShade="BF"/>
          <w:sz w:val="22"/>
          <w:szCs w:val="22"/>
          <w:lang w:val="en-GB"/>
        </w:rPr>
        <w:t>157(c)</w:t>
      </w:r>
      <w:r w:rsidR="00B31AF1">
        <w:rPr>
          <w:rFonts w:ascii="Avenir Next" w:hAnsi="Avenir Next" w:cs="Arial"/>
          <w:color w:val="7B7B7B" w:themeColor="accent3" w:themeShade="BF"/>
          <w:sz w:val="22"/>
          <w:szCs w:val="22"/>
          <w:lang w:val="en-GB"/>
        </w:rPr>
        <w:t xml:space="preserve">. The bankruptcy court determines its power and jurisdiction </w:t>
      </w:r>
      <w:r w:rsidR="00826D9B">
        <w:rPr>
          <w:rFonts w:ascii="Avenir Next" w:hAnsi="Avenir Next" w:cs="Arial"/>
          <w:color w:val="7B7B7B" w:themeColor="accent3" w:themeShade="BF"/>
          <w:sz w:val="22"/>
          <w:szCs w:val="22"/>
          <w:lang w:val="en-GB"/>
        </w:rPr>
        <w:t>at the start of the hearing of any motion or pleading by requiring the parties to inform the court whether the issue at hand is core or non-core.</w:t>
      </w:r>
    </w:p>
    <w:p w14:paraId="37B4DE3A" w14:textId="76EA27F5" w:rsidR="00E01803" w:rsidRDefault="00E01803" w:rsidP="000778B1">
      <w:pPr>
        <w:pStyle w:val="AODocTxt"/>
        <w:spacing w:before="0" w:line="240" w:lineRule="auto"/>
        <w:rPr>
          <w:rFonts w:ascii="Avenir Next" w:hAnsi="Avenir Next"/>
        </w:rPr>
      </w:pPr>
    </w:p>
    <w:p w14:paraId="100BD71F" w14:textId="69DF5371" w:rsidR="00A51323" w:rsidRDefault="00A51323" w:rsidP="00A51323">
      <w:pPr>
        <w:jc w:val="both"/>
        <w:rPr>
          <w:rFonts w:ascii="Avenir Next" w:hAnsi="Avenir Next" w:cs="Arial"/>
          <w:color w:val="7B7B7B" w:themeColor="accent3" w:themeShade="BF"/>
          <w:sz w:val="22"/>
          <w:szCs w:val="22"/>
          <w:lang w:val="en-GB"/>
        </w:rPr>
      </w:pPr>
      <w:r w:rsidRPr="00A51323">
        <w:rPr>
          <w:rFonts w:ascii="Avenir Next" w:hAnsi="Avenir Next" w:cs="Arial"/>
          <w:color w:val="7B7B7B" w:themeColor="accent3" w:themeShade="BF"/>
          <w:sz w:val="22"/>
          <w:szCs w:val="22"/>
          <w:lang w:val="en-GB"/>
        </w:rPr>
        <w:t xml:space="preserve">The referral statute </w:t>
      </w:r>
      <w:r>
        <w:rPr>
          <w:rFonts w:ascii="Avenir Next" w:hAnsi="Avenir Next" w:cs="Arial"/>
          <w:color w:val="7B7B7B" w:themeColor="accent3" w:themeShade="BF"/>
          <w:sz w:val="22"/>
          <w:szCs w:val="22"/>
          <w:lang w:val="en-GB"/>
        </w:rPr>
        <w:t xml:space="preserve">provides for a district court at its discretion to withdraw the reference of its jurisdiction to the bankruptcy court. If the proceedings </w:t>
      </w:r>
      <w:proofErr w:type="gramStart"/>
      <w:r>
        <w:rPr>
          <w:rFonts w:ascii="Avenir Next" w:hAnsi="Avenir Next" w:cs="Arial"/>
          <w:color w:val="7B7B7B" w:themeColor="accent3" w:themeShade="BF"/>
          <w:sz w:val="22"/>
          <w:szCs w:val="22"/>
          <w:lang w:val="en-GB"/>
        </w:rPr>
        <w:t>involves</w:t>
      </w:r>
      <w:proofErr w:type="gramEnd"/>
      <w:r>
        <w:rPr>
          <w:rFonts w:ascii="Avenir Next" w:hAnsi="Avenir Next" w:cs="Arial"/>
          <w:color w:val="7B7B7B" w:themeColor="accent3" w:themeShade="BF"/>
          <w:sz w:val="22"/>
          <w:szCs w:val="22"/>
          <w:lang w:val="en-GB"/>
        </w:rPr>
        <w:t xml:space="preserve"> substantial questions related to federal statutes other than the Bankruptcy Code, the withdrawal of the reference is mandatory. </w:t>
      </w:r>
    </w:p>
    <w:p w14:paraId="379108B1" w14:textId="520744B1" w:rsidR="00DD60D7" w:rsidRDefault="00DD60D7" w:rsidP="00A51323">
      <w:pPr>
        <w:jc w:val="both"/>
        <w:rPr>
          <w:rFonts w:ascii="Avenir Next" w:hAnsi="Avenir Next" w:cs="Arial"/>
          <w:color w:val="7B7B7B" w:themeColor="accent3" w:themeShade="BF"/>
          <w:sz w:val="22"/>
          <w:szCs w:val="22"/>
          <w:lang w:val="en-GB"/>
        </w:rPr>
      </w:pPr>
    </w:p>
    <w:p w14:paraId="7BE324B2" w14:textId="2794335D" w:rsidR="00DD60D7" w:rsidRDefault="00380176" w:rsidP="00A513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Bankruptcy court orders can be appealed by anyone who has standing.</w:t>
      </w:r>
      <w:r w:rsidR="00C00154">
        <w:rPr>
          <w:rFonts w:ascii="Avenir Next" w:hAnsi="Avenir Next" w:cs="Arial"/>
          <w:color w:val="7B7B7B" w:themeColor="accent3" w:themeShade="BF"/>
          <w:sz w:val="22"/>
          <w:szCs w:val="22"/>
          <w:lang w:val="en-GB"/>
        </w:rPr>
        <w:t xml:space="preserve"> A final order is one that resolves all the issues in their entirety while an interlocutory order only resolves some of the issues. </w:t>
      </w:r>
      <w:r>
        <w:rPr>
          <w:rFonts w:ascii="Avenir Next" w:hAnsi="Avenir Next" w:cs="Arial"/>
          <w:color w:val="7B7B7B" w:themeColor="accent3" w:themeShade="BF"/>
          <w:sz w:val="22"/>
          <w:szCs w:val="22"/>
          <w:lang w:val="en-GB"/>
        </w:rPr>
        <w:t xml:space="preserve"> Final orders from the Bankruptcy court</w:t>
      </w:r>
      <w:r w:rsidR="00C00154">
        <w:rPr>
          <w:rFonts w:ascii="Avenir Next" w:hAnsi="Avenir Next" w:cs="Arial"/>
          <w:color w:val="7B7B7B" w:themeColor="accent3" w:themeShade="BF"/>
          <w:sz w:val="22"/>
          <w:szCs w:val="22"/>
          <w:lang w:val="en-GB"/>
        </w:rPr>
        <w:t xml:space="preserve"> can be appealed as of right while interlocutory orders can only </w:t>
      </w:r>
      <w:r w:rsidR="00C00154">
        <w:rPr>
          <w:rFonts w:ascii="Avenir Next" w:hAnsi="Avenir Next" w:cs="Arial"/>
          <w:color w:val="7B7B7B" w:themeColor="accent3" w:themeShade="BF"/>
          <w:sz w:val="22"/>
          <w:szCs w:val="22"/>
          <w:lang w:val="en-GB"/>
        </w:rPr>
        <w:lastRenderedPageBreak/>
        <w:t>be appealed with leave of the appellate court.</w:t>
      </w:r>
      <w:r w:rsidR="00156A08">
        <w:rPr>
          <w:rFonts w:ascii="Avenir Next" w:hAnsi="Avenir Next" w:cs="Arial"/>
          <w:color w:val="7B7B7B" w:themeColor="accent3" w:themeShade="BF"/>
          <w:sz w:val="22"/>
          <w:szCs w:val="22"/>
          <w:lang w:val="en-GB"/>
        </w:rPr>
        <w:t xml:space="preserve"> 28 </w:t>
      </w:r>
      <w:proofErr w:type="gramStart"/>
      <w:r w:rsidR="00156A08">
        <w:rPr>
          <w:rFonts w:ascii="Avenir Next" w:hAnsi="Avenir Next" w:cs="Arial"/>
          <w:color w:val="7B7B7B" w:themeColor="accent3" w:themeShade="BF"/>
          <w:sz w:val="22"/>
          <w:szCs w:val="22"/>
          <w:lang w:val="en-GB"/>
        </w:rPr>
        <w:t>USC,</w:t>
      </w:r>
      <w:r w:rsidR="00156A08">
        <w:rPr>
          <w:rFonts w:ascii="Calibri" w:hAnsi="Calibri" w:cs="Calibri"/>
          <w:color w:val="7B7B7B" w:themeColor="accent3" w:themeShade="BF"/>
          <w:sz w:val="22"/>
          <w:szCs w:val="22"/>
          <w:lang w:val="en-GB"/>
        </w:rPr>
        <w:t>§</w:t>
      </w:r>
      <w:proofErr w:type="gramEnd"/>
      <w:r w:rsidR="00156A08">
        <w:rPr>
          <w:rFonts w:ascii="Avenir Next" w:hAnsi="Avenir Next" w:cs="Arial"/>
          <w:color w:val="7B7B7B" w:themeColor="accent3" w:themeShade="BF"/>
          <w:sz w:val="22"/>
          <w:szCs w:val="22"/>
          <w:lang w:val="en-GB"/>
        </w:rPr>
        <w:t xml:space="preserve"> 158(a)(2) provides that in Bankruptcy court an order extending the period of exclusivity to a propose plan are appealable as of right. In Bullard v Blue Hills Bank, the Supreme Court held that a bankruptcy order resolving a discrete dispute is a final order for the purpose of an appeal.</w:t>
      </w:r>
    </w:p>
    <w:p w14:paraId="7B833918" w14:textId="74324467" w:rsidR="00ED4E00" w:rsidRDefault="00ED4E00" w:rsidP="00A51323">
      <w:pPr>
        <w:jc w:val="both"/>
        <w:rPr>
          <w:rFonts w:ascii="Avenir Next" w:hAnsi="Avenir Next" w:cs="Arial"/>
          <w:color w:val="7B7B7B" w:themeColor="accent3" w:themeShade="BF"/>
          <w:sz w:val="22"/>
          <w:szCs w:val="22"/>
          <w:lang w:val="en-GB"/>
        </w:rPr>
      </w:pPr>
    </w:p>
    <w:p w14:paraId="477718D5" w14:textId="1773A262" w:rsidR="00ED4E00" w:rsidRDefault="00ED4E00" w:rsidP="00A513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Appeals from the Bankruptcy court are usually heard by the district court for the district in which they sit. The BAP in certain circuits hears bankruptcy appeals</w:t>
      </w:r>
      <w:r w:rsidR="003413AC">
        <w:rPr>
          <w:rFonts w:ascii="Avenir Next" w:hAnsi="Avenir Next" w:cs="Arial"/>
          <w:color w:val="7B7B7B" w:themeColor="accent3" w:themeShade="BF"/>
          <w:sz w:val="22"/>
          <w:szCs w:val="22"/>
          <w:lang w:val="en-GB"/>
        </w:rPr>
        <w:t>, the parties have the option to request that the appeal be heard by the district court in these circuits. Parties have a further right of appeal to the circuit court of appeals and in rare cases an appeal from the bankruptcy court may go directly to the court of appeals.</w:t>
      </w:r>
    </w:p>
    <w:p w14:paraId="4A293882" w14:textId="2A69A1D4" w:rsidR="003413AC" w:rsidRDefault="003413AC" w:rsidP="00A51323">
      <w:pPr>
        <w:jc w:val="both"/>
        <w:rPr>
          <w:rFonts w:ascii="Avenir Next" w:hAnsi="Avenir Next" w:cs="Arial"/>
          <w:color w:val="7B7B7B" w:themeColor="accent3" w:themeShade="BF"/>
          <w:sz w:val="22"/>
          <w:szCs w:val="22"/>
          <w:lang w:val="en-GB"/>
        </w:rPr>
      </w:pPr>
    </w:p>
    <w:p w14:paraId="31720A3F" w14:textId="474B9A84" w:rsidR="003413AC" w:rsidRPr="00A51323" w:rsidRDefault="003413AC" w:rsidP="00A513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bankruptcy court</w:t>
      </w:r>
      <w:r w:rsidR="009508E0">
        <w:rPr>
          <w:rFonts w:ascii="Avenir Next" w:hAnsi="Avenir Next" w:cs="Arial"/>
          <w:color w:val="7B7B7B" w:themeColor="accent3" w:themeShade="BF"/>
          <w:sz w:val="22"/>
          <w:szCs w:val="22"/>
          <w:lang w:val="en-GB"/>
        </w:rPr>
        <w:t xml:space="preserve"> in a core proceeding had the authority to enter a final order, the district court or BAP reviews the conclusions of law de novo and findings of fact and conclusions of law. Where the bankruptcy court in a noncore proceeding or didn’t have authority to enter a final order,</w:t>
      </w:r>
      <w:r w:rsidR="004674C9">
        <w:rPr>
          <w:rFonts w:ascii="Avenir Next" w:hAnsi="Avenir Next" w:cs="Arial"/>
          <w:color w:val="7B7B7B" w:themeColor="accent3" w:themeShade="BF"/>
          <w:sz w:val="22"/>
          <w:szCs w:val="22"/>
          <w:lang w:val="en-GB"/>
        </w:rPr>
        <w:t xml:space="preserve"> the district court or BAP </w:t>
      </w:r>
      <w:proofErr w:type="gramStart"/>
      <w:r w:rsidR="004674C9">
        <w:rPr>
          <w:rFonts w:ascii="Avenir Next" w:hAnsi="Avenir Next" w:cs="Arial"/>
          <w:color w:val="7B7B7B" w:themeColor="accent3" w:themeShade="BF"/>
          <w:sz w:val="22"/>
          <w:szCs w:val="22"/>
          <w:lang w:val="en-GB"/>
        </w:rPr>
        <w:t>reviews  de</w:t>
      </w:r>
      <w:proofErr w:type="gramEnd"/>
      <w:r w:rsidR="004674C9">
        <w:rPr>
          <w:rFonts w:ascii="Avenir Next" w:hAnsi="Avenir Next" w:cs="Arial"/>
          <w:color w:val="7B7B7B" w:themeColor="accent3" w:themeShade="BF"/>
          <w:sz w:val="22"/>
          <w:szCs w:val="22"/>
          <w:lang w:val="en-GB"/>
        </w:rPr>
        <w:t xml:space="preserve"> novo all findings of fact and conclusions of law to which the party objected to. </w:t>
      </w:r>
      <w:r w:rsidR="00B65942">
        <w:rPr>
          <w:rFonts w:ascii="Avenir Next" w:hAnsi="Avenir Next" w:cs="Arial"/>
          <w:color w:val="7B7B7B" w:themeColor="accent3" w:themeShade="BF"/>
          <w:sz w:val="22"/>
          <w:szCs w:val="22"/>
          <w:lang w:val="en-GB"/>
        </w:rPr>
        <w:t xml:space="preserve"> The order of </w:t>
      </w:r>
      <w:proofErr w:type="gramStart"/>
      <w:r w:rsidR="00B65942">
        <w:rPr>
          <w:rFonts w:ascii="Avenir Next" w:hAnsi="Avenir Next" w:cs="Arial"/>
          <w:color w:val="7B7B7B" w:themeColor="accent3" w:themeShade="BF"/>
          <w:sz w:val="22"/>
          <w:szCs w:val="22"/>
          <w:lang w:val="en-GB"/>
        </w:rPr>
        <w:t>a the</w:t>
      </w:r>
      <w:proofErr w:type="gramEnd"/>
      <w:r w:rsidR="00B65942">
        <w:rPr>
          <w:rFonts w:ascii="Avenir Next" w:hAnsi="Avenir Next" w:cs="Arial"/>
          <w:color w:val="7B7B7B" w:themeColor="accent3" w:themeShade="BF"/>
          <w:sz w:val="22"/>
          <w:szCs w:val="22"/>
          <w:lang w:val="en-GB"/>
        </w:rPr>
        <w:t xml:space="preserve"> district court or BAP would be reviewed by a circuit court of appeal de novo as to conclusions of law and for abuse of discretion for findings of fact.</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287DF5B4" w:rsidR="00E41578" w:rsidRDefault="00D97E6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w:t>
      </w:r>
      <w:r w:rsidR="00E77E46">
        <w:rPr>
          <w:rFonts w:ascii="Avenir Next" w:hAnsi="Avenir Next" w:cs="Arial"/>
          <w:color w:val="7B7B7B" w:themeColor="accent3" w:themeShade="BF"/>
          <w:sz w:val="22"/>
          <w:szCs w:val="22"/>
          <w:lang w:val="en-GB"/>
        </w:rPr>
        <w:t>granting</w:t>
      </w:r>
      <w:r>
        <w:rPr>
          <w:rFonts w:ascii="Avenir Next" w:hAnsi="Avenir Next" w:cs="Arial"/>
          <w:color w:val="7B7B7B" w:themeColor="accent3" w:themeShade="BF"/>
          <w:sz w:val="22"/>
          <w:szCs w:val="22"/>
          <w:lang w:val="en-GB"/>
        </w:rPr>
        <w:t xml:space="preserve"> of a Chap 15 petition</w:t>
      </w:r>
      <w:r w:rsidR="00E77E46">
        <w:rPr>
          <w:rFonts w:ascii="Avenir Next" w:hAnsi="Avenir Next" w:cs="Arial"/>
          <w:color w:val="7B7B7B" w:themeColor="accent3" w:themeShade="BF"/>
          <w:sz w:val="22"/>
          <w:szCs w:val="22"/>
          <w:lang w:val="en-GB"/>
        </w:rPr>
        <w:t>, recognition of a foreign main proceeding,</w:t>
      </w:r>
      <w:r>
        <w:rPr>
          <w:rFonts w:ascii="Avenir Next" w:hAnsi="Avenir Next" w:cs="Arial"/>
          <w:color w:val="7B7B7B" w:themeColor="accent3" w:themeShade="BF"/>
          <w:sz w:val="22"/>
          <w:szCs w:val="22"/>
          <w:lang w:val="en-GB"/>
        </w:rPr>
        <w:t xml:space="preserve"> a </w:t>
      </w:r>
      <w:proofErr w:type="gramStart"/>
      <w:r>
        <w:rPr>
          <w:rFonts w:ascii="Avenir Next" w:hAnsi="Avenir Next" w:cs="Arial"/>
          <w:color w:val="7B7B7B" w:themeColor="accent3" w:themeShade="BF"/>
          <w:sz w:val="22"/>
          <w:szCs w:val="22"/>
          <w:lang w:val="en-GB"/>
        </w:rPr>
        <w:t>stay  of</w:t>
      </w:r>
      <w:proofErr w:type="gramEnd"/>
      <w:r>
        <w:rPr>
          <w:rFonts w:ascii="Avenir Next" w:hAnsi="Avenir Next" w:cs="Arial"/>
          <w:color w:val="7B7B7B" w:themeColor="accent3" w:themeShade="BF"/>
          <w:sz w:val="22"/>
          <w:szCs w:val="22"/>
          <w:lang w:val="en-GB"/>
        </w:rPr>
        <w:t xml:space="preserve"> creditor action is invoked. </w:t>
      </w:r>
      <w:r w:rsidR="00E77E46">
        <w:rPr>
          <w:rFonts w:ascii="Avenir Next" w:hAnsi="Avenir Next" w:cs="Arial"/>
          <w:color w:val="7B7B7B" w:themeColor="accent3" w:themeShade="BF"/>
          <w:sz w:val="22"/>
          <w:szCs w:val="22"/>
          <w:lang w:val="en-GB"/>
        </w:rPr>
        <w:t xml:space="preserve">The stay is however, limited to the debtor's property within the jurisdiction of the U.S. as per 11 USC, </w:t>
      </w:r>
      <w:r w:rsidR="00E77E46">
        <w:rPr>
          <w:rFonts w:ascii="Calibri" w:hAnsi="Calibri" w:cs="Calibri"/>
          <w:color w:val="7B7B7B" w:themeColor="accent3" w:themeShade="BF"/>
          <w:sz w:val="22"/>
          <w:szCs w:val="22"/>
          <w:lang w:val="en-GB"/>
        </w:rPr>
        <w:t>§</w:t>
      </w:r>
      <w:r w:rsidR="00E77E46">
        <w:rPr>
          <w:rFonts w:ascii="Avenir Next" w:hAnsi="Avenir Next" w:cs="Arial"/>
          <w:color w:val="7B7B7B" w:themeColor="accent3" w:themeShade="BF"/>
          <w:sz w:val="22"/>
          <w:szCs w:val="22"/>
          <w:lang w:val="en-GB"/>
        </w:rPr>
        <w:t xml:space="preserve"> 1520(a)(1). </w:t>
      </w:r>
      <w:r w:rsidR="00DF03F1">
        <w:rPr>
          <w:rFonts w:ascii="Avenir Next" w:hAnsi="Avenir Next" w:cs="Arial"/>
          <w:color w:val="7B7B7B" w:themeColor="accent3" w:themeShade="BF"/>
          <w:sz w:val="22"/>
          <w:szCs w:val="22"/>
          <w:lang w:val="en-GB"/>
        </w:rPr>
        <w:t xml:space="preserve"> At the Bankruptcy Court's discretion, a stay or other assistance may be granted on an interim basis</w:t>
      </w:r>
      <w:r w:rsidR="009A320F">
        <w:rPr>
          <w:rFonts w:ascii="Avenir Next" w:hAnsi="Avenir Next" w:cs="Arial"/>
          <w:color w:val="7B7B7B" w:themeColor="accent3" w:themeShade="BF"/>
          <w:sz w:val="22"/>
          <w:szCs w:val="22"/>
          <w:lang w:val="en-GB"/>
        </w:rPr>
        <w:t xml:space="preserve"> pending recognition or following recognition of a non-main proceeding.</w:t>
      </w:r>
    </w:p>
    <w:p w14:paraId="0347B12B" w14:textId="706469A1" w:rsidR="009A320F" w:rsidRDefault="009A320F" w:rsidP="00E41578">
      <w:pPr>
        <w:jc w:val="both"/>
        <w:rPr>
          <w:rFonts w:ascii="Avenir Next" w:hAnsi="Avenir Next" w:cs="Arial"/>
          <w:color w:val="7B7B7B" w:themeColor="accent3" w:themeShade="BF"/>
          <w:sz w:val="22"/>
          <w:szCs w:val="22"/>
          <w:lang w:val="en-GB"/>
        </w:rPr>
      </w:pPr>
    </w:p>
    <w:p w14:paraId="5735295E" w14:textId="36FD2F38" w:rsidR="009A320F" w:rsidRDefault="009A320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foreign main is proceedings commenced in the debtor's COMI. Though rebuttable, a debtor's COMI is presumed to be its place of incorporation.</w:t>
      </w:r>
      <w:r w:rsidR="002B2A31">
        <w:rPr>
          <w:rFonts w:ascii="Avenir Next" w:hAnsi="Avenir Next" w:cs="Arial"/>
          <w:color w:val="7B7B7B" w:themeColor="accent3" w:themeShade="BF"/>
          <w:sz w:val="22"/>
          <w:szCs w:val="22"/>
          <w:lang w:val="en-GB"/>
        </w:rPr>
        <w:t xml:space="preserve">  Proceedings in a jurisdiction other than the debtor's COMI can be recognized as </w:t>
      </w:r>
      <w:proofErr w:type="gramStart"/>
      <w:r w:rsidR="002B2A31">
        <w:rPr>
          <w:rFonts w:ascii="Avenir Next" w:hAnsi="Avenir Next" w:cs="Arial"/>
          <w:color w:val="7B7B7B" w:themeColor="accent3" w:themeShade="BF"/>
          <w:sz w:val="22"/>
          <w:szCs w:val="22"/>
          <w:lang w:val="en-GB"/>
        </w:rPr>
        <w:t xml:space="preserve">a </w:t>
      </w:r>
      <w:r w:rsidR="002B2A31" w:rsidRPr="002B2A31">
        <w:rPr>
          <w:rFonts w:ascii="Avenir Next" w:hAnsi="Avenir Next" w:cs="Arial"/>
          <w:color w:val="7B7B7B" w:themeColor="accent3" w:themeShade="BF"/>
          <w:sz w:val="22"/>
          <w:szCs w:val="22"/>
          <w:lang w:val="en-GB"/>
        </w:rPr>
        <w:t>non-main proceedings</w:t>
      </w:r>
      <w:proofErr w:type="gramEnd"/>
      <w:r w:rsidR="002B2A31">
        <w:rPr>
          <w:rFonts w:ascii="Avenir Next" w:hAnsi="Avenir Next" w:cs="Arial"/>
          <w:color w:val="7B7B7B" w:themeColor="accent3" w:themeShade="BF"/>
          <w:sz w:val="22"/>
          <w:szCs w:val="22"/>
          <w:lang w:val="en-GB"/>
        </w:rPr>
        <w:t xml:space="preserve"> only if the debtor had an establishment in the jurisdiction prior to the commencement of Chap 15 proceedings. In Bear Stearns the </w:t>
      </w:r>
      <w:r w:rsidR="0049788F">
        <w:rPr>
          <w:rFonts w:ascii="Avenir Next" w:hAnsi="Avenir Next" w:cs="Arial"/>
          <w:color w:val="7B7B7B" w:themeColor="accent3" w:themeShade="BF"/>
          <w:sz w:val="22"/>
          <w:szCs w:val="22"/>
          <w:lang w:val="en-GB"/>
        </w:rPr>
        <w:t>Ba</w:t>
      </w:r>
      <w:r w:rsidR="002B2A31" w:rsidRPr="0049788F">
        <w:rPr>
          <w:rFonts w:ascii="Avenir Next" w:hAnsi="Avenir Next" w:cs="Arial"/>
          <w:color w:val="7B7B7B" w:themeColor="accent3" w:themeShade="BF"/>
          <w:sz w:val="22"/>
          <w:szCs w:val="22"/>
          <w:lang w:val="en-GB"/>
        </w:rPr>
        <w:t>nkruptcy Court</w:t>
      </w:r>
      <w:r w:rsidR="0049788F" w:rsidRPr="0049788F">
        <w:rPr>
          <w:rFonts w:ascii="Avenir Next" w:hAnsi="Avenir Next" w:cs="Arial"/>
          <w:color w:val="7B7B7B" w:themeColor="accent3" w:themeShade="BF"/>
          <w:sz w:val="22"/>
          <w:szCs w:val="22"/>
          <w:lang w:val="en-GB"/>
        </w:rPr>
        <w:t xml:space="preserve"> held that a Cayman</w:t>
      </w:r>
      <w:r w:rsidR="0049788F">
        <w:rPr>
          <w:rFonts w:ascii="Avenir Next" w:hAnsi="Avenir Next" w:cs="Arial"/>
          <w:color w:val="7B7B7B" w:themeColor="accent3" w:themeShade="BF"/>
          <w:sz w:val="22"/>
          <w:szCs w:val="22"/>
          <w:lang w:val="en-GB"/>
        </w:rPr>
        <w:t xml:space="preserve"> was not the COMI of a Cayman</w:t>
      </w:r>
      <w:r w:rsidR="0049788F" w:rsidRPr="0049788F">
        <w:rPr>
          <w:rFonts w:ascii="Avenir Next" w:hAnsi="Avenir Next" w:cs="Arial"/>
          <w:color w:val="7B7B7B" w:themeColor="accent3" w:themeShade="BF"/>
          <w:sz w:val="22"/>
          <w:szCs w:val="22"/>
          <w:lang w:val="en-GB"/>
        </w:rPr>
        <w:t xml:space="preserve"> </w:t>
      </w:r>
      <w:proofErr w:type="gramStart"/>
      <w:r w:rsidR="0049788F">
        <w:rPr>
          <w:rFonts w:ascii="Avenir Next" w:hAnsi="Avenir Next" w:cs="Arial"/>
          <w:color w:val="7B7B7B" w:themeColor="accent3" w:themeShade="BF"/>
          <w:sz w:val="22"/>
          <w:szCs w:val="22"/>
          <w:lang w:val="en-GB"/>
        </w:rPr>
        <w:t>incorporated  exempt</w:t>
      </w:r>
      <w:proofErr w:type="gramEnd"/>
      <w:r w:rsidR="0049788F">
        <w:rPr>
          <w:rFonts w:ascii="Avenir Next" w:hAnsi="Avenir Next" w:cs="Arial"/>
          <w:color w:val="7B7B7B" w:themeColor="accent3" w:themeShade="BF"/>
          <w:sz w:val="22"/>
          <w:szCs w:val="22"/>
          <w:lang w:val="en-GB"/>
        </w:rPr>
        <w:t xml:space="preserve"> company because the company's licensed is on the basis that it will not have operations in Cayman.  The COMI is assessed as the date of the US petition rather than the commencement of the foreign proceedings as a result of Bear Stearns.</w:t>
      </w:r>
    </w:p>
    <w:p w14:paraId="2A094499" w14:textId="40995F79" w:rsidR="0049788F" w:rsidRDefault="0049788F" w:rsidP="00E41578">
      <w:pPr>
        <w:jc w:val="both"/>
        <w:rPr>
          <w:rFonts w:ascii="Avenir Next" w:hAnsi="Avenir Next" w:cs="Arial"/>
          <w:color w:val="7B7B7B" w:themeColor="accent3" w:themeShade="BF"/>
          <w:sz w:val="22"/>
          <w:szCs w:val="22"/>
          <w:lang w:val="en-GB"/>
        </w:rPr>
      </w:pPr>
    </w:p>
    <w:p w14:paraId="56F08025" w14:textId="7C3952C3" w:rsidR="0049788F" w:rsidRDefault="0049788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recognition </w:t>
      </w:r>
      <w:r w:rsidR="00DA77F6">
        <w:rPr>
          <w:rFonts w:ascii="Avenir Next" w:hAnsi="Avenir Next" w:cs="Arial"/>
          <w:color w:val="7B7B7B" w:themeColor="accent3" w:themeShade="BF"/>
          <w:sz w:val="22"/>
          <w:szCs w:val="22"/>
          <w:lang w:val="en-GB"/>
        </w:rPr>
        <w:t xml:space="preserve">of </w:t>
      </w:r>
      <w:r w:rsidR="00DA77F6" w:rsidRPr="00DA77F6">
        <w:rPr>
          <w:rFonts w:ascii="Avenir Next" w:hAnsi="Avenir Next" w:cs="Arial"/>
          <w:color w:val="7B7B7B" w:themeColor="accent3" w:themeShade="BF"/>
          <w:sz w:val="22"/>
          <w:szCs w:val="22"/>
          <w:lang w:val="en-GB"/>
        </w:rPr>
        <w:t>either foreign main or non-main proceedings</w:t>
      </w:r>
      <w:r w:rsidR="00DA77F6">
        <w:rPr>
          <w:rFonts w:ascii="Avenir Next" w:hAnsi="Avenir Next" w:cs="Arial"/>
          <w:color w:val="7B7B7B" w:themeColor="accent3" w:themeShade="BF"/>
          <w:sz w:val="22"/>
          <w:szCs w:val="22"/>
          <w:lang w:val="en-GB"/>
        </w:rPr>
        <w:t xml:space="preserve"> the following discretionary relief may be granted:</w:t>
      </w:r>
    </w:p>
    <w:p w14:paraId="3E29012B" w14:textId="5EF077A3" w:rsidR="00DA77F6" w:rsidRDefault="00DA77F6" w:rsidP="00DA77F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Authorization of discovery regarding the debtor's assets and affairs</w:t>
      </w:r>
      <w:r w:rsidR="00B25271">
        <w:rPr>
          <w:rFonts w:ascii="Avenir Next" w:hAnsi="Avenir Next" w:cs="Arial"/>
          <w:color w:val="7B7B7B" w:themeColor="accent3" w:themeShade="BF"/>
          <w:sz w:val="22"/>
          <w:szCs w:val="22"/>
          <w:lang w:val="en-GB"/>
        </w:rPr>
        <w:t>;</w:t>
      </w:r>
    </w:p>
    <w:p w14:paraId="06AB636C" w14:textId="4A2A9C6E" w:rsidR="00DA77F6" w:rsidRDefault="00DA77F6" w:rsidP="00DA77F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Extension of provisional relief</w:t>
      </w:r>
      <w:r w:rsidR="00B25271">
        <w:rPr>
          <w:rFonts w:ascii="Avenir Next" w:hAnsi="Avenir Next" w:cs="Arial"/>
          <w:color w:val="7B7B7B" w:themeColor="accent3" w:themeShade="BF"/>
          <w:sz w:val="22"/>
          <w:szCs w:val="22"/>
          <w:lang w:val="en-GB"/>
        </w:rPr>
        <w:t>;</w:t>
      </w:r>
    </w:p>
    <w:p w14:paraId="480C6C5D" w14:textId="7D444003" w:rsidR="00DA77F6" w:rsidRDefault="00DA77F6" w:rsidP="00DA77F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Entrusting administration of the debtor's US assets to the foreign representative or other person;</w:t>
      </w:r>
      <w:r w:rsidR="00B25271">
        <w:rPr>
          <w:rFonts w:ascii="Avenir Next" w:hAnsi="Avenir Next" w:cs="Arial"/>
          <w:color w:val="7B7B7B" w:themeColor="accent3" w:themeShade="BF"/>
          <w:sz w:val="22"/>
          <w:szCs w:val="22"/>
          <w:lang w:val="en-GB"/>
        </w:rPr>
        <w:t xml:space="preserve"> and</w:t>
      </w:r>
    </w:p>
    <w:p w14:paraId="3176A3F4" w14:textId="0052DA37" w:rsidR="00E01803" w:rsidRPr="00DA77F6" w:rsidRDefault="00DA77F6" w:rsidP="000778B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purposes of Chap 15 and to protect the assets of the debtor or the interest of the creditor.</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10DB77AD" w:rsidR="00E41578" w:rsidRPr="00E41578" w:rsidRDefault="005F053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in Delaware owe a fiduciary duty of loyalty to the corporation's best interest and a duty of care in educated decision-making. These duties are owed to the corporation and its shareholder</w:t>
      </w:r>
      <w:r w:rsidR="00B43C9D">
        <w:rPr>
          <w:rFonts w:ascii="Avenir Next" w:hAnsi="Avenir Next" w:cs="Arial"/>
          <w:color w:val="7B7B7B" w:themeColor="accent3" w:themeShade="BF"/>
          <w:sz w:val="22"/>
          <w:szCs w:val="22"/>
          <w:lang w:val="en-GB"/>
        </w:rPr>
        <w:t xml:space="preserve"> whether the corporation is solvent or potentially insolvent. A Delaware director does not owe any duty to a creditor even when the corporation is indeed insolvent as per </w:t>
      </w:r>
      <w:r w:rsidR="00B43C9D" w:rsidRPr="00B43C9D">
        <w:rPr>
          <w:rFonts w:ascii="Avenir Next" w:hAnsi="Avenir Next" w:cs="Arial"/>
          <w:i/>
          <w:iCs/>
          <w:color w:val="7B7B7B" w:themeColor="accent3" w:themeShade="BF"/>
          <w:sz w:val="22"/>
          <w:szCs w:val="22"/>
          <w:lang w:val="en-GB"/>
        </w:rPr>
        <w:t xml:space="preserve">North Am Catholic Educational Programming Foundation, </w:t>
      </w:r>
      <w:proofErr w:type="spellStart"/>
      <w:r w:rsidR="00B43C9D" w:rsidRPr="00B43C9D">
        <w:rPr>
          <w:rFonts w:ascii="Avenir Next" w:hAnsi="Avenir Next" w:cs="Arial"/>
          <w:i/>
          <w:iCs/>
          <w:color w:val="7B7B7B" w:themeColor="accent3" w:themeShade="BF"/>
          <w:sz w:val="22"/>
          <w:szCs w:val="22"/>
          <w:lang w:val="en-GB"/>
        </w:rPr>
        <w:t>Inc</w:t>
      </w:r>
      <w:proofErr w:type="spellEnd"/>
      <w:r w:rsidR="00B43C9D" w:rsidRPr="00B43C9D">
        <w:rPr>
          <w:rFonts w:ascii="Avenir Next" w:hAnsi="Avenir Next" w:cs="Arial"/>
          <w:i/>
          <w:iCs/>
          <w:color w:val="7B7B7B" w:themeColor="accent3" w:themeShade="BF"/>
          <w:sz w:val="22"/>
          <w:szCs w:val="22"/>
          <w:lang w:val="en-GB"/>
        </w:rPr>
        <w:t xml:space="preserve"> v </w:t>
      </w:r>
      <w:proofErr w:type="spellStart"/>
      <w:r w:rsidR="00B43C9D" w:rsidRPr="00B43C9D">
        <w:rPr>
          <w:rFonts w:ascii="Avenir Next" w:hAnsi="Avenir Next" w:cs="Arial"/>
          <w:i/>
          <w:iCs/>
          <w:color w:val="7B7B7B" w:themeColor="accent3" w:themeShade="BF"/>
          <w:sz w:val="22"/>
          <w:szCs w:val="22"/>
          <w:lang w:val="en-GB"/>
        </w:rPr>
        <w:t>Gheewall</w:t>
      </w:r>
      <w:r w:rsidR="00B43C9D">
        <w:rPr>
          <w:rFonts w:ascii="Avenir Next" w:hAnsi="Avenir Next" w:cs="Arial"/>
          <w:color w:val="7B7B7B" w:themeColor="accent3" w:themeShade="BF"/>
          <w:sz w:val="22"/>
          <w:szCs w:val="22"/>
          <w:lang w:val="en-GB"/>
        </w:rPr>
        <w:t>a</w:t>
      </w:r>
      <w:proofErr w:type="spellEnd"/>
      <w:r w:rsidR="00B43C9D">
        <w:rPr>
          <w:rFonts w:ascii="Avenir Next" w:hAnsi="Avenir Next" w:cs="Arial"/>
          <w:color w:val="7B7B7B" w:themeColor="accent3" w:themeShade="BF"/>
          <w:sz w:val="22"/>
          <w:szCs w:val="22"/>
          <w:lang w:val="en-GB"/>
        </w:rPr>
        <w:t xml:space="preserve">. </w:t>
      </w:r>
    </w:p>
    <w:p w14:paraId="4A07A2C3" w14:textId="4E8AE73D" w:rsidR="00E01803" w:rsidRDefault="00E01803" w:rsidP="000778B1">
      <w:pPr>
        <w:pStyle w:val="AODocTxt"/>
        <w:spacing w:before="0" w:line="240" w:lineRule="auto"/>
        <w:rPr>
          <w:rFonts w:ascii="Avenir Next" w:hAnsi="Avenir Next"/>
        </w:rPr>
      </w:pPr>
    </w:p>
    <w:p w14:paraId="41D5DC43" w14:textId="386ABB08" w:rsidR="00B43C9D" w:rsidRDefault="00B43C9D" w:rsidP="00B43C9D">
      <w:pPr>
        <w:jc w:val="both"/>
        <w:rPr>
          <w:rFonts w:ascii="Avenir Next" w:hAnsi="Avenir Next" w:cs="Arial"/>
          <w:color w:val="7B7B7B" w:themeColor="accent3" w:themeShade="BF"/>
          <w:sz w:val="22"/>
          <w:szCs w:val="22"/>
          <w:lang w:val="en-GB"/>
        </w:rPr>
      </w:pPr>
      <w:r w:rsidRPr="00B43C9D">
        <w:rPr>
          <w:rFonts w:ascii="Avenir Next" w:hAnsi="Avenir Next" w:cs="Arial"/>
          <w:color w:val="7B7B7B" w:themeColor="accent3" w:themeShade="BF"/>
          <w:sz w:val="22"/>
          <w:szCs w:val="22"/>
          <w:lang w:val="en-GB"/>
        </w:rPr>
        <w:t>The business judgment</w:t>
      </w:r>
      <w:r w:rsidR="001F4EB2">
        <w:rPr>
          <w:rFonts w:ascii="Avenir Next" w:hAnsi="Avenir Next" w:cs="Arial"/>
          <w:color w:val="7B7B7B" w:themeColor="accent3" w:themeShade="BF"/>
          <w:sz w:val="22"/>
          <w:szCs w:val="22"/>
          <w:lang w:val="en-GB"/>
        </w:rPr>
        <w:t xml:space="preserve"> rule</w:t>
      </w:r>
      <w:r w:rsidRPr="00B43C9D">
        <w:rPr>
          <w:rFonts w:ascii="Avenir Next" w:hAnsi="Avenir Next" w:cs="Arial"/>
          <w:color w:val="7B7B7B" w:themeColor="accent3" w:themeShade="BF"/>
          <w:sz w:val="22"/>
          <w:szCs w:val="22"/>
          <w:lang w:val="en-GB"/>
        </w:rPr>
        <w:t xml:space="preserve"> protects</w:t>
      </w:r>
      <w:r>
        <w:rPr>
          <w:rFonts w:ascii="Avenir Next" w:hAnsi="Avenir Next" w:cs="Arial"/>
          <w:color w:val="7B7B7B" w:themeColor="accent3" w:themeShade="BF"/>
          <w:sz w:val="22"/>
          <w:szCs w:val="22"/>
          <w:lang w:val="en-GB"/>
        </w:rPr>
        <w:t xml:space="preserve"> directors from liability</w:t>
      </w:r>
      <w:r w:rsidR="001F4EB2">
        <w:rPr>
          <w:rFonts w:ascii="Avenir Next" w:hAnsi="Avenir Next" w:cs="Arial"/>
          <w:color w:val="7B7B7B" w:themeColor="accent3" w:themeShade="BF"/>
          <w:sz w:val="22"/>
          <w:szCs w:val="22"/>
          <w:lang w:val="en-GB"/>
        </w:rPr>
        <w:t xml:space="preserve"> for errors of judgment. The board of directors is presumed to have acted in good faith on the basis of reasonable information under the </w:t>
      </w:r>
      <w:r w:rsidR="001F4EB2" w:rsidRPr="00B43C9D">
        <w:rPr>
          <w:rFonts w:ascii="Avenir Next" w:hAnsi="Avenir Next" w:cs="Arial"/>
          <w:color w:val="7B7B7B" w:themeColor="accent3" w:themeShade="BF"/>
          <w:sz w:val="22"/>
          <w:szCs w:val="22"/>
          <w:lang w:val="en-GB"/>
        </w:rPr>
        <w:t>business judgment</w:t>
      </w:r>
      <w:r w:rsidR="001F4EB2">
        <w:rPr>
          <w:rFonts w:ascii="Avenir Next" w:hAnsi="Avenir Next" w:cs="Arial"/>
          <w:color w:val="7B7B7B" w:themeColor="accent3" w:themeShade="BF"/>
          <w:sz w:val="22"/>
          <w:szCs w:val="22"/>
          <w:lang w:val="en-GB"/>
        </w:rPr>
        <w:t xml:space="preserve"> rule. Unless the presumption is rebutted, in the absence of gross negligence, the directors will not be liable. If it can be shown that a majority of the board were not reasonably informed, did not</w:t>
      </w:r>
      <w:r w:rsidR="00012CAA">
        <w:rPr>
          <w:rFonts w:ascii="Avenir Next" w:hAnsi="Avenir Next" w:cs="Arial"/>
          <w:color w:val="7B7B7B" w:themeColor="accent3" w:themeShade="BF"/>
          <w:sz w:val="22"/>
          <w:szCs w:val="22"/>
          <w:lang w:val="en-GB"/>
        </w:rPr>
        <w:t xml:space="preserve"> have an honest belief that their decision was in the corporation's best interest or were not acting in good faith, the presumption can be rebutted.</w:t>
      </w:r>
      <w:r w:rsidR="00D218D6">
        <w:rPr>
          <w:rFonts w:ascii="Avenir Next" w:hAnsi="Avenir Next" w:cs="Arial"/>
          <w:color w:val="7B7B7B" w:themeColor="accent3" w:themeShade="BF"/>
          <w:sz w:val="22"/>
          <w:szCs w:val="22"/>
          <w:lang w:val="en-GB"/>
        </w:rPr>
        <w:t xml:space="preserve">  The </w:t>
      </w:r>
      <w:r w:rsidR="00D218D6" w:rsidRPr="00B43C9D">
        <w:rPr>
          <w:rFonts w:ascii="Avenir Next" w:hAnsi="Avenir Next" w:cs="Arial"/>
          <w:color w:val="7B7B7B" w:themeColor="accent3" w:themeShade="BF"/>
          <w:sz w:val="22"/>
          <w:szCs w:val="22"/>
          <w:lang w:val="en-GB"/>
        </w:rPr>
        <w:t>business judgment</w:t>
      </w:r>
      <w:r w:rsidR="00D218D6">
        <w:rPr>
          <w:rFonts w:ascii="Avenir Next" w:hAnsi="Avenir Next" w:cs="Arial"/>
          <w:color w:val="7B7B7B" w:themeColor="accent3" w:themeShade="BF"/>
          <w:sz w:val="22"/>
          <w:szCs w:val="22"/>
          <w:lang w:val="en-GB"/>
        </w:rPr>
        <w:t xml:space="preserve"> rule however, does not apply to a transaction that was approved by a majority of the board that is not disinterested and independent or a controlling shareholder is on both sides of the transaction.  Unless the entire fairness standard is satisfied, the transaction would be void.</w:t>
      </w:r>
    </w:p>
    <w:p w14:paraId="7195F84C" w14:textId="21636602" w:rsidR="00D218D6" w:rsidRDefault="00D218D6" w:rsidP="00B43C9D">
      <w:pPr>
        <w:jc w:val="both"/>
        <w:rPr>
          <w:rFonts w:ascii="Avenir Next" w:hAnsi="Avenir Next" w:cs="Arial"/>
          <w:color w:val="7B7B7B" w:themeColor="accent3" w:themeShade="BF"/>
          <w:sz w:val="22"/>
          <w:szCs w:val="22"/>
          <w:lang w:val="en-GB"/>
        </w:rPr>
      </w:pPr>
    </w:p>
    <w:p w14:paraId="7D4D31DD" w14:textId="7903419C" w:rsidR="00D218D6" w:rsidRPr="00D218D6" w:rsidRDefault="00D218D6" w:rsidP="00B43C9D">
      <w:pPr>
        <w:jc w:val="both"/>
        <w:rPr>
          <w:rFonts w:ascii="Avenir Next" w:hAnsi="Avenir Next"/>
          <w:vertAlign w:val="subscript"/>
        </w:rPr>
      </w:pPr>
      <w:r>
        <w:rPr>
          <w:rFonts w:ascii="Avenir Next" w:hAnsi="Avenir Next" w:cs="Arial"/>
          <w:color w:val="7B7B7B" w:themeColor="accent3" w:themeShade="BF"/>
          <w:sz w:val="22"/>
          <w:szCs w:val="22"/>
          <w:lang w:val="en-GB"/>
        </w:rPr>
        <w:t>A corporation's certificate of incorporation may also exculpate a director from liability for a breach of the duty of care</w:t>
      </w:r>
      <w:r w:rsidR="00551178">
        <w:rPr>
          <w:rFonts w:ascii="Avenir Next" w:hAnsi="Avenir Next" w:cs="Arial"/>
          <w:color w:val="7B7B7B" w:themeColor="accent3" w:themeShade="BF"/>
          <w:sz w:val="22"/>
          <w:szCs w:val="22"/>
          <w:lang w:val="en-GB"/>
        </w:rPr>
        <w:t xml:space="preserve"> but not a breach of the duty of loyalty as per Del Gen Corp L, </w:t>
      </w:r>
      <w:r w:rsidR="00551178">
        <w:rPr>
          <w:rFonts w:ascii="Calibri" w:hAnsi="Calibri" w:cs="Calibri"/>
          <w:color w:val="7B7B7B" w:themeColor="accent3" w:themeShade="BF"/>
          <w:sz w:val="22"/>
          <w:szCs w:val="22"/>
          <w:lang w:val="en-GB"/>
        </w:rPr>
        <w:t>§</w:t>
      </w:r>
      <w:r w:rsidR="00551178">
        <w:rPr>
          <w:rFonts w:ascii="Avenir Next" w:hAnsi="Avenir Next" w:cs="Arial"/>
          <w:color w:val="7B7B7B" w:themeColor="accent3" w:themeShade="BF"/>
          <w:sz w:val="22"/>
          <w:szCs w:val="22"/>
          <w:lang w:val="en-GB"/>
        </w:rPr>
        <w:t xml:space="preserve"> 102(b)(7).</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A833F16" w14:textId="7AC1E238" w:rsidR="00E01803" w:rsidRDefault="00EC520F" w:rsidP="00EC520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11 </w:t>
      </w:r>
      <w:proofErr w:type="gramStart"/>
      <w:r>
        <w:rPr>
          <w:rFonts w:ascii="Avenir Next" w:hAnsi="Avenir Next" w:cs="Arial"/>
          <w:color w:val="7B7B7B" w:themeColor="accent3" w:themeShade="BF"/>
          <w:sz w:val="22"/>
          <w:szCs w:val="22"/>
          <w:lang w:val="en-GB"/>
        </w:rPr>
        <w:t>USC,</w:t>
      </w:r>
      <w:r>
        <w:rPr>
          <w:rFonts w:ascii="Calibri" w:hAnsi="Calibri" w:cs="Calibri"/>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303 provides for the commencement of an </w:t>
      </w:r>
      <w:r w:rsidRPr="00EC520F">
        <w:rPr>
          <w:rFonts w:ascii="Avenir Next" w:hAnsi="Avenir Next" w:cs="Arial"/>
          <w:color w:val="7B7B7B" w:themeColor="accent3" w:themeShade="BF"/>
          <w:sz w:val="22"/>
          <w:szCs w:val="22"/>
          <w:lang w:val="en-GB"/>
        </w:rPr>
        <w:t>involuntary proceeding</w:t>
      </w:r>
      <w:r>
        <w:rPr>
          <w:rFonts w:ascii="Avenir Next" w:hAnsi="Avenir Next" w:cs="Arial"/>
          <w:color w:val="7B7B7B" w:themeColor="accent3" w:themeShade="BF"/>
          <w:sz w:val="22"/>
          <w:szCs w:val="22"/>
          <w:lang w:val="en-GB"/>
        </w:rPr>
        <w:t xml:space="preserve"> under Chap 7 or Chap 11.  The claim must</w:t>
      </w:r>
      <w:r w:rsidR="002A3C5C">
        <w:rPr>
          <w:rFonts w:ascii="Avenir Next" w:hAnsi="Avenir Next" w:cs="Arial"/>
          <w:color w:val="7B7B7B" w:themeColor="accent3" w:themeShade="BF"/>
          <w:sz w:val="22"/>
          <w:szCs w:val="22"/>
          <w:lang w:val="en-GB"/>
        </w:rPr>
        <w:t xml:space="preserve"> satisfy the below to qualify as a petitioning creditor:</w:t>
      </w:r>
    </w:p>
    <w:p w14:paraId="7B10654B" w14:textId="77777777" w:rsidR="008D715A" w:rsidRDefault="008D715A" w:rsidP="00EC520F">
      <w:pPr>
        <w:jc w:val="both"/>
        <w:rPr>
          <w:rFonts w:ascii="Avenir Next" w:hAnsi="Avenir Next" w:cs="Arial"/>
          <w:color w:val="7B7B7B" w:themeColor="accent3" w:themeShade="BF"/>
          <w:sz w:val="22"/>
          <w:szCs w:val="22"/>
          <w:lang w:val="en-GB"/>
        </w:rPr>
      </w:pPr>
    </w:p>
    <w:p w14:paraId="572CF512" w14:textId="6649ED36" w:rsidR="002A3C5C" w:rsidRDefault="002A3C5C" w:rsidP="002A3C5C">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must not be contingent whereby it is dependent on the occurrence of a future event. An </w:t>
      </w:r>
      <w:proofErr w:type="spellStart"/>
      <w:r>
        <w:rPr>
          <w:rFonts w:ascii="Avenir Next" w:hAnsi="Avenir Next" w:cs="Arial"/>
          <w:color w:val="7B7B7B" w:themeColor="accent3" w:themeShade="BF"/>
          <w:sz w:val="22"/>
          <w:szCs w:val="22"/>
          <w:lang w:val="en-GB"/>
        </w:rPr>
        <w:t>unmatured</w:t>
      </w:r>
      <w:proofErr w:type="spellEnd"/>
      <w:r>
        <w:rPr>
          <w:rFonts w:ascii="Avenir Next" w:hAnsi="Avenir Next" w:cs="Arial"/>
          <w:color w:val="7B7B7B" w:themeColor="accent3" w:themeShade="BF"/>
          <w:sz w:val="22"/>
          <w:szCs w:val="22"/>
          <w:lang w:val="en-GB"/>
        </w:rPr>
        <w:t xml:space="preserve"> debt is not contingent if all requirements for liability have occurred except for the passage of time.</w:t>
      </w:r>
    </w:p>
    <w:p w14:paraId="3D1E1BEA" w14:textId="77777777" w:rsidR="002A3C5C" w:rsidRDefault="002A3C5C" w:rsidP="002A3C5C">
      <w:pPr>
        <w:pStyle w:val="ListParagraph"/>
        <w:jc w:val="both"/>
        <w:rPr>
          <w:rFonts w:ascii="Avenir Next" w:hAnsi="Avenir Next" w:cs="Arial"/>
          <w:color w:val="7B7B7B" w:themeColor="accent3" w:themeShade="BF"/>
          <w:sz w:val="22"/>
          <w:szCs w:val="22"/>
          <w:lang w:val="en-GB"/>
        </w:rPr>
      </w:pPr>
    </w:p>
    <w:p w14:paraId="2F449633" w14:textId="26887286" w:rsidR="002A3C5C" w:rsidRDefault="002A3C5C" w:rsidP="002A3C5C">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bona fide dispute must not exist as to the amount of the </w:t>
      </w:r>
      <w:r w:rsidR="00930D45">
        <w:rPr>
          <w:rFonts w:ascii="Avenir Next" w:hAnsi="Avenir Next" w:cs="Arial"/>
          <w:color w:val="7B7B7B" w:themeColor="accent3" w:themeShade="BF"/>
          <w:sz w:val="22"/>
          <w:szCs w:val="22"/>
          <w:lang w:val="en-GB"/>
        </w:rPr>
        <w:t>liability</w:t>
      </w:r>
      <w:r>
        <w:rPr>
          <w:rFonts w:ascii="Avenir Next" w:hAnsi="Avenir Next" w:cs="Arial"/>
          <w:color w:val="7B7B7B" w:themeColor="accent3" w:themeShade="BF"/>
          <w:sz w:val="22"/>
          <w:szCs w:val="22"/>
          <w:lang w:val="en-GB"/>
        </w:rPr>
        <w:t xml:space="preserve">. </w:t>
      </w:r>
      <w:r w:rsidR="00930D45">
        <w:rPr>
          <w:rFonts w:ascii="Avenir Next" w:hAnsi="Avenir Next" w:cs="Arial"/>
          <w:color w:val="7B7B7B" w:themeColor="accent3" w:themeShade="BF"/>
          <w:sz w:val="22"/>
          <w:szCs w:val="22"/>
          <w:lang w:val="en-GB"/>
        </w:rPr>
        <w:t xml:space="preserve">A bona fide dispute </w:t>
      </w:r>
      <w:proofErr w:type="gramStart"/>
      <w:r w:rsidR="00930D45">
        <w:rPr>
          <w:rFonts w:ascii="Avenir Next" w:hAnsi="Avenir Next" w:cs="Arial"/>
          <w:color w:val="7B7B7B" w:themeColor="accent3" w:themeShade="BF"/>
          <w:sz w:val="22"/>
          <w:szCs w:val="22"/>
          <w:lang w:val="en-GB"/>
        </w:rPr>
        <w:t>exist</w:t>
      </w:r>
      <w:proofErr w:type="gramEnd"/>
      <w:r w:rsidR="00930D45">
        <w:rPr>
          <w:rFonts w:ascii="Avenir Next" w:hAnsi="Avenir Next" w:cs="Arial"/>
          <w:color w:val="7B7B7B" w:themeColor="accent3" w:themeShade="BF"/>
          <w:sz w:val="22"/>
          <w:szCs w:val="22"/>
          <w:lang w:val="en-GB"/>
        </w:rPr>
        <w:t xml:space="preserve"> where there is a reasonable basis for a dispute as to matter of law or fact. If a portion of the claim is disputed</w:t>
      </w:r>
      <w:r w:rsidR="008D715A">
        <w:rPr>
          <w:rFonts w:ascii="Avenir Next" w:hAnsi="Avenir Next" w:cs="Arial"/>
          <w:color w:val="7B7B7B" w:themeColor="accent3" w:themeShade="BF"/>
          <w:sz w:val="22"/>
          <w:szCs w:val="22"/>
          <w:lang w:val="en-GB"/>
        </w:rPr>
        <w:t xml:space="preserve"> the petitioning creditor cannot use the undisputed amount to meet the threshold of US$16,750.</w:t>
      </w:r>
    </w:p>
    <w:p w14:paraId="41A1AFEB" w14:textId="77777777" w:rsidR="00930D45" w:rsidRPr="00930D45" w:rsidRDefault="00930D45" w:rsidP="00930D45">
      <w:pPr>
        <w:pStyle w:val="ListParagraph"/>
        <w:rPr>
          <w:rFonts w:ascii="Avenir Next" w:hAnsi="Avenir Next" w:cs="Arial"/>
          <w:color w:val="7B7B7B" w:themeColor="accent3" w:themeShade="BF"/>
          <w:sz w:val="22"/>
          <w:szCs w:val="22"/>
          <w:lang w:val="en-GB"/>
        </w:rPr>
      </w:pPr>
    </w:p>
    <w:p w14:paraId="51B5AC59" w14:textId="33450AF3" w:rsidR="00930D45" w:rsidRPr="002A3C5C" w:rsidRDefault="00930D45" w:rsidP="002A3C5C">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must be unsecured or under secured, and amount to at least US$16,750 separately or in in total </w:t>
      </w:r>
      <w:r w:rsidR="008D715A">
        <w:rPr>
          <w:rFonts w:ascii="Avenir Next" w:hAnsi="Avenir Next" w:cs="Arial"/>
          <w:color w:val="7B7B7B" w:themeColor="accent3" w:themeShade="BF"/>
          <w:sz w:val="22"/>
          <w:szCs w:val="22"/>
          <w:lang w:val="en-GB"/>
        </w:rPr>
        <w:t>with the other petitioning creditors.</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w:t>
      </w:r>
      <w:proofErr w:type="spellStart"/>
      <w:r w:rsidRPr="00E01803">
        <w:rPr>
          <w:rFonts w:ascii="Avenir Next" w:hAnsi="Avenir Next"/>
        </w:rPr>
        <w:t>Inc</w:t>
      </w:r>
      <w:proofErr w:type="spellEnd"/>
      <w:r w:rsidRPr="00E01803">
        <w:rPr>
          <w:rFonts w:ascii="Avenir Next" w:hAnsi="Avenir Next"/>
        </w:rPr>
        <w:t xml:space="preserve"> is engaged in day-trading stocks from leased office space with two employees.  It funds its trading through a margin loan from its broker, where the shares it purchases are held as collateral.  For a while, Speculation </w:t>
      </w:r>
      <w:proofErr w:type="spellStart"/>
      <w:r w:rsidRPr="00E01803">
        <w:rPr>
          <w:rFonts w:ascii="Avenir Next" w:hAnsi="Avenir Next"/>
        </w:rPr>
        <w:t>Inc</w:t>
      </w:r>
      <w:proofErr w:type="spellEnd"/>
      <w:r w:rsidRPr="00E01803">
        <w:rPr>
          <w:rFonts w:ascii="Avenir Next" w:hAnsi="Avenir Next"/>
        </w:rPr>
        <w:t xml:space="preserve"> was very successful in trading, and the US Department of Justice (DOJ) has announced an investigation into whether its success was due to illegally trading on insider </w:t>
      </w:r>
      <w:r w:rsidRPr="00E01803">
        <w:rPr>
          <w:rFonts w:ascii="Avenir Next" w:hAnsi="Avenir Next"/>
        </w:rPr>
        <w:lastRenderedPageBreak/>
        <w:t xml:space="preserve">information.  More recently, Speculation </w:t>
      </w:r>
      <w:proofErr w:type="spellStart"/>
      <w:r w:rsidRPr="00E01803">
        <w:rPr>
          <w:rFonts w:ascii="Avenir Next" w:hAnsi="Avenir Next"/>
        </w:rPr>
        <w:t>Inc</w:t>
      </w:r>
      <w:proofErr w:type="spellEnd"/>
      <w:r w:rsidRPr="00E01803">
        <w:rPr>
          <w:rFonts w:ascii="Avenir Next" w:hAnsi="Avenir Next"/>
        </w:rPr>
        <w:t xml:space="preserve">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w:t>
      </w:r>
      <w:proofErr w:type="spellStart"/>
      <w:r w:rsidRPr="00E01803">
        <w:rPr>
          <w:rFonts w:ascii="Avenir Next" w:hAnsi="Avenir Next"/>
        </w:rPr>
        <w:t>Inc</w:t>
      </w:r>
      <w:proofErr w:type="spellEnd"/>
      <w:r w:rsidRPr="00E01803">
        <w:rPr>
          <w:rFonts w:ascii="Avenir Next" w:hAnsi="Avenir Next"/>
        </w:rPr>
        <w:t xml:space="preserve">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40936B6B" w14:textId="572E6F6C" w:rsidR="00D4048A" w:rsidRDefault="00D4048A" w:rsidP="00D4048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filing of the petition by </w:t>
      </w:r>
      <w:r w:rsidRPr="00D4048A">
        <w:rPr>
          <w:rFonts w:ascii="Avenir Next" w:hAnsi="Avenir Next" w:cs="Arial"/>
          <w:color w:val="7B7B7B" w:themeColor="accent3" w:themeShade="BF"/>
          <w:sz w:val="22"/>
          <w:szCs w:val="22"/>
          <w:lang w:val="en-GB"/>
        </w:rPr>
        <w:t xml:space="preserve">Speculation </w:t>
      </w:r>
      <w:proofErr w:type="spellStart"/>
      <w:r w:rsidRPr="00D4048A">
        <w:rPr>
          <w:rFonts w:ascii="Avenir Next" w:hAnsi="Avenir Next" w:cs="Arial"/>
          <w:color w:val="7B7B7B" w:themeColor="accent3" w:themeShade="BF"/>
          <w:sz w:val="22"/>
          <w:szCs w:val="22"/>
          <w:lang w:val="en-GB"/>
        </w:rPr>
        <w:t>Inc</w:t>
      </w:r>
      <w:proofErr w:type="spellEnd"/>
      <w:r>
        <w:rPr>
          <w:rFonts w:ascii="Avenir Next" w:hAnsi="Avenir Next" w:cs="Arial"/>
          <w:color w:val="7B7B7B" w:themeColor="accent3" w:themeShade="BF"/>
          <w:sz w:val="22"/>
          <w:szCs w:val="22"/>
          <w:lang w:val="en-GB"/>
        </w:rPr>
        <w:t xml:space="preserve">, an automatic worldwide stay will come into effect. The automatic stay is very broad and applies to interference with the estate's property anywhere in the world. </w:t>
      </w:r>
      <w:r w:rsidR="001E177F">
        <w:rPr>
          <w:rFonts w:ascii="Avenir Next" w:hAnsi="Avenir Next" w:cs="Arial"/>
          <w:color w:val="7B7B7B" w:themeColor="accent3" w:themeShade="BF"/>
          <w:sz w:val="22"/>
          <w:szCs w:val="22"/>
          <w:lang w:val="en-GB"/>
        </w:rPr>
        <w:t xml:space="preserve"> The automatic stay will have the following effect:</w:t>
      </w:r>
    </w:p>
    <w:p w14:paraId="19FF2224" w14:textId="77777777" w:rsidR="00D4048A" w:rsidRDefault="00D4048A" w:rsidP="00D4048A">
      <w:pPr>
        <w:jc w:val="both"/>
        <w:rPr>
          <w:rFonts w:ascii="Avenir Next" w:hAnsi="Avenir Next" w:cs="Arial"/>
          <w:color w:val="7B7B7B" w:themeColor="accent3" w:themeShade="BF"/>
          <w:sz w:val="22"/>
          <w:szCs w:val="22"/>
          <w:lang w:val="en-GB"/>
        </w:rPr>
      </w:pPr>
    </w:p>
    <w:p w14:paraId="504037BD" w14:textId="520AAF6F" w:rsidR="001E177F" w:rsidRDefault="00D4048A" w:rsidP="001E177F">
      <w:pPr>
        <w:pStyle w:val="ListParagraph"/>
        <w:numPr>
          <w:ilvl w:val="0"/>
          <w:numId w:val="35"/>
        </w:numPr>
        <w:jc w:val="both"/>
        <w:rPr>
          <w:rFonts w:ascii="Avenir Next" w:hAnsi="Avenir Next" w:cs="Arial"/>
          <w:color w:val="7B7B7B" w:themeColor="accent3" w:themeShade="BF"/>
          <w:sz w:val="22"/>
          <w:szCs w:val="22"/>
          <w:lang w:val="en-GB"/>
        </w:rPr>
      </w:pPr>
      <w:r w:rsidRPr="00D4048A">
        <w:rPr>
          <w:rFonts w:ascii="Avenir Next" w:hAnsi="Avenir Next" w:cs="Arial"/>
          <w:color w:val="7B7B7B" w:themeColor="accent3" w:themeShade="BF"/>
          <w:sz w:val="22"/>
          <w:szCs w:val="22"/>
          <w:lang w:val="en-GB"/>
        </w:rPr>
        <w:t>DOJ investigation</w:t>
      </w:r>
      <w:r w:rsidR="001E177F">
        <w:rPr>
          <w:rFonts w:ascii="Avenir Next" w:hAnsi="Avenir Next" w:cs="Arial"/>
          <w:color w:val="7B7B7B" w:themeColor="accent3" w:themeShade="BF"/>
          <w:sz w:val="22"/>
          <w:szCs w:val="22"/>
          <w:lang w:val="en-GB"/>
        </w:rPr>
        <w:t xml:space="preserve"> – the stay will not have an effect on the investigation as it is subject to a statutory exception.</w:t>
      </w:r>
    </w:p>
    <w:p w14:paraId="7EF91D8C" w14:textId="77777777" w:rsidR="009E73A3" w:rsidRPr="009E73A3" w:rsidRDefault="009E73A3" w:rsidP="009E73A3">
      <w:pPr>
        <w:ind w:left="360"/>
        <w:jc w:val="both"/>
        <w:rPr>
          <w:rFonts w:ascii="Avenir Next" w:hAnsi="Avenir Next" w:cs="Arial"/>
          <w:color w:val="7B7B7B" w:themeColor="accent3" w:themeShade="BF"/>
          <w:sz w:val="22"/>
          <w:szCs w:val="22"/>
          <w:lang w:val="en-GB"/>
        </w:rPr>
      </w:pPr>
    </w:p>
    <w:p w14:paraId="5C793B3F" w14:textId="4F0A5A72" w:rsidR="00E01803" w:rsidRPr="009E73A3" w:rsidRDefault="00D4048A" w:rsidP="009E73A3">
      <w:pPr>
        <w:pStyle w:val="ListParagraph"/>
        <w:numPr>
          <w:ilvl w:val="0"/>
          <w:numId w:val="35"/>
        </w:numPr>
        <w:jc w:val="both"/>
        <w:rPr>
          <w:rFonts w:ascii="Avenir Next" w:hAnsi="Avenir Next" w:cs="Arial"/>
          <w:color w:val="7B7B7B" w:themeColor="accent3" w:themeShade="BF"/>
          <w:sz w:val="22"/>
          <w:szCs w:val="22"/>
          <w:lang w:val="en-GB"/>
        </w:rPr>
      </w:pPr>
      <w:r w:rsidRPr="00D4048A">
        <w:rPr>
          <w:rFonts w:ascii="Avenir Next" w:hAnsi="Avenir Next" w:cs="Arial"/>
          <w:color w:val="7B7B7B" w:themeColor="accent3" w:themeShade="BF"/>
          <w:sz w:val="22"/>
          <w:szCs w:val="22"/>
          <w:lang w:val="en-GB"/>
        </w:rPr>
        <w:t xml:space="preserve"> margin loan default</w:t>
      </w:r>
      <w:r w:rsidR="009E73A3">
        <w:rPr>
          <w:rFonts w:ascii="Avenir Next" w:hAnsi="Avenir Next" w:cs="Arial"/>
          <w:color w:val="7B7B7B" w:themeColor="accent3" w:themeShade="BF"/>
          <w:sz w:val="22"/>
          <w:szCs w:val="22"/>
          <w:lang w:val="en-GB"/>
        </w:rPr>
        <w:t xml:space="preserve"> – the automatic stay would apply as this would be a pre-petition litigation claim. </w:t>
      </w:r>
    </w:p>
    <w:p w14:paraId="4B9A98E6" w14:textId="77777777" w:rsidR="009E73A3" w:rsidRPr="009E73A3" w:rsidRDefault="009E73A3" w:rsidP="009E73A3">
      <w:pPr>
        <w:jc w:val="both"/>
        <w:rPr>
          <w:rFonts w:ascii="Avenir Next" w:hAnsi="Avenir Next" w:cs="Arial"/>
          <w:color w:val="7B7B7B" w:themeColor="accent3" w:themeShade="BF"/>
          <w:sz w:val="22"/>
          <w:szCs w:val="22"/>
          <w:lang w:val="en-GB"/>
        </w:rPr>
      </w:pPr>
    </w:p>
    <w:p w14:paraId="0F3E7C97" w14:textId="3F1F6CD5" w:rsidR="00D4048A" w:rsidRDefault="00D4048A" w:rsidP="00D4048A">
      <w:pPr>
        <w:pStyle w:val="ListParagraph"/>
        <w:numPr>
          <w:ilvl w:val="0"/>
          <w:numId w:val="35"/>
        </w:numPr>
        <w:jc w:val="both"/>
        <w:rPr>
          <w:rFonts w:ascii="Avenir Next" w:hAnsi="Avenir Next" w:cs="Arial"/>
          <w:color w:val="7B7B7B" w:themeColor="accent3" w:themeShade="BF"/>
          <w:sz w:val="22"/>
          <w:szCs w:val="22"/>
          <w:lang w:val="en-GB"/>
        </w:rPr>
      </w:pPr>
      <w:r w:rsidRPr="00D4048A">
        <w:rPr>
          <w:rFonts w:ascii="Avenir Next" w:hAnsi="Avenir Next" w:cs="Arial"/>
          <w:color w:val="7B7B7B" w:themeColor="accent3" w:themeShade="BF"/>
          <w:sz w:val="22"/>
          <w:szCs w:val="22"/>
          <w:lang w:val="en-GB"/>
        </w:rPr>
        <w:t>delinquent lease</w:t>
      </w:r>
      <w:r w:rsidR="001E177F">
        <w:t xml:space="preserve"> </w:t>
      </w:r>
      <w:r w:rsidR="001E177F" w:rsidRPr="009E73A3">
        <w:rPr>
          <w:rFonts w:ascii="Avenir Next" w:hAnsi="Avenir Next" w:cs="Arial"/>
          <w:color w:val="7B7B7B" w:themeColor="accent3" w:themeShade="BF"/>
          <w:sz w:val="22"/>
          <w:szCs w:val="22"/>
          <w:lang w:val="en-GB"/>
        </w:rPr>
        <w:t>– eviction of a</w:t>
      </w:r>
      <w:r w:rsidR="009E73A3" w:rsidRPr="009E73A3">
        <w:rPr>
          <w:rFonts w:ascii="Avenir Next" w:hAnsi="Avenir Next" w:cs="Arial"/>
          <w:color w:val="7B7B7B" w:themeColor="accent3" w:themeShade="BF"/>
          <w:sz w:val="22"/>
          <w:szCs w:val="22"/>
          <w:lang w:val="en-GB"/>
        </w:rPr>
        <w:t xml:space="preserve"> debtor-tenant from a non-residential property where the lease has expired is subject to a statutory exception.  The stay will not have an effect.</w:t>
      </w:r>
    </w:p>
    <w:p w14:paraId="339EFCE0" w14:textId="77777777" w:rsidR="009E73A3" w:rsidRPr="009E73A3" w:rsidRDefault="009E73A3" w:rsidP="009E73A3">
      <w:pPr>
        <w:jc w:val="both"/>
        <w:rPr>
          <w:rFonts w:ascii="Avenir Next" w:hAnsi="Avenir Next" w:cs="Arial"/>
          <w:color w:val="7B7B7B" w:themeColor="accent3" w:themeShade="BF"/>
          <w:sz w:val="22"/>
          <w:szCs w:val="22"/>
          <w:lang w:val="en-GB"/>
        </w:rPr>
      </w:pPr>
    </w:p>
    <w:p w14:paraId="7CF1F636" w14:textId="79C58AFD" w:rsidR="00D4048A" w:rsidRDefault="00D4048A" w:rsidP="00D4048A">
      <w:pPr>
        <w:pStyle w:val="ListParagraph"/>
        <w:numPr>
          <w:ilvl w:val="0"/>
          <w:numId w:val="35"/>
        </w:numPr>
        <w:jc w:val="both"/>
        <w:rPr>
          <w:rFonts w:ascii="Avenir Next" w:hAnsi="Avenir Next" w:cs="Arial"/>
          <w:color w:val="7B7B7B" w:themeColor="accent3" w:themeShade="BF"/>
          <w:sz w:val="22"/>
          <w:szCs w:val="22"/>
          <w:lang w:val="en-GB"/>
        </w:rPr>
      </w:pPr>
      <w:r w:rsidRPr="00D4048A">
        <w:rPr>
          <w:rFonts w:ascii="Avenir Next" w:hAnsi="Avenir Next" w:cs="Arial"/>
          <w:color w:val="7B7B7B" w:themeColor="accent3" w:themeShade="BF"/>
          <w:sz w:val="22"/>
          <w:szCs w:val="22"/>
          <w:lang w:val="en-GB"/>
        </w:rPr>
        <w:t>employment discrimination lawsuit</w:t>
      </w:r>
      <w:r w:rsidR="009E73A3">
        <w:rPr>
          <w:rFonts w:ascii="Avenir Next" w:hAnsi="Avenir Next" w:cs="Arial"/>
          <w:color w:val="7B7B7B" w:themeColor="accent3" w:themeShade="BF"/>
          <w:sz w:val="22"/>
          <w:szCs w:val="22"/>
          <w:lang w:val="en-GB"/>
        </w:rPr>
        <w:t xml:space="preserve"> – the automatic stay would apply as this would be a pre-petition litigation claim. </w:t>
      </w:r>
    </w:p>
    <w:p w14:paraId="2193A11B" w14:textId="06EBE69F" w:rsidR="00D4048A" w:rsidRDefault="00D4048A" w:rsidP="002B118D">
      <w:pPr>
        <w:jc w:val="both"/>
        <w:rPr>
          <w:rFonts w:ascii="Avenir Next" w:hAnsi="Avenir Next" w:cs="Arial"/>
          <w:color w:val="7B7B7B" w:themeColor="accent3" w:themeShade="BF"/>
          <w:sz w:val="22"/>
          <w:szCs w:val="22"/>
          <w:lang w:val="en-GB"/>
        </w:rPr>
      </w:pPr>
    </w:p>
    <w:p w14:paraId="22FB0581" w14:textId="5499A026" w:rsidR="002B118D" w:rsidRPr="002B118D" w:rsidRDefault="002B118D" w:rsidP="002B118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act in violation of the automatic stay constitutes a contempt of court and is void or voidable. An interested party may however seek to lift the stay.</w:t>
      </w:r>
    </w:p>
    <w:p w14:paraId="2016CAA7" w14:textId="77777777" w:rsidR="00D4048A" w:rsidRDefault="00D4048A" w:rsidP="00D4048A">
      <w:pPr>
        <w:jc w:val="both"/>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3992365A"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42F94B0F" w:rsidR="00F03051" w:rsidRDefault="00D819F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English scheme of arrangement can be recognised under chapter 15 of the Bankruptcy Code. Chapter 15 created an ancillary proceeding which is a new type of US proceedings as the US will not exercise jurisdiction or authority over the entire estate. The US will provide assistance to the English foreign proceedings. Reciprocity is not required as the US will recognise</w:t>
      </w:r>
      <w:r w:rsidR="006E6A7A">
        <w:rPr>
          <w:rFonts w:ascii="Avenir Next" w:hAnsi="Avenir Next" w:cs="Arial"/>
          <w:color w:val="7B7B7B" w:themeColor="accent3" w:themeShade="BF"/>
          <w:sz w:val="22"/>
          <w:szCs w:val="22"/>
          <w:lang w:val="en-GB"/>
        </w:rPr>
        <w:t xml:space="preserve"> the English</w:t>
      </w:r>
      <w:r>
        <w:rPr>
          <w:rFonts w:ascii="Avenir Next" w:hAnsi="Avenir Next" w:cs="Arial"/>
          <w:color w:val="7B7B7B" w:themeColor="accent3" w:themeShade="BF"/>
          <w:sz w:val="22"/>
          <w:szCs w:val="22"/>
          <w:lang w:val="en-GB"/>
        </w:rPr>
        <w:t xml:space="preserve"> proceedings</w:t>
      </w:r>
      <w:r w:rsidR="006E6A7A">
        <w:rPr>
          <w:rFonts w:ascii="Avenir Next" w:hAnsi="Avenir Next" w:cs="Arial"/>
          <w:color w:val="7B7B7B" w:themeColor="accent3" w:themeShade="BF"/>
          <w:sz w:val="22"/>
          <w:szCs w:val="22"/>
          <w:lang w:val="en-GB"/>
        </w:rPr>
        <w:t xml:space="preserve"> even if England would not recognise US proceedings.</w:t>
      </w:r>
      <w:r w:rsidR="00B12E91">
        <w:rPr>
          <w:rFonts w:ascii="Avenir Next" w:hAnsi="Avenir Next" w:cs="Arial"/>
          <w:color w:val="7B7B7B" w:themeColor="accent3" w:themeShade="BF"/>
          <w:sz w:val="22"/>
          <w:szCs w:val="22"/>
          <w:lang w:val="en-GB"/>
        </w:rPr>
        <w:t xml:space="preserve"> The foreign representative must establish that a foreign court or administrative proceeding in respect to Stella is pending and that foreign representative is empowered to act.</w:t>
      </w:r>
    </w:p>
    <w:p w14:paraId="70C14D6C" w14:textId="42C4134F" w:rsidR="00B12E91" w:rsidRDefault="00B12E91" w:rsidP="00F03051">
      <w:pPr>
        <w:jc w:val="both"/>
        <w:rPr>
          <w:rFonts w:ascii="Avenir Next" w:hAnsi="Avenir Next" w:cs="Arial"/>
          <w:color w:val="7B7B7B" w:themeColor="accent3" w:themeShade="BF"/>
          <w:sz w:val="22"/>
          <w:szCs w:val="22"/>
          <w:lang w:val="en-GB"/>
        </w:rPr>
      </w:pPr>
    </w:p>
    <w:p w14:paraId="4700780A" w14:textId="63894943" w:rsidR="00E01803" w:rsidRPr="00D74C81" w:rsidRDefault="00B12E91" w:rsidP="00D74C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foreign main is proceedings commenced in the debtor's COMI. Though rebuttable, a debtor's COMI is presumed to be its place of incorporation.  Proceedings in a jurisdiction other than the debtor's COMI can be recognized as </w:t>
      </w:r>
      <w:proofErr w:type="gramStart"/>
      <w:r>
        <w:rPr>
          <w:rFonts w:ascii="Avenir Next" w:hAnsi="Avenir Next" w:cs="Arial"/>
          <w:color w:val="7B7B7B" w:themeColor="accent3" w:themeShade="BF"/>
          <w:sz w:val="22"/>
          <w:szCs w:val="22"/>
          <w:lang w:val="en-GB"/>
        </w:rPr>
        <w:t xml:space="preserve">a </w:t>
      </w:r>
      <w:r w:rsidRPr="002B2A31">
        <w:rPr>
          <w:rFonts w:ascii="Avenir Next" w:hAnsi="Avenir Next" w:cs="Arial"/>
          <w:color w:val="7B7B7B" w:themeColor="accent3" w:themeShade="BF"/>
          <w:sz w:val="22"/>
          <w:szCs w:val="22"/>
          <w:lang w:val="en-GB"/>
        </w:rPr>
        <w:t>non-main proceedings</w:t>
      </w:r>
      <w:proofErr w:type="gramEnd"/>
      <w:r>
        <w:rPr>
          <w:rFonts w:ascii="Avenir Next" w:hAnsi="Avenir Next" w:cs="Arial"/>
          <w:color w:val="7B7B7B" w:themeColor="accent3" w:themeShade="BF"/>
          <w:sz w:val="22"/>
          <w:szCs w:val="22"/>
          <w:lang w:val="en-GB"/>
        </w:rPr>
        <w:t xml:space="preserve"> only if the debtor had an establishment in the jurisdiction prior to the commencement of Chap 15 proceedings. In Bear Stearns the Ba</w:t>
      </w:r>
      <w:r w:rsidRPr="0049788F">
        <w:rPr>
          <w:rFonts w:ascii="Avenir Next" w:hAnsi="Avenir Next" w:cs="Arial"/>
          <w:color w:val="7B7B7B" w:themeColor="accent3" w:themeShade="BF"/>
          <w:sz w:val="22"/>
          <w:szCs w:val="22"/>
          <w:lang w:val="en-GB"/>
        </w:rPr>
        <w:t>nkruptcy Court held that a Cayman</w:t>
      </w:r>
      <w:r>
        <w:rPr>
          <w:rFonts w:ascii="Avenir Next" w:hAnsi="Avenir Next" w:cs="Arial"/>
          <w:color w:val="7B7B7B" w:themeColor="accent3" w:themeShade="BF"/>
          <w:sz w:val="22"/>
          <w:szCs w:val="22"/>
          <w:lang w:val="en-GB"/>
        </w:rPr>
        <w:t xml:space="preserve"> was not the COMI of a Cayman</w:t>
      </w:r>
      <w:r w:rsidRPr="0049788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incorporated exempt company because the </w:t>
      </w:r>
      <w:r>
        <w:rPr>
          <w:rFonts w:ascii="Avenir Next" w:hAnsi="Avenir Next" w:cs="Arial"/>
          <w:color w:val="7B7B7B" w:themeColor="accent3" w:themeShade="BF"/>
          <w:sz w:val="22"/>
          <w:szCs w:val="22"/>
          <w:lang w:val="en-GB"/>
        </w:rPr>
        <w:lastRenderedPageBreak/>
        <w:t xml:space="preserve">company's licensed is on the basis that it will not have operations in Cayman.  The COMI is assessed as the date of the US petition rather than the commencement of the foreign proceedings as a result of Bear Stearns. </w:t>
      </w:r>
      <w:r w:rsidR="0021735D">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recognition will be </w:t>
      </w:r>
      <w:proofErr w:type="gramStart"/>
      <w:r>
        <w:rPr>
          <w:rFonts w:ascii="Avenir Next" w:hAnsi="Avenir Next" w:cs="Arial"/>
          <w:color w:val="7B7B7B" w:themeColor="accent3" w:themeShade="BF"/>
          <w:sz w:val="22"/>
          <w:szCs w:val="22"/>
          <w:lang w:val="en-GB"/>
        </w:rPr>
        <w:t xml:space="preserve">a </w:t>
      </w:r>
      <w:r w:rsidR="0021735D">
        <w:rPr>
          <w:rFonts w:ascii="Avenir Next" w:hAnsi="Avenir Next" w:cs="Arial"/>
          <w:color w:val="7B7B7B" w:themeColor="accent3" w:themeShade="BF"/>
          <w:sz w:val="22"/>
          <w:szCs w:val="22"/>
          <w:lang w:val="en-GB"/>
        </w:rPr>
        <w:t xml:space="preserve">foreign </w:t>
      </w:r>
      <w:r w:rsidRPr="002B2A31">
        <w:rPr>
          <w:rFonts w:ascii="Avenir Next" w:hAnsi="Avenir Next" w:cs="Arial"/>
          <w:color w:val="7B7B7B" w:themeColor="accent3" w:themeShade="BF"/>
          <w:sz w:val="22"/>
          <w:szCs w:val="22"/>
          <w:lang w:val="en-GB"/>
        </w:rPr>
        <w:t>main proceedings</w:t>
      </w:r>
      <w:proofErr w:type="gramEnd"/>
      <w:r>
        <w:rPr>
          <w:rFonts w:ascii="Avenir Next" w:hAnsi="Avenir Next" w:cs="Arial"/>
          <w:color w:val="7B7B7B" w:themeColor="accent3" w:themeShade="BF"/>
          <w:sz w:val="22"/>
          <w:szCs w:val="22"/>
          <w:lang w:val="en-GB"/>
        </w:rPr>
        <w:t xml:space="preserve"> as </w:t>
      </w:r>
      <w:r w:rsidR="0021735D">
        <w:rPr>
          <w:rFonts w:ascii="Avenir Next" w:hAnsi="Avenir Next" w:cs="Arial"/>
          <w:color w:val="7B7B7B" w:themeColor="accent3" w:themeShade="BF"/>
          <w:sz w:val="22"/>
          <w:szCs w:val="22"/>
          <w:lang w:val="en-GB"/>
        </w:rPr>
        <w:t xml:space="preserve">England can be </w:t>
      </w:r>
      <w:r w:rsidR="00D74C81">
        <w:rPr>
          <w:rFonts w:ascii="Avenir Next" w:hAnsi="Avenir Next" w:cs="Arial"/>
          <w:color w:val="7B7B7B" w:themeColor="accent3" w:themeShade="BF"/>
          <w:sz w:val="22"/>
          <w:szCs w:val="22"/>
          <w:lang w:val="en-GB"/>
        </w:rPr>
        <w:t xml:space="preserve">considered </w:t>
      </w:r>
      <w:r>
        <w:rPr>
          <w:rFonts w:ascii="Avenir Next" w:hAnsi="Avenir Next" w:cs="Arial"/>
          <w:color w:val="7B7B7B" w:themeColor="accent3" w:themeShade="BF"/>
          <w:sz w:val="22"/>
          <w:szCs w:val="22"/>
          <w:lang w:val="en-GB"/>
        </w:rPr>
        <w:t xml:space="preserve">Stella's </w:t>
      </w:r>
      <w:r w:rsidR="00D74C81">
        <w:rPr>
          <w:rFonts w:ascii="Avenir Next" w:hAnsi="Avenir Next" w:cs="Arial"/>
          <w:color w:val="7B7B7B" w:themeColor="accent3" w:themeShade="BF"/>
          <w:sz w:val="22"/>
          <w:szCs w:val="22"/>
          <w:lang w:val="en-GB"/>
        </w:rPr>
        <w:t>COMI given that it is the jurisdiction whose law will apply.</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7B5693A0"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w:t>
      </w:r>
      <w:proofErr w:type="spellStart"/>
      <w:r w:rsidRPr="00E01803">
        <w:rPr>
          <w:rFonts w:ascii="Avenir Next" w:hAnsi="Avenir Next"/>
        </w:rPr>
        <w:t>Inc</w:t>
      </w:r>
      <w:proofErr w:type="spellEnd"/>
      <w:r w:rsidRPr="00E01803">
        <w:rPr>
          <w:rFonts w:ascii="Avenir Next" w:hAnsi="Avenir Next"/>
        </w:rPr>
        <w:t xml:space="preserve">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lease prohibits assignment without Land Corp’s consent.</w:t>
      </w:r>
      <w:r w:rsidR="00922079">
        <w:rPr>
          <w:rFonts w:ascii="Avenir Next" w:hAnsi="Avenir Next"/>
        </w:rPr>
        <w:t xml:space="preserve"> </w:t>
      </w:r>
      <w:r w:rsidRPr="00E01803">
        <w:rPr>
          <w:rFonts w:ascii="Avenir Next" w:hAnsi="Avenir Next"/>
        </w:rPr>
        <w:t xml:space="preserve">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7A6C836" w:rsidR="00F03051" w:rsidRPr="00E41578" w:rsidRDefault="0092207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w:t>
      </w:r>
      <w:proofErr w:type="spellStart"/>
      <w:r w:rsidRPr="00922079">
        <w:rPr>
          <w:rFonts w:ascii="Avenir Next" w:hAnsi="Avenir Next" w:cs="Arial"/>
          <w:color w:val="7B7B7B" w:themeColor="accent3" w:themeShade="BF"/>
          <w:sz w:val="22"/>
          <w:szCs w:val="22"/>
          <w:lang w:val="en-GB"/>
        </w:rPr>
        <w:t>GameMart</w:t>
      </w:r>
      <w:proofErr w:type="spellEnd"/>
      <w:r w:rsidRPr="0092207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filed a Chap 11 bankruptcy it will have the ability to assume, reject or assume and assign executory contracts pursuant to</w:t>
      </w:r>
      <w:r w:rsidRPr="00922079">
        <w:t xml:space="preserve"> </w:t>
      </w:r>
      <w:r>
        <w:rPr>
          <w:rFonts w:ascii="Calibri" w:hAnsi="Calibri" w:cs="Calibri"/>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365 of the Bankruptcy Code. A contract is considered executory if there are material underperformed obligations on both sides. </w:t>
      </w:r>
      <w:r w:rsidR="00997529">
        <w:rPr>
          <w:rFonts w:ascii="Avenir Next" w:hAnsi="Avenir Next" w:cs="Arial"/>
          <w:color w:val="7B7B7B" w:themeColor="accent3" w:themeShade="BF"/>
          <w:sz w:val="22"/>
          <w:szCs w:val="22"/>
          <w:lang w:val="en-GB"/>
        </w:rPr>
        <w:t>Yes, this contract is executory.</w:t>
      </w:r>
    </w:p>
    <w:p w14:paraId="5B7E8D51" w14:textId="1CB2F91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w:t>
      </w:r>
      <w:proofErr w:type="gramStart"/>
      <w:r w:rsidRPr="00E01803">
        <w:rPr>
          <w:rFonts w:ascii="Avenir Next" w:hAnsi="Avenir Next"/>
        </w:rPr>
        <w:t>sale</w:t>
      </w:r>
      <w:proofErr w:type="gramEnd"/>
      <w:r w:rsidRPr="00E01803">
        <w:rPr>
          <w:rFonts w:ascii="Avenir Next" w:hAnsi="Avenir Next"/>
        </w:rPr>
        <w:t xml:space="preserv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58BA6F38" w:rsidR="00F03051" w:rsidRPr="00E41578" w:rsidRDefault="00737FC5"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Yes</w:t>
      </w:r>
      <w:proofErr w:type="gramEnd"/>
      <w:r>
        <w:rPr>
          <w:rFonts w:ascii="Avenir Next" w:hAnsi="Avenir Next" w:cs="Arial"/>
          <w:color w:val="7B7B7B" w:themeColor="accent3" w:themeShade="BF"/>
          <w:sz w:val="22"/>
          <w:szCs w:val="22"/>
          <w:lang w:val="en-GB"/>
        </w:rPr>
        <w:t xml:space="preserve"> it can.</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w:t>
      </w:r>
      <w:proofErr w:type="gramStart"/>
      <w:r w:rsidRPr="00E01803">
        <w:rPr>
          <w:rFonts w:ascii="Avenir Next" w:hAnsi="Avenir Next"/>
        </w:rPr>
        <w:t>sale</w:t>
      </w:r>
      <w:proofErr w:type="gramEnd"/>
      <w:r w:rsidRPr="00E01803">
        <w:rPr>
          <w:rFonts w:ascii="Avenir Next" w:hAnsi="Avenir Next"/>
        </w:rPr>
        <w:t xml:space="preserv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55932C92" w:rsidR="00F03051" w:rsidRPr="00E41578" w:rsidRDefault="00737FC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it cannot. </w:t>
      </w:r>
      <w:bookmarkStart w:id="1" w:name="_GoBack"/>
      <w:bookmarkEnd w:id="1"/>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D5FA" w14:textId="77777777" w:rsidR="00870B1E" w:rsidRDefault="00870B1E" w:rsidP="00241B44">
      <w:r>
        <w:separator/>
      </w:r>
    </w:p>
  </w:endnote>
  <w:endnote w:type="continuationSeparator" w:id="0">
    <w:p w14:paraId="42EAD36F" w14:textId="77777777" w:rsidR="00870B1E" w:rsidRDefault="00870B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22ED4950"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737FC5">
          <w:rPr>
            <w:rStyle w:val="PageNumber"/>
            <w:rFonts w:ascii="Avenir Next" w:hAnsi="Avenir Next" w:cs="Arial"/>
            <w:noProof/>
            <w:sz w:val="22"/>
            <w:szCs w:val="22"/>
          </w:rPr>
          <w:t>10</w:t>
        </w:r>
        <w:r w:rsidRPr="00494B81">
          <w:rPr>
            <w:rStyle w:val="PageNumber"/>
            <w:rFonts w:ascii="Avenir Next" w:hAnsi="Avenir Next" w:cs="Arial"/>
            <w:sz w:val="22"/>
            <w:szCs w:val="22"/>
          </w:rPr>
          <w:fldChar w:fldCharType="end"/>
        </w:r>
      </w:p>
    </w:sdtContent>
  </w:sdt>
  <w:p w14:paraId="30F05E79" w14:textId="700B0272" w:rsidR="00241FA3" w:rsidRPr="00494B81" w:rsidRDefault="00C62C7C" w:rsidP="009B4976">
    <w:pPr>
      <w:pStyle w:val="Footer"/>
      <w:ind w:right="360"/>
      <w:rPr>
        <w:rFonts w:ascii="Avenir Next" w:hAnsi="Avenir Next" w:cs="Arial"/>
        <w:sz w:val="22"/>
        <w:szCs w:val="22"/>
        <w:lang w:val="en-GB"/>
      </w:rPr>
    </w:pPr>
    <w:r>
      <w:rPr>
        <w:rFonts w:ascii="Avenir Next" w:hAnsi="Avenir Next" w:cs="Arial"/>
        <w:sz w:val="22"/>
        <w:szCs w:val="22"/>
        <w:lang w:val="en-GB"/>
      </w:rPr>
      <w:t>202223-952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66284" w14:textId="77777777" w:rsidR="00870B1E" w:rsidRDefault="00870B1E" w:rsidP="00241B44">
      <w:r>
        <w:separator/>
      </w:r>
    </w:p>
  </w:footnote>
  <w:footnote w:type="continuationSeparator" w:id="0">
    <w:p w14:paraId="05939AB8" w14:textId="77777777" w:rsidR="00870B1E" w:rsidRDefault="00870B1E"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9448F"/>
    <w:multiLevelType w:val="hybridMultilevel"/>
    <w:tmpl w:val="451C9B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209B5"/>
    <w:multiLevelType w:val="hybridMultilevel"/>
    <w:tmpl w:val="F2F085E2"/>
    <w:lvl w:ilvl="0" w:tplc="2A4C2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961C3C"/>
    <w:multiLevelType w:val="hybridMultilevel"/>
    <w:tmpl w:val="A2C4A9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32174"/>
    <w:multiLevelType w:val="hybridMultilevel"/>
    <w:tmpl w:val="9C586C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7"/>
  </w:num>
  <w:num w:numId="3">
    <w:abstractNumId w:val="5"/>
  </w:num>
  <w:num w:numId="4">
    <w:abstractNumId w:val="9"/>
  </w:num>
  <w:num w:numId="5">
    <w:abstractNumId w:val="11"/>
  </w:num>
  <w:num w:numId="6">
    <w:abstractNumId w:val="31"/>
  </w:num>
  <w:num w:numId="7">
    <w:abstractNumId w:val="6"/>
  </w:num>
  <w:num w:numId="8">
    <w:abstractNumId w:val="33"/>
  </w:num>
  <w:num w:numId="9">
    <w:abstractNumId w:val="12"/>
  </w:num>
  <w:num w:numId="10">
    <w:abstractNumId w:val="26"/>
  </w:num>
  <w:num w:numId="11">
    <w:abstractNumId w:val="14"/>
  </w:num>
  <w:num w:numId="12">
    <w:abstractNumId w:val="23"/>
  </w:num>
  <w:num w:numId="13">
    <w:abstractNumId w:val="0"/>
  </w:num>
  <w:num w:numId="14">
    <w:abstractNumId w:val="10"/>
  </w:num>
  <w:num w:numId="15">
    <w:abstractNumId w:val="19"/>
  </w:num>
  <w:num w:numId="16">
    <w:abstractNumId w:val="8"/>
  </w:num>
  <w:num w:numId="17">
    <w:abstractNumId w:val="3"/>
  </w:num>
  <w:num w:numId="18">
    <w:abstractNumId w:val="2"/>
  </w:num>
  <w:num w:numId="19">
    <w:abstractNumId w:val="28"/>
  </w:num>
  <w:num w:numId="20">
    <w:abstractNumId w:val="7"/>
  </w:num>
  <w:num w:numId="21">
    <w:abstractNumId w:val="25"/>
  </w:num>
  <w:num w:numId="22">
    <w:abstractNumId w:val="34"/>
  </w:num>
  <w:num w:numId="23">
    <w:abstractNumId w:val="13"/>
  </w:num>
  <w:num w:numId="24">
    <w:abstractNumId w:val="29"/>
  </w:num>
  <w:num w:numId="25">
    <w:abstractNumId w:val="20"/>
  </w:num>
  <w:num w:numId="26">
    <w:abstractNumId w:val="21"/>
  </w:num>
  <w:num w:numId="27">
    <w:abstractNumId w:val="15"/>
  </w:num>
  <w:num w:numId="28">
    <w:abstractNumId w:val="32"/>
  </w:num>
  <w:num w:numId="29">
    <w:abstractNumId w:val="1"/>
  </w:num>
  <w:num w:numId="30">
    <w:abstractNumId w:val="18"/>
  </w:num>
  <w:num w:numId="31">
    <w:abstractNumId w:val="22"/>
  </w:num>
  <w:num w:numId="32">
    <w:abstractNumId w:val="17"/>
  </w:num>
  <w:num w:numId="33">
    <w:abstractNumId w:val="4"/>
  </w:num>
  <w:num w:numId="34">
    <w:abstractNumId w:val="30"/>
  </w:num>
  <w:num w:numId="3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45088"/>
    <w:rsid w:val="00010BA0"/>
    <w:rsid w:val="00012CAA"/>
    <w:rsid w:val="00020557"/>
    <w:rsid w:val="00021FC2"/>
    <w:rsid w:val="00022E00"/>
    <w:rsid w:val="000250C7"/>
    <w:rsid w:val="00026704"/>
    <w:rsid w:val="00026F16"/>
    <w:rsid w:val="000346E7"/>
    <w:rsid w:val="00037621"/>
    <w:rsid w:val="00037671"/>
    <w:rsid w:val="00042C87"/>
    <w:rsid w:val="00044D46"/>
    <w:rsid w:val="00045088"/>
    <w:rsid w:val="00045904"/>
    <w:rsid w:val="000502FD"/>
    <w:rsid w:val="00065166"/>
    <w:rsid w:val="00067E65"/>
    <w:rsid w:val="000778B1"/>
    <w:rsid w:val="00082609"/>
    <w:rsid w:val="000851CC"/>
    <w:rsid w:val="00090D50"/>
    <w:rsid w:val="00093BE8"/>
    <w:rsid w:val="00097B45"/>
    <w:rsid w:val="00097D56"/>
    <w:rsid w:val="000A407B"/>
    <w:rsid w:val="000A636A"/>
    <w:rsid w:val="000A68ED"/>
    <w:rsid w:val="000A7A3D"/>
    <w:rsid w:val="000B5FF1"/>
    <w:rsid w:val="000B609F"/>
    <w:rsid w:val="000C4C5B"/>
    <w:rsid w:val="000C7E16"/>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56A08"/>
    <w:rsid w:val="00160679"/>
    <w:rsid w:val="00161F1B"/>
    <w:rsid w:val="00162829"/>
    <w:rsid w:val="00180548"/>
    <w:rsid w:val="00180AC4"/>
    <w:rsid w:val="00180CCE"/>
    <w:rsid w:val="0018267A"/>
    <w:rsid w:val="00182779"/>
    <w:rsid w:val="001830DF"/>
    <w:rsid w:val="00184FDD"/>
    <w:rsid w:val="001966D9"/>
    <w:rsid w:val="00197E4B"/>
    <w:rsid w:val="001A7E9A"/>
    <w:rsid w:val="001B0F70"/>
    <w:rsid w:val="001B5016"/>
    <w:rsid w:val="001C45FC"/>
    <w:rsid w:val="001D0469"/>
    <w:rsid w:val="001D4862"/>
    <w:rsid w:val="001E177F"/>
    <w:rsid w:val="001E25B9"/>
    <w:rsid w:val="001E49E0"/>
    <w:rsid w:val="001E7B5A"/>
    <w:rsid w:val="001F4EB2"/>
    <w:rsid w:val="001F7412"/>
    <w:rsid w:val="00202DFE"/>
    <w:rsid w:val="0020725B"/>
    <w:rsid w:val="002110F1"/>
    <w:rsid w:val="0021735D"/>
    <w:rsid w:val="00223917"/>
    <w:rsid w:val="0024116D"/>
    <w:rsid w:val="00241B44"/>
    <w:rsid w:val="00241FA3"/>
    <w:rsid w:val="00245EFB"/>
    <w:rsid w:val="0025386E"/>
    <w:rsid w:val="00256B74"/>
    <w:rsid w:val="00257543"/>
    <w:rsid w:val="002638B0"/>
    <w:rsid w:val="0026647A"/>
    <w:rsid w:val="002668D3"/>
    <w:rsid w:val="0027299F"/>
    <w:rsid w:val="00284EBE"/>
    <w:rsid w:val="002903A7"/>
    <w:rsid w:val="002923BA"/>
    <w:rsid w:val="0029433F"/>
    <w:rsid w:val="00294829"/>
    <w:rsid w:val="0029690F"/>
    <w:rsid w:val="00296B99"/>
    <w:rsid w:val="00297C8A"/>
    <w:rsid w:val="002A2A60"/>
    <w:rsid w:val="002A37BB"/>
    <w:rsid w:val="002A3C5C"/>
    <w:rsid w:val="002B118D"/>
    <w:rsid w:val="002B1C45"/>
    <w:rsid w:val="002B2A31"/>
    <w:rsid w:val="002B5D64"/>
    <w:rsid w:val="002C13C8"/>
    <w:rsid w:val="002C3547"/>
    <w:rsid w:val="002C4932"/>
    <w:rsid w:val="002D0021"/>
    <w:rsid w:val="002D299D"/>
    <w:rsid w:val="002D3473"/>
    <w:rsid w:val="002D6789"/>
    <w:rsid w:val="002D78C5"/>
    <w:rsid w:val="002E5C76"/>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3AC"/>
    <w:rsid w:val="00341AA6"/>
    <w:rsid w:val="003502EB"/>
    <w:rsid w:val="00351E43"/>
    <w:rsid w:val="00361A0A"/>
    <w:rsid w:val="00363D70"/>
    <w:rsid w:val="00364836"/>
    <w:rsid w:val="0036565C"/>
    <w:rsid w:val="0036625E"/>
    <w:rsid w:val="0037465A"/>
    <w:rsid w:val="00380176"/>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1FED"/>
    <w:rsid w:val="00434A8C"/>
    <w:rsid w:val="00437297"/>
    <w:rsid w:val="00444284"/>
    <w:rsid w:val="00445CE6"/>
    <w:rsid w:val="004534C2"/>
    <w:rsid w:val="0045446F"/>
    <w:rsid w:val="00455018"/>
    <w:rsid w:val="0045683E"/>
    <w:rsid w:val="004674C9"/>
    <w:rsid w:val="00477C72"/>
    <w:rsid w:val="00481820"/>
    <w:rsid w:val="004830F8"/>
    <w:rsid w:val="00484B73"/>
    <w:rsid w:val="00491675"/>
    <w:rsid w:val="00493855"/>
    <w:rsid w:val="00494B81"/>
    <w:rsid w:val="00495E79"/>
    <w:rsid w:val="0049788F"/>
    <w:rsid w:val="004A57DD"/>
    <w:rsid w:val="004A6E75"/>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1264"/>
    <w:rsid w:val="00515810"/>
    <w:rsid w:val="005177FE"/>
    <w:rsid w:val="0052263B"/>
    <w:rsid w:val="00524728"/>
    <w:rsid w:val="005331CA"/>
    <w:rsid w:val="00537424"/>
    <w:rsid w:val="00537970"/>
    <w:rsid w:val="00540E3A"/>
    <w:rsid w:val="00543A61"/>
    <w:rsid w:val="00544127"/>
    <w:rsid w:val="005463A9"/>
    <w:rsid w:val="00551178"/>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52D"/>
    <w:rsid w:val="005B67AC"/>
    <w:rsid w:val="005B79F4"/>
    <w:rsid w:val="005D1293"/>
    <w:rsid w:val="005D43E0"/>
    <w:rsid w:val="005D58A3"/>
    <w:rsid w:val="005D6642"/>
    <w:rsid w:val="005E1B79"/>
    <w:rsid w:val="005E6076"/>
    <w:rsid w:val="005E7008"/>
    <w:rsid w:val="005F026D"/>
    <w:rsid w:val="005F0533"/>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46BAE"/>
    <w:rsid w:val="00654C2F"/>
    <w:rsid w:val="00657087"/>
    <w:rsid w:val="006639DB"/>
    <w:rsid w:val="006661EF"/>
    <w:rsid w:val="00677AEB"/>
    <w:rsid w:val="00680EF2"/>
    <w:rsid w:val="00687A1D"/>
    <w:rsid w:val="00697EA1"/>
    <w:rsid w:val="006A2646"/>
    <w:rsid w:val="006A6530"/>
    <w:rsid w:val="006B3571"/>
    <w:rsid w:val="006B435A"/>
    <w:rsid w:val="006B4C64"/>
    <w:rsid w:val="006C5F93"/>
    <w:rsid w:val="006C65F4"/>
    <w:rsid w:val="006D6BD5"/>
    <w:rsid w:val="006E481A"/>
    <w:rsid w:val="006E5298"/>
    <w:rsid w:val="006E6A7A"/>
    <w:rsid w:val="006F4A78"/>
    <w:rsid w:val="006F734A"/>
    <w:rsid w:val="00700D83"/>
    <w:rsid w:val="00703DA2"/>
    <w:rsid w:val="00704852"/>
    <w:rsid w:val="007074E9"/>
    <w:rsid w:val="00713DA4"/>
    <w:rsid w:val="00714BF1"/>
    <w:rsid w:val="00717C2C"/>
    <w:rsid w:val="00721383"/>
    <w:rsid w:val="0073158B"/>
    <w:rsid w:val="007333CC"/>
    <w:rsid w:val="0073399A"/>
    <w:rsid w:val="00737FC5"/>
    <w:rsid w:val="007603F5"/>
    <w:rsid w:val="00764DB0"/>
    <w:rsid w:val="0076764D"/>
    <w:rsid w:val="0076778F"/>
    <w:rsid w:val="0077498C"/>
    <w:rsid w:val="00777C53"/>
    <w:rsid w:val="007809BC"/>
    <w:rsid w:val="00782F00"/>
    <w:rsid w:val="00784128"/>
    <w:rsid w:val="00787BCC"/>
    <w:rsid w:val="00793173"/>
    <w:rsid w:val="00797B84"/>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1375A"/>
    <w:rsid w:val="0082483F"/>
    <w:rsid w:val="00826D9B"/>
    <w:rsid w:val="008279C0"/>
    <w:rsid w:val="00834F92"/>
    <w:rsid w:val="00870B1E"/>
    <w:rsid w:val="008723F3"/>
    <w:rsid w:val="00881DE6"/>
    <w:rsid w:val="008837A6"/>
    <w:rsid w:val="0089145D"/>
    <w:rsid w:val="00895EF1"/>
    <w:rsid w:val="008A4DF2"/>
    <w:rsid w:val="008A6CFE"/>
    <w:rsid w:val="008A771D"/>
    <w:rsid w:val="008B4F15"/>
    <w:rsid w:val="008B5333"/>
    <w:rsid w:val="008B6223"/>
    <w:rsid w:val="008C66E0"/>
    <w:rsid w:val="008D715A"/>
    <w:rsid w:val="008E3339"/>
    <w:rsid w:val="008F20FC"/>
    <w:rsid w:val="008F5FFE"/>
    <w:rsid w:val="00902FA7"/>
    <w:rsid w:val="00905A43"/>
    <w:rsid w:val="00912C79"/>
    <w:rsid w:val="00921B8C"/>
    <w:rsid w:val="00922079"/>
    <w:rsid w:val="0092565E"/>
    <w:rsid w:val="00930D45"/>
    <w:rsid w:val="0093467C"/>
    <w:rsid w:val="00942123"/>
    <w:rsid w:val="009508E0"/>
    <w:rsid w:val="0095207B"/>
    <w:rsid w:val="00962045"/>
    <w:rsid w:val="00980E61"/>
    <w:rsid w:val="00991428"/>
    <w:rsid w:val="00992676"/>
    <w:rsid w:val="009954B2"/>
    <w:rsid w:val="00996122"/>
    <w:rsid w:val="00996691"/>
    <w:rsid w:val="00997529"/>
    <w:rsid w:val="009A320F"/>
    <w:rsid w:val="009B0723"/>
    <w:rsid w:val="009B07AD"/>
    <w:rsid w:val="009B0883"/>
    <w:rsid w:val="009B15E2"/>
    <w:rsid w:val="009B366C"/>
    <w:rsid w:val="009B4976"/>
    <w:rsid w:val="009C0B8E"/>
    <w:rsid w:val="009C0F5B"/>
    <w:rsid w:val="009C1BC8"/>
    <w:rsid w:val="009C2442"/>
    <w:rsid w:val="009D0811"/>
    <w:rsid w:val="009D0EE1"/>
    <w:rsid w:val="009D5B73"/>
    <w:rsid w:val="009E2AEB"/>
    <w:rsid w:val="009E2E27"/>
    <w:rsid w:val="009E45DF"/>
    <w:rsid w:val="009E4DE3"/>
    <w:rsid w:val="009E73A3"/>
    <w:rsid w:val="009F275E"/>
    <w:rsid w:val="00A024E7"/>
    <w:rsid w:val="00A047EE"/>
    <w:rsid w:val="00A04D79"/>
    <w:rsid w:val="00A2274A"/>
    <w:rsid w:val="00A235B7"/>
    <w:rsid w:val="00A27A7A"/>
    <w:rsid w:val="00A3165E"/>
    <w:rsid w:val="00A34ABE"/>
    <w:rsid w:val="00A407EF"/>
    <w:rsid w:val="00A46B4C"/>
    <w:rsid w:val="00A5117B"/>
    <w:rsid w:val="00A51323"/>
    <w:rsid w:val="00A56D34"/>
    <w:rsid w:val="00A60074"/>
    <w:rsid w:val="00A6627C"/>
    <w:rsid w:val="00A71019"/>
    <w:rsid w:val="00A81029"/>
    <w:rsid w:val="00A82B32"/>
    <w:rsid w:val="00A94F58"/>
    <w:rsid w:val="00A95463"/>
    <w:rsid w:val="00A96489"/>
    <w:rsid w:val="00AA0280"/>
    <w:rsid w:val="00AA7BE3"/>
    <w:rsid w:val="00AB1B65"/>
    <w:rsid w:val="00AB2425"/>
    <w:rsid w:val="00AB5F08"/>
    <w:rsid w:val="00AB685C"/>
    <w:rsid w:val="00AB6C2D"/>
    <w:rsid w:val="00AC08F7"/>
    <w:rsid w:val="00AC3839"/>
    <w:rsid w:val="00AC7082"/>
    <w:rsid w:val="00AD2687"/>
    <w:rsid w:val="00AD4BE8"/>
    <w:rsid w:val="00AF228E"/>
    <w:rsid w:val="00B00211"/>
    <w:rsid w:val="00B016A8"/>
    <w:rsid w:val="00B01E81"/>
    <w:rsid w:val="00B10961"/>
    <w:rsid w:val="00B12E91"/>
    <w:rsid w:val="00B14819"/>
    <w:rsid w:val="00B15E2F"/>
    <w:rsid w:val="00B17AA9"/>
    <w:rsid w:val="00B25271"/>
    <w:rsid w:val="00B27E6E"/>
    <w:rsid w:val="00B31AF1"/>
    <w:rsid w:val="00B43C9D"/>
    <w:rsid w:val="00B44713"/>
    <w:rsid w:val="00B56103"/>
    <w:rsid w:val="00B64929"/>
    <w:rsid w:val="00B65942"/>
    <w:rsid w:val="00B736DF"/>
    <w:rsid w:val="00B743D6"/>
    <w:rsid w:val="00B74FBD"/>
    <w:rsid w:val="00B77B19"/>
    <w:rsid w:val="00B77F46"/>
    <w:rsid w:val="00B82586"/>
    <w:rsid w:val="00B829A3"/>
    <w:rsid w:val="00B86DB1"/>
    <w:rsid w:val="00B8739B"/>
    <w:rsid w:val="00B87869"/>
    <w:rsid w:val="00B9639B"/>
    <w:rsid w:val="00B97379"/>
    <w:rsid w:val="00BB0F2B"/>
    <w:rsid w:val="00BD4A58"/>
    <w:rsid w:val="00BD7337"/>
    <w:rsid w:val="00BE4FF3"/>
    <w:rsid w:val="00BF50F7"/>
    <w:rsid w:val="00C00154"/>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2C7C"/>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8D6"/>
    <w:rsid w:val="00D21D8C"/>
    <w:rsid w:val="00D316F2"/>
    <w:rsid w:val="00D34584"/>
    <w:rsid w:val="00D4048A"/>
    <w:rsid w:val="00D53719"/>
    <w:rsid w:val="00D61CC1"/>
    <w:rsid w:val="00D63EFD"/>
    <w:rsid w:val="00D66EA4"/>
    <w:rsid w:val="00D74C81"/>
    <w:rsid w:val="00D819F7"/>
    <w:rsid w:val="00D84752"/>
    <w:rsid w:val="00D86B3B"/>
    <w:rsid w:val="00D8748A"/>
    <w:rsid w:val="00D92834"/>
    <w:rsid w:val="00D93196"/>
    <w:rsid w:val="00D9565D"/>
    <w:rsid w:val="00D97E67"/>
    <w:rsid w:val="00DA0DC0"/>
    <w:rsid w:val="00DA1D45"/>
    <w:rsid w:val="00DA77F6"/>
    <w:rsid w:val="00DB243C"/>
    <w:rsid w:val="00DB482A"/>
    <w:rsid w:val="00DB50FB"/>
    <w:rsid w:val="00DB56F2"/>
    <w:rsid w:val="00DB6EF5"/>
    <w:rsid w:val="00DC3089"/>
    <w:rsid w:val="00DC359F"/>
    <w:rsid w:val="00DC4420"/>
    <w:rsid w:val="00DD0802"/>
    <w:rsid w:val="00DD2E11"/>
    <w:rsid w:val="00DD60D7"/>
    <w:rsid w:val="00DE03AF"/>
    <w:rsid w:val="00DE121C"/>
    <w:rsid w:val="00DE5357"/>
    <w:rsid w:val="00DE6633"/>
    <w:rsid w:val="00DE7E9B"/>
    <w:rsid w:val="00DF03F1"/>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55CCA"/>
    <w:rsid w:val="00E6302B"/>
    <w:rsid w:val="00E6452F"/>
    <w:rsid w:val="00E64F45"/>
    <w:rsid w:val="00E6742D"/>
    <w:rsid w:val="00E71CB0"/>
    <w:rsid w:val="00E77C3D"/>
    <w:rsid w:val="00E77E46"/>
    <w:rsid w:val="00E90991"/>
    <w:rsid w:val="00E909F0"/>
    <w:rsid w:val="00E90D47"/>
    <w:rsid w:val="00E93993"/>
    <w:rsid w:val="00E9597C"/>
    <w:rsid w:val="00EA0913"/>
    <w:rsid w:val="00EA5B00"/>
    <w:rsid w:val="00EA78AC"/>
    <w:rsid w:val="00EB146B"/>
    <w:rsid w:val="00EB45AC"/>
    <w:rsid w:val="00EC441F"/>
    <w:rsid w:val="00EC4755"/>
    <w:rsid w:val="00EC520F"/>
    <w:rsid w:val="00EC6C54"/>
    <w:rsid w:val="00ED0BC4"/>
    <w:rsid w:val="00ED447D"/>
    <w:rsid w:val="00ED4E00"/>
    <w:rsid w:val="00ED738F"/>
    <w:rsid w:val="00ED74BC"/>
    <w:rsid w:val="00EE4971"/>
    <w:rsid w:val="00EF090E"/>
    <w:rsid w:val="00EF5572"/>
    <w:rsid w:val="00F03051"/>
    <w:rsid w:val="00F033DA"/>
    <w:rsid w:val="00F13691"/>
    <w:rsid w:val="00F13FB1"/>
    <w:rsid w:val="00F24C34"/>
    <w:rsid w:val="00F27CD8"/>
    <w:rsid w:val="00F30351"/>
    <w:rsid w:val="00F31F5E"/>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C033-AE0F-492B-9181-6C00466A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Major</cp:lastModifiedBy>
  <cp:revision>3</cp:revision>
  <cp:lastPrinted>2019-08-27T05:42:00Z</cp:lastPrinted>
  <dcterms:created xsi:type="dcterms:W3CDTF">2023-07-31T18:33:00Z</dcterms:created>
  <dcterms:modified xsi:type="dcterms:W3CDTF">2023-07-31T18:34:00Z</dcterms:modified>
</cp:coreProperties>
</file>