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ListParagraph"/>
        <w:numPr>
          <w:ilvl w:val="0"/>
          <w:numId w:val="1"/>
        </w:numPr>
        <w:ind w:left="426"/>
        <w:jc w:val="both"/>
        <w:rPr>
          <w:rFonts w:ascii="Avenir Next" w:hAnsi="Avenir Next" w:cs="Arial"/>
          <w:sz w:val="22"/>
          <w:szCs w:val="22"/>
          <w:lang w:val="en-GB"/>
        </w:rPr>
      </w:pPr>
      <w:r w:rsidRPr="005249E5">
        <w:rPr>
          <w:rFonts w:ascii="Avenir Next" w:hAnsi="Avenir Next" w:cs="Arial"/>
          <w:sz w:val="22"/>
          <w:szCs w:val="22"/>
          <w:highlight w:val="yellow"/>
          <w:lang w:val="en-GB"/>
        </w:rPr>
        <w:t>w</w:t>
      </w:r>
      <w:r w:rsidR="00C91062" w:rsidRPr="005249E5">
        <w:rPr>
          <w:rFonts w:ascii="Avenir Next" w:hAnsi="Avenir Next" w:cs="Arial"/>
          <w:sz w:val="22"/>
          <w:szCs w:val="22"/>
          <w:highlight w:val="yellow"/>
          <w:lang w:val="en-GB"/>
        </w:rPr>
        <w:t>ithin 8 weeks of the commencement of the administration</w:t>
      </w:r>
      <w:r w:rsidR="00763348" w:rsidRPr="005249E5">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A753D0" w:rsidRDefault="00E443D7" w:rsidP="00B04033">
      <w:pPr>
        <w:pStyle w:val="ListParagraph"/>
        <w:numPr>
          <w:ilvl w:val="0"/>
          <w:numId w:val="2"/>
        </w:numPr>
        <w:ind w:left="426"/>
        <w:jc w:val="both"/>
        <w:rPr>
          <w:rFonts w:ascii="Avenir Next" w:hAnsi="Avenir Next" w:cs="Arial"/>
          <w:sz w:val="22"/>
          <w:szCs w:val="22"/>
          <w:lang w:val="en-GB"/>
        </w:rPr>
      </w:pPr>
      <w:r w:rsidRPr="00A753D0">
        <w:rPr>
          <w:rFonts w:ascii="Avenir Next" w:hAnsi="Avenir Next" w:cs="Arial"/>
          <w:sz w:val="22"/>
          <w:szCs w:val="22"/>
          <w:lang w:val="en-GB"/>
        </w:rPr>
        <w:t>40 business days</w:t>
      </w:r>
      <w:r w:rsidR="00763348" w:rsidRPr="00A753D0">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A753D0" w:rsidRDefault="00E443D7" w:rsidP="00B04033">
      <w:pPr>
        <w:pStyle w:val="ListParagraph"/>
        <w:numPr>
          <w:ilvl w:val="0"/>
          <w:numId w:val="2"/>
        </w:numPr>
        <w:ind w:left="426"/>
        <w:jc w:val="both"/>
        <w:rPr>
          <w:rFonts w:ascii="Avenir Next" w:hAnsi="Avenir Next" w:cs="Arial"/>
          <w:sz w:val="22"/>
          <w:szCs w:val="22"/>
          <w:highlight w:val="yellow"/>
          <w:lang w:val="en-GB"/>
        </w:rPr>
      </w:pPr>
      <w:r w:rsidRPr="00A753D0">
        <w:rPr>
          <w:rFonts w:ascii="Avenir Next" w:hAnsi="Avenir Next" w:cs="Arial"/>
          <w:sz w:val="22"/>
          <w:szCs w:val="22"/>
          <w:highlight w:val="yellow"/>
          <w:lang w:val="en-GB"/>
        </w:rPr>
        <w:t>One year</w:t>
      </w:r>
      <w:r w:rsidR="00763348" w:rsidRPr="00A753D0">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F3609C" w:rsidRDefault="00AE5B6F" w:rsidP="00B04033">
      <w:pPr>
        <w:pStyle w:val="ListParagraph"/>
        <w:numPr>
          <w:ilvl w:val="0"/>
          <w:numId w:val="3"/>
        </w:numPr>
        <w:ind w:left="426"/>
        <w:jc w:val="both"/>
        <w:rPr>
          <w:rFonts w:ascii="Avenir Next" w:hAnsi="Avenir Next" w:cs="Arial"/>
          <w:sz w:val="22"/>
          <w:szCs w:val="22"/>
          <w:highlight w:val="yellow"/>
          <w:lang w:val="en-GB"/>
        </w:rPr>
      </w:pPr>
      <w:r w:rsidRPr="00F3609C">
        <w:rPr>
          <w:rFonts w:ascii="Avenir Next" w:hAnsi="Avenir Next" w:cs="Arial"/>
          <w:sz w:val="22"/>
          <w:szCs w:val="22"/>
          <w:highlight w:val="yellow"/>
          <w:lang w:val="en-GB"/>
        </w:rPr>
        <w:t>T</w:t>
      </w:r>
      <w:r w:rsidR="008D1616" w:rsidRPr="00F3609C">
        <w:rPr>
          <w:rFonts w:ascii="Avenir Next" w:hAnsi="Avenir Next" w:cs="Arial"/>
          <w:sz w:val="22"/>
          <w:szCs w:val="22"/>
          <w:highlight w:val="yellow"/>
          <w:lang w:val="en-GB"/>
        </w:rPr>
        <w:t>he company is, or is likely to become, unable to pay their debts, as defined under s</w:t>
      </w:r>
      <w:r w:rsidR="00E833F4" w:rsidRPr="00F3609C">
        <w:rPr>
          <w:rFonts w:ascii="Avenir Next" w:hAnsi="Avenir Next" w:cs="Arial"/>
          <w:sz w:val="22"/>
          <w:szCs w:val="22"/>
          <w:highlight w:val="yellow"/>
          <w:lang w:val="en-GB"/>
        </w:rPr>
        <w:t>ection</w:t>
      </w:r>
      <w:r w:rsidR="008D1616" w:rsidRPr="00F3609C">
        <w:rPr>
          <w:rFonts w:ascii="Avenir Next" w:hAnsi="Avenir Next" w:cs="Arial"/>
          <w:sz w:val="22"/>
          <w:szCs w:val="22"/>
          <w:highlight w:val="yellow"/>
          <w:lang w:val="en-GB"/>
        </w:rPr>
        <w:t xml:space="preserve"> 123 of the Insolvency Act 1986</w:t>
      </w:r>
      <w:r w:rsidR="00763348" w:rsidRPr="00F3609C">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EC05EF" w:rsidRDefault="00C91062" w:rsidP="00B04033">
      <w:pPr>
        <w:pStyle w:val="ListParagraph"/>
        <w:numPr>
          <w:ilvl w:val="0"/>
          <w:numId w:val="4"/>
        </w:numPr>
        <w:ind w:left="426"/>
        <w:jc w:val="both"/>
        <w:rPr>
          <w:rFonts w:ascii="Avenir Next" w:hAnsi="Avenir Next" w:cs="Arial"/>
          <w:sz w:val="22"/>
          <w:szCs w:val="22"/>
          <w:lang w:val="en-GB"/>
        </w:rPr>
      </w:pPr>
      <w:r w:rsidRPr="00EC05EF">
        <w:rPr>
          <w:rFonts w:ascii="Avenir Next" w:hAnsi="Avenir Next" w:cs="Arial"/>
          <w:sz w:val="22"/>
          <w:szCs w:val="22"/>
          <w:lang w:val="en-GB"/>
        </w:rPr>
        <w:t>The administrator</w:t>
      </w:r>
      <w:r w:rsidR="00763348" w:rsidRPr="00EC05EF">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A753D0" w:rsidRDefault="00C91062" w:rsidP="00B04033">
      <w:pPr>
        <w:pStyle w:val="ListParagraph"/>
        <w:numPr>
          <w:ilvl w:val="0"/>
          <w:numId w:val="4"/>
        </w:numPr>
        <w:ind w:left="426"/>
        <w:jc w:val="both"/>
        <w:rPr>
          <w:rFonts w:ascii="Avenir Next" w:hAnsi="Avenir Next" w:cs="Arial"/>
          <w:sz w:val="22"/>
          <w:szCs w:val="22"/>
          <w:highlight w:val="yellow"/>
          <w:lang w:val="en-GB"/>
        </w:rPr>
      </w:pPr>
      <w:r w:rsidRPr="00A753D0">
        <w:rPr>
          <w:rFonts w:ascii="Avenir Next" w:hAnsi="Avenir Next" w:cs="Arial"/>
          <w:sz w:val="22"/>
          <w:szCs w:val="22"/>
          <w:highlight w:val="yellow"/>
          <w:lang w:val="en-GB"/>
        </w:rPr>
        <w:t>The purchaser</w:t>
      </w:r>
      <w:r w:rsidR="00763348" w:rsidRPr="00A753D0">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A753D0" w:rsidRDefault="00C91062" w:rsidP="00B04033">
      <w:pPr>
        <w:pStyle w:val="ListParagraph"/>
        <w:numPr>
          <w:ilvl w:val="0"/>
          <w:numId w:val="4"/>
        </w:numPr>
        <w:ind w:left="426"/>
        <w:jc w:val="both"/>
        <w:rPr>
          <w:rFonts w:ascii="Avenir Next" w:hAnsi="Avenir Next" w:cs="Arial"/>
          <w:sz w:val="22"/>
          <w:szCs w:val="22"/>
          <w:lang w:val="en-GB"/>
        </w:rPr>
      </w:pPr>
      <w:r w:rsidRPr="00A753D0">
        <w:rPr>
          <w:rFonts w:ascii="Avenir Next" w:hAnsi="Avenir Next" w:cs="Arial"/>
          <w:sz w:val="22"/>
          <w:szCs w:val="22"/>
          <w:lang w:val="en-GB"/>
        </w:rPr>
        <w:t>The company’s auditor</w:t>
      </w:r>
      <w:r w:rsidR="00763348" w:rsidRPr="00A753D0">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8167AE" w:rsidRDefault="00BA1CFD" w:rsidP="00B04033">
      <w:pPr>
        <w:pStyle w:val="ListParagraph"/>
        <w:numPr>
          <w:ilvl w:val="0"/>
          <w:numId w:val="5"/>
        </w:numPr>
        <w:ind w:left="426"/>
        <w:jc w:val="both"/>
        <w:rPr>
          <w:rFonts w:ascii="Avenir Next" w:hAnsi="Avenir Next" w:cs="Arial"/>
          <w:sz w:val="22"/>
          <w:szCs w:val="22"/>
          <w:highlight w:val="yellow"/>
          <w:lang w:val="en-GB"/>
        </w:rPr>
      </w:pPr>
      <w:r w:rsidRPr="008167AE">
        <w:rPr>
          <w:rFonts w:ascii="Avenir Next" w:hAnsi="Avenir Next" w:cs="Arial"/>
          <w:sz w:val="22"/>
          <w:szCs w:val="22"/>
          <w:highlight w:val="yellow"/>
          <w:lang w:val="en-GB"/>
        </w:rPr>
        <w:t>Administration</w:t>
      </w:r>
      <w:r w:rsidR="00763348" w:rsidRPr="008167AE">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EB1E0E" w:rsidRDefault="001F3C98" w:rsidP="00B04033">
      <w:pPr>
        <w:pStyle w:val="ListParagraph"/>
        <w:numPr>
          <w:ilvl w:val="0"/>
          <w:numId w:val="6"/>
        </w:numPr>
        <w:ind w:left="426"/>
        <w:jc w:val="both"/>
        <w:rPr>
          <w:rFonts w:ascii="Avenir Next" w:hAnsi="Avenir Next" w:cs="Arial"/>
          <w:sz w:val="22"/>
          <w:szCs w:val="22"/>
          <w:highlight w:val="yellow"/>
          <w:lang w:val="en-GB"/>
        </w:rPr>
      </w:pPr>
      <w:r w:rsidRPr="00EB1E0E">
        <w:rPr>
          <w:rFonts w:ascii="Avenir Next" w:hAnsi="Avenir Next" w:cs="Arial"/>
          <w:sz w:val="22"/>
          <w:szCs w:val="22"/>
          <w:highlight w:val="yellow"/>
          <w:lang w:val="en-GB"/>
        </w:rPr>
        <w:t xml:space="preserve">GBP </w:t>
      </w:r>
      <w:r w:rsidR="00BA1CFD" w:rsidRPr="00EB1E0E">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414CF6" w:rsidRDefault="00BA1CFD" w:rsidP="00B04033">
      <w:pPr>
        <w:pStyle w:val="ListParagraph"/>
        <w:numPr>
          <w:ilvl w:val="0"/>
          <w:numId w:val="7"/>
        </w:numPr>
        <w:ind w:left="426"/>
        <w:jc w:val="both"/>
        <w:rPr>
          <w:rFonts w:ascii="Avenir Next" w:hAnsi="Avenir Next" w:cs="Arial"/>
          <w:sz w:val="22"/>
          <w:szCs w:val="22"/>
          <w:highlight w:val="yellow"/>
          <w:lang w:val="en-GB"/>
        </w:rPr>
      </w:pPr>
      <w:r w:rsidRPr="00414CF6">
        <w:rPr>
          <w:rFonts w:ascii="Avenir Next" w:hAnsi="Avenir Next" w:cs="Arial"/>
          <w:sz w:val="22"/>
          <w:szCs w:val="22"/>
          <w:highlight w:val="yellow"/>
          <w:lang w:val="en-GB"/>
        </w:rPr>
        <w:t>Breach of fiduciary duty</w:t>
      </w:r>
      <w:r w:rsidR="00763348" w:rsidRPr="00414CF6">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FE009D" w:rsidRDefault="00876F56" w:rsidP="00B04033">
      <w:pPr>
        <w:pStyle w:val="ListParagraph"/>
        <w:numPr>
          <w:ilvl w:val="0"/>
          <w:numId w:val="8"/>
        </w:numPr>
        <w:ind w:left="426"/>
        <w:jc w:val="both"/>
        <w:rPr>
          <w:rFonts w:ascii="Avenir Next" w:hAnsi="Avenir Next" w:cs="Arial"/>
          <w:sz w:val="22"/>
          <w:szCs w:val="22"/>
          <w:highlight w:val="yellow"/>
          <w:lang w:val="en-GB"/>
        </w:rPr>
      </w:pPr>
      <w:r w:rsidRPr="00FE009D">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E90DA2" w:rsidRDefault="00E833F4" w:rsidP="00B04033">
      <w:pPr>
        <w:pStyle w:val="ListParagraph"/>
        <w:numPr>
          <w:ilvl w:val="0"/>
          <w:numId w:val="9"/>
        </w:numPr>
        <w:ind w:left="426"/>
        <w:jc w:val="both"/>
        <w:rPr>
          <w:rFonts w:ascii="Avenir Next" w:hAnsi="Avenir Next" w:cs="Arial"/>
          <w:sz w:val="22"/>
          <w:szCs w:val="22"/>
          <w:highlight w:val="yellow"/>
          <w:lang w:val="en-GB"/>
        </w:rPr>
      </w:pPr>
      <w:r w:rsidRPr="00E90DA2">
        <w:rPr>
          <w:rFonts w:ascii="Avenir Next" w:hAnsi="Avenir Next" w:cs="Arial"/>
          <w:sz w:val="22"/>
          <w:szCs w:val="22"/>
          <w:highlight w:val="yellow"/>
          <w:lang w:val="en-GB"/>
        </w:rPr>
        <w:t>A</w:t>
      </w:r>
      <w:r w:rsidR="000D10C6" w:rsidRPr="00E90DA2">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680E7E" w:rsidRDefault="0020204E" w:rsidP="00B04033">
      <w:pPr>
        <w:pStyle w:val="ListParagraph"/>
        <w:numPr>
          <w:ilvl w:val="0"/>
          <w:numId w:val="10"/>
        </w:numPr>
        <w:ind w:left="426"/>
        <w:jc w:val="both"/>
        <w:rPr>
          <w:rFonts w:ascii="Avenir Next" w:hAnsi="Avenir Next" w:cs="Arial"/>
          <w:sz w:val="22"/>
          <w:szCs w:val="22"/>
          <w:highlight w:val="yellow"/>
          <w:lang w:val="en-GB"/>
        </w:rPr>
      </w:pPr>
      <w:r w:rsidRPr="00680E7E">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29869656" w:rsidR="00AE5B6F" w:rsidRDefault="00D05AD8" w:rsidP="006624AB">
      <w:pPr>
        <w:jc w:val="both"/>
        <w:rPr>
          <w:rFonts w:ascii="Avenir Next" w:hAnsi="Avenir Next" w:cs="Arial"/>
          <w:color w:val="808080" w:themeColor="background1" w:themeShade="80"/>
          <w:sz w:val="22"/>
          <w:szCs w:val="22"/>
          <w:lang w:val="en-SG"/>
        </w:rPr>
      </w:pPr>
      <w:r w:rsidRPr="00D05AD8">
        <w:rPr>
          <w:rFonts w:ascii="Avenir Next" w:hAnsi="Avenir Next" w:cs="Arial"/>
          <w:color w:val="808080" w:themeColor="background1" w:themeShade="80"/>
          <w:sz w:val="22"/>
          <w:szCs w:val="22"/>
          <w:lang w:val="en-SG"/>
        </w:rPr>
        <w:t xml:space="preserve">Under section 423 of the </w:t>
      </w:r>
      <w:r w:rsidR="006C6408">
        <w:rPr>
          <w:rFonts w:ascii="Avenir Next" w:hAnsi="Avenir Next" w:cs="Arial"/>
          <w:color w:val="808080" w:themeColor="background1" w:themeShade="80"/>
          <w:sz w:val="22"/>
          <w:szCs w:val="22"/>
          <w:lang w:val="en-SG"/>
        </w:rPr>
        <w:t>Insolvency Act 1986</w:t>
      </w:r>
      <w:r w:rsidRPr="00D05AD8">
        <w:rPr>
          <w:rFonts w:ascii="Avenir Next" w:hAnsi="Avenir Next" w:cs="Arial"/>
          <w:color w:val="808080" w:themeColor="background1" w:themeShade="80"/>
          <w:sz w:val="22"/>
          <w:szCs w:val="22"/>
          <w:lang w:val="en-SG"/>
        </w:rPr>
        <w:t xml:space="preserve">, the following </w:t>
      </w:r>
      <w:r w:rsidR="006C6408">
        <w:rPr>
          <w:rFonts w:ascii="Avenir Next" w:hAnsi="Avenir Next" w:cs="Arial"/>
          <w:color w:val="808080" w:themeColor="background1" w:themeShade="80"/>
          <w:sz w:val="22"/>
          <w:szCs w:val="22"/>
          <w:lang w:val="en-SG"/>
        </w:rPr>
        <w:t>categories may challenge transactions which defraud</w:t>
      </w:r>
      <w:r w:rsidRPr="00D05AD8">
        <w:rPr>
          <w:rFonts w:ascii="Avenir Next" w:hAnsi="Avenir Next" w:cs="Arial"/>
          <w:color w:val="808080" w:themeColor="background1" w:themeShade="80"/>
          <w:sz w:val="22"/>
          <w:szCs w:val="22"/>
          <w:lang w:val="en-SG"/>
        </w:rPr>
        <w:t xml:space="preserve"> creditors</w:t>
      </w:r>
      <w:r w:rsidR="006C6408">
        <w:rPr>
          <w:rFonts w:ascii="Avenir Next" w:hAnsi="Avenir Next" w:cs="Arial"/>
          <w:color w:val="808080" w:themeColor="background1" w:themeShade="80"/>
          <w:sz w:val="22"/>
          <w:szCs w:val="22"/>
          <w:lang w:val="en-SG"/>
        </w:rPr>
        <w:t>.</w:t>
      </w:r>
      <w:r w:rsidRPr="00D05AD8">
        <w:rPr>
          <w:rFonts w:ascii="Avenir Next" w:hAnsi="Avenir Next" w:cs="Arial"/>
          <w:color w:val="808080" w:themeColor="background1" w:themeShade="80"/>
          <w:sz w:val="22"/>
          <w:szCs w:val="22"/>
          <w:lang w:val="en-SG"/>
        </w:rPr>
        <w:t xml:space="preserve"> </w:t>
      </w:r>
      <w:r w:rsidR="006C6408">
        <w:rPr>
          <w:rFonts w:ascii="Avenir Next" w:hAnsi="Avenir Next" w:cs="Arial"/>
          <w:color w:val="808080" w:themeColor="background1" w:themeShade="80"/>
          <w:sz w:val="22"/>
          <w:szCs w:val="22"/>
          <w:lang w:val="en-SG"/>
        </w:rPr>
        <w:t>First, w</w:t>
      </w:r>
      <w:r w:rsidRPr="00D05AD8">
        <w:rPr>
          <w:rFonts w:ascii="Avenir Next" w:hAnsi="Avenir Next" w:cs="Arial"/>
          <w:color w:val="808080" w:themeColor="background1" w:themeShade="80"/>
          <w:sz w:val="22"/>
          <w:szCs w:val="22"/>
          <w:lang w:val="en-SG"/>
        </w:rPr>
        <w:t>here the company is being wound up or is in administration, the official receiver, the liquidator, the administrator and (with the leave of the court) any victim of the transaction such as a creditor</w:t>
      </w:r>
      <w:r w:rsidR="006C6408">
        <w:rPr>
          <w:rFonts w:ascii="Avenir Next" w:hAnsi="Avenir Next" w:cs="Arial"/>
          <w:color w:val="808080" w:themeColor="background1" w:themeShade="80"/>
          <w:sz w:val="22"/>
          <w:szCs w:val="22"/>
          <w:lang w:val="en-SG"/>
        </w:rPr>
        <w:t xml:space="preserve"> may bring the action. Second, where a </w:t>
      </w:r>
      <w:r w:rsidRPr="00D05AD8">
        <w:rPr>
          <w:rFonts w:ascii="Avenir Next" w:hAnsi="Avenir Next" w:cs="Arial"/>
          <w:color w:val="808080" w:themeColor="background1" w:themeShade="80"/>
          <w:sz w:val="22"/>
          <w:szCs w:val="22"/>
          <w:lang w:val="en-SG"/>
        </w:rPr>
        <w:t xml:space="preserve">victim is bound by a </w:t>
      </w:r>
      <w:r w:rsidR="006C6408">
        <w:rPr>
          <w:rFonts w:ascii="Avenir Next" w:hAnsi="Avenir Next" w:cs="Arial"/>
          <w:color w:val="808080" w:themeColor="background1" w:themeShade="80"/>
          <w:sz w:val="22"/>
          <w:szCs w:val="22"/>
          <w:lang w:val="en-SG"/>
        </w:rPr>
        <w:t>company voluntary arrangement (“CVA”)</w:t>
      </w:r>
      <w:r w:rsidRPr="00D05AD8">
        <w:rPr>
          <w:rFonts w:ascii="Avenir Next" w:hAnsi="Avenir Next" w:cs="Arial"/>
          <w:color w:val="808080" w:themeColor="background1" w:themeShade="80"/>
          <w:sz w:val="22"/>
          <w:szCs w:val="22"/>
          <w:lang w:val="en-SG"/>
        </w:rPr>
        <w:t>, the supervisor of the CVA or any victim of the transaction (whether bound by the CVA or not)</w:t>
      </w:r>
      <w:r w:rsidR="006C6408">
        <w:rPr>
          <w:rFonts w:ascii="Avenir Next" w:hAnsi="Avenir Next" w:cs="Arial"/>
          <w:color w:val="808080" w:themeColor="background1" w:themeShade="80"/>
          <w:sz w:val="22"/>
          <w:szCs w:val="22"/>
          <w:lang w:val="en-SG"/>
        </w:rPr>
        <w:t>. Third,</w:t>
      </w:r>
      <w:r w:rsidRPr="00D05AD8">
        <w:rPr>
          <w:rFonts w:ascii="Avenir Next" w:hAnsi="Avenir Next" w:cs="Arial"/>
          <w:color w:val="808080" w:themeColor="background1" w:themeShade="80"/>
          <w:sz w:val="22"/>
          <w:szCs w:val="22"/>
          <w:lang w:val="en-SG"/>
        </w:rPr>
        <w:t xml:space="preserve"> a victim of the transaction</w:t>
      </w:r>
      <w:r w:rsidR="00536F8D">
        <w:rPr>
          <w:rFonts w:ascii="Avenir Next" w:hAnsi="Avenir Next" w:cs="Arial"/>
          <w:color w:val="808080" w:themeColor="background1" w:themeShade="80"/>
          <w:sz w:val="22"/>
          <w:szCs w:val="22"/>
          <w:lang w:val="en-SG"/>
        </w:rPr>
        <w:t xml:space="preserve"> may bring an action under this section in any other case.</w:t>
      </w:r>
    </w:p>
    <w:p w14:paraId="21DB2FAE" w14:textId="70C0F555" w:rsidR="00D05AD8" w:rsidRDefault="00D05AD8" w:rsidP="006624AB">
      <w:pPr>
        <w:jc w:val="both"/>
        <w:rPr>
          <w:rFonts w:ascii="Avenir Next" w:hAnsi="Avenir Next" w:cs="Arial"/>
          <w:color w:val="808080" w:themeColor="background1" w:themeShade="80"/>
          <w:sz w:val="22"/>
          <w:szCs w:val="22"/>
          <w:lang w:val="en-SG"/>
        </w:rPr>
      </w:pPr>
    </w:p>
    <w:p w14:paraId="289CA219" w14:textId="03FF1EF7" w:rsidR="0010336D" w:rsidRDefault="00D05AD8" w:rsidP="006624AB">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Under s 6 of the Company Directors Disqualification Act 1986,</w:t>
      </w:r>
      <w:r w:rsidR="00584C31">
        <w:rPr>
          <w:rFonts w:ascii="Avenir Next" w:hAnsi="Avenir Next" w:cs="Arial"/>
          <w:color w:val="808080" w:themeColor="background1" w:themeShade="80"/>
          <w:sz w:val="22"/>
          <w:szCs w:val="22"/>
          <w:lang w:val="en-SG"/>
        </w:rPr>
        <w:t xml:space="preserve"> </w:t>
      </w:r>
      <w:r w:rsidR="00584C31" w:rsidRPr="00584C31">
        <w:rPr>
          <w:rFonts w:ascii="Avenir Next" w:hAnsi="Avenir Next" w:cs="Arial"/>
          <w:color w:val="808080" w:themeColor="background1" w:themeShade="80"/>
          <w:sz w:val="22"/>
          <w:szCs w:val="22"/>
          <w:lang w:val="en-SG"/>
        </w:rPr>
        <w:t xml:space="preserve">the Secretary of State </w:t>
      </w:r>
      <w:r w:rsidR="00584C31">
        <w:rPr>
          <w:rFonts w:ascii="Avenir Next" w:hAnsi="Avenir Next" w:cs="Arial"/>
          <w:color w:val="808080" w:themeColor="background1" w:themeShade="80"/>
          <w:sz w:val="22"/>
          <w:szCs w:val="22"/>
          <w:lang w:val="en-SG"/>
        </w:rPr>
        <w:t>may</w:t>
      </w:r>
      <w:r w:rsidR="00584C31" w:rsidRPr="00584C31">
        <w:rPr>
          <w:rFonts w:ascii="Avenir Next" w:hAnsi="Avenir Next" w:cs="Arial"/>
          <w:color w:val="808080" w:themeColor="background1" w:themeShade="80"/>
          <w:sz w:val="22"/>
          <w:szCs w:val="22"/>
          <w:lang w:val="en-SG"/>
        </w:rPr>
        <w:t xml:space="preserve"> bring legal proceedings against a director where they consider the court will be satisfied that the person concerned was a director of an insolvent company (or it was dissolved without becoming insolvent), and the directors’ conduct makes them a ‘person unfit to be concerned in the management of a company’.</w:t>
      </w:r>
    </w:p>
    <w:p w14:paraId="5F44C97E" w14:textId="77777777" w:rsidR="00584C31" w:rsidRDefault="00584C31" w:rsidP="006624AB">
      <w:pPr>
        <w:jc w:val="both"/>
        <w:rPr>
          <w:rFonts w:ascii="Avenir Next" w:hAnsi="Avenir Next" w:cs="Arial"/>
          <w:color w:val="808080" w:themeColor="background1" w:themeShade="80"/>
          <w:sz w:val="22"/>
          <w:szCs w:val="22"/>
          <w:lang w:val="en-SG"/>
        </w:rPr>
      </w:pPr>
    </w:p>
    <w:p w14:paraId="3590B6E4" w14:textId="3189CC65" w:rsidR="00D05AD8" w:rsidRPr="00D05AD8" w:rsidRDefault="00584C31" w:rsidP="006624AB">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 xml:space="preserve">Under s </w:t>
      </w:r>
      <w:r w:rsidRPr="00584C31">
        <w:rPr>
          <w:rFonts w:ascii="Avenir Next" w:hAnsi="Avenir Next" w:cs="Arial"/>
          <w:color w:val="808080" w:themeColor="background1" w:themeShade="80"/>
          <w:sz w:val="22"/>
          <w:szCs w:val="22"/>
          <w:lang w:val="en-SG"/>
        </w:rPr>
        <w:t>246ZB</w:t>
      </w:r>
      <w:r>
        <w:rPr>
          <w:rFonts w:ascii="Avenir Next" w:hAnsi="Avenir Next" w:cs="Arial"/>
          <w:color w:val="808080" w:themeColor="background1" w:themeShade="80"/>
          <w:sz w:val="22"/>
          <w:szCs w:val="22"/>
          <w:lang w:val="en-SG"/>
        </w:rPr>
        <w:t xml:space="preserve"> of the Insolvency Act 1986, </w:t>
      </w:r>
      <w:r w:rsidR="00B71EE6">
        <w:rPr>
          <w:rFonts w:ascii="Avenir Next" w:hAnsi="Avenir Next" w:cs="Arial"/>
          <w:color w:val="808080" w:themeColor="background1" w:themeShade="80"/>
          <w:sz w:val="22"/>
          <w:szCs w:val="22"/>
          <w:lang w:val="en-SG"/>
        </w:rPr>
        <w:t>the administrator may bring an action for wrongful trading.</w:t>
      </w:r>
    </w:p>
    <w:p w14:paraId="76CD3F83" w14:textId="58BE7E15" w:rsidR="00D05AD8" w:rsidRDefault="00D05AD8"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78EB5395" w:rsidR="00EA3B38" w:rsidRPr="00B84055" w:rsidRDefault="0024167D" w:rsidP="00EB0B8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Pr="0024167D">
        <w:rPr>
          <w:rFonts w:ascii="Avenir Next" w:hAnsi="Avenir Next" w:cs="Arial"/>
          <w:color w:val="808080" w:themeColor="background1" w:themeShade="80"/>
          <w:sz w:val="22"/>
          <w:szCs w:val="22"/>
        </w:rPr>
        <w:t>pre-moratorium debts not subject to a payment holiday are listed in section A18(3) of the Insolvency Act 1986</w:t>
      </w:r>
      <w:r>
        <w:rPr>
          <w:rFonts w:ascii="Avenir Next" w:hAnsi="Avenir Next" w:cs="Arial"/>
          <w:color w:val="808080" w:themeColor="background1" w:themeShade="80"/>
          <w:sz w:val="22"/>
          <w:szCs w:val="22"/>
        </w:rPr>
        <w:t xml:space="preserve"> are: </w:t>
      </w:r>
      <w:r w:rsidRPr="0024167D">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 xml:space="preserve"> </w:t>
      </w:r>
      <w:r w:rsidRPr="0024167D">
        <w:rPr>
          <w:rFonts w:ascii="Avenir Next" w:hAnsi="Avenir Next" w:cs="Arial"/>
          <w:color w:val="808080" w:themeColor="background1" w:themeShade="80"/>
          <w:sz w:val="22"/>
          <w:szCs w:val="22"/>
        </w:rPr>
        <w:t>the monitor’s remuneration or expenses</w:t>
      </w:r>
      <w:r>
        <w:rPr>
          <w:rFonts w:ascii="Avenir Next" w:hAnsi="Avenir Next" w:cs="Arial"/>
          <w:color w:val="808080" w:themeColor="background1" w:themeShade="80"/>
          <w:sz w:val="22"/>
          <w:szCs w:val="22"/>
        </w:rPr>
        <w:t xml:space="preserve">; </w:t>
      </w:r>
      <w:r w:rsidRPr="0024167D">
        <w:rPr>
          <w:rFonts w:ascii="Avenir Next" w:hAnsi="Avenir Next" w:cs="Arial"/>
          <w:color w:val="808080" w:themeColor="background1" w:themeShade="80"/>
          <w:sz w:val="22"/>
          <w:szCs w:val="22"/>
        </w:rPr>
        <w:t>(b)</w:t>
      </w:r>
      <w:r>
        <w:rPr>
          <w:rFonts w:ascii="Avenir Next" w:hAnsi="Avenir Next" w:cs="Arial"/>
          <w:color w:val="808080" w:themeColor="background1" w:themeShade="80"/>
          <w:sz w:val="22"/>
          <w:szCs w:val="22"/>
        </w:rPr>
        <w:t xml:space="preserve"> </w:t>
      </w:r>
      <w:r w:rsidRPr="0024167D">
        <w:rPr>
          <w:rFonts w:ascii="Avenir Next" w:hAnsi="Avenir Next" w:cs="Arial"/>
          <w:color w:val="808080" w:themeColor="background1" w:themeShade="80"/>
          <w:sz w:val="22"/>
          <w:szCs w:val="22"/>
        </w:rPr>
        <w:t>goods or services supplied during the moratorium</w:t>
      </w:r>
      <w:r>
        <w:rPr>
          <w:rFonts w:ascii="Avenir Next" w:hAnsi="Avenir Next" w:cs="Arial"/>
          <w:color w:val="808080" w:themeColor="background1" w:themeShade="80"/>
          <w:sz w:val="22"/>
          <w:szCs w:val="22"/>
        </w:rPr>
        <w:t xml:space="preserve">; </w:t>
      </w:r>
      <w:r w:rsidRPr="0024167D">
        <w:rPr>
          <w:rFonts w:ascii="Avenir Next" w:hAnsi="Avenir Next" w:cs="Arial"/>
          <w:color w:val="808080" w:themeColor="background1" w:themeShade="80"/>
          <w:sz w:val="22"/>
          <w:szCs w:val="22"/>
        </w:rPr>
        <w:t>(c)</w:t>
      </w:r>
      <w:r>
        <w:rPr>
          <w:rFonts w:ascii="Avenir Next" w:hAnsi="Avenir Next" w:cs="Arial"/>
          <w:color w:val="808080" w:themeColor="background1" w:themeShade="80"/>
          <w:sz w:val="22"/>
          <w:szCs w:val="22"/>
        </w:rPr>
        <w:t xml:space="preserve"> </w:t>
      </w:r>
      <w:r w:rsidRPr="0024167D">
        <w:rPr>
          <w:rFonts w:ascii="Avenir Next" w:hAnsi="Avenir Next" w:cs="Arial"/>
          <w:color w:val="808080" w:themeColor="background1" w:themeShade="80"/>
          <w:sz w:val="22"/>
          <w:szCs w:val="22"/>
        </w:rPr>
        <w:t>rent in respect of a period during the moratorium</w:t>
      </w:r>
      <w:r>
        <w:rPr>
          <w:rFonts w:ascii="Avenir Next" w:hAnsi="Avenir Next" w:cs="Arial"/>
          <w:color w:val="808080" w:themeColor="background1" w:themeShade="80"/>
          <w:sz w:val="22"/>
          <w:szCs w:val="22"/>
        </w:rPr>
        <w:t xml:space="preserve">; </w:t>
      </w:r>
      <w:r w:rsidRPr="0024167D">
        <w:rPr>
          <w:rFonts w:ascii="Avenir Next" w:hAnsi="Avenir Next" w:cs="Arial"/>
          <w:color w:val="808080" w:themeColor="background1" w:themeShade="80"/>
          <w:sz w:val="22"/>
          <w:szCs w:val="22"/>
        </w:rPr>
        <w:t>(d)</w:t>
      </w:r>
      <w:r>
        <w:rPr>
          <w:rFonts w:ascii="Avenir Next" w:hAnsi="Avenir Next" w:cs="Arial"/>
          <w:color w:val="808080" w:themeColor="background1" w:themeShade="80"/>
          <w:sz w:val="22"/>
          <w:szCs w:val="22"/>
        </w:rPr>
        <w:t xml:space="preserve"> </w:t>
      </w:r>
      <w:r w:rsidRPr="0024167D">
        <w:rPr>
          <w:rFonts w:ascii="Avenir Next" w:hAnsi="Avenir Next" w:cs="Arial"/>
          <w:color w:val="808080" w:themeColor="background1" w:themeShade="80"/>
          <w:sz w:val="22"/>
          <w:szCs w:val="22"/>
        </w:rPr>
        <w:t>wages or salary arising under a contract of employment</w:t>
      </w:r>
      <w:r>
        <w:rPr>
          <w:rFonts w:ascii="Avenir Next" w:hAnsi="Avenir Next" w:cs="Arial"/>
          <w:color w:val="808080" w:themeColor="background1" w:themeShade="80"/>
          <w:sz w:val="22"/>
          <w:szCs w:val="22"/>
        </w:rPr>
        <w:t xml:space="preserve">;  </w:t>
      </w:r>
      <w:r w:rsidRPr="0024167D">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 xml:space="preserve"> </w:t>
      </w:r>
      <w:r w:rsidRPr="0024167D">
        <w:rPr>
          <w:rFonts w:ascii="Avenir Next" w:hAnsi="Avenir Next" w:cs="Arial"/>
          <w:color w:val="808080" w:themeColor="background1" w:themeShade="80"/>
          <w:sz w:val="22"/>
          <w:szCs w:val="22"/>
        </w:rPr>
        <w:t>redundancy payments</w:t>
      </w:r>
      <w:r>
        <w:rPr>
          <w:rFonts w:ascii="Avenir Next" w:hAnsi="Avenir Next" w:cs="Arial"/>
          <w:color w:val="808080" w:themeColor="background1" w:themeShade="80"/>
          <w:sz w:val="22"/>
          <w:szCs w:val="22"/>
        </w:rPr>
        <w:t>;</w:t>
      </w:r>
      <w:r w:rsidRPr="0024167D">
        <w:rPr>
          <w:rFonts w:ascii="Avenir Next" w:hAnsi="Avenir Next" w:cs="Arial"/>
          <w:color w:val="808080" w:themeColor="background1" w:themeShade="80"/>
          <w:sz w:val="22"/>
          <w:szCs w:val="22"/>
        </w:rPr>
        <w:t xml:space="preserve"> or</w:t>
      </w:r>
      <w:r>
        <w:rPr>
          <w:rFonts w:ascii="Avenir Next" w:hAnsi="Avenir Next" w:cs="Arial"/>
          <w:color w:val="808080" w:themeColor="background1" w:themeShade="80"/>
          <w:sz w:val="22"/>
          <w:szCs w:val="22"/>
        </w:rPr>
        <w:t xml:space="preserve"> </w:t>
      </w:r>
      <w:r w:rsidRPr="0024167D">
        <w:rPr>
          <w:rFonts w:ascii="Avenir Next" w:hAnsi="Avenir Next" w:cs="Arial"/>
          <w:color w:val="808080" w:themeColor="background1" w:themeShade="80"/>
          <w:sz w:val="22"/>
          <w:szCs w:val="22"/>
        </w:rPr>
        <w:t>(f)</w:t>
      </w:r>
      <w:r>
        <w:rPr>
          <w:rFonts w:ascii="Avenir Next" w:hAnsi="Avenir Next" w:cs="Arial"/>
          <w:color w:val="808080" w:themeColor="background1" w:themeShade="80"/>
          <w:sz w:val="22"/>
          <w:szCs w:val="22"/>
        </w:rPr>
        <w:t xml:space="preserve"> </w:t>
      </w:r>
      <w:r w:rsidRPr="0024167D">
        <w:rPr>
          <w:rFonts w:ascii="Avenir Next" w:hAnsi="Avenir Next" w:cs="Arial"/>
          <w:color w:val="808080" w:themeColor="background1" w:themeShade="80"/>
          <w:sz w:val="22"/>
          <w:szCs w:val="22"/>
        </w:rPr>
        <w:t>debts or other liabilities arising under a contract or other instrument involving financial services.</w:t>
      </w:r>
      <w:r w:rsidR="00BC2DF4">
        <w:rPr>
          <w:rFonts w:ascii="Avenir Next" w:hAnsi="Avenir Next" w:cs="Arial"/>
          <w:color w:val="808080" w:themeColor="background1" w:themeShade="80"/>
          <w:sz w:val="22"/>
          <w:szCs w:val="22"/>
        </w:rPr>
        <w:t xml:space="preserve"> </w:t>
      </w:r>
      <w:r w:rsidR="00EB0B88">
        <w:rPr>
          <w:rFonts w:ascii="Avenir Next" w:hAnsi="Avenir Next" w:cs="Arial"/>
          <w:color w:val="808080" w:themeColor="background1" w:themeShade="80"/>
          <w:sz w:val="22"/>
          <w:szCs w:val="22"/>
        </w:rPr>
        <w:t>In addition, moratorium debts such as (a) a</w:t>
      </w:r>
      <w:r w:rsidR="00EB0B88" w:rsidRPr="00EB0B88">
        <w:rPr>
          <w:rFonts w:ascii="Avenir Next" w:hAnsi="Avenir Next" w:cs="Arial"/>
          <w:color w:val="808080" w:themeColor="background1" w:themeShade="80"/>
          <w:sz w:val="22"/>
          <w:szCs w:val="22"/>
        </w:rPr>
        <w:t>ny debt or other liability to which the company becomes subject during the moratorium, other than by reason of an obligation incurred before the moratorium came into force</w:t>
      </w:r>
      <w:r w:rsidR="00EB0B88">
        <w:rPr>
          <w:rFonts w:ascii="Avenir Next" w:hAnsi="Avenir Next" w:cs="Arial"/>
          <w:color w:val="808080" w:themeColor="background1" w:themeShade="80"/>
          <w:sz w:val="22"/>
          <w:szCs w:val="22"/>
        </w:rPr>
        <w:t>; and (b) a</w:t>
      </w:r>
      <w:r w:rsidR="00EB0B88" w:rsidRPr="00EB0B88">
        <w:rPr>
          <w:rFonts w:ascii="Avenir Next" w:hAnsi="Avenir Next" w:cs="Arial"/>
          <w:color w:val="808080" w:themeColor="background1" w:themeShade="80"/>
          <w:sz w:val="22"/>
          <w:szCs w:val="22"/>
        </w:rPr>
        <w:t>ny debt or other liability to which the company has become or may become subject after the end of the moratorium by reason of an obligation incurred during the moratorium</w:t>
      </w:r>
      <w:r w:rsidR="00EB0B88">
        <w:rPr>
          <w:rFonts w:ascii="Avenir Next" w:hAnsi="Avenir Next" w:cs="Arial"/>
          <w:color w:val="808080" w:themeColor="background1" w:themeShade="80"/>
          <w:sz w:val="22"/>
          <w:szCs w:val="22"/>
        </w:rPr>
        <w:t xml:space="preserve"> need to be paid as they fall due.</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585E0D0D" w14:textId="0275D17D" w:rsidR="00A753D0" w:rsidRDefault="00A753D0" w:rsidP="001B507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Yes, the administrator can require suppliers to continue </w:t>
      </w:r>
      <w:r w:rsidR="00B02C20">
        <w:rPr>
          <w:rFonts w:ascii="Avenir Next" w:hAnsi="Avenir Next" w:cs="Arial"/>
          <w:color w:val="808080" w:themeColor="background1" w:themeShade="80"/>
          <w:sz w:val="22"/>
          <w:szCs w:val="22"/>
        </w:rPr>
        <w:t xml:space="preserve">supplying the goods and services </w:t>
      </w:r>
      <w:r>
        <w:rPr>
          <w:rFonts w:ascii="Avenir Next" w:hAnsi="Avenir Next" w:cs="Arial"/>
          <w:color w:val="808080" w:themeColor="background1" w:themeShade="80"/>
          <w:sz w:val="22"/>
          <w:szCs w:val="22"/>
        </w:rPr>
        <w:t xml:space="preserve">in the administration. </w:t>
      </w:r>
    </w:p>
    <w:p w14:paraId="6B4FED6A" w14:textId="7453DA11" w:rsidR="00A753D0" w:rsidRDefault="00A753D0" w:rsidP="001B5070">
      <w:pPr>
        <w:jc w:val="both"/>
        <w:rPr>
          <w:rFonts w:ascii="Avenir Next" w:hAnsi="Avenir Next" w:cs="Arial"/>
          <w:color w:val="808080" w:themeColor="background1" w:themeShade="80"/>
          <w:sz w:val="22"/>
          <w:szCs w:val="22"/>
        </w:rPr>
      </w:pPr>
    </w:p>
    <w:p w14:paraId="4FE1A101" w14:textId="75B76CB2" w:rsidR="00A753D0" w:rsidRDefault="00A753D0" w:rsidP="001B507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Pursuant to</w:t>
      </w:r>
      <w:r w:rsidRPr="00A753D0">
        <w:rPr>
          <w:rFonts w:ascii="Avenir Next" w:hAnsi="Avenir Next" w:cs="Arial"/>
          <w:color w:val="808080" w:themeColor="background1" w:themeShade="80"/>
          <w:sz w:val="22"/>
          <w:szCs w:val="22"/>
        </w:rPr>
        <w:t xml:space="preserve"> s 233(2)(b) of the </w:t>
      </w:r>
      <w:r w:rsidR="00B02C20">
        <w:rPr>
          <w:rFonts w:ascii="Avenir Next" w:hAnsi="Avenir Next" w:cs="Arial"/>
          <w:color w:val="808080" w:themeColor="background1" w:themeShade="80"/>
          <w:sz w:val="22"/>
          <w:szCs w:val="22"/>
        </w:rPr>
        <w:t>of the Insolvency Act 1986</w:t>
      </w:r>
      <w:r>
        <w:rPr>
          <w:rFonts w:ascii="Avenir Next" w:hAnsi="Avenir Next" w:cs="Arial"/>
          <w:color w:val="808080" w:themeColor="background1" w:themeShade="80"/>
          <w:sz w:val="22"/>
          <w:szCs w:val="22"/>
        </w:rPr>
        <w:t>,</w:t>
      </w:r>
      <w:r w:rsidRPr="00A753D0">
        <w:rPr>
          <w:rFonts w:ascii="Avenir Next" w:hAnsi="Avenir Next" w:cs="Arial"/>
          <w:color w:val="808080" w:themeColor="background1" w:themeShade="80"/>
          <w:sz w:val="22"/>
          <w:szCs w:val="22"/>
        </w:rPr>
        <w:t xml:space="preserve"> if the administrator makes a request for the supply of gas, water, electricity or communications services (as defined in s 233(3) to 233(3A) of the Act) (“essential goods and services”), the supplier is not allowed to “make it a condition of the giving of the supply, or do anything which has the effect of making it a condition of the giving of the supply, that any outstanding charges in respect of a supply given to the company before the effective date are paid”. </w:t>
      </w:r>
      <w:r>
        <w:rPr>
          <w:rFonts w:ascii="Avenir Next" w:hAnsi="Avenir Next" w:cs="Arial"/>
          <w:color w:val="808080" w:themeColor="background1" w:themeShade="80"/>
          <w:sz w:val="22"/>
          <w:szCs w:val="22"/>
        </w:rPr>
        <w:t xml:space="preserve">However, according to </w:t>
      </w:r>
      <w:r w:rsidRPr="00A753D0">
        <w:rPr>
          <w:rFonts w:ascii="Avenir Next" w:hAnsi="Avenir Next" w:cs="Arial"/>
          <w:color w:val="808080" w:themeColor="background1" w:themeShade="80"/>
          <w:sz w:val="22"/>
          <w:szCs w:val="22"/>
        </w:rPr>
        <w:t xml:space="preserve">s 233(2)(a) of the Act, the supplier may make it a condition that </w:t>
      </w:r>
      <w:r>
        <w:rPr>
          <w:rFonts w:ascii="Avenir Next" w:hAnsi="Avenir Next" w:cs="Arial"/>
          <w:color w:val="808080" w:themeColor="background1" w:themeShade="80"/>
          <w:sz w:val="22"/>
          <w:szCs w:val="22"/>
        </w:rPr>
        <w:t xml:space="preserve">the </w:t>
      </w:r>
      <w:r w:rsidRPr="00A753D0">
        <w:rPr>
          <w:rFonts w:ascii="Avenir Next" w:hAnsi="Avenir Next" w:cs="Arial"/>
          <w:color w:val="808080" w:themeColor="background1" w:themeShade="80"/>
          <w:sz w:val="22"/>
          <w:szCs w:val="22"/>
        </w:rPr>
        <w:t>administrator personally guarantees the payment of any charges in respect of the supply.</w:t>
      </w:r>
    </w:p>
    <w:p w14:paraId="2A6EC69E" w14:textId="77777777" w:rsidR="00A753D0" w:rsidRDefault="00A753D0" w:rsidP="001B5070">
      <w:pPr>
        <w:jc w:val="both"/>
        <w:rPr>
          <w:rFonts w:ascii="Avenir Next" w:hAnsi="Avenir Next" w:cs="Arial"/>
          <w:color w:val="808080" w:themeColor="background1" w:themeShade="80"/>
          <w:sz w:val="22"/>
          <w:szCs w:val="22"/>
        </w:rPr>
      </w:pPr>
    </w:p>
    <w:p w14:paraId="0770EFD5" w14:textId="7E284DD6" w:rsidR="00EA3B38" w:rsidRDefault="00A753D0" w:rsidP="00A753D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Next, under </w:t>
      </w:r>
      <w:r w:rsidRPr="00A753D0">
        <w:rPr>
          <w:rFonts w:ascii="Avenir Next" w:hAnsi="Avenir Next" w:cs="Arial"/>
          <w:color w:val="808080" w:themeColor="background1" w:themeShade="80"/>
          <w:sz w:val="22"/>
          <w:szCs w:val="22"/>
        </w:rPr>
        <w:t>s 233A(1) of the Act</w:t>
      </w:r>
      <w:r>
        <w:rPr>
          <w:rFonts w:ascii="Avenir Next" w:hAnsi="Avenir Next" w:cs="Arial"/>
          <w:color w:val="808080" w:themeColor="background1" w:themeShade="80"/>
          <w:sz w:val="22"/>
          <w:szCs w:val="22"/>
        </w:rPr>
        <w:t xml:space="preserve">, </w:t>
      </w:r>
      <w:r w:rsidRPr="00A753D0">
        <w:rPr>
          <w:rFonts w:ascii="Avenir Next" w:hAnsi="Avenir Next" w:cs="Arial"/>
          <w:color w:val="808080" w:themeColor="background1" w:themeShade="80"/>
          <w:sz w:val="22"/>
          <w:szCs w:val="22"/>
        </w:rPr>
        <w:t xml:space="preserve">an “insolvency-related term” in a contract for the supply of essential goods and services will cease to have effect if the company enters administration. </w:t>
      </w:r>
      <w:r>
        <w:rPr>
          <w:rFonts w:ascii="Avenir Next" w:hAnsi="Avenir Next" w:cs="Arial"/>
          <w:color w:val="808080" w:themeColor="background1" w:themeShade="80"/>
          <w:sz w:val="22"/>
          <w:szCs w:val="22"/>
        </w:rPr>
        <w:t>A</w:t>
      </w:r>
      <w:r w:rsidRPr="00A753D0">
        <w:rPr>
          <w:rFonts w:ascii="Avenir Next" w:hAnsi="Avenir Next" w:cs="Arial"/>
          <w:color w:val="808080" w:themeColor="background1" w:themeShade="80"/>
          <w:sz w:val="22"/>
          <w:szCs w:val="22"/>
        </w:rPr>
        <w:t xml:space="preserve">n “insolvency-related term” is defined in s 233A(8) of the Act </w:t>
      </w:r>
      <w:r>
        <w:rPr>
          <w:rFonts w:ascii="Avenir Next" w:hAnsi="Avenir Next" w:cs="Arial"/>
          <w:color w:val="808080" w:themeColor="background1" w:themeShade="80"/>
          <w:sz w:val="22"/>
          <w:szCs w:val="22"/>
        </w:rPr>
        <w:t>as</w:t>
      </w:r>
      <w:r w:rsidRPr="00A753D0">
        <w:rPr>
          <w:rFonts w:ascii="Avenir Next" w:hAnsi="Avenir Next" w:cs="Arial"/>
          <w:color w:val="808080" w:themeColor="background1" w:themeShade="80"/>
          <w:sz w:val="22"/>
          <w:szCs w:val="22"/>
        </w:rPr>
        <w:t xml:space="preserve"> a provision that (a) terminates the contract or provides that any other thing would take place by reason of the company entering into administration; or (b) entitles the supplier to terminate the contract or supply or to do any other thing, by reason of the company entering into administration or because of an event occurring before the administration.</w:t>
      </w:r>
      <w:r w:rsidR="00B02C20">
        <w:rPr>
          <w:rFonts w:ascii="Avenir Next" w:hAnsi="Avenir Next" w:cs="Arial"/>
          <w:color w:val="808080" w:themeColor="background1" w:themeShade="80"/>
          <w:sz w:val="22"/>
          <w:szCs w:val="22"/>
        </w:rPr>
        <w:t xml:space="preserve"> However, the supplier </w:t>
      </w:r>
      <w:r w:rsidR="00B02C20" w:rsidRPr="00B02C20">
        <w:rPr>
          <w:rFonts w:ascii="Avenir Next" w:hAnsi="Avenir Next" w:cs="Arial"/>
          <w:color w:val="808080" w:themeColor="background1" w:themeShade="80"/>
          <w:sz w:val="22"/>
          <w:szCs w:val="22"/>
        </w:rPr>
        <w:t>may still terminate the contract with the administrator’s consent, the court’s permission (if the court is satisfied that continuation of the contract would cause the supplier hardship), or if any charges incurred after the company entered administration are not paid within 28 days from the time when payment became due</w:t>
      </w:r>
      <w:r w:rsidR="00B02C20">
        <w:rPr>
          <w:rFonts w:ascii="Avenir Next" w:hAnsi="Avenir Next" w:cs="Arial"/>
          <w:color w:val="808080" w:themeColor="background1" w:themeShade="80"/>
          <w:sz w:val="22"/>
          <w:szCs w:val="22"/>
        </w:rPr>
        <w:t xml:space="preserve"> (s 233A(4))</w:t>
      </w:r>
      <w:r w:rsidR="00B02C20" w:rsidRPr="00B02C20">
        <w:rPr>
          <w:rFonts w:ascii="Avenir Next" w:hAnsi="Avenir Next" w:cs="Arial"/>
          <w:color w:val="808080" w:themeColor="background1" w:themeShade="80"/>
          <w:sz w:val="22"/>
          <w:szCs w:val="22"/>
        </w:rPr>
        <w:t>.</w:t>
      </w:r>
    </w:p>
    <w:p w14:paraId="6B3F137C" w14:textId="6DDB68EA" w:rsidR="00B02C20" w:rsidRDefault="00B02C20" w:rsidP="00A753D0">
      <w:pPr>
        <w:jc w:val="both"/>
        <w:rPr>
          <w:rFonts w:ascii="Avenir Next" w:hAnsi="Avenir Next" w:cs="Arial"/>
          <w:color w:val="808080" w:themeColor="background1" w:themeShade="80"/>
          <w:sz w:val="22"/>
          <w:szCs w:val="22"/>
        </w:rPr>
      </w:pPr>
    </w:p>
    <w:p w14:paraId="1554D65E" w14:textId="5B4B5868" w:rsidR="00B02C20" w:rsidRPr="00B84055" w:rsidRDefault="00B02C20" w:rsidP="00A753D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Finally, per s 233B(3) of the Act, </w:t>
      </w:r>
      <w:r w:rsidRPr="00B02C20">
        <w:rPr>
          <w:rFonts w:ascii="Avenir Next" w:hAnsi="Avenir Next" w:cs="Arial"/>
          <w:color w:val="808080" w:themeColor="background1" w:themeShade="80"/>
          <w:sz w:val="22"/>
          <w:szCs w:val="22"/>
        </w:rPr>
        <w:t xml:space="preserve">a provision in a contract will cease to have effect when the company enters administration if that provision would, by reason of the company’s administration, (a) terminate the contract or supply, or any other thing would take place; or (b) entitle the supplier to terminate the contract or supply, or to do any other thing. Section 233B(4) </w:t>
      </w:r>
      <w:r>
        <w:rPr>
          <w:rFonts w:ascii="Avenir Next" w:hAnsi="Avenir Next" w:cs="Arial"/>
          <w:color w:val="808080" w:themeColor="background1" w:themeShade="80"/>
          <w:sz w:val="22"/>
          <w:szCs w:val="22"/>
        </w:rPr>
        <w:t>stipulates that</w:t>
      </w:r>
      <w:r w:rsidRPr="00B02C20">
        <w:rPr>
          <w:rFonts w:ascii="Avenir Next" w:hAnsi="Avenir Next" w:cs="Arial"/>
          <w:color w:val="808080" w:themeColor="background1" w:themeShade="80"/>
          <w:sz w:val="22"/>
          <w:szCs w:val="22"/>
        </w:rPr>
        <w:t xml:space="preserve"> the supplier is entitled to terminate the contract by reason of an event occurring before the administration, </w:t>
      </w:r>
      <w:r>
        <w:rPr>
          <w:rFonts w:ascii="Avenir Next" w:hAnsi="Avenir Next" w:cs="Arial"/>
          <w:color w:val="808080" w:themeColor="background1" w:themeShade="80"/>
          <w:sz w:val="22"/>
          <w:szCs w:val="22"/>
        </w:rPr>
        <w:t xml:space="preserve">but that </w:t>
      </w:r>
      <w:r w:rsidRPr="00B02C20">
        <w:rPr>
          <w:rFonts w:ascii="Avenir Next" w:hAnsi="Avenir Next" w:cs="Arial"/>
          <w:color w:val="808080" w:themeColor="background1" w:themeShade="80"/>
          <w:sz w:val="22"/>
          <w:szCs w:val="22"/>
        </w:rPr>
        <w:t xml:space="preserve">the entitlement shall not be exercised for the period that the company is in administration. </w:t>
      </w:r>
      <w:r>
        <w:rPr>
          <w:rFonts w:ascii="Avenir Next" w:hAnsi="Avenir Next" w:cs="Arial"/>
          <w:color w:val="808080" w:themeColor="background1" w:themeShade="80"/>
          <w:sz w:val="22"/>
          <w:szCs w:val="22"/>
        </w:rPr>
        <w:t>Furthermore</w:t>
      </w:r>
      <w:r w:rsidRPr="00B02C20">
        <w:rPr>
          <w:rFonts w:ascii="Avenir Next" w:hAnsi="Avenir Next" w:cs="Arial"/>
          <w:color w:val="808080" w:themeColor="background1" w:themeShade="80"/>
          <w:sz w:val="22"/>
          <w:szCs w:val="22"/>
        </w:rPr>
        <w:t>, the supplier is not allowed to make it a condition of continued supply of goods and services after the company enters administration, or to do anything which has the effect of making it a condition of such a supply, that any outstanding charges in respect of a supply made to the company before that time are paid (s 233B(7)).</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768E8859" w:rsidR="00EA3B38" w:rsidRDefault="00FD0C9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a liquidation, the order of priority of payments is </w:t>
      </w:r>
      <w:r w:rsidR="00DF5F90" w:rsidRPr="00DF5F90">
        <w:rPr>
          <w:rFonts w:ascii="Avenir Next" w:hAnsi="Avenir Next" w:cs="Arial"/>
          <w:color w:val="808080" w:themeColor="background1" w:themeShade="80"/>
          <w:sz w:val="22"/>
          <w:szCs w:val="22"/>
        </w:rPr>
        <w:t>usually</w:t>
      </w:r>
      <w:r w:rsidR="00516DD3">
        <w:rPr>
          <w:rFonts w:ascii="Avenir Next" w:hAnsi="Avenir Next" w:cs="Arial"/>
          <w:color w:val="808080" w:themeColor="background1" w:themeShade="80"/>
          <w:sz w:val="22"/>
          <w:szCs w:val="22"/>
        </w:rPr>
        <w:t xml:space="preserve"> as follows (beginning with (a) and ending last with (f)): (a) </w:t>
      </w:r>
      <w:r w:rsidR="00DF5F90" w:rsidRPr="00DF5F90">
        <w:rPr>
          <w:rFonts w:ascii="Avenir Next" w:hAnsi="Avenir Next" w:cs="Arial"/>
          <w:color w:val="808080" w:themeColor="background1" w:themeShade="80"/>
          <w:sz w:val="22"/>
          <w:szCs w:val="22"/>
        </w:rPr>
        <w:t>holders of fixed charges outside of any formal insolvency (</w:t>
      </w:r>
      <w:proofErr w:type="spellStart"/>
      <w:r w:rsidR="00516DD3" w:rsidRPr="00516DD3">
        <w:rPr>
          <w:rFonts w:ascii="Avenir Next" w:hAnsi="Avenir Next" w:cs="Arial"/>
          <w:i/>
          <w:iCs/>
          <w:color w:val="808080" w:themeColor="background1" w:themeShade="80"/>
          <w:sz w:val="22"/>
          <w:szCs w:val="22"/>
        </w:rPr>
        <w:t>ie</w:t>
      </w:r>
      <w:proofErr w:type="spellEnd"/>
      <w:r w:rsidR="00516DD3">
        <w:rPr>
          <w:rFonts w:ascii="Avenir Next" w:hAnsi="Avenir Next" w:cs="Arial"/>
          <w:color w:val="808080" w:themeColor="background1" w:themeShade="80"/>
          <w:sz w:val="22"/>
          <w:szCs w:val="22"/>
        </w:rPr>
        <w:t xml:space="preserve">, secured creditors); (b) </w:t>
      </w:r>
      <w:r w:rsidR="00DF5F90" w:rsidRPr="00DF5F90">
        <w:rPr>
          <w:rFonts w:ascii="Avenir Next" w:hAnsi="Avenir Next" w:cs="Arial"/>
          <w:color w:val="808080" w:themeColor="background1" w:themeShade="80"/>
          <w:sz w:val="22"/>
          <w:szCs w:val="22"/>
        </w:rPr>
        <w:t>the expenses of the procedure (including the remuneration of the officeholder</w:t>
      </w:r>
      <w:r w:rsidR="00516DD3">
        <w:rPr>
          <w:rFonts w:ascii="Avenir Next" w:hAnsi="Avenir Next" w:cs="Arial"/>
          <w:color w:val="808080" w:themeColor="background1" w:themeShade="80"/>
          <w:sz w:val="22"/>
          <w:szCs w:val="22"/>
        </w:rPr>
        <w:t>s) pursuant to s 115 of the Insolvency Act 1986; (c)</w:t>
      </w:r>
      <w:r w:rsidR="00DF5F90" w:rsidRPr="00DF5F90">
        <w:rPr>
          <w:rFonts w:ascii="Avenir Next" w:hAnsi="Avenir Next" w:cs="Arial"/>
          <w:color w:val="808080" w:themeColor="background1" w:themeShade="80"/>
          <w:sz w:val="22"/>
          <w:szCs w:val="22"/>
        </w:rPr>
        <w:t xml:space="preserve"> </w:t>
      </w:r>
      <w:r w:rsidR="00B36FC1">
        <w:rPr>
          <w:rFonts w:ascii="Avenir Next" w:hAnsi="Avenir Next" w:cs="Arial"/>
          <w:color w:val="808080" w:themeColor="background1" w:themeShade="80"/>
          <w:sz w:val="22"/>
          <w:szCs w:val="22"/>
        </w:rPr>
        <w:t>p</w:t>
      </w:r>
      <w:r w:rsidR="00DF5F90" w:rsidRPr="00DF5F90">
        <w:rPr>
          <w:rFonts w:ascii="Avenir Next" w:hAnsi="Avenir Next" w:cs="Arial"/>
          <w:color w:val="808080" w:themeColor="background1" w:themeShade="80"/>
          <w:sz w:val="22"/>
          <w:szCs w:val="22"/>
        </w:rPr>
        <w:t xml:space="preserve">referential </w:t>
      </w:r>
      <w:r w:rsidR="00B36FC1">
        <w:rPr>
          <w:rFonts w:ascii="Avenir Next" w:hAnsi="Avenir Next" w:cs="Arial"/>
          <w:color w:val="808080" w:themeColor="background1" w:themeShade="80"/>
          <w:sz w:val="22"/>
          <w:szCs w:val="22"/>
        </w:rPr>
        <w:t>c</w:t>
      </w:r>
      <w:r w:rsidR="00DF5F90" w:rsidRPr="00DF5F90">
        <w:rPr>
          <w:rFonts w:ascii="Avenir Next" w:hAnsi="Avenir Next" w:cs="Arial"/>
          <w:color w:val="808080" w:themeColor="background1" w:themeShade="80"/>
          <w:sz w:val="22"/>
          <w:szCs w:val="22"/>
        </w:rPr>
        <w:t xml:space="preserve">reditors </w:t>
      </w:r>
      <w:r w:rsidR="00B36FC1">
        <w:rPr>
          <w:rFonts w:ascii="Avenir Next" w:hAnsi="Avenir Next" w:cs="Arial"/>
          <w:color w:val="808080" w:themeColor="background1" w:themeShade="80"/>
          <w:sz w:val="22"/>
          <w:szCs w:val="22"/>
        </w:rPr>
        <w:t xml:space="preserve">such as </w:t>
      </w:r>
      <w:r w:rsidR="00DF5F90" w:rsidRPr="00DF5F90">
        <w:rPr>
          <w:rFonts w:ascii="Avenir Next" w:hAnsi="Avenir Next" w:cs="Arial"/>
          <w:color w:val="808080" w:themeColor="background1" w:themeShade="80"/>
          <w:sz w:val="22"/>
          <w:szCs w:val="22"/>
        </w:rPr>
        <w:t>employees</w:t>
      </w:r>
      <w:r w:rsidR="00516DD3">
        <w:rPr>
          <w:rFonts w:ascii="Avenir Next" w:hAnsi="Avenir Next" w:cs="Arial"/>
          <w:color w:val="808080" w:themeColor="background1" w:themeShade="80"/>
          <w:sz w:val="22"/>
          <w:szCs w:val="22"/>
        </w:rPr>
        <w:t xml:space="preserve"> with unpaid wages according to s 175 of the Act; (d)</w:t>
      </w:r>
      <w:r w:rsidR="00DF5F90" w:rsidRPr="00DF5F90">
        <w:rPr>
          <w:rFonts w:ascii="Avenir Next" w:hAnsi="Avenir Next" w:cs="Arial"/>
          <w:color w:val="808080" w:themeColor="background1" w:themeShade="80"/>
          <w:sz w:val="22"/>
          <w:szCs w:val="22"/>
        </w:rPr>
        <w:t xml:space="preserve"> </w:t>
      </w:r>
      <w:r w:rsidR="00516DD3">
        <w:rPr>
          <w:rFonts w:ascii="Avenir Next" w:hAnsi="Avenir Next" w:cs="Arial"/>
          <w:color w:val="808080" w:themeColor="background1" w:themeShade="80"/>
          <w:sz w:val="22"/>
          <w:szCs w:val="22"/>
        </w:rPr>
        <w:t xml:space="preserve">holders of </w:t>
      </w:r>
      <w:r w:rsidR="00DF5F90" w:rsidRPr="00DF5F90">
        <w:rPr>
          <w:rFonts w:ascii="Avenir Next" w:hAnsi="Avenir Next" w:cs="Arial"/>
          <w:color w:val="808080" w:themeColor="background1" w:themeShade="80"/>
          <w:sz w:val="22"/>
          <w:szCs w:val="22"/>
        </w:rPr>
        <w:t>floating charge</w:t>
      </w:r>
      <w:r w:rsidR="00516DD3">
        <w:rPr>
          <w:rFonts w:ascii="Avenir Next" w:hAnsi="Avenir Next" w:cs="Arial"/>
          <w:color w:val="808080" w:themeColor="background1" w:themeShade="80"/>
          <w:sz w:val="22"/>
          <w:szCs w:val="22"/>
        </w:rPr>
        <w:t xml:space="preserve">s; (e) </w:t>
      </w:r>
      <w:r w:rsidR="00B36FC1">
        <w:rPr>
          <w:rFonts w:ascii="Avenir Next" w:hAnsi="Avenir Next" w:cs="Arial"/>
          <w:color w:val="808080" w:themeColor="background1" w:themeShade="80"/>
          <w:sz w:val="22"/>
          <w:szCs w:val="22"/>
        </w:rPr>
        <w:t>u</w:t>
      </w:r>
      <w:r w:rsidR="00DF5F90" w:rsidRPr="00DF5F90">
        <w:rPr>
          <w:rFonts w:ascii="Avenir Next" w:hAnsi="Avenir Next" w:cs="Arial"/>
          <w:color w:val="808080" w:themeColor="background1" w:themeShade="80"/>
          <w:sz w:val="22"/>
          <w:szCs w:val="22"/>
        </w:rPr>
        <w:t xml:space="preserve">nsecured </w:t>
      </w:r>
      <w:r w:rsidR="00B36FC1">
        <w:rPr>
          <w:rFonts w:ascii="Avenir Next" w:hAnsi="Avenir Next" w:cs="Arial"/>
          <w:color w:val="808080" w:themeColor="background1" w:themeShade="80"/>
          <w:sz w:val="22"/>
          <w:szCs w:val="22"/>
        </w:rPr>
        <w:t>c</w:t>
      </w:r>
      <w:r w:rsidR="00DF5F90" w:rsidRPr="00DF5F90">
        <w:rPr>
          <w:rFonts w:ascii="Avenir Next" w:hAnsi="Avenir Next" w:cs="Arial"/>
          <w:color w:val="808080" w:themeColor="background1" w:themeShade="80"/>
          <w:sz w:val="22"/>
          <w:szCs w:val="22"/>
        </w:rPr>
        <w:t>reditors</w:t>
      </w:r>
      <w:r w:rsidR="00516DD3">
        <w:rPr>
          <w:rFonts w:ascii="Avenir Next" w:hAnsi="Avenir Next" w:cs="Arial"/>
          <w:color w:val="808080" w:themeColor="background1" w:themeShade="80"/>
          <w:sz w:val="22"/>
          <w:szCs w:val="22"/>
        </w:rPr>
        <w:t>; and (f) shareholders</w:t>
      </w:r>
      <w:r w:rsidR="00B36FC1">
        <w:rPr>
          <w:rFonts w:ascii="Avenir Next" w:hAnsi="Avenir Next" w:cs="Arial"/>
          <w:color w:val="808080" w:themeColor="background1" w:themeShade="80"/>
          <w:sz w:val="22"/>
          <w:szCs w:val="22"/>
        </w:rPr>
        <w:t>.</w:t>
      </w:r>
    </w:p>
    <w:p w14:paraId="07415EA4" w14:textId="71D866AF" w:rsidR="00516DD3" w:rsidRDefault="00516DD3" w:rsidP="00EA3B38">
      <w:pPr>
        <w:jc w:val="both"/>
        <w:rPr>
          <w:rFonts w:ascii="Avenir Next" w:hAnsi="Avenir Next" w:cs="Arial"/>
          <w:color w:val="808080" w:themeColor="background1" w:themeShade="80"/>
          <w:sz w:val="22"/>
          <w:szCs w:val="22"/>
        </w:rPr>
      </w:pPr>
    </w:p>
    <w:p w14:paraId="15E82EC1" w14:textId="049EDE2B" w:rsidR="00516DD3" w:rsidRDefault="00516DD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For a fixed charge holder, the nature of the right of the mortgage or charge over the asset(s) of a debtor is one which holds priority over all else and </w:t>
      </w:r>
      <w:r>
        <w:rPr>
          <w:rFonts w:ascii="Avenir Next" w:hAnsi="Avenir Next" w:cs="Arial"/>
          <w:color w:val="808080" w:themeColor="background1" w:themeShade="80"/>
          <w:sz w:val="22"/>
          <w:szCs w:val="22"/>
        </w:rPr>
        <w:t>fixes or attaches to a particular asset</w:t>
      </w:r>
      <w:r>
        <w:rPr>
          <w:rFonts w:ascii="Avenir Next" w:hAnsi="Avenir Next" w:cs="Arial"/>
          <w:color w:val="808080" w:themeColor="background1" w:themeShade="80"/>
          <w:sz w:val="22"/>
          <w:szCs w:val="22"/>
        </w:rPr>
        <w:t xml:space="preserve"> or a class of assets. </w:t>
      </w:r>
    </w:p>
    <w:p w14:paraId="5DBDBD9C" w14:textId="531FE708" w:rsidR="00516DD3" w:rsidRDefault="00516DD3" w:rsidP="00EA3B38">
      <w:pPr>
        <w:jc w:val="both"/>
        <w:rPr>
          <w:rFonts w:ascii="Avenir Next" w:hAnsi="Avenir Next" w:cs="Arial"/>
          <w:color w:val="808080" w:themeColor="background1" w:themeShade="80"/>
          <w:sz w:val="22"/>
          <w:szCs w:val="22"/>
        </w:rPr>
      </w:pPr>
    </w:p>
    <w:p w14:paraId="5B09F4CA" w14:textId="14E417BC" w:rsidR="00516DD3" w:rsidRDefault="00516DD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With the remuneration of liquidation expenses, the right is statutorily conferred under s 115 of the Act as a result of the policy imperative to ensure that the costs of the administration of the liquidation is properly met. The same is the case for the right held by preferential </w:t>
      </w:r>
      <w:r>
        <w:rPr>
          <w:rFonts w:ascii="Avenir Next" w:hAnsi="Avenir Next" w:cs="Arial"/>
          <w:color w:val="808080" w:themeColor="background1" w:themeShade="80"/>
          <w:sz w:val="22"/>
          <w:szCs w:val="22"/>
        </w:rPr>
        <w:lastRenderedPageBreak/>
        <w:t xml:space="preserve">creditors as this is provided for in s 175 of the Act. The preferential creditors comprise </w:t>
      </w:r>
      <w:r w:rsidRPr="00516DD3">
        <w:rPr>
          <w:rFonts w:ascii="Avenir Next" w:hAnsi="Avenir Next" w:cs="Arial"/>
          <w:i/>
          <w:iCs/>
          <w:color w:val="808080" w:themeColor="background1" w:themeShade="80"/>
          <w:sz w:val="22"/>
          <w:szCs w:val="22"/>
        </w:rPr>
        <w:t xml:space="preserve">inter </w:t>
      </w:r>
      <w:proofErr w:type="spellStart"/>
      <w:r w:rsidRPr="00516DD3">
        <w:rPr>
          <w:rFonts w:ascii="Avenir Next" w:hAnsi="Avenir Next" w:cs="Arial"/>
          <w:i/>
          <w:iCs/>
          <w:color w:val="808080" w:themeColor="background1" w:themeShade="80"/>
          <w:sz w:val="22"/>
          <w:szCs w:val="22"/>
        </w:rPr>
        <w:t>alia</w:t>
      </w:r>
      <w:r>
        <w:rPr>
          <w:rFonts w:ascii="Avenir Next" w:hAnsi="Avenir Next" w:cs="Arial"/>
          <w:color w:val="808080" w:themeColor="background1" w:themeShade="80"/>
          <w:sz w:val="22"/>
          <w:szCs w:val="22"/>
        </w:rPr>
        <w:t xml:space="preserve"> limite</w:t>
      </w:r>
      <w:proofErr w:type="spellEnd"/>
      <w:r>
        <w:rPr>
          <w:rFonts w:ascii="Avenir Next" w:hAnsi="Avenir Next" w:cs="Arial"/>
          <w:color w:val="808080" w:themeColor="background1" w:themeShade="80"/>
          <w:sz w:val="22"/>
          <w:szCs w:val="22"/>
        </w:rPr>
        <w:t>d pension claims by employees and taxation liabilities. There are similarly strong public interest considerations in ensuring their priority in the payment of debts.</w:t>
      </w:r>
    </w:p>
    <w:p w14:paraId="78097583" w14:textId="7250390A" w:rsidR="00516DD3" w:rsidRDefault="00516DD3" w:rsidP="00EA3B38">
      <w:pPr>
        <w:jc w:val="both"/>
        <w:rPr>
          <w:rFonts w:ascii="Avenir Next" w:hAnsi="Avenir Next" w:cs="Arial"/>
          <w:color w:val="808080" w:themeColor="background1" w:themeShade="80"/>
          <w:sz w:val="22"/>
          <w:szCs w:val="22"/>
        </w:rPr>
      </w:pPr>
    </w:p>
    <w:p w14:paraId="0AA91A77" w14:textId="0D6F4AE3" w:rsidR="00516DD3" w:rsidRDefault="00516DD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Within the category of floating charge holders, the priority between holders in the same category turns on when the charge was created. If the floating charge was created on or after 15 September 2003, </w:t>
      </w:r>
      <w:r>
        <w:rPr>
          <w:rFonts w:ascii="Avenir Next" w:hAnsi="Avenir Next" w:cs="Arial"/>
          <w:color w:val="808080" w:themeColor="background1" w:themeShade="80"/>
          <w:sz w:val="22"/>
          <w:szCs w:val="22"/>
        </w:rPr>
        <w:t xml:space="preserve">the liquidator or administrator </w:t>
      </w:r>
      <w:r>
        <w:rPr>
          <w:rFonts w:ascii="Avenir Next" w:hAnsi="Avenir Next" w:cs="Arial"/>
          <w:color w:val="808080" w:themeColor="background1" w:themeShade="80"/>
          <w:sz w:val="22"/>
          <w:szCs w:val="22"/>
        </w:rPr>
        <w:t>holds</w:t>
      </w:r>
      <w:r>
        <w:rPr>
          <w:rFonts w:ascii="Avenir Next" w:hAnsi="Avenir Next" w:cs="Arial"/>
          <w:color w:val="808080" w:themeColor="background1" w:themeShade="80"/>
          <w:sz w:val="22"/>
          <w:szCs w:val="22"/>
        </w:rPr>
        <w:t xml:space="preserve"> a duty to make a prescribed part of the company’s net property available for the satisfaction of unsecured debts and must not distribute any of this prescribed part to a floating charge holder except insofar as it is in excess of the amount required to satisfy all the unsecured debts</w:t>
      </w:r>
      <w:r>
        <w:rPr>
          <w:rFonts w:ascii="Avenir Next" w:hAnsi="Avenir Next" w:cs="Arial"/>
          <w:color w:val="808080" w:themeColor="background1" w:themeShade="80"/>
          <w:sz w:val="22"/>
          <w:szCs w:val="22"/>
        </w:rPr>
        <w:t xml:space="preserve"> (s 176A(2) of the Act)</w:t>
      </w:r>
      <w:r>
        <w:rPr>
          <w:rFonts w:ascii="Avenir Next" w:hAnsi="Avenir Next" w:cs="Arial"/>
          <w:color w:val="808080" w:themeColor="background1" w:themeShade="80"/>
          <w:sz w:val="22"/>
          <w:szCs w:val="22"/>
        </w:rPr>
        <w:t>.</w:t>
      </w:r>
    </w:p>
    <w:p w14:paraId="019893CD" w14:textId="556ACED4" w:rsidR="00516DD3" w:rsidRDefault="00516DD3" w:rsidP="00EA3B38">
      <w:pPr>
        <w:jc w:val="both"/>
        <w:rPr>
          <w:rFonts w:ascii="Avenir Next" w:hAnsi="Avenir Next" w:cs="Arial"/>
          <w:color w:val="808080" w:themeColor="background1" w:themeShade="80"/>
          <w:sz w:val="22"/>
          <w:szCs w:val="22"/>
        </w:rPr>
      </w:pPr>
    </w:p>
    <w:p w14:paraId="7D8D6D0F" w14:textId="376F8552" w:rsidR="00516DD3" w:rsidRDefault="00516DD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Finally, the unsecured creditors and the shareholders have a stake in the </w:t>
      </w:r>
      <w:r>
        <w:rPr>
          <w:rFonts w:ascii="Avenir Next" w:hAnsi="Avenir Next" w:cs="Arial"/>
          <w:color w:val="808080" w:themeColor="background1" w:themeShade="80"/>
          <w:sz w:val="22"/>
          <w:szCs w:val="22"/>
        </w:rPr>
        <w:t xml:space="preserve">limited </w:t>
      </w:r>
      <w:r>
        <w:rPr>
          <w:rFonts w:ascii="Avenir Next" w:hAnsi="Avenir Next" w:cs="Arial"/>
          <w:color w:val="808080" w:themeColor="background1" w:themeShade="80"/>
          <w:sz w:val="22"/>
          <w:szCs w:val="22"/>
        </w:rPr>
        <w:t>remaining assets.</w:t>
      </w:r>
    </w:p>
    <w:p w14:paraId="5F43DCB4" w14:textId="4976D8DB" w:rsidR="00E65401" w:rsidRDefault="00E65401" w:rsidP="00EA3B38">
      <w:pPr>
        <w:jc w:val="both"/>
        <w:rPr>
          <w:rFonts w:ascii="Avenir Next" w:hAnsi="Avenir Next" w:cs="Arial"/>
          <w:color w:val="808080" w:themeColor="background1" w:themeShade="80"/>
          <w:sz w:val="22"/>
          <w:szCs w:val="22"/>
        </w:rPr>
      </w:pPr>
    </w:p>
    <w:p w14:paraId="6F6A1FE0" w14:textId="46CB22D2" w:rsidR="00E65401" w:rsidRPr="00B84055" w:rsidRDefault="00E6540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company had been subject to a Part A1 moratorium during the 12 weeks prior to the commencement of the liquidation, </w:t>
      </w:r>
      <w:r w:rsidR="00516DD3">
        <w:rPr>
          <w:rFonts w:ascii="Avenir Next" w:hAnsi="Avenir Next" w:cs="Arial"/>
          <w:color w:val="808080" w:themeColor="background1" w:themeShade="80"/>
          <w:sz w:val="22"/>
          <w:szCs w:val="22"/>
        </w:rPr>
        <w:t>a</w:t>
      </w:r>
      <w:r w:rsidR="00CE5993" w:rsidRPr="00CE5993">
        <w:rPr>
          <w:rFonts w:ascii="Avenir Next" w:hAnsi="Avenir Next" w:cs="Arial"/>
          <w:color w:val="808080" w:themeColor="background1" w:themeShade="80"/>
          <w:sz w:val="22"/>
          <w:szCs w:val="22"/>
        </w:rPr>
        <w:t>ny employees whose contracts are adopted by being kept on by the administrator for at least 14 days are entitled to super priority for sums owed them for the period after the adoption</w:t>
      </w:r>
      <w:r w:rsidR="00516DD3">
        <w:rPr>
          <w:rFonts w:ascii="Avenir Next" w:hAnsi="Avenir Next" w:cs="Arial"/>
          <w:color w:val="808080" w:themeColor="background1" w:themeShade="80"/>
          <w:sz w:val="22"/>
          <w:szCs w:val="22"/>
        </w:rPr>
        <w:t xml:space="preserve"> (s 174A of the Act)</w:t>
      </w:r>
      <w:r w:rsidR="00CE5993" w:rsidRPr="00CE5993">
        <w:rPr>
          <w:rFonts w:ascii="Avenir Next" w:hAnsi="Avenir Next" w:cs="Arial"/>
          <w:color w:val="808080" w:themeColor="background1" w:themeShade="80"/>
          <w:sz w:val="22"/>
          <w:szCs w:val="22"/>
        </w:rPr>
        <w:t xml:space="preserve">. </w:t>
      </w:r>
      <w:r w:rsidR="00516DD3">
        <w:rPr>
          <w:rFonts w:ascii="Avenir Next" w:hAnsi="Avenir Next" w:cs="Arial"/>
          <w:color w:val="808080" w:themeColor="background1" w:themeShade="80"/>
          <w:sz w:val="22"/>
          <w:szCs w:val="22"/>
        </w:rPr>
        <w:t xml:space="preserve">In addition, a </w:t>
      </w:r>
      <w:r w:rsidR="00CE5993" w:rsidRPr="00CE5993">
        <w:rPr>
          <w:rFonts w:ascii="Avenir Next" w:hAnsi="Avenir Next" w:cs="Arial"/>
          <w:color w:val="808080" w:themeColor="background1" w:themeShade="80"/>
          <w:sz w:val="22"/>
          <w:szCs w:val="22"/>
        </w:rPr>
        <w:t>party who has contracted with the company in administration, such as a lender who has provided funding, is also entitled to super priority</w:t>
      </w:r>
      <w:r w:rsidR="00516DD3">
        <w:rPr>
          <w:rFonts w:ascii="Avenir Next" w:hAnsi="Avenir Next" w:cs="Arial"/>
          <w:color w:val="808080" w:themeColor="background1" w:themeShade="80"/>
          <w:sz w:val="22"/>
          <w:szCs w:val="22"/>
        </w:rPr>
        <w:t xml:space="preserve"> where </w:t>
      </w:r>
      <w:r w:rsidR="00CE5993" w:rsidRPr="00CE5993">
        <w:rPr>
          <w:rFonts w:ascii="Avenir Next" w:hAnsi="Avenir Next" w:cs="Arial"/>
          <w:color w:val="808080" w:themeColor="background1" w:themeShade="80"/>
          <w:sz w:val="22"/>
          <w:szCs w:val="22"/>
        </w:rPr>
        <w:t>these liabilities are paid out ahead of the administrator’s own remuneration.</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lastRenderedPageBreak/>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022D96C0" w14:textId="77777777" w:rsidR="0066210F" w:rsidRDefault="00B02C20" w:rsidP="0066210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relation to the floating charge granted in February 2022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plc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over the whole of the Company’s undertaking, </w:t>
      </w:r>
      <w:r>
        <w:rPr>
          <w:rFonts w:ascii="Avenir Next" w:hAnsi="Avenir Next" w:cs="Arial"/>
          <w:color w:val="808080" w:themeColor="background1" w:themeShade="80"/>
          <w:sz w:val="22"/>
          <w:szCs w:val="22"/>
        </w:rPr>
        <w:t>the liquidator may commence an</w:t>
      </w:r>
      <w:r>
        <w:rPr>
          <w:rFonts w:ascii="Avenir Next" w:hAnsi="Avenir Next" w:cs="Arial"/>
          <w:color w:val="808080" w:themeColor="background1" w:themeShade="80"/>
          <w:sz w:val="22"/>
          <w:szCs w:val="22"/>
        </w:rPr>
        <w:t xml:space="preserve"> </w:t>
      </w:r>
      <w:r w:rsidRPr="00B02C20">
        <w:rPr>
          <w:rFonts w:ascii="Avenir Next" w:hAnsi="Avenir Next" w:cs="Arial"/>
          <w:color w:val="808080" w:themeColor="background1" w:themeShade="80"/>
          <w:sz w:val="22"/>
          <w:szCs w:val="22"/>
        </w:rPr>
        <w:t>action to avoid the floating charge</w:t>
      </w:r>
      <w:r w:rsidRPr="00B02C20">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p>
    <w:p w14:paraId="66243A95" w14:textId="77777777" w:rsidR="0066210F" w:rsidRDefault="0066210F" w:rsidP="0066210F">
      <w:pPr>
        <w:jc w:val="both"/>
        <w:rPr>
          <w:rFonts w:ascii="Avenir Next" w:hAnsi="Avenir Next" w:cs="Arial"/>
          <w:color w:val="808080" w:themeColor="background1" w:themeShade="80"/>
          <w:sz w:val="22"/>
          <w:szCs w:val="22"/>
        </w:rPr>
      </w:pPr>
    </w:p>
    <w:p w14:paraId="6A09FAD0" w14:textId="77777777" w:rsidR="0066210F" w:rsidRDefault="00B02C20" w:rsidP="0066210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Generally, </w:t>
      </w:r>
      <w:r>
        <w:rPr>
          <w:rFonts w:ascii="Avenir Next" w:hAnsi="Avenir Next" w:cs="Arial"/>
          <w:color w:val="808080" w:themeColor="background1" w:themeShade="80"/>
          <w:sz w:val="22"/>
          <w:szCs w:val="22"/>
        </w:rPr>
        <w:t xml:space="preserve">a floating charge on the company’s undertaking or property created at a relevant time is invalid except </w:t>
      </w:r>
      <w:r>
        <w:rPr>
          <w:rFonts w:ascii="Avenir Next" w:hAnsi="Avenir Next" w:cs="Arial"/>
          <w:color w:val="808080" w:themeColor="background1" w:themeShade="80"/>
          <w:sz w:val="22"/>
          <w:szCs w:val="22"/>
        </w:rPr>
        <w:t>for the exceptions under s 245(2) of the Insolvency Act 1986.</w:t>
      </w:r>
      <w:r w:rsidR="0066210F">
        <w:rPr>
          <w:rFonts w:ascii="Avenir Next" w:hAnsi="Avenir Next" w:cs="Arial"/>
          <w:color w:val="808080" w:themeColor="background1" w:themeShade="80"/>
          <w:sz w:val="22"/>
          <w:szCs w:val="22"/>
        </w:rPr>
        <w:t xml:space="preserve"> </w:t>
      </w:r>
      <w:r w:rsidR="0066210F">
        <w:rPr>
          <w:rFonts w:ascii="Avenir Next" w:hAnsi="Avenir Next" w:cs="Arial"/>
          <w:color w:val="808080" w:themeColor="background1" w:themeShade="80"/>
          <w:sz w:val="22"/>
          <w:szCs w:val="22"/>
        </w:rPr>
        <w:t xml:space="preserve">The “relevant time” for the purposes of s 245 </w:t>
      </w:r>
      <w:r w:rsidR="0066210F">
        <w:rPr>
          <w:rFonts w:ascii="Avenir Next" w:hAnsi="Avenir Next" w:cs="Arial"/>
          <w:color w:val="808080" w:themeColor="background1" w:themeShade="80"/>
          <w:sz w:val="22"/>
          <w:szCs w:val="22"/>
        </w:rPr>
        <w:t>is contingent on whether</w:t>
      </w:r>
      <w:r w:rsidR="0066210F">
        <w:rPr>
          <w:rFonts w:ascii="Avenir Next" w:hAnsi="Avenir Next" w:cs="Arial"/>
          <w:color w:val="808080" w:themeColor="background1" w:themeShade="80"/>
          <w:sz w:val="22"/>
          <w:szCs w:val="22"/>
        </w:rPr>
        <w:t xml:space="preserve"> the person in whose </w:t>
      </w:r>
      <w:proofErr w:type="spellStart"/>
      <w:r w:rsidR="0066210F">
        <w:rPr>
          <w:rFonts w:ascii="Avenir Next" w:hAnsi="Avenir Next" w:cs="Arial"/>
          <w:color w:val="808080" w:themeColor="background1" w:themeShade="80"/>
          <w:sz w:val="22"/>
          <w:szCs w:val="22"/>
        </w:rPr>
        <w:t>favour</w:t>
      </w:r>
      <w:proofErr w:type="spellEnd"/>
      <w:r w:rsidR="0066210F">
        <w:rPr>
          <w:rFonts w:ascii="Avenir Next" w:hAnsi="Avenir Next" w:cs="Arial"/>
          <w:color w:val="808080" w:themeColor="background1" w:themeShade="80"/>
          <w:sz w:val="22"/>
          <w:szCs w:val="22"/>
        </w:rPr>
        <w:t xml:space="preserve"> the floating charge is created is connected with the company. </w:t>
      </w:r>
      <w:r w:rsidR="0066210F">
        <w:rPr>
          <w:rFonts w:ascii="Avenir Next" w:hAnsi="Avenir Next" w:cs="Arial"/>
          <w:color w:val="808080" w:themeColor="background1" w:themeShade="80"/>
          <w:sz w:val="22"/>
          <w:szCs w:val="22"/>
        </w:rPr>
        <w:t xml:space="preserve">According to </w:t>
      </w:r>
      <w:r w:rsidR="0066210F">
        <w:rPr>
          <w:rFonts w:ascii="Avenir Next" w:hAnsi="Avenir Next" w:cs="Arial"/>
          <w:color w:val="808080" w:themeColor="background1" w:themeShade="80"/>
          <w:sz w:val="22"/>
          <w:szCs w:val="22"/>
        </w:rPr>
        <w:t xml:space="preserve">s 245(3), the “relevant time” is: (a) the period of 2 years ending with the onset of insolvency for a charge created in </w:t>
      </w:r>
      <w:proofErr w:type="spellStart"/>
      <w:r w:rsidR="0066210F">
        <w:rPr>
          <w:rFonts w:ascii="Avenir Next" w:hAnsi="Avenir Next" w:cs="Arial"/>
          <w:color w:val="808080" w:themeColor="background1" w:themeShade="80"/>
          <w:sz w:val="22"/>
          <w:szCs w:val="22"/>
        </w:rPr>
        <w:t>favour</w:t>
      </w:r>
      <w:proofErr w:type="spellEnd"/>
      <w:r w:rsidR="0066210F">
        <w:rPr>
          <w:rFonts w:ascii="Avenir Next" w:hAnsi="Avenir Next" w:cs="Arial"/>
          <w:color w:val="808080" w:themeColor="background1" w:themeShade="80"/>
          <w:sz w:val="22"/>
          <w:szCs w:val="22"/>
        </w:rPr>
        <w:t xml:space="preserve"> of a person connected with the company; and (b) the period of 12 months ending with the onset of insolvency for a charge created in </w:t>
      </w:r>
      <w:proofErr w:type="spellStart"/>
      <w:r w:rsidR="0066210F">
        <w:rPr>
          <w:rFonts w:ascii="Avenir Next" w:hAnsi="Avenir Next" w:cs="Arial"/>
          <w:color w:val="808080" w:themeColor="background1" w:themeShade="80"/>
          <w:sz w:val="22"/>
          <w:szCs w:val="22"/>
        </w:rPr>
        <w:t>favour</w:t>
      </w:r>
      <w:proofErr w:type="spellEnd"/>
      <w:r w:rsidR="0066210F">
        <w:rPr>
          <w:rFonts w:ascii="Avenir Next" w:hAnsi="Avenir Next" w:cs="Arial"/>
          <w:color w:val="808080" w:themeColor="background1" w:themeShade="80"/>
          <w:sz w:val="22"/>
          <w:szCs w:val="22"/>
        </w:rPr>
        <w:t xml:space="preserve"> of any other person, but only if at the time the charge was created the company was either unable to pay its debts within the meaning of s 123 of the Act or became unable to do so in consequence of the transaction. </w:t>
      </w:r>
    </w:p>
    <w:p w14:paraId="28F753D1" w14:textId="77777777" w:rsidR="0066210F" w:rsidRDefault="0066210F" w:rsidP="0066210F">
      <w:pPr>
        <w:jc w:val="both"/>
        <w:rPr>
          <w:rFonts w:ascii="Avenir Next" w:hAnsi="Avenir Next" w:cs="Arial"/>
          <w:color w:val="808080" w:themeColor="background1" w:themeShade="80"/>
          <w:sz w:val="22"/>
          <w:szCs w:val="22"/>
        </w:rPr>
      </w:pPr>
    </w:p>
    <w:p w14:paraId="3CA44DBF" w14:textId="23168574" w:rsidR="00B02C20" w:rsidRDefault="0066210F" w:rsidP="00B02C2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date on which the winding up of the Company is deemed to have commenced is the date on which the winding-up petition was presented on 14 October 2022 (s 129 of the Act)</w:t>
      </w:r>
      <w:r>
        <w:rPr>
          <w:rFonts w:ascii="Avenir Next" w:hAnsi="Avenir Next" w:cs="Arial"/>
          <w:color w:val="808080" w:themeColor="background1" w:themeShade="80"/>
          <w:sz w:val="22"/>
          <w:szCs w:val="22"/>
        </w:rPr>
        <w:t>.</w:t>
      </w:r>
    </w:p>
    <w:p w14:paraId="3F823DAA" w14:textId="02848BE3" w:rsidR="00B02C20" w:rsidRDefault="00B02C20" w:rsidP="00B02C20">
      <w:pPr>
        <w:jc w:val="both"/>
        <w:rPr>
          <w:rFonts w:ascii="Avenir Next" w:hAnsi="Avenir Next" w:cs="Arial"/>
          <w:color w:val="808080" w:themeColor="background1" w:themeShade="80"/>
          <w:sz w:val="22"/>
          <w:szCs w:val="22"/>
        </w:rPr>
      </w:pPr>
    </w:p>
    <w:p w14:paraId="10D48DB5" w14:textId="77777777" w:rsidR="0066210F" w:rsidRDefault="0066210F" w:rsidP="00B02C20">
      <w:pPr>
        <w:jc w:val="both"/>
        <w:rPr>
          <w:rFonts w:ascii="Avenir Next" w:hAnsi="Avenir Next" w:cs="Arial"/>
          <w:color w:val="808080" w:themeColor="background1" w:themeShade="80"/>
          <w:sz w:val="22"/>
          <w:szCs w:val="22"/>
        </w:rPr>
      </w:pP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was </w:t>
      </w:r>
      <w:r>
        <w:rPr>
          <w:rFonts w:ascii="Avenir Next" w:hAnsi="Avenir Next" w:cs="Arial"/>
          <w:color w:val="808080" w:themeColor="background1" w:themeShade="80"/>
          <w:sz w:val="22"/>
          <w:szCs w:val="22"/>
        </w:rPr>
        <w:t xml:space="preserve">not </w:t>
      </w:r>
      <w:r>
        <w:rPr>
          <w:rFonts w:ascii="Avenir Next" w:hAnsi="Avenir Next" w:cs="Arial"/>
          <w:color w:val="808080" w:themeColor="background1" w:themeShade="80"/>
          <w:sz w:val="22"/>
          <w:szCs w:val="22"/>
        </w:rPr>
        <w:t xml:space="preserve">a connected person </w:t>
      </w:r>
      <w:r>
        <w:rPr>
          <w:rFonts w:ascii="Avenir Next" w:hAnsi="Avenir Next" w:cs="Arial"/>
          <w:color w:val="808080" w:themeColor="background1" w:themeShade="80"/>
          <w:sz w:val="22"/>
          <w:szCs w:val="22"/>
        </w:rPr>
        <w:t>of</w:t>
      </w:r>
      <w:r>
        <w:rPr>
          <w:rFonts w:ascii="Avenir Next" w:hAnsi="Avenir Next" w:cs="Arial"/>
          <w:color w:val="808080" w:themeColor="background1" w:themeShade="80"/>
          <w:sz w:val="22"/>
          <w:szCs w:val="22"/>
        </w:rPr>
        <w:t xml:space="preserve"> the Company. </w:t>
      </w:r>
      <w:r>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relevant time would be 12 months</w:t>
      </w:r>
      <w:r>
        <w:rPr>
          <w:rFonts w:ascii="Avenir Next" w:hAnsi="Avenir Next" w:cs="Arial"/>
          <w:color w:val="808080" w:themeColor="background1" w:themeShade="80"/>
          <w:sz w:val="22"/>
          <w:szCs w:val="22"/>
        </w:rPr>
        <w:t xml:space="preserve">, subject to the caveat that at the time the charge was created the company was unable to pay its debts (s 123 of the Act) or became unable to do so as a result of the floating charge. </w:t>
      </w:r>
    </w:p>
    <w:p w14:paraId="369073FB" w14:textId="77777777" w:rsidR="0066210F" w:rsidRDefault="0066210F" w:rsidP="00B02C20">
      <w:pPr>
        <w:jc w:val="both"/>
        <w:rPr>
          <w:rFonts w:ascii="Avenir Next" w:hAnsi="Avenir Next" w:cs="Arial"/>
          <w:color w:val="808080" w:themeColor="background1" w:themeShade="80"/>
          <w:sz w:val="22"/>
          <w:szCs w:val="22"/>
        </w:rPr>
      </w:pPr>
    </w:p>
    <w:p w14:paraId="31F730DF" w14:textId="287DB517" w:rsidR="00B02C20" w:rsidRPr="00B02C20" w:rsidRDefault="0066210F" w:rsidP="00B02C2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Assuming that t</w:t>
      </w:r>
      <w:r>
        <w:rPr>
          <w:rFonts w:ascii="Avenir Next" w:hAnsi="Avenir Next" w:cs="Arial"/>
          <w:color w:val="808080" w:themeColor="background1" w:themeShade="80"/>
          <w:sz w:val="22"/>
          <w:szCs w:val="22"/>
        </w:rPr>
        <w:t>he floating charge</w:t>
      </w:r>
      <w:r>
        <w:rPr>
          <w:rFonts w:ascii="Avenir Next" w:hAnsi="Avenir Next" w:cs="Arial"/>
          <w:color w:val="808080" w:themeColor="background1" w:themeShade="80"/>
          <w:sz w:val="22"/>
          <w:szCs w:val="22"/>
        </w:rPr>
        <w:t xml:space="preserve"> was within the relevant time period as it was created</w:t>
      </w:r>
      <w:r>
        <w:rPr>
          <w:rFonts w:ascii="Avenir Next" w:hAnsi="Avenir Next" w:cs="Arial"/>
          <w:color w:val="808080" w:themeColor="background1" w:themeShade="80"/>
          <w:sz w:val="22"/>
          <w:szCs w:val="22"/>
        </w:rPr>
        <w:t xml:space="preserve"> in February 2022</w:t>
      </w:r>
      <w:r>
        <w:rPr>
          <w:rFonts w:ascii="Avenir Next" w:hAnsi="Avenir Next" w:cs="Arial"/>
          <w:color w:val="808080" w:themeColor="background1" w:themeShade="80"/>
          <w:sz w:val="22"/>
          <w:szCs w:val="22"/>
        </w:rPr>
        <w:t>, n</w:t>
      </w:r>
      <w:r>
        <w:rPr>
          <w:rFonts w:ascii="Avenir Next" w:hAnsi="Avenir Next" w:cs="Arial"/>
          <w:color w:val="808080" w:themeColor="background1" w:themeShade="80"/>
          <w:sz w:val="22"/>
          <w:szCs w:val="22"/>
        </w:rPr>
        <w:t>one of the exceptions for a floating charge on the Company’s undertaking or property created at a relevant time</w:t>
      </w:r>
      <w:r>
        <w:rPr>
          <w:rFonts w:ascii="Avenir Next" w:hAnsi="Avenir Next" w:cs="Arial"/>
          <w:color w:val="808080" w:themeColor="background1" w:themeShade="80"/>
          <w:sz w:val="22"/>
          <w:szCs w:val="22"/>
        </w:rPr>
        <w:t xml:space="preserve"> under s 245(2) of the Act applied. </w:t>
      </w:r>
      <w:r w:rsidR="00B02C20">
        <w:rPr>
          <w:rFonts w:ascii="Avenir Next" w:hAnsi="Avenir Next" w:cs="Arial"/>
          <w:color w:val="808080" w:themeColor="background1" w:themeShade="80"/>
          <w:sz w:val="22"/>
          <w:szCs w:val="22"/>
        </w:rPr>
        <w:t xml:space="preserve">There is no evidence that any fresh consideration was provided by </w:t>
      </w:r>
      <w:proofErr w:type="spellStart"/>
      <w:r w:rsidR="00B02C20">
        <w:rPr>
          <w:rFonts w:ascii="Avenir Next" w:hAnsi="Avenir Next" w:cs="Arial"/>
          <w:color w:val="808080" w:themeColor="background1" w:themeShade="80"/>
          <w:sz w:val="22"/>
          <w:szCs w:val="22"/>
        </w:rPr>
        <w:t>Fretus</w:t>
      </w:r>
      <w:proofErr w:type="spellEnd"/>
      <w:r w:rsidR="00B02C20">
        <w:rPr>
          <w:rFonts w:ascii="Avenir Next" w:hAnsi="Avenir Next" w:cs="Arial"/>
          <w:color w:val="808080" w:themeColor="background1" w:themeShade="80"/>
          <w:sz w:val="22"/>
          <w:szCs w:val="22"/>
        </w:rPr>
        <w:t xml:space="preserve"> for the floating charge over the Company’s entire undertaking.</w:t>
      </w:r>
      <w:r w:rsidR="00B02C20">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I</w:t>
      </w:r>
      <w:r w:rsidR="00B02C20">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 xml:space="preserve"> also</w:t>
      </w:r>
      <w:r w:rsidR="00B02C20">
        <w:rPr>
          <w:rFonts w:ascii="Avenir Next" w:hAnsi="Avenir Next" w:cs="Arial"/>
          <w:color w:val="808080" w:themeColor="background1" w:themeShade="80"/>
          <w:sz w:val="22"/>
          <w:szCs w:val="22"/>
        </w:rPr>
        <w:t xml:space="preserve"> did not discharge or reduce the loan</w:t>
      </w:r>
      <w:r>
        <w:rPr>
          <w:rFonts w:ascii="Avenir Next" w:hAnsi="Avenir Next" w:cs="Arial"/>
          <w:color w:val="808080" w:themeColor="background1" w:themeShade="80"/>
          <w:sz w:val="22"/>
          <w:szCs w:val="22"/>
        </w:rPr>
        <w:t xml:space="preserve"> owed by the Company to </w:t>
      </w:r>
      <w:proofErr w:type="spellStart"/>
      <w:r>
        <w:rPr>
          <w:rFonts w:ascii="Avenir Next" w:hAnsi="Avenir Next" w:cs="Arial"/>
          <w:color w:val="808080" w:themeColor="background1" w:themeShade="80"/>
          <w:sz w:val="22"/>
          <w:szCs w:val="22"/>
        </w:rPr>
        <w:t>Fretus</w:t>
      </w:r>
      <w:proofErr w:type="spellEnd"/>
      <w:r w:rsidR="00B02C20">
        <w:rPr>
          <w:rFonts w:ascii="Avenir Next" w:hAnsi="Avenir Next" w:cs="Arial"/>
          <w:color w:val="808080" w:themeColor="background1" w:themeShade="80"/>
          <w:sz w:val="22"/>
          <w:szCs w:val="22"/>
        </w:rPr>
        <w:t xml:space="preserve">. </w:t>
      </w:r>
    </w:p>
    <w:p w14:paraId="7B854A05" w14:textId="3ECB8BFD" w:rsidR="00B02C20" w:rsidRDefault="00B02C20" w:rsidP="00EA3B38">
      <w:pPr>
        <w:jc w:val="both"/>
        <w:rPr>
          <w:rFonts w:ascii="Avenir Next" w:hAnsi="Avenir Next" w:cs="Arial"/>
          <w:color w:val="808080" w:themeColor="background1" w:themeShade="80"/>
          <w:sz w:val="22"/>
          <w:szCs w:val="22"/>
        </w:rPr>
      </w:pPr>
    </w:p>
    <w:p w14:paraId="21C64A65" w14:textId="15A899E4" w:rsidR="0066210F" w:rsidRPr="00B84055" w:rsidRDefault="0066210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floating charge may therefore be avoided.</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69EBD941" w14:textId="30F4BC55" w:rsidR="0066210F" w:rsidRDefault="0066210F" w:rsidP="0066210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liquidator </w:t>
      </w:r>
      <w:r w:rsidR="005272C8">
        <w:rPr>
          <w:rFonts w:ascii="Avenir Next" w:hAnsi="Avenir Next" w:cs="Arial"/>
          <w:color w:val="808080" w:themeColor="background1" w:themeShade="80"/>
          <w:sz w:val="22"/>
          <w:szCs w:val="22"/>
        </w:rPr>
        <w:t>may apply</w:t>
      </w:r>
      <w:r>
        <w:rPr>
          <w:rFonts w:ascii="Avenir Next" w:hAnsi="Avenir Next" w:cs="Arial"/>
          <w:color w:val="808080" w:themeColor="background1" w:themeShade="80"/>
          <w:sz w:val="22"/>
          <w:szCs w:val="22"/>
        </w:rPr>
        <w:t xml:space="preserve"> to set aside the </w:t>
      </w:r>
      <w:r>
        <w:rPr>
          <w:rFonts w:ascii="Avenir Next" w:hAnsi="Avenir Next" w:cs="Arial"/>
          <w:color w:val="808080" w:themeColor="background1" w:themeShade="80"/>
          <w:sz w:val="22"/>
          <w:szCs w:val="22"/>
        </w:rPr>
        <w:t>sale of the marble cutting machines</w:t>
      </w:r>
      <w:r>
        <w:rPr>
          <w:rFonts w:ascii="Avenir Next" w:hAnsi="Avenir Next" w:cs="Arial"/>
          <w:color w:val="808080" w:themeColor="background1" w:themeShade="80"/>
          <w:sz w:val="22"/>
          <w:szCs w:val="22"/>
        </w:rPr>
        <w:t xml:space="preserve"> for being a</w:t>
      </w:r>
      <w:r>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transaction </w:t>
      </w:r>
      <w:r>
        <w:rPr>
          <w:rFonts w:ascii="Avenir Next" w:hAnsi="Avenir Next" w:cs="Arial"/>
          <w:color w:val="808080" w:themeColor="background1" w:themeShade="80"/>
          <w:sz w:val="22"/>
          <w:szCs w:val="22"/>
        </w:rPr>
        <w:t xml:space="preserve">at an undervalue </w:t>
      </w:r>
      <w:r>
        <w:rPr>
          <w:rFonts w:ascii="Avenir Next" w:hAnsi="Avenir Next" w:cs="Arial"/>
          <w:color w:val="808080" w:themeColor="background1" w:themeShade="80"/>
          <w:sz w:val="22"/>
          <w:szCs w:val="22"/>
        </w:rPr>
        <w:t xml:space="preserve">as the machines were purchased for GBP 25,000 but sold at GBP 10,000. </w:t>
      </w:r>
    </w:p>
    <w:p w14:paraId="07962D63" w14:textId="52B22C2E" w:rsidR="00EA3B38" w:rsidRDefault="00EA3B38" w:rsidP="00EA3B38">
      <w:pPr>
        <w:jc w:val="both"/>
        <w:rPr>
          <w:rFonts w:ascii="Avenir Next" w:hAnsi="Avenir Next" w:cs="Arial"/>
          <w:color w:val="808080" w:themeColor="background1" w:themeShade="80"/>
          <w:sz w:val="22"/>
          <w:szCs w:val="22"/>
        </w:rPr>
      </w:pPr>
    </w:p>
    <w:p w14:paraId="613097FE" w14:textId="7E9F41C8" w:rsidR="007D6036" w:rsidRPr="00B86488" w:rsidRDefault="0066210F" w:rsidP="007D603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 238(2) of the </w:t>
      </w:r>
      <w:r>
        <w:rPr>
          <w:rFonts w:ascii="Avenir Next" w:hAnsi="Avenir Next" w:cs="Arial"/>
          <w:color w:val="808080" w:themeColor="background1" w:themeShade="80"/>
          <w:sz w:val="22"/>
          <w:szCs w:val="22"/>
        </w:rPr>
        <w:t>Insolvency Act 1</w:t>
      </w:r>
      <w:r>
        <w:rPr>
          <w:rFonts w:ascii="Avenir Next" w:hAnsi="Avenir Next" w:cs="Arial"/>
          <w:color w:val="808080" w:themeColor="background1" w:themeShade="80"/>
          <w:sz w:val="22"/>
          <w:szCs w:val="22"/>
        </w:rPr>
        <w:t xml:space="preserve">986, it is presumed that the Company was insolvent at the time of, or became insolvent as a result of the sale as </w:t>
      </w:r>
      <w:r>
        <w:rPr>
          <w:rFonts w:ascii="Avenir Next" w:hAnsi="Avenir Next" w:cs="Arial"/>
          <w:color w:val="808080" w:themeColor="background1" w:themeShade="80"/>
          <w:sz w:val="22"/>
          <w:szCs w:val="22"/>
        </w:rPr>
        <w:t>Rita Perkins (“Perkins”)</w:t>
      </w:r>
      <w:r>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a director of the Company</w:t>
      </w:r>
      <w:r>
        <w:rPr>
          <w:rFonts w:ascii="Avenir Next" w:hAnsi="Avenir Next" w:cs="Arial"/>
          <w:color w:val="808080" w:themeColor="background1" w:themeShade="80"/>
          <w:sz w:val="22"/>
          <w:szCs w:val="22"/>
        </w:rPr>
        <w:t xml:space="preserve"> and thus </w:t>
      </w:r>
      <w:r>
        <w:rPr>
          <w:rFonts w:ascii="Avenir Next" w:hAnsi="Avenir Next" w:cs="Arial"/>
          <w:color w:val="808080" w:themeColor="background1" w:themeShade="80"/>
          <w:sz w:val="22"/>
          <w:szCs w:val="22"/>
        </w:rPr>
        <w:t>a connected person in relation to the Company</w:t>
      </w:r>
      <w:r>
        <w:rPr>
          <w:rFonts w:ascii="Avenir Next" w:hAnsi="Avenir Next" w:cs="Arial"/>
          <w:color w:val="808080" w:themeColor="background1" w:themeShade="80"/>
          <w:sz w:val="22"/>
          <w:szCs w:val="22"/>
        </w:rPr>
        <w:t xml:space="preserve"> was involved in the sale. The sale occurred within two years of the date of commencement of the winding up (</w:t>
      </w:r>
      <w:proofErr w:type="spellStart"/>
      <w:r w:rsidRPr="005272C8">
        <w:rPr>
          <w:rFonts w:ascii="Avenir Next" w:hAnsi="Avenir Next" w:cs="Arial"/>
          <w:i/>
          <w:iCs/>
          <w:color w:val="808080" w:themeColor="background1" w:themeShade="80"/>
          <w:sz w:val="22"/>
          <w:szCs w:val="22"/>
        </w:rPr>
        <w:t>ie</w:t>
      </w:r>
      <w:proofErr w:type="spellEnd"/>
      <w:r>
        <w:rPr>
          <w:rFonts w:ascii="Avenir Next" w:hAnsi="Avenir Next" w:cs="Arial"/>
          <w:color w:val="808080" w:themeColor="background1" w:themeShade="80"/>
          <w:sz w:val="22"/>
          <w:szCs w:val="22"/>
        </w:rPr>
        <w:t>, 14 October 2022) per ss 240(3)(</w:t>
      </w:r>
      <w:r w:rsidRPr="007D6036">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 and 129 of the Act</w:t>
      </w:r>
      <w:r w:rsidR="007D6036">
        <w:rPr>
          <w:rFonts w:ascii="Avenir Next" w:hAnsi="Avenir Next" w:cs="Arial"/>
          <w:color w:val="808080" w:themeColor="background1" w:themeShade="80"/>
          <w:sz w:val="22"/>
          <w:szCs w:val="22"/>
        </w:rPr>
        <w:t xml:space="preserve"> and therefore fell within the “relevant time” for s 238 of the Act. It is likely that the sale was entered into </w:t>
      </w:r>
      <w:r w:rsidR="007D6036" w:rsidRPr="007D6036">
        <w:rPr>
          <w:rFonts w:ascii="Avenir Next" w:hAnsi="Avenir Next" w:cs="Arial"/>
          <w:color w:val="808080" w:themeColor="background1" w:themeShade="80"/>
          <w:sz w:val="22"/>
          <w:szCs w:val="22"/>
        </w:rPr>
        <w:t xml:space="preserve">for a consideration the value of which, in money or money's worth, is significantly less than the value, in money or money's worth, of the consideration provided by the </w:t>
      </w:r>
      <w:r w:rsidR="007D6036">
        <w:rPr>
          <w:rFonts w:ascii="Avenir Next" w:hAnsi="Avenir Next" w:cs="Arial"/>
          <w:color w:val="808080" w:themeColor="background1" w:themeShade="80"/>
          <w:sz w:val="22"/>
          <w:szCs w:val="22"/>
        </w:rPr>
        <w:t>Co</w:t>
      </w:r>
      <w:r w:rsidR="007D6036" w:rsidRPr="007D6036">
        <w:rPr>
          <w:rFonts w:ascii="Avenir Next" w:hAnsi="Avenir Next" w:cs="Arial"/>
          <w:color w:val="808080" w:themeColor="background1" w:themeShade="80"/>
          <w:sz w:val="22"/>
          <w:szCs w:val="22"/>
        </w:rPr>
        <w:t>mpany</w:t>
      </w:r>
      <w:r w:rsidR="007D6036">
        <w:rPr>
          <w:rFonts w:ascii="Avenir Next" w:hAnsi="Avenir Next" w:cs="Arial"/>
          <w:color w:val="808080" w:themeColor="background1" w:themeShade="80"/>
          <w:sz w:val="22"/>
          <w:szCs w:val="22"/>
        </w:rPr>
        <w:t xml:space="preserve"> (s 238(4)(b) of the Act) given the disparity in the initial purchase price and the eventual sale price</w:t>
      </w:r>
      <w:r w:rsidR="007D6036">
        <w:rPr>
          <w:rFonts w:ascii="Avenir Next" w:hAnsi="Avenir Next" w:cs="Arial"/>
          <w:color w:val="808080" w:themeColor="background1" w:themeShade="80"/>
          <w:sz w:val="22"/>
          <w:szCs w:val="22"/>
        </w:rPr>
        <w:t xml:space="preserve">. </w:t>
      </w:r>
    </w:p>
    <w:p w14:paraId="2043D320" w14:textId="77777777" w:rsidR="007D6036" w:rsidRDefault="007D6036" w:rsidP="007D6036">
      <w:pPr>
        <w:jc w:val="both"/>
        <w:rPr>
          <w:rFonts w:ascii="Avenir Next" w:hAnsi="Avenir Next" w:cs="Arial"/>
          <w:color w:val="808080" w:themeColor="background1" w:themeShade="80"/>
          <w:sz w:val="22"/>
          <w:szCs w:val="22"/>
        </w:rPr>
      </w:pPr>
    </w:p>
    <w:p w14:paraId="1855CC89" w14:textId="5E405D3D" w:rsidR="0066210F" w:rsidRPr="00B84055" w:rsidRDefault="007D603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However, </w:t>
      </w:r>
      <w:r>
        <w:rPr>
          <w:rFonts w:ascii="Avenir Next" w:hAnsi="Avenir Next" w:cs="Arial"/>
          <w:color w:val="808080" w:themeColor="background1" w:themeShade="80"/>
          <w:sz w:val="22"/>
          <w:szCs w:val="22"/>
        </w:rPr>
        <w:t>it could be argued that the Company entered the sale in good faith for its business and there were reasonable grounds to believe this was so at the time. T</w:t>
      </w:r>
      <w:r>
        <w:rPr>
          <w:rFonts w:ascii="Avenir Next" w:hAnsi="Avenir Next" w:cs="Arial"/>
          <w:color w:val="808080" w:themeColor="background1" w:themeShade="80"/>
          <w:sz w:val="22"/>
          <w:szCs w:val="22"/>
        </w:rPr>
        <w:t xml:space="preserve">he directors </w:t>
      </w:r>
      <w:r>
        <w:rPr>
          <w:rFonts w:ascii="Avenir Next" w:hAnsi="Avenir Next" w:cs="Arial"/>
          <w:color w:val="808080" w:themeColor="background1" w:themeShade="80"/>
          <w:sz w:val="22"/>
          <w:szCs w:val="22"/>
        </w:rPr>
        <w:t>purportedly</w:t>
      </w:r>
      <w:r>
        <w:rPr>
          <w:rFonts w:ascii="Avenir Next" w:hAnsi="Avenir Next" w:cs="Arial"/>
          <w:color w:val="808080" w:themeColor="background1" w:themeShade="80"/>
          <w:sz w:val="22"/>
          <w:szCs w:val="22"/>
        </w:rPr>
        <w:t xml:space="preserve"> approved </w:t>
      </w:r>
      <w:r>
        <w:rPr>
          <w:rFonts w:ascii="Avenir Next" w:hAnsi="Avenir Next" w:cs="Arial"/>
          <w:color w:val="808080" w:themeColor="background1" w:themeShade="80"/>
          <w:sz w:val="22"/>
          <w:szCs w:val="22"/>
        </w:rPr>
        <w:t xml:space="preserve">of </w:t>
      </w:r>
      <w:r>
        <w:rPr>
          <w:rFonts w:ascii="Avenir Next" w:hAnsi="Avenir Next" w:cs="Arial"/>
          <w:color w:val="808080" w:themeColor="background1" w:themeShade="80"/>
          <w:sz w:val="22"/>
          <w:szCs w:val="22"/>
        </w:rPr>
        <w:t xml:space="preserve">the sale of the marble cutting machines </w:t>
      </w:r>
      <w:r>
        <w:rPr>
          <w:rFonts w:ascii="Avenir Next" w:hAnsi="Avenir Next" w:cs="Arial"/>
          <w:color w:val="808080" w:themeColor="background1" w:themeShade="80"/>
          <w:sz w:val="22"/>
          <w:szCs w:val="22"/>
        </w:rPr>
        <w:t>and allowed</w:t>
      </w:r>
      <w:r>
        <w:rPr>
          <w:rFonts w:ascii="Avenir Next" w:hAnsi="Avenir Next" w:cs="Arial"/>
          <w:color w:val="808080" w:themeColor="background1" w:themeShade="80"/>
          <w:sz w:val="22"/>
          <w:szCs w:val="22"/>
        </w:rPr>
        <w:t xml:space="preserve"> Perkins to </w:t>
      </w:r>
      <w:r>
        <w:rPr>
          <w:rFonts w:ascii="Avenir Next" w:hAnsi="Avenir Next" w:cs="Arial"/>
          <w:color w:val="808080" w:themeColor="background1" w:themeShade="80"/>
          <w:sz w:val="22"/>
          <w:szCs w:val="22"/>
        </w:rPr>
        <w:t xml:space="preserve">facilitate the sale in order to </w:t>
      </w:r>
      <w:r>
        <w:rPr>
          <w:rFonts w:ascii="Avenir Next" w:hAnsi="Avenir Next" w:cs="Arial"/>
          <w:color w:val="808080" w:themeColor="background1" w:themeShade="80"/>
          <w:sz w:val="22"/>
          <w:szCs w:val="22"/>
        </w:rPr>
        <w:t xml:space="preserve">alleviate </w:t>
      </w:r>
      <w:r>
        <w:rPr>
          <w:rFonts w:ascii="Avenir Next" w:hAnsi="Avenir Next" w:cs="Arial"/>
          <w:color w:val="808080" w:themeColor="background1" w:themeShade="80"/>
          <w:sz w:val="22"/>
          <w:szCs w:val="22"/>
        </w:rPr>
        <w:t>the Company’s</w:t>
      </w:r>
      <w:r>
        <w:rPr>
          <w:rFonts w:ascii="Avenir Next" w:hAnsi="Avenir Next" w:cs="Arial"/>
          <w:color w:val="808080" w:themeColor="background1" w:themeShade="80"/>
          <w:sz w:val="22"/>
          <w:szCs w:val="22"/>
        </w:rPr>
        <w:t xml:space="preserve"> cash flow problems. </w:t>
      </w:r>
      <w:r>
        <w:rPr>
          <w:rFonts w:ascii="Avenir Next" w:hAnsi="Avenir Next" w:cs="Arial"/>
          <w:color w:val="808080" w:themeColor="background1" w:themeShade="80"/>
          <w:sz w:val="22"/>
          <w:szCs w:val="22"/>
        </w:rPr>
        <w:t xml:space="preserve">Pursuant to </w:t>
      </w:r>
      <w:r>
        <w:rPr>
          <w:rFonts w:ascii="Avenir Next" w:hAnsi="Avenir Next" w:cs="Arial"/>
          <w:color w:val="808080" w:themeColor="background1" w:themeShade="80"/>
          <w:sz w:val="22"/>
          <w:szCs w:val="22"/>
        </w:rPr>
        <w:t xml:space="preserve">s 240(5), the court </w:t>
      </w:r>
      <w:r>
        <w:rPr>
          <w:rFonts w:ascii="Avenir Next" w:hAnsi="Avenir Next" w:cs="Arial"/>
          <w:color w:val="808080" w:themeColor="background1" w:themeShade="80"/>
          <w:sz w:val="22"/>
          <w:szCs w:val="22"/>
        </w:rPr>
        <w:t>will not make an order under</w:t>
      </w:r>
      <w:r>
        <w:rPr>
          <w:rFonts w:ascii="Avenir Next" w:hAnsi="Avenir Next" w:cs="Arial"/>
          <w:color w:val="808080" w:themeColor="background1" w:themeShade="80"/>
          <w:sz w:val="22"/>
          <w:szCs w:val="22"/>
        </w:rPr>
        <w:t xml:space="preserve"> s 238 if it is satisfied that</w:t>
      </w:r>
      <w:r>
        <w:rPr>
          <w:rFonts w:ascii="Avenir Next" w:hAnsi="Avenir Next" w:cs="Arial"/>
          <w:color w:val="808080" w:themeColor="background1" w:themeShade="80"/>
          <w:sz w:val="22"/>
          <w:szCs w:val="22"/>
        </w:rPr>
        <w:t xml:space="preserve"> this was so.</w:t>
      </w:r>
      <w:r>
        <w:rPr>
          <w:rFonts w:ascii="Avenir Next" w:hAnsi="Avenir Next" w:cs="Arial"/>
          <w:color w:val="808080" w:themeColor="background1" w:themeShade="80"/>
          <w:sz w:val="22"/>
          <w:szCs w:val="22"/>
        </w:rPr>
        <w:t xml:space="preserve"> </w:t>
      </w:r>
      <w:r w:rsidR="009C1F85">
        <w:rPr>
          <w:rFonts w:ascii="Avenir Next" w:hAnsi="Avenir Next" w:cs="Arial"/>
          <w:color w:val="808080" w:themeColor="background1" w:themeShade="80"/>
          <w:sz w:val="22"/>
          <w:szCs w:val="22"/>
        </w:rPr>
        <w:t>This turns on the court’s assessment of the facts presented by the directors, and whether the sale could be said to have been under the reasonably belief and in good faith for the purpose of carrying on the business.</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276553D" w14:textId="16714A13" w:rsidR="00D401EF" w:rsidRDefault="00D401EF" w:rsidP="00D401E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may apply to set aside the payments to Hard and Fast L</w:t>
      </w:r>
      <w:r>
        <w:rPr>
          <w:rFonts w:ascii="Avenir Next" w:hAnsi="Avenir Next" w:cs="Arial"/>
          <w:color w:val="808080" w:themeColor="background1" w:themeShade="80"/>
          <w:sz w:val="22"/>
          <w:szCs w:val="22"/>
        </w:rPr>
        <w:t xml:space="preserve">td </w:t>
      </w:r>
      <w:r>
        <w:rPr>
          <w:rFonts w:ascii="Avenir Next" w:hAnsi="Avenir Next" w:cs="Arial"/>
          <w:color w:val="808080" w:themeColor="background1" w:themeShade="80"/>
          <w:sz w:val="22"/>
          <w:szCs w:val="22"/>
        </w:rPr>
        <w:t xml:space="preserve">(“HFL”) as </w:t>
      </w:r>
      <w:r>
        <w:rPr>
          <w:rFonts w:ascii="Avenir Next" w:hAnsi="Avenir Next" w:cs="Arial"/>
          <w:color w:val="808080" w:themeColor="background1" w:themeShade="80"/>
          <w:sz w:val="22"/>
          <w:szCs w:val="22"/>
        </w:rPr>
        <w:t>they involved the</w:t>
      </w:r>
      <w:r>
        <w:rPr>
          <w:rFonts w:ascii="Avenir Next" w:hAnsi="Avenir Next" w:cs="Arial"/>
          <w:color w:val="808080" w:themeColor="background1" w:themeShade="80"/>
          <w:sz w:val="22"/>
          <w:szCs w:val="22"/>
        </w:rPr>
        <w:t xml:space="preserve"> disposition of the Company’s property made after the commencement of winding up</w:t>
      </w:r>
      <w:r>
        <w:rPr>
          <w:rFonts w:ascii="Avenir Next" w:hAnsi="Avenir Next" w:cs="Arial"/>
          <w:color w:val="808080" w:themeColor="background1" w:themeShade="80"/>
          <w:sz w:val="22"/>
          <w:szCs w:val="22"/>
        </w:rPr>
        <w:t xml:space="preserve"> (s 127 of the Insolvency Act 1986)</w:t>
      </w:r>
      <w:r>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The payments would be void as they were made after 14 October 2022 (</w:t>
      </w:r>
      <w:proofErr w:type="spellStart"/>
      <w:r w:rsidRPr="00D401EF">
        <w:rPr>
          <w:rFonts w:ascii="Avenir Next" w:hAnsi="Avenir Next" w:cs="Arial"/>
          <w:i/>
          <w:iCs/>
          <w:color w:val="808080" w:themeColor="background1" w:themeShade="80"/>
          <w:sz w:val="22"/>
          <w:szCs w:val="22"/>
        </w:rPr>
        <w:t>ie</w:t>
      </w:r>
      <w:proofErr w:type="spellEnd"/>
      <w:r>
        <w:rPr>
          <w:rFonts w:ascii="Avenir Next" w:hAnsi="Avenir Next" w:cs="Arial"/>
          <w:color w:val="808080" w:themeColor="background1" w:themeShade="80"/>
          <w:sz w:val="22"/>
          <w:szCs w:val="22"/>
        </w:rPr>
        <w:t>, the date of the commencement of the winding up), in November 2022.</w:t>
      </w:r>
      <w:r w:rsidR="005272C8">
        <w:rPr>
          <w:rFonts w:ascii="Avenir Next" w:hAnsi="Avenir Next" w:cs="Arial"/>
          <w:color w:val="808080" w:themeColor="background1" w:themeShade="80"/>
          <w:sz w:val="22"/>
          <w:szCs w:val="22"/>
        </w:rPr>
        <w:t xml:space="preserve"> </w:t>
      </w:r>
    </w:p>
    <w:p w14:paraId="13338828" w14:textId="3AFB246C" w:rsidR="005272C8" w:rsidRDefault="005272C8" w:rsidP="00D401EF">
      <w:pPr>
        <w:jc w:val="both"/>
        <w:rPr>
          <w:rFonts w:ascii="Avenir Next" w:hAnsi="Avenir Next" w:cs="Arial"/>
          <w:color w:val="808080" w:themeColor="background1" w:themeShade="80"/>
          <w:sz w:val="22"/>
          <w:szCs w:val="22"/>
        </w:rPr>
      </w:pPr>
    </w:p>
    <w:p w14:paraId="4FB11E6C" w14:textId="0264A559" w:rsidR="005272C8" w:rsidRDefault="005272C8" w:rsidP="00D401E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However, the court may exercise its discretion to declare that the dispositions are not void by the imposition of a validation order.</w:t>
      </w:r>
      <w:r w:rsidRPr="005272C8">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It appears that t</w:t>
      </w:r>
      <w:r>
        <w:rPr>
          <w:rFonts w:ascii="Avenir Next" w:hAnsi="Avenir Next" w:cs="Arial"/>
          <w:color w:val="808080" w:themeColor="background1" w:themeShade="80"/>
          <w:sz w:val="22"/>
          <w:szCs w:val="22"/>
        </w:rPr>
        <w:t xml:space="preserve">he Company decided to pay HFL as </w:t>
      </w:r>
      <w:r>
        <w:rPr>
          <w:rFonts w:ascii="Avenir Next" w:hAnsi="Avenir Next" w:cs="Arial"/>
          <w:color w:val="808080" w:themeColor="background1" w:themeShade="80"/>
          <w:sz w:val="22"/>
          <w:szCs w:val="22"/>
        </w:rPr>
        <w:t>because it</w:t>
      </w:r>
      <w:r>
        <w:rPr>
          <w:rFonts w:ascii="Avenir Next" w:hAnsi="Avenir Next" w:cs="Arial"/>
          <w:color w:val="808080" w:themeColor="background1" w:themeShade="80"/>
          <w:sz w:val="22"/>
          <w:szCs w:val="22"/>
        </w:rPr>
        <w:t xml:space="preserve"> demanded immediate payments of all sums owing to it and informed the </w:t>
      </w:r>
      <w:r>
        <w:rPr>
          <w:rFonts w:ascii="Avenir Next" w:hAnsi="Avenir Next" w:cs="Arial"/>
          <w:color w:val="808080" w:themeColor="background1" w:themeShade="80"/>
          <w:sz w:val="22"/>
          <w:szCs w:val="22"/>
        </w:rPr>
        <w:t>C</w:t>
      </w:r>
      <w:r>
        <w:rPr>
          <w:rFonts w:ascii="Avenir Next" w:hAnsi="Avenir Next" w:cs="Arial"/>
          <w:color w:val="808080" w:themeColor="background1" w:themeShade="80"/>
          <w:sz w:val="22"/>
          <w:szCs w:val="22"/>
        </w:rPr>
        <w:t xml:space="preserve">ompany that further supplies would only be made on a cash on delivery basis. </w:t>
      </w:r>
      <w:r>
        <w:rPr>
          <w:rFonts w:ascii="Avenir Next" w:hAnsi="Avenir Next" w:cs="Arial"/>
          <w:color w:val="808080" w:themeColor="background1" w:themeShade="80"/>
          <w:sz w:val="22"/>
          <w:szCs w:val="22"/>
        </w:rPr>
        <w:t>As</w:t>
      </w:r>
      <w:r>
        <w:rPr>
          <w:rFonts w:ascii="Avenir Next" w:hAnsi="Avenir Next" w:cs="Arial"/>
          <w:color w:val="808080" w:themeColor="background1" w:themeShade="80"/>
          <w:sz w:val="22"/>
          <w:szCs w:val="22"/>
        </w:rPr>
        <w:t xml:space="preserve"> HFL was one of the Company’s key suppliers and the continued supply of marble was regarded as essential to the Company’s business</w:t>
      </w:r>
      <w:r>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the payments to HFL were likely </w:t>
      </w:r>
      <w:r w:rsidRPr="005272C8">
        <w:rPr>
          <w:rFonts w:ascii="Avenir Next" w:hAnsi="Avenir Next" w:cs="Arial"/>
          <w:color w:val="808080" w:themeColor="background1" w:themeShade="80"/>
          <w:sz w:val="22"/>
          <w:szCs w:val="22"/>
        </w:rPr>
        <w:t>necessary</w:t>
      </w:r>
      <w:r>
        <w:rPr>
          <w:rFonts w:ascii="Avenir Next" w:hAnsi="Avenir Next" w:cs="Arial"/>
          <w:color w:val="808080" w:themeColor="background1" w:themeShade="80"/>
          <w:sz w:val="22"/>
          <w:szCs w:val="22"/>
        </w:rPr>
        <w:t xml:space="preserve"> for </w:t>
      </w:r>
      <w:r>
        <w:rPr>
          <w:rFonts w:ascii="Avenir Next" w:hAnsi="Avenir Next" w:cs="Arial"/>
          <w:color w:val="808080" w:themeColor="background1" w:themeShade="80"/>
          <w:sz w:val="22"/>
          <w:szCs w:val="22"/>
        </w:rPr>
        <w:t xml:space="preserve">continued </w:t>
      </w:r>
      <w:r>
        <w:rPr>
          <w:rFonts w:ascii="Avenir Next" w:hAnsi="Avenir Next" w:cs="Arial"/>
          <w:color w:val="808080" w:themeColor="background1" w:themeShade="80"/>
          <w:sz w:val="22"/>
          <w:szCs w:val="22"/>
        </w:rPr>
        <w:t xml:space="preserve">trading, </w:t>
      </w:r>
      <w:r>
        <w:rPr>
          <w:rFonts w:ascii="Avenir Next" w:hAnsi="Avenir Next" w:cs="Arial"/>
          <w:color w:val="808080" w:themeColor="background1" w:themeShade="80"/>
          <w:sz w:val="22"/>
          <w:szCs w:val="22"/>
        </w:rPr>
        <w:t xml:space="preserve">and </w:t>
      </w:r>
      <w:r>
        <w:rPr>
          <w:rFonts w:ascii="Avenir Next" w:hAnsi="Avenir Next" w:cs="Arial"/>
          <w:color w:val="808080" w:themeColor="background1" w:themeShade="80"/>
          <w:sz w:val="22"/>
          <w:szCs w:val="22"/>
        </w:rPr>
        <w:t xml:space="preserve">made honestly and in the ordinary course of business for the benefit of the company. </w:t>
      </w:r>
      <w:r w:rsidR="00DC2B4D">
        <w:rPr>
          <w:rFonts w:ascii="Avenir Next" w:hAnsi="Avenir Next" w:cs="Arial"/>
          <w:color w:val="808080" w:themeColor="background1" w:themeShade="80"/>
          <w:sz w:val="22"/>
          <w:szCs w:val="22"/>
        </w:rPr>
        <w:t>On balance, if</w:t>
      </w:r>
      <w:r w:rsidR="003E35BB">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the Company applied to validate the payments made to HFL, this will likely be granted over the liquidator’s application to void the payments</w:t>
      </w:r>
      <w:r w:rsidR="00832787">
        <w:rPr>
          <w:rFonts w:ascii="Avenir Next" w:hAnsi="Avenir Next" w:cs="Arial"/>
          <w:color w:val="808080" w:themeColor="background1" w:themeShade="80"/>
          <w:sz w:val="22"/>
          <w:szCs w:val="22"/>
        </w:rPr>
        <w:t xml:space="preserve"> to HFL</w:t>
      </w:r>
      <w:r>
        <w:rPr>
          <w:rFonts w:ascii="Avenir Next" w:hAnsi="Avenir Next" w:cs="Arial"/>
          <w:color w:val="808080" w:themeColor="background1" w:themeShade="80"/>
          <w:sz w:val="22"/>
          <w:szCs w:val="22"/>
        </w:rPr>
        <w:t>.</w:t>
      </w:r>
    </w:p>
    <w:p w14:paraId="6F38B806" w14:textId="20B0D5C9" w:rsidR="009452DF" w:rsidRPr="00B84055" w:rsidRDefault="009452DF" w:rsidP="009452DF">
      <w:pPr>
        <w:jc w:val="both"/>
        <w:rPr>
          <w:rFonts w:ascii="Avenir Next" w:hAnsi="Avenir Next" w:cs="Arial"/>
          <w:color w:val="808080" w:themeColor="background1" w:themeShade="80"/>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B032" w14:textId="77777777" w:rsidR="00510C5D" w:rsidRDefault="00510C5D" w:rsidP="00241B44">
      <w:r>
        <w:separator/>
      </w:r>
    </w:p>
  </w:endnote>
  <w:endnote w:type="continuationSeparator" w:id="0">
    <w:p w14:paraId="0E73BE8F" w14:textId="77777777" w:rsidR="00510C5D" w:rsidRDefault="00510C5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panose1 w:val="020B0703020202020204"/>
    <w:charset w:val="00"/>
    <w:family w:val="swiss"/>
    <w:pitch w:val="variable"/>
    <w:sig w:usb0="8000002F" w:usb1="5000204A" w:usb2="00000000" w:usb3="00000000" w:csb0="0000009B" w:csb1="00000000"/>
  </w:font>
  <w:font w:name="Avenir Next">
    <w:altName w:val="Calibri"/>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4E0AC73" w:rsidR="00241FA3" w:rsidRPr="00A84235" w:rsidRDefault="002E307A" w:rsidP="009B4976">
    <w:pPr>
      <w:pStyle w:val="Footer"/>
      <w:ind w:right="360"/>
      <w:rPr>
        <w:rFonts w:ascii="Avenir Next" w:hAnsi="Avenir Next" w:cs="Arial"/>
        <w:sz w:val="22"/>
        <w:szCs w:val="22"/>
        <w:lang w:val="en-GB"/>
      </w:rPr>
    </w:pPr>
    <w:r>
      <w:rPr>
        <w:rFonts w:ascii="Avenir Next" w:hAnsi="Avenir Next"/>
        <w:sz w:val="22"/>
        <w:szCs w:val="22"/>
      </w:rPr>
      <w:t>202223-991</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404A" w14:textId="77777777" w:rsidR="00510C5D" w:rsidRDefault="00510C5D" w:rsidP="00241B44">
      <w:r>
        <w:separator/>
      </w:r>
    </w:p>
  </w:footnote>
  <w:footnote w:type="continuationSeparator" w:id="0">
    <w:p w14:paraId="7A781804" w14:textId="77777777" w:rsidR="00510C5D" w:rsidRDefault="00510C5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62F64"/>
    <w:multiLevelType w:val="hybridMultilevel"/>
    <w:tmpl w:val="122EBD3E"/>
    <w:lvl w:ilvl="0" w:tplc="DDC6A72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94270"/>
    <w:multiLevelType w:val="hybridMultilevel"/>
    <w:tmpl w:val="C36CC064"/>
    <w:lvl w:ilvl="0" w:tplc="84563A9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9"/>
  </w:num>
  <w:num w:numId="5">
    <w:abstractNumId w:val="12"/>
  </w:num>
  <w:num w:numId="6">
    <w:abstractNumId w:val="2"/>
  </w:num>
  <w:num w:numId="7">
    <w:abstractNumId w:val="13"/>
  </w:num>
  <w:num w:numId="8">
    <w:abstractNumId w:val="17"/>
  </w:num>
  <w:num w:numId="9">
    <w:abstractNumId w:val="10"/>
  </w:num>
  <w:num w:numId="10">
    <w:abstractNumId w:val="18"/>
  </w:num>
  <w:num w:numId="11">
    <w:abstractNumId w:val="6"/>
  </w:num>
  <w:num w:numId="12">
    <w:abstractNumId w:val="15"/>
  </w:num>
  <w:num w:numId="13">
    <w:abstractNumId w:val="11"/>
  </w:num>
  <w:num w:numId="14">
    <w:abstractNumId w:val="4"/>
  </w:num>
  <w:num w:numId="15">
    <w:abstractNumId w:val="14"/>
  </w:num>
  <w:num w:numId="16">
    <w:abstractNumId w:val="16"/>
  </w:num>
  <w:num w:numId="17">
    <w:abstractNumId w:val="8"/>
  </w:num>
  <w:num w:numId="18">
    <w:abstractNumId w:val="7"/>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336D"/>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B5070"/>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67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E307A"/>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35BB"/>
    <w:rsid w:val="003E67D1"/>
    <w:rsid w:val="00404329"/>
    <w:rsid w:val="00405DC1"/>
    <w:rsid w:val="00414CF6"/>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0C5D"/>
    <w:rsid w:val="00516DD3"/>
    <w:rsid w:val="005177FE"/>
    <w:rsid w:val="00520242"/>
    <w:rsid w:val="0052263B"/>
    <w:rsid w:val="00524728"/>
    <w:rsid w:val="005249E5"/>
    <w:rsid w:val="005272C8"/>
    <w:rsid w:val="005331CA"/>
    <w:rsid w:val="00536F8D"/>
    <w:rsid w:val="00537970"/>
    <w:rsid w:val="00540E3A"/>
    <w:rsid w:val="00544127"/>
    <w:rsid w:val="005463A9"/>
    <w:rsid w:val="00553EB2"/>
    <w:rsid w:val="00560534"/>
    <w:rsid w:val="0056391B"/>
    <w:rsid w:val="005650E2"/>
    <w:rsid w:val="00567AD7"/>
    <w:rsid w:val="00575B2D"/>
    <w:rsid w:val="005833D0"/>
    <w:rsid w:val="005846F3"/>
    <w:rsid w:val="00584C31"/>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10F"/>
    <w:rsid w:val="006624AB"/>
    <w:rsid w:val="006639DB"/>
    <w:rsid w:val="006661EF"/>
    <w:rsid w:val="00677AEB"/>
    <w:rsid w:val="00680E7E"/>
    <w:rsid w:val="00680EF2"/>
    <w:rsid w:val="00687A1D"/>
    <w:rsid w:val="006925C1"/>
    <w:rsid w:val="00693B59"/>
    <w:rsid w:val="00697EA1"/>
    <w:rsid w:val="006A2646"/>
    <w:rsid w:val="006A6530"/>
    <w:rsid w:val="006B435A"/>
    <w:rsid w:val="006B4C64"/>
    <w:rsid w:val="006C6408"/>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6036"/>
    <w:rsid w:val="007D7C92"/>
    <w:rsid w:val="007E1154"/>
    <w:rsid w:val="007E2919"/>
    <w:rsid w:val="007E46A8"/>
    <w:rsid w:val="007E6BA4"/>
    <w:rsid w:val="007F41F8"/>
    <w:rsid w:val="007F659B"/>
    <w:rsid w:val="0080441E"/>
    <w:rsid w:val="0080454E"/>
    <w:rsid w:val="00804C32"/>
    <w:rsid w:val="00806302"/>
    <w:rsid w:val="00807119"/>
    <w:rsid w:val="008167AE"/>
    <w:rsid w:val="0082483F"/>
    <w:rsid w:val="008279C0"/>
    <w:rsid w:val="00832787"/>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86897"/>
    <w:rsid w:val="00991428"/>
    <w:rsid w:val="00992676"/>
    <w:rsid w:val="009954B2"/>
    <w:rsid w:val="00996691"/>
    <w:rsid w:val="009A3AB7"/>
    <w:rsid w:val="009B0723"/>
    <w:rsid w:val="009B07AD"/>
    <w:rsid w:val="009B0883"/>
    <w:rsid w:val="009B15E2"/>
    <w:rsid w:val="009B4976"/>
    <w:rsid w:val="009C0B8E"/>
    <w:rsid w:val="009C1BC8"/>
    <w:rsid w:val="009C1F85"/>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753D0"/>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E6DA4"/>
    <w:rsid w:val="00AF228E"/>
    <w:rsid w:val="00AF3B1B"/>
    <w:rsid w:val="00B016A8"/>
    <w:rsid w:val="00B02C20"/>
    <w:rsid w:val="00B04033"/>
    <w:rsid w:val="00B14819"/>
    <w:rsid w:val="00B15E2F"/>
    <w:rsid w:val="00B17AA9"/>
    <w:rsid w:val="00B36FC1"/>
    <w:rsid w:val="00B41D58"/>
    <w:rsid w:val="00B44713"/>
    <w:rsid w:val="00B455E5"/>
    <w:rsid w:val="00B51B95"/>
    <w:rsid w:val="00B56103"/>
    <w:rsid w:val="00B604A1"/>
    <w:rsid w:val="00B64929"/>
    <w:rsid w:val="00B71EE6"/>
    <w:rsid w:val="00B736DF"/>
    <w:rsid w:val="00B743D6"/>
    <w:rsid w:val="00B74FBD"/>
    <w:rsid w:val="00B77F46"/>
    <w:rsid w:val="00B82586"/>
    <w:rsid w:val="00B829A3"/>
    <w:rsid w:val="00B86DB1"/>
    <w:rsid w:val="00B87869"/>
    <w:rsid w:val="00B9639B"/>
    <w:rsid w:val="00BA1CFD"/>
    <w:rsid w:val="00BB0F2B"/>
    <w:rsid w:val="00BC2DF4"/>
    <w:rsid w:val="00BE4FF3"/>
    <w:rsid w:val="00BF2C93"/>
    <w:rsid w:val="00BF50F7"/>
    <w:rsid w:val="00C02F29"/>
    <w:rsid w:val="00C12010"/>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5993"/>
    <w:rsid w:val="00CE6E50"/>
    <w:rsid w:val="00CF2819"/>
    <w:rsid w:val="00CF4F9D"/>
    <w:rsid w:val="00CF70DC"/>
    <w:rsid w:val="00D01697"/>
    <w:rsid w:val="00D05AD8"/>
    <w:rsid w:val="00D148DC"/>
    <w:rsid w:val="00D17FDC"/>
    <w:rsid w:val="00D21D8C"/>
    <w:rsid w:val="00D401EF"/>
    <w:rsid w:val="00D53719"/>
    <w:rsid w:val="00D63EFD"/>
    <w:rsid w:val="00D84752"/>
    <w:rsid w:val="00D86B3B"/>
    <w:rsid w:val="00D8748A"/>
    <w:rsid w:val="00D93196"/>
    <w:rsid w:val="00DA0DC0"/>
    <w:rsid w:val="00DB243C"/>
    <w:rsid w:val="00DB482A"/>
    <w:rsid w:val="00DB50FB"/>
    <w:rsid w:val="00DB56F2"/>
    <w:rsid w:val="00DB6EF5"/>
    <w:rsid w:val="00DC2B4D"/>
    <w:rsid w:val="00DC3089"/>
    <w:rsid w:val="00DC4420"/>
    <w:rsid w:val="00DD0802"/>
    <w:rsid w:val="00DD2E11"/>
    <w:rsid w:val="00DE03AF"/>
    <w:rsid w:val="00DE121C"/>
    <w:rsid w:val="00DE6633"/>
    <w:rsid w:val="00DF5F90"/>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5401"/>
    <w:rsid w:val="00E6742D"/>
    <w:rsid w:val="00E71CB0"/>
    <w:rsid w:val="00E77C3D"/>
    <w:rsid w:val="00E833F4"/>
    <w:rsid w:val="00E90991"/>
    <w:rsid w:val="00E909F0"/>
    <w:rsid w:val="00E90D47"/>
    <w:rsid w:val="00E90DA2"/>
    <w:rsid w:val="00E93993"/>
    <w:rsid w:val="00E94797"/>
    <w:rsid w:val="00E9597C"/>
    <w:rsid w:val="00EA0913"/>
    <w:rsid w:val="00EA3B38"/>
    <w:rsid w:val="00EA5B00"/>
    <w:rsid w:val="00EB0B88"/>
    <w:rsid w:val="00EB146B"/>
    <w:rsid w:val="00EB1E0E"/>
    <w:rsid w:val="00EB45AC"/>
    <w:rsid w:val="00EC05EF"/>
    <w:rsid w:val="00EC441F"/>
    <w:rsid w:val="00EC4755"/>
    <w:rsid w:val="00ED0BC4"/>
    <w:rsid w:val="00ED447D"/>
    <w:rsid w:val="00EE4971"/>
    <w:rsid w:val="00EE6CB0"/>
    <w:rsid w:val="00EF090E"/>
    <w:rsid w:val="00EF5572"/>
    <w:rsid w:val="00F01D7D"/>
    <w:rsid w:val="00F033DA"/>
    <w:rsid w:val="00F13691"/>
    <w:rsid w:val="00F13FB1"/>
    <w:rsid w:val="00F24281"/>
    <w:rsid w:val="00F253AE"/>
    <w:rsid w:val="00F27CD8"/>
    <w:rsid w:val="00F30351"/>
    <w:rsid w:val="00F3323E"/>
    <w:rsid w:val="00F341F4"/>
    <w:rsid w:val="00F34F9D"/>
    <w:rsid w:val="00F35CCE"/>
    <w:rsid w:val="00F3609C"/>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0C91"/>
    <w:rsid w:val="00FD1A35"/>
    <w:rsid w:val="00FD2EA4"/>
    <w:rsid w:val="00FD36C5"/>
    <w:rsid w:val="00FD6310"/>
    <w:rsid w:val="00FD7C7B"/>
    <w:rsid w:val="00FE009D"/>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5671">
      <w:bodyDiv w:val="1"/>
      <w:marLeft w:val="0"/>
      <w:marRight w:val="0"/>
      <w:marTop w:val="0"/>
      <w:marBottom w:val="0"/>
      <w:divBdr>
        <w:top w:val="none" w:sz="0" w:space="0" w:color="auto"/>
        <w:left w:val="none" w:sz="0" w:space="0" w:color="auto"/>
        <w:bottom w:val="none" w:sz="0" w:space="0" w:color="auto"/>
        <w:right w:val="none" w:sz="0" w:space="0" w:color="auto"/>
      </w:divBdr>
      <w:divsChild>
        <w:div w:id="163671651">
          <w:marLeft w:val="0"/>
          <w:marRight w:val="0"/>
          <w:marTop w:val="0"/>
          <w:marBottom w:val="0"/>
          <w:divBdr>
            <w:top w:val="none" w:sz="0" w:space="0" w:color="auto"/>
            <w:left w:val="none" w:sz="0" w:space="0" w:color="auto"/>
            <w:bottom w:val="none" w:sz="0" w:space="0" w:color="auto"/>
            <w:right w:val="none" w:sz="0" w:space="0" w:color="auto"/>
          </w:divBdr>
          <w:divsChild>
            <w:div w:id="2064255540">
              <w:marLeft w:val="0"/>
              <w:marRight w:val="0"/>
              <w:marTop w:val="0"/>
              <w:marBottom w:val="0"/>
              <w:divBdr>
                <w:top w:val="none" w:sz="0" w:space="0" w:color="auto"/>
                <w:left w:val="none" w:sz="0" w:space="0" w:color="auto"/>
                <w:bottom w:val="none" w:sz="0" w:space="0" w:color="auto"/>
                <w:right w:val="none" w:sz="0" w:space="0" w:color="auto"/>
              </w:divBdr>
              <w:divsChild>
                <w:div w:id="20478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977">
      <w:bodyDiv w:val="1"/>
      <w:marLeft w:val="0"/>
      <w:marRight w:val="0"/>
      <w:marTop w:val="0"/>
      <w:marBottom w:val="0"/>
      <w:divBdr>
        <w:top w:val="none" w:sz="0" w:space="0" w:color="auto"/>
        <w:left w:val="none" w:sz="0" w:space="0" w:color="auto"/>
        <w:bottom w:val="none" w:sz="0" w:space="0" w:color="auto"/>
        <w:right w:val="none" w:sz="0" w:space="0" w:color="auto"/>
      </w:divBdr>
      <w:divsChild>
        <w:div w:id="163127509">
          <w:marLeft w:val="0"/>
          <w:marRight w:val="0"/>
          <w:marTop w:val="0"/>
          <w:marBottom w:val="0"/>
          <w:divBdr>
            <w:top w:val="none" w:sz="0" w:space="0" w:color="auto"/>
            <w:left w:val="none" w:sz="0" w:space="0" w:color="auto"/>
            <w:bottom w:val="none" w:sz="0" w:space="0" w:color="auto"/>
            <w:right w:val="none" w:sz="0" w:space="0" w:color="auto"/>
          </w:divBdr>
          <w:divsChild>
            <w:div w:id="1049765517">
              <w:marLeft w:val="0"/>
              <w:marRight w:val="0"/>
              <w:marTop w:val="0"/>
              <w:marBottom w:val="0"/>
              <w:divBdr>
                <w:top w:val="none" w:sz="0" w:space="0" w:color="auto"/>
                <w:left w:val="none" w:sz="0" w:space="0" w:color="auto"/>
                <w:bottom w:val="none" w:sz="0" w:space="0" w:color="auto"/>
                <w:right w:val="none" w:sz="0" w:space="0" w:color="auto"/>
              </w:divBdr>
              <w:divsChild>
                <w:div w:id="3667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658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10702465">
      <w:bodyDiv w:val="1"/>
      <w:marLeft w:val="0"/>
      <w:marRight w:val="0"/>
      <w:marTop w:val="0"/>
      <w:marBottom w:val="0"/>
      <w:divBdr>
        <w:top w:val="none" w:sz="0" w:space="0" w:color="auto"/>
        <w:left w:val="none" w:sz="0" w:space="0" w:color="auto"/>
        <w:bottom w:val="none" w:sz="0" w:space="0" w:color="auto"/>
        <w:right w:val="none" w:sz="0" w:space="0" w:color="auto"/>
      </w:divBdr>
    </w:div>
    <w:div w:id="911742842">
      <w:bodyDiv w:val="1"/>
      <w:marLeft w:val="0"/>
      <w:marRight w:val="0"/>
      <w:marTop w:val="0"/>
      <w:marBottom w:val="0"/>
      <w:divBdr>
        <w:top w:val="none" w:sz="0" w:space="0" w:color="auto"/>
        <w:left w:val="none" w:sz="0" w:space="0" w:color="auto"/>
        <w:bottom w:val="none" w:sz="0" w:space="0" w:color="auto"/>
        <w:right w:val="none" w:sz="0" w:space="0" w:color="auto"/>
      </w:divBdr>
      <w:divsChild>
        <w:div w:id="86853728">
          <w:marLeft w:val="0"/>
          <w:marRight w:val="0"/>
          <w:marTop w:val="0"/>
          <w:marBottom w:val="0"/>
          <w:divBdr>
            <w:top w:val="none" w:sz="0" w:space="0" w:color="auto"/>
            <w:left w:val="none" w:sz="0" w:space="0" w:color="auto"/>
            <w:bottom w:val="none" w:sz="0" w:space="0" w:color="auto"/>
            <w:right w:val="none" w:sz="0" w:space="0" w:color="auto"/>
          </w:divBdr>
          <w:divsChild>
            <w:div w:id="157815102">
              <w:marLeft w:val="0"/>
              <w:marRight w:val="0"/>
              <w:marTop w:val="0"/>
              <w:marBottom w:val="0"/>
              <w:divBdr>
                <w:top w:val="none" w:sz="0" w:space="0" w:color="auto"/>
                <w:left w:val="none" w:sz="0" w:space="0" w:color="auto"/>
                <w:bottom w:val="none" w:sz="0" w:space="0" w:color="auto"/>
                <w:right w:val="none" w:sz="0" w:space="0" w:color="auto"/>
              </w:divBdr>
              <w:divsChild>
                <w:div w:id="1631668106">
                  <w:marLeft w:val="0"/>
                  <w:marRight w:val="0"/>
                  <w:marTop w:val="0"/>
                  <w:marBottom w:val="0"/>
                  <w:divBdr>
                    <w:top w:val="none" w:sz="0" w:space="0" w:color="auto"/>
                    <w:left w:val="none" w:sz="0" w:space="0" w:color="auto"/>
                    <w:bottom w:val="none" w:sz="0" w:space="0" w:color="auto"/>
                    <w:right w:val="none" w:sz="0" w:space="0" w:color="auto"/>
                  </w:divBdr>
                  <w:divsChild>
                    <w:div w:id="11457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44042">
      <w:bodyDiv w:val="1"/>
      <w:marLeft w:val="0"/>
      <w:marRight w:val="0"/>
      <w:marTop w:val="0"/>
      <w:marBottom w:val="0"/>
      <w:divBdr>
        <w:top w:val="none" w:sz="0" w:space="0" w:color="auto"/>
        <w:left w:val="none" w:sz="0" w:space="0" w:color="auto"/>
        <w:bottom w:val="none" w:sz="0" w:space="0" w:color="auto"/>
        <w:right w:val="none" w:sz="0" w:space="0" w:color="auto"/>
      </w:divBdr>
    </w:div>
    <w:div w:id="1364940535">
      <w:bodyDiv w:val="1"/>
      <w:marLeft w:val="0"/>
      <w:marRight w:val="0"/>
      <w:marTop w:val="0"/>
      <w:marBottom w:val="0"/>
      <w:divBdr>
        <w:top w:val="none" w:sz="0" w:space="0" w:color="auto"/>
        <w:left w:val="none" w:sz="0" w:space="0" w:color="auto"/>
        <w:bottom w:val="none" w:sz="0" w:space="0" w:color="auto"/>
        <w:right w:val="none" w:sz="0" w:space="0" w:color="auto"/>
      </w:divBdr>
      <w:divsChild>
        <w:div w:id="1264804294">
          <w:marLeft w:val="0"/>
          <w:marRight w:val="0"/>
          <w:marTop w:val="0"/>
          <w:marBottom w:val="0"/>
          <w:divBdr>
            <w:top w:val="none" w:sz="0" w:space="0" w:color="auto"/>
            <w:left w:val="none" w:sz="0" w:space="0" w:color="auto"/>
            <w:bottom w:val="none" w:sz="0" w:space="0" w:color="auto"/>
            <w:right w:val="none" w:sz="0" w:space="0" w:color="auto"/>
          </w:divBdr>
          <w:divsChild>
            <w:div w:id="872039477">
              <w:marLeft w:val="0"/>
              <w:marRight w:val="0"/>
              <w:marTop w:val="0"/>
              <w:marBottom w:val="0"/>
              <w:divBdr>
                <w:top w:val="none" w:sz="0" w:space="0" w:color="auto"/>
                <w:left w:val="none" w:sz="0" w:space="0" w:color="auto"/>
                <w:bottom w:val="none" w:sz="0" w:space="0" w:color="auto"/>
                <w:right w:val="none" w:sz="0" w:space="0" w:color="auto"/>
              </w:divBdr>
            </w:div>
          </w:divsChild>
        </w:div>
        <w:div w:id="572355251">
          <w:marLeft w:val="0"/>
          <w:marRight w:val="0"/>
          <w:marTop w:val="0"/>
          <w:marBottom w:val="0"/>
          <w:divBdr>
            <w:top w:val="none" w:sz="0" w:space="0" w:color="auto"/>
            <w:left w:val="none" w:sz="0" w:space="0" w:color="auto"/>
            <w:bottom w:val="none" w:sz="0" w:space="0" w:color="auto"/>
            <w:right w:val="none" w:sz="0" w:space="0" w:color="auto"/>
          </w:divBdr>
          <w:divsChild>
            <w:div w:id="211890007">
              <w:marLeft w:val="0"/>
              <w:marRight w:val="0"/>
              <w:marTop w:val="0"/>
              <w:marBottom w:val="0"/>
              <w:divBdr>
                <w:top w:val="none" w:sz="0" w:space="0" w:color="auto"/>
                <w:left w:val="none" w:sz="0" w:space="0" w:color="auto"/>
                <w:bottom w:val="none" w:sz="0" w:space="0" w:color="auto"/>
                <w:right w:val="none" w:sz="0" w:space="0" w:color="auto"/>
              </w:divBdr>
            </w:div>
          </w:divsChild>
        </w:div>
        <w:div w:id="1806778571">
          <w:marLeft w:val="0"/>
          <w:marRight w:val="0"/>
          <w:marTop w:val="0"/>
          <w:marBottom w:val="0"/>
          <w:divBdr>
            <w:top w:val="none" w:sz="0" w:space="0" w:color="auto"/>
            <w:left w:val="none" w:sz="0" w:space="0" w:color="auto"/>
            <w:bottom w:val="none" w:sz="0" w:space="0" w:color="auto"/>
            <w:right w:val="none" w:sz="0" w:space="0" w:color="auto"/>
          </w:divBdr>
          <w:divsChild>
            <w:div w:id="1595938283">
              <w:marLeft w:val="0"/>
              <w:marRight w:val="0"/>
              <w:marTop w:val="0"/>
              <w:marBottom w:val="0"/>
              <w:divBdr>
                <w:top w:val="none" w:sz="0" w:space="0" w:color="auto"/>
                <w:left w:val="none" w:sz="0" w:space="0" w:color="auto"/>
                <w:bottom w:val="none" w:sz="0" w:space="0" w:color="auto"/>
                <w:right w:val="none" w:sz="0" w:space="0" w:color="auto"/>
              </w:divBdr>
              <w:divsChild>
                <w:div w:id="1560895801">
                  <w:marLeft w:val="0"/>
                  <w:marRight w:val="0"/>
                  <w:marTop w:val="0"/>
                  <w:marBottom w:val="0"/>
                  <w:divBdr>
                    <w:top w:val="none" w:sz="0" w:space="0" w:color="auto"/>
                    <w:left w:val="none" w:sz="0" w:space="0" w:color="auto"/>
                    <w:bottom w:val="none" w:sz="0" w:space="0" w:color="auto"/>
                    <w:right w:val="none" w:sz="0" w:space="0" w:color="auto"/>
                  </w:divBdr>
                  <w:divsChild>
                    <w:div w:id="4399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7808">
              <w:marLeft w:val="0"/>
              <w:marRight w:val="0"/>
              <w:marTop w:val="0"/>
              <w:marBottom w:val="0"/>
              <w:divBdr>
                <w:top w:val="none" w:sz="0" w:space="0" w:color="auto"/>
                <w:left w:val="none" w:sz="0" w:space="0" w:color="auto"/>
                <w:bottom w:val="none" w:sz="0" w:space="0" w:color="auto"/>
                <w:right w:val="none" w:sz="0" w:space="0" w:color="auto"/>
              </w:divBdr>
              <w:divsChild>
                <w:div w:id="1445925066">
                  <w:marLeft w:val="0"/>
                  <w:marRight w:val="0"/>
                  <w:marTop w:val="0"/>
                  <w:marBottom w:val="0"/>
                  <w:divBdr>
                    <w:top w:val="none" w:sz="0" w:space="0" w:color="auto"/>
                    <w:left w:val="none" w:sz="0" w:space="0" w:color="auto"/>
                    <w:bottom w:val="none" w:sz="0" w:space="0" w:color="auto"/>
                    <w:right w:val="none" w:sz="0" w:space="0" w:color="auto"/>
                  </w:divBdr>
                  <w:divsChild>
                    <w:div w:id="15651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7932">
      <w:bodyDiv w:val="1"/>
      <w:marLeft w:val="0"/>
      <w:marRight w:val="0"/>
      <w:marTop w:val="0"/>
      <w:marBottom w:val="0"/>
      <w:divBdr>
        <w:top w:val="none" w:sz="0" w:space="0" w:color="auto"/>
        <w:left w:val="none" w:sz="0" w:space="0" w:color="auto"/>
        <w:bottom w:val="none" w:sz="0" w:space="0" w:color="auto"/>
        <w:right w:val="none" w:sz="0" w:space="0" w:color="auto"/>
      </w:divBdr>
    </w:div>
    <w:div w:id="1840805799">
      <w:bodyDiv w:val="1"/>
      <w:marLeft w:val="0"/>
      <w:marRight w:val="0"/>
      <w:marTop w:val="0"/>
      <w:marBottom w:val="0"/>
      <w:divBdr>
        <w:top w:val="none" w:sz="0" w:space="0" w:color="auto"/>
        <w:left w:val="none" w:sz="0" w:space="0" w:color="auto"/>
        <w:bottom w:val="none" w:sz="0" w:space="0" w:color="auto"/>
        <w:right w:val="none" w:sz="0" w:space="0" w:color="auto"/>
      </w:divBdr>
      <w:divsChild>
        <w:div w:id="1882014137">
          <w:marLeft w:val="0"/>
          <w:marRight w:val="0"/>
          <w:marTop w:val="0"/>
          <w:marBottom w:val="0"/>
          <w:divBdr>
            <w:top w:val="none" w:sz="0" w:space="0" w:color="auto"/>
            <w:left w:val="none" w:sz="0" w:space="0" w:color="auto"/>
            <w:bottom w:val="none" w:sz="0" w:space="0" w:color="auto"/>
            <w:right w:val="none" w:sz="0" w:space="0" w:color="auto"/>
          </w:divBdr>
          <w:divsChild>
            <w:div w:id="711154273">
              <w:marLeft w:val="0"/>
              <w:marRight w:val="0"/>
              <w:marTop w:val="0"/>
              <w:marBottom w:val="0"/>
              <w:divBdr>
                <w:top w:val="none" w:sz="0" w:space="0" w:color="auto"/>
                <w:left w:val="none" w:sz="0" w:space="0" w:color="auto"/>
                <w:bottom w:val="none" w:sz="0" w:space="0" w:color="auto"/>
                <w:right w:val="none" w:sz="0" w:space="0" w:color="auto"/>
              </w:divBdr>
              <w:divsChild>
                <w:div w:id="13029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0230864">
      <w:bodyDiv w:val="1"/>
      <w:marLeft w:val="0"/>
      <w:marRight w:val="0"/>
      <w:marTop w:val="0"/>
      <w:marBottom w:val="0"/>
      <w:divBdr>
        <w:top w:val="none" w:sz="0" w:space="0" w:color="auto"/>
        <w:left w:val="none" w:sz="0" w:space="0" w:color="auto"/>
        <w:bottom w:val="none" w:sz="0" w:space="0" w:color="auto"/>
        <w:right w:val="none" w:sz="0" w:space="0" w:color="auto"/>
      </w:divBdr>
      <w:divsChild>
        <w:div w:id="1056780261">
          <w:marLeft w:val="0"/>
          <w:marRight w:val="0"/>
          <w:marTop w:val="0"/>
          <w:marBottom w:val="0"/>
          <w:divBdr>
            <w:top w:val="none" w:sz="0" w:space="0" w:color="auto"/>
            <w:left w:val="none" w:sz="0" w:space="0" w:color="auto"/>
            <w:bottom w:val="none" w:sz="0" w:space="0" w:color="auto"/>
            <w:right w:val="none" w:sz="0" w:space="0" w:color="auto"/>
          </w:divBdr>
          <w:divsChild>
            <w:div w:id="685599710">
              <w:marLeft w:val="0"/>
              <w:marRight w:val="0"/>
              <w:marTop w:val="0"/>
              <w:marBottom w:val="0"/>
              <w:divBdr>
                <w:top w:val="none" w:sz="0" w:space="0" w:color="auto"/>
                <w:left w:val="none" w:sz="0" w:space="0" w:color="auto"/>
                <w:bottom w:val="none" w:sz="0" w:space="0" w:color="auto"/>
                <w:right w:val="none" w:sz="0" w:space="0" w:color="auto"/>
              </w:divBdr>
              <w:divsChild>
                <w:div w:id="1415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pearly.anghx@gmail.com</cp:lastModifiedBy>
  <cp:revision>37</cp:revision>
  <cp:lastPrinted>2019-08-27T05:42:00Z</cp:lastPrinted>
  <dcterms:created xsi:type="dcterms:W3CDTF">2022-07-04T17:01:00Z</dcterms:created>
  <dcterms:modified xsi:type="dcterms:W3CDTF">2023-07-30T19:15:00Z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