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565A57" w:rsidRDefault="00D66F96" w:rsidP="005B7C95">
      <w:pPr>
        <w:pStyle w:val="ListParagraph"/>
        <w:numPr>
          <w:ilvl w:val="0"/>
          <w:numId w:val="26"/>
        </w:numPr>
        <w:ind w:left="426"/>
        <w:jc w:val="both"/>
        <w:rPr>
          <w:rFonts w:ascii="Avenir Next" w:hAnsi="Avenir Next" w:cs="Arial"/>
          <w:sz w:val="22"/>
          <w:szCs w:val="22"/>
          <w:highlight w:val="yellow"/>
          <w:lang w:val="en-GB"/>
        </w:rPr>
      </w:pPr>
      <w:r w:rsidRPr="00565A57">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565A57" w:rsidRDefault="00A26868" w:rsidP="004A565C">
      <w:pPr>
        <w:pStyle w:val="ListParagraph"/>
        <w:numPr>
          <w:ilvl w:val="0"/>
          <w:numId w:val="3"/>
        </w:numPr>
        <w:ind w:left="426"/>
        <w:jc w:val="both"/>
        <w:rPr>
          <w:rFonts w:ascii="Avenir Next" w:hAnsi="Avenir Next" w:cs="Arial"/>
          <w:iCs/>
          <w:sz w:val="22"/>
          <w:szCs w:val="22"/>
          <w:highlight w:val="yellow"/>
          <w:lang w:val="en-GB"/>
        </w:rPr>
      </w:pPr>
      <w:r w:rsidRPr="00565A57">
        <w:rPr>
          <w:rFonts w:ascii="Avenir Next" w:hAnsi="Avenir Next" w:cs="Arial"/>
          <w:iCs/>
          <w:sz w:val="22"/>
          <w:szCs w:val="22"/>
          <w:highlight w:val="yellow"/>
          <w:lang w:val="en-GB"/>
        </w:rPr>
        <w:t>t</w:t>
      </w:r>
      <w:r w:rsidR="00302D76" w:rsidRPr="00565A57">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4A565C">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565A57"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565A57">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565A57" w:rsidRDefault="00971896" w:rsidP="003C4BCB">
      <w:pPr>
        <w:pStyle w:val="ListParagraph"/>
        <w:numPr>
          <w:ilvl w:val="0"/>
          <w:numId w:val="5"/>
        </w:numPr>
        <w:ind w:left="426"/>
        <w:jc w:val="both"/>
        <w:rPr>
          <w:rFonts w:ascii="Avenir Next" w:hAnsi="Avenir Next" w:cs="Arial"/>
          <w:sz w:val="22"/>
          <w:szCs w:val="22"/>
          <w:highlight w:val="yellow"/>
          <w:lang w:val="en-GB"/>
        </w:rPr>
      </w:pPr>
      <w:r w:rsidRPr="00565A57">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565A57">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565A57" w:rsidRDefault="00302D76" w:rsidP="008E3C96">
      <w:pPr>
        <w:pStyle w:val="ListParagraph"/>
        <w:numPr>
          <w:ilvl w:val="0"/>
          <w:numId w:val="28"/>
        </w:numPr>
        <w:ind w:left="426"/>
        <w:jc w:val="both"/>
        <w:rPr>
          <w:rFonts w:ascii="Avenir Next" w:hAnsi="Avenir Next" w:cs="Arial"/>
          <w:sz w:val="22"/>
          <w:szCs w:val="22"/>
          <w:highlight w:val="yellow"/>
          <w:lang w:val="en-GB"/>
        </w:rPr>
      </w:pPr>
      <w:r w:rsidRPr="00565A57">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565A57" w:rsidRDefault="00CA7069" w:rsidP="003C4BCB">
      <w:pPr>
        <w:pStyle w:val="ListParagraph"/>
        <w:numPr>
          <w:ilvl w:val="0"/>
          <w:numId w:val="7"/>
        </w:numPr>
        <w:ind w:left="426"/>
        <w:jc w:val="both"/>
        <w:rPr>
          <w:rFonts w:ascii="Avenir Next" w:hAnsi="Avenir Next" w:cs="Arial"/>
          <w:sz w:val="22"/>
          <w:szCs w:val="22"/>
          <w:highlight w:val="yellow"/>
          <w:lang w:val="en-GB"/>
        </w:rPr>
      </w:pPr>
      <w:r w:rsidRPr="00565A57">
        <w:rPr>
          <w:rFonts w:ascii="Avenir Next" w:hAnsi="Avenir Next" w:cs="Arial"/>
          <w:sz w:val="22"/>
          <w:szCs w:val="22"/>
          <w:highlight w:val="yellow"/>
          <w:lang w:val="en-GB"/>
        </w:rPr>
        <w:t xml:space="preserve">Each Member State will define </w:t>
      </w:r>
      <w:r w:rsidR="001A68CC" w:rsidRPr="00565A57">
        <w:rPr>
          <w:rFonts w:ascii="Avenir Next" w:hAnsi="Avenir Next" w:cs="Arial"/>
          <w:sz w:val="22"/>
          <w:szCs w:val="22"/>
          <w:highlight w:val="yellow"/>
          <w:lang w:val="en-GB"/>
        </w:rPr>
        <w:t>“</w:t>
      </w:r>
      <w:r w:rsidRPr="00565A57">
        <w:rPr>
          <w:rFonts w:ascii="Avenir Next" w:hAnsi="Avenir Next" w:cs="Arial"/>
          <w:sz w:val="22"/>
          <w:szCs w:val="22"/>
          <w:highlight w:val="yellow"/>
          <w:lang w:val="en-GB"/>
        </w:rPr>
        <w:t>insolvency</w:t>
      </w:r>
      <w:r w:rsidR="001A68CC" w:rsidRPr="00565A57">
        <w:rPr>
          <w:rFonts w:ascii="Avenir Next" w:hAnsi="Avenir Next" w:cs="Arial"/>
          <w:sz w:val="22"/>
          <w:szCs w:val="22"/>
          <w:highlight w:val="yellow"/>
          <w:lang w:val="en-GB"/>
        </w:rPr>
        <w:t>”</w:t>
      </w:r>
      <w:r w:rsidRPr="00565A57">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565A57" w:rsidRDefault="00CA7069" w:rsidP="00CA7069">
      <w:pPr>
        <w:pStyle w:val="ListParagraph"/>
        <w:numPr>
          <w:ilvl w:val="0"/>
          <w:numId w:val="8"/>
        </w:numPr>
        <w:ind w:left="426"/>
        <w:jc w:val="both"/>
        <w:rPr>
          <w:rFonts w:ascii="Avenir Next" w:hAnsi="Avenir Next" w:cs="Arial"/>
          <w:sz w:val="22"/>
          <w:szCs w:val="22"/>
          <w:highlight w:val="yellow"/>
          <w:lang w:val="en-GB"/>
        </w:rPr>
      </w:pPr>
      <w:r w:rsidRPr="00565A57">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565A57" w:rsidRDefault="00C15FA2" w:rsidP="008E3C96">
      <w:pPr>
        <w:pStyle w:val="ListParagraph"/>
        <w:numPr>
          <w:ilvl w:val="0"/>
          <w:numId w:val="29"/>
        </w:numPr>
        <w:ind w:left="426"/>
        <w:jc w:val="both"/>
        <w:rPr>
          <w:rFonts w:ascii="Avenir Next" w:hAnsi="Avenir Next" w:cs="Arial"/>
          <w:sz w:val="22"/>
          <w:szCs w:val="22"/>
          <w:highlight w:val="yellow"/>
          <w:lang w:val="en-GB"/>
        </w:rPr>
      </w:pPr>
      <w:r w:rsidRPr="00565A57">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F60C3" w:rsidRDefault="00EC242E" w:rsidP="008E3C96">
      <w:pPr>
        <w:pStyle w:val="ListParagraph"/>
        <w:numPr>
          <w:ilvl w:val="0"/>
          <w:numId w:val="30"/>
        </w:numPr>
        <w:ind w:left="426"/>
        <w:jc w:val="both"/>
        <w:rPr>
          <w:rFonts w:ascii="Avenir Next" w:hAnsi="Avenir Next" w:cs="Arial"/>
          <w:sz w:val="22"/>
          <w:szCs w:val="22"/>
          <w:highlight w:val="yellow"/>
          <w:lang w:val="en-GB"/>
        </w:rPr>
      </w:pPr>
      <w:r w:rsidRPr="008F60C3">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565A57" w:rsidRDefault="00EC242E" w:rsidP="00EC242E">
      <w:pPr>
        <w:pStyle w:val="ListParagraph"/>
        <w:numPr>
          <w:ilvl w:val="0"/>
          <w:numId w:val="9"/>
        </w:numPr>
        <w:ind w:left="426"/>
        <w:jc w:val="both"/>
        <w:rPr>
          <w:rFonts w:ascii="Avenir Next" w:hAnsi="Avenir Next" w:cs="Arial"/>
          <w:sz w:val="22"/>
          <w:szCs w:val="22"/>
          <w:highlight w:val="yellow"/>
          <w:lang w:val="en-GB"/>
        </w:rPr>
      </w:pPr>
      <w:r w:rsidRPr="00565A57">
        <w:rPr>
          <w:rFonts w:ascii="Avenir Next" w:hAnsi="Avenir Next" w:cs="Arial"/>
          <w:sz w:val="22"/>
          <w:szCs w:val="22"/>
          <w:highlight w:val="yellow"/>
          <w:lang w:val="en-GB"/>
        </w:rPr>
        <w:t xml:space="preserve">The insolvency practitioner will always succeed in his claim if he can clearly prove that under the </w:t>
      </w:r>
      <w:proofErr w:type="spellStart"/>
      <w:r w:rsidRPr="00565A57">
        <w:rPr>
          <w:rFonts w:ascii="Avenir Next" w:hAnsi="Avenir Next" w:cs="Arial"/>
          <w:i/>
          <w:sz w:val="22"/>
          <w:szCs w:val="22"/>
          <w:highlight w:val="yellow"/>
          <w:lang w:val="en-GB"/>
        </w:rPr>
        <w:t>lex</w:t>
      </w:r>
      <w:proofErr w:type="spellEnd"/>
      <w:r w:rsidRPr="00565A57">
        <w:rPr>
          <w:rFonts w:ascii="Avenir Next" w:hAnsi="Avenir Next" w:cs="Arial"/>
          <w:i/>
          <w:sz w:val="22"/>
          <w:szCs w:val="22"/>
          <w:highlight w:val="yellow"/>
          <w:lang w:val="en-GB"/>
        </w:rPr>
        <w:t xml:space="preserve"> </w:t>
      </w:r>
      <w:proofErr w:type="spellStart"/>
      <w:r w:rsidRPr="00565A57">
        <w:rPr>
          <w:rFonts w:ascii="Avenir Next" w:hAnsi="Avenir Next" w:cs="Arial"/>
          <w:i/>
          <w:sz w:val="22"/>
          <w:szCs w:val="22"/>
          <w:highlight w:val="yellow"/>
          <w:lang w:val="en-GB"/>
        </w:rPr>
        <w:t>concursus</w:t>
      </w:r>
      <w:proofErr w:type="spellEnd"/>
      <w:r w:rsidRPr="00565A57">
        <w:rPr>
          <w:rFonts w:ascii="Avenir Next" w:hAnsi="Avenir Next" w:cs="Arial"/>
          <w:sz w:val="22"/>
          <w:szCs w:val="22"/>
          <w:highlight w:val="yellow"/>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proofErr w:type="spellStart"/>
      <w:r w:rsidRPr="008E3C96">
        <w:rPr>
          <w:rFonts w:ascii="Avenir Next" w:hAnsi="Avenir Next" w:cs="Arial"/>
          <w:i/>
          <w:sz w:val="22"/>
          <w:szCs w:val="22"/>
          <w:lang w:val="en-GB"/>
        </w:rPr>
        <w:t>lex</w:t>
      </w:r>
      <w:proofErr w:type="spellEnd"/>
      <w:r w:rsidRPr="008E3C96">
        <w:rPr>
          <w:rFonts w:ascii="Avenir Next" w:hAnsi="Avenir Next" w:cs="Arial"/>
          <w:i/>
          <w:sz w:val="22"/>
          <w:szCs w:val="22"/>
          <w:lang w:val="en-GB"/>
        </w:rPr>
        <w:t xml:space="preserve">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proofErr w:type="spellStart"/>
      <w:r w:rsidRPr="008E3C96">
        <w:rPr>
          <w:rFonts w:ascii="Avenir Next" w:hAnsi="Avenir Next" w:cs="Arial"/>
          <w:i/>
          <w:sz w:val="22"/>
          <w:szCs w:val="22"/>
          <w:lang w:val="en-GB"/>
        </w:rPr>
        <w:t>lex</w:t>
      </w:r>
      <w:proofErr w:type="spellEnd"/>
      <w:r w:rsidRPr="008E3C96">
        <w:rPr>
          <w:rFonts w:ascii="Avenir Next" w:hAnsi="Avenir Next" w:cs="Arial"/>
          <w:i/>
          <w:sz w:val="22"/>
          <w:szCs w:val="22"/>
          <w:lang w:val="en-GB"/>
        </w:rPr>
        <w:t xml:space="preserve">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2781F2DF"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r w:rsidR="00AA05BC">
        <w:rPr>
          <w:rFonts w:ascii="Avenir Next Demi Bold" w:hAnsi="Avenir Next Demi Bold" w:cs="Arial"/>
          <w:b/>
          <w:bCs/>
          <w:sz w:val="22"/>
          <w:szCs w:val="22"/>
          <w:lang w:val="en-GB"/>
        </w:rPr>
        <w:t xml:space="preserve"> </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13EE7F59" w14:textId="5145A8EA" w:rsidR="00AA05BC" w:rsidRDefault="00AA05BC" w:rsidP="00AA05BC">
      <w:pPr>
        <w:jc w:val="both"/>
        <w:rPr>
          <w:rFonts w:ascii="Avenir Next" w:hAnsi="Avenir Next" w:cs="Arial"/>
          <w:color w:val="7B7B7B" w:themeColor="accent3" w:themeShade="BF"/>
          <w:sz w:val="22"/>
          <w:szCs w:val="22"/>
        </w:rPr>
      </w:pPr>
    </w:p>
    <w:p w14:paraId="5C7DD9F3" w14:textId="5AA2FCB7" w:rsidR="00636C15" w:rsidRPr="00AE0EA8" w:rsidRDefault="00F0668E" w:rsidP="00AE0EA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 xml:space="preserve">Statement 1 refers to </w:t>
      </w:r>
      <w:r w:rsidR="00AE0EA8">
        <w:rPr>
          <w:rFonts w:ascii="Avenir Next" w:hAnsi="Avenir Next" w:cs="Arial"/>
          <w:color w:val="7B7B7B" w:themeColor="accent3" w:themeShade="BF"/>
          <w:sz w:val="22"/>
          <w:szCs w:val="22"/>
        </w:rPr>
        <w:t>the rebuttable presumption</w:t>
      </w:r>
      <w:r w:rsidR="001D5419">
        <w:rPr>
          <w:rFonts w:ascii="Avenir Next" w:hAnsi="Avenir Next" w:cs="Arial"/>
          <w:color w:val="7B7B7B" w:themeColor="accent3" w:themeShade="BF"/>
          <w:sz w:val="22"/>
          <w:szCs w:val="22"/>
        </w:rPr>
        <w:t xml:space="preserve">s created by </w:t>
      </w:r>
      <w:r w:rsidR="001D5419">
        <w:rPr>
          <w:rFonts w:ascii="Avenir Next" w:hAnsi="Avenir Next" w:cs="Arial"/>
          <w:color w:val="7B7B7B" w:themeColor="accent3" w:themeShade="BF"/>
          <w:sz w:val="22"/>
          <w:szCs w:val="22"/>
          <w:lang w:val="en-GB"/>
        </w:rPr>
        <w:t>Article 3(1) (International Jurisdiction)</w:t>
      </w:r>
      <w:r w:rsidR="00AE0EA8">
        <w:rPr>
          <w:rFonts w:ascii="Avenir Next" w:hAnsi="Avenir Next" w:cs="Arial"/>
          <w:color w:val="7B7B7B" w:themeColor="accent3" w:themeShade="BF"/>
          <w:sz w:val="22"/>
          <w:szCs w:val="22"/>
        </w:rPr>
        <w:t xml:space="preserve"> </w:t>
      </w:r>
      <w:r w:rsidR="007942CB">
        <w:rPr>
          <w:rFonts w:ascii="Avenir Next" w:hAnsi="Avenir Next" w:cs="Arial"/>
          <w:color w:val="7B7B7B" w:themeColor="accent3" w:themeShade="BF"/>
          <w:sz w:val="22"/>
          <w:szCs w:val="22"/>
        </w:rPr>
        <w:t xml:space="preserve">which </w:t>
      </w:r>
      <w:r w:rsidR="00D72A71">
        <w:rPr>
          <w:rFonts w:ascii="Avenir Next" w:hAnsi="Avenir Next" w:cs="Arial"/>
          <w:color w:val="7B7B7B" w:themeColor="accent3" w:themeShade="BF"/>
          <w:sz w:val="22"/>
          <w:szCs w:val="22"/>
        </w:rPr>
        <w:t>c</w:t>
      </w:r>
      <w:r w:rsidR="007942CB">
        <w:rPr>
          <w:rFonts w:ascii="Avenir Next" w:hAnsi="Avenir Next" w:cs="Arial"/>
          <w:color w:val="7B7B7B" w:themeColor="accent3" w:themeShade="BF"/>
          <w:sz w:val="22"/>
          <w:szCs w:val="22"/>
        </w:rPr>
        <w:t>an be used to determine the COMI of a debtor for purposes of opening main insolvency proceedings</w:t>
      </w:r>
      <w:r w:rsidR="00AE0EA8">
        <w:rPr>
          <w:rFonts w:ascii="Avenir Next" w:hAnsi="Avenir Next" w:cs="Arial"/>
          <w:color w:val="7B7B7B" w:themeColor="accent3" w:themeShade="BF"/>
          <w:sz w:val="22"/>
          <w:szCs w:val="22"/>
          <w:lang w:val="en-GB"/>
        </w:rPr>
        <w:t>.</w:t>
      </w:r>
    </w:p>
    <w:p w14:paraId="15BA0BED" w14:textId="0A5C09CD" w:rsidR="00F0668E" w:rsidRPr="00AA05BC" w:rsidRDefault="00F0668E" w:rsidP="00AA05B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Statement 2</w:t>
      </w:r>
      <w:r w:rsidR="00AE0EA8">
        <w:rPr>
          <w:rFonts w:ascii="Avenir Next" w:hAnsi="Avenir Next" w:cs="Arial"/>
          <w:color w:val="7B7B7B" w:themeColor="accent3" w:themeShade="BF"/>
          <w:sz w:val="22"/>
          <w:szCs w:val="22"/>
        </w:rPr>
        <w:t xml:space="preserve"> is covered off by Article 1 (Scope) of the EIR Recast </w:t>
      </w:r>
      <w:r w:rsidR="00AA05BC">
        <w:rPr>
          <w:rFonts w:ascii="Avenir Next" w:hAnsi="Avenir Next" w:cs="Arial"/>
          <w:color w:val="7B7B7B" w:themeColor="accent3" w:themeShade="BF"/>
          <w:sz w:val="22"/>
          <w:szCs w:val="22"/>
        </w:rPr>
        <w:t xml:space="preserve">which widens thee scope of what was initially contemplated by the EIR 2000 to also cover off </w:t>
      </w:r>
      <w:r w:rsidR="00AA05BC">
        <w:rPr>
          <w:rFonts w:ascii="Avenir Next" w:hAnsi="Avenir Next" w:cs="Arial"/>
          <w:color w:val="7B7B7B" w:themeColor="accent3" w:themeShade="BF"/>
          <w:sz w:val="22"/>
          <w:szCs w:val="22"/>
          <w:lang w:val="en-GB"/>
        </w:rPr>
        <w:t>r</w:t>
      </w:r>
      <w:r w:rsidR="00AA05BC" w:rsidRPr="00AA05BC">
        <w:rPr>
          <w:rFonts w:ascii="Avenir Next" w:hAnsi="Avenir Next" w:cs="Arial"/>
          <w:color w:val="7B7B7B" w:themeColor="accent3" w:themeShade="BF"/>
          <w:sz w:val="22"/>
          <w:szCs w:val="22"/>
          <w:lang w:val="en-GB"/>
        </w:rPr>
        <w:t xml:space="preserve">egulation </w:t>
      </w:r>
      <w:r w:rsidR="00AA05BC">
        <w:rPr>
          <w:rFonts w:ascii="Avenir Next" w:hAnsi="Avenir Next" w:cs="Arial"/>
          <w:color w:val="7B7B7B" w:themeColor="accent3" w:themeShade="BF"/>
          <w:sz w:val="22"/>
          <w:szCs w:val="22"/>
          <w:lang w:val="en-GB"/>
        </w:rPr>
        <w:t xml:space="preserve">of public collective proceedings </w:t>
      </w:r>
      <w:r w:rsidR="00AA05BC" w:rsidRPr="00AA05BC">
        <w:rPr>
          <w:rFonts w:ascii="Avenir Next" w:hAnsi="Avenir Next" w:cs="Arial"/>
          <w:color w:val="7B7B7B" w:themeColor="accent3" w:themeShade="BF"/>
          <w:sz w:val="22"/>
          <w:szCs w:val="22"/>
          <w:lang w:val="en-GB"/>
        </w:rPr>
        <w:t xml:space="preserve">based on laws relating to insolvency </w:t>
      </w:r>
      <w:r w:rsidR="00AA05BC">
        <w:rPr>
          <w:rFonts w:ascii="Avenir Next" w:hAnsi="Avenir Next" w:cs="Arial"/>
          <w:color w:val="7B7B7B" w:themeColor="accent3" w:themeShade="BF"/>
          <w:sz w:val="22"/>
          <w:szCs w:val="22"/>
          <w:lang w:val="en-GB"/>
        </w:rPr>
        <w:t>not only for</w:t>
      </w:r>
      <w:r w:rsidR="00AA05BC" w:rsidRPr="00AA05BC">
        <w:rPr>
          <w:rFonts w:ascii="Avenir Next" w:hAnsi="Avenir Next" w:cs="Arial"/>
          <w:color w:val="7B7B7B" w:themeColor="accent3" w:themeShade="BF"/>
          <w:sz w:val="22"/>
          <w:szCs w:val="22"/>
          <w:lang w:val="en-GB"/>
        </w:rPr>
        <w:t xml:space="preserve"> purpose</w:t>
      </w:r>
      <w:r w:rsidR="00AA05BC">
        <w:rPr>
          <w:rFonts w:ascii="Avenir Next" w:hAnsi="Avenir Next" w:cs="Arial"/>
          <w:color w:val="7B7B7B" w:themeColor="accent3" w:themeShade="BF"/>
          <w:sz w:val="22"/>
          <w:szCs w:val="22"/>
          <w:lang w:val="en-GB"/>
        </w:rPr>
        <w:t>s of liquidation but also</w:t>
      </w:r>
      <w:r w:rsidR="00AA05BC" w:rsidRPr="00AA05BC">
        <w:rPr>
          <w:rFonts w:ascii="Avenir Next" w:hAnsi="Avenir Next" w:cs="Arial"/>
          <w:color w:val="7B7B7B" w:themeColor="accent3" w:themeShade="BF"/>
          <w:sz w:val="22"/>
          <w:szCs w:val="22"/>
          <w:lang w:val="en-GB"/>
        </w:rPr>
        <w:t xml:space="preserve"> of rescue, adj</w:t>
      </w:r>
      <w:r w:rsidR="00AA05BC">
        <w:rPr>
          <w:rFonts w:ascii="Avenir Next" w:hAnsi="Avenir Next" w:cs="Arial"/>
          <w:color w:val="7B7B7B" w:themeColor="accent3" w:themeShade="BF"/>
          <w:sz w:val="22"/>
          <w:szCs w:val="22"/>
          <w:lang w:val="en-GB"/>
        </w:rPr>
        <w:t>ustment of debt, reorganisation.</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168CE509" w:rsidR="00636C15" w:rsidRDefault="00067C09"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example is that the EIR Recast provides for the ability to open main proceedings as well as other secondary proceedings thereby extending the strict universalism approach to allow for a compromise between universality and territoriality. The main proceedings are to be opened at the place of the debtor's centre of main interests, and such proceedings having a universal scope and covering the assets of the debtor throughout the EU. </w:t>
      </w:r>
      <w:r w:rsidR="000B3B83">
        <w:rPr>
          <w:rFonts w:ascii="Avenir Next" w:hAnsi="Avenir Next" w:cs="Arial"/>
          <w:color w:val="7B7B7B" w:themeColor="accent3" w:themeShade="BF"/>
          <w:sz w:val="22"/>
          <w:szCs w:val="22"/>
          <w:lang w:val="en-GB"/>
        </w:rPr>
        <w:t>Whilst there can only be one COMI,</w:t>
      </w:r>
      <w:r>
        <w:rPr>
          <w:rFonts w:ascii="Avenir Next" w:hAnsi="Avenir Next" w:cs="Arial"/>
          <w:color w:val="7B7B7B" w:themeColor="accent3" w:themeShade="BF"/>
          <w:sz w:val="22"/>
          <w:szCs w:val="22"/>
          <w:lang w:val="en-GB"/>
        </w:rPr>
        <w:t xml:space="preserve"> secondary proceedings </w:t>
      </w:r>
      <w:r w:rsidR="000B3B83">
        <w:rPr>
          <w:rFonts w:ascii="Avenir Next" w:hAnsi="Avenir Next" w:cs="Arial"/>
          <w:color w:val="7B7B7B" w:themeColor="accent3" w:themeShade="BF"/>
          <w:sz w:val="22"/>
          <w:szCs w:val="22"/>
          <w:lang w:val="en-GB"/>
        </w:rPr>
        <w:t>as mentioned above can be</w:t>
      </w:r>
      <w:r>
        <w:rPr>
          <w:rFonts w:ascii="Avenir Next" w:hAnsi="Avenir Next" w:cs="Arial"/>
          <w:color w:val="7B7B7B" w:themeColor="accent3" w:themeShade="BF"/>
          <w:sz w:val="22"/>
          <w:szCs w:val="22"/>
          <w:lang w:val="en-GB"/>
        </w:rPr>
        <w:t xml:space="preserve"> opened at the place of the debtor's "establishment".</w:t>
      </w:r>
      <w:r w:rsidR="000B3B83">
        <w:rPr>
          <w:rFonts w:ascii="Avenir Next" w:hAnsi="Avenir Next" w:cs="Arial"/>
          <w:color w:val="7B7B7B" w:themeColor="accent3" w:themeShade="BF"/>
          <w:sz w:val="22"/>
          <w:szCs w:val="22"/>
          <w:lang w:val="en-GB"/>
        </w:rPr>
        <w:t xml:space="preserve"> The effects of such secondary proceedings are restricted by territoriality i</w:t>
      </w:r>
      <w:r w:rsidR="00AA05BC">
        <w:rPr>
          <w:rFonts w:ascii="Avenir Next" w:hAnsi="Avenir Next" w:cs="Arial"/>
          <w:color w:val="7B7B7B" w:themeColor="accent3" w:themeShade="BF"/>
          <w:sz w:val="22"/>
          <w:szCs w:val="22"/>
          <w:lang w:val="en-GB"/>
        </w:rPr>
        <w:t>.</w:t>
      </w:r>
      <w:r w:rsidR="000B3B83">
        <w:rPr>
          <w:rFonts w:ascii="Avenir Next" w:hAnsi="Avenir Next" w:cs="Arial"/>
          <w:color w:val="7B7B7B" w:themeColor="accent3" w:themeShade="BF"/>
          <w:sz w:val="22"/>
          <w:szCs w:val="22"/>
          <w:lang w:val="en-GB"/>
        </w:rPr>
        <w:t>e</w:t>
      </w:r>
      <w:r w:rsidR="00AA05BC">
        <w:rPr>
          <w:rFonts w:ascii="Avenir Next" w:hAnsi="Avenir Next" w:cs="Arial"/>
          <w:color w:val="7B7B7B" w:themeColor="accent3" w:themeShade="BF"/>
          <w:sz w:val="22"/>
          <w:szCs w:val="22"/>
          <w:lang w:val="en-GB"/>
        </w:rPr>
        <w:t>.</w:t>
      </w:r>
      <w:r w:rsidR="000B3B83">
        <w:rPr>
          <w:rFonts w:ascii="Avenir Next" w:hAnsi="Avenir Next" w:cs="Arial"/>
          <w:color w:val="7B7B7B" w:themeColor="accent3" w:themeShade="BF"/>
          <w:sz w:val="22"/>
          <w:szCs w:val="22"/>
          <w:lang w:val="en-GB"/>
        </w:rPr>
        <w:t xml:space="preserve"> they are restricted to the assets of the director situated in the territory of the Member state where the secondary proceedings are opened. </w:t>
      </w:r>
    </w:p>
    <w:p w14:paraId="2F2535BA" w14:textId="4DADF471" w:rsidR="00067C09" w:rsidRDefault="00067C09" w:rsidP="00636C15">
      <w:pPr>
        <w:ind w:left="720" w:hanging="720"/>
        <w:jc w:val="both"/>
        <w:rPr>
          <w:rFonts w:ascii="Avenir Next" w:hAnsi="Avenir Next" w:cs="Arial"/>
          <w:color w:val="7B7B7B" w:themeColor="accent3" w:themeShade="BF"/>
          <w:sz w:val="22"/>
          <w:szCs w:val="22"/>
          <w:lang w:val="en-GB"/>
        </w:rPr>
      </w:pPr>
    </w:p>
    <w:p w14:paraId="258782EC" w14:textId="4E9F1A84" w:rsidR="00067C09" w:rsidRDefault="00067C09"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second example is tha</w:t>
      </w:r>
      <w:r w:rsidR="007942CB">
        <w:rPr>
          <w:rFonts w:ascii="Avenir Next" w:hAnsi="Avenir Next" w:cs="Arial"/>
          <w:color w:val="7B7B7B" w:themeColor="accent3" w:themeShade="BF"/>
          <w:sz w:val="22"/>
          <w:szCs w:val="22"/>
          <w:lang w:val="en-GB"/>
        </w:rPr>
        <w:t xml:space="preserve">t the EIR Recast provides for extending the </w:t>
      </w:r>
      <w:r w:rsidR="00D72A71">
        <w:rPr>
          <w:rFonts w:ascii="Avenir Next" w:hAnsi="Avenir Next" w:cs="Arial"/>
          <w:color w:val="7B7B7B" w:themeColor="accent3" w:themeShade="BF"/>
          <w:sz w:val="22"/>
          <w:szCs w:val="22"/>
          <w:lang w:val="en-GB"/>
        </w:rPr>
        <w:t>jurisdiction</w:t>
      </w:r>
      <w:r w:rsidR="007942CB">
        <w:rPr>
          <w:rFonts w:ascii="Avenir Next" w:hAnsi="Avenir Next" w:cs="Arial"/>
          <w:color w:val="7B7B7B" w:themeColor="accent3" w:themeShade="BF"/>
          <w:sz w:val="22"/>
          <w:szCs w:val="22"/>
          <w:lang w:val="en-GB"/>
        </w:rPr>
        <w:t xml:space="preserve"> of </w:t>
      </w:r>
      <w:r w:rsidR="00D72A71">
        <w:rPr>
          <w:rFonts w:ascii="Avenir Next" w:hAnsi="Avenir Next" w:cs="Arial"/>
          <w:color w:val="7B7B7B" w:themeColor="accent3" w:themeShade="BF"/>
          <w:sz w:val="22"/>
          <w:szCs w:val="22"/>
          <w:lang w:val="en-GB"/>
        </w:rPr>
        <w:t xml:space="preserve">the </w:t>
      </w:r>
      <w:r w:rsidR="007942CB">
        <w:rPr>
          <w:rFonts w:ascii="Avenir Next" w:hAnsi="Avenir Next" w:cs="Arial"/>
          <w:color w:val="7B7B7B" w:themeColor="accent3" w:themeShade="BF"/>
          <w:sz w:val="22"/>
          <w:szCs w:val="22"/>
          <w:lang w:val="en-GB"/>
        </w:rPr>
        <w:t xml:space="preserve">courts (either in main or secondary insolvency proceedings) over actions which derive directly from the insolvency proceedings and are closely linked to them. This extension of jurisdiction is set out in </w:t>
      </w:r>
      <w:r w:rsidR="00D72A71">
        <w:rPr>
          <w:rFonts w:ascii="Avenir Next" w:hAnsi="Avenir Next" w:cs="Arial"/>
          <w:color w:val="7B7B7B" w:themeColor="accent3" w:themeShade="BF"/>
          <w:sz w:val="22"/>
          <w:szCs w:val="22"/>
          <w:lang w:val="en-GB"/>
        </w:rPr>
        <w:t>Article</w:t>
      </w:r>
      <w:r w:rsidR="007942CB">
        <w:rPr>
          <w:rFonts w:ascii="Avenir Next" w:hAnsi="Avenir Next" w:cs="Arial"/>
          <w:color w:val="7B7B7B" w:themeColor="accent3" w:themeShade="BF"/>
          <w:sz w:val="22"/>
          <w:szCs w:val="22"/>
          <w:lang w:val="en-GB"/>
        </w:rPr>
        <w:t xml:space="preserve"> 6 of the EIR Recast. </w:t>
      </w:r>
    </w:p>
    <w:p w14:paraId="0060433E" w14:textId="2F71ABA8" w:rsidR="007942CB" w:rsidRDefault="007942CB" w:rsidP="00636C15">
      <w:pPr>
        <w:ind w:left="720" w:hanging="720"/>
        <w:jc w:val="both"/>
        <w:rPr>
          <w:rFonts w:ascii="Avenir Next" w:hAnsi="Avenir Next" w:cs="Arial"/>
          <w:color w:val="7B7B7B" w:themeColor="accent3" w:themeShade="BF"/>
          <w:sz w:val="22"/>
          <w:szCs w:val="22"/>
          <w:lang w:val="en-GB"/>
        </w:rPr>
      </w:pPr>
    </w:p>
    <w:p w14:paraId="36D30B59" w14:textId="67FEC3AC" w:rsidR="007942CB" w:rsidRDefault="007942CB"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third example i</w:t>
      </w:r>
      <w:r w:rsidR="001D10A7">
        <w:rPr>
          <w:rFonts w:ascii="Avenir Next" w:hAnsi="Avenir Next" w:cs="Arial"/>
          <w:color w:val="7B7B7B" w:themeColor="accent3" w:themeShade="BF"/>
          <w:sz w:val="22"/>
          <w:szCs w:val="22"/>
          <w:lang w:val="en-GB"/>
        </w:rPr>
        <w:t xml:space="preserve">s that the ER Recast mandates communication between IPs themselves, courts themselves and between IPs and the courts of the various </w:t>
      </w:r>
      <w:r w:rsidR="00D72A71">
        <w:rPr>
          <w:rFonts w:ascii="Avenir Next" w:hAnsi="Avenir Next" w:cs="Arial"/>
          <w:color w:val="7B7B7B" w:themeColor="accent3" w:themeShade="BF"/>
          <w:sz w:val="22"/>
          <w:szCs w:val="22"/>
          <w:lang w:val="en-GB"/>
        </w:rPr>
        <w:t>Member</w:t>
      </w:r>
      <w:r w:rsidR="001D10A7">
        <w:rPr>
          <w:rFonts w:ascii="Avenir Next" w:hAnsi="Avenir Next" w:cs="Arial"/>
          <w:color w:val="7B7B7B" w:themeColor="accent3" w:themeShade="BF"/>
          <w:sz w:val="22"/>
          <w:szCs w:val="22"/>
          <w:lang w:val="en-GB"/>
        </w:rPr>
        <w:t xml:space="preserve"> States where the main insolvency proceedings and secondary insolvency proceedings have been opened. </w:t>
      </w:r>
    </w:p>
    <w:p w14:paraId="19493FF2" w14:textId="40D30360" w:rsidR="007942CB" w:rsidRPr="008E3C96" w:rsidRDefault="007942CB" w:rsidP="00636C15">
      <w:pPr>
        <w:ind w:left="720" w:hanging="720"/>
        <w:jc w:val="both"/>
        <w:rPr>
          <w:rFonts w:ascii="Avenir Next" w:hAnsi="Avenir Next" w:cs="Arial"/>
          <w:sz w:val="22"/>
          <w:szCs w:val="22"/>
          <w:lang w:val="en-GB"/>
        </w:rPr>
      </w:pP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0D56E1B9" w:rsidR="00C72848" w:rsidRDefault="004C506B" w:rsidP="003F20E4">
      <w:pPr>
        <w:ind w:left="720" w:hanging="720"/>
        <w:jc w:val="both"/>
        <w:rPr>
          <w:rFonts w:ascii="Avenir Next" w:hAnsi="Avenir Next" w:cs="Arial"/>
          <w:bCs/>
          <w:color w:val="7B7B7B" w:themeColor="accent3" w:themeShade="BF"/>
          <w:sz w:val="22"/>
          <w:szCs w:val="22"/>
          <w:lang w:val="en-GB"/>
        </w:rPr>
      </w:pPr>
      <w:r>
        <w:rPr>
          <w:rFonts w:ascii="Avenir Next" w:hAnsi="Avenir Next" w:cs="Arial"/>
          <w:color w:val="7B7B7B" w:themeColor="accent3" w:themeShade="BF"/>
          <w:sz w:val="22"/>
          <w:szCs w:val="22"/>
          <w:lang w:val="en-GB"/>
        </w:rPr>
        <w:t>Article</w:t>
      </w:r>
      <w:r w:rsidR="003F20E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41(1)</w:t>
      </w:r>
      <w:r w:rsidR="003F20E4">
        <w:rPr>
          <w:rFonts w:ascii="Avenir Next" w:hAnsi="Avenir Next" w:cs="Arial"/>
          <w:color w:val="7B7B7B" w:themeColor="accent3" w:themeShade="BF"/>
          <w:sz w:val="22"/>
          <w:szCs w:val="22"/>
          <w:lang w:val="en-GB"/>
        </w:rPr>
        <w:t xml:space="preserve"> of the EIR Recast which provides for the </w:t>
      </w:r>
      <w:r w:rsidR="003F20E4">
        <w:rPr>
          <w:rFonts w:ascii="Avenir Next" w:hAnsi="Avenir Next" w:cs="Arial"/>
          <w:bCs/>
          <w:color w:val="7B7B7B" w:themeColor="accent3" w:themeShade="BF"/>
          <w:sz w:val="22"/>
          <w:szCs w:val="22"/>
          <w:lang w:val="en-GB"/>
        </w:rPr>
        <w:t>c</w:t>
      </w:r>
      <w:r w:rsidR="003F20E4" w:rsidRPr="003F20E4">
        <w:rPr>
          <w:rFonts w:ascii="Avenir Next" w:hAnsi="Avenir Next" w:cs="Arial"/>
          <w:bCs/>
          <w:color w:val="7B7B7B" w:themeColor="accent3" w:themeShade="BF"/>
          <w:sz w:val="22"/>
          <w:szCs w:val="22"/>
          <w:lang w:val="en-GB"/>
        </w:rPr>
        <w:t>ooperation and communication between insolvency practitioners</w:t>
      </w:r>
      <w:r w:rsidR="003F20E4">
        <w:rPr>
          <w:rFonts w:ascii="Avenir Next" w:hAnsi="Avenir Next" w:cs="Arial"/>
          <w:bCs/>
          <w:color w:val="7B7B7B" w:themeColor="accent3" w:themeShade="BF"/>
          <w:sz w:val="22"/>
          <w:szCs w:val="22"/>
          <w:lang w:val="en-GB"/>
        </w:rPr>
        <w:t>.</w:t>
      </w:r>
    </w:p>
    <w:p w14:paraId="591E23FD" w14:textId="4D0A18AE" w:rsidR="003F20E4" w:rsidRDefault="003F20E4" w:rsidP="003F20E4">
      <w:pPr>
        <w:ind w:left="720" w:hanging="720"/>
        <w:jc w:val="both"/>
        <w:rPr>
          <w:rFonts w:ascii="Avenir Next" w:hAnsi="Avenir Next" w:cs="Arial"/>
          <w:bCs/>
          <w:color w:val="7B7B7B" w:themeColor="accent3" w:themeShade="BF"/>
          <w:sz w:val="22"/>
          <w:szCs w:val="22"/>
          <w:lang w:val="en-GB"/>
        </w:rPr>
      </w:pPr>
      <w:r w:rsidRPr="003F20E4">
        <w:rPr>
          <w:rFonts w:ascii="Avenir Next" w:hAnsi="Avenir Next" w:cs="Arial"/>
          <w:color w:val="7B7B7B" w:themeColor="accent3" w:themeShade="BF"/>
          <w:sz w:val="22"/>
          <w:szCs w:val="22"/>
          <w:lang w:val="en-GB"/>
        </w:rPr>
        <w:t xml:space="preserve">Article </w:t>
      </w:r>
      <w:r>
        <w:rPr>
          <w:rFonts w:ascii="Avenir Next" w:hAnsi="Avenir Next" w:cs="Arial"/>
          <w:color w:val="7B7B7B" w:themeColor="accent3" w:themeShade="BF"/>
          <w:sz w:val="22"/>
          <w:szCs w:val="22"/>
          <w:lang w:val="en-GB"/>
        </w:rPr>
        <w:t>42</w:t>
      </w:r>
      <w:r w:rsidRPr="003F20E4">
        <w:rPr>
          <w:rFonts w:ascii="Avenir Next" w:hAnsi="Avenir Next" w:cs="Arial"/>
          <w:color w:val="7B7B7B" w:themeColor="accent3" w:themeShade="BF"/>
          <w:sz w:val="22"/>
          <w:szCs w:val="22"/>
          <w:lang w:val="en-GB"/>
        </w:rPr>
        <w:t>(1) of the EIR Recast which provides for</w:t>
      </w:r>
      <w:r w:rsidRPr="003F20E4">
        <w:rPr>
          <w:rFonts w:ascii="Times New Roman" w:eastAsia="MS Mincho" w:hAnsi="Times New Roman" w:cs="Times New Roman"/>
          <w:color w:val="000000"/>
          <w:sz w:val="24"/>
          <w:lang w:val="en-GB"/>
        </w:rPr>
        <w:t xml:space="preserve"> </w:t>
      </w:r>
      <w:r w:rsidRPr="003F20E4">
        <w:rPr>
          <w:rFonts w:ascii="Avenir Next" w:hAnsi="Avenir Next" w:cs="Arial"/>
          <w:bCs/>
          <w:color w:val="7B7B7B" w:themeColor="accent3" w:themeShade="BF"/>
          <w:sz w:val="22"/>
          <w:szCs w:val="22"/>
          <w:lang w:val="en-GB"/>
        </w:rPr>
        <w:t>cooperation and communication between courts</w:t>
      </w:r>
      <w:r>
        <w:rPr>
          <w:rFonts w:ascii="Avenir Next" w:hAnsi="Avenir Next" w:cs="Arial"/>
          <w:bCs/>
          <w:color w:val="7B7B7B" w:themeColor="accent3" w:themeShade="BF"/>
          <w:sz w:val="22"/>
          <w:szCs w:val="22"/>
          <w:lang w:val="en-GB"/>
        </w:rPr>
        <w:t>.</w:t>
      </w:r>
    </w:p>
    <w:p w14:paraId="1761A9D9" w14:textId="680D76AB" w:rsidR="003F20E4" w:rsidRDefault="003F20E4" w:rsidP="003F20E4">
      <w:pPr>
        <w:ind w:left="720" w:hanging="720"/>
        <w:jc w:val="both"/>
        <w:rPr>
          <w:rFonts w:ascii="Avenir Next" w:hAnsi="Avenir Next" w:cs="Arial"/>
          <w:bCs/>
          <w:color w:val="7B7B7B" w:themeColor="accent3" w:themeShade="BF"/>
          <w:sz w:val="22"/>
          <w:szCs w:val="22"/>
          <w:lang w:val="en-GB"/>
        </w:rPr>
      </w:pPr>
    </w:p>
    <w:p w14:paraId="678E72B5" w14:textId="1E1BFC09" w:rsidR="003F20E4" w:rsidRDefault="003F20E4" w:rsidP="003F20E4">
      <w:pPr>
        <w:ind w:left="720" w:hanging="720"/>
        <w:jc w:val="both"/>
        <w:rPr>
          <w:rFonts w:ascii="Avenir Next" w:hAnsi="Avenir Next" w:cs="Arial"/>
          <w:bCs/>
          <w:color w:val="7B7B7B" w:themeColor="accent3" w:themeShade="BF"/>
          <w:sz w:val="22"/>
          <w:szCs w:val="22"/>
          <w:lang w:val="en-GB"/>
        </w:rPr>
      </w:pPr>
      <w:r w:rsidRPr="003F20E4">
        <w:rPr>
          <w:rFonts w:ascii="Avenir Next" w:hAnsi="Avenir Next" w:cs="Arial"/>
          <w:color w:val="7B7B7B" w:themeColor="accent3" w:themeShade="BF"/>
          <w:sz w:val="22"/>
          <w:szCs w:val="22"/>
          <w:lang w:val="en-GB"/>
        </w:rPr>
        <w:lastRenderedPageBreak/>
        <w:t xml:space="preserve">Article </w:t>
      </w:r>
      <w:r>
        <w:rPr>
          <w:rFonts w:ascii="Avenir Next" w:hAnsi="Avenir Next" w:cs="Arial"/>
          <w:color w:val="7B7B7B" w:themeColor="accent3" w:themeShade="BF"/>
          <w:sz w:val="22"/>
          <w:szCs w:val="22"/>
          <w:lang w:val="en-GB"/>
        </w:rPr>
        <w:t>42</w:t>
      </w:r>
      <w:r w:rsidRPr="003F20E4">
        <w:rPr>
          <w:rFonts w:ascii="Avenir Next" w:hAnsi="Avenir Next" w:cs="Arial"/>
          <w:color w:val="7B7B7B" w:themeColor="accent3" w:themeShade="BF"/>
          <w:sz w:val="22"/>
          <w:szCs w:val="22"/>
          <w:lang w:val="en-GB"/>
        </w:rPr>
        <w:t>(1) of the EIR Recast which provides for</w:t>
      </w:r>
      <w:r>
        <w:rPr>
          <w:rFonts w:ascii="Avenir Next" w:hAnsi="Avenir Next" w:cs="Arial"/>
          <w:color w:val="7B7B7B" w:themeColor="accent3" w:themeShade="BF"/>
          <w:sz w:val="22"/>
          <w:szCs w:val="22"/>
          <w:lang w:val="en-GB"/>
        </w:rPr>
        <w:t xml:space="preserve"> </w:t>
      </w:r>
      <w:r>
        <w:rPr>
          <w:rFonts w:ascii="Avenir Next" w:hAnsi="Avenir Next" w:cs="Arial"/>
          <w:bCs/>
          <w:color w:val="7B7B7B" w:themeColor="accent3" w:themeShade="BF"/>
          <w:sz w:val="22"/>
          <w:szCs w:val="22"/>
          <w:lang w:val="en-GB"/>
        </w:rPr>
        <w:t>c</w:t>
      </w:r>
      <w:r w:rsidRPr="003F20E4">
        <w:rPr>
          <w:rFonts w:ascii="Avenir Next" w:hAnsi="Avenir Next" w:cs="Arial"/>
          <w:bCs/>
          <w:color w:val="7B7B7B" w:themeColor="accent3" w:themeShade="BF"/>
          <w:sz w:val="22"/>
          <w:szCs w:val="22"/>
          <w:lang w:val="en-GB"/>
        </w:rPr>
        <w:t>ooperation and communication between insolvency practitioners and courts</w:t>
      </w:r>
      <w:r>
        <w:rPr>
          <w:rFonts w:ascii="Avenir Next" w:hAnsi="Avenir Next" w:cs="Arial"/>
          <w:bCs/>
          <w:color w:val="7B7B7B" w:themeColor="accent3" w:themeShade="BF"/>
          <w:sz w:val="22"/>
          <w:szCs w:val="22"/>
          <w:lang w:val="en-GB"/>
        </w:rPr>
        <w:t>.</w:t>
      </w:r>
    </w:p>
    <w:p w14:paraId="32A0A197" w14:textId="7D3E2B92" w:rsidR="003F20E4" w:rsidRDefault="003F20E4" w:rsidP="003F20E4">
      <w:pPr>
        <w:ind w:left="720" w:hanging="720"/>
        <w:jc w:val="both"/>
        <w:rPr>
          <w:rFonts w:ascii="Avenir Next" w:hAnsi="Avenir Next" w:cs="Arial"/>
          <w:bCs/>
          <w:color w:val="7B7B7B" w:themeColor="accent3" w:themeShade="BF"/>
          <w:sz w:val="22"/>
          <w:szCs w:val="22"/>
          <w:lang w:val="en-GB"/>
        </w:rPr>
      </w:pPr>
    </w:p>
    <w:p w14:paraId="551A6C76" w14:textId="158AF9C9" w:rsidR="003F20E4" w:rsidRPr="003F20E4" w:rsidRDefault="003F20E4" w:rsidP="003F20E4">
      <w:pPr>
        <w:ind w:left="720" w:hanging="720"/>
        <w:jc w:val="both"/>
        <w:rPr>
          <w:rFonts w:ascii="Avenir Next" w:hAnsi="Avenir Next" w:cs="Arial"/>
          <w:color w:val="7B7B7B" w:themeColor="accent3" w:themeShade="BF"/>
          <w:sz w:val="22"/>
          <w:szCs w:val="22"/>
          <w:lang w:val="en-GB"/>
        </w:rPr>
      </w:pPr>
      <w:r>
        <w:rPr>
          <w:rFonts w:ascii="Avenir Next" w:hAnsi="Avenir Next" w:cs="Arial"/>
          <w:bCs/>
          <w:color w:val="7B7B7B" w:themeColor="accent3" w:themeShade="BF"/>
          <w:sz w:val="22"/>
          <w:szCs w:val="22"/>
          <w:lang w:val="en-GB"/>
        </w:rPr>
        <w:t xml:space="preserve">In respect of a group of companies the corresponding articles are Articles 56, 57 and 58 (and Article 74 to some extent).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4FD1BFE8" w:rsidR="009954B2" w:rsidRDefault="00891364"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instrument is that of synthetic secondary proceedings or the right to provide an undertaking</w:t>
      </w:r>
      <w:r w:rsidR="000C5D33">
        <w:rPr>
          <w:rFonts w:ascii="Avenir Next" w:hAnsi="Avenir Next" w:cs="Arial"/>
          <w:color w:val="7B7B7B" w:themeColor="accent3" w:themeShade="BF"/>
          <w:sz w:val="22"/>
          <w:szCs w:val="22"/>
          <w:lang w:val="en-GB"/>
        </w:rPr>
        <w:t xml:space="preserve"> as contemplated by Article 36 of the EIR Recast</w:t>
      </w:r>
      <w:r>
        <w:rPr>
          <w:rFonts w:ascii="Avenir Next" w:hAnsi="Avenir Next" w:cs="Arial"/>
          <w:color w:val="7B7B7B" w:themeColor="accent3" w:themeShade="BF"/>
          <w:sz w:val="22"/>
          <w:szCs w:val="22"/>
          <w:lang w:val="en-GB"/>
        </w:rPr>
        <w:t xml:space="preserve">. </w:t>
      </w:r>
      <w:r w:rsidR="007475C7">
        <w:rPr>
          <w:rFonts w:ascii="Avenir Next" w:hAnsi="Avenir Next" w:cs="Arial"/>
          <w:color w:val="7B7B7B" w:themeColor="accent3" w:themeShade="BF"/>
          <w:sz w:val="22"/>
          <w:szCs w:val="22"/>
          <w:lang w:val="en-GB"/>
        </w:rPr>
        <w:t>Synthetic proceedings take place where an insolvency practitioner ("</w:t>
      </w:r>
      <w:r w:rsidR="007475C7" w:rsidRPr="007475C7">
        <w:rPr>
          <w:rFonts w:ascii="Avenir Next" w:hAnsi="Avenir Next" w:cs="Arial"/>
          <w:b/>
          <w:color w:val="7B7B7B" w:themeColor="accent3" w:themeShade="BF"/>
          <w:sz w:val="22"/>
          <w:szCs w:val="22"/>
          <w:lang w:val="en-GB"/>
        </w:rPr>
        <w:t>IP</w:t>
      </w:r>
      <w:r w:rsidR="007475C7">
        <w:rPr>
          <w:rFonts w:ascii="Avenir Next" w:hAnsi="Avenir Next" w:cs="Arial"/>
          <w:color w:val="7B7B7B" w:themeColor="accent3" w:themeShade="BF"/>
          <w:sz w:val="22"/>
          <w:szCs w:val="22"/>
          <w:lang w:val="en-GB"/>
        </w:rPr>
        <w:t xml:space="preserve">") in the main solvency proceedings  provides an undertaking </w:t>
      </w:r>
      <w:r w:rsidR="000C5D33">
        <w:rPr>
          <w:rFonts w:ascii="Avenir Next" w:hAnsi="Avenir Next" w:cs="Arial"/>
          <w:color w:val="7B7B7B" w:themeColor="accent3" w:themeShade="BF"/>
          <w:sz w:val="22"/>
          <w:szCs w:val="22"/>
          <w:lang w:val="en-GB"/>
        </w:rPr>
        <w:t>that when distributing the assets (or proceeds derived from their realisation), the IP w</w:t>
      </w:r>
      <w:r w:rsidR="00F25088">
        <w:rPr>
          <w:rFonts w:ascii="Avenir Next" w:hAnsi="Avenir Next" w:cs="Arial"/>
          <w:color w:val="7B7B7B" w:themeColor="accent3" w:themeShade="BF"/>
          <w:sz w:val="22"/>
          <w:szCs w:val="22"/>
          <w:lang w:val="en-GB"/>
        </w:rPr>
        <w:t>ill agree that they will comply</w:t>
      </w:r>
      <w:r w:rsidR="007475C7">
        <w:rPr>
          <w:rFonts w:ascii="Avenir Next" w:hAnsi="Avenir Next" w:cs="Arial"/>
          <w:color w:val="7B7B7B" w:themeColor="accent3" w:themeShade="BF"/>
          <w:sz w:val="22"/>
          <w:szCs w:val="22"/>
          <w:lang w:val="en-GB"/>
        </w:rPr>
        <w:t xml:space="preserve"> </w:t>
      </w:r>
      <w:r w:rsidR="000C5D33">
        <w:rPr>
          <w:rFonts w:ascii="Avenir Next" w:hAnsi="Avenir Next" w:cs="Arial"/>
          <w:color w:val="7B7B7B" w:themeColor="accent3" w:themeShade="BF"/>
          <w:sz w:val="22"/>
          <w:szCs w:val="22"/>
          <w:lang w:val="en-GB"/>
        </w:rPr>
        <w:t xml:space="preserve">with the distribution and priority rights under the national law of the Member State where the secondary insolvency proceedings are taking place/ have been opened. This undertaking will be given in respect of those assets </w:t>
      </w:r>
      <w:r w:rsidR="000C5D33" w:rsidRPr="000C5D33">
        <w:rPr>
          <w:rFonts w:ascii="Avenir Next" w:hAnsi="Avenir Next" w:cs="Arial"/>
          <w:color w:val="7B7B7B" w:themeColor="accent3" w:themeShade="BF"/>
          <w:sz w:val="22"/>
          <w:szCs w:val="22"/>
          <w:lang w:val="en-GB"/>
        </w:rPr>
        <w:t>(or proceeds derived from their realisation)</w:t>
      </w:r>
      <w:r w:rsidR="000C5D33">
        <w:rPr>
          <w:rFonts w:ascii="Avenir Next" w:hAnsi="Avenir Next" w:cs="Arial"/>
          <w:color w:val="7B7B7B" w:themeColor="accent3" w:themeShade="BF"/>
          <w:sz w:val="22"/>
          <w:szCs w:val="22"/>
          <w:lang w:val="en-GB"/>
        </w:rPr>
        <w:t xml:space="preserve"> which are situated in that Member State. The nature of the undertaking is unilateral and is provided by the IP in the main insolvency proceedings directly to the creditors in the specific/ relevant Member State. </w:t>
      </w:r>
      <w:r w:rsidR="00BD31E3">
        <w:rPr>
          <w:rFonts w:ascii="Avenir Next" w:hAnsi="Avenir Next" w:cs="Arial"/>
          <w:color w:val="7B7B7B" w:themeColor="accent3" w:themeShade="BF"/>
          <w:sz w:val="22"/>
          <w:szCs w:val="22"/>
          <w:lang w:val="en-GB"/>
        </w:rPr>
        <w:t>This cannot be used as a substitute for the opening the main insolvency proceedings</w:t>
      </w:r>
      <w:r w:rsidR="00AC2B13">
        <w:rPr>
          <w:rFonts w:ascii="Avenir Next" w:hAnsi="Avenir Next" w:cs="Arial"/>
          <w:color w:val="7B7B7B" w:themeColor="accent3" w:themeShade="BF"/>
          <w:sz w:val="22"/>
          <w:szCs w:val="22"/>
          <w:lang w:val="en-GB"/>
        </w:rPr>
        <w:t>, as the purpose of this undertaking is that it is used as a mechanism to avoid opening secondary proceedings</w:t>
      </w:r>
      <w:r w:rsidR="00BD31E3">
        <w:rPr>
          <w:rFonts w:ascii="Avenir Next" w:hAnsi="Avenir Next" w:cs="Arial"/>
          <w:color w:val="7B7B7B" w:themeColor="accent3" w:themeShade="BF"/>
          <w:sz w:val="22"/>
          <w:szCs w:val="22"/>
          <w:lang w:val="en-GB"/>
        </w:rPr>
        <w:t>.</w:t>
      </w:r>
      <w:r w:rsidR="00BD31E3">
        <w:rPr>
          <w:rStyle w:val="FootnoteReference"/>
          <w:rFonts w:ascii="Avenir Next" w:hAnsi="Avenir Next" w:cs="Arial"/>
          <w:color w:val="7B7B7B" w:themeColor="accent3" w:themeShade="BF"/>
          <w:sz w:val="22"/>
          <w:szCs w:val="22"/>
          <w:lang w:val="en-GB"/>
        </w:rPr>
        <w:footnoteReference w:id="1"/>
      </w:r>
      <w:r w:rsidR="00BD31E3">
        <w:rPr>
          <w:rFonts w:ascii="Avenir Next" w:hAnsi="Avenir Next" w:cs="Arial"/>
          <w:color w:val="7B7B7B" w:themeColor="accent3" w:themeShade="BF"/>
          <w:sz w:val="22"/>
          <w:szCs w:val="22"/>
          <w:lang w:val="en-GB"/>
        </w:rPr>
        <w:t xml:space="preserve"> </w:t>
      </w:r>
      <w:r w:rsidR="00F25088">
        <w:rPr>
          <w:rFonts w:ascii="Avenir Next" w:hAnsi="Avenir Next" w:cs="Arial"/>
          <w:color w:val="7B7B7B" w:themeColor="accent3" w:themeShade="BF"/>
          <w:sz w:val="22"/>
          <w:szCs w:val="22"/>
          <w:lang w:val="en-GB"/>
        </w:rPr>
        <w:t xml:space="preserve">For an undertaking of this nature to be valid and accepted, there are certain </w:t>
      </w:r>
      <w:r w:rsidR="00AC2B13">
        <w:rPr>
          <w:rFonts w:ascii="Avenir Next" w:hAnsi="Avenir Next" w:cs="Arial"/>
          <w:color w:val="7B7B7B" w:themeColor="accent3" w:themeShade="BF"/>
          <w:sz w:val="22"/>
          <w:szCs w:val="22"/>
          <w:lang w:val="en-GB"/>
        </w:rPr>
        <w:t>requirements</w:t>
      </w:r>
      <w:r w:rsidR="00F25088">
        <w:rPr>
          <w:rFonts w:ascii="Avenir Next" w:hAnsi="Avenir Next" w:cs="Arial"/>
          <w:color w:val="7B7B7B" w:themeColor="accent3" w:themeShade="BF"/>
          <w:sz w:val="22"/>
          <w:szCs w:val="22"/>
          <w:lang w:val="en-GB"/>
        </w:rPr>
        <w:t xml:space="preserve"> </w:t>
      </w:r>
      <w:r w:rsidR="00AC2B13">
        <w:rPr>
          <w:rFonts w:ascii="Avenir Next" w:hAnsi="Avenir Next" w:cs="Arial"/>
          <w:color w:val="7B7B7B" w:themeColor="accent3" w:themeShade="BF"/>
          <w:sz w:val="22"/>
          <w:szCs w:val="22"/>
          <w:lang w:val="en-GB"/>
        </w:rPr>
        <w:t>which need to be met, namely: (i) the undertaking should set out the parameters within which it will operate by specifying the factual circumstances which have been assumed prior to giving said undertaking (this will largely relate to the value of the assets situated in the relevant Member State, and the courses of action available for the realisation of those assets;</w:t>
      </w:r>
      <w:r w:rsidR="00AC2B13">
        <w:rPr>
          <w:rStyle w:val="FootnoteReference"/>
          <w:rFonts w:ascii="Avenir Next" w:hAnsi="Avenir Next" w:cs="Arial"/>
          <w:color w:val="7B7B7B" w:themeColor="accent3" w:themeShade="BF"/>
          <w:sz w:val="22"/>
          <w:szCs w:val="22"/>
          <w:lang w:val="en-GB"/>
        </w:rPr>
        <w:footnoteReference w:id="2"/>
      </w:r>
      <w:r w:rsidR="00AC2B13">
        <w:rPr>
          <w:rFonts w:ascii="Avenir Next" w:hAnsi="Avenir Next" w:cs="Arial"/>
          <w:color w:val="7B7B7B" w:themeColor="accent3" w:themeShade="BF"/>
          <w:sz w:val="22"/>
          <w:szCs w:val="22"/>
          <w:lang w:val="en-GB"/>
        </w:rPr>
        <w:t xml:space="preserve"> (ii) the undertaking must be in one of the official languages of the Member Stat where the secondary proceedings could have been opened;</w:t>
      </w:r>
      <w:r w:rsidR="00AC2B13">
        <w:rPr>
          <w:rStyle w:val="FootnoteReference"/>
          <w:rFonts w:ascii="Avenir Next" w:hAnsi="Avenir Next" w:cs="Arial"/>
          <w:color w:val="7B7B7B" w:themeColor="accent3" w:themeShade="BF"/>
          <w:sz w:val="22"/>
          <w:szCs w:val="22"/>
          <w:lang w:val="en-GB"/>
        </w:rPr>
        <w:footnoteReference w:id="3"/>
      </w:r>
      <w:r w:rsidR="00AC2B13">
        <w:rPr>
          <w:rFonts w:ascii="Avenir Next" w:hAnsi="Avenir Next" w:cs="Arial"/>
          <w:color w:val="7B7B7B" w:themeColor="accent3" w:themeShade="BF"/>
          <w:sz w:val="22"/>
          <w:szCs w:val="22"/>
          <w:lang w:val="en-GB"/>
        </w:rPr>
        <w:t xml:space="preserve"> (iii) the undertaking must be in writing and comply with any further requirements in relation to form and approval of distributions as set out by the </w:t>
      </w:r>
      <w:proofErr w:type="spellStart"/>
      <w:r w:rsidR="00AC2B13" w:rsidRPr="00AC2B13">
        <w:rPr>
          <w:rFonts w:ascii="Avenir Next" w:hAnsi="Avenir Next" w:cs="Arial"/>
          <w:i/>
          <w:color w:val="7B7B7B" w:themeColor="accent3" w:themeShade="BF"/>
          <w:sz w:val="22"/>
          <w:szCs w:val="22"/>
          <w:lang w:val="en-GB"/>
        </w:rPr>
        <w:t>lex</w:t>
      </w:r>
      <w:proofErr w:type="spellEnd"/>
      <w:r w:rsidR="00AC2B13" w:rsidRPr="00AC2B13">
        <w:rPr>
          <w:rFonts w:ascii="Avenir Next" w:hAnsi="Avenir Next" w:cs="Arial"/>
          <w:i/>
          <w:color w:val="7B7B7B" w:themeColor="accent3" w:themeShade="BF"/>
          <w:sz w:val="22"/>
          <w:szCs w:val="22"/>
          <w:lang w:val="en-GB"/>
        </w:rPr>
        <w:t xml:space="preserve"> </w:t>
      </w:r>
      <w:proofErr w:type="spellStart"/>
      <w:r w:rsidR="00AC2B13" w:rsidRPr="00AC2B13">
        <w:rPr>
          <w:rFonts w:ascii="Avenir Next" w:hAnsi="Avenir Next" w:cs="Arial"/>
          <w:i/>
          <w:color w:val="7B7B7B" w:themeColor="accent3" w:themeShade="BF"/>
          <w:sz w:val="22"/>
          <w:szCs w:val="22"/>
          <w:lang w:val="en-GB"/>
        </w:rPr>
        <w:t>concursus</w:t>
      </w:r>
      <w:proofErr w:type="spellEnd"/>
      <w:r w:rsidR="00AC2B13">
        <w:rPr>
          <w:rFonts w:ascii="Avenir Next" w:hAnsi="Avenir Next" w:cs="Arial"/>
          <w:color w:val="7B7B7B" w:themeColor="accent3" w:themeShade="BF"/>
          <w:sz w:val="22"/>
          <w:szCs w:val="22"/>
          <w:lang w:val="en-GB"/>
        </w:rPr>
        <w:t xml:space="preserve"> of the main insolvency proceedings</w:t>
      </w:r>
      <w:r w:rsidR="00B63E14">
        <w:rPr>
          <w:rFonts w:ascii="Avenir Next" w:hAnsi="Avenir Next" w:cs="Arial"/>
          <w:color w:val="7B7B7B" w:themeColor="accent3" w:themeShade="BF"/>
          <w:sz w:val="22"/>
          <w:szCs w:val="22"/>
          <w:lang w:val="en-GB"/>
        </w:rPr>
        <w:t>;</w:t>
      </w:r>
      <w:r w:rsidR="00B63E14">
        <w:rPr>
          <w:rStyle w:val="FootnoteReference"/>
          <w:rFonts w:ascii="Avenir Next" w:hAnsi="Avenir Next" w:cs="Arial"/>
          <w:color w:val="7B7B7B" w:themeColor="accent3" w:themeShade="BF"/>
          <w:sz w:val="22"/>
          <w:szCs w:val="22"/>
          <w:lang w:val="en-GB"/>
        </w:rPr>
        <w:footnoteReference w:id="4"/>
      </w:r>
      <w:r w:rsidR="00AC2B13">
        <w:rPr>
          <w:rFonts w:ascii="Avenir Next" w:hAnsi="Avenir Next" w:cs="Arial"/>
          <w:color w:val="7B7B7B" w:themeColor="accent3" w:themeShade="BF"/>
          <w:sz w:val="22"/>
          <w:szCs w:val="22"/>
          <w:lang w:val="en-GB"/>
        </w:rPr>
        <w:t xml:space="preserve"> </w:t>
      </w:r>
      <w:r w:rsidR="00B63E14">
        <w:rPr>
          <w:rFonts w:ascii="Avenir Next" w:hAnsi="Avenir Next" w:cs="Arial"/>
          <w:color w:val="7B7B7B" w:themeColor="accent3" w:themeShade="BF"/>
          <w:sz w:val="22"/>
          <w:szCs w:val="22"/>
          <w:lang w:val="en-GB"/>
        </w:rPr>
        <w:t xml:space="preserve">and (iv) an undertaking must be approved by the "known local creditors" and the form of such approval should follow the majority and voting standards that apply to the adoption of restarting plans in the Member State where the secondary proceedings would have taken place. </w:t>
      </w:r>
    </w:p>
    <w:p w14:paraId="45F83504" w14:textId="51BF044A" w:rsidR="00B63E14" w:rsidRDefault="00B63E14" w:rsidP="002A37BB">
      <w:pPr>
        <w:ind w:left="720" w:hanging="720"/>
        <w:jc w:val="both"/>
        <w:rPr>
          <w:rFonts w:ascii="Avenir Next" w:hAnsi="Avenir Next" w:cs="Arial"/>
          <w:color w:val="7B7B7B" w:themeColor="accent3" w:themeShade="BF"/>
          <w:sz w:val="22"/>
          <w:szCs w:val="22"/>
          <w:lang w:val="en-GB"/>
        </w:rPr>
      </w:pPr>
    </w:p>
    <w:p w14:paraId="28147AD4" w14:textId="4713430F" w:rsidR="00B63E14" w:rsidRDefault="00B63E14" w:rsidP="002E39F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instrument is to stay the opening of secondary insolvency proceedings. Obtaining a stay allows the debtor an opportunity to negotiate with its creditors and potentially agree to a restructuring plan, without the added complications of having to deal with secondary proceedings which may hamper the negotiation of </w:t>
      </w:r>
      <w:r w:rsidR="00C85CA1">
        <w:rPr>
          <w:rFonts w:ascii="Avenir Next" w:hAnsi="Avenir Next" w:cs="Arial"/>
          <w:color w:val="7B7B7B" w:themeColor="accent3" w:themeShade="BF"/>
          <w:sz w:val="22"/>
          <w:szCs w:val="22"/>
          <w:lang w:val="en-GB"/>
        </w:rPr>
        <w:t xml:space="preserve">for potential </w:t>
      </w:r>
      <w:r>
        <w:rPr>
          <w:rFonts w:ascii="Avenir Next" w:hAnsi="Avenir Next" w:cs="Arial"/>
          <w:color w:val="7B7B7B" w:themeColor="accent3" w:themeShade="BF"/>
          <w:sz w:val="22"/>
          <w:szCs w:val="22"/>
          <w:lang w:val="en-GB"/>
        </w:rPr>
        <w:t xml:space="preserve">business rescue. In order to </w:t>
      </w:r>
      <w:r w:rsidRPr="00B63E14">
        <w:rPr>
          <w:rFonts w:ascii="Avenir Next" w:hAnsi="Avenir Next" w:cs="Arial"/>
          <w:color w:val="7B7B7B" w:themeColor="accent3" w:themeShade="BF"/>
          <w:sz w:val="22"/>
          <w:szCs w:val="22"/>
          <w:lang w:val="en-GB"/>
        </w:rPr>
        <w:t>stay the opening of secondary insolvency proceedings</w:t>
      </w:r>
      <w:r>
        <w:rPr>
          <w:rFonts w:ascii="Avenir Next" w:hAnsi="Avenir Next" w:cs="Arial"/>
          <w:color w:val="7B7B7B" w:themeColor="accent3" w:themeShade="BF"/>
          <w:sz w:val="22"/>
          <w:szCs w:val="22"/>
          <w:lang w:val="en-GB"/>
        </w:rPr>
        <w:t xml:space="preserve">, the IP or debtor in possession </w:t>
      </w:r>
      <w:r w:rsidR="00C85CA1">
        <w:rPr>
          <w:rFonts w:ascii="Avenir Next" w:hAnsi="Avenir Next" w:cs="Arial"/>
          <w:color w:val="7B7B7B" w:themeColor="accent3" w:themeShade="BF"/>
          <w:sz w:val="22"/>
          <w:szCs w:val="22"/>
          <w:lang w:val="en-GB"/>
        </w:rPr>
        <w:t xml:space="preserve">will </w:t>
      </w:r>
      <w:r w:rsidR="00C85CA1">
        <w:rPr>
          <w:rFonts w:ascii="Avenir Next" w:hAnsi="Avenir Next" w:cs="Arial"/>
          <w:color w:val="7B7B7B" w:themeColor="accent3" w:themeShade="BF"/>
          <w:sz w:val="22"/>
          <w:szCs w:val="22"/>
          <w:lang w:val="en-GB"/>
        </w:rPr>
        <w:lastRenderedPageBreak/>
        <w:t>need to approach the court to request such an action.</w:t>
      </w:r>
      <w:r w:rsidR="002E39F8">
        <w:rPr>
          <w:rFonts w:ascii="Avenir Next" w:hAnsi="Avenir Next" w:cs="Arial"/>
          <w:color w:val="7B7B7B" w:themeColor="accent3" w:themeShade="BF"/>
          <w:sz w:val="22"/>
          <w:szCs w:val="22"/>
          <w:lang w:val="en-GB"/>
        </w:rPr>
        <w:t xml:space="preserve"> For the stay to be granted, there must also be suitable measures in place to protect the local creditors for the duration of the stay. These "suitable measures" may include protective measures such as </w:t>
      </w:r>
      <w:r w:rsidR="002E39F8" w:rsidRPr="002E39F8">
        <w:rPr>
          <w:rFonts w:ascii="Avenir Next" w:hAnsi="Avenir Next" w:cs="Arial"/>
          <w:color w:val="7B7B7B" w:themeColor="accent3" w:themeShade="BF"/>
          <w:sz w:val="22"/>
          <w:szCs w:val="22"/>
          <w:lang w:val="en-GB"/>
        </w:rPr>
        <w:t xml:space="preserve">requiring the </w:t>
      </w:r>
      <w:r w:rsidR="002E39F8">
        <w:rPr>
          <w:rFonts w:ascii="Avenir Next" w:hAnsi="Avenir Next" w:cs="Arial"/>
          <w:color w:val="7B7B7B" w:themeColor="accent3" w:themeShade="BF"/>
          <w:sz w:val="22"/>
          <w:szCs w:val="22"/>
          <w:lang w:val="en-GB"/>
        </w:rPr>
        <w:t>IP</w:t>
      </w:r>
      <w:r w:rsidR="002E39F8" w:rsidRPr="002E39F8">
        <w:rPr>
          <w:rFonts w:ascii="Avenir Next" w:hAnsi="Avenir Next" w:cs="Arial"/>
          <w:color w:val="7B7B7B" w:themeColor="accent3" w:themeShade="BF"/>
          <w:sz w:val="22"/>
          <w:szCs w:val="22"/>
          <w:lang w:val="en-GB"/>
        </w:rPr>
        <w:t xml:space="preserve"> or the debtor in possession not to remove or dispose of any assets which are located in the Member State </w:t>
      </w:r>
      <w:r w:rsidR="002E39F8">
        <w:rPr>
          <w:rFonts w:ascii="Avenir Next" w:hAnsi="Avenir Next" w:cs="Arial"/>
          <w:color w:val="7B7B7B" w:themeColor="accent3" w:themeShade="BF"/>
          <w:sz w:val="22"/>
          <w:szCs w:val="22"/>
          <w:lang w:val="en-GB"/>
        </w:rPr>
        <w:t>where the secondary proceedings would be opened,</w:t>
      </w:r>
      <w:r w:rsidR="002E39F8" w:rsidRPr="002E39F8">
        <w:rPr>
          <w:rFonts w:ascii="Avenir Next" w:hAnsi="Avenir Next" w:cs="Arial"/>
          <w:color w:val="7B7B7B" w:themeColor="accent3" w:themeShade="BF"/>
          <w:sz w:val="22"/>
          <w:szCs w:val="22"/>
          <w:lang w:val="en-GB"/>
        </w:rPr>
        <w:t xml:space="preserve"> unless this is done in the ordinary course of business</w:t>
      </w:r>
      <w:r w:rsidR="002E39F8">
        <w:rPr>
          <w:rFonts w:ascii="Avenir Next" w:hAnsi="Avenir Next" w:cs="Arial"/>
          <w:color w:val="7B7B7B" w:themeColor="accent3" w:themeShade="BF"/>
          <w:sz w:val="22"/>
          <w:szCs w:val="22"/>
          <w:lang w:val="en-GB"/>
        </w:rPr>
        <w:t>. Other protective measures may also be ordered by the court subject to these measures not being incompatible with the national rules on civil procedure of the Member State where the secondary proceedings were to be opened.</w:t>
      </w:r>
      <w:r w:rsidR="00C85CA1">
        <w:rPr>
          <w:rFonts w:ascii="Avenir Next" w:hAnsi="Avenir Next" w:cs="Arial"/>
          <w:color w:val="7B7B7B" w:themeColor="accent3" w:themeShade="BF"/>
          <w:sz w:val="22"/>
          <w:szCs w:val="22"/>
          <w:lang w:val="en-GB"/>
        </w:rPr>
        <w:t xml:space="preserve"> Where a temporary stay of individual enforcement proceedings has been granted by the court in the main insolvency proceedings, the court may, for a period not exceeding 3 months, stay the opening of secondary proceedings so as to ensure that stay provided in the main insolvency proceedings is not undermined or hindered.</w:t>
      </w:r>
      <w:r w:rsidR="00C85CA1">
        <w:rPr>
          <w:rStyle w:val="FootnoteReference"/>
          <w:rFonts w:ascii="Avenir Next" w:hAnsi="Avenir Next" w:cs="Arial"/>
          <w:color w:val="7B7B7B" w:themeColor="accent3" w:themeShade="BF"/>
          <w:sz w:val="22"/>
          <w:szCs w:val="22"/>
          <w:lang w:val="en-GB"/>
        </w:rPr>
        <w:footnoteReference w:id="5"/>
      </w:r>
      <w:r w:rsidR="00C85CA1">
        <w:rPr>
          <w:rFonts w:ascii="Avenir Next" w:hAnsi="Avenir Next" w:cs="Arial"/>
          <w:color w:val="7B7B7B" w:themeColor="accent3" w:themeShade="BF"/>
          <w:sz w:val="22"/>
          <w:szCs w:val="22"/>
          <w:lang w:val="en-GB"/>
        </w:rPr>
        <w:t xml:space="preserve">  </w:t>
      </w:r>
      <w:r w:rsidR="002E39F8">
        <w:rPr>
          <w:rFonts w:ascii="Avenir Next" w:hAnsi="Avenir Next" w:cs="Arial"/>
          <w:color w:val="7B7B7B" w:themeColor="accent3" w:themeShade="BF"/>
          <w:sz w:val="22"/>
          <w:szCs w:val="22"/>
          <w:lang w:val="en-GB"/>
        </w:rPr>
        <w:t xml:space="preserve">When can a stay be lifted? A court must lift a stay where a restructuring plan has been agreed by the debtor and its creditors. A stay may also be lifted where the inverse is true i.e. where negotiations have soured or been disrupted and </w:t>
      </w:r>
      <w:r w:rsidR="00216C24">
        <w:rPr>
          <w:rFonts w:ascii="Avenir Next" w:hAnsi="Avenir Next" w:cs="Arial"/>
          <w:color w:val="7B7B7B" w:themeColor="accent3" w:themeShade="BF"/>
          <w:sz w:val="22"/>
          <w:szCs w:val="22"/>
          <w:lang w:val="en-GB"/>
        </w:rPr>
        <w:t>it's</w:t>
      </w:r>
      <w:r w:rsidR="002E39F8">
        <w:rPr>
          <w:rFonts w:ascii="Avenir Next" w:hAnsi="Avenir Next" w:cs="Arial"/>
          <w:color w:val="7B7B7B" w:themeColor="accent3" w:themeShade="BF"/>
          <w:sz w:val="22"/>
          <w:szCs w:val="22"/>
          <w:lang w:val="en-GB"/>
        </w:rPr>
        <w:t xml:space="preserve"> clear that restru</w:t>
      </w:r>
      <w:r w:rsidR="00216C24">
        <w:rPr>
          <w:rFonts w:ascii="Avenir Next" w:hAnsi="Avenir Next" w:cs="Arial"/>
          <w:color w:val="7B7B7B" w:themeColor="accent3" w:themeShade="BF"/>
          <w:sz w:val="22"/>
          <w:szCs w:val="22"/>
          <w:lang w:val="en-GB"/>
        </w:rPr>
        <w:t>c</w:t>
      </w:r>
      <w:r w:rsidR="002E39F8">
        <w:rPr>
          <w:rFonts w:ascii="Avenir Next" w:hAnsi="Avenir Next" w:cs="Arial"/>
          <w:color w:val="7B7B7B" w:themeColor="accent3" w:themeShade="BF"/>
          <w:sz w:val="22"/>
          <w:szCs w:val="22"/>
          <w:lang w:val="en-GB"/>
        </w:rPr>
        <w:t>t</w:t>
      </w:r>
      <w:r w:rsidR="00216C24">
        <w:rPr>
          <w:rFonts w:ascii="Avenir Next" w:hAnsi="Avenir Next" w:cs="Arial"/>
          <w:color w:val="7B7B7B" w:themeColor="accent3" w:themeShade="BF"/>
          <w:sz w:val="22"/>
          <w:szCs w:val="22"/>
          <w:lang w:val="en-GB"/>
        </w:rPr>
        <w:t>ur</w:t>
      </w:r>
      <w:r w:rsidR="002E39F8">
        <w:rPr>
          <w:rFonts w:ascii="Avenir Next" w:hAnsi="Avenir Next" w:cs="Arial"/>
          <w:color w:val="7B7B7B" w:themeColor="accent3" w:themeShade="BF"/>
          <w:sz w:val="22"/>
          <w:szCs w:val="22"/>
          <w:lang w:val="en-GB"/>
        </w:rPr>
        <w:t xml:space="preserve">ing plan is unlikely to be agreed to for whatever other reason, the court </w:t>
      </w:r>
      <w:r w:rsidR="00216C24">
        <w:rPr>
          <w:rFonts w:ascii="Avenir Next" w:hAnsi="Avenir Next" w:cs="Arial"/>
          <w:color w:val="7B7B7B" w:themeColor="accent3" w:themeShade="BF"/>
          <w:sz w:val="22"/>
          <w:szCs w:val="22"/>
          <w:lang w:val="en-GB"/>
        </w:rPr>
        <w:t xml:space="preserve">may lift the stay as it would be injurious to the creditors' rights. Further, the court has the discretion to lift or keep a stay where the IP or debtor in possession has infringed upon the prohibition of disposal of the debtor's assets or on removal of such assets from the territory of the Member State in which the stay was granted.  </w:t>
      </w:r>
    </w:p>
    <w:p w14:paraId="49005EAE" w14:textId="77777777" w:rsidR="00216C24" w:rsidRDefault="00216C24" w:rsidP="002E39F8">
      <w:pPr>
        <w:ind w:left="720" w:hanging="720"/>
        <w:jc w:val="both"/>
        <w:rPr>
          <w:rFonts w:ascii="Avenir Next" w:hAnsi="Avenir Next" w:cs="Arial"/>
          <w:color w:val="7B7B7B" w:themeColor="accent3" w:themeShade="BF"/>
          <w:sz w:val="22"/>
          <w:szCs w:val="22"/>
          <w:lang w:val="en-GB"/>
        </w:rPr>
      </w:pPr>
    </w:p>
    <w:p w14:paraId="48B55EC7" w14:textId="4F4AACDA" w:rsidR="00216C24" w:rsidRPr="00C85CA1" w:rsidRDefault="00216C24" w:rsidP="002E39F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contrast to the first instrument where an undertaking is given, the request for a granting of a stay does not put a positive obligation on the court to do so. Whether to grant a stay or not is at the discretion of the court, whereas with a court will be obliged to adhere to an undertaking. Therefore it can be said that the "stronger" of the two instruments in preventing the opening of secondary proceedings where it could hamper the efficient administration of the debtor's estate, is that of the undertaking.</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Pr="00F92B1F">
        <w:rPr>
          <w:rFonts w:ascii="Avenir Next Demi Bold" w:hAnsi="Avenir Next Demi Bold" w:cs="Arial"/>
          <w:b/>
          <w:bCs/>
          <w:sz w:val="22"/>
          <w:szCs w:val="22"/>
        </w:rPr>
        <w:t>[</w:t>
      </w:r>
      <w:r w:rsidR="006A2646" w:rsidRPr="00F92B1F">
        <w:rPr>
          <w:rFonts w:ascii="Avenir Next Demi Bold" w:hAnsi="Avenir Next Demi Bold" w:cs="Arial"/>
          <w:b/>
          <w:bCs/>
          <w:sz w:val="22"/>
          <w:szCs w:val="22"/>
        </w:rPr>
        <w:t>m</w:t>
      </w:r>
      <w:r w:rsidRPr="00F92B1F">
        <w:rPr>
          <w:rFonts w:ascii="Avenir Next Demi Bold" w:hAnsi="Avenir Next Demi Bold" w:cs="Arial"/>
          <w:b/>
          <w:bCs/>
          <w:sz w:val="22"/>
          <w:szCs w:val="22"/>
        </w:rPr>
        <w:t xml:space="preserve">aximum </w:t>
      </w:r>
      <w:r w:rsidR="00E90991" w:rsidRPr="00F92B1F">
        <w:rPr>
          <w:rFonts w:ascii="Avenir Next Demi Bold" w:hAnsi="Avenir Next Demi Bold" w:cs="Arial"/>
          <w:b/>
          <w:bCs/>
          <w:sz w:val="22"/>
          <w:szCs w:val="22"/>
        </w:rPr>
        <w:t>5</w:t>
      </w:r>
      <w:r w:rsidRPr="00F92B1F">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224A989E" w14:textId="02A08E91" w:rsidR="000C4079" w:rsidRDefault="00D8775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the EIR 2000 </w:t>
      </w:r>
      <w:r w:rsidR="000C4079">
        <w:rPr>
          <w:rFonts w:ascii="Avenir Next" w:hAnsi="Avenir Next" w:cs="Arial"/>
          <w:color w:val="7B7B7B" w:themeColor="accent3" w:themeShade="BF"/>
          <w:sz w:val="22"/>
          <w:szCs w:val="22"/>
          <w:lang w:val="en-GB"/>
        </w:rPr>
        <w:t>improved</w:t>
      </w:r>
      <w:r>
        <w:rPr>
          <w:rFonts w:ascii="Avenir Next" w:hAnsi="Avenir Next" w:cs="Arial"/>
          <w:color w:val="7B7B7B" w:themeColor="accent3" w:themeShade="BF"/>
          <w:sz w:val="22"/>
          <w:szCs w:val="22"/>
          <w:lang w:val="en-GB"/>
        </w:rPr>
        <w:t xml:space="preserve"> the general understanding of conceptual issues in cross-border insolvency</w:t>
      </w:r>
      <w:r w:rsidR="000C407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law within the EU, certain practical </w:t>
      </w:r>
      <w:r w:rsidR="00D72A71">
        <w:rPr>
          <w:rFonts w:ascii="Avenir Next" w:hAnsi="Avenir Next" w:cs="Arial"/>
          <w:color w:val="7B7B7B" w:themeColor="accent3" w:themeShade="BF"/>
          <w:sz w:val="22"/>
          <w:szCs w:val="22"/>
          <w:lang w:val="en-GB"/>
        </w:rPr>
        <w:t xml:space="preserve">guidance in line with modern insolvency practices </w:t>
      </w:r>
      <w:r>
        <w:rPr>
          <w:rFonts w:ascii="Avenir Next" w:hAnsi="Avenir Next" w:cs="Arial"/>
          <w:color w:val="7B7B7B" w:themeColor="accent3" w:themeShade="BF"/>
          <w:sz w:val="22"/>
          <w:szCs w:val="22"/>
          <w:lang w:val="en-GB"/>
        </w:rPr>
        <w:t xml:space="preserve">was lacking and therefore needed adjusting and </w:t>
      </w:r>
      <w:r w:rsidR="000C4079">
        <w:rPr>
          <w:rFonts w:ascii="Avenir Next" w:hAnsi="Avenir Next" w:cs="Arial"/>
          <w:color w:val="7B7B7B" w:themeColor="accent3" w:themeShade="BF"/>
          <w:sz w:val="22"/>
          <w:szCs w:val="22"/>
          <w:lang w:val="en-GB"/>
        </w:rPr>
        <w:t>clarification</w:t>
      </w:r>
      <w:r>
        <w:rPr>
          <w:rFonts w:ascii="Avenir Next" w:hAnsi="Avenir Next" w:cs="Arial"/>
          <w:color w:val="7B7B7B" w:themeColor="accent3" w:themeShade="BF"/>
          <w:sz w:val="22"/>
          <w:szCs w:val="22"/>
          <w:lang w:val="en-GB"/>
        </w:rPr>
        <w:t xml:space="preserve">. This was achieved through the EIR Recast which </w:t>
      </w:r>
      <w:r w:rsidR="00D72A71">
        <w:rPr>
          <w:rFonts w:ascii="Avenir Next" w:hAnsi="Avenir Next" w:cs="Arial"/>
          <w:color w:val="7B7B7B" w:themeColor="accent3" w:themeShade="BF"/>
          <w:sz w:val="22"/>
          <w:szCs w:val="22"/>
          <w:lang w:val="en-GB"/>
        </w:rPr>
        <w:t xml:space="preserve">expands upon the EIR 2000 to provide more </w:t>
      </w:r>
      <w:r>
        <w:rPr>
          <w:rFonts w:ascii="Avenir Next" w:hAnsi="Avenir Next" w:cs="Arial"/>
          <w:color w:val="7B7B7B" w:themeColor="accent3" w:themeShade="BF"/>
          <w:sz w:val="22"/>
          <w:szCs w:val="22"/>
          <w:lang w:val="en-GB"/>
        </w:rPr>
        <w:t xml:space="preserve">practical </w:t>
      </w:r>
      <w:r w:rsidR="00D72A71">
        <w:rPr>
          <w:rFonts w:ascii="Avenir Next" w:hAnsi="Avenir Next" w:cs="Arial"/>
          <w:color w:val="7B7B7B" w:themeColor="accent3" w:themeShade="BF"/>
          <w:sz w:val="22"/>
          <w:szCs w:val="22"/>
          <w:lang w:val="en-GB"/>
        </w:rPr>
        <w:t>guidance</w:t>
      </w:r>
      <w:r>
        <w:rPr>
          <w:rFonts w:ascii="Avenir Next" w:hAnsi="Avenir Next" w:cs="Arial"/>
          <w:color w:val="7B7B7B" w:themeColor="accent3" w:themeShade="BF"/>
          <w:sz w:val="22"/>
          <w:szCs w:val="22"/>
          <w:lang w:val="en-GB"/>
        </w:rPr>
        <w:t xml:space="preserve"> in order to take those now cleared-up conceptual issues further and </w:t>
      </w:r>
      <w:r w:rsidR="00D72A71">
        <w:rPr>
          <w:rFonts w:ascii="Avenir Next" w:hAnsi="Avenir Next" w:cs="Arial"/>
          <w:color w:val="7B7B7B" w:themeColor="accent3" w:themeShade="BF"/>
          <w:sz w:val="22"/>
          <w:szCs w:val="22"/>
          <w:lang w:val="en-GB"/>
        </w:rPr>
        <w:t xml:space="preserve">make them </w:t>
      </w:r>
      <w:r>
        <w:rPr>
          <w:rFonts w:ascii="Avenir Next" w:hAnsi="Avenir Next" w:cs="Arial"/>
          <w:color w:val="7B7B7B" w:themeColor="accent3" w:themeShade="BF"/>
          <w:sz w:val="22"/>
          <w:szCs w:val="22"/>
          <w:lang w:val="en-GB"/>
        </w:rPr>
        <w:t xml:space="preserve">useable. </w:t>
      </w:r>
      <w:r w:rsidR="00D72A71">
        <w:rPr>
          <w:rFonts w:ascii="Avenir Next" w:hAnsi="Avenir Next" w:cs="Arial"/>
          <w:color w:val="7B7B7B" w:themeColor="accent3" w:themeShade="BF"/>
          <w:sz w:val="22"/>
          <w:szCs w:val="22"/>
          <w:lang w:val="en-GB"/>
        </w:rPr>
        <w:t xml:space="preserve">The particular changes that have been brought through into the EIR Recast </w:t>
      </w:r>
      <w:r w:rsidR="007D18DD">
        <w:rPr>
          <w:rFonts w:ascii="Avenir Next" w:hAnsi="Avenir Next" w:cs="Arial"/>
          <w:color w:val="7B7B7B" w:themeColor="accent3" w:themeShade="BF"/>
          <w:sz w:val="22"/>
          <w:szCs w:val="22"/>
          <w:lang w:val="en-GB"/>
        </w:rPr>
        <w:t>are as follows:</w:t>
      </w:r>
      <w:r>
        <w:rPr>
          <w:rFonts w:ascii="Avenir Next" w:hAnsi="Avenir Next" w:cs="Arial"/>
          <w:color w:val="7B7B7B" w:themeColor="accent3" w:themeShade="BF"/>
          <w:sz w:val="22"/>
          <w:szCs w:val="22"/>
          <w:lang w:val="en-GB"/>
        </w:rPr>
        <w:t xml:space="preserve"> (i) </w:t>
      </w:r>
      <w:r w:rsidR="007D18DD">
        <w:rPr>
          <w:rFonts w:ascii="Avenir Next" w:hAnsi="Avenir Next" w:cs="Arial"/>
          <w:color w:val="7B7B7B" w:themeColor="accent3" w:themeShade="BF"/>
          <w:sz w:val="22"/>
          <w:szCs w:val="22"/>
          <w:lang w:val="en-GB"/>
        </w:rPr>
        <w:t xml:space="preserve">it </w:t>
      </w:r>
      <w:r>
        <w:rPr>
          <w:rFonts w:ascii="Avenir Next" w:hAnsi="Avenir Next" w:cs="Arial"/>
          <w:color w:val="7B7B7B" w:themeColor="accent3" w:themeShade="BF"/>
          <w:sz w:val="22"/>
          <w:szCs w:val="22"/>
          <w:lang w:val="en-GB"/>
        </w:rPr>
        <w:t xml:space="preserve">introduced a wider scope of application than the EIR 2000; (ii) </w:t>
      </w:r>
      <w:r w:rsidR="007D18DD">
        <w:rPr>
          <w:rFonts w:ascii="Avenir Next" w:hAnsi="Avenir Next" w:cs="Arial"/>
          <w:color w:val="7B7B7B" w:themeColor="accent3" w:themeShade="BF"/>
          <w:sz w:val="22"/>
          <w:szCs w:val="22"/>
          <w:lang w:val="en-GB"/>
        </w:rPr>
        <w:t xml:space="preserve">it </w:t>
      </w:r>
      <w:r>
        <w:rPr>
          <w:rFonts w:ascii="Avenir Next" w:hAnsi="Avenir Next" w:cs="Arial"/>
          <w:color w:val="7B7B7B" w:themeColor="accent3" w:themeShade="BF"/>
          <w:sz w:val="22"/>
          <w:szCs w:val="22"/>
          <w:lang w:val="en-GB"/>
        </w:rPr>
        <w:t>created provisions relating to communication and cooperation between IPs and courts across insolvency proceedings; (iii)</w:t>
      </w:r>
      <w:r w:rsidR="000C4079">
        <w:rPr>
          <w:rFonts w:ascii="Avenir Next" w:hAnsi="Avenir Next" w:cs="Arial"/>
          <w:color w:val="7B7B7B" w:themeColor="accent3" w:themeShade="BF"/>
          <w:sz w:val="22"/>
          <w:szCs w:val="22"/>
          <w:lang w:val="en-GB"/>
        </w:rPr>
        <w:t xml:space="preserve"> </w:t>
      </w:r>
      <w:r w:rsidR="007D18DD">
        <w:rPr>
          <w:rFonts w:ascii="Avenir Next" w:hAnsi="Avenir Next" w:cs="Arial"/>
          <w:color w:val="7B7B7B" w:themeColor="accent3" w:themeShade="BF"/>
          <w:sz w:val="22"/>
          <w:szCs w:val="22"/>
          <w:lang w:val="en-GB"/>
        </w:rPr>
        <w:t>it aimed to connect</w:t>
      </w:r>
      <w:r w:rsidR="000C4079">
        <w:rPr>
          <w:rFonts w:ascii="Avenir Next" w:hAnsi="Avenir Next" w:cs="Arial"/>
          <w:color w:val="7B7B7B" w:themeColor="accent3" w:themeShade="BF"/>
          <w:sz w:val="22"/>
          <w:szCs w:val="22"/>
          <w:lang w:val="en-GB"/>
        </w:rPr>
        <w:t xml:space="preserve"> insolvency information across jurisdictions and proceedings (iv) general updates as required by a changing </w:t>
      </w:r>
      <w:r w:rsidR="002519DE">
        <w:rPr>
          <w:rFonts w:ascii="Avenir Next" w:hAnsi="Avenir Next" w:cs="Arial"/>
          <w:color w:val="7B7B7B" w:themeColor="accent3" w:themeShade="BF"/>
          <w:sz w:val="22"/>
          <w:szCs w:val="22"/>
          <w:lang w:val="en-GB"/>
        </w:rPr>
        <w:t xml:space="preserve">society as well as to align </w:t>
      </w:r>
      <w:r w:rsidR="002519DE">
        <w:rPr>
          <w:rFonts w:ascii="Avenir Next" w:hAnsi="Avenir Next" w:cs="Arial"/>
          <w:color w:val="7B7B7B" w:themeColor="accent3" w:themeShade="BF"/>
          <w:sz w:val="22"/>
          <w:szCs w:val="22"/>
          <w:lang w:val="en-GB"/>
        </w:rPr>
        <w:lastRenderedPageBreak/>
        <w:t>with the EU's political priorities.</w:t>
      </w:r>
      <w:r w:rsidR="00D72A71">
        <w:rPr>
          <w:rFonts w:ascii="Avenir Next" w:hAnsi="Avenir Next" w:cs="Arial"/>
          <w:color w:val="7B7B7B" w:themeColor="accent3" w:themeShade="BF"/>
          <w:sz w:val="22"/>
          <w:szCs w:val="22"/>
          <w:lang w:val="en-GB"/>
        </w:rPr>
        <w:t xml:space="preserve"> </w:t>
      </w:r>
      <w:r w:rsidR="007D18DD">
        <w:rPr>
          <w:rFonts w:ascii="Avenir Next" w:hAnsi="Avenir Next" w:cs="Arial"/>
          <w:color w:val="7B7B7B" w:themeColor="accent3" w:themeShade="BF"/>
          <w:sz w:val="22"/>
          <w:szCs w:val="22"/>
          <w:lang w:val="en-GB"/>
        </w:rPr>
        <w:t>In order to arrive at these improvements of the EIR 2000 in the EIR Recast, t</w:t>
      </w:r>
      <w:r w:rsidR="00D72A71">
        <w:rPr>
          <w:rFonts w:ascii="Avenir Next" w:hAnsi="Avenir Next" w:cs="Arial"/>
          <w:color w:val="7B7B7B" w:themeColor="accent3" w:themeShade="BF"/>
          <w:sz w:val="22"/>
          <w:szCs w:val="22"/>
          <w:lang w:val="en-GB"/>
        </w:rPr>
        <w:t>he</w:t>
      </w:r>
      <w:r w:rsidR="007D18DD" w:rsidRPr="007D18DD">
        <w:rPr>
          <w:rFonts w:ascii="Avenir Next" w:hAnsi="Avenir Next" w:cs="Arial"/>
          <w:color w:val="7B7B7B" w:themeColor="accent3" w:themeShade="BF"/>
          <w:sz w:val="22"/>
          <w:szCs w:val="22"/>
          <w:lang w:val="en-GB"/>
        </w:rPr>
        <w:t xml:space="preserve"> European Commission</w:t>
      </w:r>
      <w:r w:rsidR="00D72A71">
        <w:rPr>
          <w:rFonts w:ascii="Avenir Next" w:hAnsi="Avenir Next" w:cs="Arial"/>
          <w:color w:val="7B7B7B" w:themeColor="accent3" w:themeShade="BF"/>
          <w:sz w:val="22"/>
          <w:szCs w:val="22"/>
          <w:lang w:val="en-GB"/>
        </w:rPr>
        <w:t xml:space="preserve"> </w:t>
      </w:r>
      <w:r w:rsidR="00D72A71" w:rsidRPr="00D72A71">
        <w:rPr>
          <w:rFonts w:ascii="Avenir Next" w:hAnsi="Avenir Next" w:cs="Arial"/>
          <w:color w:val="7B7B7B" w:themeColor="accent3" w:themeShade="BF"/>
          <w:sz w:val="22"/>
          <w:szCs w:val="22"/>
          <w:lang w:val="en-GB"/>
        </w:rPr>
        <w:t xml:space="preserve">identified </w:t>
      </w:r>
      <w:r w:rsidR="007D18DD">
        <w:rPr>
          <w:rFonts w:ascii="Avenir Next" w:hAnsi="Avenir Next" w:cs="Arial"/>
          <w:color w:val="7B7B7B" w:themeColor="accent3" w:themeShade="BF"/>
          <w:sz w:val="22"/>
          <w:szCs w:val="22"/>
          <w:lang w:val="en-GB"/>
        </w:rPr>
        <w:t xml:space="preserve">the following </w:t>
      </w:r>
      <w:r w:rsidR="007D18DD" w:rsidRPr="007D18DD">
        <w:rPr>
          <w:rFonts w:ascii="Avenir Next" w:hAnsi="Avenir Next" w:cs="Arial"/>
          <w:color w:val="7B7B7B" w:themeColor="accent3" w:themeShade="BF"/>
          <w:sz w:val="22"/>
          <w:szCs w:val="22"/>
          <w:lang w:val="en-GB"/>
        </w:rPr>
        <w:t xml:space="preserve">main elements </w:t>
      </w:r>
      <w:r w:rsidR="00D72A71" w:rsidRPr="00D72A71">
        <w:rPr>
          <w:rFonts w:ascii="Avenir Next" w:hAnsi="Avenir Next" w:cs="Arial"/>
          <w:color w:val="7B7B7B" w:themeColor="accent3" w:themeShade="BF"/>
          <w:sz w:val="22"/>
          <w:szCs w:val="22"/>
          <w:lang w:val="en-GB"/>
        </w:rPr>
        <w:t>as needing revision</w:t>
      </w:r>
      <w:r w:rsidR="00D72A71">
        <w:rPr>
          <w:rFonts w:ascii="Avenir Next" w:hAnsi="Avenir Next" w:cs="Arial"/>
          <w:color w:val="7B7B7B" w:themeColor="accent3" w:themeShade="BF"/>
          <w:sz w:val="22"/>
          <w:szCs w:val="22"/>
          <w:lang w:val="en-GB"/>
        </w:rPr>
        <w:t>:</w:t>
      </w:r>
      <w:r w:rsidR="00D72A71">
        <w:rPr>
          <w:rStyle w:val="FootnoteReference"/>
          <w:rFonts w:ascii="Avenir Next" w:hAnsi="Avenir Next" w:cs="Arial"/>
          <w:color w:val="7B7B7B" w:themeColor="accent3" w:themeShade="BF"/>
          <w:sz w:val="22"/>
          <w:szCs w:val="22"/>
          <w:lang w:val="en-GB"/>
        </w:rPr>
        <w:footnoteReference w:id="6"/>
      </w:r>
      <w:r w:rsidR="00D72A71">
        <w:rPr>
          <w:rFonts w:ascii="Avenir Next" w:hAnsi="Avenir Next" w:cs="Arial"/>
          <w:color w:val="7B7B7B" w:themeColor="accent3" w:themeShade="BF"/>
          <w:sz w:val="22"/>
          <w:szCs w:val="22"/>
          <w:lang w:val="en-GB"/>
        </w:rPr>
        <w:t xml:space="preserve"> </w:t>
      </w:r>
    </w:p>
    <w:p w14:paraId="5C0129FA" w14:textId="266AC3F8" w:rsidR="00D72A71" w:rsidRDefault="00D72A71" w:rsidP="002A37BB">
      <w:pPr>
        <w:jc w:val="both"/>
        <w:rPr>
          <w:rFonts w:ascii="Avenir Next" w:hAnsi="Avenir Next" w:cs="Arial"/>
          <w:color w:val="7B7B7B" w:themeColor="accent3" w:themeShade="BF"/>
          <w:sz w:val="22"/>
          <w:szCs w:val="22"/>
          <w:lang w:val="en-GB"/>
        </w:rPr>
      </w:pPr>
    </w:p>
    <w:p w14:paraId="68ECD34A" w14:textId="1CF95665" w:rsidR="00D72A71" w:rsidRDefault="00D72A71" w:rsidP="00A9235B">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scope of the </w:t>
      </w:r>
      <w:r w:rsidR="001A716A" w:rsidRPr="001A716A">
        <w:rPr>
          <w:rFonts w:ascii="Avenir Next" w:hAnsi="Avenir Next" w:cs="Arial"/>
          <w:color w:val="7B7B7B" w:themeColor="accent3" w:themeShade="BF"/>
          <w:sz w:val="22"/>
          <w:szCs w:val="22"/>
          <w:lang w:val="en-GB"/>
        </w:rPr>
        <w:t>EIR 2000</w:t>
      </w:r>
      <w:r w:rsidR="001A716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failed to acknowledge or provide guidance where national procedures of Members provided for proceedings where existing management remain in place or where restructuring of the company takes place at a pre-insolvency stage.</w:t>
      </w:r>
      <w:r w:rsidR="007D18DD">
        <w:rPr>
          <w:rFonts w:ascii="Avenir Next" w:hAnsi="Avenir Next" w:cs="Arial"/>
          <w:color w:val="7B7B7B" w:themeColor="accent3" w:themeShade="BF"/>
          <w:sz w:val="22"/>
          <w:szCs w:val="22"/>
          <w:lang w:val="en-GB"/>
        </w:rPr>
        <w:t xml:space="preserve"> In other words, there was a disconnect with how restructuring proceedings or business rescue proceedings were to be acknowledged across the various Member States when it came to rescuing/ restructuring an economically viable debtor.</w:t>
      </w:r>
      <w:r>
        <w:rPr>
          <w:rFonts w:ascii="Avenir Next" w:hAnsi="Avenir Next" w:cs="Arial"/>
          <w:color w:val="7B7B7B" w:themeColor="accent3" w:themeShade="BF"/>
          <w:sz w:val="22"/>
          <w:szCs w:val="22"/>
          <w:lang w:val="en-GB"/>
        </w:rPr>
        <w:t xml:space="preserve"> </w:t>
      </w:r>
      <w:r w:rsidR="00A06928" w:rsidRPr="00A06928">
        <w:rPr>
          <w:rFonts w:ascii="Avenir Next" w:hAnsi="Avenir Next" w:cs="Arial"/>
          <w:color w:val="7B7B7B" w:themeColor="accent3" w:themeShade="BF"/>
          <w:sz w:val="22"/>
          <w:szCs w:val="22"/>
        </w:rPr>
        <w:t>It would be the national laws of each Member State that would need to be consulted for how to deal with pre-insolvency matters, where said national law is silent, there were no solutions be found in the EIR 2000</w:t>
      </w:r>
      <w:r w:rsidR="00A06928">
        <w:rPr>
          <w:rFonts w:ascii="Avenir Next" w:hAnsi="Avenir Next" w:cs="Arial"/>
          <w:color w:val="7B7B7B" w:themeColor="accent3" w:themeShade="BF"/>
          <w:sz w:val="22"/>
          <w:szCs w:val="22"/>
        </w:rPr>
        <w:t>.</w:t>
      </w:r>
      <w:r w:rsidR="00A06928">
        <w:rPr>
          <w:rFonts w:ascii="Avenir Next" w:hAnsi="Avenir Next" w:cs="Arial"/>
          <w:color w:val="7B7B7B" w:themeColor="accent3" w:themeShade="BF"/>
          <w:sz w:val="22"/>
          <w:szCs w:val="22"/>
          <w:lang w:val="en-GB"/>
        </w:rPr>
        <w:t xml:space="preserve"> T</w:t>
      </w:r>
      <w:r w:rsidR="00565F4B">
        <w:rPr>
          <w:rFonts w:ascii="Avenir Next" w:hAnsi="Avenir Next" w:cs="Arial"/>
          <w:color w:val="7B7B7B" w:themeColor="accent3" w:themeShade="BF"/>
          <w:sz w:val="22"/>
          <w:szCs w:val="22"/>
          <w:lang w:val="en-GB"/>
        </w:rPr>
        <w:t xml:space="preserve">he EIR 2000 failed to include pre-insolvency proceedings in its scope, thereby not acknowledging potential business rescue before insolvency. </w:t>
      </w:r>
      <w:r w:rsidR="001B7E8A">
        <w:rPr>
          <w:rFonts w:ascii="Avenir Next" w:hAnsi="Avenir Next" w:cs="Arial"/>
          <w:color w:val="7B7B7B" w:themeColor="accent3" w:themeShade="BF"/>
          <w:sz w:val="22"/>
          <w:szCs w:val="22"/>
          <w:lang w:val="en-GB"/>
        </w:rPr>
        <w:t>This has been somewhat resolved with such proceedings being introduced by</w:t>
      </w:r>
      <w:r w:rsidR="001B7E8A" w:rsidRPr="001B7E8A">
        <w:rPr>
          <w:rFonts w:ascii="Avenir Next" w:hAnsi="Avenir Next" w:cs="Arial"/>
          <w:color w:val="7B7B7B" w:themeColor="accent3" w:themeShade="BF"/>
          <w:sz w:val="22"/>
          <w:szCs w:val="22"/>
          <w:lang w:val="en-GB"/>
        </w:rPr>
        <w:t xml:space="preserve"> Member States</w:t>
      </w:r>
      <w:r w:rsidR="00565F4B">
        <w:rPr>
          <w:rFonts w:ascii="Avenir Next" w:hAnsi="Avenir Next" w:cs="Arial"/>
          <w:color w:val="7B7B7B" w:themeColor="accent3" w:themeShade="BF"/>
          <w:sz w:val="22"/>
          <w:szCs w:val="22"/>
          <w:lang w:val="en-GB"/>
        </w:rPr>
        <w:t>,</w:t>
      </w:r>
      <w:r w:rsidR="001B7E8A">
        <w:rPr>
          <w:rStyle w:val="FootnoteReference"/>
          <w:rFonts w:ascii="Avenir Next" w:hAnsi="Avenir Next" w:cs="Arial"/>
          <w:color w:val="7B7B7B" w:themeColor="accent3" w:themeShade="BF"/>
          <w:sz w:val="22"/>
          <w:szCs w:val="22"/>
          <w:lang w:val="en-GB"/>
        </w:rPr>
        <w:footnoteReference w:id="7"/>
      </w:r>
      <w:r w:rsidR="00565F4B">
        <w:rPr>
          <w:rFonts w:ascii="Avenir Next" w:hAnsi="Avenir Next" w:cs="Arial"/>
          <w:color w:val="7B7B7B" w:themeColor="accent3" w:themeShade="BF"/>
          <w:sz w:val="22"/>
          <w:szCs w:val="22"/>
          <w:lang w:val="en-GB"/>
        </w:rPr>
        <w:t xml:space="preserve"> a</w:t>
      </w:r>
      <w:r w:rsidR="00C91A7D">
        <w:rPr>
          <w:rFonts w:ascii="Avenir Next" w:hAnsi="Avenir Next" w:cs="Arial"/>
          <w:color w:val="7B7B7B" w:themeColor="accent3" w:themeShade="BF"/>
          <w:sz w:val="22"/>
          <w:szCs w:val="22"/>
          <w:lang w:val="en-GB"/>
        </w:rPr>
        <w:t>nd with the publica</w:t>
      </w:r>
      <w:r w:rsidR="00A06928">
        <w:rPr>
          <w:rFonts w:ascii="Avenir Next" w:hAnsi="Avenir Next" w:cs="Arial"/>
          <w:color w:val="7B7B7B" w:themeColor="accent3" w:themeShade="BF"/>
          <w:sz w:val="22"/>
          <w:szCs w:val="22"/>
          <w:lang w:val="en-GB"/>
        </w:rPr>
        <w:t xml:space="preserve">tion of the </w:t>
      </w:r>
      <w:r w:rsidR="00C91A7D" w:rsidRPr="00C91A7D">
        <w:rPr>
          <w:rFonts w:ascii="Avenir Next" w:hAnsi="Avenir Next" w:cs="Arial"/>
          <w:color w:val="7B7B7B" w:themeColor="accent3" w:themeShade="BF"/>
          <w:sz w:val="22"/>
          <w:szCs w:val="22"/>
        </w:rPr>
        <w:t>European Restructuring Directive (</w:t>
      </w:r>
      <w:r w:rsidR="00C91A7D">
        <w:rPr>
          <w:rFonts w:ascii="Avenir Next" w:hAnsi="Avenir Next" w:cs="Arial"/>
          <w:color w:val="7B7B7B" w:themeColor="accent3" w:themeShade="BF"/>
          <w:sz w:val="22"/>
          <w:szCs w:val="22"/>
        </w:rPr>
        <w:t>the "</w:t>
      </w:r>
      <w:r w:rsidR="00C91A7D" w:rsidRPr="00C91A7D">
        <w:rPr>
          <w:rFonts w:ascii="Avenir Next" w:hAnsi="Avenir Next" w:cs="Arial"/>
          <w:b/>
          <w:color w:val="7B7B7B" w:themeColor="accent3" w:themeShade="BF"/>
          <w:sz w:val="22"/>
          <w:szCs w:val="22"/>
        </w:rPr>
        <w:t>Directive</w:t>
      </w:r>
      <w:r w:rsidR="00C91A7D">
        <w:rPr>
          <w:rFonts w:ascii="Avenir Next" w:hAnsi="Avenir Next" w:cs="Arial"/>
          <w:color w:val="7B7B7B" w:themeColor="accent3" w:themeShade="BF"/>
          <w:sz w:val="22"/>
          <w:szCs w:val="22"/>
        </w:rPr>
        <w:t>")</w:t>
      </w:r>
      <w:r w:rsidR="00C91A7D">
        <w:rPr>
          <w:rStyle w:val="FootnoteReference"/>
          <w:rFonts w:ascii="Avenir Next" w:hAnsi="Avenir Next" w:cs="Arial"/>
          <w:color w:val="7B7B7B" w:themeColor="accent3" w:themeShade="BF"/>
          <w:sz w:val="22"/>
          <w:szCs w:val="22"/>
        </w:rPr>
        <w:footnoteReference w:id="8"/>
      </w:r>
      <w:r w:rsidR="00A9235B">
        <w:rPr>
          <w:rFonts w:ascii="Avenir Next" w:hAnsi="Avenir Next" w:cs="Arial"/>
          <w:color w:val="7B7B7B" w:themeColor="accent3" w:themeShade="BF"/>
          <w:sz w:val="22"/>
          <w:szCs w:val="22"/>
        </w:rPr>
        <w:t xml:space="preserve"> requiring</w:t>
      </w:r>
      <w:r w:rsidR="00A9235B" w:rsidRPr="00A9235B">
        <w:rPr>
          <w:rFonts w:ascii="Avenir Next" w:hAnsi="Avenir Next" w:cs="Arial"/>
          <w:color w:val="7B7B7B" w:themeColor="accent3" w:themeShade="BF"/>
          <w:sz w:val="22"/>
          <w:szCs w:val="22"/>
        </w:rPr>
        <w:t xml:space="preserve"> Member States </w:t>
      </w:r>
      <w:r w:rsidR="00A9235B">
        <w:rPr>
          <w:rFonts w:ascii="Avenir Next" w:hAnsi="Avenir Next" w:cs="Arial"/>
          <w:color w:val="7B7B7B" w:themeColor="accent3" w:themeShade="BF"/>
          <w:sz w:val="22"/>
          <w:szCs w:val="22"/>
        </w:rPr>
        <w:t>to put in place "restructuring frameworks"</w:t>
      </w:r>
      <w:r w:rsidR="00A9235B" w:rsidRPr="00A9235B">
        <w:rPr>
          <w:rFonts w:ascii="Avenir Next" w:hAnsi="Avenir Next" w:cs="Arial"/>
          <w:color w:val="7B7B7B" w:themeColor="accent3" w:themeShade="BF"/>
          <w:sz w:val="22"/>
          <w:szCs w:val="22"/>
        </w:rPr>
        <w:t xml:space="preserve"> in their insolvency </w:t>
      </w:r>
      <w:r w:rsidR="00A9235B">
        <w:rPr>
          <w:rFonts w:ascii="Avenir Next" w:hAnsi="Avenir Next" w:cs="Arial"/>
          <w:color w:val="7B7B7B" w:themeColor="accent3" w:themeShade="BF"/>
          <w:sz w:val="22"/>
          <w:szCs w:val="22"/>
        </w:rPr>
        <w:t xml:space="preserve">and </w:t>
      </w:r>
      <w:r w:rsidR="00A9235B" w:rsidRPr="00A9235B">
        <w:rPr>
          <w:rFonts w:ascii="Avenir Next" w:hAnsi="Avenir Next" w:cs="Arial"/>
          <w:color w:val="7B7B7B" w:themeColor="accent3" w:themeShade="BF"/>
          <w:sz w:val="22"/>
          <w:szCs w:val="22"/>
        </w:rPr>
        <w:t>restructuring laws</w:t>
      </w:r>
      <w:r w:rsidR="00A9235B">
        <w:rPr>
          <w:rFonts w:ascii="Avenir Next" w:hAnsi="Avenir Next" w:cs="Arial"/>
          <w:color w:val="7B7B7B" w:themeColor="accent3" w:themeShade="BF"/>
          <w:sz w:val="22"/>
          <w:szCs w:val="22"/>
        </w:rPr>
        <w:t>. These r</w:t>
      </w:r>
      <w:r w:rsidR="00A9235B" w:rsidRPr="00A9235B">
        <w:rPr>
          <w:rFonts w:ascii="Avenir Next" w:hAnsi="Avenir Next" w:cs="Arial"/>
          <w:color w:val="7B7B7B" w:themeColor="accent3" w:themeShade="BF"/>
          <w:sz w:val="22"/>
          <w:szCs w:val="22"/>
        </w:rPr>
        <w:t xml:space="preserve">estructuring frameworks </w:t>
      </w:r>
      <w:r w:rsidR="00A9235B">
        <w:rPr>
          <w:rFonts w:ascii="Avenir Next" w:hAnsi="Avenir Next" w:cs="Arial"/>
          <w:color w:val="7B7B7B" w:themeColor="accent3" w:themeShade="BF"/>
          <w:sz w:val="22"/>
          <w:szCs w:val="22"/>
        </w:rPr>
        <w:t>provide</w:t>
      </w:r>
      <w:r w:rsidR="00A9235B" w:rsidRPr="00A9235B">
        <w:rPr>
          <w:rFonts w:ascii="Avenir Next" w:hAnsi="Avenir Next" w:cs="Arial"/>
          <w:color w:val="7B7B7B" w:themeColor="accent3" w:themeShade="BF"/>
          <w:sz w:val="22"/>
          <w:szCs w:val="22"/>
        </w:rPr>
        <w:t xml:space="preserve"> debtors with </w:t>
      </w:r>
      <w:r w:rsidR="00A9235B">
        <w:rPr>
          <w:rFonts w:ascii="Avenir Next" w:hAnsi="Avenir Next" w:cs="Arial"/>
          <w:color w:val="7B7B7B" w:themeColor="accent3" w:themeShade="BF"/>
          <w:sz w:val="22"/>
          <w:szCs w:val="22"/>
        </w:rPr>
        <w:t xml:space="preserve">the </w:t>
      </w:r>
      <w:r w:rsidR="00A9235B" w:rsidRPr="00A9235B">
        <w:rPr>
          <w:rFonts w:ascii="Avenir Next" w:hAnsi="Avenir Next" w:cs="Arial"/>
          <w:color w:val="7B7B7B" w:themeColor="accent3" w:themeShade="BF"/>
          <w:sz w:val="22"/>
          <w:szCs w:val="22"/>
        </w:rPr>
        <w:t xml:space="preserve">tools to overcome financial distress as </w:t>
      </w:r>
      <w:r w:rsidR="00A9235B">
        <w:rPr>
          <w:rFonts w:ascii="Avenir Next" w:hAnsi="Avenir Next" w:cs="Arial"/>
          <w:color w:val="7B7B7B" w:themeColor="accent3" w:themeShade="BF"/>
          <w:sz w:val="22"/>
          <w:szCs w:val="22"/>
        </w:rPr>
        <w:t>soon</w:t>
      </w:r>
      <w:r w:rsidR="00A9235B" w:rsidRPr="00A9235B">
        <w:rPr>
          <w:rFonts w:ascii="Avenir Next" w:hAnsi="Avenir Next" w:cs="Arial"/>
          <w:color w:val="7B7B7B" w:themeColor="accent3" w:themeShade="BF"/>
          <w:sz w:val="22"/>
          <w:szCs w:val="22"/>
        </w:rPr>
        <w:t xml:space="preserve"> as possible and outside of formal insolvency proceedings.</w:t>
      </w:r>
      <w:r w:rsidR="00A9235B">
        <w:rPr>
          <w:rStyle w:val="FootnoteReference"/>
          <w:rFonts w:ascii="Avenir Next" w:hAnsi="Avenir Next" w:cs="Arial"/>
          <w:color w:val="7B7B7B" w:themeColor="accent3" w:themeShade="BF"/>
          <w:sz w:val="22"/>
          <w:szCs w:val="22"/>
        </w:rPr>
        <w:footnoteReference w:id="9"/>
      </w:r>
      <w:r w:rsidR="00A9235B">
        <w:rPr>
          <w:rFonts w:ascii="Avenir Next" w:hAnsi="Avenir Next" w:cs="Arial"/>
          <w:color w:val="7B7B7B" w:themeColor="accent3" w:themeShade="BF"/>
          <w:sz w:val="22"/>
          <w:szCs w:val="22"/>
        </w:rPr>
        <w:t xml:space="preserve"> </w:t>
      </w:r>
      <w:r w:rsidR="000F1480">
        <w:rPr>
          <w:rFonts w:ascii="Avenir Next" w:hAnsi="Avenir Next" w:cs="Arial"/>
          <w:color w:val="7B7B7B" w:themeColor="accent3" w:themeShade="BF"/>
          <w:sz w:val="22"/>
          <w:szCs w:val="22"/>
        </w:rPr>
        <w:t>Article</w:t>
      </w:r>
      <w:r w:rsidR="0047262E">
        <w:rPr>
          <w:rFonts w:ascii="Avenir Next" w:hAnsi="Avenir Next" w:cs="Arial"/>
          <w:color w:val="7B7B7B" w:themeColor="accent3" w:themeShade="BF"/>
          <w:sz w:val="22"/>
          <w:szCs w:val="22"/>
        </w:rPr>
        <w:t xml:space="preserve"> 41(2)(a) of the EIR Recast further widens the scope of the EIR 2000. It provides not only for cooperation and communication </w:t>
      </w:r>
      <w:r w:rsidR="000F1480">
        <w:rPr>
          <w:rFonts w:ascii="Avenir Next" w:hAnsi="Avenir Next" w:cs="Arial"/>
          <w:color w:val="7B7B7B" w:themeColor="accent3" w:themeShade="BF"/>
          <w:sz w:val="22"/>
          <w:szCs w:val="22"/>
        </w:rPr>
        <w:t>between</w:t>
      </w:r>
      <w:r w:rsidR="0047262E">
        <w:rPr>
          <w:rFonts w:ascii="Avenir Next" w:hAnsi="Avenir Next" w:cs="Arial"/>
          <w:color w:val="7B7B7B" w:themeColor="accent3" w:themeShade="BF"/>
          <w:sz w:val="22"/>
          <w:szCs w:val="22"/>
        </w:rPr>
        <w:t xml:space="preserve"> the IPs and courts but also specifies that such communication should also be done with the aim of </w:t>
      </w:r>
      <w:r w:rsidR="000F1480">
        <w:rPr>
          <w:rFonts w:ascii="Avenir Next" w:hAnsi="Avenir Next" w:cs="Arial"/>
          <w:color w:val="7B7B7B" w:themeColor="accent3" w:themeShade="BF"/>
          <w:sz w:val="22"/>
          <w:szCs w:val="22"/>
        </w:rPr>
        <w:t>rescuing</w:t>
      </w:r>
      <w:r w:rsidR="0047262E">
        <w:rPr>
          <w:rFonts w:ascii="Avenir Next" w:hAnsi="Avenir Next" w:cs="Arial"/>
          <w:color w:val="7B7B7B" w:themeColor="accent3" w:themeShade="BF"/>
          <w:sz w:val="22"/>
          <w:szCs w:val="22"/>
        </w:rPr>
        <w:t xml:space="preserve"> or restructuring the debtor.</w:t>
      </w:r>
      <w:r w:rsidR="0047262E">
        <w:rPr>
          <w:rStyle w:val="FootnoteReference"/>
          <w:rFonts w:ascii="Avenir Next" w:hAnsi="Avenir Next" w:cs="Arial"/>
          <w:color w:val="7B7B7B" w:themeColor="accent3" w:themeShade="BF"/>
          <w:sz w:val="22"/>
          <w:szCs w:val="22"/>
        </w:rPr>
        <w:footnoteReference w:id="10"/>
      </w:r>
      <w:r w:rsidR="0047262E">
        <w:rPr>
          <w:rFonts w:ascii="Avenir Next" w:hAnsi="Avenir Next" w:cs="Arial"/>
          <w:color w:val="7B7B7B" w:themeColor="accent3" w:themeShade="BF"/>
          <w:sz w:val="22"/>
          <w:szCs w:val="22"/>
        </w:rPr>
        <w:t xml:space="preserve">  </w:t>
      </w:r>
    </w:p>
    <w:p w14:paraId="155C309A" w14:textId="611D583A" w:rsidR="001B7E8A" w:rsidRDefault="00C91A7D" w:rsidP="008C2DE1">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remained uncertainty around jurisdiction as to which Member State had competency to open insolvency proceedings. The Debtor's COMI was agreed by Member States to be the best method of determination and it is support</w:t>
      </w:r>
      <w:r w:rsidR="00565F4B">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as a concept, however the EIR 2000 failed to provide sufficient guidance on </w:t>
      </w:r>
      <w:r w:rsidR="008C2DE1">
        <w:rPr>
          <w:rFonts w:ascii="Avenir Next" w:hAnsi="Avenir Next" w:cs="Arial"/>
          <w:color w:val="7B7B7B" w:themeColor="accent3" w:themeShade="BF"/>
          <w:sz w:val="22"/>
          <w:szCs w:val="22"/>
          <w:lang w:val="en-GB"/>
        </w:rPr>
        <w:t>how it should apply in practice, leading to forum shopping.</w:t>
      </w:r>
      <w:r>
        <w:rPr>
          <w:rFonts w:ascii="Avenir Next" w:hAnsi="Avenir Next" w:cs="Arial"/>
          <w:color w:val="7B7B7B" w:themeColor="accent3" w:themeShade="BF"/>
          <w:sz w:val="22"/>
          <w:szCs w:val="22"/>
          <w:lang w:val="en-GB"/>
        </w:rPr>
        <w:t xml:space="preserve"> Article 3 of the EIR Recast  has increased the scope and practical application of what is considered as the Debtor's COMI by prov</w:t>
      </w:r>
      <w:r w:rsidR="008C2DE1">
        <w:rPr>
          <w:rFonts w:ascii="Avenir Next" w:hAnsi="Avenir Next" w:cs="Arial"/>
          <w:color w:val="7B7B7B" w:themeColor="accent3" w:themeShade="BF"/>
          <w:sz w:val="22"/>
          <w:szCs w:val="22"/>
          <w:lang w:val="en-GB"/>
        </w:rPr>
        <w:t xml:space="preserve">iding 3 rebuttable presumptions, namely: (i) in the respect of a company or legal entity, it is presumed that its COMI will be at the place of the registered office of that company or legal entity, but only if the registered office has not been moved to another Member State within a 3 month period before opening insolvency proceedings; (ii)  in respect </w:t>
      </w:r>
      <w:r w:rsidR="008C2DE1" w:rsidRPr="008C2DE1">
        <w:rPr>
          <w:rFonts w:ascii="Avenir Next" w:hAnsi="Avenir Next" w:cs="Arial"/>
          <w:color w:val="7B7B7B" w:themeColor="accent3" w:themeShade="BF"/>
          <w:sz w:val="22"/>
          <w:szCs w:val="22"/>
          <w:lang w:val="en-GB"/>
        </w:rPr>
        <w:t xml:space="preserve">of an individual exercising an independent business or professional activity, the </w:t>
      </w:r>
      <w:r w:rsidR="008C2DE1">
        <w:rPr>
          <w:rFonts w:ascii="Avenir Next" w:hAnsi="Avenir Next" w:cs="Arial"/>
          <w:color w:val="7B7B7B" w:themeColor="accent3" w:themeShade="BF"/>
          <w:sz w:val="22"/>
          <w:szCs w:val="22"/>
          <w:lang w:val="en-GB"/>
        </w:rPr>
        <w:t>COMI will be</w:t>
      </w:r>
      <w:r w:rsidR="008C2DE1" w:rsidRPr="008C2DE1">
        <w:rPr>
          <w:rFonts w:ascii="Avenir Next" w:hAnsi="Avenir Next" w:cs="Arial"/>
          <w:color w:val="7B7B7B" w:themeColor="accent3" w:themeShade="BF"/>
          <w:sz w:val="22"/>
          <w:szCs w:val="22"/>
          <w:lang w:val="en-GB"/>
        </w:rPr>
        <w:t xml:space="preserve"> presumed to be that individual's principal place of business </w:t>
      </w:r>
      <w:r w:rsidR="00C40D2F">
        <w:rPr>
          <w:rFonts w:ascii="Avenir Next" w:hAnsi="Avenir Next" w:cs="Arial"/>
          <w:color w:val="7B7B7B" w:themeColor="accent3" w:themeShade="BF"/>
          <w:sz w:val="22"/>
          <w:szCs w:val="22"/>
          <w:lang w:val="en-GB"/>
        </w:rPr>
        <w:t>(</w:t>
      </w:r>
      <w:r w:rsidR="008C2DE1" w:rsidRPr="008C2DE1">
        <w:rPr>
          <w:rFonts w:ascii="Avenir Next" w:hAnsi="Avenir Next" w:cs="Arial"/>
          <w:color w:val="7B7B7B" w:themeColor="accent3" w:themeShade="BF"/>
          <w:sz w:val="22"/>
          <w:szCs w:val="22"/>
          <w:lang w:val="en-GB"/>
        </w:rPr>
        <w:t>in the absence of proof to the contrary</w:t>
      </w:r>
      <w:r w:rsidR="00C40D2F">
        <w:rPr>
          <w:rFonts w:ascii="Avenir Next" w:hAnsi="Avenir Next" w:cs="Arial"/>
          <w:color w:val="7B7B7B" w:themeColor="accent3" w:themeShade="BF"/>
          <w:sz w:val="22"/>
          <w:szCs w:val="22"/>
          <w:lang w:val="en-GB"/>
        </w:rPr>
        <w:t xml:space="preserve"> and </w:t>
      </w:r>
      <w:r w:rsidR="008C2DE1">
        <w:rPr>
          <w:rFonts w:ascii="Avenir Next" w:hAnsi="Avenir Next" w:cs="Arial"/>
          <w:color w:val="7B7B7B" w:themeColor="accent3" w:themeShade="BF"/>
          <w:sz w:val="22"/>
          <w:szCs w:val="22"/>
          <w:lang w:val="en-GB"/>
        </w:rPr>
        <w:t xml:space="preserve">also subject to the </w:t>
      </w:r>
      <w:r w:rsidR="00C40D2F">
        <w:rPr>
          <w:rFonts w:ascii="Avenir Next" w:hAnsi="Avenir Next" w:cs="Arial"/>
          <w:color w:val="7B7B7B" w:themeColor="accent3" w:themeShade="BF"/>
          <w:sz w:val="22"/>
          <w:szCs w:val="22"/>
          <w:lang w:val="en-GB"/>
        </w:rPr>
        <w:t xml:space="preserve">3 </w:t>
      </w:r>
      <w:r w:rsidR="008C2DE1">
        <w:rPr>
          <w:rFonts w:ascii="Avenir Next" w:hAnsi="Avenir Next" w:cs="Arial"/>
          <w:color w:val="7B7B7B" w:themeColor="accent3" w:themeShade="BF"/>
          <w:sz w:val="22"/>
          <w:szCs w:val="22"/>
          <w:lang w:val="en-GB"/>
        </w:rPr>
        <w:t>month period mentioned above); and (iii) in respect of any other individual,</w:t>
      </w:r>
      <w:r w:rsidR="00C40D2F">
        <w:rPr>
          <w:rFonts w:ascii="Avenir Next" w:hAnsi="Avenir Next" w:cs="Arial"/>
          <w:color w:val="7B7B7B" w:themeColor="accent3" w:themeShade="BF"/>
          <w:sz w:val="22"/>
          <w:szCs w:val="22"/>
          <w:lang w:val="en-GB"/>
        </w:rPr>
        <w:t xml:space="preserve"> their COMI is presumed to be </w:t>
      </w:r>
      <w:r w:rsidR="00C40D2F">
        <w:rPr>
          <w:rFonts w:ascii="Avenir Next" w:hAnsi="Avenir Next" w:cs="Arial"/>
          <w:color w:val="7B7B7B" w:themeColor="accent3" w:themeShade="BF"/>
          <w:sz w:val="22"/>
          <w:szCs w:val="22"/>
          <w:lang w:val="en-GB"/>
        </w:rPr>
        <w:lastRenderedPageBreak/>
        <w:t>the place of the individual's habitual residence</w:t>
      </w:r>
      <w:r w:rsidR="008C2DE1">
        <w:rPr>
          <w:rFonts w:ascii="Avenir Next" w:hAnsi="Avenir Next" w:cs="Arial"/>
          <w:color w:val="7B7B7B" w:themeColor="accent3" w:themeShade="BF"/>
          <w:sz w:val="22"/>
          <w:szCs w:val="22"/>
          <w:lang w:val="en-GB"/>
        </w:rPr>
        <w:t xml:space="preserve"> </w:t>
      </w:r>
      <w:r w:rsidR="00C40D2F" w:rsidRPr="00C40D2F">
        <w:rPr>
          <w:rFonts w:ascii="Avenir Next" w:hAnsi="Avenir Next" w:cs="Arial"/>
          <w:color w:val="7B7B7B" w:themeColor="accent3" w:themeShade="BF"/>
          <w:sz w:val="22"/>
          <w:szCs w:val="22"/>
          <w:lang w:val="en-GB"/>
        </w:rPr>
        <w:t>(in the absence of proof to the contrary and also s</w:t>
      </w:r>
      <w:r w:rsidR="00C40D2F">
        <w:rPr>
          <w:rFonts w:ascii="Avenir Next" w:hAnsi="Avenir Next" w:cs="Arial"/>
          <w:color w:val="7B7B7B" w:themeColor="accent3" w:themeShade="BF"/>
          <w:sz w:val="22"/>
          <w:szCs w:val="22"/>
          <w:lang w:val="en-GB"/>
        </w:rPr>
        <w:t xml:space="preserve">ubject to 6 </w:t>
      </w:r>
      <w:r w:rsidR="00C40D2F" w:rsidRPr="00C40D2F">
        <w:rPr>
          <w:rFonts w:ascii="Avenir Next" w:hAnsi="Avenir Next" w:cs="Arial"/>
          <w:color w:val="7B7B7B" w:themeColor="accent3" w:themeShade="BF"/>
          <w:sz w:val="22"/>
          <w:szCs w:val="22"/>
          <w:lang w:val="en-GB"/>
        </w:rPr>
        <w:t>month period)</w:t>
      </w:r>
      <w:r w:rsidR="008C2DE1" w:rsidRPr="008C2DE1">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19A0F28E" w14:textId="1EA6C4A7" w:rsidR="004C506B" w:rsidRDefault="00C40D2F" w:rsidP="00D72A71">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were some issues with secondary proceedings interfering with the proper and efficient administration of the main insolvency proceedings with no guidance on how this could be addressed. The main issue with this being that </w:t>
      </w:r>
      <w:r w:rsidR="00A80D94">
        <w:rPr>
          <w:rFonts w:ascii="Avenir Next" w:hAnsi="Avenir Next" w:cs="Arial"/>
          <w:color w:val="7B7B7B" w:themeColor="accent3" w:themeShade="BF"/>
          <w:sz w:val="22"/>
          <w:szCs w:val="22"/>
          <w:lang w:val="en-GB"/>
        </w:rPr>
        <w:t xml:space="preserve">the IP in the main insolvency proceedings will not have control over the assets which are subject to the </w:t>
      </w:r>
      <w:r>
        <w:rPr>
          <w:rFonts w:ascii="Avenir Next" w:hAnsi="Avenir Next" w:cs="Arial"/>
          <w:color w:val="7B7B7B" w:themeColor="accent3" w:themeShade="BF"/>
          <w:sz w:val="22"/>
          <w:szCs w:val="22"/>
          <w:lang w:val="en-GB"/>
        </w:rPr>
        <w:t xml:space="preserve">secondary proceedings </w:t>
      </w:r>
      <w:r w:rsidR="00A80D94">
        <w:rPr>
          <w:rFonts w:ascii="Avenir Next" w:hAnsi="Avenir Next" w:cs="Arial"/>
          <w:color w:val="7B7B7B" w:themeColor="accent3" w:themeShade="BF"/>
          <w:sz w:val="22"/>
          <w:szCs w:val="22"/>
          <w:lang w:val="en-GB"/>
        </w:rPr>
        <w:t>and this makes it difficult for said IP to sell the debtor's business as a going concern. Secondary proceedings also hamper the possibility of restructuring an economically viable debtor as the nature of secondary proceedings are intended to wind-up the debtor and not to allow it to continue trading.</w:t>
      </w:r>
      <w:r>
        <w:rPr>
          <w:rFonts w:ascii="Avenir Next" w:hAnsi="Avenir Next" w:cs="Arial"/>
          <w:color w:val="7B7B7B" w:themeColor="accent3" w:themeShade="BF"/>
          <w:sz w:val="22"/>
          <w:szCs w:val="22"/>
          <w:lang w:val="en-GB"/>
        </w:rPr>
        <w:t xml:space="preserve"> The EIR Recast </w:t>
      </w:r>
      <w:r w:rsidRPr="00C40D2F">
        <w:rPr>
          <w:rFonts w:ascii="Avenir Next" w:hAnsi="Avenir Next" w:cs="Arial"/>
          <w:color w:val="7B7B7B" w:themeColor="accent3" w:themeShade="BF"/>
          <w:sz w:val="22"/>
          <w:szCs w:val="22"/>
          <w:lang w:val="en-GB"/>
        </w:rPr>
        <w:t xml:space="preserve">introduced a number of legal </w:t>
      </w:r>
      <w:r>
        <w:rPr>
          <w:rFonts w:ascii="Avenir Next" w:hAnsi="Avenir Next" w:cs="Arial"/>
          <w:color w:val="7B7B7B" w:themeColor="accent3" w:themeShade="BF"/>
          <w:sz w:val="22"/>
          <w:szCs w:val="22"/>
          <w:lang w:val="en-GB"/>
        </w:rPr>
        <w:t>mechanisms</w:t>
      </w:r>
      <w:r w:rsidRPr="00C40D2F">
        <w:rPr>
          <w:rFonts w:ascii="Avenir Next" w:hAnsi="Avenir Next" w:cs="Arial"/>
          <w:color w:val="7B7B7B" w:themeColor="accent3" w:themeShade="BF"/>
          <w:sz w:val="22"/>
          <w:szCs w:val="22"/>
          <w:lang w:val="en-GB"/>
        </w:rPr>
        <w:t xml:space="preserve"> to avoid or otherwise control the opening, conduct and closure of secondary proceedings</w:t>
      </w:r>
      <w:r>
        <w:rPr>
          <w:rFonts w:ascii="Avenir Next" w:hAnsi="Avenir Next" w:cs="Arial"/>
          <w:color w:val="7B7B7B" w:themeColor="accent3" w:themeShade="BF"/>
          <w:sz w:val="22"/>
          <w:szCs w:val="22"/>
          <w:lang w:val="en-GB"/>
        </w:rPr>
        <w:t xml:space="preserve"> (namely, and the provision of an undertaking, also know an synthetic proceedings or the request for granting a stay to secondary proceedings) in order to address this deficiency in the EIR 2000.</w:t>
      </w:r>
    </w:p>
    <w:p w14:paraId="7ED3061E" w14:textId="347EFB72" w:rsidR="00A80D94" w:rsidRDefault="003924FA" w:rsidP="00D72A71">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were some issues with creditors of a debtor finding publicly available information as to whether any insolvency proceedings had been opened. The EIR 2000 did not provide for the publication/ notice of the opening of insolvency proceedings. Without being aware that insolvency proceedings have been opened against a particular debtor, creditors will be unable to bring their claims. A further issue in this regard, is that the EIR 2000 also remained silent on the publication of insolvency proceedings decisions in Member States or for the publication of a European Inso</w:t>
      </w:r>
      <w:r w:rsidR="001709BA">
        <w:rPr>
          <w:rFonts w:ascii="Avenir Next" w:hAnsi="Avenir Next" w:cs="Arial"/>
          <w:color w:val="7B7B7B" w:themeColor="accent3" w:themeShade="BF"/>
          <w:sz w:val="22"/>
          <w:szCs w:val="22"/>
          <w:lang w:val="en-GB"/>
        </w:rPr>
        <w:t xml:space="preserve">lvency Register. </w:t>
      </w:r>
      <w:r w:rsidR="001709BA" w:rsidRPr="001709BA">
        <w:rPr>
          <w:rFonts w:ascii="Avenir Next" w:hAnsi="Avenir Next" w:cs="Arial"/>
          <w:color w:val="7B7B7B" w:themeColor="accent3" w:themeShade="BF"/>
          <w:sz w:val="22"/>
          <w:szCs w:val="22"/>
          <w:lang w:val="en-GB"/>
        </w:rPr>
        <w:t>A court also needs to be aware if proceedings have already been opened in another Member State to be able to preside over the proceedings before them in an effective manner.</w:t>
      </w:r>
    </w:p>
    <w:p w14:paraId="3C5C5C0E" w14:textId="16CD95D9" w:rsidR="002519DE" w:rsidRDefault="001709BA" w:rsidP="002A37BB">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fails to address how group companies spanning across Member States are to be dealt with in insolvency proceedings. The EIR Recast now specifically provides for guidance and rules on how group companies  are to be treated in cross-border insolvency matters as set out at Articles 61-77 of the EIR Recast. </w:t>
      </w:r>
      <w:r w:rsidR="0066378A">
        <w:rPr>
          <w:rFonts w:ascii="Avenir Next" w:hAnsi="Avenir Next" w:cs="Arial"/>
          <w:color w:val="7B7B7B" w:themeColor="accent3" w:themeShade="BF"/>
          <w:sz w:val="22"/>
          <w:szCs w:val="22"/>
          <w:lang w:val="en-GB"/>
        </w:rPr>
        <w:t xml:space="preserve">One the key additions that the EIR Recast makes is that it provides rules and guidance on coordination of insolvency proceedings between companies in a group. </w:t>
      </w:r>
    </w:p>
    <w:p w14:paraId="1F089C15" w14:textId="77777777" w:rsidR="0022193E" w:rsidRDefault="0022193E" w:rsidP="0022193E">
      <w:pPr>
        <w:jc w:val="both"/>
        <w:rPr>
          <w:rFonts w:ascii="Avenir Next" w:hAnsi="Avenir Next" w:cs="Arial"/>
          <w:color w:val="7B7B7B" w:themeColor="accent3" w:themeShade="BF"/>
          <w:sz w:val="22"/>
          <w:szCs w:val="22"/>
          <w:lang w:val="en-GB"/>
        </w:rPr>
      </w:pPr>
    </w:p>
    <w:p w14:paraId="048F2C0E" w14:textId="750D6C82" w:rsidR="0022193E" w:rsidRPr="0022193E" w:rsidRDefault="0022193E" w:rsidP="0022193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above, although it is clear that the EIR Recast did improve certain issues prevalent under the EIR 2000, there is still room for improvement in particular when it comes to rescuing the business of a potentially economically viable debtor before opening insolvency proceedings. </w:t>
      </w:r>
    </w:p>
    <w:p w14:paraId="22B62F71" w14:textId="77777777" w:rsidR="0047262E" w:rsidRPr="00D8775A" w:rsidRDefault="0047262E" w:rsidP="002A37BB">
      <w:pPr>
        <w:jc w:val="both"/>
        <w:rPr>
          <w:rFonts w:ascii="Avenir Next" w:hAnsi="Avenir Next" w:cs="Arial"/>
          <w:color w:val="7B7B7B" w:themeColor="accent3" w:themeShade="BF"/>
          <w:sz w:val="22"/>
          <w:szCs w:val="22"/>
          <w:lang w:val="en-GB"/>
        </w:rPr>
      </w:pP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3E6D68">
        <w:rPr>
          <w:rFonts w:ascii="Avenir Next Demi Bold" w:hAnsi="Avenir Next Demi Bold" w:cs="Arial"/>
          <w:b/>
          <w:bCs/>
          <w:sz w:val="22"/>
          <w:szCs w:val="22"/>
          <w:highlight w:val="cyan"/>
          <w:lang w:val="en-GB"/>
        </w:rPr>
        <w:t>[</w:t>
      </w:r>
      <w:r w:rsidR="006A2646" w:rsidRPr="003E6D68">
        <w:rPr>
          <w:rFonts w:ascii="Avenir Next Demi Bold" w:hAnsi="Avenir Next Demi Bold" w:cs="Arial"/>
          <w:b/>
          <w:bCs/>
          <w:sz w:val="22"/>
          <w:szCs w:val="22"/>
          <w:highlight w:val="cyan"/>
          <w:lang w:val="en-GB"/>
        </w:rPr>
        <w:t>m</w:t>
      </w:r>
      <w:r w:rsidRPr="003E6D68">
        <w:rPr>
          <w:rFonts w:ascii="Avenir Next Demi Bold" w:hAnsi="Avenir Next Demi Bold" w:cs="Arial"/>
          <w:b/>
          <w:bCs/>
          <w:sz w:val="22"/>
          <w:szCs w:val="22"/>
          <w:highlight w:val="cyan"/>
          <w:lang w:val="en-GB"/>
        </w:rPr>
        <w:t xml:space="preserve">aximum </w:t>
      </w:r>
      <w:r w:rsidR="00980E61" w:rsidRPr="003E6D68">
        <w:rPr>
          <w:rFonts w:ascii="Avenir Next Demi Bold" w:hAnsi="Avenir Next Demi Bold" w:cs="Arial"/>
          <w:b/>
          <w:bCs/>
          <w:sz w:val="22"/>
          <w:szCs w:val="22"/>
          <w:highlight w:val="cyan"/>
          <w:lang w:val="en-GB"/>
        </w:rPr>
        <w:t>5</w:t>
      </w:r>
      <w:r w:rsidRPr="003E6D68">
        <w:rPr>
          <w:rFonts w:ascii="Avenir Next Demi Bold" w:hAnsi="Avenir Next Demi Bold" w:cs="Arial"/>
          <w:b/>
          <w:bCs/>
          <w:sz w:val="22"/>
          <w:szCs w:val="22"/>
          <w:highlight w:val="cyan"/>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5961C779" w14:textId="121B3697" w:rsidR="00E40D37" w:rsidRDefault="00A0692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4C506B">
        <w:rPr>
          <w:rFonts w:ascii="Avenir Next" w:hAnsi="Avenir Next" w:cs="Arial"/>
          <w:color w:val="7B7B7B" w:themeColor="accent3" w:themeShade="BF"/>
          <w:sz w:val="22"/>
          <w:szCs w:val="22"/>
          <w:lang w:val="en-GB"/>
        </w:rPr>
        <w:t xml:space="preserve"> EIR Recast remained silent/failed to provide guidance in respect of pre-insolvency restructuring scenarios particularly where a company had the opportunity for economic recovery – it largely did not address the potential of business rescue on cross-border basis before proceeding with standard insolvency proceedings. This was a missed opportunity, as it was largely left to national </w:t>
      </w:r>
      <w:r w:rsidR="007D6722">
        <w:rPr>
          <w:rFonts w:ascii="Avenir Next" w:hAnsi="Avenir Next" w:cs="Arial"/>
          <w:color w:val="7B7B7B" w:themeColor="accent3" w:themeShade="BF"/>
          <w:sz w:val="22"/>
          <w:szCs w:val="22"/>
          <w:lang w:val="en-GB"/>
        </w:rPr>
        <w:t>legislature</w:t>
      </w:r>
      <w:r w:rsidR="004C506B">
        <w:rPr>
          <w:rFonts w:ascii="Avenir Next" w:hAnsi="Avenir Next" w:cs="Arial"/>
          <w:color w:val="7B7B7B" w:themeColor="accent3" w:themeShade="BF"/>
          <w:sz w:val="22"/>
          <w:szCs w:val="22"/>
          <w:lang w:val="en-GB"/>
        </w:rPr>
        <w:t xml:space="preserve"> within each </w:t>
      </w:r>
      <w:r w:rsidR="007D6722">
        <w:rPr>
          <w:rFonts w:ascii="Avenir Next" w:hAnsi="Avenir Next" w:cs="Arial"/>
          <w:color w:val="7B7B7B" w:themeColor="accent3" w:themeShade="BF"/>
          <w:sz w:val="22"/>
          <w:szCs w:val="22"/>
          <w:lang w:val="en-GB"/>
        </w:rPr>
        <w:t>Member</w:t>
      </w:r>
      <w:r w:rsidR="004C506B">
        <w:rPr>
          <w:rFonts w:ascii="Avenir Next" w:hAnsi="Avenir Next" w:cs="Arial"/>
          <w:color w:val="7B7B7B" w:themeColor="accent3" w:themeShade="BF"/>
          <w:sz w:val="22"/>
          <w:szCs w:val="22"/>
          <w:lang w:val="en-GB"/>
        </w:rPr>
        <w:t xml:space="preserve"> State to attempt to provide guidance on how business rescue or pre-insolvency proceedings are to take place. This obviously still creates a void in the </w:t>
      </w:r>
      <w:r w:rsidR="0047262E">
        <w:rPr>
          <w:rFonts w:ascii="Avenir Next" w:hAnsi="Avenir Next" w:cs="Arial"/>
          <w:color w:val="7B7B7B" w:themeColor="accent3" w:themeShade="BF"/>
          <w:sz w:val="22"/>
          <w:szCs w:val="22"/>
          <w:lang w:val="en-GB"/>
        </w:rPr>
        <w:t>cross</w:t>
      </w:r>
      <w:r w:rsidR="004C506B">
        <w:rPr>
          <w:rFonts w:ascii="Avenir Next" w:hAnsi="Avenir Next" w:cs="Arial"/>
          <w:color w:val="7B7B7B" w:themeColor="accent3" w:themeShade="BF"/>
          <w:sz w:val="22"/>
          <w:szCs w:val="22"/>
          <w:lang w:val="en-GB"/>
        </w:rPr>
        <w:t>-border space with eac</w:t>
      </w:r>
      <w:r w:rsidR="007D6722">
        <w:rPr>
          <w:rFonts w:ascii="Avenir Next" w:hAnsi="Avenir Next" w:cs="Arial"/>
          <w:color w:val="7B7B7B" w:themeColor="accent3" w:themeShade="BF"/>
          <w:sz w:val="22"/>
          <w:szCs w:val="22"/>
          <w:lang w:val="en-GB"/>
        </w:rPr>
        <w:t>h Mem</w:t>
      </w:r>
      <w:r w:rsidR="004C506B">
        <w:rPr>
          <w:rFonts w:ascii="Avenir Next" w:hAnsi="Avenir Next" w:cs="Arial"/>
          <w:color w:val="7B7B7B" w:themeColor="accent3" w:themeShade="BF"/>
          <w:sz w:val="22"/>
          <w:szCs w:val="22"/>
          <w:lang w:val="en-GB"/>
        </w:rPr>
        <w:t>ber State creating the</w:t>
      </w:r>
      <w:r w:rsidR="00E40D37">
        <w:rPr>
          <w:rFonts w:ascii="Avenir Next" w:hAnsi="Avenir Next" w:cs="Arial"/>
          <w:color w:val="7B7B7B" w:themeColor="accent3" w:themeShade="BF"/>
          <w:sz w:val="22"/>
          <w:szCs w:val="22"/>
          <w:lang w:val="en-GB"/>
        </w:rPr>
        <w:t>ir</w:t>
      </w:r>
      <w:r w:rsidR="004C506B">
        <w:rPr>
          <w:rFonts w:ascii="Avenir Next" w:hAnsi="Avenir Next" w:cs="Arial"/>
          <w:color w:val="7B7B7B" w:themeColor="accent3" w:themeShade="BF"/>
          <w:sz w:val="22"/>
          <w:szCs w:val="22"/>
          <w:lang w:val="en-GB"/>
        </w:rPr>
        <w:t xml:space="preserve"> own rules around business </w:t>
      </w:r>
      <w:r w:rsidR="0047262E">
        <w:rPr>
          <w:rFonts w:ascii="Avenir Next" w:hAnsi="Avenir Next" w:cs="Arial"/>
          <w:color w:val="7B7B7B" w:themeColor="accent3" w:themeShade="BF"/>
          <w:sz w:val="22"/>
          <w:szCs w:val="22"/>
          <w:lang w:val="en-GB"/>
        </w:rPr>
        <w:t>rescue</w:t>
      </w:r>
      <w:r w:rsidR="004C506B">
        <w:rPr>
          <w:rFonts w:ascii="Avenir Next" w:hAnsi="Avenir Next" w:cs="Arial"/>
          <w:color w:val="7B7B7B" w:themeColor="accent3" w:themeShade="BF"/>
          <w:sz w:val="22"/>
          <w:szCs w:val="22"/>
          <w:lang w:val="en-GB"/>
        </w:rPr>
        <w:t xml:space="preserve"> which may or not conflict or contradict each other. There needed to be unification of how c</w:t>
      </w:r>
      <w:r w:rsidR="007D6722">
        <w:rPr>
          <w:rFonts w:ascii="Avenir Next" w:hAnsi="Avenir Next" w:cs="Arial"/>
          <w:color w:val="7B7B7B" w:themeColor="accent3" w:themeShade="BF"/>
          <w:sz w:val="22"/>
          <w:szCs w:val="22"/>
          <w:lang w:val="en-GB"/>
        </w:rPr>
        <w:t>ross-b</w:t>
      </w:r>
      <w:r w:rsidR="004C506B">
        <w:rPr>
          <w:rFonts w:ascii="Avenir Next" w:hAnsi="Avenir Next" w:cs="Arial"/>
          <w:color w:val="7B7B7B" w:themeColor="accent3" w:themeShade="BF"/>
          <w:sz w:val="22"/>
          <w:szCs w:val="22"/>
          <w:lang w:val="en-GB"/>
        </w:rPr>
        <w:t xml:space="preserve">order business rescue was to be implemented between Member States where a debtor's assets and business may be spread. This lacuna in the EIR Recast has led to the EU Commission to revisit these points which have now largely been addressed in the Directive. The Directive </w:t>
      </w:r>
      <w:r>
        <w:rPr>
          <w:rFonts w:ascii="Avenir Next" w:hAnsi="Avenir Next" w:cs="Arial"/>
          <w:color w:val="7B7B7B" w:themeColor="accent3" w:themeShade="BF"/>
          <w:sz w:val="22"/>
          <w:szCs w:val="22"/>
        </w:rPr>
        <w:t>requires</w:t>
      </w:r>
      <w:r w:rsidRPr="00A06928">
        <w:rPr>
          <w:rFonts w:ascii="Avenir Next" w:hAnsi="Avenir Next" w:cs="Arial"/>
          <w:color w:val="7B7B7B" w:themeColor="accent3" w:themeShade="BF"/>
          <w:sz w:val="22"/>
          <w:szCs w:val="22"/>
        </w:rPr>
        <w:t xml:space="preserve"> Member States to put in place "restructuring frameworks" in their insolvency and restructuring laws. These restructuring frameworks provide </w:t>
      </w:r>
      <w:r w:rsidRPr="00A06928">
        <w:rPr>
          <w:rFonts w:ascii="Avenir Next" w:hAnsi="Avenir Next" w:cs="Arial"/>
          <w:color w:val="7B7B7B" w:themeColor="accent3" w:themeShade="BF"/>
          <w:sz w:val="22"/>
          <w:szCs w:val="22"/>
        </w:rPr>
        <w:lastRenderedPageBreak/>
        <w:t>debtors with the tools to overcome financial distress as soon as possible and outside of formal insolvency proceedings</w:t>
      </w:r>
      <w:r w:rsidR="004C506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Some of t</w:t>
      </w:r>
      <w:r w:rsidR="00AE6A4F">
        <w:rPr>
          <w:rFonts w:ascii="Avenir Next" w:hAnsi="Avenir Next" w:cs="Arial"/>
          <w:color w:val="7B7B7B" w:themeColor="accent3" w:themeShade="BF"/>
          <w:sz w:val="22"/>
          <w:szCs w:val="22"/>
          <w:lang w:val="en-GB"/>
        </w:rPr>
        <w:t xml:space="preserve">he novel </w:t>
      </w:r>
      <w:r>
        <w:rPr>
          <w:rFonts w:ascii="Avenir Next" w:hAnsi="Avenir Next" w:cs="Arial"/>
          <w:color w:val="7B7B7B" w:themeColor="accent3" w:themeShade="BF"/>
          <w:sz w:val="22"/>
          <w:szCs w:val="22"/>
          <w:lang w:val="en-GB"/>
        </w:rPr>
        <w:t>provisions</w:t>
      </w:r>
      <w:r w:rsidR="00AE6A4F">
        <w:rPr>
          <w:rFonts w:ascii="Avenir Next" w:hAnsi="Avenir Next" w:cs="Arial"/>
          <w:color w:val="7B7B7B" w:themeColor="accent3" w:themeShade="BF"/>
          <w:sz w:val="22"/>
          <w:szCs w:val="22"/>
          <w:lang w:val="en-GB"/>
        </w:rPr>
        <w:t xml:space="preserve"> of the Directive included providing for (i) access to preventative restructuring procedures which allows for early stage restructuring of debts; (ii) a stay on creditor actions so as to allow good-faith debtors to take early stage restructuring steps;</w:t>
      </w:r>
      <w:r w:rsidR="003862D1">
        <w:rPr>
          <w:rFonts w:ascii="Avenir Next" w:hAnsi="Avenir Next" w:cs="Arial"/>
          <w:color w:val="7B7B7B" w:themeColor="accent3" w:themeShade="BF"/>
          <w:sz w:val="22"/>
          <w:szCs w:val="22"/>
          <w:lang w:val="en-GB"/>
        </w:rPr>
        <w:t xml:space="preserve"> and</w:t>
      </w:r>
      <w:r w:rsidR="00AE6A4F">
        <w:rPr>
          <w:rFonts w:ascii="Avenir Next" w:hAnsi="Avenir Next" w:cs="Arial"/>
          <w:color w:val="7B7B7B" w:themeColor="accent3" w:themeShade="BF"/>
          <w:sz w:val="22"/>
          <w:szCs w:val="22"/>
          <w:lang w:val="en-GB"/>
        </w:rPr>
        <w:t xml:space="preserve"> (iii) opportunity for debtors to remain in control of the assets and operation of their business whilst making use </w:t>
      </w:r>
      <w:r w:rsidR="003862D1">
        <w:rPr>
          <w:rFonts w:ascii="Avenir Next" w:hAnsi="Avenir Next" w:cs="Arial"/>
          <w:color w:val="7B7B7B" w:themeColor="accent3" w:themeShade="BF"/>
          <w:sz w:val="22"/>
          <w:szCs w:val="22"/>
          <w:lang w:val="en-GB"/>
        </w:rPr>
        <w:t xml:space="preserve">of the preventative restructuring procedures etc. </w:t>
      </w:r>
      <w:r w:rsidR="00AE6A4F">
        <w:rPr>
          <w:rFonts w:ascii="Avenir Next" w:hAnsi="Avenir Next" w:cs="Arial"/>
          <w:color w:val="7B7B7B" w:themeColor="accent3" w:themeShade="BF"/>
          <w:sz w:val="22"/>
          <w:szCs w:val="22"/>
          <w:lang w:val="en-GB"/>
        </w:rPr>
        <w:t xml:space="preserve"> </w:t>
      </w:r>
      <w:r w:rsidR="00E40D37">
        <w:rPr>
          <w:rFonts w:ascii="Avenir Next" w:hAnsi="Avenir Next" w:cs="Arial"/>
          <w:color w:val="7B7B7B" w:themeColor="accent3" w:themeShade="BF"/>
          <w:sz w:val="22"/>
          <w:szCs w:val="22"/>
          <w:lang w:val="en-GB"/>
        </w:rPr>
        <w:t xml:space="preserve">The Directive provisions in my opinion are to some extent a solution to the problem, as it creates a minimum set of standardised rules </w:t>
      </w:r>
      <w:r w:rsidR="003862D1">
        <w:rPr>
          <w:rFonts w:ascii="Avenir Next" w:hAnsi="Avenir Next" w:cs="Arial"/>
          <w:color w:val="7B7B7B" w:themeColor="accent3" w:themeShade="BF"/>
          <w:sz w:val="22"/>
          <w:szCs w:val="22"/>
          <w:lang w:val="en-GB"/>
        </w:rPr>
        <w:t xml:space="preserve">for preventative restructuring </w:t>
      </w:r>
      <w:r w:rsidR="00E40D37">
        <w:rPr>
          <w:rFonts w:ascii="Avenir Next" w:hAnsi="Avenir Next" w:cs="Arial"/>
          <w:color w:val="7B7B7B" w:themeColor="accent3" w:themeShade="BF"/>
          <w:sz w:val="22"/>
          <w:szCs w:val="22"/>
          <w:lang w:val="en-GB"/>
        </w:rPr>
        <w:t>which are to be applied across Members States upon the implementation of the Directive in their national legislation. This does not mean that further work is not required, but at least there is some standard and starting point when it comes to pre-insolvency</w:t>
      </w:r>
      <w:r w:rsidR="003862D1">
        <w:rPr>
          <w:rFonts w:ascii="Avenir Next" w:hAnsi="Avenir Next" w:cs="Arial"/>
          <w:color w:val="7B7B7B" w:themeColor="accent3" w:themeShade="BF"/>
          <w:sz w:val="22"/>
          <w:szCs w:val="22"/>
          <w:lang w:val="en-GB"/>
        </w:rPr>
        <w:t>, preventative restructuring</w:t>
      </w:r>
      <w:bookmarkStart w:id="0" w:name="_GoBack"/>
      <w:bookmarkEnd w:id="0"/>
      <w:r w:rsidR="00E40D37">
        <w:rPr>
          <w:rFonts w:ascii="Avenir Next" w:hAnsi="Avenir Next" w:cs="Arial"/>
          <w:color w:val="7B7B7B" w:themeColor="accent3" w:themeShade="BF"/>
          <w:sz w:val="22"/>
          <w:szCs w:val="22"/>
          <w:lang w:val="en-GB"/>
        </w:rPr>
        <w:t xml:space="preserve"> and to avoidance of lengthy, costly insolvency proceedings. </w:t>
      </w:r>
    </w:p>
    <w:p w14:paraId="4F1F655F" w14:textId="77777777" w:rsidR="00E40D37" w:rsidRDefault="00E40D37" w:rsidP="002A37BB">
      <w:pPr>
        <w:jc w:val="both"/>
        <w:rPr>
          <w:rFonts w:ascii="Avenir Next" w:hAnsi="Avenir Next" w:cs="Arial"/>
          <w:color w:val="7B7B7B" w:themeColor="accent3" w:themeShade="BF"/>
          <w:sz w:val="22"/>
          <w:szCs w:val="22"/>
          <w:lang w:val="en-GB"/>
        </w:rPr>
      </w:pPr>
    </w:p>
    <w:p w14:paraId="7940D274" w14:textId="532FA247" w:rsidR="00DF75F8" w:rsidRDefault="0019000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further issue with the EIR Recast's </w:t>
      </w:r>
      <w:r w:rsidR="00511AB6">
        <w:rPr>
          <w:rFonts w:ascii="Avenir Next" w:hAnsi="Avenir Next" w:cs="Arial"/>
          <w:color w:val="7B7B7B" w:themeColor="accent3" w:themeShade="BF"/>
          <w:sz w:val="22"/>
          <w:szCs w:val="22"/>
          <w:lang w:val="en-GB"/>
        </w:rPr>
        <w:t xml:space="preserve">lack of guidance </w:t>
      </w:r>
      <w:r>
        <w:rPr>
          <w:rFonts w:ascii="Avenir Next" w:hAnsi="Avenir Next" w:cs="Arial"/>
          <w:color w:val="7B7B7B" w:themeColor="accent3" w:themeShade="BF"/>
          <w:sz w:val="22"/>
          <w:szCs w:val="22"/>
          <w:lang w:val="en-GB"/>
        </w:rPr>
        <w:t xml:space="preserve">on matters of pre-insolvency or business rescue is that this has led to "forum shopping" whereby </w:t>
      </w:r>
      <w:r w:rsidR="00511AB6">
        <w:rPr>
          <w:rFonts w:ascii="Avenir Next" w:hAnsi="Avenir Next" w:cs="Arial"/>
          <w:color w:val="7B7B7B" w:themeColor="accent3" w:themeShade="BF"/>
          <w:sz w:val="22"/>
          <w:szCs w:val="22"/>
          <w:lang w:val="en-GB"/>
        </w:rPr>
        <w:t>debtors attempt to shift their COMI  to a different Member State so as to benefit from the application of a more favourable insolvency regime.</w:t>
      </w:r>
      <w:r w:rsidR="00511AB6">
        <w:rPr>
          <w:rStyle w:val="FootnoteReference"/>
          <w:rFonts w:ascii="Avenir Next" w:hAnsi="Avenir Next" w:cs="Arial"/>
          <w:color w:val="7B7B7B" w:themeColor="accent3" w:themeShade="BF"/>
          <w:sz w:val="22"/>
          <w:szCs w:val="22"/>
          <w:lang w:val="en-GB"/>
        </w:rPr>
        <w:footnoteReference w:id="11"/>
      </w:r>
      <w:r w:rsidR="00511AB6">
        <w:rPr>
          <w:rFonts w:ascii="Avenir Next" w:hAnsi="Avenir Next" w:cs="Arial"/>
          <w:color w:val="7B7B7B" w:themeColor="accent3" w:themeShade="BF"/>
          <w:sz w:val="22"/>
          <w:szCs w:val="22"/>
          <w:lang w:val="en-GB"/>
        </w:rPr>
        <w:t xml:space="preserve"> The most common form of "Forum shopping" in this context is to shift their COMI to the UK so that the English law concept of a scheme of arrangement may be applied. </w:t>
      </w:r>
      <w:r>
        <w:rPr>
          <w:rFonts w:ascii="Avenir Next" w:hAnsi="Avenir Next" w:cs="Arial"/>
          <w:color w:val="7B7B7B" w:themeColor="accent3" w:themeShade="BF"/>
          <w:sz w:val="22"/>
          <w:szCs w:val="22"/>
          <w:lang w:val="en-GB"/>
        </w:rPr>
        <w:t xml:space="preserve"> </w:t>
      </w:r>
      <w:r w:rsidR="001709BA">
        <w:rPr>
          <w:rFonts w:ascii="Avenir Next" w:hAnsi="Avenir Next" w:cs="Arial"/>
          <w:color w:val="7B7B7B" w:themeColor="accent3" w:themeShade="BF"/>
          <w:sz w:val="22"/>
          <w:szCs w:val="22"/>
          <w:lang w:val="en-GB"/>
        </w:rPr>
        <w:t xml:space="preserve">Because of the lack of pre-insolvency mechanisms provided under the EIR Recast, debtors will attempt to move their COMI to another Member State </w:t>
      </w:r>
      <w:r w:rsidR="00614D85">
        <w:rPr>
          <w:rFonts w:ascii="Avenir Next" w:hAnsi="Avenir Next" w:cs="Arial"/>
          <w:color w:val="7B7B7B" w:themeColor="accent3" w:themeShade="BF"/>
          <w:sz w:val="22"/>
          <w:szCs w:val="22"/>
          <w:lang w:val="en-GB"/>
        </w:rPr>
        <w:t xml:space="preserve">which does have a pre-insolvency or restructuring mechanism so as to attempt to preserve their business and not be forced into insolvency proceedings where they may be economically viable under the laws of a different Member State. </w:t>
      </w:r>
      <w:r>
        <w:rPr>
          <w:rFonts w:ascii="Avenir Next" w:hAnsi="Avenir Next" w:cs="Arial"/>
          <w:color w:val="7B7B7B" w:themeColor="accent3" w:themeShade="BF"/>
          <w:sz w:val="22"/>
          <w:szCs w:val="22"/>
          <w:lang w:val="en-GB"/>
        </w:rPr>
        <w:t xml:space="preserve"> </w:t>
      </w:r>
    </w:p>
    <w:p w14:paraId="6348DB65" w14:textId="613CACC4" w:rsidR="003F20E4" w:rsidRDefault="003F20E4" w:rsidP="002A37BB">
      <w:pPr>
        <w:jc w:val="both"/>
        <w:rPr>
          <w:rFonts w:ascii="Avenir Next" w:hAnsi="Avenir Next" w:cs="Arial"/>
          <w:color w:val="7B7B7B" w:themeColor="accent3" w:themeShade="BF"/>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30FAD3" w14:textId="746D2A56" w:rsidR="0076364D" w:rsidRDefault="00D831BD" w:rsidP="0076364D">
      <w:pPr>
        <w:jc w:val="both"/>
        <w:rPr>
          <w:rFonts w:ascii="Avenir Next" w:hAnsi="Avenir Next" w:cs="Arial"/>
          <w:color w:val="7B7B7B" w:themeColor="accent3" w:themeShade="BF"/>
          <w:sz w:val="22"/>
          <w:szCs w:val="22"/>
        </w:rPr>
      </w:pPr>
      <w:r w:rsidRPr="00D831BD">
        <w:rPr>
          <w:rFonts w:ascii="Avenir Next" w:hAnsi="Avenir Next" w:cs="Arial"/>
          <w:color w:val="7B7B7B" w:themeColor="accent3" w:themeShade="BF"/>
          <w:sz w:val="22"/>
          <w:szCs w:val="22"/>
        </w:rPr>
        <w:t xml:space="preserve">The </w:t>
      </w:r>
      <w:r w:rsidR="00D60C7F" w:rsidRPr="00D60C7F">
        <w:rPr>
          <w:rFonts w:ascii="Avenir Next" w:hAnsi="Avenir Next" w:cs="Arial"/>
          <w:color w:val="7B7B7B" w:themeColor="accent3" w:themeShade="BF"/>
          <w:sz w:val="22"/>
          <w:szCs w:val="22"/>
        </w:rPr>
        <w:t xml:space="preserve">European Insolvency Regulation </w:t>
      </w:r>
      <w:r w:rsidRPr="00D831BD">
        <w:rPr>
          <w:rFonts w:ascii="Avenir Next" w:hAnsi="Avenir Next" w:cs="Arial"/>
          <w:color w:val="7B7B7B" w:themeColor="accent3" w:themeShade="BF"/>
          <w:sz w:val="22"/>
          <w:szCs w:val="22"/>
        </w:rPr>
        <w:t xml:space="preserve">is largely an instrument for the determination of jurisdiction in the case where multiple insolvency proceedings can be opened in relation to a particular debtor's assets spanning across the EU. The </w:t>
      </w:r>
      <w:r w:rsidR="00D60C7F" w:rsidRPr="00D60C7F">
        <w:rPr>
          <w:rFonts w:ascii="Avenir Next" w:hAnsi="Avenir Next" w:cs="Arial"/>
          <w:color w:val="7B7B7B" w:themeColor="accent3" w:themeShade="BF"/>
          <w:sz w:val="22"/>
          <w:szCs w:val="22"/>
        </w:rPr>
        <w:t xml:space="preserve">European Insolvency Regulation </w:t>
      </w:r>
      <w:r w:rsidRPr="00D831BD">
        <w:rPr>
          <w:rFonts w:ascii="Avenir Next" w:hAnsi="Avenir Next" w:cs="Arial"/>
          <w:color w:val="7B7B7B" w:themeColor="accent3" w:themeShade="BF"/>
          <w:sz w:val="22"/>
          <w:szCs w:val="22"/>
        </w:rPr>
        <w:t xml:space="preserve">focuses on harmonizing the question of jurisdiction across Member States in insolvency proceedings by providing a set of "choice of law" provisions to be used by Member States to determine which is the most appropriate jurisdiction to open insolvency proceedings as well as to differentiate how main and secondary insolvency proceedings are to interact across the various Member States. The Directive dovetails the Regulation in that it takes the Regulation a step further and provides for the </w:t>
      </w:r>
      <w:r w:rsidR="00B217A9" w:rsidRPr="00D831BD">
        <w:rPr>
          <w:rFonts w:ascii="Avenir Next" w:hAnsi="Avenir Next" w:cs="Arial"/>
          <w:color w:val="7B7B7B" w:themeColor="accent3" w:themeShade="BF"/>
          <w:sz w:val="22"/>
          <w:szCs w:val="22"/>
        </w:rPr>
        <w:t>harmon</w:t>
      </w:r>
      <w:r w:rsidR="00B217A9">
        <w:rPr>
          <w:rFonts w:ascii="Avenir Next" w:hAnsi="Avenir Next" w:cs="Arial"/>
          <w:color w:val="7B7B7B" w:themeColor="accent3" w:themeShade="BF"/>
          <w:sz w:val="22"/>
          <w:szCs w:val="22"/>
        </w:rPr>
        <w:t>i</w:t>
      </w:r>
      <w:r w:rsidR="00B217A9" w:rsidRPr="00D831BD">
        <w:rPr>
          <w:rFonts w:ascii="Avenir Next" w:hAnsi="Avenir Next" w:cs="Arial"/>
          <w:color w:val="7B7B7B" w:themeColor="accent3" w:themeShade="BF"/>
          <w:sz w:val="22"/>
          <w:szCs w:val="22"/>
        </w:rPr>
        <w:t>zation</w:t>
      </w:r>
      <w:r w:rsidRPr="00D831BD">
        <w:rPr>
          <w:rFonts w:ascii="Avenir Next" w:hAnsi="Avenir Next" w:cs="Arial"/>
          <w:color w:val="7B7B7B" w:themeColor="accent3" w:themeShade="BF"/>
          <w:sz w:val="22"/>
          <w:szCs w:val="22"/>
        </w:rPr>
        <w:t xml:space="preserve"> of insolvency and </w:t>
      </w:r>
      <w:r w:rsidR="00B217A9" w:rsidRPr="00D831BD">
        <w:rPr>
          <w:rFonts w:ascii="Avenir Next" w:hAnsi="Avenir Next" w:cs="Arial"/>
          <w:color w:val="7B7B7B" w:themeColor="accent3" w:themeShade="BF"/>
          <w:sz w:val="22"/>
          <w:szCs w:val="22"/>
        </w:rPr>
        <w:t>restructuring</w:t>
      </w:r>
      <w:r w:rsidRPr="00D831BD">
        <w:rPr>
          <w:rFonts w:ascii="Avenir Next" w:hAnsi="Avenir Next" w:cs="Arial"/>
          <w:color w:val="7B7B7B" w:themeColor="accent3" w:themeShade="BF"/>
          <w:sz w:val="22"/>
          <w:szCs w:val="22"/>
        </w:rPr>
        <w:t xml:space="preserve"> procedures across Member States with the particular aim of business rescue. </w:t>
      </w:r>
      <w:r w:rsidR="00D60C7F">
        <w:rPr>
          <w:rFonts w:ascii="Avenir Next" w:hAnsi="Avenir Next" w:cs="Arial"/>
          <w:color w:val="7B7B7B" w:themeColor="accent3" w:themeShade="BF"/>
          <w:sz w:val="22"/>
          <w:szCs w:val="22"/>
        </w:rPr>
        <w:t>T</w:t>
      </w:r>
      <w:r w:rsidR="00D60C7F" w:rsidRPr="00D60C7F">
        <w:rPr>
          <w:rFonts w:ascii="Avenir Next" w:hAnsi="Avenir Next" w:cs="Arial"/>
          <w:color w:val="7B7B7B" w:themeColor="accent3" w:themeShade="BF"/>
          <w:sz w:val="22"/>
          <w:szCs w:val="22"/>
        </w:rPr>
        <w:t>he European Insolvency Regulation was silent as to potential business rescue and did not provide for any pre-insolvency consideration</w:t>
      </w:r>
      <w:r w:rsidR="00D60C7F">
        <w:rPr>
          <w:rFonts w:ascii="Avenir Next" w:hAnsi="Avenir Next" w:cs="Arial"/>
          <w:color w:val="7B7B7B" w:themeColor="accent3" w:themeShade="BF"/>
          <w:sz w:val="22"/>
          <w:szCs w:val="22"/>
        </w:rPr>
        <w:t xml:space="preserve">s or solutions. </w:t>
      </w:r>
      <w:r w:rsidR="00B217A9">
        <w:rPr>
          <w:rFonts w:ascii="Avenir Next" w:hAnsi="Avenir Next" w:cs="Arial"/>
          <w:color w:val="7B7B7B" w:themeColor="accent3" w:themeShade="BF"/>
          <w:sz w:val="22"/>
          <w:szCs w:val="22"/>
        </w:rPr>
        <w:t xml:space="preserve">The </w:t>
      </w:r>
      <w:r w:rsidR="00D60C7F">
        <w:rPr>
          <w:rFonts w:ascii="Avenir Next" w:hAnsi="Avenir Next" w:cs="Arial"/>
          <w:color w:val="7B7B7B" w:themeColor="accent3" w:themeShade="BF"/>
          <w:sz w:val="22"/>
          <w:szCs w:val="22"/>
        </w:rPr>
        <w:t xml:space="preserve">main goal of the Directive is </w:t>
      </w:r>
      <w:r w:rsidR="00D60C7F" w:rsidRPr="00D60C7F">
        <w:rPr>
          <w:rFonts w:ascii="Avenir Next" w:hAnsi="Avenir Next" w:cs="Arial"/>
          <w:color w:val="7B7B7B" w:themeColor="accent3" w:themeShade="BF"/>
          <w:sz w:val="22"/>
          <w:szCs w:val="22"/>
        </w:rPr>
        <w:t>to harmonize varying approaches to insolvency prevention and pre-insolvency restructuring prevalent in Member States to have at least a minimum set of cohesive rules/ common understanding as to pre-inso</w:t>
      </w:r>
      <w:r w:rsidR="00D60C7F">
        <w:rPr>
          <w:rFonts w:ascii="Avenir Next" w:hAnsi="Avenir Next" w:cs="Arial"/>
          <w:color w:val="7B7B7B" w:themeColor="accent3" w:themeShade="BF"/>
          <w:sz w:val="22"/>
          <w:szCs w:val="22"/>
        </w:rPr>
        <w:t xml:space="preserve">lvency restructuring procedures. The result of will ensure that less time and money is spent on arduous and long court processes to liquidate a debtor. </w:t>
      </w:r>
      <w:r w:rsidR="00C45C98" w:rsidRPr="00C45C98">
        <w:rPr>
          <w:rFonts w:ascii="Avenir Next" w:hAnsi="Avenir Next" w:cs="Arial"/>
          <w:color w:val="7B7B7B" w:themeColor="accent3" w:themeShade="BF"/>
          <w:sz w:val="22"/>
          <w:szCs w:val="22"/>
        </w:rPr>
        <w:t xml:space="preserve">The Directive attempts to allow for more negotiations between creditors and the debtor outside of a court </w:t>
      </w:r>
      <w:r w:rsidR="00C45C98">
        <w:rPr>
          <w:rFonts w:ascii="Avenir Next" w:hAnsi="Avenir Next" w:cs="Arial"/>
          <w:color w:val="7B7B7B" w:themeColor="accent3" w:themeShade="BF"/>
          <w:sz w:val="22"/>
          <w:szCs w:val="22"/>
        </w:rPr>
        <w:t>setting</w:t>
      </w:r>
      <w:r w:rsidR="00C45C98" w:rsidRPr="00C45C98">
        <w:rPr>
          <w:rFonts w:ascii="Avenir Next" w:hAnsi="Avenir Next" w:cs="Arial"/>
          <w:color w:val="7B7B7B" w:themeColor="accent3" w:themeShade="BF"/>
          <w:sz w:val="22"/>
          <w:szCs w:val="22"/>
        </w:rPr>
        <w:t xml:space="preserve"> </w:t>
      </w:r>
      <w:r w:rsidR="00C45C98">
        <w:rPr>
          <w:rFonts w:ascii="Avenir Next" w:hAnsi="Avenir Next" w:cs="Arial"/>
          <w:color w:val="7B7B7B" w:themeColor="accent3" w:themeShade="BF"/>
          <w:sz w:val="22"/>
          <w:szCs w:val="22"/>
        </w:rPr>
        <w:t>by shifting the whereas the</w:t>
      </w:r>
      <w:r w:rsidR="00C45C98" w:rsidRPr="00C45C98">
        <w:rPr>
          <w:rFonts w:ascii="Avenir Next" w:hAnsi="Avenir Next" w:cs="Arial"/>
          <w:color w:val="7B7B7B" w:themeColor="accent3" w:themeShade="BF"/>
          <w:sz w:val="22"/>
          <w:szCs w:val="22"/>
        </w:rPr>
        <w:t xml:space="preserve"> </w:t>
      </w:r>
      <w:r w:rsidR="00C45C98" w:rsidRPr="00C45C98">
        <w:rPr>
          <w:rFonts w:ascii="Avenir Next" w:hAnsi="Avenir Next" w:cs="Arial"/>
          <w:color w:val="7B7B7B" w:themeColor="accent3" w:themeShade="BF"/>
          <w:sz w:val="22"/>
          <w:szCs w:val="22"/>
        </w:rPr>
        <w:lastRenderedPageBreak/>
        <w:t xml:space="preserve">European Insolvency Regulation </w:t>
      </w:r>
      <w:proofErr w:type="spellStart"/>
      <w:r w:rsidR="00C45C98">
        <w:rPr>
          <w:rFonts w:ascii="Avenir Next" w:hAnsi="Avenir Next" w:cs="Arial"/>
          <w:color w:val="7B7B7B" w:themeColor="accent3" w:themeShade="BF"/>
          <w:sz w:val="22"/>
          <w:szCs w:val="22"/>
        </w:rPr>
        <w:t>centres</w:t>
      </w:r>
      <w:proofErr w:type="spellEnd"/>
      <w:r w:rsidR="00C45C98">
        <w:rPr>
          <w:rFonts w:ascii="Avenir Next" w:hAnsi="Avenir Next" w:cs="Arial"/>
          <w:color w:val="7B7B7B" w:themeColor="accent3" w:themeShade="BF"/>
          <w:sz w:val="22"/>
          <w:szCs w:val="22"/>
        </w:rPr>
        <w:t xml:space="preserve"> around </w:t>
      </w:r>
      <w:r w:rsidR="00C45C98" w:rsidRPr="00C45C98">
        <w:rPr>
          <w:rFonts w:ascii="Avenir Next" w:hAnsi="Avenir Next" w:cs="Arial"/>
          <w:color w:val="7B7B7B" w:themeColor="accent3" w:themeShade="BF"/>
          <w:sz w:val="22"/>
          <w:szCs w:val="22"/>
        </w:rPr>
        <w:t>th</w:t>
      </w:r>
      <w:r w:rsidR="00C45C98">
        <w:rPr>
          <w:rFonts w:ascii="Avenir Next" w:hAnsi="Avenir Next" w:cs="Arial"/>
          <w:color w:val="7B7B7B" w:themeColor="accent3" w:themeShade="BF"/>
          <w:sz w:val="22"/>
          <w:szCs w:val="22"/>
        </w:rPr>
        <w:t>e interaction of courts and IPs in insolvency proceedings.</w:t>
      </w:r>
      <w:r w:rsidR="00C45C98">
        <w:rPr>
          <w:rStyle w:val="FootnoteReference"/>
          <w:rFonts w:ascii="Avenir Next" w:hAnsi="Avenir Next" w:cs="Arial"/>
          <w:color w:val="7B7B7B" w:themeColor="accent3" w:themeShade="BF"/>
          <w:sz w:val="22"/>
          <w:szCs w:val="22"/>
        </w:rPr>
        <w:footnoteReference w:id="12"/>
      </w:r>
      <w:r w:rsidR="00C45C98">
        <w:rPr>
          <w:rFonts w:ascii="Avenir Next" w:hAnsi="Avenir Next" w:cs="Arial"/>
          <w:color w:val="7B7B7B" w:themeColor="accent3" w:themeShade="BF"/>
          <w:sz w:val="22"/>
          <w:szCs w:val="22"/>
        </w:rPr>
        <w:t xml:space="preserve"> </w:t>
      </w:r>
      <w:r w:rsidR="00D056D4">
        <w:rPr>
          <w:rFonts w:ascii="Avenir Next" w:hAnsi="Avenir Next" w:cs="Arial"/>
          <w:color w:val="7B7B7B" w:themeColor="accent3" w:themeShade="BF"/>
          <w:sz w:val="22"/>
          <w:szCs w:val="22"/>
        </w:rPr>
        <w:t xml:space="preserve">Whilst the </w:t>
      </w:r>
      <w:r w:rsidR="00D60C7F" w:rsidRPr="00D60C7F">
        <w:rPr>
          <w:rFonts w:ascii="Avenir Next" w:hAnsi="Avenir Next" w:cs="Arial"/>
          <w:color w:val="7B7B7B" w:themeColor="accent3" w:themeShade="BF"/>
          <w:sz w:val="22"/>
          <w:szCs w:val="22"/>
        </w:rPr>
        <w:t>European Insolvency Regulation</w:t>
      </w:r>
      <w:r w:rsidR="00D056D4">
        <w:rPr>
          <w:rFonts w:ascii="Avenir Next" w:hAnsi="Avenir Next" w:cs="Arial"/>
          <w:color w:val="7B7B7B" w:themeColor="accent3" w:themeShade="BF"/>
          <w:sz w:val="22"/>
          <w:szCs w:val="22"/>
        </w:rPr>
        <w:t xml:space="preserve"> focuses on and provides for the determination of the main insolvency proceedings as well as breaking down how secondary and main insolvency proceedings are to work together to ensure that a debtor's creditors across the EU are treated fairly and a</w:t>
      </w:r>
      <w:r w:rsidR="00E731D1">
        <w:rPr>
          <w:rFonts w:ascii="Avenir Next" w:hAnsi="Avenir Next" w:cs="Arial"/>
          <w:color w:val="7B7B7B" w:themeColor="accent3" w:themeShade="BF"/>
          <w:sz w:val="22"/>
          <w:szCs w:val="22"/>
        </w:rPr>
        <w:t xml:space="preserve">llowed the best possible return. The </w:t>
      </w:r>
      <w:r w:rsidR="00E731D1" w:rsidRPr="00E731D1">
        <w:rPr>
          <w:rFonts w:ascii="Avenir Next" w:hAnsi="Avenir Next" w:cs="Arial"/>
          <w:color w:val="7B7B7B" w:themeColor="accent3" w:themeShade="BF"/>
          <w:sz w:val="22"/>
          <w:szCs w:val="22"/>
        </w:rPr>
        <w:t>European Insolvency Regulation</w:t>
      </w:r>
      <w:r w:rsidR="00E731D1">
        <w:rPr>
          <w:rFonts w:ascii="Avenir Next" w:hAnsi="Avenir Next" w:cs="Arial"/>
          <w:color w:val="7B7B7B" w:themeColor="accent3" w:themeShade="BF"/>
          <w:sz w:val="22"/>
          <w:szCs w:val="22"/>
        </w:rPr>
        <w:t xml:space="preserve"> failed to take a step further a look towards the options available to prevent insolvency in the first place, to provide options for economically viable debtors to restructure their debts at an early stage and to attempt to create a more harmonized approach across the EU when it comes to business rescue and the procedures for same (which are widely varied</w:t>
      </w:r>
      <w:r w:rsidR="004A565C">
        <w:rPr>
          <w:rFonts w:ascii="Avenir Next" w:hAnsi="Avenir Next" w:cs="Arial"/>
          <w:color w:val="7B7B7B" w:themeColor="accent3" w:themeShade="BF"/>
          <w:sz w:val="22"/>
          <w:szCs w:val="22"/>
        </w:rPr>
        <w:t xml:space="preserve"> across Member States</w:t>
      </w:r>
      <w:r w:rsidR="00E731D1">
        <w:rPr>
          <w:rFonts w:ascii="Avenir Next" w:hAnsi="Avenir Next" w:cs="Arial"/>
          <w:color w:val="7B7B7B" w:themeColor="accent3" w:themeShade="BF"/>
          <w:sz w:val="22"/>
          <w:szCs w:val="22"/>
        </w:rPr>
        <w:t xml:space="preserve">). </w:t>
      </w:r>
      <w:r w:rsidR="00C45C98">
        <w:rPr>
          <w:rFonts w:ascii="Avenir Next" w:hAnsi="Avenir Next" w:cs="Arial"/>
          <w:color w:val="7B7B7B" w:themeColor="accent3" w:themeShade="BF"/>
          <w:sz w:val="22"/>
          <w:szCs w:val="22"/>
        </w:rPr>
        <w:t xml:space="preserve">Due to the lack of pre-insolvency procedures and </w:t>
      </w:r>
      <w:r w:rsidR="00D60C7F" w:rsidRPr="00D60C7F">
        <w:rPr>
          <w:rFonts w:ascii="Avenir Next" w:hAnsi="Avenir Next" w:cs="Arial"/>
          <w:color w:val="7B7B7B" w:themeColor="accent3" w:themeShade="BF"/>
          <w:sz w:val="22"/>
          <w:szCs w:val="22"/>
        </w:rPr>
        <w:t xml:space="preserve">silence on early stage financial restructuring or business rescue in the </w:t>
      </w:r>
      <w:r w:rsidR="00C45C98" w:rsidRPr="00C45C98">
        <w:rPr>
          <w:rFonts w:ascii="Avenir Next" w:hAnsi="Avenir Next" w:cs="Arial"/>
          <w:color w:val="7B7B7B" w:themeColor="accent3" w:themeShade="BF"/>
          <w:sz w:val="22"/>
          <w:szCs w:val="22"/>
        </w:rPr>
        <w:t>European Insolvency Regulation</w:t>
      </w:r>
      <w:r w:rsidR="00D60C7F" w:rsidRPr="00D60C7F">
        <w:rPr>
          <w:rFonts w:ascii="Avenir Next" w:hAnsi="Avenir Next" w:cs="Arial"/>
          <w:color w:val="7B7B7B" w:themeColor="accent3" w:themeShade="BF"/>
          <w:sz w:val="22"/>
          <w:szCs w:val="22"/>
        </w:rPr>
        <w:t xml:space="preserve">, the Directive was also intended to prevent forum shopping where certain debtors in other Member States would find ways of using the English law Scheme of Arrangement in order to restructure their debt.  </w:t>
      </w:r>
    </w:p>
    <w:p w14:paraId="091ABC45" w14:textId="77777777" w:rsidR="0076364D" w:rsidRDefault="0076364D" w:rsidP="0076364D">
      <w:pPr>
        <w:jc w:val="both"/>
        <w:rPr>
          <w:rFonts w:ascii="Avenir Next" w:hAnsi="Avenir Next" w:cs="Arial"/>
          <w:color w:val="7B7B7B" w:themeColor="accent3" w:themeShade="BF"/>
          <w:sz w:val="22"/>
          <w:szCs w:val="22"/>
        </w:rPr>
      </w:pPr>
    </w:p>
    <w:p w14:paraId="42F9F404" w14:textId="7461496C" w:rsidR="00E731D1" w:rsidRPr="00D60C7F" w:rsidRDefault="004A565C" w:rsidP="00D60C7F">
      <w:pPr>
        <w:jc w:val="both"/>
        <w:rPr>
          <w:rFonts w:ascii="Avenir Next" w:hAnsi="Avenir Next" w:cs="Arial"/>
          <w:color w:val="7B7B7B" w:themeColor="accent3" w:themeShade="BF"/>
          <w:sz w:val="22"/>
          <w:szCs w:val="22"/>
        </w:rPr>
      </w:pPr>
      <w:r w:rsidRPr="0076364D">
        <w:rPr>
          <w:rFonts w:ascii="Avenir Next" w:hAnsi="Avenir Next" w:cs="Arial"/>
          <w:color w:val="7B7B7B" w:themeColor="accent3" w:themeShade="BF"/>
          <w:sz w:val="22"/>
          <w:szCs w:val="22"/>
        </w:rPr>
        <w:t>The Di</w:t>
      </w:r>
      <w:r w:rsidR="0076364D" w:rsidRPr="0076364D">
        <w:rPr>
          <w:rFonts w:ascii="Avenir Next" w:hAnsi="Avenir Next" w:cs="Arial"/>
          <w:color w:val="7B7B7B" w:themeColor="accent3" w:themeShade="BF"/>
          <w:sz w:val="22"/>
          <w:szCs w:val="22"/>
        </w:rPr>
        <w:t>rective changes the focus from insolvency and the liquidation of</w:t>
      </w:r>
      <w:r w:rsidRPr="0076364D">
        <w:rPr>
          <w:rFonts w:ascii="Avenir Next" w:hAnsi="Avenir Next" w:cs="Arial"/>
          <w:color w:val="7B7B7B" w:themeColor="accent3" w:themeShade="BF"/>
          <w:sz w:val="22"/>
          <w:szCs w:val="22"/>
        </w:rPr>
        <w:t xml:space="preserve"> debtor's assets</w:t>
      </w:r>
      <w:r w:rsidR="0076364D" w:rsidRPr="0076364D">
        <w:rPr>
          <w:rFonts w:ascii="Avenir Next" w:hAnsi="Avenir Next" w:cs="Arial"/>
          <w:color w:val="7B7B7B" w:themeColor="accent3" w:themeShade="BF"/>
          <w:sz w:val="22"/>
          <w:szCs w:val="22"/>
        </w:rPr>
        <w:t>,</w:t>
      </w:r>
      <w:r w:rsidRPr="0076364D">
        <w:rPr>
          <w:rFonts w:ascii="Avenir Next" w:hAnsi="Avenir Next" w:cs="Arial"/>
          <w:color w:val="7B7B7B" w:themeColor="accent3" w:themeShade="BF"/>
          <w:sz w:val="22"/>
          <w:szCs w:val="22"/>
        </w:rPr>
        <w:t xml:space="preserve"> to </w:t>
      </w:r>
      <w:r w:rsidR="0076364D" w:rsidRPr="0076364D">
        <w:rPr>
          <w:rFonts w:ascii="Avenir Next" w:hAnsi="Avenir Next" w:cs="Arial"/>
          <w:color w:val="7B7B7B" w:themeColor="accent3" w:themeShade="BF"/>
          <w:sz w:val="22"/>
          <w:szCs w:val="22"/>
        </w:rPr>
        <w:t xml:space="preserve">pre-insolvency restructuring, whereby the debtor's assets are preserved and rearranged </w:t>
      </w:r>
      <w:r w:rsidRPr="0076364D">
        <w:rPr>
          <w:rFonts w:ascii="Avenir Next" w:hAnsi="Avenir Next" w:cs="Arial"/>
          <w:color w:val="7B7B7B" w:themeColor="accent3" w:themeShade="BF"/>
          <w:sz w:val="22"/>
          <w:szCs w:val="22"/>
        </w:rPr>
        <w:t>for the benefit of all parties concerned (both the debtor and its creditors</w:t>
      </w:r>
      <w:r w:rsidR="0076364D" w:rsidRPr="0076364D">
        <w:rPr>
          <w:rFonts w:ascii="Avenir Next" w:hAnsi="Avenir Next" w:cs="Arial"/>
          <w:color w:val="7B7B7B" w:themeColor="accent3" w:themeShade="BF"/>
          <w:sz w:val="22"/>
          <w:szCs w:val="22"/>
        </w:rPr>
        <w:t>, with the primary focus still on the creditors</w:t>
      </w:r>
      <w:r w:rsidR="00D60C7F">
        <w:rPr>
          <w:rFonts w:ascii="Avenir Next" w:hAnsi="Avenir Next" w:cs="Arial"/>
          <w:color w:val="7B7B7B" w:themeColor="accent3" w:themeShade="BF"/>
          <w:sz w:val="22"/>
          <w:szCs w:val="22"/>
        </w:rPr>
        <w:t xml:space="preserve">). </w:t>
      </w:r>
      <w:r w:rsidR="00D60C7F" w:rsidRPr="00D60C7F">
        <w:rPr>
          <w:rFonts w:ascii="Avenir Next" w:hAnsi="Avenir Next" w:cs="Arial"/>
          <w:color w:val="7B7B7B" w:themeColor="accent3" w:themeShade="BF"/>
          <w:sz w:val="22"/>
          <w:szCs w:val="22"/>
        </w:rPr>
        <w:t xml:space="preserve">Furthermore, the </w:t>
      </w:r>
      <w:r w:rsidR="00E731D1" w:rsidRPr="00D60C7F">
        <w:rPr>
          <w:rFonts w:ascii="Avenir Next" w:hAnsi="Avenir Next" w:cs="Arial"/>
          <w:color w:val="7B7B7B" w:themeColor="accent3" w:themeShade="BF"/>
          <w:sz w:val="22"/>
          <w:szCs w:val="22"/>
        </w:rPr>
        <w:t>Directive allows for early stage intervention to attempt to resolve the matter through rest</w:t>
      </w:r>
      <w:r w:rsidR="00C44DDC" w:rsidRPr="00D60C7F">
        <w:rPr>
          <w:rFonts w:ascii="Avenir Next" w:hAnsi="Avenir Next" w:cs="Arial"/>
          <w:color w:val="7B7B7B" w:themeColor="accent3" w:themeShade="BF"/>
          <w:sz w:val="22"/>
          <w:szCs w:val="22"/>
        </w:rPr>
        <w:t>ructuring</w:t>
      </w:r>
      <w:r w:rsidR="00E731D1" w:rsidRPr="00D60C7F">
        <w:rPr>
          <w:rFonts w:ascii="Avenir Next" w:hAnsi="Avenir Next" w:cs="Arial"/>
          <w:color w:val="7B7B7B" w:themeColor="accent3" w:themeShade="BF"/>
          <w:sz w:val="22"/>
          <w:szCs w:val="22"/>
        </w:rPr>
        <w:t xml:space="preserve"> </w:t>
      </w:r>
      <w:r w:rsidR="00C44DDC" w:rsidRPr="00D60C7F">
        <w:rPr>
          <w:rFonts w:ascii="Avenir Next" w:hAnsi="Avenir Next" w:cs="Arial"/>
          <w:color w:val="7B7B7B" w:themeColor="accent3" w:themeShade="BF"/>
          <w:sz w:val="22"/>
          <w:szCs w:val="22"/>
        </w:rPr>
        <w:t xml:space="preserve">procedures </w:t>
      </w:r>
      <w:r w:rsidR="00E731D1" w:rsidRPr="00D60C7F">
        <w:rPr>
          <w:rFonts w:ascii="Avenir Next" w:hAnsi="Avenir Next" w:cs="Arial"/>
          <w:color w:val="7B7B7B" w:themeColor="accent3" w:themeShade="BF"/>
          <w:sz w:val="22"/>
          <w:szCs w:val="22"/>
        </w:rPr>
        <w:t>as opposed to proceeding immediately with insolvency</w:t>
      </w:r>
      <w:r w:rsidR="00D60C7F">
        <w:rPr>
          <w:rFonts w:ascii="Avenir Next" w:hAnsi="Avenir Next" w:cs="Arial"/>
          <w:color w:val="7B7B7B" w:themeColor="accent3" w:themeShade="BF"/>
          <w:sz w:val="22"/>
          <w:szCs w:val="22"/>
        </w:rPr>
        <w:t>.</w:t>
      </w:r>
    </w:p>
    <w:p w14:paraId="124C4D86" w14:textId="6E0112CB" w:rsidR="00E731D1" w:rsidRDefault="00E731D1" w:rsidP="00E731D1">
      <w:pPr>
        <w:jc w:val="both"/>
        <w:rPr>
          <w:rFonts w:ascii="Avenir Next" w:hAnsi="Avenir Next" w:cs="Arial"/>
          <w:color w:val="7B7B7B" w:themeColor="accent3" w:themeShade="BF"/>
          <w:sz w:val="22"/>
          <w:szCs w:val="22"/>
        </w:rPr>
      </w:pPr>
    </w:p>
    <w:p w14:paraId="3A3AE4B7" w14:textId="329AEB01" w:rsidR="00E731D1" w:rsidRDefault="008F06AC" w:rsidP="00E731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Unfortunately, due to the extent of the compromise need</w:t>
      </w:r>
      <w:r w:rsidR="0076364D">
        <w:rPr>
          <w:rFonts w:ascii="Avenir Next" w:hAnsi="Avenir Next" w:cs="Arial"/>
          <w:color w:val="7B7B7B" w:themeColor="accent3" w:themeShade="BF"/>
          <w:sz w:val="22"/>
          <w:szCs w:val="22"/>
        </w:rPr>
        <w:t>ed</w:t>
      </w:r>
      <w:r>
        <w:rPr>
          <w:rFonts w:ascii="Avenir Next" w:hAnsi="Avenir Next" w:cs="Arial"/>
          <w:color w:val="7B7B7B" w:themeColor="accent3" w:themeShade="BF"/>
          <w:sz w:val="22"/>
          <w:szCs w:val="22"/>
        </w:rPr>
        <w:t xml:space="preserve"> to have the Directive accepted by the various Member States, the Directive does not go as far as it should to achieve its ultimate goal of harmonizing the </w:t>
      </w:r>
      <w:r w:rsidRPr="008F06AC">
        <w:rPr>
          <w:rFonts w:ascii="Avenir Next" w:hAnsi="Avenir Next" w:cs="Arial"/>
          <w:color w:val="7B7B7B" w:themeColor="accent3" w:themeShade="BF"/>
          <w:sz w:val="22"/>
          <w:szCs w:val="22"/>
          <w:lang w:val="en-GB"/>
        </w:rPr>
        <w:t>substantive insolvency laws of the Member States</w:t>
      </w:r>
      <w:r>
        <w:rPr>
          <w:rFonts w:ascii="Avenir Next" w:hAnsi="Avenir Next" w:cs="Arial"/>
          <w:color w:val="7B7B7B" w:themeColor="accent3" w:themeShade="BF"/>
          <w:sz w:val="22"/>
          <w:szCs w:val="22"/>
          <w:lang w:val="en-GB"/>
        </w:rPr>
        <w:t xml:space="preserve">, and in this regard the EIR Recast too fails. They both remain silent on a common definition of insolvency, ranking of claims and identification and </w:t>
      </w:r>
      <w:proofErr w:type="spellStart"/>
      <w:r>
        <w:rPr>
          <w:rFonts w:ascii="Avenir Next" w:hAnsi="Avenir Next" w:cs="Arial"/>
          <w:color w:val="7B7B7B" w:themeColor="accent3" w:themeShade="BF"/>
          <w:sz w:val="22"/>
          <w:szCs w:val="22"/>
          <w:lang w:val="en-GB"/>
        </w:rPr>
        <w:t>tracing</w:t>
      </w:r>
      <w:proofErr w:type="spellEnd"/>
      <w:r>
        <w:rPr>
          <w:rFonts w:ascii="Avenir Next" w:hAnsi="Avenir Next" w:cs="Arial"/>
          <w:color w:val="7B7B7B" w:themeColor="accent3" w:themeShade="BF"/>
          <w:sz w:val="22"/>
          <w:szCs w:val="22"/>
          <w:lang w:val="en-GB"/>
        </w:rPr>
        <w:t xml:space="preserve"> of the insolvent estate's assets, amongst other things.</w:t>
      </w:r>
      <w:r>
        <w:rPr>
          <w:rStyle w:val="FootnoteReference"/>
          <w:rFonts w:ascii="Avenir Next" w:hAnsi="Avenir Next" w:cs="Arial"/>
          <w:color w:val="7B7B7B" w:themeColor="accent3" w:themeShade="BF"/>
          <w:sz w:val="22"/>
          <w:szCs w:val="22"/>
          <w:lang w:val="en-GB"/>
        </w:rPr>
        <w:footnoteReference w:id="13"/>
      </w:r>
      <w:r>
        <w:rPr>
          <w:rFonts w:ascii="Avenir Next" w:hAnsi="Avenir Next" w:cs="Arial"/>
          <w:color w:val="7B7B7B" w:themeColor="accent3" w:themeShade="BF"/>
          <w:sz w:val="22"/>
          <w:szCs w:val="22"/>
          <w:lang w:val="en-GB"/>
        </w:rPr>
        <w:t xml:space="preserve">   </w:t>
      </w:r>
    </w:p>
    <w:p w14:paraId="61AF5196" w14:textId="4CEAD463" w:rsidR="00FB7A32" w:rsidRDefault="00FB7A32" w:rsidP="00E731D1">
      <w:pPr>
        <w:jc w:val="both"/>
        <w:rPr>
          <w:rFonts w:ascii="Avenir Next" w:hAnsi="Avenir Next" w:cs="Arial"/>
          <w:color w:val="7B7B7B" w:themeColor="accent3" w:themeShade="BF"/>
          <w:sz w:val="22"/>
          <w:szCs w:val="22"/>
        </w:rPr>
      </w:pPr>
    </w:p>
    <w:p w14:paraId="59DB72C1" w14:textId="77777777" w:rsidR="00E731D1" w:rsidRPr="008E3C96" w:rsidRDefault="00E731D1" w:rsidP="002A37BB">
      <w:pPr>
        <w:jc w:val="both"/>
        <w:rPr>
          <w:rFonts w:ascii="Avenir Next" w:hAnsi="Avenir Next" w:cs="Arial"/>
          <w:sz w:val="22"/>
          <w:szCs w:val="22"/>
          <w:lang w:val="en-GB"/>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w:t>
      </w:r>
      <w:r w:rsidR="003D17A2" w:rsidRPr="008E3C96">
        <w:rPr>
          <w:rFonts w:ascii="Avenir Next" w:hAnsi="Avenir Next" w:cs="Arial"/>
          <w:sz w:val="22"/>
          <w:szCs w:val="22"/>
          <w:lang w:val="en-GB"/>
        </w:rPr>
        <w:lastRenderedPageBreak/>
        <w:t xml:space="preserve">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1667B1CA" w14:textId="49D573CF" w:rsidR="00054BEF" w:rsidRDefault="004E714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purposes of establishing jurisdiction under the EIR 2000, it is necessary to establish the debtor's centre of main interest ("</w:t>
      </w:r>
      <w:r w:rsidRPr="004E7148">
        <w:rPr>
          <w:rFonts w:ascii="Avenir Next" w:hAnsi="Avenir Next" w:cs="Arial"/>
          <w:b/>
          <w:color w:val="7B7B7B" w:themeColor="accent3" w:themeShade="BF"/>
          <w:sz w:val="22"/>
          <w:szCs w:val="22"/>
          <w:lang w:val="en-GB"/>
        </w:rPr>
        <w:t>COMI</w:t>
      </w:r>
      <w:r>
        <w:rPr>
          <w:rFonts w:ascii="Avenir Next" w:hAnsi="Avenir Next" w:cs="Arial"/>
          <w:color w:val="7B7B7B" w:themeColor="accent3" w:themeShade="BF"/>
          <w:sz w:val="22"/>
          <w:szCs w:val="22"/>
          <w:lang w:val="en-GB"/>
        </w:rPr>
        <w:t xml:space="preserve">") as this will be where the main insolvency proceedings can be initiated. The main insolvency proceedings will be in respect of all the debtor's assets throughout the EU., and it will be the law of the state in which such main proceedings are opened that will determine the effect of the insolvency proceedings (e.g. ranking of creditors, liquidators powers , how a debtor's assets are realised and distributed </w:t>
      </w:r>
      <w:proofErr w:type="spellStart"/>
      <w:r>
        <w:rPr>
          <w:rFonts w:ascii="Avenir Next" w:hAnsi="Avenir Next" w:cs="Arial"/>
          <w:color w:val="7B7B7B" w:themeColor="accent3" w:themeShade="BF"/>
          <w:sz w:val="22"/>
          <w:szCs w:val="22"/>
          <w:lang w:val="en-GB"/>
        </w:rPr>
        <w:t>etc</w:t>
      </w:r>
      <w:proofErr w:type="spellEnd"/>
      <w:r>
        <w:rPr>
          <w:rFonts w:ascii="Avenir Next" w:hAnsi="Avenir Next" w:cs="Arial"/>
          <w:color w:val="7B7B7B" w:themeColor="accent3" w:themeShade="BF"/>
          <w:sz w:val="22"/>
          <w:szCs w:val="22"/>
          <w:lang w:val="en-GB"/>
        </w:rPr>
        <w:t xml:space="preserve">). </w:t>
      </w:r>
      <w:r w:rsidR="006A0B76">
        <w:rPr>
          <w:rFonts w:ascii="Avenir Next" w:hAnsi="Avenir Next" w:cs="Arial"/>
          <w:color w:val="7B7B7B" w:themeColor="accent3" w:themeShade="BF"/>
          <w:sz w:val="22"/>
          <w:szCs w:val="22"/>
          <w:lang w:val="en-GB"/>
        </w:rPr>
        <w:t xml:space="preserve">COMI under the EIR 2000 is not expressly defined but based on the guidance at Recital 13, it is understood that a debtor's COMI is the place where the debtor administers their interests on a regular basis and which is ascertainable by third parties. The CJEU in the </w:t>
      </w:r>
      <w:proofErr w:type="spellStart"/>
      <w:r w:rsidR="006A0B76" w:rsidRPr="006A0B76">
        <w:rPr>
          <w:rFonts w:ascii="Avenir Next" w:hAnsi="Avenir Next" w:cs="Arial"/>
          <w:i/>
          <w:color w:val="7B7B7B" w:themeColor="accent3" w:themeShade="BF"/>
          <w:sz w:val="22"/>
          <w:szCs w:val="22"/>
          <w:lang w:val="en-GB"/>
        </w:rPr>
        <w:t>Eurofood</w:t>
      </w:r>
      <w:proofErr w:type="spellEnd"/>
      <w:r w:rsidR="006A0B76" w:rsidRPr="006A0B76">
        <w:rPr>
          <w:rFonts w:ascii="Avenir Next" w:hAnsi="Avenir Next" w:cs="Arial"/>
          <w:i/>
          <w:color w:val="7B7B7B" w:themeColor="accent3" w:themeShade="BF"/>
          <w:sz w:val="22"/>
          <w:szCs w:val="22"/>
          <w:lang w:val="en-GB"/>
        </w:rPr>
        <w:t xml:space="preserve"> IFSC Ltd</w:t>
      </w:r>
      <w:r w:rsidR="006A0B76">
        <w:rPr>
          <w:rFonts w:ascii="Avenir Next" w:hAnsi="Avenir Next" w:cs="Arial"/>
          <w:color w:val="7B7B7B" w:themeColor="accent3" w:themeShade="BF"/>
          <w:sz w:val="22"/>
          <w:szCs w:val="22"/>
          <w:lang w:val="en-GB"/>
        </w:rPr>
        <w:t xml:space="preserve"> case</w:t>
      </w:r>
      <w:r w:rsidR="006A0B76">
        <w:rPr>
          <w:rStyle w:val="FootnoteReference"/>
          <w:rFonts w:ascii="Avenir Next" w:hAnsi="Avenir Next" w:cs="Arial"/>
          <w:color w:val="7B7B7B" w:themeColor="accent3" w:themeShade="BF"/>
          <w:sz w:val="22"/>
          <w:szCs w:val="22"/>
          <w:lang w:val="en-GB"/>
        </w:rPr>
        <w:footnoteReference w:id="14"/>
      </w:r>
      <w:r w:rsidR="006A0B76">
        <w:rPr>
          <w:rFonts w:ascii="Avenir Next" w:hAnsi="Avenir Next" w:cs="Arial"/>
          <w:color w:val="7B7B7B" w:themeColor="accent3" w:themeShade="BF"/>
          <w:sz w:val="22"/>
          <w:szCs w:val="22"/>
          <w:lang w:val="en-GB"/>
        </w:rPr>
        <w:t xml:space="preserve"> confirmed this understanding and further confirmed that is a standalone concept that must be understood uniformly despite how COMI may be defined or understood pursuant to a Member State's national legislation. </w:t>
      </w:r>
      <w:r w:rsidR="00EE5E63">
        <w:rPr>
          <w:rFonts w:ascii="Avenir Next" w:hAnsi="Avenir Next" w:cs="Arial"/>
          <w:color w:val="7B7B7B" w:themeColor="accent3" w:themeShade="BF"/>
          <w:sz w:val="22"/>
          <w:szCs w:val="22"/>
          <w:lang w:val="en-GB"/>
        </w:rPr>
        <w:t xml:space="preserve">The CJEU emphasised that in determining a debtor's COMI, the criteria used in such determination objective and ascertainable by third parties (for example, by looking to whether the debtor conducts its administration in a particular Member State on a regular and lasting basis). </w:t>
      </w:r>
      <w:r w:rsidR="00E1326D">
        <w:rPr>
          <w:rFonts w:ascii="Avenir Next" w:hAnsi="Avenir Next" w:cs="Arial"/>
          <w:color w:val="7B7B7B" w:themeColor="accent3" w:themeShade="BF"/>
          <w:sz w:val="22"/>
          <w:szCs w:val="22"/>
          <w:lang w:val="en-GB"/>
        </w:rPr>
        <w:t xml:space="preserve">In the </w:t>
      </w:r>
      <w:proofErr w:type="spellStart"/>
      <w:r w:rsidR="00E1326D" w:rsidRPr="00E1326D">
        <w:rPr>
          <w:rFonts w:ascii="Avenir Next" w:hAnsi="Avenir Next" w:cs="Arial"/>
          <w:i/>
          <w:color w:val="7B7B7B" w:themeColor="accent3" w:themeShade="BF"/>
          <w:sz w:val="22"/>
          <w:szCs w:val="22"/>
          <w:lang w:val="en-GB"/>
        </w:rPr>
        <w:t>Interedil</w:t>
      </w:r>
      <w:proofErr w:type="spellEnd"/>
      <w:r w:rsidR="00E1326D" w:rsidRPr="00E1326D">
        <w:rPr>
          <w:rFonts w:ascii="Avenir Next" w:hAnsi="Avenir Next" w:cs="Arial"/>
          <w:i/>
          <w:color w:val="7B7B7B" w:themeColor="accent3" w:themeShade="BF"/>
          <w:sz w:val="22"/>
          <w:szCs w:val="22"/>
          <w:lang w:val="en-GB"/>
        </w:rPr>
        <w:t xml:space="preserve"> </w:t>
      </w:r>
      <w:proofErr w:type="spellStart"/>
      <w:r w:rsidR="00E1326D" w:rsidRPr="00E1326D">
        <w:rPr>
          <w:rFonts w:ascii="Avenir Next" w:hAnsi="Avenir Next" w:cs="Arial"/>
          <w:i/>
          <w:color w:val="7B7B7B" w:themeColor="accent3" w:themeShade="BF"/>
          <w:sz w:val="22"/>
          <w:szCs w:val="22"/>
          <w:lang w:val="en-GB"/>
        </w:rPr>
        <w:t>Srl</w:t>
      </w:r>
      <w:proofErr w:type="spellEnd"/>
      <w:r w:rsidR="00E1326D" w:rsidRPr="00E1326D">
        <w:rPr>
          <w:rFonts w:ascii="Avenir Next" w:hAnsi="Avenir Next" w:cs="Arial"/>
          <w:i/>
          <w:color w:val="7B7B7B" w:themeColor="accent3" w:themeShade="BF"/>
          <w:sz w:val="22"/>
          <w:szCs w:val="22"/>
          <w:lang w:val="en-GB"/>
        </w:rPr>
        <w:t xml:space="preserve"> v </w:t>
      </w:r>
      <w:proofErr w:type="spellStart"/>
      <w:r w:rsidR="00E1326D" w:rsidRPr="00E1326D">
        <w:rPr>
          <w:rFonts w:ascii="Avenir Next" w:hAnsi="Avenir Next" w:cs="Arial"/>
          <w:i/>
          <w:color w:val="7B7B7B" w:themeColor="accent3" w:themeShade="BF"/>
          <w:sz w:val="22"/>
          <w:szCs w:val="22"/>
          <w:lang w:val="en-GB"/>
        </w:rPr>
        <w:t>Fallimento</w:t>
      </w:r>
      <w:proofErr w:type="spellEnd"/>
      <w:r w:rsidR="00E1326D" w:rsidRPr="00E1326D">
        <w:rPr>
          <w:rFonts w:ascii="Avenir Next" w:hAnsi="Avenir Next" w:cs="Arial"/>
          <w:i/>
          <w:color w:val="7B7B7B" w:themeColor="accent3" w:themeShade="BF"/>
          <w:sz w:val="22"/>
          <w:szCs w:val="22"/>
          <w:lang w:val="en-GB"/>
        </w:rPr>
        <w:t xml:space="preserve"> </w:t>
      </w:r>
      <w:proofErr w:type="spellStart"/>
      <w:r w:rsidR="00E1326D" w:rsidRPr="00E1326D">
        <w:rPr>
          <w:rFonts w:ascii="Avenir Next" w:hAnsi="Avenir Next" w:cs="Arial"/>
          <w:i/>
          <w:color w:val="7B7B7B" w:themeColor="accent3" w:themeShade="BF"/>
          <w:sz w:val="22"/>
          <w:szCs w:val="22"/>
          <w:lang w:val="en-GB"/>
        </w:rPr>
        <w:t>Interdil</w:t>
      </w:r>
      <w:proofErr w:type="spellEnd"/>
      <w:r w:rsidR="00E1326D" w:rsidRPr="00E1326D">
        <w:rPr>
          <w:rFonts w:ascii="Avenir Next" w:hAnsi="Avenir Next" w:cs="Arial"/>
          <w:i/>
          <w:color w:val="7B7B7B" w:themeColor="accent3" w:themeShade="BF"/>
          <w:sz w:val="22"/>
          <w:szCs w:val="22"/>
          <w:lang w:val="en-GB"/>
        </w:rPr>
        <w:t xml:space="preserve"> </w:t>
      </w:r>
      <w:proofErr w:type="spellStart"/>
      <w:r w:rsidR="00E1326D" w:rsidRPr="00E1326D">
        <w:rPr>
          <w:rFonts w:ascii="Avenir Next" w:hAnsi="Avenir Next" w:cs="Arial"/>
          <w:i/>
          <w:color w:val="7B7B7B" w:themeColor="accent3" w:themeShade="BF"/>
          <w:sz w:val="22"/>
          <w:szCs w:val="22"/>
          <w:lang w:val="en-GB"/>
        </w:rPr>
        <w:t>Srl</w:t>
      </w:r>
      <w:proofErr w:type="spellEnd"/>
      <w:r w:rsidR="00E1326D">
        <w:rPr>
          <w:rFonts w:ascii="Avenir Next" w:hAnsi="Avenir Next" w:cs="Arial"/>
          <w:color w:val="7B7B7B" w:themeColor="accent3" w:themeShade="BF"/>
          <w:sz w:val="22"/>
          <w:szCs w:val="22"/>
          <w:lang w:val="en-GB"/>
        </w:rPr>
        <w:t xml:space="preserve"> case</w:t>
      </w:r>
      <w:r w:rsidR="00E1326D">
        <w:rPr>
          <w:rStyle w:val="FootnoteReference"/>
          <w:rFonts w:ascii="Avenir Next" w:hAnsi="Avenir Next" w:cs="Arial"/>
          <w:color w:val="7B7B7B" w:themeColor="accent3" w:themeShade="BF"/>
          <w:sz w:val="22"/>
          <w:szCs w:val="22"/>
          <w:lang w:val="en-GB"/>
        </w:rPr>
        <w:footnoteReference w:id="15"/>
      </w:r>
      <w:r w:rsidR="00E1326D">
        <w:rPr>
          <w:rFonts w:ascii="Avenir Next" w:hAnsi="Avenir Next" w:cs="Arial"/>
          <w:color w:val="7B7B7B" w:themeColor="accent3" w:themeShade="BF"/>
          <w:sz w:val="22"/>
          <w:szCs w:val="22"/>
          <w:lang w:val="en-GB"/>
        </w:rPr>
        <w:t xml:space="preserve"> where the question before the court was whether the Italian courts had jurisdiction to hear bankruptcy proceedings in respect of a company that was originally registered in Italy relocated to the UK being registered as a foreign company on the UK register of companies. When the </w:t>
      </w:r>
      <w:r w:rsidR="00797CC0">
        <w:rPr>
          <w:rFonts w:ascii="Avenir Next" w:hAnsi="Avenir Next" w:cs="Arial"/>
          <w:color w:val="7B7B7B" w:themeColor="accent3" w:themeShade="BF"/>
          <w:sz w:val="22"/>
          <w:szCs w:val="22"/>
          <w:lang w:val="en-GB"/>
        </w:rPr>
        <w:t>Italian</w:t>
      </w:r>
      <w:r w:rsidR="00E1326D">
        <w:rPr>
          <w:rFonts w:ascii="Avenir Next" w:hAnsi="Avenir Next" w:cs="Arial"/>
          <w:color w:val="7B7B7B" w:themeColor="accent3" w:themeShade="BF"/>
          <w:sz w:val="22"/>
          <w:szCs w:val="22"/>
          <w:lang w:val="en-GB"/>
        </w:rPr>
        <w:t xml:space="preserve"> </w:t>
      </w:r>
      <w:r w:rsidR="00797CC0">
        <w:rPr>
          <w:rFonts w:ascii="Avenir Next" w:hAnsi="Avenir Next" w:cs="Arial"/>
          <w:color w:val="7B7B7B" w:themeColor="accent3" w:themeShade="BF"/>
          <w:sz w:val="22"/>
          <w:szCs w:val="22"/>
          <w:lang w:val="en-GB"/>
        </w:rPr>
        <w:t>bankruptcy</w:t>
      </w:r>
      <w:r w:rsidR="00E1326D">
        <w:rPr>
          <w:rFonts w:ascii="Avenir Next" w:hAnsi="Avenir Next" w:cs="Arial"/>
          <w:color w:val="7B7B7B" w:themeColor="accent3" w:themeShade="BF"/>
          <w:sz w:val="22"/>
          <w:szCs w:val="22"/>
          <w:lang w:val="en-GB"/>
        </w:rPr>
        <w:t xml:space="preserve"> proceedings were instituted</w:t>
      </w:r>
      <w:r w:rsidR="00797CC0">
        <w:rPr>
          <w:rFonts w:ascii="Avenir Next" w:hAnsi="Avenir Next" w:cs="Arial"/>
          <w:color w:val="7B7B7B" w:themeColor="accent3" w:themeShade="BF"/>
          <w:sz w:val="22"/>
          <w:szCs w:val="22"/>
          <w:lang w:val="en-GB"/>
        </w:rPr>
        <w:t xml:space="preserve"> the company had already been liquidated in the UK.</w:t>
      </w:r>
      <w:r w:rsidR="00E1326D">
        <w:rPr>
          <w:rFonts w:ascii="Avenir Next" w:hAnsi="Avenir Next" w:cs="Arial"/>
          <w:color w:val="7B7B7B" w:themeColor="accent3" w:themeShade="BF"/>
          <w:sz w:val="22"/>
          <w:szCs w:val="22"/>
          <w:lang w:val="en-GB"/>
        </w:rPr>
        <w:t xml:space="preserve"> It was argued that </w:t>
      </w:r>
      <w:r w:rsidR="00797CC0">
        <w:rPr>
          <w:rFonts w:ascii="Avenir Next" w:hAnsi="Avenir Next" w:cs="Arial"/>
          <w:color w:val="7B7B7B" w:themeColor="accent3" w:themeShade="BF"/>
          <w:sz w:val="22"/>
          <w:szCs w:val="22"/>
          <w:lang w:val="en-GB"/>
        </w:rPr>
        <w:t xml:space="preserve">only the English courts had jurisdiction, whilst the Italian court found that the Italian courts had jurisdiction, on the basis that the presumption of COMI being established by the registered office of the company could be rebutted. The CJEU cleared up how this </w:t>
      </w:r>
      <w:r w:rsidR="00332E11">
        <w:rPr>
          <w:rFonts w:ascii="Avenir Next" w:hAnsi="Avenir Next" w:cs="Arial"/>
          <w:color w:val="7B7B7B" w:themeColor="accent3" w:themeShade="BF"/>
          <w:sz w:val="22"/>
          <w:szCs w:val="22"/>
          <w:lang w:val="en-GB"/>
        </w:rPr>
        <w:t>presumption</w:t>
      </w:r>
      <w:r w:rsidR="00797CC0">
        <w:rPr>
          <w:rFonts w:ascii="Avenir Next" w:hAnsi="Avenir Next" w:cs="Arial"/>
          <w:color w:val="7B7B7B" w:themeColor="accent3" w:themeShade="BF"/>
          <w:sz w:val="22"/>
          <w:szCs w:val="22"/>
          <w:lang w:val="en-GB"/>
        </w:rPr>
        <w:t xml:space="preserve"> works and how it could be rebutted. It found that the registered office presumption cannot be disputed where </w:t>
      </w:r>
      <w:r w:rsidR="00332E11">
        <w:rPr>
          <w:rFonts w:ascii="Avenir Next" w:hAnsi="Avenir Next" w:cs="Arial"/>
          <w:color w:val="7B7B7B" w:themeColor="accent3" w:themeShade="BF"/>
          <w:sz w:val="22"/>
          <w:szCs w:val="22"/>
          <w:lang w:val="en-GB"/>
        </w:rPr>
        <w:t xml:space="preserve">(i) </w:t>
      </w:r>
      <w:r w:rsidR="00797CC0">
        <w:rPr>
          <w:rFonts w:ascii="Avenir Next" w:hAnsi="Avenir Next" w:cs="Arial"/>
          <w:color w:val="7B7B7B" w:themeColor="accent3" w:themeShade="BF"/>
          <w:sz w:val="22"/>
          <w:szCs w:val="22"/>
          <w:lang w:val="en-GB"/>
        </w:rPr>
        <w:t xml:space="preserve">the </w:t>
      </w:r>
      <w:r w:rsidR="00332E11">
        <w:rPr>
          <w:rFonts w:ascii="Avenir Next" w:hAnsi="Avenir Next" w:cs="Arial"/>
          <w:color w:val="7B7B7B" w:themeColor="accent3" w:themeShade="BF"/>
          <w:sz w:val="22"/>
          <w:szCs w:val="22"/>
          <w:lang w:val="en-GB"/>
        </w:rPr>
        <w:t xml:space="preserve">bodies </w:t>
      </w:r>
      <w:r w:rsidR="00797CC0">
        <w:rPr>
          <w:rFonts w:ascii="Avenir Next" w:hAnsi="Avenir Next" w:cs="Arial"/>
          <w:color w:val="7B7B7B" w:themeColor="accent3" w:themeShade="BF"/>
          <w:sz w:val="22"/>
          <w:szCs w:val="22"/>
          <w:lang w:val="en-GB"/>
        </w:rPr>
        <w:t xml:space="preserve">responsible for the management and supervision of </w:t>
      </w:r>
      <w:r w:rsidR="00332E11">
        <w:rPr>
          <w:rFonts w:ascii="Avenir Next" w:hAnsi="Avenir Next" w:cs="Arial"/>
          <w:color w:val="7B7B7B" w:themeColor="accent3" w:themeShade="BF"/>
          <w:sz w:val="22"/>
          <w:szCs w:val="22"/>
          <w:lang w:val="en-GB"/>
        </w:rPr>
        <w:t>t</w:t>
      </w:r>
      <w:r w:rsidR="00797CC0">
        <w:rPr>
          <w:rFonts w:ascii="Avenir Next" w:hAnsi="Avenir Next" w:cs="Arial"/>
          <w:color w:val="7B7B7B" w:themeColor="accent3" w:themeShade="BF"/>
          <w:sz w:val="22"/>
          <w:szCs w:val="22"/>
          <w:lang w:val="en-GB"/>
        </w:rPr>
        <w:t xml:space="preserve">he debtor are in the same </w:t>
      </w:r>
      <w:r w:rsidR="00332E11">
        <w:rPr>
          <w:rFonts w:ascii="Avenir Next" w:hAnsi="Avenir Next" w:cs="Arial"/>
          <w:color w:val="7B7B7B" w:themeColor="accent3" w:themeShade="BF"/>
          <w:sz w:val="22"/>
          <w:szCs w:val="22"/>
          <w:lang w:val="en-GB"/>
        </w:rPr>
        <w:t xml:space="preserve">place as its registered office; and (ii) </w:t>
      </w:r>
      <w:r w:rsidR="00797CC0">
        <w:rPr>
          <w:rFonts w:ascii="Avenir Next" w:hAnsi="Avenir Next" w:cs="Arial"/>
          <w:color w:val="7B7B7B" w:themeColor="accent3" w:themeShade="BF"/>
          <w:sz w:val="22"/>
          <w:szCs w:val="22"/>
          <w:lang w:val="en-GB"/>
        </w:rPr>
        <w:t xml:space="preserve">the management decisions of the company are taken </w:t>
      </w:r>
      <w:r w:rsidR="00332E11">
        <w:rPr>
          <w:rFonts w:ascii="Avenir Next" w:hAnsi="Avenir Next" w:cs="Arial"/>
          <w:color w:val="7B7B7B" w:themeColor="accent3" w:themeShade="BF"/>
          <w:sz w:val="22"/>
          <w:szCs w:val="22"/>
          <w:lang w:val="en-GB"/>
        </w:rPr>
        <w:t>at the registered office</w:t>
      </w:r>
      <w:r w:rsidR="00797CC0">
        <w:rPr>
          <w:rFonts w:ascii="Avenir Next" w:hAnsi="Avenir Next" w:cs="Arial"/>
          <w:color w:val="7B7B7B" w:themeColor="accent3" w:themeShade="BF"/>
          <w:sz w:val="22"/>
          <w:szCs w:val="22"/>
          <w:lang w:val="en-GB"/>
        </w:rPr>
        <w:t xml:space="preserve"> in a manner that is ascertainable by third </w:t>
      </w:r>
      <w:r w:rsidR="00332E11">
        <w:rPr>
          <w:rFonts w:ascii="Avenir Next" w:hAnsi="Avenir Next" w:cs="Arial"/>
          <w:color w:val="7B7B7B" w:themeColor="accent3" w:themeShade="BF"/>
          <w:sz w:val="22"/>
          <w:szCs w:val="22"/>
          <w:lang w:val="en-GB"/>
        </w:rPr>
        <w:t xml:space="preserve">parties. </w:t>
      </w:r>
      <w:r w:rsidR="00E1326D">
        <w:rPr>
          <w:rFonts w:ascii="Avenir Next" w:hAnsi="Avenir Next" w:cs="Arial"/>
          <w:color w:val="7B7B7B" w:themeColor="accent3" w:themeShade="BF"/>
          <w:sz w:val="22"/>
          <w:szCs w:val="22"/>
          <w:lang w:val="en-GB"/>
        </w:rPr>
        <w:t xml:space="preserve"> </w:t>
      </w:r>
      <w:r w:rsidR="00054BEF" w:rsidRPr="002E1E8A">
        <w:rPr>
          <w:rFonts w:ascii="Avenir Next" w:hAnsi="Avenir Next" w:cs="Arial"/>
          <w:color w:val="7B7B7B" w:themeColor="accent3" w:themeShade="BF"/>
          <w:sz w:val="22"/>
          <w:szCs w:val="22"/>
          <w:lang w:val="en-GB"/>
        </w:rPr>
        <w:t>Bella's registered office is in Stra</w:t>
      </w:r>
      <w:r w:rsidR="002E1E8A" w:rsidRPr="002E1E8A">
        <w:rPr>
          <w:rFonts w:ascii="Avenir Next" w:hAnsi="Avenir Next" w:cs="Arial"/>
          <w:color w:val="7B7B7B" w:themeColor="accent3" w:themeShade="BF"/>
          <w:sz w:val="22"/>
          <w:szCs w:val="22"/>
          <w:lang w:val="en-GB"/>
        </w:rPr>
        <w:t>s</w:t>
      </w:r>
      <w:r w:rsidR="00054BEF" w:rsidRPr="002E1E8A">
        <w:rPr>
          <w:rFonts w:ascii="Avenir Next" w:hAnsi="Avenir Next" w:cs="Arial"/>
          <w:color w:val="7B7B7B" w:themeColor="accent3" w:themeShade="BF"/>
          <w:sz w:val="22"/>
          <w:szCs w:val="22"/>
          <w:lang w:val="en-GB"/>
        </w:rPr>
        <w:t>bourg, France, Bella, operates across various Member States with its warehouses and customers in these Member States.</w:t>
      </w:r>
      <w:r w:rsidR="00054BEF">
        <w:rPr>
          <w:rFonts w:ascii="Avenir Next" w:hAnsi="Avenir Next" w:cs="Arial"/>
          <w:color w:val="7B7B7B" w:themeColor="accent3" w:themeShade="BF"/>
          <w:sz w:val="22"/>
          <w:szCs w:val="22"/>
          <w:lang w:val="en-GB"/>
        </w:rPr>
        <w:t xml:space="preserve"> </w:t>
      </w:r>
      <w:r w:rsidR="00EE5E63">
        <w:rPr>
          <w:rFonts w:ascii="Avenir Next" w:hAnsi="Avenir Next" w:cs="Arial"/>
          <w:color w:val="7B7B7B" w:themeColor="accent3" w:themeShade="BF"/>
          <w:sz w:val="22"/>
          <w:szCs w:val="22"/>
          <w:lang w:val="en-GB"/>
        </w:rPr>
        <w:t>Applying the a</w:t>
      </w:r>
      <w:r w:rsidR="00E1326D">
        <w:rPr>
          <w:rFonts w:ascii="Avenir Next" w:hAnsi="Avenir Next" w:cs="Arial"/>
          <w:color w:val="7B7B7B" w:themeColor="accent3" w:themeShade="BF"/>
          <w:sz w:val="22"/>
          <w:szCs w:val="22"/>
          <w:lang w:val="en-GB"/>
        </w:rPr>
        <w:t>bove to the facts of the Bella matter,</w:t>
      </w:r>
      <w:r w:rsidR="00332E11">
        <w:rPr>
          <w:rFonts w:ascii="Avenir Next" w:hAnsi="Avenir Next" w:cs="Arial"/>
          <w:color w:val="7B7B7B" w:themeColor="accent3" w:themeShade="BF"/>
          <w:sz w:val="22"/>
          <w:szCs w:val="22"/>
          <w:lang w:val="en-GB"/>
        </w:rPr>
        <w:t xml:space="preserve"> the registered office of Bella is in France </w:t>
      </w:r>
      <w:r w:rsidR="00054BEF">
        <w:rPr>
          <w:rFonts w:ascii="Avenir Next" w:hAnsi="Avenir Next" w:cs="Arial"/>
          <w:color w:val="7B7B7B" w:themeColor="accent3" w:themeShade="BF"/>
          <w:sz w:val="22"/>
          <w:szCs w:val="22"/>
          <w:lang w:val="en-GB"/>
        </w:rPr>
        <w:t>and accordingly</w:t>
      </w:r>
      <w:r w:rsidR="00332E11">
        <w:rPr>
          <w:rFonts w:ascii="Avenir Next" w:hAnsi="Avenir Next" w:cs="Arial"/>
          <w:color w:val="7B7B7B" w:themeColor="accent3" w:themeShade="BF"/>
          <w:sz w:val="22"/>
          <w:szCs w:val="22"/>
          <w:lang w:val="en-GB"/>
        </w:rPr>
        <w:t xml:space="preserve"> </w:t>
      </w:r>
      <w:r w:rsidR="00054BEF">
        <w:rPr>
          <w:rFonts w:ascii="Avenir Next" w:hAnsi="Avenir Next" w:cs="Arial"/>
          <w:color w:val="7B7B7B" w:themeColor="accent3" w:themeShade="BF"/>
          <w:sz w:val="22"/>
          <w:szCs w:val="22"/>
          <w:lang w:val="en-GB"/>
        </w:rPr>
        <w:t xml:space="preserve">it </w:t>
      </w:r>
      <w:r w:rsidR="00332E11">
        <w:rPr>
          <w:rFonts w:ascii="Avenir Next" w:hAnsi="Avenir Next" w:cs="Arial"/>
          <w:color w:val="7B7B7B" w:themeColor="accent3" w:themeShade="BF"/>
          <w:sz w:val="22"/>
          <w:szCs w:val="22"/>
          <w:lang w:val="en-GB"/>
        </w:rPr>
        <w:t xml:space="preserve">can be presumed that Bella's COMI is in Strasbourg, France and that the Strasbourg court does have jurisdiction to hear the main insolvency proceedings. However, </w:t>
      </w:r>
      <w:r w:rsidR="00054BEF">
        <w:rPr>
          <w:rFonts w:ascii="Avenir Next" w:hAnsi="Avenir Next" w:cs="Arial"/>
          <w:color w:val="7B7B7B" w:themeColor="accent3" w:themeShade="BF"/>
          <w:sz w:val="22"/>
          <w:szCs w:val="22"/>
          <w:lang w:val="en-GB"/>
        </w:rPr>
        <w:t>Bella operates warehouses across the EU with its main warehouse in Ireland, and over the course of 2011, Bella undertook certain of its administration activities in Spain (obtaining loan agreements in Spain, opening bank account in Spain and negotiating and agreeing supply terms (even if unbinding) in Spain. It can therefore be argued that p</w:t>
      </w:r>
      <w:r w:rsidR="00CC5F05">
        <w:rPr>
          <w:rFonts w:ascii="Avenir Next" w:hAnsi="Avenir Next" w:cs="Arial"/>
          <w:color w:val="7B7B7B" w:themeColor="accent3" w:themeShade="BF"/>
          <w:sz w:val="22"/>
          <w:szCs w:val="22"/>
          <w:lang w:val="en-GB"/>
        </w:rPr>
        <w:t xml:space="preserve">erhaps by undertaking these activities in Spain, </w:t>
      </w:r>
      <w:r w:rsidR="00054BEF">
        <w:rPr>
          <w:rFonts w:ascii="Avenir Next" w:hAnsi="Avenir Next" w:cs="Arial"/>
          <w:color w:val="7B7B7B" w:themeColor="accent3" w:themeShade="BF"/>
          <w:sz w:val="22"/>
          <w:szCs w:val="22"/>
          <w:lang w:val="en-GB"/>
        </w:rPr>
        <w:t>Bella</w:t>
      </w:r>
      <w:r w:rsidR="00CC5F05">
        <w:rPr>
          <w:rFonts w:ascii="Avenir Next" w:hAnsi="Avenir Next" w:cs="Arial"/>
          <w:color w:val="7B7B7B" w:themeColor="accent3" w:themeShade="BF"/>
          <w:sz w:val="22"/>
          <w:szCs w:val="22"/>
          <w:lang w:val="en-GB"/>
        </w:rPr>
        <w:t xml:space="preserve"> </w:t>
      </w:r>
      <w:r w:rsidR="00CC5F05">
        <w:rPr>
          <w:rFonts w:ascii="Avenir Next" w:hAnsi="Avenir Next" w:cs="Arial"/>
          <w:color w:val="7B7B7B" w:themeColor="accent3" w:themeShade="BF"/>
          <w:sz w:val="22"/>
          <w:szCs w:val="22"/>
          <w:lang w:val="en-GB"/>
        </w:rPr>
        <w:lastRenderedPageBreak/>
        <w:t xml:space="preserve">administers its interests in Spain within the guidance of Recital 13 for determining COMI. It is not clear from the set of facts whether the second part of the guidance of Recital 13 can be said to be met i.e. that these activities in Spain are conducted on a regular basis and are ascertainable by third parties. Looking to the </w:t>
      </w:r>
      <w:proofErr w:type="spellStart"/>
      <w:r w:rsidR="00CC5F05">
        <w:rPr>
          <w:rFonts w:ascii="Avenir Next" w:hAnsi="Avenir Next" w:cs="Arial"/>
          <w:color w:val="7B7B7B" w:themeColor="accent3" w:themeShade="BF"/>
          <w:sz w:val="22"/>
          <w:szCs w:val="22"/>
          <w:lang w:val="en-GB"/>
        </w:rPr>
        <w:t>Inter</w:t>
      </w:r>
      <w:r w:rsidR="00D4760F">
        <w:rPr>
          <w:rFonts w:ascii="Avenir Next" w:hAnsi="Avenir Next" w:cs="Arial"/>
          <w:color w:val="7B7B7B" w:themeColor="accent3" w:themeShade="BF"/>
          <w:sz w:val="22"/>
          <w:szCs w:val="22"/>
          <w:lang w:val="en-GB"/>
        </w:rPr>
        <w:t>e</w:t>
      </w:r>
      <w:r w:rsidR="00CC5F05">
        <w:rPr>
          <w:rFonts w:ascii="Avenir Next" w:hAnsi="Avenir Next" w:cs="Arial"/>
          <w:color w:val="7B7B7B" w:themeColor="accent3" w:themeShade="BF"/>
          <w:sz w:val="22"/>
          <w:szCs w:val="22"/>
          <w:lang w:val="en-GB"/>
        </w:rPr>
        <w:t>dil</w:t>
      </w:r>
      <w:proofErr w:type="spellEnd"/>
      <w:r w:rsidR="00CC5F05">
        <w:rPr>
          <w:rFonts w:ascii="Avenir Next" w:hAnsi="Avenir Next" w:cs="Arial"/>
          <w:color w:val="7B7B7B" w:themeColor="accent3" w:themeShade="BF"/>
          <w:sz w:val="22"/>
          <w:szCs w:val="22"/>
          <w:lang w:val="en-GB"/>
        </w:rPr>
        <w:t xml:space="preserve"> case for guidance, it is also unclear from the set of facts in Bella's case where the bodies responsible management and supervision of Bella sit and again whether it is ascertainable by third parties that the </w:t>
      </w:r>
      <w:r w:rsidR="00CC5F05" w:rsidRPr="00CC5F05">
        <w:rPr>
          <w:rFonts w:ascii="Avenir Next" w:hAnsi="Avenir Next" w:cs="Arial"/>
          <w:color w:val="7B7B7B" w:themeColor="accent3" w:themeShade="BF"/>
          <w:sz w:val="22"/>
          <w:szCs w:val="22"/>
          <w:lang w:val="en-GB"/>
        </w:rPr>
        <w:t>management decisions of the company are taken at the registered office.</w:t>
      </w:r>
      <w:r w:rsidR="00CC5F05">
        <w:rPr>
          <w:rFonts w:ascii="Avenir Next" w:hAnsi="Avenir Next" w:cs="Arial"/>
          <w:color w:val="7B7B7B" w:themeColor="accent3" w:themeShade="BF"/>
          <w:sz w:val="22"/>
          <w:szCs w:val="22"/>
          <w:lang w:val="en-GB"/>
        </w:rPr>
        <w:t xml:space="preserve"> </w:t>
      </w:r>
      <w:r w:rsidR="002E1E8A">
        <w:rPr>
          <w:rFonts w:ascii="Avenir Next" w:hAnsi="Avenir Next" w:cs="Arial"/>
          <w:color w:val="7B7B7B" w:themeColor="accent3" w:themeShade="BF"/>
          <w:sz w:val="22"/>
          <w:szCs w:val="22"/>
          <w:lang w:val="en-GB"/>
        </w:rPr>
        <w:t xml:space="preserve">If it can be shown using the objective test that the management and supervision of Bella takes place at its France registered office, there will be a strong case that it is indeed the Strasbourg court that has jurisdiction to hear the main insolvency proceedings. In other words the registered office presumption will then prevail and it will meet the tests set out in the </w:t>
      </w:r>
      <w:proofErr w:type="spellStart"/>
      <w:r w:rsidR="002E1E8A">
        <w:rPr>
          <w:rFonts w:ascii="Avenir Next" w:hAnsi="Avenir Next" w:cs="Arial"/>
          <w:color w:val="7B7B7B" w:themeColor="accent3" w:themeShade="BF"/>
          <w:sz w:val="22"/>
          <w:szCs w:val="22"/>
          <w:lang w:val="en-GB"/>
        </w:rPr>
        <w:t>Inter</w:t>
      </w:r>
      <w:r w:rsidR="00D4760F">
        <w:rPr>
          <w:rFonts w:ascii="Avenir Next" w:hAnsi="Avenir Next" w:cs="Arial"/>
          <w:color w:val="7B7B7B" w:themeColor="accent3" w:themeShade="BF"/>
          <w:sz w:val="22"/>
          <w:szCs w:val="22"/>
          <w:lang w:val="en-GB"/>
        </w:rPr>
        <w:t>e</w:t>
      </w:r>
      <w:r w:rsidR="002E1E8A">
        <w:rPr>
          <w:rFonts w:ascii="Avenir Next" w:hAnsi="Avenir Next" w:cs="Arial"/>
          <w:color w:val="7B7B7B" w:themeColor="accent3" w:themeShade="BF"/>
          <w:sz w:val="22"/>
          <w:szCs w:val="22"/>
          <w:lang w:val="en-GB"/>
        </w:rPr>
        <w:t>dil</w:t>
      </w:r>
      <w:proofErr w:type="spellEnd"/>
      <w:r w:rsidR="002E1E8A">
        <w:rPr>
          <w:rFonts w:ascii="Avenir Next" w:hAnsi="Avenir Next" w:cs="Arial"/>
          <w:color w:val="7B7B7B" w:themeColor="accent3" w:themeShade="BF"/>
          <w:sz w:val="22"/>
          <w:szCs w:val="22"/>
          <w:lang w:val="en-GB"/>
        </w:rPr>
        <w:t xml:space="preserve"> case.  If however, it can be shown that the activities mentioned above carried out in Spain constitute the management and supervision of Bella in Spain and that this is ascertainable by third parties, then it will be possible to rebut the registered office presumption as set out in the </w:t>
      </w:r>
      <w:proofErr w:type="spellStart"/>
      <w:r w:rsidR="002E1E8A">
        <w:rPr>
          <w:rFonts w:ascii="Avenir Next" w:hAnsi="Avenir Next" w:cs="Arial"/>
          <w:color w:val="7B7B7B" w:themeColor="accent3" w:themeShade="BF"/>
          <w:sz w:val="22"/>
          <w:szCs w:val="22"/>
          <w:lang w:val="en-GB"/>
        </w:rPr>
        <w:t>Inter</w:t>
      </w:r>
      <w:r w:rsidR="00D4760F">
        <w:rPr>
          <w:rFonts w:ascii="Avenir Next" w:hAnsi="Avenir Next" w:cs="Arial"/>
          <w:color w:val="7B7B7B" w:themeColor="accent3" w:themeShade="BF"/>
          <w:sz w:val="22"/>
          <w:szCs w:val="22"/>
          <w:lang w:val="en-GB"/>
        </w:rPr>
        <w:t>e</w:t>
      </w:r>
      <w:r w:rsidR="002E1E8A">
        <w:rPr>
          <w:rFonts w:ascii="Avenir Next" w:hAnsi="Avenir Next" w:cs="Arial"/>
          <w:color w:val="7B7B7B" w:themeColor="accent3" w:themeShade="BF"/>
          <w:sz w:val="22"/>
          <w:szCs w:val="22"/>
          <w:lang w:val="en-GB"/>
        </w:rPr>
        <w:t>dil</w:t>
      </w:r>
      <w:proofErr w:type="spellEnd"/>
      <w:r w:rsidR="002E1E8A">
        <w:rPr>
          <w:rFonts w:ascii="Avenir Next" w:hAnsi="Avenir Next" w:cs="Arial"/>
          <w:color w:val="7B7B7B" w:themeColor="accent3" w:themeShade="BF"/>
          <w:sz w:val="22"/>
          <w:szCs w:val="22"/>
          <w:lang w:val="en-GB"/>
        </w:rPr>
        <w:t xml:space="preserve"> case. </w:t>
      </w:r>
      <w:r w:rsidR="00ED70E9">
        <w:rPr>
          <w:rFonts w:ascii="Avenir Next" w:hAnsi="Avenir Next" w:cs="Arial"/>
          <w:color w:val="7B7B7B" w:themeColor="accent3" w:themeShade="BF"/>
          <w:sz w:val="22"/>
          <w:szCs w:val="22"/>
          <w:lang w:val="en-GB"/>
        </w:rPr>
        <w:t xml:space="preserve">The court in the </w:t>
      </w:r>
      <w:proofErr w:type="spellStart"/>
      <w:r w:rsidR="00ED70E9">
        <w:rPr>
          <w:rFonts w:ascii="Avenir Next" w:hAnsi="Avenir Next" w:cs="Arial"/>
          <w:color w:val="7B7B7B" w:themeColor="accent3" w:themeShade="BF"/>
          <w:sz w:val="22"/>
          <w:szCs w:val="22"/>
          <w:lang w:val="en-GB"/>
        </w:rPr>
        <w:t>Inter</w:t>
      </w:r>
      <w:r w:rsidR="00D4760F">
        <w:rPr>
          <w:rFonts w:ascii="Avenir Next" w:hAnsi="Avenir Next" w:cs="Arial"/>
          <w:color w:val="7B7B7B" w:themeColor="accent3" w:themeShade="BF"/>
          <w:sz w:val="22"/>
          <w:szCs w:val="22"/>
          <w:lang w:val="en-GB"/>
        </w:rPr>
        <w:t>e</w:t>
      </w:r>
      <w:r w:rsidR="00ED70E9">
        <w:rPr>
          <w:rFonts w:ascii="Avenir Next" w:hAnsi="Avenir Next" w:cs="Arial"/>
          <w:color w:val="7B7B7B" w:themeColor="accent3" w:themeShade="BF"/>
          <w:sz w:val="22"/>
          <w:szCs w:val="22"/>
          <w:lang w:val="en-GB"/>
        </w:rPr>
        <w:t>dil</w:t>
      </w:r>
      <w:proofErr w:type="spellEnd"/>
      <w:r w:rsidR="00ED70E9">
        <w:rPr>
          <w:rFonts w:ascii="Avenir Next" w:hAnsi="Avenir Next" w:cs="Arial"/>
          <w:color w:val="7B7B7B" w:themeColor="accent3" w:themeShade="BF"/>
          <w:sz w:val="22"/>
          <w:szCs w:val="22"/>
          <w:lang w:val="en-GB"/>
        </w:rPr>
        <w:t xml:space="preserve"> case did however </w:t>
      </w:r>
      <w:r w:rsidR="00D4760F">
        <w:rPr>
          <w:rFonts w:ascii="Avenir Next" w:hAnsi="Avenir Next" w:cs="Arial"/>
          <w:color w:val="7B7B7B" w:themeColor="accent3" w:themeShade="BF"/>
          <w:sz w:val="22"/>
          <w:szCs w:val="22"/>
          <w:lang w:val="en-GB"/>
        </w:rPr>
        <w:t>point out that the mere presence of some assets including bank accounts would not be sufficient to rebut the registered office presumption.</w:t>
      </w:r>
      <w:r w:rsidR="00D4760F">
        <w:rPr>
          <w:rStyle w:val="FootnoteReference"/>
          <w:rFonts w:ascii="Avenir Next" w:hAnsi="Avenir Next" w:cs="Arial"/>
          <w:color w:val="7B7B7B" w:themeColor="accent3" w:themeShade="BF"/>
          <w:sz w:val="22"/>
          <w:szCs w:val="22"/>
          <w:lang w:val="en-GB"/>
        </w:rPr>
        <w:footnoteReference w:id="16"/>
      </w:r>
      <w:r w:rsidR="00D4760F">
        <w:rPr>
          <w:rFonts w:ascii="Avenir Next" w:hAnsi="Avenir Next" w:cs="Arial"/>
          <w:color w:val="7B7B7B" w:themeColor="accent3" w:themeShade="BF"/>
          <w:sz w:val="22"/>
          <w:szCs w:val="22"/>
          <w:lang w:val="en-GB"/>
        </w:rPr>
        <w:t xml:space="preserve"> Based on the above and the information in Bella's matter, I am of the view that the registered office presumption would apply as the factors for its rebuttal are weak, and the French court would have jurisdiction under the EIR 2000. </w:t>
      </w:r>
    </w:p>
    <w:p w14:paraId="5DF31F88" w14:textId="77777777" w:rsidR="00054BEF" w:rsidRDefault="00054BEF" w:rsidP="002A37BB">
      <w:pPr>
        <w:jc w:val="both"/>
        <w:rPr>
          <w:rFonts w:ascii="Avenir Next" w:hAnsi="Avenir Next" w:cs="Arial"/>
          <w:color w:val="7B7B7B" w:themeColor="accent3" w:themeShade="BF"/>
          <w:sz w:val="22"/>
          <w:szCs w:val="22"/>
          <w:lang w:val="en-GB"/>
        </w:rPr>
      </w:pP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21F45A70" w14:textId="0565D440" w:rsidR="00D40ADE" w:rsidRDefault="00D40ADE" w:rsidP="00122A2E">
      <w:pPr>
        <w:autoSpaceDE w:val="0"/>
        <w:autoSpaceDN w:val="0"/>
        <w:adjustRightInd w:val="0"/>
        <w:jc w:val="both"/>
        <w:rPr>
          <w:rFonts w:ascii="Avenir Next" w:hAnsi="Avenir Next" w:cs="Arial"/>
          <w:color w:val="7B7B7B" w:themeColor="accent3" w:themeShade="BF"/>
          <w:sz w:val="22"/>
          <w:szCs w:val="22"/>
          <w:lang w:val="en-GB"/>
        </w:rPr>
      </w:pPr>
    </w:p>
    <w:p w14:paraId="0CA7E993" w14:textId="5397FBEC" w:rsidR="00001DE6" w:rsidRDefault="00001DE6" w:rsidP="00122A2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four essential questions to ask oneself in determining whether the EIR Recast will apply to particular proceedings – these are discussed below in the context of the facts of Bella's case. </w:t>
      </w:r>
    </w:p>
    <w:p w14:paraId="5CA83341" w14:textId="77777777" w:rsidR="00001DE6" w:rsidRDefault="00001DE6" w:rsidP="00122A2E">
      <w:pPr>
        <w:autoSpaceDE w:val="0"/>
        <w:autoSpaceDN w:val="0"/>
        <w:adjustRightInd w:val="0"/>
        <w:jc w:val="both"/>
        <w:rPr>
          <w:rFonts w:ascii="Avenir Next" w:hAnsi="Avenir Next" w:cs="Arial"/>
          <w:color w:val="7B7B7B" w:themeColor="accent3" w:themeShade="BF"/>
          <w:sz w:val="22"/>
          <w:szCs w:val="22"/>
          <w:lang w:val="en-GB"/>
        </w:rPr>
      </w:pPr>
    </w:p>
    <w:p w14:paraId="0E531C00" w14:textId="1FCED403" w:rsidR="00B963A0" w:rsidRDefault="00B963A0" w:rsidP="00122A2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w:t>
      </w:r>
      <w:r w:rsidRPr="00B963A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we need to determine whether Bella (as the debtor entity) has its COMI in a Member State. </w:t>
      </w:r>
      <w:r w:rsidR="00B37016" w:rsidRPr="00B37016">
        <w:rPr>
          <w:rFonts w:ascii="Avenir Next" w:hAnsi="Avenir Next" w:cs="Arial"/>
          <w:color w:val="7B7B7B" w:themeColor="accent3" w:themeShade="BF"/>
          <w:sz w:val="22"/>
          <w:szCs w:val="22"/>
          <w:lang w:val="en-GB"/>
        </w:rPr>
        <w:t>Under the EIR Recast, Article 3 provides that the courts of the Member State within which the centre of the debtor's main interests is situated shall have jurisdiction to open insolvency proceedings. The Article goes further and sets out that the COMI shall be the place where the debtor conducts the administration of its interests on a regular basis and which is ascertainable by third parties.</w:t>
      </w:r>
      <w:r w:rsidR="00B37016">
        <w:rPr>
          <w:rFonts w:ascii="Avenir Next" w:hAnsi="Avenir Next" w:cs="Arial"/>
          <w:color w:val="7B7B7B" w:themeColor="accent3" w:themeShade="BF"/>
          <w:sz w:val="22"/>
          <w:szCs w:val="22"/>
          <w:lang w:val="en-GB"/>
        </w:rPr>
        <w:t xml:space="preserve"> For a company, the EIR Recast provides for a rebuttable </w:t>
      </w:r>
      <w:r w:rsidR="00B37016" w:rsidRPr="00B37016">
        <w:rPr>
          <w:rFonts w:ascii="Avenir Next" w:hAnsi="Avenir Next" w:cs="Arial"/>
          <w:color w:val="7B7B7B" w:themeColor="accent3" w:themeShade="BF"/>
          <w:sz w:val="22"/>
          <w:szCs w:val="22"/>
          <w:lang w:val="en-GB"/>
        </w:rPr>
        <w:t xml:space="preserve">presumption </w:t>
      </w:r>
      <w:r w:rsidR="00B37016">
        <w:rPr>
          <w:rFonts w:ascii="Avenir Next" w:hAnsi="Avenir Next" w:cs="Arial"/>
          <w:color w:val="7B7B7B" w:themeColor="accent3" w:themeShade="BF"/>
          <w:sz w:val="22"/>
          <w:szCs w:val="22"/>
          <w:lang w:val="en-GB"/>
        </w:rPr>
        <w:t>that the COMI will be the</w:t>
      </w:r>
      <w:r w:rsidR="00B37016" w:rsidRPr="00B37016">
        <w:rPr>
          <w:rFonts w:ascii="Avenir Next" w:hAnsi="Avenir Next" w:cs="Arial"/>
          <w:color w:val="7B7B7B" w:themeColor="accent3" w:themeShade="BF"/>
          <w:sz w:val="22"/>
          <w:szCs w:val="22"/>
          <w:lang w:val="en-GB"/>
        </w:rPr>
        <w:t xml:space="preserve"> place of its registered office in the absence of proof to the contrary</w:t>
      </w:r>
      <w:r w:rsidR="00B37016">
        <w:rPr>
          <w:rFonts w:ascii="Avenir Next" w:hAnsi="Avenir Next" w:cs="Arial"/>
          <w:color w:val="7B7B7B" w:themeColor="accent3" w:themeShade="BF"/>
          <w:sz w:val="22"/>
          <w:szCs w:val="22"/>
          <w:lang w:val="en-GB"/>
        </w:rPr>
        <w:t xml:space="preserve"> so long</w:t>
      </w:r>
      <w:r w:rsidR="00B37016" w:rsidRPr="00B37016">
        <w:rPr>
          <w:rFonts w:ascii="Avenir Next" w:hAnsi="Avenir Next" w:cs="Arial"/>
          <w:color w:val="7B7B7B" w:themeColor="accent3" w:themeShade="BF"/>
          <w:sz w:val="22"/>
          <w:szCs w:val="22"/>
          <w:lang w:val="en-GB"/>
        </w:rPr>
        <w:t xml:space="preserve"> registered office has not been moved to another Member State within the 3-month period prior to the request for the opening of insolvency proceedings.</w:t>
      </w:r>
      <w:r w:rsidR="00B37016">
        <w:rPr>
          <w:rFonts w:ascii="Avenir Next" w:hAnsi="Avenir Next" w:cs="Arial"/>
          <w:color w:val="7B7B7B" w:themeColor="accent3" w:themeShade="BF"/>
          <w:sz w:val="22"/>
          <w:szCs w:val="22"/>
          <w:lang w:val="en-GB"/>
        </w:rPr>
        <w:t xml:space="preserve"> In Bella's case, its registered office is in France and we can therefore apply the presumption (in the absence of proof to the contrary) that France is where its COMI is situated. France is a Member State and its COMI is accordingly in a Member State. This fulfils the geographical requirement. </w:t>
      </w:r>
    </w:p>
    <w:p w14:paraId="7DA0D968" w14:textId="73D943FF" w:rsidR="00B963A0" w:rsidRDefault="00B963A0" w:rsidP="00122A2E">
      <w:pPr>
        <w:autoSpaceDE w:val="0"/>
        <w:autoSpaceDN w:val="0"/>
        <w:adjustRightInd w:val="0"/>
        <w:jc w:val="both"/>
        <w:rPr>
          <w:rFonts w:ascii="Avenir Next" w:hAnsi="Avenir Next" w:cs="Arial"/>
          <w:color w:val="7B7B7B" w:themeColor="accent3" w:themeShade="BF"/>
          <w:sz w:val="22"/>
          <w:szCs w:val="22"/>
          <w:lang w:val="en-GB"/>
        </w:rPr>
      </w:pPr>
    </w:p>
    <w:p w14:paraId="71097427" w14:textId="45573A48" w:rsidR="00B37016" w:rsidRDefault="00B963A0" w:rsidP="00122A2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w:t>
      </w:r>
      <w:r w:rsidR="00001DE6">
        <w:rPr>
          <w:rFonts w:ascii="Avenir Next" w:hAnsi="Avenir Next" w:cs="Arial"/>
          <w:color w:val="7B7B7B" w:themeColor="accent3" w:themeShade="BF"/>
          <w:sz w:val="22"/>
          <w:szCs w:val="22"/>
          <w:lang w:val="en-GB"/>
        </w:rPr>
        <w:t>we need to determine whether the matter involves an excluded</w:t>
      </w:r>
      <w:r w:rsidR="00F17C87">
        <w:rPr>
          <w:rFonts w:ascii="Avenir Next" w:hAnsi="Avenir Next" w:cs="Arial"/>
          <w:color w:val="7B7B7B" w:themeColor="accent3" w:themeShade="BF"/>
          <w:sz w:val="22"/>
          <w:szCs w:val="22"/>
          <w:lang w:val="en-GB"/>
        </w:rPr>
        <w:t xml:space="preserve"> entity under the scope of the EIR Recast (</w:t>
      </w:r>
      <w:proofErr w:type="spellStart"/>
      <w:r w:rsidR="00F17C87">
        <w:rPr>
          <w:rFonts w:ascii="Avenir Next" w:hAnsi="Avenir Next" w:cs="Arial"/>
          <w:color w:val="7B7B7B" w:themeColor="accent3" w:themeShade="BF"/>
          <w:sz w:val="22"/>
          <w:szCs w:val="22"/>
          <w:lang w:val="en-GB"/>
        </w:rPr>
        <w:t>ie</w:t>
      </w:r>
      <w:proofErr w:type="spellEnd"/>
      <w:r w:rsidR="00F17C87">
        <w:rPr>
          <w:rFonts w:ascii="Avenir Next" w:hAnsi="Avenir Next" w:cs="Arial"/>
          <w:color w:val="7B7B7B" w:themeColor="accent3" w:themeShade="BF"/>
          <w:sz w:val="22"/>
          <w:szCs w:val="22"/>
          <w:lang w:val="en-GB"/>
        </w:rPr>
        <w:t xml:space="preserve"> the personal scope). Article 1(2) of the EIR Recast provides that the ERI Recast does not apply to insolvency proceedings that concern (i) insurance undertakings; (ii) credit institutions; (iii) </w:t>
      </w:r>
      <w:r w:rsidR="00F17C87" w:rsidRPr="00F17C87">
        <w:rPr>
          <w:rFonts w:ascii="Avenir Next" w:hAnsi="Avenir Next" w:cs="Arial"/>
          <w:color w:val="7B7B7B" w:themeColor="accent3" w:themeShade="BF"/>
          <w:sz w:val="22"/>
          <w:szCs w:val="22"/>
          <w:lang w:val="en-GB"/>
        </w:rPr>
        <w:t>investment firms and other firms, institutions and undertakings to the extent that they are covered by Directive 2001/24/EC;</w:t>
      </w:r>
      <w:r w:rsidR="00F17C87">
        <w:rPr>
          <w:rFonts w:ascii="Avenir Next" w:hAnsi="Avenir Next" w:cs="Arial"/>
          <w:color w:val="7B7B7B" w:themeColor="accent3" w:themeShade="BF"/>
          <w:sz w:val="22"/>
          <w:szCs w:val="22"/>
          <w:lang w:val="en-GB"/>
        </w:rPr>
        <w:t xml:space="preserve"> and (iv) </w:t>
      </w:r>
      <w:r w:rsidR="00F17C87" w:rsidRPr="00F17C87">
        <w:rPr>
          <w:rFonts w:ascii="Avenir Next" w:hAnsi="Avenir Next" w:cs="Arial"/>
          <w:color w:val="7B7B7B" w:themeColor="accent3" w:themeShade="BF"/>
          <w:sz w:val="22"/>
          <w:szCs w:val="22"/>
          <w:lang w:val="en-GB"/>
        </w:rPr>
        <w:t>collective investment undertakings</w:t>
      </w:r>
      <w:r w:rsidR="00F17C87">
        <w:rPr>
          <w:rFonts w:ascii="Avenir Next" w:hAnsi="Avenir Next" w:cs="Arial"/>
          <w:color w:val="7B7B7B" w:themeColor="accent3" w:themeShade="BF"/>
          <w:sz w:val="22"/>
          <w:szCs w:val="22"/>
          <w:lang w:val="en-GB"/>
        </w:rPr>
        <w:t xml:space="preserve">. None of these are </w:t>
      </w:r>
      <w:r w:rsidR="00F17C87">
        <w:rPr>
          <w:rFonts w:ascii="Avenir Next" w:hAnsi="Avenir Next" w:cs="Arial"/>
          <w:color w:val="7B7B7B" w:themeColor="accent3" w:themeShade="BF"/>
          <w:sz w:val="22"/>
          <w:szCs w:val="22"/>
          <w:lang w:val="en-GB"/>
        </w:rPr>
        <w:lastRenderedPageBreak/>
        <w:t>applicable to Bella. Bella is a</w:t>
      </w:r>
      <w:r w:rsidR="00F17C87" w:rsidRPr="00F17C87">
        <w:rPr>
          <w:rFonts w:ascii="Avenir Next" w:hAnsi="Avenir Next" w:cs="Arial"/>
          <w:color w:val="7B7B7B" w:themeColor="accent3" w:themeShade="BF"/>
          <w:sz w:val="22"/>
          <w:szCs w:val="22"/>
          <w:lang w:val="en-GB"/>
        </w:rPr>
        <w:t xml:space="preserve"> French-registered company selling cosmetic products</w:t>
      </w:r>
      <w:r w:rsidR="00F17C87">
        <w:rPr>
          <w:rFonts w:ascii="Avenir Next" w:hAnsi="Avenir Next" w:cs="Arial"/>
          <w:color w:val="7B7B7B" w:themeColor="accent3" w:themeShade="BF"/>
          <w:sz w:val="22"/>
          <w:szCs w:val="22"/>
          <w:lang w:val="en-GB"/>
        </w:rPr>
        <w:t xml:space="preserve"> and therefore not excluded on the basis of personal scope. </w:t>
      </w:r>
    </w:p>
    <w:p w14:paraId="67C7771C" w14:textId="77777777" w:rsidR="00B963A0" w:rsidRDefault="00B963A0" w:rsidP="00122A2E">
      <w:pPr>
        <w:autoSpaceDE w:val="0"/>
        <w:autoSpaceDN w:val="0"/>
        <w:adjustRightInd w:val="0"/>
        <w:jc w:val="both"/>
        <w:rPr>
          <w:rFonts w:ascii="Avenir Next" w:hAnsi="Avenir Next" w:cs="Arial"/>
          <w:color w:val="7B7B7B" w:themeColor="accent3" w:themeShade="BF"/>
          <w:sz w:val="22"/>
          <w:szCs w:val="22"/>
          <w:lang w:val="en-GB"/>
        </w:rPr>
      </w:pPr>
    </w:p>
    <w:p w14:paraId="0BE8C053" w14:textId="1D3A6046" w:rsidR="00122A2E" w:rsidRPr="00122A2E" w:rsidRDefault="00001DE6" w:rsidP="00122A2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Thirdly</w:t>
      </w:r>
      <w:r w:rsidR="00B37016">
        <w:rPr>
          <w:rFonts w:ascii="Avenir Next" w:hAnsi="Avenir Next" w:cs="Arial"/>
          <w:color w:val="7B7B7B" w:themeColor="accent3" w:themeShade="BF"/>
          <w:sz w:val="22"/>
          <w:szCs w:val="22"/>
          <w:lang w:val="en-GB"/>
        </w:rPr>
        <w:t>, it needs to be ascertained whether the type of proceedings being opened falls within the ambit of the EIR Recast (</w:t>
      </w:r>
      <w:proofErr w:type="spellStart"/>
      <w:r w:rsidR="00B37016">
        <w:rPr>
          <w:rFonts w:ascii="Avenir Next" w:hAnsi="Avenir Next" w:cs="Arial"/>
          <w:color w:val="7B7B7B" w:themeColor="accent3" w:themeShade="BF"/>
          <w:sz w:val="22"/>
          <w:szCs w:val="22"/>
          <w:lang w:val="en-GB"/>
        </w:rPr>
        <w:t>ie</w:t>
      </w:r>
      <w:proofErr w:type="spellEnd"/>
      <w:r w:rsidR="00B37016">
        <w:rPr>
          <w:rFonts w:ascii="Avenir Next" w:hAnsi="Avenir Next" w:cs="Arial"/>
          <w:color w:val="7B7B7B" w:themeColor="accent3" w:themeShade="BF"/>
          <w:sz w:val="22"/>
          <w:szCs w:val="22"/>
          <w:lang w:val="en-GB"/>
        </w:rPr>
        <w:t xml:space="preserve"> the material scope). </w:t>
      </w:r>
      <w:r w:rsidR="00122A2E">
        <w:rPr>
          <w:rFonts w:ascii="Avenir Next" w:hAnsi="Avenir Next" w:cs="Arial"/>
          <w:color w:val="7B7B7B" w:themeColor="accent3" w:themeShade="BF"/>
          <w:sz w:val="22"/>
          <w:szCs w:val="22"/>
          <w:lang w:val="en-GB"/>
        </w:rPr>
        <w:t>According to Article 1, the EIR Recast applies to</w:t>
      </w:r>
      <w:r w:rsidR="00122A2E" w:rsidRPr="00122A2E">
        <w:rPr>
          <w:rFonts w:ascii="Avenir Next" w:hAnsi="Avenir Next" w:cs="Arial"/>
          <w:color w:val="7B7B7B" w:themeColor="accent3" w:themeShade="BF"/>
          <w:sz w:val="22"/>
          <w:szCs w:val="22"/>
          <w:lang w:val="en-GB"/>
        </w:rPr>
        <w:t xml:space="preserve"> public collective proceedings, including interim proceedings, which are based on laws relating to insolvency and in which, for the purpose of rescue, adjustment of debt, reorganisation or liquidation:</w:t>
      </w:r>
    </w:p>
    <w:p w14:paraId="7B26E3E3" w14:textId="77777777" w:rsidR="00122A2E" w:rsidRPr="00122A2E" w:rsidRDefault="00122A2E" w:rsidP="00122A2E">
      <w:pPr>
        <w:autoSpaceDE w:val="0"/>
        <w:autoSpaceDN w:val="0"/>
        <w:adjustRightInd w:val="0"/>
        <w:ind w:left="720"/>
        <w:jc w:val="both"/>
        <w:rPr>
          <w:rFonts w:ascii="Avenir Next" w:hAnsi="Avenir Next" w:cs="Arial"/>
          <w:color w:val="7B7B7B" w:themeColor="accent3" w:themeShade="BF"/>
          <w:sz w:val="22"/>
          <w:szCs w:val="22"/>
          <w:lang w:val="en-GB"/>
        </w:rPr>
      </w:pPr>
      <w:r w:rsidRPr="00122A2E">
        <w:rPr>
          <w:rFonts w:ascii="Avenir Next" w:hAnsi="Avenir Next" w:cs="Arial"/>
          <w:color w:val="7B7B7B" w:themeColor="accent3" w:themeShade="BF"/>
          <w:sz w:val="22"/>
          <w:szCs w:val="22"/>
          <w:lang w:val="en-GB"/>
        </w:rPr>
        <w:t>(a) a debtor is totally or partially divested of its assets and an insolvency practitioner is appointed;</w:t>
      </w:r>
    </w:p>
    <w:p w14:paraId="1E0178B6" w14:textId="77777777" w:rsidR="00122A2E" w:rsidRPr="00122A2E" w:rsidRDefault="00122A2E" w:rsidP="00122A2E">
      <w:pPr>
        <w:autoSpaceDE w:val="0"/>
        <w:autoSpaceDN w:val="0"/>
        <w:adjustRightInd w:val="0"/>
        <w:ind w:left="720"/>
        <w:jc w:val="both"/>
        <w:rPr>
          <w:rFonts w:ascii="Avenir Next" w:hAnsi="Avenir Next" w:cs="Arial"/>
          <w:color w:val="7B7B7B" w:themeColor="accent3" w:themeShade="BF"/>
          <w:sz w:val="22"/>
          <w:szCs w:val="22"/>
          <w:lang w:val="en-GB"/>
        </w:rPr>
      </w:pPr>
      <w:r w:rsidRPr="00122A2E">
        <w:rPr>
          <w:rFonts w:ascii="Avenir Next" w:hAnsi="Avenir Next" w:cs="Arial"/>
          <w:color w:val="7B7B7B" w:themeColor="accent3" w:themeShade="BF"/>
          <w:sz w:val="22"/>
          <w:szCs w:val="22"/>
          <w:lang w:val="en-GB"/>
        </w:rPr>
        <w:t>(b) the assets and affairs of a debtor are subject to control or supervision by a court; or</w:t>
      </w:r>
    </w:p>
    <w:p w14:paraId="4178A335" w14:textId="77777777" w:rsidR="00CB0A7A" w:rsidRDefault="00122A2E" w:rsidP="00D40ADE">
      <w:pPr>
        <w:autoSpaceDE w:val="0"/>
        <w:autoSpaceDN w:val="0"/>
        <w:adjustRightInd w:val="0"/>
        <w:ind w:left="720"/>
        <w:jc w:val="both"/>
        <w:rPr>
          <w:rFonts w:ascii="Avenir Next" w:hAnsi="Avenir Next" w:cs="Arial"/>
          <w:color w:val="7B7B7B" w:themeColor="accent3" w:themeShade="BF"/>
          <w:sz w:val="22"/>
          <w:szCs w:val="22"/>
          <w:lang w:val="en-GB"/>
        </w:rPr>
      </w:pPr>
      <w:r w:rsidRPr="00122A2E">
        <w:rPr>
          <w:rFonts w:ascii="Avenir Next" w:hAnsi="Avenir Next" w:cs="Arial"/>
          <w:color w:val="7B7B7B" w:themeColor="accent3" w:themeShade="BF"/>
          <w:sz w:val="22"/>
          <w:szCs w:val="22"/>
          <w:lang w:val="en-GB"/>
        </w:rPr>
        <w:t>(c) 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p>
    <w:p w14:paraId="096A3649" w14:textId="262806B8" w:rsidR="00AD1FE3" w:rsidRDefault="00CB0A7A" w:rsidP="00CB0A7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proceedings are set out in Annex A of the EIR Recast and </w:t>
      </w:r>
      <w:r w:rsidRPr="00CB0A7A">
        <w:rPr>
          <w:rFonts w:ascii="Avenir Next" w:hAnsi="Avenir Next" w:cs="Arial"/>
          <w:color w:val="7B7B7B" w:themeColor="accent3" w:themeShade="BF"/>
          <w:sz w:val="22"/>
          <w:szCs w:val="22"/>
          <w:lang w:val="en-GB"/>
        </w:rPr>
        <w:t xml:space="preserve">Article 2(4) </w:t>
      </w:r>
      <w:r>
        <w:rPr>
          <w:rFonts w:ascii="Avenir Next" w:hAnsi="Avenir Next" w:cs="Arial"/>
          <w:color w:val="7B7B7B" w:themeColor="accent3" w:themeShade="BF"/>
          <w:sz w:val="22"/>
          <w:szCs w:val="22"/>
          <w:lang w:val="en-GB"/>
        </w:rPr>
        <w:t xml:space="preserve">specifically </w:t>
      </w:r>
      <w:r w:rsidRPr="00CB0A7A">
        <w:rPr>
          <w:rFonts w:ascii="Avenir Next" w:hAnsi="Avenir Next" w:cs="Arial"/>
          <w:color w:val="7B7B7B" w:themeColor="accent3" w:themeShade="BF"/>
          <w:sz w:val="22"/>
          <w:szCs w:val="22"/>
          <w:lang w:val="en-GB"/>
        </w:rPr>
        <w:t>defines "insolvency proceedings" as the proceedings listed in Annex A of the EIR Recast.</w:t>
      </w:r>
      <w:r>
        <w:rPr>
          <w:rFonts w:ascii="Avenir Next" w:hAnsi="Avenir Next" w:cs="Arial"/>
          <w:color w:val="7B7B7B" w:themeColor="accent3" w:themeShade="BF"/>
          <w:sz w:val="22"/>
          <w:szCs w:val="22"/>
          <w:lang w:val="en-GB"/>
        </w:rPr>
        <w:t xml:space="preserve"> This is useful as it sets out which national law procedures of the various Member States are </w:t>
      </w:r>
      <w:r w:rsidR="00011F5F">
        <w:rPr>
          <w:rFonts w:ascii="Avenir Next" w:hAnsi="Avenir Next" w:cs="Arial"/>
          <w:color w:val="7B7B7B" w:themeColor="accent3" w:themeShade="BF"/>
          <w:sz w:val="22"/>
          <w:szCs w:val="22"/>
          <w:lang w:val="en-GB"/>
        </w:rPr>
        <w:t xml:space="preserve">considered insolvency proceedings within </w:t>
      </w:r>
      <w:r>
        <w:rPr>
          <w:rFonts w:ascii="Avenir Next" w:hAnsi="Avenir Next" w:cs="Arial"/>
          <w:color w:val="7B7B7B" w:themeColor="accent3" w:themeShade="BF"/>
          <w:sz w:val="22"/>
          <w:szCs w:val="22"/>
          <w:lang w:val="en-GB"/>
        </w:rPr>
        <w:t xml:space="preserve">the </w:t>
      </w:r>
      <w:r w:rsidR="00011F5F">
        <w:rPr>
          <w:rFonts w:ascii="Avenir Next" w:hAnsi="Avenir Next" w:cs="Arial"/>
          <w:color w:val="7B7B7B" w:themeColor="accent3" w:themeShade="BF"/>
          <w:sz w:val="22"/>
          <w:szCs w:val="22"/>
          <w:lang w:val="en-GB"/>
        </w:rPr>
        <w:t xml:space="preserve">scope of EIR Recast. </w:t>
      </w:r>
    </w:p>
    <w:p w14:paraId="05A9DEB7" w14:textId="77777777" w:rsidR="00CB0A7A" w:rsidRDefault="00CB0A7A" w:rsidP="00CB0A7A">
      <w:pPr>
        <w:autoSpaceDE w:val="0"/>
        <w:autoSpaceDN w:val="0"/>
        <w:adjustRightInd w:val="0"/>
        <w:jc w:val="both"/>
        <w:rPr>
          <w:rFonts w:ascii="Avenir Next" w:hAnsi="Avenir Next" w:cs="Arial"/>
          <w:color w:val="7B7B7B" w:themeColor="accent3" w:themeShade="BF"/>
          <w:sz w:val="22"/>
          <w:szCs w:val="22"/>
          <w:lang w:val="en-GB"/>
        </w:rPr>
      </w:pPr>
    </w:p>
    <w:p w14:paraId="6B17FEBF" w14:textId="0FC73518" w:rsidR="00D40ADE" w:rsidRPr="00122A2E" w:rsidRDefault="00D40ADE" w:rsidP="00D40AD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1 further stipulates that</w:t>
      </w:r>
      <w:r w:rsidR="006C24ED">
        <w:rPr>
          <w:rFonts w:ascii="Avenir Next" w:hAnsi="Avenir Next" w:cs="Arial"/>
          <w:color w:val="7B7B7B" w:themeColor="accent3" w:themeShade="BF"/>
          <w:sz w:val="22"/>
          <w:szCs w:val="22"/>
          <w:lang w:val="en-GB"/>
        </w:rPr>
        <w:t xml:space="preserve"> where any of the aforementioned proceedings (a) to (c) are able to be commenced when there is only a likelihood of insolvency, the purpose of these proceedings</w:t>
      </w:r>
      <w:r w:rsidR="006C24ED" w:rsidRPr="006C24ED">
        <w:rPr>
          <w:rFonts w:ascii="Avenir Next" w:hAnsi="Avenir Next" w:cs="Arial"/>
          <w:color w:val="7B7B7B" w:themeColor="accent3" w:themeShade="BF"/>
          <w:sz w:val="22"/>
          <w:szCs w:val="22"/>
          <w:lang w:val="en-GB"/>
        </w:rPr>
        <w:t xml:space="preserve"> will be</w:t>
      </w:r>
      <w:r w:rsidRPr="006C24ED">
        <w:rPr>
          <w:rFonts w:ascii="Avenir Next" w:hAnsi="Avenir Next" w:cs="Arial"/>
          <w:color w:val="7B7B7B" w:themeColor="accent3" w:themeShade="BF"/>
          <w:sz w:val="22"/>
          <w:szCs w:val="22"/>
          <w:lang w:val="en-GB"/>
        </w:rPr>
        <w:t xml:space="preserve"> to avoid the debtor's insolvency or the cessation of the debtor's business activities.</w:t>
      </w:r>
      <w:r w:rsidR="00011F5F">
        <w:rPr>
          <w:rFonts w:ascii="Avenir Next" w:hAnsi="Avenir Next" w:cs="Arial"/>
          <w:color w:val="7B7B7B" w:themeColor="accent3" w:themeShade="BF"/>
          <w:sz w:val="22"/>
          <w:szCs w:val="22"/>
          <w:lang w:val="en-GB"/>
        </w:rPr>
        <w:t xml:space="preserve"> </w:t>
      </w:r>
    </w:p>
    <w:p w14:paraId="4D5CD80B" w14:textId="77777777" w:rsidR="00D40ADE" w:rsidRDefault="00D40ADE" w:rsidP="00122A2E">
      <w:pPr>
        <w:autoSpaceDE w:val="0"/>
        <w:autoSpaceDN w:val="0"/>
        <w:adjustRightInd w:val="0"/>
        <w:jc w:val="both"/>
        <w:rPr>
          <w:rFonts w:ascii="Avenir Next" w:hAnsi="Avenir Next" w:cs="Arial"/>
          <w:color w:val="7B7B7B" w:themeColor="accent3" w:themeShade="BF"/>
          <w:sz w:val="22"/>
          <w:szCs w:val="22"/>
          <w:lang w:val="en-GB"/>
        </w:rPr>
      </w:pPr>
    </w:p>
    <w:p w14:paraId="74151CC6" w14:textId="19636747" w:rsidR="00122A2E" w:rsidRDefault="00181587" w:rsidP="00122A2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 above, t</w:t>
      </w:r>
      <w:r w:rsidR="00122A2E">
        <w:rPr>
          <w:rFonts w:ascii="Avenir Next" w:hAnsi="Avenir Next" w:cs="Arial"/>
          <w:color w:val="7B7B7B" w:themeColor="accent3" w:themeShade="BF"/>
          <w:sz w:val="22"/>
          <w:szCs w:val="22"/>
          <w:lang w:val="en-GB"/>
        </w:rPr>
        <w:t>he safeguarding proceedings being opened by Bella</w:t>
      </w:r>
      <w:r w:rsidR="00D40ADE">
        <w:rPr>
          <w:rFonts w:ascii="Avenir Next" w:hAnsi="Avenir Next" w:cs="Arial"/>
          <w:color w:val="7B7B7B" w:themeColor="accent3" w:themeShade="BF"/>
          <w:sz w:val="22"/>
          <w:szCs w:val="22"/>
          <w:lang w:val="en-GB"/>
        </w:rPr>
        <w:t xml:space="preserve"> (</w:t>
      </w:r>
      <w:proofErr w:type="spellStart"/>
      <w:r w:rsidR="00D40ADE">
        <w:rPr>
          <w:rFonts w:ascii="Avenir Next" w:hAnsi="Avenir Next" w:cs="Arial"/>
          <w:color w:val="7B7B7B" w:themeColor="accent3" w:themeShade="BF"/>
          <w:sz w:val="22"/>
          <w:szCs w:val="22"/>
          <w:lang w:val="en-GB"/>
        </w:rPr>
        <w:t>Sauvegarde</w:t>
      </w:r>
      <w:proofErr w:type="spellEnd"/>
      <w:r w:rsidR="00D40ADE">
        <w:rPr>
          <w:rFonts w:ascii="Avenir Next" w:hAnsi="Avenir Next" w:cs="Arial"/>
          <w:color w:val="7B7B7B" w:themeColor="accent3" w:themeShade="BF"/>
          <w:sz w:val="22"/>
          <w:szCs w:val="22"/>
          <w:lang w:val="en-GB"/>
        </w:rPr>
        <w:t>)</w:t>
      </w:r>
      <w:r w:rsidR="00122A2E">
        <w:rPr>
          <w:rFonts w:ascii="Avenir Next" w:hAnsi="Avenir Next" w:cs="Arial"/>
          <w:color w:val="7B7B7B" w:themeColor="accent3" w:themeShade="BF"/>
          <w:sz w:val="22"/>
          <w:szCs w:val="22"/>
          <w:lang w:val="en-GB"/>
        </w:rPr>
        <w:t xml:space="preserve">, fall within the scope of Article 1 of the EIR Recast </w:t>
      </w:r>
      <w:r>
        <w:rPr>
          <w:rFonts w:ascii="Avenir Next" w:hAnsi="Avenir Next" w:cs="Arial"/>
          <w:color w:val="7B7B7B" w:themeColor="accent3" w:themeShade="BF"/>
          <w:sz w:val="22"/>
          <w:szCs w:val="22"/>
          <w:lang w:val="en-GB"/>
        </w:rPr>
        <w:t xml:space="preserve">and is specifically listed </w:t>
      </w:r>
      <w:r w:rsidR="00D40ADE">
        <w:rPr>
          <w:rFonts w:ascii="Avenir Next" w:hAnsi="Avenir Next" w:cs="Arial"/>
          <w:color w:val="7B7B7B" w:themeColor="accent3" w:themeShade="BF"/>
          <w:sz w:val="22"/>
          <w:szCs w:val="22"/>
          <w:lang w:val="en-GB"/>
        </w:rPr>
        <w:t xml:space="preserve">in Annex A of the EIR Recast. </w:t>
      </w:r>
      <w:proofErr w:type="spellStart"/>
      <w:r>
        <w:rPr>
          <w:rFonts w:ascii="Avenir Next" w:hAnsi="Avenir Next" w:cs="Arial"/>
          <w:color w:val="7B7B7B" w:themeColor="accent3" w:themeShade="BF"/>
          <w:sz w:val="22"/>
          <w:szCs w:val="22"/>
          <w:lang w:val="en-GB"/>
        </w:rPr>
        <w:t>Sauvegarde</w:t>
      </w:r>
      <w:proofErr w:type="spellEnd"/>
      <w:r>
        <w:rPr>
          <w:rFonts w:ascii="Avenir Next" w:hAnsi="Avenir Next" w:cs="Arial"/>
          <w:color w:val="7B7B7B" w:themeColor="accent3" w:themeShade="BF"/>
          <w:sz w:val="22"/>
          <w:szCs w:val="22"/>
          <w:lang w:val="en-GB"/>
        </w:rPr>
        <w:t xml:space="preserve"> is a recognised insolvency proceeding and is </w:t>
      </w:r>
      <w:r w:rsidRPr="00181587">
        <w:rPr>
          <w:rFonts w:ascii="Avenir Next" w:hAnsi="Avenir Next" w:cs="Arial"/>
          <w:color w:val="7B7B7B" w:themeColor="accent3" w:themeShade="BF"/>
          <w:sz w:val="22"/>
          <w:szCs w:val="22"/>
          <w:lang w:val="en-GB"/>
        </w:rPr>
        <w:t>for the purpose of rescue, adjustment of debt, reorganisation or liquidation</w:t>
      </w:r>
      <w:r>
        <w:rPr>
          <w:rFonts w:ascii="Avenir Next" w:hAnsi="Avenir Next" w:cs="Arial"/>
          <w:color w:val="7B7B7B" w:themeColor="accent3" w:themeShade="BF"/>
          <w:sz w:val="22"/>
          <w:szCs w:val="22"/>
          <w:lang w:val="en-GB"/>
        </w:rPr>
        <w:t xml:space="preserve">. </w:t>
      </w:r>
      <w:r w:rsidRPr="00181587">
        <w:rPr>
          <w:rFonts w:ascii="Avenir Next" w:hAnsi="Avenir Next" w:cs="Arial"/>
          <w:color w:val="7B7B7B" w:themeColor="accent3" w:themeShade="BF"/>
          <w:sz w:val="22"/>
          <w:szCs w:val="22"/>
          <w:lang w:val="en-GB"/>
        </w:rPr>
        <w:t xml:space="preserve">Safeguard proceedings are available to debtors who are in financial difficulty and require the reorganisation of the company to allow for it to continue to operate. This is at the point where the debtor is not yet insolvent but intervention is required or it will be in short order. </w:t>
      </w:r>
      <w:r>
        <w:rPr>
          <w:rFonts w:ascii="Avenir Next" w:hAnsi="Avenir Next" w:cs="Arial"/>
          <w:color w:val="7B7B7B" w:themeColor="accent3" w:themeShade="BF"/>
          <w:sz w:val="22"/>
          <w:szCs w:val="22"/>
          <w:lang w:val="en-GB"/>
        </w:rPr>
        <w:t xml:space="preserve">Even if this was not clear from the nature of the proceedings and there was the need for further application of the facts to determine whether it is in scope of the EIR Recast, Article 9 of the EIR Recast, </w:t>
      </w:r>
      <w:r w:rsidRPr="00181587">
        <w:rPr>
          <w:rFonts w:ascii="Avenir Next" w:hAnsi="Avenir Next" w:cs="Arial"/>
          <w:color w:val="7B7B7B" w:themeColor="accent3" w:themeShade="BF"/>
          <w:sz w:val="22"/>
          <w:szCs w:val="22"/>
          <w:lang w:val="en-GB"/>
        </w:rPr>
        <w:t xml:space="preserve">goes further in recognising the listed proceedings in Annex A and stipulates that no further examination is needed where those proceedings are instituted and that the EIR Recast applies to them.  </w:t>
      </w:r>
    </w:p>
    <w:p w14:paraId="21708E90" w14:textId="77777777" w:rsidR="00001DE6" w:rsidRDefault="00001DE6" w:rsidP="00001DE6">
      <w:pPr>
        <w:autoSpaceDE w:val="0"/>
        <w:autoSpaceDN w:val="0"/>
        <w:adjustRightInd w:val="0"/>
        <w:jc w:val="both"/>
        <w:rPr>
          <w:rFonts w:ascii="Avenir Next" w:hAnsi="Avenir Next" w:cs="Arial"/>
          <w:color w:val="7B7B7B" w:themeColor="accent3" w:themeShade="BF"/>
          <w:sz w:val="22"/>
          <w:szCs w:val="22"/>
          <w:lang w:val="en-GB"/>
        </w:rPr>
      </w:pPr>
    </w:p>
    <w:p w14:paraId="59984DCD" w14:textId="2E054D4F" w:rsidR="00001DE6" w:rsidRPr="00001DE6" w:rsidRDefault="00001DE6" w:rsidP="00001DE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Lastly</w:t>
      </w:r>
      <w:r w:rsidRPr="00001DE6">
        <w:rPr>
          <w:rFonts w:ascii="Avenir Next" w:hAnsi="Avenir Next" w:cs="Arial"/>
          <w:color w:val="7B7B7B" w:themeColor="accent3" w:themeShade="BF"/>
          <w:sz w:val="22"/>
          <w:szCs w:val="22"/>
          <w:lang w:val="en-GB"/>
        </w:rPr>
        <w:t>, it is important to look at the dates of the proceedings (the temporal Scope). The safeguard proceedings have been opened on 30 June 2017 and accordingly the provisions of the EIR Recast become relevant, as opposed to the EIR 2000 which was repealed and replaced with the EIR Recast from 26 June 2017 onwards. Article 84(1) of the EIR Recast specially provides that the provisions of the EIR recast shall apply to insolvency proceedings opened this date. Therefore Bella's proceedings will need to be considered in the context and provisions of the EIR Recast.</w:t>
      </w:r>
    </w:p>
    <w:p w14:paraId="626FA5C6" w14:textId="1FC7A53D" w:rsidR="002D3473" w:rsidRDefault="002D3473" w:rsidP="00AF31C0">
      <w:pPr>
        <w:autoSpaceDE w:val="0"/>
        <w:autoSpaceDN w:val="0"/>
        <w:adjustRightInd w:val="0"/>
        <w:jc w:val="both"/>
        <w:rPr>
          <w:rFonts w:ascii="Avenir Next" w:hAnsi="Avenir Next" w:cs="Arial"/>
          <w:color w:val="7B7B7B" w:themeColor="accent3" w:themeShade="BF"/>
          <w:sz w:val="22"/>
          <w:szCs w:val="22"/>
          <w:lang w:val="en-GB"/>
        </w:rPr>
      </w:pPr>
    </w:p>
    <w:p w14:paraId="491AE482" w14:textId="4E8F374B" w:rsidR="00F17C87" w:rsidRPr="00D4760F" w:rsidRDefault="00F17C87" w:rsidP="00AF31C0">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therefore clear Bella's matter falls within the scope of the EIR Recast and should be governed by same. </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41A6746C" w:rsidR="0077498C" w:rsidRDefault="00ED70E9" w:rsidP="002A37BB">
      <w:pPr>
        <w:jc w:val="both"/>
        <w:rPr>
          <w:rFonts w:ascii="Avenir Next" w:hAnsi="Avenir Next" w:cs="Arial"/>
          <w:color w:val="7B7B7B" w:themeColor="accent3" w:themeShade="BF"/>
          <w:sz w:val="22"/>
          <w:szCs w:val="22"/>
          <w:lang w:val="en-GB"/>
        </w:rPr>
      </w:pPr>
      <w:r w:rsidRPr="00ED70E9">
        <w:rPr>
          <w:rFonts w:ascii="Avenir Next" w:hAnsi="Avenir Next" w:cs="Arial"/>
          <w:color w:val="7B7B7B" w:themeColor="accent3" w:themeShade="BF"/>
          <w:sz w:val="22"/>
          <w:szCs w:val="22"/>
          <w:lang w:val="en-GB"/>
        </w:rPr>
        <w:t>Further the EIR 2000 also provides that secondary insolvency proceedings can be opened where the debtor has an establishment in relation to the assets of the debtor in that specific territory.</w:t>
      </w:r>
      <w:r w:rsidR="00C7592C">
        <w:rPr>
          <w:rFonts w:ascii="Avenir Next" w:hAnsi="Avenir Next" w:cs="Arial"/>
          <w:color w:val="7B7B7B" w:themeColor="accent3" w:themeShade="BF"/>
          <w:sz w:val="22"/>
          <w:szCs w:val="22"/>
          <w:lang w:val="en-GB"/>
        </w:rPr>
        <w:t xml:space="preserve"> </w:t>
      </w:r>
      <w:r w:rsidR="00D40ADE">
        <w:rPr>
          <w:rFonts w:ascii="Avenir Next" w:hAnsi="Avenir Next" w:cs="Arial"/>
          <w:color w:val="7B7B7B" w:themeColor="accent3" w:themeShade="BF"/>
          <w:sz w:val="22"/>
          <w:szCs w:val="22"/>
          <w:lang w:val="en-GB"/>
        </w:rPr>
        <w:t xml:space="preserve"> In order to determine "establishment" one needs to look to the </w:t>
      </w:r>
      <w:r w:rsidR="00882962">
        <w:rPr>
          <w:rFonts w:ascii="Avenir Next" w:hAnsi="Avenir Next" w:cs="Arial"/>
          <w:color w:val="7B7B7B" w:themeColor="accent3" w:themeShade="BF"/>
          <w:sz w:val="22"/>
          <w:szCs w:val="22"/>
          <w:lang w:val="en-GB"/>
        </w:rPr>
        <w:t xml:space="preserve">place of operations where the debtor carries out or has carried out a non-transitory economic activity with human means and assets. These operations </w:t>
      </w:r>
      <w:r w:rsidR="00AD1FE3">
        <w:rPr>
          <w:rFonts w:ascii="Avenir Next" w:hAnsi="Avenir Next" w:cs="Arial"/>
          <w:color w:val="7B7B7B" w:themeColor="accent3" w:themeShade="BF"/>
          <w:sz w:val="22"/>
          <w:szCs w:val="22"/>
          <w:lang w:val="en-GB"/>
        </w:rPr>
        <w:t xml:space="preserve">must at least </w:t>
      </w:r>
      <w:r w:rsidR="00882962">
        <w:rPr>
          <w:rFonts w:ascii="Avenir Next" w:hAnsi="Avenir Next" w:cs="Arial"/>
          <w:color w:val="7B7B7B" w:themeColor="accent3" w:themeShade="BF"/>
          <w:sz w:val="22"/>
          <w:szCs w:val="22"/>
          <w:lang w:val="en-GB"/>
        </w:rPr>
        <w:t xml:space="preserve">be carried out </w:t>
      </w:r>
      <w:r w:rsidR="00AD1FE3">
        <w:rPr>
          <w:rFonts w:ascii="Avenir Next" w:hAnsi="Avenir Next" w:cs="Arial"/>
          <w:color w:val="7B7B7B" w:themeColor="accent3" w:themeShade="BF"/>
          <w:sz w:val="22"/>
          <w:szCs w:val="22"/>
          <w:lang w:val="en-GB"/>
        </w:rPr>
        <w:t xml:space="preserve">in the three-months prior to request to open main insolvency proceedings. </w:t>
      </w:r>
      <w:r w:rsidR="003843DC">
        <w:rPr>
          <w:rFonts w:ascii="Avenir Next" w:hAnsi="Avenir Next" w:cs="Arial"/>
          <w:color w:val="7B7B7B" w:themeColor="accent3" w:themeShade="BF"/>
          <w:sz w:val="22"/>
          <w:szCs w:val="22"/>
          <w:lang w:val="en-GB"/>
        </w:rPr>
        <w:t>This time specification indicates that there does need to be a sense of stability or continuity of the activities being looked to determine whether there is an "establishment" in that territory. This confirms the "non-transitory" nature of the establishment requirements. It is also important that on an objective test, a third party would be able to recognise "establishment" exits within the territory in question. Further, t</w:t>
      </w:r>
      <w:r w:rsidR="006C7FE9">
        <w:rPr>
          <w:rFonts w:ascii="Avenir Next" w:hAnsi="Avenir Next" w:cs="Arial"/>
          <w:color w:val="7B7B7B" w:themeColor="accent3" w:themeShade="BF"/>
          <w:sz w:val="22"/>
          <w:szCs w:val="22"/>
          <w:lang w:val="en-GB"/>
        </w:rPr>
        <w:t xml:space="preserve">he CJEU in the </w:t>
      </w:r>
      <w:proofErr w:type="spellStart"/>
      <w:r w:rsidR="006C7FE9">
        <w:rPr>
          <w:rFonts w:ascii="Avenir Next" w:hAnsi="Avenir Next" w:cs="Arial"/>
          <w:color w:val="7B7B7B" w:themeColor="accent3" w:themeShade="BF"/>
          <w:sz w:val="22"/>
          <w:szCs w:val="22"/>
          <w:lang w:val="en-GB"/>
        </w:rPr>
        <w:t>Interedil</w:t>
      </w:r>
      <w:proofErr w:type="spellEnd"/>
      <w:r w:rsidR="006C7FE9">
        <w:rPr>
          <w:rFonts w:ascii="Avenir Next" w:hAnsi="Avenir Next" w:cs="Arial"/>
          <w:color w:val="7B7B7B" w:themeColor="accent3" w:themeShade="BF"/>
          <w:sz w:val="22"/>
          <w:szCs w:val="22"/>
          <w:lang w:val="en-GB"/>
        </w:rPr>
        <w:t xml:space="preserve"> case found that the mere presence of goods in isolation or bank accounts does not alone indicate that there is "establishment"</w:t>
      </w:r>
      <w:r w:rsidR="00A66E85">
        <w:rPr>
          <w:rFonts w:ascii="Avenir Next" w:hAnsi="Avenir Next" w:cs="Arial"/>
          <w:color w:val="7B7B7B" w:themeColor="accent3" w:themeShade="BF"/>
          <w:sz w:val="22"/>
          <w:szCs w:val="22"/>
          <w:lang w:val="en-GB"/>
        </w:rPr>
        <w:t>.</w:t>
      </w:r>
      <w:r w:rsidR="006C7FE9">
        <w:rPr>
          <w:rStyle w:val="FootnoteReference"/>
          <w:rFonts w:ascii="Avenir Next" w:hAnsi="Avenir Next" w:cs="Arial"/>
          <w:color w:val="7B7B7B" w:themeColor="accent3" w:themeShade="BF"/>
          <w:sz w:val="22"/>
          <w:szCs w:val="22"/>
          <w:lang w:val="en-GB"/>
        </w:rPr>
        <w:footnoteReference w:id="17"/>
      </w:r>
      <w:r w:rsidR="003843DC">
        <w:rPr>
          <w:rFonts w:ascii="Avenir Next" w:hAnsi="Avenir Next" w:cs="Arial"/>
          <w:color w:val="7B7B7B" w:themeColor="accent3" w:themeShade="BF"/>
          <w:sz w:val="22"/>
          <w:szCs w:val="22"/>
          <w:lang w:val="en-GB"/>
        </w:rPr>
        <w:t xml:space="preserve"> </w:t>
      </w:r>
      <w:r w:rsidR="00A66E85">
        <w:rPr>
          <w:rFonts w:ascii="Avenir Next" w:hAnsi="Avenir Next" w:cs="Arial"/>
          <w:color w:val="7B7B7B" w:themeColor="accent3" w:themeShade="BF"/>
          <w:sz w:val="22"/>
          <w:szCs w:val="22"/>
          <w:lang w:val="en-GB"/>
        </w:rPr>
        <w:t>The definition of "establishment" specifically refers to a human means and assets, therefore it would not be sufficient for there, merely, to be a debtor's assets within a territory to say there is an establishment – the reference to human means</w:t>
      </w:r>
      <w:r w:rsidR="00C7592C">
        <w:rPr>
          <w:rFonts w:ascii="Avenir Next" w:hAnsi="Avenir Next" w:cs="Arial"/>
          <w:color w:val="7B7B7B" w:themeColor="accent3" w:themeShade="BF"/>
          <w:sz w:val="22"/>
          <w:szCs w:val="22"/>
          <w:lang w:val="en-GB"/>
        </w:rPr>
        <w:t>,</w:t>
      </w:r>
      <w:r w:rsidR="00A66E85">
        <w:rPr>
          <w:rFonts w:ascii="Avenir Next" w:hAnsi="Avenir Next" w:cs="Arial"/>
          <w:color w:val="7B7B7B" w:themeColor="accent3" w:themeShade="BF"/>
          <w:sz w:val="22"/>
          <w:szCs w:val="22"/>
          <w:lang w:val="en-GB"/>
        </w:rPr>
        <w:t xml:space="preserve"> means there needs some human presence in relation to the debtor or organisation (</w:t>
      </w:r>
      <w:proofErr w:type="spellStart"/>
      <w:r w:rsidR="00A66E85">
        <w:rPr>
          <w:rFonts w:ascii="Avenir Next" w:hAnsi="Avenir Next" w:cs="Arial"/>
          <w:color w:val="7B7B7B" w:themeColor="accent3" w:themeShade="BF"/>
          <w:sz w:val="22"/>
          <w:szCs w:val="22"/>
          <w:lang w:val="en-GB"/>
        </w:rPr>
        <w:t>eg</w:t>
      </w:r>
      <w:proofErr w:type="spellEnd"/>
      <w:r w:rsidR="00A66E85">
        <w:rPr>
          <w:rFonts w:ascii="Avenir Next" w:hAnsi="Avenir Next" w:cs="Arial"/>
          <w:color w:val="7B7B7B" w:themeColor="accent3" w:themeShade="BF"/>
          <w:sz w:val="22"/>
          <w:szCs w:val="22"/>
          <w:lang w:val="en-GB"/>
        </w:rPr>
        <w:t xml:space="preserve"> employees working for the debtor in that territory). In Bella's case, </w:t>
      </w:r>
      <w:r w:rsidR="00C7592C">
        <w:rPr>
          <w:rFonts w:ascii="Avenir Next" w:hAnsi="Avenir Next" w:cs="Arial"/>
          <w:color w:val="7B7B7B" w:themeColor="accent3" w:themeShade="BF"/>
          <w:sz w:val="22"/>
          <w:szCs w:val="22"/>
          <w:lang w:val="en-GB"/>
        </w:rPr>
        <w:t xml:space="preserve">the business does have warehouses in Italy which indicates that it will have a certain amount of employees to run those warehouses and supply customers, also the fact that it is an Italian bank filing the petition indicates that Bella holds assets and liabilities and presumably at least a bank account in Italy, covering off the "human means and assets" point of the definition of "establishment". With that point met, the bank will just need to show the court that the operation of the warehouses is not transitory in nature and that it has been operating within the 3 months prior to the opening of the main insolvency proceedings in France. From the above, it is likely that the Italian bank will be able to show that Bella has an "establishment" in Italy in accordance with </w:t>
      </w:r>
      <w:r w:rsidR="00586298">
        <w:rPr>
          <w:rFonts w:ascii="Avenir Next" w:hAnsi="Avenir Next" w:cs="Arial"/>
          <w:color w:val="7B7B7B" w:themeColor="accent3" w:themeShade="BF"/>
          <w:sz w:val="22"/>
          <w:szCs w:val="22"/>
          <w:lang w:val="en-GB"/>
        </w:rPr>
        <w:t>Article 2(10) of the EIR Recast's definition of "establishment", and that secondary proceedings may therefore be opened in Italy. In respect of secondary proceedings, t</w:t>
      </w:r>
      <w:r w:rsidR="00586298" w:rsidRPr="00586298">
        <w:rPr>
          <w:rFonts w:ascii="Avenir Next" w:hAnsi="Avenir Next" w:cs="Arial"/>
          <w:color w:val="7B7B7B" w:themeColor="accent3" w:themeShade="BF"/>
          <w:sz w:val="22"/>
          <w:szCs w:val="22"/>
          <w:lang w:val="en-GB"/>
        </w:rPr>
        <w:t>he law of th</w:t>
      </w:r>
      <w:r w:rsidR="00586298">
        <w:rPr>
          <w:rFonts w:ascii="Avenir Next" w:hAnsi="Avenir Next" w:cs="Arial"/>
          <w:color w:val="7B7B7B" w:themeColor="accent3" w:themeShade="BF"/>
          <w:sz w:val="22"/>
          <w:szCs w:val="22"/>
          <w:lang w:val="en-GB"/>
        </w:rPr>
        <w:t>e</w:t>
      </w:r>
      <w:r w:rsidR="00586298" w:rsidRPr="00586298">
        <w:rPr>
          <w:rFonts w:ascii="Avenir Next" w:hAnsi="Avenir Next" w:cs="Arial"/>
          <w:color w:val="7B7B7B" w:themeColor="accent3" w:themeShade="BF"/>
          <w:sz w:val="22"/>
          <w:szCs w:val="22"/>
          <w:lang w:val="en-GB"/>
        </w:rPr>
        <w:t xml:space="preserve"> particular Member State in which secondary proceedings are opened will apply and not the law of the main insolvency proceedin</w:t>
      </w:r>
      <w:r w:rsidR="00586298">
        <w:rPr>
          <w:rFonts w:ascii="Avenir Next" w:hAnsi="Avenir Next" w:cs="Arial"/>
          <w:color w:val="7B7B7B" w:themeColor="accent3" w:themeShade="BF"/>
          <w:sz w:val="22"/>
          <w:szCs w:val="22"/>
          <w:lang w:val="en-GB"/>
        </w:rPr>
        <w:t xml:space="preserve">gs. </w:t>
      </w:r>
      <w:r w:rsidR="00586298" w:rsidRPr="00586298">
        <w:rPr>
          <w:rFonts w:ascii="Avenir Next" w:hAnsi="Avenir Next" w:cs="Arial"/>
          <w:color w:val="7B7B7B" w:themeColor="accent3" w:themeShade="BF"/>
          <w:sz w:val="22"/>
          <w:szCs w:val="22"/>
          <w:lang w:val="en-GB"/>
        </w:rPr>
        <w:t xml:space="preserve"> </w:t>
      </w:r>
      <w:r w:rsidR="00586298">
        <w:rPr>
          <w:rFonts w:ascii="Avenir Next" w:hAnsi="Avenir Next" w:cs="Arial"/>
          <w:color w:val="7B7B7B" w:themeColor="accent3" w:themeShade="BF"/>
          <w:sz w:val="22"/>
          <w:szCs w:val="22"/>
          <w:lang w:val="en-GB"/>
        </w:rPr>
        <w:t>However,</w:t>
      </w:r>
      <w:r w:rsidR="00586298" w:rsidRPr="00586298">
        <w:rPr>
          <w:rFonts w:ascii="Avenir Next" w:hAnsi="Avenir Next" w:cs="Arial"/>
          <w:color w:val="7B7B7B" w:themeColor="accent3" w:themeShade="BF"/>
          <w:sz w:val="22"/>
          <w:szCs w:val="22"/>
          <w:lang w:val="en-GB"/>
        </w:rPr>
        <w:t xml:space="preserve"> the effect of the secondary proceedings will be restricted to the assets of the debtor situated within the specific geographical territory of that Member State.</w:t>
      </w:r>
      <w:r w:rsidR="00586298">
        <w:rPr>
          <w:rFonts w:ascii="Avenir Next" w:hAnsi="Avenir Next" w:cs="Arial"/>
          <w:color w:val="7B7B7B" w:themeColor="accent3" w:themeShade="BF"/>
          <w:sz w:val="22"/>
          <w:szCs w:val="22"/>
          <w:lang w:val="en-GB"/>
        </w:rPr>
        <w:t xml:space="preserve"> Therefore, upon the bank opening the secondary proceedings in Italy, the Italian insolvency distribution ranking will apply but only insofar as it relates to the assets held by the debtor in Italy. </w:t>
      </w:r>
    </w:p>
    <w:p w14:paraId="25E8CBE0" w14:textId="63144EA1" w:rsidR="00D40ADE" w:rsidRDefault="00D40ADE" w:rsidP="002A37BB">
      <w:pPr>
        <w:jc w:val="both"/>
        <w:rPr>
          <w:rFonts w:ascii="Avenir Next" w:hAnsi="Avenir Next" w:cs="Arial"/>
          <w:color w:val="7B7B7B" w:themeColor="accent3" w:themeShade="BF"/>
          <w:sz w:val="22"/>
          <w:szCs w:val="22"/>
          <w:lang w:val="en-GB"/>
        </w:rPr>
      </w:pPr>
    </w:p>
    <w:p w14:paraId="35D8F287" w14:textId="4C0CED25" w:rsidR="0077498C"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D814D" w14:textId="77777777" w:rsidR="002E1E8A" w:rsidRDefault="002E1E8A" w:rsidP="00241B44">
      <w:r>
        <w:separator/>
      </w:r>
    </w:p>
  </w:endnote>
  <w:endnote w:type="continuationSeparator" w:id="0">
    <w:p w14:paraId="05078E3D" w14:textId="77777777" w:rsidR="002E1E8A" w:rsidRDefault="002E1E8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E1E8A" w:rsidRPr="00FC7B47" w:rsidRDefault="002E1E8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2E1E8A" w:rsidRPr="00FC7B47" w:rsidRDefault="002E1E8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35BA933" w:rsidR="002E1E8A" w:rsidRPr="009B4976" w:rsidRDefault="002E1E8A"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3862D1">
          <w:rPr>
            <w:rStyle w:val="PageNumber"/>
            <w:rFonts w:ascii="Avenir Next" w:hAnsi="Avenir Next" w:cs="Arial"/>
            <w:noProof/>
            <w:sz w:val="22"/>
            <w:szCs w:val="22"/>
          </w:rPr>
          <w:t>13</w:t>
        </w:r>
        <w:r w:rsidRPr="00E36039">
          <w:rPr>
            <w:rStyle w:val="PageNumber"/>
            <w:rFonts w:ascii="Avenir Next" w:hAnsi="Avenir Next" w:cs="Arial"/>
            <w:sz w:val="22"/>
            <w:szCs w:val="22"/>
          </w:rPr>
          <w:fldChar w:fldCharType="end"/>
        </w:r>
      </w:p>
    </w:sdtContent>
  </w:sdt>
  <w:p w14:paraId="30F05E79" w14:textId="7205AE81" w:rsidR="002E1E8A" w:rsidRPr="00E36039" w:rsidRDefault="002E1E8A" w:rsidP="009B4976">
    <w:pPr>
      <w:pStyle w:val="Footer"/>
      <w:ind w:right="360"/>
      <w:rPr>
        <w:rFonts w:ascii="Avenir Next" w:hAnsi="Avenir Next" w:cs="Arial"/>
        <w:sz w:val="22"/>
        <w:szCs w:val="22"/>
        <w:lang w:val="en-GB"/>
      </w:rPr>
    </w:pPr>
    <w:r>
      <w:rPr>
        <w:rFonts w:ascii="Avenir Next" w:hAnsi="Avenir Next" w:cs="Arial"/>
        <w:sz w:val="22"/>
        <w:szCs w:val="22"/>
        <w:lang w:val="en-GB"/>
      </w:rPr>
      <w:t>202122-576</w:t>
    </w:r>
    <w:r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780A" w14:textId="77777777" w:rsidR="002E1E8A" w:rsidRDefault="002E1E8A" w:rsidP="00241B44">
      <w:r>
        <w:separator/>
      </w:r>
    </w:p>
  </w:footnote>
  <w:footnote w:type="continuationSeparator" w:id="0">
    <w:p w14:paraId="0585CE3A" w14:textId="77777777" w:rsidR="002E1E8A" w:rsidRDefault="002E1E8A" w:rsidP="00241B44">
      <w:r>
        <w:continuationSeparator/>
      </w:r>
    </w:p>
  </w:footnote>
  <w:footnote w:id="1">
    <w:p w14:paraId="70819965" w14:textId="5A77B779" w:rsidR="002E1E8A" w:rsidRPr="00BD31E3" w:rsidRDefault="002E1E8A">
      <w:pPr>
        <w:pStyle w:val="FootnoteText"/>
        <w:rPr>
          <w:lang w:val="en-GB"/>
        </w:rPr>
      </w:pPr>
      <w:r>
        <w:rPr>
          <w:rStyle w:val="FootnoteReference"/>
        </w:rPr>
        <w:footnoteRef/>
      </w:r>
      <w:r>
        <w:t xml:space="preserve"> B </w:t>
      </w:r>
      <w:proofErr w:type="spellStart"/>
      <w:r>
        <w:t>Wessels</w:t>
      </w:r>
      <w:proofErr w:type="spellEnd"/>
      <w:r>
        <w:t xml:space="preserve"> and I </w:t>
      </w:r>
      <w:proofErr w:type="spellStart"/>
      <w:r>
        <w:t>Kokorin</w:t>
      </w:r>
      <w:proofErr w:type="spellEnd"/>
      <w:r>
        <w:t xml:space="preserve"> (updated by E </w:t>
      </w:r>
      <w:proofErr w:type="spellStart"/>
      <w:r>
        <w:t>Ghio</w:t>
      </w:r>
      <w:proofErr w:type="spellEnd"/>
      <w:r>
        <w:t>), Foundation Certificate in International Insolvency Law Module 2B Guidance Text "The European Insolvency Regulation" dated 2022/2023 (Hereinafter "the Guidance Text") at p 49.</w:t>
      </w:r>
    </w:p>
  </w:footnote>
  <w:footnote w:id="2">
    <w:p w14:paraId="69773411" w14:textId="358616D6" w:rsidR="002E1E8A" w:rsidRPr="00AC2B13" w:rsidRDefault="002E1E8A">
      <w:pPr>
        <w:pStyle w:val="FootnoteText"/>
        <w:rPr>
          <w:lang w:val="en-GB"/>
        </w:rPr>
      </w:pPr>
      <w:r>
        <w:rPr>
          <w:rStyle w:val="FootnoteReference"/>
        </w:rPr>
        <w:footnoteRef/>
      </w:r>
      <w:r>
        <w:t xml:space="preserve"> </w:t>
      </w:r>
      <w:r>
        <w:rPr>
          <w:lang w:val="en-GB"/>
        </w:rPr>
        <w:t>Article 36(1) of the EIR Recast</w:t>
      </w:r>
    </w:p>
  </w:footnote>
  <w:footnote w:id="3">
    <w:p w14:paraId="2CA24417" w14:textId="0AC0DE23" w:rsidR="002E1E8A" w:rsidRPr="00AC2B13" w:rsidRDefault="002E1E8A">
      <w:pPr>
        <w:pStyle w:val="FootnoteText"/>
        <w:rPr>
          <w:lang w:val="en-GB"/>
        </w:rPr>
      </w:pPr>
      <w:r>
        <w:rPr>
          <w:rStyle w:val="FootnoteReference"/>
        </w:rPr>
        <w:footnoteRef/>
      </w:r>
      <w:r>
        <w:t xml:space="preserve"> </w:t>
      </w:r>
      <w:r w:rsidRPr="00AC2B13">
        <w:rPr>
          <w:lang w:val="en-GB"/>
        </w:rPr>
        <w:t>Article</w:t>
      </w:r>
      <w:r>
        <w:rPr>
          <w:lang w:val="en-GB"/>
        </w:rPr>
        <w:t xml:space="preserve"> 36(3</w:t>
      </w:r>
      <w:r w:rsidRPr="00AC2B13">
        <w:rPr>
          <w:lang w:val="en-GB"/>
        </w:rPr>
        <w:t>) of the EIR Recast</w:t>
      </w:r>
    </w:p>
  </w:footnote>
  <w:footnote w:id="4">
    <w:p w14:paraId="43568EED" w14:textId="1EED4C13" w:rsidR="002E1E8A" w:rsidRPr="00B63E14" w:rsidRDefault="002E1E8A" w:rsidP="00B63E14">
      <w:pPr>
        <w:pStyle w:val="FootnoteText"/>
        <w:rPr>
          <w:lang w:val="en-GB"/>
        </w:rPr>
      </w:pPr>
      <w:r>
        <w:rPr>
          <w:rStyle w:val="FootnoteReference"/>
        </w:rPr>
        <w:footnoteRef/>
      </w:r>
      <w:r>
        <w:t xml:space="preserve"> </w:t>
      </w:r>
      <w:r w:rsidRPr="00B63E14">
        <w:rPr>
          <w:lang w:val="en-GB"/>
        </w:rPr>
        <w:t>Article 36(</w:t>
      </w:r>
      <w:r>
        <w:rPr>
          <w:lang w:val="en-GB"/>
        </w:rPr>
        <w:t>4</w:t>
      </w:r>
      <w:r w:rsidRPr="00B63E14">
        <w:rPr>
          <w:lang w:val="en-GB"/>
        </w:rPr>
        <w:t>) of the EIR Recast</w:t>
      </w:r>
    </w:p>
    <w:p w14:paraId="4F7B27EB" w14:textId="099C4028" w:rsidR="002E1E8A" w:rsidRPr="00B63E14" w:rsidRDefault="002E1E8A">
      <w:pPr>
        <w:pStyle w:val="FootnoteText"/>
        <w:rPr>
          <w:lang w:val="en-GB"/>
        </w:rPr>
      </w:pPr>
    </w:p>
  </w:footnote>
  <w:footnote w:id="5">
    <w:p w14:paraId="72752585" w14:textId="503D4297" w:rsidR="002E1E8A" w:rsidRPr="00C85CA1" w:rsidRDefault="002E1E8A">
      <w:pPr>
        <w:pStyle w:val="FootnoteText"/>
        <w:rPr>
          <w:lang w:val="en-GB"/>
        </w:rPr>
      </w:pPr>
      <w:r>
        <w:rPr>
          <w:rStyle w:val="FootnoteReference"/>
        </w:rPr>
        <w:footnoteRef/>
      </w:r>
      <w:r>
        <w:t xml:space="preserve"> </w:t>
      </w:r>
      <w:r w:rsidRPr="00C85CA1">
        <w:rPr>
          <w:lang w:val="en-GB"/>
        </w:rPr>
        <w:t>Article 3</w:t>
      </w:r>
      <w:r>
        <w:rPr>
          <w:lang w:val="en-GB"/>
        </w:rPr>
        <w:t>8</w:t>
      </w:r>
      <w:r w:rsidRPr="00C85CA1">
        <w:rPr>
          <w:lang w:val="en-GB"/>
        </w:rPr>
        <w:t>(</w:t>
      </w:r>
      <w:r>
        <w:rPr>
          <w:lang w:val="en-GB"/>
        </w:rPr>
        <w:t>3</w:t>
      </w:r>
      <w:r w:rsidRPr="00C85CA1">
        <w:rPr>
          <w:lang w:val="en-GB"/>
        </w:rPr>
        <w:t>) of the EIR Recast</w:t>
      </w:r>
      <w:r>
        <w:rPr>
          <w:lang w:val="en-GB"/>
        </w:rPr>
        <w:t xml:space="preserve"> and the Guidance Text at page 50.</w:t>
      </w:r>
    </w:p>
  </w:footnote>
  <w:footnote w:id="6">
    <w:p w14:paraId="0392BAC3" w14:textId="5ACF4E43" w:rsidR="002E1E8A" w:rsidRPr="00D72A71" w:rsidRDefault="002E1E8A">
      <w:pPr>
        <w:pStyle w:val="FootnoteText"/>
        <w:rPr>
          <w:lang w:val="en-GB"/>
        </w:rPr>
      </w:pPr>
      <w:r>
        <w:rPr>
          <w:rStyle w:val="FootnoteReference"/>
        </w:rPr>
        <w:footnoteRef/>
      </w:r>
      <w:r>
        <w:t xml:space="preserve"> </w:t>
      </w:r>
      <w:r>
        <w:rPr>
          <w:lang w:val="en-GB"/>
        </w:rPr>
        <w:t xml:space="preserve">European Commission's "Proposal for a Regulation of the European Parliament and of the Council amending Council Regulation (EC) No 1346/2000 on insolvency proceedings", Strasbourg 12.12.2012, COM (2012) 744 final (English version) at pp. 2-3, accessed at </w:t>
      </w:r>
      <w:hyperlink r:id="rId1" w:history="1">
        <w:r w:rsidRPr="00864746">
          <w:rPr>
            <w:rStyle w:val="Hyperlink"/>
            <w:lang w:val="en-GB"/>
          </w:rPr>
          <w:t>https://www.europarl.europa.eu/meetdocs/2009_2014/documents/com/com_com(2012)0744_/com_com(2012)0744_en.pdf</w:t>
        </w:r>
      </w:hyperlink>
      <w:r>
        <w:rPr>
          <w:lang w:val="en-GB"/>
        </w:rPr>
        <w:t xml:space="preserve"> on 14 May 2023 (hereinafter the "</w:t>
      </w:r>
      <w:r w:rsidRPr="001B7E8A">
        <w:rPr>
          <w:b/>
          <w:lang w:val="en-GB"/>
        </w:rPr>
        <w:t>EC 2012 Proposal</w:t>
      </w:r>
      <w:r>
        <w:rPr>
          <w:lang w:val="en-GB"/>
        </w:rPr>
        <w:t xml:space="preserve">"). </w:t>
      </w:r>
      <w:r w:rsidRPr="001A716A">
        <w:t>B</w:t>
      </w:r>
      <w:r>
        <w:t xml:space="preserve"> </w:t>
      </w:r>
      <w:proofErr w:type="spellStart"/>
      <w:r>
        <w:t>Wessels</w:t>
      </w:r>
      <w:proofErr w:type="spellEnd"/>
      <w:r>
        <w:t xml:space="preserve"> "</w:t>
      </w:r>
      <w:r w:rsidRPr="001A716A">
        <w:t>The European Union Regulation on Insolvency Proceedings (</w:t>
      </w:r>
      <w:r>
        <w:t xml:space="preserve">Recast): The First Commentaries" (2016) 13 </w:t>
      </w:r>
      <w:r w:rsidRPr="001A716A">
        <w:t>European Co</w:t>
      </w:r>
      <w:r>
        <w:t xml:space="preserve">mpany Law Issue 4 pp. 129-135 accessed through </w:t>
      </w:r>
      <w:hyperlink r:id="rId2" w:history="1">
        <w:r w:rsidRPr="00BC1C22">
          <w:rPr>
            <w:rStyle w:val="Hyperlink"/>
          </w:rPr>
          <w:t>https://kluwerlawonline.com/journalarticle/European+Company+Law/13.4/EUCL2016019</w:t>
        </w:r>
      </w:hyperlink>
      <w:r>
        <w:t xml:space="preserve"> on 21 May 2023.</w:t>
      </w:r>
    </w:p>
  </w:footnote>
  <w:footnote w:id="7">
    <w:p w14:paraId="16E17668" w14:textId="263CF728" w:rsidR="002E1E8A" w:rsidRPr="001B7E8A" w:rsidRDefault="002E1E8A">
      <w:pPr>
        <w:pStyle w:val="FootnoteText"/>
        <w:rPr>
          <w:lang w:val="en-GB"/>
        </w:rPr>
      </w:pPr>
      <w:r>
        <w:rPr>
          <w:rStyle w:val="FootnoteReference"/>
        </w:rPr>
        <w:footnoteRef/>
      </w:r>
      <w:r>
        <w:t xml:space="preserve"> </w:t>
      </w:r>
      <w:r w:rsidRPr="001B7E8A">
        <w:rPr>
          <w:lang w:val="en-GB"/>
        </w:rPr>
        <w:t>European Commission's</w:t>
      </w:r>
      <w:r>
        <w:rPr>
          <w:lang w:val="en-GB"/>
        </w:rPr>
        <w:t xml:space="preserve"> "</w:t>
      </w:r>
      <w:r>
        <w:t>Communication from the Commission to the European Parliament, the Council and the European Economic and Social C</w:t>
      </w:r>
      <w:r w:rsidRPr="001B7E8A">
        <w:t>ommittee</w:t>
      </w:r>
      <w:r>
        <w:t xml:space="preserve"> entitled</w:t>
      </w:r>
      <w:r w:rsidRPr="001B7E8A">
        <w:t xml:space="preserve"> </w:t>
      </w:r>
      <w:r w:rsidRPr="001B7E8A">
        <w:rPr>
          <w:i/>
        </w:rPr>
        <w:t>A new European approach to business failure and insolvency</w:t>
      </w:r>
      <w:r>
        <w:t>",</w:t>
      </w:r>
      <w:r w:rsidRPr="001B7E8A">
        <w:rPr>
          <w:szCs w:val="24"/>
          <w:lang w:val="en-GB"/>
        </w:rPr>
        <w:t xml:space="preserve"> </w:t>
      </w:r>
      <w:r w:rsidRPr="001B7E8A">
        <w:rPr>
          <w:lang w:val="en-GB"/>
        </w:rPr>
        <w:t>Strasbourg 12.12.2012, COM (2012) 74</w:t>
      </w:r>
      <w:r>
        <w:rPr>
          <w:lang w:val="en-GB"/>
        </w:rPr>
        <w:t>2</w:t>
      </w:r>
      <w:r w:rsidRPr="001B7E8A">
        <w:rPr>
          <w:lang w:val="en-GB"/>
        </w:rPr>
        <w:t xml:space="preserve"> final (English version) at page </w:t>
      </w:r>
      <w:r>
        <w:rPr>
          <w:lang w:val="en-GB"/>
        </w:rPr>
        <w:t>s</w:t>
      </w:r>
      <w:r w:rsidRPr="001B7E8A">
        <w:rPr>
          <w:lang w:val="en-GB"/>
        </w:rPr>
        <w:t xml:space="preserve"> </w:t>
      </w:r>
      <w:r>
        <w:rPr>
          <w:lang w:val="en-GB"/>
        </w:rPr>
        <w:t>3-5</w:t>
      </w:r>
      <w:r w:rsidRPr="001B7E8A">
        <w:rPr>
          <w:lang w:val="en-GB"/>
        </w:rPr>
        <w:t>, accessed at</w:t>
      </w:r>
      <w:r>
        <w:rPr>
          <w:lang w:val="en-GB"/>
        </w:rPr>
        <w:t xml:space="preserve"> </w:t>
      </w:r>
      <w:hyperlink r:id="rId3" w:history="1">
        <w:r w:rsidRPr="00864746">
          <w:rPr>
            <w:rStyle w:val="Hyperlink"/>
            <w:lang w:val="en-GB"/>
          </w:rPr>
          <w:t>https://eur-lex.europa.eu/LexUriServ/LexUriServ.do?uri=COM:2012:0742:FIN:En:PDF</w:t>
        </w:r>
      </w:hyperlink>
      <w:r>
        <w:rPr>
          <w:lang w:val="en-GB"/>
        </w:rPr>
        <w:t xml:space="preserve"> </w:t>
      </w:r>
      <w:r w:rsidRPr="001B7E8A">
        <w:rPr>
          <w:lang w:val="en-GB"/>
        </w:rPr>
        <w:t>on 14 May 2023 (hereinafter the "</w:t>
      </w:r>
      <w:r w:rsidRPr="001B7E8A">
        <w:rPr>
          <w:b/>
          <w:lang w:val="en-GB"/>
        </w:rPr>
        <w:t xml:space="preserve">EC 2012 </w:t>
      </w:r>
      <w:r>
        <w:rPr>
          <w:b/>
          <w:lang w:val="en-GB"/>
        </w:rPr>
        <w:t>Communication on Business Failure</w:t>
      </w:r>
      <w:r w:rsidRPr="001B7E8A">
        <w:rPr>
          <w:lang w:val="en-GB"/>
        </w:rPr>
        <w:t>").</w:t>
      </w:r>
    </w:p>
  </w:footnote>
  <w:footnote w:id="8">
    <w:p w14:paraId="4563513F" w14:textId="7E653FC2" w:rsidR="002E1E8A" w:rsidRPr="00C91A7D" w:rsidRDefault="002E1E8A">
      <w:pPr>
        <w:pStyle w:val="FootnoteText"/>
        <w:rPr>
          <w:lang w:val="en-GB"/>
        </w:rPr>
      </w:pPr>
      <w:r>
        <w:rPr>
          <w:rStyle w:val="FootnoteReference"/>
        </w:rPr>
        <w:footnoteRef/>
      </w:r>
      <w:r>
        <w:t xml:space="preserve"> </w:t>
      </w:r>
      <w:r w:rsidRPr="00C91A7D">
        <w:rPr>
          <w:rFonts w:cstheme="minorHAnsi"/>
        </w:rPr>
        <w:t>Directive (EU) 2019/1023 of 20 June 2019.</w:t>
      </w:r>
      <w:r>
        <w:t xml:space="preserve"> </w:t>
      </w:r>
    </w:p>
  </w:footnote>
  <w:footnote w:id="9">
    <w:p w14:paraId="37419F28" w14:textId="4533A29F" w:rsidR="002E1E8A" w:rsidRPr="00A9235B" w:rsidRDefault="002E1E8A">
      <w:pPr>
        <w:pStyle w:val="FootnoteText"/>
        <w:rPr>
          <w:lang w:val="en-GB"/>
        </w:rPr>
      </w:pPr>
      <w:r>
        <w:rPr>
          <w:rStyle w:val="FootnoteReference"/>
        </w:rPr>
        <w:footnoteRef/>
      </w:r>
      <w:r>
        <w:t xml:space="preserve"> </w:t>
      </w:r>
      <w:hyperlink r:id="rId4" w:history="1">
        <w:r w:rsidRPr="00864746">
          <w:rPr>
            <w:rStyle w:val="Hyperlink"/>
            <w:rFonts w:ascii="Avenir Next" w:hAnsi="Avenir Next" w:cs="Arial"/>
            <w:sz w:val="22"/>
            <w:szCs w:val="22"/>
          </w:rPr>
          <w:t>https://www.simmons-simmons.com/en/publications/cky2qoe0o150m0a90i5zb334u/amendment-of-the-recast-european-insolvency-regulation</w:t>
        </w:r>
      </w:hyperlink>
      <w:r>
        <w:rPr>
          <w:rFonts w:ascii="Avenir Next" w:hAnsi="Avenir Next" w:cs="Arial"/>
          <w:color w:val="7B7B7B" w:themeColor="accent3" w:themeShade="BF"/>
          <w:sz w:val="22"/>
          <w:szCs w:val="22"/>
        </w:rPr>
        <w:t xml:space="preserve"> </w:t>
      </w:r>
    </w:p>
  </w:footnote>
  <w:footnote w:id="10">
    <w:p w14:paraId="15DF7440" w14:textId="22315B3F" w:rsidR="002E1E8A" w:rsidRPr="0047262E" w:rsidRDefault="002E1E8A">
      <w:pPr>
        <w:pStyle w:val="FootnoteText"/>
        <w:rPr>
          <w:lang w:val="en-GB"/>
        </w:rPr>
      </w:pPr>
      <w:r>
        <w:rPr>
          <w:rStyle w:val="FootnoteReference"/>
        </w:rPr>
        <w:footnoteRef/>
      </w:r>
      <w:r>
        <w:t xml:space="preserve"> </w:t>
      </w:r>
      <w:r>
        <w:rPr>
          <w:lang w:val="en-GB"/>
        </w:rPr>
        <w:t xml:space="preserve">Guidance text at page 45. </w:t>
      </w:r>
    </w:p>
  </w:footnote>
  <w:footnote w:id="11">
    <w:p w14:paraId="1C0669CD" w14:textId="3BD8A67C" w:rsidR="002E1E8A" w:rsidRPr="00511AB6" w:rsidRDefault="002E1E8A">
      <w:pPr>
        <w:pStyle w:val="FootnoteText"/>
        <w:rPr>
          <w:lang w:val="en-GB"/>
        </w:rPr>
      </w:pPr>
      <w:r>
        <w:rPr>
          <w:rStyle w:val="FootnoteReference"/>
        </w:rPr>
        <w:footnoteRef/>
      </w:r>
      <w:r>
        <w:t xml:space="preserve"> </w:t>
      </w:r>
      <w:hyperlink r:id="rId5" w:history="1">
        <w:r w:rsidRPr="00BC1C22">
          <w:rPr>
            <w:rStyle w:val="Hyperlink"/>
          </w:rPr>
          <w:t>https://commission.europa.eu/system/files/2023-02/Final%20Report%20-%20Abusive%20Forum%20Shopping_Febr%202022.pdf</w:t>
        </w:r>
      </w:hyperlink>
      <w:r>
        <w:t xml:space="preserve"> European Commission "</w:t>
      </w:r>
      <w:r w:rsidRPr="00511AB6">
        <w:t>Study on the issue of abusive forum shopping in insolvency proceedings</w:t>
      </w:r>
      <w:r>
        <w:t xml:space="preserve">" dated February 2022, accessed 20 May 2023. </w:t>
      </w:r>
    </w:p>
  </w:footnote>
  <w:footnote w:id="12">
    <w:p w14:paraId="32841812" w14:textId="37D5FBCD" w:rsidR="002E1E8A" w:rsidRPr="00C45C98" w:rsidRDefault="002E1E8A" w:rsidP="00C45C98">
      <w:pPr>
        <w:pStyle w:val="FootnoteText"/>
        <w:rPr>
          <w:bCs/>
          <w:lang w:val="en-GB"/>
        </w:rPr>
      </w:pPr>
      <w:r>
        <w:rPr>
          <w:rStyle w:val="FootnoteReference"/>
        </w:rPr>
        <w:footnoteRef/>
      </w:r>
      <w:r>
        <w:t xml:space="preserve"> </w:t>
      </w:r>
      <w:hyperlink r:id="rId6" w:history="1">
        <w:r w:rsidRPr="00C45C98">
          <w:rPr>
            <w:rStyle w:val="Hyperlink"/>
          </w:rPr>
          <w:t>https://blogs.law.ox.ac.uk/business-law-blog/blog/2021/07/restructuring-and-insolvency-europe-policy-options-implementation-eu</w:t>
        </w:r>
      </w:hyperlink>
      <w:r w:rsidRPr="00C45C98">
        <w:t xml:space="preserve"> </w:t>
      </w:r>
      <w:r>
        <w:t xml:space="preserve">J </w:t>
      </w:r>
      <w:proofErr w:type="spellStart"/>
      <w:r>
        <w:t>Garrido</w:t>
      </w:r>
      <w:proofErr w:type="spellEnd"/>
      <w:r>
        <w:t xml:space="preserve">, C DeLong, A </w:t>
      </w:r>
      <w:proofErr w:type="spellStart"/>
      <w:r>
        <w:t>Rsekh</w:t>
      </w:r>
      <w:proofErr w:type="spellEnd"/>
      <w:r>
        <w:t xml:space="preserve"> and A </w:t>
      </w:r>
      <w:proofErr w:type="spellStart"/>
      <w:r>
        <w:t>Rosha</w:t>
      </w:r>
      <w:proofErr w:type="spellEnd"/>
      <w:r>
        <w:t xml:space="preserve"> "</w:t>
      </w:r>
      <w:r w:rsidRPr="00C45C98">
        <w:rPr>
          <w:bCs/>
          <w:i/>
          <w:lang w:val="en-GB"/>
        </w:rPr>
        <w:t>Restructuring and Insolvency in Europe: Policy Options in the Implementation of the EU Directive</w:t>
      </w:r>
      <w:r>
        <w:rPr>
          <w:bCs/>
          <w:lang w:val="en-GB"/>
        </w:rPr>
        <w:t xml:space="preserve">" dated 30 July 2021, accessed 20 May 2023. </w:t>
      </w:r>
    </w:p>
    <w:p w14:paraId="1AFE0A9F" w14:textId="352DB650" w:rsidR="002E1E8A" w:rsidRPr="00C45C98" w:rsidRDefault="002E1E8A">
      <w:pPr>
        <w:pStyle w:val="FootnoteText"/>
      </w:pPr>
    </w:p>
  </w:footnote>
  <w:footnote w:id="13">
    <w:p w14:paraId="2B14C5CE" w14:textId="2062F039" w:rsidR="002E1E8A" w:rsidRPr="008F06AC" w:rsidRDefault="002E1E8A">
      <w:pPr>
        <w:pStyle w:val="FootnoteText"/>
        <w:rPr>
          <w:lang w:val="en-GB"/>
        </w:rPr>
      </w:pPr>
      <w:r>
        <w:rPr>
          <w:rStyle w:val="FootnoteReference"/>
        </w:rPr>
        <w:footnoteRef/>
      </w:r>
      <w:r>
        <w:t xml:space="preserve"> </w:t>
      </w:r>
      <w:r>
        <w:rPr>
          <w:lang w:val="en-GB"/>
        </w:rPr>
        <w:t xml:space="preserve">Guidance Text p65. </w:t>
      </w:r>
    </w:p>
  </w:footnote>
  <w:footnote w:id="14">
    <w:p w14:paraId="7E87C229" w14:textId="2FEC5EE1" w:rsidR="002E1E8A" w:rsidRPr="006A0B76" w:rsidRDefault="002E1E8A">
      <w:pPr>
        <w:pStyle w:val="FootnoteText"/>
        <w:rPr>
          <w:lang w:val="en-GB"/>
        </w:rPr>
      </w:pPr>
      <w:r>
        <w:rPr>
          <w:rStyle w:val="FootnoteReference"/>
        </w:rPr>
        <w:footnoteRef/>
      </w:r>
      <w:r>
        <w:t xml:space="preserve"> Case C-341/04, ECLI:EU:C:2006:281 (May 2, 2006) (hereinafter the "</w:t>
      </w:r>
      <w:proofErr w:type="spellStart"/>
      <w:r w:rsidRPr="00EE5E63">
        <w:rPr>
          <w:i/>
          <w:lang w:val="en-GB"/>
        </w:rPr>
        <w:t>Eurofood</w:t>
      </w:r>
      <w:proofErr w:type="spellEnd"/>
      <w:r w:rsidRPr="00EE5E63">
        <w:rPr>
          <w:i/>
          <w:lang w:val="en-GB"/>
        </w:rPr>
        <w:t xml:space="preserve"> IFSC Ltd</w:t>
      </w:r>
      <w:r w:rsidRPr="00EE5E63">
        <w:rPr>
          <w:lang w:val="en-GB"/>
        </w:rPr>
        <w:t xml:space="preserve"> case</w:t>
      </w:r>
      <w:r>
        <w:rPr>
          <w:lang w:val="en-GB"/>
        </w:rPr>
        <w:t>").</w:t>
      </w:r>
    </w:p>
  </w:footnote>
  <w:footnote w:id="15">
    <w:p w14:paraId="48241B02" w14:textId="0318A557" w:rsidR="002E1E8A" w:rsidRPr="00E1326D" w:rsidRDefault="002E1E8A" w:rsidP="00E1326D">
      <w:pPr>
        <w:pStyle w:val="FootnoteText"/>
        <w:rPr>
          <w:lang w:val="en-GB"/>
        </w:rPr>
      </w:pPr>
      <w:r>
        <w:rPr>
          <w:rStyle w:val="FootnoteReference"/>
        </w:rPr>
        <w:footnoteRef/>
      </w:r>
      <w:r>
        <w:t xml:space="preserve"> </w:t>
      </w:r>
      <w:r>
        <w:rPr>
          <w:lang w:val="en-GB"/>
        </w:rPr>
        <w:t>Case C-396/09, ECLI:EU:C:2011:671 (Oct 20, 2011)(hereinafter the "</w:t>
      </w:r>
      <w:proofErr w:type="spellStart"/>
      <w:r w:rsidRPr="00E1326D">
        <w:rPr>
          <w:i/>
          <w:lang w:val="en-GB"/>
        </w:rPr>
        <w:t>Interedil</w:t>
      </w:r>
      <w:proofErr w:type="spellEnd"/>
      <w:r w:rsidRPr="00E1326D">
        <w:rPr>
          <w:i/>
          <w:lang w:val="en-GB"/>
        </w:rPr>
        <w:t xml:space="preserve"> </w:t>
      </w:r>
      <w:r w:rsidRPr="00E1326D">
        <w:rPr>
          <w:lang w:val="en-GB"/>
        </w:rPr>
        <w:t>case</w:t>
      </w:r>
      <w:r>
        <w:rPr>
          <w:lang w:val="en-GB"/>
        </w:rPr>
        <w:t>".</w:t>
      </w:r>
    </w:p>
    <w:p w14:paraId="2C2CE5AF" w14:textId="77777777" w:rsidR="002E1E8A" w:rsidRPr="00E1326D" w:rsidRDefault="002E1E8A" w:rsidP="00E1326D">
      <w:pPr>
        <w:pStyle w:val="FootnoteText"/>
        <w:rPr>
          <w:lang w:val="en-GB"/>
        </w:rPr>
      </w:pPr>
    </w:p>
    <w:p w14:paraId="092A5034" w14:textId="731DDAFD" w:rsidR="002E1E8A" w:rsidRPr="00E1326D" w:rsidRDefault="002E1E8A">
      <w:pPr>
        <w:pStyle w:val="FootnoteText"/>
        <w:rPr>
          <w:lang w:val="en-GB"/>
        </w:rPr>
      </w:pPr>
    </w:p>
  </w:footnote>
  <w:footnote w:id="16">
    <w:p w14:paraId="1CC898DA" w14:textId="4E806049" w:rsidR="00D4760F" w:rsidRPr="00D4760F" w:rsidRDefault="00D4760F">
      <w:pPr>
        <w:pStyle w:val="FootnoteText"/>
        <w:rPr>
          <w:lang w:val="en-GB"/>
        </w:rPr>
      </w:pPr>
      <w:r>
        <w:rPr>
          <w:rStyle w:val="FootnoteReference"/>
        </w:rPr>
        <w:footnoteRef/>
      </w:r>
      <w:r>
        <w:t xml:space="preserve"> </w:t>
      </w:r>
      <w:r>
        <w:rPr>
          <w:lang w:val="en-GB"/>
        </w:rPr>
        <w:t xml:space="preserve">Supra note 15, </w:t>
      </w:r>
      <w:proofErr w:type="spellStart"/>
      <w:r w:rsidRPr="00D4760F">
        <w:rPr>
          <w:i/>
          <w:lang w:val="en-GB"/>
        </w:rPr>
        <w:t>Interedil</w:t>
      </w:r>
      <w:proofErr w:type="spellEnd"/>
      <w:r>
        <w:rPr>
          <w:lang w:val="en-GB"/>
        </w:rPr>
        <w:t xml:space="preserve"> case at para 53. </w:t>
      </w:r>
    </w:p>
  </w:footnote>
  <w:footnote w:id="17">
    <w:p w14:paraId="19D58CBC" w14:textId="5BE4387F" w:rsidR="006C7FE9" w:rsidRPr="006C7FE9" w:rsidRDefault="006C7FE9">
      <w:pPr>
        <w:pStyle w:val="FootnoteText"/>
        <w:rPr>
          <w:lang w:val="en-GB"/>
        </w:rPr>
      </w:pPr>
      <w:r>
        <w:rPr>
          <w:rStyle w:val="FootnoteReference"/>
        </w:rPr>
        <w:footnoteRef/>
      </w:r>
      <w:r>
        <w:t xml:space="preserve"> </w:t>
      </w:r>
      <w:r w:rsidRPr="006C7FE9">
        <w:rPr>
          <w:lang w:val="en-GB"/>
        </w:rPr>
        <w:t xml:space="preserve">Supra note 15, </w:t>
      </w:r>
      <w:proofErr w:type="spellStart"/>
      <w:r w:rsidRPr="006C7FE9">
        <w:rPr>
          <w:i/>
          <w:lang w:val="en-GB"/>
        </w:rPr>
        <w:t>Interedil</w:t>
      </w:r>
      <w:proofErr w:type="spellEnd"/>
      <w:r w:rsidRPr="006C7FE9">
        <w:rPr>
          <w:lang w:val="en-GB"/>
        </w:rPr>
        <w:t xml:space="preserve"> case at para </w:t>
      </w:r>
      <w:r>
        <w:rPr>
          <w:lang w:val="en-GB"/>
        </w:rPr>
        <w:t>62</w:t>
      </w:r>
      <w:r w:rsidRPr="006C7FE9">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2D5B0E"/>
    <w:multiLevelType w:val="hybridMultilevel"/>
    <w:tmpl w:val="E7E00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3D6779C"/>
    <w:multiLevelType w:val="hybridMultilevel"/>
    <w:tmpl w:val="644C4482"/>
    <w:lvl w:ilvl="0" w:tplc="B13CC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3"/>
  </w:num>
  <w:num w:numId="3">
    <w:abstractNumId w:val="16"/>
  </w:num>
  <w:num w:numId="4">
    <w:abstractNumId w:val="28"/>
  </w:num>
  <w:num w:numId="5">
    <w:abstractNumId w:val="22"/>
  </w:num>
  <w:num w:numId="6">
    <w:abstractNumId w:val="25"/>
  </w:num>
  <w:num w:numId="7">
    <w:abstractNumId w:val="6"/>
  </w:num>
  <w:num w:numId="8">
    <w:abstractNumId w:val="19"/>
  </w:num>
  <w:num w:numId="9">
    <w:abstractNumId w:val="18"/>
  </w:num>
  <w:num w:numId="10">
    <w:abstractNumId w:val="14"/>
  </w:num>
  <w:num w:numId="11">
    <w:abstractNumId w:val="21"/>
  </w:num>
  <w:num w:numId="12">
    <w:abstractNumId w:val="2"/>
  </w:num>
  <w:num w:numId="13">
    <w:abstractNumId w:val="10"/>
  </w:num>
  <w:num w:numId="14">
    <w:abstractNumId w:val="17"/>
  </w:num>
  <w:num w:numId="15">
    <w:abstractNumId w:val="15"/>
  </w:num>
  <w:num w:numId="16">
    <w:abstractNumId w:val="9"/>
  </w:num>
  <w:num w:numId="17">
    <w:abstractNumId w:val="13"/>
  </w:num>
  <w:num w:numId="18">
    <w:abstractNumId w:val="3"/>
  </w:num>
  <w:num w:numId="19">
    <w:abstractNumId w:val="0"/>
  </w:num>
  <w:num w:numId="20">
    <w:abstractNumId w:val="5"/>
  </w:num>
  <w:num w:numId="21">
    <w:abstractNumId w:val="0"/>
  </w:num>
  <w:num w:numId="22">
    <w:abstractNumId w:val="7"/>
  </w:num>
  <w:num w:numId="23">
    <w:abstractNumId w:val="24"/>
  </w:num>
  <w:num w:numId="24">
    <w:abstractNumId w:val="26"/>
  </w:num>
  <w:num w:numId="25">
    <w:abstractNumId w:val="4"/>
  </w:num>
  <w:num w:numId="26">
    <w:abstractNumId w:val="29"/>
  </w:num>
  <w:num w:numId="27">
    <w:abstractNumId w:val="8"/>
  </w:num>
  <w:num w:numId="28">
    <w:abstractNumId w:val="1"/>
  </w:num>
  <w:num w:numId="29">
    <w:abstractNumId w:val="11"/>
  </w:num>
  <w:num w:numId="30">
    <w:abstractNumId w:val="27"/>
  </w:num>
  <w:num w:numId="31">
    <w:abstractNumId w:val="20"/>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DE6"/>
    <w:rsid w:val="00007146"/>
    <w:rsid w:val="00010BA0"/>
    <w:rsid w:val="00011F5F"/>
    <w:rsid w:val="0001344B"/>
    <w:rsid w:val="00016162"/>
    <w:rsid w:val="00020557"/>
    <w:rsid w:val="000250C7"/>
    <w:rsid w:val="00026F16"/>
    <w:rsid w:val="00037621"/>
    <w:rsid w:val="00041B32"/>
    <w:rsid w:val="00044D46"/>
    <w:rsid w:val="00045088"/>
    <w:rsid w:val="00045904"/>
    <w:rsid w:val="00054BEF"/>
    <w:rsid w:val="00054E15"/>
    <w:rsid w:val="00065166"/>
    <w:rsid w:val="00067C09"/>
    <w:rsid w:val="00082609"/>
    <w:rsid w:val="000851CC"/>
    <w:rsid w:val="00087CD6"/>
    <w:rsid w:val="00093BE8"/>
    <w:rsid w:val="000A68ED"/>
    <w:rsid w:val="000A7BF9"/>
    <w:rsid w:val="000B3B83"/>
    <w:rsid w:val="000B5FF1"/>
    <w:rsid w:val="000B609F"/>
    <w:rsid w:val="000C4079"/>
    <w:rsid w:val="000C5D33"/>
    <w:rsid w:val="000C6BB5"/>
    <w:rsid w:val="000D55A8"/>
    <w:rsid w:val="000E4841"/>
    <w:rsid w:val="000F1480"/>
    <w:rsid w:val="000F1677"/>
    <w:rsid w:val="000F3D6C"/>
    <w:rsid w:val="000F4A14"/>
    <w:rsid w:val="00101707"/>
    <w:rsid w:val="00113E29"/>
    <w:rsid w:val="0011473D"/>
    <w:rsid w:val="0011548B"/>
    <w:rsid w:val="00115C85"/>
    <w:rsid w:val="0011684C"/>
    <w:rsid w:val="00122A2E"/>
    <w:rsid w:val="00123855"/>
    <w:rsid w:val="00126A4D"/>
    <w:rsid w:val="0014171F"/>
    <w:rsid w:val="0014622C"/>
    <w:rsid w:val="00152348"/>
    <w:rsid w:val="0015456D"/>
    <w:rsid w:val="00155FA2"/>
    <w:rsid w:val="00161F1B"/>
    <w:rsid w:val="00162829"/>
    <w:rsid w:val="001709BA"/>
    <w:rsid w:val="00174DC4"/>
    <w:rsid w:val="00175A7D"/>
    <w:rsid w:val="00180548"/>
    <w:rsid w:val="00180AC4"/>
    <w:rsid w:val="00180CCE"/>
    <w:rsid w:val="00181587"/>
    <w:rsid w:val="0018267A"/>
    <w:rsid w:val="00182779"/>
    <w:rsid w:val="001830DF"/>
    <w:rsid w:val="00183ED8"/>
    <w:rsid w:val="00187A34"/>
    <w:rsid w:val="0019000F"/>
    <w:rsid w:val="001966D9"/>
    <w:rsid w:val="001A68CC"/>
    <w:rsid w:val="001A716A"/>
    <w:rsid w:val="001A7E9A"/>
    <w:rsid w:val="001B0F70"/>
    <w:rsid w:val="001B5016"/>
    <w:rsid w:val="001B6DDC"/>
    <w:rsid w:val="001B7E8A"/>
    <w:rsid w:val="001C45FC"/>
    <w:rsid w:val="001D0469"/>
    <w:rsid w:val="001D10A7"/>
    <w:rsid w:val="001D4862"/>
    <w:rsid w:val="001D5419"/>
    <w:rsid w:val="001D6E1C"/>
    <w:rsid w:val="001E25B9"/>
    <w:rsid w:val="001E49E0"/>
    <w:rsid w:val="001E5F8A"/>
    <w:rsid w:val="001E7B5A"/>
    <w:rsid w:val="001F7412"/>
    <w:rsid w:val="00202DFE"/>
    <w:rsid w:val="00203720"/>
    <w:rsid w:val="0020725B"/>
    <w:rsid w:val="002110F1"/>
    <w:rsid w:val="00216C24"/>
    <w:rsid w:val="0022193E"/>
    <w:rsid w:val="00222FB5"/>
    <w:rsid w:val="0024116D"/>
    <w:rsid w:val="00241B44"/>
    <w:rsid w:val="00241FA3"/>
    <w:rsid w:val="002439CD"/>
    <w:rsid w:val="00244C44"/>
    <w:rsid w:val="00245EFB"/>
    <w:rsid w:val="002519DE"/>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1E8A"/>
    <w:rsid w:val="002E39F8"/>
    <w:rsid w:val="002E4CF1"/>
    <w:rsid w:val="002F1956"/>
    <w:rsid w:val="002F3440"/>
    <w:rsid w:val="002F75A3"/>
    <w:rsid w:val="00302C83"/>
    <w:rsid w:val="00302D76"/>
    <w:rsid w:val="0030385D"/>
    <w:rsid w:val="00303C2F"/>
    <w:rsid w:val="003144EF"/>
    <w:rsid w:val="003252C2"/>
    <w:rsid w:val="00326292"/>
    <w:rsid w:val="00326415"/>
    <w:rsid w:val="00330937"/>
    <w:rsid w:val="00330F31"/>
    <w:rsid w:val="00331480"/>
    <w:rsid w:val="00332E11"/>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43DC"/>
    <w:rsid w:val="0038533C"/>
    <w:rsid w:val="003862D1"/>
    <w:rsid w:val="00386568"/>
    <w:rsid w:val="00390B57"/>
    <w:rsid w:val="003924FA"/>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D591B"/>
    <w:rsid w:val="003E0B16"/>
    <w:rsid w:val="003E4DB0"/>
    <w:rsid w:val="003E67D1"/>
    <w:rsid w:val="003E6D68"/>
    <w:rsid w:val="003F20E4"/>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262E"/>
    <w:rsid w:val="00477C72"/>
    <w:rsid w:val="00491675"/>
    <w:rsid w:val="00493855"/>
    <w:rsid w:val="00495E79"/>
    <w:rsid w:val="0049649C"/>
    <w:rsid w:val="004A0692"/>
    <w:rsid w:val="004A565C"/>
    <w:rsid w:val="004A57DD"/>
    <w:rsid w:val="004A7B51"/>
    <w:rsid w:val="004A7D71"/>
    <w:rsid w:val="004A7EF3"/>
    <w:rsid w:val="004B11FD"/>
    <w:rsid w:val="004B23A2"/>
    <w:rsid w:val="004C0D03"/>
    <w:rsid w:val="004C0D33"/>
    <w:rsid w:val="004C506B"/>
    <w:rsid w:val="004D1A5A"/>
    <w:rsid w:val="004D2FFF"/>
    <w:rsid w:val="004D3721"/>
    <w:rsid w:val="004D64F9"/>
    <w:rsid w:val="004E3A6B"/>
    <w:rsid w:val="004E622C"/>
    <w:rsid w:val="004E7148"/>
    <w:rsid w:val="004F4245"/>
    <w:rsid w:val="004F4AF9"/>
    <w:rsid w:val="004F5FDF"/>
    <w:rsid w:val="00511AB6"/>
    <w:rsid w:val="005177FE"/>
    <w:rsid w:val="0052263B"/>
    <w:rsid w:val="00524728"/>
    <w:rsid w:val="005331CA"/>
    <w:rsid w:val="00537970"/>
    <w:rsid w:val="00540E3A"/>
    <w:rsid w:val="00544127"/>
    <w:rsid w:val="00544F6E"/>
    <w:rsid w:val="005463A9"/>
    <w:rsid w:val="00553EB2"/>
    <w:rsid w:val="00560534"/>
    <w:rsid w:val="0056391B"/>
    <w:rsid w:val="005650E2"/>
    <w:rsid w:val="00565A57"/>
    <w:rsid w:val="00565F4B"/>
    <w:rsid w:val="00567AD7"/>
    <w:rsid w:val="00575B2D"/>
    <w:rsid w:val="005833D0"/>
    <w:rsid w:val="005846F3"/>
    <w:rsid w:val="0058622F"/>
    <w:rsid w:val="00586298"/>
    <w:rsid w:val="00591280"/>
    <w:rsid w:val="00592F82"/>
    <w:rsid w:val="005A0CCA"/>
    <w:rsid w:val="005A5090"/>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07294"/>
    <w:rsid w:val="00610388"/>
    <w:rsid w:val="00611DE6"/>
    <w:rsid w:val="00612CA5"/>
    <w:rsid w:val="00614D85"/>
    <w:rsid w:val="006153EC"/>
    <w:rsid w:val="00621A17"/>
    <w:rsid w:val="006259FE"/>
    <w:rsid w:val="00627CC9"/>
    <w:rsid w:val="00627DE9"/>
    <w:rsid w:val="00627E7B"/>
    <w:rsid w:val="00630542"/>
    <w:rsid w:val="0063292A"/>
    <w:rsid w:val="00632E44"/>
    <w:rsid w:val="00634622"/>
    <w:rsid w:val="00636808"/>
    <w:rsid w:val="00636C15"/>
    <w:rsid w:val="00640536"/>
    <w:rsid w:val="00641515"/>
    <w:rsid w:val="00654B27"/>
    <w:rsid w:val="00654C2F"/>
    <w:rsid w:val="00656DA7"/>
    <w:rsid w:val="00657087"/>
    <w:rsid w:val="006603F1"/>
    <w:rsid w:val="0066378A"/>
    <w:rsid w:val="006639DB"/>
    <w:rsid w:val="006661EF"/>
    <w:rsid w:val="006723E9"/>
    <w:rsid w:val="00677AEB"/>
    <w:rsid w:val="00680EF2"/>
    <w:rsid w:val="00687A1D"/>
    <w:rsid w:val="00696ED8"/>
    <w:rsid w:val="00697EA1"/>
    <w:rsid w:val="006A0B76"/>
    <w:rsid w:val="006A1718"/>
    <w:rsid w:val="006A2646"/>
    <w:rsid w:val="006A64DB"/>
    <w:rsid w:val="006A6530"/>
    <w:rsid w:val="006B435A"/>
    <w:rsid w:val="006B4C64"/>
    <w:rsid w:val="006C24ED"/>
    <w:rsid w:val="006C4FAA"/>
    <w:rsid w:val="006C5ADC"/>
    <w:rsid w:val="006C7FE9"/>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4D0C"/>
    <w:rsid w:val="00745D6F"/>
    <w:rsid w:val="007475C7"/>
    <w:rsid w:val="007603F5"/>
    <w:rsid w:val="0076364D"/>
    <w:rsid w:val="00764DB0"/>
    <w:rsid w:val="0076764D"/>
    <w:rsid w:val="0077498C"/>
    <w:rsid w:val="007772BD"/>
    <w:rsid w:val="007809BC"/>
    <w:rsid w:val="00782DF0"/>
    <w:rsid w:val="00782EE1"/>
    <w:rsid w:val="00784128"/>
    <w:rsid w:val="00793173"/>
    <w:rsid w:val="007942CB"/>
    <w:rsid w:val="00797CC0"/>
    <w:rsid w:val="007A107A"/>
    <w:rsid w:val="007A2A33"/>
    <w:rsid w:val="007A6B8D"/>
    <w:rsid w:val="007A7B20"/>
    <w:rsid w:val="007C1FCC"/>
    <w:rsid w:val="007C50AA"/>
    <w:rsid w:val="007C6201"/>
    <w:rsid w:val="007D18DD"/>
    <w:rsid w:val="007D6722"/>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2962"/>
    <w:rsid w:val="008837A6"/>
    <w:rsid w:val="00891364"/>
    <w:rsid w:val="0089145D"/>
    <w:rsid w:val="0089362E"/>
    <w:rsid w:val="00894C1D"/>
    <w:rsid w:val="00897A78"/>
    <w:rsid w:val="008A4DF2"/>
    <w:rsid w:val="008A6CFE"/>
    <w:rsid w:val="008B5333"/>
    <w:rsid w:val="008B6223"/>
    <w:rsid w:val="008C2DE1"/>
    <w:rsid w:val="008C385B"/>
    <w:rsid w:val="008C4AC6"/>
    <w:rsid w:val="008C66E0"/>
    <w:rsid w:val="008D57BB"/>
    <w:rsid w:val="008D6048"/>
    <w:rsid w:val="008D62F7"/>
    <w:rsid w:val="008D70EB"/>
    <w:rsid w:val="008E0EC8"/>
    <w:rsid w:val="008E3339"/>
    <w:rsid w:val="008E3C96"/>
    <w:rsid w:val="008E62C0"/>
    <w:rsid w:val="008E7371"/>
    <w:rsid w:val="008F06AC"/>
    <w:rsid w:val="008F20FC"/>
    <w:rsid w:val="008F5FFE"/>
    <w:rsid w:val="008F60C3"/>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6928"/>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66E85"/>
    <w:rsid w:val="00A71019"/>
    <w:rsid w:val="00A7758E"/>
    <w:rsid w:val="00A80D94"/>
    <w:rsid w:val="00A81029"/>
    <w:rsid w:val="00A83E9F"/>
    <w:rsid w:val="00A9235B"/>
    <w:rsid w:val="00A96489"/>
    <w:rsid w:val="00AA05BC"/>
    <w:rsid w:val="00AA55B5"/>
    <w:rsid w:val="00AB685C"/>
    <w:rsid w:val="00AB6C2D"/>
    <w:rsid w:val="00AC08F7"/>
    <w:rsid w:val="00AC2B13"/>
    <w:rsid w:val="00AC3839"/>
    <w:rsid w:val="00AC4C4F"/>
    <w:rsid w:val="00AC7082"/>
    <w:rsid w:val="00AD1FE3"/>
    <w:rsid w:val="00AD2931"/>
    <w:rsid w:val="00AD513F"/>
    <w:rsid w:val="00AD6870"/>
    <w:rsid w:val="00AE0EA8"/>
    <w:rsid w:val="00AE2316"/>
    <w:rsid w:val="00AE6A4F"/>
    <w:rsid w:val="00AE74BA"/>
    <w:rsid w:val="00AF228E"/>
    <w:rsid w:val="00AF31C0"/>
    <w:rsid w:val="00B016A8"/>
    <w:rsid w:val="00B070D2"/>
    <w:rsid w:val="00B12499"/>
    <w:rsid w:val="00B12EF7"/>
    <w:rsid w:val="00B14819"/>
    <w:rsid w:val="00B15E2F"/>
    <w:rsid w:val="00B17AA9"/>
    <w:rsid w:val="00B217A9"/>
    <w:rsid w:val="00B251A2"/>
    <w:rsid w:val="00B25BC5"/>
    <w:rsid w:val="00B30D9A"/>
    <w:rsid w:val="00B37016"/>
    <w:rsid w:val="00B44713"/>
    <w:rsid w:val="00B56103"/>
    <w:rsid w:val="00B63E14"/>
    <w:rsid w:val="00B64929"/>
    <w:rsid w:val="00B70CB2"/>
    <w:rsid w:val="00B736DF"/>
    <w:rsid w:val="00B743D6"/>
    <w:rsid w:val="00B74FBD"/>
    <w:rsid w:val="00B77F46"/>
    <w:rsid w:val="00B82586"/>
    <w:rsid w:val="00B829A3"/>
    <w:rsid w:val="00B86DB1"/>
    <w:rsid w:val="00B87869"/>
    <w:rsid w:val="00B963A0"/>
    <w:rsid w:val="00B96CE3"/>
    <w:rsid w:val="00BA543A"/>
    <w:rsid w:val="00BB0F2B"/>
    <w:rsid w:val="00BB38D1"/>
    <w:rsid w:val="00BD31E3"/>
    <w:rsid w:val="00BD73DA"/>
    <w:rsid w:val="00BE4FF3"/>
    <w:rsid w:val="00BF50F7"/>
    <w:rsid w:val="00C00B20"/>
    <w:rsid w:val="00C00E77"/>
    <w:rsid w:val="00C02F29"/>
    <w:rsid w:val="00C15FA2"/>
    <w:rsid w:val="00C20AFE"/>
    <w:rsid w:val="00C22A25"/>
    <w:rsid w:val="00C35671"/>
    <w:rsid w:val="00C35B77"/>
    <w:rsid w:val="00C35F52"/>
    <w:rsid w:val="00C376EB"/>
    <w:rsid w:val="00C40D2F"/>
    <w:rsid w:val="00C44DDC"/>
    <w:rsid w:val="00C45C98"/>
    <w:rsid w:val="00C46A92"/>
    <w:rsid w:val="00C46DF7"/>
    <w:rsid w:val="00C46EC1"/>
    <w:rsid w:val="00C52796"/>
    <w:rsid w:val="00C53E2C"/>
    <w:rsid w:val="00C550C8"/>
    <w:rsid w:val="00C56B61"/>
    <w:rsid w:val="00C606C3"/>
    <w:rsid w:val="00C60B85"/>
    <w:rsid w:val="00C620F4"/>
    <w:rsid w:val="00C63E03"/>
    <w:rsid w:val="00C72848"/>
    <w:rsid w:val="00C7592C"/>
    <w:rsid w:val="00C7729F"/>
    <w:rsid w:val="00C7736C"/>
    <w:rsid w:val="00C82D87"/>
    <w:rsid w:val="00C85CA1"/>
    <w:rsid w:val="00C8712A"/>
    <w:rsid w:val="00C91A7D"/>
    <w:rsid w:val="00C963D3"/>
    <w:rsid w:val="00CA7069"/>
    <w:rsid w:val="00CB0A7A"/>
    <w:rsid w:val="00CB1983"/>
    <w:rsid w:val="00CB2CBB"/>
    <w:rsid w:val="00CB7CAC"/>
    <w:rsid w:val="00CC5335"/>
    <w:rsid w:val="00CC5BA4"/>
    <w:rsid w:val="00CC5F05"/>
    <w:rsid w:val="00CD4998"/>
    <w:rsid w:val="00CE1035"/>
    <w:rsid w:val="00CE4206"/>
    <w:rsid w:val="00CE6E50"/>
    <w:rsid w:val="00CF2819"/>
    <w:rsid w:val="00CF4F9D"/>
    <w:rsid w:val="00CF70DC"/>
    <w:rsid w:val="00D056D4"/>
    <w:rsid w:val="00D148DC"/>
    <w:rsid w:val="00D17FDC"/>
    <w:rsid w:val="00D21F62"/>
    <w:rsid w:val="00D26E26"/>
    <w:rsid w:val="00D40ADE"/>
    <w:rsid w:val="00D43B3A"/>
    <w:rsid w:val="00D4760F"/>
    <w:rsid w:val="00D509A5"/>
    <w:rsid w:val="00D56B4E"/>
    <w:rsid w:val="00D608A4"/>
    <w:rsid w:val="00D60C7F"/>
    <w:rsid w:val="00D60E46"/>
    <w:rsid w:val="00D63EFD"/>
    <w:rsid w:val="00D651FD"/>
    <w:rsid w:val="00D66F96"/>
    <w:rsid w:val="00D72A71"/>
    <w:rsid w:val="00D75351"/>
    <w:rsid w:val="00D831BD"/>
    <w:rsid w:val="00D84752"/>
    <w:rsid w:val="00D86B3B"/>
    <w:rsid w:val="00D8748A"/>
    <w:rsid w:val="00D8775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326D"/>
    <w:rsid w:val="00E15BA9"/>
    <w:rsid w:val="00E2643F"/>
    <w:rsid w:val="00E26E19"/>
    <w:rsid w:val="00E30C8A"/>
    <w:rsid w:val="00E31DF3"/>
    <w:rsid w:val="00E36039"/>
    <w:rsid w:val="00E40D37"/>
    <w:rsid w:val="00E450A4"/>
    <w:rsid w:val="00E506BE"/>
    <w:rsid w:val="00E55547"/>
    <w:rsid w:val="00E604A1"/>
    <w:rsid w:val="00E6302B"/>
    <w:rsid w:val="00E6452F"/>
    <w:rsid w:val="00E64F45"/>
    <w:rsid w:val="00E6742D"/>
    <w:rsid w:val="00E71CB0"/>
    <w:rsid w:val="00E731D1"/>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D70E9"/>
    <w:rsid w:val="00EE4971"/>
    <w:rsid w:val="00EE5E63"/>
    <w:rsid w:val="00EE5EFF"/>
    <w:rsid w:val="00EF090E"/>
    <w:rsid w:val="00F00171"/>
    <w:rsid w:val="00F033DA"/>
    <w:rsid w:val="00F0668E"/>
    <w:rsid w:val="00F13FB1"/>
    <w:rsid w:val="00F17C87"/>
    <w:rsid w:val="00F25088"/>
    <w:rsid w:val="00F27CD8"/>
    <w:rsid w:val="00F30351"/>
    <w:rsid w:val="00F3323E"/>
    <w:rsid w:val="00F341F4"/>
    <w:rsid w:val="00F34F9D"/>
    <w:rsid w:val="00F35CCE"/>
    <w:rsid w:val="00F54039"/>
    <w:rsid w:val="00F5524B"/>
    <w:rsid w:val="00F60538"/>
    <w:rsid w:val="00F61DD2"/>
    <w:rsid w:val="00F66AFF"/>
    <w:rsid w:val="00F71433"/>
    <w:rsid w:val="00F76CD4"/>
    <w:rsid w:val="00F814B4"/>
    <w:rsid w:val="00F83464"/>
    <w:rsid w:val="00F92B1F"/>
    <w:rsid w:val="00F93BE7"/>
    <w:rsid w:val="00F97C5B"/>
    <w:rsid w:val="00FA3D50"/>
    <w:rsid w:val="00FB6122"/>
    <w:rsid w:val="00FB7A3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C45C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C45C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33870331">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COM:2012:0742:FIN:En:PDF" TargetMode="External"/><Relationship Id="rId2" Type="http://schemas.openxmlformats.org/officeDocument/2006/relationships/hyperlink" Target="https://kluwerlawonline.com/journalarticle/European+Company+Law/13.4/EUCL2016019" TargetMode="External"/><Relationship Id="rId1" Type="http://schemas.openxmlformats.org/officeDocument/2006/relationships/hyperlink" Target="https://www.europarl.europa.eu/meetdocs/2009_2014/documents/com/com_com(2012)0744_/com_com(2012)0744_en.pdf" TargetMode="External"/><Relationship Id="rId6" Type="http://schemas.openxmlformats.org/officeDocument/2006/relationships/hyperlink" Target="https://blogs.law.ox.ac.uk/business-law-blog/blog/2021/07/restructuring-and-insolvency-europe-policy-options-implementation-eu" TargetMode="External"/><Relationship Id="rId5" Type="http://schemas.openxmlformats.org/officeDocument/2006/relationships/hyperlink" Target="https://commission.europa.eu/system/files/2023-02/Final%20Report%20-%20Abusive%20Forum%20Shopping_Febr%202022.pdf" TargetMode="External"/><Relationship Id="rId4" Type="http://schemas.openxmlformats.org/officeDocument/2006/relationships/hyperlink" Target="https://www.simmons-simmons.com/en/publications/cky2qoe0o150m0a90i5zb334u/amendment-of-the-recast-european-insolvency-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05DE-0007-4B77-8326-82205D00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7829</Words>
  <Characters>44628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Proctor</cp:lastModifiedBy>
  <cp:revision>4</cp:revision>
  <cp:lastPrinted>2019-08-27T05:42:00Z</cp:lastPrinted>
  <dcterms:created xsi:type="dcterms:W3CDTF">2023-07-30T15:13:00Z</dcterms:created>
  <dcterms:modified xsi:type="dcterms:W3CDTF">2023-07-31T19:11:00Z</dcterms:modified>
</cp:coreProperties>
</file>