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7B58E7">
        <w:rPr>
          <w:rFonts w:ascii="Avenir Next" w:hAnsi="Avenir Next" w:cs="Arial"/>
          <w:sz w:val="22"/>
          <w:szCs w:val="22"/>
          <w:highlight w:val="yellow"/>
          <w:lang w:val="en-GB"/>
        </w:rPr>
        <w:t>Federal</w:t>
      </w:r>
      <w:r w:rsidRPr="00500836">
        <w:rPr>
          <w:rFonts w:ascii="Avenir Next" w:hAnsi="Avenir Next" w:cs="Arial"/>
          <w:sz w:val="22"/>
          <w:szCs w:val="22"/>
          <w:lang w:val="en-GB"/>
        </w:rPr>
        <w:t>.</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C57600" w:rsidRDefault="00D03AE2" w:rsidP="00D03AE2">
      <w:pPr>
        <w:pStyle w:val="ListParagraph"/>
        <w:numPr>
          <w:ilvl w:val="0"/>
          <w:numId w:val="23"/>
        </w:numPr>
        <w:ind w:left="426"/>
        <w:jc w:val="both"/>
        <w:rPr>
          <w:rFonts w:ascii="Avenir Next" w:hAnsi="Avenir Next" w:cs="Arial"/>
          <w:sz w:val="22"/>
          <w:szCs w:val="22"/>
        </w:rPr>
      </w:pPr>
      <w:r w:rsidRPr="007B58E7">
        <w:rPr>
          <w:rFonts w:ascii="Avenir Next" w:hAnsi="Avenir Next" w:cs="Arial"/>
          <w:sz w:val="22"/>
          <w:szCs w:val="22"/>
          <w:highlight w:val="yellow"/>
        </w:rPr>
        <w:t>T</w:t>
      </w:r>
      <w:r w:rsidR="00582326" w:rsidRPr="007B58E7">
        <w:rPr>
          <w:rFonts w:ascii="Avenir Next" w:hAnsi="Avenir Next" w:cs="Arial"/>
          <w:sz w:val="22"/>
          <w:szCs w:val="22"/>
          <w:highlight w:val="yellow"/>
        </w:rPr>
        <w:t>he Bankruptcy and Insolvency Act (BIA)</w:t>
      </w:r>
      <w:r w:rsidR="00582326" w:rsidRPr="00C57600">
        <w:rPr>
          <w:rFonts w:ascii="Avenir Next" w:hAnsi="Avenir Next" w:cs="Arial"/>
          <w:sz w:val="22"/>
          <w:szCs w:val="22"/>
        </w:rPr>
        <w:t>.</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992661" w:rsidRDefault="00771D67" w:rsidP="00992661">
      <w:pPr>
        <w:pStyle w:val="ListParagraph"/>
        <w:numPr>
          <w:ilvl w:val="0"/>
          <w:numId w:val="24"/>
        </w:numPr>
        <w:ind w:left="426"/>
        <w:rPr>
          <w:rFonts w:ascii="Avenir Next" w:hAnsi="Avenir Next" w:cs="Arial"/>
          <w:sz w:val="22"/>
          <w:szCs w:val="22"/>
        </w:rPr>
      </w:pPr>
      <w:r w:rsidRPr="007B58E7">
        <w:rPr>
          <w:rFonts w:ascii="Avenir Next" w:hAnsi="Avenir Next" w:cs="Arial"/>
          <w:sz w:val="22"/>
          <w:szCs w:val="22"/>
          <w:highlight w:val="yellow"/>
        </w:rPr>
        <w:t xml:space="preserve">The CCAA is available to companies with debts </w:t>
      </w:r>
      <w:r w:rsidR="00992661" w:rsidRPr="007B58E7">
        <w:rPr>
          <w:rFonts w:ascii="Avenir Next" w:hAnsi="Avenir Next" w:cs="Arial"/>
          <w:sz w:val="22"/>
          <w:szCs w:val="22"/>
          <w:highlight w:val="yellow"/>
        </w:rPr>
        <w:t xml:space="preserve">of </w:t>
      </w:r>
      <w:r w:rsidRPr="007B58E7">
        <w:rPr>
          <w:rFonts w:ascii="Avenir Next" w:hAnsi="Avenir Next" w:cs="Arial"/>
          <w:sz w:val="22"/>
          <w:szCs w:val="22"/>
          <w:highlight w:val="yellow"/>
        </w:rPr>
        <w:t>less than CAD 5 million</w:t>
      </w:r>
      <w:r w:rsidRPr="00992661">
        <w:rPr>
          <w:rFonts w:ascii="Avenir Next" w:hAnsi="Avenir Next" w:cs="Arial"/>
          <w:sz w:val="22"/>
          <w:szCs w:val="22"/>
        </w:rPr>
        <w:t>.</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lastRenderedPageBreak/>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w:t>
      </w:r>
      <w:proofErr w:type="gramStart"/>
      <w:r w:rsidRPr="00992661">
        <w:rPr>
          <w:rFonts w:ascii="Avenir Next" w:hAnsi="Avenir Next" w:cs="Arial"/>
          <w:sz w:val="22"/>
          <w:szCs w:val="22"/>
        </w:rPr>
        <w:t>framework, and</w:t>
      </w:r>
      <w:proofErr w:type="gramEnd"/>
      <w:r w:rsidRPr="00992661">
        <w:rPr>
          <w:rFonts w:ascii="Avenir Next" w:hAnsi="Avenir Next" w:cs="Arial"/>
          <w:sz w:val="22"/>
          <w:szCs w:val="22"/>
        </w:rPr>
        <w:t xml:space="preserve">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B4609D" w:rsidRDefault="00B4609D" w:rsidP="00B4609D">
      <w:pPr>
        <w:pStyle w:val="ListParagraph"/>
        <w:numPr>
          <w:ilvl w:val="0"/>
          <w:numId w:val="25"/>
        </w:numPr>
        <w:ind w:left="426"/>
        <w:jc w:val="both"/>
        <w:rPr>
          <w:rFonts w:ascii="Avenir Next" w:hAnsi="Avenir Next" w:cs="Arial"/>
          <w:sz w:val="22"/>
          <w:szCs w:val="22"/>
        </w:rPr>
      </w:pPr>
      <w:proofErr w:type="gramStart"/>
      <w:r w:rsidRPr="007B58E7">
        <w:rPr>
          <w:rFonts w:ascii="Avenir Next" w:hAnsi="Avenir Next" w:cs="Arial"/>
          <w:sz w:val="22"/>
          <w:szCs w:val="22"/>
          <w:highlight w:val="yellow"/>
        </w:rPr>
        <w:t>all of</w:t>
      </w:r>
      <w:proofErr w:type="gramEnd"/>
      <w:r w:rsidRPr="007B58E7">
        <w:rPr>
          <w:rFonts w:ascii="Avenir Next" w:hAnsi="Avenir Next" w:cs="Arial"/>
          <w:sz w:val="22"/>
          <w:szCs w:val="22"/>
          <w:highlight w:val="yellow"/>
        </w:rPr>
        <w:t xml:space="preserve"> the above statements</w:t>
      </w:r>
      <w:r w:rsidR="00D40715" w:rsidRPr="007B58E7">
        <w:rPr>
          <w:rFonts w:ascii="Avenir Next" w:hAnsi="Avenir Next" w:cs="Arial"/>
          <w:sz w:val="22"/>
          <w:szCs w:val="22"/>
          <w:highlight w:val="yellow"/>
        </w:rPr>
        <w:t xml:space="preserve"> are correct</w:t>
      </w:r>
      <w:r w:rsidRPr="00B4609D">
        <w:rPr>
          <w:rFonts w:ascii="Avenir Next" w:hAnsi="Avenir Next" w:cs="Arial"/>
          <w:sz w:val="22"/>
          <w:szCs w:val="22"/>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7B58E7"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7B58E7">
        <w:rPr>
          <w:rFonts w:ascii="Avenir Next" w:hAnsi="Avenir Next" w:cs="Arial"/>
          <w:sz w:val="22"/>
          <w:szCs w:val="22"/>
          <w:highlight w:val="yellow"/>
          <w:lang w:val="en-GB"/>
        </w:rPr>
        <w:t>A</w:t>
      </w:r>
      <w:r w:rsidR="00012B29" w:rsidRPr="007B58E7">
        <w:rPr>
          <w:rFonts w:ascii="Avenir Next" w:hAnsi="Avenir Next" w:cs="Arial"/>
          <w:sz w:val="22"/>
          <w:szCs w:val="22"/>
          <w:highlight w:val="yellow"/>
          <w:lang w:val="en-GB"/>
        </w:rPr>
        <w:t xml:space="preserve"> person whose liabilities to creditors provable as claims under the BIA amount to at least CAD 10,000</w:t>
      </w:r>
      <w:r w:rsidRPr="007B58E7">
        <w:rPr>
          <w:rFonts w:ascii="Avenir Next" w:hAnsi="Avenir Next" w:cs="Arial"/>
          <w:sz w:val="22"/>
          <w:szCs w:val="22"/>
          <w:highlight w:val="yellow"/>
          <w:lang w:val="en-GB"/>
        </w:rPr>
        <w:t>.</w:t>
      </w:r>
      <w:r w:rsidR="00012B29" w:rsidRPr="007B58E7">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Default="00351EF7" w:rsidP="00351EF7">
      <w:pPr>
        <w:pStyle w:val="ListParagraph"/>
        <w:numPr>
          <w:ilvl w:val="0"/>
          <w:numId w:val="27"/>
        </w:numPr>
        <w:ind w:left="426"/>
        <w:jc w:val="both"/>
        <w:rPr>
          <w:rFonts w:ascii="Avenir Next" w:hAnsi="Avenir Next" w:cs="Arial"/>
          <w:sz w:val="22"/>
          <w:szCs w:val="22"/>
          <w:lang w:val="en-GB"/>
        </w:rPr>
      </w:pPr>
      <w:r w:rsidRPr="007B58E7">
        <w:rPr>
          <w:rFonts w:ascii="Avenir Next" w:hAnsi="Avenir Next" w:cs="Arial"/>
          <w:sz w:val="22"/>
          <w:szCs w:val="22"/>
          <w:highlight w:val="yellow"/>
          <w:lang w:val="en-GB"/>
        </w:rPr>
        <w:t>continue to have a fiduciary duty to act honestly and in good faith with a view to the best interests of the company</w:t>
      </w:r>
      <w:r w:rsidRPr="00351EF7">
        <w:rPr>
          <w:rFonts w:ascii="Avenir Next" w:hAnsi="Avenir Next" w:cs="Arial"/>
          <w:sz w:val="22"/>
          <w:szCs w:val="22"/>
          <w:lang w:val="en-GB"/>
        </w:rPr>
        <w:t>.</w:t>
      </w:r>
    </w:p>
    <w:p w14:paraId="2D1B0656" w14:textId="77777777" w:rsidR="007B58E7" w:rsidRPr="00351EF7" w:rsidRDefault="007B58E7" w:rsidP="007B58E7">
      <w:pPr>
        <w:pStyle w:val="ListParagraph"/>
        <w:ind w:left="426"/>
        <w:jc w:val="both"/>
        <w:rPr>
          <w:rFonts w:ascii="Avenir Next" w:hAnsi="Avenir Next" w:cs="Arial"/>
          <w:sz w:val="22"/>
          <w:szCs w:val="22"/>
          <w:lang w:val="en-GB"/>
        </w:rPr>
      </w:pP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843230"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843230">
        <w:rPr>
          <w:rFonts w:ascii="Avenir Next" w:hAnsi="Avenir Next" w:cs="Arial"/>
          <w:iCs/>
          <w:sz w:val="22"/>
          <w:szCs w:val="22"/>
          <w:highlight w:val="yellow"/>
          <w:lang w:val="en-GB"/>
        </w:rPr>
        <w:t>True</w:t>
      </w:r>
      <w:r w:rsidR="00F47A63" w:rsidRPr="00843230">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843230"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843230">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843230"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843230">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lastRenderedPageBreak/>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843230"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843230">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3FAB29A5" w:rsidR="006F4E04" w:rsidRDefault="00843230" w:rsidP="00843230">
      <w:pPr>
        <w:ind w:left="720"/>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 xml:space="preserve">To (a) provide for the financial rehabilitation of insolvent persons; (b) provide a collective proceeding for orderly and fair distribution of property of a bankrupt among unsecured creditors on a </w:t>
      </w:r>
      <w:proofErr w:type="spellStart"/>
      <w:r>
        <w:rPr>
          <w:rFonts w:ascii="Avenir Next" w:hAnsi="Avenir Next" w:cs="Arial"/>
          <w:i/>
          <w:iCs/>
          <w:sz w:val="22"/>
          <w:szCs w:val="22"/>
          <w:lang w:val="en-GB"/>
        </w:rPr>
        <w:t>pari</w:t>
      </w:r>
      <w:proofErr w:type="spellEnd"/>
      <w:r>
        <w:rPr>
          <w:rFonts w:ascii="Avenir Next" w:hAnsi="Avenir Next" w:cs="Arial"/>
          <w:i/>
          <w:iCs/>
          <w:sz w:val="22"/>
          <w:szCs w:val="22"/>
          <w:lang w:val="en-GB"/>
        </w:rPr>
        <w:t xml:space="preserve"> passu </w:t>
      </w:r>
      <w:r>
        <w:rPr>
          <w:rFonts w:ascii="Avenir Next" w:hAnsi="Avenir Next" w:cs="Arial"/>
          <w:sz w:val="22"/>
          <w:szCs w:val="22"/>
          <w:lang w:val="en-GB"/>
        </w:rPr>
        <w:t xml:space="preserve">basis; and (c) allow for an investigation to be made into the affairs of a bankrupt. </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4671876D" w14:textId="722581A5" w:rsidR="004E1708" w:rsidRPr="004E1708" w:rsidRDefault="004E1708" w:rsidP="004E1708">
      <w:pPr>
        <w:ind w:left="720"/>
        <w:jc w:val="both"/>
        <w:rPr>
          <w:rFonts w:ascii="Avenir Next" w:hAnsi="Avenir Next" w:cs="Arial"/>
          <w:sz w:val="22"/>
          <w:szCs w:val="22"/>
          <w:lang w:val="en-GB"/>
        </w:rPr>
      </w:pPr>
      <w:bookmarkStart w:id="0" w:name="_Hlk17709135"/>
      <w:r>
        <w:rPr>
          <w:rFonts w:ascii="Avenir Next" w:hAnsi="Avenir Next" w:cs="Arial"/>
          <w:sz w:val="22"/>
          <w:szCs w:val="22"/>
          <w:lang w:val="en-GB"/>
        </w:rPr>
        <w:t xml:space="preserve">The types of assets that a debtor </w:t>
      </w:r>
      <w:r w:rsidR="00545ACC">
        <w:rPr>
          <w:rFonts w:ascii="Avenir Next" w:hAnsi="Avenir Next" w:cs="Arial"/>
          <w:sz w:val="22"/>
          <w:szCs w:val="22"/>
          <w:lang w:val="en-GB"/>
        </w:rPr>
        <w:t>can</w:t>
      </w:r>
      <w:r>
        <w:rPr>
          <w:rFonts w:ascii="Avenir Next" w:hAnsi="Avenir Next" w:cs="Arial"/>
          <w:sz w:val="22"/>
          <w:szCs w:val="22"/>
          <w:lang w:val="en-GB"/>
        </w:rPr>
        <w:t xml:space="preserve"> keep include (a) personal items and clothing; (b) household furniture, </w:t>
      </w:r>
      <w:proofErr w:type="gramStart"/>
      <w:r>
        <w:rPr>
          <w:rFonts w:ascii="Avenir Next" w:hAnsi="Avenir Next" w:cs="Arial"/>
          <w:sz w:val="22"/>
          <w:szCs w:val="22"/>
          <w:lang w:val="en-GB"/>
        </w:rPr>
        <w:t>food</w:t>
      </w:r>
      <w:proofErr w:type="gramEnd"/>
      <w:r>
        <w:rPr>
          <w:rFonts w:ascii="Avenir Next" w:hAnsi="Avenir Next" w:cs="Arial"/>
          <w:sz w:val="22"/>
          <w:szCs w:val="22"/>
          <w:lang w:val="en-GB"/>
        </w:rPr>
        <w:t xml:space="preserve"> and utensils in the debtor’s permanent home; (c) tools necessary to a debtor’s work; (d) a motor vehicle with a value up to a certain limit; and (e) certain farm property. </w:t>
      </w:r>
      <w:proofErr w:type="gramStart"/>
      <w:r>
        <w:rPr>
          <w:rFonts w:ascii="Avenir Next" w:hAnsi="Avenir Next" w:cs="Arial"/>
          <w:sz w:val="22"/>
          <w:szCs w:val="22"/>
          <w:lang w:val="en-GB"/>
        </w:rPr>
        <w:t>With the exception of</w:t>
      </w:r>
      <w:proofErr w:type="gramEnd"/>
      <w:r>
        <w:rPr>
          <w:rFonts w:ascii="Avenir Next" w:hAnsi="Avenir Next" w:cs="Arial"/>
          <w:sz w:val="22"/>
          <w:szCs w:val="22"/>
          <w:lang w:val="en-GB"/>
        </w:rPr>
        <w:t xml:space="preserve"> trust property held for another and RRSPs, bankruptcy exemptions are set by provincial legislation, and how much of each exempt asset class the debtor can retain will therefore depend on provincial legislation. Some provinces have a limited homestead exemption, </w:t>
      </w:r>
      <w:proofErr w:type="spellStart"/>
      <w:r>
        <w:rPr>
          <w:rFonts w:ascii="Avenir Next" w:hAnsi="Avenir Next" w:cs="Arial"/>
          <w:i/>
          <w:iCs/>
          <w:sz w:val="22"/>
          <w:szCs w:val="22"/>
          <w:lang w:val="en-GB"/>
        </w:rPr>
        <w:t>eg</w:t>
      </w:r>
      <w:proofErr w:type="spellEnd"/>
      <w:r>
        <w:rPr>
          <w:rFonts w:ascii="Avenir Next" w:hAnsi="Avenir Next" w:cs="Arial"/>
          <w:sz w:val="22"/>
          <w:szCs w:val="22"/>
          <w:lang w:val="en-GB"/>
        </w:rPr>
        <w:t>, in Ontario, the principal residence of the debtor is exempt from forced seizure or sale if the value of the debtor’s equity in the principal residence does not exceed the prescribed amount of CAD 10,000.</w:t>
      </w:r>
    </w:p>
    <w:p w14:paraId="249C140C" w14:textId="77777777" w:rsidR="004E1708" w:rsidRDefault="004E1708" w:rsidP="00843230">
      <w:pPr>
        <w:ind w:firstLine="720"/>
        <w:jc w:val="both"/>
        <w:rPr>
          <w:rFonts w:ascii="Avenir Next" w:hAnsi="Avenir Next" w:cs="Arial"/>
          <w:sz w:val="22"/>
          <w:szCs w:val="22"/>
          <w:lang w:val="en-GB"/>
        </w:rPr>
      </w:pPr>
    </w:p>
    <w:p w14:paraId="7F1A8ABE" w14:textId="42D79035" w:rsidR="006F4E04" w:rsidRDefault="004E1708" w:rsidP="004E1708">
      <w:pPr>
        <w:ind w:left="720"/>
        <w:jc w:val="both"/>
        <w:rPr>
          <w:rFonts w:ascii="Avenir Next" w:hAnsi="Avenir Next" w:cs="Arial"/>
          <w:color w:val="808080" w:themeColor="background1" w:themeShade="80"/>
          <w:sz w:val="22"/>
          <w:szCs w:val="22"/>
          <w:lang w:val="en-GB"/>
        </w:rPr>
      </w:pPr>
      <w:r w:rsidRPr="004E1708">
        <w:rPr>
          <w:rFonts w:ascii="Avenir Next" w:hAnsi="Avenir Next" w:cs="Arial"/>
          <w:sz w:val="22"/>
          <w:szCs w:val="22"/>
          <w:lang w:val="en-GB"/>
        </w:rPr>
        <w:t>Individ</w:t>
      </w:r>
      <w:r>
        <w:rPr>
          <w:rFonts w:ascii="Avenir Next" w:hAnsi="Avenir Next" w:cs="Arial"/>
          <w:sz w:val="22"/>
          <w:szCs w:val="22"/>
          <w:lang w:val="en-GB"/>
        </w:rPr>
        <w:t>ual bankrupts are also entitled to keep a portion of income earned to maintain a reasonable standard of living, in accordance with the standards set by the Superintendent of Bankruptcy. Any income in surplus of such a standard must be paid to the trustee in bankruptcy.</w:t>
      </w:r>
    </w:p>
    <w:p w14:paraId="793404A4" w14:textId="43EAD4E3" w:rsidR="006F4E04"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452BA073" w:rsidR="006F4E04" w:rsidRPr="004E1708" w:rsidRDefault="004E1708" w:rsidP="00545ACC">
      <w:pPr>
        <w:ind w:left="720"/>
        <w:jc w:val="both"/>
        <w:rPr>
          <w:rFonts w:ascii="Avenir Next" w:hAnsi="Avenir Next" w:cs="Arial"/>
          <w:sz w:val="22"/>
          <w:szCs w:val="22"/>
          <w:lang w:val="en-GB"/>
        </w:rPr>
      </w:pPr>
      <w:r w:rsidRPr="004E1708">
        <w:rPr>
          <w:rFonts w:ascii="Avenir Next" w:hAnsi="Avenir Next" w:cs="Arial"/>
          <w:sz w:val="22"/>
          <w:szCs w:val="22"/>
          <w:lang w:val="en-GB"/>
        </w:rPr>
        <w:lastRenderedPageBreak/>
        <w:t xml:space="preserve">Trustees in bankruptcy, </w:t>
      </w:r>
      <w:r w:rsidR="003F10E6">
        <w:rPr>
          <w:rFonts w:ascii="Avenir Next" w:hAnsi="Avenir Next" w:cs="Arial"/>
          <w:sz w:val="22"/>
          <w:szCs w:val="22"/>
          <w:lang w:val="en-GB"/>
        </w:rPr>
        <w:t xml:space="preserve">court-appointed </w:t>
      </w:r>
      <w:r w:rsidRPr="004E1708">
        <w:rPr>
          <w:rFonts w:ascii="Avenir Next" w:hAnsi="Avenir Next" w:cs="Arial"/>
          <w:sz w:val="22"/>
          <w:szCs w:val="22"/>
          <w:lang w:val="en-GB"/>
        </w:rPr>
        <w:t>receivers and monitors</w:t>
      </w:r>
      <w:r>
        <w:rPr>
          <w:rFonts w:ascii="Avenir Next" w:hAnsi="Avenir Next" w:cs="Arial"/>
          <w:sz w:val="22"/>
          <w:szCs w:val="22"/>
          <w:lang w:val="en-GB"/>
        </w:rPr>
        <w:t xml:space="preserve"> in CCAA proceedings.</w:t>
      </w:r>
      <w:r w:rsidRPr="004E1708">
        <w:rPr>
          <w:rFonts w:ascii="Avenir Next" w:hAnsi="Avenir Next" w:cs="Arial"/>
          <w:sz w:val="22"/>
          <w:szCs w:val="22"/>
          <w:lang w:val="en-GB"/>
        </w:rPr>
        <w:t xml:space="preserve"> </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3864E91B" w14:textId="1E3D0770" w:rsidR="006F4E04" w:rsidRDefault="00862E38" w:rsidP="00862E38">
      <w:pPr>
        <w:ind w:left="720"/>
        <w:jc w:val="both"/>
        <w:rPr>
          <w:rFonts w:ascii="Avenir Next" w:hAnsi="Avenir Next" w:cs="Arial"/>
          <w:bCs/>
          <w:color w:val="000000" w:themeColor="text1"/>
          <w:sz w:val="22"/>
          <w:szCs w:val="22"/>
          <w:lang w:val="en-GB"/>
        </w:rPr>
      </w:pPr>
      <w:r>
        <w:rPr>
          <w:rFonts w:ascii="Avenir Next" w:hAnsi="Avenir Next" w:cs="Arial"/>
          <w:sz w:val="22"/>
          <w:szCs w:val="22"/>
          <w:lang w:val="en-GB"/>
        </w:rPr>
        <w:t xml:space="preserve">Under the BIA, a “person” includes a partnership, an unincorporated association, a corporation, a cooperative society or a cooperative organisation, the successors of a partnership, an association, of a corporation, of a society or of an organisation and the heirs, executors, liquidators of the succession, </w:t>
      </w:r>
      <w:proofErr w:type="gramStart"/>
      <w:r>
        <w:rPr>
          <w:rFonts w:ascii="Avenir Next" w:hAnsi="Avenir Next" w:cs="Arial"/>
          <w:sz w:val="22"/>
          <w:szCs w:val="22"/>
          <w:lang w:val="en-GB"/>
        </w:rPr>
        <w:t>administrators</w:t>
      </w:r>
      <w:proofErr w:type="gramEnd"/>
      <w:r>
        <w:rPr>
          <w:rFonts w:ascii="Avenir Next" w:hAnsi="Avenir Next" w:cs="Arial"/>
          <w:sz w:val="22"/>
          <w:szCs w:val="22"/>
          <w:lang w:val="en-GB"/>
        </w:rPr>
        <w:t xml:space="preserve"> or other legal representatives of a person.</w:t>
      </w: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A43C80F" w14:textId="6F9BEF95" w:rsidR="00862E38" w:rsidRDefault="00862E38" w:rsidP="00862E38">
      <w:pPr>
        <w:ind w:firstLine="720"/>
        <w:jc w:val="both"/>
        <w:rPr>
          <w:rFonts w:ascii="Avenir Next" w:hAnsi="Avenir Next" w:cs="Arial"/>
          <w:sz w:val="22"/>
          <w:szCs w:val="22"/>
          <w:lang w:val="en-GB"/>
        </w:rPr>
      </w:pPr>
      <w:r>
        <w:rPr>
          <w:rFonts w:ascii="Avenir Next" w:hAnsi="Avenir Next" w:cs="Arial"/>
          <w:sz w:val="22"/>
          <w:szCs w:val="22"/>
          <w:u w:val="single"/>
          <w:lang w:val="en-GB"/>
        </w:rPr>
        <w:t>How each type of receiver is appointed</w:t>
      </w:r>
    </w:p>
    <w:p w14:paraId="49218F8E" w14:textId="77777777" w:rsidR="00862E38" w:rsidRDefault="00862E38" w:rsidP="00862E38">
      <w:pPr>
        <w:ind w:left="720"/>
        <w:jc w:val="both"/>
        <w:rPr>
          <w:rFonts w:ascii="Avenir Next" w:hAnsi="Avenir Next" w:cs="Arial"/>
          <w:sz w:val="22"/>
          <w:szCs w:val="22"/>
          <w:lang w:val="en-GB"/>
        </w:rPr>
      </w:pPr>
      <w:r>
        <w:rPr>
          <w:rFonts w:ascii="Avenir Next" w:hAnsi="Avenir Next" w:cs="Arial"/>
          <w:sz w:val="22"/>
          <w:szCs w:val="22"/>
          <w:lang w:val="en-GB"/>
        </w:rPr>
        <w:t xml:space="preserve">A private receiver can be appointed if such an arrangement is provided for in the security arrangement between the debtor and the secured creditor. The secured creditor will have a contractual right to appoint a receiver if the debtor is unable to meet its obligations. </w:t>
      </w:r>
    </w:p>
    <w:p w14:paraId="6CFEAC9E" w14:textId="77777777" w:rsidR="00862E38" w:rsidRDefault="00862E38" w:rsidP="00862E38">
      <w:pPr>
        <w:ind w:left="720"/>
        <w:jc w:val="both"/>
        <w:rPr>
          <w:rFonts w:ascii="Avenir Next" w:hAnsi="Avenir Next" w:cs="Arial"/>
          <w:sz w:val="22"/>
          <w:szCs w:val="22"/>
          <w:lang w:val="en-GB"/>
        </w:rPr>
      </w:pPr>
    </w:p>
    <w:p w14:paraId="470D826E" w14:textId="77777777" w:rsidR="003F10E6" w:rsidRDefault="00862E38" w:rsidP="00862E38">
      <w:pPr>
        <w:ind w:left="720"/>
        <w:jc w:val="both"/>
        <w:rPr>
          <w:rFonts w:ascii="Avenir Next" w:hAnsi="Avenir Next" w:cs="Arial"/>
          <w:sz w:val="22"/>
          <w:szCs w:val="22"/>
          <w:lang w:val="en-GB"/>
        </w:rPr>
      </w:pPr>
      <w:r>
        <w:rPr>
          <w:rFonts w:ascii="Avenir Next" w:hAnsi="Avenir Next" w:cs="Arial"/>
          <w:sz w:val="22"/>
          <w:szCs w:val="22"/>
          <w:lang w:val="en-GB"/>
        </w:rPr>
        <w:t>By contrast, a court-appointed receiver may be appointed if the secured creditor makes an application under s 243 of the Bankruptcy and Insolvency Act</w:t>
      </w:r>
      <w:r w:rsidR="003F10E6">
        <w:rPr>
          <w:rFonts w:ascii="Avenir Next" w:hAnsi="Avenir Next" w:cs="Arial"/>
          <w:sz w:val="22"/>
          <w:szCs w:val="22"/>
          <w:lang w:val="en-GB"/>
        </w:rPr>
        <w:t xml:space="preserve"> (“BIA”)</w:t>
      </w:r>
      <w:r>
        <w:rPr>
          <w:rFonts w:ascii="Avenir Next" w:hAnsi="Avenir Next" w:cs="Arial"/>
          <w:sz w:val="22"/>
          <w:szCs w:val="22"/>
          <w:lang w:val="en-GB"/>
        </w:rPr>
        <w:t xml:space="preserve">, for the appointment of a receiver with national authority to take control of the business when the debtor is unable to meet its obligations under the security agreement. </w:t>
      </w:r>
      <w:r w:rsidR="003F10E6">
        <w:rPr>
          <w:rFonts w:ascii="Avenir Next" w:hAnsi="Avenir Next" w:cs="Arial"/>
          <w:sz w:val="22"/>
          <w:szCs w:val="22"/>
          <w:lang w:val="en-GB"/>
        </w:rPr>
        <w:t xml:space="preserve">The Courts of Justice Acts of the individual provinces also allow the court to appoint a receiver where it is “just and convenient” to do so. </w:t>
      </w:r>
    </w:p>
    <w:p w14:paraId="0EC76B81" w14:textId="77777777" w:rsidR="003F10E6" w:rsidRDefault="003F10E6" w:rsidP="00862E38">
      <w:pPr>
        <w:ind w:left="720"/>
        <w:jc w:val="both"/>
        <w:rPr>
          <w:rFonts w:ascii="Avenir Next" w:hAnsi="Avenir Next" w:cs="Arial"/>
          <w:sz w:val="22"/>
          <w:szCs w:val="22"/>
          <w:lang w:val="en-GB"/>
        </w:rPr>
      </w:pPr>
    </w:p>
    <w:p w14:paraId="20C90574" w14:textId="18FC776E" w:rsidR="00862E38" w:rsidRDefault="003F10E6" w:rsidP="00862E38">
      <w:pPr>
        <w:ind w:left="720"/>
        <w:jc w:val="both"/>
        <w:rPr>
          <w:rFonts w:ascii="Avenir Next" w:hAnsi="Avenir Next" w:cs="Arial"/>
          <w:sz w:val="22"/>
          <w:szCs w:val="22"/>
          <w:lang w:val="en-GB"/>
        </w:rPr>
      </w:pPr>
      <w:r>
        <w:rPr>
          <w:rFonts w:ascii="Avenir Next" w:hAnsi="Avenir Next" w:cs="Arial"/>
          <w:sz w:val="22"/>
          <w:szCs w:val="22"/>
          <w:lang w:val="en-GB"/>
        </w:rPr>
        <w:t xml:space="preserve">Section 244 of the BIA requires a secured creditor to provide a statutory 10-day notice of its intention to enforce its security and to appoint a receiver, if such a receiver is to be appointed over all or substantially </w:t>
      </w: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inventory, accounts receivables or other property of an insolvent debtor. Under ss 46 and 47 of the BIA, an interim receiver may be appointed prior to the expiry of the 10-day period where necessary to protect or preserve assets on an interim basis. </w:t>
      </w:r>
    </w:p>
    <w:p w14:paraId="33BC2608" w14:textId="77777777" w:rsidR="009D05A9" w:rsidRDefault="009D05A9" w:rsidP="00862E38">
      <w:pPr>
        <w:ind w:left="720"/>
        <w:jc w:val="both"/>
        <w:rPr>
          <w:rFonts w:ascii="Avenir Next" w:hAnsi="Avenir Next" w:cs="Arial"/>
          <w:sz w:val="22"/>
          <w:szCs w:val="22"/>
          <w:lang w:val="en-GB"/>
        </w:rPr>
      </w:pPr>
    </w:p>
    <w:p w14:paraId="66F8D5DE" w14:textId="67C96455" w:rsidR="009D05A9" w:rsidRDefault="009D05A9" w:rsidP="00862E38">
      <w:pPr>
        <w:ind w:left="720"/>
        <w:jc w:val="both"/>
        <w:rPr>
          <w:rFonts w:ascii="Avenir Next" w:hAnsi="Avenir Next" w:cs="Arial"/>
          <w:sz w:val="22"/>
          <w:szCs w:val="22"/>
          <w:lang w:val="en-GB"/>
        </w:rPr>
      </w:pPr>
      <w:r>
        <w:rPr>
          <w:rFonts w:ascii="Avenir Next" w:hAnsi="Avenir Next" w:cs="Arial"/>
          <w:sz w:val="22"/>
          <w:szCs w:val="22"/>
          <w:u w:val="single"/>
          <w:lang w:val="en-GB"/>
        </w:rPr>
        <w:t>Duties of each type of receiver</w:t>
      </w:r>
    </w:p>
    <w:p w14:paraId="0A7CE60F" w14:textId="1E3CC04E" w:rsidR="009D05A9" w:rsidRDefault="0054696F" w:rsidP="00862E38">
      <w:pPr>
        <w:ind w:left="720"/>
        <w:jc w:val="both"/>
        <w:rPr>
          <w:rFonts w:ascii="Avenir Next" w:hAnsi="Avenir Next" w:cs="Arial"/>
          <w:sz w:val="22"/>
          <w:szCs w:val="22"/>
          <w:lang w:val="en-GB"/>
        </w:rPr>
      </w:pPr>
      <w:r>
        <w:rPr>
          <w:rFonts w:ascii="Avenir Next" w:hAnsi="Avenir Next" w:cs="Arial"/>
          <w:sz w:val="22"/>
          <w:szCs w:val="22"/>
          <w:lang w:val="en-GB"/>
        </w:rPr>
        <w:lastRenderedPageBreak/>
        <w:t xml:space="preserve">A private receiver’s duties are primarily to the secured creditor that appointed it, though the private receiver has a general duty to act honestly, in good faith and in a commercially reasonable manner, including to attempt to maximise recoveries and to obtain the best price for the debtor’s assets in the circumstances. </w:t>
      </w:r>
    </w:p>
    <w:p w14:paraId="6E3FF9C7" w14:textId="77777777" w:rsidR="0054696F" w:rsidRDefault="0054696F" w:rsidP="00862E38">
      <w:pPr>
        <w:ind w:left="720"/>
        <w:jc w:val="both"/>
        <w:rPr>
          <w:rFonts w:ascii="Avenir Next" w:hAnsi="Avenir Next" w:cs="Arial"/>
          <w:sz w:val="22"/>
          <w:szCs w:val="22"/>
          <w:lang w:val="en-GB"/>
        </w:rPr>
      </w:pPr>
    </w:p>
    <w:p w14:paraId="338E3417" w14:textId="44B367E3" w:rsidR="009D05A9" w:rsidRDefault="0054696F" w:rsidP="00862E38">
      <w:pPr>
        <w:ind w:left="720"/>
        <w:jc w:val="both"/>
        <w:rPr>
          <w:rFonts w:ascii="Avenir Next" w:hAnsi="Avenir Next" w:cs="Arial"/>
          <w:sz w:val="22"/>
          <w:szCs w:val="22"/>
          <w:lang w:val="en-GB"/>
        </w:rPr>
      </w:pPr>
      <w:r>
        <w:rPr>
          <w:rFonts w:ascii="Avenir Next" w:hAnsi="Avenir Next" w:cs="Arial"/>
          <w:sz w:val="22"/>
          <w:szCs w:val="22"/>
          <w:lang w:val="en-GB"/>
        </w:rPr>
        <w:t>On the other hand, a</w:t>
      </w:r>
      <w:r w:rsidR="003F10E6">
        <w:rPr>
          <w:rFonts w:ascii="Avenir Next" w:hAnsi="Avenir Next" w:cs="Arial"/>
          <w:sz w:val="22"/>
          <w:szCs w:val="22"/>
          <w:lang w:val="en-GB"/>
        </w:rPr>
        <w:t xml:space="preserve"> court-appointed receiver is an officer of the court and has duties to </w:t>
      </w:r>
      <w:r w:rsidR="003F10E6" w:rsidRPr="0054696F">
        <w:rPr>
          <w:rFonts w:ascii="Avenir Next" w:hAnsi="Avenir Next" w:cs="Arial"/>
          <w:i/>
          <w:iCs/>
          <w:sz w:val="22"/>
          <w:szCs w:val="22"/>
          <w:lang w:val="en-GB"/>
        </w:rPr>
        <w:t>all</w:t>
      </w:r>
      <w:r w:rsidR="003F10E6">
        <w:rPr>
          <w:rFonts w:ascii="Avenir Next" w:hAnsi="Avenir Next" w:cs="Arial"/>
          <w:sz w:val="22"/>
          <w:szCs w:val="22"/>
          <w:lang w:val="en-GB"/>
        </w:rPr>
        <w:t xml:space="preserve"> creditors of the debtor. It reports to and takes directions from the court, not the creditor that first sought its appointment. </w:t>
      </w:r>
      <w:r w:rsidR="009D05A9">
        <w:rPr>
          <w:rFonts w:ascii="Avenir Next" w:hAnsi="Avenir Next" w:cs="Arial"/>
          <w:sz w:val="22"/>
          <w:szCs w:val="22"/>
          <w:lang w:val="en-GB"/>
        </w:rPr>
        <w:t xml:space="preserve">A court-appointed receiver derives his/her powers from the court order and any specific legislation governing his/her powers. </w:t>
      </w:r>
      <w:r w:rsidR="003F10E6">
        <w:rPr>
          <w:rFonts w:ascii="Avenir Next" w:hAnsi="Avenir Next" w:cs="Arial"/>
          <w:sz w:val="22"/>
          <w:szCs w:val="22"/>
          <w:lang w:val="en-GB"/>
        </w:rPr>
        <w:t xml:space="preserve">In most cases, the court order appointing the receiver gives the receiver broad powers </w:t>
      </w:r>
      <w:proofErr w:type="gramStart"/>
      <w:r w:rsidR="003F10E6">
        <w:rPr>
          <w:rFonts w:ascii="Avenir Next" w:hAnsi="Avenir Next" w:cs="Arial"/>
          <w:sz w:val="22"/>
          <w:szCs w:val="22"/>
          <w:lang w:val="en-GB"/>
        </w:rPr>
        <w:t>similar to</w:t>
      </w:r>
      <w:proofErr w:type="gramEnd"/>
      <w:r w:rsidR="003F10E6">
        <w:rPr>
          <w:rFonts w:ascii="Avenir Next" w:hAnsi="Avenir Next" w:cs="Arial"/>
          <w:sz w:val="22"/>
          <w:szCs w:val="22"/>
          <w:lang w:val="en-GB"/>
        </w:rPr>
        <w:t xml:space="preserve"> those normally granted to privately appointed receivers, although certain actions (</w:t>
      </w:r>
      <w:proofErr w:type="spellStart"/>
      <w:r w:rsidR="003F10E6">
        <w:rPr>
          <w:rFonts w:ascii="Avenir Next" w:hAnsi="Avenir Next" w:cs="Arial"/>
          <w:sz w:val="22"/>
          <w:szCs w:val="22"/>
          <w:lang w:val="en-GB"/>
        </w:rPr>
        <w:t>eg</w:t>
      </w:r>
      <w:proofErr w:type="spellEnd"/>
      <w:r w:rsidR="003F10E6">
        <w:rPr>
          <w:rFonts w:ascii="Avenir Next" w:hAnsi="Avenir Next" w:cs="Arial"/>
          <w:sz w:val="22"/>
          <w:szCs w:val="22"/>
          <w:lang w:val="en-GB"/>
        </w:rPr>
        <w:t xml:space="preserve">, the sale of major assets) will still require court approval. </w:t>
      </w:r>
      <w:r w:rsidR="009D05A9">
        <w:rPr>
          <w:rFonts w:ascii="Avenir Next" w:hAnsi="Avenir Next" w:cs="Arial"/>
          <w:sz w:val="22"/>
          <w:szCs w:val="22"/>
          <w:lang w:val="en-GB"/>
        </w:rPr>
        <w:t>The appointing court</w:t>
      </w:r>
      <w:r w:rsidR="003F10E6">
        <w:rPr>
          <w:rFonts w:ascii="Avenir Next" w:hAnsi="Avenir Next" w:cs="Arial"/>
          <w:sz w:val="22"/>
          <w:szCs w:val="22"/>
          <w:lang w:val="en-GB"/>
        </w:rPr>
        <w:t xml:space="preserve"> will</w:t>
      </w:r>
      <w:r w:rsidR="009D05A9">
        <w:rPr>
          <w:rFonts w:ascii="Avenir Next" w:hAnsi="Avenir Next" w:cs="Arial"/>
          <w:sz w:val="22"/>
          <w:szCs w:val="22"/>
          <w:lang w:val="en-GB"/>
        </w:rPr>
        <w:t xml:space="preserve"> typically </w:t>
      </w:r>
      <w:r w:rsidR="003F10E6">
        <w:rPr>
          <w:rFonts w:ascii="Avenir Next" w:hAnsi="Avenir Next" w:cs="Arial"/>
          <w:sz w:val="22"/>
          <w:szCs w:val="22"/>
          <w:lang w:val="en-GB"/>
        </w:rPr>
        <w:t>also i</w:t>
      </w:r>
      <w:r w:rsidR="009D05A9">
        <w:rPr>
          <w:rFonts w:ascii="Avenir Next" w:hAnsi="Avenir Next" w:cs="Arial"/>
          <w:sz w:val="22"/>
          <w:szCs w:val="22"/>
          <w:lang w:val="en-GB"/>
        </w:rPr>
        <w:t xml:space="preserve">ssue a broad stay of proceedings that, </w:t>
      </w:r>
      <w:r w:rsidR="009D05A9">
        <w:rPr>
          <w:rFonts w:ascii="Avenir Next" w:hAnsi="Avenir Next" w:cs="Arial"/>
          <w:i/>
          <w:iCs/>
          <w:sz w:val="22"/>
          <w:szCs w:val="22"/>
          <w:lang w:val="en-GB"/>
        </w:rPr>
        <w:t xml:space="preserve">inter </w:t>
      </w:r>
      <w:r w:rsidR="009D05A9" w:rsidRPr="009D05A9">
        <w:rPr>
          <w:rFonts w:ascii="Avenir Next" w:hAnsi="Avenir Next" w:cs="Arial"/>
          <w:i/>
          <w:iCs/>
          <w:sz w:val="22"/>
          <w:szCs w:val="22"/>
          <w:lang w:val="en-GB"/>
        </w:rPr>
        <w:t>alia</w:t>
      </w:r>
      <w:r w:rsidR="009D05A9">
        <w:rPr>
          <w:rFonts w:ascii="Avenir Next" w:hAnsi="Avenir Next" w:cs="Arial"/>
          <w:sz w:val="22"/>
          <w:szCs w:val="22"/>
          <w:lang w:val="en-GB"/>
        </w:rPr>
        <w:t xml:space="preserve">, restricts creditors from exercising any rights or remedies without first obtaining the court’s permission and provides for a super-priority charge for the receiver’s professional fees and that of its counsel and the appointing creditor over the assets. </w:t>
      </w:r>
    </w:p>
    <w:p w14:paraId="3066804A" w14:textId="77777777" w:rsidR="003F10E6" w:rsidRDefault="003F10E6" w:rsidP="00862E38">
      <w:pPr>
        <w:ind w:left="720"/>
        <w:jc w:val="both"/>
        <w:rPr>
          <w:rFonts w:ascii="Avenir Next" w:hAnsi="Avenir Next" w:cs="Arial"/>
          <w:sz w:val="22"/>
          <w:szCs w:val="22"/>
          <w:lang w:val="en-GB"/>
        </w:rPr>
      </w:pPr>
    </w:p>
    <w:p w14:paraId="333CBD27" w14:textId="48346F49" w:rsidR="003F10E6" w:rsidRDefault="003F10E6" w:rsidP="00862E38">
      <w:pPr>
        <w:ind w:left="720"/>
        <w:jc w:val="both"/>
        <w:rPr>
          <w:rFonts w:ascii="Avenir Next" w:hAnsi="Avenir Next" w:cs="Arial"/>
          <w:sz w:val="22"/>
          <w:szCs w:val="22"/>
          <w:lang w:val="en-GB"/>
        </w:rPr>
      </w:pPr>
      <w:r>
        <w:rPr>
          <w:rFonts w:ascii="Avenir Next" w:hAnsi="Avenir Next" w:cs="Arial"/>
          <w:sz w:val="22"/>
          <w:szCs w:val="22"/>
          <w:lang w:val="en-GB"/>
        </w:rPr>
        <w:t xml:space="preserve">Where an interim receiver is appointed, the interim receiver may take possession of the debtor’s </w:t>
      </w:r>
      <w:proofErr w:type="gramStart"/>
      <w:r>
        <w:rPr>
          <w:rFonts w:ascii="Avenir Next" w:hAnsi="Avenir Next" w:cs="Arial"/>
          <w:sz w:val="22"/>
          <w:szCs w:val="22"/>
          <w:lang w:val="en-GB"/>
        </w:rPr>
        <w:t>property, and</w:t>
      </w:r>
      <w:proofErr w:type="gramEnd"/>
      <w:r>
        <w:rPr>
          <w:rFonts w:ascii="Avenir Next" w:hAnsi="Avenir Next" w:cs="Arial"/>
          <w:sz w:val="22"/>
          <w:szCs w:val="22"/>
          <w:lang w:val="en-GB"/>
        </w:rPr>
        <w:t xml:space="preserve"> exercise such control over the debtor’s property and business as the court deems appropriate. However, interim receivers are only permitted to take conservation measures and summarily dispose of perishable or rapidly depreciable property of the debtor. The appointment of the interim receiver expires on the earlier of: (a) the taking of possession by a receiver or a trustee in bankruptcy of the debtor’s property; (b) the expiry of 30 days following the day on which the interim receiver was </w:t>
      </w:r>
      <w:proofErr w:type="gramStart"/>
      <w:r>
        <w:rPr>
          <w:rFonts w:ascii="Avenir Next" w:hAnsi="Avenir Next" w:cs="Arial"/>
          <w:sz w:val="22"/>
          <w:szCs w:val="22"/>
          <w:lang w:val="en-GB"/>
        </w:rPr>
        <w:t>appointed</w:t>
      </w:r>
      <w:proofErr w:type="gramEnd"/>
      <w:r>
        <w:rPr>
          <w:rFonts w:ascii="Avenir Next" w:hAnsi="Avenir Next" w:cs="Arial"/>
          <w:sz w:val="22"/>
          <w:szCs w:val="22"/>
          <w:lang w:val="en-GB"/>
        </w:rPr>
        <w:t xml:space="preserve"> or any period specified by the court, on in the case that the interim receivership concludes with a proposal, upon court approval of the proposal. </w:t>
      </w:r>
    </w:p>
    <w:p w14:paraId="779BBA23" w14:textId="77777777" w:rsidR="003F10E6" w:rsidRDefault="003F10E6" w:rsidP="00862E38">
      <w:pPr>
        <w:ind w:left="720"/>
        <w:jc w:val="both"/>
        <w:rPr>
          <w:rFonts w:ascii="Avenir Next" w:hAnsi="Avenir Next" w:cs="Arial"/>
          <w:sz w:val="22"/>
          <w:szCs w:val="22"/>
          <w:lang w:val="en-GB"/>
        </w:rPr>
      </w:pPr>
    </w:p>
    <w:p w14:paraId="50792D41" w14:textId="1BA88B17" w:rsidR="00862E38" w:rsidRDefault="003F10E6" w:rsidP="00862E38">
      <w:pPr>
        <w:ind w:left="720"/>
        <w:jc w:val="both"/>
        <w:rPr>
          <w:rFonts w:ascii="Avenir Next" w:hAnsi="Avenir Next" w:cs="Arial"/>
          <w:sz w:val="22"/>
          <w:szCs w:val="22"/>
          <w:lang w:val="en-GB"/>
        </w:rPr>
      </w:pPr>
      <w:r>
        <w:rPr>
          <w:rFonts w:ascii="Avenir Next" w:hAnsi="Avenir Next" w:cs="Arial"/>
          <w:sz w:val="22"/>
          <w:szCs w:val="22"/>
          <w:lang w:val="en-GB"/>
        </w:rPr>
        <w:t>Once a court-appointed receiver has realised the assets of the debtor, it will seek to distribute proceeds to creditors in accordance with their entitlements and priority, which generally requires court approval. If there are any surplus funds after satisfying all secured claims, the receiver may run a court-sanction</w:t>
      </w:r>
      <w:r w:rsidR="00545ACC">
        <w:rPr>
          <w:rFonts w:ascii="Avenir Next" w:hAnsi="Avenir Next" w:cs="Arial"/>
          <w:sz w:val="22"/>
          <w:szCs w:val="22"/>
          <w:lang w:val="en-GB"/>
        </w:rPr>
        <w:t>ed</w:t>
      </w:r>
      <w:r>
        <w:rPr>
          <w:rFonts w:ascii="Avenir Next" w:hAnsi="Avenir Next" w:cs="Arial"/>
          <w:sz w:val="22"/>
          <w:szCs w:val="22"/>
          <w:lang w:val="en-GB"/>
        </w:rPr>
        <w:t xml:space="preserve"> claims process or seek the court’s approval to assign the debtor into bankruptcy and have unsecured claims dealt with through bankruptcy proceedings.</w:t>
      </w:r>
    </w:p>
    <w:p w14:paraId="767554A5" w14:textId="77777777" w:rsidR="0054696F" w:rsidRDefault="0054696F" w:rsidP="00862E38">
      <w:pPr>
        <w:ind w:left="720"/>
        <w:jc w:val="both"/>
        <w:rPr>
          <w:rFonts w:ascii="Avenir Next" w:hAnsi="Avenir Next" w:cs="Arial"/>
          <w:sz w:val="22"/>
          <w:szCs w:val="22"/>
          <w:lang w:val="en-GB"/>
        </w:rPr>
      </w:pPr>
    </w:p>
    <w:p w14:paraId="5B330978" w14:textId="5AB31041" w:rsidR="0054696F" w:rsidRDefault="0054696F" w:rsidP="00862E38">
      <w:pPr>
        <w:ind w:left="720"/>
        <w:jc w:val="both"/>
        <w:rPr>
          <w:rFonts w:ascii="Avenir Next" w:hAnsi="Avenir Next" w:cs="Arial"/>
          <w:sz w:val="22"/>
          <w:szCs w:val="22"/>
          <w:lang w:val="en-GB"/>
        </w:rPr>
      </w:pPr>
      <w:r>
        <w:rPr>
          <w:rFonts w:ascii="Avenir Next" w:hAnsi="Avenir Next" w:cs="Arial"/>
          <w:sz w:val="22"/>
          <w:szCs w:val="22"/>
          <w:lang w:val="en-GB"/>
        </w:rPr>
        <w:t>Both private and court appointed receivers have reporting obligations mandated by their appointment. They must provide notice of their appointment to all known creditors and prepare and distribute interim and final reports concerning the receivership. These reports are filed with the Office of Superintendent of Bankruptcy (OSB) and made available to all creditors. Court-appointed receivers must also report to the court itself as and when necessary or required about how its mandate is being carried out.</w:t>
      </w:r>
    </w:p>
    <w:p w14:paraId="08563E92" w14:textId="77777777" w:rsidR="00862E38" w:rsidRDefault="00862E38" w:rsidP="00862E38">
      <w:pPr>
        <w:ind w:left="720"/>
        <w:jc w:val="both"/>
        <w:rPr>
          <w:rFonts w:ascii="Avenir Next" w:hAnsi="Avenir Next" w:cs="Arial"/>
          <w:sz w:val="22"/>
          <w:szCs w:val="22"/>
          <w:lang w:val="en-GB"/>
        </w:rPr>
      </w:pPr>
    </w:p>
    <w:p w14:paraId="0B31C8DE" w14:textId="77777777" w:rsidR="00862E38" w:rsidRDefault="00862E38" w:rsidP="00862E38">
      <w:pPr>
        <w:ind w:left="720"/>
        <w:jc w:val="both"/>
        <w:rPr>
          <w:rFonts w:ascii="Avenir Next" w:hAnsi="Avenir Next" w:cs="Arial"/>
          <w:sz w:val="22"/>
          <w:szCs w:val="22"/>
          <w:lang w:val="en-GB"/>
        </w:rPr>
      </w:pPr>
      <w:r>
        <w:rPr>
          <w:rFonts w:ascii="Avenir Next" w:hAnsi="Avenir Next" w:cs="Arial"/>
          <w:sz w:val="22"/>
          <w:szCs w:val="22"/>
          <w:u w:val="single"/>
          <w:lang w:val="en-GB"/>
        </w:rPr>
        <w:t xml:space="preserve">Circumstances in which each type of receiver is generally </w:t>
      </w:r>
      <w:proofErr w:type="gramStart"/>
      <w:r>
        <w:rPr>
          <w:rFonts w:ascii="Avenir Next" w:hAnsi="Avenir Next" w:cs="Arial"/>
          <w:sz w:val="22"/>
          <w:szCs w:val="22"/>
          <w:u w:val="single"/>
          <w:lang w:val="en-GB"/>
        </w:rPr>
        <w:t>used</w:t>
      </w:r>
      <w:proofErr w:type="gramEnd"/>
    </w:p>
    <w:p w14:paraId="46CFFF0F" w14:textId="4B522A28" w:rsidR="00862E38" w:rsidRDefault="00862E38" w:rsidP="0054696F">
      <w:pPr>
        <w:ind w:left="720"/>
        <w:jc w:val="both"/>
        <w:rPr>
          <w:rFonts w:ascii="Avenir Next" w:hAnsi="Avenir Next" w:cs="Arial"/>
          <w:sz w:val="22"/>
          <w:szCs w:val="22"/>
          <w:lang w:val="en-GB"/>
        </w:rPr>
      </w:pPr>
      <w:r>
        <w:rPr>
          <w:rFonts w:ascii="Avenir Next" w:hAnsi="Avenir Next" w:cs="Arial"/>
          <w:sz w:val="22"/>
          <w:szCs w:val="22"/>
          <w:lang w:val="en-GB"/>
        </w:rPr>
        <w:t xml:space="preserve">Court-appointed receivers are usually seen in more complex cases, especially when there are competing claims between creditors or disputes between the creditor and </w:t>
      </w:r>
      <w:r>
        <w:rPr>
          <w:rFonts w:ascii="Avenir Next" w:hAnsi="Avenir Next" w:cs="Arial"/>
          <w:sz w:val="22"/>
          <w:szCs w:val="22"/>
          <w:lang w:val="en-GB"/>
        </w:rPr>
        <w:lastRenderedPageBreak/>
        <w:t xml:space="preserve">the debtor, or in cases where it appears likely from the outset that the assistance of the court will be required on an ongoing basis. A court-appointed receiver may also be used where a greater degree of comfort for creditors and professionals is </w:t>
      </w:r>
      <w:proofErr w:type="gramStart"/>
      <w:r>
        <w:rPr>
          <w:rFonts w:ascii="Avenir Next" w:hAnsi="Avenir Next" w:cs="Arial"/>
          <w:sz w:val="22"/>
          <w:szCs w:val="22"/>
          <w:lang w:val="en-GB"/>
        </w:rPr>
        <w:t>desired, because</w:t>
      </w:r>
      <w:proofErr w:type="gramEnd"/>
      <w:r>
        <w:rPr>
          <w:rFonts w:ascii="Avenir Next" w:hAnsi="Avenir Next" w:cs="Arial"/>
          <w:sz w:val="22"/>
          <w:szCs w:val="22"/>
          <w:lang w:val="en-GB"/>
        </w:rPr>
        <w:t xml:space="preserve"> the court must approve many of the receiver’s decisions along the way. </w:t>
      </w:r>
    </w:p>
    <w:p w14:paraId="0C8994DB" w14:textId="77777777" w:rsidR="0054696F" w:rsidRDefault="0054696F" w:rsidP="0054696F">
      <w:pPr>
        <w:ind w:left="720"/>
        <w:jc w:val="both"/>
        <w:rPr>
          <w:rFonts w:ascii="Avenir Next" w:hAnsi="Avenir Next" w:cs="Arial"/>
          <w:sz w:val="22"/>
          <w:szCs w:val="22"/>
          <w:lang w:val="en-GB"/>
        </w:rPr>
      </w:pPr>
    </w:p>
    <w:p w14:paraId="1237349A" w14:textId="08D98FB1" w:rsidR="0054696F" w:rsidRPr="00862E38" w:rsidRDefault="0054696F" w:rsidP="0054696F">
      <w:pPr>
        <w:ind w:left="720"/>
        <w:jc w:val="both"/>
        <w:rPr>
          <w:rFonts w:ascii="Avenir Next" w:hAnsi="Avenir Next" w:cs="Arial"/>
          <w:sz w:val="22"/>
          <w:szCs w:val="22"/>
          <w:lang w:val="en-GB"/>
        </w:rPr>
      </w:pPr>
      <w:r>
        <w:rPr>
          <w:rFonts w:ascii="Avenir Next" w:hAnsi="Avenir Next" w:cs="Arial"/>
          <w:sz w:val="22"/>
          <w:szCs w:val="22"/>
          <w:lang w:val="en-GB"/>
        </w:rPr>
        <w:t>Private receiverships generally do not involve court attendance and may be used where a quick and cost-effective procedure is preferred. Concerns over successor liability to a receiver carrying on business may sometimes deter the use of private receivers. Private receivers are most often used where there is a small business or discrete pool of assets and there will not be competing creditor claims or disputes with the debtor.</w:t>
      </w:r>
    </w:p>
    <w:p w14:paraId="4FB6DF38" w14:textId="77777777" w:rsidR="00862E38" w:rsidRDefault="00862E38" w:rsidP="00862E38">
      <w:pPr>
        <w:ind w:firstLine="720"/>
        <w:jc w:val="both"/>
        <w:rPr>
          <w:rFonts w:ascii="Avenir Next" w:hAnsi="Avenir Next" w:cs="Arial"/>
          <w:color w:val="808080" w:themeColor="background1" w:themeShade="80"/>
          <w:sz w:val="22"/>
          <w:szCs w:val="22"/>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w:t>
      </w:r>
      <w:proofErr w:type="gramStart"/>
      <w:r w:rsidRPr="0026732A">
        <w:rPr>
          <w:rFonts w:ascii="Avenir Next" w:hAnsi="Avenir Next" w:cs="Arial"/>
          <w:sz w:val="22"/>
          <w:szCs w:val="22"/>
          <w:lang w:val="en-GB"/>
        </w:rPr>
        <w:t>entering into</w:t>
      </w:r>
      <w:proofErr w:type="gramEnd"/>
      <w:r w:rsidRPr="0026732A">
        <w:rPr>
          <w:rFonts w:ascii="Avenir Next" w:hAnsi="Avenir Next" w:cs="Arial"/>
          <w:sz w:val="22"/>
          <w:szCs w:val="22"/>
          <w:lang w:val="en-GB"/>
        </w:rPr>
        <w:t xml:space="preserve">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54C3A73F" w:rsidR="007E70EC" w:rsidRDefault="004E24A9" w:rsidP="004E24A9">
      <w:pPr>
        <w:ind w:left="720"/>
        <w:jc w:val="both"/>
        <w:rPr>
          <w:rFonts w:ascii="Avenir Next" w:hAnsi="Avenir Next" w:cs="Arial"/>
          <w:sz w:val="22"/>
          <w:szCs w:val="22"/>
          <w:lang w:val="en-GB"/>
        </w:rPr>
      </w:pPr>
      <w:r>
        <w:rPr>
          <w:rFonts w:ascii="Avenir Next" w:hAnsi="Avenir Next" w:cs="Arial"/>
          <w:sz w:val="22"/>
          <w:szCs w:val="22"/>
          <w:lang w:val="en-GB"/>
        </w:rPr>
        <w:t>There are three methods for entering into bankruptcy, (a) involuntary, (b) voluntary and (c) on the failure of, or failure to perform the terms of, a BIA proposal.</w:t>
      </w:r>
    </w:p>
    <w:p w14:paraId="5A3231B9" w14:textId="77777777" w:rsidR="004E24A9" w:rsidRDefault="004E24A9" w:rsidP="004E24A9">
      <w:pPr>
        <w:ind w:left="720"/>
        <w:jc w:val="both"/>
        <w:rPr>
          <w:rFonts w:ascii="Avenir Next" w:hAnsi="Avenir Next" w:cs="Arial"/>
          <w:sz w:val="22"/>
          <w:szCs w:val="22"/>
          <w:lang w:val="en-GB"/>
        </w:rPr>
      </w:pPr>
    </w:p>
    <w:p w14:paraId="706F58C8" w14:textId="44BB7A8D" w:rsidR="004E24A9" w:rsidRDefault="004E24A9" w:rsidP="004E24A9">
      <w:pPr>
        <w:ind w:left="720"/>
        <w:jc w:val="both"/>
        <w:rPr>
          <w:rFonts w:ascii="Avenir Next" w:hAnsi="Avenir Next" w:cs="Arial"/>
          <w:sz w:val="22"/>
          <w:szCs w:val="22"/>
          <w:lang w:val="en-GB"/>
        </w:rPr>
      </w:pPr>
      <w:r>
        <w:rPr>
          <w:rFonts w:ascii="Avenir Next" w:hAnsi="Avenir Next" w:cs="Arial"/>
          <w:sz w:val="22"/>
          <w:szCs w:val="22"/>
          <w:u w:val="single"/>
          <w:lang w:val="en-GB"/>
        </w:rPr>
        <w:t>Involuntary bankruptcy</w:t>
      </w:r>
    </w:p>
    <w:p w14:paraId="69278263" w14:textId="34ED7395" w:rsidR="004E24A9" w:rsidRDefault="004E24A9" w:rsidP="004E24A9">
      <w:pPr>
        <w:ind w:left="720"/>
        <w:jc w:val="both"/>
        <w:rPr>
          <w:rFonts w:ascii="Avenir Next" w:hAnsi="Avenir Next" w:cs="Arial"/>
          <w:sz w:val="22"/>
          <w:szCs w:val="22"/>
          <w:lang w:val="en-GB"/>
        </w:rPr>
      </w:pPr>
      <w:r>
        <w:rPr>
          <w:rFonts w:ascii="Avenir Next" w:hAnsi="Avenir Next" w:cs="Arial"/>
          <w:sz w:val="22"/>
          <w:szCs w:val="22"/>
          <w:lang w:val="en-GB"/>
        </w:rPr>
        <w:t xml:space="preserve">Under s 43(1) of the BIA, to successfully apply for an involuntary bankruptcy order, the applying creditor(s) must (a) be owed </w:t>
      </w:r>
      <w:proofErr w:type="gramStart"/>
      <w:r>
        <w:rPr>
          <w:rFonts w:ascii="Avenir Next" w:hAnsi="Avenir Next" w:cs="Arial"/>
          <w:sz w:val="22"/>
          <w:szCs w:val="22"/>
          <w:lang w:val="en-GB"/>
        </w:rPr>
        <w:t>in excess of</w:t>
      </w:r>
      <w:proofErr w:type="gramEnd"/>
      <w:r>
        <w:rPr>
          <w:rFonts w:ascii="Avenir Next" w:hAnsi="Avenir Next" w:cs="Arial"/>
          <w:sz w:val="22"/>
          <w:szCs w:val="22"/>
          <w:lang w:val="en-GB"/>
        </w:rPr>
        <w:t xml:space="preserve"> CAD 1,000 of unsecured debt and (b) provide evidence that the debtor has committed an “act of bankruptcy” within six months of the date of the filing of the application. “Debtor” is defined under s 2 of the BIA to include a person who, at the time an “act of bankruptcy” was committed by him, </w:t>
      </w:r>
      <w:proofErr w:type="gramStart"/>
      <w:r>
        <w:rPr>
          <w:rFonts w:ascii="Avenir Next" w:hAnsi="Avenir Next" w:cs="Arial"/>
          <w:sz w:val="22"/>
          <w:szCs w:val="22"/>
          <w:lang w:val="en-GB"/>
        </w:rPr>
        <w:t>resided</w:t>
      </w:r>
      <w:proofErr w:type="gramEnd"/>
      <w:r>
        <w:rPr>
          <w:rFonts w:ascii="Avenir Next" w:hAnsi="Avenir Next" w:cs="Arial"/>
          <w:sz w:val="22"/>
          <w:szCs w:val="22"/>
          <w:lang w:val="en-GB"/>
        </w:rPr>
        <w:t xml:space="preserve"> or carried on business in Canada. There is therefore no requirement that the debtor carries on business or resides in Canada </w:t>
      </w:r>
      <w:r>
        <w:rPr>
          <w:rFonts w:ascii="Avenir Next" w:hAnsi="Avenir Next" w:cs="Arial"/>
          <w:i/>
          <w:iCs/>
          <w:sz w:val="22"/>
          <w:szCs w:val="22"/>
          <w:lang w:val="en-GB"/>
        </w:rPr>
        <w:t>at the time of the bankruptcy application</w:t>
      </w:r>
      <w:r>
        <w:rPr>
          <w:rFonts w:ascii="Avenir Next" w:hAnsi="Avenir Next" w:cs="Arial"/>
          <w:sz w:val="22"/>
          <w:szCs w:val="22"/>
          <w:lang w:val="en-GB"/>
        </w:rPr>
        <w:t xml:space="preserve">. An involuntary bankruptcy application must be brought to the bankruptcy court in the location where the debtor ordinarily resides, does business, has assets or property, or in the case where the debtor currently has no assets in Canada, where it did business within the previous year. </w:t>
      </w:r>
    </w:p>
    <w:p w14:paraId="559C7DB2" w14:textId="77777777" w:rsidR="004E24A9" w:rsidRDefault="004E24A9" w:rsidP="004E24A9">
      <w:pPr>
        <w:ind w:left="720"/>
        <w:jc w:val="both"/>
        <w:rPr>
          <w:rFonts w:ascii="Avenir Next" w:hAnsi="Avenir Next" w:cs="Arial"/>
          <w:sz w:val="22"/>
          <w:szCs w:val="22"/>
          <w:lang w:val="en-GB"/>
        </w:rPr>
      </w:pPr>
    </w:p>
    <w:p w14:paraId="5A0573D8" w14:textId="6D564D88" w:rsidR="004E24A9" w:rsidRDefault="004E24A9" w:rsidP="004E24A9">
      <w:pPr>
        <w:ind w:left="720"/>
        <w:jc w:val="both"/>
        <w:rPr>
          <w:rFonts w:ascii="Avenir Next" w:hAnsi="Avenir Next" w:cs="Arial"/>
          <w:sz w:val="22"/>
          <w:szCs w:val="22"/>
          <w:lang w:val="en-GB"/>
        </w:rPr>
      </w:pPr>
      <w:r>
        <w:rPr>
          <w:rFonts w:ascii="Avenir Next" w:hAnsi="Avenir Next" w:cs="Arial"/>
          <w:sz w:val="22"/>
          <w:szCs w:val="22"/>
          <w:lang w:val="en-GB"/>
        </w:rPr>
        <w:t>An “act of bankruptcy” involves one of two types of conduct. First, an act of bankruptcy may refer to conduct that shows that the debtor violated certain norms of commercial morality by attempting to frustrate the legitimate collection efforts of the creditor</w:t>
      </w:r>
      <w:r w:rsidR="00167221">
        <w:rPr>
          <w:rFonts w:ascii="Avenir Next" w:hAnsi="Avenir Next" w:cs="Arial"/>
          <w:sz w:val="22"/>
          <w:szCs w:val="22"/>
          <w:lang w:val="en-GB"/>
        </w:rPr>
        <w:t xml:space="preserve">. Second, an act of bankruptcy may refer to conduct that shows that the debtor is insolvent. </w:t>
      </w:r>
    </w:p>
    <w:p w14:paraId="6D880184" w14:textId="77777777" w:rsidR="00167221" w:rsidRDefault="00167221" w:rsidP="004E24A9">
      <w:pPr>
        <w:ind w:left="720"/>
        <w:jc w:val="both"/>
        <w:rPr>
          <w:rFonts w:ascii="Avenir Next" w:hAnsi="Avenir Next" w:cs="Arial"/>
          <w:sz w:val="22"/>
          <w:szCs w:val="22"/>
          <w:lang w:val="en-GB"/>
        </w:rPr>
      </w:pPr>
    </w:p>
    <w:p w14:paraId="7A81E93D" w14:textId="4ECEE5E9" w:rsidR="00167221" w:rsidRDefault="00167221" w:rsidP="004E24A9">
      <w:pPr>
        <w:ind w:left="720"/>
        <w:jc w:val="both"/>
        <w:rPr>
          <w:rFonts w:ascii="Avenir Next" w:hAnsi="Avenir Next" w:cs="Arial"/>
          <w:sz w:val="22"/>
          <w:szCs w:val="22"/>
          <w:lang w:val="en-GB"/>
        </w:rPr>
      </w:pPr>
      <w:r>
        <w:rPr>
          <w:rFonts w:ascii="Avenir Next" w:hAnsi="Avenir Next" w:cs="Arial"/>
          <w:sz w:val="22"/>
          <w:szCs w:val="22"/>
          <w:lang w:val="en-GB"/>
        </w:rPr>
        <w:t>Pursuant to s 42 of the BIA, the following are acts of bankruptcy:</w:t>
      </w:r>
    </w:p>
    <w:p w14:paraId="0B511C07" w14:textId="0352E148"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In Canada or elsewhere the bankrupt makes an assignment of property to a trustee for the benefit of </w:t>
      </w:r>
      <w:proofErr w:type="gramStart"/>
      <w:r>
        <w:rPr>
          <w:rFonts w:ascii="Avenir Next" w:hAnsi="Avenir Next" w:cs="Arial"/>
          <w:sz w:val="22"/>
          <w:szCs w:val="22"/>
          <w:lang w:val="en-GB"/>
        </w:rPr>
        <w:t>creditors;</w:t>
      </w:r>
      <w:proofErr w:type="gramEnd"/>
    </w:p>
    <w:p w14:paraId="197285B7" w14:textId="4D73CD9F"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In Canada or elsewhere the debtor makes a fraudulent gift, delivery or transfer of the debtor’s property or any part of </w:t>
      </w:r>
      <w:proofErr w:type="gramStart"/>
      <w:r>
        <w:rPr>
          <w:rFonts w:ascii="Avenir Next" w:hAnsi="Avenir Next" w:cs="Arial"/>
          <w:sz w:val="22"/>
          <w:szCs w:val="22"/>
          <w:lang w:val="en-GB"/>
        </w:rPr>
        <w:t>it;</w:t>
      </w:r>
      <w:proofErr w:type="gramEnd"/>
    </w:p>
    <w:p w14:paraId="292D81D8" w14:textId="696503E2"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lastRenderedPageBreak/>
        <w:t xml:space="preserve">In Canada or elsewhere the debtor makes any transfer of the debtor’s property or any part of it, or creates any charge on it, that is a fraudulent </w:t>
      </w:r>
      <w:proofErr w:type="gramStart"/>
      <w:r>
        <w:rPr>
          <w:rFonts w:ascii="Avenir Next" w:hAnsi="Avenir Next" w:cs="Arial"/>
          <w:sz w:val="22"/>
          <w:szCs w:val="22"/>
          <w:lang w:val="en-GB"/>
        </w:rPr>
        <w:t>preference;</w:t>
      </w:r>
      <w:proofErr w:type="gramEnd"/>
    </w:p>
    <w:p w14:paraId="7CF62CE8" w14:textId="5BBBD5C2"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The debtor, with intent to defeat or delay his creditors, departs out of Canada or remains out of Canada or departs from his dwelling or otherwise absents </w:t>
      </w:r>
      <w:proofErr w:type="gramStart"/>
      <w:r>
        <w:rPr>
          <w:rFonts w:ascii="Avenir Next" w:hAnsi="Avenir Next" w:cs="Arial"/>
          <w:sz w:val="22"/>
          <w:szCs w:val="22"/>
          <w:lang w:val="en-GB"/>
        </w:rPr>
        <w:t>himself;</w:t>
      </w:r>
      <w:proofErr w:type="gramEnd"/>
    </w:p>
    <w:p w14:paraId="538C4644" w14:textId="48B5C278"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Permitting, for certain specified periods of time, execution under which the debtor’s property is </w:t>
      </w:r>
      <w:proofErr w:type="gramStart"/>
      <w:r>
        <w:rPr>
          <w:rFonts w:ascii="Avenir Next" w:hAnsi="Avenir Next" w:cs="Arial"/>
          <w:sz w:val="22"/>
          <w:szCs w:val="22"/>
          <w:lang w:val="en-GB"/>
        </w:rPr>
        <w:t>taken;</w:t>
      </w:r>
      <w:proofErr w:type="gramEnd"/>
    </w:p>
    <w:p w14:paraId="0E0C24EE" w14:textId="4E8FB638"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An admission of the debtor’s inability to pay </w:t>
      </w:r>
      <w:proofErr w:type="gramStart"/>
      <w:r>
        <w:rPr>
          <w:rFonts w:ascii="Avenir Next" w:hAnsi="Avenir Next" w:cs="Arial"/>
          <w:sz w:val="22"/>
          <w:szCs w:val="22"/>
          <w:lang w:val="en-GB"/>
        </w:rPr>
        <w:t>debts;</w:t>
      </w:r>
      <w:proofErr w:type="gramEnd"/>
    </w:p>
    <w:p w14:paraId="2D4710D2" w14:textId="6ABE072C"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The debtor assigns, removes, secretes or disposes of or attempts or is about to do the same with any of his property with the intent to defraud or delay his creditors or any of </w:t>
      </w:r>
      <w:proofErr w:type="gramStart"/>
      <w:r>
        <w:rPr>
          <w:rFonts w:ascii="Avenir Next" w:hAnsi="Avenir Next" w:cs="Arial"/>
          <w:sz w:val="22"/>
          <w:szCs w:val="22"/>
          <w:lang w:val="en-GB"/>
        </w:rPr>
        <w:t>them;</w:t>
      </w:r>
      <w:proofErr w:type="gramEnd"/>
    </w:p>
    <w:p w14:paraId="2BF5C790" w14:textId="1321EA8B"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The debtor gives notice to creditors that he has suspended or is about to suspend payment of </w:t>
      </w:r>
      <w:proofErr w:type="gramStart"/>
      <w:r>
        <w:rPr>
          <w:rFonts w:ascii="Avenir Next" w:hAnsi="Avenir Next" w:cs="Arial"/>
          <w:sz w:val="22"/>
          <w:szCs w:val="22"/>
          <w:lang w:val="en-GB"/>
        </w:rPr>
        <w:t>debts;</w:t>
      </w:r>
      <w:proofErr w:type="gramEnd"/>
    </w:p>
    <w:p w14:paraId="171D3800" w14:textId="47C6C59D"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The debtor defaults on a proposal; or</w:t>
      </w:r>
    </w:p>
    <w:p w14:paraId="70BCEBD9" w14:textId="2BECBAA3" w:rsidR="00167221" w:rsidRDefault="00167221" w:rsidP="00167221">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The debtor ceases to meet liabilities generally as they become due. The term “generally” means that it is not sufficient to allege that the debtor has failed to pay only the application creditor, unless the applicant creditor is the only </w:t>
      </w:r>
      <w:proofErr w:type="gramStart"/>
      <w:r>
        <w:rPr>
          <w:rFonts w:ascii="Avenir Next" w:hAnsi="Avenir Next" w:cs="Arial"/>
          <w:sz w:val="22"/>
          <w:szCs w:val="22"/>
          <w:lang w:val="en-GB"/>
        </w:rPr>
        <w:t>claimant</w:t>
      </w:r>
      <w:proofErr w:type="gramEnd"/>
      <w:r>
        <w:rPr>
          <w:rFonts w:ascii="Avenir Next" w:hAnsi="Avenir Next" w:cs="Arial"/>
          <w:sz w:val="22"/>
          <w:szCs w:val="22"/>
          <w:lang w:val="en-GB"/>
        </w:rPr>
        <w:t xml:space="preserve"> or the debt owed is so large that the claims of other creditors are insignificant in comparison (</w:t>
      </w:r>
      <w:r>
        <w:rPr>
          <w:rFonts w:ascii="Avenir Next" w:hAnsi="Avenir Next" w:cs="Arial"/>
          <w:i/>
          <w:iCs/>
          <w:sz w:val="22"/>
          <w:szCs w:val="22"/>
          <w:lang w:val="en-GB"/>
        </w:rPr>
        <w:t xml:space="preserve">Re Real Time Fibre Supply Ltd </w:t>
      </w:r>
      <w:r>
        <w:rPr>
          <w:rFonts w:ascii="Avenir Next" w:hAnsi="Avenir Next" w:cs="Arial"/>
          <w:sz w:val="22"/>
          <w:szCs w:val="22"/>
          <w:lang w:val="en-GB"/>
        </w:rPr>
        <w:t xml:space="preserve">2007 </w:t>
      </w:r>
      <w:proofErr w:type="spellStart"/>
      <w:r>
        <w:rPr>
          <w:rFonts w:ascii="Avenir Next" w:hAnsi="Avenir Next" w:cs="Arial"/>
          <w:sz w:val="22"/>
          <w:szCs w:val="22"/>
          <w:lang w:val="en-GB"/>
        </w:rPr>
        <w:t>CarswellBC</w:t>
      </w:r>
      <w:proofErr w:type="spellEnd"/>
      <w:r>
        <w:rPr>
          <w:rFonts w:ascii="Avenir Next" w:hAnsi="Avenir Next" w:cs="Arial"/>
          <w:sz w:val="22"/>
          <w:szCs w:val="22"/>
          <w:lang w:val="en-GB"/>
        </w:rPr>
        <w:t xml:space="preserve"> 580</w:t>
      </w:r>
      <w:r w:rsidR="00545ACC">
        <w:rPr>
          <w:rFonts w:ascii="Avenir Next" w:hAnsi="Avenir Next" w:cs="Arial"/>
          <w:sz w:val="22"/>
          <w:szCs w:val="22"/>
          <w:lang w:val="en-GB"/>
        </w:rPr>
        <w:t>)</w:t>
      </w:r>
      <w:r>
        <w:rPr>
          <w:rFonts w:ascii="Avenir Next" w:hAnsi="Avenir Next" w:cs="Arial"/>
          <w:sz w:val="22"/>
          <w:szCs w:val="22"/>
          <w:lang w:val="en-GB"/>
        </w:rPr>
        <w:t>.</w:t>
      </w:r>
    </w:p>
    <w:p w14:paraId="74B6D03A" w14:textId="77777777" w:rsidR="00167221" w:rsidRDefault="00167221" w:rsidP="00167221">
      <w:pPr>
        <w:jc w:val="both"/>
        <w:rPr>
          <w:rFonts w:ascii="Avenir Next" w:hAnsi="Avenir Next" w:cs="Arial"/>
          <w:sz w:val="22"/>
          <w:szCs w:val="22"/>
          <w:lang w:val="en-GB"/>
        </w:rPr>
      </w:pPr>
    </w:p>
    <w:p w14:paraId="142617A0" w14:textId="510DE171" w:rsidR="00167221" w:rsidRDefault="00167221" w:rsidP="00167221">
      <w:pPr>
        <w:ind w:left="720"/>
        <w:jc w:val="both"/>
        <w:rPr>
          <w:rFonts w:ascii="Avenir Next" w:hAnsi="Avenir Next" w:cs="Arial"/>
          <w:sz w:val="22"/>
          <w:szCs w:val="22"/>
          <w:lang w:val="en-GB"/>
        </w:rPr>
      </w:pPr>
      <w:r>
        <w:rPr>
          <w:rFonts w:ascii="Avenir Next" w:hAnsi="Avenir Next" w:cs="Arial"/>
          <w:sz w:val="22"/>
          <w:szCs w:val="22"/>
          <w:lang w:val="en-GB"/>
        </w:rPr>
        <w:t xml:space="preserve">The debtor has a right to object to the involuntary bankruptcy application, in which case the court will determine whether the bankruptcy order will be issued. Even if the applicant proves the existence of the debt and that an act of bankruptcy has occurred, the court may still dismiss the application if the debtor demonstrates that it </w:t>
      </w:r>
      <w:proofErr w:type="gramStart"/>
      <w:r>
        <w:rPr>
          <w:rFonts w:ascii="Avenir Next" w:hAnsi="Avenir Next" w:cs="Arial"/>
          <w:sz w:val="22"/>
          <w:szCs w:val="22"/>
          <w:lang w:val="en-GB"/>
        </w:rPr>
        <w:t>has the ability to</w:t>
      </w:r>
      <w:proofErr w:type="gramEnd"/>
      <w:r>
        <w:rPr>
          <w:rFonts w:ascii="Avenir Next" w:hAnsi="Avenir Next" w:cs="Arial"/>
          <w:sz w:val="22"/>
          <w:szCs w:val="22"/>
          <w:lang w:val="en-GB"/>
        </w:rPr>
        <w:t xml:space="preserve"> pay its debts. If the court is satisfied that the facts in the alleged application have been proven, the court can make the order of bankruptcy.</w:t>
      </w:r>
      <w:r w:rsidR="00B15055">
        <w:rPr>
          <w:rFonts w:ascii="Avenir Next" w:hAnsi="Avenir Next" w:cs="Arial"/>
          <w:sz w:val="22"/>
          <w:szCs w:val="22"/>
          <w:lang w:val="en-GB"/>
        </w:rPr>
        <w:t xml:space="preserve"> The applying creditor will be able to select the trustee in bankruptcy, though this selection is subject to confirmation at the first creditor’s meeting.</w:t>
      </w:r>
    </w:p>
    <w:p w14:paraId="58985E69" w14:textId="77777777" w:rsidR="00167221" w:rsidRDefault="00167221" w:rsidP="00167221">
      <w:pPr>
        <w:ind w:left="720"/>
        <w:jc w:val="both"/>
        <w:rPr>
          <w:rFonts w:ascii="Avenir Next" w:hAnsi="Avenir Next" w:cs="Arial"/>
          <w:sz w:val="22"/>
          <w:szCs w:val="22"/>
          <w:lang w:val="en-GB"/>
        </w:rPr>
      </w:pPr>
    </w:p>
    <w:p w14:paraId="60BD8F99" w14:textId="413B7B04" w:rsidR="00167221" w:rsidRDefault="00167221" w:rsidP="00167221">
      <w:pPr>
        <w:ind w:left="720"/>
        <w:jc w:val="both"/>
        <w:rPr>
          <w:rFonts w:ascii="Avenir Next" w:hAnsi="Avenir Next" w:cs="Arial"/>
          <w:sz w:val="22"/>
          <w:szCs w:val="22"/>
          <w:lang w:val="en-GB"/>
        </w:rPr>
      </w:pPr>
      <w:r>
        <w:rPr>
          <w:rFonts w:ascii="Avenir Next" w:hAnsi="Avenir Next" w:cs="Arial"/>
          <w:sz w:val="22"/>
          <w:szCs w:val="22"/>
          <w:u w:val="single"/>
          <w:lang w:val="en-GB"/>
        </w:rPr>
        <w:t>Voluntary bankruptcy</w:t>
      </w:r>
    </w:p>
    <w:p w14:paraId="76248235" w14:textId="0B34DA1E" w:rsidR="00B15055" w:rsidRDefault="00167221" w:rsidP="00167221">
      <w:pPr>
        <w:ind w:left="720"/>
        <w:jc w:val="both"/>
        <w:rPr>
          <w:rFonts w:ascii="Avenir Next" w:hAnsi="Avenir Next" w:cs="Arial"/>
          <w:sz w:val="22"/>
          <w:szCs w:val="22"/>
          <w:lang w:val="en-GB"/>
        </w:rPr>
      </w:pPr>
      <w:r>
        <w:rPr>
          <w:rFonts w:ascii="Avenir Next" w:hAnsi="Avenir Next" w:cs="Arial"/>
          <w:sz w:val="22"/>
          <w:szCs w:val="22"/>
          <w:lang w:val="en-GB"/>
        </w:rPr>
        <w:t>This occurs where the debtor voluntarily makes an assignment into bankruptcy proceedings. To be eligible to do so, the debtor must fall under the definition of an “insolvent person” set out in s 2 of the BIA, namely that the debtor is a person who is not bankrupt, and who resides or carries on business or has property in Canada, whose liabilities to creditors provable as claims under the BIA amount to at least CAD 1,000, and</w:t>
      </w:r>
      <w:r w:rsidR="00B15055">
        <w:rPr>
          <w:rFonts w:ascii="Avenir Next" w:hAnsi="Avenir Next" w:cs="Arial"/>
          <w:sz w:val="22"/>
          <w:szCs w:val="22"/>
          <w:lang w:val="en-GB"/>
        </w:rPr>
        <w:t>:</w:t>
      </w:r>
    </w:p>
    <w:p w14:paraId="7465B1FC" w14:textId="4BED5E41" w:rsidR="00B15055" w:rsidRPr="00B15055" w:rsidRDefault="00B15055" w:rsidP="00B15055">
      <w:pPr>
        <w:pStyle w:val="ListParagraph"/>
        <w:numPr>
          <w:ilvl w:val="0"/>
          <w:numId w:val="32"/>
        </w:numPr>
        <w:jc w:val="both"/>
        <w:rPr>
          <w:rFonts w:ascii="Avenir Next" w:hAnsi="Avenir Next" w:cs="Arial"/>
          <w:sz w:val="22"/>
          <w:szCs w:val="22"/>
          <w:lang w:val="en-GB"/>
        </w:rPr>
      </w:pPr>
      <w:r w:rsidRPr="00B15055">
        <w:rPr>
          <w:rFonts w:ascii="Avenir Next" w:hAnsi="Avenir Next" w:cs="Arial"/>
          <w:sz w:val="22"/>
          <w:szCs w:val="22"/>
          <w:lang w:val="en-GB"/>
        </w:rPr>
        <w:t xml:space="preserve">who </w:t>
      </w:r>
      <w:r w:rsidR="00167221" w:rsidRPr="00B15055">
        <w:rPr>
          <w:rFonts w:ascii="Avenir Next" w:hAnsi="Avenir Next" w:cs="Arial"/>
          <w:sz w:val="22"/>
          <w:szCs w:val="22"/>
          <w:lang w:val="en-GB"/>
        </w:rPr>
        <w:t xml:space="preserve">is unable to meet </w:t>
      </w:r>
      <w:r w:rsidRPr="00B15055">
        <w:rPr>
          <w:rFonts w:ascii="Avenir Next" w:hAnsi="Avenir Next" w:cs="Arial"/>
          <w:sz w:val="22"/>
          <w:szCs w:val="22"/>
          <w:lang w:val="en-GB"/>
        </w:rPr>
        <w:t>obligations as they generally become due (the cash flow test</w:t>
      </w:r>
      <w:proofErr w:type="gramStart"/>
      <w:r w:rsidRPr="00B15055">
        <w:rPr>
          <w:rFonts w:ascii="Avenir Next" w:hAnsi="Avenir Next" w:cs="Arial"/>
          <w:sz w:val="22"/>
          <w:szCs w:val="22"/>
          <w:lang w:val="en-GB"/>
        </w:rPr>
        <w:t>);</w:t>
      </w:r>
      <w:proofErr w:type="gramEnd"/>
      <w:r w:rsidRPr="00B15055">
        <w:rPr>
          <w:rFonts w:ascii="Avenir Next" w:hAnsi="Avenir Next" w:cs="Arial"/>
          <w:sz w:val="22"/>
          <w:szCs w:val="22"/>
          <w:lang w:val="en-GB"/>
        </w:rPr>
        <w:t xml:space="preserve"> </w:t>
      </w:r>
    </w:p>
    <w:p w14:paraId="0B1752AD" w14:textId="4DB72418" w:rsidR="00B15055" w:rsidRDefault="00B15055" w:rsidP="00B15055">
      <w:pPr>
        <w:pStyle w:val="ListParagraph"/>
        <w:numPr>
          <w:ilvl w:val="0"/>
          <w:numId w:val="32"/>
        </w:numPr>
        <w:jc w:val="both"/>
        <w:rPr>
          <w:rFonts w:ascii="Avenir Next" w:hAnsi="Avenir Next" w:cs="Arial"/>
          <w:sz w:val="22"/>
          <w:szCs w:val="22"/>
          <w:lang w:val="en-GB"/>
        </w:rPr>
      </w:pPr>
      <w:r w:rsidRPr="00B15055">
        <w:rPr>
          <w:rFonts w:ascii="Avenir Next" w:hAnsi="Avenir Next" w:cs="Arial"/>
          <w:sz w:val="22"/>
          <w:szCs w:val="22"/>
          <w:lang w:val="en-GB"/>
        </w:rPr>
        <w:t>who has ceased paying current obligations in the ordinary course of the business as they generally become due; or</w:t>
      </w:r>
    </w:p>
    <w:p w14:paraId="541C6E17" w14:textId="63A31ECB" w:rsidR="00167221" w:rsidRDefault="00B15055" w:rsidP="00B15055">
      <w:pPr>
        <w:pStyle w:val="ListParagraph"/>
        <w:numPr>
          <w:ilvl w:val="0"/>
          <w:numId w:val="32"/>
        </w:numPr>
        <w:jc w:val="both"/>
        <w:rPr>
          <w:rFonts w:ascii="Avenir Next" w:hAnsi="Avenir Next" w:cs="Arial"/>
          <w:sz w:val="22"/>
          <w:szCs w:val="22"/>
          <w:lang w:val="en-GB"/>
        </w:rPr>
      </w:pPr>
      <w:r w:rsidRPr="00B15055">
        <w:rPr>
          <w:rFonts w:ascii="Avenir Next" w:hAnsi="Avenir Next" w:cs="Arial"/>
          <w:sz w:val="22"/>
          <w:szCs w:val="22"/>
          <w:lang w:val="en-GB"/>
        </w:rPr>
        <w:t>the aggregate of whose property, at fair valuation, is not sufficient to enable payment of all his obligations due and accruing due (the balance sheet test).</w:t>
      </w:r>
    </w:p>
    <w:p w14:paraId="727132B8" w14:textId="77777777" w:rsidR="00B15055" w:rsidRDefault="00B15055" w:rsidP="00B15055">
      <w:pPr>
        <w:jc w:val="both"/>
        <w:rPr>
          <w:rFonts w:ascii="Avenir Next" w:hAnsi="Avenir Next" w:cs="Arial"/>
          <w:sz w:val="22"/>
          <w:szCs w:val="22"/>
          <w:lang w:val="en-GB"/>
        </w:rPr>
      </w:pPr>
    </w:p>
    <w:p w14:paraId="4096C2BC" w14:textId="58ED12AD" w:rsidR="00B15055" w:rsidRDefault="00B15055" w:rsidP="00B15055">
      <w:pPr>
        <w:ind w:left="720"/>
        <w:jc w:val="both"/>
        <w:rPr>
          <w:rFonts w:ascii="Avenir Next" w:hAnsi="Avenir Next" w:cs="Arial"/>
          <w:sz w:val="22"/>
          <w:szCs w:val="22"/>
          <w:lang w:val="en-GB"/>
        </w:rPr>
      </w:pPr>
      <w:r>
        <w:rPr>
          <w:rFonts w:ascii="Avenir Next" w:hAnsi="Avenir Next" w:cs="Arial"/>
          <w:sz w:val="22"/>
          <w:szCs w:val="22"/>
          <w:lang w:val="en-GB"/>
        </w:rPr>
        <w:t xml:space="preserve">A voluntary bankruptcy does not involve a court application. The company or individual executes an assignment of its property for the benefit of its creditors, </w:t>
      </w:r>
      <w:r>
        <w:rPr>
          <w:rFonts w:ascii="Avenir Next" w:hAnsi="Avenir Next" w:cs="Arial"/>
          <w:sz w:val="22"/>
          <w:szCs w:val="22"/>
          <w:lang w:val="en-GB"/>
        </w:rPr>
        <w:lastRenderedPageBreak/>
        <w:t xml:space="preserve">which is accompanied by a sworn statement that discloses the debtor’s property, the names and addresses of creditors, and the amounts of the creditor’s claims. These documents are filed with the Official Receiver, and bankruptcy proceedings commence once these documents are accepted. </w:t>
      </w:r>
    </w:p>
    <w:p w14:paraId="0466AF90" w14:textId="77777777" w:rsidR="00B15055" w:rsidRDefault="00B15055" w:rsidP="00B15055">
      <w:pPr>
        <w:ind w:left="720"/>
        <w:jc w:val="both"/>
        <w:rPr>
          <w:rFonts w:ascii="Avenir Next" w:hAnsi="Avenir Next" w:cs="Arial"/>
          <w:sz w:val="22"/>
          <w:szCs w:val="22"/>
          <w:lang w:val="en-GB"/>
        </w:rPr>
      </w:pPr>
    </w:p>
    <w:p w14:paraId="645F8D82" w14:textId="28B8037F" w:rsidR="00B15055" w:rsidRDefault="00B15055" w:rsidP="00B15055">
      <w:pPr>
        <w:ind w:left="720"/>
        <w:jc w:val="both"/>
        <w:rPr>
          <w:rFonts w:ascii="Avenir Next" w:hAnsi="Avenir Next" w:cs="Arial"/>
          <w:sz w:val="22"/>
          <w:szCs w:val="22"/>
          <w:lang w:val="en-GB"/>
        </w:rPr>
      </w:pPr>
      <w:r>
        <w:rPr>
          <w:rFonts w:ascii="Avenir Next" w:hAnsi="Avenir Next" w:cs="Arial"/>
          <w:sz w:val="22"/>
          <w:szCs w:val="22"/>
          <w:lang w:val="en-GB"/>
        </w:rPr>
        <w:t xml:space="preserve">The debtor will be able to choose the trustee in bankruptcy, but this selection will be subject to confirmation by unsecured creditors at the first meeting of creditors. </w:t>
      </w:r>
    </w:p>
    <w:p w14:paraId="0648974D" w14:textId="77777777" w:rsidR="00545ACC" w:rsidRDefault="00545ACC" w:rsidP="00B15055">
      <w:pPr>
        <w:ind w:left="720"/>
        <w:jc w:val="both"/>
        <w:rPr>
          <w:rFonts w:ascii="Avenir Next" w:hAnsi="Avenir Next" w:cs="Arial"/>
          <w:sz w:val="22"/>
          <w:szCs w:val="22"/>
          <w:lang w:val="en-GB"/>
        </w:rPr>
      </w:pPr>
    </w:p>
    <w:p w14:paraId="2AD78CED" w14:textId="4F5A6E7F" w:rsidR="00B15055" w:rsidRDefault="00B15055" w:rsidP="00B15055">
      <w:pPr>
        <w:jc w:val="both"/>
        <w:rPr>
          <w:rFonts w:ascii="Avenir Next" w:hAnsi="Avenir Next" w:cs="Arial"/>
          <w:sz w:val="22"/>
          <w:szCs w:val="22"/>
          <w:lang w:val="en-GB"/>
        </w:rPr>
      </w:pPr>
      <w:r>
        <w:rPr>
          <w:rFonts w:ascii="Avenir Next" w:hAnsi="Avenir Next" w:cs="Arial"/>
          <w:sz w:val="22"/>
          <w:szCs w:val="22"/>
          <w:lang w:val="en-GB"/>
        </w:rPr>
        <w:tab/>
      </w:r>
      <w:r>
        <w:rPr>
          <w:rFonts w:ascii="Avenir Next" w:hAnsi="Avenir Next" w:cs="Arial"/>
          <w:sz w:val="22"/>
          <w:szCs w:val="22"/>
          <w:u w:val="single"/>
          <w:lang w:val="en-GB"/>
        </w:rPr>
        <w:t>Failure of BIA proposal</w:t>
      </w:r>
    </w:p>
    <w:p w14:paraId="53FBE826" w14:textId="170592E1" w:rsidR="00B15055" w:rsidRDefault="00B15055" w:rsidP="00B15055">
      <w:pPr>
        <w:ind w:left="720"/>
        <w:jc w:val="both"/>
        <w:rPr>
          <w:rFonts w:ascii="Avenir Next" w:hAnsi="Avenir Next" w:cs="Arial"/>
          <w:sz w:val="22"/>
          <w:szCs w:val="22"/>
          <w:lang w:val="en-GB"/>
        </w:rPr>
      </w:pPr>
      <w:r>
        <w:rPr>
          <w:rFonts w:ascii="Avenir Next" w:hAnsi="Avenir Next" w:cs="Arial"/>
          <w:sz w:val="22"/>
          <w:szCs w:val="22"/>
          <w:lang w:val="en-GB"/>
        </w:rPr>
        <w:t>The BIA contains provisions for corporate and consumer proposals to allow debtors to reach compromises with their creditors. Proposals must be accepted by the requisite majorities of creditors and be approved by the court. For a corporate proposal to be binding on each class of creditors it affects, there must be approval from a majority in number of the proven creditors of that class, and who hold at least two-thirds of the va</w:t>
      </w:r>
      <w:r w:rsidR="00E33012">
        <w:rPr>
          <w:rFonts w:ascii="Avenir Next" w:hAnsi="Avenir Next" w:cs="Arial"/>
          <w:sz w:val="22"/>
          <w:szCs w:val="22"/>
          <w:lang w:val="en-GB"/>
        </w:rPr>
        <w:t>lue of the claims. If a corporate proposal is rejected by a class of creditors or is not approved by the court, the debtor will be deemed to have made an assignment in bankruptcy. If a debtor defaults under the terms of the proposal and such default is not waived by inspectors (</w:t>
      </w:r>
      <w:r w:rsidR="00E33012">
        <w:rPr>
          <w:rFonts w:ascii="Avenir Next" w:hAnsi="Avenir Next" w:cs="Arial"/>
          <w:i/>
          <w:iCs/>
          <w:sz w:val="22"/>
          <w:szCs w:val="22"/>
          <w:lang w:val="en-GB"/>
        </w:rPr>
        <w:t>ie</w:t>
      </w:r>
      <w:r w:rsidR="00E33012">
        <w:rPr>
          <w:rFonts w:ascii="Avenir Next" w:hAnsi="Avenir Next" w:cs="Arial"/>
          <w:sz w:val="22"/>
          <w:szCs w:val="22"/>
          <w:lang w:val="en-GB"/>
        </w:rPr>
        <w:t>, creditor representatives that may be appointed by creditors in certain cases) or the creditors themselves (if there are no inspectors), the proposal trustee must inform the creditors and the Official Receiver. Thereafter, a motion may be brought to the court to annul the proposal. If such an order is granted, the debtor is automatically assigned into bankruptcy.</w:t>
      </w:r>
    </w:p>
    <w:p w14:paraId="7BB8BF43" w14:textId="77777777" w:rsidR="00E33012" w:rsidRDefault="00E33012" w:rsidP="00B15055">
      <w:pPr>
        <w:ind w:left="720"/>
        <w:jc w:val="both"/>
        <w:rPr>
          <w:rFonts w:ascii="Avenir Next" w:hAnsi="Avenir Next" w:cs="Arial"/>
          <w:sz w:val="22"/>
          <w:szCs w:val="22"/>
          <w:lang w:val="en-GB"/>
        </w:rPr>
      </w:pPr>
    </w:p>
    <w:p w14:paraId="09DE51EF" w14:textId="683A98BA" w:rsidR="00E33012" w:rsidRDefault="00E33012" w:rsidP="00B15055">
      <w:pPr>
        <w:ind w:left="720"/>
        <w:jc w:val="both"/>
        <w:rPr>
          <w:rFonts w:ascii="Avenir Next" w:hAnsi="Avenir Next" w:cs="Arial"/>
          <w:sz w:val="22"/>
          <w:szCs w:val="22"/>
          <w:lang w:val="en-GB"/>
        </w:rPr>
      </w:pPr>
      <w:r>
        <w:rPr>
          <w:rFonts w:ascii="Avenir Next" w:hAnsi="Avenir Next" w:cs="Arial"/>
          <w:sz w:val="22"/>
          <w:szCs w:val="22"/>
          <w:lang w:val="en-GB"/>
        </w:rPr>
        <w:t>Consumer proposals allow insolvent individuals with debts or CAD 250,000 or less (excluding the mortgage on a principal residence) to reach payment compromises with their creditors. In a consumer proposal, the debtor’s property does not automatically vest in a trustee and the process does not involve a complete liquidation of the debtor’s assets. A proposal is created with the assistance of a trustee and the term of the proposal cannot exceed 5 years. The proposal is binding on all creditors if it is approved by a simple majority of creditors holding accepted claims (one vote for each dollar of debt). If the consumer proposal is not accepted, the debtor can resubmit an amended proposal or declare bankruptcy.</w:t>
      </w:r>
    </w:p>
    <w:p w14:paraId="080F52DC" w14:textId="77777777" w:rsidR="00E33012" w:rsidRDefault="00E33012" w:rsidP="00B15055">
      <w:pPr>
        <w:ind w:left="720"/>
        <w:jc w:val="both"/>
        <w:rPr>
          <w:rFonts w:ascii="Avenir Next" w:hAnsi="Avenir Next" w:cs="Arial"/>
          <w:sz w:val="22"/>
          <w:szCs w:val="22"/>
          <w:lang w:val="en-GB"/>
        </w:rPr>
      </w:pPr>
    </w:p>
    <w:p w14:paraId="68C816C2" w14:textId="5C734343" w:rsidR="00E33012" w:rsidRPr="00E33012" w:rsidRDefault="00E33012" w:rsidP="00B15055">
      <w:pPr>
        <w:ind w:left="720"/>
        <w:jc w:val="both"/>
        <w:rPr>
          <w:rFonts w:ascii="Avenir Next" w:hAnsi="Avenir Next" w:cs="Arial"/>
          <w:sz w:val="22"/>
          <w:szCs w:val="22"/>
          <w:lang w:val="en-GB"/>
        </w:rPr>
      </w:pPr>
      <w:r>
        <w:rPr>
          <w:rFonts w:ascii="Avenir Next" w:hAnsi="Avenir Next" w:cs="Arial"/>
          <w:sz w:val="22"/>
          <w:szCs w:val="22"/>
          <w:lang w:val="en-GB"/>
        </w:rPr>
        <w:t>If a debtor fails to make three consecutively monthly payments, the proposal is automatically annulled, and creditors may resume enforcement proceedings. Creditors may bring a motion on annulment of a failed consumer proposal to assign the debtor into bankruptcy. Notably, unlike failed corporate proposals, a failed consumer proposal will not result in an automatic bankruptcy and a motion must be brought to assign the individual into bankruptcy.</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w:t>
      </w:r>
      <w:r w:rsidRPr="007C1D4D">
        <w:rPr>
          <w:rFonts w:ascii="Avenir Next" w:eastAsia="Calibri" w:hAnsi="Avenir Next" w:cs="Arial"/>
          <w:sz w:val="22"/>
          <w:szCs w:val="22"/>
          <w:lang w:val="en-ZA"/>
        </w:rPr>
        <w:t xml:space="preserve">Canada. </w:t>
      </w:r>
      <w:r w:rsidRPr="007C1D4D">
        <w:rPr>
          <w:rFonts w:ascii="Avenir Next" w:eastAsia="Calibri" w:hAnsi="Avenir Next" w:cs="Arial"/>
          <w:sz w:val="22"/>
          <w:szCs w:val="22"/>
          <w:lang w:val="en-ZA"/>
        </w:rPr>
        <w:lastRenderedPageBreak/>
        <w:t>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w:t>
      </w:r>
      <w:r w:rsidRPr="00876316">
        <w:rPr>
          <w:rFonts w:ascii="Avenir Next" w:eastAsia="Calibri" w:hAnsi="Avenir Next" w:cs="Arial"/>
          <w:sz w:val="22"/>
          <w:szCs w:val="22"/>
          <w:lang w:val="en-ZA"/>
        </w:rPr>
        <w:t>-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6AFEC79D" w:rsidR="006F4E04" w:rsidRDefault="004817A9" w:rsidP="004817A9">
      <w:pPr>
        <w:ind w:left="720"/>
        <w:jc w:val="both"/>
        <w:rPr>
          <w:rFonts w:ascii="Avenir Next" w:hAnsi="Avenir Next" w:cs="Arial"/>
          <w:sz w:val="22"/>
          <w:szCs w:val="22"/>
          <w:lang w:val="en-GB"/>
        </w:rPr>
      </w:pPr>
      <w:r>
        <w:rPr>
          <w:rFonts w:ascii="Avenir Next" w:hAnsi="Avenir Next" w:cs="Arial"/>
          <w:sz w:val="22"/>
          <w:szCs w:val="22"/>
          <w:lang w:val="en-GB"/>
        </w:rPr>
        <w:t>Under s 269 BIA and s 46 Companies’ Creditors Arrangement Act (“CCAA”), Canadian courts must recognise foreign proceedings on formal proof of three main requirements:</w:t>
      </w:r>
    </w:p>
    <w:p w14:paraId="74FBBB1E" w14:textId="2E2E3AC6" w:rsidR="004817A9" w:rsidRPr="00515E34" w:rsidRDefault="004817A9" w:rsidP="004817A9">
      <w:pPr>
        <w:pStyle w:val="ListParagraph"/>
        <w:numPr>
          <w:ilvl w:val="0"/>
          <w:numId w:val="33"/>
        </w:numPr>
        <w:jc w:val="both"/>
        <w:rPr>
          <w:rFonts w:ascii="Avenir Next" w:hAnsi="Avenir Next" w:cs="Arial"/>
          <w:sz w:val="22"/>
          <w:szCs w:val="22"/>
          <w:lang w:val="en-GB"/>
        </w:rPr>
      </w:pPr>
      <w:r w:rsidRPr="00515E34">
        <w:rPr>
          <w:rFonts w:ascii="Avenir Next" w:hAnsi="Avenir Next" w:cs="Arial"/>
          <w:sz w:val="22"/>
          <w:szCs w:val="22"/>
          <w:lang w:val="en-GB"/>
        </w:rPr>
        <w:t>the proceeding is a “foreign proceeding</w:t>
      </w:r>
      <w:proofErr w:type="gramStart"/>
      <w:r w:rsidRPr="00515E34">
        <w:rPr>
          <w:rFonts w:ascii="Avenir Next" w:hAnsi="Avenir Next" w:cs="Arial"/>
          <w:sz w:val="22"/>
          <w:szCs w:val="22"/>
          <w:lang w:val="en-GB"/>
        </w:rPr>
        <w:t>”</w:t>
      </w:r>
      <w:r w:rsidR="00515E34">
        <w:rPr>
          <w:rFonts w:ascii="Avenir Next" w:hAnsi="Avenir Next" w:cs="Arial"/>
          <w:sz w:val="22"/>
          <w:szCs w:val="22"/>
          <w:lang w:val="en-GB"/>
        </w:rPr>
        <w:t>;</w:t>
      </w:r>
      <w:proofErr w:type="gramEnd"/>
    </w:p>
    <w:p w14:paraId="45C085F1" w14:textId="2564D12A" w:rsidR="004817A9" w:rsidRPr="00515E34" w:rsidRDefault="004817A9" w:rsidP="004817A9">
      <w:pPr>
        <w:pStyle w:val="ListParagraph"/>
        <w:numPr>
          <w:ilvl w:val="0"/>
          <w:numId w:val="33"/>
        </w:numPr>
        <w:jc w:val="both"/>
        <w:rPr>
          <w:rFonts w:ascii="Avenir Next" w:hAnsi="Avenir Next" w:cs="Arial"/>
          <w:sz w:val="22"/>
          <w:szCs w:val="22"/>
          <w:lang w:val="en-GB"/>
        </w:rPr>
      </w:pPr>
      <w:r w:rsidRPr="00515E34">
        <w:rPr>
          <w:rFonts w:ascii="Avenir Next" w:hAnsi="Avenir Next" w:cs="Arial"/>
          <w:sz w:val="22"/>
          <w:szCs w:val="22"/>
          <w:lang w:val="en-GB"/>
        </w:rPr>
        <w:t xml:space="preserve">the applicant is a “foreign representative”; and </w:t>
      </w:r>
    </w:p>
    <w:p w14:paraId="09F45C91" w14:textId="4260D116" w:rsidR="00515E34" w:rsidRDefault="004817A9" w:rsidP="00515E34">
      <w:pPr>
        <w:pStyle w:val="ListParagraph"/>
        <w:numPr>
          <w:ilvl w:val="0"/>
          <w:numId w:val="33"/>
        </w:numPr>
        <w:jc w:val="both"/>
        <w:rPr>
          <w:rFonts w:ascii="Avenir Next" w:hAnsi="Avenir Next" w:cs="Arial"/>
          <w:sz w:val="22"/>
          <w:szCs w:val="22"/>
          <w:lang w:val="en-GB"/>
        </w:rPr>
      </w:pPr>
      <w:r w:rsidRPr="00515E34">
        <w:rPr>
          <w:rFonts w:ascii="Avenir Next" w:hAnsi="Avenir Next" w:cs="Arial"/>
          <w:sz w:val="22"/>
          <w:szCs w:val="22"/>
          <w:lang w:val="en-GB"/>
        </w:rPr>
        <w:t>the foreign proceeding is either a foreign main proceeding, or a foreign non-main proceeding, based on the centre of main interest (“COMI”) analysis.</w:t>
      </w:r>
    </w:p>
    <w:p w14:paraId="5E043999" w14:textId="77777777" w:rsidR="00515E34" w:rsidRDefault="00515E34" w:rsidP="00515E34">
      <w:pPr>
        <w:ind w:left="720"/>
        <w:jc w:val="both"/>
        <w:rPr>
          <w:rFonts w:ascii="Avenir Next" w:hAnsi="Avenir Next" w:cs="Arial"/>
          <w:sz w:val="22"/>
          <w:szCs w:val="22"/>
          <w:lang w:val="en-GB"/>
        </w:rPr>
      </w:pPr>
    </w:p>
    <w:p w14:paraId="555C9D11" w14:textId="64FA2E13" w:rsidR="00B36C45" w:rsidRDefault="00515E34" w:rsidP="00515E34">
      <w:pPr>
        <w:ind w:left="720"/>
        <w:jc w:val="both"/>
        <w:rPr>
          <w:rFonts w:ascii="Avenir Next" w:hAnsi="Avenir Next" w:cs="Arial"/>
          <w:sz w:val="22"/>
          <w:szCs w:val="22"/>
          <w:lang w:val="en-GB"/>
        </w:rPr>
      </w:pPr>
      <w:r>
        <w:rPr>
          <w:rFonts w:ascii="Avenir Next" w:hAnsi="Avenir Next" w:cs="Arial"/>
          <w:sz w:val="22"/>
          <w:szCs w:val="22"/>
          <w:lang w:val="en-GB"/>
        </w:rPr>
        <w:t>The terms “foreign proceeding”, “foreign representative”, “foreign main proceeding” and “foreign non-main proceeding” are defined in s 268(1) BIA and s</w:t>
      </w:r>
      <w:r w:rsidR="00A815BC">
        <w:rPr>
          <w:rFonts w:ascii="Avenir Next" w:hAnsi="Avenir Next" w:cs="Arial"/>
          <w:sz w:val="22"/>
          <w:szCs w:val="22"/>
          <w:lang w:val="en-GB"/>
        </w:rPr>
        <w:t> </w:t>
      </w:r>
      <w:r>
        <w:rPr>
          <w:rFonts w:ascii="Avenir Next" w:hAnsi="Avenir Next" w:cs="Arial"/>
          <w:sz w:val="22"/>
          <w:szCs w:val="22"/>
          <w:lang w:val="en-GB"/>
        </w:rPr>
        <w:t>45(1) CCAA</w:t>
      </w:r>
      <w:r w:rsidR="00B36C45">
        <w:rPr>
          <w:rFonts w:ascii="Avenir Next" w:hAnsi="Avenir Next" w:cs="Arial"/>
          <w:sz w:val="22"/>
          <w:szCs w:val="22"/>
          <w:lang w:val="en-GB"/>
        </w:rPr>
        <w:t xml:space="preserve"> as follows:</w:t>
      </w:r>
    </w:p>
    <w:p w14:paraId="7A1E4E22" w14:textId="2B35D863" w:rsidR="00B36C45" w:rsidRPr="00B36C45" w:rsidRDefault="00B36C45" w:rsidP="002C7B21">
      <w:pPr>
        <w:pStyle w:val="ListParagraph"/>
        <w:numPr>
          <w:ilvl w:val="0"/>
          <w:numId w:val="34"/>
        </w:numPr>
        <w:jc w:val="both"/>
        <w:rPr>
          <w:rFonts w:ascii="Avenir Next" w:hAnsi="Avenir Next" w:cs="Arial"/>
          <w:sz w:val="22"/>
          <w:szCs w:val="22"/>
          <w:lang w:val="en-GB"/>
        </w:rPr>
      </w:pPr>
      <w:r w:rsidRPr="00B36C45">
        <w:rPr>
          <w:rFonts w:ascii="Avenir Next" w:hAnsi="Avenir Next" w:cs="Arial"/>
          <w:b/>
          <w:bCs/>
          <w:sz w:val="22"/>
          <w:szCs w:val="22"/>
          <w:lang w:val="en-GB"/>
        </w:rPr>
        <w:t>foreign main proceeding</w:t>
      </w:r>
      <w:r w:rsidRPr="00B36C45">
        <w:rPr>
          <w:rFonts w:ascii="Avenir Next" w:hAnsi="Avenir Next" w:cs="Arial"/>
          <w:sz w:val="22"/>
          <w:szCs w:val="22"/>
          <w:lang w:val="en-GB"/>
        </w:rPr>
        <w:t> means a foreign proceeding in a jurisdiction where the debtor has the centre of the debtor’s main interests.</w:t>
      </w:r>
    </w:p>
    <w:p w14:paraId="1116ACD2" w14:textId="5178D0FA" w:rsidR="00B36C45" w:rsidRPr="00B36C45" w:rsidRDefault="00B36C45" w:rsidP="007F6617">
      <w:pPr>
        <w:pStyle w:val="ListParagraph"/>
        <w:numPr>
          <w:ilvl w:val="0"/>
          <w:numId w:val="34"/>
        </w:numPr>
        <w:jc w:val="both"/>
        <w:rPr>
          <w:rFonts w:ascii="Avenir Next" w:hAnsi="Avenir Next" w:cs="Arial"/>
          <w:sz w:val="22"/>
          <w:szCs w:val="22"/>
          <w:lang w:val="en-GB"/>
        </w:rPr>
      </w:pPr>
      <w:r w:rsidRPr="00B36C45">
        <w:rPr>
          <w:rFonts w:ascii="Avenir Next" w:hAnsi="Avenir Next" w:cs="Arial"/>
          <w:b/>
          <w:bCs/>
          <w:sz w:val="22"/>
          <w:szCs w:val="22"/>
          <w:lang w:val="en-GB"/>
        </w:rPr>
        <w:t>foreign non-main proceeding</w:t>
      </w:r>
      <w:r w:rsidRPr="00B36C45">
        <w:rPr>
          <w:rFonts w:ascii="Avenir Next" w:hAnsi="Avenir Next" w:cs="Arial"/>
          <w:sz w:val="22"/>
          <w:szCs w:val="22"/>
          <w:lang w:val="en-GB"/>
        </w:rPr>
        <w:t> means a foreign proceeding, other than a foreign main proceeding.</w:t>
      </w:r>
    </w:p>
    <w:p w14:paraId="08322FE8" w14:textId="0D3A4907" w:rsidR="00B36C45" w:rsidRPr="00B36C45" w:rsidRDefault="00B36C45" w:rsidP="00E057EF">
      <w:pPr>
        <w:pStyle w:val="ListParagraph"/>
        <w:numPr>
          <w:ilvl w:val="0"/>
          <w:numId w:val="34"/>
        </w:numPr>
        <w:jc w:val="both"/>
        <w:rPr>
          <w:rFonts w:ascii="Avenir Next" w:hAnsi="Avenir Next" w:cs="Arial"/>
          <w:sz w:val="22"/>
          <w:szCs w:val="22"/>
          <w:lang w:val="en-GB"/>
        </w:rPr>
      </w:pPr>
      <w:r w:rsidRPr="00B36C45">
        <w:rPr>
          <w:rFonts w:ascii="Avenir Next" w:hAnsi="Avenir Next" w:cs="Arial"/>
          <w:b/>
          <w:bCs/>
          <w:sz w:val="22"/>
          <w:szCs w:val="22"/>
          <w:lang w:val="en-GB"/>
        </w:rPr>
        <w:t>foreign proceeding</w:t>
      </w:r>
      <w:r w:rsidRPr="00B36C45">
        <w:rPr>
          <w:rFonts w:ascii="Avenir Next" w:hAnsi="Avenir Next" w:cs="Arial"/>
          <w:sz w:val="22"/>
          <w:szCs w:val="22"/>
          <w:lang w:val="en-GB"/>
        </w:rPr>
        <w:t> means a 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r>
        <w:rPr>
          <w:rFonts w:ascii="Avenir Next" w:hAnsi="Avenir Next" w:cs="Arial"/>
          <w:sz w:val="22"/>
          <w:szCs w:val="22"/>
          <w:lang w:val="en-GB"/>
        </w:rPr>
        <w:t>,</w:t>
      </w:r>
    </w:p>
    <w:p w14:paraId="08649C98" w14:textId="77777777" w:rsidR="00B36C45" w:rsidRPr="00B36C45" w:rsidRDefault="00B36C45" w:rsidP="00B36C45">
      <w:pPr>
        <w:pStyle w:val="ListParagraph"/>
        <w:numPr>
          <w:ilvl w:val="0"/>
          <w:numId w:val="34"/>
        </w:numPr>
        <w:jc w:val="both"/>
        <w:rPr>
          <w:rFonts w:ascii="Avenir Next" w:hAnsi="Avenir Next" w:cs="Arial"/>
          <w:sz w:val="22"/>
          <w:szCs w:val="22"/>
          <w:lang w:val="en-GB"/>
        </w:rPr>
      </w:pPr>
      <w:r w:rsidRPr="00B36C45">
        <w:rPr>
          <w:rFonts w:ascii="Avenir Next" w:hAnsi="Avenir Next" w:cs="Arial"/>
          <w:b/>
          <w:bCs/>
          <w:sz w:val="22"/>
          <w:szCs w:val="22"/>
          <w:lang w:val="en-GB"/>
        </w:rPr>
        <w:t>foreign representative </w:t>
      </w:r>
      <w:r w:rsidRPr="00B36C45">
        <w:rPr>
          <w:rFonts w:ascii="Avenir Next" w:hAnsi="Avenir Next" w:cs="Arial"/>
          <w:sz w:val="22"/>
          <w:szCs w:val="22"/>
          <w:lang w:val="en-GB"/>
        </w:rPr>
        <w:t>means a person or body, including one appointed on an interim basis, who is authorized, in a foreign proceeding in respect of a debtor, to</w:t>
      </w:r>
    </w:p>
    <w:p w14:paraId="136411A7" w14:textId="19CA1A84" w:rsidR="00B36C45" w:rsidRPr="00B36C45" w:rsidRDefault="00B36C45" w:rsidP="00B36C45">
      <w:pPr>
        <w:pStyle w:val="ListParagraph"/>
        <w:numPr>
          <w:ilvl w:val="1"/>
          <w:numId w:val="34"/>
        </w:numPr>
        <w:jc w:val="both"/>
        <w:rPr>
          <w:rFonts w:ascii="Avenir Next" w:hAnsi="Avenir Next" w:cs="Arial"/>
          <w:sz w:val="22"/>
          <w:szCs w:val="22"/>
          <w:lang w:val="en-GB"/>
        </w:rPr>
      </w:pPr>
      <w:r w:rsidRPr="00B36C45">
        <w:rPr>
          <w:rFonts w:ascii="Avenir Next" w:hAnsi="Avenir Next" w:cs="Arial"/>
          <w:sz w:val="22"/>
          <w:szCs w:val="22"/>
          <w:lang w:val="en-GB"/>
        </w:rPr>
        <w:lastRenderedPageBreak/>
        <w:t xml:space="preserve"> administer the debtor’s property or affairs for the purpose of reorganization or liquidation; or</w:t>
      </w:r>
    </w:p>
    <w:p w14:paraId="40C8C55E" w14:textId="4AED1CCF" w:rsidR="00B36C45" w:rsidRPr="00B36C45" w:rsidRDefault="00B36C45" w:rsidP="00B36C45">
      <w:pPr>
        <w:pStyle w:val="ListParagraph"/>
        <w:numPr>
          <w:ilvl w:val="1"/>
          <w:numId w:val="34"/>
        </w:numPr>
        <w:jc w:val="both"/>
        <w:rPr>
          <w:rFonts w:ascii="Avenir Next" w:hAnsi="Avenir Next" w:cs="Arial"/>
          <w:sz w:val="22"/>
          <w:szCs w:val="22"/>
          <w:lang w:val="en-GB"/>
        </w:rPr>
      </w:pPr>
      <w:r w:rsidRPr="00B36C45">
        <w:rPr>
          <w:rFonts w:ascii="Avenir Next" w:hAnsi="Avenir Next" w:cs="Arial"/>
          <w:sz w:val="22"/>
          <w:szCs w:val="22"/>
          <w:lang w:val="en-GB"/>
        </w:rPr>
        <w:t xml:space="preserve"> act as a representative in respect of the foreign proceeding.</w:t>
      </w:r>
    </w:p>
    <w:p w14:paraId="058EFB54" w14:textId="77777777" w:rsidR="00B36C45" w:rsidRDefault="00B36C45" w:rsidP="00515E34">
      <w:pPr>
        <w:ind w:left="720"/>
        <w:jc w:val="both"/>
        <w:rPr>
          <w:rFonts w:ascii="Avenir Next" w:hAnsi="Avenir Next" w:cs="Arial"/>
          <w:sz w:val="22"/>
          <w:szCs w:val="22"/>
          <w:lang w:val="en-GB"/>
        </w:rPr>
      </w:pPr>
    </w:p>
    <w:p w14:paraId="0B46AF5C" w14:textId="30792D48" w:rsidR="00515E34" w:rsidRPr="007C1D4D" w:rsidRDefault="00515E34" w:rsidP="00515E34">
      <w:pPr>
        <w:ind w:left="720"/>
        <w:jc w:val="both"/>
        <w:rPr>
          <w:rFonts w:ascii="Avenir Next" w:hAnsi="Avenir Next" w:cs="Arial"/>
          <w:sz w:val="22"/>
          <w:szCs w:val="22"/>
          <w:lang w:val="en-GB"/>
        </w:rPr>
      </w:pPr>
      <w:r>
        <w:rPr>
          <w:rFonts w:ascii="Avenir Next" w:hAnsi="Avenir Next" w:cs="Arial"/>
          <w:sz w:val="22"/>
          <w:szCs w:val="22"/>
          <w:lang w:val="en-GB"/>
        </w:rPr>
        <w:t>The recognition application is commenced by the foreign representative who must file sufficient evidence of the foreign law to allow the Canadian court to determine that they are a foreign representative and that the proceeding is a foreign proceeding. The terms “foreign proceeding” and “foreign representative” will be given a broad and purposive interpretation, thereby allowing an applicant to meet the requirements for recognition of a foreign proceeding without difficulty. The focus of the Canadian court is on the substance of the foreign law rather than its nomenclature.</w:t>
      </w:r>
      <w:r w:rsidR="007C1D4D">
        <w:rPr>
          <w:rFonts w:ascii="Avenir Next" w:hAnsi="Avenir Next" w:cs="Arial"/>
          <w:sz w:val="22"/>
          <w:szCs w:val="22"/>
          <w:lang w:val="en-GB"/>
        </w:rPr>
        <w:t xml:space="preserve"> This is illustrated by </w:t>
      </w:r>
      <w:r w:rsidR="007C1D4D">
        <w:rPr>
          <w:rFonts w:ascii="Avenir Next" w:hAnsi="Avenir Next" w:cs="Arial"/>
          <w:i/>
          <w:iCs/>
          <w:sz w:val="22"/>
          <w:szCs w:val="22"/>
          <w:lang w:val="en-GB"/>
        </w:rPr>
        <w:t xml:space="preserve">Centaur Litigation SPC, </w:t>
      </w:r>
      <w:proofErr w:type="gramStart"/>
      <w:r w:rsidR="007C1D4D">
        <w:rPr>
          <w:rFonts w:ascii="Avenir Next" w:hAnsi="Avenir Next" w:cs="Arial"/>
          <w:i/>
          <w:iCs/>
          <w:sz w:val="22"/>
          <w:szCs w:val="22"/>
          <w:lang w:val="en-GB"/>
        </w:rPr>
        <w:t>Re</w:t>
      </w:r>
      <w:proofErr w:type="gramEnd"/>
      <w:r w:rsidR="007C1D4D">
        <w:rPr>
          <w:rFonts w:ascii="Avenir Next" w:hAnsi="Avenir Next" w:cs="Arial"/>
          <w:i/>
          <w:iCs/>
          <w:sz w:val="22"/>
          <w:szCs w:val="22"/>
          <w:lang w:val="en-GB"/>
        </w:rPr>
        <w:t xml:space="preserve"> </w:t>
      </w:r>
      <w:r w:rsidR="007C1D4D">
        <w:rPr>
          <w:rFonts w:ascii="Avenir Next" w:hAnsi="Avenir Next" w:cs="Arial"/>
          <w:sz w:val="22"/>
          <w:szCs w:val="22"/>
          <w:lang w:val="en-GB"/>
        </w:rPr>
        <w:t xml:space="preserve">[2016] BCSC 1224, where the Canadian court held that it was sufficient that a Cayman Islands proceeding dealt “with the creditors’ collective interest </w:t>
      </w:r>
      <w:r w:rsidR="007C1D4D">
        <w:rPr>
          <w:rFonts w:ascii="Avenir Next" w:hAnsi="Avenir Next" w:cs="Arial"/>
          <w:i/>
          <w:iCs/>
          <w:sz w:val="22"/>
          <w:szCs w:val="22"/>
          <w:lang w:val="en-GB"/>
        </w:rPr>
        <w:t xml:space="preserve">generally </w:t>
      </w:r>
      <w:r w:rsidR="007C1D4D">
        <w:rPr>
          <w:rFonts w:ascii="Avenir Next" w:hAnsi="Avenir Next" w:cs="Arial"/>
          <w:sz w:val="22"/>
          <w:szCs w:val="22"/>
          <w:lang w:val="en-GB"/>
        </w:rPr>
        <w:t>under the Cayman Islands Companies law, which permits insolvent companies to restructure under the supervision of the court”</w:t>
      </w:r>
      <w:r w:rsidR="00DC24D6">
        <w:rPr>
          <w:rFonts w:ascii="Avenir Next" w:hAnsi="Avenir Next" w:cs="Arial"/>
          <w:sz w:val="22"/>
          <w:szCs w:val="22"/>
          <w:lang w:val="en-GB"/>
        </w:rPr>
        <w:t xml:space="preserve"> [emphasis added], for that proceeding to qualify as a foreign proceeding</w:t>
      </w:r>
      <w:r w:rsidR="007C1D4D">
        <w:rPr>
          <w:rFonts w:ascii="Avenir Next" w:hAnsi="Avenir Next" w:cs="Arial"/>
          <w:sz w:val="22"/>
          <w:szCs w:val="22"/>
          <w:lang w:val="en-GB"/>
        </w:rPr>
        <w:t>.</w:t>
      </w:r>
    </w:p>
    <w:p w14:paraId="2D04F66B" w14:textId="77777777" w:rsidR="00515E34" w:rsidRDefault="00515E34" w:rsidP="00515E34">
      <w:pPr>
        <w:ind w:left="720"/>
        <w:jc w:val="both"/>
        <w:rPr>
          <w:rFonts w:ascii="Avenir Next" w:hAnsi="Avenir Next" w:cs="Arial"/>
          <w:sz w:val="22"/>
          <w:szCs w:val="22"/>
          <w:lang w:val="en-GB"/>
        </w:rPr>
      </w:pPr>
    </w:p>
    <w:p w14:paraId="48EC4C5A" w14:textId="6B7B8832" w:rsidR="00515E34" w:rsidRDefault="00515E34" w:rsidP="00515E34">
      <w:pPr>
        <w:ind w:left="720"/>
        <w:jc w:val="both"/>
        <w:rPr>
          <w:rFonts w:ascii="Avenir Next" w:hAnsi="Avenir Next" w:cs="Arial"/>
          <w:sz w:val="22"/>
          <w:szCs w:val="22"/>
          <w:lang w:val="en-GB"/>
        </w:rPr>
      </w:pPr>
      <w:r>
        <w:rPr>
          <w:rFonts w:ascii="Avenir Next" w:hAnsi="Avenir Next" w:cs="Arial"/>
          <w:sz w:val="22"/>
          <w:szCs w:val="22"/>
          <w:lang w:val="en-GB"/>
        </w:rPr>
        <w:t xml:space="preserve">In the present case, </w:t>
      </w:r>
      <w:r w:rsidR="00B36C45">
        <w:rPr>
          <w:rFonts w:ascii="Avenir Next" w:hAnsi="Avenir Next" w:cs="Arial"/>
          <w:sz w:val="22"/>
          <w:szCs w:val="22"/>
          <w:lang w:val="en-GB"/>
        </w:rPr>
        <w:t xml:space="preserve">it is not stated whether the purpose of the foreign agent’s powers and the purpose of the foreign proceeding is for reorganisation and/or liquidation. Assuming that is the case, the foreign agent will likely be able to meet the requirements for recognition in Canada. </w:t>
      </w:r>
      <w:r>
        <w:rPr>
          <w:rFonts w:ascii="Avenir Next" w:hAnsi="Avenir Next" w:cs="Arial"/>
          <w:sz w:val="22"/>
          <w:szCs w:val="22"/>
          <w:lang w:val="en-GB"/>
        </w:rPr>
        <w:t xml:space="preserve">Based on the given facts, the </w:t>
      </w:r>
      <w:r w:rsidR="00B36C45">
        <w:rPr>
          <w:rFonts w:ascii="Avenir Next" w:hAnsi="Avenir Next" w:cs="Arial"/>
          <w:sz w:val="22"/>
          <w:szCs w:val="22"/>
          <w:lang w:val="en-GB"/>
        </w:rPr>
        <w:t xml:space="preserve">foreign </w:t>
      </w:r>
      <w:r>
        <w:rPr>
          <w:rFonts w:ascii="Avenir Next" w:hAnsi="Avenir Next" w:cs="Arial"/>
          <w:sz w:val="22"/>
          <w:szCs w:val="22"/>
          <w:lang w:val="en-GB"/>
        </w:rPr>
        <w:t xml:space="preserve">proceeding appears to be a </w:t>
      </w:r>
      <w:r w:rsidR="00B36C45">
        <w:rPr>
          <w:rFonts w:ascii="Avenir Next" w:hAnsi="Avenir Next" w:cs="Arial"/>
          <w:sz w:val="22"/>
          <w:szCs w:val="22"/>
          <w:lang w:val="en-GB"/>
        </w:rPr>
        <w:t>judicial proceeding</w:t>
      </w:r>
      <w:r>
        <w:rPr>
          <w:rFonts w:ascii="Avenir Next" w:hAnsi="Avenir Next" w:cs="Arial"/>
          <w:sz w:val="22"/>
          <w:szCs w:val="22"/>
          <w:lang w:val="en-GB"/>
        </w:rPr>
        <w:t xml:space="preserve"> deal</w:t>
      </w:r>
      <w:r w:rsidR="00B36C45">
        <w:rPr>
          <w:rFonts w:ascii="Avenir Next" w:hAnsi="Avenir Next" w:cs="Arial"/>
          <w:sz w:val="22"/>
          <w:szCs w:val="22"/>
          <w:lang w:val="en-GB"/>
        </w:rPr>
        <w:t>ing</w:t>
      </w:r>
      <w:r>
        <w:rPr>
          <w:rFonts w:ascii="Avenir Next" w:hAnsi="Avenir Next" w:cs="Arial"/>
          <w:sz w:val="22"/>
          <w:szCs w:val="22"/>
          <w:lang w:val="en-GB"/>
        </w:rPr>
        <w:t xml:space="preserve"> with the assets of insolvent companies</w:t>
      </w:r>
      <w:r w:rsidR="00B36C45">
        <w:rPr>
          <w:rFonts w:ascii="Avenir Next" w:hAnsi="Avenir Next" w:cs="Arial"/>
          <w:sz w:val="22"/>
          <w:szCs w:val="22"/>
          <w:lang w:val="en-GB"/>
        </w:rPr>
        <w:t xml:space="preserve"> (given the involvement of the foreign courts)</w:t>
      </w:r>
      <w:r>
        <w:rPr>
          <w:rFonts w:ascii="Avenir Next" w:hAnsi="Avenir Next" w:cs="Arial"/>
          <w:sz w:val="22"/>
          <w:szCs w:val="22"/>
          <w:lang w:val="en-GB"/>
        </w:rPr>
        <w:t>,</w:t>
      </w:r>
      <w:r w:rsidR="00B36C45">
        <w:rPr>
          <w:rFonts w:ascii="Avenir Next" w:hAnsi="Avenir Next" w:cs="Arial"/>
          <w:sz w:val="22"/>
          <w:szCs w:val="22"/>
          <w:lang w:val="en-GB"/>
        </w:rPr>
        <w:t xml:space="preserve"> and which subjects the insolvent company’s affairs to control or supervision by a foreign court (given the seizure of the company’s property in the foreign jurisdiction). The foreign agent also arguably fulfils the definition of a foreign representative, given that he/she has the power to administer the debtor’s property or affairs (</w:t>
      </w:r>
      <w:proofErr w:type="spellStart"/>
      <w:r w:rsidR="00B36C45">
        <w:rPr>
          <w:rFonts w:ascii="Avenir Next" w:hAnsi="Avenir Next" w:cs="Arial"/>
          <w:i/>
          <w:iCs/>
          <w:sz w:val="22"/>
          <w:szCs w:val="22"/>
          <w:lang w:val="en-GB"/>
        </w:rPr>
        <w:t>eg</w:t>
      </w:r>
      <w:proofErr w:type="spellEnd"/>
      <w:r w:rsidR="00B36C45">
        <w:rPr>
          <w:rFonts w:ascii="Avenir Next" w:hAnsi="Avenir Next" w:cs="Arial"/>
          <w:sz w:val="22"/>
          <w:szCs w:val="22"/>
          <w:lang w:val="en-GB"/>
        </w:rPr>
        <w:t>, by seizing the company’s property).</w:t>
      </w:r>
    </w:p>
    <w:p w14:paraId="5C6CF77D" w14:textId="77777777" w:rsidR="00515E34" w:rsidRDefault="00515E34" w:rsidP="00515E34">
      <w:pPr>
        <w:ind w:left="720"/>
        <w:jc w:val="both"/>
        <w:rPr>
          <w:rFonts w:ascii="Avenir Next" w:hAnsi="Avenir Next" w:cs="Arial"/>
          <w:sz w:val="22"/>
          <w:szCs w:val="22"/>
          <w:lang w:val="en-GB"/>
        </w:rPr>
      </w:pPr>
    </w:p>
    <w:p w14:paraId="72099F42" w14:textId="3ABDD0DA" w:rsidR="00515E34" w:rsidRPr="00515E34" w:rsidRDefault="00515E34" w:rsidP="00515E34">
      <w:pPr>
        <w:ind w:left="720"/>
        <w:jc w:val="both"/>
        <w:rPr>
          <w:rFonts w:ascii="Avenir Next" w:hAnsi="Avenir Next" w:cs="Arial"/>
          <w:sz w:val="22"/>
          <w:szCs w:val="22"/>
          <w:lang w:val="en-GB"/>
        </w:rPr>
      </w:pPr>
      <w:r>
        <w:rPr>
          <w:rFonts w:ascii="Avenir Next" w:hAnsi="Avenir Next" w:cs="Arial"/>
          <w:sz w:val="22"/>
          <w:szCs w:val="22"/>
          <w:lang w:val="en-GB"/>
        </w:rPr>
        <w:t>Once the requirements for recognition have been met, recognition is automatic and compulsory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the UNCITRAL Model Law on Cross-Border Insolvency). The court will make an order recognising the foreign proceeding. If the court determines that the foreign proceeding is a foreign main proceeding, the court will automatically issue a stay of proceedings. If the court determines that the foreign proceeding is a foreign non-main proceeding, a stay may be requested but it is up to the court’s discretion to make any order necessary for the protection of the debtor’s property or the interests of creditors.</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6978302C" w:rsidR="006F4E04" w:rsidRDefault="00B36C45" w:rsidP="00B36C45">
      <w:pPr>
        <w:ind w:left="720"/>
        <w:jc w:val="both"/>
        <w:rPr>
          <w:rFonts w:ascii="Avenir Next" w:hAnsi="Avenir Next" w:cs="Arial"/>
          <w:sz w:val="22"/>
          <w:szCs w:val="22"/>
          <w:lang w:val="en-GB"/>
        </w:rPr>
      </w:pPr>
      <w:r>
        <w:rPr>
          <w:rFonts w:ascii="Avenir Next" w:hAnsi="Avenir Next" w:cs="Arial"/>
          <w:sz w:val="22"/>
          <w:szCs w:val="22"/>
          <w:lang w:val="en-GB"/>
        </w:rPr>
        <w:lastRenderedPageBreak/>
        <w:t xml:space="preserve">There is no statutory definition of a “centre of main interest” (“COMI”) in the BIA or CCAA. However, under s 268 BIA and s 45 CCAA, in the case of an individual, the debtor’s ordinary place of residence is deemed to be his/her COMI, in the absence of proof to the contrary. In the case of a company, the COMI is deemed to be the company’s registered office, in the absence of proof to the contrary. </w:t>
      </w:r>
      <w:r w:rsidR="0046748F">
        <w:rPr>
          <w:rFonts w:ascii="Avenir Next" w:hAnsi="Avenir Next" w:cs="Arial"/>
          <w:sz w:val="22"/>
          <w:szCs w:val="22"/>
          <w:lang w:val="en-GB"/>
        </w:rPr>
        <w:t xml:space="preserve">The courts will also have regard to the following three considerations, which are of primary importance in determining COMI (see </w:t>
      </w:r>
      <w:r w:rsidR="0046748F">
        <w:rPr>
          <w:rFonts w:ascii="Avenir Next" w:hAnsi="Avenir Next" w:cs="Arial"/>
          <w:i/>
          <w:iCs/>
          <w:sz w:val="22"/>
          <w:szCs w:val="22"/>
          <w:lang w:val="en-GB"/>
        </w:rPr>
        <w:t xml:space="preserve">Re </w:t>
      </w:r>
      <w:proofErr w:type="spellStart"/>
      <w:r w:rsidR="0046748F">
        <w:rPr>
          <w:rFonts w:ascii="Avenir Next" w:hAnsi="Avenir Next" w:cs="Arial"/>
          <w:i/>
          <w:iCs/>
          <w:sz w:val="22"/>
          <w:szCs w:val="22"/>
          <w:lang w:val="en-GB"/>
        </w:rPr>
        <w:t>MtGox</w:t>
      </w:r>
      <w:proofErr w:type="spellEnd"/>
      <w:r w:rsidR="0046748F">
        <w:rPr>
          <w:rFonts w:ascii="Avenir Next" w:hAnsi="Avenir Next" w:cs="Arial"/>
          <w:i/>
          <w:iCs/>
          <w:sz w:val="22"/>
          <w:szCs w:val="22"/>
          <w:lang w:val="en-GB"/>
        </w:rPr>
        <w:t xml:space="preserve"> </w:t>
      </w:r>
      <w:r w:rsidR="0046748F">
        <w:rPr>
          <w:rFonts w:ascii="Avenir Next" w:hAnsi="Avenir Next" w:cs="Arial"/>
          <w:sz w:val="22"/>
          <w:szCs w:val="22"/>
          <w:lang w:val="en-GB"/>
        </w:rPr>
        <w:t>[2014] ONSC 5811):</w:t>
      </w:r>
    </w:p>
    <w:p w14:paraId="6EF0CD0F" w14:textId="0CF7EB40" w:rsidR="0046748F" w:rsidRDefault="0046748F" w:rsidP="0046748F">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The location that significant creditors recognise as being the centre of the company’s </w:t>
      </w:r>
      <w:proofErr w:type="gramStart"/>
      <w:r>
        <w:rPr>
          <w:rFonts w:ascii="Avenir Next" w:hAnsi="Avenir Next" w:cs="Arial"/>
          <w:sz w:val="22"/>
          <w:szCs w:val="22"/>
          <w:lang w:val="en-GB"/>
        </w:rPr>
        <w:t>operations;</w:t>
      </w:r>
      <w:proofErr w:type="gramEnd"/>
    </w:p>
    <w:p w14:paraId="4CF6DB28" w14:textId="548E5BBB" w:rsidR="0046748F" w:rsidRDefault="0046748F" w:rsidP="0046748F">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The location in which the debtor’s principal assets or operations are found; and</w:t>
      </w:r>
    </w:p>
    <w:p w14:paraId="6AC1A2BB" w14:textId="4758AC19" w:rsidR="0046748F" w:rsidRDefault="0046748F" w:rsidP="0046748F">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The location of the debtor’s headquarters, head office or “nerve centre”.</w:t>
      </w:r>
    </w:p>
    <w:p w14:paraId="375F6807" w14:textId="77777777" w:rsidR="0046748F" w:rsidRDefault="0046748F" w:rsidP="0046748F">
      <w:pPr>
        <w:jc w:val="both"/>
        <w:rPr>
          <w:rFonts w:ascii="Avenir Next" w:hAnsi="Avenir Next" w:cs="Arial"/>
          <w:sz w:val="22"/>
          <w:szCs w:val="22"/>
          <w:lang w:val="en-GB"/>
        </w:rPr>
      </w:pPr>
    </w:p>
    <w:p w14:paraId="0DF3CD54" w14:textId="2E69413A" w:rsidR="00DC24D6" w:rsidRDefault="0046748F" w:rsidP="0046748F">
      <w:pPr>
        <w:ind w:left="720"/>
        <w:jc w:val="both"/>
        <w:rPr>
          <w:rFonts w:ascii="Avenir Next" w:hAnsi="Avenir Next" w:cs="Arial"/>
          <w:sz w:val="22"/>
          <w:szCs w:val="22"/>
          <w:lang w:val="en-GB"/>
        </w:rPr>
      </w:pPr>
      <w:r>
        <w:rPr>
          <w:rFonts w:ascii="Avenir Next" w:hAnsi="Avenir Next" w:cs="Arial"/>
          <w:sz w:val="22"/>
          <w:szCs w:val="22"/>
          <w:lang w:val="en-GB"/>
        </w:rPr>
        <w:t xml:space="preserve">Depending on the facts of the situation, some factors may carry more weight than others. A foreign proceeding commenced in the jurisdiction where the debtor’s COMI is located is a foreign main proceeding, while a foreign proceeding commenced elsewhere is a foreign non-main proceeding. </w:t>
      </w:r>
      <w:r w:rsidR="00DC24D6">
        <w:rPr>
          <w:rFonts w:ascii="Avenir Next" w:hAnsi="Avenir Next" w:cs="Arial"/>
          <w:sz w:val="22"/>
          <w:szCs w:val="22"/>
          <w:lang w:val="en-GB"/>
        </w:rPr>
        <w:t xml:space="preserve">In </w:t>
      </w:r>
      <w:r w:rsidR="00DC24D6">
        <w:rPr>
          <w:rFonts w:ascii="Avenir Next" w:hAnsi="Avenir Next" w:cs="Arial"/>
          <w:i/>
          <w:iCs/>
          <w:sz w:val="22"/>
          <w:szCs w:val="22"/>
          <w:lang w:val="en-GB"/>
        </w:rPr>
        <w:t xml:space="preserve">Re </w:t>
      </w:r>
      <w:proofErr w:type="spellStart"/>
      <w:r w:rsidR="00DC24D6">
        <w:rPr>
          <w:rFonts w:ascii="Avenir Next" w:hAnsi="Avenir Next" w:cs="Arial"/>
          <w:i/>
          <w:iCs/>
          <w:sz w:val="22"/>
          <w:szCs w:val="22"/>
          <w:lang w:val="en-GB"/>
        </w:rPr>
        <w:t>MtGox</w:t>
      </w:r>
      <w:proofErr w:type="spellEnd"/>
      <w:r w:rsidR="00DC24D6">
        <w:rPr>
          <w:rFonts w:ascii="Avenir Next" w:hAnsi="Avenir Next" w:cs="Arial"/>
          <w:sz w:val="22"/>
          <w:szCs w:val="22"/>
          <w:lang w:val="en-GB"/>
        </w:rPr>
        <w:t xml:space="preserve">, the Canada court found that </w:t>
      </w:r>
      <w:proofErr w:type="spellStart"/>
      <w:r w:rsidR="00DC24D6">
        <w:rPr>
          <w:rFonts w:ascii="Avenir Next" w:hAnsi="Avenir Next" w:cs="Arial"/>
          <w:sz w:val="22"/>
          <w:szCs w:val="22"/>
          <w:lang w:val="en-GB"/>
        </w:rPr>
        <w:t>MtGox’s</w:t>
      </w:r>
      <w:proofErr w:type="spellEnd"/>
      <w:r w:rsidR="00DC24D6">
        <w:rPr>
          <w:rFonts w:ascii="Avenir Next" w:hAnsi="Avenir Next" w:cs="Arial"/>
          <w:sz w:val="22"/>
          <w:szCs w:val="22"/>
          <w:lang w:val="en-GB"/>
        </w:rPr>
        <w:t xml:space="preserve"> COMI was in Japan rather than Canada, and considered it relevant that:</w:t>
      </w:r>
    </w:p>
    <w:p w14:paraId="4950C51E" w14:textId="71D6CCD4" w:rsidR="00DC24D6" w:rsidRDefault="00DC24D6" w:rsidP="00DC24D6">
      <w:pPr>
        <w:pStyle w:val="ListParagraph"/>
        <w:numPr>
          <w:ilvl w:val="0"/>
          <w:numId w:val="36"/>
        </w:numPr>
        <w:jc w:val="both"/>
        <w:rPr>
          <w:rFonts w:ascii="Avenir Next" w:hAnsi="Avenir Next" w:cs="Arial"/>
          <w:sz w:val="22"/>
          <w:szCs w:val="22"/>
          <w:lang w:val="en-GB"/>
        </w:rPr>
      </w:pPr>
      <w:proofErr w:type="spellStart"/>
      <w:r>
        <w:rPr>
          <w:rFonts w:ascii="Avenir Next" w:hAnsi="Avenir Next" w:cs="Arial"/>
          <w:sz w:val="22"/>
          <w:szCs w:val="22"/>
          <w:lang w:val="en-GB"/>
        </w:rPr>
        <w:t>MtGox</w:t>
      </w:r>
      <w:proofErr w:type="spellEnd"/>
      <w:r>
        <w:rPr>
          <w:rFonts w:ascii="Avenir Next" w:hAnsi="Avenir Next" w:cs="Arial"/>
          <w:sz w:val="22"/>
          <w:szCs w:val="22"/>
          <w:lang w:val="en-GB"/>
        </w:rPr>
        <w:t xml:space="preserve"> had no assets or offices in </w:t>
      </w:r>
      <w:proofErr w:type="gramStart"/>
      <w:r>
        <w:rPr>
          <w:rFonts w:ascii="Avenir Next" w:hAnsi="Avenir Next" w:cs="Arial"/>
          <w:sz w:val="22"/>
          <w:szCs w:val="22"/>
          <w:lang w:val="en-GB"/>
        </w:rPr>
        <w:t>Canada;</w:t>
      </w:r>
      <w:proofErr w:type="gramEnd"/>
    </w:p>
    <w:p w14:paraId="7AD94C88" w14:textId="633884E2" w:rsidR="00DC24D6" w:rsidRDefault="00DC24D6" w:rsidP="00DC24D6">
      <w:pPr>
        <w:pStyle w:val="ListParagraph"/>
        <w:numPr>
          <w:ilvl w:val="0"/>
          <w:numId w:val="36"/>
        </w:numPr>
        <w:jc w:val="both"/>
        <w:rPr>
          <w:rFonts w:ascii="Avenir Next" w:hAnsi="Avenir Next" w:cs="Arial"/>
          <w:sz w:val="22"/>
          <w:szCs w:val="22"/>
          <w:lang w:val="en-GB"/>
        </w:rPr>
      </w:pPr>
      <w:proofErr w:type="spellStart"/>
      <w:r>
        <w:rPr>
          <w:rFonts w:ascii="Avenir Next" w:hAnsi="Avenir Next" w:cs="Arial"/>
          <w:sz w:val="22"/>
          <w:szCs w:val="22"/>
          <w:lang w:val="en-GB"/>
        </w:rPr>
        <w:t>MtGox</w:t>
      </w:r>
      <w:proofErr w:type="spellEnd"/>
      <w:r>
        <w:rPr>
          <w:rFonts w:ascii="Avenir Next" w:hAnsi="Avenir Next" w:cs="Arial"/>
          <w:sz w:val="22"/>
          <w:szCs w:val="22"/>
          <w:lang w:val="en-GB"/>
        </w:rPr>
        <w:t xml:space="preserve"> was and always had been organised under the laws of </w:t>
      </w:r>
      <w:proofErr w:type="gramStart"/>
      <w:r>
        <w:rPr>
          <w:rFonts w:ascii="Avenir Next" w:hAnsi="Avenir Next" w:cs="Arial"/>
          <w:sz w:val="22"/>
          <w:szCs w:val="22"/>
          <w:lang w:val="en-GB"/>
        </w:rPr>
        <w:t>Japan;</w:t>
      </w:r>
      <w:proofErr w:type="gramEnd"/>
    </w:p>
    <w:p w14:paraId="0B995B03" w14:textId="482CAC95" w:rsidR="00DC24D6" w:rsidRDefault="00DC24D6" w:rsidP="00DC24D6">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 xml:space="preserve">The registered office, books and records of </w:t>
      </w:r>
      <w:proofErr w:type="spellStart"/>
      <w:r>
        <w:rPr>
          <w:rFonts w:ascii="Avenir Next" w:hAnsi="Avenir Next" w:cs="Arial"/>
          <w:sz w:val="22"/>
          <w:szCs w:val="22"/>
          <w:lang w:val="en-GB"/>
        </w:rPr>
        <w:t>MtGox</w:t>
      </w:r>
      <w:proofErr w:type="spellEnd"/>
      <w:r>
        <w:rPr>
          <w:rFonts w:ascii="Avenir Next" w:hAnsi="Avenir Next" w:cs="Arial"/>
          <w:sz w:val="22"/>
          <w:szCs w:val="22"/>
          <w:lang w:val="en-GB"/>
        </w:rPr>
        <w:t xml:space="preserve"> were in </w:t>
      </w:r>
      <w:proofErr w:type="gramStart"/>
      <w:r>
        <w:rPr>
          <w:rFonts w:ascii="Avenir Next" w:hAnsi="Avenir Next" w:cs="Arial"/>
          <w:sz w:val="22"/>
          <w:szCs w:val="22"/>
          <w:lang w:val="en-GB"/>
        </w:rPr>
        <w:t>Japan;</w:t>
      </w:r>
      <w:proofErr w:type="gramEnd"/>
    </w:p>
    <w:p w14:paraId="28940DD4" w14:textId="44105AEC" w:rsidR="00DC24D6" w:rsidRDefault="00DC24D6" w:rsidP="00DC24D6">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 xml:space="preserve">The sole director of </w:t>
      </w:r>
      <w:proofErr w:type="spellStart"/>
      <w:r>
        <w:rPr>
          <w:rFonts w:ascii="Avenir Next" w:hAnsi="Avenir Next" w:cs="Arial"/>
          <w:sz w:val="22"/>
          <w:szCs w:val="22"/>
          <w:lang w:val="en-GB"/>
        </w:rPr>
        <w:t>MtGox</w:t>
      </w:r>
      <w:proofErr w:type="spellEnd"/>
      <w:r>
        <w:rPr>
          <w:rFonts w:ascii="Avenir Next" w:hAnsi="Avenir Next" w:cs="Arial"/>
          <w:sz w:val="22"/>
          <w:szCs w:val="22"/>
          <w:lang w:val="en-GB"/>
        </w:rPr>
        <w:t xml:space="preserve"> resided in </w:t>
      </w:r>
      <w:proofErr w:type="gramStart"/>
      <w:r>
        <w:rPr>
          <w:rFonts w:ascii="Avenir Next" w:hAnsi="Avenir Next" w:cs="Arial"/>
          <w:sz w:val="22"/>
          <w:szCs w:val="22"/>
          <w:lang w:val="en-GB"/>
        </w:rPr>
        <w:t>Japan;</w:t>
      </w:r>
      <w:proofErr w:type="gramEnd"/>
    </w:p>
    <w:p w14:paraId="01B8EFC5" w14:textId="7B45E2C7" w:rsidR="00DC24D6" w:rsidRDefault="00DC24D6" w:rsidP="00DC24D6">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 xml:space="preserve">Most of </w:t>
      </w:r>
      <w:proofErr w:type="spellStart"/>
      <w:r>
        <w:rPr>
          <w:rFonts w:ascii="Avenir Next" w:hAnsi="Avenir Next" w:cs="Arial"/>
          <w:sz w:val="22"/>
          <w:szCs w:val="22"/>
          <w:lang w:val="en-GB"/>
        </w:rPr>
        <w:t>MtGox’s</w:t>
      </w:r>
      <w:proofErr w:type="spellEnd"/>
      <w:r>
        <w:rPr>
          <w:rFonts w:ascii="Avenir Next" w:hAnsi="Avenir Next" w:cs="Arial"/>
          <w:sz w:val="22"/>
          <w:szCs w:val="22"/>
          <w:lang w:val="en-GB"/>
        </w:rPr>
        <w:t xml:space="preserve"> bank accounts were located in </w:t>
      </w:r>
      <w:proofErr w:type="gramStart"/>
      <w:r>
        <w:rPr>
          <w:rFonts w:ascii="Avenir Next" w:hAnsi="Avenir Next" w:cs="Arial"/>
          <w:sz w:val="22"/>
          <w:szCs w:val="22"/>
          <w:lang w:val="en-GB"/>
        </w:rPr>
        <w:t>Japan;</w:t>
      </w:r>
      <w:proofErr w:type="gramEnd"/>
      <w:r>
        <w:rPr>
          <w:rFonts w:ascii="Avenir Next" w:hAnsi="Avenir Next" w:cs="Arial"/>
          <w:sz w:val="22"/>
          <w:szCs w:val="22"/>
          <w:lang w:val="en-GB"/>
        </w:rPr>
        <w:t xml:space="preserve"> </w:t>
      </w:r>
    </w:p>
    <w:p w14:paraId="5589CAC3" w14:textId="62CB6365" w:rsidR="00DC24D6" w:rsidRDefault="00DC24D6" w:rsidP="00DC24D6">
      <w:pPr>
        <w:pStyle w:val="ListParagraph"/>
        <w:numPr>
          <w:ilvl w:val="0"/>
          <w:numId w:val="36"/>
        </w:numPr>
        <w:jc w:val="both"/>
        <w:rPr>
          <w:rFonts w:ascii="Avenir Next" w:hAnsi="Avenir Next" w:cs="Arial"/>
          <w:sz w:val="22"/>
          <w:szCs w:val="22"/>
          <w:lang w:val="en-GB"/>
        </w:rPr>
      </w:pPr>
      <w:proofErr w:type="spellStart"/>
      <w:r>
        <w:rPr>
          <w:rFonts w:ascii="Avenir Next" w:hAnsi="Avenir Next" w:cs="Arial"/>
          <w:sz w:val="22"/>
          <w:szCs w:val="22"/>
          <w:lang w:val="en-GB"/>
        </w:rPr>
        <w:t>MtGox’s</w:t>
      </w:r>
      <w:proofErr w:type="spellEnd"/>
      <w:r>
        <w:rPr>
          <w:rFonts w:ascii="Avenir Next" w:hAnsi="Avenir Next" w:cs="Arial"/>
          <w:sz w:val="22"/>
          <w:szCs w:val="22"/>
          <w:lang w:val="en-GB"/>
        </w:rPr>
        <w:t xml:space="preserve"> parent corporation supplied services to it in </w:t>
      </w:r>
      <w:proofErr w:type="gramStart"/>
      <w:r>
        <w:rPr>
          <w:rFonts w:ascii="Avenir Next" w:hAnsi="Avenir Next" w:cs="Arial"/>
          <w:sz w:val="22"/>
          <w:szCs w:val="22"/>
          <w:lang w:val="en-GB"/>
        </w:rPr>
        <w:t>Japan;</w:t>
      </w:r>
      <w:proofErr w:type="gramEnd"/>
    </w:p>
    <w:p w14:paraId="364FADFB" w14:textId="56E7B5A9" w:rsidR="00DC24D6" w:rsidRDefault="00DC24D6" w:rsidP="00DC24D6">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 xml:space="preserve">The </w:t>
      </w:r>
      <w:proofErr w:type="spellStart"/>
      <w:r>
        <w:rPr>
          <w:rFonts w:ascii="Avenir Next" w:hAnsi="Avenir Next" w:cs="Arial"/>
          <w:sz w:val="22"/>
          <w:szCs w:val="22"/>
          <w:lang w:val="en-GB"/>
        </w:rPr>
        <w:t>MtGox</w:t>
      </w:r>
      <w:proofErr w:type="spellEnd"/>
      <w:r>
        <w:rPr>
          <w:rFonts w:ascii="Avenir Next" w:hAnsi="Avenir Next" w:cs="Arial"/>
          <w:sz w:val="22"/>
          <w:szCs w:val="22"/>
          <w:lang w:val="en-GB"/>
        </w:rPr>
        <w:t xml:space="preserve"> website disclosed that it was a Japanese corporation located in Japan; and </w:t>
      </w:r>
    </w:p>
    <w:p w14:paraId="7AE83D30" w14:textId="1DD32CD8" w:rsidR="00DC24D6" w:rsidRPr="00DC24D6" w:rsidRDefault="00DC24D6" w:rsidP="00DC24D6">
      <w:pPr>
        <w:pStyle w:val="ListParagraph"/>
        <w:numPr>
          <w:ilvl w:val="0"/>
          <w:numId w:val="36"/>
        </w:numPr>
        <w:jc w:val="both"/>
        <w:rPr>
          <w:rFonts w:ascii="Avenir Next" w:hAnsi="Avenir Next" w:cs="Arial"/>
          <w:sz w:val="22"/>
          <w:szCs w:val="22"/>
          <w:lang w:val="en-GB"/>
        </w:rPr>
      </w:pPr>
      <w:proofErr w:type="spellStart"/>
      <w:r>
        <w:rPr>
          <w:rFonts w:ascii="Avenir Next" w:hAnsi="Avenir Next" w:cs="Arial"/>
          <w:sz w:val="22"/>
          <w:szCs w:val="22"/>
          <w:lang w:val="en-GB"/>
        </w:rPr>
        <w:t>MtGox</w:t>
      </w:r>
      <w:proofErr w:type="spellEnd"/>
      <w:r>
        <w:rPr>
          <w:rFonts w:ascii="Avenir Next" w:hAnsi="Avenir Next" w:cs="Arial"/>
          <w:sz w:val="22"/>
          <w:szCs w:val="22"/>
          <w:lang w:val="en-GB"/>
        </w:rPr>
        <w:t xml:space="preserve"> was investigating the hacking that occurred against it under the oversight of the Tokyo District Court.</w:t>
      </w:r>
    </w:p>
    <w:p w14:paraId="1B114F88" w14:textId="77777777" w:rsidR="00DC24D6" w:rsidRDefault="00DC24D6" w:rsidP="00DC24D6">
      <w:pPr>
        <w:jc w:val="both"/>
        <w:rPr>
          <w:rFonts w:ascii="Avenir Next" w:hAnsi="Avenir Next" w:cs="Arial"/>
          <w:sz w:val="22"/>
          <w:szCs w:val="22"/>
          <w:lang w:val="en-GB"/>
        </w:rPr>
      </w:pPr>
    </w:p>
    <w:p w14:paraId="69BDE481" w14:textId="4F19D7A1" w:rsidR="006F4E04" w:rsidRDefault="0046748F" w:rsidP="00A34426">
      <w:pPr>
        <w:ind w:left="720"/>
        <w:jc w:val="both"/>
        <w:rPr>
          <w:lang w:val="en-GB"/>
        </w:rPr>
      </w:pPr>
      <w:r>
        <w:rPr>
          <w:rFonts w:ascii="Avenir Next" w:hAnsi="Avenir Next" w:cs="Arial"/>
          <w:sz w:val="22"/>
          <w:szCs w:val="22"/>
          <w:lang w:val="en-GB"/>
        </w:rPr>
        <w:t xml:space="preserve">In the present case, </w:t>
      </w:r>
      <w:r w:rsidR="00DC24D6">
        <w:rPr>
          <w:rFonts w:ascii="Avenir Next" w:hAnsi="Avenir Next" w:cs="Arial"/>
          <w:sz w:val="22"/>
          <w:szCs w:val="22"/>
          <w:lang w:val="en-GB"/>
        </w:rPr>
        <w:t xml:space="preserve">it may be noted that </w:t>
      </w:r>
      <w:r w:rsidR="00A34426">
        <w:rPr>
          <w:rFonts w:ascii="Avenir Next" w:hAnsi="Avenir Next" w:cs="Arial"/>
          <w:sz w:val="22"/>
          <w:szCs w:val="22"/>
          <w:lang w:val="en-GB"/>
        </w:rPr>
        <w:t xml:space="preserve">the foreign company has a warehouse and fulfilment centre in Canada and is currently facing litigation in Canada. That said, this </w:t>
      </w:r>
      <w:proofErr w:type="gramStart"/>
      <w:r w:rsidR="00A34426">
        <w:rPr>
          <w:rFonts w:ascii="Avenir Next" w:hAnsi="Avenir Next" w:cs="Arial"/>
          <w:sz w:val="22"/>
          <w:szCs w:val="22"/>
          <w:lang w:val="en-GB"/>
        </w:rPr>
        <w:t>has to</w:t>
      </w:r>
      <w:proofErr w:type="gramEnd"/>
      <w:r w:rsidR="00A34426">
        <w:rPr>
          <w:rFonts w:ascii="Avenir Next" w:hAnsi="Avenir Next" w:cs="Arial"/>
          <w:sz w:val="22"/>
          <w:szCs w:val="22"/>
          <w:lang w:val="en-GB"/>
        </w:rPr>
        <w:t xml:space="preserve"> be weighed against the fact that the </w:t>
      </w:r>
      <w:r>
        <w:rPr>
          <w:rFonts w:ascii="Avenir Next" w:hAnsi="Avenir Next" w:cs="Arial"/>
          <w:sz w:val="22"/>
          <w:szCs w:val="22"/>
          <w:lang w:val="en-GB"/>
        </w:rPr>
        <w:t>company’s head office is registered</w:t>
      </w:r>
      <w:r w:rsidR="00A34426">
        <w:rPr>
          <w:rFonts w:ascii="Avenir Next" w:hAnsi="Avenir Next" w:cs="Arial"/>
          <w:sz w:val="22"/>
          <w:szCs w:val="22"/>
          <w:lang w:val="en-GB"/>
        </w:rPr>
        <w:t xml:space="preserve"> in the foreign jurisdiction</w:t>
      </w:r>
      <w:r>
        <w:rPr>
          <w:rFonts w:ascii="Avenir Next" w:hAnsi="Avenir Next" w:cs="Arial"/>
          <w:sz w:val="22"/>
          <w:szCs w:val="22"/>
          <w:lang w:val="en-GB"/>
        </w:rPr>
        <w:t xml:space="preserve">, and its senior management have offices there. </w:t>
      </w:r>
      <w:r w:rsidR="00A34426">
        <w:rPr>
          <w:rFonts w:ascii="Avenir Next" w:hAnsi="Avenir Next" w:cs="Arial"/>
          <w:sz w:val="22"/>
          <w:szCs w:val="22"/>
          <w:lang w:val="en-GB"/>
        </w:rPr>
        <w:t xml:space="preserve">Whether the company’s COMI is in Canada or elsewhere may ultimately depend on factors such as the size of its business operations or assets in Canada compared to that in the foreign jurisdiction. For instance, if the company’s operations in Canada are relatively small, </w:t>
      </w:r>
      <w:r>
        <w:rPr>
          <w:rFonts w:ascii="Avenir Next" w:hAnsi="Avenir Next" w:cs="Arial"/>
          <w:sz w:val="22"/>
          <w:szCs w:val="22"/>
          <w:lang w:val="en-GB"/>
        </w:rPr>
        <w:t xml:space="preserve">it may be argued that the presence </w:t>
      </w:r>
      <w:r w:rsidR="00A34426">
        <w:rPr>
          <w:rFonts w:ascii="Avenir Next" w:hAnsi="Avenir Next" w:cs="Arial"/>
          <w:sz w:val="22"/>
          <w:szCs w:val="22"/>
          <w:lang w:val="en-GB"/>
        </w:rPr>
        <w:t xml:space="preserve">of some assets and litigation </w:t>
      </w:r>
      <w:r>
        <w:rPr>
          <w:rFonts w:ascii="Avenir Next" w:hAnsi="Avenir Next" w:cs="Arial"/>
          <w:sz w:val="22"/>
          <w:szCs w:val="22"/>
          <w:lang w:val="en-GB"/>
        </w:rPr>
        <w:t>in Canada is not sufficient to shift the COMI away from the foreign jurisdiction.</w:t>
      </w: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Default="00D97579" w:rsidP="00F47A63">
      <w:pPr>
        <w:spacing w:line="276" w:lineRule="auto"/>
        <w:jc w:val="both"/>
        <w:rPr>
          <w:rFonts w:ascii="Avenir Next" w:hAnsi="Avenir Next" w:cs="Arial"/>
          <w:sz w:val="22"/>
          <w:szCs w:val="22"/>
          <w:lang w:val="en-GB"/>
        </w:rPr>
      </w:pPr>
    </w:p>
    <w:p w14:paraId="183F4CD7" w14:textId="7CD6C022" w:rsidR="0046748F" w:rsidRPr="007C1D4D" w:rsidRDefault="0046748F" w:rsidP="0046748F">
      <w:pPr>
        <w:spacing w:line="276" w:lineRule="auto"/>
        <w:ind w:left="720"/>
        <w:jc w:val="both"/>
        <w:rPr>
          <w:rFonts w:ascii="Avenir Next" w:hAnsi="Avenir Next" w:cs="Arial"/>
          <w:sz w:val="22"/>
          <w:szCs w:val="22"/>
          <w:lang w:val="en-GB"/>
        </w:rPr>
      </w:pPr>
      <w:r>
        <w:rPr>
          <w:rFonts w:ascii="Avenir Next" w:hAnsi="Avenir Next" w:cs="Arial"/>
          <w:sz w:val="22"/>
          <w:szCs w:val="22"/>
          <w:lang w:val="en-GB"/>
        </w:rPr>
        <w:lastRenderedPageBreak/>
        <w:t>No, Canadian courts are not limited to Canadian entitlements and remedies. Both the BIA and CCAA contain broadly worded discretionary powers that allow a court to make “any order that it considers appropriate”, upon the recognition of a foreign proceeding and on the application of the foreign representative, and if the court is satisfied that such an order is necessary for the protection of the debtor company’s property or the interest of creditors (s 272(1) BIA and s 49(1) CCAA). This includes, but is not limited to, orders regarding the examination of witnesses and the taking of evidence, and the provision of information on the debtor’s property and affairs. The court is therefore not restricted to Canadian entitlements and remedies, so long as its order is not contrary to public policy and is consistent with any orders made in concurrent proceedings under the BIA or CCAA</w:t>
      </w:r>
      <w:r w:rsidR="007C1D4D">
        <w:rPr>
          <w:rFonts w:ascii="Avenir Next" w:hAnsi="Avenir Next" w:cs="Arial"/>
          <w:sz w:val="22"/>
          <w:szCs w:val="22"/>
          <w:lang w:val="en-GB"/>
        </w:rPr>
        <w:t xml:space="preserve">. Canadian courts have in fact previously ordered relief in foreign main proceedings that would not ordinarily be available in Canadian proceedings, where there are ancillary Canadian proceedings (see </w:t>
      </w:r>
      <w:r w:rsidR="007C1D4D">
        <w:rPr>
          <w:rFonts w:ascii="Avenir Next" w:hAnsi="Avenir Next" w:cs="Arial"/>
          <w:i/>
          <w:iCs/>
          <w:sz w:val="22"/>
          <w:szCs w:val="22"/>
          <w:lang w:val="en-GB"/>
        </w:rPr>
        <w:t xml:space="preserve">Re Hartford Computer Hardware Inc, </w:t>
      </w:r>
      <w:r w:rsidR="007C1D4D">
        <w:rPr>
          <w:rFonts w:ascii="Avenir Next" w:hAnsi="Avenir Next" w:cs="Arial"/>
          <w:sz w:val="22"/>
          <w:szCs w:val="22"/>
          <w:lang w:val="en-GB"/>
        </w:rPr>
        <w:t xml:space="preserve">2012 ONSC 964). Likewise, in </w:t>
      </w:r>
      <w:r w:rsidR="007C1D4D">
        <w:rPr>
          <w:rFonts w:ascii="Avenir Next" w:hAnsi="Avenir Next" w:cs="Arial"/>
          <w:i/>
          <w:iCs/>
          <w:sz w:val="22"/>
          <w:szCs w:val="22"/>
          <w:lang w:val="en-GB"/>
        </w:rPr>
        <w:t xml:space="preserve">Nishiyama </w:t>
      </w:r>
      <w:r w:rsidR="007C1D4D">
        <w:rPr>
          <w:rFonts w:ascii="Avenir Next" w:hAnsi="Avenir Next" w:cs="Arial"/>
          <w:sz w:val="22"/>
          <w:szCs w:val="22"/>
          <w:lang w:val="en-GB"/>
        </w:rPr>
        <w:t>(2020 BCSC 224) at [48], the court observed that its powers under s 272(2) of the BIA granted it jurisdiction to make the enumerated kinds of orders in the jurisdiction of the foreign main proceeding where “necessary” and “appropriate” to do so.</w:t>
      </w:r>
    </w:p>
    <w:p w14:paraId="588F81FC" w14:textId="77777777" w:rsidR="0046748F" w:rsidRDefault="0046748F" w:rsidP="0046748F">
      <w:pPr>
        <w:spacing w:line="276" w:lineRule="auto"/>
        <w:ind w:left="720"/>
        <w:jc w:val="both"/>
        <w:rPr>
          <w:rFonts w:ascii="Avenir Next" w:hAnsi="Avenir Next" w:cs="Arial"/>
          <w:sz w:val="22"/>
          <w:szCs w:val="22"/>
          <w:lang w:val="en-GB"/>
        </w:rPr>
      </w:pP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1F9C" w14:textId="77777777" w:rsidR="00314892" w:rsidRDefault="00314892" w:rsidP="00241B44">
      <w:r>
        <w:separator/>
      </w:r>
    </w:p>
  </w:endnote>
  <w:endnote w:type="continuationSeparator" w:id="0">
    <w:p w14:paraId="72AAE25B" w14:textId="77777777" w:rsidR="00314892" w:rsidRDefault="003148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8F6048C" w:rsidR="00241FA3" w:rsidRPr="009B4976" w:rsidRDefault="006F4363" w:rsidP="009B4976">
    <w:pPr>
      <w:pStyle w:val="Footer"/>
      <w:ind w:right="360"/>
      <w:rPr>
        <w:rFonts w:ascii="Arial" w:hAnsi="Arial" w:cs="Arial"/>
        <w:sz w:val="18"/>
        <w:szCs w:val="18"/>
        <w:lang w:val="en-GB"/>
      </w:rPr>
    </w:pPr>
    <w:r w:rsidRPr="006F4363">
      <w:rPr>
        <w:rFonts w:ascii="Arial" w:hAnsi="Arial" w:cs="Arial"/>
        <w:sz w:val="18"/>
        <w:szCs w:val="18"/>
        <w:lang w:val="en-GB"/>
      </w:rPr>
      <w:t>202223-99</w:t>
    </w:r>
    <w:r>
      <w:rPr>
        <w:rFonts w:ascii="Arial" w:hAnsi="Arial" w:cs="Arial"/>
        <w:sz w:val="18"/>
        <w:szCs w:val="18"/>
        <w:lang w:val="en-GB"/>
      </w:rPr>
      <w:t>2</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CA8F" w14:textId="77777777" w:rsidR="00314892" w:rsidRDefault="00314892" w:rsidP="00241B44">
      <w:r>
        <w:separator/>
      </w:r>
    </w:p>
  </w:footnote>
  <w:footnote w:type="continuationSeparator" w:id="0">
    <w:p w14:paraId="3956D11F" w14:textId="77777777" w:rsidR="00314892" w:rsidRDefault="0031489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A7591F"/>
    <w:multiLevelType w:val="hybridMultilevel"/>
    <w:tmpl w:val="5128DDC2"/>
    <w:lvl w:ilvl="0" w:tplc="90081C5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9D0D58"/>
    <w:multiLevelType w:val="hybridMultilevel"/>
    <w:tmpl w:val="A2401584"/>
    <w:lvl w:ilvl="0" w:tplc="B530A8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29D4973"/>
    <w:multiLevelType w:val="hybridMultilevel"/>
    <w:tmpl w:val="14322526"/>
    <w:lvl w:ilvl="0" w:tplc="AB5ED33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2A57849"/>
    <w:multiLevelType w:val="hybridMultilevel"/>
    <w:tmpl w:val="82A444D6"/>
    <w:lvl w:ilvl="0" w:tplc="E40EA1E0">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174A51"/>
    <w:multiLevelType w:val="hybridMultilevel"/>
    <w:tmpl w:val="EC2A9E64"/>
    <w:lvl w:ilvl="0" w:tplc="CE4236C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0236368"/>
    <w:multiLevelType w:val="hybridMultilevel"/>
    <w:tmpl w:val="1C289EEC"/>
    <w:lvl w:ilvl="0" w:tplc="EF9A78CA">
      <w:start w:val="1"/>
      <w:numFmt w:val="lowerLetter"/>
      <w:lvlText w:val="(%1)"/>
      <w:lvlJc w:val="left"/>
      <w:pPr>
        <w:ind w:left="1080" w:hanging="360"/>
      </w:pPr>
      <w:rPr>
        <w:rFonts w:hint="default"/>
      </w:rPr>
    </w:lvl>
    <w:lvl w:ilvl="1" w:tplc="4809001B">
      <w:start w:val="1"/>
      <w:numFmt w:val="lowerRoman"/>
      <w:lvlText w:val="%2."/>
      <w:lvlJc w:val="righ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6966878">
    <w:abstractNumId w:val="28"/>
  </w:num>
  <w:num w:numId="2" w16cid:durableId="1319260050">
    <w:abstractNumId w:val="8"/>
  </w:num>
  <w:num w:numId="3" w16cid:durableId="1518035262">
    <w:abstractNumId w:val="20"/>
  </w:num>
  <w:num w:numId="4" w16cid:durableId="2062746633">
    <w:abstractNumId w:val="16"/>
  </w:num>
  <w:num w:numId="5" w16cid:durableId="789514167">
    <w:abstractNumId w:val="9"/>
  </w:num>
  <w:num w:numId="6" w16cid:durableId="1421562050">
    <w:abstractNumId w:val="32"/>
  </w:num>
  <w:num w:numId="7" w16cid:durableId="533463837">
    <w:abstractNumId w:val="15"/>
  </w:num>
  <w:num w:numId="8" w16cid:durableId="1411585252">
    <w:abstractNumId w:val="25"/>
  </w:num>
  <w:num w:numId="9" w16cid:durableId="81221982">
    <w:abstractNumId w:val="30"/>
  </w:num>
  <w:num w:numId="10" w16cid:durableId="1270088019">
    <w:abstractNumId w:val="11"/>
  </w:num>
  <w:num w:numId="11" w16cid:durableId="55665690">
    <w:abstractNumId w:val="12"/>
  </w:num>
  <w:num w:numId="12" w16cid:durableId="2146197700">
    <w:abstractNumId w:val="0"/>
  </w:num>
  <w:num w:numId="13" w16cid:durableId="348798916">
    <w:abstractNumId w:val="17"/>
  </w:num>
  <w:num w:numId="14" w16cid:durableId="672489218">
    <w:abstractNumId w:val="4"/>
  </w:num>
  <w:num w:numId="15" w16cid:durableId="528489935">
    <w:abstractNumId w:val="34"/>
  </w:num>
  <w:num w:numId="16" w16cid:durableId="471141703">
    <w:abstractNumId w:val="23"/>
  </w:num>
  <w:num w:numId="17" w16cid:durableId="1499804258">
    <w:abstractNumId w:val="26"/>
  </w:num>
  <w:num w:numId="18" w16cid:durableId="1119421537">
    <w:abstractNumId w:val="22"/>
  </w:num>
  <w:num w:numId="19" w16cid:durableId="1668553238">
    <w:abstractNumId w:val="19"/>
  </w:num>
  <w:num w:numId="20" w16cid:durableId="1920559717">
    <w:abstractNumId w:val="18"/>
  </w:num>
  <w:num w:numId="21" w16cid:durableId="1734769640">
    <w:abstractNumId w:val="3"/>
  </w:num>
  <w:num w:numId="22" w16cid:durableId="916939744">
    <w:abstractNumId w:val="33"/>
  </w:num>
  <w:num w:numId="23" w16cid:durableId="546377221">
    <w:abstractNumId w:val="14"/>
  </w:num>
  <w:num w:numId="24" w16cid:durableId="121846445">
    <w:abstractNumId w:val="10"/>
  </w:num>
  <w:num w:numId="25" w16cid:durableId="1825702042">
    <w:abstractNumId w:val="27"/>
  </w:num>
  <w:num w:numId="26" w16cid:durableId="515197085">
    <w:abstractNumId w:val="31"/>
  </w:num>
  <w:num w:numId="27" w16cid:durableId="2089187233">
    <w:abstractNumId w:val="21"/>
  </w:num>
  <w:num w:numId="28" w16cid:durableId="1870483708">
    <w:abstractNumId w:val="1"/>
  </w:num>
  <w:num w:numId="29" w16cid:durableId="52968070">
    <w:abstractNumId w:val="24"/>
  </w:num>
  <w:num w:numId="30" w16cid:durableId="618954709">
    <w:abstractNumId w:val="35"/>
  </w:num>
  <w:num w:numId="31" w16cid:durableId="1249148090">
    <w:abstractNumId w:val="2"/>
  </w:num>
  <w:num w:numId="32" w16cid:durableId="474489773">
    <w:abstractNumId w:val="13"/>
  </w:num>
  <w:num w:numId="33" w16cid:durableId="207694039">
    <w:abstractNumId w:val="7"/>
  </w:num>
  <w:num w:numId="34" w16cid:durableId="404377658">
    <w:abstractNumId w:val="29"/>
  </w:num>
  <w:num w:numId="35" w16cid:durableId="305819717">
    <w:abstractNumId w:val="6"/>
  </w:num>
  <w:num w:numId="36" w16cid:durableId="207430530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913"/>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67221"/>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4892"/>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10E6"/>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6748F"/>
    <w:rsid w:val="0047497A"/>
    <w:rsid w:val="00475CC7"/>
    <w:rsid w:val="00477C72"/>
    <w:rsid w:val="00477D4E"/>
    <w:rsid w:val="004817A9"/>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708"/>
    <w:rsid w:val="004E185D"/>
    <w:rsid w:val="004E24A9"/>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5E34"/>
    <w:rsid w:val="005177FE"/>
    <w:rsid w:val="0052263B"/>
    <w:rsid w:val="005235A0"/>
    <w:rsid w:val="00524728"/>
    <w:rsid w:val="00532F16"/>
    <w:rsid w:val="005331CA"/>
    <w:rsid w:val="00533B9E"/>
    <w:rsid w:val="005356BF"/>
    <w:rsid w:val="00537970"/>
    <w:rsid w:val="00540E3A"/>
    <w:rsid w:val="0054130C"/>
    <w:rsid w:val="00542882"/>
    <w:rsid w:val="00544127"/>
    <w:rsid w:val="00545ACC"/>
    <w:rsid w:val="005463A9"/>
    <w:rsid w:val="0054663F"/>
    <w:rsid w:val="0054696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9C0"/>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363"/>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8E7"/>
    <w:rsid w:val="007B5AFB"/>
    <w:rsid w:val="007B5C89"/>
    <w:rsid w:val="007B7E06"/>
    <w:rsid w:val="007B7FAB"/>
    <w:rsid w:val="007C1D4D"/>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3230"/>
    <w:rsid w:val="00844879"/>
    <w:rsid w:val="00851B6A"/>
    <w:rsid w:val="008619A1"/>
    <w:rsid w:val="00862E38"/>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5A9"/>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42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15BC"/>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055"/>
    <w:rsid w:val="00B15E2F"/>
    <w:rsid w:val="00B17AA9"/>
    <w:rsid w:val="00B21A23"/>
    <w:rsid w:val="00B22A28"/>
    <w:rsid w:val="00B24839"/>
    <w:rsid w:val="00B30294"/>
    <w:rsid w:val="00B34619"/>
    <w:rsid w:val="00B36C45"/>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661A6"/>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3685"/>
    <w:rsid w:val="00DA5234"/>
    <w:rsid w:val="00DB243C"/>
    <w:rsid w:val="00DB482A"/>
    <w:rsid w:val="00DB5033"/>
    <w:rsid w:val="00DB50FB"/>
    <w:rsid w:val="00DB56F2"/>
    <w:rsid w:val="00DB5CA6"/>
    <w:rsid w:val="00DB6780"/>
    <w:rsid w:val="00DB6EF5"/>
    <w:rsid w:val="00DC0163"/>
    <w:rsid w:val="00DC1A02"/>
    <w:rsid w:val="00DC23FC"/>
    <w:rsid w:val="00DC24D6"/>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3012"/>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714"/>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4915</Words>
  <Characters>28019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Lai, Yan</cp:lastModifiedBy>
  <cp:revision>5</cp:revision>
  <cp:lastPrinted>2019-08-27T05:42:00Z</cp:lastPrinted>
  <dcterms:created xsi:type="dcterms:W3CDTF">2023-07-31T18:26:00Z</dcterms:created>
  <dcterms:modified xsi:type="dcterms:W3CDTF">2023-07-31T18:33:00Z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2023-07-31T05:57:04Z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772c4d00-cf3c-44fb-8d77-769cb2b53a76</vt:lpwstr>
  </property>
  <property fmtid="{D5CDD505-2E9C-101B-9397-08002B2CF9AE}" pid="8" name="MSIP_Label_54803508-8490-4252-b331-d9b72689e942_ContentBits">
    <vt:lpwstr>0</vt:lpwstr>
  </property>
</Properties>
</file>