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7F5280" w:rsidRDefault="00AE5B6F" w:rsidP="00B04033">
      <w:pPr>
        <w:pStyle w:val="ListParagraph"/>
        <w:numPr>
          <w:ilvl w:val="0"/>
          <w:numId w:val="1"/>
        </w:numPr>
        <w:ind w:left="426"/>
        <w:jc w:val="both"/>
        <w:rPr>
          <w:rFonts w:ascii="Avenir Next" w:hAnsi="Avenir Next" w:cs="Arial"/>
          <w:sz w:val="22"/>
          <w:szCs w:val="22"/>
          <w:highlight w:val="yellow"/>
          <w:lang w:val="en-GB"/>
        </w:rPr>
      </w:pPr>
      <w:r w:rsidRPr="007F5280">
        <w:rPr>
          <w:rFonts w:ascii="Avenir Next" w:hAnsi="Avenir Next" w:cs="Arial"/>
          <w:sz w:val="22"/>
          <w:szCs w:val="22"/>
          <w:highlight w:val="yellow"/>
          <w:lang w:val="en-GB"/>
        </w:rPr>
        <w:t>w</w:t>
      </w:r>
      <w:r w:rsidR="00C91062" w:rsidRPr="007F5280">
        <w:rPr>
          <w:rFonts w:ascii="Avenir Next" w:hAnsi="Avenir Next" w:cs="Arial"/>
          <w:sz w:val="22"/>
          <w:szCs w:val="22"/>
          <w:highlight w:val="yellow"/>
          <w:lang w:val="en-GB"/>
        </w:rPr>
        <w:t>ithin 8 weeks of the commencement of the administration</w:t>
      </w:r>
      <w:r w:rsidR="00763348" w:rsidRPr="007F5280">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F16A35" w:rsidRDefault="00E443D7" w:rsidP="00B04033">
      <w:pPr>
        <w:pStyle w:val="ListParagraph"/>
        <w:numPr>
          <w:ilvl w:val="0"/>
          <w:numId w:val="2"/>
        </w:numPr>
        <w:ind w:left="426"/>
        <w:jc w:val="both"/>
        <w:rPr>
          <w:rFonts w:ascii="Avenir Next" w:hAnsi="Avenir Next" w:cs="Arial"/>
          <w:sz w:val="22"/>
          <w:szCs w:val="22"/>
          <w:highlight w:val="yellow"/>
          <w:lang w:val="en-GB"/>
        </w:rPr>
      </w:pPr>
      <w:r w:rsidRPr="00F16A35">
        <w:rPr>
          <w:rFonts w:ascii="Avenir Next" w:hAnsi="Avenir Next" w:cs="Arial"/>
          <w:sz w:val="22"/>
          <w:szCs w:val="22"/>
          <w:highlight w:val="yellow"/>
          <w:lang w:val="en-GB"/>
        </w:rPr>
        <w:t>One year</w:t>
      </w:r>
      <w:r w:rsidR="00763348" w:rsidRPr="00F16A35">
        <w:rPr>
          <w:rFonts w:ascii="Avenir Next" w:hAnsi="Avenir Next" w:cs="Arial"/>
          <w:sz w:val="22"/>
          <w:szCs w:val="22"/>
          <w:highlight w:val="yellow"/>
          <w:lang w:val="en-GB"/>
        </w:rPr>
        <w:t>.</w:t>
      </w:r>
    </w:p>
    <w:p w14:paraId="5ACEF2CA" w14:textId="50450374" w:rsidR="0038410E" w:rsidRDefault="0038410E" w:rsidP="00822F4D">
      <w:pPr>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w:t>
      </w:r>
      <w:proofErr w:type="gramStart"/>
      <w:r w:rsidRPr="006925C1">
        <w:rPr>
          <w:rFonts w:ascii="Avenir Next" w:hAnsi="Avenir Next" w:cs="Arial"/>
          <w:sz w:val="22"/>
          <w:szCs w:val="22"/>
          <w:lang w:val="en-GB"/>
        </w:rPr>
        <w:t>enter into</w:t>
      </w:r>
      <w:proofErr w:type="gramEnd"/>
      <w:r w:rsidRPr="006925C1">
        <w:rPr>
          <w:rFonts w:ascii="Avenir Next" w:hAnsi="Avenir Next" w:cs="Arial"/>
          <w:sz w:val="22"/>
          <w:szCs w:val="22"/>
          <w:lang w:val="en-GB"/>
        </w:rPr>
        <w:t xml:space="preserve">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212001" w:rsidRDefault="00AE5B6F" w:rsidP="00B04033">
      <w:pPr>
        <w:pStyle w:val="ListParagraph"/>
        <w:numPr>
          <w:ilvl w:val="0"/>
          <w:numId w:val="3"/>
        </w:numPr>
        <w:ind w:left="426"/>
        <w:jc w:val="both"/>
        <w:rPr>
          <w:rFonts w:ascii="Avenir Next" w:hAnsi="Avenir Next" w:cs="Arial"/>
          <w:sz w:val="22"/>
          <w:szCs w:val="22"/>
          <w:lang w:val="en-GB"/>
        </w:rPr>
      </w:pPr>
      <w:r w:rsidRPr="00CE464E">
        <w:rPr>
          <w:rFonts w:ascii="Avenir Next" w:hAnsi="Avenir Next" w:cs="Arial"/>
          <w:sz w:val="22"/>
          <w:szCs w:val="22"/>
          <w:highlight w:val="yellow"/>
          <w:lang w:val="en-GB"/>
        </w:rPr>
        <w:t>T</w:t>
      </w:r>
      <w:r w:rsidR="008D1616" w:rsidRPr="00CE464E">
        <w:rPr>
          <w:rFonts w:ascii="Avenir Next" w:hAnsi="Avenir Next" w:cs="Arial"/>
          <w:sz w:val="22"/>
          <w:szCs w:val="22"/>
          <w:highlight w:val="yellow"/>
          <w:lang w:val="en-GB"/>
        </w:rPr>
        <w:t>he company is, or is likely to become, unable to pay their debts, as defined under s</w:t>
      </w:r>
      <w:r w:rsidR="00E833F4" w:rsidRPr="00CE464E">
        <w:rPr>
          <w:rFonts w:ascii="Avenir Next" w:hAnsi="Avenir Next" w:cs="Arial"/>
          <w:sz w:val="22"/>
          <w:szCs w:val="22"/>
          <w:highlight w:val="yellow"/>
          <w:lang w:val="en-GB"/>
        </w:rPr>
        <w:t>ection</w:t>
      </w:r>
      <w:r w:rsidR="008D1616" w:rsidRPr="00CE464E">
        <w:rPr>
          <w:rFonts w:ascii="Avenir Next" w:hAnsi="Avenir Next" w:cs="Arial"/>
          <w:sz w:val="22"/>
          <w:szCs w:val="22"/>
          <w:highlight w:val="yellow"/>
          <w:lang w:val="en-GB"/>
        </w:rPr>
        <w:t xml:space="preserve"> 123 of the Insolvency Act 1986</w:t>
      </w:r>
      <w:r w:rsidR="00763348" w:rsidRPr="00212001">
        <w:rPr>
          <w:rFonts w:ascii="Avenir Next" w:hAnsi="Avenir Next" w:cs="Arial"/>
          <w:sz w:val="22"/>
          <w:szCs w:val="22"/>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0E007B" w:rsidRDefault="00C91062" w:rsidP="00B04033">
      <w:pPr>
        <w:pStyle w:val="ListParagraph"/>
        <w:numPr>
          <w:ilvl w:val="0"/>
          <w:numId w:val="4"/>
        </w:numPr>
        <w:ind w:left="426"/>
        <w:jc w:val="both"/>
        <w:rPr>
          <w:rFonts w:ascii="Avenir Next" w:hAnsi="Avenir Next" w:cs="Arial"/>
          <w:sz w:val="22"/>
          <w:szCs w:val="22"/>
          <w:highlight w:val="yellow"/>
          <w:lang w:val="en-GB"/>
        </w:rPr>
      </w:pPr>
      <w:r w:rsidRPr="000E007B">
        <w:rPr>
          <w:rFonts w:ascii="Avenir Next" w:hAnsi="Avenir Next" w:cs="Arial"/>
          <w:sz w:val="22"/>
          <w:szCs w:val="22"/>
          <w:highlight w:val="yellow"/>
          <w:lang w:val="en-GB"/>
        </w:rPr>
        <w:t>The purchaser</w:t>
      </w:r>
      <w:r w:rsidR="00763348" w:rsidRPr="000E007B">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410BEB" w:rsidRDefault="00BA1CFD" w:rsidP="00B04033">
      <w:pPr>
        <w:pStyle w:val="ListParagraph"/>
        <w:numPr>
          <w:ilvl w:val="0"/>
          <w:numId w:val="5"/>
        </w:numPr>
        <w:ind w:left="426"/>
        <w:jc w:val="both"/>
        <w:rPr>
          <w:rFonts w:ascii="Avenir Next" w:hAnsi="Avenir Next" w:cs="Arial"/>
          <w:sz w:val="22"/>
          <w:szCs w:val="22"/>
          <w:highlight w:val="yellow"/>
          <w:lang w:val="en-GB"/>
        </w:rPr>
      </w:pPr>
      <w:r w:rsidRPr="00410BEB">
        <w:rPr>
          <w:rFonts w:ascii="Avenir Next" w:hAnsi="Avenir Next" w:cs="Arial"/>
          <w:sz w:val="22"/>
          <w:szCs w:val="22"/>
          <w:highlight w:val="yellow"/>
          <w:lang w:val="en-GB"/>
        </w:rPr>
        <w:t>Administration</w:t>
      </w:r>
      <w:r w:rsidR="00763348" w:rsidRPr="00410BEB">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535188" w:rsidRDefault="001F3C98" w:rsidP="00B04033">
      <w:pPr>
        <w:pStyle w:val="ListParagraph"/>
        <w:numPr>
          <w:ilvl w:val="0"/>
          <w:numId w:val="6"/>
        </w:numPr>
        <w:ind w:left="426"/>
        <w:jc w:val="both"/>
        <w:rPr>
          <w:rFonts w:ascii="Avenir Next" w:hAnsi="Avenir Next" w:cs="Arial"/>
          <w:sz w:val="22"/>
          <w:szCs w:val="22"/>
          <w:highlight w:val="yellow"/>
          <w:lang w:val="en-GB"/>
        </w:rPr>
      </w:pPr>
      <w:r w:rsidRPr="00535188">
        <w:rPr>
          <w:rFonts w:ascii="Avenir Next" w:hAnsi="Avenir Next" w:cs="Arial"/>
          <w:sz w:val="22"/>
          <w:szCs w:val="22"/>
          <w:highlight w:val="yellow"/>
          <w:lang w:val="en-GB"/>
        </w:rPr>
        <w:t xml:space="preserve">GBP </w:t>
      </w:r>
      <w:r w:rsidR="00BA1CFD" w:rsidRPr="00535188">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proofErr w:type="gramStart"/>
      <w:r w:rsidRPr="006925C1">
        <w:rPr>
          <w:rFonts w:ascii="Avenir Next" w:hAnsi="Avenir Next" w:cs="Arial"/>
          <w:sz w:val="22"/>
          <w:szCs w:val="22"/>
          <w:lang w:val="en-GB"/>
        </w:rPr>
        <w:t>, in itself, a</w:t>
      </w:r>
      <w:proofErr w:type="gramEnd"/>
      <w:r w:rsidRPr="006925C1">
        <w:rPr>
          <w:rFonts w:ascii="Avenir Next" w:hAnsi="Avenir Next" w:cs="Arial"/>
          <w:sz w:val="22"/>
          <w:szCs w:val="22"/>
          <w:lang w:val="en-GB"/>
        </w:rPr>
        <w:t xml:space="preserve">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E278A6">
        <w:rPr>
          <w:rFonts w:ascii="Avenir Next" w:hAnsi="Avenir Next" w:cs="Arial"/>
          <w:sz w:val="22"/>
          <w:szCs w:val="22"/>
          <w:highlight w:val="yellow"/>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212001">
        <w:rPr>
          <w:rFonts w:ascii="Avenir Next" w:hAnsi="Avenir Next" w:cs="Arial"/>
          <w:sz w:val="22"/>
          <w:szCs w:val="22"/>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t>
      </w:r>
      <w:proofErr w:type="gramStart"/>
      <w:r w:rsidR="00461F95" w:rsidRPr="006925C1">
        <w:rPr>
          <w:rFonts w:ascii="Avenir Next" w:hAnsi="Avenir Next" w:cs="Arial"/>
          <w:sz w:val="22"/>
          <w:szCs w:val="22"/>
          <w:lang w:val="en-GB"/>
        </w:rPr>
        <w:t>whether or not</w:t>
      </w:r>
      <w:proofErr w:type="gramEnd"/>
      <w:r w:rsidR="00461F95" w:rsidRPr="006925C1">
        <w:rPr>
          <w:rFonts w:ascii="Avenir Next" w:hAnsi="Avenir Next" w:cs="Arial"/>
          <w:sz w:val="22"/>
          <w:szCs w:val="22"/>
          <w:lang w:val="en-GB"/>
        </w:rPr>
        <w:t xml:space="preserve">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0E007B" w:rsidRDefault="00876F56" w:rsidP="00B04033">
      <w:pPr>
        <w:pStyle w:val="ListParagraph"/>
        <w:numPr>
          <w:ilvl w:val="0"/>
          <w:numId w:val="8"/>
        </w:numPr>
        <w:ind w:left="426"/>
        <w:jc w:val="both"/>
        <w:rPr>
          <w:rFonts w:ascii="Avenir Next" w:hAnsi="Avenir Next" w:cs="Arial"/>
          <w:sz w:val="22"/>
          <w:szCs w:val="22"/>
          <w:highlight w:val="yellow"/>
          <w:lang w:val="en-GB"/>
        </w:rPr>
      </w:pPr>
      <w:r w:rsidRPr="000E007B">
        <w:rPr>
          <w:rFonts w:ascii="Avenir Next" w:hAnsi="Avenir Next" w:cs="Arial"/>
          <w:sz w:val="22"/>
          <w:szCs w:val="22"/>
          <w:highlight w:val="yellow"/>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212001" w:rsidRDefault="00876F56" w:rsidP="00B04033">
      <w:pPr>
        <w:pStyle w:val="ListParagraph"/>
        <w:numPr>
          <w:ilvl w:val="0"/>
          <w:numId w:val="8"/>
        </w:numPr>
        <w:ind w:left="426"/>
        <w:jc w:val="both"/>
        <w:rPr>
          <w:rFonts w:ascii="Avenir Next" w:hAnsi="Avenir Next" w:cs="Arial"/>
          <w:sz w:val="22"/>
          <w:szCs w:val="22"/>
          <w:lang w:val="en-GB"/>
        </w:rPr>
      </w:pPr>
      <w:r w:rsidRPr="00212001">
        <w:rPr>
          <w:rFonts w:ascii="Avenir Next" w:hAnsi="Avenir Next" w:cs="Arial"/>
          <w:sz w:val="22"/>
          <w:szCs w:val="22"/>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2749D13B" w14:textId="05160901" w:rsidR="001F3C98" w:rsidRPr="00AA0842" w:rsidRDefault="00876F56" w:rsidP="00C55824">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AA0842" w:rsidRDefault="00E833F4" w:rsidP="00B04033">
      <w:pPr>
        <w:pStyle w:val="ListParagraph"/>
        <w:numPr>
          <w:ilvl w:val="0"/>
          <w:numId w:val="9"/>
        </w:numPr>
        <w:ind w:left="426"/>
        <w:jc w:val="both"/>
        <w:rPr>
          <w:rFonts w:ascii="Avenir Next" w:hAnsi="Avenir Next" w:cs="Arial"/>
          <w:sz w:val="22"/>
          <w:szCs w:val="22"/>
          <w:highlight w:val="yellow"/>
          <w:lang w:val="en-GB"/>
        </w:rPr>
      </w:pPr>
      <w:r w:rsidRPr="00AA0842">
        <w:rPr>
          <w:rFonts w:ascii="Avenir Next" w:hAnsi="Avenir Next" w:cs="Arial"/>
          <w:sz w:val="22"/>
          <w:szCs w:val="22"/>
          <w:highlight w:val="yellow"/>
          <w:lang w:val="en-GB"/>
        </w:rPr>
        <w:t>A</w:t>
      </w:r>
      <w:r w:rsidR="000D10C6" w:rsidRPr="00AA0842">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 xml:space="preserve">for what </w:t>
      </w:r>
      <w:proofErr w:type="gramStart"/>
      <w:r w:rsidR="0020204E" w:rsidRPr="00A84235">
        <w:rPr>
          <w:rFonts w:ascii="Avenir Next Demi Bold" w:hAnsi="Avenir Next Demi Bold" w:cs="Arial"/>
          <w:b/>
          <w:bCs/>
          <w:sz w:val="22"/>
          <w:szCs w:val="22"/>
          <w:u w:val="single"/>
          <w:lang w:val="en-GB"/>
        </w:rPr>
        <w:t>period of time</w:t>
      </w:r>
      <w:proofErr w:type="gramEnd"/>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212001" w:rsidRDefault="0020204E" w:rsidP="00B04033">
      <w:pPr>
        <w:pStyle w:val="ListParagraph"/>
        <w:numPr>
          <w:ilvl w:val="0"/>
          <w:numId w:val="10"/>
        </w:numPr>
        <w:ind w:left="426"/>
        <w:jc w:val="both"/>
        <w:rPr>
          <w:rFonts w:ascii="Avenir Next" w:hAnsi="Avenir Next" w:cs="Arial"/>
          <w:sz w:val="22"/>
          <w:szCs w:val="22"/>
          <w:lang w:val="en-GB"/>
        </w:rPr>
      </w:pPr>
      <w:r w:rsidRPr="00AA0842">
        <w:rPr>
          <w:rFonts w:ascii="Avenir Next" w:hAnsi="Avenir Next" w:cs="Arial"/>
          <w:sz w:val="22"/>
          <w:szCs w:val="22"/>
          <w:highlight w:val="yellow"/>
          <w:lang w:val="en-GB"/>
        </w:rPr>
        <w:t>5 years</w:t>
      </w:r>
      <w:r w:rsidRPr="00212001">
        <w:rPr>
          <w:rFonts w:ascii="Avenir Next" w:hAnsi="Avenir Next" w:cs="Arial"/>
          <w:sz w:val="22"/>
          <w:szCs w:val="22"/>
          <w:lang w:val="en-GB"/>
        </w:rPr>
        <w:t>.</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061C9D6" w14:textId="56E13697" w:rsidR="00AE5B6F" w:rsidRDefault="00CA5A8F" w:rsidP="00084BFD">
      <w:pPr>
        <w:ind w:left="720"/>
        <w:jc w:val="both"/>
        <w:rPr>
          <w:rFonts w:ascii="Avenir Next" w:hAnsi="Avenir Next" w:cs="Arial"/>
          <w:color w:val="1A1A1A" w:themeColor="background1" w:themeShade="1A"/>
          <w:sz w:val="22"/>
          <w:szCs w:val="22"/>
          <w:lang w:val="en-GB"/>
        </w:rPr>
      </w:pPr>
      <w:r>
        <w:rPr>
          <w:rFonts w:ascii="Avenir Next" w:hAnsi="Avenir Next" w:cs="Arial"/>
          <w:b/>
          <w:bCs/>
          <w:color w:val="1A1A1A" w:themeColor="background1" w:themeShade="1A"/>
          <w:sz w:val="22"/>
          <w:szCs w:val="22"/>
          <w:lang w:val="en-GB"/>
        </w:rPr>
        <w:t xml:space="preserve">Section 423 Insolvency Act 1986: </w:t>
      </w:r>
      <w:r>
        <w:rPr>
          <w:rFonts w:ascii="Avenir Next" w:hAnsi="Avenir Next" w:cs="Arial"/>
          <w:color w:val="1A1A1A" w:themeColor="background1" w:themeShade="1A"/>
          <w:sz w:val="22"/>
          <w:szCs w:val="22"/>
          <w:lang w:val="en-GB"/>
        </w:rPr>
        <w:t xml:space="preserve">The following </w:t>
      </w:r>
      <w:r w:rsidR="00210E27">
        <w:rPr>
          <w:rFonts w:ascii="Avenir Next" w:hAnsi="Avenir Next" w:cs="Arial"/>
          <w:color w:val="1A1A1A" w:themeColor="background1" w:themeShade="1A"/>
          <w:sz w:val="22"/>
          <w:szCs w:val="22"/>
          <w:lang w:val="en-GB"/>
        </w:rPr>
        <w:t xml:space="preserve">parties have the right to attack transactions which are designed to defraud creditors: (a) where the company is being wound up or is in administration, the official receiver, the liquidator, the administrator and (with leave of the court) any victim of the transaction such as a creditor; (ii) where the victim is bound by a </w:t>
      </w:r>
      <w:r w:rsidR="00BC3A7E">
        <w:rPr>
          <w:rFonts w:ascii="Avenir Next" w:hAnsi="Avenir Next" w:cs="Arial"/>
          <w:color w:val="1A1A1A" w:themeColor="background1" w:themeShade="1A"/>
          <w:sz w:val="22"/>
          <w:szCs w:val="22"/>
          <w:lang w:val="en-GB"/>
        </w:rPr>
        <w:t>company voluntary arrangement (“</w:t>
      </w:r>
      <w:r w:rsidR="00A663D5">
        <w:rPr>
          <w:rFonts w:ascii="Avenir Next" w:hAnsi="Avenir Next" w:cs="Arial"/>
          <w:color w:val="1A1A1A" w:themeColor="background1" w:themeShade="1A"/>
          <w:sz w:val="22"/>
          <w:szCs w:val="22"/>
          <w:lang w:val="en-GB"/>
        </w:rPr>
        <w:t>CVA</w:t>
      </w:r>
      <w:r w:rsidR="00BC3A7E">
        <w:rPr>
          <w:rFonts w:ascii="Avenir Next" w:hAnsi="Avenir Next" w:cs="Arial"/>
          <w:color w:val="1A1A1A" w:themeColor="background1" w:themeShade="1A"/>
          <w:sz w:val="22"/>
          <w:szCs w:val="22"/>
          <w:lang w:val="en-GB"/>
        </w:rPr>
        <w:t>”)</w:t>
      </w:r>
      <w:r w:rsidR="00A663D5">
        <w:rPr>
          <w:rFonts w:ascii="Avenir Next" w:hAnsi="Avenir Next" w:cs="Arial"/>
          <w:color w:val="1A1A1A" w:themeColor="background1" w:themeShade="1A"/>
          <w:sz w:val="22"/>
          <w:szCs w:val="22"/>
          <w:lang w:val="en-GB"/>
        </w:rPr>
        <w:t xml:space="preserve">, the supervisor of the CVA or any victim of the transaction (whether bound by the CVA or not); or (iii) in any other case, by a victim of the transaction. </w:t>
      </w:r>
    </w:p>
    <w:p w14:paraId="04C1F94F" w14:textId="77777777" w:rsidR="00BC3A7E" w:rsidRDefault="00BC3A7E" w:rsidP="00084BFD">
      <w:pPr>
        <w:ind w:left="720"/>
        <w:jc w:val="both"/>
        <w:rPr>
          <w:rFonts w:ascii="Avenir Next" w:hAnsi="Avenir Next" w:cs="Arial"/>
          <w:color w:val="1A1A1A" w:themeColor="background1" w:themeShade="1A"/>
          <w:sz w:val="22"/>
          <w:szCs w:val="22"/>
          <w:lang w:val="en-GB"/>
        </w:rPr>
      </w:pPr>
    </w:p>
    <w:p w14:paraId="3003108C" w14:textId="4BFB2DA9" w:rsidR="00055AC7" w:rsidRDefault="00820AFB" w:rsidP="00055AC7">
      <w:pPr>
        <w:ind w:left="720"/>
        <w:jc w:val="both"/>
        <w:rPr>
          <w:rFonts w:ascii="Avenir Next" w:hAnsi="Avenir Next" w:cs="Arial"/>
          <w:sz w:val="22"/>
          <w:szCs w:val="22"/>
          <w:lang w:val="en-GB"/>
        </w:rPr>
      </w:pPr>
      <w:r>
        <w:rPr>
          <w:rFonts w:ascii="Avenir Next" w:hAnsi="Avenir Next" w:cs="Arial"/>
          <w:b/>
          <w:bCs/>
          <w:color w:val="1A1A1A" w:themeColor="background1" w:themeShade="1A"/>
          <w:sz w:val="22"/>
          <w:szCs w:val="22"/>
          <w:lang w:val="en-GB"/>
        </w:rPr>
        <w:t xml:space="preserve">Section </w:t>
      </w:r>
      <w:r w:rsidRPr="00820AFB">
        <w:rPr>
          <w:rFonts w:ascii="Avenir Next" w:hAnsi="Avenir Next" w:cs="Arial"/>
          <w:b/>
          <w:bCs/>
          <w:color w:val="1A1A1A" w:themeColor="background1" w:themeShade="1A"/>
          <w:sz w:val="22"/>
          <w:szCs w:val="22"/>
          <w:lang w:val="en-GB"/>
        </w:rPr>
        <w:t xml:space="preserve">6 </w:t>
      </w:r>
      <w:r w:rsidRPr="00820AFB">
        <w:rPr>
          <w:rFonts w:ascii="Avenir Next" w:hAnsi="Avenir Next" w:cs="Arial"/>
          <w:b/>
          <w:bCs/>
          <w:sz w:val="22"/>
          <w:szCs w:val="22"/>
          <w:lang w:val="en-GB"/>
        </w:rPr>
        <w:t>Company Directors Disqualification Act 1986</w:t>
      </w:r>
      <w:r w:rsidR="004410A9">
        <w:rPr>
          <w:rFonts w:ascii="Avenir Next" w:hAnsi="Avenir Next" w:cs="Arial"/>
          <w:b/>
          <w:bCs/>
          <w:sz w:val="22"/>
          <w:szCs w:val="22"/>
          <w:lang w:val="en-GB"/>
        </w:rPr>
        <w:t xml:space="preserve"> (CDDA)</w:t>
      </w:r>
      <w:r w:rsidRPr="00820AFB">
        <w:rPr>
          <w:rFonts w:ascii="Avenir Next" w:hAnsi="Avenir Next" w:cs="Arial"/>
          <w:b/>
          <w:bCs/>
          <w:sz w:val="22"/>
          <w:szCs w:val="22"/>
          <w:lang w:val="en-GB"/>
        </w:rPr>
        <w:t xml:space="preserve">: </w:t>
      </w:r>
      <w:r w:rsidR="00055AC7">
        <w:rPr>
          <w:rFonts w:ascii="Avenir Next" w:hAnsi="Avenir Next" w:cs="Arial"/>
          <w:sz w:val="22"/>
          <w:szCs w:val="22"/>
          <w:lang w:val="en-GB"/>
        </w:rPr>
        <w:t xml:space="preserve">A liquidator or administrator has a statutory duty to report directors who may be unfit to be directors </w:t>
      </w:r>
      <w:r w:rsidR="004410A9">
        <w:rPr>
          <w:rFonts w:ascii="Avenir Next" w:hAnsi="Avenir Next" w:cs="Arial"/>
          <w:sz w:val="22"/>
          <w:szCs w:val="22"/>
          <w:lang w:val="en-GB"/>
        </w:rPr>
        <w:t>under the CDDA. The Secretary of State may then decide</w:t>
      </w:r>
      <w:r w:rsidR="009B49CC">
        <w:rPr>
          <w:rFonts w:ascii="Avenir Next" w:hAnsi="Avenir Next" w:cs="Arial"/>
          <w:sz w:val="22"/>
          <w:szCs w:val="22"/>
          <w:lang w:val="en-GB"/>
        </w:rPr>
        <w:t xml:space="preserve">, based on such a report, to </w:t>
      </w:r>
      <w:proofErr w:type="gramStart"/>
      <w:r w:rsidR="009B49CC">
        <w:rPr>
          <w:rFonts w:ascii="Avenir Next" w:hAnsi="Avenir Next" w:cs="Arial"/>
          <w:sz w:val="22"/>
          <w:szCs w:val="22"/>
          <w:lang w:val="en-GB"/>
        </w:rPr>
        <w:t>take action</w:t>
      </w:r>
      <w:proofErr w:type="gramEnd"/>
      <w:r w:rsidR="009B49CC">
        <w:rPr>
          <w:rFonts w:ascii="Avenir Next" w:hAnsi="Avenir Next" w:cs="Arial"/>
          <w:sz w:val="22"/>
          <w:szCs w:val="22"/>
          <w:lang w:val="en-GB"/>
        </w:rPr>
        <w:t xml:space="preserve"> against directors by applying to disqualify them under, </w:t>
      </w:r>
      <w:r w:rsidR="009B49CC">
        <w:rPr>
          <w:rFonts w:ascii="Avenir Next" w:hAnsi="Avenir Next" w:cs="Arial"/>
          <w:i/>
          <w:iCs/>
          <w:sz w:val="22"/>
          <w:szCs w:val="22"/>
          <w:lang w:val="en-GB"/>
        </w:rPr>
        <w:t>inter alia</w:t>
      </w:r>
      <w:r w:rsidR="009B49CC">
        <w:rPr>
          <w:rFonts w:ascii="Avenir Next" w:hAnsi="Avenir Next" w:cs="Arial"/>
          <w:sz w:val="22"/>
          <w:szCs w:val="22"/>
          <w:lang w:val="en-GB"/>
        </w:rPr>
        <w:t>, s 6 CDDA.</w:t>
      </w:r>
    </w:p>
    <w:p w14:paraId="50EE7C7D" w14:textId="77777777" w:rsidR="009B49CC" w:rsidRDefault="009B49CC" w:rsidP="00055AC7">
      <w:pPr>
        <w:ind w:left="720"/>
        <w:jc w:val="both"/>
        <w:rPr>
          <w:rFonts w:ascii="Avenir Next" w:hAnsi="Avenir Next" w:cs="Arial"/>
          <w:sz w:val="22"/>
          <w:szCs w:val="22"/>
          <w:lang w:val="en-GB"/>
        </w:rPr>
      </w:pPr>
    </w:p>
    <w:p w14:paraId="49E87E59" w14:textId="257227B8" w:rsidR="009B49CC" w:rsidRDefault="009B49CC" w:rsidP="00055AC7">
      <w:pPr>
        <w:ind w:left="720"/>
        <w:jc w:val="both"/>
        <w:rPr>
          <w:rFonts w:ascii="Avenir Next" w:hAnsi="Avenir Next" w:cs="Arial"/>
          <w:sz w:val="22"/>
          <w:szCs w:val="22"/>
          <w:lang w:val="en-GB"/>
        </w:rPr>
      </w:pPr>
      <w:r w:rsidRPr="009B49CC">
        <w:rPr>
          <w:rFonts w:ascii="Avenir Next" w:hAnsi="Avenir Next" w:cs="Arial"/>
          <w:b/>
          <w:bCs/>
          <w:sz w:val="22"/>
          <w:szCs w:val="22"/>
          <w:lang w:val="en-GB"/>
        </w:rPr>
        <w:lastRenderedPageBreak/>
        <w:t>Section 246ZB of the Insolvency Act 1986</w:t>
      </w:r>
      <w:r>
        <w:rPr>
          <w:rFonts w:ascii="Avenir Next" w:hAnsi="Avenir Next" w:cs="Arial"/>
          <w:b/>
          <w:bCs/>
          <w:sz w:val="22"/>
          <w:szCs w:val="22"/>
          <w:lang w:val="en-GB"/>
        </w:rPr>
        <w:t xml:space="preserve">: </w:t>
      </w:r>
      <w:r w:rsidR="002F4C48">
        <w:rPr>
          <w:rFonts w:ascii="Avenir Next" w:hAnsi="Avenir Next" w:cs="Arial"/>
          <w:sz w:val="22"/>
          <w:szCs w:val="22"/>
          <w:lang w:val="en-GB"/>
        </w:rPr>
        <w:t>An administrator in an insolvent administration</w:t>
      </w:r>
      <w:r w:rsidR="00372E54">
        <w:rPr>
          <w:rFonts w:ascii="Avenir Next" w:hAnsi="Avenir Next" w:cs="Arial"/>
          <w:sz w:val="22"/>
          <w:szCs w:val="22"/>
          <w:lang w:val="en-GB"/>
        </w:rPr>
        <w:t xml:space="preserve">. </w:t>
      </w:r>
    </w:p>
    <w:p w14:paraId="1FF9393D" w14:textId="77777777" w:rsidR="00D20BCA" w:rsidRPr="00BE6558" w:rsidRDefault="00D20BCA" w:rsidP="00055AC7">
      <w:pPr>
        <w:ind w:left="720"/>
        <w:jc w:val="both"/>
        <w:rPr>
          <w:rFonts w:ascii="Avenir Next" w:hAnsi="Avenir Next" w:cs="Arial"/>
          <w:sz w:val="22"/>
          <w:szCs w:val="22"/>
          <w:lang w:val="en-GB"/>
        </w:rPr>
      </w:pP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D745CDB" w14:textId="4B46D6FE" w:rsidR="00EA3B38" w:rsidRPr="00047222" w:rsidRDefault="00F50EA2" w:rsidP="00822F4D">
      <w:pPr>
        <w:ind w:left="720"/>
        <w:jc w:val="both"/>
        <w:rPr>
          <w:rFonts w:ascii="Avenir Next" w:hAnsi="Avenir Next" w:cs="Arial"/>
          <w:color w:val="1A1A1A" w:themeColor="background1" w:themeShade="1A"/>
          <w:sz w:val="22"/>
          <w:szCs w:val="22"/>
        </w:rPr>
      </w:pPr>
      <w:r>
        <w:rPr>
          <w:rFonts w:ascii="Avenir Next" w:hAnsi="Avenir Next" w:cs="Arial"/>
          <w:color w:val="1A1A1A" w:themeColor="background1" w:themeShade="1A"/>
          <w:sz w:val="22"/>
          <w:szCs w:val="22"/>
        </w:rPr>
        <w:t>Pursuant to s A18 of the Insolvency Act 1986</w:t>
      </w:r>
      <w:r w:rsidR="00921B87">
        <w:rPr>
          <w:rFonts w:ascii="Avenir Next" w:hAnsi="Avenir Next" w:cs="Arial"/>
          <w:color w:val="1A1A1A" w:themeColor="background1" w:themeShade="1A"/>
          <w:sz w:val="22"/>
          <w:szCs w:val="22"/>
        </w:rPr>
        <w:t>, five such debts</w:t>
      </w:r>
      <w:r w:rsidR="00047222">
        <w:rPr>
          <w:rFonts w:ascii="Avenir Next" w:hAnsi="Avenir Next" w:cs="Arial"/>
          <w:color w:val="1A1A1A" w:themeColor="background1" w:themeShade="1A"/>
          <w:sz w:val="22"/>
          <w:szCs w:val="22"/>
        </w:rPr>
        <w:t xml:space="preserve"> are</w:t>
      </w:r>
      <w:r w:rsidR="000267DE">
        <w:rPr>
          <w:rFonts w:ascii="Avenir Next" w:hAnsi="Avenir Next" w:cs="Arial"/>
          <w:color w:val="1A1A1A" w:themeColor="background1" w:themeShade="1A"/>
          <w:sz w:val="22"/>
          <w:szCs w:val="22"/>
        </w:rPr>
        <w:t xml:space="preserve"> amounts payable in respect of</w:t>
      </w:r>
      <w:r w:rsidR="00047222">
        <w:rPr>
          <w:rFonts w:ascii="Avenir Next" w:hAnsi="Avenir Next" w:cs="Arial"/>
          <w:color w:val="1A1A1A" w:themeColor="background1" w:themeShade="1A"/>
          <w:sz w:val="22"/>
          <w:szCs w:val="22"/>
        </w:rPr>
        <w:t xml:space="preserve"> (a) </w:t>
      </w:r>
      <w:r w:rsidR="00525EAA">
        <w:rPr>
          <w:rFonts w:ascii="Avenir Next" w:hAnsi="Avenir Next" w:cs="Arial"/>
          <w:color w:val="1A1A1A" w:themeColor="background1" w:themeShade="1A"/>
          <w:sz w:val="22"/>
          <w:szCs w:val="22"/>
        </w:rPr>
        <w:t>the monitor’s remuneration or expenses; (b)</w:t>
      </w:r>
      <w:r w:rsidR="000267DE">
        <w:rPr>
          <w:rFonts w:ascii="Avenir Next" w:hAnsi="Avenir Next" w:cs="Arial"/>
          <w:color w:val="1A1A1A" w:themeColor="background1" w:themeShade="1A"/>
          <w:sz w:val="22"/>
          <w:szCs w:val="22"/>
        </w:rPr>
        <w:t xml:space="preserve"> goods or services supplied during the Moratorium; (c) </w:t>
      </w:r>
      <w:r w:rsidR="00B260B3">
        <w:rPr>
          <w:rFonts w:ascii="Avenir Next" w:hAnsi="Avenir Next" w:cs="Arial"/>
          <w:color w:val="1A1A1A" w:themeColor="background1" w:themeShade="1A"/>
          <w:sz w:val="22"/>
          <w:szCs w:val="22"/>
        </w:rPr>
        <w:t xml:space="preserve">rent in respect of a period during the Moratorium; (d) wages or salary arising under a contract of employment; and (e) redundancy </w:t>
      </w:r>
      <w:r w:rsidR="002E5484">
        <w:rPr>
          <w:rFonts w:ascii="Avenir Next" w:hAnsi="Avenir Next" w:cs="Arial"/>
          <w:color w:val="1A1A1A" w:themeColor="background1" w:themeShade="1A"/>
          <w:sz w:val="22"/>
          <w:szCs w:val="22"/>
        </w:rPr>
        <w:t>payments</w:t>
      </w:r>
      <w:r w:rsidR="00B260B3">
        <w:rPr>
          <w:rFonts w:ascii="Avenir Next" w:hAnsi="Avenir Next" w:cs="Arial"/>
          <w:color w:val="1A1A1A" w:themeColor="background1" w:themeShade="1A"/>
          <w:sz w:val="22"/>
          <w:szCs w:val="22"/>
        </w:rPr>
        <w:t xml:space="preserve">. </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7867577A" w14:textId="213B39A3" w:rsidR="00C6139C" w:rsidRDefault="00C878A3" w:rsidP="00822F4D">
      <w:pPr>
        <w:ind w:left="720"/>
        <w:jc w:val="both"/>
        <w:rPr>
          <w:rFonts w:ascii="Avenir Next" w:hAnsi="Avenir Next" w:cs="Arial"/>
          <w:sz w:val="22"/>
          <w:szCs w:val="22"/>
        </w:rPr>
      </w:pPr>
      <w:r>
        <w:rPr>
          <w:rFonts w:ascii="Avenir Next" w:hAnsi="Avenir Next" w:cs="Arial"/>
          <w:sz w:val="22"/>
          <w:szCs w:val="22"/>
        </w:rPr>
        <w:t>Yes, the administrator can.</w:t>
      </w:r>
      <w:r w:rsidR="00C6139C">
        <w:rPr>
          <w:rFonts w:ascii="Avenir Next" w:hAnsi="Avenir Next" w:cs="Arial"/>
          <w:sz w:val="22"/>
          <w:szCs w:val="22"/>
        </w:rPr>
        <w:t xml:space="preserve"> There are three key provisions under the Insolvency Act 1986 (“the Act”) that prevent suppliers from terminating the supply of goods and services by reason of the company </w:t>
      </w:r>
      <w:proofErr w:type="gramStart"/>
      <w:r w:rsidR="00C6139C">
        <w:rPr>
          <w:rFonts w:ascii="Avenir Next" w:hAnsi="Avenir Next" w:cs="Arial"/>
          <w:sz w:val="22"/>
          <w:szCs w:val="22"/>
        </w:rPr>
        <w:t>entering into</w:t>
      </w:r>
      <w:proofErr w:type="gramEnd"/>
      <w:r w:rsidR="00C6139C">
        <w:rPr>
          <w:rFonts w:ascii="Avenir Next" w:hAnsi="Avenir Next" w:cs="Arial"/>
          <w:sz w:val="22"/>
          <w:szCs w:val="22"/>
        </w:rPr>
        <w:t xml:space="preserve"> administration.</w:t>
      </w:r>
    </w:p>
    <w:p w14:paraId="538D0B77" w14:textId="77777777" w:rsidR="00C6139C" w:rsidRDefault="00C6139C" w:rsidP="00822F4D">
      <w:pPr>
        <w:ind w:left="720"/>
        <w:jc w:val="both"/>
        <w:rPr>
          <w:rFonts w:ascii="Avenir Next" w:hAnsi="Avenir Next" w:cs="Arial"/>
          <w:sz w:val="22"/>
          <w:szCs w:val="22"/>
        </w:rPr>
      </w:pPr>
    </w:p>
    <w:p w14:paraId="0770EFD5" w14:textId="3810B5D8" w:rsidR="00EA3B38" w:rsidRDefault="00C6139C" w:rsidP="00822F4D">
      <w:pPr>
        <w:ind w:left="720"/>
        <w:jc w:val="both"/>
        <w:rPr>
          <w:rFonts w:ascii="Avenir Next" w:hAnsi="Avenir Next" w:cs="Arial"/>
          <w:sz w:val="22"/>
          <w:szCs w:val="22"/>
        </w:rPr>
      </w:pPr>
      <w:r>
        <w:rPr>
          <w:rFonts w:ascii="Avenir Next" w:hAnsi="Avenir Next" w:cs="Arial"/>
          <w:sz w:val="22"/>
          <w:szCs w:val="22"/>
        </w:rPr>
        <w:t>First, under s 233(2)(b) of the Act</w:t>
      </w:r>
      <w:r w:rsidR="00F44395">
        <w:rPr>
          <w:rFonts w:ascii="Avenir Next" w:hAnsi="Avenir Next" w:cs="Arial"/>
          <w:sz w:val="22"/>
          <w:szCs w:val="22"/>
        </w:rPr>
        <w:t>,</w:t>
      </w:r>
      <w:r>
        <w:rPr>
          <w:rFonts w:ascii="Avenir Next" w:hAnsi="Avenir Next" w:cs="Arial"/>
          <w:sz w:val="22"/>
          <w:szCs w:val="22"/>
        </w:rPr>
        <w:t xml:space="preserve"> if the administrator makes a request for the supply of gas, water, electricity or communications services (as defined in s 233(3) to 233(3A) of the Act) (“essential goods and services”), the supplier is not allowed to “</w:t>
      </w:r>
      <w:r w:rsidRPr="00C6139C">
        <w:rPr>
          <w:rFonts w:ascii="Avenir Next" w:hAnsi="Avenir Next" w:cs="Arial"/>
          <w:sz w:val="22"/>
          <w:szCs w:val="22"/>
        </w:rPr>
        <w:t>make it a condition of the giving of the supply, or do anything which has the effect of making it a condition of the giving of the supply, that any outstanding charges in respect of a supply given to the company before the effective date are paid</w:t>
      </w:r>
      <w:r>
        <w:rPr>
          <w:rFonts w:ascii="Avenir Next" w:hAnsi="Avenir Next" w:cs="Arial"/>
          <w:sz w:val="22"/>
          <w:szCs w:val="22"/>
        </w:rPr>
        <w:t xml:space="preserve">”. That said, pursuant to s 233(2)(a) of the Act, the supplier may </w:t>
      </w:r>
      <w:r w:rsidRPr="00C6139C">
        <w:rPr>
          <w:rFonts w:ascii="Avenir Next" w:hAnsi="Avenir Next" w:cs="Arial"/>
          <w:sz w:val="22"/>
          <w:szCs w:val="22"/>
        </w:rPr>
        <w:t xml:space="preserve">make it a condition of the giving of the supply that </w:t>
      </w:r>
      <w:r w:rsidR="00F44395">
        <w:rPr>
          <w:rFonts w:ascii="Avenir Next" w:hAnsi="Avenir Next" w:cs="Arial"/>
          <w:sz w:val="22"/>
          <w:szCs w:val="22"/>
        </w:rPr>
        <w:t xml:space="preserve">the </w:t>
      </w:r>
      <w:r>
        <w:rPr>
          <w:rFonts w:ascii="Avenir Next" w:hAnsi="Avenir Next" w:cs="Arial"/>
          <w:sz w:val="22"/>
          <w:szCs w:val="22"/>
        </w:rPr>
        <w:t>administrator</w:t>
      </w:r>
      <w:r w:rsidRPr="00C6139C">
        <w:rPr>
          <w:rFonts w:ascii="Avenir Next" w:hAnsi="Avenir Next" w:cs="Arial"/>
          <w:sz w:val="22"/>
          <w:szCs w:val="22"/>
        </w:rPr>
        <w:t xml:space="preserve"> personally guarantees the payment of any charges in respect of the supply</w:t>
      </w:r>
      <w:r>
        <w:rPr>
          <w:rFonts w:ascii="Avenir Next" w:hAnsi="Avenir Next" w:cs="Arial"/>
          <w:sz w:val="22"/>
          <w:szCs w:val="22"/>
        </w:rPr>
        <w:t>.</w:t>
      </w:r>
    </w:p>
    <w:p w14:paraId="525D5472" w14:textId="617D7C18" w:rsidR="00C6139C" w:rsidRDefault="00C6139C" w:rsidP="00822F4D">
      <w:pPr>
        <w:ind w:left="720"/>
        <w:jc w:val="both"/>
        <w:rPr>
          <w:rFonts w:ascii="Avenir Next" w:hAnsi="Avenir Next" w:cs="Arial"/>
          <w:sz w:val="22"/>
          <w:szCs w:val="22"/>
        </w:rPr>
      </w:pPr>
    </w:p>
    <w:p w14:paraId="6D847037" w14:textId="77777777" w:rsidR="00123910" w:rsidRDefault="00C6139C" w:rsidP="00822F4D">
      <w:pPr>
        <w:ind w:left="720"/>
        <w:jc w:val="both"/>
        <w:rPr>
          <w:rFonts w:ascii="Avenir Next" w:hAnsi="Avenir Next" w:cs="Arial"/>
          <w:sz w:val="22"/>
          <w:szCs w:val="22"/>
        </w:rPr>
      </w:pPr>
      <w:r>
        <w:rPr>
          <w:rFonts w:ascii="Avenir Next" w:hAnsi="Avenir Next" w:cs="Arial"/>
          <w:sz w:val="22"/>
          <w:szCs w:val="22"/>
        </w:rPr>
        <w:t>Second, s 233</w:t>
      </w:r>
      <w:proofErr w:type="gramStart"/>
      <w:r>
        <w:rPr>
          <w:rFonts w:ascii="Avenir Next" w:hAnsi="Avenir Next" w:cs="Arial"/>
          <w:sz w:val="22"/>
          <w:szCs w:val="22"/>
        </w:rPr>
        <w:t>A</w:t>
      </w:r>
      <w:r w:rsidR="007A00AA">
        <w:rPr>
          <w:rFonts w:ascii="Avenir Next" w:hAnsi="Avenir Next" w:cs="Arial"/>
          <w:sz w:val="22"/>
          <w:szCs w:val="22"/>
        </w:rPr>
        <w:t>(</w:t>
      </w:r>
      <w:proofErr w:type="gramEnd"/>
      <w:r w:rsidR="007A00AA">
        <w:rPr>
          <w:rFonts w:ascii="Avenir Next" w:hAnsi="Avenir Next" w:cs="Arial"/>
          <w:sz w:val="22"/>
          <w:szCs w:val="22"/>
        </w:rPr>
        <w:t>1)</w:t>
      </w:r>
      <w:r>
        <w:rPr>
          <w:rFonts w:ascii="Avenir Next" w:hAnsi="Avenir Next" w:cs="Arial"/>
          <w:sz w:val="22"/>
          <w:szCs w:val="22"/>
        </w:rPr>
        <w:t xml:space="preserve"> of the Act </w:t>
      </w:r>
      <w:r w:rsidR="007A00AA">
        <w:rPr>
          <w:rFonts w:ascii="Avenir Next" w:hAnsi="Avenir Next" w:cs="Arial"/>
          <w:sz w:val="22"/>
          <w:szCs w:val="22"/>
        </w:rPr>
        <w:t xml:space="preserve">provides that an “insolvency-related term” in a contract for the supply of essential goods and services will cease to have effect if the company enters administration. Briefly, an “insolvency-related term” is defined in s 233A(8) of the Act and refers to a provision that (a) terminates the contract or provides that any other thing would take place by reason of the company entering into administration; or (b) entitles the supplier to terminate the contract or supply or to do any other thing, by reason of the company entering into administration or </w:t>
      </w:r>
      <w:r w:rsidR="00123910">
        <w:rPr>
          <w:rFonts w:ascii="Avenir Next" w:hAnsi="Avenir Next" w:cs="Arial"/>
          <w:sz w:val="22"/>
          <w:szCs w:val="22"/>
        </w:rPr>
        <w:t xml:space="preserve">because of </w:t>
      </w:r>
      <w:r w:rsidR="007A00AA">
        <w:rPr>
          <w:rFonts w:ascii="Avenir Next" w:hAnsi="Avenir Next" w:cs="Arial"/>
          <w:sz w:val="22"/>
          <w:szCs w:val="22"/>
        </w:rPr>
        <w:t>an event occurring before the administration.</w:t>
      </w:r>
      <w:r w:rsidR="00123910">
        <w:rPr>
          <w:rFonts w:ascii="Avenir Next" w:hAnsi="Avenir Next" w:cs="Arial"/>
          <w:sz w:val="22"/>
          <w:szCs w:val="22"/>
        </w:rPr>
        <w:t xml:space="preserve"> </w:t>
      </w:r>
    </w:p>
    <w:p w14:paraId="6CAE329D" w14:textId="77777777" w:rsidR="00123910" w:rsidRDefault="00123910" w:rsidP="00822F4D">
      <w:pPr>
        <w:ind w:left="720"/>
        <w:jc w:val="both"/>
        <w:rPr>
          <w:rFonts w:ascii="Avenir Next" w:hAnsi="Avenir Next" w:cs="Arial"/>
          <w:sz w:val="22"/>
          <w:szCs w:val="22"/>
        </w:rPr>
      </w:pPr>
    </w:p>
    <w:p w14:paraId="5D91B91C" w14:textId="77777777" w:rsidR="00123910" w:rsidRDefault="00123910" w:rsidP="00822F4D">
      <w:pPr>
        <w:ind w:left="720"/>
        <w:jc w:val="both"/>
        <w:rPr>
          <w:rFonts w:ascii="Avenir Next" w:hAnsi="Avenir Next" w:cs="Arial"/>
          <w:sz w:val="22"/>
          <w:szCs w:val="22"/>
        </w:rPr>
      </w:pPr>
      <w:r>
        <w:rPr>
          <w:rFonts w:ascii="Avenir Next" w:hAnsi="Avenir Next" w:cs="Arial"/>
          <w:sz w:val="22"/>
          <w:szCs w:val="22"/>
        </w:rPr>
        <w:lastRenderedPageBreak/>
        <w:t>That being said, under s 233</w:t>
      </w:r>
      <w:proofErr w:type="gramStart"/>
      <w:r>
        <w:rPr>
          <w:rFonts w:ascii="Avenir Next" w:hAnsi="Avenir Next" w:cs="Arial"/>
          <w:sz w:val="22"/>
          <w:szCs w:val="22"/>
        </w:rPr>
        <w:t>A(</w:t>
      </w:r>
      <w:proofErr w:type="gramEnd"/>
      <w:r>
        <w:rPr>
          <w:rFonts w:ascii="Avenir Next" w:hAnsi="Avenir Next" w:cs="Arial"/>
          <w:sz w:val="22"/>
          <w:szCs w:val="22"/>
        </w:rPr>
        <w:t xml:space="preserve">4) of the Act, the supplier may still terminate the contract with the administrator’s consent, the court’s permission (if the court is satisfied that continuation of the contract would cause the supplier hardship), or if any charges incurred after the company entered administration are not paid within 28 days from the time when payment became due. Alternatively, the supplier may terminate the contract under s 233(5) of the Act by giving written notice to the administrator that supply will be terminated unless the administrator personally guarantees </w:t>
      </w:r>
      <w:r w:rsidRPr="00123910">
        <w:rPr>
          <w:rFonts w:ascii="Avenir Next" w:hAnsi="Avenir Next" w:cs="Arial"/>
          <w:sz w:val="22"/>
          <w:szCs w:val="22"/>
        </w:rPr>
        <w:t>the payment of any charges</w:t>
      </w:r>
      <w:r>
        <w:rPr>
          <w:rFonts w:ascii="Avenir Next" w:hAnsi="Avenir Next" w:cs="Arial"/>
          <w:sz w:val="22"/>
          <w:szCs w:val="22"/>
        </w:rPr>
        <w:t>, and such a guarantee is not provided within 14 days.</w:t>
      </w:r>
    </w:p>
    <w:p w14:paraId="107DEE4B" w14:textId="77777777" w:rsidR="00123910" w:rsidRDefault="00123910" w:rsidP="00822F4D">
      <w:pPr>
        <w:ind w:left="720"/>
        <w:jc w:val="both"/>
        <w:rPr>
          <w:rFonts w:ascii="Avenir Next" w:hAnsi="Avenir Next" w:cs="Arial"/>
          <w:sz w:val="22"/>
          <w:szCs w:val="22"/>
        </w:rPr>
      </w:pPr>
    </w:p>
    <w:p w14:paraId="260E8707" w14:textId="2720520A" w:rsidR="00C6139C" w:rsidRDefault="00123910" w:rsidP="00822F4D">
      <w:pPr>
        <w:ind w:left="720"/>
        <w:jc w:val="both"/>
        <w:rPr>
          <w:rFonts w:ascii="Avenir Next" w:hAnsi="Avenir Next" w:cs="Arial"/>
          <w:sz w:val="22"/>
          <w:szCs w:val="22"/>
        </w:rPr>
      </w:pPr>
      <w:r>
        <w:rPr>
          <w:rFonts w:ascii="Avenir Next" w:hAnsi="Avenir Next" w:cs="Arial"/>
          <w:sz w:val="22"/>
          <w:szCs w:val="22"/>
        </w:rPr>
        <w:t xml:space="preserve">Third, in relation to the supply of goods and services generally, s 233B(3) of the Act provides that a provision in a contract will cease to have effect when the company enters administration if that provision </w:t>
      </w:r>
      <w:r w:rsidR="00702A67">
        <w:rPr>
          <w:rFonts w:ascii="Avenir Next" w:hAnsi="Avenir Next" w:cs="Arial"/>
          <w:sz w:val="22"/>
          <w:szCs w:val="22"/>
        </w:rPr>
        <w:t xml:space="preserve">would, by reason of the company’s administration, </w:t>
      </w:r>
      <w:r>
        <w:rPr>
          <w:rFonts w:ascii="Avenir Next" w:hAnsi="Avenir Next" w:cs="Arial"/>
          <w:sz w:val="22"/>
          <w:szCs w:val="22"/>
        </w:rPr>
        <w:t>(a) terminate the contract or supply, or any other thing would take place; or (b) entitle the supplier to terminate the contract or supply, or to do any other thing</w:t>
      </w:r>
      <w:r w:rsidR="00702A67">
        <w:rPr>
          <w:rFonts w:ascii="Avenir Next" w:hAnsi="Avenir Next" w:cs="Arial"/>
          <w:sz w:val="22"/>
          <w:szCs w:val="22"/>
        </w:rPr>
        <w:t>. Section 233</w:t>
      </w:r>
      <w:proofErr w:type="gramStart"/>
      <w:r w:rsidR="00702A67">
        <w:rPr>
          <w:rFonts w:ascii="Avenir Next" w:hAnsi="Avenir Next" w:cs="Arial"/>
          <w:sz w:val="22"/>
          <w:szCs w:val="22"/>
        </w:rPr>
        <w:t>B(</w:t>
      </w:r>
      <w:proofErr w:type="gramEnd"/>
      <w:r w:rsidR="00702A67">
        <w:rPr>
          <w:rFonts w:ascii="Avenir Next" w:hAnsi="Avenir Next" w:cs="Arial"/>
          <w:sz w:val="22"/>
          <w:szCs w:val="22"/>
        </w:rPr>
        <w:t xml:space="preserve">4) further provides that where the supplier is entitled to terminate the contract by reason of an event occurring before the administration, the entitlement shall not be exercised for the period that the company is in administration. In addition, the supplier is not allowed to </w:t>
      </w:r>
      <w:r w:rsidR="00702A67" w:rsidRPr="00702A67">
        <w:rPr>
          <w:rFonts w:ascii="Avenir Next" w:hAnsi="Avenir Next" w:cs="Arial"/>
          <w:sz w:val="22"/>
          <w:szCs w:val="22"/>
        </w:rPr>
        <w:t xml:space="preserve">make it a condition of </w:t>
      </w:r>
      <w:r w:rsidR="00702A67">
        <w:rPr>
          <w:rFonts w:ascii="Avenir Next" w:hAnsi="Avenir Next" w:cs="Arial"/>
          <w:sz w:val="22"/>
          <w:szCs w:val="22"/>
        </w:rPr>
        <w:t>continued supply of goods and services after the company enters administration</w:t>
      </w:r>
      <w:r w:rsidR="00702A67" w:rsidRPr="00702A67">
        <w:rPr>
          <w:rFonts w:ascii="Avenir Next" w:hAnsi="Avenir Next" w:cs="Arial"/>
          <w:sz w:val="22"/>
          <w:szCs w:val="22"/>
        </w:rPr>
        <w:t>, or</w:t>
      </w:r>
      <w:r w:rsidR="00702A67">
        <w:rPr>
          <w:rFonts w:ascii="Avenir Next" w:hAnsi="Avenir Next" w:cs="Arial"/>
          <w:sz w:val="22"/>
          <w:szCs w:val="22"/>
        </w:rPr>
        <w:t xml:space="preserve"> to</w:t>
      </w:r>
      <w:r w:rsidR="00702A67" w:rsidRPr="00702A67">
        <w:rPr>
          <w:rFonts w:ascii="Avenir Next" w:hAnsi="Avenir Next" w:cs="Arial"/>
          <w:sz w:val="22"/>
          <w:szCs w:val="22"/>
        </w:rPr>
        <w:t xml:space="preserve"> do anything which has the effect of making it a condition of such a supply, that any outstanding charges in respect of a supply made to the company before that time are paid</w:t>
      </w:r>
      <w:r w:rsidR="00702A67">
        <w:rPr>
          <w:rFonts w:ascii="Avenir Next" w:hAnsi="Avenir Next" w:cs="Arial"/>
          <w:sz w:val="22"/>
          <w:szCs w:val="22"/>
        </w:rPr>
        <w:t xml:space="preserve"> (s 233</w:t>
      </w:r>
      <w:proofErr w:type="gramStart"/>
      <w:r w:rsidR="00702A67">
        <w:rPr>
          <w:rFonts w:ascii="Avenir Next" w:hAnsi="Avenir Next" w:cs="Arial"/>
          <w:sz w:val="22"/>
          <w:szCs w:val="22"/>
        </w:rPr>
        <w:t>B(</w:t>
      </w:r>
      <w:proofErr w:type="gramEnd"/>
      <w:r w:rsidR="00702A67">
        <w:rPr>
          <w:rFonts w:ascii="Avenir Next" w:hAnsi="Avenir Next" w:cs="Arial"/>
          <w:sz w:val="22"/>
          <w:szCs w:val="22"/>
        </w:rPr>
        <w:t>7) of the Act).</w:t>
      </w:r>
    </w:p>
    <w:p w14:paraId="7A9F1244" w14:textId="438CB3B6" w:rsidR="00702A67" w:rsidRDefault="00702A67" w:rsidP="00822F4D">
      <w:pPr>
        <w:ind w:left="720"/>
        <w:jc w:val="both"/>
        <w:rPr>
          <w:rFonts w:ascii="Avenir Next" w:hAnsi="Avenir Next" w:cs="Arial"/>
          <w:sz w:val="22"/>
          <w:szCs w:val="22"/>
        </w:rPr>
      </w:pPr>
    </w:p>
    <w:p w14:paraId="07D73472" w14:textId="0898E58A" w:rsidR="00702A67" w:rsidRPr="00583403" w:rsidRDefault="00702A67" w:rsidP="00822F4D">
      <w:pPr>
        <w:ind w:left="720"/>
        <w:jc w:val="both"/>
        <w:rPr>
          <w:rFonts w:ascii="Avenir Next" w:hAnsi="Avenir Next" w:cs="Arial"/>
          <w:sz w:val="22"/>
          <w:szCs w:val="22"/>
        </w:rPr>
      </w:pPr>
      <w:r>
        <w:rPr>
          <w:rFonts w:ascii="Avenir Next" w:hAnsi="Avenir Next" w:cs="Arial"/>
          <w:sz w:val="22"/>
          <w:szCs w:val="22"/>
        </w:rPr>
        <w:t xml:space="preserve">That said, the supplier may nonetheless terminate the contract with the administrator’s consent, the company’s consent, or if the court is satisfied that </w:t>
      </w:r>
      <w:r w:rsidRPr="00702A67">
        <w:rPr>
          <w:rFonts w:ascii="Avenir Next" w:hAnsi="Avenir Next" w:cs="Arial"/>
          <w:sz w:val="22"/>
          <w:szCs w:val="22"/>
        </w:rPr>
        <w:t>the continuation of the contract would cause the supplier hardship and grants permission for the termination of the contract</w:t>
      </w:r>
      <w:r>
        <w:rPr>
          <w:rFonts w:ascii="Avenir Next" w:hAnsi="Avenir Next" w:cs="Arial"/>
          <w:sz w:val="22"/>
          <w:szCs w:val="22"/>
        </w:rPr>
        <w:t xml:space="preserve"> (s 233</w:t>
      </w:r>
      <w:proofErr w:type="gramStart"/>
      <w:r>
        <w:rPr>
          <w:rFonts w:ascii="Avenir Next" w:hAnsi="Avenir Next" w:cs="Arial"/>
          <w:sz w:val="22"/>
          <w:szCs w:val="22"/>
        </w:rPr>
        <w:t>B(</w:t>
      </w:r>
      <w:proofErr w:type="gramEnd"/>
      <w:r>
        <w:rPr>
          <w:rFonts w:ascii="Avenir Next" w:hAnsi="Avenir Next" w:cs="Arial"/>
          <w:sz w:val="22"/>
          <w:szCs w:val="22"/>
        </w:rPr>
        <w:t>5) of the Act).</w:t>
      </w:r>
      <w:r w:rsidR="00583403">
        <w:rPr>
          <w:rFonts w:ascii="Avenir Next" w:hAnsi="Avenir Next" w:cs="Arial"/>
          <w:sz w:val="22"/>
          <w:szCs w:val="22"/>
        </w:rPr>
        <w:t xml:space="preserve"> Notably, s 233B does not permit a supplier to ask for a personal guarantee from the administrator. It should also be noted that pursuant to s 233</w:t>
      </w:r>
      <w:proofErr w:type="gramStart"/>
      <w:r w:rsidR="00583403">
        <w:rPr>
          <w:rFonts w:ascii="Avenir Next" w:hAnsi="Avenir Next" w:cs="Arial"/>
          <w:sz w:val="22"/>
          <w:szCs w:val="22"/>
        </w:rPr>
        <w:t>B(</w:t>
      </w:r>
      <w:proofErr w:type="gramEnd"/>
      <w:r w:rsidR="00583403">
        <w:rPr>
          <w:rFonts w:ascii="Avenir Next" w:hAnsi="Avenir Next" w:cs="Arial"/>
          <w:sz w:val="22"/>
          <w:szCs w:val="22"/>
        </w:rPr>
        <w:t>10) and Schedule 4ZZA of the Act that certain suppliers are excluded from the operation of s 233B (</w:t>
      </w:r>
      <w:r w:rsidR="00583403">
        <w:rPr>
          <w:rFonts w:ascii="Avenir Next" w:hAnsi="Avenir Next" w:cs="Arial"/>
          <w:i/>
          <w:iCs/>
          <w:sz w:val="22"/>
          <w:szCs w:val="22"/>
        </w:rPr>
        <w:t>eg</w:t>
      </w:r>
      <w:r w:rsidR="00583403">
        <w:rPr>
          <w:rFonts w:ascii="Avenir Next" w:hAnsi="Avenir Next" w:cs="Arial"/>
          <w:sz w:val="22"/>
          <w:szCs w:val="22"/>
        </w:rPr>
        <w:t>, insurers, banks, electronic money institutions).</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1F067633" w14:textId="48667B44" w:rsidR="00EA3B38" w:rsidRDefault="00087F21" w:rsidP="00EA3B38">
      <w:pPr>
        <w:jc w:val="both"/>
        <w:rPr>
          <w:rFonts w:ascii="Avenir Next" w:hAnsi="Avenir Next" w:cs="Arial"/>
          <w:sz w:val="22"/>
          <w:szCs w:val="22"/>
          <w:lang w:val="en-GB"/>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 xml:space="preserve">order of priority of payments in a </w:t>
      </w:r>
      <w:r w:rsidR="00461F95" w:rsidRPr="00480FAF">
        <w:rPr>
          <w:rFonts w:ascii="Avenir Next" w:hAnsi="Avenir Next" w:cs="Arial"/>
          <w:sz w:val="22"/>
          <w:szCs w:val="22"/>
          <w:lang w:val="en-GB"/>
        </w:rPr>
        <w:t>liquidation</w:t>
      </w:r>
      <w:r w:rsidR="00F70126" w:rsidRPr="00480FAF">
        <w:rPr>
          <w:rFonts w:ascii="Avenir Next" w:hAnsi="Avenir Next" w:cs="Arial"/>
          <w:sz w:val="22"/>
          <w:szCs w:val="22"/>
          <w:lang w:val="en-GB"/>
        </w:rPr>
        <w:t xml:space="preserve"> and explain the nature of </w:t>
      </w:r>
      <w:r w:rsidR="00311816" w:rsidRPr="00480FAF">
        <w:rPr>
          <w:rFonts w:ascii="Avenir Next" w:hAnsi="Avenir Next" w:cs="Arial"/>
          <w:sz w:val="22"/>
          <w:szCs w:val="22"/>
          <w:lang w:val="en-GB"/>
        </w:rPr>
        <w:t xml:space="preserve">the rights enjoyed by </w:t>
      </w:r>
      <w:r w:rsidR="00F70126" w:rsidRPr="00480FAF">
        <w:rPr>
          <w:rFonts w:ascii="Avenir Next" w:hAnsi="Avenir Next" w:cs="Arial"/>
          <w:sz w:val="22"/>
          <w:szCs w:val="22"/>
          <w:lang w:val="en-GB"/>
        </w:rPr>
        <w:t xml:space="preserve">each </w:t>
      </w:r>
      <w:r w:rsidR="00311816" w:rsidRPr="00480FAF">
        <w:rPr>
          <w:rFonts w:ascii="Avenir Next" w:hAnsi="Avenir Next" w:cs="Arial"/>
          <w:sz w:val="22"/>
          <w:szCs w:val="22"/>
          <w:lang w:val="en-GB"/>
        </w:rPr>
        <w:t xml:space="preserve">class of </w:t>
      </w:r>
      <w:r w:rsidR="00F70126" w:rsidRPr="00480FAF">
        <w:rPr>
          <w:rFonts w:ascii="Avenir Next" w:hAnsi="Avenir Next" w:cs="Arial"/>
          <w:sz w:val="22"/>
          <w:szCs w:val="22"/>
          <w:lang w:val="en-GB"/>
        </w:rPr>
        <w:t>creditor</w:t>
      </w:r>
      <w:r w:rsidR="00311816" w:rsidRPr="00480FAF">
        <w:rPr>
          <w:rFonts w:ascii="Avenir Next" w:hAnsi="Avenir Next" w:cs="Arial"/>
          <w:sz w:val="22"/>
          <w:szCs w:val="22"/>
          <w:lang w:val="en-GB"/>
        </w:rPr>
        <w:t xml:space="preserve"> or expense</w:t>
      </w:r>
      <w:r w:rsidR="00763348" w:rsidRPr="00480FAF">
        <w:rPr>
          <w:rFonts w:ascii="Avenir Next" w:hAnsi="Avenir Next" w:cs="Arial"/>
          <w:sz w:val="22"/>
          <w:szCs w:val="22"/>
          <w:lang w:val="en-GB"/>
        </w:rPr>
        <w:t>.</w:t>
      </w:r>
      <w:r w:rsidR="00871C74" w:rsidRPr="00480FAF">
        <w:rPr>
          <w:rFonts w:ascii="Avenir Next" w:hAnsi="Avenir Next" w:cs="Arial"/>
          <w:sz w:val="22"/>
          <w:szCs w:val="22"/>
          <w:lang w:val="en-GB"/>
        </w:rPr>
        <w:t xml:space="preserve"> How would this priority change if the company had been subject to a Moratorium under Par</w:t>
      </w:r>
      <w:r w:rsidR="00871C74" w:rsidRPr="006925C1">
        <w:rPr>
          <w:rFonts w:ascii="Avenir Next" w:hAnsi="Avenir Next" w:cs="Arial"/>
          <w:sz w:val="22"/>
          <w:szCs w:val="22"/>
          <w:lang w:val="en-GB"/>
        </w:rPr>
        <w:t xml:space="preserve">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p>
    <w:p w14:paraId="037B8C6E" w14:textId="19960D35" w:rsidR="004C241D" w:rsidRDefault="004C241D" w:rsidP="00EA3B38">
      <w:pPr>
        <w:jc w:val="both"/>
        <w:rPr>
          <w:rFonts w:ascii="Avenir Next" w:hAnsi="Avenir Next" w:cs="Arial"/>
          <w:sz w:val="22"/>
          <w:szCs w:val="22"/>
          <w:lang w:val="en-GB"/>
        </w:rPr>
      </w:pPr>
    </w:p>
    <w:p w14:paraId="0626862D" w14:textId="6E8D523F" w:rsidR="00582D19" w:rsidRPr="00B62C14" w:rsidRDefault="004C241D" w:rsidP="00822F4D">
      <w:pPr>
        <w:ind w:left="720"/>
        <w:jc w:val="both"/>
        <w:rPr>
          <w:rFonts w:ascii="Avenir Next" w:hAnsi="Avenir Next" w:cs="Arial"/>
          <w:sz w:val="22"/>
          <w:szCs w:val="22"/>
          <w:lang w:val="en-GB"/>
        </w:rPr>
      </w:pPr>
      <w:r>
        <w:rPr>
          <w:rFonts w:ascii="Avenir Next" w:hAnsi="Avenir Next" w:cs="Arial"/>
          <w:sz w:val="22"/>
          <w:szCs w:val="22"/>
          <w:lang w:val="en-GB"/>
        </w:rPr>
        <w:t xml:space="preserve">Secured creditors will usually </w:t>
      </w:r>
      <w:r w:rsidR="00F31E9F">
        <w:rPr>
          <w:rFonts w:ascii="Avenir Next" w:hAnsi="Avenir Next" w:cs="Arial"/>
          <w:sz w:val="22"/>
          <w:szCs w:val="22"/>
          <w:lang w:val="en-GB"/>
        </w:rPr>
        <w:t xml:space="preserve">enforce their </w:t>
      </w:r>
      <w:r w:rsidR="00B24DE3">
        <w:rPr>
          <w:rFonts w:ascii="Avenir Next" w:hAnsi="Avenir Next" w:cs="Arial"/>
          <w:sz w:val="22"/>
          <w:szCs w:val="22"/>
          <w:lang w:val="en-GB"/>
        </w:rPr>
        <w:t>security outside of any formal insolvency proceedings</w:t>
      </w:r>
      <w:r w:rsidR="001F68B8">
        <w:rPr>
          <w:rFonts w:ascii="Avenir Next" w:hAnsi="Avenir Next" w:cs="Arial"/>
          <w:sz w:val="22"/>
          <w:szCs w:val="22"/>
          <w:lang w:val="en-GB"/>
        </w:rPr>
        <w:t xml:space="preserve">. The </w:t>
      </w:r>
      <w:r w:rsidR="00B24DE3">
        <w:rPr>
          <w:rFonts w:ascii="Avenir Next" w:hAnsi="Avenir Next" w:cs="Arial"/>
          <w:sz w:val="22"/>
          <w:szCs w:val="22"/>
          <w:lang w:val="en-GB"/>
        </w:rPr>
        <w:t xml:space="preserve">nature of their right to repayment will therefore be contractual/proprietary </w:t>
      </w:r>
      <w:r w:rsidR="00B62C14">
        <w:rPr>
          <w:rFonts w:ascii="Avenir Next" w:hAnsi="Avenir Next" w:cs="Arial"/>
          <w:sz w:val="22"/>
          <w:szCs w:val="22"/>
          <w:lang w:val="en-GB"/>
        </w:rPr>
        <w:t xml:space="preserve">and is based on the instrument that created the security in the first place. Unsecured creditors </w:t>
      </w:r>
      <w:r w:rsidR="001F68B8">
        <w:rPr>
          <w:rFonts w:ascii="Avenir Next" w:hAnsi="Avenir Next" w:cs="Arial"/>
          <w:sz w:val="22"/>
          <w:szCs w:val="22"/>
          <w:lang w:val="en-GB"/>
        </w:rPr>
        <w:t xml:space="preserve">and floating charge holders will be subject to the statutory </w:t>
      </w:r>
      <w:r w:rsidR="00F31176">
        <w:rPr>
          <w:rFonts w:ascii="Avenir Next" w:hAnsi="Avenir Next" w:cs="Arial"/>
          <w:sz w:val="22"/>
          <w:szCs w:val="22"/>
          <w:lang w:val="en-GB"/>
        </w:rPr>
        <w:t>order of priority, which is described</w:t>
      </w:r>
      <w:r w:rsidR="006F5005">
        <w:rPr>
          <w:rFonts w:ascii="Avenir Next" w:hAnsi="Avenir Next" w:cs="Arial"/>
          <w:sz w:val="22"/>
          <w:szCs w:val="22"/>
          <w:lang w:val="en-GB"/>
        </w:rPr>
        <w:t xml:space="preserve"> </w:t>
      </w:r>
      <w:r w:rsidR="00F31176">
        <w:rPr>
          <w:rFonts w:ascii="Avenir Next" w:hAnsi="Avenir Next" w:cs="Arial"/>
          <w:sz w:val="22"/>
          <w:szCs w:val="22"/>
          <w:lang w:val="en-GB"/>
        </w:rPr>
        <w:t xml:space="preserve">below. </w:t>
      </w:r>
      <w:r w:rsidR="00B05F66">
        <w:rPr>
          <w:rFonts w:ascii="Avenir Next" w:hAnsi="Avenir Next" w:cs="Arial"/>
          <w:sz w:val="22"/>
          <w:szCs w:val="22"/>
          <w:lang w:val="en-GB"/>
        </w:rPr>
        <w:t xml:space="preserve">The nature of their right to </w:t>
      </w:r>
      <w:r w:rsidR="00B05F66">
        <w:rPr>
          <w:rFonts w:ascii="Avenir Next" w:hAnsi="Avenir Next" w:cs="Arial"/>
          <w:sz w:val="22"/>
          <w:szCs w:val="22"/>
          <w:lang w:val="en-GB"/>
        </w:rPr>
        <w:lastRenderedPageBreak/>
        <w:t>repayment is therefore</w:t>
      </w:r>
      <w:r w:rsidR="006F5005">
        <w:rPr>
          <w:rFonts w:ascii="Avenir Next" w:hAnsi="Avenir Next" w:cs="Arial"/>
          <w:sz w:val="22"/>
          <w:szCs w:val="22"/>
          <w:lang w:val="en-GB"/>
        </w:rPr>
        <w:t xml:space="preserve"> at least partly </w:t>
      </w:r>
      <w:r w:rsidR="00B05F66">
        <w:rPr>
          <w:rFonts w:ascii="Avenir Next" w:hAnsi="Avenir Next" w:cs="Arial"/>
          <w:sz w:val="22"/>
          <w:szCs w:val="22"/>
          <w:lang w:val="en-GB"/>
        </w:rPr>
        <w:t>statutory</w:t>
      </w:r>
      <w:r w:rsidR="006F5005">
        <w:rPr>
          <w:rFonts w:ascii="Avenir Next" w:hAnsi="Avenir Next" w:cs="Arial"/>
          <w:sz w:val="22"/>
          <w:szCs w:val="22"/>
          <w:lang w:val="en-GB"/>
        </w:rPr>
        <w:t xml:space="preserve"> in nature</w:t>
      </w:r>
      <w:r w:rsidR="00434975">
        <w:rPr>
          <w:rFonts w:ascii="Avenir Next" w:hAnsi="Avenir Next" w:cs="Arial"/>
          <w:sz w:val="22"/>
          <w:szCs w:val="22"/>
          <w:lang w:val="en-GB"/>
        </w:rPr>
        <w:t xml:space="preserve"> (though the </w:t>
      </w:r>
      <w:r w:rsidR="00582D19">
        <w:rPr>
          <w:rFonts w:ascii="Avenir Next" w:hAnsi="Avenir Next" w:cs="Arial"/>
          <w:sz w:val="22"/>
          <w:szCs w:val="22"/>
          <w:lang w:val="en-GB"/>
        </w:rPr>
        <w:t xml:space="preserve">initial basis for the debt is likely to be contractual, </w:t>
      </w:r>
      <w:proofErr w:type="gramStart"/>
      <w:r w:rsidR="00582D19">
        <w:rPr>
          <w:rFonts w:ascii="Avenir Next" w:hAnsi="Avenir Next" w:cs="Arial"/>
          <w:sz w:val="22"/>
          <w:szCs w:val="22"/>
          <w:lang w:val="en-GB"/>
        </w:rPr>
        <w:t>eg</w:t>
      </w:r>
      <w:proofErr w:type="gramEnd"/>
      <w:r w:rsidR="00582D19">
        <w:rPr>
          <w:rFonts w:ascii="Avenir Next" w:hAnsi="Avenir Next" w:cs="Arial"/>
          <w:sz w:val="22"/>
          <w:szCs w:val="22"/>
          <w:lang w:val="en-GB"/>
        </w:rPr>
        <w:t xml:space="preserve"> a contract for the sale of goods</w:t>
      </w:r>
      <w:r w:rsidR="00D255DE">
        <w:rPr>
          <w:rFonts w:ascii="Avenir Next" w:hAnsi="Avenir Next" w:cs="Arial"/>
          <w:sz w:val="22"/>
          <w:szCs w:val="22"/>
          <w:lang w:val="en-GB"/>
        </w:rPr>
        <w:t>).</w:t>
      </w:r>
    </w:p>
    <w:p w14:paraId="022847C8" w14:textId="77777777" w:rsidR="000600B9" w:rsidRDefault="000600B9" w:rsidP="00822F4D">
      <w:pPr>
        <w:ind w:left="720"/>
        <w:jc w:val="both"/>
        <w:rPr>
          <w:rFonts w:ascii="Avenir Next" w:hAnsi="Avenir Next" w:cs="Arial"/>
          <w:color w:val="808080" w:themeColor="background1" w:themeShade="80"/>
          <w:sz w:val="22"/>
          <w:szCs w:val="22"/>
        </w:rPr>
      </w:pPr>
    </w:p>
    <w:p w14:paraId="37C03288" w14:textId="37DB38A3" w:rsidR="000600B9" w:rsidRPr="003E3BCC" w:rsidRDefault="005868CB" w:rsidP="00822F4D">
      <w:pPr>
        <w:ind w:left="720"/>
        <w:jc w:val="both"/>
        <w:rPr>
          <w:rFonts w:ascii="Avenir Next" w:hAnsi="Avenir Next" w:cs="Arial"/>
          <w:b/>
          <w:bCs/>
          <w:color w:val="1A1A1A" w:themeColor="background1" w:themeShade="1A"/>
          <w:sz w:val="22"/>
          <w:szCs w:val="22"/>
          <w:u w:val="single"/>
        </w:rPr>
      </w:pPr>
      <w:proofErr w:type="gramStart"/>
      <w:r w:rsidRPr="003E3BCC">
        <w:rPr>
          <w:rFonts w:ascii="Avenir Next" w:hAnsi="Avenir Next" w:cs="Arial"/>
          <w:b/>
          <w:bCs/>
          <w:color w:val="1A1A1A" w:themeColor="background1" w:themeShade="1A"/>
          <w:sz w:val="22"/>
          <w:szCs w:val="22"/>
          <w:u w:val="single"/>
        </w:rPr>
        <w:t>First priority</w:t>
      </w:r>
      <w:proofErr w:type="gramEnd"/>
      <w:r w:rsidR="003E3BCC" w:rsidRPr="003E3BCC">
        <w:rPr>
          <w:rFonts w:ascii="Avenir Next" w:hAnsi="Avenir Next" w:cs="Arial"/>
          <w:b/>
          <w:bCs/>
          <w:color w:val="1A1A1A" w:themeColor="background1" w:themeShade="1A"/>
          <w:sz w:val="22"/>
          <w:szCs w:val="22"/>
          <w:u w:val="single"/>
        </w:rPr>
        <w:t xml:space="preserve">: Expenses of the liquidation </w:t>
      </w:r>
    </w:p>
    <w:p w14:paraId="3EA6A5B2" w14:textId="741CFAA7" w:rsidR="00740E33" w:rsidRDefault="003E3BCC" w:rsidP="00822F4D">
      <w:pPr>
        <w:ind w:left="720"/>
        <w:jc w:val="both"/>
        <w:rPr>
          <w:rFonts w:ascii="Avenir Next" w:hAnsi="Avenir Next" w:cs="Arial"/>
          <w:color w:val="1A1A1A" w:themeColor="background1" w:themeShade="1A"/>
          <w:sz w:val="22"/>
          <w:szCs w:val="22"/>
        </w:rPr>
      </w:pPr>
      <w:r>
        <w:rPr>
          <w:rFonts w:ascii="Avenir Next" w:hAnsi="Avenir Next" w:cs="Arial"/>
          <w:color w:val="1A1A1A" w:themeColor="background1" w:themeShade="1A"/>
          <w:sz w:val="22"/>
          <w:szCs w:val="22"/>
        </w:rPr>
        <w:t xml:space="preserve">Under s 115 of the Insolvency Act 1986, </w:t>
      </w:r>
      <w:r w:rsidR="00D46EFE" w:rsidRPr="00D46EFE">
        <w:rPr>
          <w:rFonts w:ascii="Avenir Next" w:hAnsi="Avenir Next" w:cs="Arial"/>
          <w:color w:val="1A1A1A" w:themeColor="background1" w:themeShade="1A"/>
          <w:sz w:val="22"/>
          <w:szCs w:val="22"/>
        </w:rPr>
        <w:t>all expenses properly incurred in the winding up are payable out of the company’s assets in priority to all other claims.</w:t>
      </w:r>
      <w:r w:rsidR="00D46EFE">
        <w:rPr>
          <w:rFonts w:ascii="Avenir Next" w:hAnsi="Avenir Next" w:cs="Arial"/>
          <w:color w:val="1A1A1A" w:themeColor="background1" w:themeShade="1A"/>
          <w:sz w:val="22"/>
          <w:szCs w:val="22"/>
        </w:rPr>
        <w:t xml:space="preserve"> </w:t>
      </w:r>
      <w:r w:rsidR="00740E33">
        <w:rPr>
          <w:rFonts w:ascii="Avenir Next" w:hAnsi="Avenir Next" w:cs="Arial"/>
          <w:color w:val="1A1A1A" w:themeColor="background1" w:themeShade="1A"/>
          <w:sz w:val="22"/>
          <w:szCs w:val="22"/>
        </w:rPr>
        <w:t xml:space="preserve">Rules </w:t>
      </w:r>
      <w:r w:rsidR="009D2985">
        <w:rPr>
          <w:rFonts w:ascii="Avenir Next" w:hAnsi="Avenir Next" w:cs="Arial"/>
          <w:color w:val="1A1A1A" w:themeColor="background1" w:themeShade="1A"/>
          <w:sz w:val="22"/>
          <w:szCs w:val="22"/>
        </w:rPr>
        <w:t>6.42</w:t>
      </w:r>
      <w:r w:rsidR="001256DF">
        <w:rPr>
          <w:rFonts w:ascii="Avenir Next" w:hAnsi="Avenir Next" w:cs="Arial"/>
          <w:color w:val="1A1A1A" w:themeColor="background1" w:themeShade="1A"/>
          <w:sz w:val="22"/>
          <w:szCs w:val="22"/>
        </w:rPr>
        <w:t>(4)</w:t>
      </w:r>
      <w:r w:rsidR="009D2985">
        <w:rPr>
          <w:rFonts w:ascii="Avenir Next" w:hAnsi="Avenir Next" w:cs="Arial"/>
          <w:color w:val="1A1A1A" w:themeColor="background1" w:themeShade="1A"/>
          <w:sz w:val="22"/>
          <w:szCs w:val="22"/>
        </w:rPr>
        <w:t xml:space="preserve"> of the Insolvency Rules 2016 (the “Rules”) </w:t>
      </w:r>
      <w:r w:rsidR="00740E33">
        <w:rPr>
          <w:rFonts w:ascii="Avenir Next" w:hAnsi="Avenir Next" w:cs="Arial"/>
          <w:color w:val="1A1A1A" w:themeColor="background1" w:themeShade="1A"/>
          <w:sz w:val="22"/>
          <w:szCs w:val="22"/>
        </w:rPr>
        <w:t xml:space="preserve">describes the specific order in which </w:t>
      </w:r>
      <w:r w:rsidR="00A86B26">
        <w:rPr>
          <w:rFonts w:ascii="Avenir Next" w:hAnsi="Avenir Next" w:cs="Arial"/>
          <w:color w:val="1A1A1A" w:themeColor="background1" w:themeShade="1A"/>
          <w:sz w:val="22"/>
          <w:szCs w:val="22"/>
        </w:rPr>
        <w:t xml:space="preserve">specific expenses of the liquidation must be paid out in a creditor’s voluntary winding up, while r 7.108 of the Rules describes the same in relation to a winding up by the court. </w:t>
      </w:r>
      <w:r w:rsidR="00967CFE">
        <w:rPr>
          <w:rFonts w:ascii="Avenir Next" w:hAnsi="Avenir Next" w:cs="Arial"/>
          <w:color w:val="1A1A1A" w:themeColor="background1" w:themeShade="1A"/>
          <w:sz w:val="22"/>
          <w:szCs w:val="22"/>
        </w:rPr>
        <w:t xml:space="preserve">The following main expenses are accorded </w:t>
      </w:r>
      <w:proofErr w:type="gramStart"/>
      <w:r w:rsidR="00967CFE">
        <w:rPr>
          <w:rFonts w:ascii="Avenir Next" w:hAnsi="Avenir Next" w:cs="Arial"/>
          <w:color w:val="1A1A1A" w:themeColor="background1" w:themeShade="1A"/>
          <w:sz w:val="22"/>
          <w:szCs w:val="22"/>
        </w:rPr>
        <w:t>first priority</w:t>
      </w:r>
      <w:proofErr w:type="gramEnd"/>
      <w:r w:rsidR="00BD3FD0">
        <w:rPr>
          <w:rFonts w:ascii="Avenir Next" w:hAnsi="Avenir Next" w:cs="Arial"/>
          <w:color w:val="1A1A1A" w:themeColor="background1" w:themeShade="1A"/>
          <w:sz w:val="22"/>
          <w:szCs w:val="22"/>
        </w:rPr>
        <w:t xml:space="preserve"> (in order of priority):</w:t>
      </w:r>
    </w:p>
    <w:p w14:paraId="752FF58F" w14:textId="455F9B3D" w:rsidR="00BD3FD0" w:rsidRDefault="00C67559" w:rsidP="00822F4D">
      <w:pPr>
        <w:pStyle w:val="ListParagraph"/>
        <w:numPr>
          <w:ilvl w:val="0"/>
          <w:numId w:val="20"/>
        </w:numPr>
        <w:ind w:left="1440"/>
        <w:jc w:val="both"/>
        <w:rPr>
          <w:rFonts w:ascii="Avenir Next" w:hAnsi="Avenir Next" w:cs="Arial"/>
          <w:color w:val="1A1A1A" w:themeColor="background1" w:themeShade="1A"/>
          <w:sz w:val="22"/>
          <w:szCs w:val="22"/>
        </w:rPr>
      </w:pPr>
      <w:r w:rsidRPr="006E7606">
        <w:rPr>
          <w:rFonts w:ascii="Avenir Next" w:hAnsi="Avenir Next" w:cs="Arial"/>
          <w:color w:val="1A1A1A" w:themeColor="background1" w:themeShade="1A"/>
          <w:sz w:val="22"/>
          <w:szCs w:val="22"/>
        </w:rPr>
        <w:t xml:space="preserve">expenses which are properly chargeable or incurred by the liquidator in preserving, </w:t>
      </w:r>
      <w:proofErr w:type="spellStart"/>
      <w:proofErr w:type="gramStart"/>
      <w:r w:rsidRPr="006E7606">
        <w:rPr>
          <w:rFonts w:ascii="Avenir Next" w:hAnsi="Avenir Next" w:cs="Arial"/>
          <w:color w:val="1A1A1A" w:themeColor="background1" w:themeShade="1A"/>
          <w:sz w:val="22"/>
          <w:szCs w:val="22"/>
        </w:rPr>
        <w:t>realising</w:t>
      </w:r>
      <w:proofErr w:type="spellEnd"/>
      <w:proofErr w:type="gramEnd"/>
      <w:r w:rsidRPr="006E7606">
        <w:rPr>
          <w:rFonts w:ascii="Avenir Next" w:hAnsi="Avenir Next" w:cs="Arial"/>
          <w:color w:val="1A1A1A" w:themeColor="background1" w:themeShade="1A"/>
          <w:sz w:val="22"/>
          <w:szCs w:val="22"/>
        </w:rPr>
        <w:t xml:space="preserve"> or getting in any of the assets of the company</w:t>
      </w:r>
      <w:r>
        <w:rPr>
          <w:rFonts w:ascii="Avenir Next" w:hAnsi="Avenir Next" w:cs="Arial"/>
          <w:color w:val="1A1A1A" w:themeColor="background1" w:themeShade="1A"/>
          <w:sz w:val="22"/>
          <w:szCs w:val="22"/>
        </w:rPr>
        <w:t>:</w:t>
      </w:r>
    </w:p>
    <w:p w14:paraId="66E7BA0F" w14:textId="30211B09" w:rsidR="00C67559" w:rsidRDefault="00681EB5" w:rsidP="00822F4D">
      <w:pPr>
        <w:pStyle w:val="ListParagraph"/>
        <w:numPr>
          <w:ilvl w:val="0"/>
          <w:numId w:val="20"/>
        </w:numPr>
        <w:ind w:left="1440"/>
        <w:jc w:val="both"/>
        <w:rPr>
          <w:rFonts w:ascii="Avenir Next" w:hAnsi="Avenir Next" w:cs="Arial"/>
          <w:color w:val="1A1A1A" w:themeColor="background1" w:themeShade="1A"/>
          <w:sz w:val="22"/>
          <w:szCs w:val="22"/>
        </w:rPr>
      </w:pPr>
      <w:r>
        <w:rPr>
          <w:rFonts w:ascii="Avenir Next" w:hAnsi="Avenir Next" w:cs="Arial"/>
          <w:color w:val="1A1A1A" w:themeColor="background1" w:themeShade="1A"/>
          <w:sz w:val="22"/>
          <w:szCs w:val="22"/>
        </w:rPr>
        <w:t xml:space="preserve">the cost of any security provided by the </w:t>
      </w:r>
      <w:proofErr w:type="gramStart"/>
      <w:r>
        <w:rPr>
          <w:rFonts w:ascii="Avenir Next" w:hAnsi="Avenir Next" w:cs="Arial"/>
          <w:color w:val="1A1A1A" w:themeColor="background1" w:themeShade="1A"/>
          <w:sz w:val="22"/>
          <w:szCs w:val="22"/>
        </w:rPr>
        <w:t>liquidator;</w:t>
      </w:r>
      <w:proofErr w:type="gramEnd"/>
    </w:p>
    <w:p w14:paraId="65F034EF" w14:textId="45A2F535" w:rsidR="00681EB5" w:rsidRDefault="00C1581D" w:rsidP="00822F4D">
      <w:pPr>
        <w:pStyle w:val="ListParagraph"/>
        <w:numPr>
          <w:ilvl w:val="0"/>
          <w:numId w:val="20"/>
        </w:numPr>
        <w:ind w:left="1440"/>
        <w:jc w:val="both"/>
        <w:rPr>
          <w:rFonts w:ascii="Avenir Next" w:hAnsi="Avenir Next" w:cs="Arial"/>
          <w:color w:val="1A1A1A" w:themeColor="background1" w:themeShade="1A"/>
          <w:sz w:val="22"/>
          <w:szCs w:val="22"/>
        </w:rPr>
      </w:pPr>
      <w:r>
        <w:rPr>
          <w:rFonts w:ascii="Avenir Next" w:hAnsi="Avenir Next" w:cs="Arial"/>
          <w:color w:val="1A1A1A" w:themeColor="background1" w:themeShade="1A"/>
          <w:sz w:val="22"/>
          <w:szCs w:val="22"/>
        </w:rPr>
        <w:t xml:space="preserve">any amount payable to a person to assist in the preparation of a statement of affairs or </w:t>
      </w:r>
      <w:proofErr w:type="gramStart"/>
      <w:r>
        <w:rPr>
          <w:rFonts w:ascii="Avenir Next" w:hAnsi="Avenir Next" w:cs="Arial"/>
          <w:color w:val="1A1A1A" w:themeColor="background1" w:themeShade="1A"/>
          <w:sz w:val="22"/>
          <w:szCs w:val="22"/>
        </w:rPr>
        <w:t>accounts;</w:t>
      </w:r>
      <w:proofErr w:type="gramEnd"/>
    </w:p>
    <w:p w14:paraId="4F4E255F" w14:textId="76ABAEBD" w:rsidR="00C1581D" w:rsidRDefault="00C1581D" w:rsidP="00822F4D">
      <w:pPr>
        <w:pStyle w:val="ListParagraph"/>
        <w:numPr>
          <w:ilvl w:val="0"/>
          <w:numId w:val="20"/>
        </w:numPr>
        <w:ind w:left="1440"/>
        <w:jc w:val="both"/>
        <w:rPr>
          <w:rFonts w:ascii="Avenir Next" w:hAnsi="Avenir Next" w:cs="Arial"/>
          <w:color w:val="1A1A1A" w:themeColor="background1" w:themeShade="1A"/>
          <w:sz w:val="22"/>
          <w:szCs w:val="22"/>
        </w:rPr>
      </w:pPr>
      <w:r>
        <w:rPr>
          <w:rFonts w:ascii="Avenir Next" w:hAnsi="Avenir Next" w:cs="Arial"/>
          <w:color w:val="1A1A1A" w:themeColor="background1" w:themeShade="1A"/>
          <w:sz w:val="22"/>
          <w:szCs w:val="22"/>
        </w:rPr>
        <w:t>necessary disbursements by the liquidator in the course of winding up</w:t>
      </w:r>
      <w:r w:rsidR="00AA68D1">
        <w:rPr>
          <w:rFonts w:ascii="Avenir Next" w:hAnsi="Avenir Next" w:cs="Arial"/>
          <w:color w:val="1A1A1A" w:themeColor="background1" w:themeShade="1A"/>
          <w:sz w:val="22"/>
          <w:szCs w:val="22"/>
        </w:rPr>
        <w:t xml:space="preserve"> (</w:t>
      </w:r>
      <w:proofErr w:type="gramStart"/>
      <w:r w:rsidR="00AA68D1">
        <w:rPr>
          <w:rFonts w:ascii="Avenir Next" w:hAnsi="Avenir Next" w:cs="Arial"/>
          <w:color w:val="1A1A1A" w:themeColor="background1" w:themeShade="1A"/>
          <w:sz w:val="22"/>
          <w:szCs w:val="22"/>
        </w:rPr>
        <w:t>eg</w:t>
      </w:r>
      <w:proofErr w:type="gramEnd"/>
      <w:r w:rsidR="00AA68D1">
        <w:rPr>
          <w:rFonts w:ascii="Avenir Next" w:hAnsi="Avenir Next" w:cs="Arial"/>
          <w:color w:val="1A1A1A" w:themeColor="background1" w:themeShade="1A"/>
          <w:sz w:val="22"/>
          <w:szCs w:val="22"/>
        </w:rPr>
        <w:t xml:space="preserve"> expenses incurred by members of the liquidator committee);</w:t>
      </w:r>
    </w:p>
    <w:p w14:paraId="59EED469" w14:textId="43850535" w:rsidR="00AA68D1" w:rsidRDefault="00AA68D1" w:rsidP="00822F4D">
      <w:pPr>
        <w:pStyle w:val="ListParagraph"/>
        <w:numPr>
          <w:ilvl w:val="0"/>
          <w:numId w:val="20"/>
        </w:numPr>
        <w:ind w:left="1440"/>
        <w:jc w:val="both"/>
        <w:rPr>
          <w:rFonts w:ascii="Avenir Next" w:hAnsi="Avenir Next" w:cs="Arial"/>
          <w:color w:val="1A1A1A" w:themeColor="background1" w:themeShade="1A"/>
          <w:sz w:val="22"/>
          <w:szCs w:val="22"/>
        </w:rPr>
      </w:pPr>
      <w:r>
        <w:rPr>
          <w:rFonts w:ascii="Avenir Next" w:hAnsi="Avenir Next" w:cs="Arial"/>
          <w:color w:val="1A1A1A" w:themeColor="background1" w:themeShade="1A"/>
          <w:sz w:val="22"/>
          <w:szCs w:val="22"/>
        </w:rPr>
        <w:t xml:space="preserve">remuneration of any person employed by the liquidator to perform any service for the </w:t>
      </w:r>
      <w:proofErr w:type="gramStart"/>
      <w:r>
        <w:rPr>
          <w:rFonts w:ascii="Avenir Next" w:hAnsi="Avenir Next" w:cs="Arial"/>
          <w:color w:val="1A1A1A" w:themeColor="background1" w:themeShade="1A"/>
          <w:sz w:val="22"/>
          <w:szCs w:val="22"/>
        </w:rPr>
        <w:t>company;</w:t>
      </w:r>
      <w:proofErr w:type="gramEnd"/>
    </w:p>
    <w:p w14:paraId="79E241E6" w14:textId="760A18AE" w:rsidR="00AA68D1" w:rsidRDefault="00897134" w:rsidP="00822F4D">
      <w:pPr>
        <w:pStyle w:val="ListParagraph"/>
        <w:numPr>
          <w:ilvl w:val="0"/>
          <w:numId w:val="20"/>
        </w:numPr>
        <w:ind w:left="1440"/>
        <w:jc w:val="both"/>
        <w:rPr>
          <w:rFonts w:ascii="Avenir Next" w:hAnsi="Avenir Next" w:cs="Arial"/>
          <w:color w:val="1A1A1A" w:themeColor="background1" w:themeShade="1A"/>
          <w:sz w:val="22"/>
          <w:szCs w:val="22"/>
        </w:rPr>
      </w:pPr>
      <w:r>
        <w:rPr>
          <w:rFonts w:ascii="Avenir Next" w:hAnsi="Avenir Next" w:cs="Arial"/>
          <w:color w:val="1A1A1A" w:themeColor="background1" w:themeShade="1A"/>
          <w:sz w:val="22"/>
          <w:szCs w:val="22"/>
        </w:rPr>
        <w:t xml:space="preserve">remuneration of the </w:t>
      </w:r>
      <w:proofErr w:type="gramStart"/>
      <w:r>
        <w:rPr>
          <w:rFonts w:ascii="Avenir Next" w:hAnsi="Avenir Next" w:cs="Arial"/>
          <w:color w:val="1A1A1A" w:themeColor="background1" w:themeShade="1A"/>
          <w:sz w:val="22"/>
          <w:szCs w:val="22"/>
        </w:rPr>
        <w:t>liquidator;</w:t>
      </w:r>
      <w:proofErr w:type="gramEnd"/>
    </w:p>
    <w:p w14:paraId="4C195209" w14:textId="142600BB" w:rsidR="00897134" w:rsidRDefault="00897134" w:rsidP="00822F4D">
      <w:pPr>
        <w:pStyle w:val="ListParagraph"/>
        <w:numPr>
          <w:ilvl w:val="0"/>
          <w:numId w:val="20"/>
        </w:numPr>
        <w:ind w:left="1440"/>
        <w:jc w:val="both"/>
        <w:rPr>
          <w:rFonts w:ascii="Avenir Next" w:hAnsi="Avenir Next" w:cs="Arial"/>
          <w:color w:val="1A1A1A" w:themeColor="background1" w:themeShade="1A"/>
          <w:sz w:val="22"/>
          <w:szCs w:val="22"/>
        </w:rPr>
      </w:pPr>
      <w:r>
        <w:rPr>
          <w:rFonts w:ascii="Avenir Next" w:hAnsi="Avenir Next" w:cs="Arial"/>
          <w:color w:val="1A1A1A" w:themeColor="background1" w:themeShade="1A"/>
          <w:sz w:val="22"/>
          <w:szCs w:val="22"/>
        </w:rPr>
        <w:t xml:space="preserve">corporation tax chargeable on gains accruing on the </w:t>
      </w:r>
      <w:proofErr w:type="spellStart"/>
      <w:r>
        <w:rPr>
          <w:rFonts w:ascii="Avenir Next" w:hAnsi="Avenir Next" w:cs="Arial"/>
          <w:color w:val="1A1A1A" w:themeColor="background1" w:themeShade="1A"/>
          <w:sz w:val="22"/>
          <w:szCs w:val="22"/>
        </w:rPr>
        <w:t>realisation</w:t>
      </w:r>
      <w:proofErr w:type="spellEnd"/>
      <w:r>
        <w:rPr>
          <w:rFonts w:ascii="Avenir Next" w:hAnsi="Avenir Next" w:cs="Arial"/>
          <w:color w:val="1A1A1A" w:themeColor="background1" w:themeShade="1A"/>
          <w:sz w:val="22"/>
          <w:szCs w:val="22"/>
        </w:rPr>
        <w:t xml:space="preserve"> of</w:t>
      </w:r>
      <w:r w:rsidR="00FB14F7">
        <w:rPr>
          <w:rFonts w:ascii="Avenir Next" w:hAnsi="Avenir Next" w:cs="Arial"/>
          <w:color w:val="1A1A1A" w:themeColor="background1" w:themeShade="1A"/>
          <w:sz w:val="22"/>
          <w:szCs w:val="22"/>
        </w:rPr>
        <w:t xml:space="preserve"> any asset of the company; and</w:t>
      </w:r>
    </w:p>
    <w:p w14:paraId="24C7FBFF" w14:textId="68E15330" w:rsidR="00FB14F7" w:rsidRPr="00BD3FD0" w:rsidRDefault="00FB14F7" w:rsidP="00822F4D">
      <w:pPr>
        <w:pStyle w:val="ListParagraph"/>
        <w:numPr>
          <w:ilvl w:val="0"/>
          <w:numId w:val="20"/>
        </w:numPr>
        <w:ind w:left="1440"/>
        <w:jc w:val="both"/>
        <w:rPr>
          <w:rFonts w:ascii="Avenir Next" w:hAnsi="Avenir Next" w:cs="Arial"/>
          <w:color w:val="1A1A1A" w:themeColor="background1" w:themeShade="1A"/>
          <w:sz w:val="22"/>
          <w:szCs w:val="22"/>
        </w:rPr>
      </w:pPr>
      <w:r>
        <w:rPr>
          <w:rFonts w:ascii="Avenir Next" w:hAnsi="Avenir Next" w:cs="Arial"/>
          <w:color w:val="1A1A1A" w:themeColor="background1" w:themeShade="1A"/>
          <w:sz w:val="22"/>
          <w:szCs w:val="22"/>
        </w:rPr>
        <w:t>any other expenses properly chargeable by the liquidator in carrying out the liquidator’s function in the winding up.</w:t>
      </w:r>
    </w:p>
    <w:p w14:paraId="5D5AA6E4" w14:textId="4C9179D6" w:rsidR="00406751" w:rsidRDefault="00406751" w:rsidP="00822F4D">
      <w:pPr>
        <w:ind w:left="720"/>
        <w:jc w:val="both"/>
        <w:rPr>
          <w:rFonts w:ascii="Avenir Next" w:hAnsi="Avenir Next" w:cs="Arial"/>
          <w:color w:val="1A1A1A" w:themeColor="background1" w:themeShade="1A"/>
          <w:sz w:val="22"/>
          <w:szCs w:val="22"/>
        </w:rPr>
      </w:pPr>
    </w:p>
    <w:p w14:paraId="54D97CAB" w14:textId="41C75ABF" w:rsidR="003E3BCC" w:rsidRPr="00F20FCA" w:rsidRDefault="00FB14F7" w:rsidP="00822F4D">
      <w:pPr>
        <w:ind w:left="720"/>
        <w:jc w:val="both"/>
        <w:rPr>
          <w:rFonts w:ascii="Avenir Next" w:hAnsi="Avenir Next" w:cs="Arial"/>
          <w:b/>
          <w:bCs/>
          <w:color w:val="1A1A1A" w:themeColor="background1" w:themeShade="1A"/>
          <w:sz w:val="22"/>
          <w:szCs w:val="22"/>
          <w:u w:val="single"/>
        </w:rPr>
      </w:pPr>
      <w:r w:rsidRPr="00F20FCA">
        <w:rPr>
          <w:rFonts w:ascii="Avenir Next" w:hAnsi="Avenir Next" w:cs="Arial"/>
          <w:b/>
          <w:bCs/>
          <w:color w:val="1A1A1A" w:themeColor="background1" w:themeShade="1A"/>
          <w:sz w:val="22"/>
          <w:szCs w:val="22"/>
          <w:u w:val="single"/>
        </w:rPr>
        <w:t xml:space="preserve">Second priority: </w:t>
      </w:r>
      <w:r w:rsidR="00F20FCA" w:rsidRPr="00F20FCA">
        <w:rPr>
          <w:rFonts w:ascii="Avenir Next" w:hAnsi="Avenir Next" w:cs="Arial"/>
          <w:b/>
          <w:bCs/>
          <w:color w:val="1A1A1A" w:themeColor="background1" w:themeShade="1A"/>
          <w:sz w:val="22"/>
          <w:szCs w:val="22"/>
          <w:u w:val="single"/>
        </w:rPr>
        <w:t>Preferential creditors</w:t>
      </w:r>
    </w:p>
    <w:p w14:paraId="17FD90CD" w14:textId="28FE75CB" w:rsidR="00F20FCA" w:rsidRDefault="00827658" w:rsidP="00822F4D">
      <w:pPr>
        <w:ind w:left="720"/>
        <w:jc w:val="both"/>
        <w:rPr>
          <w:rFonts w:ascii="Avenir Next" w:hAnsi="Avenir Next" w:cs="Arial"/>
          <w:color w:val="1A1A1A" w:themeColor="background1" w:themeShade="1A"/>
          <w:sz w:val="22"/>
          <w:szCs w:val="22"/>
        </w:rPr>
      </w:pPr>
      <w:r>
        <w:rPr>
          <w:rFonts w:ascii="Avenir Next" w:hAnsi="Avenir Next" w:cs="Arial"/>
          <w:color w:val="1A1A1A" w:themeColor="background1" w:themeShade="1A"/>
          <w:sz w:val="22"/>
          <w:szCs w:val="22"/>
        </w:rPr>
        <w:t xml:space="preserve">Next, </w:t>
      </w:r>
      <w:r w:rsidR="001D6A2C">
        <w:rPr>
          <w:rFonts w:ascii="Avenir Next" w:hAnsi="Avenir Next" w:cs="Arial"/>
          <w:color w:val="1A1A1A" w:themeColor="background1" w:themeShade="1A"/>
          <w:sz w:val="22"/>
          <w:szCs w:val="22"/>
        </w:rPr>
        <w:t xml:space="preserve">pursuant to s 175 of the Insolvency Act 1986, </w:t>
      </w:r>
      <w:r w:rsidR="00353DFE">
        <w:rPr>
          <w:rFonts w:ascii="Avenir Next" w:hAnsi="Avenir Next" w:cs="Arial"/>
          <w:color w:val="1A1A1A" w:themeColor="background1" w:themeShade="1A"/>
          <w:sz w:val="22"/>
          <w:szCs w:val="22"/>
        </w:rPr>
        <w:t>the company’s assets are used to pay preferential creditors</w:t>
      </w:r>
      <w:r w:rsidR="002725ED">
        <w:rPr>
          <w:rFonts w:ascii="Avenir Next" w:hAnsi="Avenir Next" w:cs="Arial"/>
          <w:color w:val="1A1A1A" w:themeColor="background1" w:themeShade="1A"/>
          <w:sz w:val="22"/>
          <w:szCs w:val="22"/>
        </w:rPr>
        <w:t>. Per ss 175(</w:t>
      </w:r>
      <w:r w:rsidR="00F81E50">
        <w:rPr>
          <w:rFonts w:ascii="Avenir Next" w:hAnsi="Avenir Next" w:cs="Arial"/>
          <w:color w:val="1A1A1A" w:themeColor="background1" w:themeShade="1A"/>
          <w:sz w:val="22"/>
          <w:szCs w:val="22"/>
        </w:rPr>
        <w:t>1A)</w:t>
      </w:r>
      <w:r w:rsidR="00F44395">
        <w:rPr>
          <w:rFonts w:ascii="Avenir Next" w:hAnsi="Avenir Next" w:cs="Arial"/>
          <w:color w:val="1A1A1A" w:themeColor="background1" w:themeShade="1A"/>
          <w:sz w:val="22"/>
          <w:szCs w:val="22"/>
        </w:rPr>
        <w:softHyphen/>
        <w:t>–</w:t>
      </w:r>
      <w:r w:rsidR="00F81E50">
        <w:rPr>
          <w:rFonts w:ascii="Avenir Next" w:hAnsi="Avenir Next" w:cs="Arial"/>
          <w:color w:val="1A1A1A" w:themeColor="background1" w:themeShade="1A"/>
          <w:sz w:val="22"/>
          <w:szCs w:val="22"/>
        </w:rPr>
        <w:t xml:space="preserve">(1B), ordinary preferential debts are paid in priority to secondary </w:t>
      </w:r>
      <w:r w:rsidR="00866F06">
        <w:rPr>
          <w:rFonts w:ascii="Avenir Next" w:hAnsi="Avenir Next" w:cs="Arial"/>
          <w:color w:val="1A1A1A" w:themeColor="background1" w:themeShade="1A"/>
          <w:sz w:val="22"/>
          <w:szCs w:val="22"/>
        </w:rPr>
        <w:t>preferential debts</w:t>
      </w:r>
      <w:r w:rsidR="00DA6B5E">
        <w:rPr>
          <w:rFonts w:ascii="Avenir Next" w:hAnsi="Avenir Next" w:cs="Arial"/>
          <w:color w:val="1A1A1A" w:themeColor="background1" w:themeShade="1A"/>
          <w:sz w:val="22"/>
          <w:szCs w:val="22"/>
        </w:rPr>
        <w:t>. Both</w:t>
      </w:r>
      <w:r w:rsidR="00866F06">
        <w:rPr>
          <w:rFonts w:ascii="Avenir Next" w:hAnsi="Avenir Next" w:cs="Arial"/>
          <w:color w:val="1A1A1A" w:themeColor="background1" w:themeShade="1A"/>
          <w:sz w:val="22"/>
          <w:szCs w:val="22"/>
        </w:rPr>
        <w:t xml:space="preserve"> types of preferential debts </w:t>
      </w:r>
      <w:r w:rsidR="00DA6B5E">
        <w:rPr>
          <w:rFonts w:ascii="Avenir Next" w:hAnsi="Avenir Next" w:cs="Arial"/>
          <w:color w:val="1A1A1A" w:themeColor="background1" w:themeShade="1A"/>
          <w:sz w:val="22"/>
          <w:szCs w:val="22"/>
        </w:rPr>
        <w:t xml:space="preserve">rank equally among themselves and shall be paid in full </w:t>
      </w:r>
      <w:r w:rsidR="00107621">
        <w:rPr>
          <w:rFonts w:ascii="Avenir Next" w:hAnsi="Avenir Next" w:cs="Arial"/>
          <w:color w:val="1A1A1A" w:themeColor="background1" w:themeShade="1A"/>
          <w:sz w:val="22"/>
          <w:szCs w:val="22"/>
        </w:rPr>
        <w:t xml:space="preserve">unless the company’s assets are insufficient, in which case they abate in equal proportions. </w:t>
      </w:r>
      <w:r w:rsidR="00747B8F">
        <w:rPr>
          <w:rFonts w:ascii="Avenir Next" w:hAnsi="Avenir Next" w:cs="Arial"/>
          <w:color w:val="1A1A1A" w:themeColor="background1" w:themeShade="1A"/>
          <w:sz w:val="22"/>
          <w:szCs w:val="22"/>
        </w:rPr>
        <w:t>“Preferential debts” are defined in s 386 of the Insolvency Act 1986 – in particular</w:t>
      </w:r>
      <w:r w:rsidR="00E839DB">
        <w:rPr>
          <w:rFonts w:ascii="Avenir Next" w:hAnsi="Avenir Next" w:cs="Arial"/>
          <w:color w:val="1A1A1A" w:themeColor="background1" w:themeShade="1A"/>
          <w:sz w:val="22"/>
          <w:szCs w:val="22"/>
        </w:rPr>
        <w:t xml:space="preserve">, “ordinary preferential </w:t>
      </w:r>
      <w:r w:rsidR="002D2A72">
        <w:rPr>
          <w:rFonts w:ascii="Avenir Next" w:hAnsi="Avenir Next" w:cs="Arial"/>
          <w:color w:val="1A1A1A" w:themeColor="background1" w:themeShade="1A"/>
          <w:sz w:val="22"/>
          <w:szCs w:val="22"/>
        </w:rPr>
        <w:t xml:space="preserve">debts” are defined to refer to any preferential debts </w:t>
      </w:r>
      <w:r w:rsidR="00E502DD" w:rsidRPr="00E502DD">
        <w:rPr>
          <w:rFonts w:ascii="Avenir Next" w:hAnsi="Avenir Next" w:cs="Arial"/>
          <w:color w:val="1A1A1A" w:themeColor="background1" w:themeShade="1A"/>
          <w:sz w:val="22"/>
          <w:szCs w:val="22"/>
        </w:rPr>
        <w:t>listed in any of paragraphs 8 to 15B of Schedule 6</w:t>
      </w:r>
      <w:r w:rsidR="00E502DD">
        <w:rPr>
          <w:rFonts w:ascii="Avenir Next" w:hAnsi="Avenir Next" w:cs="Arial"/>
          <w:color w:val="1A1A1A" w:themeColor="background1" w:themeShade="1A"/>
          <w:sz w:val="22"/>
          <w:szCs w:val="22"/>
        </w:rPr>
        <w:t xml:space="preserve">, while “secondary preferential debts” are defined to mean any of the </w:t>
      </w:r>
      <w:r w:rsidR="006F67C0" w:rsidRPr="006F67C0">
        <w:rPr>
          <w:rFonts w:ascii="Avenir Next" w:hAnsi="Avenir Next" w:cs="Arial"/>
          <w:color w:val="1A1A1A" w:themeColor="background1" w:themeShade="1A"/>
          <w:sz w:val="22"/>
          <w:szCs w:val="22"/>
        </w:rPr>
        <w:t>preferential debts listed in paragraph 15BA, 15BB or 15D of Schedule 6</w:t>
      </w:r>
      <w:r w:rsidR="006F67C0">
        <w:rPr>
          <w:rFonts w:ascii="Avenir Next" w:hAnsi="Avenir Next" w:cs="Arial"/>
          <w:color w:val="1A1A1A" w:themeColor="background1" w:themeShade="1A"/>
          <w:sz w:val="22"/>
          <w:szCs w:val="22"/>
        </w:rPr>
        <w:t>.</w:t>
      </w:r>
    </w:p>
    <w:p w14:paraId="0BAA6107" w14:textId="77777777" w:rsidR="00CE7A64" w:rsidRDefault="00CE7A64" w:rsidP="00822F4D">
      <w:pPr>
        <w:ind w:left="720"/>
        <w:jc w:val="both"/>
        <w:rPr>
          <w:rFonts w:ascii="Avenir Next" w:hAnsi="Avenir Next" w:cs="Arial"/>
          <w:color w:val="1A1A1A" w:themeColor="background1" w:themeShade="1A"/>
          <w:sz w:val="22"/>
          <w:szCs w:val="22"/>
        </w:rPr>
      </w:pPr>
    </w:p>
    <w:p w14:paraId="4A62A0D3" w14:textId="44F9C5D6" w:rsidR="00CE7A64" w:rsidRDefault="00CE7A64" w:rsidP="00822F4D">
      <w:pPr>
        <w:ind w:left="720"/>
        <w:jc w:val="both"/>
        <w:rPr>
          <w:rFonts w:ascii="Avenir Next" w:hAnsi="Avenir Next" w:cs="Arial"/>
          <w:color w:val="1A1A1A" w:themeColor="background1" w:themeShade="1A"/>
          <w:sz w:val="22"/>
          <w:szCs w:val="22"/>
        </w:rPr>
      </w:pPr>
      <w:r>
        <w:rPr>
          <w:rFonts w:ascii="Avenir Next" w:hAnsi="Avenir Next" w:cs="Arial"/>
          <w:color w:val="1A1A1A" w:themeColor="background1" w:themeShade="1A"/>
          <w:sz w:val="22"/>
          <w:szCs w:val="22"/>
        </w:rPr>
        <w:t>The relevant date which is used to determine the existence and amount of a preferential debt is defined in s 387 of the Insolvency Act 1986.</w:t>
      </w:r>
    </w:p>
    <w:p w14:paraId="4D1AF38D" w14:textId="77777777" w:rsidR="00CE7A64" w:rsidRDefault="00CE7A64" w:rsidP="00822F4D">
      <w:pPr>
        <w:ind w:left="720"/>
        <w:jc w:val="both"/>
        <w:rPr>
          <w:rFonts w:ascii="Avenir Next" w:hAnsi="Avenir Next" w:cs="Arial"/>
          <w:color w:val="1A1A1A" w:themeColor="background1" w:themeShade="1A"/>
          <w:sz w:val="22"/>
          <w:szCs w:val="22"/>
        </w:rPr>
      </w:pPr>
    </w:p>
    <w:p w14:paraId="3C61C6B2" w14:textId="0B0EB40C" w:rsidR="00CE7A64" w:rsidRPr="00CE7A64" w:rsidRDefault="00CE7A64" w:rsidP="00822F4D">
      <w:pPr>
        <w:ind w:left="720"/>
        <w:jc w:val="both"/>
        <w:rPr>
          <w:rFonts w:ascii="Avenir Next" w:hAnsi="Avenir Next" w:cs="Arial"/>
          <w:b/>
          <w:bCs/>
          <w:color w:val="1A1A1A" w:themeColor="background1" w:themeShade="1A"/>
          <w:sz w:val="22"/>
          <w:szCs w:val="22"/>
          <w:u w:val="single"/>
        </w:rPr>
      </w:pPr>
      <w:r w:rsidRPr="00CE7A64">
        <w:rPr>
          <w:rFonts w:ascii="Avenir Next" w:hAnsi="Avenir Next" w:cs="Arial"/>
          <w:b/>
          <w:bCs/>
          <w:color w:val="1A1A1A" w:themeColor="background1" w:themeShade="1A"/>
          <w:sz w:val="22"/>
          <w:szCs w:val="22"/>
          <w:u w:val="single"/>
        </w:rPr>
        <w:t>Third priority:</w:t>
      </w:r>
      <w:r w:rsidR="00BA715D">
        <w:rPr>
          <w:rFonts w:ascii="Avenir Next" w:hAnsi="Avenir Next" w:cs="Arial"/>
          <w:b/>
          <w:bCs/>
          <w:color w:val="1A1A1A" w:themeColor="background1" w:themeShade="1A"/>
          <w:sz w:val="22"/>
          <w:szCs w:val="22"/>
          <w:u w:val="single"/>
        </w:rPr>
        <w:t xml:space="preserve"> Prescribed part and</w:t>
      </w:r>
      <w:r w:rsidRPr="00CE7A64">
        <w:rPr>
          <w:rFonts w:ascii="Avenir Next" w:hAnsi="Avenir Next" w:cs="Arial"/>
          <w:b/>
          <w:bCs/>
          <w:color w:val="1A1A1A" w:themeColor="background1" w:themeShade="1A"/>
          <w:sz w:val="22"/>
          <w:szCs w:val="22"/>
          <w:u w:val="single"/>
        </w:rPr>
        <w:t xml:space="preserve"> Floating charge holders </w:t>
      </w:r>
    </w:p>
    <w:p w14:paraId="458C23FA" w14:textId="2EB813BE" w:rsidR="00CE7A64" w:rsidRDefault="008401D9" w:rsidP="00822F4D">
      <w:pPr>
        <w:ind w:left="720"/>
        <w:jc w:val="both"/>
        <w:rPr>
          <w:rFonts w:ascii="Avenir Next" w:hAnsi="Avenir Next" w:cs="Arial"/>
          <w:color w:val="1A1A1A" w:themeColor="background1" w:themeShade="1A"/>
          <w:sz w:val="22"/>
          <w:szCs w:val="22"/>
        </w:rPr>
      </w:pPr>
      <w:r>
        <w:rPr>
          <w:rFonts w:ascii="Avenir Next" w:hAnsi="Avenir Next" w:cs="Arial"/>
          <w:color w:val="1A1A1A" w:themeColor="background1" w:themeShade="1A"/>
          <w:sz w:val="22"/>
          <w:szCs w:val="22"/>
        </w:rPr>
        <w:t xml:space="preserve">Next, </w:t>
      </w:r>
      <w:r w:rsidR="004F615E">
        <w:rPr>
          <w:rFonts w:ascii="Avenir Next" w:hAnsi="Avenir Next" w:cs="Arial"/>
          <w:color w:val="1A1A1A" w:themeColor="background1" w:themeShade="1A"/>
          <w:sz w:val="22"/>
          <w:szCs w:val="22"/>
        </w:rPr>
        <w:t>before the liquidator makes any distributions to floating charge holders</w:t>
      </w:r>
      <w:r w:rsidR="00872CA9">
        <w:rPr>
          <w:rFonts w:ascii="Avenir Next" w:eastAsiaTheme="minorEastAsia" w:hAnsi="Avenir Next" w:cs="Arial"/>
          <w:color w:val="1A1A1A" w:themeColor="background1" w:themeShade="1A"/>
          <w:sz w:val="22"/>
          <w:szCs w:val="22"/>
          <w:lang w:val="en-GB" w:eastAsia="zh-CN"/>
        </w:rPr>
        <w:t xml:space="preserve">, </w:t>
      </w:r>
      <w:r w:rsidR="006A507F">
        <w:rPr>
          <w:rFonts w:ascii="Avenir Next" w:hAnsi="Avenir Next" w:cs="Arial"/>
          <w:color w:val="1A1A1A" w:themeColor="background1" w:themeShade="1A"/>
          <w:sz w:val="22"/>
          <w:szCs w:val="22"/>
        </w:rPr>
        <w:t>s</w:t>
      </w:r>
      <w:r w:rsidR="00F44395">
        <w:rPr>
          <w:rFonts w:ascii="Avenir Next" w:hAnsi="Avenir Next" w:cs="Arial"/>
          <w:color w:val="1A1A1A" w:themeColor="background1" w:themeShade="1A"/>
          <w:sz w:val="22"/>
          <w:szCs w:val="22"/>
        </w:rPr>
        <w:t> </w:t>
      </w:r>
      <w:r w:rsidR="006A507F">
        <w:rPr>
          <w:rFonts w:ascii="Avenir Next" w:hAnsi="Avenir Next" w:cs="Arial"/>
          <w:color w:val="1A1A1A" w:themeColor="background1" w:themeShade="1A"/>
          <w:sz w:val="22"/>
          <w:szCs w:val="22"/>
        </w:rPr>
        <w:t>176</w:t>
      </w:r>
      <w:proofErr w:type="gramStart"/>
      <w:r w:rsidR="006A507F">
        <w:rPr>
          <w:rFonts w:ascii="Avenir Next" w:hAnsi="Avenir Next" w:cs="Arial"/>
          <w:color w:val="1A1A1A" w:themeColor="background1" w:themeShade="1A"/>
          <w:sz w:val="22"/>
          <w:szCs w:val="22"/>
        </w:rPr>
        <w:t>A</w:t>
      </w:r>
      <w:r w:rsidR="00DB79D0">
        <w:rPr>
          <w:rFonts w:ascii="Avenir Next" w:hAnsi="Avenir Next" w:cs="Arial"/>
          <w:color w:val="1A1A1A" w:themeColor="background1" w:themeShade="1A"/>
          <w:sz w:val="22"/>
          <w:szCs w:val="22"/>
        </w:rPr>
        <w:t>(</w:t>
      </w:r>
      <w:proofErr w:type="gramEnd"/>
      <w:r w:rsidR="00DB79D0">
        <w:rPr>
          <w:rFonts w:ascii="Avenir Next" w:hAnsi="Avenir Next" w:cs="Arial"/>
          <w:color w:val="1A1A1A" w:themeColor="background1" w:themeShade="1A"/>
          <w:sz w:val="22"/>
          <w:szCs w:val="22"/>
        </w:rPr>
        <w:t>2)</w:t>
      </w:r>
      <w:r w:rsidR="00872CA9">
        <w:rPr>
          <w:rFonts w:ascii="Avenir Next" w:hAnsi="Avenir Next" w:cs="Arial"/>
          <w:color w:val="1A1A1A" w:themeColor="background1" w:themeShade="1A"/>
          <w:sz w:val="22"/>
          <w:szCs w:val="22"/>
        </w:rPr>
        <w:t xml:space="preserve"> of the Insolvency Act 1986 requires the liquidator </w:t>
      </w:r>
      <w:r w:rsidR="006252A0">
        <w:rPr>
          <w:rFonts w:ascii="Avenir Next" w:hAnsi="Avenir Next" w:cs="Arial"/>
          <w:color w:val="1A1A1A" w:themeColor="background1" w:themeShade="1A"/>
          <w:sz w:val="22"/>
          <w:szCs w:val="22"/>
        </w:rPr>
        <w:t xml:space="preserve">to </w:t>
      </w:r>
      <w:r w:rsidR="006252A0" w:rsidRPr="006252A0">
        <w:rPr>
          <w:rFonts w:ascii="Avenir Next" w:hAnsi="Avenir Next" w:cs="Arial"/>
          <w:color w:val="1A1A1A" w:themeColor="background1" w:themeShade="1A"/>
          <w:sz w:val="22"/>
          <w:szCs w:val="22"/>
        </w:rPr>
        <w:t>make a prescribed part of the company’s net property available for the satisfaction of unsecured debts, and</w:t>
      </w:r>
      <w:r w:rsidR="006252A0">
        <w:rPr>
          <w:rFonts w:ascii="Avenir Next" w:hAnsi="Avenir Next" w:cs="Arial"/>
          <w:color w:val="1A1A1A" w:themeColor="background1" w:themeShade="1A"/>
          <w:sz w:val="22"/>
          <w:szCs w:val="22"/>
        </w:rPr>
        <w:t xml:space="preserve"> to</w:t>
      </w:r>
      <w:r w:rsidR="006252A0" w:rsidRPr="006252A0">
        <w:rPr>
          <w:rFonts w:ascii="Avenir Next" w:hAnsi="Avenir Next" w:cs="Arial"/>
          <w:color w:val="1A1A1A" w:themeColor="background1" w:themeShade="1A"/>
          <w:sz w:val="22"/>
          <w:szCs w:val="22"/>
        </w:rPr>
        <w:t xml:space="preserve"> not distribute that part to the proprietor of a floating charge except in so far as it exceeds the amount required for the satisfaction of unsecured debts.</w:t>
      </w:r>
      <w:r w:rsidR="004174F6">
        <w:rPr>
          <w:rFonts w:ascii="Avenir Next" w:hAnsi="Avenir Next" w:cs="Arial"/>
          <w:color w:val="1A1A1A" w:themeColor="background1" w:themeShade="1A"/>
          <w:sz w:val="22"/>
          <w:szCs w:val="22"/>
        </w:rPr>
        <w:t xml:space="preserve"> </w:t>
      </w:r>
      <w:r w:rsidR="00BD2A93">
        <w:rPr>
          <w:rFonts w:ascii="Avenir Next" w:hAnsi="Avenir Next" w:cs="Arial"/>
          <w:color w:val="1A1A1A" w:themeColor="background1" w:themeShade="1A"/>
          <w:sz w:val="22"/>
          <w:szCs w:val="22"/>
        </w:rPr>
        <w:t xml:space="preserve">That said, </w:t>
      </w:r>
      <w:r w:rsidR="00BD2A93">
        <w:rPr>
          <w:rFonts w:ascii="Avenir Next" w:hAnsi="Avenir Next" w:cs="Arial"/>
          <w:color w:val="1A1A1A" w:themeColor="background1" w:themeShade="1A"/>
          <w:sz w:val="22"/>
          <w:szCs w:val="22"/>
        </w:rPr>
        <w:lastRenderedPageBreak/>
        <w:t>s</w:t>
      </w:r>
      <w:r w:rsidR="004174F6">
        <w:rPr>
          <w:rFonts w:ascii="Avenir Next" w:hAnsi="Avenir Next" w:cs="Arial"/>
          <w:color w:val="1A1A1A" w:themeColor="background1" w:themeShade="1A"/>
          <w:sz w:val="22"/>
          <w:szCs w:val="22"/>
        </w:rPr>
        <w:t xml:space="preserve"> 1</w:t>
      </w:r>
      <w:r w:rsidR="006C48AB">
        <w:rPr>
          <w:rFonts w:ascii="Avenir Next" w:hAnsi="Avenir Next" w:cs="Arial"/>
          <w:color w:val="1A1A1A" w:themeColor="background1" w:themeShade="1A"/>
          <w:sz w:val="22"/>
          <w:szCs w:val="22"/>
        </w:rPr>
        <w:t xml:space="preserve">76A(2) </w:t>
      </w:r>
      <w:r w:rsidR="00BD2A93">
        <w:rPr>
          <w:rFonts w:ascii="Avenir Next" w:hAnsi="Avenir Next" w:cs="Arial"/>
          <w:color w:val="1A1A1A" w:themeColor="background1" w:themeShade="1A"/>
          <w:sz w:val="22"/>
          <w:szCs w:val="22"/>
        </w:rPr>
        <w:t xml:space="preserve">does not apply to (a) floating </w:t>
      </w:r>
      <w:r w:rsidR="00285F19">
        <w:rPr>
          <w:rFonts w:ascii="Avenir Next" w:hAnsi="Avenir Next" w:cs="Arial"/>
          <w:color w:val="1A1A1A" w:themeColor="background1" w:themeShade="1A"/>
          <w:sz w:val="22"/>
          <w:szCs w:val="22"/>
        </w:rPr>
        <w:t xml:space="preserve">charges created before </w:t>
      </w:r>
      <w:r w:rsidR="00CC3710">
        <w:rPr>
          <w:rFonts w:ascii="Avenir Next" w:hAnsi="Avenir Next" w:cs="Arial"/>
          <w:color w:val="1A1A1A" w:themeColor="background1" w:themeShade="1A"/>
          <w:sz w:val="22"/>
          <w:szCs w:val="22"/>
        </w:rPr>
        <w:t xml:space="preserve">15 September 2003 (see definition of “floating charge” in s 176A(9)); </w:t>
      </w:r>
      <w:r w:rsidR="00EA1A9A">
        <w:rPr>
          <w:rFonts w:ascii="Avenir Next" w:hAnsi="Avenir Next" w:cs="Arial"/>
          <w:color w:val="1A1A1A" w:themeColor="background1" w:themeShade="1A"/>
          <w:sz w:val="22"/>
          <w:szCs w:val="22"/>
        </w:rPr>
        <w:t xml:space="preserve">(b) if the company’s net property falls below the prescribed minimum of £10,000 and </w:t>
      </w:r>
      <w:r w:rsidR="00BF5E4D">
        <w:rPr>
          <w:rFonts w:ascii="Avenir Next" w:hAnsi="Avenir Next" w:cs="Arial"/>
          <w:color w:val="1A1A1A" w:themeColor="background1" w:themeShade="1A"/>
          <w:sz w:val="22"/>
          <w:szCs w:val="22"/>
        </w:rPr>
        <w:t xml:space="preserve">the liquidator </w:t>
      </w:r>
      <w:r w:rsidR="00BF5E4D" w:rsidRPr="00BF5E4D">
        <w:rPr>
          <w:rFonts w:ascii="Avenir Next" w:hAnsi="Avenir Next" w:cs="Arial"/>
          <w:color w:val="1A1A1A" w:themeColor="background1" w:themeShade="1A"/>
          <w:sz w:val="22"/>
          <w:szCs w:val="22"/>
        </w:rPr>
        <w:t>thinks that the cost of making a distribution to unsecured creditors would be disproportionate to the benefits</w:t>
      </w:r>
      <w:r w:rsidR="00BF5E4D">
        <w:rPr>
          <w:rFonts w:ascii="Avenir Next" w:hAnsi="Avenir Next" w:cs="Arial"/>
          <w:color w:val="1A1A1A" w:themeColor="background1" w:themeShade="1A"/>
          <w:sz w:val="22"/>
          <w:szCs w:val="22"/>
        </w:rPr>
        <w:t xml:space="preserve"> (s 176A(3));</w:t>
      </w:r>
      <w:r w:rsidR="00732EC2">
        <w:rPr>
          <w:rFonts w:ascii="Avenir Next" w:hAnsi="Avenir Next" w:cs="Arial"/>
          <w:color w:val="1A1A1A" w:themeColor="background1" w:themeShade="1A"/>
          <w:sz w:val="22"/>
          <w:szCs w:val="22"/>
        </w:rPr>
        <w:t xml:space="preserve"> or</w:t>
      </w:r>
      <w:r w:rsidR="00BF5E4D">
        <w:rPr>
          <w:rFonts w:ascii="Avenir Next" w:hAnsi="Avenir Next" w:cs="Arial"/>
          <w:color w:val="1A1A1A" w:themeColor="background1" w:themeShade="1A"/>
          <w:sz w:val="22"/>
          <w:szCs w:val="22"/>
        </w:rPr>
        <w:t xml:space="preserve"> (c)</w:t>
      </w:r>
      <w:r w:rsidR="00732EC2">
        <w:rPr>
          <w:rFonts w:ascii="Avenir Next" w:hAnsi="Avenir Next" w:cs="Arial"/>
          <w:color w:val="1A1A1A" w:themeColor="background1" w:themeShade="1A"/>
          <w:sz w:val="22"/>
          <w:szCs w:val="22"/>
        </w:rPr>
        <w:t xml:space="preserve"> </w:t>
      </w:r>
      <w:r w:rsidR="00D95B5B">
        <w:rPr>
          <w:rFonts w:ascii="Avenir Next" w:hAnsi="Avenir Next" w:cs="Arial"/>
          <w:color w:val="1A1A1A" w:themeColor="background1" w:themeShade="1A"/>
          <w:sz w:val="22"/>
          <w:szCs w:val="22"/>
        </w:rPr>
        <w:t xml:space="preserve">the court orders that s 176A(2) shall not apply. </w:t>
      </w:r>
    </w:p>
    <w:p w14:paraId="586B1E30" w14:textId="77777777" w:rsidR="00D95B5B" w:rsidRDefault="00D95B5B" w:rsidP="00822F4D">
      <w:pPr>
        <w:ind w:left="720"/>
        <w:jc w:val="both"/>
        <w:rPr>
          <w:rFonts w:ascii="Avenir Next" w:hAnsi="Avenir Next" w:cs="Arial"/>
          <w:color w:val="1A1A1A" w:themeColor="background1" w:themeShade="1A"/>
          <w:sz w:val="22"/>
          <w:szCs w:val="22"/>
        </w:rPr>
      </w:pPr>
    </w:p>
    <w:p w14:paraId="4F981313" w14:textId="66DA2A80" w:rsidR="00D95B5B" w:rsidRDefault="00D95B5B" w:rsidP="00822F4D">
      <w:pPr>
        <w:ind w:left="720"/>
        <w:jc w:val="both"/>
        <w:rPr>
          <w:rFonts w:ascii="Avenir Next" w:hAnsi="Avenir Next" w:cs="Arial"/>
          <w:color w:val="1A1A1A" w:themeColor="background1" w:themeShade="1A"/>
          <w:sz w:val="22"/>
          <w:szCs w:val="22"/>
        </w:rPr>
      </w:pPr>
      <w:r>
        <w:rPr>
          <w:rFonts w:ascii="Avenir Next" w:hAnsi="Avenir Next" w:cs="Arial"/>
          <w:color w:val="1A1A1A" w:themeColor="background1" w:themeShade="1A"/>
          <w:sz w:val="22"/>
          <w:szCs w:val="22"/>
        </w:rPr>
        <w:t>“Net property” is defined in s 176</w:t>
      </w:r>
      <w:proofErr w:type="gramStart"/>
      <w:r>
        <w:rPr>
          <w:rFonts w:ascii="Avenir Next" w:hAnsi="Avenir Next" w:cs="Arial"/>
          <w:color w:val="1A1A1A" w:themeColor="background1" w:themeShade="1A"/>
          <w:sz w:val="22"/>
          <w:szCs w:val="22"/>
        </w:rPr>
        <w:t>A(</w:t>
      </w:r>
      <w:proofErr w:type="gramEnd"/>
      <w:r w:rsidR="00651577">
        <w:rPr>
          <w:rFonts w:ascii="Avenir Next" w:hAnsi="Avenir Next" w:cs="Arial"/>
          <w:color w:val="1A1A1A" w:themeColor="background1" w:themeShade="1A"/>
          <w:sz w:val="22"/>
          <w:szCs w:val="22"/>
        </w:rPr>
        <w:t xml:space="preserve">6) to mean </w:t>
      </w:r>
      <w:r w:rsidR="00F44395">
        <w:rPr>
          <w:rFonts w:ascii="Avenir Next" w:hAnsi="Avenir Next" w:cs="Arial"/>
          <w:color w:val="1A1A1A" w:themeColor="background1" w:themeShade="1A"/>
          <w:sz w:val="22"/>
          <w:szCs w:val="22"/>
        </w:rPr>
        <w:t>t</w:t>
      </w:r>
      <w:r w:rsidR="00651577" w:rsidRPr="00651577">
        <w:rPr>
          <w:rFonts w:ascii="Avenir Next" w:hAnsi="Avenir Next" w:cs="Arial"/>
          <w:color w:val="1A1A1A" w:themeColor="background1" w:themeShade="1A"/>
          <w:sz w:val="22"/>
          <w:szCs w:val="22"/>
        </w:rPr>
        <w:t xml:space="preserve">he amount of </w:t>
      </w:r>
      <w:r w:rsidR="00651577">
        <w:rPr>
          <w:rFonts w:ascii="Avenir Next" w:hAnsi="Avenir Next" w:cs="Arial"/>
          <w:color w:val="1A1A1A" w:themeColor="background1" w:themeShade="1A"/>
          <w:sz w:val="22"/>
          <w:szCs w:val="22"/>
        </w:rPr>
        <w:t xml:space="preserve">the company’s </w:t>
      </w:r>
      <w:r w:rsidR="00651577" w:rsidRPr="00651577">
        <w:rPr>
          <w:rFonts w:ascii="Avenir Next" w:hAnsi="Avenir Next" w:cs="Arial"/>
          <w:color w:val="1A1A1A" w:themeColor="background1" w:themeShade="1A"/>
          <w:sz w:val="22"/>
          <w:szCs w:val="22"/>
        </w:rPr>
        <w:t>property which would</w:t>
      </w:r>
      <w:r w:rsidR="00651577">
        <w:rPr>
          <w:rFonts w:ascii="Avenir Next" w:hAnsi="Avenir Next" w:cs="Arial"/>
          <w:color w:val="1A1A1A" w:themeColor="background1" w:themeShade="1A"/>
          <w:sz w:val="22"/>
          <w:szCs w:val="22"/>
        </w:rPr>
        <w:t xml:space="preserve"> </w:t>
      </w:r>
      <w:r w:rsidR="00651577" w:rsidRPr="00651577">
        <w:rPr>
          <w:rFonts w:ascii="Avenir Next" w:hAnsi="Avenir Next" w:cs="Arial"/>
          <w:color w:val="1A1A1A" w:themeColor="background1" w:themeShade="1A"/>
          <w:sz w:val="22"/>
          <w:szCs w:val="22"/>
        </w:rPr>
        <w:t>be available for satisfaction of claims of holders of debentures secured by, or holders of, any floating charge created by the company.</w:t>
      </w:r>
    </w:p>
    <w:p w14:paraId="6EB88739" w14:textId="77777777" w:rsidR="002245E8" w:rsidRDefault="002245E8" w:rsidP="00822F4D">
      <w:pPr>
        <w:ind w:left="720"/>
        <w:jc w:val="both"/>
        <w:rPr>
          <w:rFonts w:ascii="Avenir Next" w:hAnsi="Avenir Next" w:cs="Arial"/>
          <w:color w:val="1A1A1A" w:themeColor="background1" w:themeShade="1A"/>
          <w:sz w:val="22"/>
          <w:szCs w:val="22"/>
        </w:rPr>
      </w:pPr>
    </w:p>
    <w:p w14:paraId="06E3CAA4" w14:textId="39F4E302" w:rsidR="002245E8" w:rsidRDefault="002245E8" w:rsidP="00822F4D">
      <w:pPr>
        <w:ind w:left="720"/>
        <w:jc w:val="both"/>
        <w:rPr>
          <w:rFonts w:ascii="Avenir Next" w:hAnsi="Avenir Next" w:cs="Arial"/>
          <w:color w:val="1A1A1A" w:themeColor="background1" w:themeShade="1A"/>
          <w:sz w:val="22"/>
          <w:szCs w:val="22"/>
        </w:rPr>
      </w:pPr>
      <w:r>
        <w:rPr>
          <w:rFonts w:ascii="Avenir Next" w:hAnsi="Avenir Next" w:cs="Arial"/>
          <w:color w:val="1A1A1A" w:themeColor="background1" w:themeShade="1A"/>
          <w:sz w:val="22"/>
          <w:szCs w:val="22"/>
        </w:rPr>
        <w:t xml:space="preserve">If the company’s net property </w:t>
      </w:r>
      <w:r w:rsidR="00461FBE">
        <w:rPr>
          <w:rFonts w:ascii="Avenir Next" w:hAnsi="Avenir Next" w:cs="Arial"/>
          <w:color w:val="1A1A1A" w:themeColor="background1" w:themeShade="1A"/>
          <w:sz w:val="22"/>
          <w:szCs w:val="22"/>
        </w:rPr>
        <w:t>does not exceed £10,000 then the prescribed part is 50</w:t>
      </w:r>
      <w:r w:rsidR="00C96B4E">
        <w:rPr>
          <w:rFonts w:ascii="Avenir Next" w:hAnsi="Avenir Next" w:cs="Arial"/>
          <w:color w:val="1A1A1A" w:themeColor="background1" w:themeShade="1A"/>
          <w:sz w:val="22"/>
          <w:szCs w:val="22"/>
        </w:rPr>
        <w:t>% of th</w:t>
      </w:r>
      <w:r w:rsidR="004332A3">
        <w:rPr>
          <w:rFonts w:ascii="Avenir Next" w:hAnsi="Avenir Next" w:cs="Arial"/>
          <w:color w:val="1A1A1A" w:themeColor="background1" w:themeShade="1A"/>
          <w:sz w:val="22"/>
          <w:szCs w:val="22"/>
        </w:rPr>
        <w:t xml:space="preserve">at property; if it does then the prescribed part is 50% of the first £10,000 in value, plus </w:t>
      </w:r>
      <w:r w:rsidR="005D284C">
        <w:rPr>
          <w:rFonts w:ascii="Avenir Next" w:hAnsi="Avenir Next" w:cs="Arial"/>
          <w:color w:val="1A1A1A" w:themeColor="background1" w:themeShade="1A"/>
          <w:sz w:val="22"/>
          <w:szCs w:val="22"/>
        </w:rPr>
        <w:t xml:space="preserve">20% of the excess in value above £10,000, subject to the maximum cap of £800,000. </w:t>
      </w:r>
    </w:p>
    <w:p w14:paraId="565F04B9" w14:textId="77777777" w:rsidR="00FC50E9" w:rsidRDefault="00FC50E9" w:rsidP="00822F4D">
      <w:pPr>
        <w:ind w:left="720"/>
        <w:jc w:val="both"/>
        <w:rPr>
          <w:rFonts w:ascii="Avenir Next" w:hAnsi="Avenir Next" w:cs="Arial"/>
          <w:color w:val="1A1A1A" w:themeColor="background1" w:themeShade="1A"/>
          <w:sz w:val="22"/>
          <w:szCs w:val="22"/>
        </w:rPr>
      </w:pPr>
    </w:p>
    <w:p w14:paraId="48297F1B" w14:textId="196C8A08" w:rsidR="00FC50E9" w:rsidRDefault="00FC50E9" w:rsidP="00822F4D">
      <w:pPr>
        <w:ind w:left="720"/>
        <w:jc w:val="both"/>
        <w:rPr>
          <w:rFonts w:ascii="Avenir Next" w:hAnsi="Avenir Next" w:cs="Arial"/>
          <w:color w:val="1A1A1A" w:themeColor="background1" w:themeShade="1A"/>
          <w:sz w:val="22"/>
          <w:szCs w:val="22"/>
        </w:rPr>
      </w:pPr>
      <w:r>
        <w:rPr>
          <w:rFonts w:ascii="Avenir Next" w:hAnsi="Avenir Next" w:cs="Arial"/>
          <w:color w:val="1A1A1A" w:themeColor="background1" w:themeShade="1A"/>
          <w:sz w:val="22"/>
          <w:szCs w:val="22"/>
        </w:rPr>
        <w:t>Subject to the application of s 176A of the Insolvency Act, the next creditors to be paid are floating charge holders</w:t>
      </w:r>
      <w:r w:rsidR="000D6586">
        <w:rPr>
          <w:rFonts w:ascii="Avenir Next" w:hAnsi="Avenir Next" w:cs="Arial"/>
          <w:color w:val="1A1A1A" w:themeColor="background1" w:themeShade="1A"/>
          <w:sz w:val="22"/>
          <w:szCs w:val="22"/>
        </w:rPr>
        <w:t xml:space="preserve">. If there is more than one floating charge holder, priority will be given to the floating charge that was created first. </w:t>
      </w:r>
    </w:p>
    <w:p w14:paraId="3131C1B2" w14:textId="77777777" w:rsidR="004D0D84" w:rsidRDefault="004D0D84" w:rsidP="00822F4D">
      <w:pPr>
        <w:ind w:left="720"/>
        <w:jc w:val="both"/>
        <w:rPr>
          <w:rFonts w:ascii="Avenir Next" w:hAnsi="Avenir Next" w:cs="Arial"/>
          <w:color w:val="1A1A1A" w:themeColor="background1" w:themeShade="1A"/>
          <w:sz w:val="22"/>
          <w:szCs w:val="22"/>
        </w:rPr>
      </w:pPr>
    </w:p>
    <w:p w14:paraId="3A13E502" w14:textId="263D438C" w:rsidR="004D0D84" w:rsidRPr="004D0D84" w:rsidRDefault="004D0D84" w:rsidP="00822F4D">
      <w:pPr>
        <w:ind w:left="720"/>
        <w:jc w:val="both"/>
        <w:rPr>
          <w:rFonts w:ascii="Avenir Next" w:hAnsi="Avenir Next" w:cs="Arial"/>
          <w:b/>
          <w:bCs/>
          <w:color w:val="1A1A1A" w:themeColor="background1" w:themeShade="1A"/>
          <w:sz w:val="22"/>
          <w:szCs w:val="22"/>
          <w:u w:val="single"/>
        </w:rPr>
      </w:pPr>
      <w:r w:rsidRPr="004D0D84">
        <w:rPr>
          <w:rFonts w:ascii="Avenir Next" w:hAnsi="Avenir Next" w:cs="Arial"/>
          <w:b/>
          <w:bCs/>
          <w:color w:val="1A1A1A" w:themeColor="background1" w:themeShade="1A"/>
          <w:sz w:val="22"/>
          <w:szCs w:val="22"/>
          <w:u w:val="single"/>
        </w:rPr>
        <w:t xml:space="preserve">Fourth priority: Unsecured creditors and shareholders </w:t>
      </w:r>
    </w:p>
    <w:p w14:paraId="43F927DA" w14:textId="0FCED6BE" w:rsidR="0028340C" w:rsidRDefault="002F2755" w:rsidP="00822F4D">
      <w:pPr>
        <w:ind w:left="720"/>
        <w:jc w:val="both"/>
        <w:rPr>
          <w:rFonts w:ascii="Avenir Next" w:hAnsi="Avenir Next" w:cs="Arial"/>
          <w:color w:val="1A1A1A" w:themeColor="background1" w:themeShade="1A"/>
          <w:sz w:val="22"/>
          <w:szCs w:val="22"/>
        </w:rPr>
      </w:pPr>
      <w:r>
        <w:rPr>
          <w:rFonts w:ascii="Avenir Next" w:hAnsi="Avenir Next" w:cs="Arial"/>
          <w:color w:val="1A1A1A" w:themeColor="background1" w:themeShade="1A"/>
          <w:sz w:val="22"/>
          <w:szCs w:val="22"/>
        </w:rPr>
        <w:t xml:space="preserve">Next, unsecured creditors are </w:t>
      </w:r>
      <w:r w:rsidR="00DD6481">
        <w:rPr>
          <w:rFonts w:ascii="Avenir Next" w:hAnsi="Avenir Next" w:cs="Arial"/>
          <w:color w:val="1A1A1A" w:themeColor="background1" w:themeShade="1A"/>
          <w:sz w:val="22"/>
          <w:szCs w:val="22"/>
        </w:rPr>
        <w:t xml:space="preserve">the last of the creditors to be paid out. If there are any remaining assets after all creditors have been paid, the assets are distributed to shareholders </w:t>
      </w:r>
      <w:r w:rsidR="0028340C">
        <w:rPr>
          <w:rFonts w:ascii="Avenir Next" w:hAnsi="Avenir Next" w:cs="Arial"/>
          <w:color w:val="1A1A1A" w:themeColor="background1" w:themeShade="1A"/>
          <w:sz w:val="22"/>
          <w:szCs w:val="22"/>
        </w:rPr>
        <w:t xml:space="preserve">according to the company’s constitution, which will normally permit a distribution </w:t>
      </w:r>
      <w:r w:rsidR="0028340C" w:rsidRPr="00F44395">
        <w:rPr>
          <w:rFonts w:ascii="Avenir Next" w:hAnsi="Avenir Next" w:cs="Arial"/>
          <w:i/>
          <w:iCs/>
          <w:color w:val="1A1A1A" w:themeColor="background1" w:themeShade="1A"/>
          <w:sz w:val="22"/>
          <w:szCs w:val="22"/>
        </w:rPr>
        <w:t>pro rata</w:t>
      </w:r>
      <w:r w:rsidR="0028340C">
        <w:rPr>
          <w:rFonts w:ascii="Avenir Next" w:hAnsi="Avenir Next" w:cs="Arial"/>
          <w:color w:val="1A1A1A" w:themeColor="background1" w:themeShade="1A"/>
          <w:sz w:val="22"/>
          <w:szCs w:val="22"/>
        </w:rPr>
        <w:t xml:space="preserve"> to the shareholder’s respective shareholdings. </w:t>
      </w:r>
    </w:p>
    <w:p w14:paraId="09B1AD28" w14:textId="77777777" w:rsidR="00A2715D" w:rsidRDefault="00A2715D" w:rsidP="00822F4D">
      <w:pPr>
        <w:ind w:left="720"/>
        <w:jc w:val="both"/>
        <w:rPr>
          <w:rFonts w:ascii="Avenir Next" w:hAnsi="Avenir Next" w:cs="Arial"/>
          <w:color w:val="1A1A1A" w:themeColor="background1" w:themeShade="1A"/>
          <w:sz w:val="22"/>
          <w:szCs w:val="22"/>
        </w:rPr>
      </w:pPr>
    </w:p>
    <w:p w14:paraId="16B69849" w14:textId="2B9D6364" w:rsidR="00A2715D" w:rsidRPr="00A2715D" w:rsidRDefault="00A2715D" w:rsidP="00822F4D">
      <w:pPr>
        <w:ind w:left="720"/>
        <w:jc w:val="both"/>
        <w:rPr>
          <w:rFonts w:ascii="Avenir Next" w:hAnsi="Avenir Next" w:cs="Arial"/>
          <w:b/>
          <w:bCs/>
          <w:color w:val="1A1A1A" w:themeColor="background1" w:themeShade="1A"/>
          <w:sz w:val="22"/>
          <w:szCs w:val="22"/>
          <w:u w:val="single"/>
        </w:rPr>
      </w:pPr>
      <w:r w:rsidRPr="00A2715D">
        <w:rPr>
          <w:rFonts w:ascii="Avenir Next" w:hAnsi="Avenir Next" w:cs="Arial"/>
          <w:b/>
          <w:bCs/>
          <w:color w:val="1A1A1A" w:themeColor="background1" w:themeShade="1A"/>
          <w:sz w:val="22"/>
          <w:szCs w:val="22"/>
          <w:u w:val="single"/>
        </w:rPr>
        <w:t>If the company had been subject to a Moratorium</w:t>
      </w:r>
    </w:p>
    <w:p w14:paraId="733DACCC" w14:textId="7F4659C3" w:rsidR="00D570C7" w:rsidRPr="00274C36" w:rsidRDefault="00D570C7" w:rsidP="00822F4D">
      <w:pPr>
        <w:ind w:left="720"/>
        <w:jc w:val="both"/>
        <w:rPr>
          <w:rFonts w:ascii="Avenir Next" w:hAnsi="Avenir Next" w:cstheme="minorHAnsi"/>
          <w:color w:val="000000"/>
          <w:sz w:val="22"/>
          <w:szCs w:val="22"/>
          <w:shd w:val="clear" w:color="auto" w:fill="FFFFFF"/>
        </w:rPr>
      </w:pPr>
      <w:r w:rsidRPr="00274C36">
        <w:rPr>
          <w:rFonts w:ascii="Avenir Next" w:hAnsi="Avenir Next" w:cs="Arial"/>
          <w:sz w:val="22"/>
          <w:szCs w:val="22"/>
          <w:shd w:val="clear" w:color="auto" w:fill="FFFFFF"/>
        </w:rPr>
        <w:t xml:space="preserve">If the company had been subject to a Moratorium during the 12-week period prior to the liquidation, then </w:t>
      </w:r>
      <w:r w:rsidR="000F64DE" w:rsidRPr="00274C36">
        <w:rPr>
          <w:rFonts w:ascii="Avenir Next" w:hAnsi="Avenir Next" w:cs="Arial"/>
          <w:sz w:val="22"/>
          <w:szCs w:val="22"/>
          <w:shd w:val="clear" w:color="auto" w:fill="FFFFFF"/>
        </w:rPr>
        <w:t>pursuant to s 174</w:t>
      </w:r>
      <w:proofErr w:type="gramStart"/>
      <w:r w:rsidR="000F64DE" w:rsidRPr="00274C36">
        <w:rPr>
          <w:rFonts w:ascii="Avenir Next" w:hAnsi="Avenir Next" w:cs="Arial"/>
          <w:sz w:val="22"/>
          <w:szCs w:val="22"/>
          <w:shd w:val="clear" w:color="auto" w:fill="FFFFFF"/>
        </w:rPr>
        <w:t>A</w:t>
      </w:r>
      <w:r w:rsidR="00553DEB" w:rsidRPr="00274C36">
        <w:rPr>
          <w:rFonts w:ascii="Avenir Next" w:hAnsi="Avenir Next" w:cs="Arial"/>
          <w:sz w:val="22"/>
          <w:szCs w:val="22"/>
          <w:shd w:val="clear" w:color="auto" w:fill="FFFFFF"/>
        </w:rPr>
        <w:t>(</w:t>
      </w:r>
      <w:proofErr w:type="gramEnd"/>
      <w:r w:rsidR="00553DEB" w:rsidRPr="00274C36">
        <w:rPr>
          <w:rFonts w:ascii="Avenir Next" w:hAnsi="Avenir Next" w:cs="Arial"/>
          <w:sz w:val="22"/>
          <w:szCs w:val="22"/>
          <w:shd w:val="clear" w:color="auto" w:fill="FFFFFF"/>
        </w:rPr>
        <w:t>2)</w:t>
      </w:r>
      <w:r w:rsidR="000F64DE" w:rsidRPr="00274C36">
        <w:rPr>
          <w:rFonts w:ascii="Avenir Next" w:hAnsi="Avenir Next" w:cs="Arial"/>
          <w:sz w:val="22"/>
          <w:szCs w:val="22"/>
          <w:shd w:val="clear" w:color="auto" w:fill="FFFFFF"/>
        </w:rPr>
        <w:t xml:space="preserve"> of the Insolvency Act 1986,</w:t>
      </w:r>
      <w:r w:rsidR="00F25218" w:rsidRPr="00274C36">
        <w:rPr>
          <w:rFonts w:ascii="Avenir Next" w:hAnsi="Avenir Next" w:cs="Arial"/>
          <w:sz w:val="22"/>
          <w:szCs w:val="22"/>
          <w:shd w:val="clear" w:color="auto" w:fill="FFFFFF"/>
        </w:rPr>
        <w:t xml:space="preserve"> certain unsecured debts would acquire “super </w:t>
      </w:r>
      <w:r w:rsidR="00F25218" w:rsidRPr="00274C36">
        <w:rPr>
          <w:rFonts w:ascii="Avenir Next" w:hAnsi="Avenir Next" w:cstheme="minorHAnsi"/>
          <w:sz w:val="22"/>
          <w:szCs w:val="22"/>
          <w:shd w:val="clear" w:color="auto" w:fill="FFFFFF"/>
        </w:rPr>
        <w:t xml:space="preserve">priority” </w:t>
      </w:r>
      <w:r w:rsidR="00EE3235" w:rsidRPr="00274C36">
        <w:rPr>
          <w:rFonts w:ascii="Avenir Next" w:hAnsi="Avenir Next" w:cstheme="minorHAnsi"/>
          <w:sz w:val="22"/>
          <w:szCs w:val="22"/>
          <w:shd w:val="clear" w:color="auto" w:fill="FFFFFF"/>
        </w:rPr>
        <w:t>in the liquidation. In particular,</w:t>
      </w:r>
      <w:r w:rsidR="000F64DE" w:rsidRPr="00274C36">
        <w:rPr>
          <w:rFonts w:ascii="Avenir Next" w:hAnsi="Avenir Next" w:cstheme="minorHAnsi"/>
          <w:sz w:val="22"/>
          <w:szCs w:val="22"/>
          <w:shd w:val="clear" w:color="auto" w:fill="FFFFFF"/>
        </w:rPr>
        <w:t xml:space="preserve"> </w:t>
      </w:r>
      <w:r w:rsidR="00FE499A" w:rsidRPr="00274C36">
        <w:rPr>
          <w:rFonts w:ascii="Avenir Next" w:hAnsi="Avenir Next" w:cstheme="minorHAnsi"/>
          <w:sz w:val="22"/>
          <w:szCs w:val="22"/>
          <w:shd w:val="clear" w:color="auto" w:fill="FFFFFF"/>
        </w:rPr>
        <w:t xml:space="preserve">the following debts acquire </w:t>
      </w:r>
      <w:r w:rsidR="00F34D8A" w:rsidRPr="00274C36">
        <w:rPr>
          <w:rFonts w:ascii="Avenir Next" w:hAnsi="Avenir Next" w:cstheme="minorHAnsi"/>
          <w:sz w:val="22"/>
          <w:szCs w:val="22"/>
          <w:shd w:val="clear" w:color="auto" w:fill="FFFFFF"/>
        </w:rPr>
        <w:t xml:space="preserve">priority over all other claims (in order of priority shown): (a) </w:t>
      </w:r>
      <w:r w:rsidR="00D01312" w:rsidRPr="00274C36">
        <w:rPr>
          <w:rFonts w:ascii="Avenir Next" w:hAnsi="Avenir Next" w:cstheme="minorHAnsi"/>
          <w:color w:val="000000"/>
          <w:sz w:val="22"/>
          <w:szCs w:val="22"/>
          <w:shd w:val="clear" w:color="auto" w:fill="FFFFFF"/>
        </w:rPr>
        <w:t>any prescribed fees or expenses of the official receiver acting in any capacity in relation to the company;</w:t>
      </w:r>
      <w:r w:rsidR="001726E6" w:rsidRPr="00274C36">
        <w:rPr>
          <w:rFonts w:ascii="Avenir Next" w:hAnsi="Avenir Next" w:cstheme="minorHAnsi"/>
          <w:color w:val="000000"/>
          <w:sz w:val="22"/>
          <w:szCs w:val="22"/>
          <w:shd w:val="clear" w:color="auto" w:fill="FFFFFF"/>
        </w:rPr>
        <w:t xml:space="preserve"> </w:t>
      </w:r>
      <w:r w:rsidR="00A066B0" w:rsidRPr="00274C36">
        <w:rPr>
          <w:rFonts w:ascii="Avenir Next" w:hAnsi="Avenir Next" w:cstheme="minorHAnsi"/>
          <w:color w:val="000000"/>
          <w:sz w:val="22"/>
          <w:szCs w:val="22"/>
          <w:shd w:val="clear" w:color="auto" w:fill="FFFFFF"/>
        </w:rPr>
        <w:t xml:space="preserve">and </w:t>
      </w:r>
      <w:r w:rsidR="001726E6" w:rsidRPr="00274C36">
        <w:rPr>
          <w:rFonts w:ascii="Avenir Next" w:hAnsi="Avenir Next" w:cstheme="minorHAnsi"/>
          <w:color w:val="000000"/>
          <w:sz w:val="22"/>
          <w:szCs w:val="22"/>
          <w:shd w:val="clear" w:color="auto" w:fill="FFFFFF"/>
        </w:rPr>
        <w:t xml:space="preserve">(b) </w:t>
      </w:r>
      <w:r w:rsidR="00A066B0" w:rsidRPr="00274C36">
        <w:rPr>
          <w:rFonts w:ascii="Avenir Next" w:hAnsi="Avenir Next" w:cstheme="minorHAnsi"/>
          <w:color w:val="000000"/>
          <w:sz w:val="22"/>
          <w:szCs w:val="22"/>
          <w:shd w:val="clear" w:color="auto" w:fill="FFFFFF"/>
        </w:rPr>
        <w:t xml:space="preserve">moratorium debts and priority pre-moratorium debts. </w:t>
      </w:r>
      <w:r w:rsidR="00AC2F90" w:rsidRPr="00274C36">
        <w:rPr>
          <w:rFonts w:ascii="Avenir Next" w:hAnsi="Avenir Next" w:cstheme="minorHAnsi"/>
          <w:color w:val="000000"/>
          <w:sz w:val="22"/>
          <w:szCs w:val="22"/>
          <w:shd w:val="clear" w:color="auto" w:fill="FFFFFF"/>
        </w:rPr>
        <w:t>“Priority pre-moratorium debt” is defined in s 174A</w:t>
      </w:r>
      <w:r w:rsidR="00FB69EA" w:rsidRPr="00274C36">
        <w:rPr>
          <w:rFonts w:ascii="Avenir Next" w:hAnsi="Avenir Next" w:cstheme="minorHAnsi"/>
          <w:color w:val="000000"/>
          <w:sz w:val="22"/>
          <w:szCs w:val="22"/>
          <w:shd w:val="clear" w:color="auto" w:fill="FFFFFF"/>
        </w:rPr>
        <w:t xml:space="preserve">(3) to mean (a) any pre-moratorium debt payable in respect of the monitor’s remuneration or expenses, goods or services supplied during the moratorium, rent in respect of a period during the moratorium, or wages or salary arising under a contract of employment, so far as relating to a period of employment before or during the moratorium; (b) any pre-moratorium debt that consists of </w:t>
      </w:r>
      <w:r w:rsidR="005B5F10" w:rsidRPr="00274C36">
        <w:rPr>
          <w:rFonts w:ascii="Avenir Next" w:hAnsi="Avenir Next" w:cstheme="minorHAnsi"/>
          <w:color w:val="000000"/>
          <w:sz w:val="22"/>
          <w:szCs w:val="22"/>
          <w:shd w:val="clear" w:color="auto" w:fill="FFFFFF"/>
        </w:rPr>
        <w:t>a liability to make a redundancy payment, and fell due before or during the moratorium; and (c)</w:t>
      </w:r>
      <w:r w:rsidR="00F90F40" w:rsidRPr="00274C36">
        <w:rPr>
          <w:rFonts w:ascii="Avenir Next" w:hAnsi="Avenir Next" w:cstheme="minorHAnsi"/>
          <w:color w:val="000000"/>
          <w:sz w:val="22"/>
          <w:szCs w:val="22"/>
          <w:shd w:val="clear" w:color="auto" w:fill="FFFFFF"/>
        </w:rPr>
        <w:t xml:space="preserve"> any pre-moratorium debt that arises under a contract or other instrument involving financial services,</w:t>
      </w:r>
      <w:r w:rsidR="0039612E" w:rsidRPr="00274C36">
        <w:rPr>
          <w:rFonts w:ascii="Avenir Next" w:hAnsi="Avenir Next" w:cstheme="minorHAnsi"/>
          <w:color w:val="000000"/>
          <w:sz w:val="22"/>
          <w:szCs w:val="22"/>
          <w:shd w:val="clear" w:color="auto" w:fill="FFFFFF"/>
        </w:rPr>
        <w:t xml:space="preserve"> </w:t>
      </w:r>
      <w:r w:rsidR="00F90F40" w:rsidRPr="00274C36">
        <w:rPr>
          <w:rFonts w:ascii="Avenir Next" w:hAnsi="Avenir Next" w:cstheme="minorHAnsi"/>
          <w:color w:val="000000"/>
          <w:sz w:val="22"/>
          <w:szCs w:val="22"/>
          <w:shd w:val="clear" w:color="auto" w:fill="FFFFFF"/>
        </w:rPr>
        <w:t>fell due before or during the moratorium, and</w:t>
      </w:r>
      <w:r w:rsidR="0039612E" w:rsidRPr="00274C36">
        <w:rPr>
          <w:rFonts w:ascii="Avenir Next" w:hAnsi="Avenir Next" w:cstheme="minorHAnsi"/>
          <w:color w:val="000000"/>
          <w:sz w:val="22"/>
          <w:szCs w:val="22"/>
          <w:shd w:val="clear" w:color="auto" w:fill="FFFFFF"/>
        </w:rPr>
        <w:t xml:space="preserve"> </w:t>
      </w:r>
      <w:r w:rsidR="00F90F40" w:rsidRPr="00274C36">
        <w:rPr>
          <w:rFonts w:ascii="Avenir Next" w:hAnsi="Avenir Next" w:cstheme="minorHAnsi"/>
          <w:color w:val="000000"/>
          <w:sz w:val="22"/>
          <w:szCs w:val="22"/>
          <w:shd w:val="clear" w:color="auto" w:fill="FFFFFF"/>
        </w:rPr>
        <w:t>is not relevant accelerated debt</w:t>
      </w:r>
      <w:r w:rsidR="0039612E" w:rsidRPr="00274C36">
        <w:rPr>
          <w:rFonts w:ascii="Avenir Next" w:hAnsi="Avenir Next" w:cstheme="minorHAnsi"/>
          <w:color w:val="000000"/>
          <w:sz w:val="22"/>
          <w:szCs w:val="22"/>
          <w:shd w:val="clear" w:color="auto" w:fill="FFFFFF"/>
        </w:rPr>
        <w:t xml:space="preserve">. </w:t>
      </w:r>
    </w:p>
    <w:p w14:paraId="04131977" w14:textId="3B8A8A01" w:rsidR="007401AF" w:rsidRPr="00274C36" w:rsidRDefault="007401AF" w:rsidP="00822F4D">
      <w:pPr>
        <w:ind w:left="720"/>
        <w:jc w:val="both"/>
        <w:rPr>
          <w:rFonts w:ascii="Avenir Next" w:hAnsi="Avenir Next" w:cstheme="minorHAnsi"/>
          <w:color w:val="000000"/>
          <w:sz w:val="22"/>
          <w:szCs w:val="22"/>
          <w:shd w:val="clear" w:color="auto" w:fill="FFFFFF"/>
        </w:rPr>
      </w:pPr>
    </w:p>
    <w:p w14:paraId="6E117AE2" w14:textId="4C289193" w:rsidR="007401AF" w:rsidRPr="00274C36" w:rsidRDefault="007401AF" w:rsidP="00822F4D">
      <w:pPr>
        <w:ind w:left="720"/>
        <w:jc w:val="both"/>
        <w:rPr>
          <w:rFonts w:ascii="Avenir Next" w:hAnsi="Avenir Next" w:cstheme="minorHAnsi"/>
          <w:color w:val="000000"/>
          <w:sz w:val="22"/>
          <w:szCs w:val="22"/>
          <w:u w:val="single"/>
          <w:shd w:val="clear" w:color="auto" w:fill="FFFFFF"/>
        </w:rPr>
      </w:pPr>
      <w:r w:rsidRPr="00274C36">
        <w:rPr>
          <w:rFonts w:ascii="Avenir Next" w:hAnsi="Avenir Next" w:cstheme="minorHAnsi"/>
          <w:color w:val="000000"/>
          <w:sz w:val="22"/>
          <w:szCs w:val="22"/>
          <w:shd w:val="clear" w:color="auto" w:fill="FFFFFF"/>
        </w:rPr>
        <w:t>Section 174</w:t>
      </w:r>
      <w:proofErr w:type="gramStart"/>
      <w:r w:rsidRPr="00274C36">
        <w:rPr>
          <w:rFonts w:ascii="Avenir Next" w:hAnsi="Avenir Next" w:cstheme="minorHAnsi"/>
          <w:color w:val="000000"/>
          <w:sz w:val="22"/>
          <w:szCs w:val="22"/>
          <w:shd w:val="clear" w:color="auto" w:fill="FFFFFF"/>
        </w:rPr>
        <w:t>A(</w:t>
      </w:r>
      <w:proofErr w:type="gramEnd"/>
      <w:r w:rsidRPr="00274C36">
        <w:rPr>
          <w:rFonts w:ascii="Avenir Next" w:hAnsi="Avenir Next" w:cstheme="minorHAnsi"/>
          <w:color w:val="000000"/>
          <w:sz w:val="22"/>
          <w:szCs w:val="22"/>
          <w:shd w:val="clear" w:color="auto" w:fill="FFFFFF"/>
        </w:rPr>
        <w:t xml:space="preserve">4) </w:t>
      </w:r>
      <w:r w:rsidR="005C15C6" w:rsidRPr="00274C36">
        <w:rPr>
          <w:rFonts w:ascii="Avenir Next" w:hAnsi="Avenir Next" w:cstheme="minorHAnsi"/>
          <w:color w:val="000000"/>
          <w:sz w:val="22"/>
          <w:szCs w:val="22"/>
          <w:shd w:val="clear" w:color="auto" w:fill="FFFFFF"/>
        </w:rPr>
        <w:t>defines “relevant accelerated debt” to mean any pre-moratorium debt that fell due by reason of the operation of, or the exercise of rights under, an acceleration or early termination clause in a contract or other instrument involving financial services</w:t>
      </w:r>
      <w:r w:rsidR="00361E2F" w:rsidRPr="00274C36">
        <w:rPr>
          <w:rFonts w:ascii="Avenir Next" w:hAnsi="Avenir Next" w:cstheme="minorHAnsi"/>
          <w:color w:val="000000"/>
          <w:sz w:val="22"/>
          <w:szCs w:val="22"/>
          <w:shd w:val="clear" w:color="auto" w:fill="FFFFFF"/>
        </w:rPr>
        <w:t xml:space="preserve">, during the relevant period stated in s 174A(4)(a)-(b). </w:t>
      </w:r>
    </w:p>
    <w:p w14:paraId="2E4E1B5E" w14:textId="77777777" w:rsidR="00D570C7" w:rsidRPr="00274C36" w:rsidRDefault="00D570C7"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361DE37D" w14:textId="0FCFCC10" w:rsidR="00884C24" w:rsidRDefault="00377942" w:rsidP="00884C24">
      <w:pPr>
        <w:ind w:left="720"/>
        <w:jc w:val="both"/>
        <w:rPr>
          <w:rFonts w:ascii="Avenir Next" w:eastAsiaTheme="minorEastAsia" w:hAnsi="Avenir Next" w:cs="Arial"/>
          <w:color w:val="1A1A1A" w:themeColor="background1" w:themeShade="1A"/>
          <w:sz w:val="22"/>
          <w:szCs w:val="22"/>
          <w:lang w:eastAsia="zh-CN"/>
        </w:rPr>
      </w:pPr>
      <w:r>
        <w:rPr>
          <w:rFonts w:ascii="Avenir Next" w:hAnsi="Avenir Next" w:cs="Arial"/>
          <w:color w:val="1A1A1A" w:themeColor="background1" w:themeShade="1A"/>
          <w:sz w:val="22"/>
          <w:szCs w:val="22"/>
        </w:rPr>
        <w:t>The floating charge may be avoided under s 245 of the Insolvency Act 1986</w:t>
      </w:r>
      <w:r w:rsidR="00AD2492">
        <w:rPr>
          <w:rFonts w:ascii="Avenir Next" w:hAnsi="Avenir Next" w:cs="Arial"/>
          <w:color w:val="1A1A1A" w:themeColor="background1" w:themeShade="1A"/>
          <w:sz w:val="22"/>
          <w:szCs w:val="22"/>
        </w:rPr>
        <w:t xml:space="preserve"> (the “Act”). Section 245 provides that </w:t>
      </w:r>
      <w:r w:rsidR="00C54C32">
        <w:rPr>
          <w:rFonts w:ascii="Avenir Next" w:hAnsi="Avenir Next" w:cs="Arial"/>
          <w:color w:val="1A1A1A" w:themeColor="background1" w:themeShade="1A"/>
          <w:sz w:val="22"/>
          <w:szCs w:val="22"/>
        </w:rPr>
        <w:t xml:space="preserve">a floating charge on the company’s undertaking is invalid if it was created 12 months prior to the onset of insolvency, </w:t>
      </w:r>
      <w:r w:rsidR="0013596E">
        <w:rPr>
          <w:rFonts w:ascii="Avenir Next" w:hAnsi="Avenir Next" w:cs="Arial"/>
          <w:color w:val="1A1A1A" w:themeColor="background1" w:themeShade="1A"/>
          <w:sz w:val="22"/>
          <w:szCs w:val="22"/>
        </w:rPr>
        <w:t>and at a time when the company was unable to pay its debts (</w:t>
      </w:r>
      <w:r w:rsidR="0013596E">
        <w:rPr>
          <w:rFonts w:ascii="Avenir Next" w:eastAsiaTheme="minorEastAsia" w:hAnsi="Avenir Next" w:cs="Arial"/>
          <w:color w:val="1A1A1A" w:themeColor="background1" w:themeShade="1A"/>
          <w:sz w:val="22"/>
          <w:szCs w:val="22"/>
          <w:lang w:eastAsia="zh-CN"/>
        </w:rPr>
        <w:t xml:space="preserve">within the meaning of s 123 of the Act) or became unable to do so </w:t>
      </w:r>
      <w:proofErr w:type="gramStart"/>
      <w:r w:rsidR="0013596E">
        <w:rPr>
          <w:rFonts w:ascii="Avenir Next" w:eastAsiaTheme="minorEastAsia" w:hAnsi="Avenir Next" w:cs="Arial"/>
          <w:color w:val="1A1A1A" w:themeColor="background1" w:themeShade="1A"/>
          <w:sz w:val="22"/>
          <w:szCs w:val="22"/>
          <w:lang w:eastAsia="zh-CN"/>
        </w:rPr>
        <w:t>as a result of</w:t>
      </w:r>
      <w:proofErr w:type="gramEnd"/>
      <w:r w:rsidR="0013596E">
        <w:rPr>
          <w:rFonts w:ascii="Avenir Next" w:eastAsiaTheme="minorEastAsia" w:hAnsi="Avenir Next" w:cs="Arial"/>
          <w:color w:val="1A1A1A" w:themeColor="background1" w:themeShade="1A"/>
          <w:sz w:val="22"/>
          <w:szCs w:val="22"/>
          <w:lang w:eastAsia="zh-CN"/>
        </w:rPr>
        <w:t xml:space="preserve"> the transaction. This is the case u</w:t>
      </w:r>
      <w:r w:rsidR="007E7993">
        <w:rPr>
          <w:rFonts w:ascii="Avenir Next" w:eastAsiaTheme="minorEastAsia" w:hAnsi="Avenir Next" w:cs="Arial"/>
          <w:color w:val="1A1A1A" w:themeColor="background1" w:themeShade="1A"/>
          <w:sz w:val="22"/>
          <w:szCs w:val="22"/>
          <w:lang w:eastAsia="zh-CN"/>
        </w:rPr>
        <w:t xml:space="preserve">nless the floating charge is created for fresh consideration, </w:t>
      </w:r>
      <w:r w:rsidR="00884C24">
        <w:rPr>
          <w:rFonts w:ascii="Avenir Next" w:eastAsiaTheme="minorEastAsia" w:hAnsi="Avenir Next" w:cs="Arial"/>
          <w:color w:val="1A1A1A" w:themeColor="background1" w:themeShade="1A"/>
          <w:sz w:val="22"/>
          <w:szCs w:val="22"/>
          <w:lang w:eastAsia="zh-CN"/>
        </w:rPr>
        <w:t xml:space="preserve">namely (a) the value of so much of the consideration for the creation of the charge as consists of money paid, or goods or services supplied, to the company at the same time as or after the creation of the charge; or (b) </w:t>
      </w:r>
      <w:r w:rsidR="00B7380E">
        <w:rPr>
          <w:rFonts w:ascii="Avenir Next" w:eastAsiaTheme="minorEastAsia" w:hAnsi="Avenir Next" w:cs="Arial"/>
          <w:color w:val="1A1A1A" w:themeColor="background1" w:themeShade="1A"/>
          <w:sz w:val="22"/>
          <w:szCs w:val="22"/>
          <w:lang w:eastAsia="zh-CN"/>
        </w:rPr>
        <w:t>the value of so much of the consideration as consists of the discharge or reduction, at the same time as or after the creation of the charge, o</w:t>
      </w:r>
      <w:r w:rsidR="00B85D76">
        <w:rPr>
          <w:rFonts w:ascii="Avenir Next" w:eastAsiaTheme="minorEastAsia" w:hAnsi="Avenir Next" w:cs="Arial"/>
          <w:color w:val="1A1A1A" w:themeColor="background1" w:themeShade="1A"/>
          <w:sz w:val="22"/>
          <w:szCs w:val="22"/>
          <w:lang w:eastAsia="zh-CN"/>
        </w:rPr>
        <w:t>f</w:t>
      </w:r>
      <w:r w:rsidR="00B7380E">
        <w:rPr>
          <w:rFonts w:ascii="Avenir Next" w:eastAsiaTheme="minorEastAsia" w:hAnsi="Avenir Next" w:cs="Arial"/>
          <w:color w:val="1A1A1A" w:themeColor="background1" w:themeShade="1A"/>
          <w:sz w:val="22"/>
          <w:szCs w:val="22"/>
          <w:lang w:eastAsia="zh-CN"/>
        </w:rPr>
        <w:t xml:space="preserve"> any debt of the company.</w:t>
      </w:r>
      <w:r w:rsidR="00887DA0">
        <w:rPr>
          <w:rFonts w:ascii="Avenir Next" w:eastAsiaTheme="minorEastAsia" w:hAnsi="Avenir Next" w:cs="Arial"/>
          <w:color w:val="1A1A1A" w:themeColor="background1" w:themeShade="1A"/>
          <w:sz w:val="22"/>
          <w:szCs w:val="22"/>
          <w:lang w:eastAsia="zh-CN"/>
        </w:rPr>
        <w:t xml:space="preserve"> </w:t>
      </w:r>
    </w:p>
    <w:p w14:paraId="4BEA7A97" w14:textId="77777777" w:rsidR="00B7380E" w:rsidRDefault="00B7380E" w:rsidP="00884C24">
      <w:pPr>
        <w:ind w:left="720"/>
        <w:jc w:val="both"/>
        <w:rPr>
          <w:rFonts w:ascii="Avenir Next" w:eastAsiaTheme="minorEastAsia" w:hAnsi="Avenir Next" w:cs="Arial"/>
          <w:color w:val="1A1A1A" w:themeColor="background1" w:themeShade="1A"/>
          <w:sz w:val="22"/>
          <w:szCs w:val="22"/>
          <w:lang w:eastAsia="zh-CN"/>
        </w:rPr>
      </w:pPr>
    </w:p>
    <w:p w14:paraId="73C0E90A" w14:textId="277B84A1" w:rsidR="00DE0225" w:rsidRPr="00884C24" w:rsidRDefault="00FB657B" w:rsidP="00DE0225">
      <w:pPr>
        <w:ind w:left="720"/>
        <w:jc w:val="both"/>
        <w:rPr>
          <w:rFonts w:ascii="Avenir Next" w:eastAsiaTheme="minorEastAsia" w:hAnsi="Avenir Next" w:cs="Arial"/>
          <w:color w:val="1A1A1A" w:themeColor="background1" w:themeShade="1A"/>
          <w:sz w:val="22"/>
          <w:szCs w:val="22"/>
          <w:lang w:eastAsia="zh-CN"/>
        </w:rPr>
      </w:pPr>
      <w:r>
        <w:rPr>
          <w:rFonts w:ascii="Avenir Next" w:eastAsiaTheme="minorEastAsia" w:hAnsi="Avenir Next" w:cs="Arial"/>
          <w:color w:val="1A1A1A" w:themeColor="background1" w:themeShade="1A"/>
          <w:sz w:val="22"/>
          <w:szCs w:val="22"/>
          <w:lang w:eastAsia="zh-CN"/>
        </w:rPr>
        <w:t xml:space="preserve">In the present case, given that the floating charge was granted to </w:t>
      </w:r>
      <w:proofErr w:type="spellStart"/>
      <w:r>
        <w:rPr>
          <w:rFonts w:ascii="Avenir Next" w:eastAsiaTheme="minorEastAsia" w:hAnsi="Avenir Next" w:cs="Arial"/>
          <w:color w:val="1A1A1A" w:themeColor="background1" w:themeShade="1A"/>
          <w:sz w:val="22"/>
          <w:szCs w:val="22"/>
          <w:lang w:eastAsia="zh-CN"/>
        </w:rPr>
        <w:t>Fretus</w:t>
      </w:r>
      <w:proofErr w:type="spellEnd"/>
      <w:r>
        <w:rPr>
          <w:rFonts w:ascii="Avenir Next" w:eastAsiaTheme="minorEastAsia" w:hAnsi="Avenir Next" w:cs="Arial"/>
          <w:color w:val="1A1A1A" w:themeColor="background1" w:themeShade="1A"/>
          <w:sz w:val="22"/>
          <w:szCs w:val="22"/>
          <w:lang w:eastAsia="zh-CN"/>
        </w:rPr>
        <w:t xml:space="preserve"> Bank </w:t>
      </w:r>
      <w:r w:rsidR="00083145">
        <w:rPr>
          <w:rFonts w:ascii="Avenir Next" w:eastAsiaTheme="minorEastAsia" w:hAnsi="Avenir Next" w:cs="Arial"/>
          <w:color w:val="1A1A1A" w:themeColor="background1" w:themeShade="1A"/>
          <w:sz w:val="22"/>
          <w:szCs w:val="22"/>
          <w:lang w:eastAsia="zh-CN"/>
        </w:rPr>
        <w:t xml:space="preserve">shortly before </w:t>
      </w:r>
      <w:proofErr w:type="spellStart"/>
      <w:r w:rsidR="00083145">
        <w:rPr>
          <w:rFonts w:ascii="Avenir Next" w:eastAsiaTheme="minorEastAsia" w:hAnsi="Avenir Next" w:cs="Arial"/>
          <w:color w:val="1A1A1A" w:themeColor="background1" w:themeShade="1A"/>
          <w:sz w:val="22"/>
          <w:szCs w:val="22"/>
          <w:lang w:eastAsia="zh-CN"/>
        </w:rPr>
        <w:t>Marbley</w:t>
      </w:r>
      <w:proofErr w:type="spellEnd"/>
      <w:r w:rsidR="00083145">
        <w:rPr>
          <w:rFonts w:ascii="Avenir Next" w:eastAsiaTheme="minorEastAsia" w:hAnsi="Avenir Next" w:cs="Arial"/>
          <w:color w:val="1A1A1A" w:themeColor="background1" w:themeShade="1A"/>
          <w:sz w:val="22"/>
          <w:szCs w:val="22"/>
          <w:lang w:eastAsia="zh-CN"/>
        </w:rPr>
        <w:t xml:space="preserve"> Q (“MQ”) went into liquidation on 23 December 2022, and presumably </w:t>
      </w:r>
      <w:r w:rsidR="0083690E">
        <w:rPr>
          <w:rFonts w:ascii="Avenir Next" w:eastAsiaTheme="minorEastAsia" w:hAnsi="Avenir Next" w:cs="Arial"/>
          <w:color w:val="1A1A1A" w:themeColor="background1" w:themeShade="1A"/>
          <w:sz w:val="22"/>
          <w:szCs w:val="22"/>
          <w:lang w:eastAsia="zh-CN"/>
        </w:rPr>
        <w:t xml:space="preserve">after the creditor’s winding up petition was presented on 14 October 2022, </w:t>
      </w:r>
      <w:r w:rsidR="00DE0225">
        <w:rPr>
          <w:rFonts w:ascii="Avenir Next" w:eastAsiaTheme="minorEastAsia" w:hAnsi="Avenir Next" w:cs="Arial"/>
          <w:color w:val="1A1A1A" w:themeColor="background1" w:themeShade="1A"/>
          <w:sz w:val="22"/>
          <w:szCs w:val="22"/>
          <w:lang w:eastAsia="zh-CN"/>
        </w:rPr>
        <w:t xml:space="preserve">MQ was likely </w:t>
      </w:r>
      <w:r w:rsidR="00E02D28">
        <w:rPr>
          <w:rFonts w:ascii="Avenir Next" w:eastAsiaTheme="minorEastAsia" w:hAnsi="Avenir Next" w:cs="Arial"/>
          <w:color w:val="1A1A1A" w:themeColor="background1" w:themeShade="1A"/>
          <w:sz w:val="22"/>
          <w:szCs w:val="22"/>
          <w:lang w:eastAsia="zh-CN"/>
        </w:rPr>
        <w:t xml:space="preserve">unable to pay its debts at the time the floating charge was granted. No fresh consideration was offered by </w:t>
      </w:r>
      <w:proofErr w:type="spellStart"/>
      <w:r w:rsidR="00E02D28">
        <w:rPr>
          <w:rFonts w:ascii="Avenir Next" w:eastAsiaTheme="minorEastAsia" w:hAnsi="Avenir Next" w:cs="Arial"/>
          <w:color w:val="1A1A1A" w:themeColor="background1" w:themeShade="1A"/>
          <w:sz w:val="22"/>
          <w:szCs w:val="22"/>
          <w:lang w:eastAsia="zh-CN"/>
        </w:rPr>
        <w:t>Fretus</w:t>
      </w:r>
      <w:proofErr w:type="spellEnd"/>
      <w:r w:rsidR="00E02D28">
        <w:rPr>
          <w:rFonts w:ascii="Avenir Next" w:eastAsiaTheme="minorEastAsia" w:hAnsi="Avenir Next" w:cs="Arial"/>
          <w:color w:val="1A1A1A" w:themeColor="background1" w:themeShade="1A"/>
          <w:sz w:val="22"/>
          <w:szCs w:val="22"/>
          <w:lang w:eastAsia="zh-CN"/>
        </w:rPr>
        <w:t xml:space="preserve"> in exchange for the floating charge. In the circumstances, </w:t>
      </w:r>
      <w:r w:rsidR="008D4CCE">
        <w:rPr>
          <w:rFonts w:ascii="Avenir Next" w:eastAsiaTheme="minorEastAsia" w:hAnsi="Avenir Next" w:cs="Arial"/>
          <w:color w:val="1A1A1A" w:themeColor="background1" w:themeShade="1A"/>
          <w:sz w:val="22"/>
          <w:szCs w:val="22"/>
          <w:lang w:eastAsia="zh-CN"/>
        </w:rPr>
        <w:t xml:space="preserve">the floating charge over MQ’s undertaking is invalid. </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Default="007E2919" w:rsidP="007E2919">
      <w:pPr>
        <w:rPr>
          <w:rFonts w:ascii="Avenir Next" w:hAnsi="Avenir Next" w:cs="Arial"/>
          <w:b/>
          <w:sz w:val="22"/>
          <w:szCs w:val="22"/>
        </w:rPr>
      </w:pPr>
    </w:p>
    <w:p w14:paraId="215D5468" w14:textId="25D64D3B" w:rsidR="00274C36" w:rsidRDefault="00274C36" w:rsidP="00274C36">
      <w:pPr>
        <w:ind w:left="720"/>
        <w:jc w:val="both"/>
        <w:rPr>
          <w:rFonts w:ascii="Avenir Next" w:hAnsi="Avenir Next" w:cs="Arial"/>
          <w:bCs/>
          <w:sz w:val="22"/>
          <w:szCs w:val="22"/>
        </w:rPr>
      </w:pPr>
      <w:r>
        <w:rPr>
          <w:rFonts w:ascii="Avenir Next" w:hAnsi="Avenir Next" w:cs="Arial"/>
          <w:bCs/>
          <w:sz w:val="22"/>
          <w:szCs w:val="22"/>
        </w:rPr>
        <w:t xml:space="preserve">The sale of the marble cutting machines may potentially be set aside under s 238 of the Insolvency Act 1986. Under s 238, a transaction may be set aside after the commencement of liquidation, if it is entered into at a “relevant time” with any person at an undervalue. Per s 238(4), a transaction is at an undervalue if (a) the company makes a gift or otherwise </w:t>
      </w:r>
      <w:proofErr w:type="gramStart"/>
      <w:r>
        <w:rPr>
          <w:rFonts w:ascii="Avenir Next" w:hAnsi="Avenir Next" w:cs="Arial"/>
          <w:bCs/>
          <w:sz w:val="22"/>
          <w:szCs w:val="22"/>
        </w:rPr>
        <w:t>enters into</w:t>
      </w:r>
      <w:proofErr w:type="gramEnd"/>
      <w:r>
        <w:rPr>
          <w:rFonts w:ascii="Avenir Next" w:hAnsi="Avenir Next" w:cs="Arial"/>
          <w:bCs/>
          <w:sz w:val="22"/>
          <w:szCs w:val="22"/>
        </w:rPr>
        <w:t xml:space="preserve"> a transaction for no consideration; or (b) </w:t>
      </w:r>
      <w:r w:rsidRPr="00274C36">
        <w:rPr>
          <w:rFonts w:ascii="Avenir Next" w:hAnsi="Avenir Next" w:cs="Arial"/>
          <w:bCs/>
          <w:sz w:val="22"/>
          <w:szCs w:val="22"/>
        </w:rPr>
        <w:t>the company enters into a transaction for a consideration the value of which, in money or money’s worth, is significantly less than the value, in money or money’s worth, of the consideration provided by the company.</w:t>
      </w:r>
      <w:r>
        <w:rPr>
          <w:rFonts w:ascii="Avenir Next" w:hAnsi="Avenir Next" w:cs="Arial"/>
          <w:bCs/>
          <w:sz w:val="22"/>
          <w:szCs w:val="22"/>
        </w:rPr>
        <w:t xml:space="preserve"> Section 240</w:t>
      </w:r>
      <w:r w:rsidR="00887DA0">
        <w:rPr>
          <w:rFonts w:ascii="Avenir Next" w:hAnsi="Avenir Next" w:cs="Arial"/>
          <w:bCs/>
          <w:sz w:val="22"/>
          <w:szCs w:val="22"/>
        </w:rPr>
        <w:t xml:space="preserve">(1) </w:t>
      </w:r>
      <w:r>
        <w:rPr>
          <w:rFonts w:ascii="Avenir Next" w:hAnsi="Avenir Next" w:cs="Arial"/>
          <w:bCs/>
          <w:sz w:val="22"/>
          <w:szCs w:val="22"/>
        </w:rPr>
        <w:t>provides that a transaction is entered into at a “relevant time” it is entered in</w:t>
      </w:r>
      <w:r w:rsidR="00887DA0">
        <w:rPr>
          <w:rFonts w:ascii="Avenir Next" w:hAnsi="Avenir Next" w:cs="Arial"/>
          <w:bCs/>
          <w:sz w:val="22"/>
          <w:szCs w:val="22"/>
        </w:rPr>
        <w:t xml:space="preserve">to two years prior to the onset of insolvency (defined to include the date of commencement of winding up in s 240(3)). Further, the company must be unable to pay its debts within the meaning of s 123 of the Act at the time the transaction is entered into, or must become unable to pay its debts as a result of the transaction - that said, these requirements are presumed to be satisfied if the transaction is entered into with a connected person of the company, unless the contrary is proven (s 240(2)). </w:t>
      </w:r>
    </w:p>
    <w:p w14:paraId="07D042D3" w14:textId="77777777" w:rsidR="00887DA0" w:rsidRDefault="00887DA0" w:rsidP="00274C36">
      <w:pPr>
        <w:ind w:left="720"/>
        <w:jc w:val="both"/>
        <w:rPr>
          <w:rFonts w:ascii="Avenir Next" w:hAnsi="Avenir Next" w:cs="Arial"/>
          <w:bCs/>
          <w:sz w:val="22"/>
          <w:szCs w:val="22"/>
        </w:rPr>
      </w:pPr>
    </w:p>
    <w:p w14:paraId="2DE35331" w14:textId="0DD8AF78" w:rsidR="00887DA0" w:rsidRPr="00887DA0" w:rsidRDefault="00887DA0" w:rsidP="00887DA0">
      <w:pPr>
        <w:ind w:left="720"/>
        <w:jc w:val="both"/>
        <w:rPr>
          <w:rFonts w:ascii="Avenir Next" w:hAnsi="Avenir Next" w:cs="Arial"/>
          <w:bCs/>
          <w:sz w:val="22"/>
          <w:szCs w:val="22"/>
        </w:rPr>
      </w:pPr>
      <w:r>
        <w:rPr>
          <w:rFonts w:ascii="Avenir Next" w:hAnsi="Avenir Next" w:cs="Arial"/>
          <w:bCs/>
          <w:sz w:val="22"/>
          <w:szCs w:val="22"/>
        </w:rPr>
        <w:t xml:space="preserve">In the present case, the sale of the marble cutting machines may possibly have occurred at an undervalue, given that they were acquired only a year ago for GBP 25,000 but were sold for the much lower value of GBP 10,000. The transaction also occurred within two years of the commencement of liquidation. Further, Rita Perkins (“RP”) is arguably a connected person to MQ, given that she is a director. The transaction may therefore be presumed to have been entered into at a time when the company was unable to pay its debts, or to have resulted in MQ being unable to pay its debts. There is nothing on the facts to suggest the contrary, especially since the transaction occurred in July 2022 when MQ was facing cash flow problems, and MQ </w:t>
      </w:r>
      <w:proofErr w:type="gramStart"/>
      <w:r>
        <w:rPr>
          <w:rFonts w:ascii="Avenir Next" w:hAnsi="Avenir Next" w:cs="Arial"/>
          <w:bCs/>
          <w:sz w:val="22"/>
          <w:szCs w:val="22"/>
        </w:rPr>
        <w:t>entered into</w:t>
      </w:r>
      <w:proofErr w:type="gramEnd"/>
      <w:r>
        <w:rPr>
          <w:rFonts w:ascii="Avenir Next" w:hAnsi="Avenir Next" w:cs="Arial"/>
          <w:bCs/>
          <w:sz w:val="22"/>
          <w:szCs w:val="22"/>
        </w:rPr>
        <w:t xml:space="preserve"> liquidation about six months after. If the court is satisfied that there was a transaction at an undervalue, it will make an order restoring the position to what it would have been but for the transaction. In this case, such an order would likely entail compelling RP to return the market value of the marble cutting machines at the time the transaction was </w:t>
      </w:r>
      <w:proofErr w:type="gramStart"/>
      <w:r>
        <w:rPr>
          <w:rFonts w:ascii="Avenir Next" w:hAnsi="Avenir Next" w:cs="Arial"/>
          <w:bCs/>
          <w:sz w:val="22"/>
          <w:szCs w:val="22"/>
        </w:rPr>
        <w:t>entered into</w:t>
      </w:r>
      <w:proofErr w:type="gramEnd"/>
      <w:r>
        <w:rPr>
          <w:rFonts w:ascii="Avenir Next" w:hAnsi="Avenir Next" w:cs="Arial"/>
          <w:bCs/>
          <w:sz w:val="22"/>
          <w:szCs w:val="22"/>
        </w:rPr>
        <w:t>, less the amount she paid to MQ for the machines (</w:t>
      </w:r>
      <w:proofErr w:type="spellStart"/>
      <w:r>
        <w:rPr>
          <w:rFonts w:ascii="Avenir Next" w:hAnsi="Avenir Next" w:cs="Arial"/>
          <w:bCs/>
          <w:i/>
          <w:iCs/>
          <w:sz w:val="22"/>
          <w:szCs w:val="22"/>
        </w:rPr>
        <w:t>ie</w:t>
      </w:r>
      <w:proofErr w:type="spellEnd"/>
      <w:r>
        <w:rPr>
          <w:rFonts w:ascii="Avenir Next" w:hAnsi="Avenir Next" w:cs="Arial"/>
          <w:bCs/>
          <w:sz w:val="22"/>
          <w:szCs w:val="22"/>
        </w:rPr>
        <w:t>, GBP 10,000).</w:t>
      </w:r>
    </w:p>
    <w:p w14:paraId="7ECAEEC5" w14:textId="77777777" w:rsidR="00887DA0" w:rsidRDefault="00887DA0" w:rsidP="00887DA0">
      <w:pPr>
        <w:ind w:left="720"/>
        <w:jc w:val="both"/>
        <w:rPr>
          <w:rFonts w:ascii="Avenir Next" w:hAnsi="Avenir Next" w:cs="Arial"/>
          <w:bCs/>
          <w:sz w:val="22"/>
          <w:szCs w:val="22"/>
        </w:rPr>
      </w:pPr>
    </w:p>
    <w:p w14:paraId="07962D63" w14:textId="7A9F2F11" w:rsidR="00EA3B38" w:rsidRPr="00C7473E" w:rsidRDefault="00887DA0" w:rsidP="00C7473E">
      <w:pPr>
        <w:ind w:left="720"/>
        <w:jc w:val="both"/>
        <w:rPr>
          <w:rFonts w:ascii="Avenir Next" w:hAnsi="Avenir Next" w:cs="Arial"/>
          <w:bCs/>
          <w:sz w:val="22"/>
          <w:szCs w:val="22"/>
        </w:rPr>
      </w:pPr>
      <w:r>
        <w:rPr>
          <w:rFonts w:ascii="Avenir Next" w:hAnsi="Avenir Next" w:cs="Arial"/>
          <w:bCs/>
          <w:sz w:val="22"/>
          <w:szCs w:val="22"/>
        </w:rPr>
        <w:t xml:space="preserve">That said, a court will not make an order under s 238 if it can be shown that the </w:t>
      </w:r>
      <w:r w:rsidR="00C7473E">
        <w:rPr>
          <w:rFonts w:ascii="Avenir Next" w:hAnsi="Avenir Next" w:cs="Arial"/>
          <w:bCs/>
          <w:sz w:val="22"/>
          <w:szCs w:val="22"/>
        </w:rPr>
        <w:t xml:space="preserve">transaction was entered into by the company in good faith and for the purpose of </w:t>
      </w:r>
      <w:r w:rsidR="00C7473E">
        <w:rPr>
          <w:rFonts w:ascii="Avenir Next" w:hAnsi="Avenir Next" w:cs="Arial"/>
          <w:bCs/>
          <w:sz w:val="22"/>
          <w:szCs w:val="22"/>
        </w:rPr>
        <w:lastRenderedPageBreak/>
        <w:t xml:space="preserve">carrying on its business, and that at the time there were reasonable grounds for believing that the transaction would benefit the company. In the present case, RP may claim that the transaction was </w:t>
      </w:r>
      <w:r w:rsidR="00C7473E">
        <w:rPr>
          <w:rFonts w:ascii="Avenir Next" w:hAnsi="Avenir Next" w:cs="Arial"/>
          <w:bCs/>
          <w:i/>
          <w:iCs/>
          <w:sz w:val="22"/>
          <w:szCs w:val="22"/>
        </w:rPr>
        <w:t xml:space="preserve">not </w:t>
      </w:r>
      <w:r w:rsidR="00C7473E">
        <w:rPr>
          <w:rFonts w:ascii="Avenir Next" w:hAnsi="Avenir Next" w:cs="Arial"/>
          <w:bCs/>
          <w:sz w:val="22"/>
          <w:szCs w:val="22"/>
        </w:rPr>
        <w:t xml:space="preserve">at an undervalue, if it can be shown that the value of the marble cutting machines drastically depreciated in value due to wear and tear / prevailing market conditions etc. RP may also contend that the transaction was done in good faith and for the benefit of the company, as the company was urgently in need of funds and the injection of GBP 10,000 into the company would have reasonably allowed the company to carry on its business for longer. Whether this argument is accepted by the court would ultimately depend on the facts and the precise circumstances under which the transaction was </w:t>
      </w:r>
      <w:proofErr w:type="gramStart"/>
      <w:r w:rsidR="00C7473E">
        <w:rPr>
          <w:rFonts w:ascii="Avenir Next" w:hAnsi="Avenir Next" w:cs="Arial"/>
          <w:bCs/>
          <w:sz w:val="22"/>
          <w:szCs w:val="22"/>
        </w:rPr>
        <w:t>entered into</w:t>
      </w:r>
      <w:proofErr w:type="gramEnd"/>
      <w:r w:rsidR="00C7473E">
        <w:rPr>
          <w:rFonts w:ascii="Avenir Next" w:hAnsi="Avenir Next" w:cs="Arial"/>
          <w:bCs/>
          <w:sz w:val="22"/>
          <w:szCs w:val="22"/>
        </w:rPr>
        <w:t xml:space="preserve">. </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F38B806" w14:textId="31D4476C" w:rsidR="009452DF" w:rsidRDefault="00C7473E" w:rsidP="00C7473E">
      <w:pPr>
        <w:ind w:left="720"/>
        <w:jc w:val="both"/>
        <w:rPr>
          <w:rFonts w:ascii="Avenir Next" w:hAnsi="Avenir Next" w:cs="Arial"/>
          <w:sz w:val="22"/>
          <w:szCs w:val="22"/>
        </w:rPr>
      </w:pPr>
      <w:r>
        <w:rPr>
          <w:rFonts w:ascii="Avenir Next" w:hAnsi="Avenir Next" w:cs="Arial"/>
          <w:sz w:val="22"/>
          <w:szCs w:val="22"/>
        </w:rPr>
        <w:t xml:space="preserve">The payments could be challenged as being preferences under s 239 of the Act, but establishing this will likely be difficult. </w:t>
      </w:r>
      <w:proofErr w:type="gramStart"/>
      <w:r>
        <w:rPr>
          <w:rFonts w:ascii="Avenir Next" w:hAnsi="Avenir Next" w:cs="Arial"/>
          <w:sz w:val="22"/>
          <w:szCs w:val="22"/>
        </w:rPr>
        <w:t>In order to</w:t>
      </w:r>
      <w:proofErr w:type="gramEnd"/>
      <w:r>
        <w:rPr>
          <w:rFonts w:ascii="Avenir Next" w:hAnsi="Avenir Next" w:cs="Arial"/>
          <w:sz w:val="22"/>
          <w:szCs w:val="22"/>
        </w:rPr>
        <w:t xml:space="preserve"> succeed on an application under s 239, the liquidator must show that:</w:t>
      </w:r>
    </w:p>
    <w:p w14:paraId="71D71C76" w14:textId="1C5A81B4" w:rsidR="00C7473E" w:rsidRDefault="00C7473E" w:rsidP="00C7473E">
      <w:pPr>
        <w:pStyle w:val="ListParagraph"/>
        <w:numPr>
          <w:ilvl w:val="0"/>
          <w:numId w:val="21"/>
        </w:numPr>
        <w:jc w:val="both"/>
        <w:rPr>
          <w:rFonts w:ascii="Avenir Next" w:hAnsi="Avenir Next" w:cs="Arial"/>
          <w:sz w:val="22"/>
          <w:szCs w:val="22"/>
        </w:rPr>
      </w:pPr>
      <w:r>
        <w:rPr>
          <w:rFonts w:ascii="Avenir Next" w:hAnsi="Avenir Next" w:cs="Arial"/>
          <w:sz w:val="22"/>
          <w:szCs w:val="22"/>
        </w:rPr>
        <w:t xml:space="preserve">the person who was allegedly preferred was, at the time of the transaction, a creditor of the </w:t>
      </w:r>
      <w:proofErr w:type="gramStart"/>
      <w:r>
        <w:rPr>
          <w:rFonts w:ascii="Avenir Next" w:hAnsi="Avenir Next" w:cs="Arial"/>
          <w:sz w:val="22"/>
          <w:szCs w:val="22"/>
        </w:rPr>
        <w:t>company;</w:t>
      </w:r>
      <w:proofErr w:type="gramEnd"/>
    </w:p>
    <w:p w14:paraId="34374419" w14:textId="31C147E6" w:rsidR="00C7473E" w:rsidRDefault="00C7473E" w:rsidP="00C7473E">
      <w:pPr>
        <w:pStyle w:val="ListParagraph"/>
        <w:numPr>
          <w:ilvl w:val="0"/>
          <w:numId w:val="21"/>
        </w:numPr>
        <w:jc w:val="both"/>
        <w:rPr>
          <w:rFonts w:ascii="Avenir Next" w:hAnsi="Avenir Next" w:cs="Arial"/>
          <w:sz w:val="22"/>
          <w:szCs w:val="22"/>
        </w:rPr>
      </w:pPr>
      <w:r>
        <w:rPr>
          <w:rFonts w:ascii="Avenir Next" w:hAnsi="Avenir Next" w:cs="Arial"/>
          <w:sz w:val="22"/>
          <w:szCs w:val="22"/>
        </w:rPr>
        <w:t xml:space="preserve">something was done or suffered to be done by the company, which had the </w:t>
      </w:r>
      <w:r w:rsidR="00D163F5">
        <w:rPr>
          <w:rFonts w:ascii="Avenir Next" w:hAnsi="Avenir Next" w:cs="Arial"/>
          <w:sz w:val="22"/>
          <w:szCs w:val="22"/>
        </w:rPr>
        <w:t>effect</w:t>
      </w:r>
      <w:r>
        <w:rPr>
          <w:rFonts w:ascii="Avenir Next" w:hAnsi="Avenir Next" w:cs="Arial"/>
          <w:sz w:val="22"/>
          <w:szCs w:val="22"/>
        </w:rPr>
        <w:t xml:space="preserve"> of putting that person in a better position, in the event of the company going into insolvent liquidation, than the position he or she would have been in had that thing not been </w:t>
      </w:r>
      <w:proofErr w:type="gramStart"/>
      <w:r>
        <w:rPr>
          <w:rFonts w:ascii="Avenir Next" w:hAnsi="Avenir Next" w:cs="Arial"/>
          <w:sz w:val="22"/>
          <w:szCs w:val="22"/>
        </w:rPr>
        <w:t>done;</w:t>
      </w:r>
      <w:proofErr w:type="gramEnd"/>
    </w:p>
    <w:p w14:paraId="0967BAF8" w14:textId="1F0FFCA0" w:rsidR="00C7473E" w:rsidRDefault="00C7473E" w:rsidP="00C7473E">
      <w:pPr>
        <w:pStyle w:val="ListParagraph"/>
        <w:numPr>
          <w:ilvl w:val="0"/>
          <w:numId w:val="21"/>
        </w:numPr>
        <w:jc w:val="both"/>
        <w:rPr>
          <w:rFonts w:ascii="Avenir Next" w:hAnsi="Avenir Next" w:cs="Arial"/>
          <w:sz w:val="22"/>
          <w:szCs w:val="22"/>
        </w:rPr>
      </w:pPr>
      <w:r>
        <w:rPr>
          <w:rFonts w:ascii="Avenir Next" w:hAnsi="Avenir Next" w:cs="Arial"/>
          <w:sz w:val="22"/>
          <w:szCs w:val="22"/>
        </w:rPr>
        <w:t xml:space="preserve">the company was in giving the preference, influenced by a desire to produce the effect referred to in (b) </w:t>
      </w:r>
      <w:proofErr w:type="gramStart"/>
      <w:r>
        <w:rPr>
          <w:rFonts w:ascii="Avenir Next" w:hAnsi="Avenir Next" w:cs="Arial"/>
          <w:sz w:val="22"/>
          <w:szCs w:val="22"/>
        </w:rPr>
        <w:t>above;</w:t>
      </w:r>
      <w:proofErr w:type="gramEnd"/>
      <w:r>
        <w:rPr>
          <w:rFonts w:ascii="Avenir Next" w:hAnsi="Avenir Next" w:cs="Arial"/>
          <w:sz w:val="22"/>
          <w:szCs w:val="22"/>
        </w:rPr>
        <w:t xml:space="preserve"> </w:t>
      </w:r>
    </w:p>
    <w:p w14:paraId="1F5B87FF" w14:textId="0FEADF52" w:rsidR="00C7473E" w:rsidRDefault="00C7473E" w:rsidP="00C7473E">
      <w:pPr>
        <w:pStyle w:val="ListParagraph"/>
        <w:numPr>
          <w:ilvl w:val="0"/>
          <w:numId w:val="21"/>
        </w:numPr>
        <w:jc w:val="both"/>
        <w:rPr>
          <w:rFonts w:ascii="Avenir Next" w:hAnsi="Avenir Next" w:cs="Arial"/>
          <w:sz w:val="22"/>
          <w:szCs w:val="22"/>
        </w:rPr>
      </w:pPr>
      <w:r>
        <w:rPr>
          <w:rFonts w:ascii="Avenir Next" w:hAnsi="Avenir Next" w:cs="Arial"/>
          <w:sz w:val="22"/>
          <w:szCs w:val="22"/>
        </w:rPr>
        <w:t xml:space="preserve">the preference was given at a relevant time. </w:t>
      </w:r>
    </w:p>
    <w:p w14:paraId="71ADAC63" w14:textId="77777777" w:rsidR="00C7473E" w:rsidRDefault="00C7473E" w:rsidP="00C7473E">
      <w:pPr>
        <w:jc w:val="both"/>
        <w:rPr>
          <w:rFonts w:ascii="Avenir Next" w:hAnsi="Avenir Next" w:cs="Arial"/>
          <w:sz w:val="22"/>
          <w:szCs w:val="22"/>
        </w:rPr>
      </w:pPr>
    </w:p>
    <w:p w14:paraId="5C452BCD" w14:textId="7EF9ACC1" w:rsidR="00C7473E" w:rsidRDefault="00D163F5" w:rsidP="00C7473E">
      <w:pPr>
        <w:ind w:left="720"/>
        <w:jc w:val="both"/>
        <w:rPr>
          <w:rFonts w:ascii="Avenir Next" w:hAnsi="Avenir Next" w:cs="Arial"/>
          <w:sz w:val="22"/>
          <w:szCs w:val="22"/>
        </w:rPr>
      </w:pPr>
      <w:r>
        <w:rPr>
          <w:rFonts w:ascii="Avenir Next" w:hAnsi="Avenir Next" w:cs="Arial"/>
          <w:sz w:val="22"/>
          <w:szCs w:val="22"/>
        </w:rPr>
        <w:t xml:space="preserve">The burden of proving the above is on the </w:t>
      </w:r>
      <w:proofErr w:type="gramStart"/>
      <w:r>
        <w:rPr>
          <w:rFonts w:ascii="Avenir Next" w:hAnsi="Avenir Next" w:cs="Arial"/>
          <w:sz w:val="22"/>
          <w:szCs w:val="22"/>
        </w:rPr>
        <w:t>liquidator, unless</w:t>
      </w:r>
      <w:proofErr w:type="gramEnd"/>
      <w:r>
        <w:rPr>
          <w:rFonts w:ascii="Avenir Next" w:hAnsi="Avenir Next" w:cs="Arial"/>
          <w:sz w:val="22"/>
          <w:szCs w:val="22"/>
        </w:rPr>
        <w:t xml:space="preserve"> the person preferred was a connected person to the company (in which case the burden reverses). In determining whether a company preferred a creditor, it should be noted that any pressure applied by the creditor is not relevant. Any pressure from the creditor is only relevant to considering if there was a desire to prefer. </w:t>
      </w:r>
    </w:p>
    <w:p w14:paraId="0E8A8424" w14:textId="77777777" w:rsidR="00D163F5" w:rsidRDefault="00D163F5" w:rsidP="00C7473E">
      <w:pPr>
        <w:ind w:left="720"/>
        <w:jc w:val="both"/>
        <w:rPr>
          <w:rFonts w:ascii="Avenir Next" w:hAnsi="Avenir Next" w:cs="Arial"/>
          <w:sz w:val="22"/>
          <w:szCs w:val="22"/>
        </w:rPr>
      </w:pPr>
    </w:p>
    <w:p w14:paraId="4BF30451" w14:textId="6D0C39A5" w:rsidR="00D163F5" w:rsidRDefault="00D163F5" w:rsidP="00C7473E">
      <w:pPr>
        <w:ind w:left="720"/>
        <w:jc w:val="both"/>
        <w:rPr>
          <w:rFonts w:ascii="Avenir Next" w:hAnsi="Avenir Next" w:cs="Arial"/>
          <w:sz w:val="22"/>
          <w:szCs w:val="22"/>
        </w:rPr>
      </w:pPr>
      <w:r>
        <w:rPr>
          <w:rFonts w:ascii="Avenir Next" w:hAnsi="Avenir Next" w:cs="Arial"/>
          <w:sz w:val="22"/>
          <w:szCs w:val="22"/>
        </w:rPr>
        <w:t xml:space="preserve">As for the “relevant time”, s 240 of the Act provides that the preference must have occurred within two years prior to the onset of insolvency if the person preferred was a connected person, or within six months prior to the onset of insolvency if the person was not connected to the company. Further, the company must have been unable to pay its debts within the meaning of s 123 of the Act at the time of the </w:t>
      </w:r>
      <w:proofErr w:type="gramStart"/>
      <w:r>
        <w:rPr>
          <w:rFonts w:ascii="Avenir Next" w:hAnsi="Avenir Next" w:cs="Arial"/>
          <w:sz w:val="22"/>
          <w:szCs w:val="22"/>
        </w:rPr>
        <w:t>preference, or</w:t>
      </w:r>
      <w:proofErr w:type="gramEnd"/>
      <w:r>
        <w:rPr>
          <w:rFonts w:ascii="Avenir Next" w:hAnsi="Avenir Next" w:cs="Arial"/>
          <w:sz w:val="22"/>
          <w:szCs w:val="22"/>
        </w:rPr>
        <w:t xml:space="preserve"> must have become unable to pay its debts as a result of the preference.</w:t>
      </w:r>
    </w:p>
    <w:p w14:paraId="3D52CD4A" w14:textId="77777777" w:rsidR="00D163F5" w:rsidRDefault="00D163F5" w:rsidP="00C7473E">
      <w:pPr>
        <w:ind w:left="720"/>
        <w:jc w:val="both"/>
        <w:rPr>
          <w:rFonts w:ascii="Avenir Next" w:hAnsi="Avenir Next" w:cs="Arial"/>
          <w:sz w:val="22"/>
          <w:szCs w:val="22"/>
        </w:rPr>
      </w:pPr>
    </w:p>
    <w:p w14:paraId="66652D8F" w14:textId="77777777" w:rsidR="00D163F5" w:rsidRDefault="00D163F5" w:rsidP="00D163F5">
      <w:pPr>
        <w:ind w:left="720"/>
        <w:jc w:val="both"/>
        <w:rPr>
          <w:rFonts w:ascii="Avenir Next" w:hAnsi="Avenir Next" w:cs="Arial"/>
          <w:sz w:val="22"/>
          <w:szCs w:val="22"/>
        </w:rPr>
      </w:pPr>
      <w:proofErr w:type="gramStart"/>
      <w:r>
        <w:rPr>
          <w:rFonts w:ascii="Avenir Next" w:hAnsi="Avenir Next" w:cs="Arial"/>
          <w:sz w:val="22"/>
          <w:szCs w:val="22"/>
        </w:rPr>
        <w:t>With regard to</w:t>
      </w:r>
      <w:proofErr w:type="gramEnd"/>
      <w:r>
        <w:rPr>
          <w:rFonts w:ascii="Avenir Next" w:hAnsi="Avenir Next" w:cs="Arial"/>
          <w:sz w:val="22"/>
          <w:szCs w:val="22"/>
        </w:rPr>
        <w:t xml:space="preserve"> the need to show a desire to prefer, it should be noted that a desire to prefer is distinct from an intention to prefer: </w:t>
      </w:r>
      <w:r>
        <w:rPr>
          <w:rFonts w:ascii="Avenir Next" w:hAnsi="Avenir Next" w:cs="Arial"/>
          <w:i/>
          <w:iCs/>
          <w:sz w:val="22"/>
          <w:szCs w:val="22"/>
        </w:rPr>
        <w:t xml:space="preserve">Re MC Bacon Ltd </w:t>
      </w:r>
      <w:r>
        <w:rPr>
          <w:rFonts w:ascii="Avenir Next" w:hAnsi="Avenir Next" w:cs="Arial"/>
          <w:sz w:val="22"/>
          <w:szCs w:val="22"/>
        </w:rPr>
        <w:t xml:space="preserve">[1990] BCC 78. An intention to grant security to a creditor will necessarily involve an </w:t>
      </w:r>
      <w:r>
        <w:rPr>
          <w:rFonts w:ascii="Avenir Next" w:hAnsi="Avenir Next" w:cs="Arial"/>
          <w:i/>
          <w:iCs/>
          <w:sz w:val="22"/>
          <w:szCs w:val="22"/>
        </w:rPr>
        <w:t xml:space="preserve">objective </w:t>
      </w:r>
      <w:r>
        <w:rPr>
          <w:rFonts w:ascii="Avenir Next" w:hAnsi="Avenir Next" w:cs="Arial"/>
          <w:sz w:val="22"/>
          <w:szCs w:val="22"/>
        </w:rPr>
        <w:t xml:space="preserve">intention to </w:t>
      </w:r>
      <w:proofErr w:type="gramStart"/>
      <w:r>
        <w:rPr>
          <w:rFonts w:ascii="Avenir Next" w:hAnsi="Avenir Next" w:cs="Arial"/>
          <w:sz w:val="22"/>
          <w:szCs w:val="22"/>
        </w:rPr>
        <w:t>prefer, but</w:t>
      </w:r>
      <w:proofErr w:type="gramEnd"/>
      <w:r>
        <w:rPr>
          <w:rFonts w:ascii="Avenir Next" w:hAnsi="Avenir Next" w:cs="Arial"/>
          <w:sz w:val="22"/>
          <w:szCs w:val="22"/>
        </w:rPr>
        <w:t xml:space="preserve"> does not itself amount to a </w:t>
      </w:r>
      <w:r w:rsidRPr="00D163F5">
        <w:rPr>
          <w:rFonts w:ascii="Avenir Next" w:hAnsi="Avenir Next" w:cs="Arial"/>
          <w:i/>
          <w:iCs/>
          <w:sz w:val="22"/>
          <w:szCs w:val="22"/>
        </w:rPr>
        <w:t>subjective</w:t>
      </w:r>
      <w:r>
        <w:rPr>
          <w:rFonts w:ascii="Avenir Next" w:hAnsi="Avenir Next" w:cs="Arial"/>
          <w:sz w:val="22"/>
          <w:szCs w:val="22"/>
        </w:rPr>
        <w:t xml:space="preserve"> desire to prefer. It may also be </w:t>
      </w:r>
      <w:r>
        <w:rPr>
          <w:rFonts w:ascii="Avenir Next" w:hAnsi="Avenir Next" w:cs="Arial"/>
          <w:sz w:val="22"/>
          <w:szCs w:val="22"/>
        </w:rPr>
        <w:lastRenderedPageBreak/>
        <w:t xml:space="preserve">observed that a decision driven by commercial considerations does not mean a desire to prefer. For instance, in </w:t>
      </w:r>
      <w:r>
        <w:rPr>
          <w:rFonts w:ascii="Avenir Next" w:hAnsi="Avenir Next" w:cs="Arial"/>
          <w:i/>
          <w:iCs/>
          <w:sz w:val="22"/>
          <w:szCs w:val="22"/>
        </w:rPr>
        <w:t>Re MC Bacon Ltd</w:t>
      </w:r>
      <w:r>
        <w:rPr>
          <w:rFonts w:ascii="Avenir Next" w:hAnsi="Avenir Next" w:cs="Arial"/>
          <w:sz w:val="22"/>
          <w:szCs w:val="22"/>
        </w:rPr>
        <w:t>, Millett J found that the granting of a debenture to the company’s bank to secure past indebtedness did not amount to a preference. This was because the company had been entirely dependent on the bank’s support for continued trading, such that if the debenture were not granted, the bank would withdraw its support and force the company into immediate liquidation. The granting of the debenture was therefore motivated by a desire to avoid the calling in of the overdraft and a desire to continue the company’s trading, rather than a desire to prefer. It has also been held in subsequent cases that where a company was solely influenced by commercial considerations, specifically attempts to ensure that the company continued trading, there can be no desire to prefer. Where the preference is given to a connected person, the desire to prefer will be presumed unless the contrary is shown.</w:t>
      </w:r>
    </w:p>
    <w:p w14:paraId="3B6CED8B" w14:textId="77777777" w:rsidR="00D163F5" w:rsidRDefault="00D163F5" w:rsidP="00D163F5">
      <w:pPr>
        <w:ind w:left="720"/>
        <w:jc w:val="both"/>
        <w:rPr>
          <w:rFonts w:ascii="Avenir Next" w:hAnsi="Avenir Next" w:cs="Arial"/>
          <w:sz w:val="22"/>
          <w:szCs w:val="22"/>
        </w:rPr>
      </w:pPr>
    </w:p>
    <w:p w14:paraId="3A2757C5" w14:textId="717463A1" w:rsidR="00D163F5" w:rsidRPr="00F16B2C" w:rsidRDefault="00D163F5" w:rsidP="00D163F5">
      <w:pPr>
        <w:ind w:left="720"/>
        <w:jc w:val="both"/>
      </w:pPr>
      <w:r>
        <w:rPr>
          <w:rFonts w:ascii="Avenir Next" w:hAnsi="Avenir Next" w:cs="Arial"/>
          <w:sz w:val="22"/>
          <w:szCs w:val="22"/>
        </w:rPr>
        <w:t>In the present case, the payments were made to Hard &amp; Fast Ltd</w:t>
      </w:r>
      <w:r w:rsidR="00F16B2C">
        <w:rPr>
          <w:rFonts w:ascii="Avenir Next" w:hAnsi="Avenir Next" w:cs="Arial"/>
          <w:sz w:val="22"/>
          <w:szCs w:val="22"/>
        </w:rPr>
        <w:t xml:space="preserve"> (“HF”)</w:t>
      </w:r>
      <w:r>
        <w:rPr>
          <w:rFonts w:ascii="Avenir Next" w:hAnsi="Avenir Next" w:cs="Arial"/>
          <w:sz w:val="22"/>
          <w:szCs w:val="22"/>
        </w:rPr>
        <w:t>, who was one of MQ’s creditors.</w:t>
      </w:r>
      <w:r w:rsidR="00F16B2C">
        <w:rPr>
          <w:rFonts w:ascii="Avenir Next" w:hAnsi="Avenir Next" w:cs="Arial"/>
          <w:sz w:val="22"/>
          <w:szCs w:val="22"/>
        </w:rPr>
        <w:t xml:space="preserve"> The payments had the effect of placing HF in a better position than other unsecured creditors, as HF received immediate payment of GBP 8,000 for past debts, and upfront payment of GBP 3,000 for the supplies it delivered in the month prior to the commencement of winding up. The payments also occurred at a relevant time, given that they occurred in the six months prior to winding up, and MQ was ostensibly unable to pay its debts at that time (given that winding up commenced a month after). That said, it may be difficult to establish that there was a requisite desire to prefer – HF is not a connected party, and so the desire to prefer cannot be presumed. On the facts, it may be argued that MQ’s decision to pay HF was driven by purely commercial considerations. Given that HF was one of MQ’s key suppliers, any termination in supply from HF (</w:t>
      </w:r>
      <w:proofErr w:type="gramStart"/>
      <w:r w:rsidR="00F16B2C">
        <w:rPr>
          <w:rFonts w:ascii="Avenir Next" w:hAnsi="Avenir Next" w:cs="Arial"/>
          <w:sz w:val="22"/>
          <w:szCs w:val="22"/>
        </w:rPr>
        <w:t>as a result of</w:t>
      </w:r>
      <w:proofErr w:type="gramEnd"/>
      <w:r w:rsidR="00F16B2C">
        <w:rPr>
          <w:rFonts w:ascii="Avenir Next" w:hAnsi="Avenir Next" w:cs="Arial"/>
          <w:sz w:val="22"/>
          <w:szCs w:val="22"/>
        </w:rPr>
        <w:t xml:space="preserve"> MQ’s non-payment of past debts) may cause serious disruptions to MQ’s business, and force MQ into immediate liquidation. In the circumstances, it may be difficult to establish that the payments were done </w:t>
      </w:r>
      <w:proofErr w:type="gramStart"/>
      <w:r w:rsidR="00F16B2C">
        <w:rPr>
          <w:rFonts w:ascii="Avenir Next" w:hAnsi="Avenir Next" w:cs="Arial"/>
          <w:sz w:val="22"/>
          <w:szCs w:val="22"/>
        </w:rPr>
        <w:t>as a result of</w:t>
      </w:r>
      <w:proofErr w:type="gramEnd"/>
      <w:r w:rsidR="00F16B2C">
        <w:rPr>
          <w:rFonts w:ascii="Avenir Next" w:hAnsi="Avenir Next" w:cs="Arial"/>
          <w:sz w:val="22"/>
          <w:szCs w:val="22"/>
        </w:rPr>
        <w:t xml:space="preserve"> desire to prefer HF.</w:t>
      </w:r>
    </w:p>
    <w:p w14:paraId="4B738C6B" w14:textId="77777777" w:rsidR="00D163F5" w:rsidRDefault="00D163F5" w:rsidP="00C7473E">
      <w:pPr>
        <w:ind w:left="720"/>
        <w:jc w:val="both"/>
        <w:rPr>
          <w:rFonts w:ascii="Avenir Next" w:hAnsi="Avenir Next" w:cs="Arial"/>
          <w:sz w:val="22"/>
          <w:szCs w:val="22"/>
        </w:rPr>
      </w:pPr>
    </w:p>
    <w:p w14:paraId="3EAE9922" w14:textId="77777777" w:rsidR="00D163F5" w:rsidRPr="00C7473E" w:rsidRDefault="00D163F5" w:rsidP="00C7473E">
      <w:pPr>
        <w:ind w:left="720"/>
        <w:jc w:val="both"/>
        <w:rPr>
          <w:rFonts w:ascii="Avenir Next" w:hAnsi="Avenir Next" w:cs="Arial"/>
          <w:sz w:val="22"/>
          <w:szCs w:val="22"/>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6D7BE" w14:textId="77777777" w:rsidR="003670D4" w:rsidRDefault="003670D4" w:rsidP="00241B44">
      <w:r>
        <w:separator/>
      </w:r>
    </w:p>
  </w:endnote>
  <w:endnote w:type="continuationSeparator" w:id="0">
    <w:p w14:paraId="1BBB2A96" w14:textId="77777777" w:rsidR="003670D4" w:rsidRDefault="003670D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1F507FEC" w:rsidR="00241FA3" w:rsidRPr="00A84235" w:rsidRDefault="00AD6BCE" w:rsidP="009B4976">
    <w:pPr>
      <w:pStyle w:val="Footer"/>
      <w:ind w:right="360"/>
      <w:rPr>
        <w:rFonts w:ascii="Avenir Next" w:hAnsi="Avenir Next" w:cs="Arial"/>
        <w:sz w:val="22"/>
        <w:szCs w:val="22"/>
        <w:lang w:val="en-GB"/>
      </w:rPr>
    </w:pPr>
    <w:r>
      <w:rPr>
        <w:rFonts w:ascii="Avenir Next" w:hAnsi="Avenir Next" w:cs="Arial"/>
        <w:sz w:val="22"/>
        <w:szCs w:val="22"/>
        <w:lang w:val="en-GB"/>
      </w:rPr>
      <w:t>202223-992</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3B9B6" w14:textId="77777777" w:rsidR="003670D4" w:rsidRDefault="003670D4" w:rsidP="00241B44">
      <w:r>
        <w:separator/>
      </w:r>
    </w:p>
  </w:footnote>
  <w:footnote w:type="continuationSeparator" w:id="0">
    <w:p w14:paraId="3BB1056F" w14:textId="77777777" w:rsidR="003670D4" w:rsidRDefault="003670D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62407"/>
    <w:multiLevelType w:val="hybridMultilevel"/>
    <w:tmpl w:val="384879FC"/>
    <w:lvl w:ilvl="0" w:tplc="BD8AD4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15FB5"/>
    <w:multiLevelType w:val="hybridMultilevel"/>
    <w:tmpl w:val="6B5E77F2"/>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B3222"/>
    <w:multiLevelType w:val="hybridMultilevel"/>
    <w:tmpl w:val="E64CAB98"/>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6" w15:restartNumberingAfterBreak="0">
    <w:nsid w:val="6769731F"/>
    <w:multiLevelType w:val="hybridMultilevel"/>
    <w:tmpl w:val="D10C396C"/>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7045855">
    <w:abstractNumId w:val="5"/>
  </w:num>
  <w:num w:numId="2" w16cid:durableId="1834444271">
    <w:abstractNumId w:val="2"/>
  </w:num>
  <w:num w:numId="3" w16cid:durableId="621424831">
    <w:abstractNumId w:val="0"/>
  </w:num>
  <w:num w:numId="4" w16cid:durableId="974680517">
    <w:abstractNumId w:val="10"/>
  </w:num>
  <w:num w:numId="5" w16cid:durableId="457378917">
    <w:abstractNumId w:val="13"/>
  </w:num>
  <w:num w:numId="6" w16cid:durableId="1398086824">
    <w:abstractNumId w:val="3"/>
  </w:num>
  <w:num w:numId="7" w16cid:durableId="179970912">
    <w:abstractNumId w:val="14"/>
  </w:num>
  <w:num w:numId="8" w16cid:durableId="1413239383">
    <w:abstractNumId w:val="19"/>
  </w:num>
  <w:num w:numId="9" w16cid:durableId="1985500719">
    <w:abstractNumId w:val="11"/>
  </w:num>
  <w:num w:numId="10" w16cid:durableId="670184742">
    <w:abstractNumId w:val="20"/>
  </w:num>
  <w:num w:numId="11" w16cid:durableId="382557047">
    <w:abstractNumId w:val="8"/>
  </w:num>
  <w:num w:numId="12" w16cid:durableId="962736080">
    <w:abstractNumId w:val="17"/>
  </w:num>
  <w:num w:numId="13" w16cid:durableId="881094709">
    <w:abstractNumId w:val="12"/>
  </w:num>
  <w:num w:numId="14" w16cid:durableId="1062170936">
    <w:abstractNumId w:val="6"/>
  </w:num>
  <w:num w:numId="15" w16cid:durableId="1369985929">
    <w:abstractNumId w:val="15"/>
  </w:num>
  <w:num w:numId="16" w16cid:durableId="308244339">
    <w:abstractNumId w:val="18"/>
  </w:num>
  <w:num w:numId="17" w16cid:durableId="285622047">
    <w:abstractNumId w:val="9"/>
  </w:num>
  <w:num w:numId="18" w16cid:durableId="1226255555">
    <w:abstractNumId w:val="16"/>
  </w:num>
  <w:num w:numId="19" w16cid:durableId="200411012">
    <w:abstractNumId w:val="7"/>
  </w:num>
  <w:num w:numId="20" w16cid:durableId="1576889185">
    <w:abstractNumId w:val="4"/>
  </w:num>
  <w:num w:numId="21" w16cid:durableId="49356795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7DE"/>
    <w:rsid w:val="00026F16"/>
    <w:rsid w:val="00037621"/>
    <w:rsid w:val="00044D46"/>
    <w:rsid w:val="00045088"/>
    <w:rsid w:val="00045904"/>
    <w:rsid w:val="00047222"/>
    <w:rsid w:val="000502FD"/>
    <w:rsid w:val="00055AC7"/>
    <w:rsid w:val="000600B9"/>
    <w:rsid w:val="00065166"/>
    <w:rsid w:val="00082609"/>
    <w:rsid w:val="00083145"/>
    <w:rsid w:val="00084BFD"/>
    <w:rsid w:val="000851CC"/>
    <w:rsid w:val="00087F21"/>
    <w:rsid w:val="00093BE8"/>
    <w:rsid w:val="000A407B"/>
    <w:rsid w:val="000A5191"/>
    <w:rsid w:val="000A68ED"/>
    <w:rsid w:val="000B5FF1"/>
    <w:rsid w:val="000B609F"/>
    <w:rsid w:val="000D10C6"/>
    <w:rsid w:val="000D55A8"/>
    <w:rsid w:val="000D6586"/>
    <w:rsid w:val="000E007B"/>
    <w:rsid w:val="000E4841"/>
    <w:rsid w:val="000F1677"/>
    <w:rsid w:val="000F3D6C"/>
    <w:rsid w:val="000F64DE"/>
    <w:rsid w:val="00101694"/>
    <w:rsid w:val="00101707"/>
    <w:rsid w:val="00102CC9"/>
    <w:rsid w:val="0010593A"/>
    <w:rsid w:val="00107621"/>
    <w:rsid w:val="0011473D"/>
    <w:rsid w:val="00115C85"/>
    <w:rsid w:val="00123855"/>
    <w:rsid w:val="00123910"/>
    <w:rsid w:val="001256DF"/>
    <w:rsid w:val="00126A4D"/>
    <w:rsid w:val="0013596E"/>
    <w:rsid w:val="0014171F"/>
    <w:rsid w:val="0014622C"/>
    <w:rsid w:val="00152348"/>
    <w:rsid w:val="0015456D"/>
    <w:rsid w:val="00155FA2"/>
    <w:rsid w:val="00161F1B"/>
    <w:rsid w:val="00162829"/>
    <w:rsid w:val="001726E6"/>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D6A2C"/>
    <w:rsid w:val="001E25B9"/>
    <w:rsid w:val="001E49E0"/>
    <w:rsid w:val="001E7B5A"/>
    <w:rsid w:val="001F3C98"/>
    <w:rsid w:val="001F68B8"/>
    <w:rsid w:val="001F7412"/>
    <w:rsid w:val="0020090A"/>
    <w:rsid w:val="0020204E"/>
    <w:rsid w:val="00202DFE"/>
    <w:rsid w:val="0020725B"/>
    <w:rsid w:val="00210E27"/>
    <w:rsid w:val="002110F1"/>
    <w:rsid w:val="00212001"/>
    <w:rsid w:val="002245E8"/>
    <w:rsid w:val="002356EA"/>
    <w:rsid w:val="0024116D"/>
    <w:rsid w:val="00241B44"/>
    <w:rsid w:val="00241FA3"/>
    <w:rsid w:val="002424E9"/>
    <w:rsid w:val="00245EFB"/>
    <w:rsid w:val="00251A7D"/>
    <w:rsid w:val="0025386E"/>
    <w:rsid w:val="002638B0"/>
    <w:rsid w:val="0026647A"/>
    <w:rsid w:val="002668D3"/>
    <w:rsid w:val="002725ED"/>
    <w:rsid w:val="0027299F"/>
    <w:rsid w:val="00274C36"/>
    <w:rsid w:val="0028340C"/>
    <w:rsid w:val="00284EBE"/>
    <w:rsid w:val="00285F19"/>
    <w:rsid w:val="002903A7"/>
    <w:rsid w:val="0029433F"/>
    <w:rsid w:val="00294829"/>
    <w:rsid w:val="0029690F"/>
    <w:rsid w:val="00297C8A"/>
    <w:rsid w:val="002A2A60"/>
    <w:rsid w:val="002A37BB"/>
    <w:rsid w:val="002B1C45"/>
    <w:rsid w:val="002C13C8"/>
    <w:rsid w:val="002C3547"/>
    <w:rsid w:val="002C46CB"/>
    <w:rsid w:val="002D0021"/>
    <w:rsid w:val="002D299D"/>
    <w:rsid w:val="002D2A72"/>
    <w:rsid w:val="002D3473"/>
    <w:rsid w:val="002E5484"/>
    <w:rsid w:val="002F1956"/>
    <w:rsid w:val="002F2755"/>
    <w:rsid w:val="002F3440"/>
    <w:rsid w:val="002F4C48"/>
    <w:rsid w:val="002F75A3"/>
    <w:rsid w:val="002F77D6"/>
    <w:rsid w:val="00303C2F"/>
    <w:rsid w:val="00311816"/>
    <w:rsid w:val="003144EF"/>
    <w:rsid w:val="00314F32"/>
    <w:rsid w:val="00326292"/>
    <w:rsid w:val="00326415"/>
    <w:rsid w:val="00330937"/>
    <w:rsid w:val="00330E61"/>
    <w:rsid w:val="00330F31"/>
    <w:rsid w:val="00334648"/>
    <w:rsid w:val="00336C69"/>
    <w:rsid w:val="0033768C"/>
    <w:rsid w:val="00337938"/>
    <w:rsid w:val="00340769"/>
    <w:rsid w:val="00341AA6"/>
    <w:rsid w:val="00353DFE"/>
    <w:rsid w:val="00361A0A"/>
    <w:rsid w:val="00361E2F"/>
    <w:rsid w:val="00364836"/>
    <w:rsid w:val="0036565C"/>
    <w:rsid w:val="0036625E"/>
    <w:rsid w:val="003670D4"/>
    <w:rsid w:val="00372E54"/>
    <w:rsid w:val="0037465A"/>
    <w:rsid w:val="00377942"/>
    <w:rsid w:val="00382C98"/>
    <w:rsid w:val="0038410E"/>
    <w:rsid w:val="0038533C"/>
    <w:rsid w:val="00386568"/>
    <w:rsid w:val="00390B57"/>
    <w:rsid w:val="003948D5"/>
    <w:rsid w:val="0039612E"/>
    <w:rsid w:val="00396821"/>
    <w:rsid w:val="00397D3A"/>
    <w:rsid w:val="003A051E"/>
    <w:rsid w:val="003A4482"/>
    <w:rsid w:val="003B170F"/>
    <w:rsid w:val="003B3C5F"/>
    <w:rsid w:val="003C4471"/>
    <w:rsid w:val="003D0A6D"/>
    <w:rsid w:val="003E0B16"/>
    <w:rsid w:val="003E1BBF"/>
    <w:rsid w:val="003E3BCC"/>
    <w:rsid w:val="003E67D1"/>
    <w:rsid w:val="00404329"/>
    <w:rsid w:val="00405DC1"/>
    <w:rsid w:val="00406751"/>
    <w:rsid w:val="00410BEB"/>
    <w:rsid w:val="00414B59"/>
    <w:rsid w:val="00415F1F"/>
    <w:rsid w:val="004174F6"/>
    <w:rsid w:val="0042108F"/>
    <w:rsid w:val="00430FED"/>
    <w:rsid w:val="004332A3"/>
    <w:rsid w:val="00434975"/>
    <w:rsid w:val="00434A8C"/>
    <w:rsid w:val="00435114"/>
    <w:rsid w:val="00437297"/>
    <w:rsid w:val="004410A9"/>
    <w:rsid w:val="00444284"/>
    <w:rsid w:val="00445CE6"/>
    <w:rsid w:val="004534C2"/>
    <w:rsid w:val="0045446F"/>
    <w:rsid w:val="0045683E"/>
    <w:rsid w:val="00461F95"/>
    <w:rsid w:val="00461FBE"/>
    <w:rsid w:val="00474C2B"/>
    <w:rsid w:val="00477C72"/>
    <w:rsid w:val="00480FAF"/>
    <w:rsid w:val="00491675"/>
    <w:rsid w:val="00493855"/>
    <w:rsid w:val="00495E79"/>
    <w:rsid w:val="004A2D83"/>
    <w:rsid w:val="004A57DD"/>
    <w:rsid w:val="004A7B51"/>
    <w:rsid w:val="004A7D71"/>
    <w:rsid w:val="004A7EF3"/>
    <w:rsid w:val="004B11FD"/>
    <w:rsid w:val="004B23A2"/>
    <w:rsid w:val="004C241D"/>
    <w:rsid w:val="004D0D84"/>
    <w:rsid w:val="004D1A5A"/>
    <w:rsid w:val="004D2FFF"/>
    <w:rsid w:val="004D3721"/>
    <w:rsid w:val="004D5AAE"/>
    <w:rsid w:val="004D64F9"/>
    <w:rsid w:val="004E3A6B"/>
    <w:rsid w:val="004E622C"/>
    <w:rsid w:val="004F5FDF"/>
    <w:rsid w:val="004F615E"/>
    <w:rsid w:val="005177FE"/>
    <w:rsid w:val="00520242"/>
    <w:rsid w:val="0052263B"/>
    <w:rsid w:val="00524728"/>
    <w:rsid w:val="00525EAA"/>
    <w:rsid w:val="005331CA"/>
    <w:rsid w:val="00535188"/>
    <w:rsid w:val="00537970"/>
    <w:rsid w:val="00540E3A"/>
    <w:rsid w:val="00542A5F"/>
    <w:rsid w:val="00544127"/>
    <w:rsid w:val="005463A9"/>
    <w:rsid w:val="00553DEB"/>
    <w:rsid w:val="00553EB2"/>
    <w:rsid w:val="00560534"/>
    <w:rsid w:val="0056391B"/>
    <w:rsid w:val="005650E2"/>
    <w:rsid w:val="00567AD7"/>
    <w:rsid w:val="00575B2D"/>
    <w:rsid w:val="00582D19"/>
    <w:rsid w:val="005833D0"/>
    <w:rsid w:val="00583403"/>
    <w:rsid w:val="005846F3"/>
    <w:rsid w:val="0058622F"/>
    <w:rsid w:val="005868CB"/>
    <w:rsid w:val="00592F82"/>
    <w:rsid w:val="005A0CCA"/>
    <w:rsid w:val="005A1083"/>
    <w:rsid w:val="005A6FF2"/>
    <w:rsid w:val="005A726D"/>
    <w:rsid w:val="005B5F10"/>
    <w:rsid w:val="005B67AC"/>
    <w:rsid w:val="005B7058"/>
    <w:rsid w:val="005B79F4"/>
    <w:rsid w:val="005C15C6"/>
    <w:rsid w:val="005D09BD"/>
    <w:rsid w:val="005D16DD"/>
    <w:rsid w:val="005D284C"/>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52A0"/>
    <w:rsid w:val="00627CC9"/>
    <w:rsid w:val="00627E7B"/>
    <w:rsid w:val="00630542"/>
    <w:rsid w:val="00632E44"/>
    <w:rsid w:val="0063381C"/>
    <w:rsid w:val="00634622"/>
    <w:rsid w:val="00636808"/>
    <w:rsid w:val="00641515"/>
    <w:rsid w:val="00651577"/>
    <w:rsid w:val="00654C2F"/>
    <w:rsid w:val="00657087"/>
    <w:rsid w:val="006624AB"/>
    <w:rsid w:val="006639DB"/>
    <w:rsid w:val="006661EF"/>
    <w:rsid w:val="00677AEB"/>
    <w:rsid w:val="00680EF2"/>
    <w:rsid w:val="00681EB5"/>
    <w:rsid w:val="00687A1D"/>
    <w:rsid w:val="006925C1"/>
    <w:rsid w:val="00697EA1"/>
    <w:rsid w:val="006A2646"/>
    <w:rsid w:val="006A507F"/>
    <w:rsid w:val="006A6530"/>
    <w:rsid w:val="006B435A"/>
    <w:rsid w:val="006B4C64"/>
    <w:rsid w:val="006C48AB"/>
    <w:rsid w:val="006D282B"/>
    <w:rsid w:val="006D6BD5"/>
    <w:rsid w:val="006E0D3B"/>
    <w:rsid w:val="006E481A"/>
    <w:rsid w:val="006E5298"/>
    <w:rsid w:val="006E7606"/>
    <w:rsid w:val="006F4A78"/>
    <w:rsid w:val="006F5005"/>
    <w:rsid w:val="006F67C0"/>
    <w:rsid w:val="006F734A"/>
    <w:rsid w:val="00700D83"/>
    <w:rsid w:val="00702A67"/>
    <w:rsid w:val="00704852"/>
    <w:rsid w:val="0070524B"/>
    <w:rsid w:val="007074E9"/>
    <w:rsid w:val="00713DA4"/>
    <w:rsid w:val="00714BF1"/>
    <w:rsid w:val="00721383"/>
    <w:rsid w:val="0073158B"/>
    <w:rsid w:val="00732EC2"/>
    <w:rsid w:val="007333CC"/>
    <w:rsid w:val="0073399A"/>
    <w:rsid w:val="007401AF"/>
    <w:rsid w:val="00740DAD"/>
    <w:rsid w:val="00740E33"/>
    <w:rsid w:val="00742AF3"/>
    <w:rsid w:val="00747B8F"/>
    <w:rsid w:val="007603F5"/>
    <w:rsid w:val="00763348"/>
    <w:rsid w:val="00764DB0"/>
    <w:rsid w:val="00766D86"/>
    <w:rsid w:val="0076764D"/>
    <w:rsid w:val="0077498C"/>
    <w:rsid w:val="007809BC"/>
    <w:rsid w:val="00784128"/>
    <w:rsid w:val="00787BCC"/>
    <w:rsid w:val="00793173"/>
    <w:rsid w:val="007A00AA"/>
    <w:rsid w:val="007A2A33"/>
    <w:rsid w:val="007A5171"/>
    <w:rsid w:val="007B5C89"/>
    <w:rsid w:val="007C1FCC"/>
    <w:rsid w:val="007C6201"/>
    <w:rsid w:val="007C743B"/>
    <w:rsid w:val="007D7C92"/>
    <w:rsid w:val="007E1154"/>
    <w:rsid w:val="007E2919"/>
    <w:rsid w:val="007E46A8"/>
    <w:rsid w:val="007E6BA4"/>
    <w:rsid w:val="007E7993"/>
    <w:rsid w:val="007E7BF2"/>
    <w:rsid w:val="007F41F8"/>
    <w:rsid w:val="007F5280"/>
    <w:rsid w:val="007F659B"/>
    <w:rsid w:val="0080441E"/>
    <w:rsid w:val="0080454E"/>
    <w:rsid w:val="00804C32"/>
    <w:rsid w:val="00806302"/>
    <w:rsid w:val="00807119"/>
    <w:rsid w:val="00820AFB"/>
    <w:rsid w:val="00822F4D"/>
    <w:rsid w:val="0082483F"/>
    <w:rsid w:val="00827658"/>
    <w:rsid w:val="008279C0"/>
    <w:rsid w:val="0083690E"/>
    <w:rsid w:val="008401D9"/>
    <w:rsid w:val="00866F06"/>
    <w:rsid w:val="00867701"/>
    <w:rsid w:val="00871C74"/>
    <w:rsid w:val="008723F3"/>
    <w:rsid w:val="00872CA9"/>
    <w:rsid w:val="00876F56"/>
    <w:rsid w:val="00881DE6"/>
    <w:rsid w:val="008837A6"/>
    <w:rsid w:val="00884C24"/>
    <w:rsid w:val="00887DA0"/>
    <w:rsid w:val="0089145D"/>
    <w:rsid w:val="00891690"/>
    <w:rsid w:val="00897134"/>
    <w:rsid w:val="008A4DF2"/>
    <w:rsid w:val="008A6CFE"/>
    <w:rsid w:val="008B5333"/>
    <w:rsid w:val="008B58D5"/>
    <w:rsid w:val="008B6223"/>
    <w:rsid w:val="008B72B8"/>
    <w:rsid w:val="008C66E0"/>
    <w:rsid w:val="008D1616"/>
    <w:rsid w:val="008D4CCE"/>
    <w:rsid w:val="008E3339"/>
    <w:rsid w:val="008F20FC"/>
    <w:rsid w:val="008F5FFE"/>
    <w:rsid w:val="00905A43"/>
    <w:rsid w:val="00912C79"/>
    <w:rsid w:val="00921B87"/>
    <w:rsid w:val="00921B8C"/>
    <w:rsid w:val="00924DAF"/>
    <w:rsid w:val="00931D14"/>
    <w:rsid w:val="00942123"/>
    <w:rsid w:val="009452DF"/>
    <w:rsid w:val="00951AA8"/>
    <w:rsid w:val="0095207B"/>
    <w:rsid w:val="00962045"/>
    <w:rsid w:val="00967CFE"/>
    <w:rsid w:val="00980E61"/>
    <w:rsid w:val="00991428"/>
    <w:rsid w:val="00992676"/>
    <w:rsid w:val="009954B2"/>
    <w:rsid w:val="00996691"/>
    <w:rsid w:val="009A3AB7"/>
    <w:rsid w:val="009B0723"/>
    <w:rsid w:val="009B07AD"/>
    <w:rsid w:val="009B0883"/>
    <w:rsid w:val="009B15E2"/>
    <w:rsid w:val="009B4976"/>
    <w:rsid w:val="009B49CC"/>
    <w:rsid w:val="009C0B8E"/>
    <w:rsid w:val="009C1BC8"/>
    <w:rsid w:val="009C2442"/>
    <w:rsid w:val="009D0811"/>
    <w:rsid w:val="009D0EE1"/>
    <w:rsid w:val="009D2985"/>
    <w:rsid w:val="009D3AF0"/>
    <w:rsid w:val="009E2AEB"/>
    <w:rsid w:val="009E2E27"/>
    <w:rsid w:val="009E45DF"/>
    <w:rsid w:val="009E4DE3"/>
    <w:rsid w:val="009F275E"/>
    <w:rsid w:val="00A047EE"/>
    <w:rsid w:val="00A066B0"/>
    <w:rsid w:val="00A1348A"/>
    <w:rsid w:val="00A2274A"/>
    <w:rsid w:val="00A235B7"/>
    <w:rsid w:val="00A2715D"/>
    <w:rsid w:val="00A27A7A"/>
    <w:rsid w:val="00A34ABE"/>
    <w:rsid w:val="00A407EF"/>
    <w:rsid w:val="00A46B4C"/>
    <w:rsid w:val="00A5117B"/>
    <w:rsid w:val="00A56D34"/>
    <w:rsid w:val="00A60074"/>
    <w:rsid w:val="00A6627C"/>
    <w:rsid w:val="00A663D5"/>
    <w:rsid w:val="00A71019"/>
    <w:rsid w:val="00A81029"/>
    <w:rsid w:val="00A84235"/>
    <w:rsid w:val="00A845F5"/>
    <w:rsid w:val="00A86B26"/>
    <w:rsid w:val="00A96489"/>
    <w:rsid w:val="00AA0842"/>
    <w:rsid w:val="00AA2435"/>
    <w:rsid w:val="00AA68D1"/>
    <w:rsid w:val="00AB2425"/>
    <w:rsid w:val="00AB3452"/>
    <w:rsid w:val="00AB685C"/>
    <w:rsid w:val="00AB6C2D"/>
    <w:rsid w:val="00AC08F7"/>
    <w:rsid w:val="00AC2F90"/>
    <w:rsid w:val="00AC317D"/>
    <w:rsid w:val="00AC3839"/>
    <w:rsid w:val="00AC7082"/>
    <w:rsid w:val="00AD2492"/>
    <w:rsid w:val="00AD4BE8"/>
    <w:rsid w:val="00AD6BCE"/>
    <w:rsid w:val="00AE5B6F"/>
    <w:rsid w:val="00AF228E"/>
    <w:rsid w:val="00B016A8"/>
    <w:rsid w:val="00B04033"/>
    <w:rsid w:val="00B05F66"/>
    <w:rsid w:val="00B14819"/>
    <w:rsid w:val="00B15E2F"/>
    <w:rsid w:val="00B17AA9"/>
    <w:rsid w:val="00B24DE3"/>
    <w:rsid w:val="00B260B3"/>
    <w:rsid w:val="00B44713"/>
    <w:rsid w:val="00B455E5"/>
    <w:rsid w:val="00B51B95"/>
    <w:rsid w:val="00B56103"/>
    <w:rsid w:val="00B604A1"/>
    <w:rsid w:val="00B62C14"/>
    <w:rsid w:val="00B64929"/>
    <w:rsid w:val="00B736DF"/>
    <w:rsid w:val="00B7380E"/>
    <w:rsid w:val="00B743D6"/>
    <w:rsid w:val="00B74FBD"/>
    <w:rsid w:val="00B77F46"/>
    <w:rsid w:val="00B82586"/>
    <w:rsid w:val="00B829A3"/>
    <w:rsid w:val="00B85D76"/>
    <w:rsid w:val="00B86DB1"/>
    <w:rsid w:val="00B87869"/>
    <w:rsid w:val="00B9639B"/>
    <w:rsid w:val="00BA1CFD"/>
    <w:rsid w:val="00BA715D"/>
    <w:rsid w:val="00BB0F2B"/>
    <w:rsid w:val="00BC3A7E"/>
    <w:rsid w:val="00BD2A93"/>
    <w:rsid w:val="00BD3FD0"/>
    <w:rsid w:val="00BD76A5"/>
    <w:rsid w:val="00BE4FF3"/>
    <w:rsid w:val="00BE6558"/>
    <w:rsid w:val="00BF2C93"/>
    <w:rsid w:val="00BF50F7"/>
    <w:rsid w:val="00BF5E4D"/>
    <w:rsid w:val="00C02F29"/>
    <w:rsid w:val="00C1581D"/>
    <w:rsid w:val="00C17718"/>
    <w:rsid w:val="00C20AFE"/>
    <w:rsid w:val="00C22A25"/>
    <w:rsid w:val="00C305F5"/>
    <w:rsid w:val="00C35671"/>
    <w:rsid w:val="00C35B77"/>
    <w:rsid w:val="00C376EB"/>
    <w:rsid w:val="00C46A92"/>
    <w:rsid w:val="00C46EC1"/>
    <w:rsid w:val="00C52796"/>
    <w:rsid w:val="00C53E2C"/>
    <w:rsid w:val="00C54C32"/>
    <w:rsid w:val="00C550C8"/>
    <w:rsid w:val="00C55824"/>
    <w:rsid w:val="00C56B61"/>
    <w:rsid w:val="00C606C3"/>
    <w:rsid w:val="00C6139C"/>
    <w:rsid w:val="00C620F4"/>
    <w:rsid w:val="00C67559"/>
    <w:rsid w:val="00C72848"/>
    <w:rsid w:val="00C7473E"/>
    <w:rsid w:val="00C7736C"/>
    <w:rsid w:val="00C82D87"/>
    <w:rsid w:val="00C8712A"/>
    <w:rsid w:val="00C878A3"/>
    <w:rsid w:val="00C902C8"/>
    <w:rsid w:val="00C91062"/>
    <w:rsid w:val="00C919D1"/>
    <w:rsid w:val="00C963D3"/>
    <w:rsid w:val="00C96B4E"/>
    <w:rsid w:val="00CA5A8F"/>
    <w:rsid w:val="00CB1983"/>
    <w:rsid w:val="00CB2CBB"/>
    <w:rsid w:val="00CB7CAC"/>
    <w:rsid w:val="00CC3710"/>
    <w:rsid w:val="00CC5335"/>
    <w:rsid w:val="00CC5BA4"/>
    <w:rsid w:val="00CD4998"/>
    <w:rsid w:val="00CE1035"/>
    <w:rsid w:val="00CE464E"/>
    <w:rsid w:val="00CE6E50"/>
    <w:rsid w:val="00CE7A64"/>
    <w:rsid w:val="00CF2819"/>
    <w:rsid w:val="00CF4F9D"/>
    <w:rsid w:val="00CF70DC"/>
    <w:rsid w:val="00D01312"/>
    <w:rsid w:val="00D01697"/>
    <w:rsid w:val="00D148DC"/>
    <w:rsid w:val="00D163F5"/>
    <w:rsid w:val="00D17FDC"/>
    <w:rsid w:val="00D20BCA"/>
    <w:rsid w:val="00D21D8C"/>
    <w:rsid w:val="00D255DE"/>
    <w:rsid w:val="00D46EFE"/>
    <w:rsid w:val="00D53719"/>
    <w:rsid w:val="00D570C7"/>
    <w:rsid w:val="00D63EFD"/>
    <w:rsid w:val="00D84752"/>
    <w:rsid w:val="00D86B3B"/>
    <w:rsid w:val="00D8748A"/>
    <w:rsid w:val="00D93196"/>
    <w:rsid w:val="00D95B5B"/>
    <w:rsid w:val="00DA0DC0"/>
    <w:rsid w:val="00DA6B5E"/>
    <w:rsid w:val="00DB218B"/>
    <w:rsid w:val="00DB243C"/>
    <w:rsid w:val="00DB482A"/>
    <w:rsid w:val="00DB50FB"/>
    <w:rsid w:val="00DB56F2"/>
    <w:rsid w:val="00DB6EF5"/>
    <w:rsid w:val="00DB79D0"/>
    <w:rsid w:val="00DC3089"/>
    <w:rsid w:val="00DC4420"/>
    <w:rsid w:val="00DD0802"/>
    <w:rsid w:val="00DD2E11"/>
    <w:rsid w:val="00DD6481"/>
    <w:rsid w:val="00DE0225"/>
    <w:rsid w:val="00DE03AF"/>
    <w:rsid w:val="00DE121C"/>
    <w:rsid w:val="00DE6633"/>
    <w:rsid w:val="00DF75F8"/>
    <w:rsid w:val="00DF7A3A"/>
    <w:rsid w:val="00E00C00"/>
    <w:rsid w:val="00E02D28"/>
    <w:rsid w:val="00E07C5A"/>
    <w:rsid w:val="00E15BA9"/>
    <w:rsid w:val="00E26E19"/>
    <w:rsid w:val="00E278A6"/>
    <w:rsid w:val="00E31DF3"/>
    <w:rsid w:val="00E365E0"/>
    <w:rsid w:val="00E443D7"/>
    <w:rsid w:val="00E450A4"/>
    <w:rsid w:val="00E502DD"/>
    <w:rsid w:val="00E506BE"/>
    <w:rsid w:val="00E55547"/>
    <w:rsid w:val="00E6302B"/>
    <w:rsid w:val="00E6452F"/>
    <w:rsid w:val="00E64F45"/>
    <w:rsid w:val="00E6742D"/>
    <w:rsid w:val="00E71CB0"/>
    <w:rsid w:val="00E77C3D"/>
    <w:rsid w:val="00E833F4"/>
    <w:rsid w:val="00E839DB"/>
    <w:rsid w:val="00E90991"/>
    <w:rsid w:val="00E909F0"/>
    <w:rsid w:val="00E90D47"/>
    <w:rsid w:val="00E93993"/>
    <w:rsid w:val="00E94797"/>
    <w:rsid w:val="00E9597C"/>
    <w:rsid w:val="00EA0913"/>
    <w:rsid w:val="00EA1A9A"/>
    <w:rsid w:val="00EA3B38"/>
    <w:rsid w:val="00EA5B00"/>
    <w:rsid w:val="00EB146B"/>
    <w:rsid w:val="00EB45AC"/>
    <w:rsid w:val="00EC441F"/>
    <w:rsid w:val="00EC4755"/>
    <w:rsid w:val="00ED0BC4"/>
    <w:rsid w:val="00ED447D"/>
    <w:rsid w:val="00EE3235"/>
    <w:rsid w:val="00EE4971"/>
    <w:rsid w:val="00EE6CB0"/>
    <w:rsid w:val="00EF090E"/>
    <w:rsid w:val="00EF5572"/>
    <w:rsid w:val="00F01D7D"/>
    <w:rsid w:val="00F033DA"/>
    <w:rsid w:val="00F13691"/>
    <w:rsid w:val="00F13FB1"/>
    <w:rsid w:val="00F16A35"/>
    <w:rsid w:val="00F16B2C"/>
    <w:rsid w:val="00F20FCA"/>
    <w:rsid w:val="00F25218"/>
    <w:rsid w:val="00F253AE"/>
    <w:rsid w:val="00F27CD8"/>
    <w:rsid w:val="00F30351"/>
    <w:rsid w:val="00F31176"/>
    <w:rsid w:val="00F31E9F"/>
    <w:rsid w:val="00F3323E"/>
    <w:rsid w:val="00F341F4"/>
    <w:rsid w:val="00F34D8A"/>
    <w:rsid w:val="00F34F9D"/>
    <w:rsid w:val="00F35CCE"/>
    <w:rsid w:val="00F41146"/>
    <w:rsid w:val="00F44395"/>
    <w:rsid w:val="00F50EA2"/>
    <w:rsid w:val="00F5524B"/>
    <w:rsid w:val="00F60538"/>
    <w:rsid w:val="00F61DD2"/>
    <w:rsid w:val="00F62E7A"/>
    <w:rsid w:val="00F66AFF"/>
    <w:rsid w:val="00F70126"/>
    <w:rsid w:val="00F71433"/>
    <w:rsid w:val="00F81E50"/>
    <w:rsid w:val="00F87B04"/>
    <w:rsid w:val="00F90F40"/>
    <w:rsid w:val="00F97C5B"/>
    <w:rsid w:val="00FA12B9"/>
    <w:rsid w:val="00FA3D50"/>
    <w:rsid w:val="00FA417D"/>
    <w:rsid w:val="00FB14F7"/>
    <w:rsid w:val="00FB31D6"/>
    <w:rsid w:val="00FB657B"/>
    <w:rsid w:val="00FB69EA"/>
    <w:rsid w:val="00FB7FBD"/>
    <w:rsid w:val="00FC374A"/>
    <w:rsid w:val="00FC50E9"/>
    <w:rsid w:val="00FC74C8"/>
    <w:rsid w:val="00FC7B47"/>
    <w:rsid w:val="00FD035C"/>
    <w:rsid w:val="00FD1A35"/>
    <w:rsid w:val="00FD2EA4"/>
    <w:rsid w:val="00FD36C5"/>
    <w:rsid w:val="00FD6310"/>
    <w:rsid w:val="00FD7C7B"/>
    <w:rsid w:val="00FE1D12"/>
    <w:rsid w:val="00FE2122"/>
    <w:rsid w:val="00FE2A86"/>
    <w:rsid w:val="00FE2DE2"/>
    <w:rsid w:val="00FE499A"/>
    <w:rsid w:val="00FF296F"/>
    <w:rsid w:val="00FF5937"/>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61908">
      <w:bodyDiv w:val="1"/>
      <w:marLeft w:val="0"/>
      <w:marRight w:val="0"/>
      <w:marTop w:val="0"/>
      <w:marBottom w:val="0"/>
      <w:divBdr>
        <w:top w:val="none" w:sz="0" w:space="0" w:color="auto"/>
        <w:left w:val="none" w:sz="0" w:space="0" w:color="auto"/>
        <w:bottom w:val="none" w:sz="0" w:space="0" w:color="auto"/>
        <w:right w:val="none" w:sz="0" w:space="0" w:color="auto"/>
      </w:divBdr>
    </w:div>
    <w:div w:id="37022690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64543931">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332489188">
      <w:bodyDiv w:val="1"/>
      <w:marLeft w:val="0"/>
      <w:marRight w:val="0"/>
      <w:marTop w:val="0"/>
      <w:marBottom w:val="0"/>
      <w:divBdr>
        <w:top w:val="none" w:sz="0" w:space="0" w:color="auto"/>
        <w:left w:val="none" w:sz="0" w:space="0" w:color="auto"/>
        <w:bottom w:val="none" w:sz="0" w:space="0" w:color="auto"/>
        <w:right w:val="none" w:sz="0" w:space="0" w:color="auto"/>
      </w:divBdr>
    </w:div>
    <w:div w:id="133984972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4894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4837</Words>
  <Characters>27577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Lai, Yan</cp:lastModifiedBy>
  <cp:revision>4</cp:revision>
  <cp:lastPrinted>2019-08-27T12:42:00Z</cp:lastPrinted>
  <dcterms:created xsi:type="dcterms:W3CDTF">2023-07-31T17:32:00Z</dcterms:created>
  <dcterms:modified xsi:type="dcterms:W3CDTF">2023-07-31T18:25:00Z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y fmtid="{D5CDD505-2E9C-101B-9397-08002B2CF9AE}" pid="3" name="MSIP_Label_54803508-8490-4252-b331-d9b72689e942_Enabled">
    <vt:lpwstr>true</vt:lpwstr>
  </property>
  <property fmtid="{D5CDD505-2E9C-101B-9397-08002B2CF9AE}" pid="4" name="MSIP_Label_54803508-8490-4252-b331-d9b72689e942_SetDate">
    <vt:lpwstr>2023-07-30T09:50:01Z</vt:lpwstr>
  </property>
  <property fmtid="{D5CDD505-2E9C-101B-9397-08002B2CF9AE}" pid="5" name="MSIP_Label_54803508-8490-4252-b331-d9b72689e942_Method">
    <vt:lpwstr>Privileged</vt:lpwstr>
  </property>
  <property fmtid="{D5CDD505-2E9C-101B-9397-08002B2CF9AE}" pid="6" name="MSIP_Label_54803508-8490-4252-b331-d9b72689e942_Name">
    <vt:lpwstr>Non Sensitive_0</vt:lpwstr>
  </property>
  <property fmtid="{D5CDD505-2E9C-101B-9397-08002B2CF9AE}" pid="7" name="MSIP_Label_54803508-8490-4252-b331-d9b72689e942_SiteId">
    <vt:lpwstr>0b11c524-9a1c-4e1b-84cb-6336aefc2243</vt:lpwstr>
  </property>
  <property fmtid="{D5CDD505-2E9C-101B-9397-08002B2CF9AE}" pid="8" name="MSIP_Label_54803508-8490-4252-b331-d9b72689e942_ActionId">
    <vt:lpwstr>e399b4df-304d-4c30-8ac3-80b17847c3b0</vt:lpwstr>
  </property>
  <property fmtid="{D5CDD505-2E9C-101B-9397-08002B2CF9AE}" pid="9" name="MSIP_Label_54803508-8490-4252-b331-d9b72689e942_ContentBits">
    <vt:lpwstr>0</vt:lpwstr>
  </property>
</Properties>
</file>