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w:t>
      </w:r>
      <w:proofErr w:type="gramStart"/>
      <w:r w:rsidRPr="002E7621">
        <w:rPr>
          <w:rFonts w:ascii="Avenir Next" w:hAnsi="Avenir Next" w:cs="Arial"/>
          <w:sz w:val="22"/>
          <w:szCs w:val="22"/>
          <w:lang w:val="en-GB"/>
        </w:rPr>
        <w:t>submit</w:t>
      </w:r>
      <w:proofErr w:type="gramEnd"/>
      <w:r w:rsidRPr="002E7621">
        <w:rPr>
          <w:rFonts w:ascii="Avenir Next" w:hAnsi="Avenir Next" w:cs="Arial"/>
          <w:sz w:val="22"/>
          <w:szCs w:val="22"/>
          <w:lang w:val="en-GB"/>
        </w:rPr>
        <w:t xml:space="preserve">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 xml:space="preserve">Please also include the filename as </w:t>
      </w:r>
      <w:proofErr w:type="gramStart"/>
      <w:r w:rsidRPr="002E7621">
        <w:rPr>
          <w:rFonts w:ascii="Avenir Next Demi Bold" w:hAnsi="Avenir Next Demi Bold" w:cs="Arial"/>
          <w:b/>
          <w:bCs/>
          <w:sz w:val="22"/>
          <w:szCs w:val="22"/>
          <w:lang w:val="en-GB"/>
        </w:rPr>
        <w:t>a footer</w:t>
      </w:r>
      <w:proofErr w:type="gramEnd"/>
      <w:r w:rsidRPr="002E7621">
        <w:rPr>
          <w:rFonts w:ascii="Avenir Next Demi Bold" w:hAnsi="Avenir Next Demi Bold" w:cs="Arial"/>
          <w:b/>
          <w:bCs/>
          <w:sz w:val="22"/>
          <w:szCs w:val="22"/>
          <w:lang w:val="en-GB"/>
        </w:rPr>
        <w:t xml:space="preserve">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proofErr w:type="gramStart"/>
      <w:r w:rsidRPr="002E7621">
        <w:rPr>
          <w:rFonts w:ascii="Avenir Next" w:hAnsi="Avenir Next" w:cs="Arial"/>
          <w:sz w:val="22"/>
          <w:szCs w:val="22"/>
          <w:lang w:val="en-GB"/>
        </w:rPr>
        <w:t>Questions 1.1.</w:t>
      </w:r>
      <w:proofErr w:type="gramEnd"/>
      <w:r w:rsidRPr="002E7621">
        <w:rPr>
          <w:rFonts w:ascii="Avenir Next" w:hAnsi="Avenir Next" w:cs="Arial"/>
          <w:sz w:val="22"/>
          <w:szCs w:val="22"/>
          <w:lang w:val="en-GB"/>
        </w:rPr>
        <w:t xml:space="preserve">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w:t>
      </w:r>
      <w:proofErr w:type="gramStart"/>
      <w:r w:rsidRPr="002E7621">
        <w:rPr>
          <w:rFonts w:ascii="Avenir Next" w:hAnsi="Avenir Next" w:cs="Arial"/>
          <w:sz w:val="22"/>
          <w:szCs w:val="22"/>
          <w:lang w:val="en-GB"/>
        </w:rPr>
        <w:t>are</w:t>
      </w:r>
      <w:proofErr w:type="gramEnd"/>
      <w:r w:rsidRPr="002E762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proofErr w:type="gramStart"/>
      <w:r w:rsidRPr="002E7621">
        <w:rPr>
          <w:rFonts w:ascii="Avenir Next" w:hAnsi="Avenir Next" w:cs="Arial"/>
          <w:sz w:val="22"/>
          <w:szCs w:val="22"/>
        </w:rPr>
        <w:t>are</w:t>
      </w:r>
      <w:proofErr w:type="gramEnd"/>
      <w:r w:rsidRPr="002E7621">
        <w:rPr>
          <w:rFonts w:ascii="Avenir Next" w:hAnsi="Avenir Next" w:cs="Arial"/>
          <w:sz w:val="22"/>
          <w:szCs w:val="22"/>
        </w:rPr>
        <w:t xml:space="preserv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proofErr w:type="gramStart"/>
      <w:r w:rsidRPr="002E7621">
        <w:rPr>
          <w:rFonts w:ascii="Avenir Next" w:hAnsi="Avenir Next" w:cs="Arial"/>
          <w:sz w:val="22"/>
          <w:szCs w:val="22"/>
        </w:rPr>
        <w:t>creates</w:t>
      </w:r>
      <w:proofErr w:type="gramEnd"/>
      <w:r w:rsidRPr="002E7621">
        <w:rPr>
          <w:rFonts w:ascii="Avenir Next" w:hAnsi="Avenir Next" w:cs="Arial"/>
          <w:sz w:val="22"/>
          <w:szCs w:val="22"/>
        </w:rPr>
        <w:t xml:space="preserve">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proofErr w:type="gramStart"/>
      <w:r w:rsidRPr="002E7621">
        <w:rPr>
          <w:rFonts w:ascii="Avenir Next" w:hAnsi="Avenir Next" w:cs="Arial"/>
          <w:sz w:val="22"/>
          <w:szCs w:val="22"/>
        </w:rPr>
        <w:t>creates</w:t>
      </w:r>
      <w:proofErr w:type="gramEnd"/>
      <w:r w:rsidRPr="002E7621">
        <w:rPr>
          <w:rFonts w:ascii="Avenir Next" w:hAnsi="Avenir Next" w:cs="Arial"/>
          <w:sz w:val="22"/>
          <w:szCs w:val="22"/>
        </w:rPr>
        <w:t xml:space="preserve">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864F1F" w:rsidRDefault="002460B1" w:rsidP="00841D99">
      <w:pPr>
        <w:pStyle w:val="ListParagraph"/>
        <w:numPr>
          <w:ilvl w:val="0"/>
          <w:numId w:val="10"/>
        </w:numPr>
        <w:ind w:left="426"/>
        <w:jc w:val="both"/>
        <w:rPr>
          <w:rFonts w:ascii="Avenir Next" w:hAnsi="Avenir Next" w:cs="Arial"/>
          <w:sz w:val="22"/>
          <w:szCs w:val="22"/>
          <w:highlight w:val="yellow"/>
        </w:rPr>
      </w:pPr>
      <w:proofErr w:type="gramStart"/>
      <w:r w:rsidRPr="00864F1F">
        <w:rPr>
          <w:rFonts w:ascii="Avenir Next" w:hAnsi="Avenir Next" w:cs="Arial"/>
          <w:sz w:val="22"/>
          <w:szCs w:val="22"/>
          <w:highlight w:val="yellow"/>
        </w:rPr>
        <w:t>creates</w:t>
      </w:r>
      <w:proofErr w:type="gramEnd"/>
      <w:r w:rsidRPr="00864F1F">
        <w:rPr>
          <w:rFonts w:ascii="Avenir Next" w:hAnsi="Avenir Next" w:cs="Arial"/>
          <w:sz w:val="22"/>
          <w:szCs w:val="22"/>
          <w:highlight w:val="yellow"/>
        </w:rPr>
        <w:t xml:space="preserve">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864F1F" w:rsidRDefault="00A37300" w:rsidP="00BA7E39">
      <w:pPr>
        <w:pStyle w:val="ListParagraph"/>
        <w:numPr>
          <w:ilvl w:val="0"/>
          <w:numId w:val="11"/>
        </w:numPr>
        <w:ind w:left="426"/>
        <w:jc w:val="both"/>
        <w:rPr>
          <w:rFonts w:ascii="Avenir Next" w:hAnsi="Avenir Next" w:cs="Arial"/>
          <w:sz w:val="22"/>
          <w:szCs w:val="22"/>
          <w:highlight w:val="yellow"/>
        </w:rPr>
      </w:pPr>
      <w:r w:rsidRPr="00864F1F">
        <w:rPr>
          <w:rFonts w:ascii="Avenir Next" w:hAnsi="Avenir Next" w:cs="Arial"/>
          <w:sz w:val="22"/>
          <w:szCs w:val="22"/>
          <w:highlight w:val="yellow"/>
        </w:rPr>
        <w:t xml:space="preserve">Creditors’ interests are of paramount </w:t>
      </w:r>
      <w:proofErr w:type="gramStart"/>
      <w:r w:rsidRPr="00864F1F">
        <w:rPr>
          <w:rFonts w:ascii="Avenir Next" w:hAnsi="Avenir Next" w:cs="Arial"/>
          <w:sz w:val="22"/>
          <w:szCs w:val="22"/>
          <w:highlight w:val="yellow"/>
        </w:rPr>
        <w:t>importance,</w:t>
      </w:r>
      <w:proofErr w:type="gramEnd"/>
      <w:r w:rsidRPr="00864F1F">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lastRenderedPageBreak/>
        <w:t>(a)</w:t>
      </w:r>
      <w:r w:rsidRPr="002E7621">
        <w:rPr>
          <w:rFonts w:ascii="Avenir Next" w:hAnsi="Avenir Next" w:cs="Arial"/>
          <w:sz w:val="22"/>
          <w:szCs w:val="22"/>
        </w:rPr>
        <w:tab/>
      </w:r>
      <w:r w:rsidRPr="006A15FD">
        <w:rPr>
          <w:rFonts w:ascii="Avenir Next" w:hAnsi="Avenir Next" w:cs="Arial"/>
          <w:sz w:val="22"/>
          <w:szCs w:val="22"/>
          <w:highlight w:val="yellow"/>
        </w:rPr>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2B48C1">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proofErr w:type="gramStart"/>
      <w:r w:rsidRPr="002E7621">
        <w:rPr>
          <w:rFonts w:ascii="Avenir Next" w:hAnsi="Avenir Next" w:cs="Arial"/>
          <w:sz w:val="22"/>
          <w:szCs w:val="22"/>
        </w:rPr>
        <w:t>an</w:t>
      </w:r>
      <w:proofErr w:type="gramEnd"/>
      <w:r w:rsidRPr="002E7621">
        <w:rPr>
          <w:rFonts w:ascii="Avenir Next" w:hAnsi="Avenir Next" w:cs="Arial"/>
          <w:sz w:val="22"/>
          <w:szCs w:val="22"/>
        </w:rPr>
        <w:t xml:space="preserve">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Pr="00D81796"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D81796">
        <w:rPr>
          <w:rFonts w:ascii="Avenir Next" w:hAnsi="Avenir Next" w:cs="Arial"/>
          <w:sz w:val="22"/>
          <w:szCs w:val="22"/>
          <w:highlight w:val="yellow"/>
        </w:rPr>
        <w:t>s</w:t>
      </w:r>
      <w:r w:rsidR="00B501A0" w:rsidRPr="00D81796">
        <w:rPr>
          <w:rFonts w:ascii="Avenir Next" w:hAnsi="Avenir Next" w:cs="Arial"/>
          <w:sz w:val="22"/>
          <w:szCs w:val="22"/>
          <w:highlight w:val="yellow"/>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Pr="00D81796" w:rsidRDefault="002E7621" w:rsidP="002E7621">
      <w:pPr>
        <w:pStyle w:val="ListParagraph"/>
        <w:numPr>
          <w:ilvl w:val="0"/>
          <w:numId w:val="26"/>
        </w:numPr>
        <w:spacing w:line="276" w:lineRule="auto"/>
        <w:ind w:left="426"/>
        <w:jc w:val="both"/>
        <w:rPr>
          <w:rFonts w:ascii="Avenir Next" w:hAnsi="Avenir Next" w:cs="Arial"/>
          <w:sz w:val="22"/>
          <w:szCs w:val="22"/>
        </w:rPr>
      </w:pPr>
      <w:r w:rsidRPr="00D81796">
        <w:rPr>
          <w:rFonts w:ascii="Avenir Next" w:hAnsi="Avenir Next" w:cs="Arial"/>
          <w:sz w:val="22"/>
          <w:szCs w:val="22"/>
        </w:rPr>
        <w:t>s</w:t>
      </w:r>
      <w:r w:rsidR="00995961" w:rsidRPr="00D81796">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a</w:t>
      </w:r>
      <w:r w:rsidR="00B501A0" w:rsidRPr="002E7621">
        <w:rPr>
          <w:rFonts w:ascii="Avenir Next" w:hAnsi="Avenir Next" w:cs="Arial"/>
          <w:sz w:val="22"/>
          <w:szCs w:val="22"/>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proofErr w:type="gramStart"/>
      <w:r w:rsidRPr="002E7621">
        <w:rPr>
          <w:rFonts w:ascii="Avenir Next" w:hAnsi="Avenir Next" w:cs="Arial"/>
          <w:sz w:val="22"/>
          <w:szCs w:val="22"/>
        </w:rPr>
        <w:t>an</w:t>
      </w:r>
      <w:proofErr w:type="gramEnd"/>
      <w:r w:rsidRPr="002E7621">
        <w:rPr>
          <w:rFonts w:ascii="Avenir Next" w:hAnsi="Avenir Next" w:cs="Arial"/>
          <w:sz w:val="22"/>
          <w:szCs w:val="22"/>
        </w:rPr>
        <w:t xml:space="preserve"> ________ threat.</w:t>
      </w:r>
    </w:p>
    <w:p w14:paraId="01F7A171" w14:textId="4B3E7772" w:rsidR="00693A37" w:rsidRPr="0029179E" w:rsidRDefault="002E7621" w:rsidP="002E7621">
      <w:pPr>
        <w:pStyle w:val="ListParagraph"/>
        <w:numPr>
          <w:ilvl w:val="0"/>
          <w:numId w:val="28"/>
        </w:numPr>
        <w:ind w:left="426"/>
        <w:jc w:val="both"/>
        <w:rPr>
          <w:rFonts w:ascii="Avenir Next" w:hAnsi="Avenir Next" w:cs="Arial"/>
          <w:sz w:val="22"/>
          <w:szCs w:val="22"/>
          <w:highlight w:val="yellow"/>
        </w:rPr>
      </w:pPr>
      <w:r w:rsidRPr="0029179E">
        <w:rPr>
          <w:rFonts w:ascii="Avenir Next" w:hAnsi="Avenir Next" w:cs="Arial"/>
          <w:sz w:val="22"/>
          <w:szCs w:val="22"/>
          <w:highlight w:val="yellow"/>
        </w:rPr>
        <w:t>f</w:t>
      </w:r>
      <w:r w:rsidR="00693A37" w:rsidRPr="0029179E">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lastRenderedPageBreak/>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2E7621" w:rsidRDefault="00391384" w:rsidP="002577C4">
      <w:pPr>
        <w:pStyle w:val="ListParagraph"/>
        <w:numPr>
          <w:ilvl w:val="0"/>
          <w:numId w:val="17"/>
        </w:numPr>
        <w:ind w:left="426"/>
        <w:jc w:val="both"/>
        <w:rPr>
          <w:rFonts w:ascii="Avenir Next" w:eastAsiaTheme="minorHAnsi" w:hAnsi="Avenir Next" w:cs="Arial"/>
          <w:sz w:val="22"/>
          <w:szCs w:val="22"/>
          <w:lang w:val="en-GB"/>
        </w:rPr>
      </w:pPr>
      <w:r w:rsidRPr="0029179E">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r w:rsidRPr="002E7621">
        <w:rPr>
          <w:rFonts w:ascii="Avenir Next" w:eastAsiaTheme="minorHAnsi" w:hAnsi="Avenir Next" w:cs="Arial"/>
          <w:sz w:val="22"/>
          <w:szCs w:val="22"/>
          <w:lang w:val="en-GB"/>
        </w:rPr>
        <w:t>.</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A707D0">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r w:rsidRPr="002E7621">
        <w:rPr>
          <w:rFonts w:ascii="Avenir Next" w:eastAsiaTheme="minorHAnsi" w:hAnsi="Avenir Next" w:cs="Arial"/>
          <w:sz w:val="22"/>
          <w:szCs w:val="22"/>
          <w:lang w:val="en-GB"/>
        </w:rPr>
        <w:t>.</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lastRenderedPageBreak/>
        <w:t xml:space="preserve">An insolvency practitioner using a fixed fee calculation method for determining the amount of remuneration owed to </w:t>
      </w:r>
      <w:proofErr w:type="gramStart"/>
      <w:r w:rsidRPr="002E7621">
        <w:rPr>
          <w:rFonts w:ascii="Avenir Next" w:hAnsi="Avenir Next" w:cs="Arial"/>
          <w:sz w:val="22"/>
          <w:szCs w:val="22"/>
        </w:rPr>
        <w:t>him,</w:t>
      </w:r>
      <w:proofErr w:type="gramEnd"/>
      <w:r w:rsidRPr="002E7621">
        <w:rPr>
          <w:rFonts w:ascii="Avenir Next" w:hAnsi="Avenir Next" w:cs="Arial"/>
          <w:sz w:val="22"/>
          <w:szCs w:val="22"/>
        </w:rPr>
        <w:t xml:space="preserve">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Default="000E55FD" w:rsidP="002E7621">
      <w:pPr>
        <w:pStyle w:val="ListParagraph"/>
        <w:numPr>
          <w:ilvl w:val="0"/>
          <w:numId w:val="29"/>
        </w:numPr>
        <w:ind w:left="426"/>
        <w:jc w:val="both"/>
        <w:rPr>
          <w:rFonts w:ascii="Avenir Next" w:hAnsi="Avenir Next" w:cs="Arial"/>
          <w:sz w:val="22"/>
          <w:szCs w:val="22"/>
        </w:rPr>
      </w:pPr>
      <w:r w:rsidRPr="00CA7A53">
        <w:rPr>
          <w:rFonts w:ascii="Avenir Next" w:hAnsi="Avenir Next" w:cs="Arial"/>
          <w:sz w:val="22"/>
          <w:szCs w:val="22"/>
          <w:highlight w:val="yellow"/>
        </w:rPr>
        <w:t>This statement is false since the practitioner might have carried out more work and invested more resources than is reflected in the fee</w:t>
      </w:r>
      <w:r w:rsidRPr="002E7621">
        <w:rPr>
          <w:rFonts w:ascii="Avenir Next" w:hAnsi="Avenir Next" w:cs="Arial"/>
          <w:sz w:val="22"/>
          <w:szCs w:val="22"/>
        </w:rPr>
        <w:t>.</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CA7A53" w:rsidRDefault="0089154C" w:rsidP="002E7621">
      <w:pPr>
        <w:pStyle w:val="ListParagraph"/>
        <w:numPr>
          <w:ilvl w:val="0"/>
          <w:numId w:val="31"/>
        </w:numPr>
        <w:ind w:left="426"/>
        <w:jc w:val="both"/>
        <w:rPr>
          <w:rFonts w:ascii="Avenir Next" w:hAnsi="Avenir Next" w:cs="Arial"/>
          <w:sz w:val="22"/>
          <w:szCs w:val="22"/>
          <w:highlight w:val="yellow"/>
        </w:rPr>
      </w:pPr>
      <w:r w:rsidRPr="00CA7A53">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7D5C5228" w14:textId="6556BE0F" w:rsidR="002B48C1" w:rsidRPr="00864F1F" w:rsidRDefault="002B48C1" w:rsidP="002A37BB">
      <w:pPr>
        <w:ind w:left="720" w:hanging="720"/>
        <w:jc w:val="both"/>
        <w:rPr>
          <w:rFonts w:ascii="Avenir Next" w:hAnsi="Avenir Next" w:cs="Arial"/>
          <w:color w:val="7B7B7B" w:themeColor="accent3" w:themeShade="BF"/>
          <w:sz w:val="22"/>
          <w:szCs w:val="22"/>
          <w:highlight w:val="yellow"/>
          <w:lang w:val="en-GB"/>
        </w:rPr>
      </w:pPr>
      <w:r>
        <w:rPr>
          <w:rFonts w:ascii="Avenir Next" w:hAnsi="Avenir Next" w:cs="Arial"/>
          <w:color w:val="7B7B7B" w:themeColor="accent3" w:themeShade="BF"/>
          <w:sz w:val="22"/>
          <w:szCs w:val="22"/>
          <w:lang w:val="en-GB"/>
        </w:rPr>
        <w:t>[</w:t>
      </w:r>
      <w:r w:rsidRPr="00864F1F">
        <w:rPr>
          <w:rFonts w:ascii="Avenir Next" w:hAnsi="Avenir Next" w:cs="Arial"/>
          <w:color w:val="7B7B7B" w:themeColor="accent3" w:themeShade="BF"/>
          <w:sz w:val="22"/>
          <w:szCs w:val="22"/>
          <w:highlight w:val="yellow"/>
          <w:lang w:val="en-GB"/>
        </w:rPr>
        <w:t>The</w:t>
      </w:r>
      <w:r w:rsidR="004B1C0E">
        <w:rPr>
          <w:rFonts w:ascii="Avenir Next" w:hAnsi="Avenir Next" w:cs="Arial"/>
          <w:color w:val="7B7B7B" w:themeColor="accent3" w:themeShade="BF"/>
          <w:sz w:val="22"/>
          <w:szCs w:val="22"/>
          <w:highlight w:val="yellow"/>
          <w:lang w:val="en-GB"/>
        </w:rPr>
        <w:t xml:space="preserve"> </w:t>
      </w:r>
      <w:r w:rsidRPr="00864F1F">
        <w:rPr>
          <w:rFonts w:ascii="Avenir Next" w:hAnsi="Avenir Next" w:cs="Arial"/>
          <w:color w:val="7B7B7B" w:themeColor="accent3" w:themeShade="BF"/>
          <w:sz w:val="22"/>
          <w:szCs w:val="22"/>
          <w:highlight w:val="yellow"/>
          <w:lang w:val="en-GB"/>
        </w:rPr>
        <w:t>succeeding are the common elements associated with the existence of a fiduciary relationship;</w:t>
      </w:r>
    </w:p>
    <w:p w14:paraId="7B01D778" w14:textId="1F7360A2" w:rsidR="007A4573" w:rsidRPr="00740ED1" w:rsidRDefault="007A4573" w:rsidP="007A4573">
      <w:pPr>
        <w:pStyle w:val="ListParagraph"/>
        <w:numPr>
          <w:ilvl w:val="0"/>
          <w:numId w:val="33"/>
        </w:numPr>
        <w:jc w:val="both"/>
        <w:rPr>
          <w:rFonts w:ascii="Avenir Next" w:hAnsi="Avenir Next" w:cs="Arial"/>
          <w:sz w:val="22"/>
          <w:szCs w:val="22"/>
          <w:highlight w:val="yellow"/>
          <w:lang w:val="en-GB"/>
        </w:rPr>
      </w:pPr>
      <w:r w:rsidRPr="00740ED1">
        <w:rPr>
          <w:rFonts w:ascii="Avenir Next" w:hAnsi="Avenir Next" w:cs="Arial"/>
          <w:color w:val="7B7B7B" w:themeColor="accent3" w:themeShade="BF"/>
          <w:sz w:val="22"/>
          <w:szCs w:val="22"/>
          <w:highlight w:val="yellow"/>
          <w:lang w:val="en-GB"/>
        </w:rPr>
        <w:t xml:space="preserve">In a fiduciary relationship, a fiduciary undertakes to act on behalf of another </w:t>
      </w:r>
    </w:p>
    <w:p w14:paraId="284EE904" w14:textId="77777777" w:rsidR="007A4573" w:rsidRPr="00740ED1" w:rsidRDefault="007A4573" w:rsidP="007A4573">
      <w:pPr>
        <w:pStyle w:val="ListParagraph"/>
        <w:numPr>
          <w:ilvl w:val="0"/>
          <w:numId w:val="33"/>
        </w:numPr>
        <w:jc w:val="both"/>
        <w:rPr>
          <w:rFonts w:ascii="Avenir Next" w:hAnsi="Avenir Next" w:cs="Arial"/>
          <w:sz w:val="22"/>
          <w:szCs w:val="22"/>
          <w:highlight w:val="yellow"/>
          <w:lang w:val="en-GB"/>
        </w:rPr>
      </w:pPr>
      <w:r w:rsidRPr="00740ED1">
        <w:rPr>
          <w:rFonts w:ascii="Avenir Next" w:hAnsi="Avenir Next" w:cs="Arial"/>
          <w:color w:val="7B7B7B" w:themeColor="accent3" w:themeShade="BF"/>
          <w:sz w:val="22"/>
          <w:szCs w:val="22"/>
          <w:highlight w:val="yellow"/>
          <w:lang w:val="en-GB"/>
        </w:rPr>
        <w:t>The fiduciary has discretion and power over the interests of the others.</w:t>
      </w:r>
    </w:p>
    <w:p w14:paraId="57BCFC30" w14:textId="18A8FB7F" w:rsidR="009B07AD" w:rsidRPr="00740ED1" w:rsidRDefault="007A4573" w:rsidP="007A4573">
      <w:pPr>
        <w:pStyle w:val="ListParagraph"/>
        <w:numPr>
          <w:ilvl w:val="0"/>
          <w:numId w:val="33"/>
        </w:numPr>
        <w:jc w:val="both"/>
        <w:rPr>
          <w:rFonts w:ascii="Avenir Next" w:hAnsi="Avenir Next" w:cs="Arial"/>
          <w:sz w:val="22"/>
          <w:szCs w:val="22"/>
          <w:highlight w:val="yellow"/>
          <w:lang w:val="en-GB"/>
        </w:rPr>
      </w:pPr>
      <w:r w:rsidRPr="00740ED1">
        <w:rPr>
          <w:rFonts w:ascii="Avenir Next" w:hAnsi="Avenir Next" w:cs="Arial"/>
          <w:color w:val="7B7B7B" w:themeColor="accent3" w:themeShade="BF"/>
          <w:sz w:val="22"/>
          <w:szCs w:val="22"/>
          <w:highlight w:val="yellow"/>
          <w:lang w:val="en-GB"/>
        </w:rPr>
        <w:t xml:space="preserve">The element of vulnerability is sometimes regarded one of the </w:t>
      </w:r>
      <w:proofErr w:type="spellStart"/>
      <w:r w:rsidRPr="00740ED1">
        <w:rPr>
          <w:rFonts w:ascii="Avenir Next" w:hAnsi="Avenir Next" w:cs="Arial"/>
          <w:color w:val="7B7B7B" w:themeColor="accent3" w:themeShade="BF"/>
          <w:sz w:val="22"/>
          <w:szCs w:val="22"/>
          <w:highlight w:val="yellow"/>
          <w:lang w:val="en-GB"/>
        </w:rPr>
        <w:t>elemets</w:t>
      </w:r>
      <w:proofErr w:type="spellEnd"/>
      <w:r w:rsidRPr="00740ED1">
        <w:rPr>
          <w:rFonts w:ascii="Avenir Next" w:hAnsi="Avenir Next" w:cs="Arial"/>
          <w:color w:val="7B7B7B" w:themeColor="accent3" w:themeShade="BF"/>
          <w:sz w:val="22"/>
          <w:szCs w:val="22"/>
          <w:highlight w:val="yellow"/>
          <w:lang w:val="en-GB"/>
        </w:rPr>
        <w:t xml:space="preserve"> associated with the existence </w:t>
      </w:r>
      <w:r w:rsidR="00740ED1" w:rsidRPr="00740ED1">
        <w:rPr>
          <w:rFonts w:ascii="Avenir Next" w:hAnsi="Avenir Next" w:cs="Arial"/>
          <w:color w:val="7B7B7B" w:themeColor="accent3" w:themeShade="BF"/>
          <w:sz w:val="22"/>
          <w:szCs w:val="22"/>
          <w:highlight w:val="yellow"/>
          <w:lang w:val="en-GB"/>
        </w:rPr>
        <w:t xml:space="preserve">of a fiduciary relationship </w:t>
      </w:r>
      <w:r w:rsidRPr="00740ED1">
        <w:rPr>
          <w:rFonts w:ascii="Avenir Next" w:hAnsi="Avenir Next" w:cs="Arial"/>
          <w:color w:val="7B7B7B" w:themeColor="accent3" w:themeShade="BF"/>
          <w:sz w:val="22"/>
          <w:szCs w:val="22"/>
          <w:highlight w:val="yellow"/>
          <w:lang w:val="en-GB"/>
        </w:rPr>
        <w:t xml:space="preserve"> </w:t>
      </w:r>
      <w:r w:rsidR="009B07AD" w:rsidRPr="00740ED1">
        <w:rPr>
          <w:rFonts w:ascii="Avenir Next" w:hAnsi="Avenir Next" w:cs="Arial"/>
          <w:color w:val="7B7B7B" w:themeColor="accent3" w:themeShade="BF"/>
          <w:sz w:val="22"/>
          <w:szCs w:val="22"/>
          <w:highlight w:val="yellow"/>
          <w:lang w:val="en-GB"/>
        </w:rPr>
        <w:t>]</w:t>
      </w:r>
    </w:p>
    <w:p w14:paraId="22C610C9" w14:textId="16EF6256" w:rsidR="00DE03AF" w:rsidRPr="002E7621" w:rsidRDefault="00DE03AF" w:rsidP="002A37BB">
      <w:pPr>
        <w:jc w:val="both"/>
        <w:rPr>
          <w:rFonts w:ascii="Avenir Next" w:hAnsi="Avenir Next" w:cs="Arial"/>
          <w:sz w:val="22"/>
          <w:szCs w:val="22"/>
        </w:rPr>
      </w:pPr>
    </w:p>
    <w:p w14:paraId="789C3223" w14:textId="303DD51B" w:rsidR="00020557" w:rsidRDefault="00020557"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620D8813" w:rsidR="009B07AD" w:rsidRPr="002E7621" w:rsidRDefault="00B5783E" w:rsidP="002A37BB">
      <w:pPr>
        <w:ind w:left="720" w:hanging="720"/>
        <w:jc w:val="both"/>
        <w:rPr>
          <w:rFonts w:ascii="Avenir Next" w:hAnsi="Avenir Next" w:cs="Arial"/>
          <w:sz w:val="22"/>
          <w:szCs w:val="22"/>
        </w:rPr>
      </w:pPr>
      <w:r>
        <w:rPr>
          <w:rFonts w:ascii="Avenir Next" w:hAnsi="Avenir Next" w:cs="Arial"/>
          <w:color w:val="7B7B7B" w:themeColor="accent3" w:themeShade="BF"/>
          <w:sz w:val="22"/>
          <w:szCs w:val="22"/>
        </w:rPr>
        <w:t>[</w:t>
      </w:r>
      <w:r w:rsidRPr="00D053AA">
        <w:rPr>
          <w:rFonts w:ascii="Avenir Next" w:hAnsi="Avenir Next" w:cs="Arial"/>
          <w:color w:val="7B7B7B" w:themeColor="accent3" w:themeShade="BF"/>
          <w:sz w:val="22"/>
          <w:szCs w:val="22"/>
          <w:highlight w:val="yellow"/>
        </w:rPr>
        <w:t xml:space="preserve">The nature of the duty to act with independence and impartiality is primarily aimed at ensuring that the CIP or IP does not allow bias, a conflicting interest or the undue influence of others to take precedence </w:t>
      </w:r>
      <w:r w:rsidR="00D053AA" w:rsidRPr="00D053AA">
        <w:rPr>
          <w:rFonts w:ascii="Avenir Next" w:hAnsi="Avenir Next" w:cs="Arial"/>
          <w:color w:val="7B7B7B" w:themeColor="accent3" w:themeShade="BF"/>
          <w:sz w:val="22"/>
          <w:szCs w:val="22"/>
          <w:highlight w:val="yellow"/>
        </w:rPr>
        <w:t>over his professional or business judgment in the execution of his duties and obligations</w:t>
      </w:r>
      <w:proofErr w:type="gramStart"/>
      <w:r w:rsidR="00D053AA" w:rsidRPr="00D053AA">
        <w:rPr>
          <w:rFonts w:ascii="Avenir Next" w:hAnsi="Avenir Next" w:cs="Arial"/>
          <w:color w:val="7B7B7B" w:themeColor="accent3" w:themeShade="BF"/>
          <w:sz w:val="22"/>
          <w:szCs w:val="22"/>
          <w:highlight w:val="yellow"/>
        </w:rPr>
        <w:t xml:space="preserve">. </w:t>
      </w:r>
      <w:proofErr w:type="gramEnd"/>
      <w:r w:rsidR="00D053AA" w:rsidRPr="00D053AA">
        <w:rPr>
          <w:rFonts w:ascii="Avenir Next" w:hAnsi="Avenir Next" w:cs="Arial"/>
          <w:color w:val="7B7B7B" w:themeColor="accent3" w:themeShade="BF"/>
          <w:sz w:val="22"/>
          <w:szCs w:val="22"/>
          <w:highlight w:val="yellow"/>
        </w:rPr>
        <w:t>Therefore, it is important for the IPs not to take appointments where their independence and impartiality will be questioned by the existence of a relationship with a stakeholder. The independence of the practitioner must be in fact and must also be seen or perceived to be independent. The said independence requires that the practitioner must be free from any influence that could impair his judgment. In other words, the Practitioner must attain both factual and perception independence</w:t>
      </w:r>
      <w:r w:rsidR="00D053AA">
        <w:rPr>
          <w:rFonts w:ascii="Avenir Next" w:hAnsi="Avenir Next" w:cs="Arial"/>
          <w:color w:val="7B7B7B" w:themeColor="accent3" w:themeShade="BF"/>
          <w:sz w:val="22"/>
          <w:szCs w:val="22"/>
        </w:rPr>
        <w:t>.</w:t>
      </w:r>
      <w:bookmarkStart w:id="0" w:name="_GoBack"/>
      <w:bookmarkEnd w:id="0"/>
      <w:r w:rsidR="009B07AD" w:rsidRPr="002E7621">
        <w:rPr>
          <w:rFonts w:ascii="Avenir Next" w:hAnsi="Avenir Next" w:cs="Arial"/>
          <w:color w:val="7B7B7B" w:themeColor="accent3" w:themeShade="BF"/>
          <w:sz w:val="22"/>
          <w:szCs w:val="22"/>
        </w:rPr>
        <w:t>]</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8DB9FD8" w14:textId="7895D849" w:rsidR="00C72848" w:rsidRPr="002E7621" w:rsidRDefault="00CA7A53"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t>
      </w:r>
      <w:r w:rsidRPr="00CA7A53">
        <w:rPr>
          <w:rFonts w:ascii="Avenir Next" w:hAnsi="Avenir Next" w:cs="Arial"/>
          <w:color w:val="7B7B7B" w:themeColor="accent3" w:themeShade="BF"/>
          <w:sz w:val="22"/>
          <w:szCs w:val="22"/>
          <w:highlight w:val="yellow"/>
          <w:lang w:val="en-GB"/>
        </w:rPr>
        <w:t>The difference between professional and fidelity insurance is that professional insurance is taken out by the Insolvency Practitioner to cover against the risk of stakeholders commencing action against the Insolvency Practitioner for acting negligently whereas fidelity insurance is taken out for purposes of protecting the stakeholders in the event that the Insolvency Practitioner or someone working under him acting dishonestly defrauds the estate.</w:t>
      </w:r>
      <w:r w:rsidR="00C72848" w:rsidRPr="00CA7A53">
        <w:rPr>
          <w:rFonts w:ascii="Avenir Next" w:hAnsi="Avenir Next" w:cs="Arial"/>
          <w:color w:val="7B7B7B" w:themeColor="accent3" w:themeShade="BF"/>
          <w:sz w:val="22"/>
          <w:szCs w:val="22"/>
          <w:highlight w:val="yellow"/>
          <w:lang w:val="en-GB"/>
        </w:rPr>
        <w:t>]</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4024A332" w14:textId="4B43FA8D" w:rsidR="00544127" w:rsidRPr="002E7621" w:rsidRDefault="004B1C0E"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w:t>
      </w:r>
      <w:r w:rsidR="00A51F79" w:rsidRPr="00D13CC2">
        <w:rPr>
          <w:rFonts w:ascii="Avenir Next" w:hAnsi="Avenir Next" w:cs="Arial"/>
          <w:color w:val="7B7B7B" w:themeColor="accent3" w:themeShade="BF"/>
          <w:sz w:val="22"/>
          <w:szCs w:val="22"/>
          <w:highlight w:val="yellow"/>
          <w:lang w:val="en-GB"/>
        </w:rPr>
        <w:t xml:space="preserve">It is beyond question that the Insolvency Practitioner must always adhere to high moral and ethical standards. It is important to note that though morality and ethics are closely related the two are distinct. Thus, morals refer to or are anchored on a person’s beliefs regarding what is right or wrong </w:t>
      </w:r>
      <w:r w:rsidR="00A51F79" w:rsidRPr="00D13CC2">
        <w:rPr>
          <w:rFonts w:ascii="Avenir Next" w:hAnsi="Avenir Next" w:cs="Arial"/>
          <w:color w:val="7B7B7B" w:themeColor="accent3" w:themeShade="BF"/>
          <w:sz w:val="22"/>
          <w:szCs w:val="22"/>
          <w:highlight w:val="yellow"/>
          <w:lang w:val="en-GB"/>
        </w:rPr>
        <w:lastRenderedPageBreak/>
        <w:t>and is often influenced by a person’s upbringing, education, culture and to some extent religious beliefs. In light of the foregoing, it is safe to say that morals are subjective on the ground that there is standard moral code. On the other hand ethics refer to some defined rules and actions that are regarded as correct or acceptable behaviour and relate to a specific group of people</w:t>
      </w:r>
      <w:r w:rsidR="002737B7" w:rsidRPr="00D13CC2">
        <w:rPr>
          <w:rFonts w:ascii="Avenir Next" w:hAnsi="Avenir Next" w:cs="Arial"/>
          <w:color w:val="7B7B7B" w:themeColor="accent3" w:themeShade="BF"/>
          <w:sz w:val="22"/>
          <w:szCs w:val="22"/>
          <w:highlight w:val="yellow"/>
          <w:lang w:val="en-GB"/>
        </w:rPr>
        <w:t xml:space="preserve"> who operate in similar circumstances such as Lawyers or Insolvency Practitioners. It is worth of note that ethics does not concern with what is right or wrong but with the acceptable standards of conduct of a particular profession.  Though morals are a fulcrum of ethics, the ethics take precedence over morals </w:t>
      </w:r>
      <w:r w:rsidR="00D13CC2" w:rsidRPr="00D13CC2">
        <w:rPr>
          <w:rFonts w:ascii="Avenir Next" w:hAnsi="Avenir Next" w:cs="Arial"/>
          <w:color w:val="7B7B7B" w:themeColor="accent3" w:themeShade="BF"/>
          <w:sz w:val="22"/>
          <w:szCs w:val="22"/>
          <w:highlight w:val="yellow"/>
          <w:lang w:val="en-GB"/>
        </w:rPr>
        <w:t>on the ground that moral conduct can be unethical. For example, it is morally right for an Insolvency Practitioner to be open and honest with the interested parties in the insolvency proceedings and that moral demand may require the IP to disclose information which from the ethical point of view must be kept confidential. Though disclosure of such information is morally correct, it is ethically wrong for the IP to disclose confidential information. The preceding clearly shows that there is a distinction between morality and ethics.</w:t>
      </w:r>
      <w:r w:rsidR="00DF75F8" w:rsidRPr="00D13CC2">
        <w:rPr>
          <w:rFonts w:ascii="Avenir Next" w:hAnsi="Avenir Next" w:cs="Arial"/>
          <w:color w:val="7B7B7B" w:themeColor="accent3" w:themeShade="BF"/>
          <w:sz w:val="22"/>
          <w:szCs w:val="22"/>
          <w:highlight w:val="yellow"/>
          <w:lang w:val="en-GB"/>
        </w:rPr>
        <w:t>]</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4D084B47" w14:textId="77777777" w:rsidR="003A5E32" w:rsidRPr="002D2CB2" w:rsidRDefault="003A5E32" w:rsidP="002A37BB">
      <w:pPr>
        <w:jc w:val="both"/>
        <w:rPr>
          <w:rFonts w:ascii="Avenir Next" w:hAnsi="Avenir Next" w:cs="Arial"/>
          <w:color w:val="7B7B7B" w:themeColor="accent3" w:themeShade="BF"/>
          <w:sz w:val="22"/>
          <w:szCs w:val="22"/>
          <w:highlight w:val="yellow"/>
          <w:lang w:val="en-GB"/>
        </w:rPr>
      </w:pPr>
      <w:r>
        <w:rPr>
          <w:rFonts w:ascii="Avenir Next" w:hAnsi="Avenir Next" w:cs="Arial"/>
          <w:color w:val="7B7B7B" w:themeColor="accent3" w:themeShade="BF"/>
          <w:sz w:val="22"/>
          <w:szCs w:val="22"/>
          <w:lang w:val="en-GB"/>
        </w:rPr>
        <w:t>[</w:t>
      </w:r>
      <w:r w:rsidRPr="002D2CB2">
        <w:rPr>
          <w:rFonts w:ascii="Avenir Next" w:hAnsi="Avenir Next" w:cs="Arial"/>
          <w:color w:val="7B7B7B" w:themeColor="accent3" w:themeShade="BF"/>
          <w:sz w:val="22"/>
          <w:szCs w:val="22"/>
          <w:highlight w:val="yellow"/>
          <w:lang w:val="en-GB"/>
        </w:rPr>
        <w:t>The following elements of insolvency proceedings are prone to create or give rise to threats to independence and impartiality of the Insolvency Practitioner;</w:t>
      </w:r>
    </w:p>
    <w:p w14:paraId="04A646A2" w14:textId="38EF1795" w:rsidR="003A5E32" w:rsidRPr="002D2CB2" w:rsidRDefault="003A5E32" w:rsidP="003A5E32">
      <w:pPr>
        <w:pStyle w:val="ListParagraph"/>
        <w:numPr>
          <w:ilvl w:val="0"/>
          <w:numId w:val="34"/>
        </w:numPr>
        <w:jc w:val="both"/>
        <w:rPr>
          <w:rFonts w:ascii="Avenir Next" w:hAnsi="Avenir Next" w:cs="Arial"/>
          <w:sz w:val="22"/>
          <w:szCs w:val="22"/>
          <w:highlight w:val="yellow"/>
          <w:lang w:val="en-GB"/>
        </w:rPr>
      </w:pPr>
      <w:r w:rsidRPr="002D2CB2">
        <w:rPr>
          <w:rFonts w:ascii="Avenir Next" w:hAnsi="Avenir Next" w:cs="Arial"/>
          <w:color w:val="7B7B7B" w:themeColor="accent3" w:themeShade="BF"/>
          <w:sz w:val="22"/>
          <w:szCs w:val="22"/>
          <w:highlight w:val="yellow"/>
          <w:lang w:val="en-GB"/>
        </w:rPr>
        <w:t>Pre- commencement and appointment involvement</w:t>
      </w:r>
      <w:r w:rsidR="00B0145F" w:rsidRPr="002D2CB2">
        <w:rPr>
          <w:rFonts w:ascii="Avenir Next" w:hAnsi="Avenir Next" w:cs="Arial"/>
          <w:color w:val="7B7B7B" w:themeColor="accent3" w:themeShade="BF"/>
          <w:sz w:val="22"/>
          <w:szCs w:val="22"/>
          <w:highlight w:val="yellow"/>
          <w:lang w:val="en-GB"/>
        </w:rPr>
        <w:t>.</w:t>
      </w:r>
    </w:p>
    <w:p w14:paraId="3C40B361" w14:textId="77777777" w:rsidR="00485EDE" w:rsidRPr="002D2CB2" w:rsidRDefault="003A5E32" w:rsidP="00D649EE">
      <w:pPr>
        <w:pStyle w:val="ListParagraph"/>
        <w:jc w:val="both"/>
        <w:rPr>
          <w:rFonts w:ascii="Avenir Next" w:hAnsi="Avenir Next" w:cs="Arial"/>
          <w:color w:val="7B7B7B" w:themeColor="accent3" w:themeShade="BF"/>
          <w:sz w:val="22"/>
          <w:szCs w:val="22"/>
          <w:highlight w:val="yellow"/>
          <w:lang w:val="en-GB"/>
        </w:rPr>
      </w:pPr>
      <w:r w:rsidRPr="002D2CB2">
        <w:rPr>
          <w:rFonts w:ascii="Avenir Next" w:hAnsi="Avenir Next" w:cs="Arial"/>
          <w:color w:val="7B7B7B" w:themeColor="accent3" w:themeShade="BF"/>
          <w:sz w:val="22"/>
          <w:szCs w:val="22"/>
          <w:highlight w:val="yellow"/>
          <w:lang w:val="en-GB"/>
        </w:rPr>
        <w:t xml:space="preserve">This element poses a threat to the independence and impartiality of the Insolvency Practitioner on the ground that </w:t>
      </w:r>
      <w:r w:rsidR="006E6E9E" w:rsidRPr="002D2CB2">
        <w:rPr>
          <w:rFonts w:ascii="Avenir Next" w:hAnsi="Avenir Next" w:cs="Arial"/>
          <w:color w:val="7B7B7B" w:themeColor="accent3" w:themeShade="BF"/>
          <w:sz w:val="22"/>
          <w:szCs w:val="22"/>
          <w:highlight w:val="yellow"/>
          <w:lang w:val="en-GB"/>
        </w:rPr>
        <w:t>prior to commencement of the insolvency proceedings the CIP or IP would have consulted by the company or other stakeholders</w:t>
      </w:r>
      <w:r w:rsidR="00D649EE" w:rsidRPr="002D2CB2">
        <w:rPr>
          <w:rFonts w:ascii="Avenir Next" w:hAnsi="Avenir Next" w:cs="Arial"/>
          <w:color w:val="7B7B7B" w:themeColor="accent3" w:themeShade="BF"/>
          <w:sz w:val="22"/>
          <w:szCs w:val="22"/>
          <w:highlight w:val="yellow"/>
          <w:lang w:val="en-GB"/>
        </w:rPr>
        <w:t>.</w:t>
      </w:r>
      <w:r w:rsidR="006E6E9E" w:rsidRPr="002D2CB2">
        <w:rPr>
          <w:rFonts w:ascii="Avenir Next" w:hAnsi="Avenir Next" w:cs="Arial"/>
          <w:color w:val="7B7B7B" w:themeColor="accent3" w:themeShade="BF"/>
          <w:sz w:val="22"/>
          <w:szCs w:val="22"/>
          <w:highlight w:val="yellow"/>
          <w:lang w:val="en-GB"/>
        </w:rPr>
        <w:t xml:space="preserve"> </w:t>
      </w:r>
      <w:r w:rsidR="00D649EE" w:rsidRPr="002D2CB2">
        <w:rPr>
          <w:rFonts w:ascii="Avenir Next" w:hAnsi="Avenir Next" w:cs="Arial"/>
          <w:color w:val="7B7B7B" w:themeColor="accent3" w:themeShade="BF"/>
          <w:sz w:val="22"/>
          <w:szCs w:val="22"/>
          <w:highlight w:val="yellow"/>
          <w:lang w:val="en-GB"/>
        </w:rPr>
        <w:t xml:space="preserve">However, </w:t>
      </w:r>
      <w:r w:rsidR="006E6E9E" w:rsidRPr="002D2CB2">
        <w:rPr>
          <w:rFonts w:ascii="Avenir Next" w:hAnsi="Avenir Next" w:cs="Arial"/>
          <w:color w:val="7B7B7B" w:themeColor="accent3" w:themeShade="BF"/>
          <w:sz w:val="22"/>
          <w:szCs w:val="22"/>
          <w:highlight w:val="yellow"/>
          <w:lang w:val="en-GB"/>
        </w:rPr>
        <w:t>these consultations need not to lead to disqualification of the CIP or IP</w:t>
      </w:r>
      <w:r w:rsidR="00D649EE" w:rsidRPr="002D2CB2">
        <w:rPr>
          <w:rFonts w:ascii="Avenir Next" w:hAnsi="Avenir Next" w:cs="Arial"/>
          <w:color w:val="7B7B7B" w:themeColor="accent3" w:themeShade="BF"/>
          <w:sz w:val="22"/>
          <w:szCs w:val="22"/>
          <w:highlight w:val="yellow"/>
          <w:lang w:val="en-GB"/>
        </w:rPr>
        <w:t xml:space="preserve"> unless there is proof that such consultations involved material engagement by any stakeholder and the Practitioner such that the independence of the Practitioner can be questioned. It is important to state that the advice rendered by the Practitioner in the prior consultation should be limited to the company’s financial position, the solvency of the company, the effects of potential insolvency and any other alternatives to the insolvency therefore, anything beyond the preceding will pose a threat to the independence and impartiality</w:t>
      </w:r>
      <w:r w:rsidR="00485EDE" w:rsidRPr="002D2CB2">
        <w:rPr>
          <w:rFonts w:ascii="Avenir Next" w:hAnsi="Avenir Next" w:cs="Arial"/>
          <w:color w:val="7B7B7B" w:themeColor="accent3" w:themeShade="BF"/>
          <w:sz w:val="22"/>
          <w:szCs w:val="22"/>
          <w:highlight w:val="yellow"/>
          <w:lang w:val="en-GB"/>
        </w:rPr>
        <w:t xml:space="preserve"> of the CIP or IP. Thus, in</w:t>
      </w:r>
      <w:r w:rsidR="00D649EE" w:rsidRPr="002D2CB2">
        <w:rPr>
          <w:rFonts w:ascii="Avenir Next" w:hAnsi="Avenir Next" w:cs="Arial"/>
          <w:color w:val="7B7B7B" w:themeColor="accent3" w:themeShade="BF"/>
          <w:sz w:val="22"/>
          <w:szCs w:val="22"/>
          <w:highlight w:val="yellow"/>
          <w:lang w:val="en-GB"/>
        </w:rPr>
        <w:t xml:space="preserve"> the case of Re </w:t>
      </w:r>
      <w:proofErr w:type="spellStart"/>
      <w:r w:rsidR="00D649EE" w:rsidRPr="002D2CB2">
        <w:rPr>
          <w:rFonts w:ascii="Avenir Next" w:hAnsi="Avenir Next" w:cs="Arial"/>
          <w:color w:val="7B7B7B" w:themeColor="accent3" w:themeShade="BF"/>
          <w:sz w:val="22"/>
          <w:szCs w:val="22"/>
          <w:highlight w:val="yellow"/>
          <w:lang w:val="en-GB"/>
        </w:rPr>
        <w:t>Korde</w:t>
      </w:r>
      <w:proofErr w:type="spellEnd"/>
      <w:r w:rsidR="00D649EE" w:rsidRPr="002D2CB2">
        <w:rPr>
          <w:rFonts w:ascii="Avenir Next" w:hAnsi="Avenir Next" w:cs="Arial"/>
          <w:color w:val="7B7B7B" w:themeColor="accent3" w:themeShade="BF"/>
          <w:sz w:val="22"/>
          <w:szCs w:val="22"/>
          <w:highlight w:val="yellow"/>
          <w:lang w:val="en-GB"/>
        </w:rPr>
        <w:t>, Ten Network Holdings Limited (</w:t>
      </w:r>
      <w:proofErr w:type="spellStart"/>
      <w:r w:rsidR="00D649EE" w:rsidRPr="002D2CB2">
        <w:rPr>
          <w:rFonts w:ascii="Avenir Next" w:hAnsi="Avenir Next" w:cs="Arial"/>
          <w:color w:val="7B7B7B" w:themeColor="accent3" w:themeShade="BF"/>
          <w:sz w:val="22"/>
          <w:szCs w:val="22"/>
          <w:highlight w:val="yellow"/>
          <w:lang w:val="en-GB"/>
        </w:rPr>
        <w:t>Admn</w:t>
      </w:r>
      <w:proofErr w:type="spellEnd"/>
      <w:r w:rsidR="00D649EE" w:rsidRPr="002D2CB2">
        <w:rPr>
          <w:rFonts w:ascii="Avenir Next" w:hAnsi="Avenir Next" w:cs="Arial"/>
          <w:color w:val="7B7B7B" w:themeColor="accent3" w:themeShade="BF"/>
          <w:sz w:val="22"/>
          <w:szCs w:val="22"/>
          <w:highlight w:val="yellow"/>
          <w:lang w:val="en-GB"/>
        </w:rPr>
        <w:t xml:space="preserve"> </w:t>
      </w:r>
      <w:proofErr w:type="spellStart"/>
      <w:r w:rsidR="00D649EE" w:rsidRPr="002D2CB2">
        <w:rPr>
          <w:rFonts w:ascii="Avenir Next" w:hAnsi="Avenir Next" w:cs="Arial"/>
          <w:color w:val="7B7B7B" w:themeColor="accent3" w:themeShade="BF"/>
          <w:sz w:val="22"/>
          <w:szCs w:val="22"/>
          <w:highlight w:val="yellow"/>
          <w:lang w:val="en-GB"/>
        </w:rPr>
        <w:t>Apptd</w:t>
      </w:r>
      <w:proofErr w:type="spellEnd"/>
      <w:r w:rsidR="00D649EE" w:rsidRPr="002D2CB2">
        <w:rPr>
          <w:rFonts w:ascii="Avenir Next" w:hAnsi="Avenir Next" w:cs="Arial"/>
          <w:color w:val="7B7B7B" w:themeColor="accent3" w:themeShade="BF"/>
          <w:sz w:val="22"/>
          <w:szCs w:val="22"/>
          <w:highlight w:val="yellow"/>
          <w:lang w:val="en-GB"/>
        </w:rPr>
        <w:t xml:space="preserve">) (Recs and </w:t>
      </w:r>
      <w:proofErr w:type="spellStart"/>
      <w:r w:rsidR="00D649EE" w:rsidRPr="002D2CB2">
        <w:rPr>
          <w:rFonts w:ascii="Avenir Next" w:hAnsi="Avenir Next" w:cs="Arial"/>
          <w:color w:val="7B7B7B" w:themeColor="accent3" w:themeShade="BF"/>
          <w:sz w:val="22"/>
          <w:szCs w:val="22"/>
          <w:highlight w:val="yellow"/>
          <w:lang w:val="en-GB"/>
        </w:rPr>
        <w:t>Mgrs</w:t>
      </w:r>
      <w:proofErr w:type="spellEnd"/>
      <w:r w:rsidR="00D649EE" w:rsidRPr="002D2CB2">
        <w:rPr>
          <w:rFonts w:ascii="Avenir Next" w:hAnsi="Avenir Next" w:cs="Arial"/>
          <w:color w:val="7B7B7B" w:themeColor="accent3" w:themeShade="BF"/>
          <w:sz w:val="22"/>
          <w:szCs w:val="22"/>
          <w:highlight w:val="yellow"/>
          <w:lang w:val="en-GB"/>
        </w:rPr>
        <w:t xml:space="preserve"> </w:t>
      </w:r>
      <w:proofErr w:type="spellStart"/>
      <w:r w:rsidR="00D649EE" w:rsidRPr="002D2CB2">
        <w:rPr>
          <w:rFonts w:ascii="Avenir Next" w:hAnsi="Avenir Next" w:cs="Arial"/>
          <w:color w:val="7B7B7B" w:themeColor="accent3" w:themeShade="BF"/>
          <w:sz w:val="22"/>
          <w:szCs w:val="22"/>
          <w:highlight w:val="yellow"/>
          <w:lang w:val="en-GB"/>
        </w:rPr>
        <w:t>Apptd</w:t>
      </w:r>
      <w:proofErr w:type="spellEnd"/>
      <w:r w:rsidR="00D649EE" w:rsidRPr="002D2CB2">
        <w:rPr>
          <w:rFonts w:ascii="Avenir Next" w:hAnsi="Avenir Next" w:cs="Arial"/>
          <w:color w:val="7B7B7B" w:themeColor="accent3" w:themeShade="BF"/>
          <w:sz w:val="22"/>
          <w:szCs w:val="22"/>
          <w:highlight w:val="yellow"/>
          <w:lang w:val="en-GB"/>
        </w:rPr>
        <w:t xml:space="preserve">) [2017] FCA </w:t>
      </w:r>
      <w:proofErr w:type="gramStart"/>
      <w:r w:rsidR="00D649EE" w:rsidRPr="002D2CB2">
        <w:rPr>
          <w:rFonts w:ascii="Avenir Next" w:hAnsi="Avenir Next" w:cs="Arial"/>
          <w:color w:val="7B7B7B" w:themeColor="accent3" w:themeShade="BF"/>
          <w:sz w:val="22"/>
          <w:szCs w:val="22"/>
          <w:highlight w:val="yellow"/>
          <w:lang w:val="en-GB"/>
        </w:rPr>
        <w:t xml:space="preserve">914 </w:t>
      </w:r>
      <w:r w:rsidR="00485EDE" w:rsidRPr="002D2CB2">
        <w:rPr>
          <w:rFonts w:ascii="Avenir Next" w:hAnsi="Avenir Next" w:cs="Arial"/>
          <w:color w:val="7B7B7B" w:themeColor="accent3" w:themeShade="BF"/>
          <w:sz w:val="22"/>
          <w:szCs w:val="22"/>
          <w:highlight w:val="yellow"/>
          <w:lang w:val="en-GB"/>
        </w:rPr>
        <w:t xml:space="preserve"> the</w:t>
      </w:r>
      <w:proofErr w:type="gramEnd"/>
      <w:r w:rsidR="00485EDE" w:rsidRPr="002D2CB2">
        <w:rPr>
          <w:rFonts w:ascii="Avenir Next" w:hAnsi="Avenir Next" w:cs="Arial"/>
          <w:color w:val="7B7B7B" w:themeColor="accent3" w:themeShade="BF"/>
          <w:sz w:val="22"/>
          <w:szCs w:val="22"/>
          <w:highlight w:val="yellow"/>
          <w:lang w:val="en-GB"/>
        </w:rPr>
        <w:t xml:space="preserve"> facts were that the Administrator’s Firm had been involved in the reviewing the company’s financial position for several months prior to their appointment. The question that confronted the Court was whether they should be allowed to continue to act as Administrators given their long term, substantial and remunerative involvement with the company. The illuminating submissions by the Australian Securities and Investments Commission in the same case in which it appeared as amicus curia which the Court concurred with was that,</w:t>
      </w:r>
    </w:p>
    <w:p w14:paraId="53BD6EBB" w14:textId="77777777" w:rsidR="008E03CB" w:rsidRPr="002D2CB2" w:rsidRDefault="00485EDE" w:rsidP="00D649EE">
      <w:pPr>
        <w:pStyle w:val="ListParagraph"/>
        <w:jc w:val="both"/>
        <w:rPr>
          <w:rFonts w:ascii="Avenir Next" w:hAnsi="Avenir Next" w:cs="Arial"/>
          <w:color w:val="7B7B7B" w:themeColor="accent3" w:themeShade="BF"/>
          <w:sz w:val="22"/>
          <w:szCs w:val="22"/>
          <w:highlight w:val="yellow"/>
          <w:lang w:val="en-GB"/>
        </w:rPr>
      </w:pPr>
      <w:r w:rsidRPr="002D2CB2">
        <w:rPr>
          <w:rFonts w:ascii="Avenir Next" w:hAnsi="Avenir Next" w:cs="Arial"/>
          <w:color w:val="7B7B7B" w:themeColor="accent3" w:themeShade="BF"/>
          <w:sz w:val="22"/>
          <w:szCs w:val="22"/>
          <w:highlight w:val="yellow"/>
          <w:lang w:val="en-GB"/>
        </w:rPr>
        <w:t xml:space="preserve">“Directors contemplating potential insolvency should be encouraged to engage with </w:t>
      </w:r>
      <w:r w:rsidR="008E03CB" w:rsidRPr="002D2CB2">
        <w:rPr>
          <w:rFonts w:ascii="Avenir Next" w:hAnsi="Avenir Next" w:cs="Arial"/>
          <w:color w:val="7B7B7B" w:themeColor="accent3" w:themeShade="BF"/>
          <w:sz w:val="22"/>
          <w:szCs w:val="22"/>
          <w:highlight w:val="yellow"/>
          <w:lang w:val="en-GB"/>
        </w:rPr>
        <w:t>appropriately qualified professionals early to develop restructuring plans which will maximise the chance of rescuing a viable business or returning as much value as possible to the relevant stakeholders should a later appointment prove necessary. A reasonable fair minded observer would appreciate that as a common characteristic of large and complex corporate distress situations. Provided that appropriate safeguards are put in place to avoid the existence or appearance of conflict should an appointment subsequently prove necessary, significant, long term and consequently remunerative work undertaken for such purposes should not of itself preclude the practitioner from taking a formal appointment (subject of course to consideration of the facts and circumstances of each particular case.”)</w:t>
      </w:r>
    </w:p>
    <w:p w14:paraId="3674601B" w14:textId="77777777" w:rsidR="00435C15" w:rsidRPr="002D2CB2" w:rsidRDefault="008E03CB" w:rsidP="00D649EE">
      <w:pPr>
        <w:pStyle w:val="ListParagraph"/>
        <w:jc w:val="both"/>
        <w:rPr>
          <w:rFonts w:ascii="Avenir Next" w:hAnsi="Avenir Next" w:cs="Arial"/>
          <w:color w:val="7B7B7B" w:themeColor="accent3" w:themeShade="BF"/>
          <w:sz w:val="22"/>
          <w:szCs w:val="22"/>
          <w:highlight w:val="yellow"/>
          <w:lang w:val="en-GB"/>
        </w:rPr>
      </w:pPr>
      <w:r w:rsidRPr="002D2CB2">
        <w:rPr>
          <w:rFonts w:ascii="Avenir Next" w:hAnsi="Avenir Next" w:cs="Arial"/>
          <w:color w:val="7B7B7B" w:themeColor="accent3" w:themeShade="BF"/>
          <w:sz w:val="22"/>
          <w:szCs w:val="22"/>
          <w:highlight w:val="yellow"/>
          <w:lang w:val="en-GB"/>
        </w:rPr>
        <w:lastRenderedPageBreak/>
        <w:t xml:space="preserve">The Court authoritatively held that </w:t>
      </w:r>
      <w:r w:rsidR="00435C15" w:rsidRPr="002D2CB2">
        <w:rPr>
          <w:rFonts w:ascii="Avenir Next" w:hAnsi="Avenir Next" w:cs="Arial"/>
          <w:color w:val="7B7B7B" w:themeColor="accent3" w:themeShade="BF"/>
          <w:sz w:val="22"/>
          <w:szCs w:val="22"/>
          <w:highlight w:val="yellow"/>
          <w:lang w:val="en-GB"/>
        </w:rPr>
        <w:t>“</w:t>
      </w:r>
      <w:r w:rsidRPr="002D2CB2">
        <w:rPr>
          <w:rFonts w:ascii="Avenir Next" w:hAnsi="Avenir Next" w:cs="Arial"/>
          <w:color w:val="7B7B7B" w:themeColor="accent3" w:themeShade="BF"/>
          <w:sz w:val="22"/>
          <w:szCs w:val="22"/>
          <w:highlight w:val="yellow"/>
          <w:lang w:val="en-GB"/>
        </w:rPr>
        <w:t xml:space="preserve">these safeguards could include; that the potential administrator makes it clear to the board of directors and executive that </w:t>
      </w:r>
      <w:r w:rsidR="00435C15" w:rsidRPr="002D2CB2">
        <w:rPr>
          <w:rFonts w:ascii="Avenir Next" w:hAnsi="Avenir Next" w:cs="Arial"/>
          <w:color w:val="7B7B7B" w:themeColor="accent3" w:themeShade="BF"/>
          <w:sz w:val="22"/>
          <w:szCs w:val="22"/>
          <w:highlight w:val="yellow"/>
          <w:lang w:val="en-GB"/>
        </w:rPr>
        <w:t>she or he is in the person who might become the actual administrator if other measures to fix the company’s finances do not succeed as well as proper record keeping of all the meetings held and tasks performed.”</w:t>
      </w:r>
    </w:p>
    <w:p w14:paraId="476871F7" w14:textId="77777777" w:rsidR="00B0145F" w:rsidRPr="002D2CB2" w:rsidRDefault="00435C15" w:rsidP="00435C15">
      <w:pPr>
        <w:pStyle w:val="ListParagraph"/>
        <w:numPr>
          <w:ilvl w:val="0"/>
          <w:numId w:val="34"/>
        </w:numPr>
        <w:jc w:val="both"/>
        <w:rPr>
          <w:rFonts w:ascii="Avenir Next" w:hAnsi="Avenir Next" w:cs="Arial"/>
          <w:color w:val="7B7B7B" w:themeColor="accent3" w:themeShade="BF"/>
          <w:sz w:val="22"/>
          <w:szCs w:val="22"/>
          <w:highlight w:val="yellow"/>
          <w:lang w:val="en-GB"/>
        </w:rPr>
      </w:pPr>
      <w:r w:rsidRPr="002D2CB2">
        <w:rPr>
          <w:rFonts w:ascii="Avenir Next" w:hAnsi="Avenir Next" w:cs="Arial"/>
          <w:color w:val="7B7B7B" w:themeColor="accent3" w:themeShade="BF"/>
          <w:sz w:val="22"/>
          <w:szCs w:val="22"/>
          <w:highlight w:val="yellow"/>
          <w:lang w:val="en-GB"/>
        </w:rPr>
        <w:t xml:space="preserve">Appointment. </w:t>
      </w:r>
    </w:p>
    <w:p w14:paraId="08506508" w14:textId="77777777" w:rsidR="0073362D" w:rsidRDefault="00B0145F" w:rsidP="00B0145F">
      <w:pPr>
        <w:pStyle w:val="ListParagraph"/>
        <w:jc w:val="both"/>
        <w:rPr>
          <w:rFonts w:ascii="Avenir Next" w:hAnsi="Avenir Next" w:cs="Arial"/>
          <w:color w:val="7B7B7B" w:themeColor="accent3" w:themeShade="BF"/>
          <w:sz w:val="22"/>
          <w:szCs w:val="22"/>
          <w:lang w:val="en-GB"/>
        </w:rPr>
      </w:pPr>
      <w:r w:rsidRPr="002D2CB2">
        <w:rPr>
          <w:rFonts w:ascii="Avenir Next" w:hAnsi="Avenir Next" w:cs="Arial"/>
          <w:color w:val="7B7B7B" w:themeColor="accent3" w:themeShade="BF"/>
          <w:sz w:val="22"/>
          <w:szCs w:val="22"/>
          <w:highlight w:val="yellow"/>
          <w:lang w:val="en-GB"/>
        </w:rPr>
        <w:t>It is trite that the CIP or IP in a number of jurisdictions may be appointed either by the Board of Directors or a stakeholder either the shareholder or Creditor. Such appointment may give</w:t>
      </w:r>
      <w:r>
        <w:rPr>
          <w:rFonts w:ascii="Avenir Next" w:hAnsi="Avenir Next" w:cs="Arial"/>
          <w:color w:val="7B7B7B" w:themeColor="accent3" w:themeShade="BF"/>
          <w:sz w:val="22"/>
          <w:szCs w:val="22"/>
          <w:lang w:val="en-GB"/>
        </w:rPr>
        <w:t xml:space="preserve"> </w:t>
      </w:r>
      <w:r w:rsidRPr="002D2CB2">
        <w:rPr>
          <w:rFonts w:ascii="Avenir Next" w:hAnsi="Avenir Next" w:cs="Arial"/>
          <w:color w:val="7B7B7B" w:themeColor="accent3" w:themeShade="BF"/>
          <w:sz w:val="22"/>
          <w:szCs w:val="22"/>
          <w:highlight w:val="yellow"/>
          <w:lang w:val="en-GB"/>
        </w:rPr>
        <w:t xml:space="preserve">birth to expectations that the Practitioner would prioritise the interest of the board or person who sought the appointment of the Insolvency Practitioner thereby raising issues of functional independence and impartiality of the Practitioner. In light of the foregoing, it is absolutely </w:t>
      </w:r>
      <w:r w:rsidR="0073362D" w:rsidRPr="002D2CB2">
        <w:rPr>
          <w:rFonts w:ascii="Avenir Next" w:hAnsi="Avenir Next" w:cs="Arial"/>
          <w:color w:val="7B7B7B" w:themeColor="accent3" w:themeShade="BF"/>
          <w:sz w:val="22"/>
          <w:szCs w:val="22"/>
          <w:highlight w:val="yellow"/>
          <w:lang w:val="en-GB"/>
        </w:rPr>
        <w:t>important for the Insolvency Practitioner to be aware of his responsibilities in this regard. Thus, the Insolvency Practitioner must never make any promises to those who appointed him and must state clearly that is professionally expected to act in the best interest of all the beneficiaries</w:t>
      </w:r>
      <w:r w:rsidR="0073362D">
        <w:rPr>
          <w:rFonts w:ascii="Avenir Next" w:hAnsi="Avenir Next" w:cs="Arial"/>
          <w:color w:val="7B7B7B" w:themeColor="accent3" w:themeShade="BF"/>
          <w:sz w:val="22"/>
          <w:szCs w:val="22"/>
          <w:lang w:val="en-GB"/>
        </w:rPr>
        <w:t xml:space="preserve">. </w:t>
      </w:r>
    </w:p>
    <w:p w14:paraId="70757D7F" w14:textId="77777777" w:rsidR="0073362D" w:rsidRPr="00473045" w:rsidRDefault="0073362D" w:rsidP="0073362D">
      <w:pPr>
        <w:pStyle w:val="ListParagraph"/>
        <w:numPr>
          <w:ilvl w:val="0"/>
          <w:numId w:val="34"/>
        </w:numPr>
        <w:jc w:val="both"/>
        <w:rPr>
          <w:rFonts w:ascii="Avenir Next" w:hAnsi="Avenir Next" w:cs="Arial"/>
          <w:color w:val="7B7B7B" w:themeColor="accent3" w:themeShade="BF"/>
          <w:sz w:val="22"/>
          <w:szCs w:val="22"/>
          <w:highlight w:val="yellow"/>
          <w:lang w:val="en-GB"/>
        </w:rPr>
      </w:pPr>
      <w:r w:rsidRPr="00473045">
        <w:rPr>
          <w:rFonts w:ascii="Avenir Next" w:hAnsi="Avenir Next" w:cs="Arial"/>
          <w:color w:val="7B7B7B" w:themeColor="accent3" w:themeShade="BF"/>
          <w:sz w:val="22"/>
          <w:szCs w:val="22"/>
          <w:highlight w:val="yellow"/>
          <w:lang w:val="en-GB"/>
        </w:rPr>
        <w:t>Subsequent Appointments.</w:t>
      </w:r>
    </w:p>
    <w:p w14:paraId="7940D274" w14:textId="5BC9B9C7" w:rsidR="00DF75F8" w:rsidRPr="00D649EE" w:rsidRDefault="0073362D" w:rsidP="00473045">
      <w:pPr>
        <w:pStyle w:val="ListParagraph"/>
        <w:jc w:val="both"/>
        <w:rPr>
          <w:rFonts w:ascii="Avenir Next" w:hAnsi="Avenir Next" w:cs="Arial"/>
          <w:color w:val="7B7B7B" w:themeColor="accent3" w:themeShade="BF"/>
          <w:sz w:val="22"/>
          <w:szCs w:val="22"/>
          <w:lang w:val="en-GB"/>
        </w:rPr>
      </w:pPr>
      <w:r w:rsidRPr="00473045">
        <w:rPr>
          <w:rFonts w:ascii="Avenir Next" w:hAnsi="Avenir Next" w:cs="Arial"/>
          <w:color w:val="7B7B7B" w:themeColor="accent3" w:themeShade="BF"/>
          <w:sz w:val="22"/>
          <w:szCs w:val="22"/>
          <w:highlight w:val="yellow"/>
          <w:lang w:val="en-GB"/>
        </w:rPr>
        <w:t>This element of the insolvency proceedings is prone to create or give rise to threats to independence and impartiality of the practitioner on the ground that the CIP or IP is allowed to act in different insolvency capacities in relation to the same debtor. The subsequent appointments brings into question the functional independence and impartiality of t</w:t>
      </w:r>
      <w:r w:rsidR="002D2CB2" w:rsidRPr="00473045">
        <w:rPr>
          <w:rFonts w:ascii="Avenir Next" w:hAnsi="Avenir Next" w:cs="Arial"/>
          <w:color w:val="7B7B7B" w:themeColor="accent3" w:themeShade="BF"/>
          <w:sz w:val="22"/>
          <w:szCs w:val="22"/>
          <w:highlight w:val="yellow"/>
          <w:lang w:val="en-GB"/>
        </w:rPr>
        <w:t>he Practitioner due to the self-</w:t>
      </w:r>
      <w:r w:rsidRPr="00473045">
        <w:rPr>
          <w:rFonts w:ascii="Avenir Next" w:hAnsi="Avenir Next" w:cs="Arial"/>
          <w:color w:val="7B7B7B" w:themeColor="accent3" w:themeShade="BF"/>
          <w:sz w:val="22"/>
          <w:szCs w:val="22"/>
          <w:highlight w:val="yellow"/>
          <w:lang w:val="en-GB"/>
        </w:rPr>
        <w:t xml:space="preserve">view </w:t>
      </w:r>
      <w:r w:rsidR="002D2CB2" w:rsidRPr="00473045">
        <w:rPr>
          <w:rFonts w:ascii="Avenir Next" w:hAnsi="Avenir Next" w:cs="Arial"/>
          <w:color w:val="7B7B7B" w:themeColor="accent3" w:themeShade="BF"/>
          <w:sz w:val="22"/>
          <w:szCs w:val="22"/>
          <w:highlight w:val="yellow"/>
          <w:lang w:val="en-GB"/>
        </w:rPr>
        <w:t>and self-interest threat it creates. Thus, a self-review threat refers to a situation where the Insolvency Practitioner, due to being involved in prior decision making risks failing to properly evaluate the outcome of previous judgments made or services rendered. On the other hand, self-interest threat relates to the issue of remuneration of the Practitioner and the risk it poses is that the Practitioner will be remunerated twice for the work done in respect to the same company.</w:t>
      </w:r>
      <w:r w:rsidRPr="00473045">
        <w:rPr>
          <w:rFonts w:ascii="Avenir Next" w:hAnsi="Avenir Next" w:cs="Arial"/>
          <w:color w:val="7B7B7B" w:themeColor="accent3" w:themeShade="BF"/>
          <w:sz w:val="22"/>
          <w:szCs w:val="22"/>
          <w:highlight w:val="yellow"/>
          <w:lang w:val="en-GB"/>
        </w:rPr>
        <w:t xml:space="preserve">  </w:t>
      </w:r>
      <w:r w:rsidR="002D2CB2" w:rsidRPr="00473045">
        <w:rPr>
          <w:rFonts w:ascii="Avenir Next" w:hAnsi="Avenir Next" w:cs="Arial"/>
          <w:color w:val="7B7B7B" w:themeColor="accent3" w:themeShade="BF"/>
          <w:sz w:val="22"/>
          <w:szCs w:val="22"/>
          <w:highlight w:val="yellow"/>
          <w:lang w:val="en-GB"/>
        </w:rPr>
        <w:t xml:space="preserve">In jurisdictions where such appointments are permitted, the held view is that previous appointment </w:t>
      </w:r>
      <w:proofErr w:type="gramStart"/>
      <w:r w:rsidR="002D2CB2" w:rsidRPr="00473045">
        <w:rPr>
          <w:rFonts w:ascii="Avenir Next" w:hAnsi="Avenir Next" w:cs="Arial"/>
          <w:color w:val="7B7B7B" w:themeColor="accent3" w:themeShade="BF"/>
          <w:sz w:val="22"/>
          <w:szCs w:val="22"/>
          <w:highlight w:val="yellow"/>
          <w:lang w:val="en-GB"/>
        </w:rPr>
        <w:t>does  hold</w:t>
      </w:r>
      <w:proofErr w:type="gramEnd"/>
      <w:r w:rsidR="002D2CB2" w:rsidRPr="00473045">
        <w:rPr>
          <w:rFonts w:ascii="Avenir Next" w:hAnsi="Avenir Next" w:cs="Arial"/>
          <w:color w:val="7B7B7B" w:themeColor="accent3" w:themeShade="BF"/>
          <w:sz w:val="22"/>
          <w:szCs w:val="22"/>
          <w:highlight w:val="yellow"/>
          <w:lang w:val="en-GB"/>
        </w:rPr>
        <w:t xml:space="preserve"> some benefits</w:t>
      </w:r>
      <w:r w:rsidR="00473045" w:rsidRPr="00473045">
        <w:rPr>
          <w:rFonts w:ascii="Avenir Next" w:hAnsi="Avenir Next" w:cs="Arial"/>
          <w:color w:val="7B7B7B" w:themeColor="accent3" w:themeShade="BF"/>
          <w:sz w:val="22"/>
          <w:szCs w:val="22"/>
          <w:highlight w:val="yellow"/>
          <w:lang w:val="en-GB"/>
        </w:rPr>
        <w:t xml:space="preserve"> and advantages in the subsequent appointment and that such professionals have the opinion that they are able to act with independence and impartiality. </w:t>
      </w:r>
      <w:r w:rsidR="00DF75F8" w:rsidRPr="00473045">
        <w:rPr>
          <w:rFonts w:ascii="Avenir Next" w:hAnsi="Avenir Next" w:cs="Arial"/>
          <w:color w:val="7B7B7B" w:themeColor="accent3" w:themeShade="BF"/>
          <w:sz w:val="22"/>
          <w:szCs w:val="22"/>
          <w:highlight w:val="yellow"/>
          <w:lang w:val="en-GB"/>
        </w:rPr>
        <w:t>]</w:t>
      </w:r>
    </w:p>
    <w:p w14:paraId="0AC81636" w14:textId="20A2B16E" w:rsidR="00132584" w:rsidRPr="002E7621" w:rsidRDefault="00132584" w:rsidP="002A37BB">
      <w:pPr>
        <w:jc w:val="both"/>
        <w:rPr>
          <w:rFonts w:ascii="Avenir Next" w:hAnsi="Avenir Next" w:cs="Arial"/>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t>
      </w:r>
      <w:proofErr w:type="gramStart"/>
      <w:r w:rsidRPr="002E7621">
        <w:rPr>
          <w:rFonts w:ascii="Avenir Next" w:hAnsi="Avenir Next" w:cs="Arial"/>
          <w:sz w:val="22"/>
          <w:szCs w:val="22"/>
          <w:lang w:val="en-GB"/>
        </w:rPr>
        <w:t>When the company’s financial position started to decline the directors continued to trade as if nothing was amiss and even made several large payments to themselves by way of performance bonuses.</w:t>
      </w:r>
      <w:proofErr w:type="gramEnd"/>
      <w:r w:rsidRPr="002E7621">
        <w:rPr>
          <w:rFonts w:ascii="Avenir Next" w:hAnsi="Avenir Next" w:cs="Arial"/>
          <w:sz w:val="22"/>
          <w:szCs w:val="22"/>
          <w:lang w:val="en-GB"/>
        </w:rPr>
        <w:t xml:space="preserve">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w:t>
      </w:r>
      <w:r w:rsidRPr="002E7621">
        <w:rPr>
          <w:rFonts w:ascii="Avenir Next" w:hAnsi="Avenir Next" w:cs="Arial"/>
          <w:sz w:val="22"/>
          <w:szCs w:val="22"/>
          <w:lang w:val="en-GB"/>
        </w:rPr>
        <w:lastRenderedPageBreak/>
        <w:t xml:space="preserve">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proofErr w:type="gramStart"/>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roofErr w:type="gramEnd"/>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1" w:name="_Hlk17745211"/>
    </w:p>
    <w:p w14:paraId="782373B7" w14:textId="4D909DC9" w:rsidR="00E62EA1" w:rsidRPr="00B5783E" w:rsidRDefault="00173D2F" w:rsidP="00087F21">
      <w:pPr>
        <w:autoSpaceDE w:val="0"/>
        <w:autoSpaceDN w:val="0"/>
        <w:adjustRightInd w:val="0"/>
        <w:jc w:val="both"/>
        <w:rPr>
          <w:rFonts w:ascii="Avenir Next" w:hAnsi="Avenir Next" w:cs="Arial"/>
          <w:color w:val="808080" w:themeColor="background1" w:themeShade="80"/>
          <w:sz w:val="22"/>
          <w:szCs w:val="22"/>
          <w:highlight w:val="yellow"/>
          <w:lang w:val="en-GB"/>
        </w:rPr>
      </w:pPr>
      <w:r>
        <w:rPr>
          <w:rFonts w:ascii="Avenir Next" w:hAnsi="Avenir Next" w:cs="Arial"/>
          <w:color w:val="808080" w:themeColor="background1" w:themeShade="80"/>
          <w:sz w:val="22"/>
          <w:szCs w:val="22"/>
          <w:lang w:val="en-GB"/>
        </w:rPr>
        <w:t>[</w:t>
      </w:r>
      <w:r w:rsidRPr="00B5783E">
        <w:rPr>
          <w:rFonts w:ascii="Avenir Next" w:hAnsi="Avenir Next" w:cs="Arial"/>
          <w:color w:val="808080" w:themeColor="background1" w:themeShade="80"/>
          <w:sz w:val="22"/>
          <w:szCs w:val="22"/>
          <w:highlight w:val="yellow"/>
          <w:lang w:val="en-GB"/>
        </w:rPr>
        <w:t xml:space="preserve">It is very clear from the facts of the question that </w:t>
      </w:r>
      <w:proofErr w:type="spellStart"/>
      <w:r w:rsidRPr="00B5783E">
        <w:rPr>
          <w:rFonts w:ascii="Avenir Next" w:hAnsi="Avenir Next" w:cs="Arial"/>
          <w:color w:val="808080" w:themeColor="background1" w:themeShade="80"/>
          <w:sz w:val="22"/>
          <w:szCs w:val="22"/>
          <w:highlight w:val="yellow"/>
          <w:lang w:val="en-GB"/>
        </w:rPr>
        <w:t>Mr.</w:t>
      </w:r>
      <w:proofErr w:type="spellEnd"/>
      <w:r w:rsidRPr="00B5783E">
        <w:rPr>
          <w:rFonts w:ascii="Avenir Next" w:hAnsi="Avenir Next" w:cs="Arial"/>
          <w:color w:val="808080" w:themeColor="background1" w:themeShade="80"/>
          <w:sz w:val="22"/>
          <w:szCs w:val="22"/>
          <w:highlight w:val="yellow"/>
          <w:lang w:val="en-GB"/>
        </w:rPr>
        <w:t xml:space="preserve"> Relation </w:t>
      </w:r>
      <w:proofErr w:type="gramStart"/>
      <w:r w:rsidRPr="00B5783E">
        <w:rPr>
          <w:rFonts w:ascii="Avenir Next" w:hAnsi="Avenir Next" w:cs="Arial"/>
          <w:color w:val="808080" w:themeColor="background1" w:themeShade="80"/>
          <w:sz w:val="22"/>
          <w:szCs w:val="22"/>
          <w:highlight w:val="yellow"/>
          <w:lang w:val="en-GB"/>
        </w:rPr>
        <w:t xml:space="preserve">is  </w:t>
      </w:r>
      <w:proofErr w:type="spellStart"/>
      <w:r w:rsidRPr="00B5783E">
        <w:rPr>
          <w:rFonts w:ascii="Avenir Next" w:hAnsi="Avenir Next" w:cs="Arial"/>
          <w:color w:val="808080" w:themeColor="background1" w:themeShade="80"/>
          <w:sz w:val="22"/>
          <w:szCs w:val="22"/>
          <w:highlight w:val="yellow"/>
          <w:lang w:val="en-GB"/>
        </w:rPr>
        <w:t>Mr</w:t>
      </w:r>
      <w:proofErr w:type="gramEnd"/>
      <w:r w:rsidRPr="00B5783E">
        <w:rPr>
          <w:rFonts w:ascii="Avenir Next" w:hAnsi="Avenir Next" w:cs="Arial"/>
          <w:color w:val="808080" w:themeColor="background1" w:themeShade="80"/>
          <w:sz w:val="22"/>
          <w:szCs w:val="22"/>
          <w:highlight w:val="yellow"/>
          <w:lang w:val="en-GB"/>
        </w:rPr>
        <w:t>.</w:t>
      </w:r>
      <w:proofErr w:type="spellEnd"/>
      <w:r w:rsidRPr="00B5783E">
        <w:rPr>
          <w:rFonts w:ascii="Avenir Next" w:hAnsi="Avenir Next" w:cs="Arial"/>
          <w:color w:val="808080" w:themeColor="background1" w:themeShade="80"/>
          <w:sz w:val="22"/>
          <w:szCs w:val="22"/>
          <w:highlight w:val="yellow"/>
          <w:lang w:val="en-GB"/>
        </w:rPr>
        <w:t xml:space="preserve"> B </w:t>
      </w:r>
      <w:proofErr w:type="spellStart"/>
      <w:r w:rsidRPr="00B5783E">
        <w:rPr>
          <w:rFonts w:ascii="Avenir Next" w:hAnsi="Avenir Next" w:cs="Arial"/>
          <w:color w:val="808080" w:themeColor="background1" w:themeShade="80"/>
          <w:sz w:val="22"/>
          <w:szCs w:val="22"/>
          <w:highlight w:val="yellow"/>
          <w:lang w:val="en-GB"/>
        </w:rPr>
        <w:t>Inlaw’s</w:t>
      </w:r>
      <w:proofErr w:type="spellEnd"/>
      <w:r w:rsidRPr="00B5783E">
        <w:rPr>
          <w:rFonts w:ascii="Avenir Next" w:hAnsi="Avenir Next" w:cs="Arial"/>
          <w:color w:val="808080" w:themeColor="background1" w:themeShade="80"/>
          <w:sz w:val="22"/>
          <w:szCs w:val="22"/>
          <w:highlight w:val="yellow"/>
          <w:lang w:val="en-GB"/>
        </w:rPr>
        <w:t xml:space="preserve"> brother in law and godfather to his daughter. This close relationship raises a familiarity risk on the ground that </w:t>
      </w:r>
      <w:proofErr w:type="spellStart"/>
      <w:r w:rsidRPr="00B5783E">
        <w:rPr>
          <w:rFonts w:ascii="Avenir Next" w:hAnsi="Avenir Next" w:cs="Arial"/>
          <w:color w:val="808080" w:themeColor="background1" w:themeShade="80"/>
          <w:sz w:val="22"/>
          <w:szCs w:val="22"/>
          <w:highlight w:val="yellow"/>
          <w:lang w:val="en-GB"/>
        </w:rPr>
        <w:t>Mr.</w:t>
      </w:r>
      <w:proofErr w:type="spellEnd"/>
      <w:r w:rsidRPr="00B5783E">
        <w:rPr>
          <w:rFonts w:ascii="Avenir Next" w:hAnsi="Avenir Next" w:cs="Arial"/>
          <w:color w:val="808080" w:themeColor="background1" w:themeShade="80"/>
          <w:sz w:val="22"/>
          <w:szCs w:val="22"/>
          <w:highlight w:val="yellow"/>
          <w:lang w:val="en-GB"/>
        </w:rPr>
        <w:t xml:space="preserve"> Relati</w:t>
      </w:r>
      <w:r w:rsidR="00E62EA1" w:rsidRPr="00B5783E">
        <w:rPr>
          <w:rFonts w:ascii="Avenir Next" w:hAnsi="Avenir Next" w:cs="Arial"/>
          <w:color w:val="808080" w:themeColor="background1" w:themeShade="80"/>
          <w:sz w:val="22"/>
          <w:szCs w:val="22"/>
          <w:highlight w:val="yellow"/>
          <w:lang w:val="en-GB"/>
        </w:rPr>
        <w:t xml:space="preserve">ons with a close relation </w:t>
      </w:r>
      <w:proofErr w:type="spellStart"/>
      <w:r w:rsidR="00E62EA1" w:rsidRPr="00B5783E">
        <w:rPr>
          <w:rFonts w:ascii="Avenir Next" w:hAnsi="Avenir Next" w:cs="Arial"/>
          <w:color w:val="808080" w:themeColor="background1" w:themeShade="80"/>
          <w:sz w:val="22"/>
          <w:szCs w:val="22"/>
          <w:highlight w:val="yellow"/>
          <w:lang w:val="en-GB"/>
        </w:rPr>
        <w:t>to</w:t>
      </w:r>
      <w:r w:rsidRPr="00B5783E">
        <w:rPr>
          <w:rFonts w:ascii="Avenir Next" w:hAnsi="Avenir Next" w:cs="Arial"/>
          <w:color w:val="808080" w:themeColor="background1" w:themeShade="80"/>
          <w:sz w:val="22"/>
          <w:szCs w:val="22"/>
          <w:highlight w:val="yellow"/>
          <w:lang w:val="en-GB"/>
        </w:rPr>
        <w:t>one</w:t>
      </w:r>
      <w:proofErr w:type="spellEnd"/>
      <w:r w:rsidRPr="00B5783E">
        <w:rPr>
          <w:rFonts w:ascii="Avenir Next" w:hAnsi="Avenir Next" w:cs="Arial"/>
          <w:color w:val="808080" w:themeColor="background1" w:themeShade="80"/>
          <w:sz w:val="22"/>
          <w:szCs w:val="22"/>
          <w:highlight w:val="yellow"/>
          <w:lang w:val="en-GB"/>
        </w:rPr>
        <w:t xml:space="preserve"> of the Directors and Sharehold</w:t>
      </w:r>
      <w:r w:rsidR="00643AD0" w:rsidRPr="00B5783E">
        <w:rPr>
          <w:rFonts w:ascii="Avenir Next" w:hAnsi="Avenir Next" w:cs="Arial"/>
          <w:color w:val="808080" w:themeColor="background1" w:themeShade="80"/>
          <w:sz w:val="22"/>
          <w:szCs w:val="22"/>
          <w:highlight w:val="yellow"/>
          <w:lang w:val="en-GB"/>
        </w:rPr>
        <w:t>er</w:t>
      </w:r>
      <w:r w:rsidR="00E62EA1" w:rsidRPr="00B5783E">
        <w:rPr>
          <w:rFonts w:ascii="Avenir Next" w:hAnsi="Avenir Next" w:cs="Arial"/>
          <w:color w:val="808080" w:themeColor="background1" w:themeShade="80"/>
          <w:sz w:val="22"/>
          <w:szCs w:val="22"/>
          <w:highlight w:val="yellow"/>
          <w:lang w:val="en-GB"/>
        </w:rPr>
        <w:t>s</w:t>
      </w:r>
      <w:r w:rsidR="00643AD0" w:rsidRPr="00B5783E">
        <w:rPr>
          <w:rFonts w:ascii="Avenir Next" w:hAnsi="Avenir Next" w:cs="Arial"/>
          <w:color w:val="808080" w:themeColor="background1" w:themeShade="80"/>
          <w:sz w:val="22"/>
          <w:szCs w:val="22"/>
          <w:highlight w:val="yellow"/>
          <w:lang w:val="en-GB"/>
        </w:rPr>
        <w:t xml:space="preserve"> affected his professional obligations to all the beneficiaries which require the Insolvency Practitioner to act in good faith, </w:t>
      </w:r>
      <w:r w:rsidR="00643AD0" w:rsidRPr="00B5783E">
        <w:rPr>
          <w:rFonts w:ascii="Avenir Next" w:hAnsi="Avenir Next" w:cs="Arial"/>
          <w:color w:val="808080" w:themeColor="background1" w:themeShade="80"/>
          <w:sz w:val="22"/>
          <w:szCs w:val="22"/>
          <w:highlight w:val="yellow"/>
          <w:lang w:val="en-GB"/>
        </w:rPr>
        <w:lastRenderedPageBreak/>
        <w:t xml:space="preserve">with honesty, integrity and confidentiality in order to protect the interest of all the beneficiaries in the insolvency proceedings. </w:t>
      </w:r>
      <w:r w:rsidR="00E62EA1" w:rsidRPr="00B5783E">
        <w:rPr>
          <w:rFonts w:ascii="Avenir Next" w:hAnsi="Avenir Next" w:cs="Arial"/>
          <w:color w:val="808080" w:themeColor="background1" w:themeShade="80"/>
          <w:sz w:val="22"/>
          <w:szCs w:val="22"/>
          <w:highlight w:val="yellow"/>
          <w:lang w:val="en-GB"/>
        </w:rPr>
        <w:t xml:space="preserve">It is very clear that </w:t>
      </w:r>
      <w:proofErr w:type="spellStart"/>
      <w:r w:rsidR="00643AD0" w:rsidRPr="00B5783E">
        <w:rPr>
          <w:rFonts w:ascii="Avenir Next" w:hAnsi="Avenir Next" w:cs="Arial"/>
          <w:color w:val="808080" w:themeColor="background1" w:themeShade="80"/>
          <w:sz w:val="22"/>
          <w:szCs w:val="22"/>
          <w:highlight w:val="yellow"/>
          <w:lang w:val="en-GB"/>
        </w:rPr>
        <w:t>Mr.</w:t>
      </w:r>
      <w:proofErr w:type="spellEnd"/>
      <w:r w:rsidR="00643AD0" w:rsidRPr="00B5783E">
        <w:rPr>
          <w:rFonts w:ascii="Avenir Next" w:hAnsi="Avenir Next" w:cs="Arial"/>
          <w:color w:val="808080" w:themeColor="background1" w:themeShade="80"/>
          <w:sz w:val="22"/>
          <w:szCs w:val="22"/>
          <w:highlight w:val="yellow"/>
          <w:lang w:val="en-GB"/>
        </w:rPr>
        <w:t xml:space="preserve"> Relation</w:t>
      </w:r>
      <w:r w:rsidR="00E62EA1" w:rsidRPr="00B5783E">
        <w:rPr>
          <w:rFonts w:ascii="Avenir Next" w:hAnsi="Avenir Next" w:cs="Arial"/>
          <w:color w:val="808080" w:themeColor="background1" w:themeShade="80"/>
          <w:sz w:val="22"/>
          <w:szCs w:val="22"/>
          <w:highlight w:val="yellow"/>
          <w:lang w:val="en-GB"/>
        </w:rPr>
        <w:t>’s professional sense of objectiv</w:t>
      </w:r>
      <w:r w:rsidR="00EF3312" w:rsidRPr="00B5783E">
        <w:rPr>
          <w:rFonts w:ascii="Avenir Next" w:hAnsi="Avenir Next" w:cs="Arial"/>
          <w:color w:val="808080" w:themeColor="background1" w:themeShade="80"/>
          <w:sz w:val="22"/>
          <w:szCs w:val="22"/>
          <w:highlight w:val="yellow"/>
          <w:lang w:val="en-GB"/>
        </w:rPr>
        <w:t xml:space="preserve">ity was seriously impaired and that he </w:t>
      </w:r>
      <w:r w:rsidR="00643AD0" w:rsidRPr="00B5783E">
        <w:rPr>
          <w:rFonts w:ascii="Avenir Next" w:hAnsi="Avenir Next" w:cs="Arial"/>
          <w:color w:val="808080" w:themeColor="background1" w:themeShade="80"/>
          <w:sz w:val="22"/>
          <w:szCs w:val="22"/>
          <w:highlight w:val="yellow"/>
          <w:lang w:val="en-GB"/>
        </w:rPr>
        <w:t xml:space="preserve">failed to act with integrity and requisite honesty when he wantonly failed to investigate fully in the circumstances leading to the insolvency of the </w:t>
      </w:r>
      <w:proofErr w:type="spellStart"/>
      <w:r w:rsidR="00643AD0" w:rsidRPr="00B5783E">
        <w:rPr>
          <w:rFonts w:ascii="Avenir Next" w:hAnsi="Avenir Next" w:cs="Arial"/>
          <w:color w:val="808080" w:themeColor="background1" w:themeShade="80"/>
          <w:sz w:val="22"/>
          <w:szCs w:val="22"/>
          <w:highlight w:val="yellow"/>
          <w:lang w:val="en-GB"/>
        </w:rPr>
        <w:t>company</w:t>
      </w:r>
      <w:r w:rsidR="00EF3312" w:rsidRPr="00B5783E">
        <w:rPr>
          <w:rFonts w:ascii="Avenir Next" w:hAnsi="Avenir Next" w:cs="Arial"/>
          <w:color w:val="808080" w:themeColor="background1" w:themeShade="80"/>
          <w:sz w:val="22"/>
          <w:szCs w:val="22"/>
          <w:highlight w:val="yellow"/>
          <w:lang w:val="en-GB"/>
        </w:rPr>
        <w:t>.H</w:t>
      </w:r>
      <w:r w:rsidR="00643AD0" w:rsidRPr="00B5783E">
        <w:rPr>
          <w:rFonts w:ascii="Avenir Next" w:hAnsi="Avenir Next" w:cs="Arial"/>
          <w:color w:val="808080" w:themeColor="background1" w:themeShade="80"/>
          <w:sz w:val="22"/>
          <w:szCs w:val="22"/>
          <w:highlight w:val="yellow"/>
          <w:lang w:val="en-GB"/>
        </w:rPr>
        <w:t>e</w:t>
      </w:r>
      <w:proofErr w:type="spellEnd"/>
      <w:r w:rsidR="00643AD0" w:rsidRPr="00B5783E">
        <w:rPr>
          <w:rFonts w:ascii="Avenir Next" w:hAnsi="Avenir Next" w:cs="Arial"/>
          <w:color w:val="808080" w:themeColor="background1" w:themeShade="80"/>
          <w:sz w:val="22"/>
          <w:szCs w:val="22"/>
          <w:highlight w:val="yellow"/>
          <w:lang w:val="en-GB"/>
        </w:rPr>
        <w:t xml:space="preserve"> concealed the material facts from the stakeholders that the Directors continued to trade when the financial position of the company was on a clear decline. </w:t>
      </w:r>
      <w:proofErr w:type="spellStart"/>
      <w:r w:rsidR="00643AD0" w:rsidRPr="00B5783E">
        <w:rPr>
          <w:rFonts w:ascii="Avenir Next" w:hAnsi="Avenir Next" w:cs="Arial"/>
          <w:color w:val="808080" w:themeColor="background1" w:themeShade="80"/>
          <w:sz w:val="22"/>
          <w:szCs w:val="22"/>
          <w:highlight w:val="yellow"/>
          <w:lang w:val="en-GB"/>
        </w:rPr>
        <w:t>Mr.</w:t>
      </w:r>
      <w:proofErr w:type="spellEnd"/>
      <w:r w:rsidR="00643AD0" w:rsidRPr="00B5783E">
        <w:rPr>
          <w:rFonts w:ascii="Avenir Next" w:hAnsi="Avenir Next" w:cs="Arial"/>
          <w:color w:val="808080" w:themeColor="background1" w:themeShade="80"/>
          <w:sz w:val="22"/>
          <w:szCs w:val="22"/>
          <w:highlight w:val="yellow"/>
          <w:lang w:val="en-GB"/>
        </w:rPr>
        <w:t xml:space="preserve"> Relation failed to act with integrity when he conducted a superficial investigation into the affairs of the</w:t>
      </w:r>
      <w:r w:rsidR="00E62EA1" w:rsidRPr="00B5783E">
        <w:rPr>
          <w:rFonts w:ascii="Avenir Next" w:hAnsi="Avenir Next" w:cs="Arial"/>
          <w:color w:val="808080" w:themeColor="background1" w:themeShade="80"/>
          <w:sz w:val="22"/>
          <w:szCs w:val="22"/>
          <w:highlight w:val="yellow"/>
          <w:lang w:val="en-GB"/>
        </w:rPr>
        <w:t xml:space="preserve"> company and circumstances thereof for purpos</w:t>
      </w:r>
      <w:r w:rsidR="00EF3312" w:rsidRPr="00B5783E">
        <w:rPr>
          <w:rFonts w:ascii="Avenir Next" w:hAnsi="Avenir Next" w:cs="Arial"/>
          <w:color w:val="808080" w:themeColor="background1" w:themeShade="80"/>
          <w:sz w:val="22"/>
          <w:szCs w:val="22"/>
          <w:highlight w:val="yellow"/>
          <w:lang w:val="en-GB"/>
        </w:rPr>
        <w:t xml:space="preserve">es of protecting the Directors thereby breaching his ethical obligation of being fair to all the Stakeholders in the Insolvency Proceedings. </w:t>
      </w:r>
      <w:proofErr w:type="spellStart"/>
      <w:r w:rsidR="00E62EA1" w:rsidRPr="00B5783E">
        <w:rPr>
          <w:rFonts w:ascii="Avenir Next" w:hAnsi="Avenir Next" w:cs="Arial"/>
          <w:color w:val="808080" w:themeColor="background1" w:themeShade="80"/>
          <w:sz w:val="22"/>
          <w:szCs w:val="22"/>
          <w:highlight w:val="yellow"/>
          <w:lang w:val="en-GB"/>
        </w:rPr>
        <w:t>Mr.</w:t>
      </w:r>
      <w:proofErr w:type="spellEnd"/>
      <w:r w:rsidR="00E62EA1" w:rsidRPr="00B5783E">
        <w:rPr>
          <w:rFonts w:ascii="Avenir Next" w:hAnsi="Avenir Next" w:cs="Arial"/>
          <w:color w:val="808080" w:themeColor="background1" w:themeShade="80"/>
          <w:sz w:val="22"/>
          <w:szCs w:val="22"/>
          <w:highlight w:val="yellow"/>
          <w:lang w:val="en-GB"/>
        </w:rPr>
        <w:t xml:space="preserve"> Relation also breached his duty of confidentiality by allowing employees to have several sensitive documents pertaining to </w:t>
      </w:r>
      <w:proofErr w:type="spellStart"/>
      <w:r w:rsidR="00E62EA1" w:rsidRPr="00B5783E">
        <w:rPr>
          <w:rFonts w:ascii="Avenir Next" w:hAnsi="Avenir Next" w:cs="Arial"/>
          <w:color w:val="808080" w:themeColor="background1" w:themeShade="80"/>
          <w:sz w:val="22"/>
          <w:szCs w:val="22"/>
          <w:highlight w:val="yellow"/>
          <w:lang w:val="en-GB"/>
        </w:rPr>
        <w:t>WeBuild</w:t>
      </w:r>
      <w:proofErr w:type="spellEnd"/>
      <w:r w:rsidR="00E62EA1" w:rsidRPr="00B5783E">
        <w:rPr>
          <w:rFonts w:ascii="Avenir Next" w:hAnsi="Avenir Next" w:cs="Arial"/>
          <w:color w:val="808080" w:themeColor="background1" w:themeShade="80"/>
          <w:sz w:val="22"/>
          <w:szCs w:val="22"/>
          <w:highlight w:val="yellow"/>
          <w:lang w:val="en-GB"/>
        </w:rPr>
        <w:t xml:space="preserve"> Limited in their possession and personal computers at home. </w:t>
      </w:r>
      <w:r w:rsidR="00643AD0" w:rsidRPr="00B5783E">
        <w:rPr>
          <w:rFonts w:ascii="Avenir Next" w:hAnsi="Avenir Next" w:cs="Arial"/>
          <w:color w:val="808080" w:themeColor="background1" w:themeShade="80"/>
          <w:sz w:val="22"/>
          <w:szCs w:val="22"/>
          <w:highlight w:val="yellow"/>
          <w:lang w:val="en-GB"/>
        </w:rPr>
        <w:t xml:space="preserve"> </w:t>
      </w:r>
    </w:p>
    <w:p w14:paraId="7E1B6D43" w14:textId="40FEF6A8" w:rsidR="00E62EA1" w:rsidRPr="00B5783E" w:rsidRDefault="00E62EA1" w:rsidP="00087F21">
      <w:pPr>
        <w:autoSpaceDE w:val="0"/>
        <w:autoSpaceDN w:val="0"/>
        <w:adjustRightInd w:val="0"/>
        <w:jc w:val="both"/>
        <w:rPr>
          <w:rFonts w:ascii="Avenir Next" w:hAnsi="Avenir Next" w:cs="Arial"/>
          <w:color w:val="808080" w:themeColor="background1" w:themeShade="80"/>
          <w:sz w:val="22"/>
          <w:szCs w:val="22"/>
          <w:highlight w:val="yellow"/>
          <w:lang w:val="en-GB"/>
        </w:rPr>
      </w:pPr>
      <w:r w:rsidRPr="00B5783E">
        <w:rPr>
          <w:rFonts w:ascii="Avenir Next" w:hAnsi="Avenir Next" w:cs="Arial"/>
          <w:color w:val="808080" w:themeColor="background1" w:themeShade="80"/>
          <w:sz w:val="22"/>
          <w:szCs w:val="22"/>
          <w:highlight w:val="yellow"/>
          <w:lang w:val="en-GB"/>
        </w:rPr>
        <w:t>In light of the precedi</w:t>
      </w:r>
      <w:r w:rsidR="00EF3312" w:rsidRPr="00B5783E">
        <w:rPr>
          <w:rFonts w:ascii="Avenir Next" w:hAnsi="Avenir Next" w:cs="Arial"/>
          <w:color w:val="808080" w:themeColor="background1" w:themeShade="80"/>
          <w:sz w:val="22"/>
          <w:szCs w:val="22"/>
          <w:highlight w:val="yellow"/>
          <w:lang w:val="en-GB"/>
        </w:rPr>
        <w:t xml:space="preserve">ng narrative and based on the facts of the question </w:t>
      </w:r>
      <w:r w:rsidRPr="00B5783E">
        <w:rPr>
          <w:rFonts w:ascii="Avenir Next" w:hAnsi="Avenir Next" w:cs="Arial"/>
          <w:color w:val="808080" w:themeColor="background1" w:themeShade="80"/>
          <w:sz w:val="22"/>
          <w:szCs w:val="22"/>
          <w:highlight w:val="yellow"/>
          <w:lang w:val="en-GB"/>
        </w:rPr>
        <w:t xml:space="preserve">it is clear that </w:t>
      </w:r>
      <w:proofErr w:type="spellStart"/>
      <w:r w:rsidRPr="00B5783E">
        <w:rPr>
          <w:rFonts w:ascii="Avenir Next" w:hAnsi="Avenir Next" w:cs="Arial"/>
          <w:color w:val="808080" w:themeColor="background1" w:themeShade="80"/>
          <w:sz w:val="22"/>
          <w:szCs w:val="22"/>
          <w:highlight w:val="yellow"/>
          <w:lang w:val="en-GB"/>
        </w:rPr>
        <w:t>Mr.</w:t>
      </w:r>
      <w:proofErr w:type="spellEnd"/>
      <w:r w:rsidRPr="00B5783E">
        <w:rPr>
          <w:rFonts w:ascii="Avenir Next" w:hAnsi="Avenir Next" w:cs="Arial"/>
          <w:color w:val="808080" w:themeColor="background1" w:themeShade="80"/>
          <w:sz w:val="22"/>
          <w:szCs w:val="22"/>
          <w:highlight w:val="yellow"/>
          <w:lang w:val="en-GB"/>
        </w:rPr>
        <w:t xml:space="preserve"> Relation breached the following ethical principles;</w:t>
      </w:r>
    </w:p>
    <w:p w14:paraId="5E03FABA" w14:textId="7ACD8DF6" w:rsidR="00E62EA1" w:rsidRPr="00B5783E" w:rsidRDefault="00E62EA1" w:rsidP="00E62EA1">
      <w:pPr>
        <w:pStyle w:val="ListParagraph"/>
        <w:numPr>
          <w:ilvl w:val="0"/>
          <w:numId w:val="35"/>
        </w:numPr>
        <w:autoSpaceDE w:val="0"/>
        <w:autoSpaceDN w:val="0"/>
        <w:adjustRightInd w:val="0"/>
        <w:jc w:val="both"/>
        <w:rPr>
          <w:rFonts w:ascii="Avenir Next" w:hAnsi="Avenir Next" w:cs="Arial"/>
          <w:color w:val="808080" w:themeColor="background1" w:themeShade="80"/>
          <w:sz w:val="22"/>
          <w:szCs w:val="22"/>
          <w:highlight w:val="yellow"/>
          <w:lang w:val="en-GB"/>
        </w:rPr>
      </w:pPr>
      <w:r w:rsidRPr="00B5783E">
        <w:rPr>
          <w:rFonts w:ascii="Avenir Next" w:hAnsi="Avenir Next" w:cs="Arial"/>
          <w:color w:val="808080" w:themeColor="background1" w:themeShade="80"/>
          <w:sz w:val="22"/>
          <w:szCs w:val="22"/>
          <w:highlight w:val="yellow"/>
          <w:lang w:val="en-GB"/>
        </w:rPr>
        <w:t>Objectivity</w:t>
      </w:r>
    </w:p>
    <w:p w14:paraId="0C0EA2BC" w14:textId="2D983CFB" w:rsidR="00E62EA1" w:rsidRPr="00B5783E" w:rsidRDefault="00E62EA1" w:rsidP="00E62EA1">
      <w:pPr>
        <w:pStyle w:val="ListParagraph"/>
        <w:numPr>
          <w:ilvl w:val="0"/>
          <w:numId w:val="35"/>
        </w:numPr>
        <w:autoSpaceDE w:val="0"/>
        <w:autoSpaceDN w:val="0"/>
        <w:adjustRightInd w:val="0"/>
        <w:jc w:val="both"/>
        <w:rPr>
          <w:rFonts w:ascii="Avenir Next" w:hAnsi="Avenir Next" w:cs="Arial"/>
          <w:color w:val="808080" w:themeColor="background1" w:themeShade="80"/>
          <w:sz w:val="22"/>
          <w:szCs w:val="22"/>
          <w:highlight w:val="yellow"/>
          <w:lang w:val="en-GB"/>
        </w:rPr>
      </w:pPr>
      <w:r w:rsidRPr="00B5783E">
        <w:rPr>
          <w:rFonts w:ascii="Avenir Next" w:hAnsi="Avenir Next" w:cs="Arial"/>
          <w:color w:val="808080" w:themeColor="background1" w:themeShade="80"/>
          <w:sz w:val="22"/>
          <w:szCs w:val="22"/>
          <w:highlight w:val="yellow"/>
          <w:lang w:val="en-GB"/>
        </w:rPr>
        <w:t>Independence and</w:t>
      </w:r>
    </w:p>
    <w:p w14:paraId="1049634D" w14:textId="77777777" w:rsidR="00EF3312" w:rsidRPr="00B5783E" w:rsidRDefault="00E62EA1" w:rsidP="00E62EA1">
      <w:pPr>
        <w:pStyle w:val="ListParagraph"/>
        <w:numPr>
          <w:ilvl w:val="0"/>
          <w:numId w:val="35"/>
        </w:numPr>
        <w:autoSpaceDE w:val="0"/>
        <w:autoSpaceDN w:val="0"/>
        <w:adjustRightInd w:val="0"/>
        <w:jc w:val="both"/>
        <w:rPr>
          <w:rFonts w:ascii="Avenir Next" w:hAnsi="Avenir Next" w:cs="Arial"/>
          <w:color w:val="808080" w:themeColor="background1" w:themeShade="80"/>
          <w:sz w:val="22"/>
          <w:szCs w:val="22"/>
          <w:highlight w:val="yellow"/>
          <w:lang w:val="en-GB"/>
        </w:rPr>
      </w:pPr>
      <w:r w:rsidRPr="00B5783E">
        <w:rPr>
          <w:rFonts w:ascii="Avenir Next" w:hAnsi="Avenir Next" w:cs="Arial"/>
          <w:color w:val="808080" w:themeColor="background1" w:themeShade="80"/>
          <w:sz w:val="22"/>
          <w:szCs w:val="22"/>
          <w:highlight w:val="yellow"/>
          <w:lang w:val="en-GB"/>
        </w:rPr>
        <w:t xml:space="preserve">Impartiality </w:t>
      </w:r>
      <w:r w:rsidR="00643AD0" w:rsidRPr="00B5783E">
        <w:rPr>
          <w:rFonts w:ascii="Avenir Next" w:hAnsi="Avenir Next" w:cs="Arial"/>
          <w:color w:val="808080" w:themeColor="background1" w:themeShade="80"/>
          <w:sz w:val="22"/>
          <w:szCs w:val="22"/>
          <w:highlight w:val="yellow"/>
          <w:lang w:val="en-GB"/>
        </w:rPr>
        <w:t xml:space="preserve"> </w:t>
      </w:r>
    </w:p>
    <w:p w14:paraId="4B9EFE86" w14:textId="77777777" w:rsidR="00EF3312" w:rsidRPr="00B5783E" w:rsidRDefault="00EF3312" w:rsidP="00EF3312">
      <w:pPr>
        <w:autoSpaceDE w:val="0"/>
        <w:autoSpaceDN w:val="0"/>
        <w:adjustRightInd w:val="0"/>
        <w:jc w:val="both"/>
        <w:rPr>
          <w:rFonts w:ascii="Avenir Next" w:hAnsi="Avenir Next" w:cs="Arial"/>
          <w:color w:val="808080" w:themeColor="background1" w:themeShade="80"/>
          <w:sz w:val="22"/>
          <w:szCs w:val="22"/>
          <w:highlight w:val="yellow"/>
          <w:lang w:val="en-GB"/>
        </w:rPr>
      </w:pPr>
      <w:r w:rsidRPr="00B5783E">
        <w:rPr>
          <w:rFonts w:ascii="Avenir Next" w:hAnsi="Avenir Next" w:cs="Arial"/>
          <w:color w:val="808080" w:themeColor="background1" w:themeShade="80"/>
          <w:sz w:val="22"/>
          <w:szCs w:val="22"/>
          <w:highlight w:val="yellow"/>
          <w:lang w:val="en-GB"/>
        </w:rPr>
        <w:t xml:space="preserve">Thus, in the case of The Royal Bank of Scotland NV (formerly known as ABN </w:t>
      </w:r>
      <w:proofErr w:type="spellStart"/>
      <w:r w:rsidRPr="00B5783E">
        <w:rPr>
          <w:rFonts w:ascii="Avenir Next" w:hAnsi="Avenir Next" w:cs="Arial"/>
          <w:color w:val="808080" w:themeColor="background1" w:themeShade="80"/>
          <w:sz w:val="22"/>
          <w:szCs w:val="22"/>
          <w:highlight w:val="yellow"/>
          <w:lang w:val="en-GB"/>
        </w:rPr>
        <w:t>Amro</w:t>
      </w:r>
      <w:proofErr w:type="spellEnd"/>
      <w:r w:rsidRPr="00B5783E">
        <w:rPr>
          <w:rFonts w:ascii="Avenir Next" w:hAnsi="Avenir Next" w:cs="Arial"/>
          <w:color w:val="808080" w:themeColor="background1" w:themeShade="80"/>
          <w:sz w:val="22"/>
          <w:szCs w:val="22"/>
          <w:highlight w:val="yellow"/>
          <w:lang w:val="en-GB"/>
        </w:rPr>
        <w:t xml:space="preserve"> Bank NV) and </w:t>
      </w:r>
      <w:proofErr w:type="gramStart"/>
      <w:r w:rsidRPr="00B5783E">
        <w:rPr>
          <w:rFonts w:ascii="Avenir Next" w:hAnsi="Avenir Next" w:cs="Arial"/>
          <w:color w:val="808080" w:themeColor="background1" w:themeShade="80"/>
          <w:sz w:val="22"/>
          <w:szCs w:val="22"/>
          <w:highlight w:val="yellow"/>
          <w:lang w:val="en-GB"/>
        </w:rPr>
        <w:t>Others</w:t>
      </w:r>
      <w:proofErr w:type="gramEnd"/>
      <w:r w:rsidRPr="00B5783E">
        <w:rPr>
          <w:rFonts w:ascii="Avenir Next" w:hAnsi="Avenir Next" w:cs="Arial"/>
          <w:color w:val="808080" w:themeColor="background1" w:themeShade="80"/>
          <w:sz w:val="22"/>
          <w:szCs w:val="22"/>
          <w:highlight w:val="yellow"/>
          <w:lang w:val="en-GB"/>
        </w:rPr>
        <w:t xml:space="preserve"> v TT International Limited and Another Appeal [2012] SGCA 9, [2012] 2 SLR 213 [SINGAPORE] The court stated as follows;</w:t>
      </w:r>
    </w:p>
    <w:p w14:paraId="1A9E5089" w14:textId="77777777" w:rsidR="003B6887" w:rsidRPr="00B5783E" w:rsidRDefault="00EF3312" w:rsidP="00EF3312">
      <w:pPr>
        <w:autoSpaceDE w:val="0"/>
        <w:autoSpaceDN w:val="0"/>
        <w:adjustRightInd w:val="0"/>
        <w:jc w:val="both"/>
        <w:rPr>
          <w:rFonts w:ascii="Avenir Next" w:hAnsi="Avenir Next" w:cs="Arial"/>
          <w:color w:val="808080" w:themeColor="background1" w:themeShade="80"/>
          <w:sz w:val="22"/>
          <w:szCs w:val="22"/>
          <w:highlight w:val="yellow"/>
          <w:lang w:val="en-GB"/>
        </w:rPr>
      </w:pPr>
      <w:r w:rsidRPr="00B5783E">
        <w:rPr>
          <w:rFonts w:ascii="Avenir Next" w:hAnsi="Avenir Next" w:cs="Arial"/>
          <w:color w:val="808080" w:themeColor="background1" w:themeShade="80"/>
          <w:sz w:val="22"/>
          <w:szCs w:val="22"/>
          <w:highlight w:val="yellow"/>
          <w:lang w:val="en-GB"/>
        </w:rPr>
        <w:t xml:space="preserve">“The conduct of the Scheme Manager goes “too far” when he begins to align his interest with those of the company.” The court noted further that, “the temptation to do this is especially critical when his </w:t>
      </w:r>
      <w:proofErr w:type="spellStart"/>
      <w:r w:rsidRPr="00B5783E">
        <w:rPr>
          <w:rFonts w:ascii="Avenir Next" w:hAnsi="Avenir Next" w:cs="Arial"/>
          <w:color w:val="808080" w:themeColor="background1" w:themeShade="80"/>
          <w:sz w:val="22"/>
          <w:szCs w:val="22"/>
          <w:highlight w:val="yellow"/>
          <w:lang w:val="en-GB"/>
        </w:rPr>
        <w:t>appointers</w:t>
      </w:r>
      <w:proofErr w:type="spellEnd"/>
      <w:r w:rsidRPr="00B5783E">
        <w:rPr>
          <w:rFonts w:ascii="Avenir Next" w:hAnsi="Avenir Next" w:cs="Arial"/>
          <w:color w:val="808080" w:themeColor="background1" w:themeShade="80"/>
          <w:sz w:val="22"/>
          <w:szCs w:val="22"/>
          <w:highlight w:val="yellow"/>
          <w:lang w:val="en-GB"/>
        </w:rPr>
        <w:t xml:space="preserve"> are not creditors </w:t>
      </w:r>
      <w:r w:rsidR="003B6887" w:rsidRPr="00B5783E">
        <w:rPr>
          <w:rFonts w:ascii="Avenir Next" w:hAnsi="Avenir Next" w:cs="Arial"/>
          <w:color w:val="808080" w:themeColor="background1" w:themeShade="80"/>
          <w:sz w:val="22"/>
          <w:szCs w:val="22"/>
          <w:highlight w:val="yellow"/>
          <w:lang w:val="en-GB"/>
        </w:rPr>
        <w:t xml:space="preserve">but company’s management. In our view this additional relationship with Mr </w:t>
      </w:r>
      <w:proofErr w:type="spellStart"/>
      <w:proofErr w:type="gramStart"/>
      <w:r w:rsidR="003B6887" w:rsidRPr="00B5783E">
        <w:rPr>
          <w:rFonts w:ascii="Avenir Next" w:hAnsi="Avenir Next" w:cs="Arial"/>
          <w:color w:val="808080" w:themeColor="background1" w:themeShade="80"/>
          <w:sz w:val="22"/>
          <w:szCs w:val="22"/>
          <w:highlight w:val="yellow"/>
          <w:lang w:val="en-GB"/>
        </w:rPr>
        <w:t>Sng</w:t>
      </w:r>
      <w:proofErr w:type="spellEnd"/>
      <w:proofErr w:type="gramEnd"/>
      <w:r w:rsidR="003B6887" w:rsidRPr="00B5783E">
        <w:rPr>
          <w:rFonts w:ascii="Avenir Next" w:hAnsi="Avenir Next" w:cs="Arial"/>
          <w:color w:val="808080" w:themeColor="background1" w:themeShade="80"/>
          <w:sz w:val="22"/>
          <w:szCs w:val="22"/>
          <w:highlight w:val="yellow"/>
          <w:lang w:val="en-GB"/>
        </w:rPr>
        <w:t xml:space="preserve"> and Ms Tong key </w:t>
      </w:r>
      <w:proofErr w:type="spellStart"/>
      <w:r w:rsidR="003B6887" w:rsidRPr="00B5783E">
        <w:rPr>
          <w:rFonts w:ascii="Avenir Next" w:hAnsi="Avenir Next" w:cs="Arial"/>
          <w:color w:val="808080" w:themeColor="background1" w:themeShade="80"/>
          <w:sz w:val="22"/>
          <w:szCs w:val="22"/>
          <w:highlight w:val="yellow"/>
          <w:lang w:val="en-GB"/>
        </w:rPr>
        <w:t>personel</w:t>
      </w:r>
      <w:proofErr w:type="spellEnd"/>
      <w:r w:rsidR="003B6887" w:rsidRPr="00B5783E">
        <w:rPr>
          <w:rFonts w:ascii="Avenir Next" w:hAnsi="Avenir Next" w:cs="Arial"/>
          <w:color w:val="808080" w:themeColor="background1" w:themeShade="80"/>
          <w:sz w:val="22"/>
          <w:szCs w:val="22"/>
          <w:highlight w:val="yellow"/>
          <w:lang w:val="en-GB"/>
        </w:rPr>
        <w:t xml:space="preserve"> of the Respondent, was inappropriate because it put the proposed scheme Manager in an acceptable position of unavoidable conflict of interest. Therefore, we ordered the proposed Scheme Manager to elect either to continue as such only or as nominee for Mr </w:t>
      </w:r>
      <w:proofErr w:type="spellStart"/>
      <w:proofErr w:type="gramStart"/>
      <w:r w:rsidR="003B6887" w:rsidRPr="00B5783E">
        <w:rPr>
          <w:rFonts w:ascii="Avenir Next" w:hAnsi="Avenir Next" w:cs="Arial"/>
          <w:color w:val="808080" w:themeColor="background1" w:themeShade="80"/>
          <w:sz w:val="22"/>
          <w:szCs w:val="22"/>
          <w:highlight w:val="yellow"/>
          <w:lang w:val="en-GB"/>
        </w:rPr>
        <w:t>Sng</w:t>
      </w:r>
      <w:proofErr w:type="spellEnd"/>
      <w:proofErr w:type="gramEnd"/>
      <w:r w:rsidR="003B6887" w:rsidRPr="00B5783E">
        <w:rPr>
          <w:rFonts w:ascii="Avenir Next" w:hAnsi="Avenir Next" w:cs="Arial"/>
          <w:color w:val="808080" w:themeColor="background1" w:themeShade="80"/>
          <w:sz w:val="22"/>
          <w:szCs w:val="22"/>
          <w:highlight w:val="yellow"/>
          <w:lang w:val="en-GB"/>
        </w:rPr>
        <w:t xml:space="preserve"> and Ms Tong in their proposed IVAs only” </w:t>
      </w:r>
    </w:p>
    <w:p w14:paraId="73C8442E" w14:textId="77777777" w:rsidR="003B6887" w:rsidRPr="00B5783E" w:rsidRDefault="003B6887" w:rsidP="00EF3312">
      <w:pPr>
        <w:autoSpaceDE w:val="0"/>
        <w:autoSpaceDN w:val="0"/>
        <w:adjustRightInd w:val="0"/>
        <w:jc w:val="both"/>
        <w:rPr>
          <w:rFonts w:ascii="Avenir Next" w:hAnsi="Avenir Next" w:cs="Arial"/>
          <w:color w:val="808080" w:themeColor="background1" w:themeShade="80"/>
          <w:sz w:val="22"/>
          <w:szCs w:val="22"/>
          <w:highlight w:val="yellow"/>
          <w:lang w:val="en-GB"/>
        </w:rPr>
      </w:pPr>
      <w:r w:rsidRPr="00B5783E">
        <w:rPr>
          <w:rFonts w:ascii="Avenir Next" w:hAnsi="Avenir Next" w:cs="Arial"/>
          <w:color w:val="808080" w:themeColor="background1" w:themeShade="80"/>
          <w:sz w:val="22"/>
          <w:szCs w:val="22"/>
          <w:highlight w:val="yellow"/>
          <w:lang w:val="en-GB"/>
        </w:rPr>
        <w:t xml:space="preserve">On the strength of the preceding case and applying the principles set out by the court, it is my considered view that </w:t>
      </w:r>
      <w:proofErr w:type="spellStart"/>
      <w:r w:rsidRPr="00B5783E">
        <w:rPr>
          <w:rFonts w:ascii="Avenir Next" w:hAnsi="Avenir Next" w:cs="Arial"/>
          <w:color w:val="808080" w:themeColor="background1" w:themeShade="80"/>
          <w:sz w:val="22"/>
          <w:szCs w:val="22"/>
          <w:highlight w:val="yellow"/>
          <w:lang w:val="en-GB"/>
        </w:rPr>
        <w:t>Mr.</w:t>
      </w:r>
      <w:proofErr w:type="spellEnd"/>
      <w:r w:rsidRPr="00B5783E">
        <w:rPr>
          <w:rFonts w:ascii="Avenir Next" w:hAnsi="Avenir Next" w:cs="Arial"/>
          <w:color w:val="808080" w:themeColor="background1" w:themeShade="80"/>
          <w:sz w:val="22"/>
          <w:szCs w:val="22"/>
          <w:highlight w:val="yellow"/>
          <w:lang w:val="en-GB"/>
        </w:rPr>
        <w:t xml:space="preserve"> Relation was conflicted and ought not to have accepted the appointment as Administrator and subsequently as Liquidator. Furthermore, the Commentary on page 17 in the Module applies with the full force to </w:t>
      </w:r>
      <w:proofErr w:type="spellStart"/>
      <w:r w:rsidRPr="00B5783E">
        <w:rPr>
          <w:rFonts w:ascii="Avenir Next" w:hAnsi="Avenir Next" w:cs="Arial"/>
          <w:color w:val="808080" w:themeColor="background1" w:themeShade="80"/>
          <w:sz w:val="22"/>
          <w:szCs w:val="22"/>
          <w:highlight w:val="yellow"/>
          <w:lang w:val="en-GB"/>
        </w:rPr>
        <w:t>Mr.</w:t>
      </w:r>
      <w:proofErr w:type="spellEnd"/>
      <w:r w:rsidRPr="00B5783E">
        <w:rPr>
          <w:rFonts w:ascii="Avenir Next" w:hAnsi="Avenir Next" w:cs="Arial"/>
          <w:color w:val="808080" w:themeColor="background1" w:themeShade="80"/>
          <w:sz w:val="22"/>
          <w:szCs w:val="22"/>
          <w:highlight w:val="yellow"/>
          <w:lang w:val="en-GB"/>
        </w:rPr>
        <w:t xml:space="preserve"> Relation and the Commentary states as follows in relation to independence,</w:t>
      </w:r>
    </w:p>
    <w:p w14:paraId="5364CAA8" w14:textId="77777777" w:rsidR="00F21483" w:rsidRPr="00B5783E" w:rsidRDefault="003B6887" w:rsidP="00EF3312">
      <w:pPr>
        <w:autoSpaceDE w:val="0"/>
        <w:autoSpaceDN w:val="0"/>
        <w:adjustRightInd w:val="0"/>
        <w:jc w:val="both"/>
        <w:rPr>
          <w:rFonts w:ascii="Avenir Next" w:hAnsi="Avenir Next" w:cs="Arial"/>
          <w:color w:val="808080" w:themeColor="background1" w:themeShade="80"/>
          <w:sz w:val="22"/>
          <w:szCs w:val="22"/>
          <w:highlight w:val="yellow"/>
          <w:lang w:val="en-GB"/>
        </w:rPr>
      </w:pPr>
      <w:proofErr w:type="gramStart"/>
      <w:r w:rsidRPr="00B5783E">
        <w:rPr>
          <w:rFonts w:ascii="Avenir Next" w:hAnsi="Avenir Next" w:cs="Arial"/>
          <w:color w:val="808080" w:themeColor="background1" w:themeShade="80"/>
          <w:sz w:val="22"/>
          <w:szCs w:val="22"/>
          <w:highlight w:val="yellow"/>
          <w:lang w:val="en-GB"/>
        </w:rPr>
        <w:t>“ …</w:t>
      </w:r>
      <w:proofErr w:type="gramEnd"/>
      <w:r w:rsidRPr="00B5783E">
        <w:rPr>
          <w:rFonts w:ascii="Avenir Next" w:hAnsi="Avenir Next" w:cs="Arial"/>
          <w:color w:val="808080" w:themeColor="background1" w:themeShade="80"/>
          <w:sz w:val="22"/>
          <w:szCs w:val="22"/>
          <w:highlight w:val="yellow"/>
          <w:lang w:val="en-GB"/>
        </w:rPr>
        <w:t xml:space="preserve">the key tenet underlying </w:t>
      </w:r>
      <w:r w:rsidR="00F21483" w:rsidRPr="00B5783E">
        <w:rPr>
          <w:rFonts w:ascii="Avenir Next" w:hAnsi="Avenir Next" w:cs="Arial"/>
          <w:color w:val="808080" w:themeColor="background1" w:themeShade="80"/>
          <w:sz w:val="22"/>
          <w:szCs w:val="22"/>
          <w:highlight w:val="yellow"/>
          <w:lang w:val="en-GB"/>
        </w:rPr>
        <w:t xml:space="preserve">the principle of independence should be ensuring that a Member’s conduct is, and is seen to be, not unfairly or improperly biased towards any party, including Members themselves or their associates. A Member should not accept an appointment in connection with the estate if his (or a related party’s) relationship with the directors of the company or any of the stakeholders would give rise to a possible or perceived lack of independence. </w:t>
      </w:r>
    </w:p>
    <w:p w14:paraId="38F7E540" w14:textId="77777777" w:rsidR="007B1EB5" w:rsidRPr="00B5783E" w:rsidRDefault="00F21483" w:rsidP="00EF3312">
      <w:pPr>
        <w:autoSpaceDE w:val="0"/>
        <w:autoSpaceDN w:val="0"/>
        <w:adjustRightInd w:val="0"/>
        <w:jc w:val="both"/>
        <w:rPr>
          <w:rFonts w:ascii="Avenir Next" w:hAnsi="Avenir Next" w:cs="Arial"/>
          <w:color w:val="808080" w:themeColor="background1" w:themeShade="80"/>
          <w:sz w:val="22"/>
          <w:szCs w:val="22"/>
          <w:highlight w:val="yellow"/>
          <w:lang w:val="en-GB"/>
        </w:rPr>
      </w:pPr>
      <w:r w:rsidRPr="00B5783E">
        <w:rPr>
          <w:rFonts w:ascii="Avenir Next" w:hAnsi="Avenir Next" w:cs="Arial"/>
          <w:color w:val="808080" w:themeColor="background1" w:themeShade="80"/>
          <w:sz w:val="22"/>
          <w:szCs w:val="22"/>
          <w:highlight w:val="yellow"/>
          <w:lang w:val="en-GB"/>
        </w:rPr>
        <w:t xml:space="preserve">Furthermore, in the case of Commonwealth Bank of Australia v Irving [1996] 65 FCR 291 [AUSTRALIA] the Court made the following comment on the issue of conducting an investigations into the affairs of the company where the Administrator was a close to one of the parties as the case is with </w:t>
      </w:r>
      <w:proofErr w:type="spellStart"/>
      <w:r w:rsidRPr="00B5783E">
        <w:rPr>
          <w:rFonts w:ascii="Avenir Next" w:hAnsi="Avenir Next" w:cs="Arial"/>
          <w:color w:val="808080" w:themeColor="background1" w:themeShade="80"/>
          <w:sz w:val="22"/>
          <w:szCs w:val="22"/>
          <w:highlight w:val="yellow"/>
          <w:lang w:val="en-GB"/>
        </w:rPr>
        <w:t>Mr.</w:t>
      </w:r>
      <w:proofErr w:type="spellEnd"/>
      <w:r w:rsidRPr="00B5783E">
        <w:rPr>
          <w:rFonts w:ascii="Avenir Next" w:hAnsi="Avenir Next" w:cs="Arial"/>
          <w:color w:val="808080" w:themeColor="background1" w:themeShade="80"/>
          <w:sz w:val="22"/>
          <w:szCs w:val="22"/>
          <w:highlight w:val="yellow"/>
          <w:lang w:val="en-GB"/>
        </w:rPr>
        <w:t xml:space="preserve"> Relation in the question at hand;</w:t>
      </w:r>
    </w:p>
    <w:p w14:paraId="29B17D3A" w14:textId="77777777" w:rsidR="00B5783E" w:rsidRPr="00B5783E" w:rsidRDefault="007B1EB5" w:rsidP="00EF3312">
      <w:pPr>
        <w:autoSpaceDE w:val="0"/>
        <w:autoSpaceDN w:val="0"/>
        <w:adjustRightInd w:val="0"/>
        <w:jc w:val="both"/>
        <w:rPr>
          <w:rFonts w:ascii="Avenir Next" w:hAnsi="Avenir Next" w:cs="Arial"/>
          <w:color w:val="808080" w:themeColor="background1" w:themeShade="80"/>
          <w:sz w:val="22"/>
          <w:szCs w:val="22"/>
          <w:highlight w:val="yellow"/>
          <w:lang w:val="en-GB"/>
        </w:rPr>
      </w:pPr>
      <w:r w:rsidRPr="00B5783E">
        <w:rPr>
          <w:rFonts w:ascii="Avenir Next" w:hAnsi="Avenir Next" w:cs="Arial"/>
          <w:color w:val="808080" w:themeColor="background1" w:themeShade="80"/>
          <w:sz w:val="22"/>
          <w:szCs w:val="22"/>
          <w:highlight w:val="yellow"/>
          <w:lang w:val="en-GB"/>
        </w:rPr>
        <w:t xml:space="preserve">“As the </w:t>
      </w:r>
      <w:r w:rsidR="00CB79C7" w:rsidRPr="00B5783E">
        <w:rPr>
          <w:rFonts w:ascii="Avenir Next" w:hAnsi="Avenir Next" w:cs="Arial"/>
          <w:color w:val="808080" w:themeColor="background1" w:themeShade="80"/>
          <w:sz w:val="22"/>
          <w:szCs w:val="22"/>
          <w:highlight w:val="yellow"/>
          <w:lang w:val="en-GB"/>
        </w:rPr>
        <w:t xml:space="preserve">administrator of the </w:t>
      </w:r>
      <w:proofErr w:type="spellStart"/>
      <w:r w:rsidR="00CB79C7" w:rsidRPr="00B5783E">
        <w:rPr>
          <w:rFonts w:ascii="Avenir Next" w:hAnsi="Avenir Next" w:cs="Arial"/>
          <w:color w:val="808080" w:themeColor="background1" w:themeShade="80"/>
          <w:sz w:val="22"/>
          <w:szCs w:val="22"/>
          <w:highlight w:val="yellow"/>
          <w:lang w:val="en-GB"/>
        </w:rPr>
        <w:t>company</w:t>
      </w:r>
      <w:proofErr w:type="gramStart"/>
      <w:r w:rsidR="00CB79C7" w:rsidRPr="00B5783E">
        <w:rPr>
          <w:rFonts w:ascii="Avenir Next" w:hAnsi="Avenir Next" w:cs="Arial"/>
          <w:color w:val="808080" w:themeColor="background1" w:themeShade="80"/>
          <w:sz w:val="22"/>
          <w:szCs w:val="22"/>
          <w:highlight w:val="yellow"/>
          <w:lang w:val="en-GB"/>
        </w:rPr>
        <w:t>,Mr</w:t>
      </w:r>
      <w:proofErr w:type="spellEnd"/>
      <w:proofErr w:type="gramEnd"/>
      <w:r w:rsidR="00CB79C7" w:rsidRPr="00B5783E">
        <w:rPr>
          <w:rFonts w:ascii="Avenir Next" w:hAnsi="Avenir Next" w:cs="Arial"/>
          <w:color w:val="808080" w:themeColor="background1" w:themeShade="80"/>
          <w:sz w:val="22"/>
          <w:szCs w:val="22"/>
          <w:highlight w:val="yellow"/>
          <w:lang w:val="en-GB"/>
        </w:rPr>
        <w:t xml:space="preserve">. Irving would have had to investigate the affairs of the company and also the conduct of the directors, including that of </w:t>
      </w:r>
      <w:proofErr w:type="spellStart"/>
      <w:r w:rsidR="00CB79C7" w:rsidRPr="00B5783E">
        <w:rPr>
          <w:rFonts w:ascii="Avenir Next" w:hAnsi="Avenir Next" w:cs="Arial"/>
          <w:color w:val="808080" w:themeColor="background1" w:themeShade="80"/>
          <w:sz w:val="22"/>
          <w:szCs w:val="22"/>
          <w:highlight w:val="yellow"/>
          <w:lang w:val="en-GB"/>
        </w:rPr>
        <w:t>Mr.</w:t>
      </w:r>
      <w:proofErr w:type="spellEnd"/>
      <w:r w:rsidR="00CB79C7" w:rsidRPr="00B5783E">
        <w:rPr>
          <w:rFonts w:ascii="Avenir Next" w:hAnsi="Avenir Next" w:cs="Arial"/>
          <w:color w:val="808080" w:themeColor="background1" w:themeShade="80"/>
          <w:sz w:val="22"/>
          <w:szCs w:val="22"/>
          <w:highlight w:val="yellow"/>
          <w:lang w:val="en-GB"/>
        </w:rPr>
        <w:t xml:space="preserve"> Townsend, to determine whether or not any action should be taken against them or any of them. His relationship with </w:t>
      </w:r>
      <w:proofErr w:type="spellStart"/>
      <w:r w:rsidR="00CB79C7" w:rsidRPr="00B5783E">
        <w:rPr>
          <w:rFonts w:ascii="Avenir Next" w:hAnsi="Avenir Next" w:cs="Arial"/>
          <w:color w:val="808080" w:themeColor="background1" w:themeShade="80"/>
          <w:sz w:val="22"/>
          <w:szCs w:val="22"/>
          <w:highlight w:val="yellow"/>
          <w:lang w:val="en-GB"/>
        </w:rPr>
        <w:t>Mr.</w:t>
      </w:r>
      <w:proofErr w:type="spellEnd"/>
      <w:r w:rsidR="00CB79C7" w:rsidRPr="00B5783E">
        <w:rPr>
          <w:rFonts w:ascii="Avenir Next" w:hAnsi="Avenir Next" w:cs="Arial"/>
          <w:color w:val="808080" w:themeColor="background1" w:themeShade="80"/>
          <w:sz w:val="22"/>
          <w:szCs w:val="22"/>
          <w:highlight w:val="yellow"/>
          <w:lang w:val="en-GB"/>
        </w:rPr>
        <w:t xml:space="preserve"> Townsend created the perception that </w:t>
      </w:r>
      <w:proofErr w:type="spellStart"/>
      <w:r w:rsidR="00CB79C7" w:rsidRPr="00B5783E">
        <w:rPr>
          <w:rFonts w:ascii="Avenir Next" w:hAnsi="Avenir Next" w:cs="Arial"/>
          <w:color w:val="808080" w:themeColor="background1" w:themeShade="80"/>
          <w:sz w:val="22"/>
          <w:szCs w:val="22"/>
          <w:highlight w:val="yellow"/>
          <w:lang w:val="en-GB"/>
        </w:rPr>
        <w:t>Mr.Irving</w:t>
      </w:r>
      <w:proofErr w:type="spellEnd"/>
      <w:r w:rsidR="00CB79C7" w:rsidRPr="00B5783E">
        <w:rPr>
          <w:rFonts w:ascii="Avenir Next" w:hAnsi="Avenir Next" w:cs="Arial"/>
          <w:color w:val="808080" w:themeColor="background1" w:themeShade="80"/>
          <w:sz w:val="22"/>
          <w:szCs w:val="22"/>
          <w:highlight w:val="yellow"/>
          <w:lang w:val="en-GB"/>
        </w:rPr>
        <w:t xml:space="preserve"> held Mr Townsend’s judgment in high regard and relied on his professional advice and judgment. In the court’s view a reasonable person would have trouble believing that (despite Mr Irving’s assertions to the contrary) he would be able to conduct said investigation without any bias” The Court went further to state that “although nobody had made any allegations against the propriety of Mr Irving’s conduct, the mere fact that he had a longstanding friendly and professional relationship with Mr Townsend would create a doubt with a fair minded person that he would be ab</w:t>
      </w:r>
      <w:r w:rsidR="00B5783E" w:rsidRPr="00B5783E">
        <w:rPr>
          <w:rFonts w:ascii="Avenir Next" w:hAnsi="Avenir Next" w:cs="Arial"/>
          <w:color w:val="808080" w:themeColor="background1" w:themeShade="80"/>
          <w:sz w:val="22"/>
          <w:szCs w:val="22"/>
          <w:highlight w:val="yellow"/>
          <w:lang w:val="en-GB"/>
        </w:rPr>
        <w:t xml:space="preserve">le to perform his duties in an independent manner and therefore it would not be appropriate for Mr Irving to continue as the administrator of the company. </w:t>
      </w:r>
      <w:r w:rsidR="00B5783E" w:rsidRPr="00B5783E">
        <w:rPr>
          <w:rFonts w:ascii="Avenir Next" w:hAnsi="Avenir Next" w:cs="Arial"/>
          <w:color w:val="808080" w:themeColor="background1" w:themeShade="80"/>
          <w:sz w:val="22"/>
          <w:szCs w:val="22"/>
          <w:highlight w:val="yellow"/>
          <w:lang w:val="en-GB"/>
        </w:rPr>
        <w:lastRenderedPageBreak/>
        <w:t>There must not be any bias and there must not be any appearance or perception of bias. This relationship created a familiarity threat to the CIP”</w:t>
      </w:r>
    </w:p>
    <w:p w14:paraId="626FA5C6" w14:textId="6C905CDD" w:rsidR="002D3473" w:rsidRPr="00EF3312" w:rsidRDefault="00B5783E" w:rsidP="00EF3312">
      <w:pPr>
        <w:autoSpaceDE w:val="0"/>
        <w:autoSpaceDN w:val="0"/>
        <w:adjustRightInd w:val="0"/>
        <w:jc w:val="both"/>
        <w:rPr>
          <w:rFonts w:ascii="Avenir Next" w:hAnsi="Avenir Next" w:cs="Arial"/>
          <w:color w:val="808080" w:themeColor="background1" w:themeShade="80"/>
          <w:sz w:val="22"/>
          <w:szCs w:val="22"/>
          <w:lang w:val="en-GB"/>
        </w:rPr>
      </w:pPr>
      <w:r w:rsidRPr="00B5783E">
        <w:rPr>
          <w:rFonts w:ascii="Avenir Next" w:hAnsi="Avenir Next" w:cs="Arial"/>
          <w:color w:val="808080" w:themeColor="background1" w:themeShade="80"/>
          <w:sz w:val="22"/>
          <w:szCs w:val="22"/>
          <w:highlight w:val="yellow"/>
          <w:lang w:val="en-GB"/>
        </w:rPr>
        <w:t xml:space="preserve">In light of the foregoing this was a proper case for </w:t>
      </w:r>
      <w:proofErr w:type="spellStart"/>
      <w:r w:rsidRPr="00B5783E">
        <w:rPr>
          <w:rFonts w:ascii="Avenir Next" w:hAnsi="Avenir Next" w:cs="Arial"/>
          <w:color w:val="808080" w:themeColor="background1" w:themeShade="80"/>
          <w:sz w:val="22"/>
          <w:szCs w:val="22"/>
          <w:highlight w:val="yellow"/>
          <w:lang w:val="en-GB"/>
        </w:rPr>
        <w:t>Mr.</w:t>
      </w:r>
      <w:proofErr w:type="spellEnd"/>
      <w:r w:rsidRPr="00B5783E">
        <w:rPr>
          <w:rFonts w:ascii="Avenir Next" w:hAnsi="Avenir Next" w:cs="Arial"/>
          <w:color w:val="808080" w:themeColor="background1" w:themeShade="80"/>
          <w:sz w:val="22"/>
          <w:szCs w:val="22"/>
          <w:highlight w:val="yellow"/>
          <w:lang w:val="en-GB"/>
        </w:rPr>
        <w:t xml:space="preserve"> Relation to decline his appointment as Administrator even without any complaint from the stakeholders on the ground that there was breach of the ethical principles and his appointment was not in the best interest of all the beneficiaries of the estate.  </w:t>
      </w:r>
      <w:r w:rsidR="00643AD0" w:rsidRPr="00B5783E">
        <w:rPr>
          <w:rFonts w:ascii="Avenir Next" w:hAnsi="Avenir Next" w:cs="Arial"/>
          <w:color w:val="808080" w:themeColor="background1" w:themeShade="80"/>
          <w:sz w:val="22"/>
          <w:szCs w:val="22"/>
          <w:highlight w:val="yellow"/>
          <w:lang w:val="en-GB"/>
        </w:rPr>
        <w:t xml:space="preserve"> </w:t>
      </w:r>
      <w:r w:rsidR="002D3473" w:rsidRPr="00B5783E">
        <w:rPr>
          <w:rFonts w:ascii="Avenir Next" w:hAnsi="Avenir Next" w:cs="Arial"/>
          <w:color w:val="808080" w:themeColor="background1" w:themeShade="80"/>
          <w:sz w:val="22"/>
          <w:szCs w:val="22"/>
          <w:highlight w:val="yellow"/>
          <w:lang w:val="en-GB"/>
        </w:rPr>
        <w:t>]</w:t>
      </w: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bookmarkEnd w:id="1"/>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13F90DF6" w14:textId="79476CF6" w:rsidR="002E7621" w:rsidRPr="00B5783E" w:rsidRDefault="00C606C3" w:rsidP="00B5783E">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sectPr w:rsidR="002E7621" w:rsidRPr="00B5783E"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678FE" w14:textId="77777777" w:rsidR="00A647B8" w:rsidRDefault="00A647B8" w:rsidP="00241B44">
      <w:r>
        <w:separator/>
      </w:r>
    </w:p>
  </w:endnote>
  <w:endnote w:type="continuationSeparator" w:id="0">
    <w:p w14:paraId="0731B1DD" w14:textId="77777777" w:rsidR="00A647B8" w:rsidRDefault="00A647B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CB79C7" w:rsidRPr="00FC7B47" w:rsidRDefault="00CB79C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CB79C7" w:rsidRPr="00FC7B47" w:rsidRDefault="00CB79C7"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CB79C7" w:rsidRPr="009B4976" w:rsidRDefault="00CB79C7" w:rsidP="00A51F79">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053AA">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0E838099" w:rsidR="00CB79C7" w:rsidRPr="009B4976" w:rsidRDefault="00CB79C7" w:rsidP="009B4976">
    <w:pPr>
      <w:pStyle w:val="Footer"/>
      <w:ind w:right="360"/>
      <w:rPr>
        <w:rFonts w:ascii="Arial" w:hAnsi="Arial" w:cs="Arial"/>
        <w:sz w:val="18"/>
        <w:szCs w:val="18"/>
        <w:lang w:val="en-GB"/>
      </w:rPr>
    </w:pPr>
    <w:r>
      <w:rPr>
        <w:rFonts w:ascii="Arial" w:hAnsi="Arial" w:cs="Arial"/>
        <w:sz w:val="18"/>
        <w:szCs w:val="18"/>
        <w:lang w:val="en-GB"/>
      </w:rPr>
      <w:t>202223-775</w:t>
    </w:r>
    <w:r w:rsidRPr="009B4976">
      <w:rPr>
        <w:rFonts w:ascii="Arial" w:hAnsi="Arial" w:cs="Arial"/>
        <w:sz w:val="18"/>
        <w:szCs w:val="18"/>
        <w:lang w:val="en-GB"/>
      </w:rPr>
      <w:t>.assessment</w:t>
    </w:r>
    <w:r>
      <w:rPr>
        <w:rFonts w:ascii="Arial" w:hAnsi="Arial" w:cs="Arial"/>
        <w:sz w:val="18"/>
        <w:szCs w:val="18"/>
        <w:lang w:val="en-GB"/>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7BCB7" w14:textId="77777777" w:rsidR="00A647B8" w:rsidRDefault="00A647B8" w:rsidP="00241B44">
      <w:r>
        <w:separator/>
      </w:r>
    </w:p>
  </w:footnote>
  <w:footnote w:type="continuationSeparator" w:id="0">
    <w:p w14:paraId="0C80D8BC" w14:textId="77777777" w:rsidR="00A647B8" w:rsidRDefault="00A647B8"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44443"/>
    <w:multiLevelType w:val="hybridMultilevel"/>
    <w:tmpl w:val="0ECE4D3A"/>
    <w:lvl w:ilvl="0" w:tplc="5C28D4A4">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158BA"/>
    <w:multiLevelType w:val="hybridMultilevel"/>
    <w:tmpl w:val="4FE2F448"/>
    <w:lvl w:ilvl="0" w:tplc="DDC6A722">
      <w:start w:val="1"/>
      <w:numFmt w:val="lowerLetter"/>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3">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D575CF"/>
    <w:multiLevelType w:val="hybridMultilevel"/>
    <w:tmpl w:val="AC2474C0"/>
    <w:lvl w:ilvl="0" w:tplc="4CE0C56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5">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8D1633"/>
    <w:multiLevelType w:val="hybridMultilevel"/>
    <w:tmpl w:val="D1CE83BE"/>
    <w:lvl w:ilvl="0" w:tplc="DB1A1F5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D04E75"/>
    <w:multiLevelType w:val="hybridMultilevel"/>
    <w:tmpl w:val="DD64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18"/>
  </w:num>
  <w:num w:numId="5">
    <w:abstractNumId w:val="32"/>
  </w:num>
  <w:num w:numId="6">
    <w:abstractNumId w:val="33"/>
  </w:num>
  <w:num w:numId="7">
    <w:abstractNumId w:val="34"/>
  </w:num>
  <w:num w:numId="8">
    <w:abstractNumId w:val="29"/>
  </w:num>
  <w:num w:numId="9">
    <w:abstractNumId w:val="20"/>
  </w:num>
  <w:num w:numId="10">
    <w:abstractNumId w:val="4"/>
  </w:num>
  <w:num w:numId="11">
    <w:abstractNumId w:val="13"/>
  </w:num>
  <w:num w:numId="12">
    <w:abstractNumId w:val="11"/>
  </w:num>
  <w:num w:numId="13">
    <w:abstractNumId w:val="28"/>
  </w:num>
  <w:num w:numId="14">
    <w:abstractNumId w:val="2"/>
  </w:num>
  <w:num w:numId="15">
    <w:abstractNumId w:val="17"/>
  </w:num>
  <w:num w:numId="16">
    <w:abstractNumId w:val="23"/>
  </w:num>
  <w:num w:numId="17">
    <w:abstractNumId w:val="0"/>
  </w:num>
  <w:num w:numId="18">
    <w:abstractNumId w:val="30"/>
  </w:num>
  <w:num w:numId="19">
    <w:abstractNumId w:val="21"/>
  </w:num>
  <w:num w:numId="20">
    <w:abstractNumId w:val="1"/>
  </w:num>
  <w:num w:numId="21">
    <w:abstractNumId w:val="8"/>
  </w:num>
  <w:num w:numId="22">
    <w:abstractNumId w:val="5"/>
  </w:num>
  <w:num w:numId="23">
    <w:abstractNumId w:val="7"/>
  </w:num>
  <w:num w:numId="24">
    <w:abstractNumId w:val="16"/>
  </w:num>
  <w:num w:numId="25">
    <w:abstractNumId w:val="12"/>
  </w:num>
  <w:num w:numId="26">
    <w:abstractNumId w:val="6"/>
  </w:num>
  <w:num w:numId="27">
    <w:abstractNumId w:val="15"/>
  </w:num>
  <w:num w:numId="28">
    <w:abstractNumId w:val="25"/>
  </w:num>
  <w:num w:numId="29">
    <w:abstractNumId w:val="26"/>
  </w:num>
  <w:num w:numId="30">
    <w:abstractNumId w:val="9"/>
  </w:num>
  <w:num w:numId="31">
    <w:abstractNumId w:val="24"/>
  </w:num>
  <w:num w:numId="32">
    <w:abstractNumId w:val="22"/>
  </w:num>
  <w:num w:numId="33">
    <w:abstractNumId w:val="27"/>
  </w:num>
  <w:num w:numId="34">
    <w:abstractNumId w:val="3"/>
  </w:num>
  <w:num w:numId="3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2086"/>
    <w:rsid w:val="00002FCA"/>
    <w:rsid w:val="00007BF3"/>
    <w:rsid w:val="00010BA0"/>
    <w:rsid w:val="00011067"/>
    <w:rsid w:val="0001695C"/>
    <w:rsid w:val="00020557"/>
    <w:rsid w:val="00021FC2"/>
    <w:rsid w:val="000250C7"/>
    <w:rsid w:val="00026B8E"/>
    <w:rsid w:val="00026F1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D55A8"/>
    <w:rsid w:val="000E4841"/>
    <w:rsid w:val="000E55FD"/>
    <w:rsid w:val="000F1677"/>
    <w:rsid w:val="000F3D6C"/>
    <w:rsid w:val="000F4603"/>
    <w:rsid w:val="00101707"/>
    <w:rsid w:val="00102CC9"/>
    <w:rsid w:val="0010593A"/>
    <w:rsid w:val="0011473D"/>
    <w:rsid w:val="00115C85"/>
    <w:rsid w:val="00123855"/>
    <w:rsid w:val="00126A4D"/>
    <w:rsid w:val="00132584"/>
    <w:rsid w:val="0014171F"/>
    <w:rsid w:val="00143008"/>
    <w:rsid w:val="00144669"/>
    <w:rsid w:val="0014622C"/>
    <w:rsid w:val="001478F8"/>
    <w:rsid w:val="00152348"/>
    <w:rsid w:val="0015456D"/>
    <w:rsid w:val="00155FA2"/>
    <w:rsid w:val="00161F1B"/>
    <w:rsid w:val="00162829"/>
    <w:rsid w:val="00173D2F"/>
    <w:rsid w:val="001769B0"/>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141AF"/>
    <w:rsid w:val="0022120D"/>
    <w:rsid w:val="002356EA"/>
    <w:rsid w:val="0024116D"/>
    <w:rsid w:val="00241B44"/>
    <w:rsid w:val="00241FA3"/>
    <w:rsid w:val="00245EFB"/>
    <w:rsid w:val="002460B1"/>
    <w:rsid w:val="0025386E"/>
    <w:rsid w:val="002577C4"/>
    <w:rsid w:val="002638B0"/>
    <w:rsid w:val="0026647A"/>
    <w:rsid w:val="002668D3"/>
    <w:rsid w:val="0027299F"/>
    <w:rsid w:val="002737B7"/>
    <w:rsid w:val="00284EBE"/>
    <w:rsid w:val="002903A7"/>
    <w:rsid w:val="0029179E"/>
    <w:rsid w:val="0029433F"/>
    <w:rsid w:val="00294829"/>
    <w:rsid w:val="0029690F"/>
    <w:rsid w:val="00297C8A"/>
    <w:rsid w:val="002A2A60"/>
    <w:rsid w:val="002A37BB"/>
    <w:rsid w:val="002B1C45"/>
    <w:rsid w:val="002B48C1"/>
    <w:rsid w:val="002C13C8"/>
    <w:rsid w:val="002C3547"/>
    <w:rsid w:val="002C5F61"/>
    <w:rsid w:val="002D0021"/>
    <w:rsid w:val="002D299D"/>
    <w:rsid w:val="002D2CB2"/>
    <w:rsid w:val="002D3473"/>
    <w:rsid w:val="002E2B14"/>
    <w:rsid w:val="002E5175"/>
    <w:rsid w:val="002E7621"/>
    <w:rsid w:val="002E762B"/>
    <w:rsid w:val="002F1956"/>
    <w:rsid w:val="002F3440"/>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A5E32"/>
    <w:rsid w:val="003B170F"/>
    <w:rsid w:val="003B3C5F"/>
    <w:rsid w:val="003B6887"/>
    <w:rsid w:val="003C4471"/>
    <w:rsid w:val="003D0A6D"/>
    <w:rsid w:val="003E0B16"/>
    <w:rsid w:val="003E67D1"/>
    <w:rsid w:val="00403FEE"/>
    <w:rsid w:val="00404329"/>
    <w:rsid w:val="00405DC1"/>
    <w:rsid w:val="00415F1F"/>
    <w:rsid w:val="0042108F"/>
    <w:rsid w:val="0042466C"/>
    <w:rsid w:val="00430FED"/>
    <w:rsid w:val="00434A8C"/>
    <w:rsid w:val="00435C15"/>
    <w:rsid w:val="00437297"/>
    <w:rsid w:val="00444284"/>
    <w:rsid w:val="00445CE6"/>
    <w:rsid w:val="00452C6A"/>
    <w:rsid w:val="004534C2"/>
    <w:rsid w:val="0045446F"/>
    <w:rsid w:val="0045683E"/>
    <w:rsid w:val="00473045"/>
    <w:rsid w:val="00476D8C"/>
    <w:rsid w:val="00477C72"/>
    <w:rsid w:val="004807F1"/>
    <w:rsid w:val="00485EDE"/>
    <w:rsid w:val="00491675"/>
    <w:rsid w:val="00493855"/>
    <w:rsid w:val="004948AB"/>
    <w:rsid w:val="00495E79"/>
    <w:rsid w:val="004A2D83"/>
    <w:rsid w:val="004A57DD"/>
    <w:rsid w:val="004A7B51"/>
    <w:rsid w:val="004A7D71"/>
    <w:rsid w:val="004A7EF3"/>
    <w:rsid w:val="004B11FD"/>
    <w:rsid w:val="004B1C0E"/>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177FE"/>
    <w:rsid w:val="0052263B"/>
    <w:rsid w:val="00524728"/>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43AD0"/>
    <w:rsid w:val="00651652"/>
    <w:rsid w:val="00654C2F"/>
    <w:rsid w:val="00657087"/>
    <w:rsid w:val="006639DB"/>
    <w:rsid w:val="006661EF"/>
    <w:rsid w:val="00677AEB"/>
    <w:rsid w:val="00680EF2"/>
    <w:rsid w:val="00687A1D"/>
    <w:rsid w:val="00693A37"/>
    <w:rsid w:val="00697EA1"/>
    <w:rsid w:val="006A1258"/>
    <w:rsid w:val="006A15FD"/>
    <w:rsid w:val="006A2646"/>
    <w:rsid w:val="006A6530"/>
    <w:rsid w:val="006B435A"/>
    <w:rsid w:val="006B4C64"/>
    <w:rsid w:val="006D6BD5"/>
    <w:rsid w:val="006E481A"/>
    <w:rsid w:val="006E5298"/>
    <w:rsid w:val="006E5663"/>
    <w:rsid w:val="006E6E9E"/>
    <w:rsid w:val="006F450E"/>
    <w:rsid w:val="006F4A78"/>
    <w:rsid w:val="006F734A"/>
    <w:rsid w:val="00700D83"/>
    <w:rsid w:val="00701CCC"/>
    <w:rsid w:val="00704852"/>
    <w:rsid w:val="007074E9"/>
    <w:rsid w:val="00713DA4"/>
    <w:rsid w:val="00714BF1"/>
    <w:rsid w:val="00721383"/>
    <w:rsid w:val="0073158B"/>
    <w:rsid w:val="007333CC"/>
    <w:rsid w:val="0073362D"/>
    <w:rsid w:val="0073399A"/>
    <w:rsid w:val="00740DAD"/>
    <w:rsid w:val="00740ED1"/>
    <w:rsid w:val="007425B0"/>
    <w:rsid w:val="007603F5"/>
    <w:rsid w:val="00764DB0"/>
    <w:rsid w:val="0076764D"/>
    <w:rsid w:val="0077498C"/>
    <w:rsid w:val="007809BC"/>
    <w:rsid w:val="00784128"/>
    <w:rsid w:val="00787BCC"/>
    <w:rsid w:val="00793173"/>
    <w:rsid w:val="00794A92"/>
    <w:rsid w:val="00795762"/>
    <w:rsid w:val="007A2A33"/>
    <w:rsid w:val="007A4573"/>
    <w:rsid w:val="007B1EB5"/>
    <w:rsid w:val="007B5C89"/>
    <w:rsid w:val="007C1FCC"/>
    <w:rsid w:val="007C6201"/>
    <w:rsid w:val="007C7D7E"/>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555F6"/>
    <w:rsid w:val="00864F1F"/>
    <w:rsid w:val="00867701"/>
    <w:rsid w:val="008723F3"/>
    <w:rsid w:val="00876F56"/>
    <w:rsid w:val="00881DE6"/>
    <w:rsid w:val="008837A6"/>
    <w:rsid w:val="0089145D"/>
    <w:rsid w:val="0089154C"/>
    <w:rsid w:val="00896196"/>
    <w:rsid w:val="008A4DF2"/>
    <w:rsid w:val="008A6CFE"/>
    <w:rsid w:val="008B2B0F"/>
    <w:rsid w:val="008B5333"/>
    <w:rsid w:val="008B6223"/>
    <w:rsid w:val="008C4CD6"/>
    <w:rsid w:val="008C66E0"/>
    <w:rsid w:val="008C6825"/>
    <w:rsid w:val="008E03CB"/>
    <w:rsid w:val="008E1511"/>
    <w:rsid w:val="008E3339"/>
    <w:rsid w:val="008E7E16"/>
    <w:rsid w:val="008F20FC"/>
    <w:rsid w:val="008F5FFE"/>
    <w:rsid w:val="00905A43"/>
    <w:rsid w:val="00912C79"/>
    <w:rsid w:val="00920BED"/>
    <w:rsid w:val="00921B8C"/>
    <w:rsid w:val="00942123"/>
    <w:rsid w:val="0095207B"/>
    <w:rsid w:val="00962045"/>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9F4760"/>
    <w:rsid w:val="00A047EE"/>
    <w:rsid w:val="00A151AB"/>
    <w:rsid w:val="00A2274A"/>
    <w:rsid w:val="00A235B7"/>
    <w:rsid w:val="00A27A7A"/>
    <w:rsid w:val="00A34ABE"/>
    <w:rsid w:val="00A37300"/>
    <w:rsid w:val="00A407EF"/>
    <w:rsid w:val="00A40CCE"/>
    <w:rsid w:val="00A46B4C"/>
    <w:rsid w:val="00A5117B"/>
    <w:rsid w:val="00A51F79"/>
    <w:rsid w:val="00A56D34"/>
    <w:rsid w:val="00A60074"/>
    <w:rsid w:val="00A647B8"/>
    <w:rsid w:val="00A6627C"/>
    <w:rsid w:val="00A67F08"/>
    <w:rsid w:val="00A707D0"/>
    <w:rsid w:val="00A71019"/>
    <w:rsid w:val="00A81029"/>
    <w:rsid w:val="00A845F5"/>
    <w:rsid w:val="00A96489"/>
    <w:rsid w:val="00AB2425"/>
    <w:rsid w:val="00AB685C"/>
    <w:rsid w:val="00AB6C2D"/>
    <w:rsid w:val="00AC08F7"/>
    <w:rsid w:val="00AC2807"/>
    <w:rsid w:val="00AC3839"/>
    <w:rsid w:val="00AC7082"/>
    <w:rsid w:val="00AD4BE8"/>
    <w:rsid w:val="00AF228E"/>
    <w:rsid w:val="00B0145F"/>
    <w:rsid w:val="00B016A8"/>
    <w:rsid w:val="00B14819"/>
    <w:rsid w:val="00B15E2F"/>
    <w:rsid w:val="00B17AA9"/>
    <w:rsid w:val="00B27B6F"/>
    <w:rsid w:val="00B44713"/>
    <w:rsid w:val="00B501A0"/>
    <w:rsid w:val="00B51B95"/>
    <w:rsid w:val="00B56103"/>
    <w:rsid w:val="00B5783E"/>
    <w:rsid w:val="00B64929"/>
    <w:rsid w:val="00B736DF"/>
    <w:rsid w:val="00B743D6"/>
    <w:rsid w:val="00B74FBD"/>
    <w:rsid w:val="00B77F46"/>
    <w:rsid w:val="00B82586"/>
    <w:rsid w:val="00B829A3"/>
    <w:rsid w:val="00B86DB1"/>
    <w:rsid w:val="00B87869"/>
    <w:rsid w:val="00B9639B"/>
    <w:rsid w:val="00BA1E4F"/>
    <w:rsid w:val="00BA7163"/>
    <w:rsid w:val="00BA7E39"/>
    <w:rsid w:val="00BB0F2B"/>
    <w:rsid w:val="00BC285B"/>
    <w:rsid w:val="00BE4FF3"/>
    <w:rsid w:val="00BF50F7"/>
    <w:rsid w:val="00C02F29"/>
    <w:rsid w:val="00C045CE"/>
    <w:rsid w:val="00C10B1A"/>
    <w:rsid w:val="00C17718"/>
    <w:rsid w:val="00C20AFE"/>
    <w:rsid w:val="00C216AA"/>
    <w:rsid w:val="00C22A25"/>
    <w:rsid w:val="00C27FAA"/>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63D3"/>
    <w:rsid w:val="00CA7A53"/>
    <w:rsid w:val="00CB1983"/>
    <w:rsid w:val="00CB2CBB"/>
    <w:rsid w:val="00CB79C7"/>
    <w:rsid w:val="00CB7CAC"/>
    <w:rsid w:val="00CC5335"/>
    <w:rsid w:val="00CC5BA4"/>
    <w:rsid w:val="00CD4998"/>
    <w:rsid w:val="00CE1035"/>
    <w:rsid w:val="00CE6E50"/>
    <w:rsid w:val="00CF03DA"/>
    <w:rsid w:val="00CF2819"/>
    <w:rsid w:val="00CF4F9D"/>
    <w:rsid w:val="00CF70DC"/>
    <w:rsid w:val="00D053AA"/>
    <w:rsid w:val="00D13CC2"/>
    <w:rsid w:val="00D148DC"/>
    <w:rsid w:val="00D17FDC"/>
    <w:rsid w:val="00D21D8C"/>
    <w:rsid w:val="00D53719"/>
    <w:rsid w:val="00D61C6D"/>
    <w:rsid w:val="00D63EFD"/>
    <w:rsid w:val="00D649EE"/>
    <w:rsid w:val="00D81796"/>
    <w:rsid w:val="00D84752"/>
    <w:rsid w:val="00D86B3B"/>
    <w:rsid w:val="00D8714D"/>
    <w:rsid w:val="00D8748A"/>
    <w:rsid w:val="00D93196"/>
    <w:rsid w:val="00D97DC4"/>
    <w:rsid w:val="00DA0DC0"/>
    <w:rsid w:val="00DB243C"/>
    <w:rsid w:val="00DB482A"/>
    <w:rsid w:val="00DB50FB"/>
    <w:rsid w:val="00DB56F2"/>
    <w:rsid w:val="00DB6EF5"/>
    <w:rsid w:val="00DC3089"/>
    <w:rsid w:val="00DC4420"/>
    <w:rsid w:val="00DC4A70"/>
    <w:rsid w:val="00DC7F76"/>
    <w:rsid w:val="00DD0802"/>
    <w:rsid w:val="00DD2E11"/>
    <w:rsid w:val="00DE03AF"/>
    <w:rsid w:val="00DE121C"/>
    <w:rsid w:val="00DE6633"/>
    <w:rsid w:val="00DF75F8"/>
    <w:rsid w:val="00DF7A3A"/>
    <w:rsid w:val="00E00C00"/>
    <w:rsid w:val="00E01109"/>
    <w:rsid w:val="00E07C5A"/>
    <w:rsid w:val="00E11924"/>
    <w:rsid w:val="00E15BA9"/>
    <w:rsid w:val="00E26E19"/>
    <w:rsid w:val="00E31DF3"/>
    <w:rsid w:val="00E450A4"/>
    <w:rsid w:val="00E506BE"/>
    <w:rsid w:val="00E55547"/>
    <w:rsid w:val="00E62EA1"/>
    <w:rsid w:val="00E6302B"/>
    <w:rsid w:val="00E6452F"/>
    <w:rsid w:val="00E64F45"/>
    <w:rsid w:val="00E6742D"/>
    <w:rsid w:val="00E71CB0"/>
    <w:rsid w:val="00E77C3D"/>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E4971"/>
    <w:rsid w:val="00EE6CB0"/>
    <w:rsid w:val="00EF090E"/>
    <w:rsid w:val="00EF3312"/>
    <w:rsid w:val="00EF5572"/>
    <w:rsid w:val="00F01639"/>
    <w:rsid w:val="00F033DA"/>
    <w:rsid w:val="00F13691"/>
    <w:rsid w:val="00F13FB1"/>
    <w:rsid w:val="00F21483"/>
    <w:rsid w:val="00F25312"/>
    <w:rsid w:val="00F27CD8"/>
    <w:rsid w:val="00F302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79F0-7171-40F5-A8C2-2AFF0CA3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12</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CHIBELUKA EMMANUEL</cp:lastModifiedBy>
  <cp:revision>17</cp:revision>
  <cp:lastPrinted>2023-07-29T09:18:00Z</cp:lastPrinted>
  <dcterms:created xsi:type="dcterms:W3CDTF">2022-09-16T16:28:00Z</dcterms:created>
  <dcterms:modified xsi:type="dcterms:W3CDTF">2023-07-31T17:26:00Z</dcterms:modified>
</cp:coreProperties>
</file>