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9E1C2A" w:rsidRDefault="00CE0ECD" w:rsidP="00B77B19">
      <w:pPr>
        <w:pStyle w:val="AODocTxt"/>
        <w:numPr>
          <w:ilvl w:val="0"/>
          <w:numId w:val="14"/>
        </w:numPr>
        <w:spacing w:before="0" w:line="240" w:lineRule="auto"/>
        <w:ind w:left="426"/>
        <w:rPr>
          <w:rFonts w:ascii="Avenir Next" w:hAnsi="Avenir Next"/>
          <w:highlight w:val="yellow"/>
        </w:rPr>
      </w:pPr>
      <w:proofErr w:type="gramStart"/>
      <w:r w:rsidRPr="009E1C2A">
        <w:rPr>
          <w:rFonts w:ascii="Avenir Next" w:hAnsi="Avenir Next"/>
          <w:highlight w:val="yellow"/>
        </w:rPr>
        <w:t>All of</w:t>
      </w:r>
      <w:proofErr w:type="gramEnd"/>
      <w:r w:rsidRPr="009E1C2A">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9E1C2A">
        <w:rPr>
          <w:rFonts w:ascii="Avenir Next" w:hAnsi="Avenir Next"/>
          <w:highlight w:val="yellow"/>
        </w:rPr>
        <w:t>(b)</w:t>
      </w:r>
      <w:r w:rsidRPr="009E1C2A">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9E1C2A" w:rsidRDefault="00CE0ECD" w:rsidP="00097D56">
      <w:pPr>
        <w:pStyle w:val="AODocTxt"/>
        <w:numPr>
          <w:ilvl w:val="0"/>
          <w:numId w:val="16"/>
        </w:numPr>
        <w:spacing w:before="0" w:line="240" w:lineRule="auto"/>
        <w:ind w:left="426"/>
        <w:rPr>
          <w:rFonts w:ascii="Avenir Next" w:hAnsi="Avenir Next"/>
          <w:highlight w:val="yellow"/>
        </w:rPr>
      </w:pPr>
      <w:r w:rsidRPr="009E1C2A">
        <w:rPr>
          <w:rFonts w:ascii="Avenir Next" w:hAnsi="Avenir Next"/>
          <w:highlight w:val="yellow"/>
        </w:rPr>
        <w:t xml:space="preserve">A </w:t>
      </w:r>
      <w:r w:rsidR="00D06A30" w:rsidRPr="009E1C2A">
        <w:rPr>
          <w:rFonts w:ascii="Avenir Next" w:hAnsi="Avenir Next"/>
          <w:highlight w:val="yellow"/>
        </w:rPr>
        <w:t>10</w:t>
      </w:r>
      <w:r w:rsidRPr="009E1C2A">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BD39DE" w:rsidRDefault="00CE0ECD" w:rsidP="00A82B32">
      <w:pPr>
        <w:pStyle w:val="AODocTxt"/>
        <w:numPr>
          <w:ilvl w:val="0"/>
          <w:numId w:val="18"/>
        </w:numPr>
        <w:spacing w:before="0" w:line="240" w:lineRule="auto"/>
        <w:ind w:left="426"/>
        <w:rPr>
          <w:rFonts w:ascii="Avenir Next" w:hAnsi="Avenir Next"/>
          <w:highlight w:val="yellow"/>
        </w:rPr>
      </w:pPr>
      <w:r w:rsidRPr="00BD39DE">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lastRenderedPageBreak/>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BD39DE" w:rsidRDefault="00CE0ECD" w:rsidP="00E421C6">
      <w:pPr>
        <w:pStyle w:val="AODocTxt"/>
        <w:numPr>
          <w:ilvl w:val="0"/>
          <w:numId w:val="20"/>
        </w:numPr>
        <w:spacing w:before="0" w:line="240" w:lineRule="auto"/>
        <w:ind w:left="426"/>
        <w:rPr>
          <w:rFonts w:ascii="Avenir Next" w:hAnsi="Avenir Next"/>
          <w:highlight w:val="yellow"/>
        </w:rPr>
      </w:pPr>
      <w:r w:rsidRPr="00BD39DE">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BD39DE" w:rsidRDefault="00CE0ECD" w:rsidP="00E421C6">
      <w:pPr>
        <w:pStyle w:val="AODocTxt"/>
        <w:numPr>
          <w:ilvl w:val="0"/>
          <w:numId w:val="22"/>
        </w:numPr>
        <w:spacing w:before="0" w:line="240" w:lineRule="auto"/>
        <w:ind w:left="426"/>
        <w:rPr>
          <w:rFonts w:ascii="Avenir Next" w:hAnsi="Avenir Next"/>
          <w:highlight w:val="yellow"/>
        </w:rPr>
      </w:pPr>
      <w:r w:rsidRPr="00BD39DE">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BD39DE" w:rsidRDefault="00CE0ECD" w:rsidP="000346E7">
      <w:pPr>
        <w:pStyle w:val="AODocTxt"/>
        <w:numPr>
          <w:ilvl w:val="0"/>
          <w:numId w:val="24"/>
        </w:numPr>
        <w:spacing w:before="0" w:line="240" w:lineRule="auto"/>
        <w:ind w:left="426"/>
        <w:rPr>
          <w:rFonts w:ascii="Avenir Next" w:hAnsi="Avenir Next"/>
          <w:highlight w:val="yellow"/>
        </w:rPr>
      </w:pPr>
      <w:r w:rsidRPr="00BD39DE">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BD39DE" w:rsidRDefault="00CE0ECD" w:rsidP="004830F8">
      <w:pPr>
        <w:pStyle w:val="AODocTxt"/>
        <w:numPr>
          <w:ilvl w:val="0"/>
          <w:numId w:val="26"/>
        </w:numPr>
        <w:spacing w:before="0" w:line="240" w:lineRule="auto"/>
        <w:ind w:left="426"/>
        <w:rPr>
          <w:rFonts w:ascii="Avenir Next" w:hAnsi="Avenir Next"/>
          <w:highlight w:val="yellow"/>
        </w:rPr>
      </w:pPr>
      <w:r w:rsidRPr="00BD39DE">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lastRenderedPageBreak/>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BD39DE" w:rsidRDefault="00CE0ECD" w:rsidP="004830F8">
      <w:pPr>
        <w:pStyle w:val="AODocTxt"/>
        <w:numPr>
          <w:ilvl w:val="0"/>
          <w:numId w:val="28"/>
        </w:numPr>
        <w:spacing w:before="0" w:line="240" w:lineRule="auto"/>
        <w:ind w:left="426"/>
        <w:rPr>
          <w:rFonts w:ascii="Avenir Next" w:hAnsi="Avenir Next"/>
          <w:highlight w:val="yellow"/>
        </w:rPr>
      </w:pPr>
      <w:r w:rsidRPr="00BD39DE">
        <w:rPr>
          <w:rFonts w:ascii="Avenir Next" w:hAnsi="Avenir Next"/>
          <w:highlight w:val="yellow"/>
        </w:rPr>
        <w:t xml:space="preserve">If a creditor can show it extended credit </w:t>
      </w:r>
      <w:proofErr w:type="gramStart"/>
      <w:r w:rsidRPr="00BD39DE">
        <w:rPr>
          <w:rFonts w:ascii="Avenir Next" w:hAnsi="Avenir Next"/>
          <w:highlight w:val="yellow"/>
        </w:rPr>
        <w:t>on the basis of</w:t>
      </w:r>
      <w:proofErr w:type="gramEnd"/>
      <w:r w:rsidRPr="00BD39DE">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BD39DE" w:rsidRDefault="00CE0ECD" w:rsidP="00AA0280">
      <w:pPr>
        <w:pStyle w:val="AODocTxt"/>
        <w:numPr>
          <w:ilvl w:val="0"/>
          <w:numId w:val="30"/>
        </w:numPr>
        <w:spacing w:before="0" w:line="240" w:lineRule="auto"/>
        <w:ind w:left="426"/>
        <w:rPr>
          <w:rFonts w:ascii="Avenir Next" w:hAnsi="Avenir Next"/>
          <w:highlight w:val="yellow"/>
        </w:rPr>
      </w:pPr>
      <w:proofErr w:type="gramStart"/>
      <w:r w:rsidRPr="00BD39DE">
        <w:rPr>
          <w:rFonts w:ascii="Avenir Next" w:hAnsi="Avenir Next"/>
          <w:highlight w:val="yellow"/>
        </w:rPr>
        <w:t>All of</w:t>
      </w:r>
      <w:proofErr w:type="gramEnd"/>
      <w:r w:rsidRPr="00BD39DE">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76532C8B" w14:textId="77777777" w:rsidR="00F0130D" w:rsidRPr="00F0130D" w:rsidRDefault="00F0130D" w:rsidP="00F0130D">
      <w:pPr>
        <w:pStyle w:val="AODocTxt"/>
        <w:rPr>
          <w:rFonts w:ascii="Avenir Next" w:eastAsia="Times New Roman" w:hAnsi="Avenir Next" w:cs="Arial"/>
          <w:color w:val="7B7B7B" w:themeColor="accent3" w:themeShade="BF"/>
          <w:lang w:val="en-GB"/>
        </w:rPr>
      </w:pPr>
      <w:r w:rsidRPr="00F0130D">
        <w:rPr>
          <w:rFonts w:ascii="Avenir Next" w:eastAsia="Times New Roman" w:hAnsi="Avenir Next" w:cs="Arial"/>
          <w:color w:val="7B7B7B" w:themeColor="accent3" w:themeShade="BF"/>
          <w:lang w:val="en-GB"/>
        </w:rPr>
        <w:lastRenderedPageBreak/>
        <w:t xml:space="preserve">Setoff permits a creditor holding a claim against the debtor and simultaneously owing money to the debtor to net out the two (or more) obligations. Because setoff rights can improve the position of the creditor as compared to other unsecured creditors who are not owed money by the debtor because it decreases its obligation to the estate by the full amount owed by the debtor rather than the lesser amount the debtor would pay on the unsecured claim, setoff is not permitted in </w:t>
      </w:r>
      <w:proofErr w:type="gramStart"/>
      <w:r w:rsidRPr="00F0130D">
        <w:rPr>
          <w:rFonts w:ascii="Avenir Next" w:eastAsia="Times New Roman" w:hAnsi="Avenir Next" w:cs="Arial"/>
          <w:color w:val="7B7B7B" w:themeColor="accent3" w:themeShade="BF"/>
          <w:lang w:val="en-GB"/>
        </w:rPr>
        <w:t>a number of</w:t>
      </w:r>
      <w:proofErr w:type="gramEnd"/>
      <w:r w:rsidRPr="00F0130D">
        <w:rPr>
          <w:rFonts w:ascii="Avenir Next" w:eastAsia="Times New Roman" w:hAnsi="Avenir Next" w:cs="Arial"/>
          <w:color w:val="7B7B7B" w:themeColor="accent3" w:themeShade="BF"/>
          <w:lang w:val="en-GB"/>
        </w:rPr>
        <w:t xml:space="preserve"> circumstances:</w:t>
      </w:r>
    </w:p>
    <w:p w14:paraId="6FE0C023" w14:textId="3354FAED" w:rsidR="00F0130D" w:rsidRPr="00F0130D" w:rsidRDefault="00F0130D" w:rsidP="00F0130D">
      <w:pPr>
        <w:pStyle w:val="AODocTxt"/>
        <w:numPr>
          <w:ilvl w:val="0"/>
          <w:numId w:val="33"/>
        </w:numPr>
        <w:rPr>
          <w:rFonts w:ascii="Avenir Next" w:eastAsia="Times New Roman" w:hAnsi="Avenir Next" w:cs="Arial"/>
          <w:color w:val="7B7B7B" w:themeColor="accent3" w:themeShade="BF"/>
          <w:lang w:val="en-GB"/>
        </w:rPr>
      </w:pPr>
      <w:r w:rsidRPr="00F0130D">
        <w:rPr>
          <w:rFonts w:ascii="Avenir Next" w:eastAsia="Times New Roman" w:hAnsi="Avenir Next" w:cs="Arial"/>
          <w:color w:val="7B7B7B" w:themeColor="accent3" w:themeShade="BF"/>
          <w:lang w:val="en-GB"/>
        </w:rPr>
        <w:t xml:space="preserve">the creditor's claim against the estate is </w:t>
      </w:r>
      <w:proofErr w:type="gramStart"/>
      <w:r w:rsidRPr="00F0130D">
        <w:rPr>
          <w:rFonts w:ascii="Avenir Next" w:eastAsia="Times New Roman" w:hAnsi="Avenir Next" w:cs="Arial"/>
          <w:color w:val="7B7B7B" w:themeColor="accent3" w:themeShade="BF"/>
          <w:lang w:val="en-GB"/>
        </w:rPr>
        <w:t>disallowed;</w:t>
      </w:r>
      <w:proofErr w:type="gramEnd"/>
    </w:p>
    <w:p w14:paraId="1C37F16F" w14:textId="6D392529" w:rsidR="00F0130D" w:rsidRPr="00F0130D" w:rsidRDefault="00F0130D" w:rsidP="00F0130D">
      <w:pPr>
        <w:pStyle w:val="AODocTxt"/>
        <w:numPr>
          <w:ilvl w:val="0"/>
          <w:numId w:val="33"/>
        </w:numPr>
        <w:rPr>
          <w:rFonts w:ascii="Avenir Next" w:eastAsia="Times New Roman" w:hAnsi="Avenir Next" w:cs="Arial"/>
          <w:color w:val="7B7B7B" w:themeColor="accent3" w:themeShade="BF"/>
          <w:lang w:val="en-GB"/>
        </w:rPr>
      </w:pPr>
      <w:r w:rsidRPr="00F0130D">
        <w:rPr>
          <w:rFonts w:ascii="Avenir Next" w:eastAsia="Times New Roman" w:hAnsi="Avenir Next" w:cs="Arial"/>
          <w:color w:val="7B7B7B" w:themeColor="accent3" w:themeShade="BF"/>
          <w:lang w:val="en-GB"/>
        </w:rPr>
        <w:t xml:space="preserve">the creditor's claim against the estate was acquired post-petition or in the 90 days prior to the petition at a time when the debtor was insolvent: </w:t>
      </w:r>
      <w:proofErr w:type="gramStart"/>
      <w:r w:rsidRPr="00F0130D">
        <w:rPr>
          <w:rFonts w:ascii="Avenir Next" w:eastAsia="Times New Roman" w:hAnsi="Avenir Next" w:cs="Arial"/>
          <w:color w:val="7B7B7B" w:themeColor="accent3" w:themeShade="BF"/>
          <w:lang w:val="en-GB"/>
        </w:rPr>
        <w:t>179</w:t>
      </w:r>
      <w:proofErr w:type="gramEnd"/>
    </w:p>
    <w:p w14:paraId="1B04C020" w14:textId="44538889" w:rsidR="00E41578" w:rsidRDefault="00F0130D" w:rsidP="00F0130D">
      <w:pPr>
        <w:pStyle w:val="AODocTxt"/>
        <w:numPr>
          <w:ilvl w:val="0"/>
          <w:numId w:val="33"/>
        </w:numPr>
        <w:spacing w:before="0" w:line="240" w:lineRule="auto"/>
        <w:rPr>
          <w:rFonts w:ascii="Avenir Next" w:eastAsia="Times New Roman" w:hAnsi="Avenir Next" w:cs="Arial"/>
          <w:color w:val="7B7B7B" w:themeColor="accent3" w:themeShade="BF"/>
          <w:lang w:val="en-GB"/>
        </w:rPr>
      </w:pPr>
      <w:r w:rsidRPr="00F0130D">
        <w:rPr>
          <w:rFonts w:ascii="Avenir Next" w:eastAsia="Times New Roman" w:hAnsi="Avenir Next" w:cs="Arial"/>
          <w:color w:val="7B7B7B" w:themeColor="accent3" w:themeShade="BF"/>
          <w:lang w:val="en-GB"/>
        </w:rPr>
        <w:t xml:space="preserve">the creditor's obligation to the debtor was incurred in the 90 days prior to the petition at a time when the debtor was insolvent for the purposes of exercising setoff </w:t>
      </w:r>
      <w:proofErr w:type="gramStart"/>
      <w:r w:rsidRPr="00F0130D">
        <w:rPr>
          <w:rFonts w:ascii="Avenir Next" w:eastAsia="Times New Roman" w:hAnsi="Avenir Next" w:cs="Arial"/>
          <w:color w:val="7B7B7B" w:themeColor="accent3" w:themeShade="BF"/>
          <w:lang w:val="en-GB"/>
        </w:rPr>
        <w:t>rights;</w:t>
      </w:r>
      <w:proofErr w:type="gramEnd"/>
    </w:p>
    <w:p w14:paraId="2D0A63CB" w14:textId="2F241689" w:rsidR="00F0130D" w:rsidRPr="00F0130D" w:rsidRDefault="00F0130D" w:rsidP="00F0130D">
      <w:pPr>
        <w:pStyle w:val="AODocTxt"/>
        <w:numPr>
          <w:ilvl w:val="0"/>
          <w:numId w:val="33"/>
        </w:numPr>
        <w:rPr>
          <w:rFonts w:ascii="Avenir Next" w:eastAsia="Times New Roman" w:hAnsi="Avenir Next" w:cs="Arial"/>
          <w:color w:val="7B7B7B" w:themeColor="accent3" w:themeShade="BF"/>
          <w:lang w:val="en-GB"/>
        </w:rPr>
      </w:pPr>
      <w:r w:rsidRPr="00F0130D">
        <w:rPr>
          <w:rFonts w:ascii="Avenir Next" w:eastAsia="Times New Roman" w:hAnsi="Avenir Next" w:cs="Arial"/>
          <w:color w:val="7B7B7B" w:themeColor="accent3" w:themeShade="BF"/>
          <w:lang w:val="en-GB"/>
        </w:rPr>
        <w:t>the creditor improves its position by setoff as compared to its position had setoff been exercised 90 days prior to the petition.</w:t>
      </w:r>
    </w:p>
    <w:p w14:paraId="792D9253" w14:textId="77777777" w:rsidR="00F0130D" w:rsidRDefault="00F0130D" w:rsidP="00F0130D">
      <w:pPr>
        <w:pStyle w:val="AODocTxt"/>
        <w:spacing w:before="0" w:line="240" w:lineRule="auto"/>
        <w:rPr>
          <w:rFonts w:ascii="Arial" w:hAnsi="Arial" w:cs="Arial"/>
        </w:rPr>
      </w:pPr>
    </w:p>
    <w:p w14:paraId="72EE4DB2" w14:textId="79BFE572" w:rsidR="00F0130D" w:rsidRPr="00F0130D" w:rsidRDefault="00F0130D" w:rsidP="00F0130D">
      <w:pPr>
        <w:pStyle w:val="AODocTxt"/>
        <w:spacing w:before="0" w:line="240" w:lineRule="auto"/>
        <w:rPr>
          <w:rFonts w:ascii="Avenir Next" w:eastAsia="Times New Roman" w:hAnsi="Avenir Next" w:cs="Arial"/>
          <w:color w:val="7B7B7B" w:themeColor="accent3" w:themeShade="BF"/>
          <w:lang w:val="en-GB"/>
        </w:rPr>
      </w:pPr>
      <w:proofErr w:type="gramStart"/>
      <w:r w:rsidRPr="00F0130D">
        <w:rPr>
          <w:rFonts w:ascii="Avenir Next" w:eastAsia="Times New Roman" w:hAnsi="Avenir Next" w:cs="Arial"/>
          <w:color w:val="7B7B7B" w:themeColor="accent3" w:themeShade="BF"/>
          <w:lang w:val="en-GB"/>
        </w:rPr>
        <w:t>A number of</w:t>
      </w:r>
      <w:proofErr w:type="gramEnd"/>
      <w:r w:rsidRPr="00F0130D">
        <w:rPr>
          <w:rFonts w:ascii="Avenir Next" w:eastAsia="Times New Roman" w:hAnsi="Avenir Next" w:cs="Arial"/>
          <w:color w:val="7B7B7B" w:themeColor="accent3" w:themeShade="BF"/>
          <w:lang w:val="en-GB"/>
        </w:rPr>
        <w:t xml:space="preserve"> transactions are, however, exempted from these restrictions on setoff, most importantly commodity, forward, security, repurchase, swap, and master netting contracts.</w:t>
      </w:r>
    </w:p>
    <w:p w14:paraId="77CE8CF3" w14:textId="77777777" w:rsidR="00F0130D" w:rsidRPr="00323167" w:rsidRDefault="00F0130D" w:rsidP="00F0130D">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4EC1CD7D" w14:textId="3B72F0B0" w:rsidR="00622C36" w:rsidRDefault="003642C8" w:rsidP="00622C36">
      <w:pPr>
        <w:pStyle w:val="AODocTxt"/>
        <w:spacing w:before="0" w:line="240" w:lineRule="auto"/>
        <w:rPr>
          <w:rFonts w:ascii="Avenir Next" w:hAnsi="Avenir Next"/>
        </w:rPr>
      </w:pPr>
      <w:r w:rsidRPr="003642C8">
        <w:rPr>
          <w:rFonts w:ascii="Avenir Next" w:eastAsia="Times New Roman" w:hAnsi="Avenir Next" w:cs="Arial"/>
          <w:color w:val="7B7B7B" w:themeColor="accent3" w:themeShade="BF"/>
          <w:lang w:val="en-GB"/>
        </w:rPr>
        <w:t xml:space="preserve">The debtor must file, together with a voluntary petition or on a date specified by the court, </w:t>
      </w:r>
      <w:proofErr w:type="gramStart"/>
      <w:r w:rsidRPr="003642C8">
        <w:rPr>
          <w:rFonts w:ascii="Avenir Next" w:eastAsia="Times New Roman" w:hAnsi="Avenir Next" w:cs="Arial"/>
          <w:color w:val="7B7B7B" w:themeColor="accent3" w:themeShade="BF"/>
          <w:lang w:val="en-GB"/>
        </w:rPr>
        <w:t>a number of</w:t>
      </w:r>
      <w:proofErr w:type="gramEnd"/>
      <w:r w:rsidRPr="003642C8">
        <w:rPr>
          <w:rFonts w:ascii="Avenir Next" w:eastAsia="Times New Roman" w:hAnsi="Avenir Next" w:cs="Arial"/>
          <w:color w:val="7B7B7B" w:themeColor="accent3" w:themeShade="BF"/>
          <w:lang w:val="en-GB"/>
        </w:rPr>
        <w:t xml:space="preserve"> schedules disclosing its assets, including all property, executory contracts</w:t>
      </w:r>
      <w:r>
        <w:rPr>
          <w:rFonts w:ascii="Avenir Next" w:eastAsia="Times New Roman" w:hAnsi="Avenir Next" w:cs="Arial"/>
          <w:color w:val="7B7B7B" w:themeColor="accent3" w:themeShade="BF"/>
          <w:lang w:val="en-GB"/>
        </w:rPr>
        <w:t>,</w:t>
      </w:r>
      <w:r w:rsidRPr="003642C8">
        <w:rPr>
          <w:rFonts w:ascii="Avenir Next" w:eastAsia="Times New Roman" w:hAnsi="Avenir Next" w:cs="Arial"/>
          <w:color w:val="7B7B7B" w:themeColor="accent3" w:themeShade="BF"/>
          <w:lang w:val="en-GB"/>
        </w:rPr>
        <w:t xml:space="preserve"> and unexpired leases of real and personal property, and its liabilities, including identifying its secured and 20 largest unsecured claims. These schedules are electronically filed on the docket of the proceedings and therefore are publicly available. The social security numbers of individual persons and names of minors must be redacted, but other redactions or filing under seal are granted only by leave of court and subject to limitations due to the presumption that the public should be permitted to access information about pending legal proceedings. Debtors preparing for a voluntary filing should consider whether such disclosures may violate contractual or other confidentiality obligations, including under foreign data privacy law, and confer with the US Trustee about appropriate measures. The US Trustee will strongly oppose any sealing request that would prevent it from soliciting creditors to constitute the Committee of Unsecured Creditors.</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3092543B" w:rsidR="003A5537" w:rsidRDefault="003642C8" w:rsidP="00622C36">
      <w:pPr>
        <w:pStyle w:val="AODocTxt"/>
        <w:spacing w:before="0" w:line="240" w:lineRule="auto"/>
        <w:rPr>
          <w:rFonts w:ascii="Avenir Next" w:hAnsi="Avenir Next"/>
        </w:rPr>
      </w:pPr>
      <w:r w:rsidRPr="003642C8">
        <w:rPr>
          <w:rFonts w:ascii="Avenir Next" w:eastAsia="Times New Roman" w:hAnsi="Avenir Next" w:cs="Arial"/>
          <w:color w:val="7B7B7B" w:themeColor="accent3" w:themeShade="BF"/>
          <w:lang w:val="en-GB"/>
        </w:rPr>
        <w:t>The absolute priority rule requires that payment in full must be made to each category of claims before the next category receives anything. In a chapter 11 plan, deviation from the absolute priority rule is permitted with the consent of affected creditors, but deviation is not permitted in chapter 7, where the statutory priorities must be strictly followed.</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719A144F" w14:textId="77777777" w:rsidR="00581570" w:rsidRPr="00581570" w:rsidRDefault="00581570" w:rsidP="00581570">
      <w:pPr>
        <w:pStyle w:val="AODocTxt"/>
        <w:rPr>
          <w:rFonts w:ascii="Avenir Next" w:eastAsia="Times New Roman" w:hAnsi="Avenir Next" w:cs="Arial"/>
          <w:color w:val="7B7B7B" w:themeColor="accent3" w:themeShade="BF"/>
          <w:lang w:val="en-GB"/>
        </w:rPr>
      </w:pPr>
      <w:r w:rsidRPr="00581570">
        <w:rPr>
          <w:rFonts w:ascii="Avenir Next" w:eastAsia="Times New Roman" w:hAnsi="Avenir Next" w:cs="Arial"/>
          <w:color w:val="7B7B7B" w:themeColor="accent3" w:themeShade="BF"/>
          <w:lang w:val="en-GB"/>
        </w:rPr>
        <w:t>If financing cannot be obtained on any other terms, the court may grant a priming lien that is senior or equal to a pre-petition lien on estate property to secure post-petition financing.</w:t>
      </w:r>
    </w:p>
    <w:p w14:paraId="1364BE08" w14:textId="62B8DD10" w:rsidR="00581570" w:rsidRPr="00581570" w:rsidRDefault="00581570" w:rsidP="00581570">
      <w:pPr>
        <w:pStyle w:val="AODocTxt"/>
        <w:spacing w:before="0" w:line="240" w:lineRule="auto"/>
        <w:rPr>
          <w:rFonts w:ascii="Avenir Next" w:eastAsia="Times New Roman" w:hAnsi="Avenir Next" w:cs="Arial"/>
          <w:color w:val="7B7B7B" w:themeColor="accent3" w:themeShade="BF"/>
          <w:lang w:val="en-GB"/>
        </w:rPr>
      </w:pPr>
      <w:r w:rsidRPr="00581570">
        <w:rPr>
          <w:rFonts w:ascii="Avenir Next" w:eastAsia="Times New Roman" w:hAnsi="Avenir Next" w:cs="Arial"/>
          <w:color w:val="7B7B7B" w:themeColor="accent3" w:themeShade="BF"/>
          <w:lang w:val="en-GB"/>
        </w:rPr>
        <w:t>The debtor also must demonstrate that the interest of the secured creditor being primed is adequately protected.</w:t>
      </w:r>
    </w:p>
    <w:p w14:paraId="48A5FE57" w14:textId="59982B2C" w:rsidR="00E41578" w:rsidRPr="00581570" w:rsidRDefault="00581570" w:rsidP="00581570">
      <w:pPr>
        <w:pStyle w:val="AODocTxt"/>
        <w:rPr>
          <w:rFonts w:ascii="Avenir Next" w:eastAsia="Times New Roman" w:hAnsi="Avenir Next" w:cs="Arial"/>
          <w:color w:val="7B7B7B" w:themeColor="accent3" w:themeShade="BF"/>
          <w:lang w:val="en-GB"/>
        </w:rPr>
      </w:pPr>
      <w:r w:rsidRPr="00581570">
        <w:rPr>
          <w:rFonts w:ascii="Avenir Next" w:eastAsia="Times New Roman" w:hAnsi="Avenir Next" w:cs="Arial"/>
          <w:color w:val="7B7B7B" w:themeColor="accent3" w:themeShade="BF"/>
          <w:lang w:val="en-GB"/>
        </w:rPr>
        <w:t>These ‘other terms’ includes:</w:t>
      </w:r>
    </w:p>
    <w:p w14:paraId="44EC7779" w14:textId="77777777" w:rsidR="00581570" w:rsidRPr="00581570" w:rsidRDefault="00581570" w:rsidP="00581570">
      <w:pPr>
        <w:pStyle w:val="AODocTxt"/>
        <w:rPr>
          <w:rFonts w:ascii="Avenir Next" w:eastAsia="Times New Roman" w:hAnsi="Avenir Next" w:cs="Arial"/>
          <w:color w:val="7B7B7B" w:themeColor="accent3" w:themeShade="BF"/>
          <w:lang w:val="en-GB"/>
        </w:rPr>
      </w:pPr>
      <w:r w:rsidRPr="00581570">
        <w:rPr>
          <w:rFonts w:ascii="Avenir Next" w:eastAsia="Times New Roman" w:hAnsi="Avenir Next" w:cs="Arial"/>
          <w:color w:val="7B7B7B" w:themeColor="accent3" w:themeShade="BF"/>
          <w:lang w:val="en-GB"/>
        </w:rPr>
        <w:t>(a) The debtor in possession can incur unsecured debt or obtain unsecured credit (for example, from suppliers) in the ordinary course of business without court approval, with the debt being granted administrative priority expense (whereas, had it been incurred pre-petition, it would be only a general unsecured claim).</w:t>
      </w:r>
    </w:p>
    <w:p w14:paraId="3EB02EA1" w14:textId="77777777" w:rsidR="00581570" w:rsidRPr="00581570" w:rsidRDefault="00581570" w:rsidP="00581570">
      <w:pPr>
        <w:pStyle w:val="AODocTxt"/>
        <w:rPr>
          <w:rFonts w:ascii="Avenir Next" w:eastAsia="Times New Roman" w:hAnsi="Avenir Next" w:cs="Arial"/>
          <w:color w:val="7B7B7B" w:themeColor="accent3" w:themeShade="BF"/>
          <w:lang w:val="en-GB"/>
        </w:rPr>
      </w:pPr>
      <w:r w:rsidRPr="00581570">
        <w:rPr>
          <w:rFonts w:ascii="Avenir Next" w:eastAsia="Times New Roman" w:hAnsi="Avenir Next" w:cs="Arial"/>
          <w:color w:val="7B7B7B" w:themeColor="accent3" w:themeShade="BF"/>
          <w:lang w:val="en-GB"/>
        </w:rPr>
        <w:t>(b) The debtor in possession can incur unsecured debt or obtain unsecured credit outside the ordinary course of business with court approval after notice and a hearing, with the debt again having administrative expense priority.</w:t>
      </w:r>
    </w:p>
    <w:p w14:paraId="10DD18F7" w14:textId="77777777" w:rsidR="00581570" w:rsidRPr="00581570" w:rsidRDefault="00581570" w:rsidP="00581570">
      <w:pPr>
        <w:pStyle w:val="AODocTxt"/>
        <w:rPr>
          <w:rFonts w:ascii="Avenir Next" w:eastAsia="Times New Roman" w:hAnsi="Avenir Next" w:cs="Arial"/>
          <w:color w:val="7B7B7B" w:themeColor="accent3" w:themeShade="BF"/>
          <w:lang w:val="en-GB"/>
        </w:rPr>
      </w:pPr>
      <w:r w:rsidRPr="00581570">
        <w:rPr>
          <w:rFonts w:ascii="Avenir Next" w:eastAsia="Times New Roman" w:hAnsi="Avenir Next" w:cs="Arial"/>
          <w:color w:val="7B7B7B" w:themeColor="accent3" w:themeShade="BF"/>
          <w:lang w:val="en-GB"/>
        </w:rPr>
        <w:t>(c) Upon a showing that the debtor has been unable to secure sufficient funding under (a) or (b), the court can authorize one of the following, after notice and a hearing:</w:t>
      </w:r>
    </w:p>
    <w:p w14:paraId="0D13877D" w14:textId="77777777" w:rsidR="00581570" w:rsidRPr="00581570" w:rsidRDefault="00581570" w:rsidP="00581570">
      <w:pPr>
        <w:pStyle w:val="AODocTxt"/>
        <w:ind w:left="720"/>
        <w:rPr>
          <w:rFonts w:ascii="Avenir Next" w:eastAsia="Times New Roman" w:hAnsi="Avenir Next" w:cs="Arial"/>
          <w:color w:val="7B7B7B" w:themeColor="accent3" w:themeShade="BF"/>
          <w:lang w:val="en-GB"/>
        </w:rPr>
      </w:pPr>
      <w:r w:rsidRPr="00581570">
        <w:rPr>
          <w:rFonts w:ascii="Avenir Next" w:eastAsia="Times New Roman" w:hAnsi="Avenir Next" w:cs="Arial"/>
          <w:color w:val="7B7B7B" w:themeColor="accent3" w:themeShade="BF"/>
          <w:lang w:val="en-GB"/>
        </w:rPr>
        <w:t xml:space="preserve">(1) unsecured debt having priority ahead of all other administrative </w:t>
      </w:r>
      <w:proofErr w:type="gramStart"/>
      <w:r w:rsidRPr="00581570">
        <w:rPr>
          <w:rFonts w:ascii="Avenir Next" w:eastAsia="Times New Roman" w:hAnsi="Avenir Next" w:cs="Arial"/>
          <w:color w:val="7B7B7B" w:themeColor="accent3" w:themeShade="BF"/>
          <w:lang w:val="en-GB"/>
        </w:rPr>
        <w:t>expenses;</w:t>
      </w:r>
      <w:proofErr w:type="gramEnd"/>
    </w:p>
    <w:p w14:paraId="41416C06" w14:textId="77777777" w:rsidR="00581570" w:rsidRPr="00581570" w:rsidRDefault="00581570" w:rsidP="00581570">
      <w:pPr>
        <w:pStyle w:val="AODocTxt"/>
        <w:ind w:left="720"/>
        <w:rPr>
          <w:rFonts w:ascii="Avenir Next" w:eastAsia="Times New Roman" w:hAnsi="Avenir Next" w:cs="Arial"/>
          <w:color w:val="7B7B7B" w:themeColor="accent3" w:themeShade="BF"/>
          <w:lang w:val="en-GB"/>
        </w:rPr>
      </w:pPr>
      <w:r w:rsidRPr="00581570">
        <w:rPr>
          <w:rFonts w:ascii="Avenir Next" w:eastAsia="Times New Roman" w:hAnsi="Avenir Next" w:cs="Arial"/>
          <w:color w:val="7B7B7B" w:themeColor="accent3" w:themeShade="BF"/>
          <w:lang w:val="en-GB"/>
        </w:rPr>
        <w:t xml:space="preserve">(2) secured debt with a lien on unencumbered estate </w:t>
      </w:r>
      <w:proofErr w:type="gramStart"/>
      <w:r w:rsidRPr="00581570">
        <w:rPr>
          <w:rFonts w:ascii="Avenir Next" w:eastAsia="Times New Roman" w:hAnsi="Avenir Next" w:cs="Arial"/>
          <w:color w:val="7B7B7B" w:themeColor="accent3" w:themeShade="BF"/>
          <w:lang w:val="en-GB"/>
        </w:rPr>
        <w:t>property;</w:t>
      </w:r>
      <w:proofErr w:type="gramEnd"/>
    </w:p>
    <w:p w14:paraId="05DA0311" w14:textId="1FFDB296" w:rsidR="00581570" w:rsidRPr="00581570" w:rsidRDefault="00581570" w:rsidP="00581570">
      <w:pPr>
        <w:pStyle w:val="AODocTxt"/>
        <w:ind w:left="720"/>
        <w:rPr>
          <w:rFonts w:ascii="Avenir Next" w:eastAsia="Times New Roman" w:hAnsi="Avenir Next" w:cs="Arial"/>
          <w:color w:val="7B7B7B" w:themeColor="accent3" w:themeShade="BF"/>
          <w:lang w:val="en-GB"/>
        </w:rPr>
      </w:pPr>
      <w:r w:rsidRPr="00581570">
        <w:rPr>
          <w:rFonts w:ascii="Avenir Next" w:eastAsia="Times New Roman" w:hAnsi="Avenir Next" w:cs="Arial"/>
          <w:color w:val="7B7B7B" w:themeColor="accent3" w:themeShade="BF"/>
          <w:lang w:val="en-GB"/>
        </w:rPr>
        <w:t xml:space="preserve">(3) secured debt with a </w:t>
      </w:r>
      <w:r>
        <w:rPr>
          <w:rFonts w:ascii="Avenir Next" w:eastAsia="Times New Roman" w:hAnsi="Avenir Next" w:cs="Arial"/>
          <w:color w:val="7B7B7B" w:themeColor="accent3" w:themeShade="BF"/>
          <w:lang w:val="en-GB"/>
        </w:rPr>
        <w:t>j</w:t>
      </w:r>
      <w:r w:rsidRPr="00581570">
        <w:rPr>
          <w:rFonts w:ascii="Avenir Next" w:eastAsia="Times New Roman" w:hAnsi="Avenir Next" w:cs="Arial"/>
          <w:color w:val="7B7B7B" w:themeColor="accent3" w:themeShade="BF"/>
          <w:lang w:val="en-GB"/>
        </w:rPr>
        <w:t xml:space="preserve">unior lien on encumbered estate </w:t>
      </w:r>
      <w:r>
        <w:rPr>
          <w:rFonts w:ascii="Avenir Next" w:eastAsia="Times New Roman" w:hAnsi="Avenir Next" w:cs="Arial"/>
          <w:color w:val="7B7B7B" w:themeColor="accent3" w:themeShade="BF"/>
          <w:lang w:val="en-GB"/>
        </w:rPr>
        <w:t>property</w:t>
      </w:r>
      <w:r w:rsidRPr="00581570">
        <w:rPr>
          <w:rFonts w:ascii="Avenir Next" w:eastAsia="Times New Roman" w:hAnsi="Avenir Next" w:cs="Arial"/>
          <w:color w:val="7B7B7B" w:themeColor="accent3" w:themeShade="BF"/>
          <w:lang w:val="en-GB"/>
        </w:rPr>
        <w:t>.</w:t>
      </w:r>
    </w:p>
    <w:p w14:paraId="5655D206" w14:textId="77777777" w:rsidR="00581570" w:rsidRDefault="00581570" w:rsidP="00581570">
      <w:pPr>
        <w:pStyle w:val="AODocTxt"/>
        <w:spacing w:before="0" w:line="240" w:lineRule="auto"/>
        <w:rPr>
          <w:rFonts w:ascii="Avenir Next" w:hAnsi="Avenir Next"/>
        </w:rPr>
      </w:pPr>
    </w:p>
    <w:p w14:paraId="4D1AB1F0" w14:textId="77777777" w:rsidR="00581570" w:rsidRPr="00622C36" w:rsidRDefault="00581570" w:rsidP="00581570">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2F1E0BB" w14:textId="77777777" w:rsidR="009A49B7" w:rsidRDefault="009A49B7" w:rsidP="00E41578">
      <w:pPr>
        <w:jc w:val="both"/>
        <w:rPr>
          <w:rFonts w:ascii="Avenir Next" w:hAnsi="Avenir Next" w:cs="Arial"/>
          <w:color w:val="7B7B7B" w:themeColor="accent3" w:themeShade="BF"/>
          <w:sz w:val="22"/>
          <w:szCs w:val="22"/>
          <w:lang w:val="en-GB"/>
        </w:rPr>
      </w:pPr>
      <w:r w:rsidRPr="009A49B7">
        <w:rPr>
          <w:rFonts w:ascii="Avenir Next" w:hAnsi="Avenir Next" w:cs="Arial"/>
          <w:color w:val="7B7B7B" w:themeColor="accent3" w:themeShade="BF"/>
          <w:sz w:val="22"/>
          <w:szCs w:val="22"/>
          <w:lang w:val="en-GB"/>
        </w:rPr>
        <w:t xml:space="preserve">A preference is a transfer of the debtor's property made in a suspect period before the petition date that must be returned to the estate if it exceeds the amount the recipient would have received in a chapter 7 liquidation had the transfer not been made. </w:t>
      </w:r>
    </w:p>
    <w:p w14:paraId="7DE1CF9A" w14:textId="77777777" w:rsidR="009A49B7" w:rsidRDefault="009A49B7" w:rsidP="00E41578">
      <w:pPr>
        <w:jc w:val="both"/>
        <w:rPr>
          <w:rFonts w:ascii="Avenir Next" w:hAnsi="Avenir Next" w:cs="Arial"/>
          <w:color w:val="7B7B7B" w:themeColor="accent3" w:themeShade="BF"/>
          <w:sz w:val="22"/>
          <w:szCs w:val="22"/>
          <w:lang w:val="en-GB"/>
        </w:rPr>
      </w:pPr>
    </w:p>
    <w:p w14:paraId="3CA3921C" w14:textId="77777777" w:rsidR="009A49B7" w:rsidRDefault="009A49B7" w:rsidP="00E41578">
      <w:pPr>
        <w:jc w:val="both"/>
        <w:rPr>
          <w:rFonts w:ascii="Avenir Next" w:hAnsi="Avenir Next" w:cs="Arial"/>
          <w:color w:val="7B7B7B" w:themeColor="accent3" w:themeShade="BF"/>
          <w:sz w:val="22"/>
          <w:szCs w:val="22"/>
          <w:lang w:val="en-GB"/>
        </w:rPr>
      </w:pPr>
      <w:r w:rsidRPr="009A49B7">
        <w:rPr>
          <w:rFonts w:ascii="Avenir Next" w:hAnsi="Avenir Next" w:cs="Arial"/>
          <w:color w:val="7B7B7B" w:themeColor="accent3" w:themeShade="BF"/>
          <w:sz w:val="22"/>
          <w:szCs w:val="22"/>
          <w:lang w:val="en-GB"/>
        </w:rPr>
        <w:t>Importantly, there is no need to show any fault of either the debtor or the recipient in connection with the pa</w:t>
      </w:r>
      <w:r>
        <w:rPr>
          <w:rFonts w:ascii="Avenir Next" w:hAnsi="Avenir Next" w:cs="Arial"/>
          <w:color w:val="7B7B7B" w:themeColor="accent3" w:themeShade="BF"/>
          <w:sz w:val="22"/>
          <w:szCs w:val="22"/>
          <w:lang w:val="en-GB"/>
        </w:rPr>
        <w:t>y</w:t>
      </w:r>
      <w:r w:rsidRPr="009A49B7">
        <w:rPr>
          <w:rFonts w:ascii="Avenir Next" w:hAnsi="Avenir Next" w:cs="Arial"/>
          <w:color w:val="7B7B7B" w:themeColor="accent3" w:themeShade="BF"/>
          <w:sz w:val="22"/>
          <w:szCs w:val="22"/>
          <w:lang w:val="en-GB"/>
        </w:rPr>
        <w:t xml:space="preserve">ment having been made, and the recipient creditor suffers no penalty other than return of the transfer (and, potentially, prejudgment interest from the date of the transfer). </w:t>
      </w:r>
    </w:p>
    <w:p w14:paraId="45E21B64" w14:textId="77777777" w:rsidR="009A49B7" w:rsidRDefault="009A49B7" w:rsidP="00E41578">
      <w:pPr>
        <w:jc w:val="both"/>
        <w:rPr>
          <w:rFonts w:ascii="Avenir Next" w:hAnsi="Avenir Next" w:cs="Arial"/>
          <w:color w:val="7B7B7B" w:themeColor="accent3" w:themeShade="BF"/>
          <w:sz w:val="22"/>
          <w:szCs w:val="22"/>
          <w:lang w:val="en-GB"/>
        </w:rPr>
      </w:pPr>
    </w:p>
    <w:p w14:paraId="6D0BD3A7" w14:textId="77777777" w:rsidR="009A49B7" w:rsidRPr="009A49B7" w:rsidRDefault="009A49B7" w:rsidP="009A49B7">
      <w:pPr>
        <w:jc w:val="both"/>
        <w:rPr>
          <w:rFonts w:ascii="Avenir Next" w:hAnsi="Avenir Next" w:cs="Arial"/>
          <w:color w:val="7B7B7B" w:themeColor="accent3" w:themeShade="BF"/>
          <w:sz w:val="22"/>
          <w:szCs w:val="22"/>
          <w:lang w:val="en-GB"/>
        </w:rPr>
      </w:pPr>
      <w:r w:rsidRPr="009A49B7">
        <w:rPr>
          <w:rFonts w:ascii="Avenir Next" w:hAnsi="Avenir Next" w:cs="Arial"/>
          <w:color w:val="7B7B7B" w:themeColor="accent3" w:themeShade="BF"/>
          <w:sz w:val="22"/>
          <w:szCs w:val="22"/>
          <w:lang w:val="en-GB"/>
        </w:rPr>
        <w:t>The elements of a preference claim are:</w:t>
      </w:r>
    </w:p>
    <w:p w14:paraId="19DBD6B4" w14:textId="1531E2E6" w:rsidR="009A49B7" w:rsidRPr="009A49B7" w:rsidRDefault="009A49B7" w:rsidP="009A49B7">
      <w:pPr>
        <w:pStyle w:val="ListParagraph"/>
        <w:numPr>
          <w:ilvl w:val="0"/>
          <w:numId w:val="35"/>
        </w:numPr>
        <w:jc w:val="both"/>
        <w:rPr>
          <w:rFonts w:ascii="Avenir Next" w:hAnsi="Avenir Next" w:cs="Arial"/>
          <w:color w:val="7B7B7B" w:themeColor="accent3" w:themeShade="BF"/>
          <w:sz w:val="22"/>
          <w:szCs w:val="22"/>
          <w:lang w:val="en-GB"/>
        </w:rPr>
      </w:pPr>
      <w:r w:rsidRPr="009A49B7">
        <w:rPr>
          <w:rFonts w:ascii="Avenir Next" w:hAnsi="Avenir Next" w:cs="Arial"/>
          <w:color w:val="7B7B7B" w:themeColor="accent3" w:themeShade="BF"/>
          <w:sz w:val="22"/>
          <w:szCs w:val="22"/>
          <w:lang w:val="en-GB"/>
        </w:rPr>
        <w:lastRenderedPageBreak/>
        <w:t>A transfer of an interest of the debtor in property.</w:t>
      </w:r>
      <w:r w:rsidRPr="009A49B7">
        <w:rPr>
          <w:rFonts w:ascii="Avenir Next" w:hAnsi="Avenir Next" w:cs="Arial"/>
          <w:color w:val="7B7B7B" w:themeColor="accent3" w:themeShade="BF"/>
          <w:sz w:val="22"/>
          <w:szCs w:val="22"/>
          <w:lang w:val="en-GB"/>
        </w:rPr>
        <w:t xml:space="preserve"> </w:t>
      </w:r>
      <w:r w:rsidRPr="009A49B7">
        <w:rPr>
          <w:rFonts w:ascii="Avenir Next" w:hAnsi="Avenir Next" w:cs="Arial"/>
          <w:color w:val="7B7B7B" w:themeColor="accent3" w:themeShade="BF"/>
          <w:sz w:val="22"/>
          <w:szCs w:val="22"/>
          <w:lang w:val="en-GB"/>
        </w:rPr>
        <w:t xml:space="preserve">The transfer may be of funds, </w:t>
      </w:r>
      <w:proofErr w:type="gramStart"/>
      <w:r w:rsidRPr="009A49B7">
        <w:rPr>
          <w:rFonts w:ascii="Avenir Next" w:hAnsi="Avenir Next" w:cs="Arial"/>
          <w:color w:val="7B7B7B" w:themeColor="accent3" w:themeShade="BF"/>
          <w:sz w:val="22"/>
          <w:szCs w:val="22"/>
          <w:lang w:val="en-GB"/>
        </w:rPr>
        <w:t>property</w:t>
      </w:r>
      <w:proofErr w:type="gramEnd"/>
      <w:r w:rsidRPr="009A49B7">
        <w:rPr>
          <w:rFonts w:ascii="Avenir Next" w:hAnsi="Avenir Next" w:cs="Arial"/>
          <w:color w:val="7B7B7B" w:themeColor="accent3" w:themeShade="BF"/>
          <w:sz w:val="22"/>
          <w:szCs w:val="22"/>
          <w:lang w:val="en-GB"/>
        </w:rPr>
        <w:t xml:space="preserve"> or an interest in property - that is, the granting of a lien.</w:t>
      </w:r>
      <w:r w:rsidRPr="009A49B7">
        <w:rPr>
          <w:rFonts w:ascii="Avenir Next" w:hAnsi="Avenir Next" w:cs="Arial"/>
          <w:color w:val="7B7B7B" w:themeColor="accent3" w:themeShade="BF"/>
          <w:sz w:val="22"/>
          <w:szCs w:val="22"/>
          <w:lang w:val="en-GB"/>
        </w:rPr>
        <w:t xml:space="preserve"> </w:t>
      </w:r>
      <w:r w:rsidRPr="009A49B7">
        <w:rPr>
          <w:rFonts w:ascii="Avenir Next" w:hAnsi="Avenir Next" w:cs="Arial"/>
          <w:color w:val="7B7B7B" w:themeColor="accent3" w:themeShade="BF"/>
          <w:sz w:val="22"/>
          <w:szCs w:val="22"/>
          <w:lang w:val="en-GB"/>
        </w:rPr>
        <w:t>Transfer of property in which the debtor does not have an interest, such as property held as agent for another, cannot be a preference.</w:t>
      </w:r>
    </w:p>
    <w:p w14:paraId="22032973" w14:textId="1F2C8507" w:rsidR="009A49B7" w:rsidRPr="009A49B7" w:rsidRDefault="009A49B7" w:rsidP="009A49B7">
      <w:pPr>
        <w:pStyle w:val="ListParagraph"/>
        <w:numPr>
          <w:ilvl w:val="0"/>
          <w:numId w:val="35"/>
        </w:numPr>
        <w:jc w:val="both"/>
        <w:rPr>
          <w:rFonts w:ascii="Avenir Next" w:hAnsi="Avenir Next" w:cs="Arial"/>
          <w:color w:val="7B7B7B" w:themeColor="accent3" w:themeShade="BF"/>
          <w:sz w:val="22"/>
          <w:szCs w:val="22"/>
          <w:lang w:val="en-GB"/>
        </w:rPr>
      </w:pPr>
      <w:r w:rsidRPr="009A49B7">
        <w:rPr>
          <w:rFonts w:ascii="Avenir Next" w:hAnsi="Avenir Next" w:cs="Arial"/>
          <w:color w:val="7B7B7B" w:themeColor="accent3" w:themeShade="BF"/>
          <w:sz w:val="22"/>
          <w:szCs w:val="22"/>
          <w:lang w:val="en-GB"/>
        </w:rPr>
        <w:t>To or for the benefit of a creditor.</w:t>
      </w:r>
      <w:r w:rsidRPr="009A49B7">
        <w:rPr>
          <w:rFonts w:ascii="Avenir Next" w:hAnsi="Avenir Next" w:cs="Arial"/>
          <w:color w:val="7B7B7B" w:themeColor="accent3" w:themeShade="BF"/>
          <w:sz w:val="22"/>
          <w:szCs w:val="22"/>
          <w:lang w:val="en-GB"/>
        </w:rPr>
        <w:t xml:space="preserve"> </w:t>
      </w:r>
      <w:r w:rsidRPr="009A49B7">
        <w:rPr>
          <w:rFonts w:ascii="Avenir Next" w:hAnsi="Avenir Next" w:cs="Arial"/>
          <w:color w:val="7B7B7B" w:themeColor="accent3" w:themeShade="BF"/>
          <w:sz w:val="22"/>
          <w:szCs w:val="22"/>
          <w:lang w:val="en-GB"/>
        </w:rPr>
        <w:t>If the recipient was not a creditor of the debtor prior to the transfer, the transfer cannot be a preference, but may be recoverable as a fraudulent conveyance.</w:t>
      </w:r>
    </w:p>
    <w:p w14:paraId="017348A0" w14:textId="6BE77BCC" w:rsidR="00E41578" w:rsidRPr="009A49B7" w:rsidRDefault="009A49B7" w:rsidP="009A49B7">
      <w:pPr>
        <w:pStyle w:val="ListParagraph"/>
        <w:numPr>
          <w:ilvl w:val="0"/>
          <w:numId w:val="35"/>
        </w:numPr>
        <w:jc w:val="both"/>
        <w:rPr>
          <w:rFonts w:ascii="Avenir Next" w:hAnsi="Avenir Next" w:cs="Arial"/>
          <w:color w:val="7B7B7B" w:themeColor="accent3" w:themeShade="BF"/>
          <w:sz w:val="22"/>
          <w:szCs w:val="22"/>
          <w:lang w:val="en-GB"/>
        </w:rPr>
      </w:pPr>
      <w:r w:rsidRPr="009A49B7">
        <w:rPr>
          <w:rFonts w:ascii="Avenir Next" w:hAnsi="Avenir Next" w:cs="Arial"/>
          <w:color w:val="7B7B7B" w:themeColor="accent3" w:themeShade="BF"/>
          <w:sz w:val="22"/>
          <w:szCs w:val="22"/>
          <w:lang w:val="en-GB"/>
        </w:rPr>
        <w:t>For or on account of an antecedent debt owed by the debtor before such transfer was made.</w:t>
      </w:r>
    </w:p>
    <w:p w14:paraId="6CF39F72" w14:textId="77777777" w:rsidR="009A49B7" w:rsidRDefault="009A49B7" w:rsidP="009A49B7">
      <w:pPr>
        <w:jc w:val="both"/>
        <w:rPr>
          <w:rFonts w:ascii="Avenir Next" w:hAnsi="Avenir Next" w:cs="Arial"/>
          <w:color w:val="7B7B7B" w:themeColor="accent3" w:themeShade="BF"/>
          <w:sz w:val="22"/>
          <w:szCs w:val="22"/>
          <w:lang w:val="en-GB"/>
        </w:rPr>
      </w:pPr>
    </w:p>
    <w:p w14:paraId="752893BA" w14:textId="77777777" w:rsidR="009A49B7" w:rsidRPr="00E41578" w:rsidRDefault="009A49B7" w:rsidP="009A49B7">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37B4DE3A" w14:textId="0F37A906" w:rsidR="00E01803" w:rsidRDefault="005842E3" w:rsidP="000778B1">
      <w:pPr>
        <w:pStyle w:val="AODocTxt"/>
        <w:spacing w:before="0" w:line="240" w:lineRule="auto"/>
        <w:rPr>
          <w:rFonts w:ascii="Avenir Next" w:eastAsia="Times New Roman" w:hAnsi="Avenir Next" w:cs="Arial"/>
          <w:color w:val="7B7B7B" w:themeColor="accent3" w:themeShade="BF"/>
          <w:lang w:val="en-GB"/>
        </w:rPr>
      </w:pPr>
      <w:r w:rsidRPr="005842E3">
        <w:rPr>
          <w:rFonts w:ascii="Avenir Next" w:eastAsia="Times New Roman" w:hAnsi="Avenir Next" w:cs="Arial"/>
          <w:color w:val="7B7B7B" w:themeColor="accent3" w:themeShade="BF"/>
          <w:lang w:val="en-GB"/>
        </w:rPr>
        <w:t>Because district courts have exclusive jurisdiction to adjudicate a petition commencing bankruptcy proceedings, a bankruptcy court may exercise a district court's delegated authority to enter a final order on a motion challenging the validity of a petition. The US Supreme Court has held that bankruptcy judges may determine a core proceeding over which they lack constitutional authority by issuing a report and recommendation for review by the district court, the same procedure as in noncore proceedings, or, with the consent of the parties, may issue final orders. The Bankruptcy Rules have implemented these rulings by requiring litigants to state in their pleadings whether they consent to the entry of final orders or judgment by the bankruptcy court, and by permitting a district court that determines that a bankruptcy court did not have jurisdiction to enter a final order to treat that its order as proposed findings of fact and conclusions of law.</w:t>
      </w:r>
    </w:p>
    <w:p w14:paraId="18560166" w14:textId="77777777" w:rsidR="005842E3" w:rsidRDefault="005842E3" w:rsidP="000778B1">
      <w:pPr>
        <w:pStyle w:val="AODocTxt"/>
        <w:spacing w:before="0" w:line="240" w:lineRule="auto"/>
        <w:rPr>
          <w:rFonts w:ascii="Avenir Next" w:eastAsia="Times New Roman" w:hAnsi="Avenir Next" w:cs="Arial"/>
          <w:color w:val="7B7B7B" w:themeColor="accent3" w:themeShade="BF"/>
          <w:lang w:val="en-GB"/>
        </w:rPr>
      </w:pPr>
    </w:p>
    <w:p w14:paraId="78C5FC3C" w14:textId="6D12B027" w:rsidR="005842E3" w:rsidRPr="005842E3" w:rsidRDefault="005842E3" w:rsidP="000778B1">
      <w:pPr>
        <w:pStyle w:val="AODocTxt"/>
        <w:spacing w:before="0" w:line="240" w:lineRule="auto"/>
        <w:rPr>
          <w:rFonts w:ascii="Avenir Next" w:eastAsia="Times New Roman" w:hAnsi="Avenir Next" w:cs="Arial"/>
          <w:color w:val="7B7B7B" w:themeColor="accent3" w:themeShade="BF"/>
          <w:lang w:val="en-GB"/>
        </w:rPr>
      </w:pPr>
      <w:r w:rsidRPr="005842E3">
        <w:rPr>
          <w:rFonts w:ascii="Avenir Next" w:eastAsia="Times New Roman" w:hAnsi="Avenir Next" w:cs="Arial"/>
          <w:color w:val="7B7B7B" w:themeColor="accent3" w:themeShade="BF"/>
          <w:lang w:val="en-GB"/>
        </w:rPr>
        <w:t>If the ruling below was in a core proceeding over which the bankruptcy court had authority (whether by law or by consent of the parties) to enter a final order, the district court or BAP reviews conclusions of law de novo and reviews findings of fact for abuse of discretion, recognizing that the bankruptcy court had greater opportunity to weigh the evidence. If the ruling was in a noncore proceeding or the bankruptcy court otherwise did not have authority to enter a final order, the district court or BAP reviews de novo all findings of fact and conclusions of law to which a party has objected. The order of a district court or BAP is reviewed by a circuit court of appeal de novo as to conclusions of law and for abuse of discretion for findings of fact.</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16C715A2" w:rsidR="00F84270" w:rsidRPr="00E01803" w:rsidRDefault="00F84270" w:rsidP="000778B1">
      <w:pPr>
        <w:pStyle w:val="AODocTxt"/>
        <w:spacing w:before="0" w:line="240" w:lineRule="auto"/>
        <w:rPr>
          <w:rFonts w:ascii="Avenir Next" w:hAnsi="Avenir Next"/>
        </w:rPr>
      </w:pPr>
    </w:p>
    <w:p w14:paraId="1990B5B3" w14:textId="55912565" w:rsidR="00EC6524" w:rsidRPr="00EC6524" w:rsidRDefault="00EC6524" w:rsidP="00EC6524">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Automatic stay</w:t>
      </w:r>
    </w:p>
    <w:p w14:paraId="4EA85337" w14:textId="23F239DF" w:rsidR="00EC6524" w:rsidRPr="00EC6524" w:rsidRDefault="00EC6524" w:rsidP="00EC6524">
      <w:pPr>
        <w:pStyle w:val="ListParagraph"/>
        <w:numPr>
          <w:ilvl w:val="0"/>
          <w:numId w:val="33"/>
        </w:numPr>
        <w:jc w:val="both"/>
        <w:rPr>
          <w:rFonts w:ascii="Avenir Next" w:hAnsi="Avenir Next" w:cs="Arial"/>
          <w:color w:val="7B7B7B" w:themeColor="accent3" w:themeShade="BF"/>
          <w:sz w:val="22"/>
          <w:szCs w:val="22"/>
          <w:lang w:val="en-GB"/>
        </w:rPr>
      </w:pPr>
      <w:r w:rsidRPr="00EC6524">
        <w:rPr>
          <w:rFonts w:ascii="Avenir Next" w:hAnsi="Avenir Next" w:cs="Arial"/>
          <w:color w:val="7B7B7B" w:themeColor="accent3" w:themeShade="BF"/>
          <w:sz w:val="22"/>
          <w:szCs w:val="22"/>
          <w:lang w:val="en-GB"/>
        </w:rPr>
        <w:t xml:space="preserve">operation of the debtor's business in the ordinary course by the foreign </w:t>
      </w:r>
      <w:proofErr w:type="gramStart"/>
      <w:r w:rsidRPr="00EC6524">
        <w:rPr>
          <w:rFonts w:ascii="Avenir Next" w:hAnsi="Avenir Next" w:cs="Arial"/>
          <w:color w:val="7B7B7B" w:themeColor="accent3" w:themeShade="BF"/>
          <w:sz w:val="22"/>
          <w:szCs w:val="22"/>
          <w:lang w:val="en-GB"/>
        </w:rPr>
        <w:t>representative;</w:t>
      </w:r>
      <w:proofErr w:type="gramEnd"/>
    </w:p>
    <w:p w14:paraId="2A8D32E8" w14:textId="6AF8975A" w:rsidR="00EC6524" w:rsidRPr="00EC6524" w:rsidRDefault="00EC6524" w:rsidP="00EC6524">
      <w:pPr>
        <w:pStyle w:val="ListParagraph"/>
        <w:numPr>
          <w:ilvl w:val="0"/>
          <w:numId w:val="33"/>
        </w:numPr>
        <w:jc w:val="both"/>
        <w:rPr>
          <w:rFonts w:ascii="Avenir Next" w:hAnsi="Avenir Next" w:cs="Arial"/>
          <w:color w:val="7B7B7B" w:themeColor="accent3" w:themeShade="BF"/>
          <w:sz w:val="22"/>
          <w:szCs w:val="22"/>
          <w:lang w:val="en-GB"/>
        </w:rPr>
      </w:pPr>
      <w:r w:rsidRPr="00EC6524">
        <w:rPr>
          <w:rFonts w:ascii="Avenir Next" w:hAnsi="Avenir Next" w:cs="Arial"/>
          <w:color w:val="7B7B7B" w:themeColor="accent3" w:themeShade="BF"/>
          <w:sz w:val="22"/>
          <w:szCs w:val="22"/>
          <w:lang w:val="en-GB"/>
        </w:rPr>
        <w:t xml:space="preserve">sale, transfer or use of property outside the ordinary </w:t>
      </w:r>
      <w:proofErr w:type="gramStart"/>
      <w:r w:rsidRPr="00EC6524">
        <w:rPr>
          <w:rFonts w:ascii="Avenir Next" w:hAnsi="Avenir Next" w:cs="Arial"/>
          <w:color w:val="7B7B7B" w:themeColor="accent3" w:themeShade="BF"/>
          <w:sz w:val="22"/>
          <w:szCs w:val="22"/>
          <w:lang w:val="en-GB"/>
        </w:rPr>
        <w:t>course;</w:t>
      </w:r>
      <w:proofErr w:type="gramEnd"/>
    </w:p>
    <w:p w14:paraId="3176A3F4" w14:textId="347E7DA3" w:rsidR="00E01803" w:rsidRPr="00EC6524" w:rsidRDefault="00EC6524" w:rsidP="000778B1">
      <w:pPr>
        <w:pStyle w:val="ListParagraph"/>
        <w:numPr>
          <w:ilvl w:val="0"/>
          <w:numId w:val="33"/>
        </w:numPr>
        <w:jc w:val="both"/>
        <w:rPr>
          <w:rFonts w:ascii="Avenir Next" w:hAnsi="Avenir Next" w:cs="Arial"/>
          <w:color w:val="7B7B7B" w:themeColor="accent3" w:themeShade="BF"/>
          <w:sz w:val="22"/>
          <w:szCs w:val="22"/>
          <w:lang w:val="en-GB"/>
        </w:rPr>
      </w:pPr>
      <w:r w:rsidRPr="00EC6524">
        <w:rPr>
          <w:rFonts w:ascii="Avenir Next" w:hAnsi="Avenir Next" w:cs="Arial"/>
          <w:color w:val="7B7B7B" w:themeColor="accent3" w:themeShade="BF"/>
          <w:sz w:val="22"/>
          <w:szCs w:val="22"/>
          <w:lang w:val="en-GB"/>
        </w:rPr>
        <w:t>avoidance of post-petition transfers and post-petition perfection of security interests.</w:t>
      </w:r>
    </w:p>
    <w:p w14:paraId="322DDEFE" w14:textId="020FA743" w:rsidR="00EC6524" w:rsidRPr="00EC6524" w:rsidRDefault="00EC6524" w:rsidP="00EC6524">
      <w:pPr>
        <w:pStyle w:val="AODocTxt"/>
        <w:rPr>
          <w:rFonts w:ascii="Avenir Next" w:eastAsia="Times New Roman" w:hAnsi="Avenir Next" w:cs="Arial"/>
          <w:color w:val="7B7B7B" w:themeColor="accent3" w:themeShade="BF"/>
          <w:lang w:val="en-GB"/>
        </w:rPr>
      </w:pPr>
      <w:r w:rsidRPr="00EC6524">
        <w:rPr>
          <w:rFonts w:ascii="Avenir Next" w:eastAsia="Times New Roman" w:hAnsi="Avenir Next" w:cs="Arial"/>
          <w:color w:val="7B7B7B" w:themeColor="accent3" w:themeShade="BF"/>
          <w:lang w:val="en-GB"/>
        </w:rPr>
        <w:t>Upon recognition of a foreign non-main proceeding, any of the above relief may be granted on a discretionary basis. In addition, following recognition as either foreign main or foreign non-main, the following relief also may be granted on a discretionary basis:</w:t>
      </w:r>
    </w:p>
    <w:p w14:paraId="24D076B7" w14:textId="1AF2998E" w:rsidR="00EC6524" w:rsidRPr="00EC6524" w:rsidRDefault="00EC6524" w:rsidP="00EC6524">
      <w:pPr>
        <w:pStyle w:val="AODocTxt"/>
        <w:numPr>
          <w:ilvl w:val="0"/>
          <w:numId w:val="38"/>
        </w:numPr>
        <w:rPr>
          <w:rFonts w:ascii="Avenir Next" w:eastAsia="Times New Roman" w:hAnsi="Avenir Next" w:cs="Arial"/>
          <w:color w:val="7B7B7B" w:themeColor="accent3" w:themeShade="BF"/>
          <w:lang w:val="en-GB"/>
        </w:rPr>
      </w:pPr>
      <w:r w:rsidRPr="00EC6524">
        <w:rPr>
          <w:rFonts w:ascii="Avenir Next" w:eastAsia="Times New Roman" w:hAnsi="Avenir Next" w:cs="Arial"/>
          <w:color w:val="7B7B7B" w:themeColor="accent3" w:themeShade="BF"/>
          <w:lang w:val="en-GB"/>
        </w:rPr>
        <w:t xml:space="preserve">authorization of discovery regarding the debtor's assets and </w:t>
      </w:r>
      <w:proofErr w:type="gramStart"/>
      <w:r w:rsidRPr="00EC6524">
        <w:rPr>
          <w:rFonts w:ascii="Avenir Next" w:eastAsia="Times New Roman" w:hAnsi="Avenir Next" w:cs="Arial"/>
          <w:color w:val="7B7B7B" w:themeColor="accent3" w:themeShade="BF"/>
          <w:lang w:val="en-GB"/>
        </w:rPr>
        <w:t>affairs;</w:t>
      </w:r>
      <w:proofErr w:type="gramEnd"/>
    </w:p>
    <w:p w14:paraId="6C67060C" w14:textId="07A19043" w:rsidR="00EC6524" w:rsidRPr="00EC6524" w:rsidRDefault="00EC6524" w:rsidP="00EC6524">
      <w:pPr>
        <w:pStyle w:val="AODocTxt"/>
        <w:numPr>
          <w:ilvl w:val="0"/>
          <w:numId w:val="38"/>
        </w:numPr>
        <w:rPr>
          <w:rFonts w:ascii="Avenir Next" w:eastAsia="Times New Roman" w:hAnsi="Avenir Next" w:cs="Arial"/>
          <w:color w:val="7B7B7B" w:themeColor="accent3" w:themeShade="BF"/>
          <w:lang w:val="en-GB"/>
        </w:rPr>
      </w:pPr>
      <w:r w:rsidRPr="00EC6524">
        <w:rPr>
          <w:rFonts w:ascii="Avenir Next" w:eastAsia="Times New Roman" w:hAnsi="Avenir Next" w:cs="Arial"/>
          <w:color w:val="7B7B7B" w:themeColor="accent3" w:themeShade="BF"/>
          <w:lang w:val="en-GB"/>
        </w:rPr>
        <w:t xml:space="preserve">entrusting administration of the debtor's US assets to the foreign representative or other </w:t>
      </w:r>
      <w:proofErr w:type="gramStart"/>
      <w:r w:rsidRPr="00EC6524">
        <w:rPr>
          <w:rFonts w:ascii="Avenir Next" w:eastAsia="Times New Roman" w:hAnsi="Avenir Next" w:cs="Arial"/>
          <w:color w:val="7B7B7B" w:themeColor="accent3" w:themeShade="BF"/>
          <w:lang w:val="en-GB"/>
        </w:rPr>
        <w:t>person;</w:t>
      </w:r>
      <w:proofErr w:type="gramEnd"/>
    </w:p>
    <w:p w14:paraId="475FE3B5" w14:textId="77A499E0" w:rsidR="00EC6524" w:rsidRPr="00EC6524" w:rsidRDefault="00EC6524" w:rsidP="00EC6524">
      <w:pPr>
        <w:pStyle w:val="AODocTxt"/>
        <w:numPr>
          <w:ilvl w:val="0"/>
          <w:numId w:val="38"/>
        </w:numPr>
        <w:rPr>
          <w:rFonts w:ascii="Avenir Next" w:eastAsia="Times New Roman" w:hAnsi="Avenir Next" w:cs="Arial"/>
          <w:color w:val="7B7B7B" w:themeColor="accent3" w:themeShade="BF"/>
          <w:lang w:val="en-GB"/>
        </w:rPr>
      </w:pPr>
      <w:r w:rsidRPr="00EC6524">
        <w:rPr>
          <w:rFonts w:ascii="Avenir Next" w:eastAsia="Times New Roman" w:hAnsi="Avenir Next" w:cs="Arial"/>
          <w:color w:val="7B7B7B" w:themeColor="accent3" w:themeShade="BF"/>
          <w:lang w:val="en-GB"/>
        </w:rPr>
        <w:t xml:space="preserve">extension of provisional </w:t>
      </w:r>
      <w:proofErr w:type="gramStart"/>
      <w:r w:rsidRPr="00EC6524">
        <w:rPr>
          <w:rFonts w:ascii="Avenir Next" w:eastAsia="Times New Roman" w:hAnsi="Avenir Next" w:cs="Arial"/>
          <w:color w:val="7B7B7B" w:themeColor="accent3" w:themeShade="BF"/>
          <w:lang w:val="en-GB"/>
        </w:rPr>
        <w:t>relief;</w:t>
      </w:r>
      <w:proofErr w:type="gramEnd"/>
    </w:p>
    <w:p w14:paraId="116A6482" w14:textId="42D46906" w:rsidR="00EC6524" w:rsidRPr="00EC6524" w:rsidRDefault="00EC6524" w:rsidP="00EC6524">
      <w:pPr>
        <w:pStyle w:val="AODocTxt"/>
        <w:numPr>
          <w:ilvl w:val="0"/>
          <w:numId w:val="38"/>
        </w:numPr>
        <w:rPr>
          <w:rFonts w:ascii="Avenir Next" w:eastAsia="Times New Roman" w:hAnsi="Avenir Next" w:cs="Arial"/>
          <w:color w:val="7B7B7B" w:themeColor="accent3" w:themeShade="BF"/>
          <w:lang w:val="en-GB"/>
        </w:rPr>
      </w:pPr>
      <w:r w:rsidRPr="00EC6524">
        <w:rPr>
          <w:rFonts w:ascii="Avenir Next" w:eastAsia="Times New Roman" w:hAnsi="Avenir Next" w:cs="Arial"/>
          <w:color w:val="7B7B7B" w:themeColor="accent3" w:themeShade="BF"/>
          <w:lang w:val="en-GB"/>
        </w:rPr>
        <w:t>any other relief "necessary to effectuate the purposes of [chapter 15] and to protect the assets of the debtor or the interests of creditors."</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4BE4023" w14:textId="6EB84394" w:rsidR="00EC6524" w:rsidRDefault="00EC6524" w:rsidP="000778B1">
      <w:pPr>
        <w:pStyle w:val="AODocTxt"/>
        <w:spacing w:before="0" w:line="240" w:lineRule="auto"/>
        <w:rPr>
          <w:rFonts w:ascii="Avenir Next" w:eastAsia="Times New Roman" w:hAnsi="Avenir Next" w:cs="Arial"/>
          <w:color w:val="7B7B7B" w:themeColor="accent3" w:themeShade="BF"/>
          <w:lang w:val="en-GB"/>
        </w:rPr>
      </w:pPr>
      <w:r w:rsidRPr="00EC6524">
        <w:rPr>
          <w:rFonts w:ascii="Avenir Next" w:eastAsia="Times New Roman" w:hAnsi="Avenir Next" w:cs="Arial"/>
          <w:color w:val="7B7B7B" w:themeColor="accent3" w:themeShade="BF"/>
          <w:lang w:val="en-GB"/>
        </w:rPr>
        <w:t>Directors' duties are owed to the corporation and its shareholders, not to creditors, even in circumstances</w:t>
      </w:r>
      <w:r>
        <w:rPr>
          <w:rFonts w:ascii="Avenir Next" w:eastAsia="Times New Roman" w:hAnsi="Avenir Next" w:cs="Arial"/>
          <w:color w:val="7B7B7B" w:themeColor="accent3" w:themeShade="BF"/>
          <w:lang w:val="en-GB"/>
        </w:rPr>
        <w:t xml:space="preserve"> </w:t>
      </w:r>
      <w:r w:rsidRPr="00EC6524">
        <w:rPr>
          <w:rFonts w:ascii="Avenir Next" w:eastAsia="Times New Roman" w:hAnsi="Avenir Next" w:cs="Arial"/>
          <w:color w:val="7B7B7B" w:themeColor="accent3" w:themeShade="BF"/>
          <w:lang w:val="en-GB"/>
        </w:rPr>
        <w:t>where the corporation is potentially insolvent and therefore the shareholders stand to receive nothing in bankruptcy. The Delaware Supreme Court has put to rest any suggestion that directors owe duties to creditors when a company is operating "in the zone of insolvency, or indeed is actually insolvent.</w:t>
      </w:r>
      <w:r w:rsidRPr="00EC6524">
        <w:rPr>
          <w:rFonts w:ascii="Avenir Next" w:eastAsia="Times New Roman" w:hAnsi="Avenir Next" w:cs="Arial"/>
          <w:color w:val="7B7B7B" w:themeColor="accent3" w:themeShade="BF"/>
          <w:lang w:val="en-GB"/>
        </w:rPr>
        <w:t xml:space="preserve"> </w:t>
      </w:r>
    </w:p>
    <w:p w14:paraId="0471F31F" w14:textId="77777777" w:rsidR="00EC6524" w:rsidRDefault="00EC6524" w:rsidP="000778B1">
      <w:pPr>
        <w:pStyle w:val="AODocTxt"/>
        <w:spacing w:before="0" w:line="240" w:lineRule="auto"/>
        <w:rPr>
          <w:rFonts w:ascii="Avenir Next" w:eastAsia="Times New Roman" w:hAnsi="Avenir Next" w:cs="Arial"/>
          <w:color w:val="7B7B7B" w:themeColor="accent3" w:themeShade="BF"/>
          <w:lang w:val="en-GB"/>
        </w:rPr>
      </w:pPr>
    </w:p>
    <w:p w14:paraId="4A07A2C3" w14:textId="1881E872" w:rsidR="00E01803" w:rsidRDefault="00EC6524" w:rsidP="000778B1">
      <w:pPr>
        <w:pStyle w:val="AODocTxt"/>
        <w:spacing w:before="0" w:line="240" w:lineRule="auto"/>
        <w:rPr>
          <w:rFonts w:ascii="Avenir Next" w:hAnsi="Avenir Next"/>
        </w:rPr>
      </w:pPr>
      <w:r w:rsidRPr="00EC6524">
        <w:rPr>
          <w:rFonts w:ascii="Avenir Next" w:eastAsia="Times New Roman" w:hAnsi="Avenir Next" w:cs="Arial"/>
          <w:color w:val="7B7B7B" w:themeColor="accent3" w:themeShade="BF"/>
          <w:lang w:val="en-GB"/>
        </w:rPr>
        <w:t xml:space="preserve">Directors owe a fiduciary duty of loyalty to the corporation's best interest and a duty of care in educated </w:t>
      </w:r>
      <w:proofErr w:type="gramStart"/>
      <w:r w:rsidRPr="00EC6524">
        <w:rPr>
          <w:rFonts w:ascii="Avenir Next" w:eastAsia="Times New Roman" w:hAnsi="Avenir Next" w:cs="Arial"/>
          <w:color w:val="7B7B7B" w:themeColor="accent3" w:themeShade="BF"/>
          <w:lang w:val="en-GB"/>
        </w:rPr>
        <w:t>decision-making, but</w:t>
      </w:r>
      <w:proofErr w:type="gramEnd"/>
      <w:r w:rsidRPr="00EC6524">
        <w:rPr>
          <w:rFonts w:ascii="Avenir Next" w:eastAsia="Times New Roman" w:hAnsi="Avenir Next" w:cs="Arial"/>
          <w:color w:val="7B7B7B" w:themeColor="accent3" w:themeShade="BF"/>
          <w:lang w:val="en-GB"/>
        </w:rPr>
        <w:t xml:space="preserve"> are protected from liability for errors of judgment by the business judgment rule. Under the business judgment rule, the board of directors is presumed to have acted in good faith </w:t>
      </w:r>
      <w:proofErr w:type="gramStart"/>
      <w:r w:rsidRPr="00EC6524">
        <w:rPr>
          <w:rFonts w:ascii="Avenir Next" w:eastAsia="Times New Roman" w:hAnsi="Avenir Next" w:cs="Arial"/>
          <w:color w:val="7B7B7B" w:themeColor="accent3" w:themeShade="BF"/>
          <w:lang w:val="en-GB"/>
        </w:rPr>
        <w:t>on the basis of</w:t>
      </w:r>
      <w:proofErr w:type="gramEnd"/>
      <w:r w:rsidRPr="00EC6524">
        <w:rPr>
          <w:rFonts w:ascii="Avenir Next" w:eastAsia="Times New Roman" w:hAnsi="Avenir Next" w:cs="Arial"/>
          <w:color w:val="7B7B7B" w:themeColor="accent3" w:themeShade="BF"/>
          <w:lang w:val="en-GB"/>
        </w:rPr>
        <w:t xml:space="preserve"> reasonable information. This presumption can be rebutted only by showing that </w:t>
      </w:r>
      <w:proofErr w:type="gramStart"/>
      <w:r w:rsidRPr="00EC6524">
        <w:rPr>
          <w:rFonts w:ascii="Avenir Next" w:eastAsia="Times New Roman" w:hAnsi="Avenir Next" w:cs="Arial"/>
          <w:color w:val="7B7B7B" w:themeColor="accent3" w:themeShade="BF"/>
          <w:lang w:val="en-GB"/>
        </w:rPr>
        <w:t>a majority of</w:t>
      </w:r>
      <w:proofErr w:type="gramEnd"/>
      <w:r w:rsidRPr="00EC6524">
        <w:rPr>
          <w:rFonts w:ascii="Avenir Next" w:eastAsia="Times New Roman" w:hAnsi="Avenir Next" w:cs="Arial"/>
          <w:color w:val="7B7B7B" w:themeColor="accent3" w:themeShade="BF"/>
          <w:lang w:val="en-GB"/>
        </w:rPr>
        <w:t xml:space="preserve"> the board in fact were not reasonably informed, did not honestly believe that their decision was in the corporation's best interest, or were not acting in good faith. Unless the presumption is rebutted, the directors will not be liable in the absence of a showing of gross negligence. In addition, directors may be exculpated by a corporation's certificate of incorporation from liability for breach of the duty of care (but not for breach of the duty of loyalty). The business judgment rule does not apply where a transaction is approved by a board majority that is not disinterested and independent or a controlling shareholder is on both sides of the transaction. In such circumstances, the transaction will be void unless the entire fairness standard is satisfied.</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050285EC" w14:textId="77777777" w:rsidR="00FB2065" w:rsidRPr="00FB2065" w:rsidRDefault="00FB2065" w:rsidP="00FB2065">
      <w:pPr>
        <w:pStyle w:val="AODocTxt"/>
        <w:rPr>
          <w:rFonts w:ascii="Avenir Next" w:eastAsia="Times New Roman" w:hAnsi="Avenir Next" w:cs="Arial"/>
          <w:color w:val="7B7B7B" w:themeColor="accent3" w:themeShade="BF"/>
          <w:lang w:val="en-GB"/>
        </w:rPr>
      </w:pPr>
      <w:r w:rsidRPr="00FB2065">
        <w:rPr>
          <w:rFonts w:ascii="Avenir Next" w:eastAsia="Times New Roman" w:hAnsi="Avenir Next" w:cs="Arial"/>
          <w:color w:val="7B7B7B" w:themeColor="accent3" w:themeShade="BF"/>
          <w:lang w:val="en-GB"/>
        </w:rPr>
        <w:t>To qualify as a petitioning creditor, the creditor must have a claim against the debtor that is:</w:t>
      </w:r>
    </w:p>
    <w:p w14:paraId="4CD85120" w14:textId="5ACD2563" w:rsidR="00FB2065" w:rsidRPr="00FB2065" w:rsidRDefault="00FB2065" w:rsidP="00FB2065">
      <w:pPr>
        <w:pStyle w:val="AODocTxt"/>
        <w:numPr>
          <w:ilvl w:val="0"/>
          <w:numId w:val="33"/>
        </w:numPr>
        <w:rPr>
          <w:rFonts w:ascii="Avenir Next" w:eastAsia="Times New Roman" w:hAnsi="Avenir Next" w:cs="Arial"/>
          <w:color w:val="7B7B7B" w:themeColor="accent3" w:themeShade="BF"/>
          <w:lang w:val="en-GB"/>
        </w:rPr>
      </w:pPr>
      <w:r w:rsidRPr="00FB2065">
        <w:rPr>
          <w:rFonts w:ascii="Avenir Next" w:eastAsia="Times New Roman" w:hAnsi="Avenir Next" w:cs="Arial"/>
          <w:color w:val="7B7B7B" w:themeColor="accent3" w:themeShade="BF"/>
          <w:lang w:val="en-GB"/>
        </w:rPr>
        <w:t>Non-contingent</w:t>
      </w:r>
    </w:p>
    <w:p w14:paraId="21AD20C7" w14:textId="77777777" w:rsidR="00FB2065" w:rsidRPr="00FB2065" w:rsidRDefault="00FB2065" w:rsidP="00FB2065">
      <w:pPr>
        <w:pStyle w:val="AODocTxt"/>
        <w:ind w:left="720"/>
        <w:rPr>
          <w:rFonts w:ascii="Avenir Next" w:eastAsia="Times New Roman" w:hAnsi="Avenir Next" w:cs="Arial"/>
          <w:color w:val="7B7B7B" w:themeColor="accent3" w:themeShade="BF"/>
          <w:lang w:val="en-GB"/>
        </w:rPr>
      </w:pPr>
      <w:r w:rsidRPr="00FB2065">
        <w:rPr>
          <w:rFonts w:ascii="Avenir Next" w:eastAsia="Times New Roman" w:hAnsi="Avenir Next" w:cs="Arial"/>
          <w:color w:val="7B7B7B" w:themeColor="accent3" w:themeShade="BF"/>
          <w:lang w:val="en-GB"/>
        </w:rPr>
        <w:t>A contingent claim is one that depends on the occurrence of a future event. For example, a claim under a guarantee is typically contingent on the occurrence of a default under the guaranteed obligation.</w:t>
      </w:r>
    </w:p>
    <w:p w14:paraId="09CF3834" w14:textId="558951AC" w:rsidR="00FB2065" w:rsidRPr="00FB2065" w:rsidRDefault="00FB2065" w:rsidP="00FB2065">
      <w:pPr>
        <w:pStyle w:val="AODocTxt"/>
        <w:numPr>
          <w:ilvl w:val="0"/>
          <w:numId w:val="33"/>
        </w:numPr>
        <w:rPr>
          <w:rFonts w:ascii="Avenir Next" w:eastAsia="Times New Roman" w:hAnsi="Avenir Next" w:cs="Arial"/>
          <w:color w:val="7B7B7B" w:themeColor="accent3" w:themeShade="BF"/>
          <w:lang w:val="en-GB"/>
        </w:rPr>
      </w:pPr>
      <w:r w:rsidRPr="00FB2065">
        <w:rPr>
          <w:rFonts w:ascii="Avenir Next" w:eastAsia="Times New Roman" w:hAnsi="Avenir Next" w:cs="Arial"/>
          <w:color w:val="7B7B7B" w:themeColor="accent3" w:themeShade="BF"/>
          <w:lang w:val="en-GB"/>
        </w:rPr>
        <w:t>A debt that is unmatured (because the payment is due in the future) is not contingent if all requirements for liability, other than the passage of time, have occurred.</w:t>
      </w:r>
    </w:p>
    <w:p w14:paraId="6DABE86C" w14:textId="100F1232" w:rsidR="00FB2065" w:rsidRPr="00FB2065" w:rsidRDefault="00FB2065" w:rsidP="00FB2065">
      <w:pPr>
        <w:pStyle w:val="AODocTxt"/>
        <w:numPr>
          <w:ilvl w:val="0"/>
          <w:numId w:val="33"/>
        </w:numPr>
        <w:rPr>
          <w:rFonts w:ascii="Avenir Next" w:eastAsia="Times New Roman" w:hAnsi="Avenir Next" w:cs="Arial"/>
          <w:color w:val="7B7B7B" w:themeColor="accent3" w:themeShade="BF"/>
          <w:lang w:val="en-GB"/>
        </w:rPr>
      </w:pPr>
      <w:r w:rsidRPr="00FB2065">
        <w:rPr>
          <w:rFonts w:ascii="Avenir Next" w:eastAsia="Times New Roman" w:hAnsi="Avenir Next" w:cs="Arial"/>
          <w:color w:val="7B7B7B" w:themeColor="accent3" w:themeShade="BF"/>
          <w:lang w:val="en-GB"/>
        </w:rPr>
        <w:t xml:space="preserve">Not the </w:t>
      </w:r>
      <w:proofErr w:type="spellStart"/>
      <w:r w:rsidRPr="00FB2065">
        <w:rPr>
          <w:rFonts w:ascii="Avenir Next" w:eastAsia="Times New Roman" w:hAnsi="Avenir Next" w:cs="Arial"/>
          <w:color w:val="7B7B7B" w:themeColor="accent3" w:themeShade="BF"/>
          <w:lang w:val="en-GB"/>
        </w:rPr>
        <w:t>subiect</w:t>
      </w:r>
      <w:proofErr w:type="spellEnd"/>
      <w:r w:rsidRPr="00FB2065">
        <w:rPr>
          <w:rFonts w:ascii="Avenir Next" w:eastAsia="Times New Roman" w:hAnsi="Avenir Next" w:cs="Arial"/>
          <w:color w:val="7B7B7B" w:themeColor="accent3" w:themeShade="BF"/>
          <w:lang w:val="en-GB"/>
        </w:rPr>
        <w:t xml:space="preserve"> of bona fide dispute as to liability or amount</w:t>
      </w:r>
    </w:p>
    <w:p w14:paraId="770066A6" w14:textId="77777777" w:rsidR="00FB2065" w:rsidRPr="00FB2065" w:rsidRDefault="00FB2065" w:rsidP="00FB2065">
      <w:pPr>
        <w:pStyle w:val="AODocTxt"/>
        <w:ind w:left="720"/>
        <w:rPr>
          <w:rFonts w:ascii="Avenir Next" w:eastAsia="Times New Roman" w:hAnsi="Avenir Next" w:cs="Arial"/>
          <w:color w:val="7B7B7B" w:themeColor="accent3" w:themeShade="BF"/>
          <w:lang w:val="en-GB"/>
        </w:rPr>
      </w:pPr>
      <w:r w:rsidRPr="00FB2065">
        <w:rPr>
          <w:rFonts w:ascii="Avenir Next" w:eastAsia="Times New Roman" w:hAnsi="Avenir Next" w:cs="Arial"/>
          <w:color w:val="7B7B7B" w:themeColor="accent3" w:themeShade="BF"/>
          <w:lang w:val="en-GB"/>
        </w:rPr>
        <w:t xml:space="preserve">A bona fide dispute exists if there is an objectively reasonable basis for a dispute as a matter of fact or law; the debtor's subjective belief that the debt is not </w:t>
      </w:r>
      <w:proofErr w:type="gramStart"/>
      <w:r w:rsidRPr="00FB2065">
        <w:rPr>
          <w:rFonts w:ascii="Avenir Next" w:eastAsia="Times New Roman" w:hAnsi="Avenir Next" w:cs="Arial"/>
          <w:color w:val="7B7B7B" w:themeColor="accent3" w:themeShade="BF"/>
          <w:lang w:val="en-GB"/>
        </w:rPr>
        <w:t>owed</w:t>
      </w:r>
      <w:proofErr w:type="gramEnd"/>
      <w:r w:rsidRPr="00FB2065">
        <w:rPr>
          <w:rFonts w:ascii="Avenir Next" w:eastAsia="Times New Roman" w:hAnsi="Avenir Next" w:cs="Arial"/>
          <w:color w:val="7B7B7B" w:themeColor="accent3" w:themeShade="BF"/>
          <w:lang w:val="en-GB"/>
        </w:rPr>
        <w:t xml:space="preserve"> or the amount claimed is incorrect is not sufficient.</w:t>
      </w:r>
    </w:p>
    <w:p w14:paraId="656EF267" w14:textId="543874C1" w:rsidR="00FB2065" w:rsidRPr="00FB2065" w:rsidRDefault="00FB2065" w:rsidP="00FB2065">
      <w:pPr>
        <w:pStyle w:val="AODocTxt"/>
        <w:numPr>
          <w:ilvl w:val="0"/>
          <w:numId w:val="33"/>
        </w:numPr>
        <w:rPr>
          <w:rFonts w:ascii="Avenir Next" w:eastAsia="Times New Roman" w:hAnsi="Avenir Next" w:cs="Arial"/>
          <w:color w:val="7B7B7B" w:themeColor="accent3" w:themeShade="BF"/>
          <w:lang w:val="en-GB"/>
        </w:rPr>
      </w:pPr>
      <w:r w:rsidRPr="00FB2065">
        <w:rPr>
          <w:rFonts w:ascii="Avenir Next" w:eastAsia="Times New Roman" w:hAnsi="Avenir Next" w:cs="Arial"/>
          <w:color w:val="7B7B7B" w:themeColor="accent3" w:themeShade="BF"/>
          <w:lang w:val="en-GB"/>
        </w:rPr>
        <w:t>If a portion of the amount claimed is disputed, the creditor cannot use the undisputed portion to reach the monetary threshold required in the next bullet, but a dispute as to one claim does not disqualify application of other, undisputed claims held by the same creditor to meet petitioning creditor requirements.</w:t>
      </w:r>
    </w:p>
    <w:p w14:paraId="6C563C3F" w14:textId="14E3FCFD" w:rsidR="00FB2065" w:rsidRPr="00FB2065" w:rsidRDefault="00FB2065" w:rsidP="00FB2065">
      <w:pPr>
        <w:pStyle w:val="AODocTxt"/>
        <w:numPr>
          <w:ilvl w:val="0"/>
          <w:numId w:val="33"/>
        </w:numPr>
        <w:rPr>
          <w:rFonts w:ascii="Avenir Next" w:eastAsia="Times New Roman" w:hAnsi="Avenir Next" w:cs="Arial"/>
          <w:color w:val="7B7B7B" w:themeColor="accent3" w:themeShade="BF"/>
          <w:lang w:val="en-GB"/>
        </w:rPr>
      </w:pPr>
      <w:r w:rsidRPr="00FB2065">
        <w:rPr>
          <w:rFonts w:ascii="Avenir Next" w:eastAsia="Times New Roman" w:hAnsi="Avenir Next" w:cs="Arial"/>
          <w:color w:val="7B7B7B" w:themeColor="accent3" w:themeShade="BF"/>
          <w:lang w:val="en-GB"/>
        </w:rPr>
        <w:t xml:space="preserve">Unsecured or </w:t>
      </w:r>
      <w:proofErr w:type="spellStart"/>
      <w:r w:rsidRPr="00FB2065">
        <w:rPr>
          <w:rFonts w:ascii="Avenir Next" w:eastAsia="Times New Roman" w:hAnsi="Avenir Next" w:cs="Arial"/>
          <w:color w:val="7B7B7B" w:themeColor="accent3" w:themeShade="BF"/>
          <w:lang w:val="en-GB"/>
        </w:rPr>
        <w:t>undersecured</w:t>
      </w:r>
      <w:proofErr w:type="spellEnd"/>
      <w:r w:rsidRPr="00FB2065">
        <w:rPr>
          <w:rFonts w:ascii="Avenir Next" w:eastAsia="Times New Roman" w:hAnsi="Avenir Next" w:cs="Arial"/>
          <w:color w:val="7B7B7B" w:themeColor="accent3" w:themeShade="BF"/>
          <w:lang w:val="en-GB"/>
        </w:rPr>
        <w:t>, separately or in the aggregate with all other petitioning creditors' claims, in the amount of at least USD 16,750 (this amount is periodically increased due to inflation)</w:t>
      </w:r>
    </w:p>
    <w:p w14:paraId="5A214E0F" w14:textId="77777777" w:rsidR="00FB2065" w:rsidRDefault="00FB2065" w:rsidP="00FB2065">
      <w:pPr>
        <w:pStyle w:val="AODocTxt"/>
        <w:spacing w:before="0" w:line="240" w:lineRule="auto"/>
        <w:rPr>
          <w:rFonts w:ascii="Avenir Next" w:eastAsia="Times New Roman" w:hAnsi="Avenir Next" w:cs="Arial"/>
          <w:color w:val="7B7B7B" w:themeColor="accent3" w:themeShade="BF"/>
          <w:lang w:val="en-GB"/>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7692381D" w14:textId="6FD755F9" w:rsidR="00DD588C" w:rsidRPr="00DD588C" w:rsidRDefault="00DD588C" w:rsidP="00DD588C">
      <w:pPr>
        <w:pStyle w:val="AODocTxt"/>
        <w:rPr>
          <w:rFonts w:ascii="Avenir Next" w:eastAsia="Times New Roman" w:hAnsi="Avenir Next" w:cs="Arial"/>
          <w:color w:val="7B7B7B" w:themeColor="accent3" w:themeShade="BF"/>
        </w:rPr>
      </w:pPr>
      <w:r>
        <w:rPr>
          <w:rFonts w:ascii="Avenir Next" w:eastAsia="Times New Roman" w:hAnsi="Avenir Next" w:cs="Arial"/>
          <w:color w:val="7B7B7B" w:themeColor="accent3" w:themeShade="BF"/>
        </w:rPr>
        <w:t xml:space="preserve">An automatic stay will apply upon filing of a Chapter 11 petition. </w:t>
      </w:r>
      <w:r w:rsidRPr="00DD588C">
        <w:rPr>
          <w:rFonts w:ascii="Avenir Next" w:eastAsia="Times New Roman" w:hAnsi="Avenir Next" w:cs="Arial"/>
          <w:color w:val="7B7B7B" w:themeColor="accent3" w:themeShade="BF"/>
        </w:rPr>
        <w:t>The scope of the automatic is extremely broad - it applies to any interference with the property of the estate anywhere in the world</w:t>
      </w:r>
      <w:r>
        <w:rPr>
          <w:rFonts w:ascii="Avenir Next" w:eastAsia="Times New Roman" w:hAnsi="Avenir Next" w:cs="Arial"/>
          <w:color w:val="7B7B7B" w:themeColor="accent3" w:themeShade="BF"/>
        </w:rPr>
        <w:t>, subject to some statutory exceptions.</w:t>
      </w:r>
    </w:p>
    <w:p w14:paraId="5F07A644" w14:textId="77777777" w:rsidR="00DD588C" w:rsidRDefault="00DD588C" w:rsidP="000778B1">
      <w:pPr>
        <w:pStyle w:val="AODocTxt"/>
        <w:spacing w:before="0" w:line="240" w:lineRule="auto"/>
        <w:rPr>
          <w:rFonts w:ascii="Avenir Next" w:eastAsia="Times New Roman" w:hAnsi="Avenir Next" w:cs="Arial"/>
          <w:color w:val="7B7B7B" w:themeColor="accent3" w:themeShade="BF"/>
        </w:rPr>
      </w:pPr>
    </w:p>
    <w:p w14:paraId="14BC5054" w14:textId="34CC8B6B" w:rsidR="00DD588C" w:rsidRDefault="00DD588C"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rPr>
        <w:t>(</w:t>
      </w:r>
      <w:proofErr w:type="spellStart"/>
      <w:r w:rsidRPr="00DD588C">
        <w:rPr>
          <w:rFonts w:ascii="Avenir Next" w:eastAsia="Times New Roman" w:hAnsi="Avenir Next" w:cs="Arial"/>
          <w:color w:val="7B7B7B" w:themeColor="accent3" w:themeShade="BF"/>
          <w:lang w:val="en-GB"/>
        </w:rPr>
        <w:t>i</w:t>
      </w:r>
      <w:proofErr w:type="spellEnd"/>
      <w:r w:rsidRPr="00DD588C">
        <w:rPr>
          <w:rFonts w:ascii="Avenir Next" w:eastAsia="Times New Roman" w:hAnsi="Avenir Next" w:cs="Arial"/>
          <w:color w:val="7B7B7B" w:themeColor="accent3" w:themeShade="BF"/>
          <w:lang w:val="en-GB"/>
        </w:rPr>
        <w:t>) DOJ investigation</w:t>
      </w:r>
      <w:r>
        <w:rPr>
          <w:rFonts w:ascii="Avenir Next" w:eastAsia="Times New Roman" w:hAnsi="Avenir Next" w:cs="Arial"/>
          <w:color w:val="7B7B7B" w:themeColor="accent3" w:themeShade="BF"/>
          <w:lang w:val="en-GB"/>
        </w:rPr>
        <w:t>: will continue as the automatic stay is subject to some statutory exceptions, and regulatory investigations are one of them.</w:t>
      </w:r>
    </w:p>
    <w:p w14:paraId="3789707F" w14:textId="77777777" w:rsidR="00DD588C" w:rsidRDefault="00DD588C" w:rsidP="000778B1">
      <w:pPr>
        <w:pStyle w:val="AODocTxt"/>
        <w:spacing w:before="0" w:line="240" w:lineRule="auto"/>
        <w:rPr>
          <w:rFonts w:ascii="Avenir Next" w:eastAsia="Times New Roman" w:hAnsi="Avenir Next" w:cs="Arial"/>
          <w:color w:val="7B7B7B" w:themeColor="accent3" w:themeShade="BF"/>
          <w:lang w:val="en-GB"/>
        </w:rPr>
      </w:pPr>
    </w:p>
    <w:p w14:paraId="231341BE" w14:textId="5B3D0EAA" w:rsidR="00DD588C" w:rsidRDefault="00DD588C" w:rsidP="000778B1">
      <w:pPr>
        <w:pStyle w:val="AODocTxt"/>
        <w:spacing w:before="0" w:line="240" w:lineRule="auto"/>
        <w:rPr>
          <w:rFonts w:ascii="Avenir Next" w:eastAsia="Times New Roman" w:hAnsi="Avenir Next" w:cs="Arial"/>
          <w:color w:val="7B7B7B" w:themeColor="accent3" w:themeShade="BF"/>
          <w:lang w:val="en-GB"/>
        </w:rPr>
      </w:pPr>
      <w:r w:rsidRPr="00DD588C">
        <w:rPr>
          <w:rFonts w:ascii="Avenir Next" w:eastAsia="Times New Roman" w:hAnsi="Avenir Next" w:cs="Arial"/>
          <w:color w:val="7B7B7B" w:themeColor="accent3" w:themeShade="BF"/>
          <w:lang w:val="en-GB"/>
        </w:rPr>
        <w:t>(ii) margin loan default</w:t>
      </w:r>
      <w:r w:rsidR="008855CD">
        <w:rPr>
          <w:rFonts w:ascii="Avenir Next" w:eastAsia="Times New Roman" w:hAnsi="Avenir Next" w:cs="Arial"/>
          <w:color w:val="7B7B7B" w:themeColor="accent3" w:themeShade="BF"/>
          <w:lang w:val="en-GB"/>
        </w:rPr>
        <w:t xml:space="preserve">: </w:t>
      </w:r>
      <w:r w:rsidR="008855CD" w:rsidRPr="00DD588C">
        <w:rPr>
          <w:rFonts w:ascii="Avenir Next" w:eastAsia="Times New Roman" w:hAnsi="Avenir Next" w:cs="Arial"/>
          <w:color w:val="7B7B7B" w:themeColor="accent3" w:themeShade="BF"/>
        </w:rPr>
        <w:t>any attempt to collect on pre-petition claims (including through demand letters or calls)</w:t>
      </w:r>
      <w:r w:rsidR="008855CD">
        <w:rPr>
          <w:rFonts w:ascii="Avenir Next" w:eastAsia="Times New Roman" w:hAnsi="Avenir Next" w:cs="Arial"/>
          <w:color w:val="7B7B7B" w:themeColor="accent3" w:themeShade="BF"/>
        </w:rPr>
        <w:t xml:space="preserve"> will be prohibited by the stay, including claims regarding the margin loan default.</w:t>
      </w:r>
      <w:r w:rsidR="008855CD">
        <w:rPr>
          <w:rFonts w:ascii="Avenir Next" w:eastAsia="Times New Roman" w:hAnsi="Avenir Next" w:cs="Arial"/>
          <w:color w:val="7B7B7B" w:themeColor="accent3" w:themeShade="BF"/>
          <w:lang w:val="en-GB"/>
        </w:rPr>
        <w:t xml:space="preserve"> </w:t>
      </w:r>
    </w:p>
    <w:p w14:paraId="596F7A5D" w14:textId="77777777" w:rsidR="00DD588C" w:rsidRDefault="00DD588C" w:rsidP="000778B1">
      <w:pPr>
        <w:pStyle w:val="AODocTxt"/>
        <w:spacing w:before="0" w:line="240" w:lineRule="auto"/>
        <w:rPr>
          <w:rFonts w:ascii="Avenir Next" w:eastAsia="Times New Roman" w:hAnsi="Avenir Next" w:cs="Arial"/>
          <w:color w:val="7B7B7B" w:themeColor="accent3" w:themeShade="BF"/>
          <w:lang w:val="en-GB"/>
        </w:rPr>
      </w:pPr>
    </w:p>
    <w:p w14:paraId="59D19E62" w14:textId="1EA4ACC7" w:rsidR="00DD588C" w:rsidRDefault="00DD588C" w:rsidP="000778B1">
      <w:pPr>
        <w:pStyle w:val="AODocTxt"/>
        <w:spacing w:before="0" w:line="240" w:lineRule="auto"/>
        <w:rPr>
          <w:rFonts w:ascii="Avenir Next" w:eastAsia="Times New Roman" w:hAnsi="Avenir Next" w:cs="Arial"/>
          <w:color w:val="7B7B7B" w:themeColor="accent3" w:themeShade="BF"/>
          <w:lang w:val="en-GB"/>
        </w:rPr>
      </w:pPr>
      <w:r w:rsidRPr="00DD588C">
        <w:rPr>
          <w:rFonts w:ascii="Avenir Next" w:eastAsia="Times New Roman" w:hAnsi="Avenir Next" w:cs="Arial"/>
          <w:color w:val="7B7B7B" w:themeColor="accent3" w:themeShade="BF"/>
          <w:lang w:val="en-GB"/>
        </w:rPr>
        <w:t>(iii) delinquent lease</w:t>
      </w:r>
      <w:r w:rsidR="008855CD">
        <w:rPr>
          <w:rFonts w:ascii="Avenir Next" w:eastAsia="Times New Roman" w:hAnsi="Avenir Next" w:cs="Arial"/>
          <w:color w:val="7B7B7B" w:themeColor="accent3" w:themeShade="BF"/>
          <w:lang w:val="en-GB"/>
        </w:rPr>
        <w:t xml:space="preserve">: </w:t>
      </w:r>
      <w:r w:rsidR="008855CD">
        <w:rPr>
          <w:rFonts w:ascii="Avenir Next" w:eastAsia="Times New Roman" w:hAnsi="Avenir Next" w:cs="Arial"/>
          <w:color w:val="7B7B7B" w:themeColor="accent3" w:themeShade="BF"/>
          <w:lang w:val="en-GB"/>
        </w:rPr>
        <w:t xml:space="preserve">the automatic stay is subject to </w:t>
      </w:r>
      <w:r w:rsidR="008855CD">
        <w:rPr>
          <w:rFonts w:ascii="Avenir Next" w:eastAsia="Times New Roman" w:hAnsi="Avenir Next" w:cs="Arial"/>
          <w:color w:val="7B7B7B" w:themeColor="accent3" w:themeShade="BF"/>
          <w:lang w:val="en-GB"/>
        </w:rPr>
        <w:t xml:space="preserve">exceptions of </w:t>
      </w:r>
      <w:r w:rsidR="008855CD" w:rsidRPr="008855CD">
        <w:rPr>
          <w:rFonts w:ascii="Avenir Next" w:eastAsia="Times New Roman" w:hAnsi="Avenir Next" w:cs="Arial"/>
          <w:color w:val="7B7B7B" w:themeColor="accent3" w:themeShade="BF"/>
          <w:lang w:val="en-GB"/>
        </w:rPr>
        <w:t>eviction of a debtor-tenant from non-residential property where the lease has expired</w:t>
      </w:r>
      <w:r w:rsidR="008855CD">
        <w:rPr>
          <w:rFonts w:ascii="Avenir Next" w:eastAsia="Times New Roman" w:hAnsi="Avenir Next" w:cs="Arial"/>
          <w:color w:val="7B7B7B" w:themeColor="accent3" w:themeShade="BF"/>
          <w:lang w:val="en-GB"/>
        </w:rPr>
        <w:t xml:space="preserve">. Therefore, </w:t>
      </w:r>
      <w:r w:rsidR="008855CD" w:rsidRPr="008855CD">
        <w:rPr>
          <w:rFonts w:ascii="Avenir Next" w:eastAsia="Times New Roman" w:hAnsi="Avenir Next" w:cs="Arial"/>
          <w:color w:val="7B7B7B" w:themeColor="accent3" w:themeShade="BF"/>
          <w:lang w:val="en-GB"/>
        </w:rPr>
        <w:t>Speculation Inc</w:t>
      </w:r>
      <w:r w:rsidR="008855CD">
        <w:rPr>
          <w:rFonts w:ascii="Avenir Next" w:eastAsia="Times New Roman" w:hAnsi="Avenir Next" w:cs="Arial"/>
          <w:color w:val="7B7B7B" w:themeColor="accent3" w:themeShade="BF"/>
          <w:lang w:val="en-GB"/>
        </w:rPr>
        <w:t xml:space="preserve"> might be evicted from its offices.</w:t>
      </w:r>
    </w:p>
    <w:p w14:paraId="35BD9C0F" w14:textId="77777777" w:rsidR="00DD588C" w:rsidRDefault="00DD588C" w:rsidP="000778B1">
      <w:pPr>
        <w:pStyle w:val="AODocTxt"/>
        <w:spacing w:before="0" w:line="240" w:lineRule="auto"/>
        <w:rPr>
          <w:rFonts w:ascii="Avenir Next" w:eastAsia="Times New Roman" w:hAnsi="Avenir Next" w:cs="Arial"/>
          <w:color w:val="7B7B7B" w:themeColor="accent3" w:themeShade="BF"/>
          <w:lang w:val="en-GB"/>
        </w:rPr>
      </w:pPr>
    </w:p>
    <w:p w14:paraId="5C793B3F" w14:textId="29E6498C" w:rsidR="00E01803" w:rsidRDefault="00DD588C" w:rsidP="000778B1">
      <w:pPr>
        <w:pStyle w:val="AODocTxt"/>
        <w:spacing w:before="0" w:line="240" w:lineRule="auto"/>
        <w:rPr>
          <w:rFonts w:ascii="Avenir Next" w:hAnsi="Avenir Next"/>
        </w:rPr>
      </w:pPr>
      <w:r w:rsidRPr="00DD588C">
        <w:rPr>
          <w:rFonts w:ascii="Avenir Next" w:eastAsia="Times New Roman" w:hAnsi="Avenir Next" w:cs="Arial"/>
          <w:color w:val="7B7B7B" w:themeColor="accent3" w:themeShade="BF"/>
          <w:lang w:val="en-GB"/>
        </w:rPr>
        <w:t>(iv) employment discrimination lawsuit</w:t>
      </w:r>
      <w:r w:rsidR="008855CD">
        <w:rPr>
          <w:rFonts w:ascii="Avenir Next" w:eastAsia="Times New Roman" w:hAnsi="Avenir Next" w:cs="Arial"/>
          <w:color w:val="7B7B7B" w:themeColor="accent3" w:themeShade="BF"/>
          <w:lang w:val="en-GB"/>
        </w:rPr>
        <w:t xml:space="preserve">: any </w:t>
      </w:r>
      <w:r w:rsidR="008855CD" w:rsidRPr="00DD588C">
        <w:rPr>
          <w:rFonts w:ascii="Avenir Next" w:eastAsia="Times New Roman" w:hAnsi="Avenir Next" w:cs="Arial"/>
          <w:color w:val="7B7B7B" w:themeColor="accent3" w:themeShade="BF"/>
        </w:rPr>
        <w:t>litigation on pre-petition claims</w:t>
      </w:r>
      <w:r w:rsidR="008855CD">
        <w:rPr>
          <w:rFonts w:ascii="Avenir Next" w:eastAsia="Times New Roman" w:hAnsi="Avenir Next" w:cs="Arial"/>
          <w:color w:val="7B7B7B" w:themeColor="accent3" w:themeShade="BF"/>
        </w:rPr>
        <w:t xml:space="preserve"> will be prohibited </w:t>
      </w:r>
      <w:proofErr w:type="gramStart"/>
      <w:r w:rsidR="008855CD">
        <w:rPr>
          <w:rFonts w:ascii="Avenir Next" w:eastAsia="Times New Roman" w:hAnsi="Avenir Next" w:cs="Arial"/>
          <w:color w:val="7B7B7B" w:themeColor="accent3" w:themeShade="BF"/>
        </w:rPr>
        <w:t>as a consequence of</w:t>
      </w:r>
      <w:proofErr w:type="gramEnd"/>
      <w:r w:rsidR="008855CD">
        <w:rPr>
          <w:rFonts w:ascii="Avenir Next" w:eastAsia="Times New Roman" w:hAnsi="Avenir Next" w:cs="Arial"/>
          <w:color w:val="7B7B7B" w:themeColor="accent3" w:themeShade="BF"/>
        </w:rPr>
        <w:t xml:space="preserve"> the automatic stay.</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69C2E697" w14:textId="698C12AB" w:rsid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5FD190C8" w14:textId="773A48D8" w:rsidR="005B0627" w:rsidRDefault="005B0627" w:rsidP="005B0627">
      <w:pPr>
        <w:pStyle w:val="AODocTxt"/>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Foreign proceedings need </w:t>
      </w:r>
      <w:r w:rsidRPr="005B0627">
        <w:rPr>
          <w:rFonts w:ascii="Avenir Next" w:eastAsia="Times New Roman" w:hAnsi="Avenir Next" w:cs="Arial"/>
          <w:color w:val="7B7B7B" w:themeColor="accent3" w:themeShade="BF"/>
          <w:lang w:val="en-GB"/>
        </w:rPr>
        <w:t>not resemble a US bankruptcy case to be recognized. A foreign proceeding is defined by the Bankruptcy Code as "a collective judicial or administrative proceeding in a foreign country .... under a law relating to insolvency or adjustment of debt in which proceeding the assets and affairs of the debtor are subject to control or supervision by a foreign court, for the purpose of reorganization or liquidation." Under this definition, English schemes of arrangement</w:t>
      </w:r>
      <w:r>
        <w:rPr>
          <w:rFonts w:ascii="Avenir Next" w:eastAsia="Times New Roman" w:hAnsi="Avenir Next" w:cs="Arial"/>
          <w:color w:val="7B7B7B" w:themeColor="accent3" w:themeShade="BF"/>
          <w:lang w:val="en-GB"/>
        </w:rPr>
        <w:t xml:space="preserve"> can be recognised.</w:t>
      </w:r>
    </w:p>
    <w:p w14:paraId="4D672FC4" w14:textId="05AC4411" w:rsidR="005B0627" w:rsidRPr="005B0627" w:rsidRDefault="005B0627" w:rsidP="005B0627">
      <w:pPr>
        <w:pStyle w:val="AODocTxt"/>
        <w:rPr>
          <w:rFonts w:ascii="Avenir Next" w:eastAsia="Times New Roman" w:hAnsi="Avenir Next" w:cs="Arial"/>
          <w:color w:val="7B7B7B" w:themeColor="accent3" w:themeShade="BF"/>
          <w:lang w:val="en-GB"/>
        </w:rPr>
      </w:pPr>
      <w:r w:rsidRPr="005B0627">
        <w:rPr>
          <w:rFonts w:ascii="Avenir Next" w:eastAsia="Times New Roman" w:hAnsi="Avenir Next" w:cs="Arial"/>
          <w:color w:val="7B7B7B" w:themeColor="accent3" w:themeShade="BF"/>
          <w:lang w:val="en-GB"/>
        </w:rPr>
        <w:t xml:space="preserve">Foreign main proceedings are those that are commenced in the debtor's </w:t>
      </w:r>
      <w:proofErr w:type="spellStart"/>
      <w:r w:rsidRPr="005B0627">
        <w:rPr>
          <w:rFonts w:ascii="Avenir Next" w:eastAsia="Times New Roman" w:hAnsi="Avenir Next" w:cs="Arial"/>
          <w:color w:val="7B7B7B" w:themeColor="accent3" w:themeShade="BF"/>
          <w:lang w:val="en-GB"/>
        </w:rPr>
        <w:t>center</w:t>
      </w:r>
      <w:proofErr w:type="spellEnd"/>
      <w:r w:rsidRPr="005B0627">
        <w:rPr>
          <w:rFonts w:ascii="Avenir Next" w:eastAsia="Times New Roman" w:hAnsi="Avenir Next" w:cs="Arial"/>
          <w:color w:val="7B7B7B" w:themeColor="accent3" w:themeShade="BF"/>
          <w:lang w:val="en-GB"/>
        </w:rPr>
        <w:t xml:space="preserve"> of main interests (COM</w:t>
      </w:r>
      <w:r>
        <w:rPr>
          <w:rFonts w:ascii="Avenir Next" w:eastAsia="Times New Roman" w:hAnsi="Avenir Next" w:cs="Arial"/>
          <w:color w:val="7B7B7B" w:themeColor="accent3" w:themeShade="BF"/>
          <w:lang w:val="en-GB"/>
        </w:rPr>
        <w:t>I</w:t>
      </w:r>
      <w:r w:rsidRPr="005B0627">
        <w:rPr>
          <w:rFonts w:ascii="Avenir Next" w:eastAsia="Times New Roman" w:hAnsi="Avenir Next" w:cs="Arial"/>
          <w:color w:val="7B7B7B" w:themeColor="accent3" w:themeShade="BF"/>
          <w:lang w:val="en-GB"/>
        </w:rPr>
        <w:t>). A debtor's COMI is presumed to be its place of incorporation, but this is rebuttable. Relevant factors in the COMI analysis include:</w:t>
      </w:r>
    </w:p>
    <w:p w14:paraId="0AA048AD" w14:textId="4DB0A793" w:rsidR="005B0627" w:rsidRPr="005B0627" w:rsidRDefault="005B0627" w:rsidP="005B0627">
      <w:pPr>
        <w:pStyle w:val="AODocTxt"/>
        <w:numPr>
          <w:ilvl w:val="0"/>
          <w:numId w:val="33"/>
        </w:numPr>
        <w:rPr>
          <w:rFonts w:ascii="Avenir Next" w:eastAsia="Times New Roman" w:hAnsi="Avenir Next" w:cs="Arial"/>
          <w:color w:val="7B7B7B" w:themeColor="accent3" w:themeShade="BF"/>
          <w:lang w:val="en-GB"/>
        </w:rPr>
      </w:pPr>
      <w:r w:rsidRPr="005B0627">
        <w:rPr>
          <w:rFonts w:ascii="Avenir Next" w:eastAsia="Times New Roman" w:hAnsi="Avenir Next" w:cs="Arial"/>
          <w:color w:val="7B7B7B" w:themeColor="accent3" w:themeShade="BF"/>
          <w:lang w:val="en-GB"/>
        </w:rPr>
        <w:t xml:space="preserve">location of </w:t>
      </w:r>
      <w:proofErr w:type="gramStart"/>
      <w:r w:rsidRPr="005B0627">
        <w:rPr>
          <w:rFonts w:ascii="Avenir Next" w:eastAsia="Times New Roman" w:hAnsi="Avenir Next" w:cs="Arial"/>
          <w:color w:val="7B7B7B" w:themeColor="accent3" w:themeShade="BF"/>
          <w:lang w:val="en-GB"/>
        </w:rPr>
        <w:t>headquarters;</w:t>
      </w:r>
      <w:proofErr w:type="gramEnd"/>
    </w:p>
    <w:p w14:paraId="4210B97D" w14:textId="0D1993F6" w:rsidR="005B0627" w:rsidRPr="005B0627" w:rsidRDefault="005B0627" w:rsidP="005B0627">
      <w:pPr>
        <w:pStyle w:val="AODocTxt"/>
        <w:numPr>
          <w:ilvl w:val="0"/>
          <w:numId w:val="33"/>
        </w:numPr>
        <w:rPr>
          <w:rFonts w:ascii="Avenir Next" w:eastAsia="Times New Roman" w:hAnsi="Avenir Next" w:cs="Arial"/>
          <w:color w:val="7B7B7B" w:themeColor="accent3" w:themeShade="BF"/>
          <w:lang w:val="en-GB"/>
        </w:rPr>
      </w:pPr>
      <w:r w:rsidRPr="005B0627">
        <w:rPr>
          <w:rFonts w:ascii="Avenir Next" w:eastAsia="Times New Roman" w:hAnsi="Avenir Next" w:cs="Arial"/>
          <w:color w:val="7B7B7B" w:themeColor="accent3" w:themeShade="BF"/>
          <w:lang w:val="en-GB"/>
        </w:rPr>
        <w:lastRenderedPageBreak/>
        <w:t xml:space="preserve">location of </w:t>
      </w:r>
      <w:proofErr w:type="gramStart"/>
      <w:r w:rsidRPr="005B0627">
        <w:rPr>
          <w:rFonts w:ascii="Avenir Next" w:eastAsia="Times New Roman" w:hAnsi="Avenir Next" w:cs="Arial"/>
          <w:color w:val="7B7B7B" w:themeColor="accent3" w:themeShade="BF"/>
          <w:lang w:val="en-GB"/>
        </w:rPr>
        <w:t>management;</w:t>
      </w:r>
      <w:proofErr w:type="gramEnd"/>
    </w:p>
    <w:p w14:paraId="16A8C36F" w14:textId="294E0AE0" w:rsidR="005B0627" w:rsidRPr="005B0627" w:rsidRDefault="005B0627" w:rsidP="005B0627">
      <w:pPr>
        <w:pStyle w:val="AODocTxt"/>
        <w:numPr>
          <w:ilvl w:val="0"/>
          <w:numId w:val="33"/>
        </w:numPr>
        <w:rPr>
          <w:rFonts w:ascii="Avenir Next" w:eastAsia="Times New Roman" w:hAnsi="Avenir Next" w:cs="Arial"/>
          <w:color w:val="7B7B7B" w:themeColor="accent3" w:themeShade="BF"/>
          <w:lang w:val="en-GB"/>
        </w:rPr>
      </w:pPr>
      <w:r w:rsidRPr="005B0627">
        <w:rPr>
          <w:rFonts w:ascii="Avenir Next" w:eastAsia="Times New Roman" w:hAnsi="Avenir Next" w:cs="Arial"/>
          <w:color w:val="7B7B7B" w:themeColor="accent3" w:themeShade="BF"/>
          <w:lang w:val="en-GB"/>
        </w:rPr>
        <w:t>location of primary assets</w:t>
      </w:r>
    </w:p>
    <w:p w14:paraId="635E36B0" w14:textId="32040A4B" w:rsidR="005B0627" w:rsidRPr="005B0627" w:rsidRDefault="005B0627" w:rsidP="005B0627">
      <w:pPr>
        <w:pStyle w:val="AODocTxt"/>
        <w:numPr>
          <w:ilvl w:val="0"/>
          <w:numId w:val="33"/>
        </w:numPr>
        <w:rPr>
          <w:rFonts w:ascii="Avenir Next" w:eastAsia="Times New Roman" w:hAnsi="Avenir Next" w:cs="Arial"/>
          <w:color w:val="7B7B7B" w:themeColor="accent3" w:themeShade="BF"/>
          <w:lang w:val="en-GB"/>
        </w:rPr>
      </w:pPr>
      <w:r w:rsidRPr="005B0627">
        <w:rPr>
          <w:rFonts w:ascii="Avenir Next" w:eastAsia="Times New Roman" w:hAnsi="Avenir Next" w:cs="Arial"/>
          <w:color w:val="7B7B7B" w:themeColor="accent3" w:themeShade="BF"/>
          <w:lang w:val="en-GB"/>
        </w:rPr>
        <w:t xml:space="preserve">location of </w:t>
      </w:r>
      <w:proofErr w:type="gramStart"/>
      <w:r w:rsidRPr="005B0627">
        <w:rPr>
          <w:rFonts w:ascii="Avenir Next" w:eastAsia="Times New Roman" w:hAnsi="Avenir Next" w:cs="Arial"/>
          <w:color w:val="7B7B7B" w:themeColor="accent3" w:themeShade="BF"/>
          <w:lang w:val="en-GB"/>
        </w:rPr>
        <w:t>a majority of</w:t>
      </w:r>
      <w:proofErr w:type="gramEnd"/>
      <w:r w:rsidRPr="005B0627">
        <w:rPr>
          <w:rFonts w:ascii="Avenir Next" w:eastAsia="Times New Roman" w:hAnsi="Avenir Next" w:cs="Arial"/>
          <w:color w:val="7B7B7B" w:themeColor="accent3" w:themeShade="BF"/>
          <w:lang w:val="en-GB"/>
        </w:rPr>
        <w:t xml:space="preserve"> debtor's creditors or a majority of the creditors that will be affected by the relief requested by the foreign representative; and</w:t>
      </w:r>
    </w:p>
    <w:p w14:paraId="2F5E4C5A" w14:textId="17D9C95B" w:rsidR="005B0627" w:rsidRDefault="005B0627" w:rsidP="005B0627">
      <w:pPr>
        <w:pStyle w:val="AODocTxt"/>
        <w:numPr>
          <w:ilvl w:val="0"/>
          <w:numId w:val="33"/>
        </w:numPr>
        <w:spacing w:before="0" w:line="240" w:lineRule="auto"/>
        <w:rPr>
          <w:rFonts w:ascii="Avenir Next" w:eastAsia="Times New Roman" w:hAnsi="Avenir Next" w:cs="Arial"/>
          <w:color w:val="7B7B7B" w:themeColor="accent3" w:themeShade="BF"/>
          <w:lang w:val="en-GB"/>
        </w:rPr>
      </w:pPr>
      <w:r w:rsidRPr="005B0627">
        <w:rPr>
          <w:rFonts w:ascii="Avenir Next" w:eastAsia="Times New Roman" w:hAnsi="Avenir Next" w:cs="Arial"/>
          <w:color w:val="7B7B7B" w:themeColor="accent3" w:themeShade="BF"/>
          <w:lang w:val="en-GB"/>
        </w:rPr>
        <w:t xml:space="preserve">jurisdiction whose law will apply to most </w:t>
      </w:r>
      <w:proofErr w:type="spellStart"/>
      <w:r w:rsidRPr="005B0627">
        <w:rPr>
          <w:rFonts w:ascii="Avenir Next" w:eastAsia="Times New Roman" w:hAnsi="Avenir Next" w:cs="Arial"/>
          <w:color w:val="7B7B7B" w:themeColor="accent3" w:themeShade="BF"/>
          <w:lang w:val="en-GB"/>
        </w:rPr>
        <w:t>disputes.</w:t>
      </w:r>
      <w:proofErr w:type="spellEnd"/>
    </w:p>
    <w:p w14:paraId="5E407317" w14:textId="77777777" w:rsidR="005B0627" w:rsidRDefault="005B0627" w:rsidP="005B0627">
      <w:pPr>
        <w:pStyle w:val="AODocTxt"/>
        <w:spacing w:before="0" w:line="240" w:lineRule="auto"/>
        <w:rPr>
          <w:rFonts w:ascii="Avenir Next" w:eastAsia="Times New Roman" w:hAnsi="Avenir Next" w:cs="Arial"/>
          <w:color w:val="7B7B7B" w:themeColor="accent3" w:themeShade="BF"/>
          <w:lang w:val="en-GB"/>
        </w:rPr>
      </w:pPr>
    </w:p>
    <w:p w14:paraId="4700780A" w14:textId="0C943B3A" w:rsidR="00E01803" w:rsidRDefault="005B0627" w:rsidP="005B0627">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In Stella’s case, COMI is presumed to be in its place of </w:t>
      </w:r>
      <w:r w:rsidR="00BD2FB6" w:rsidRPr="00BD2FB6">
        <w:rPr>
          <w:rFonts w:ascii="Avenir Next" w:eastAsia="Times New Roman" w:hAnsi="Avenir Next" w:cs="Arial"/>
          <w:color w:val="7B7B7B" w:themeColor="accent3" w:themeShade="BF"/>
          <w:lang w:val="en-GB"/>
        </w:rPr>
        <w:t>incorporat</w:t>
      </w:r>
      <w:r>
        <w:rPr>
          <w:rFonts w:ascii="Avenir Next" w:eastAsia="Times New Roman" w:hAnsi="Avenir Next" w:cs="Arial"/>
          <w:color w:val="7B7B7B" w:themeColor="accent3" w:themeShade="BF"/>
          <w:lang w:val="en-GB"/>
        </w:rPr>
        <w:t xml:space="preserve">ion, </w:t>
      </w:r>
      <w:r w:rsidR="00BD2FB6" w:rsidRPr="00BD2FB6">
        <w:rPr>
          <w:rFonts w:ascii="Avenir Next" w:eastAsia="Times New Roman" w:hAnsi="Avenir Next" w:cs="Arial"/>
          <w:color w:val="7B7B7B" w:themeColor="accent3" w:themeShade="BF"/>
          <w:lang w:val="en-GB"/>
        </w:rPr>
        <w:t>France</w:t>
      </w:r>
      <w:r>
        <w:rPr>
          <w:rFonts w:ascii="Avenir Next" w:eastAsia="Times New Roman" w:hAnsi="Avenir Next" w:cs="Arial"/>
          <w:color w:val="7B7B7B" w:themeColor="accent3" w:themeShade="BF"/>
          <w:lang w:val="en-GB"/>
        </w:rPr>
        <w:t xml:space="preserve">. Other relevant factors </w:t>
      </w:r>
      <w:proofErr w:type="gramStart"/>
      <w:r>
        <w:rPr>
          <w:rFonts w:ascii="Avenir Next" w:eastAsia="Times New Roman" w:hAnsi="Avenir Next" w:cs="Arial"/>
          <w:color w:val="7B7B7B" w:themeColor="accent3" w:themeShade="BF"/>
          <w:lang w:val="en-GB"/>
        </w:rPr>
        <w:t>includes</w:t>
      </w:r>
      <w:proofErr w:type="gramEnd"/>
      <w:r>
        <w:rPr>
          <w:rFonts w:ascii="Avenir Next" w:eastAsia="Times New Roman" w:hAnsi="Avenir Next" w:cs="Arial"/>
          <w:color w:val="7B7B7B" w:themeColor="accent3" w:themeShade="BF"/>
          <w:lang w:val="en-GB"/>
        </w:rPr>
        <w:t>:</w:t>
      </w:r>
    </w:p>
    <w:p w14:paraId="1A1DFCBD" w14:textId="7EB91596" w:rsidR="00BD2FB6" w:rsidRPr="005B0627" w:rsidRDefault="00BD2FB6" w:rsidP="005B0627">
      <w:pPr>
        <w:pStyle w:val="AODocTxt"/>
        <w:numPr>
          <w:ilvl w:val="0"/>
          <w:numId w:val="43"/>
        </w:numPr>
        <w:spacing w:before="0" w:line="240" w:lineRule="auto"/>
        <w:rPr>
          <w:rFonts w:ascii="Avenir Next" w:eastAsia="Times New Roman" w:hAnsi="Avenir Next" w:cs="Arial"/>
          <w:color w:val="7B7B7B" w:themeColor="accent3" w:themeShade="BF"/>
          <w:lang w:val="en-GB"/>
        </w:rPr>
      </w:pPr>
      <w:r w:rsidRPr="005B0627">
        <w:rPr>
          <w:rFonts w:ascii="Avenir Next" w:eastAsia="Times New Roman" w:hAnsi="Avenir Next" w:cs="Arial"/>
          <w:color w:val="7B7B7B" w:themeColor="accent3" w:themeShade="BF"/>
          <w:lang w:val="en-GB"/>
        </w:rPr>
        <w:t>headquarters in Paris</w:t>
      </w:r>
    </w:p>
    <w:p w14:paraId="4B357691" w14:textId="3BE53CBD" w:rsidR="00BD2FB6" w:rsidRPr="005B0627" w:rsidRDefault="005B0627" w:rsidP="005B0627">
      <w:pPr>
        <w:pStyle w:val="AODocTxt"/>
        <w:numPr>
          <w:ilvl w:val="0"/>
          <w:numId w:val="43"/>
        </w:numPr>
        <w:spacing w:before="0" w:line="240" w:lineRule="auto"/>
        <w:rPr>
          <w:rFonts w:ascii="Avenir Next" w:eastAsia="Times New Roman" w:hAnsi="Avenir Next" w:cs="Arial"/>
          <w:color w:val="7B7B7B" w:themeColor="accent3" w:themeShade="BF"/>
          <w:lang w:val="en-GB"/>
        </w:rPr>
      </w:pPr>
      <w:r w:rsidRPr="005B0627">
        <w:rPr>
          <w:rFonts w:ascii="Avenir Next" w:eastAsia="Times New Roman" w:hAnsi="Avenir Next" w:cs="Arial"/>
          <w:color w:val="7B7B7B" w:themeColor="accent3" w:themeShade="BF"/>
          <w:lang w:val="en-GB"/>
        </w:rPr>
        <w:t xml:space="preserve">location of primary assets: </w:t>
      </w:r>
      <w:r w:rsidR="00BD2FB6" w:rsidRPr="005B0627">
        <w:rPr>
          <w:rFonts w:ascii="Avenir Next" w:eastAsia="Times New Roman" w:hAnsi="Avenir Next" w:cs="Arial"/>
          <w:color w:val="7B7B7B" w:themeColor="accent3" w:themeShade="BF"/>
          <w:lang w:val="en-GB"/>
        </w:rPr>
        <w:t>products are made in Italy</w:t>
      </w:r>
      <w:r w:rsidRPr="005B0627">
        <w:rPr>
          <w:rFonts w:ascii="Avenir Next" w:eastAsia="Times New Roman" w:hAnsi="Avenir Next" w:cs="Arial"/>
          <w:color w:val="7B7B7B" w:themeColor="accent3" w:themeShade="BF"/>
          <w:lang w:val="en-GB"/>
        </w:rPr>
        <w:t xml:space="preserve">, </w:t>
      </w:r>
      <w:r w:rsidR="00BD2FB6" w:rsidRPr="005B0627">
        <w:rPr>
          <w:rFonts w:ascii="Avenir Next" w:eastAsia="Times New Roman" w:hAnsi="Avenir Next" w:cs="Arial"/>
          <w:color w:val="7B7B7B" w:themeColor="accent3" w:themeShade="BF"/>
          <w:lang w:val="en-GB"/>
        </w:rPr>
        <w:t>retail stores in Europe (including England), Asia, and North America</w:t>
      </w:r>
    </w:p>
    <w:p w14:paraId="4C33CFE8" w14:textId="17AF1C19" w:rsidR="005B0627" w:rsidRPr="005B0627" w:rsidRDefault="005B0627" w:rsidP="005B0627">
      <w:pPr>
        <w:pStyle w:val="AODocTxt"/>
        <w:numPr>
          <w:ilvl w:val="0"/>
          <w:numId w:val="43"/>
        </w:numPr>
        <w:spacing w:before="0" w:line="240" w:lineRule="auto"/>
        <w:rPr>
          <w:rFonts w:ascii="Avenir Next" w:eastAsia="Times New Roman" w:hAnsi="Avenir Next" w:cs="Arial"/>
          <w:color w:val="7B7B7B" w:themeColor="accent3" w:themeShade="BF"/>
          <w:lang w:val="en-GB"/>
        </w:rPr>
      </w:pPr>
      <w:r w:rsidRPr="005B0627">
        <w:rPr>
          <w:rFonts w:ascii="Avenir Next" w:eastAsia="Times New Roman" w:hAnsi="Avenir Next" w:cs="Arial"/>
          <w:color w:val="7B7B7B" w:themeColor="accent3" w:themeShade="BF"/>
          <w:lang w:val="en-GB"/>
        </w:rPr>
        <w:t>location of creditors: likely to be in Europe (who invest in Eurobonds)</w:t>
      </w:r>
    </w:p>
    <w:p w14:paraId="67D20423" w14:textId="330FB955" w:rsidR="00BD2FB6" w:rsidRPr="005B0627" w:rsidRDefault="005B0627" w:rsidP="005B0627">
      <w:pPr>
        <w:pStyle w:val="AODocTxt"/>
        <w:numPr>
          <w:ilvl w:val="0"/>
          <w:numId w:val="43"/>
        </w:numPr>
        <w:spacing w:before="0" w:line="240" w:lineRule="auto"/>
        <w:rPr>
          <w:rFonts w:ascii="Avenir Next" w:eastAsia="Times New Roman" w:hAnsi="Avenir Next" w:cs="Arial"/>
          <w:color w:val="7B7B7B" w:themeColor="accent3" w:themeShade="BF"/>
          <w:lang w:val="en-GB"/>
        </w:rPr>
      </w:pPr>
      <w:r w:rsidRPr="005B0627">
        <w:rPr>
          <w:rFonts w:ascii="Avenir Next" w:eastAsia="Times New Roman" w:hAnsi="Avenir Next" w:cs="Arial"/>
          <w:color w:val="7B7B7B" w:themeColor="accent3" w:themeShade="BF"/>
          <w:lang w:val="en-GB"/>
        </w:rPr>
        <w:t xml:space="preserve">jurisdiction whose law will apply to most disputes: The </w:t>
      </w:r>
      <w:r w:rsidR="00BD2FB6" w:rsidRPr="005B0627">
        <w:rPr>
          <w:rFonts w:ascii="Avenir Next" w:eastAsia="Times New Roman" w:hAnsi="Avenir Next" w:cs="Arial"/>
          <w:color w:val="7B7B7B" w:themeColor="accent3" w:themeShade="BF"/>
          <w:lang w:val="en-GB"/>
        </w:rPr>
        <w:t xml:space="preserve">Eurobonds are governed by English </w:t>
      </w:r>
      <w:proofErr w:type="gramStart"/>
      <w:r w:rsidR="00BD2FB6" w:rsidRPr="005B0627">
        <w:rPr>
          <w:rFonts w:ascii="Avenir Next" w:eastAsia="Times New Roman" w:hAnsi="Avenir Next" w:cs="Arial"/>
          <w:color w:val="7B7B7B" w:themeColor="accent3" w:themeShade="BF"/>
          <w:lang w:val="en-GB"/>
        </w:rPr>
        <w:t>law</w:t>
      </w:r>
      <w:proofErr w:type="gramEnd"/>
    </w:p>
    <w:p w14:paraId="45733D0D" w14:textId="77777777" w:rsidR="00BD2FB6" w:rsidRDefault="00BD2FB6" w:rsidP="000778B1">
      <w:pPr>
        <w:pStyle w:val="AODocTxt"/>
        <w:spacing w:before="0" w:line="240" w:lineRule="auto"/>
        <w:rPr>
          <w:rFonts w:ascii="Avenir Next" w:hAnsi="Avenir Next"/>
        </w:rPr>
      </w:pPr>
    </w:p>
    <w:p w14:paraId="4206237C" w14:textId="74CAF898" w:rsidR="00F03051" w:rsidRDefault="005B0627"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Therefore, it is possible that England can be considered as COMI therefore being the f</w:t>
      </w:r>
      <w:r w:rsidRPr="005B0627">
        <w:rPr>
          <w:rFonts w:ascii="Avenir Next" w:eastAsia="Times New Roman" w:hAnsi="Avenir Next" w:cs="Arial"/>
          <w:color w:val="7B7B7B" w:themeColor="accent3" w:themeShade="BF"/>
          <w:lang w:val="en-GB"/>
        </w:rPr>
        <w:t>oreign main proceedings</w:t>
      </w:r>
      <w:r>
        <w:rPr>
          <w:rFonts w:ascii="Avenir Next" w:eastAsia="Times New Roman" w:hAnsi="Avenir Next" w:cs="Arial"/>
          <w:color w:val="7B7B7B" w:themeColor="accent3" w:themeShade="BF"/>
          <w:lang w:val="en-GB"/>
        </w:rPr>
        <w:t xml:space="preserve">. </w:t>
      </w:r>
      <w:proofErr w:type="gramStart"/>
      <w:r>
        <w:rPr>
          <w:rFonts w:ascii="Avenir Next" w:eastAsia="Times New Roman" w:hAnsi="Avenir Next" w:cs="Arial"/>
          <w:color w:val="7B7B7B" w:themeColor="accent3" w:themeShade="BF"/>
          <w:lang w:val="en-GB"/>
        </w:rPr>
        <w:t>Otherwise</w:t>
      </w:r>
      <w:proofErr w:type="gramEnd"/>
      <w:r>
        <w:rPr>
          <w:rFonts w:ascii="Avenir Next" w:eastAsia="Times New Roman" w:hAnsi="Avenir Next" w:cs="Arial"/>
          <w:color w:val="7B7B7B" w:themeColor="accent3" w:themeShade="BF"/>
          <w:lang w:val="en-GB"/>
        </w:rPr>
        <w:t xml:space="preserve"> it will be a non-main proceeding. </w:t>
      </w:r>
    </w:p>
    <w:p w14:paraId="4BD57504" w14:textId="77777777" w:rsidR="005B0627" w:rsidRPr="00E01803" w:rsidRDefault="005B062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1DA4FDB4" w:rsidR="00F03051" w:rsidRPr="00E41578" w:rsidRDefault="00C23D4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As there are material non-performed obligations on both sides under the contract –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needs to pay monthly royalties, and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needs to provide it licence.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6A3B4125" w14:textId="175078C3" w:rsidR="00B2727C" w:rsidRDefault="00B2727C" w:rsidP="00B2727C">
      <w:pPr>
        <w:pStyle w:val="AODocTxt"/>
        <w:rPr>
          <w:rFonts w:ascii="Avenir Next" w:eastAsia="Times New Roman" w:hAnsi="Avenir Next" w:cs="Arial"/>
          <w:color w:val="7B7B7B" w:themeColor="accent3" w:themeShade="BF"/>
        </w:rPr>
      </w:pPr>
      <w:r w:rsidRPr="00B2727C">
        <w:rPr>
          <w:rFonts w:ascii="Avenir Next" w:eastAsia="Times New Roman" w:hAnsi="Avenir Next" w:cs="Arial"/>
          <w:color w:val="7B7B7B" w:themeColor="accent3" w:themeShade="BF"/>
        </w:rPr>
        <w:t>Counterparty consent is only required where the contract is one to make a loan or other financial accommodation, or where substantive non-bankruptcy law (such as intellectual property licensing law) provides that the counterparty cannot be compelled to accept performance from</w:t>
      </w:r>
      <w:r>
        <w:rPr>
          <w:rFonts w:ascii="Avenir Next" w:eastAsia="Times New Roman" w:hAnsi="Avenir Next" w:cs="Arial"/>
          <w:color w:val="7B7B7B" w:themeColor="accent3" w:themeShade="BF"/>
        </w:rPr>
        <w:t xml:space="preserve"> </w:t>
      </w:r>
      <w:r w:rsidRPr="00B2727C">
        <w:rPr>
          <w:rFonts w:ascii="Avenir Next" w:eastAsia="Times New Roman" w:hAnsi="Avenir Next" w:cs="Arial"/>
          <w:color w:val="7B7B7B" w:themeColor="accent3" w:themeShade="BF"/>
        </w:rPr>
        <w:t xml:space="preserve">a transferee. Because the prohibition is phrased as prohibiting either assumption or assignment, some courts have concluded that a debtor may not assume an executory contract that it would not be permitted to assign (the hypothetical test). Thus, for example, a licensee of a third-party's intellectual property might not be able to assume and continue performing under a pre-petition license without the licensor's consent. Other </w:t>
      </w:r>
      <w:r w:rsidRPr="00B2727C">
        <w:rPr>
          <w:rFonts w:ascii="Avenir Next" w:eastAsia="Times New Roman" w:hAnsi="Avenir Next" w:cs="Arial"/>
          <w:color w:val="7B7B7B" w:themeColor="accent3" w:themeShade="BF"/>
        </w:rPr>
        <w:lastRenderedPageBreak/>
        <w:t xml:space="preserve">courts have held that this provision applies only where the debtor </w:t>
      </w:r>
      <w:proofErr w:type="gramStart"/>
      <w:r w:rsidRPr="00B2727C">
        <w:rPr>
          <w:rFonts w:ascii="Avenir Next" w:eastAsia="Times New Roman" w:hAnsi="Avenir Next" w:cs="Arial"/>
          <w:color w:val="7B7B7B" w:themeColor="accent3" w:themeShade="BF"/>
        </w:rPr>
        <w:t>actually intends</w:t>
      </w:r>
      <w:proofErr w:type="gramEnd"/>
      <w:r w:rsidRPr="00B2727C">
        <w:rPr>
          <w:rFonts w:ascii="Avenir Next" w:eastAsia="Times New Roman" w:hAnsi="Avenir Next" w:cs="Arial"/>
          <w:color w:val="7B7B7B" w:themeColor="accent3" w:themeShade="BF"/>
        </w:rPr>
        <w:t xml:space="preserve"> to assign the agreement (the actual test)</w:t>
      </w:r>
      <w:r>
        <w:rPr>
          <w:rFonts w:ascii="Avenir Next" w:eastAsia="Times New Roman" w:hAnsi="Avenir Next" w:cs="Arial"/>
          <w:color w:val="7B7B7B" w:themeColor="accent3" w:themeShade="BF"/>
        </w:rPr>
        <w:t xml:space="preserve">. </w:t>
      </w:r>
    </w:p>
    <w:p w14:paraId="74130736" w14:textId="39662CA7" w:rsidR="00B2727C" w:rsidRPr="00C23D49" w:rsidRDefault="00B2727C" w:rsidP="00B2727C">
      <w:pPr>
        <w:pStyle w:val="AODocTxt"/>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rPr>
        <w:t xml:space="preserve">Under the hypothetical test, </w:t>
      </w:r>
      <w:proofErr w:type="spellStart"/>
      <w:r>
        <w:rPr>
          <w:rFonts w:ascii="Avenir Next" w:eastAsia="Times New Roman" w:hAnsi="Avenir Next" w:cs="Arial"/>
          <w:color w:val="7B7B7B" w:themeColor="accent3" w:themeShade="BF"/>
        </w:rPr>
        <w:t>GameMart</w:t>
      </w:r>
      <w:proofErr w:type="spellEnd"/>
      <w:r>
        <w:rPr>
          <w:rFonts w:ascii="Avenir Next" w:eastAsia="Times New Roman" w:hAnsi="Avenir Next" w:cs="Arial"/>
          <w:color w:val="7B7B7B" w:themeColor="accent3" w:themeShade="BF"/>
        </w:rPr>
        <w:t xml:space="preserve"> cannot assign without consent of </w:t>
      </w:r>
      <w:proofErr w:type="spellStart"/>
      <w:r>
        <w:rPr>
          <w:rFonts w:ascii="Avenir Next" w:eastAsia="Times New Roman" w:hAnsi="Avenir Next" w:cs="Arial"/>
          <w:color w:val="7B7B7B" w:themeColor="accent3" w:themeShade="BF"/>
        </w:rPr>
        <w:t>Totoy</w:t>
      </w:r>
      <w:proofErr w:type="spellEnd"/>
      <w:r>
        <w:rPr>
          <w:rFonts w:ascii="Avenir Next" w:eastAsia="Times New Roman" w:hAnsi="Avenir Next" w:cs="Arial"/>
          <w:color w:val="7B7B7B" w:themeColor="accent3" w:themeShade="BF"/>
        </w:rPr>
        <w:t>, but under the actual test, it can assign the contract.</w:t>
      </w:r>
    </w:p>
    <w:p w14:paraId="2D819B37" w14:textId="77777777" w:rsidR="00F03051" w:rsidRDefault="00F03051" w:rsidP="000778B1">
      <w:pPr>
        <w:pStyle w:val="AODocTxt"/>
        <w:spacing w:before="0" w:line="240" w:lineRule="auto"/>
        <w:rPr>
          <w:rFonts w:ascii="Avenir Next" w:eastAsia="Times New Roman" w:hAnsi="Avenir Next" w:cs="Arial"/>
          <w:color w:val="7B7B7B" w:themeColor="accent3" w:themeShade="BF"/>
          <w:lang w:val="en-GB"/>
        </w:rPr>
      </w:pPr>
    </w:p>
    <w:p w14:paraId="24F63985" w14:textId="77777777" w:rsidR="00C23D49" w:rsidRPr="00E01803" w:rsidRDefault="00C23D49"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40F3C409" w14:textId="0C3EAF77" w:rsidR="00E01803" w:rsidRDefault="00B2727C" w:rsidP="000778B1">
      <w:pPr>
        <w:pStyle w:val="AODocTxt"/>
        <w:spacing w:before="0" w:line="240" w:lineRule="auto"/>
        <w:rPr>
          <w:rFonts w:ascii="Avenir Next" w:hAnsi="Avenir Next"/>
        </w:rPr>
      </w:pPr>
      <w:r>
        <w:rPr>
          <w:rFonts w:ascii="Avenir Next" w:eastAsia="Times New Roman" w:hAnsi="Avenir Next" w:cs="Arial"/>
          <w:color w:val="7B7B7B" w:themeColor="accent3" w:themeShade="BF"/>
          <w:lang w:val="en-GB"/>
        </w:rPr>
        <w:t xml:space="preserve">Because </w:t>
      </w:r>
      <w:r w:rsidRPr="00B2727C">
        <w:rPr>
          <w:rFonts w:ascii="Avenir Next" w:eastAsia="Times New Roman" w:hAnsi="Avenir Next" w:cs="Arial"/>
          <w:color w:val="7B7B7B" w:themeColor="accent3" w:themeShade="BF"/>
          <w:lang w:val="en-GB"/>
        </w:rPr>
        <w:t xml:space="preserve">the </w:t>
      </w:r>
      <w:r>
        <w:rPr>
          <w:rFonts w:ascii="Avenir Next" w:eastAsia="Times New Roman" w:hAnsi="Avenir Next" w:cs="Arial"/>
          <w:color w:val="7B7B7B" w:themeColor="accent3" w:themeShade="BF"/>
          <w:lang w:val="en-GB"/>
        </w:rPr>
        <w:t xml:space="preserve">terms of the </w:t>
      </w:r>
      <w:r w:rsidRPr="00B2727C">
        <w:rPr>
          <w:rFonts w:ascii="Avenir Next" w:eastAsia="Times New Roman" w:hAnsi="Avenir Next" w:cs="Arial"/>
          <w:color w:val="7B7B7B" w:themeColor="accent3" w:themeShade="BF"/>
          <w:lang w:val="en-GB"/>
        </w:rPr>
        <w:t>lease</w:t>
      </w:r>
      <w:r>
        <w:rPr>
          <w:rFonts w:ascii="Avenir Next" w:eastAsia="Times New Roman" w:hAnsi="Avenir Next" w:cs="Arial"/>
          <w:color w:val="7B7B7B" w:themeColor="accent3" w:themeShade="BF"/>
          <w:lang w:val="en-GB"/>
        </w:rPr>
        <w:t xml:space="preserve"> prohibit</w:t>
      </w:r>
      <w:r w:rsidRPr="00B2727C">
        <w:rPr>
          <w:rFonts w:ascii="Avenir Next" w:eastAsia="Times New Roman" w:hAnsi="Avenir Next" w:cs="Arial"/>
          <w:color w:val="7B7B7B" w:themeColor="accent3" w:themeShade="BF"/>
          <w:lang w:val="en-GB"/>
        </w:rPr>
        <w:t xml:space="preserve"> assignment without Land Corp’s consent</w:t>
      </w:r>
      <w:r>
        <w:rPr>
          <w:rFonts w:ascii="Avenir Next" w:eastAsia="Times New Roman" w:hAnsi="Avenir Next" w:cs="Arial"/>
          <w:color w:val="7B7B7B" w:themeColor="accent3" w:themeShade="BF"/>
          <w:lang w:val="en-GB"/>
        </w:rPr>
        <w:t xml:space="preserve">, it cannot be transferred without </w:t>
      </w:r>
      <w:r w:rsidRPr="00B2727C">
        <w:rPr>
          <w:rFonts w:ascii="Avenir Next" w:eastAsia="Times New Roman" w:hAnsi="Avenir Next" w:cs="Arial"/>
          <w:color w:val="7B7B7B" w:themeColor="accent3" w:themeShade="BF"/>
          <w:lang w:val="en-GB"/>
        </w:rPr>
        <w:t>Land Corp’s consent</w:t>
      </w:r>
      <w:r>
        <w:rPr>
          <w:rFonts w:ascii="Avenir Next" w:eastAsia="Times New Roman" w:hAnsi="Avenir Next" w:cs="Arial"/>
          <w:color w:val="7B7B7B" w:themeColor="accent3" w:themeShade="BF"/>
          <w:lang w:val="en-GB"/>
        </w:rPr>
        <w:t>.</w:t>
      </w: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F0CC" w14:textId="77777777" w:rsidR="00723BAD" w:rsidRDefault="00723BAD" w:rsidP="00241B44">
      <w:r>
        <w:separator/>
      </w:r>
    </w:p>
  </w:endnote>
  <w:endnote w:type="continuationSeparator" w:id="0">
    <w:p w14:paraId="385BA7FA" w14:textId="77777777" w:rsidR="00723BAD" w:rsidRDefault="00723BA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C7C0BDD" w:rsidR="00241FA3" w:rsidRPr="00494B81" w:rsidRDefault="0073158B" w:rsidP="009B4976">
    <w:pPr>
      <w:pStyle w:val="Footer"/>
      <w:ind w:right="360"/>
      <w:rPr>
        <w:rFonts w:ascii="Avenir Next" w:hAnsi="Avenir Next" w:cs="Arial"/>
        <w:sz w:val="22"/>
        <w:szCs w:val="22"/>
        <w:lang w:val="en-GB"/>
      </w:rPr>
    </w:pPr>
    <w:r w:rsidRPr="00494B81">
      <w:rPr>
        <w:rFonts w:ascii="Avenir Next" w:hAnsi="Avenir Next" w:cs="Arial"/>
        <w:sz w:val="22"/>
        <w:szCs w:val="22"/>
        <w:lang w:val="en-GB"/>
      </w:rPr>
      <w:t>student</w:t>
    </w:r>
    <w:r w:rsidR="007D0192" w:rsidRPr="00494B81">
      <w:rPr>
        <w:rFonts w:ascii="Avenir Next" w:hAnsi="Avenir Next" w:cs="Arial"/>
        <w:sz w:val="22"/>
        <w:szCs w:val="22"/>
        <w:lang w:val="en-GB"/>
      </w:rPr>
      <w:t>ID</w:t>
    </w:r>
    <w:r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48C5" w14:textId="77777777" w:rsidR="00723BAD" w:rsidRDefault="00723BAD" w:rsidP="00241B44">
      <w:r>
        <w:separator/>
      </w:r>
    </w:p>
  </w:footnote>
  <w:footnote w:type="continuationSeparator" w:id="0">
    <w:p w14:paraId="785D26C1" w14:textId="77777777" w:rsidR="00723BAD" w:rsidRDefault="00723BA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7A7"/>
    <w:multiLevelType w:val="hybridMultilevel"/>
    <w:tmpl w:val="62DE45A2"/>
    <w:lvl w:ilvl="0" w:tplc="981E24DE">
      <w:start w:val="3"/>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E46EE"/>
    <w:multiLevelType w:val="hybridMultilevel"/>
    <w:tmpl w:val="1B3E99E0"/>
    <w:lvl w:ilvl="0" w:tplc="E6A87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03729"/>
    <w:multiLevelType w:val="hybridMultilevel"/>
    <w:tmpl w:val="C9D80DC6"/>
    <w:lvl w:ilvl="0" w:tplc="A8BE0EFA">
      <w:start w:val="4"/>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113AF"/>
    <w:multiLevelType w:val="hybridMultilevel"/>
    <w:tmpl w:val="6074C32C"/>
    <w:lvl w:ilvl="0" w:tplc="E6A87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41C21"/>
    <w:multiLevelType w:val="hybridMultilevel"/>
    <w:tmpl w:val="8256872C"/>
    <w:lvl w:ilvl="0" w:tplc="981E24DE">
      <w:start w:val="3"/>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E0F96"/>
    <w:multiLevelType w:val="hybridMultilevel"/>
    <w:tmpl w:val="63727EBC"/>
    <w:lvl w:ilvl="0" w:tplc="A8BE0EFA">
      <w:start w:val="4"/>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B45C4E"/>
    <w:multiLevelType w:val="hybridMultilevel"/>
    <w:tmpl w:val="CF24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C142E7"/>
    <w:multiLevelType w:val="hybridMultilevel"/>
    <w:tmpl w:val="80B4E380"/>
    <w:lvl w:ilvl="0" w:tplc="2A1A8B22">
      <w:start w:val="2"/>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16C65"/>
    <w:multiLevelType w:val="hybridMultilevel"/>
    <w:tmpl w:val="46DC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B63242"/>
    <w:multiLevelType w:val="hybridMultilevel"/>
    <w:tmpl w:val="8F6A585A"/>
    <w:lvl w:ilvl="0" w:tplc="981E24DE">
      <w:start w:val="3"/>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E10EE"/>
    <w:multiLevelType w:val="hybridMultilevel"/>
    <w:tmpl w:val="7FB01EDE"/>
    <w:lvl w:ilvl="0" w:tplc="E6A87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060B19"/>
    <w:multiLevelType w:val="hybridMultilevel"/>
    <w:tmpl w:val="C3F8BD9E"/>
    <w:lvl w:ilvl="0" w:tplc="981E24DE">
      <w:start w:val="3"/>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11461">
    <w:abstractNumId w:val="29"/>
  </w:num>
  <w:num w:numId="2" w16cid:durableId="1751928088">
    <w:abstractNumId w:val="35"/>
  </w:num>
  <w:num w:numId="3" w16cid:durableId="1444769350">
    <w:abstractNumId w:val="8"/>
  </w:num>
  <w:num w:numId="4" w16cid:durableId="1332875936">
    <w:abstractNumId w:val="13"/>
  </w:num>
  <w:num w:numId="5" w16cid:durableId="656959763">
    <w:abstractNumId w:val="15"/>
  </w:num>
  <w:num w:numId="6" w16cid:durableId="2085839014">
    <w:abstractNumId w:val="38"/>
  </w:num>
  <w:num w:numId="7" w16cid:durableId="213473170">
    <w:abstractNumId w:val="9"/>
  </w:num>
  <w:num w:numId="8" w16cid:durableId="1807506019">
    <w:abstractNumId w:val="41"/>
  </w:num>
  <w:num w:numId="9" w16cid:durableId="1842307183">
    <w:abstractNumId w:val="16"/>
  </w:num>
  <w:num w:numId="10" w16cid:durableId="1275791570">
    <w:abstractNumId w:val="32"/>
  </w:num>
  <w:num w:numId="11" w16cid:durableId="126360893">
    <w:abstractNumId w:val="19"/>
  </w:num>
  <w:num w:numId="12" w16cid:durableId="167409029">
    <w:abstractNumId w:val="28"/>
  </w:num>
  <w:num w:numId="13" w16cid:durableId="789516205">
    <w:abstractNumId w:val="1"/>
  </w:num>
  <w:num w:numId="14" w16cid:durableId="168297358">
    <w:abstractNumId w:val="14"/>
  </w:num>
  <w:num w:numId="15" w16cid:durableId="289285217">
    <w:abstractNumId w:val="24"/>
  </w:num>
  <w:num w:numId="16" w16cid:durableId="603805362">
    <w:abstractNumId w:val="12"/>
  </w:num>
  <w:num w:numId="17" w16cid:durableId="922682519">
    <w:abstractNumId w:val="6"/>
  </w:num>
  <w:num w:numId="18" w16cid:durableId="73472591">
    <w:abstractNumId w:val="5"/>
  </w:num>
  <w:num w:numId="19" w16cid:durableId="247008658">
    <w:abstractNumId w:val="36"/>
  </w:num>
  <w:num w:numId="20" w16cid:durableId="685135831">
    <w:abstractNumId w:val="11"/>
  </w:num>
  <w:num w:numId="21" w16cid:durableId="1552955445">
    <w:abstractNumId w:val="31"/>
  </w:num>
  <w:num w:numId="22" w16cid:durableId="1503089175">
    <w:abstractNumId w:val="42"/>
  </w:num>
  <w:num w:numId="23" w16cid:durableId="135490558">
    <w:abstractNumId w:val="17"/>
  </w:num>
  <w:num w:numId="24" w16cid:durableId="678774343">
    <w:abstractNumId w:val="37"/>
  </w:num>
  <w:num w:numId="25" w16cid:durableId="57480101">
    <w:abstractNumId w:val="25"/>
  </w:num>
  <w:num w:numId="26" w16cid:durableId="1170951293">
    <w:abstractNumId w:val="26"/>
  </w:num>
  <w:num w:numId="27" w16cid:durableId="3241955">
    <w:abstractNumId w:val="20"/>
  </w:num>
  <w:num w:numId="28" w16cid:durableId="2100255183">
    <w:abstractNumId w:val="39"/>
  </w:num>
  <w:num w:numId="29" w16cid:durableId="202403857">
    <w:abstractNumId w:val="3"/>
  </w:num>
  <w:num w:numId="30" w16cid:durableId="376007689">
    <w:abstractNumId w:val="22"/>
  </w:num>
  <w:num w:numId="31" w16cid:durableId="1565141143">
    <w:abstractNumId w:val="27"/>
  </w:num>
  <w:num w:numId="32" w16cid:durableId="151025453">
    <w:abstractNumId w:val="30"/>
  </w:num>
  <w:num w:numId="33" w16cid:durableId="2043479565">
    <w:abstractNumId w:val="10"/>
  </w:num>
  <w:num w:numId="34" w16cid:durableId="1702513673">
    <w:abstractNumId w:val="21"/>
  </w:num>
  <w:num w:numId="35" w16cid:durableId="1277443068">
    <w:abstractNumId w:val="2"/>
  </w:num>
  <w:num w:numId="36" w16cid:durableId="1518931515">
    <w:abstractNumId w:val="23"/>
  </w:num>
  <w:num w:numId="37" w16cid:durableId="1083599143">
    <w:abstractNumId w:val="34"/>
  </w:num>
  <w:num w:numId="38" w16cid:durableId="2051879563">
    <w:abstractNumId w:val="7"/>
  </w:num>
  <w:num w:numId="39" w16cid:durableId="1511868275">
    <w:abstractNumId w:val="33"/>
  </w:num>
  <w:num w:numId="40" w16cid:durableId="241381352">
    <w:abstractNumId w:val="0"/>
  </w:num>
  <w:num w:numId="41" w16cid:durableId="651645069">
    <w:abstractNumId w:val="40"/>
  </w:num>
  <w:num w:numId="42" w16cid:durableId="1453019186">
    <w:abstractNumId w:val="4"/>
  </w:num>
  <w:num w:numId="43" w16cid:durableId="141755845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089A"/>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1F75A7"/>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2C8"/>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1570"/>
    <w:rsid w:val="005833D0"/>
    <w:rsid w:val="00583D8E"/>
    <w:rsid w:val="005842E3"/>
    <w:rsid w:val="005846F3"/>
    <w:rsid w:val="0058622F"/>
    <w:rsid w:val="00587019"/>
    <w:rsid w:val="00592F82"/>
    <w:rsid w:val="005A0CCA"/>
    <w:rsid w:val="005A6FF2"/>
    <w:rsid w:val="005A726D"/>
    <w:rsid w:val="005B0627"/>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3BAD"/>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855CD"/>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A49B7"/>
    <w:rsid w:val="009B0723"/>
    <w:rsid w:val="009B07AD"/>
    <w:rsid w:val="009B0883"/>
    <w:rsid w:val="009B15E2"/>
    <w:rsid w:val="009B366C"/>
    <w:rsid w:val="009B4976"/>
    <w:rsid w:val="009C0B8E"/>
    <w:rsid w:val="009C1BC8"/>
    <w:rsid w:val="009C2442"/>
    <w:rsid w:val="009D0811"/>
    <w:rsid w:val="009D0EE1"/>
    <w:rsid w:val="009D5B73"/>
    <w:rsid w:val="009E1C2A"/>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27C"/>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D2FB6"/>
    <w:rsid w:val="00BD39DE"/>
    <w:rsid w:val="00BD4A58"/>
    <w:rsid w:val="00BD7337"/>
    <w:rsid w:val="00BE4FF3"/>
    <w:rsid w:val="00BF50F7"/>
    <w:rsid w:val="00C02F29"/>
    <w:rsid w:val="00C05A9F"/>
    <w:rsid w:val="00C20AFE"/>
    <w:rsid w:val="00C22A25"/>
    <w:rsid w:val="00C23D49"/>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D588C"/>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C6524"/>
    <w:rsid w:val="00ED0BC4"/>
    <w:rsid w:val="00ED447D"/>
    <w:rsid w:val="00ED738F"/>
    <w:rsid w:val="00ED74BC"/>
    <w:rsid w:val="00EE4971"/>
    <w:rsid w:val="00EF090E"/>
    <w:rsid w:val="00EF5572"/>
    <w:rsid w:val="00F0130D"/>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2065"/>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7C"/>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4254</Words>
  <Characters>24252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Yi Yang</cp:lastModifiedBy>
  <cp:revision>17</cp:revision>
  <cp:lastPrinted>2019-08-27T05:42:00Z</cp:lastPrinted>
  <dcterms:created xsi:type="dcterms:W3CDTF">2022-07-01T09:50:00Z</dcterms:created>
  <dcterms:modified xsi:type="dcterms:W3CDTF">2023-07-31T15:35:00Z</dcterms:modified>
</cp:coreProperties>
</file>