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xml:space="preserve">. </w:t>
      </w:r>
      <w:proofErr w:type="gramStart"/>
      <w:r w:rsidRPr="00310533">
        <w:rPr>
          <w:rFonts w:ascii="Avenir Next" w:hAnsi="Avenir Next" w:cs="Arial"/>
          <w:bCs/>
          <w:color w:val="767171" w:themeColor="background2" w:themeShade="80"/>
          <w:sz w:val="22"/>
          <w:szCs w:val="22"/>
          <w:lang w:val="en-GB"/>
        </w:rPr>
        <w:t>In order to</w:t>
      </w:r>
      <w:proofErr w:type="gramEnd"/>
      <w:r w:rsidRPr="00310533">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310533">
        <w:rPr>
          <w:rFonts w:ascii="Avenir Next" w:hAnsi="Avenir Next" w:cs="Arial"/>
          <w:sz w:val="22"/>
          <w:szCs w:val="22"/>
          <w:lang w:val="en-GB"/>
        </w:rPr>
        <w:t>More often than not</w:t>
      </w:r>
      <w:proofErr w:type="gramEnd"/>
      <w:r w:rsidRPr="00310533">
        <w:rPr>
          <w:rFonts w:ascii="Avenir Next" w:hAnsi="Avenir Next" w:cs="Arial"/>
          <w:sz w:val="22"/>
          <w:szCs w:val="22"/>
          <w:lang w:val="en-GB"/>
        </w:rPr>
        <w: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10533">
        <w:rPr>
          <w:rFonts w:ascii="Avenir Next" w:hAnsi="Avenir Next" w:cs="Arial"/>
          <w:sz w:val="22"/>
          <w:szCs w:val="22"/>
          <w:lang w:val="en-GB"/>
        </w:rPr>
        <w:t>answer</w:t>
      </w:r>
      <w:proofErr w:type="gramEnd"/>
      <w:r w:rsidRPr="00310533">
        <w:rPr>
          <w:rFonts w:ascii="Avenir Next" w:hAnsi="Avenir Next" w:cs="Arial"/>
          <w:sz w:val="22"/>
          <w:szCs w:val="22"/>
          <w:lang w:val="en-GB"/>
        </w:rPr>
        <w:t xml:space="preserve">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137950" w:rsidRDefault="000F6063" w:rsidP="007E03FA">
      <w:pPr>
        <w:pStyle w:val="ListParagraph"/>
        <w:numPr>
          <w:ilvl w:val="0"/>
          <w:numId w:val="31"/>
        </w:numPr>
        <w:ind w:left="426"/>
        <w:rPr>
          <w:rFonts w:ascii="Avenir Next" w:hAnsi="Avenir Next" w:cs="Arial"/>
          <w:sz w:val="22"/>
          <w:szCs w:val="22"/>
          <w:highlight w:val="yellow"/>
          <w:lang w:val="en-GB"/>
        </w:rPr>
      </w:pPr>
      <w:r w:rsidRPr="00137950">
        <w:rPr>
          <w:rFonts w:ascii="Avenir Next" w:hAnsi="Avenir Next" w:cs="Arial"/>
          <w:sz w:val="22"/>
          <w:szCs w:val="22"/>
          <w:highlight w:val="yellow"/>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D34393" w:rsidRDefault="000F6063" w:rsidP="007E03FA">
      <w:pPr>
        <w:pStyle w:val="ListParagraph"/>
        <w:numPr>
          <w:ilvl w:val="0"/>
          <w:numId w:val="32"/>
        </w:numPr>
        <w:ind w:left="426"/>
        <w:rPr>
          <w:rFonts w:ascii="Avenir Next" w:hAnsi="Avenir Next" w:cs="Arial"/>
          <w:sz w:val="22"/>
          <w:szCs w:val="22"/>
          <w:highlight w:val="yellow"/>
          <w:lang w:val="en-GB"/>
        </w:rPr>
      </w:pPr>
      <w:r w:rsidRPr="00D34393">
        <w:rPr>
          <w:rFonts w:ascii="Avenir Next" w:hAnsi="Avenir Next" w:cs="Arial"/>
          <w:sz w:val="22"/>
          <w:szCs w:val="22"/>
          <w:highlight w:val="yellow"/>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Deed of Company Arrangement.</w:t>
      </w:r>
    </w:p>
    <w:p w14:paraId="5FE49C8E" w14:textId="6056D810" w:rsidR="00310533" w:rsidRDefault="00310533" w:rsidP="000659CF">
      <w:pPr>
        <w:rPr>
          <w:rFonts w:ascii="Avenir Next" w:hAnsi="Avenir Next" w:cs="Arial"/>
          <w:sz w:val="22"/>
          <w:szCs w:val="22"/>
          <w:lang w:val="en-GB"/>
        </w:rPr>
      </w:pP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D34393">
        <w:rPr>
          <w:rFonts w:ascii="Avenir Next" w:hAnsi="Avenir Next" w:cs="Arial"/>
          <w:color w:val="000000" w:themeColor="text1"/>
          <w:sz w:val="22"/>
          <w:szCs w:val="22"/>
          <w:highlight w:val="yellow"/>
          <w:lang w:val="en-GB"/>
        </w:rPr>
        <w:t>The company may cease trading where it is necessary and beneficial to the liquidation</w:t>
      </w:r>
      <w:r w:rsidR="00A46FE2" w:rsidRPr="00D34393">
        <w:rPr>
          <w:rFonts w:ascii="Avenir Next" w:hAnsi="Avenir Next" w:cs="Arial"/>
          <w:color w:val="000000" w:themeColor="text1"/>
          <w:sz w:val="22"/>
          <w:szCs w:val="22"/>
          <w:highlight w:val="yellow"/>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except where it is necessary and beneficial to the liquidation</w:t>
      </w:r>
      <w:r w:rsidR="00A46FE2" w:rsidRPr="00310533">
        <w:rPr>
          <w:rFonts w:ascii="Avenir Next" w:hAnsi="Avenir Next" w:cs="Arial"/>
          <w:color w:val="000000" w:themeColor="text1"/>
          <w:sz w:val="22"/>
          <w:szCs w:val="22"/>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lastRenderedPageBreak/>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D34393" w:rsidRDefault="00CB2364" w:rsidP="00924973">
      <w:pPr>
        <w:pStyle w:val="ListParagraph"/>
        <w:numPr>
          <w:ilvl w:val="0"/>
          <w:numId w:val="34"/>
        </w:numPr>
        <w:ind w:left="426"/>
        <w:rPr>
          <w:rFonts w:ascii="Avenir Next" w:hAnsi="Avenir Next" w:cs="Arial"/>
          <w:sz w:val="22"/>
          <w:szCs w:val="22"/>
          <w:highlight w:val="yellow"/>
          <w:lang w:val="en-GB"/>
        </w:rPr>
      </w:pPr>
      <w:r w:rsidRPr="00D34393">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4987E399" w14:textId="1FED685C" w:rsidR="00310533" w:rsidRPr="00D012A2"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D012A2" w:rsidRDefault="000F6063" w:rsidP="00924973">
      <w:pPr>
        <w:pStyle w:val="ListParagraph"/>
        <w:numPr>
          <w:ilvl w:val="0"/>
          <w:numId w:val="35"/>
        </w:numPr>
        <w:ind w:left="426"/>
        <w:rPr>
          <w:rFonts w:ascii="Avenir Next" w:hAnsi="Avenir Next" w:cs="Arial"/>
          <w:sz w:val="22"/>
          <w:szCs w:val="22"/>
          <w:highlight w:val="yellow"/>
          <w:lang w:val="en-GB"/>
        </w:rPr>
      </w:pPr>
      <w:r w:rsidRPr="00D012A2">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D012A2" w:rsidRDefault="00E177F0" w:rsidP="00924973">
      <w:pPr>
        <w:pStyle w:val="ListParagraph"/>
        <w:numPr>
          <w:ilvl w:val="0"/>
          <w:numId w:val="36"/>
        </w:numPr>
        <w:ind w:left="426"/>
        <w:rPr>
          <w:rFonts w:ascii="Avenir Next" w:hAnsi="Avenir Next" w:cs="Arial"/>
          <w:sz w:val="22"/>
          <w:szCs w:val="22"/>
          <w:highlight w:val="yellow"/>
          <w:lang w:val="en-GB"/>
        </w:rPr>
      </w:pPr>
      <w:r w:rsidRPr="00D012A2">
        <w:rPr>
          <w:rFonts w:ascii="Avenir Next" w:hAnsi="Avenir Next" w:cs="Arial"/>
          <w:sz w:val="22"/>
          <w:szCs w:val="22"/>
          <w:highlight w:val="yellow"/>
          <w:lang w:val="en-GB"/>
        </w:rPr>
        <w:t>May enforce their security without leave of the court</w:t>
      </w:r>
      <w:r w:rsidR="00803C72" w:rsidRPr="00D012A2">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lastRenderedPageBreak/>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356540" w:rsidRDefault="000F6063" w:rsidP="00924973">
      <w:pPr>
        <w:pStyle w:val="ListParagraph"/>
        <w:numPr>
          <w:ilvl w:val="0"/>
          <w:numId w:val="37"/>
        </w:numPr>
        <w:ind w:left="426"/>
        <w:jc w:val="both"/>
        <w:rPr>
          <w:rFonts w:ascii="Avenir Next" w:hAnsi="Avenir Next" w:cs="Arial"/>
          <w:sz w:val="22"/>
          <w:szCs w:val="22"/>
          <w:highlight w:val="yellow"/>
          <w:lang w:val="en-GB"/>
        </w:rPr>
      </w:pPr>
      <w:r w:rsidRPr="00356540">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0CB0859A" w:rsidR="000F606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4D2D195A" w14:textId="77777777" w:rsidR="00356540" w:rsidRPr="00356540" w:rsidRDefault="00356540" w:rsidP="00356540">
      <w:pPr>
        <w:pStyle w:val="ListParagraph"/>
        <w:rPr>
          <w:rFonts w:ascii="Avenir Next" w:hAnsi="Avenir Next" w:cs="Arial"/>
          <w:sz w:val="22"/>
          <w:szCs w:val="22"/>
          <w:lang w:val="en-GB"/>
        </w:rPr>
      </w:pPr>
    </w:p>
    <w:p w14:paraId="6B022AB4" w14:textId="77777777" w:rsidR="00356540" w:rsidRPr="00310533" w:rsidRDefault="00356540" w:rsidP="00356540">
      <w:pPr>
        <w:pStyle w:val="ListParagraph"/>
        <w:ind w:left="426"/>
        <w:jc w:val="both"/>
        <w:rPr>
          <w:rFonts w:ascii="Avenir Next" w:hAnsi="Avenir Next" w:cs="Arial"/>
          <w:sz w:val="22"/>
          <w:szCs w:val="22"/>
          <w:lang w:val="en-GB"/>
        </w:rPr>
      </w:pP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6841D2" w:rsidRDefault="00853B56" w:rsidP="00924973">
      <w:pPr>
        <w:pStyle w:val="ListParagraph"/>
        <w:numPr>
          <w:ilvl w:val="0"/>
          <w:numId w:val="38"/>
        </w:numPr>
        <w:ind w:left="426"/>
        <w:jc w:val="both"/>
        <w:rPr>
          <w:rFonts w:ascii="Avenir Next" w:hAnsi="Avenir Next" w:cs="Arial"/>
          <w:sz w:val="22"/>
          <w:szCs w:val="22"/>
          <w:highlight w:val="yellow"/>
          <w:lang w:val="en-GB"/>
        </w:rPr>
      </w:pPr>
      <w:r w:rsidRPr="006841D2">
        <w:rPr>
          <w:rFonts w:ascii="Avenir Next" w:hAnsi="Avenir Next" w:cs="Arial"/>
          <w:sz w:val="22"/>
          <w:szCs w:val="22"/>
          <w:highlight w:val="yellow"/>
          <w:lang w:val="en-GB"/>
        </w:rPr>
        <w:t>Amounts due to p</w:t>
      </w:r>
      <w:r w:rsidR="005327B7" w:rsidRPr="006841D2">
        <w:rPr>
          <w:rFonts w:ascii="Avenir Next" w:hAnsi="Avenir Next" w:cs="Arial"/>
          <w:sz w:val="22"/>
          <w:szCs w:val="22"/>
          <w:highlight w:val="yellow"/>
          <w:lang w:val="en-GB"/>
        </w:rPr>
        <w:t>referred shareholders</w:t>
      </w:r>
      <w:r w:rsidR="00803C72" w:rsidRPr="006841D2">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board of directors decides it is “just and equitable” for the company to be wound up</w:t>
      </w:r>
      <w:r w:rsidR="00D06A87" w:rsidRPr="00310533">
        <w:rPr>
          <w:rFonts w:ascii="Avenir Next" w:hAnsi="Avenir Next" w:cs="Arial"/>
          <w:sz w:val="22"/>
          <w:szCs w:val="22"/>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6841D2" w:rsidRDefault="005327B7" w:rsidP="00924973">
      <w:pPr>
        <w:pStyle w:val="ListParagraph"/>
        <w:numPr>
          <w:ilvl w:val="0"/>
          <w:numId w:val="39"/>
        </w:numPr>
        <w:ind w:left="426"/>
        <w:jc w:val="both"/>
        <w:rPr>
          <w:rFonts w:ascii="Avenir Next" w:hAnsi="Avenir Next" w:cs="Arial"/>
          <w:sz w:val="22"/>
          <w:szCs w:val="22"/>
          <w:highlight w:val="yellow"/>
          <w:lang w:val="en-GB"/>
        </w:rPr>
      </w:pPr>
      <w:r w:rsidRPr="006841D2">
        <w:rPr>
          <w:rFonts w:ascii="Avenir Next" w:hAnsi="Avenir Next" w:cs="Arial"/>
          <w:sz w:val="22"/>
          <w:szCs w:val="22"/>
          <w:highlight w:val="yellow"/>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lastRenderedPageBreak/>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proofErr w:type="gramStart"/>
      <w:r w:rsidRPr="00310533">
        <w:rPr>
          <w:rFonts w:ascii="Avenir Next" w:hAnsi="Avenir Next" w:cs="Arial"/>
          <w:sz w:val="22"/>
          <w:szCs w:val="22"/>
          <w:lang w:val="en-GB"/>
        </w:rPr>
        <w:t>In order for</w:t>
      </w:r>
      <w:proofErr w:type="gramEnd"/>
      <w:r w:rsidRPr="00310533">
        <w:rPr>
          <w:rFonts w:ascii="Avenir Next" w:hAnsi="Avenir Next" w:cs="Arial"/>
          <w:sz w:val="22"/>
          <w:szCs w:val="22"/>
          <w:lang w:val="en-GB"/>
        </w:rPr>
        <w:t xml:space="preserve">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proofErr w:type="spellStart"/>
      <w:r w:rsidRPr="00310533">
        <w:rPr>
          <w:rFonts w:ascii="Avenir Next" w:hAnsi="Avenir Next" w:cs="Arial"/>
          <w:sz w:val="22"/>
          <w:szCs w:val="22"/>
          <w:lang w:val="en-GB"/>
        </w:rPr>
        <w:t>f</w:t>
      </w:r>
      <w:proofErr w:type="spellEnd"/>
      <w:r w:rsidRPr="00310533">
        <w:rPr>
          <w:rFonts w:ascii="Avenir Next" w:hAnsi="Avenir Next" w:cs="Arial"/>
          <w:sz w:val="22"/>
          <w:szCs w:val="22"/>
          <w:lang w:val="en-GB"/>
        </w:rPr>
        <w:t xml:space="preserve">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6841D2" w:rsidRDefault="000F6063" w:rsidP="00924973">
      <w:pPr>
        <w:pStyle w:val="ListParagraph"/>
        <w:numPr>
          <w:ilvl w:val="0"/>
          <w:numId w:val="40"/>
        </w:numPr>
        <w:ind w:left="426"/>
        <w:jc w:val="both"/>
        <w:rPr>
          <w:rFonts w:ascii="Avenir Next" w:hAnsi="Avenir Next" w:cs="Arial"/>
          <w:sz w:val="22"/>
          <w:szCs w:val="22"/>
          <w:highlight w:val="yellow"/>
          <w:lang w:val="en-GB"/>
        </w:rPr>
      </w:pPr>
      <w:r w:rsidRPr="006841D2">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Default="00A26898" w:rsidP="00D27CBC">
      <w:pPr>
        <w:jc w:val="both"/>
        <w:rPr>
          <w:rFonts w:ascii="Avenir Next" w:hAnsi="Avenir Next" w:cs="Arial"/>
          <w:sz w:val="22"/>
          <w:szCs w:val="22"/>
          <w:lang w:val="en-GB"/>
        </w:rPr>
      </w:pPr>
    </w:p>
    <w:p w14:paraId="36ED0590" w14:textId="792F12B9" w:rsidR="00D16C8B" w:rsidRPr="00D16C8B" w:rsidRDefault="00D16C8B" w:rsidP="00D27CBC">
      <w:pPr>
        <w:jc w:val="both"/>
        <w:rPr>
          <w:rFonts w:ascii="Arial" w:hAnsi="Arial" w:cs="Arial"/>
          <w:color w:val="808080" w:themeColor="background1" w:themeShade="80"/>
          <w:sz w:val="22"/>
          <w:szCs w:val="22"/>
          <w:lang w:val="en-GB"/>
        </w:rPr>
      </w:pPr>
      <w:r w:rsidRPr="00D16C8B">
        <w:rPr>
          <w:rFonts w:ascii="Arial" w:hAnsi="Arial" w:cs="Arial"/>
          <w:color w:val="808080" w:themeColor="background1" w:themeShade="80"/>
          <w:sz w:val="22"/>
          <w:szCs w:val="22"/>
          <w:lang w:val="en-GB"/>
        </w:rPr>
        <w:t>Answer</w:t>
      </w:r>
    </w:p>
    <w:p w14:paraId="56555F12" w14:textId="77777777" w:rsidR="00D16C8B" w:rsidRPr="00D16C8B" w:rsidRDefault="00D16C8B" w:rsidP="00D27CBC">
      <w:pPr>
        <w:jc w:val="both"/>
        <w:rPr>
          <w:rFonts w:ascii="Arial" w:hAnsi="Arial" w:cs="Arial"/>
          <w:color w:val="808080" w:themeColor="background1" w:themeShade="80"/>
          <w:sz w:val="22"/>
          <w:szCs w:val="22"/>
          <w:lang w:val="en-GB"/>
        </w:rPr>
      </w:pPr>
    </w:p>
    <w:p w14:paraId="5DCFDFFB" w14:textId="3044E511" w:rsidR="00D27CBC" w:rsidRPr="00D16C8B" w:rsidRDefault="00376A48" w:rsidP="00D27CBC">
      <w:pPr>
        <w:jc w:val="both"/>
        <w:rPr>
          <w:rFonts w:ascii="Arial" w:hAnsi="Arial" w:cs="Arial"/>
          <w:color w:val="808080" w:themeColor="background1" w:themeShade="80"/>
          <w:sz w:val="22"/>
          <w:szCs w:val="22"/>
          <w:lang w:val="en-GB"/>
        </w:rPr>
      </w:pPr>
      <w:r w:rsidRPr="00D16C8B">
        <w:rPr>
          <w:rFonts w:ascii="Arial" w:hAnsi="Arial" w:cs="Arial"/>
          <w:color w:val="808080" w:themeColor="background1" w:themeShade="80"/>
          <w:sz w:val="22"/>
          <w:szCs w:val="22"/>
          <w:lang w:val="en-GB"/>
        </w:rPr>
        <w:t xml:space="preserve">It is possible for a creditor to register a security over real estate, ships, aircrafts, motor vehicles and intellectual property in an ownership register but there is no public </w:t>
      </w:r>
      <w:r w:rsidR="00755382" w:rsidRPr="00D16C8B">
        <w:rPr>
          <w:rFonts w:ascii="Arial" w:hAnsi="Arial" w:cs="Arial"/>
          <w:color w:val="808080" w:themeColor="background1" w:themeShade="80"/>
          <w:sz w:val="22"/>
          <w:szCs w:val="22"/>
          <w:lang w:val="en-GB"/>
        </w:rPr>
        <w:t>security</w:t>
      </w:r>
      <w:r w:rsidRPr="00D16C8B">
        <w:rPr>
          <w:rFonts w:ascii="Arial" w:hAnsi="Arial" w:cs="Arial"/>
          <w:color w:val="808080" w:themeColor="background1" w:themeShade="80"/>
          <w:sz w:val="22"/>
          <w:szCs w:val="22"/>
          <w:lang w:val="en-GB"/>
        </w:rPr>
        <w:t xml:space="preserve"> registration regime in the Cayman islands for other types of assets.  </w:t>
      </w:r>
    </w:p>
    <w:p w14:paraId="6423BAA6" w14:textId="49BC63E5" w:rsidR="00376A48" w:rsidRPr="00D16C8B" w:rsidRDefault="00376A48" w:rsidP="00D27CBC">
      <w:pPr>
        <w:jc w:val="both"/>
        <w:rPr>
          <w:rFonts w:ascii="Arial" w:hAnsi="Arial" w:cs="Arial"/>
          <w:color w:val="808080" w:themeColor="background1" w:themeShade="80"/>
          <w:sz w:val="22"/>
          <w:szCs w:val="22"/>
          <w:lang w:val="en-GB"/>
        </w:rPr>
      </w:pPr>
    </w:p>
    <w:p w14:paraId="69E42E38" w14:textId="159FCBE5" w:rsidR="00B30780" w:rsidRPr="00D16C8B" w:rsidRDefault="00755382" w:rsidP="00D27CBC">
      <w:pPr>
        <w:jc w:val="both"/>
        <w:rPr>
          <w:rFonts w:ascii="Arial" w:hAnsi="Arial" w:cs="Arial"/>
          <w:color w:val="808080" w:themeColor="background1" w:themeShade="80"/>
          <w:sz w:val="22"/>
          <w:szCs w:val="22"/>
          <w:lang w:val="en-GB"/>
        </w:rPr>
      </w:pPr>
      <w:r w:rsidRPr="00D16C8B">
        <w:rPr>
          <w:rFonts w:ascii="Arial" w:hAnsi="Arial" w:cs="Arial"/>
          <w:color w:val="808080" w:themeColor="background1" w:themeShade="80"/>
          <w:sz w:val="22"/>
          <w:szCs w:val="22"/>
          <w:lang w:val="en-GB"/>
        </w:rPr>
        <w:t xml:space="preserve">A creditor must take the necessary and relevant steps, well in advance to ascertain whether a particular asset is already encumbered and to ensure that it has sufficient control over an asset to prevent a third party to purchase it. In terms of section 54 of the Companies Act it is required that security interests be entered in the register of mortgages and charges of the debtor company </w:t>
      </w:r>
      <w:r w:rsidR="00B30780" w:rsidRPr="00D16C8B">
        <w:rPr>
          <w:rFonts w:ascii="Arial" w:hAnsi="Arial" w:cs="Arial"/>
          <w:color w:val="808080" w:themeColor="background1" w:themeShade="80"/>
          <w:sz w:val="22"/>
          <w:szCs w:val="22"/>
          <w:lang w:val="en-GB"/>
        </w:rPr>
        <w:t>and</w:t>
      </w:r>
      <w:r w:rsidRPr="00D16C8B">
        <w:rPr>
          <w:rFonts w:ascii="Arial" w:hAnsi="Arial" w:cs="Arial"/>
          <w:color w:val="808080" w:themeColor="background1" w:themeShade="80"/>
          <w:sz w:val="22"/>
          <w:szCs w:val="22"/>
          <w:lang w:val="en-GB"/>
        </w:rPr>
        <w:t xml:space="preserve"> for the register to be maintained.  </w:t>
      </w:r>
    </w:p>
    <w:p w14:paraId="07C9A1F8" w14:textId="77777777" w:rsidR="00B30780" w:rsidRPr="00D16C8B" w:rsidRDefault="00B30780" w:rsidP="00D27CBC">
      <w:pPr>
        <w:jc w:val="both"/>
        <w:rPr>
          <w:rFonts w:ascii="Arial" w:hAnsi="Arial" w:cs="Arial"/>
          <w:color w:val="808080" w:themeColor="background1" w:themeShade="80"/>
          <w:sz w:val="22"/>
          <w:szCs w:val="22"/>
          <w:lang w:val="en-GB"/>
        </w:rPr>
      </w:pPr>
    </w:p>
    <w:p w14:paraId="47818E9B" w14:textId="59375104" w:rsidR="00755382" w:rsidRPr="00D16C8B" w:rsidRDefault="00B30780" w:rsidP="00D27CBC">
      <w:pPr>
        <w:jc w:val="both"/>
        <w:rPr>
          <w:rFonts w:ascii="Arial" w:hAnsi="Arial" w:cs="Arial"/>
          <w:color w:val="808080" w:themeColor="background1" w:themeShade="80"/>
          <w:sz w:val="22"/>
          <w:szCs w:val="22"/>
          <w:lang w:val="en-GB"/>
        </w:rPr>
      </w:pPr>
      <w:r w:rsidRPr="00D16C8B">
        <w:rPr>
          <w:rFonts w:ascii="Arial" w:hAnsi="Arial" w:cs="Arial"/>
          <w:color w:val="808080" w:themeColor="background1" w:themeShade="80"/>
          <w:sz w:val="22"/>
          <w:szCs w:val="22"/>
          <w:lang w:val="en-GB"/>
        </w:rPr>
        <w:t xml:space="preserve">The effect of registering a security interest in the company’s register means that the register is open for inspection by any member of the company or creditor therefore placing third parties on notice of the existence of a security recorded in their register however it does not create a priority.  In the event of conflict, the relevant law governing the priority and perfection of security interest will be determined by the location of the asset.  </w:t>
      </w:r>
      <w:r w:rsidR="00755382" w:rsidRPr="00D16C8B">
        <w:rPr>
          <w:rFonts w:ascii="Arial" w:hAnsi="Arial" w:cs="Arial"/>
          <w:color w:val="808080" w:themeColor="background1" w:themeShade="80"/>
          <w:sz w:val="22"/>
          <w:szCs w:val="22"/>
          <w:lang w:val="en-GB"/>
        </w:rPr>
        <w:t xml:space="preserve"> </w:t>
      </w:r>
    </w:p>
    <w:p w14:paraId="334ADF97" w14:textId="77777777" w:rsidR="0019004D" w:rsidRPr="00310533" w:rsidRDefault="0019004D"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4A40458D" w14:textId="209B1D85" w:rsidR="00D27CBC" w:rsidRPr="00D16C8B" w:rsidRDefault="00573696" w:rsidP="00D27CBC">
      <w:pPr>
        <w:jc w:val="both"/>
        <w:rPr>
          <w:rFonts w:ascii="Arial" w:hAnsi="Arial" w:cs="Arial"/>
          <w:color w:val="808080" w:themeColor="background1" w:themeShade="80"/>
          <w:sz w:val="22"/>
          <w:szCs w:val="22"/>
          <w:lang w:val="en-GB"/>
        </w:rPr>
      </w:pPr>
      <w:r w:rsidRPr="00D16C8B">
        <w:rPr>
          <w:rFonts w:ascii="Arial" w:hAnsi="Arial" w:cs="Arial"/>
          <w:color w:val="808080" w:themeColor="background1" w:themeShade="80"/>
          <w:sz w:val="22"/>
          <w:szCs w:val="22"/>
          <w:lang w:val="en-GB"/>
        </w:rPr>
        <w:t xml:space="preserve">The Cayman Islands </w:t>
      </w:r>
      <w:proofErr w:type="gramStart"/>
      <w:r w:rsidRPr="00D16C8B">
        <w:rPr>
          <w:rFonts w:ascii="Arial" w:hAnsi="Arial" w:cs="Arial"/>
          <w:color w:val="808080" w:themeColor="background1" w:themeShade="80"/>
          <w:sz w:val="22"/>
          <w:szCs w:val="22"/>
          <w:lang w:val="en-GB"/>
        </w:rPr>
        <w:t>is considered to be</w:t>
      </w:r>
      <w:proofErr w:type="gramEnd"/>
      <w:r w:rsidRPr="00D16C8B">
        <w:rPr>
          <w:rFonts w:ascii="Arial" w:hAnsi="Arial" w:cs="Arial"/>
          <w:color w:val="808080" w:themeColor="background1" w:themeShade="80"/>
          <w:sz w:val="22"/>
          <w:szCs w:val="22"/>
          <w:lang w:val="en-GB"/>
        </w:rPr>
        <w:t xml:space="preserve"> a creditor-friendly Island to attract international business.  </w:t>
      </w:r>
      <w:r w:rsidR="00D35B63" w:rsidRPr="00D16C8B">
        <w:rPr>
          <w:rFonts w:ascii="Arial" w:hAnsi="Arial" w:cs="Arial"/>
          <w:color w:val="808080" w:themeColor="background1" w:themeShade="80"/>
          <w:sz w:val="22"/>
          <w:szCs w:val="22"/>
          <w:lang w:val="en-GB"/>
        </w:rPr>
        <w:t>As the Cayman Island</w:t>
      </w:r>
      <w:r w:rsidR="00076974" w:rsidRPr="00D16C8B">
        <w:rPr>
          <w:rFonts w:ascii="Arial" w:hAnsi="Arial" w:cs="Arial"/>
          <w:color w:val="808080" w:themeColor="background1" w:themeShade="80"/>
          <w:sz w:val="22"/>
          <w:szCs w:val="22"/>
          <w:lang w:val="en-GB"/>
        </w:rPr>
        <w:t>s</w:t>
      </w:r>
      <w:r w:rsidR="00D35B63" w:rsidRPr="00D16C8B">
        <w:rPr>
          <w:rFonts w:ascii="Arial" w:hAnsi="Arial" w:cs="Arial"/>
          <w:color w:val="808080" w:themeColor="background1" w:themeShade="80"/>
          <w:sz w:val="22"/>
          <w:szCs w:val="22"/>
          <w:lang w:val="en-GB"/>
        </w:rPr>
        <w:t xml:space="preserve"> is regarded as the leading financial centre for international business most liquidations involve cross-border issues.  The Grand Court’s powers to make orders in support of foreign insolvency proceedings, are provided for in the Companies Act Part XVII.  Although there is no threshold test for the grant of </w:t>
      </w:r>
      <w:r w:rsidR="001C590C" w:rsidRPr="00D16C8B">
        <w:rPr>
          <w:rFonts w:ascii="Arial" w:hAnsi="Arial" w:cs="Arial"/>
          <w:color w:val="808080" w:themeColor="background1" w:themeShade="80"/>
          <w:sz w:val="22"/>
          <w:szCs w:val="22"/>
          <w:lang w:val="en-GB"/>
        </w:rPr>
        <w:t>assistance,</w:t>
      </w:r>
      <w:r w:rsidR="00D35B63" w:rsidRPr="00D16C8B">
        <w:rPr>
          <w:rFonts w:ascii="Arial" w:hAnsi="Arial" w:cs="Arial"/>
          <w:color w:val="808080" w:themeColor="background1" w:themeShade="80"/>
          <w:sz w:val="22"/>
          <w:szCs w:val="22"/>
          <w:lang w:val="en-GB"/>
        </w:rPr>
        <w:t xml:space="preserve"> or automatic rights based on the COMI of the </w:t>
      </w:r>
      <w:r w:rsidR="001C590C" w:rsidRPr="00D16C8B">
        <w:rPr>
          <w:rFonts w:ascii="Arial" w:hAnsi="Arial" w:cs="Arial"/>
          <w:color w:val="808080" w:themeColor="background1" w:themeShade="80"/>
          <w:sz w:val="22"/>
          <w:szCs w:val="22"/>
          <w:lang w:val="en-GB"/>
        </w:rPr>
        <w:t>debtor, foreign</w:t>
      </w:r>
      <w:r w:rsidR="00D35B63" w:rsidRPr="00D16C8B">
        <w:rPr>
          <w:rFonts w:ascii="Arial" w:hAnsi="Arial" w:cs="Arial"/>
          <w:color w:val="808080" w:themeColor="background1" w:themeShade="80"/>
          <w:sz w:val="22"/>
          <w:szCs w:val="22"/>
          <w:lang w:val="en-GB"/>
        </w:rPr>
        <w:t xml:space="preserve"> representatives must satisfy the Grant Court that it is appropriate for the court to exercise its discretion by granting the relief sought in an application made by a foreign representative.  The UNCITRAL </w:t>
      </w:r>
      <w:r w:rsidR="001C590C" w:rsidRPr="00D16C8B">
        <w:rPr>
          <w:rFonts w:ascii="Arial" w:hAnsi="Arial" w:cs="Arial"/>
          <w:color w:val="808080" w:themeColor="background1" w:themeShade="80"/>
          <w:sz w:val="22"/>
          <w:szCs w:val="22"/>
          <w:lang w:val="en-GB"/>
        </w:rPr>
        <w:t xml:space="preserve">Model Law on Cross-Border </w:t>
      </w:r>
      <w:r w:rsidR="001C590C" w:rsidRPr="00D16C8B">
        <w:rPr>
          <w:rFonts w:ascii="Arial" w:hAnsi="Arial" w:cs="Arial"/>
          <w:color w:val="808080" w:themeColor="background1" w:themeShade="80"/>
          <w:sz w:val="22"/>
          <w:szCs w:val="22"/>
          <w:lang w:val="en-GB"/>
        </w:rPr>
        <w:lastRenderedPageBreak/>
        <w:t>Insolvency has not been implemented by the Island</w:t>
      </w:r>
      <w:r w:rsidR="00076974" w:rsidRPr="00D16C8B">
        <w:rPr>
          <w:rFonts w:ascii="Arial" w:hAnsi="Arial" w:cs="Arial"/>
          <w:color w:val="808080" w:themeColor="background1" w:themeShade="80"/>
          <w:sz w:val="22"/>
          <w:szCs w:val="22"/>
          <w:lang w:val="en-GB"/>
        </w:rPr>
        <w:t>s</w:t>
      </w:r>
      <w:r w:rsidR="001C590C" w:rsidRPr="00D16C8B">
        <w:rPr>
          <w:rFonts w:ascii="Arial" w:hAnsi="Arial" w:cs="Arial"/>
          <w:color w:val="808080" w:themeColor="background1" w:themeShade="80"/>
          <w:sz w:val="22"/>
          <w:szCs w:val="22"/>
          <w:lang w:val="en-GB"/>
        </w:rPr>
        <w:t xml:space="preserve"> but most of the principles are followed.  The Cayman Islands is not a member of the EU and therefore EU legislation does not apply.  </w:t>
      </w:r>
    </w:p>
    <w:p w14:paraId="6D327F63" w14:textId="454DE277" w:rsidR="00D35B63" w:rsidRDefault="00D35B63" w:rsidP="00D27CBC">
      <w:pPr>
        <w:jc w:val="both"/>
        <w:rPr>
          <w:rFonts w:ascii="Avenir Next" w:hAnsi="Avenir Next" w:cs="Arial"/>
          <w:color w:val="FF0000"/>
          <w:sz w:val="22"/>
          <w:szCs w:val="22"/>
          <w:lang w:val="en-GB"/>
        </w:rPr>
      </w:pPr>
    </w:p>
    <w:p w14:paraId="57F5BF7A" w14:textId="77777777" w:rsidR="00D35B63" w:rsidRPr="00310533" w:rsidRDefault="00D35B63"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4B6AEBE2" w:rsidR="00D27CBC"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5FE81417" w14:textId="6557B223" w:rsidR="004E2423" w:rsidRDefault="004E2423" w:rsidP="00D27CBC">
      <w:pPr>
        <w:jc w:val="both"/>
        <w:rPr>
          <w:rFonts w:ascii="Avenir Next" w:hAnsi="Avenir Next" w:cs="Arial"/>
          <w:sz w:val="22"/>
          <w:szCs w:val="22"/>
          <w:lang w:val="en-GB"/>
        </w:rPr>
      </w:pPr>
    </w:p>
    <w:p w14:paraId="7059C540" w14:textId="0C2F6DEE" w:rsidR="004E2423" w:rsidRPr="00D16C8B" w:rsidRDefault="004E2423" w:rsidP="00D27CBC">
      <w:pPr>
        <w:jc w:val="both"/>
        <w:rPr>
          <w:rFonts w:ascii="Arial" w:hAnsi="Arial" w:cs="Arial"/>
          <w:color w:val="808080" w:themeColor="background1" w:themeShade="80"/>
          <w:sz w:val="22"/>
          <w:szCs w:val="22"/>
          <w:lang w:val="en-GB"/>
        </w:rPr>
      </w:pPr>
      <w:r w:rsidRPr="00D16C8B">
        <w:rPr>
          <w:rFonts w:ascii="Arial" w:hAnsi="Arial" w:cs="Arial"/>
          <w:color w:val="808080" w:themeColor="background1" w:themeShade="80"/>
          <w:sz w:val="22"/>
          <w:szCs w:val="22"/>
          <w:lang w:val="en-GB"/>
        </w:rPr>
        <w:t xml:space="preserve">The framework entails treaties, </w:t>
      </w:r>
      <w:proofErr w:type="gramStart"/>
      <w:r w:rsidRPr="00D16C8B">
        <w:rPr>
          <w:rFonts w:ascii="Arial" w:hAnsi="Arial" w:cs="Arial"/>
          <w:color w:val="808080" w:themeColor="background1" w:themeShade="80"/>
          <w:sz w:val="22"/>
          <w:szCs w:val="22"/>
          <w:lang w:val="en-GB"/>
        </w:rPr>
        <w:t>Statutes</w:t>
      </w:r>
      <w:proofErr w:type="gramEnd"/>
      <w:r w:rsidRPr="00D16C8B">
        <w:rPr>
          <w:rFonts w:ascii="Arial" w:hAnsi="Arial" w:cs="Arial"/>
          <w:color w:val="808080" w:themeColor="background1" w:themeShade="80"/>
          <w:sz w:val="22"/>
          <w:szCs w:val="22"/>
          <w:lang w:val="en-GB"/>
        </w:rPr>
        <w:t xml:space="preserve"> and common Law.  </w:t>
      </w:r>
    </w:p>
    <w:p w14:paraId="6DC49B8F" w14:textId="77777777" w:rsidR="00D27CBC" w:rsidRPr="00D16C8B" w:rsidRDefault="00D27CBC" w:rsidP="00D27CBC">
      <w:pPr>
        <w:jc w:val="both"/>
        <w:rPr>
          <w:rFonts w:ascii="Arial" w:hAnsi="Arial" w:cs="Arial"/>
          <w:b/>
          <w:bCs/>
          <w:color w:val="808080" w:themeColor="background1" w:themeShade="80"/>
          <w:sz w:val="22"/>
          <w:szCs w:val="22"/>
          <w:lang w:val="en-GB"/>
        </w:rPr>
      </w:pPr>
    </w:p>
    <w:p w14:paraId="30F79B9E" w14:textId="2CE795CF" w:rsidR="00E4294D" w:rsidRPr="00D16C8B" w:rsidRDefault="00076974" w:rsidP="00E4294D">
      <w:pPr>
        <w:jc w:val="both"/>
        <w:rPr>
          <w:rFonts w:ascii="Arial" w:hAnsi="Arial" w:cs="Arial"/>
          <w:color w:val="808080" w:themeColor="background1" w:themeShade="80"/>
          <w:sz w:val="22"/>
          <w:szCs w:val="22"/>
          <w:lang w:val="en-GB"/>
        </w:rPr>
      </w:pPr>
      <w:r w:rsidRPr="00D16C8B">
        <w:rPr>
          <w:rFonts w:ascii="Arial" w:hAnsi="Arial" w:cs="Arial"/>
          <w:color w:val="808080" w:themeColor="background1" w:themeShade="80"/>
          <w:sz w:val="22"/>
          <w:szCs w:val="22"/>
          <w:lang w:val="en-GB"/>
        </w:rPr>
        <w:t xml:space="preserve">The legal framework for the recognition of foreign judgments is found in the Foreign Judgments Reciprocal Enforcement Act (1996 Revision) but only where the country from which the judgement originates guarantees considerable reciprocity of treatment vis-à-vis the enforcement of Cayman Islands Judgements. </w:t>
      </w:r>
      <w:r w:rsidR="004E2423" w:rsidRPr="00D16C8B">
        <w:rPr>
          <w:rFonts w:ascii="Arial" w:hAnsi="Arial" w:cs="Arial"/>
          <w:color w:val="808080" w:themeColor="background1" w:themeShade="80"/>
          <w:sz w:val="22"/>
          <w:szCs w:val="22"/>
          <w:lang w:val="en-GB"/>
        </w:rPr>
        <w:t xml:space="preserve">The provisions of the Act have been extended to judgments from the Superior Courts of Australia and the procedure is governed by Order 71 of the Grand Court Rules </w:t>
      </w:r>
    </w:p>
    <w:p w14:paraId="7CE6709F" w14:textId="2F7B8278" w:rsidR="00076974" w:rsidRPr="00D16C8B" w:rsidRDefault="00076974" w:rsidP="00E4294D">
      <w:pPr>
        <w:jc w:val="both"/>
        <w:rPr>
          <w:rFonts w:ascii="Arial" w:hAnsi="Arial" w:cs="Arial"/>
          <w:color w:val="808080" w:themeColor="background1" w:themeShade="80"/>
          <w:sz w:val="22"/>
          <w:szCs w:val="22"/>
          <w:lang w:val="en-GB"/>
        </w:rPr>
      </w:pPr>
    </w:p>
    <w:p w14:paraId="3048EF11" w14:textId="04276881" w:rsidR="00076974" w:rsidRPr="00D16C8B" w:rsidRDefault="00076974" w:rsidP="00E4294D">
      <w:pPr>
        <w:jc w:val="both"/>
        <w:rPr>
          <w:rFonts w:ascii="Arial" w:hAnsi="Arial" w:cs="Arial"/>
          <w:color w:val="808080" w:themeColor="background1" w:themeShade="80"/>
          <w:sz w:val="22"/>
          <w:szCs w:val="22"/>
          <w:lang w:val="en-GB"/>
        </w:rPr>
      </w:pPr>
      <w:r w:rsidRPr="00D16C8B">
        <w:rPr>
          <w:rFonts w:ascii="Arial" w:hAnsi="Arial" w:cs="Arial"/>
          <w:color w:val="808080" w:themeColor="background1" w:themeShade="80"/>
          <w:sz w:val="22"/>
          <w:szCs w:val="22"/>
          <w:lang w:val="en-GB"/>
        </w:rPr>
        <w:t xml:space="preserve">Although treaties </w:t>
      </w:r>
      <w:r w:rsidR="004E2423" w:rsidRPr="00D16C8B">
        <w:rPr>
          <w:rFonts w:ascii="Arial" w:hAnsi="Arial" w:cs="Arial"/>
          <w:color w:val="808080" w:themeColor="background1" w:themeShade="80"/>
          <w:sz w:val="22"/>
          <w:szCs w:val="22"/>
          <w:lang w:val="en-GB"/>
        </w:rPr>
        <w:t xml:space="preserve">form part of the </w:t>
      </w:r>
      <w:r w:rsidR="00032AB3" w:rsidRPr="00D16C8B">
        <w:rPr>
          <w:rFonts w:ascii="Arial" w:hAnsi="Arial" w:cs="Arial"/>
          <w:color w:val="808080" w:themeColor="background1" w:themeShade="80"/>
          <w:sz w:val="22"/>
          <w:szCs w:val="22"/>
          <w:lang w:val="en-GB"/>
        </w:rPr>
        <w:t>framework</w:t>
      </w:r>
      <w:r w:rsidR="004E2423" w:rsidRPr="00D16C8B">
        <w:rPr>
          <w:rFonts w:ascii="Arial" w:hAnsi="Arial" w:cs="Arial"/>
          <w:color w:val="808080" w:themeColor="background1" w:themeShade="80"/>
          <w:sz w:val="22"/>
          <w:szCs w:val="22"/>
          <w:lang w:val="en-GB"/>
        </w:rPr>
        <w:t xml:space="preserve"> for the recognition of foreign judgments the Cayman Islands has not </w:t>
      </w:r>
      <w:proofErr w:type="gramStart"/>
      <w:r w:rsidR="004E2423" w:rsidRPr="00D16C8B">
        <w:rPr>
          <w:rFonts w:ascii="Arial" w:hAnsi="Arial" w:cs="Arial"/>
          <w:color w:val="808080" w:themeColor="background1" w:themeShade="80"/>
          <w:sz w:val="22"/>
          <w:szCs w:val="22"/>
          <w:lang w:val="en-GB"/>
        </w:rPr>
        <w:t>entered into</w:t>
      </w:r>
      <w:proofErr w:type="gramEnd"/>
      <w:r w:rsidR="004E2423" w:rsidRPr="00D16C8B">
        <w:rPr>
          <w:rFonts w:ascii="Arial" w:hAnsi="Arial" w:cs="Arial"/>
          <w:color w:val="808080" w:themeColor="background1" w:themeShade="80"/>
          <w:sz w:val="22"/>
          <w:szCs w:val="22"/>
          <w:lang w:val="en-GB"/>
        </w:rPr>
        <w:t xml:space="preserve"> any international treaties and the UK has not extended its ratification of any such treaties however the UK has the power to extend treaties because the Cayman Islands is a British Overseas Territory.  </w:t>
      </w:r>
    </w:p>
    <w:p w14:paraId="76E0D714" w14:textId="2AA81FA4" w:rsidR="00032AB3" w:rsidRPr="00D16C8B" w:rsidRDefault="00032AB3" w:rsidP="00E4294D">
      <w:pPr>
        <w:jc w:val="both"/>
        <w:rPr>
          <w:rFonts w:ascii="Arial" w:hAnsi="Arial" w:cs="Arial"/>
          <w:color w:val="808080" w:themeColor="background1" w:themeShade="80"/>
          <w:sz w:val="22"/>
          <w:szCs w:val="22"/>
          <w:lang w:val="en-GB"/>
        </w:rPr>
      </w:pPr>
    </w:p>
    <w:p w14:paraId="0ED29658" w14:textId="4BF1963B" w:rsidR="00032AB3" w:rsidRPr="00D16C8B" w:rsidRDefault="00032AB3" w:rsidP="00E4294D">
      <w:pPr>
        <w:jc w:val="both"/>
        <w:rPr>
          <w:rFonts w:ascii="Arial" w:hAnsi="Arial" w:cs="Arial"/>
          <w:color w:val="808080" w:themeColor="background1" w:themeShade="80"/>
          <w:sz w:val="22"/>
          <w:szCs w:val="22"/>
          <w:lang w:val="en-GB"/>
        </w:rPr>
      </w:pPr>
      <w:proofErr w:type="gramStart"/>
      <w:r w:rsidRPr="00D16C8B">
        <w:rPr>
          <w:rFonts w:ascii="Arial" w:hAnsi="Arial" w:cs="Arial"/>
          <w:color w:val="808080" w:themeColor="background1" w:themeShade="80"/>
          <w:sz w:val="22"/>
          <w:szCs w:val="22"/>
          <w:lang w:val="en-GB"/>
        </w:rPr>
        <w:t>In order to</w:t>
      </w:r>
      <w:proofErr w:type="gramEnd"/>
      <w:r w:rsidRPr="00D16C8B">
        <w:rPr>
          <w:rFonts w:ascii="Arial" w:hAnsi="Arial" w:cs="Arial"/>
          <w:color w:val="808080" w:themeColor="background1" w:themeShade="80"/>
          <w:sz w:val="22"/>
          <w:szCs w:val="22"/>
          <w:lang w:val="en-GB"/>
        </w:rPr>
        <w:t xml:space="preserve"> enforce foreign judgments a new action must be brought in the Cayman Islands based upon the foreign judgment which are conducted under the regular procedural regime for litigation which is the Grand Court Rules.  </w:t>
      </w:r>
      <w:r w:rsidR="007762E4" w:rsidRPr="00D16C8B">
        <w:rPr>
          <w:rFonts w:ascii="Arial" w:hAnsi="Arial" w:cs="Arial"/>
          <w:color w:val="808080" w:themeColor="background1" w:themeShade="80"/>
          <w:sz w:val="22"/>
          <w:szCs w:val="22"/>
          <w:lang w:val="en-GB"/>
        </w:rPr>
        <w:t xml:space="preserve">There is a 6-year limitation period which appliers both for common law enforcement and under the 1996 Act.  </w:t>
      </w:r>
      <w:r w:rsidRPr="00D16C8B">
        <w:rPr>
          <w:rFonts w:ascii="Arial" w:hAnsi="Arial" w:cs="Arial"/>
          <w:color w:val="808080" w:themeColor="background1" w:themeShade="80"/>
          <w:sz w:val="22"/>
          <w:szCs w:val="22"/>
          <w:lang w:val="en-GB"/>
        </w:rPr>
        <w:t xml:space="preserve"> </w:t>
      </w:r>
    </w:p>
    <w:p w14:paraId="2F861A8C" w14:textId="46B54739" w:rsidR="00E4294D" w:rsidRPr="00310533" w:rsidRDefault="00E4294D" w:rsidP="002A37BB">
      <w:pPr>
        <w:jc w:val="both"/>
        <w:rPr>
          <w:rFonts w:ascii="Avenir Next" w:hAnsi="Avenir Next" w:cs="Arial"/>
          <w:bCs/>
          <w:sz w:val="22"/>
          <w:szCs w:val="22"/>
          <w:lang w:val="en-GB"/>
        </w:rPr>
      </w:pP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D16C8B">
        <w:rPr>
          <w:rFonts w:ascii="Avenir Next Demi Bold" w:hAnsi="Avenir Next Demi Bold" w:cs="Arial"/>
          <w:b/>
          <w:bCs/>
          <w:sz w:val="22"/>
          <w:szCs w:val="22"/>
          <w:lang w:val="en-GB"/>
        </w:rPr>
        <w:t>QUESTION</w:t>
      </w:r>
      <w:r w:rsidR="00962045" w:rsidRPr="00D16C8B">
        <w:rPr>
          <w:rFonts w:ascii="Avenir Next Demi Bold" w:hAnsi="Avenir Next Demi Bold" w:cs="Arial"/>
          <w:b/>
          <w:bCs/>
          <w:sz w:val="22"/>
          <w:szCs w:val="22"/>
          <w:lang w:val="en-GB"/>
        </w:rPr>
        <w:t xml:space="preserve"> 3 (essay</w:t>
      </w:r>
      <w:r w:rsidR="00962045" w:rsidRPr="00310533">
        <w:rPr>
          <w:rFonts w:ascii="Avenir Next Demi Bold" w:hAnsi="Avenir Next Demi Bold" w:cs="Arial"/>
          <w:b/>
          <w:bCs/>
          <w:sz w:val="22"/>
          <w:szCs w:val="22"/>
          <w:lang w:val="en-GB"/>
        </w:rPr>
        <w:t xml:space="preserve">-type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7A85E9DD" w14:textId="270221E8" w:rsidR="005A578F" w:rsidRPr="00D16C8B" w:rsidRDefault="00775E93" w:rsidP="00D16C8B">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7E69B4B9" w14:textId="4C0CB242" w:rsidR="005A578F" w:rsidRPr="00992846" w:rsidRDefault="00D16C8B" w:rsidP="005A578F">
      <w:pPr>
        <w:spacing w:before="100" w:beforeAutospacing="1" w:after="100" w:afterAutospacing="1" w:line="360" w:lineRule="auto"/>
        <w:jc w:val="both"/>
        <w:rPr>
          <w:rFonts w:ascii="Arial" w:hAnsi="Arial" w:cs="Arial"/>
          <w:sz w:val="22"/>
          <w:szCs w:val="22"/>
          <w:lang w:eastAsia="en-GB"/>
        </w:rPr>
      </w:pPr>
      <w:r>
        <w:rPr>
          <w:rFonts w:ascii="Arial" w:hAnsi="Arial" w:cs="Arial"/>
          <w:sz w:val="22"/>
          <w:szCs w:val="22"/>
          <w:lang w:eastAsia="en-GB"/>
        </w:rPr>
        <w:t>Answer</w:t>
      </w:r>
    </w:p>
    <w:p w14:paraId="38471DB6" w14:textId="7ED216C1" w:rsidR="005A578F" w:rsidRPr="00D16C8B" w:rsidRDefault="005A578F" w:rsidP="00D16C8B">
      <w:pPr>
        <w:spacing w:before="100" w:beforeAutospacing="1" w:after="100" w:afterAutospacing="1"/>
        <w:jc w:val="both"/>
        <w:rPr>
          <w:rFonts w:ascii="Arial" w:hAnsi="Arial" w:cs="Arial"/>
          <w:color w:val="808080" w:themeColor="background1" w:themeShade="80"/>
          <w:sz w:val="22"/>
          <w:szCs w:val="22"/>
          <w:lang w:eastAsia="en-GB"/>
        </w:rPr>
      </w:pPr>
      <w:r w:rsidRPr="00D16C8B">
        <w:rPr>
          <w:rFonts w:ascii="Arial" w:hAnsi="Arial" w:cs="Arial"/>
          <w:color w:val="808080" w:themeColor="background1" w:themeShade="80"/>
          <w:sz w:val="22"/>
          <w:szCs w:val="22"/>
          <w:lang w:eastAsia="en-GB"/>
        </w:rPr>
        <w:t xml:space="preserve">The statement that Cayman Island law does not </w:t>
      </w:r>
      <w:r w:rsidRPr="00D16C8B">
        <w:rPr>
          <w:rFonts w:ascii="Arial" w:hAnsi="Arial" w:cs="Arial"/>
          <w:i/>
          <w:iCs/>
          <w:color w:val="808080" w:themeColor="background1" w:themeShade="80"/>
          <w:sz w:val="22"/>
          <w:szCs w:val="22"/>
          <w:lang w:eastAsia="en-GB"/>
        </w:rPr>
        <w:t>by statute</w:t>
      </w:r>
      <w:r w:rsidRPr="00D16C8B">
        <w:rPr>
          <w:rFonts w:ascii="Arial" w:hAnsi="Arial" w:cs="Arial"/>
          <w:color w:val="808080" w:themeColor="background1" w:themeShade="80"/>
          <w:sz w:val="22"/>
          <w:szCs w:val="22"/>
          <w:lang w:eastAsia="en-GB"/>
        </w:rPr>
        <w:t xml:space="preserve"> prohibit insolvent trading per se is correct. However, the duties and liabilities of directors of such companies is a separate question. </w:t>
      </w:r>
    </w:p>
    <w:p w14:paraId="1B4B9660" w14:textId="48F1BE28" w:rsidR="005A578F" w:rsidRPr="00D16C8B" w:rsidRDefault="005A578F" w:rsidP="00D16C8B">
      <w:pPr>
        <w:spacing w:before="100" w:beforeAutospacing="1" w:after="100" w:afterAutospacing="1"/>
        <w:jc w:val="both"/>
        <w:rPr>
          <w:rFonts w:ascii="Arial" w:hAnsi="Arial" w:cs="Arial"/>
          <w:color w:val="808080" w:themeColor="background1" w:themeShade="80"/>
          <w:sz w:val="22"/>
          <w:szCs w:val="22"/>
          <w:lang w:eastAsia="en-GB"/>
        </w:rPr>
      </w:pPr>
      <w:r w:rsidRPr="00D16C8B">
        <w:rPr>
          <w:rFonts w:ascii="Arial" w:hAnsi="Arial" w:cs="Arial"/>
          <w:color w:val="808080" w:themeColor="background1" w:themeShade="80"/>
          <w:sz w:val="22"/>
          <w:szCs w:val="22"/>
          <w:lang w:eastAsia="en-GB"/>
        </w:rPr>
        <w:t xml:space="preserve">The duties and liabilities of directors of companies in the Cayman Islands are determined by statute in the Companies Law (as amended) and by the Common Law from which precedents are formed. Some of the Common Law principles have been incorporated into the legislation. </w:t>
      </w:r>
    </w:p>
    <w:p w14:paraId="3DD4B0C0" w14:textId="403AF849" w:rsidR="005A578F" w:rsidRPr="00D16C8B" w:rsidRDefault="005A578F" w:rsidP="00D16C8B">
      <w:pPr>
        <w:spacing w:before="100" w:beforeAutospacing="1" w:after="100" w:afterAutospacing="1"/>
        <w:jc w:val="both"/>
        <w:rPr>
          <w:rFonts w:ascii="Arial" w:hAnsi="Arial" w:cs="Arial"/>
          <w:color w:val="808080" w:themeColor="background1" w:themeShade="80"/>
          <w:sz w:val="22"/>
          <w:szCs w:val="22"/>
          <w:lang w:eastAsia="en-GB"/>
        </w:rPr>
      </w:pPr>
      <w:r w:rsidRPr="00D16C8B">
        <w:rPr>
          <w:rFonts w:ascii="Arial" w:hAnsi="Arial" w:cs="Arial"/>
          <w:color w:val="808080" w:themeColor="background1" w:themeShade="80"/>
          <w:sz w:val="22"/>
          <w:szCs w:val="22"/>
          <w:lang w:eastAsia="en-GB"/>
        </w:rPr>
        <w:t xml:space="preserve">In the Companies Law revision of 2011, particular provision is made to hold directors civilly liable concerning fraudulent trading (per section 147) committed in anticipation of the winding up of a company. Section 147 empowers a </w:t>
      </w:r>
      <w:r w:rsidRPr="00D16C8B">
        <w:rPr>
          <w:rFonts w:ascii="Arial" w:hAnsi="Arial" w:cs="Arial"/>
          <w:i/>
          <w:iCs/>
          <w:color w:val="808080" w:themeColor="background1" w:themeShade="80"/>
          <w:sz w:val="22"/>
          <w:szCs w:val="22"/>
          <w:lang w:eastAsia="en-GB"/>
        </w:rPr>
        <w:t>liquidator</w:t>
      </w:r>
      <w:r w:rsidRPr="00D16C8B">
        <w:rPr>
          <w:rFonts w:ascii="Arial" w:hAnsi="Arial" w:cs="Arial"/>
          <w:color w:val="808080" w:themeColor="background1" w:themeShade="80"/>
          <w:sz w:val="22"/>
          <w:szCs w:val="22"/>
          <w:lang w:eastAsia="en-GB"/>
        </w:rPr>
        <w:t xml:space="preserve"> (note: not a creditor) to apply to court for a declarator </w:t>
      </w:r>
      <w:r w:rsidRPr="00D16C8B">
        <w:rPr>
          <w:rFonts w:ascii="Arial" w:hAnsi="Arial" w:cs="Arial"/>
          <w:i/>
          <w:iCs/>
          <w:color w:val="808080" w:themeColor="background1" w:themeShade="80"/>
          <w:sz w:val="22"/>
          <w:szCs w:val="22"/>
          <w:lang w:eastAsia="en-GB"/>
        </w:rPr>
        <w:t>“</w:t>
      </w:r>
      <w:proofErr w:type="gramStart"/>
      <w:r w:rsidRPr="00D16C8B">
        <w:rPr>
          <w:rFonts w:ascii="Arial" w:hAnsi="Arial" w:cs="Arial"/>
          <w:color w:val="808080" w:themeColor="background1" w:themeShade="80"/>
          <w:sz w:val="22"/>
          <w:szCs w:val="22"/>
          <w:lang w:eastAsia="en-GB"/>
        </w:rPr>
        <w:t xml:space="preserve">where </w:t>
      </w:r>
      <w:r w:rsidRPr="00D16C8B">
        <w:rPr>
          <w:rFonts w:ascii="Arial" w:hAnsi="Arial" w:cs="Arial"/>
          <w:i/>
          <w:iCs/>
          <w:color w:val="808080" w:themeColor="background1" w:themeShade="80"/>
          <w:sz w:val="22"/>
          <w:szCs w:val="22"/>
          <w:lang w:eastAsia="en-GB"/>
        </w:rPr>
        <w:t xml:space="preserve"> </w:t>
      </w:r>
      <w:r w:rsidRPr="00D16C8B">
        <w:rPr>
          <w:rFonts w:ascii="Arial" w:hAnsi="Arial" w:cs="Arial"/>
          <w:color w:val="808080" w:themeColor="background1" w:themeShade="80"/>
          <w:sz w:val="22"/>
          <w:szCs w:val="22"/>
          <w:lang w:eastAsia="en-GB"/>
        </w:rPr>
        <w:t>it</w:t>
      </w:r>
      <w:proofErr w:type="gramEnd"/>
      <w:r w:rsidRPr="00D16C8B">
        <w:rPr>
          <w:rFonts w:ascii="Arial" w:hAnsi="Arial" w:cs="Arial"/>
          <w:color w:val="808080" w:themeColor="background1" w:themeShade="80"/>
          <w:sz w:val="22"/>
          <w:szCs w:val="22"/>
          <w:lang w:eastAsia="en-GB"/>
        </w:rPr>
        <w:t xml:space="preserve"> appears that any business of the company has been carried on with intent to defraud creditors of the company or creditors of any other person or for any fraudulent </w:t>
      </w:r>
      <w:r w:rsidRPr="00D16C8B">
        <w:rPr>
          <w:rFonts w:ascii="Arial" w:hAnsi="Arial" w:cs="Arial"/>
          <w:color w:val="808080" w:themeColor="background1" w:themeShade="80"/>
          <w:sz w:val="22"/>
          <w:szCs w:val="22"/>
          <w:lang w:eastAsia="en-GB"/>
        </w:rPr>
        <w:lastRenderedPageBreak/>
        <w:t xml:space="preserve">purpose.” Under section 147, the court may declare a person who was knowingly party to such fraud “liable to make contributions to the company’s assets”. </w:t>
      </w:r>
    </w:p>
    <w:p w14:paraId="238D815B" w14:textId="77777777" w:rsidR="005A578F" w:rsidRPr="00D16C8B" w:rsidRDefault="005A578F" w:rsidP="00D16C8B">
      <w:pPr>
        <w:spacing w:before="100" w:beforeAutospacing="1" w:after="100" w:afterAutospacing="1"/>
        <w:jc w:val="both"/>
        <w:rPr>
          <w:rFonts w:ascii="Arial" w:hAnsi="Arial" w:cs="Arial"/>
          <w:color w:val="808080" w:themeColor="background1" w:themeShade="80"/>
          <w:sz w:val="22"/>
          <w:szCs w:val="22"/>
          <w:lang w:eastAsia="en-GB"/>
        </w:rPr>
      </w:pPr>
      <w:r w:rsidRPr="00D16C8B">
        <w:rPr>
          <w:rFonts w:ascii="Arial" w:hAnsi="Arial" w:cs="Arial"/>
          <w:color w:val="808080" w:themeColor="background1" w:themeShade="80"/>
          <w:sz w:val="22"/>
          <w:szCs w:val="22"/>
          <w:lang w:eastAsia="en-GB"/>
        </w:rPr>
        <w:t>I conclude that the Companies Act does thus permit the court-appointed liquidator (not the shareholders) to seek an order that the infringing directors “make contribution to the company’s assets”, (which, it seems, is another way of saying that financial damages can be claimed for the directors) in respect of fraudulent behaviour in the context of the winding up of the company. However, the legislation does not provide that the directors are civilly liable for their fraudulent or reckless conduct during the normal course of business.</w:t>
      </w:r>
    </w:p>
    <w:p w14:paraId="06A83E1A" w14:textId="77777777" w:rsidR="005A578F" w:rsidRPr="00D16C8B" w:rsidRDefault="005A578F" w:rsidP="00D16C8B">
      <w:pPr>
        <w:spacing w:before="100" w:beforeAutospacing="1" w:after="100" w:afterAutospacing="1"/>
        <w:jc w:val="both"/>
        <w:rPr>
          <w:rFonts w:ascii="Arial" w:hAnsi="Arial" w:cs="Arial"/>
          <w:color w:val="808080" w:themeColor="background1" w:themeShade="80"/>
          <w:sz w:val="22"/>
          <w:szCs w:val="22"/>
          <w:lang w:eastAsia="en-GB"/>
        </w:rPr>
      </w:pPr>
      <w:r w:rsidRPr="00D16C8B">
        <w:rPr>
          <w:rFonts w:ascii="Arial" w:hAnsi="Arial" w:cs="Arial"/>
          <w:color w:val="808080" w:themeColor="background1" w:themeShade="80"/>
          <w:sz w:val="22"/>
          <w:szCs w:val="22"/>
          <w:lang w:eastAsia="en-GB"/>
        </w:rPr>
        <w:t>Turning to the common law,</w:t>
      </w:r>
      <w:r w:rsidRPr="00D16C8B">
        <w:rPr>
          <w:rFonts w:ascii="Arial" w:hAnsi="Arial" w:cs="Arial"/>
          <w:b/>
          <w:bCs/>
          <w:color w:val="808080" w:themeColor="background1" w:themeShade="80"/>
          <w:sz w:val="22"/>
          <w:szCs w:val="22"/>
          <w:lang w:eastAsia="en-GB"/>
        </w:rPr>
        <w:t xml:space="preserve"> </w:t>
      </w:r>
      <w:r w:rsidRPr="00D16C8B">
        <w:rPr>
          <w:rFonts w:ascii="Arial" w:hAnsi="Arial" w:cs="Arial"/>
          <w:color w:val="808080" w:themeColor="background1" w:themeShade="80"/>
          <w:sz w:val="22"/>
          <w:szCs w:val="22"/>
          <w:lang w:eastAsia="en-GB"/>
        </w:rPr>
        <w:t>the Cayman Islands legal system relies heavily on</w:t>
      </w:r>
      <w:r w:rsidRPr="00D16C8B">
        <w:rPr>
          <w:rFonts w:ascii="Arial" w:hAnsi="Arial" w:cs="Arial"/>
          <w:b/>
          <w:bCs/>
          <w:color w:val="808080" w:themeColor="background1" w:themeShade="80"/>
          <w:sz w:val="22"/>
          <w:szCs w:val="22"/>
          <w:lang w:eastAsia="en-GB"/>
        </w:rPr>
        <w:t xml:space="preserve"> </w:t>
      </w:r>
      <w:r w:rsidRPr="00D16C8B">
        <w:rPr>
          <w:rFonts w:ascii="Arial" w:hAnsi="Arial" w:cs="Arial"/>
          <w:color w:val="808080" w:themeColor="background1" w:themeShade="80"/>
          <w:sz w:val="22"/>
          <w:szCs w:val="22"/>
          <w:lang w:eastAsia="en-GB"/>
        </w:rPr>
        <w:t xml:space="preserve">the English common law. Several common law duties are imposed on directors such as fiduciary, skill, </w:t>
      </w:r>
      <w:proofErr w:type="gramStart"/>
      <w:r w:rsidRPr="00D16C8B">
        <w:rPr>
          <w:rFonts w:ascii="Arial" w:hAnsi="Arial" w:cs="Arial"/>
          <w:color w:val="808080" w:themeColor="background1" w:themeShade="80"/>
          <w:sz w:val="22"/>
          <w:szCs w:val="22"/>
          <w:lang w:eastAsia="en-GB"/>
        </w:rPr>
        <w:t>care</w:t>
      </w:r>
      <w:proofErr w:type="gramEnd"/>
      <w:r w:rsidRPr="00D16C8B">
        <w:rPr>
          <w:rFonts w:ascii="Arial" w:hAnsi="Arial" w:cs="Arial"/>
          <w:color w:val="808080" w:themeColor="background1" w:themeShade="80"/>
          <w:sz w:val="22"/>
          <w:szCs w:val="22"/>
          <w:lang w:eastAsia="en-GB"/>
        </w:rPr>
        <w:t xml:space="preserve"> and diligence. In </w:t>
      </w:r>
      <w:r w:rsidRPr="00D16C8B">
        <w:rPr>
          <w:rFonts w:ascii="Arial" w:hAnsi="Arial" w:cs="Arial"/>
          <w:i/>
          <w:iCs/>
          <w:color w:val="808080" w:themeColor="background1" w:themeShade="80"/>
          <w:sz w:val="22"/>
          <w:szCs w:val="22"/>
          <w:lang w:eastAsia="en-GB"/>
        </w:rPr>
        <w:t xml:space="preserve">Renova Resources Private Equity Ltd v Gilbertson 2009 CILR 268, </w:t>
      </w:r>
      <w:r w:rsidRPr="00D16C8B">
        <w:rPr>
          <w:rFonts w:ascii="Arial" w:hAnsi="Arial" w:cs="Arial"/>
          <w:color w:val="808080" w:themeColor="background1" w:themeShade="80"/>
          <w:sz w:val="22"/>
          <w:szCs w:val="22"/>
          <w:lang w:eastAsia="en-GB"/>
        </w:rPr>
        <w:t xml:space="preserve">the court confirmed that these duties entail that a company director in the Cayman Islands must act in good faith and in the best interests of the company in all his company dealings and exercise his powers in the company’s interests. There is a duty to declare personal interest in company contracts; a duty not to make secret profits from his position as director; a duty of honesty and loyalty to the company. The Grand Court of the Cayman Islands applies an objective test in assessing the conduct of a company director – </w:t>
      </w:r>
      <w:proofErr w:type="gramStart"/>
      <w:r w:rsidRPr="00D16C8B">
        <w:rPr>
          <w:rFonts w:ascii="Arial" w:hAnsi="Arial" w:cs="Arial"/>
          <w:color w:val="808080" w:themeColor="background1" w:themeShade="80"/>
          <w:sz w:val="22"/>
          <w:szCs w:val="22"/>
          <w:lang w:eastAsia="en-GB"/>
        </w:rPr>
        <w:t>i.e.</w:t>
      </w:r>
      <w:proofErr w:type="gramEnd"/>
      <w:r w:rsidRPr="00D16C8B">
        <w:rPr>
          <w:rFonts w:ascii="Arial" w:hAnsi="Arial" w:cs="Arial"/>
          <w:color w:val="808080" w:themeColor="background1" w:themeShade="80"/>
          <w:sz w:val="22"/>
          <w:szCs w:val="22"/>
          <w:lang w:eastAsia="en-GB"/>
        </w:rPr>
        <w:t xml:space="preserve"> the skill and knowledge and experience that is reasonably expected of a person in that position in conjunction with the general knowledge, skill and experience that the director actually has. </w:t>
      </w:r>
    </w:p>
    <w:p w14:paraId="7F632E34" w14:textId="38E39463" w:rsidR="005A578F" w:rsidRPr="00D16C8B" w:rsidRDefault="005A578F" w:rsidP="00D16C8B">
      <w:pPr>
        <w:spacing w:before="100" w:beforeAutospacing="1" w:after="100" w:afterAutospacing="1"/>
        <w:jc w:val="both"/>
        <w:rPr>
          <w:rFonts w:ascii="Arial" w:hAnsi="Arial" w:cs="Arial"/>
          <w:color w:val="808080" w:themeColor="background1" w:themeShade="80"/>
          <w:sz w:val="22"/>
          <w:szCs w:val="22"/>
          <w:lang w:eastAsia="en-GB"/>
        </w:rPr>
      </w:pPr>
      <w:r w:rsidRPr="00D16C8B">
        <w:rPr>
          <w:rFonts w:ascii="Arial" w:hAnsi="Arial" w:cs="Arial"/>
          <w:color w:val="808080" w:themeColor="background1" w:themeShade="80"/>
          <w:sz w:val="22"/>
          <w:szCs w:val="22"/>
          <w:lang w:eastAsia="en-GB"/>
        </w:rPr>
        <w:t xml:space="preserve">As a general statement, directors are not personally liable for the debts, </w:t>
      </w:r>
      <w:r w:rsidR="00E86406" w:rsidRPr="00D16C8B">
        <w:rPr>
          <w:rFonts w:ascii="Arial" w:hAnsi="Arial" w:cs="Arial"/>
          <w:color w:val="808080" w:themeColor="background1" w:themeShade="80"/>
          <w:sz w:val="22"/>
          <w:szCs w:val="22"/>
          <w:lang w:eastAsia="en-GB"/>
        </w:rPr>
        <w:t>obligations,</w:t>
      </w:r>
      <w:r w:rsidRPr="00D16C8B">
        <w:rPr>
          <w:rFonts w:ascii="Arial" w:hAnsi="Arial" w:cs="Arial"/>
          <w:color w:val="808080" w:themeColor="background1" w:themeShade="80"/>
          <w:sz w:val="22"/>
          <w:szCs w:val="22"/>
          <w:lang w:eastAsia="en-GB"/>
        </w:rPr>
        <w:t xml:space="preserve"> or liabilities of a company except for those which arise out of negligence, </w:t>
      </w:r>
      <w:proofErr w:type="gramStart"/>
      <w:r w:rsidRPr="00D16C8B">
        <w:rPr>
          <w:rFonts w:ascii="Arial" w:hAnsi="Arial" w:cs="Arial"/>
          <w:color w:val="808080" w:themeColor="background1" w:themeShade="80"/>
          <w:sz w:val="22"/>
          <w:szCs w:val="22"/>
          <w:lang w:eastAsia="en-GB"/>
        </w:rPr>
        <w:t>fraud</w:t>
      </w:r>
      <w:proofErr w:type="gramEnd"/>
      <w:r w:rsidRPr="00D16C8B">
        <w:rPr>
          <w:rFonts w:ascii="Arial" w:hAnsi="Arial" w:cs="Arial"/>
          <w:color w:val="808080" w:themeColor="background1" w:themeShade="80"/>
          <w:sz w:val="22"/>
          <w:szCs w:val="22"/>
          <w:lang w:eastAsia="en-GB"/>
        </w:rPr>
        <w:t xml:space="preserve"> or breach of fiduciary duty by an individual director, or due to an action not within his authority and not ratified by the company. That said, statutory liability may arise by order of the Court on the winding up of the company or under the fraudulent trading provisions. Under section 147 of the Companies Law, the Court may order a director who was knowingly party to fraudulent trading by the company to make contribution to the company’s assets. </w:t>
      </w:r>
    </w:p>
    <w:p w14:paraId="1AF07B07" w14:textId="798FFB8F" w:rsidR="005A578F" w:rsidRPr="00D16C8B" w:rsidRDefault="005A578F" w:rsidP="00D16C8B">
      <w:pPr>
        <w:spacing w:before="100" w:beforeAutospacing="1" w:after="100" w:afterAutospacing="1"/>
        <w:jc w:val="both"/>
        <w:rPr>
          <w:rFonts w:ascii="Arial" w:hAnsi="Arial" w:cs="Arial"/>
          <w:color w:val="808080" w:themeColor="background1" w:themeShade="80"/>
          <w:sz w:val="22"/>
          <w:szCs w:val="22"/>
          <w:lang w:eastAsia="en-GB"/>
        </w:rPr>
      </w:pPr>
      <w:r w:rsidRPr="00D16C8B">
        <w:rPr>
          <w:rFonts w:ascii="Arial" w:hAnsi="Arial" w:cs="Arial"/>
          <w:color w:val="808080" w:themeColor="background1" w:themeShade="80"/>
          <w:sz w:val="22"/>
          <w:szCs w:val="22"/>
          <w:lang w:eastAsia="en-GB"/>
        </w:rPr>
        <w:t xml:space="preserve">Accordingly, apart from the ability to seek an order that hold former directors contribute to the company’s assets, a tort (delictual) liability arises from the director’s negligence and breach of duty by trading under insolvent circumstances well knowing or when the director ought reasonably to have known that the company cannot repay its debts or has made payments which place the company into insolvent circumstances. </w:t>
      </w: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283BB3" w:rsidRDefault="00B37221" w:rsidP="002A37BB">
      <w:pPr>
        <w:jc w:val="both"/>
        <w:rPr>
          <w:rFonts w:ascii="Avenir Next Demi Bold" w:hAnsi="Avenir Next Demi Bold" w:cs="Arial"/>
          <w:b/>
          <w:bCs/>
          <w:color w:val="000000" w:themeColor="text1"/>
          <w:sz w:val="22"/>
          <w:szCs w:val="22"/>
          <w:shd w:val="clear" w:color="auto" w:fill="FFFFFF"/>
        </w:rPr>
      </w:pPr>
      <w:r w:rsidRPr="00283BB3">
        <w:rPr>
          <w:rFonts w:ascii="Avenir Next Demi Bold" w:hAnsi="Avenir Next Demi Bold" w:cs="Arial"/>
          <w:b/>
          <w:bCs/>
          <w:color w:val="000000" w:themeColor="text1"/>
          <w:sz w:val="22"/>
          <w:szCs w:val="22"/>
          <w:shd w:val="clear" w:color="auto" w:fill="FFFFFF"/>
        </w:rPr>
        <w:t>Q</w:t>
      </w:r>
      <w:r w:rsidR="00853B56" w:rsidRPr="00283BB3">
        <w:rPr>
          <w:rFonts w:ascii="Avenir Next Demi Bold" w:hAnsi="Avenir Next Demi Bold" w:cs="Arial"/>
          <w:b/>
          <w:bCs/>
          <w:color w:val="000000" w:themeColor="text1"/>
          <w:sz w:val="22"/>
          <w:szCs w:val="22"/>
          <w:shd w:val="clear" w:color="auto" w:fill="FFFFFF"/>
        </w:rPr>
        <w:t>uestion 3.2 [maximum 6 marks]</w:t>
      </w:r>
    </w:p>
    <w:p w14:paraId="0B39CDB9" w14:textId="4395E59C" w:rsidR="00853B56" w:rsidRPr="00283BB3" w:rsidRDefault="00853B56" w:rsidP="002A37BB">
      <w:pPr>
        <w:jc w:val="both"/>
        <w:rPr>
          <w:rFonts w:ascii="Avenir Next" w:hAnsi="Avenir Next" w:cs="Arial"/>
          <w:color w:val="FF0000"/>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2931F030" w14:textId="77777777" w:rsidR="0025590A" w:rsidRDefault="0025590A" w:rsidP="00853B56">
      <w:pPr>
        <w:jc w:val="both"/>
        <w:rPr>
          <w:rFonts w:ascii="Avenir Next" w:hAnsi="Avenir Next" w:cs="Arial"/>
          <w:color w:val="000000" w:themeColor="text1"/>
          <w:sz w:val="22"/>
          <w:szCs w:val="22"/>
          <w:lang w:val="en-GB"/>
        </w:rPr>
      </w:pPr>
    </w:p>
    <w:p w14:paraId="46289798" w14:textId="6B389A41" w:rsidR="00D16C8B" w:rsidRPr="00D16C8B" w:rsidRDefault="00D16C8B" w:rsidP="00853B56">
      <w:pPr>
        <w:jc w:val="both"/>
        <w:rPr>
          <w:rFonts w:ascii="Arial" w:hAnsi="Arial" w:cs="Arial"/>
          <w:color w:val="000000" w:themeColor="text1"/>
          <w:sz w:val="22"/>
          <w:szCs w:val="22"/>
          <w:lang w:val="en-GB"/>
        </w:rPr>
      </w:pPr>
      <w:r w:rsidRPr="00D16C8B">
        <w:rPr>
          <w:rFonts w:ascii="Arial" w:hAnsi="Arial" w:cs="Arial"/>
          <w:color w:val="000000" w:themeColor="text1"/>
          <w:sz w:val="22"/>
          <w:szCs w:val="22"/>
          <w:lang w:val="en-GB"/>
        </w:rPr>
        <w:t>Answer</w:t>
      </w:r>
    </w:p>
    <w:p w14:paraId="2CCE8E3B" w14:textId="77777777" w:rsidR="00D16C8B" w:rsidRPr="00310533" w:rsidRDefault="00D16C8B" w:rsidP="00853B56">
      <w:pPr>
        <w:jc w:val="both"/>
        <w:rPr>
          <w:rFonts w:ascii="Avenir Next" w:hAnsi="Avenir Next" w:cs="Arial"/>
          <w:color w:val="000000" w:themeColor="text1"/>
          <w:sz w:val="22"/>
          <w:szCs w:val="22"/>
          <w:lang w:val="en-GB"/>
        </w:rPr>
      </w:pPr>
    </w:p>
    <w:p w14:paraId="559360E3" w14:textId="77777777" w:rsidR="006B6AED" w:rsidRPr="00D16C8B" w:rsidRDefault="00802FC7" w:rsidP="002A37BB">
      <w:pPr>
        <w:jc w:val="both"/>
        <w:rPr>
          <w:rFonts w:ascii="Arial" w:hAnsi="Arial" w:cs="Arial"/>
          <w:color w:val="808080" w:themeColor="background1" w:themeShade="80"/>
          <w:sz w:val="22"/>
          <w:szCs w:val="22"/>
          <w:shd w:val="clear" w:color="auto" w:fill="FFFFFF"/>
        </w:rPr>
      </w:pPr>
      <w:r w:rsidRPr="00D16C8B">
        <w:rPr>
          <w:rFonts w:ascii="Arial" w:hAnsi="Arial" w:cs="Arial"/>
          <w:color w:val="808080" w:themeColor="background1" w:themeShade="80"/>
          <w:sz w:val="22"/>
          <w:szCs w:val="22"/>
          <w:shd w:val="clear" w:color="auto" w:fill="FFFFFF"/>
        </w:rPr>
        <w:t xml:space="preserve">I do not agree fully with the statement above.  </w:t>
      </w:r>
      <w:r w:rsidR="0025590A" w:rsidRPr="00D16C8B">
        <w:rPr>
          <w:rFonts w:ascii="Arial" w:hAnsi="Arial" w:cs="Arial"/>
          <w:color w:val="808080" w:themeColor="background1" w:themeShade="80"/>
          <w:sz w:val="22"/>
          <w:szCs w:val="22"/>
          <w:shd w:val="clear" w:color="auto" w:fill="FFFFFF"/>
        </w:rPr>
        <w:t xml:space="preserve">Although the appointment of a receiver is not available for a </w:t>
      </w:r>
      <w:r w:rsidRPr="00D16C8B">
        <w:rPr>
          <w:rFonts w:ascii="Arial" w:hAnsi="Arial" w:cs="Arial"/>
          <w:color w:val="808080" w:themeColor="background1" w:themeShade="80"/>
          <w:sz w:val="22"/>
          <w:szCs w:val="22"/>
          <w:shd w:val="clear" w:color="auto" w:fill="FFFFFF"/>
        </w:rPr>
        <w:t>debtor’s</w:t>
      </w:r>
      <w:r w:rsidR="0025590A" w:rsidRPr="00D16C8B">
        <w:rPr>
          <w:rFonts w:ascii="Arial" w:hAnsi="Arial" w:cs="Arial"/>
          <w:color w:val="808080" w:themeColor="background1" w:themeShade="80"/>
          <w:sz w:val="22"/>
          <w:szCs w:val="22"/>
          <w:shd w:val="clear" w:color="auto" w:fill="FFFFFF"/>
        </w:rPr>
        <w:t xml:space="preserve"> company </w:t>
      </w:r>
      <w:r w:rsidRPr="00D16C8B">
        <w:rPr>
          <w:rFonts w:ascii="Arial" w:hAnsi="Arial" w:cs="Arial"/>
          <w:color w:val="808080" w:themeColor="background1" w:themeShade="80"/>
          <w:sz w:val="22"/>
          <w:szCs w:val="22"/>
          <w:shd w:val="clear" w:color="auto" w:fill="FFFFFF"/>
        </w:rPr>
        <w:t xml:space="preserve">in the Cayman Islands a receiver is available to creditors to assist in a wide range of duties.  A receiver can be appointed by a secured creditor to </w:t>
      </w:r>
      <w:r w:rsidR="006B6AED" w:rsidRPr="00D16C8B">
        <w:rPr>
          <w:rFonts w:ascii="Arial" w:hAnsi="Arial" w:cs="Arial"/>
          <w:color w:val="808080" w:themeColor="background1" w:themeShade="80"/>
          <w:sz w:val="22"/>
          <w:szCs w:val="22"/>
          <w:shd w:val="clear" w:color="auto" w:fill="FFFFFF"/>
        </w:rPr>
        <w:t>realize</w:t>
      </w:r>
      <w:r w:rsidRPr="00D16C8B">
        <w:rPr>
          <w:rFonts w:ascii="Arial" w:hAnsi="Arial" w:cs="Arial"/>
          <w:color w:val="808080" w:themeColor="background1" w:themeShade="80"/>
          <w:sz w:val="22"/>
          <w:szCs w:val="22"/>
          <w:shd w:val="clear" w:color="auto" w:fill="FFFFFF"/>
        </w:rPr>
        <w:t xml:space="preserve"> real property or enforce security rights</w:t>
      </w:r>
      <w:r w:rsidR="006B6AED" w:rsidRPr="00D16C8B">
        <w:rPr>
          <w:rFonts w:ascii="Arial" w:hAnsi="Arial" w:cs="Arial"/>
          <w:color w:val="808080" w:themeColor="background1" w:themeShade="80"/>
          <w:sz w:val="22"/>
          <w:szCs w:val="22"/>
          <w:shd w:val="clear" w:color="auto" w:fill="FFFFFF"/>
        </w:rPr>
        <w:t xml:space="preserve">.  </w:t>
      </w:r>
    </w:p>
    <w:p w14:paraId="0E6A4ADB" w14:textId="77777777" w:rsidR="006B6AED" w:rsidRPr="00D16C8B" w:rsidRDefault="006B6AED" w:rsidP="002A37BB">
      <w:pPr>
        <w:jc w:val="both"/>
        <w:rPr>
          <w:rFonts w:ascii="Arial" w:hAnsi="Arial" w:cs="Arial"/>
          <w:color w:val="808080" w:themeColor="background1" w:themeShade="80"/>
          <w:sz w:val="22"/>
          <w:szCs w:val="22"/>
          <w:shd w:val="clear" w:color="auto" w:fill="FFFFFF"/>
        </w:rPr>
      </w:pPr>
    </w:p>
    <w:p w14:paraId="6DD9BB66" w14:textId="3258E470" w:rsidR="00FA18CF" w:rsidRPr="00D16C8B" w:rsidRDefault="006B6AED" w:rsidP="002A37BB">
      <w:pPr>
        <w:jc w:val="both"/>
        <w:rPr>
          <w:rFonts w:ascii="Arial" w:hAnsi="Arial" w:cs="Arial"/>
          <w:color w:val="808080" w:themeColor="background1" w:themeShade="80"/>
          <w:sz w:val="22"/>
          <w:szCs w:val="22"/>
          <w:shd w:val="clear" w:color="auto" w:fill="FFFFFF"/>
        </w:rPr>
      </w:pPr>
      <w:r w:rsidRPr="00D16C8B">
        <w:rPr>
          <w:rFonts w:ascii="Arial" w:hAnsi="Arial" w:cs="Arial"/>
          <w:color w:val="808080" w:themeColor="background1" w:themeShade="80"/>
          <w:sz w:val="22"/>
          <w:szCs w:val="22"/>
          <w:shd w:val="clear" w:color="auto" w:fill="FFFFFF"/>
        </w:rPr>
        <w:t xml:space="preserve">When a judgement has been obtained against a debtor and his goods have been taken into </w:t>
      </w:r>
      <w:r w:rsidR="00257736" w:rsidRPr="00D16C8B">
        <w:rPr>
          <w:rFonts w:ascii="Arial" w:hAnsi="Arial" w:cs="Arial"/>
          <w:color w:val="808080" w:themeColor="background1" w:themeShade="80"/>
          <w:sz w:val="22"/>
          <w:szCs w:val="22"/>
          <w:shd w:val="clear" w:color="auto" w:fill="FFFFFF"/>
        </w:rPr>
        <w:t>execution,</w:t>
      </w:r>
      <w:r w:rsidRPr="00D16C8B">
        <w:rPr>
          <w:rFonts w:ascii="Arial" w:hAnsi="Arial" w:cs="Arial"/>
          <w:color w:val="808080" w:themeColor="background1" w:themeShade="80"/>
          <w:sz w:val="22"/>
          <w:szCs w:val="22"/>
          <w:shd w:val="clear" w:color="auto" w:fill="FFFFFF"/>
        </w:rPr>
        <w:t xml:space="preserve"> but the bailiff has not executed the process and he </w:t>
      </w:r>
      <w:r w:rsidR="00D16C8B" w:rsidRPr="00D16C8B">
        <w:rPr>
          <w:rFonts w:ascii="Arial" w:hAnsi="Arial" w:cs="Arial"/>
          <w:color w:val="808080" w:themeColor="background1" w:themeShade="80"/>
          <w:sz w:val="22"/>
          <w:szCs w:val="22"/>
          <w:shd w:val="clear" w:color="auto" w:fill="FFFFFF"/>
        </w:rPr>
        <w:t>receive</w:t>
      </w:r>
      <w:r w:rsidRPr="00D16C8B">
        <w:rPr>
          <w:rFonts w:ascii="Arial" w:hAnsi="Arial" w:cs="Arial"/>
          <w:color w:val="808080" w:themeColor="background1" w:themeShade="80"/>
          <w:sz w:val="22"/>
          <w:szCs w:val="22"/>
          <w:shd w:val="clear" w:color="auto" w:fill="FFFFFF"/>
        </w:rPr>
        <w:t xml:space="preserve"> a notice of the appointment </w:t>
      </w:r>
      <w:r w:rsidR="00AF1928" w:rsidRPr="00D16C8B">
        <w:rPr>
          <w:rFonts w:ascii="Arial" w:hAnsi="Arial" w:cs="Arial"/>
          <w:color w:val="808080" w:themeColor="background1" w:themeShade="80"/>
          <w:sz w:val="22"/>
          <w:szCs w:val="22"/>
          <w:shd w:val="clear" w:color="auto" w:fill="FFFFFF"/>
        </w:rPr>
        <w:t>of receiver</w:t>
      </w:r>
      <w:r w:rsidRPr="00D16C8B">
        <w:rPr>
          <w:rFonts w:ascii="Arial" w:hAnsi="Arial" w:cs="Arial"/>
          <w:color w:val="808080" w:themeColor="background1" w:themeShade="80"/>
          <w:sz w:val="22"/>
          <w:szCs w:val="22"/>
          <w:shd w:val="clear" w:color="auto" w:fill="FFFFFF"/>
        </w:rPr>
        <w:t xml:space="preserve"> under a bankruptcy petition, the bailiff must deliver such goods to the receiver.  </w:t>
      </w:r>
    </w:p>
    <w:p w14:paraId="02F1BB90" w14:textId="0EB52CD3" w:rsidR="00AF1928" w:rsidRPr="00D16C8B" w:rsidRDefault="00AF1928" w:rsidP="002A37BB">
      <w:pPr>
        <w:jc w:val="both"/>
        <w:rPr>
          <w:rFonts w:ascii="Arial" w:hAnsi="Arial" w:cs="Arial"/>
          <w:color w:val="808080" w:themeColor="background1" w:themeShade="80"/>
          <w:sz w:val="22"/>
          <w:szCs w:val="22"/>
          <w:shd w:val="clear" w:color="auto" w:fill="FFFFFF"/>
        </w:rPr>
      </w:pPr>
    </w:p>
    <w:p w14:paraId="31F0ABCE" w14:textId="77777777" w:rsidR="00257736" w:rsidRPr="00D16C8B" w:rsidRDefault="00AF1928" w:rsidP="002A37BB">
      <w:pPr>
        <w:jc w:val="both"/>
        <w:rPr>
          <w:rFonts w:ascii="Arial" w:hAnsi="Arial" w:cs="Arial"/>
          <w:color w:val="808080" w:themeColor="background1" w:themeShade="80"/>
          <w:sz w:val="22"/>
          <w:szCs w:val="22"/>
          <w:shd w:val="clear" w:color="auto" w:fill="FFFFFF"/>
        </w:rPr>
      </w:pPr>
      <w:r w:rsidRPr="00D16C8B">
        <w:rPr>
          <w:rFonts w:ascii="Arial" w:hAnsi="Arial" w:cs="Arial"/>
          <w:color w:val="808080" w:themeColor="background1" w:themeShade="80"/>
          <w:sz w:val="22"/>
          <w:szCs w:val="22"/>
          <w:shd w:val="clear" w:color="auto" w:fill="FFFFFF"/>
        </w:rPr>
        <w:lastRenderedPageBreak/>
        <w:t xml:space="preserve">A court appointed receiver </w:t>
      </w:r>
      <w:r w:rsidR="008C2574" w:rsidRPr="00D16C8B">
        <w:rPr>
          <w:rFonts w:ascii="Arial" w:hAnsi="Arial" w:cs="Arial"/>
          <w:color w:val="808080" w:themeColor="background1" w:themeShade="80"/>
          <w:sz w:val="22"/>
          <w:szCs w:val="22"/>
          <w:shd w:val="clear" w:color="auto" w:fill="FFFFFF"/>
        </w:rPr>
        <w:t xml:space="preserve">in terms of Order 30 of the Grant Court Rules which governs the appointment and duties of the receivers can be used to collect money in terms of Order 45 GCR, or to carry out some other act as stipulated </w:t>
      </w:r>
      <w:r w:rsidR="00257736" w:rsidRPr="00D16C8B">
        <w:rPr>
          <w:rFonts w:ascii="Arial" w:hAnsi="Arial" w:cs="Arial"/>
          <w:color w:val="808080" w:themeColor="background1" w:themeShade="80"/>
          <w:sz w:val="22"/>
          <w:szCs w:val="22"/>
          <w:shd w:val="clear" w:color="auto" w:fill="FFFFFF"/>
        </w:rPr>
        <w:t>by Court</w:t>
      </w:r>
      <w:r w:rsidR="008C2574" w:rsidRPr="00D16C8B">
        <w:rPr>
          <w:rFonts w:ascii="Arial" w:hAnsi="Arial" w:cs="Arial"/>
          <w:color w:val="808080" w:themeColor="background1" w:themeShade="80"/>
          <w:sz w:val="22"/>
          <w:szCs w:val="22"/>
          <w:shd w:val="clear" w:color="auto" w:fill="FFFFFF"/>
        </w:rPr>
        <w:t xml:space="preserve">.  </w:t>
      </w:r>
    </w:p>
    <w:p w14:paraId="6D2400D5" w14:textId="77777777" w:rsidR="00257736" w:rsidRPr="00D16C8B" w:rsidRDefault="00257736" w:rsidP="002A37BB">
      <w:pPr>
        <w:jc w:val="both"/>
        <w:rPr>
          <w:rFonts w:ascii="Arial" w:hAnsi="Arial" w:cs="Arial"/>
          <w:color w:val="808080" w:themeColor="background1" w:themeShade="80"/>
          <w:sz w:val="22"/>
          <w:szCs w:val="22"/>
          <w:shd w:val="clear" w:color="auto" w:fill="FFFFFF"/>
        </w:rPr>
      </w:pPr>
    </w:p>
    <w:p w14:paraId="57856642" w14:textId="2F578D69" w:rsidR="00AF1928" w:rsidRPr="00D16C8B" w:rsidRDefault="00257736" w:rsidP="002A37BB">
      <w:pPr>
        <w:jc w:val="both"/>
        <w:rPr>
          <w:rFonts w:ascii="Arial" w:hAnsi="Arial" w:cs="Arial"/>
          <w:color w:val="808080" w:themeColor="background1" w:themeShade="80"/>
          <w:sz w:val="22"/>
          <w:szCs w:val="22"/>
          <w:shd w:val="clear" w:color="auto" w:fill="FFFFFF"/>
        </w:rPr>
      </w:pPr>
      <w:r w:rsidRPr="00D16C8B">
        <w:rPr>
          <w:rFonts w:ascii="Arial" w:hAnsi="Arial" w:cs="Arial"/>
          <w:color w:val="808080" w:themeColor="background1" w:themeShade="80"/>
          <w:sz w:val="22"/>
          <w:szCs w:val="22"/>
          <w:shd w:val="clear" w:color="auto" w:fill="FFFFFF"/>
        </w:rPr>
        <w:t xml:space="preserve">Although the appointment of Receivers </w:t>
      </w:r>
      <w:r w:rsidR="00D16C8B" w:rsidRPr="00D16C8B">
        <w:rPr>
          <w:rFonts w:ascii="Arial" w:hAnsi="Arial" w:cs="Arial"/>
          <w:color w:val="808080" w:themeColor="background1" w:themeShade="80"/>
          <w:sz w:val="22"/>
          <w:szCs w:val="22"/>
          <w:shd w:val="clear" w:color="auto" w:fill="FFFFFF"/>
        </w:rPr>
        <w:t>is</w:t>
      </w:r>
      <w:r w:rsidRPr="00D16C8B">
        <w:rPr>
          <w:rFonts w:ascii="Arial" w:hAnsi="Arial" w:cs="Arial"/>
          <w:color w:val="808080" w:themeColor="background1" w:themeShade="80"/>
          <w:sz w:val="22"/>
          <w:szCs w:val="22"/>
          <w:shd w:val="clear" w:color="auto" w:fill="FFFFFF"/>
        </w:rPr>
        <w:t xml:space="preserve"> not explicitly mentioned in the statutory provisions, they can be appointed to deal specifically with insolvency matters in terms of the Companies Act and Companies Winding up Rules.     </w:t>
      </w:r>
    </w:p>
    <w:p w14:paraId="6B4C4CB7" w14:textId="29400CF4" w:rsidR="00E4294D" w:rsidRDefault="00E4294D" w:rsidP="002A37BB">
      <w:pPr>
        <w:jc w:val="both"/>
        <w:rPr>
          <w:rFonts w:ascii="Avenir Next" w:hAnsi="Avenir Next" w:cs="Arial"/>
          <w:sz w:val="22"/>
          <w:szCs w:val="22"/>
          <w:shd w:val="clear" w:color="auto" w:fill="FFFFFF"/>
        </w:rPr>
      </w:pP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D16C8B">
        <w:rPr>
          <w:rFonts w:ascii="Avenir Next Demi Bold" w:hAnsi="Avenir Next Demi Bold" w:cs="Arial"/>
          <w:b/>
          <w:bCs/>
          <w:sz w:val="22"/>
          <w:szCs w:val="22"/>
          <w:lang w:val="en-GB"/>
        </w:rPr>
        <w:t>QUESTION 4</w:t>
      </w:r>
      <w:r w:rsidR="009B0723" w:rsidRPr="00D16C8B">
        <w:rPr>
          <w:rFonts w:ascii="Avenir Next Demi Bold" w:hAnsi="Avenir Next Demi Bold" w:cs="Arial"/>
          <w:b/>
          <w:bCs/>
          <w:sz w:val="22"/>
          <w:szCs w:val="22"/>
          <w:lang w:val="en-GB"/>
        </w:rPr>
        <w:t xml:space="preserve"> (fact-based </w:t>
      </w:r>
      <w:r w:rsidR="009B0723" w:rsidRPr="00310533">
        <w:rPr>
          <w:rFonts w:ascii="Avenir Next Demi Bold" w:hAnsi="Avenir Next Demi Bold" w:cs="Arial"/>
          <w:b/>
          <w:bCs/>
          <w:sz w:val="22"/>
          <w:szCs w:val="22"/>
          <w:lang w:val="en-GB"/>
        </w:rPr>
        <w:t>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 xml:space="preserve">Johnson &amp; Boris Ltd (JoBo)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r w:rsidR="00BB6D1E" w:rsidRPr="00310533">
        <w:rPr>
          <w:rFonts w:ascii="Avenir Next" w:hAnsi="Avenir Next" w:cs="Arial"/>
          <w:sz w:val="22"/>
          <w:szCs w:val="22"/>
          <w:lang w:val="en-GB"/>
        </w:rPr>
        <w:t>JoBo</w:t>
      </w:r>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JoBo</w:t>
      </w:r>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77777777" w:rsidR="00952187" w:rsidRPr="00310533" w:rsidRDefault="00952187" w:rsidP="00924973">
      <w:pPr>
        <w:ind w:left="426"/>
        <w:jc w:val="both"/>
        <w:rPr>
          <w:rFonts w:ascii="Avenir Next" w:hAnsi="Avenir Next" w:cs="Arial"/>
          <w:sz w:val="22"/>
          <w:szCs w:val="22"/>
          <w:lang w:val="en-GB"/>
        </w:rPr>
      </w:pPr>
    </w:p>
    <w:p w14:paraId="24A6BD44" w14:textId="4E46DAB4" w:rsidR="00F730FA"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74CFE4E1" w14:textId="668C7CF4" w:rsidR="00A30968" w:rsidRDefault="00A30968" w:rsidP="00D16C8B">
      <w:pPr>
        <w:jc w:val="both"/>
        <w:rPr>
          <w:rFonts w:ascii="Avenir Next" w:hAnsi="Avenir Next" w:cs="Arial"/>
          <w:sz w:val="22"/>
          <w:szCs w:val="22"/>
          <w:lang w:val="en-GB"/>
        </w:rPr>
      </w:pPr>
    </w:p>
    <w:p w14:paraId="36A2882A" w14:textId="77777777" w:rsidR="00A30968" w:rsidRPr="00310533" w:rsidRDefault="00A30968" w:rsidP="00924973">
      <w:pPr>
        <w:ind w:left="426"/>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lastRenderedPageBreak/>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0"/>
    <w:p w14:paraId="51911D9F" w14:textId="1294DD56" w:rsidR="00952187" w:rsidRDefault="00952187" w:rsidP="00952187">
      <w:pPr>
        <w:jc w:val="both"/>
        <w:rPr>
          <w:rFonts w:ascii="Avenir Next" w:hAnsi="Avenir Next" w:cs="Arial"/>
          <w:color w:val="808080" w:themeColor="background1" w:themeShade="80"/>
          <w:sz w:val="22"/>
          <w:szCs w:val="22"/>
          <w:lang w:val="en-GB"/>
        </w:rPr>
      </w:pPr>
    </w:p>
    <w:p w14:paraId="652C534C" w14:textId="1A8AA454" w:rsidR="005A578F" w:rsidRPr="00D16C8B" w:rsidRDefault="00D16C8B" w:rsidP="005A578F">
      <w:pPr>
        <w:jc w:val="both"/>
        <w:rPr>
          <w:rFonts w:ascii="Arial" w:hAnsi="Arial" w:cs="Arial"/>
          <w:color w:val="808080" w:themeColor="background1" w:themeShade="80"/>
          <w:sz w:val="22"/>
          <w:szCs w:val="22"/>
          <w:lang w:val="en-ZA"/>
        </w:rPr>
      </w:pPr>
      <w:r w:rsidRPr="00D16C8B">
        <w:rPr>
          <w:rFonts w:ascii="Arial" w:hAnsi="Arial" w:cs="Arial"/>
          <w:color w:val="808080" w:themeColor="background1" w:themeShade="80"/>
          <w:sz w:val="22"/>
          <w:szCs w:val="22"/>
          <w:lang w:val="en-ZA"/>
        </w:rPr>
        <w:t>Answer</w:t>
      </w:r>
    </w:p>
    <w:p w14:paraId="45A80298" w14:textId="77777777" w:rsidR="00D16C8B" w:rsidRPr="00D16C8B" w:rsidRDefault="00D16C8B" w:rsidP="005A578F">
      <w:pPr>
        <w:jc w:val="both"/>
        <w:rPr>
          <w:rFonts w:ascii="Arial" w:hAnsi="Arial" w:cs="Arial"/>
          <w:color w:val="808080" w:themeColor="background1" w:themeShade="80"/>
          <w:sz w:val="22"/>
          <w:szCs w:val="22"/>
          <w:lang w:val="en-ZA"/>
        </w:rPr>
      </w:pPr>
    </w:p>
    <w:p w14:paraId="4845007D" w14:textId="1C32923C" w:rsidR="00A42E95" w:rsidRPr="00D16C8B" w:rsidRDefault="005A578F" w:rsidP="00717916">
      <w:pPr>
        <w:numPr>
          <w:ilvl w:val="0"/>
          <w:numId w:val="42"/>
        </w:numPr>
        <w:jc w:val="both"/>
        <w:rPr>
          <w:rFonts w:ascii="Arial" w:hAnsi="Arial" w:cs="Arial"/>
          <w:color w:val="808080" w:themeColor="background1" w:themeShade="80"/>
          <w:sz w:val="22"/>
          <w:szCs w:val="22"/>
          <w:lang w:val="en-ZA"/>
        </w:rPr>
      </w:pPr>
      <w:r w:rsidRPr="00D16C8B">
        <w:rPr>
          <w:rFonts w:ascii="Arial" w:hAnsi="Arial" w:cs="Arial"/>
          <w:color w:val="808080" w:themeColor="background1" w:themeShade="80"/>
          <w:sz w:val="22"/>
          <w:szCs w:val="22"/>
          <w:lang w:val="en-ZA"/>
        </w:rPr>
        <w:t>BTIB ought to immediately</w:t>
      </w:r>
      <w:r w:rsidRPr="00D16C8B">
        <w:rPr>
          <w:rFonts w:ascii="Arial" w:hAnsi="Arial" w:cs="Arial"/>
          <w:i/>
          <w:iCs/>
          <w:color w:val="808080" w:themeColor="background1" w:themeShade="80"/>
          <w:sz w:val="22"/>
          <w:szCs w:val="22"/>
          <w:lang w:val="en-ZA"/>
        </w:rPr>
        <w:t xml:space="preserve"> register</w:t>
      </w:r>
      <w:r w:rsidRPr="00D16C8B">
        <w:rPr>
          <w:rFonts w:ascii="Arial" w:hAnsi="Arial" w:cs="Arial"/>
          <w:color w:val="808080" w:themeColor="background1" w:themeShade="80"/>
          <w:sz w:val="22"/>
          <w:szCs w:val="22"/>
          <w:lang w:val="en-ZA"/>
        </w:rPr>
        <w:t xml:space="preserve"> the mortgage it holds over the four party boats as security for payment of USD180 million. In terms of Cayman Island law, a mortgage over movable property must be perfected – ie. registered – before the creditor’s claim will be regard as a secured claim. </w:t>
      </w:r>
      <w:r w:rsidR="00A42E95" w:rsidRPr="00D16C8B">
        <w:rPr>
          <w:rFonts w:ascii="Arial" w:hAnsi="Arial" w:cs="Arial"/>
          <w:color w:val="808080" w:themeColor="background1" w:themeShade="80"/>
          <w:sz w:val="22"/>
          <w:szCs w:val="22"/>
          <w:lang w:val="en-ZA"/>
        </w:rPr>
        <w:t xml:space="preserve">For the portion of the loan secured by the (by now registered) mortgage, BTIB can institute action in the Cayman Island courts despite </w:t>
      </w:r>
      <w:r w:rsidR="005545D0" w:rsidRPr="00D16C8B">
        <w:rPr>
          <w:rFonts w:ascii="Arial" w:hAnsi="Arial" w:cs="Arial"/>
          <w:color w:val="808080" w:themeColor="background1" w:themeShade="80"/>
          <w:sz w:val="22"/>
          <w:szCs w:val="22"/>
          <w:lang w:val="en-ZA"/>
        </w:rPr>
        <w:t xml:space="preserve">a petition for appointment of a restructuring officer </w:t>
      </w:r>
      <w:r w:rsidR="00717916" w:rsidRPr="00D16C8B">
        <w:rPr>
          <w:rFonts w:ascii="Arial" w:hAnsi="Arial" w:cs="Arial"/>
          <w:color w:val="808080" w:themeColor="background1" w:themeShade="80"/>
          <w:sz w:val="22"/>
          <w:szCs w:val="22"/>
          <w:lang w:val="en-ZA"/>
        </w:rPr>
        <w:t xml:space="preserve">having been filed. </w:t>
      </w:r>
      <w:r w:rsidR="00A42E95" w:rsidRPr="00D16C8B">
        <w:rPr>
          <w:rFonts w:ascii="Arial" w:hAnsi="Arial" w:cs="Arial"/>
          <w:color w:val="808080" w:themeColor="background1" w:themeShade="80"/>
          <w:sz w:val="22"/>
          <w:szCs w:val="22"/>
          <w:lang w:val="en-ZA"/>
        </w:rPr>
        <w:t>For the balance of USD 120 million, BTIB is simply an unsecured creditor able to exercise its limited rights as such.</w:t>
      </w:r>
    </w:p>
    <w:p w14:paraId="67D31423" w14:textId="77777777" w:rsidR="00A42E95" w:rsidRPr="00D16C8B" w:rsidRDefault="00A42E95" w:rsidP="00A42E95">
      <w:pPr>
        <w:ind w:left="720"/>
        <w:jc w:val="both"/>
        <w:rPr>
          <w:rFonts w:ascii="Arial" w:hAnsi="Arial" w:cs="Arial"/>
          <w:color w:val="808080" w:themeColor="background1" w:themeShade="80"/>
          <w:sz w:val="22"/>
          <w:szCs w:val="22"/>
          <w:lang w:val="en-ZA"/>
        </w:rPr>
      </w:pPr>
    </w:p>
    <w:p w14:paraId="3E0919A0" w14:textId="2B7642EF" w:rsidR="005A578F" w:rsidRPr="00D16C8B" w:rsidRDefault="005A578F" w:rsidP="001752CA">
      <w:pPr>
        <w:numPr>
          <w:ilvl w:val="0"/>
          <w:numId w:val="42"/>
        </w:numPr>
        <w:jc w:val="both"/>
        <w:rPr>
          <w:rFonts w:ascii="Arial" w:hAnsi="Arial" w:cs="Arial"/>
          <w:color w:val="808080" w:themeColor="background1" w:themeShade="80"/>
          <w:sz w:val="22"/>
          <w:szCs w:val="22"/>
          <w:lang w:val="en-ZA"/>
        </w:rPr>
      </w:pPr>
      <w:r w:rsidRPr="00D16C8B">
        <w:rPr>
          <w:rFonts w:ascii="Arial" w:hAnsi="Arial" w:cs="Arial"/>
          <w:color w:val="808080" w:themeColor="background1" w:themeShade="80"/>
          <w:sz w:val="22"/>
          <w:szCs w:val="22"/>
          <w:lang w:val="en-ZA"/>
        </w:rPr>
        <w:t>JoBo is in possession of an award granted by an arbitrator</w:t>
      </w:r>
      <w:r w:rsidR="00717916" w:rsidRPr="00D16C8B">
        <w:rPr>
          <w:rFonts w:ascii="Arial" w:hAnsi="Arial" w:cs="Arial"/>
          <w:color w:val="808080" w:themeColor="background1" w:themeShade="80"/>
          <w:sz w:val="22"/>
          <w:szCs w:val="22"/>
          <w:lang w:val="en-ZA"/>
        </w:rPr>
        <w:t xml:space="preserve"> in the UK At present, a foreign judgment obtained in the UK cannot be enforced in the Cayman Islands</w:t>
      </w:r>
      <w:r w:rsidR="007B783A" w:rsidRPr="00D16C8B">
        <w:rPr>
          <w:rFonts w:ascii="Arial" w:hAnsi="Arial" w:cs="Arial"/>
          <w:color w:val="808080" w:themeColor="background1" w:themeShade="80"/>
          <w:sz w:val="22"/>
          <w:szCs w:val="22"/>
          <w:lang w:val="en-ZA"/>
        </w:rPr>
        <w:t xml:space="preserve"> (due to absence of a reciprocity agreement). </w:t>
      </w:r>
      <w:r w:rsidR="00717916" w:rsidRPr="00D16C8B">
        <w:rPr>
          <w:rFonts w:ascii="Arial" w:hAnsi="Arial" w:cs="Arial"/>
          <w:color w:val="808080" w:themeColor="background1" w:themeShade="80"/>
          <w:sz w:val="22"/>
          <w:szCs w:val="22"/>
          <w:lang w:val="en-ZA"/>
        </w:rPr>
        <w:t xml:space="preserve">At common law, </w:t>
      </w:r>
      <w:r w:rsidR="007B783A" w:rsidRPr="00D16C8B">
        <w:rPr>
          <w:rFonts w:ascii="Arial" w:hAnsi="Arial" w:cs="Arial"/>
          <w:color w:val="808080" w:themeColor="background1" w:themeShade="80"/>
          <w:sz w:val="22"/>
          <w:szCs w:val="22"/>
          <w:lang w:val="en-ZA"/>
        </w:rPr>
        <w:t xml:space="preserve">JoBo may </w:t>
      </w:r>
      <w:r w:rsidR="00E86406" w:rsidRPr="00D16C8B">
        <w:rPr>
          <w:rFonts w:ascii="Arial" w:hAnsi="Arial" w:cs="Arial"/>
          <w:color w:val="808080" w:themeColor="background1" w:themeShade="80"/>
          <w:sz w:val="22"/>
          <w:szCs w:val="22"/>
          <w:lang w:val="en-ZA"/>
        </w:rPr>
        <w:t>institute</w:t>
      </w:r>
      <w:r w:rsidR="007B783A" w:rsidRPr="00D16C8B">
        <w:rPr>
          <w:rFonts w:ascii="Arial" w:hAnsi="Arial" w:cs="Arial"/>
          <w:color w:val="808080" w:themeColor="background1" w:themeShade="80"/>
          <w:sz w:val="22"/>
          <w:szCs w:val="22"/>
          <w:lang w:val="en-ZA"/>
        </w:rPr>
        <w:t xml:space="preserve"> action based on the debt, </w:t>
      </w:r>
      <w:r w:rsidR="00E86406" w:rsidRPr="00D16C8B">
        <w:rPr>
          <w:rFonts w:ascii="Arial" w:hAnsi="Arial" w:cs="Arial"/>
          <w:color w:val="808080" w:themeColor="background1" w:themeShade="80"/>
          <w:sz w:val="22"/>
          <w:szCs w:val="22"/>
          <w:lang w:val="en-ZA"/>
        </w:rPr>
        <w:t>being</w:t>
      </w:r>
      <w:r w:rsidR="007B783A" w:rsidRPr="00D16C8B">
        <w:rPr>
          <w:rFonts w:ascii="Arial" w:hAnsi="Arial" w:cs="Arial"/>
          <w:color w:val="808080" w:themeColor="background1" w:themeShade="80"/>
          <w:sz w:val="22"/>
          <w:szCs w:val="22"/>
          <w:lang w:val="en-ZA"/>
        </w:rPr>
        <w:t xml:space="preserve"> the award made by the arbitrator</w:t>
      </w:r>
      <w:r w:rsidR="00E86406" w:rsidRPr="00D16C8B">
        <w:rPr>
          <w:rFonts w:ascii="Arial" w:hAnsi="Arial" w:cs="Arial"/>
          <w:color w:val="808080" w:themeColor="background1" w:themeShade="80"/>
          <w:sz w:val="22"/>
          <w:szCs w:val="22"/>
          <w:lang w:val="en-ZA"/>
        </w:rPr>
        <w:t xml:space="preserve"> but is prohibited from doing so once a petition for restructuring is filed. </w:t>
      </w:r>
    </w:p>
    <w:p w14:paraId="113AA7D4" w14:textId="77777777" w:rsidR="007B783A" w:rsidRPr="00D16C8B" w:rsidRDefault="007B783A" w:rsidP="007B783A">
      <w:pPr>
        <w:jc w:val="both"/>
        <w:rPr>
          <w:rFonts w:ascii="Arial" w:hAnsi="Arial" w:cs="Arial"/>
          <w:color w:val="808080" w:themeColor="background1" w:themeShade="80"/>
          <w:sz w:val="22"/>
          <w:szCs w:val="22"/>
          <w:lang w:val="en-ZA"/>
        </w:rPr>
      </w:pPr>
    </w:p>
    <w:p w14:paraId="7E28ED02" w14:textId="7E0AB0BB" w:rsidR="005A578F" w:rsidRPr="00D16C8B" w:rsidRDefault="005A578F" w:rsidP="005A578F">
      <w:pPr>
        <w:numPr>
          <w:ilvl w:val="0"/>
          <w:numId w:val="42"/>
        </w:numPr>
        <w:jc w:val="both"/>
        <w:rPr>
          <w:rFonts w:ascii="Arial" w:hAnsi="Arial" w:cs="Arial"/>
          <w:color w:val="808080" w:themeColor="background1" w:themeShade="80"/>
          <w:sz w:val="22"/>
          <w:szCs w:val="22"/>
          <w:lang w:val="en-ZA"/>
        </w:rPr>
      </w:pPr>
      <w:r w:rsidRPr="00D16C8B">
        <w:rPr>
          <w:rFonts w:ascii="Arial" w:hAnsi="Arial" w:cs="Arial"/>
          <w:color w:val="808080" w:themeColor="background1" w:themeShade="80"/>
          <w:sz w:val="22"/>
          <w:szCs w:val="22"/>
          <w:lang w:val="en-ZA"/>
        </w:rPr>
        <w:t xml:space="preserve">The employees can </w:t>
      </w:r>
      <w:r w:rsidR="00A42E95" w:rsidRPr="00D16C8B">
        <w:rPr>
          <w:rFonts w:ascii="Arial" w:hAnsi="Arial" w:cs="Arial"/>
          <w:color w:val="808080" w:themeColor="background1" w:themeShade="80"/>
          <w:sz w:val="22"/>
          <w:szCs w:val="22"/>
          <w:lang w:val="en-ZA"/>
        </w:rPr>
        <w:t xml:space="preserve">file claims against VP with the restructuring officer and </w:t>
      </w:r>
      <w:r w:rsidR="00717916" w:rsidRPr="00D16C8B">
        <w:rPr>
          <w:rFonts w:ascii="Arial" w:hAnsi="Arial" w:cs="Arial"/>
          <w:color w:val="808080" w:themeColor="background1" w:themeShade="80"/>
          <w:sz w:val="22"/>
          <w:szCs w:val="22"/>
          <w:lang w:val="en-ZA"/>
        </w:rPr>
        <w:t xml:space="preserve">will </w:t>
      </w:r>
      <w:r w:rsidR="00A42E95" w:rsidRPr="00D16C8B">
        <w:rPr>
          <w:rFonts w:ascii="Arial" w:hAnsi="Arial" w:cs="Arial"/>
          <w:color w:val="808080" w:themeColor="background1" w:themeShade="80"/>
          <w:sz w:val="22"/>
          <w:szCs w:val="22"/>
          <w:lang w:val="en-ZA"/>
        </w:rPr>
        <w:t xml:space="preserve">enjoy the status of preferential creditors in a winding up, </w:t>
      </w:r>
    </w:p>
    <w:p w14:paraId="0319566C" w14:textId="77777777" w:rsidR="005A578F" w:rsidRPr="00D16C8B" w:rsidRDefault="005A578F" w:rsidP="005A578F">
      <w:pPr>
        <w:jc w:val="both"/>
        <w:rPr>
          <w:rFonts w:ascii="Arial" w:hAnsi="Arial" w:cs="Arial"/>
          <w:color w:val="808080" w:themeColor="background1" w:themeShade="80"/>
          <w:sz w:val="22"/>
          <w:szCs w:val="22"/>
          <w:lang w:val="en-ZA"/>
        </w:rPr>
      </w:pPr>
    </w:p>
    <w:p w14:paraId="7E1527E6" w14:textId="0833D7C5" w:rsidR="005A578F" w:rsidRPr="00D16C8B" w:rsidRDefault="005A578F" w:rsidP="005A578F">
      <w:pPr>
        <w:numPr>
          <w:ilvl w:val="0"/>
          <w:numId w:val="42"/>
        </w:numPr>
        <w:jc w:val="both"/>
        <w:rPr>
          <w:rFonts w:ascii="Arial" w:hAnsi="Arial" w:cs="Arial"/>
          <w:color w:val="808080" w:themeColor="background1" w:themeShade="80"/>
          <w:sz w:val="22"/>
          <w:szCs w:val="22"/>
          <w:lang w:val="en-ZA"/>
        </w:rPr>
      </w:pPr>
      <w:r w:rsidRPr="00D16C8B">
        <w:rPr>
          <w:rFonts w:ascii="Arial" w:hAnsi="Arial" w:cs="Arial"/>
          <w:color w:val="808080" w:themeColor="background1" w:themeShade="80"/>
          <w:sz w:val="22"/>
          <w:szCs w:val="22"/>
          <w:lang w:val="en-ZA"/>
        </w:rPr>
        <w:t>The Cayman Island courts have jurisdiction over VP by virtue of</w:t>
      </w:r>
      <w:r w:rsidR="007B783A" w:rsidRPr="00D16C8B">
        <w:rPr>
          <w:rFonts w:ascii="Arial" w:hAnsi="Arial" w:cs="Arial"/>
          <w:color w:val="808080" w:themeColor="background1" w:themeShade="80"/>
          <w:sz w:val="22"/>
          <w:szCs w:val="22"/>
          <w:lang w:val="en-ZA"/>
        </w:rPr>
        <w:t xml:space="preserve"> it</w:t>
      </w:r>
      <w:r w:rsidRPr="00D16C8B">
        <w:rPr>
          <w:rFonts w:ascii="Arial" w:hAnsi="Arial" w:cs="Arial"/>
          <w:color w:val="808080" w:themeColor="background1" w:themeShade="80"/>
          <w:sz w:val="22"/>
          <w:szCs w:val="22"/>
          <w:lang w:val="en-ZA"/>
        </w:rPr>
        <w:t xml:space="preserve"> being registered as a company under Cayman Islands law.</w:t>
      </w:r>
    </w:p>
    <w:p w14:paraId="0CA8AB61" w14:textId="77777777" w:rsidR="005A578F" w:rsidRPr="00D16C8B" w:rsidRDefault="005A578F" w:rsidP="005A578F">
      <w:pPr>
        <w:jc w:val="both"/>
        <w:rPr>
          <w:rFonts w:ascii="Arial" w:hAnsi="Arial" w:cs="Arial"/>
          <w:color w:val="808080" w:themeColor="background1" w:themeShade="80"/>
          <w:sz w:val="22"/>
          <w:szCs w:val="22"/>
          <w:lang w:val="en-ZA"/>
        </w:rPr>
      </w:pPr>
    </w:p>
    <w:p w14:paraId="3DC3665B" w14:textId="47E94A60" w:rsidR="005A578F" w:rsidRPr="00D16C8B" w:rsidRDefault="005A578F" w:rsidP="005A578F">
      <w:pPr>
        <w:numPr>
          <w:ilvl w:val="0"/>
          <w:numId w:val="42"/>
        </w:numPr>
        <w:jc w:val="both"/>
        <w:rPr>
          <w:rFonts w:ascii="Arial" w:hAnsi="Arial" w:cs="Arial"/>
          <w:color w:val="808080" w:themeColor="background1" w:themeShade="80"/>
          <w:sz w:val="22"/>
          <w:szCs w:val="22"/>
          <w:lang w:val="en-ZA"/>
        </w:rPr>
      </w:pPr>
      <w:r w:rsidRPr="00D16C8B">
        <w:rPr>
          <w:rFonts w:ascii="Arial" w:hAnsi="Arial" w:cs="Arial"/>
          <w:color w:val="808080" w:themeColor="background1" w:themeShade="80"/>
          <w:sz w:val="22"/>
          <w:szCs w:val="22"/>
          <w:lang w:val="en-ZA"/>
        </w:rPr>
        <w:t xml:space="preserve">VP can protect itself </w:t>
      </w:r>
      <w:r w:rsidR="00A42E95" w:rsidRPr="00D16C8B">
        <w:rPr>
          <w:rFonts w:ascii="Arial" w:hAnsi="Arial" w:cs="Arial"/>
          <w:color w:val="808080" w:themeColor="background1" w:themeShade="80"/>
          <w:sz w:val="22"/>
          <w:szCs w:val="22"/>
          <w:lang w:val="en-ZA"/>
        </w:rPr>
        <w:t xml:space="preserve">by petitioning the Grand Court for the appointment of a restructuring officer </w:t>
      </w:r>
      <w:r w:rsidR="005545D0" w:rsidRPr="00D16C8B">
        <w:rPr>
          <w:rFonts w:ascii="Arial" w:hAnsi="Arial" w:cs="Arial"/>
          <w:color w:val="808080" w:themeColor="background1" w:themeShade="80"/>
          <w:sz w:val="22"/>
          <w:szCs w:val="22"/>
          <w:lang w:val="en-ZA"/>
        </w:rPr>
        <w:t>stating that is unable or is likely to become unable to pay its debts and that that is intends to present a compromise or arrangement to its creditors. The effect is that an automatic moratorium against any suit or action against it or its assets is granted as from the date on which the petition was filed. While the moratorium inc</w:t>
      </w:r>
      <w:r w:rsidR="007B783A" w:rsidRPr="00D16C8B">
        <w:rPr>
          <w:rFonts w:ascii="Arial" w:hAnsi="Arial" w:cs="Arial"/>
          <w:color w:val="808080" w:themeColor="background1" w:themeShade="80"/>
          <w:sz w:val="22"/>
          <w:szCs w:val="22"/>
          <w:lang w:val="en-ZA"/>
        </w:rPr>
        <w:t>l</w:t>
      </w:r>
      <w:r w:rsidR="005545D0" w:rsidRPr="00D16C8B">
        <w:rPr>
          <w:rFonts w:ascii="Arial" w:hAnsi="Arial" w:cs="Arial"/>
          <w:color w:val="808080" w:themeColor="background1" w:themeShade="80"/>
          <w:sz w:val="22"/>
          <w:szCs w:val="22"/>
          <w:lang w:val="en-ZA"/>
        </w:rPr>
        <w:t>udes extraterritorial judgments and awards such as the award BoJo obtained In London at the ICC, secured creditors such as BTIB can continue to institute action as a secured creditor (but only for the secured portion) without first obtaining  the leave of the restructuring officer or the court.</w:t>
      </w:r>
      <w:r w:rsidRPr="00D16C8B">
        <w:rPr>
          <w:rFonts w:ascii="Arial" w:hAnsi="Arial" w:cs="Arial"/>
          <w:color w:val="808080" w:themeColor="background1" w:themeShade="80"/>
          <w:sz w:val="22"/>
          <w:szCs w:val="22"/>
          <w:lang w:val="en-ZA"/>
        </w:rPr>
        <w:t xml:space="preserve"> </w:t>
      </w:r>
    </w:p>
    <w:p w14:paraId="0C3A7ACB" w14:textId="77777777" w:rsidR="005A578F" w:rsidRPr="00D16C8B" w:rsidRDefault="005A578F" w:rsidP="005A578F">
      <w:pPr>
        <w:jc w:val="both"/>
        <w:rPr>
          <w:rFonts w:ascii="Arial" w:hAnsi="Arial" w:cs="Arial"/>
          <w:color w:val="808080" w:themeColor="background1" w:themeShade="80"/>
          <w:sz w:val="22"/>
          <w:szCs w:val="22"/>
          <w:lang w:val="en-ZA"/>
        </w:rPr>
      </w:pPr>
    </w:p>
    <w:p w14:paraId="3A856708" w14:textId="649A2411" w:rsidR="005A578F" w:rsidRPr="00D16C8B" w:rsidRDefault="005A578F" w:rsidP="005A578F">
      <w:pPr>
        <w:numPr>
          <w:ilvl w:val="0"/>
          <w:numId w:val="42"/>
        </w:numPr>
        <w:jc w:val="both"/>
        <w:rPr>
          <w:rFonts w:ascii="Arial" w:hAnsi="Arial" w:cs="Arial"/>
          <w:color w:val="808080" w:themeColor="background1" w:themeShade="80"/>
          <w:sz w:val="22"/>
          <w:szCs w:val="22"/>
          <w:lang w:val="en-ZA"/>
        </w:rPr>
      </w:pPr>
      <w:r w:rsidRPr="00D16C8B">
        <w:rPr>
          <w:rFonts w:ascii="Arial" w:hAnsi="Arial" w:cs="Arial"/>
          <w:color w:val="808080" w:themeColor="background1" w:themeShade="80"/>
          <w:sz w:val="22"/>
          <w:szCs w:val="22"/>
          <w:lang w:val="en-ZA"/>
        </w:rPr>
        <w:t xml:space="preserve">The Rackham family </w:t>
      </w:r>
      <w:r w:rsidR="007B783A" w:rsidRPr="00D16C8B">
        <w:rPr>
          <w:rFonts w:ascii="Arial" w:hAnsi="Arial" w:cs="Arial"/>
          <w:color w:val="808080" w:themeColor="background1" w:themeShade="80"/>
          <w:sz w:val="22"/>
          <w:szCs w:val="22"/>
          <w:lang w:val="en-ZA"/>
        </w:rPr>
        <w:t xml:space="preserve">will </w:t>
      </w:r>
      <w:r w:rsidR="00E86406" w:rsidRPr="00D16C8B">
        <w:rPr>
          <w:rFonts w:ascii="Arial" w:hAnsi="Arial" w:cs="Arial"/>
          <w:color w:val="808080" w:themeColor="background1" w:themeShade="80"/>
          <w:sz w:val="22"/>
          <w:szCs w:val="22"/>
          <w:lang w:val="en-ZA"/>
        </w:rPr>
        <w:t>probably</w:t>
      </w:r>
      <w:r w:rsidR="007B783A" w:rsidRPr="00D16C8B">
        <w:rPr>
          <w:rFonts w:ascii="Arial" w:hAnsi="Arial" w:cs="Arial"/>
          <w:color w:val="808080" w:themeColor="background1" w:themeShade="80"/>
          <w:sz w:val="22"/>
          <w:szCs w:val="22"/>
          <w:lang w:val="en-ZA"/>
        </w:rPr>
        <w:t xml:space="preserve"> </w:t>
      </w:r>
      <w:r w:rsidR="00E86406" w:rsidRPr="00D16C8B">
        <w:rPr>
          <w:rFonts w:ascii="Arial" w:hAnsi="Arial" w:cs="Arial"/>
          <w:color w:val="808080" w:themeColor="background1" w:themeShade="80"/>
          <w:sz w:val="22"/>
          <w:szCs w:val="22"/>
          <w:lang w:val="en-ZA"/>
        </w:rPr>
        <w:t xml:space="preserve">be </w:t>
      </w:r>
      <w:r w:rsidRPr="00D16C8B">
        <w:rPr>
          <w:rFonts w:ascii="Arial" w:hAnsi="Arial" w:cs="Arial"/>
          <w:color w:val="808080" w:themeColor="background1" w:themeShade="80"/>
          <w:sz w:val="22"/>
          <w:szCs w:val="22"/>
          <w:lang w:val="en-ZA"/>
        </w:rPr>
        <w:t>able to continue to ma</w:t>
      </w:r>
      <w:r w:rsidR="00A42E95" w:rsidRPr="00D16C8B">
        <w:rPr>
          <w:rFonts w:ascii="Arial" w:hAnsi="Arial" w:cs="Arial"/>
          <w:color w:val="808080" w:themeColor="background1" w:themeShade="80"/>
          <w:sz w:val="22"/>
          <w:szCs w:val="22"/>
          <w:lang w:val="en-ZA"/>
        </w:rPr>
        <w:t>na</w:t>
      </w:r>
      <w:r w:rsidRPr="00D16C8B">
        <w:rPr>
          <w:rFonts w:ascii="Arial" w:hAnsi="Arial" w:cs="Arial"/>
          <w:color w:val="808080" w:themeColor="background1" w:themeShade="80"/>
          <w:sz w:val="22"/>
          <w:szCs w:val="22"/>
          <w:lang w:val="en-ZA"/>
        </w:rPr>
        <w:t xml:space="preserve">ge the business </w:t>
      </w:r>
      <w:r w:rsidR="00E86406" w:rsidRPr="00D16C8B">
        <w:rPr>
          <w:rFonts w:ascii="Arial" w:hAnsi="Arial" w:cs="Arial"/>
          <w:color w:val="808080" w:themeColor="background1" w:themeShade="80"/>
          <w:sz w:val="22"/>
          <w:szCs w:val="22"/>
          <w:lang w:val="en-ZA"/>
        </w:rPr>
        <w:t xml:space="preserve">in conjunction with the court-appointed </w:t>
      </w:r>
      <w:r w:rsidR="00A42E95" w:rsidRPr="00D16C8B">
        <w:rPr>
          <w:rFonts w:ascii="Arial" w:hAnsi="Arial" w:cs="Arial"/>
          <w:color w:val="808080" w:themeColor="background1" w:themeShade="80"/>
          <w:sz w:val="22"/>
          <w:szCs w:val="22"/>
          <w:lang w:val="en-ZA"/>
        </w:rPr>
        <w:t>restructuring officer</w:t>
      </w:r>
      <w:r w:rsidR="00E86406" w:rsidRPr="00D16C8B">
        <w:rPr>
          <w:rFonts w:ascii="Arial" w:hAnsi="Arial" w:cs="Arial"/>
          <w:color w:val="808080" w:themeColor="background1" w:themeShade="80"/>
          <w:sz w:val="22"/>
          <w:szCs w:val="22"/>
          <w:lang w:val="en-ZA"/>
        </w:rPr>
        <w:t xml:space="preserve">. Although the restructuring officer regime is a new one, it is likely that the Cayman Island “light touch” approach (which allows the existing owners and managers to continue to run the business) will prevail. </w:t>
      </w:r>
    </w:p>
    <w:p w14:paraId="2ACE7AF8" w14:textId="77777777" w:rsidR="005A578F" w:rsidRPr="00D16C8B" w:rsidRDefault="005A578F" w:rsidP="005A578F">
      <w:pPr>
        <w:jc w:val="both"/>
        <w:rPr>
          <w:rFonts w:ascii="Arial" w:hAnsi="Arial" w:cs="Arial"/>
          <w:color w:val="808080" w:themeColor="background1" w:themeShade="80"/>
          <w:sz w:val="22"/>
          <w:szCs w:val="22"/>
          <w:lang w:val="en-ZA"/>
        </w:rPr>
      </w:pPr>
    </w:p>
    <w:p w14:paraId="3E360BA2" w14:textId="11CF3172" w:rsidR="00C17783" w:rsidRPr="00D16C8B" w:rsidRDefault="001937CB" w:rsidP="00C17783">
      <w:pPr>
        <w:numPr>
          <w:ilvl w:val="0"/>
          <w:numId w:val="42"/>
        </w:numPr>
        <w:jc w:val="both"/>
        <w:rPr>
          <w:rFonts w:ascii="Arial" w:hAnsi="Arial" w:cs="Arial"/>
          <w:color w:val="808080" w:themeColor="background1" w:themeShade="80"/>
          <w:sz w:val="22"/>
          <w:szCs w:val="22"/>
          <w:lang w:val="en-ZA"/>
        </w:rPr>
      </w:pPr>
      <w:r w:rsidRPr="00D16C8B">
        <w:rPr>
          <w:rFonts w:ascii="Arial" w:hAnsi="Arial" w:cs="Arial"/>
          <w:color w:val="808080" w:themeColor="background1" w:themeShade="80"/>
          <w:sz w:val="22"/>
          <w:szCs w:val="22"/>
          <w:lang w:val="en-ZA"/>
        </w:rPr>
        <w:t>Order 102</w:t>
      </w:r>
      <w:r w:rsidR="00E86406" w:rsidRPr="00D16C8B">
        <w:rPr>
          <w:rFonts w:ascii="Arial" w:hAnsi="Arial" w:cs="Arial"/>
          <w:color w:val="808080" w:themeColor="background1" w:themeShade="80"/>
          <w:sz w:val="22"/>
          <w:szCs w:val="22"/>
          <w:lang w:val="en-ZA"/>
        </w:rPr>
        <w:t xml:space="preserve">, Rule 20 of the Grand Court Rules </w:t>
      </w:r>
      <w:r w:rsidRPr="00D16C8B">
        <w:rPr>
          <w:rFonts w:ascii="Arial" w:hAnsi="Arial" w:cs="Arial"/>
          <w:color w:val="808080" w:themeColor="background1" w:themeShade="80"/>
          <w:sz w:val="22"/>
          <w:szCs w:val="22"/>
          <w:lang w:val="en-ZA"/>
        </w:rPr>
        <w:t xml:space="preserve">provides that the Grand Court can approve a scheme of arrangement (which is how </w:t>
      </w:r>
      <w:r w:rsidR="005A578F" w:rsidRPr="00D16C8B">
        <w:rPr>
          <w:rFonts w:ascii="Arial" w:hAnsi="Arial" w:cs="Arial"/>
          <w:color w:val="808080" w:themeColor="background1" w:themeShade="80"/>
          <w:sz w:val="22"/>
          <w:szCs w:val="22"/>
          <w:lang w:val="en-ZA"/>
        </w:rPr>
        <w:t>restructuring</w:t>
      </w:r>
      <w:r w:rsidR="00E86406" w:rsidRPr="00D16C8B">
        <w:rPr>
          <w:rFonts w:ascii="Arial" w:hAnsi="Arial" w:cs="Arial"/>
          <w:color w:val="808080" w:themeColor="background1" w:themeShade="80"/>
          <w:sz w:val="22"/>
          <w:szCs w:val="22"/>
          <w:lang w:val="en-ZA"/>
        </w:rPr>
        <w:t xml:space="preserve"> take place</w:t>
      </w:r>
      <w:r w:rsidRPr="00D16C8B">
        <w:rPr>
          <w:rFonts w:ascii="Arial" w:hAnsi="Arial" w:cs="Arial"/>
          <w:color w:val="808080" w:themeColor="background1" w:themeShade="80"/>
          <w:sz w:val="22"/>
          <w:szCs w:val="22"/>
          <w:lang w:val="en-ZA"/>
        </w:rPr>
        <w:t>) after a scheme petition is filed</w:t>
      </w:r>
      <w:r w:rsidR="007B783A" w:rsidRPr="00D16C8B">
        <w:rPr>
          <w:rFonts w:ascii="Arial" w:hAnsi="Arial" w:cs="Arial"/>
          <w:color w:val="808080" w:themeColor="background1" w:themeShade="80"/>
          <w:sz w:val="22"/>
          <w:szCs w:val="22"/>
          <w:lang w:val="en-ZA"/>
        </w:rPr>
        <w:t xml:space="preserve">. </w:t>
      </w:r>
      <w:r w:rsidR="007B783A" w:rsidRPr="00D16C8B">
        <w:rPr>
          <w:rFonts w:ascii="Arial" w:hAnsi="Arial" w:cs="Arial"/>
          <w:color w:val="808080" w:themeColor="background1" w:themeShade="80"/>
          <w:sz w:val="22"/>
          <w:szCs w:val="22"/>
        </w:rPr>
        <w:t xml:space="preserve">Schemes of arrangements in the Cayman Islands require two hearings, the first is a convening hearing to approve the manner of the scheme meeting at which creditors vote on the scheme of arrangement and communication to the creditors in relation to voting and the second a sanction hearing to assess the results of the voting at the scheme meeting and to consider whether the outcome of the vote should be sanctioned by the Court and become binding on all creditors, including those who voted against it.. </w:t>
      </w:r>
      <w:r w:rsidR="00C17783" w:rsidRPr="00D16C8B">
        <w:rPr>
          <w:rFonts w:ascii="Arial" w:hAnsi="Arial" w:cs="Arial"/>
          <w:color w:val="808080" w:themeColor="background1" w:themeShade="80"/>
          <w:sz w:val="22"/>
          <w:szCs w:val="22"/>
          <w:lang w:val="en-ZA"/>
        </w:rPr>
        <w:br/>
        <w:t xml:space="preserve">The six requirements which the court will take into account when sanctioning a restructuring are: </w:t>
      </w:r>
    </w:p>
    <w:p w14:paraId="3A690877" w14:textId="77777777" w:rsidR="00C17783" w:rsidRPr="00D16C8B" w:rsidRDefault="00C17783" w:rsidP="00C17783">
      <w:pPr>
        <w:pStyle w:val="ListParagraph"/>
        <w:rPr>
          <w:rFonts w:ascii="Arial" w:hAnsi="Arial" w:cs="Arial"/>
          <w:color w:val="808080" w:themeColor="background1" w:themeShade="80"/>
          <w:sz w:val="22"/>
          <w:szCs w:val="22"/>
          <w:lang w:val="en-ZA"/>
        </w:rPr>
      </w:pPr>
    </w:p>
    <w:p w14:paraId="41179C33" w14:textId="77777777" w:rsidR="00C17783" w:rsidRPr="00D16C8B" w:rsidRDefault="00C17783" w:rsidP="00C17783">
      <w:pPr>
        <w:numPr>
          <w:ilvl w:val="1"/>
          <w:numId w:val="42"/>
        </w:numPr>
        <w:jc w:val="both"/>
        <w:rPr>
          <w:rFonts w:ascii="Arial" w:hAnsi="Arial" w:cs="Arial"/>
          <w:color w:val="808080" w:themeColor="background1" w:themeShade="80"/>
          <w:sz w:val="22"/>
          <w:szCs w:val="22"/>
          <w:lang w:val="en-ZA"/>
        </w:rPr>
      </w:pPr>
      <w:r w:rsidRPr="00D16C8B">
        <w:rPr>
          <w:rFonts w:ascii="Arial" w:hAnsi="Arial" w:cs="Arial"/>
          <w:color w:val="808080" w:themeColor="background1" w:themeShade="80"/>
          <w:sz w:val="22"/>
          <w:szCs w:val="22"/>
          <w:lang w:val="en-ZA"/>
        </w:rPr>
        <w:t>the proposed scheme fell within the parameters of the Companies Act;</w:t>
      </w:r>
    </w:p>
    <w:p w14:paraId="6B073D88" w14:textId="77777777" w:rsidR="00C17783" w:rsidRPr="00D16C8B" w:rsidRDefault="00C17783" w:rsidP="00C17783">
      <w:pPr>
        <w:ind w:left="1440"/>
        <w:jc w:val="both"/>
        <w:rPr>
          <w:rFonts w:ascii="Arial" w:hAnsi="Arial" w:cs="Arial"/>
          <w:color w:val="808080" w:themeColor="background1" w:themeShade="80"/>
          <w:sz w:val="22"/>
          <w:szCs w:val="22"/>
          <w:lang w:val="en-ZA"/>
        </w:rPr>
      </w:pPr>
    </w:p>
    <w:p w14:paraId="446FDD37" w14:textId="77777777" w:rsidR="00C17783" w:rsidRPr="00D16C8B" w:rsidRDefault="00C17783" w:rsidP="00C17783">
      <w:pPr>
        <w:numPr>
          <w:ilvl w:val="1"/>
          <w:numId w:val="42"/>
        </w:numPr>
        <w:jc w:val="both"/>
        <w:rPr>
          <w:rFonts w:ascii="Arial" w:hAnsi="Arial" w:cs="Arial"/>
          <w:color w:val="808080" w:themeColor="background1" w:themeShade="80"/>
          <w:sz w:val="22"/>
          <w:szCs w:val="22"/>
          <w:lang w:val="en-ZA"/>
        </w:rPr>
      </w:pPr>
      <w:r w:rsidRPr="00D16C8B">
        <w:rPr>
          <w:rFonts w:ascii="Arial" w:hAnsi="Arial" w:cs="Arial"/>
          <w:color w:val="808080" w:themeColor="background1" w:themeShade="80"/>
          <w:sz w:val="22"/>
          <w:szCs w:val="22"/>
          <w:lang w:val="en-ZA"/>
        </w:rPr>
        <w:t>the Scheme Document provided all material information reasonably required to enable the scheme shareholders to come to an informed view on the merits of the scheme;</w:t>
      </w:r>
    </w:p>
    <w:p w14:paraId="12866EC2" w14:textId="77777777" w:rsidR="00C17783" w:rsidRPr="00D16C8B" w:rsidRDefault="00C17783" w:rsidP="00C17783">
      <w:pPr>
        <w:pStyle w:val="ListParagraph"/>
        <w:rPr>
          <w:rFonts w:ascii="Arial" w:hAnsi="Arial" w:cs="Arial"/>
          <w:color w:val="808080" w:themeColor="background1" w:themeShade="80"/>
          <w:sz w:val="22"/>
          <w:szCs w:val="22"/>
          <w:lang w:val="en-ZA"/>
        </w:rPr>
      </w:pPr>
    </w:p>
    <w:p w14:paraId="0A870471" w14:textId="77777777" w:rsidR="00C17783" w:rsidRPr="00D16C8B" w:rsidRDefault="00C17783" w:rsidP="00C17783">
      <w:pPr>
        <w:numPr>
          <w:ilvl w:val="1"/>
          <w:numId w:val="42"/>
        </w:numPr>
        <w:jc w:val="both"/>
        <w:rPr>
          <w:rFonts w:ascii="Arial" w:hAnsi="Arial" w:cs="Arial"/>
          <w:color w:val="808080" w:themeColor="background1" w:themeShade="80"/>
          <w:sz w:val="22"/>
          <w:szCs w:val="22"/>
          <w:lang w:val="en-ZA"/>
        </w:rPr>
      </w:pPr>
      <w:r w:rsidRPr="00D16C8B">
        <w:rPr>
          <w:rFonts w:ascii="Arial" w:hAnsi="Arial" w:cs="Arial"/>
          <w:color w:val="808080" w:themeColor="background1" w:themeShade="80"/>
          <w:sz w:val="22"/>
          <w:szCs w:val="22"/>
          <w:lang w:val="en-ZA"/>
        </w:rPr>
        <w:t>the Court ordered meetings were properly held and the required statutory majorities were achieved;</w:t>
      </w:r>
    </w:p>
    <w:p w14:paraId="78C22C8D" w14:textId="77777777" w:rsidR="00C17783" w:rsidRPr="00D16C8B" w:rsidRDefault="00C17783" w:rsidP="00C17783">
      <w:pPr>
        <w:pStyle w:val="ListParagraph"/>
        <w:rPr>
          <w:rFonts w:ascii="Arial" w:hAnsi="Arial" w:cs="Arial"/>
          <w:color w:val="808080" w:themeColor="background1" w:themeShade="80"/>
          <w:sz w:val="22"/>
          <w:szCs w:val="22"/>
          <w:lang w:val="en-ZA"/>
        </w:rPr>
      </w:pPr>
    </w:p>
    <w:p w14:paraId="0A327C11" w14:textId="77777777" w:rsidR="00C17783" w:rsidRPr="00D16C8B" w:rsidRDefault="00C17783" w:rsidP="00C17783">
      <w:pPr>
        <w:numPr>
          <w:ilvl w:val="1"/>
          <w:numId w:val="42"/>
        </w:numPr>
        <w:jc w:val="both"/>
        <w:rPr>
          <w:rFonts w:ascii="Arial" w:hAnsi="Arial" w:cs="Arial"/>
          <w:color w:val="808080" w:themeColor="background1" w:themeShade="80"/>
          <w:sz w:val="22"/>
          <w:szCs w:val="22"/>
          <w:lang w:val="en-ZA"/>
        </w:rPr>
      </w:pPr>
      <w:r w:rsidRPr="00D16C8B">
        <w:rPr>
          <w:rFonts w:ascii="Arial" w:hAnsi="Arial" w:cs="Arial"/>
          <w:color w:val="808080" w:themeColor="background1" w:themeShade="80"/>
          <w:sz w:val="22"/>
          <w:szCs w:val="22"/>
          <w:lang w:val="en-ZA"/>
        </w:rPr>
        <w:t>there was no reason to believe that the views of the majority voting in favour of the scheme did not fairly represent the views of the scheme shareholders as a whole or that they were not acting </w:t>
      </w:r>
      <w:r w:rsidRPr="00D16C8B">
        <w:rPr>
          <w:rFonts w:ascii="Arial" w:hAnsi="Arial" w:cs="Arial"/>
          <w:i/>
          <w:iCs/>
          <w:color w:val="808080" w:themeColor="background1" w:themeShade="80"/>
          <w:sz w:val="22"/>
          <w:szCs w:val="22"/>
          <w:lang w:val="en-ZA"/>
        </w:rPr>
        <w:t>bona fide</w:t>
      </w:r>
      <w:r w:rsidRPr="00D16C8B">
        <w:rPr>
          <w:rFonts w:ascii="Arial" w:hAnsi="Arial" w:cs="Arial"/>
          <w:color w:val="808080" w:themeColor="background1" w:themeShade="80"/>
          <w:sz w:val="22"/>
          <w:szCs w:val="22"/>
          <w:lang w:val="en-ZA"/>
        </w:rPr>
        <w:t>  or subject to coercion;</w:t>
      </w:r>
    </w:p>
    <w:p w14:paraId="4DCE5265" w14:textId="77777777" w:rsidR="00C17783" w:rsidRPr="00D16C8B" w:rsidRDefault="00C17783" w:rsidP="00C17783">
      <w:pPr>
        <w:pStyle w:val="ListParagraph"/>
        <w:rPr>
          <w:rFonts w:ascii="Arial" w:hAnsi="Arial" w:cs="Arial"/>
          <w:color w:val="808080" w:themeColor="background1" w:themeShade="80"/>
          <w:sz w:val="22"/>
          <w:szCs w:val="22"/>
          <w:lang w:val="en-ZA"/>
        </w:rPr>
      </w:pPr>
    </w:p>
    <w:p w14:paraId="3A01B70E" w14:textId="77777777" w:rsidR="00C17783" w:rsidRPr="00D16C8B" w:rsidRDefault="00C17783" w:rsidP="00C17783">
      <w:pPr>
        <w:numPr>
          <w:ilvl w:val="1"/>
          <w:numId w:val="42"/>
        </w:numPr>
        <w:jc w:val="both"/>
        <w:rPr>
          <w:rFonts w:ascii="Arial" w:hAnsi="Arial" w:cs="Arial"/>
          <w:color w:val="808080" w:themeColor="background1" w:themeShade="80"/>
          <w:sz w:val="22"/>
          <w:szCs w:val="22"/>
          <w:lang w:val="en-ZA"/>
        </w:rPr>
      </w:pPr>
      <w:r w:rsidRPr="00D16C8B">
        <w:rPr>
          <w:rFonts w:ascii="Arial" w:hAnsi="Arial" w:cs="Arial"/>
          <w:color w:val="808080" w:themeColor="background1" w:themeShade="80"/>
          <w:sz w:val="22"/>
          <w:szCs w:val="22"/>
          <w:lang w:val="en-ZA"/>
        </w:rPr>
        <w:t>the scheme is fair in the sense that an intelligent and honest person acting in respect of their relevant interest might approve of it; and</w:t>
      </w:r>
    </w:p>
    <w:p w14:paraId="6ED8605C" w14:textId="77777777" w:rsidR="00C17783" w:rsidRPr="00D16C8B" w:rsidRDefault="00C17783" w:rsidP="00C17783">
      <w:pPr>
        <w:pStyle w:val="ListParagraph"/>
        <w:rPr>
          <w:rFonts w:ascii="Arial" w:hAnsi="Arial" w:cs="Arial"/>
          <w:color w:val="808080" w:themeColor="background1" w:themeShade="80"/>
          <w:sz w:val="22"/>
          <w:szCs w:val="22"/>
          <w:lang w:val="en-ZA"/>
        </w:rPr>
      </w:pPr>
    </w:p>
    <w:p w14:paraId="12B00798" w14:textId="61DB6D6C" w:rsidR="00C17783" w:rsidRPr="00D16C8B" w:rsidRDefault="00C17783" w:rsidP="00C17783">
      <w:pPr>
        <w:numPr>
          <w:ilvl w:val="1"/>
          <w:numId w:val="42"/>
        </w:numPr>
        <w:jc w:val="both"/>
        <w:rPr>
          <w:rFonts w:ascii="Arial" w:hAnsi="Arial" w:cs="Arial"/>
          <w:color w:val="808080" w:themeColor="background1" w:themeShade="80"/>
          <w:sz w:val="22"/>
          <w:szCs w:val="22"/>
          <w:lang w:val="en-ZA"/>
        </w:rPr>
      </w:pPr>
      <w:r w:rsidRPr="00D16C8B">
        <w:rPr>
          <w:rFonts w:ascii="Arial" w:hAnsi="Arial" w:cs="Arial"/>
          <w:color w:val="808080" w:themeColor="background1" w:themeShade="80"/>
          <w:sz w:val="22"/>
          <w:szCs w:val="22"/>
          <w:lang w:val="en-ZA"/>
        </w:rPr>
        <w:t>there was no good reason for the Court to not exercise its residual discretion in sanctioning the scheme.</w:t>
      </w:r>
    </w:p>
    <w:p w14:paraId="061FFECE" w14:textId="77777777" w:rsidR="00C17783" w:rsidRPr="00C17783" w:rsidRDefault="00C17783" w:rsidP="00C17783">
      <w:pPr>
        <w:ind w:left="720"/>
        <w:jc w:val="both"/>
        <w:rPr>
          <w:rFonts w:ascii="Avenir Next" w:hAnsi="Avenir Next" w:cs="Arial"/>
          <w:color w:val="808080" w:themeColor="background1" w:themeShade="80"/>
          <w:sz w:val="22"/>
          <w:szCs w:val="22"/>
          <w:lang w:val="en-ZA"/>
        </w:rPr>
      </w:pPr>
    </w:p>
    <w:p w14:paraId="23156CBF" w14:textId="147EDB3D" w:rsidR="005A578F" w:rsidRPr="00310533" w:rsidRDefault="005A578F" w:rsidP="00C17783">
      <w:pPr>
        <w:ind w:left="720"/>
        <w:jc w:val="both"/>
        <w:rPr>
          <w:rFonts w:ascii="Avenir Next" w:hAnsi="Avenir Next" w:cs="Arial"/>
          <w:color w:val="808080" w:themeColor="background1" w:themeShade="80"/>
          <w:sz w:val="22"/>
          <w:szCs w:val="22"/>
          <w:lang w:val="en-GB"/>
        </w:rPr>
      </w:pPr>
    </w:p>
    <w:p w14:paraId="154681F0" w14:textId="3933A239" w:rsidR="009D20B1" w:rsidRPr="00310533" w:rsidRDefault="009D20B1" w:rsidP="00087F21">
      <w:pPr>
        <w:jc w:val="both"/>
        <w:rPr>
          <w:rFonts w:ascii="Avenir Next" w:hAnsi="Avenir Next" w:cs="Arial"/>
          <w:color w:val="000000" w:themeColor="text1"/>
          <w:sz w:val="22"/>
          <w:szCs w:val="22"/>
          <w:lang w:val="en-GB"/>
        </w:rPr>
      </w:pP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8D28" w14:textId="77777777" w:rsidR="00693F47" w:rsidRDefault="00693F47" w:rsidP="00241B44">
      <w:r>
        <w:separator/>
      </w:r>
    </w:p>
  </w:endnote>
  <w:endnote w:type="continuationSeparator" w:id="0">
    <w:p w14:paraId="16C0D277" w14:textId="77777777" w:rsidR="00693F47" w:rsidRDefault="00693F4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4BDDEE5C"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A615EC">
      <w:rPr>
        <w:rFonts w:ascii="Arial" w:hAnsi="Arial" w:cs="Arial"/>
        <w:sz w:val="18"/>
        <w:szCs w:val="18"/>
        <w:lang w:val="en-GB"/>
      </w:rPr>
      <w:t>202223</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7E5E" w14:textId="77777777" w:rsidR="00693F47" w:rsidRDefault="00693F47" w:rsidP="00241B44">
      <w:r>
        <w:separator/>
      </w:r>
    </w:p>
  </w:footnote>
  <w:footnote w:type="continuationSeparator" w:id="0">
    <w:p w14:paraId="6229968F" w14:textId="77777777" w:rsidR="00693F47" w:rsidRDefault="00693F4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56519"/>
    <w:multiLevelType w:val="hybridMultilevel"/>
    <w:tmpl w:val="05D06EEE"/>
    <w:lvl w:ilvl="0" w:tplc="273EC09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07243EF"/>
    <w:multiLevelType w:val="multilevel"/>
    <w:tmpl w:val="EFD0B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545796">
    <w:abstractNumId w:val="41"/>
  </w:num>
  <w:num w:numId="2" w16cid:durableId="1783374687">
    <w:abstractNumId w:val="23"/>
  </w:num>
  <w:num w:numId="3" w16cid:durableId="843127778">
    <w:abstractNumId w:val="18"/>
  </w:num>
  <w:num w:numId="4" w16cid:durableId="1871063114">
    <w:abstractNumId w:val="39"/>
  </w:num>
  <w:num w:numId="5" w16cid:durableId="1631206288">
    <w:abstractNumId w:val="19"/>
  </w:num>
  <w:num w:numId="6" w16cid:durableId="1640573354">
    <w:abstractNumId w:val="32"/>
  </w:num>
  <w:num w:numId="7" w16cid:durableId="1309942577">
    <w:abstractNumId w:val="40"/>
  </w:num>
  <w:num w:numId="8" w16cid:durableId="87308537">
    <w:abstractNumId w:val="36"/>
  </w:num>
  <w:num w:numId="9" w16cid:durableId="1756440072">
    <w:abstractNumId w:val="16"/>
  </w:num>
  <w:num w:numId="10" w16cid:durableId="965042927">
    <w:abstractNumId w:val="10"/>
  </w:num>
  <w:num w:numId="11" w16cid:durableId="1311642034">
    <w:abstractNumId w:val="12"/>
  </w:num>
  <w:num w:numId="12" w16cid:durableId="826020496">
    <w:abstractNumId w:val="17"/>
  </w:num>
  <w:num w:numId="13" w16cid:durableId="1217863167">
    <w:abstractNumId w:val="26"/>
  </w:num>
  <w:num w:numId="14" w16cid:durableId="934821984">
    <w:abstractNumId w:val="3"/>
  </w:num>
  <w:num w:numId="15" w16cid:durableId="214631716">
    <w:abstractNumId w:val="13"/>
  </w:num>
  <w:num w:numId="16" w16cid:durableId="1927151779">
    <w:abstractNumId w:val="38"/>
  </w:num>
  <w:num w:numId="17" w16cid:durableId="1728332737">
    <w:abstractNumId w:val="6"/>
  </w:num>
  <w:num w:numId="18" w16cid:durableId="323047081">
    <w:abstractNumId w:val="8"/>
  </w:num>
  <w:num w:numId="19" w16cid:durableId="22442748">
    <w:abstractNumId w:val="29"/>
  </w:num>
  <w:num w:numId="20" w16cid:durableId="522672583">
    <w:abstractNumId w:val="27"/>
  </w:num>
  <w:num w:numId="21" w16cid:durableId="1395858769">
    <w:abstractNumId w:val="2"/>
  </w:num>
  <w:num w:numId="22" w16cid:durableId="992947885">
    <w:abstractNumId w:val="11"/>
  </w:num>
  <w:num w:numId="23" w16cid:durableId="1395814258">
    <w:abstractNumId w:val="42"/>
  </w:num>
  <w:num w:numId="24" w16cid:durableId="1180387463">
    <w:abstractNumId w:val="0"/>
  </w:num>
  <w:num w:numId="25" w16cid:durableId="1176964591">
    <w:abstractNumId w:val="33"/>
  </w:num>
  <w:num w:numId="26" w16cid:durableId="800997298">
    <w:abstractNumId w:val="9"/>
  </w:num>
  <w:num w:numId="27" w16cid:durableId="123433265">
    <w:abstractNumId w:val="14"/>
  </w:num>
  <w:num w:numId="28" w16cid:durableId="2082438686">
    <w:abstractNumId w:val="4"/>
  </w:num>
  <w:num w:numId="29" w16cid:durableId="682172313">
    <w:abstractNumId w:val="7"/>
  </w:num>
  <w:num w:numId="30" w16cid:durableId="1745446420">
    <w:abstractNumId w:val="21"/>
  </w:num>
  <w:num w:numId="31" w16cid:durableId="827599502">
    <w:abstractNumId w:val="28"/>
  </w:num>
  <w:num w:numId="32" w16cid:durableId="1507745846">
    <w:abstractNumId w:val="24"/>
  </w:num>
  <w:num w:numId="33" w16cid:durableId="2060205708">
    <w:abstractNumId w:val="30"/>
  </w:num>
  <w:num w:numId="34" w16cid:durableId="1315405206">
    <w:abstractNumId w:val="22"/>
  </w:num>
  <w:num w:numId="35" w16cid:durableId="632293393">
    <w:abstractNumId w:val="15"/>
  </w:num>
  <w:num w:numId="36" w16cid:durableId="1914196731">
    <w:abstractNumId w:val="1"/>
  </w:num>
  <w:num w:numId="37" w16cid:durableId="484509943">
    <w:abstractNumId w:val="31"/>
  </w:num>
  <w:num w:numId="38" w16cid:durableId="466751460">
    <w:abstractNumId w:val="25"/>
  </w:num>
  <w:num w:numId="39" w16cid:durableId="1931542777">
    <w:abstractNumId w:val="37"/>
  </w:num>
  <w:num w:numId="40" w16cid:durableId="1730692003">
    <w:abstractNumId w:val="34"/>
  </w:num>
  <w:num w:numId="41" w16cid:durableId="1268079221">
    <w:abstractNumId w:val="5"/>
  </w:num>
  <w:num w:numId="42" w16cid:durableId="350763526">
    <w:abstractNumId w:val="20"/>
  </w:num>
  <w:num w:numId="43" w16cid:durableId="1966158036">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2AB3"/>
    <w:rsid w:val="00037621"/>
    <w:rsid w:val="00044D46"/>
    <w:rsid w:val="00045088"/>
    <w:rsid w:val="00045904"/>
    <w:rsid w:val="000502FD"/>
    <w:rsid w:val="00056F16"/>
    <w:rsid w:val="000577D2"/>
    <w:rsid w:val="00065166"/>
    <w:rsid w:val="000659CF"/>
    <w:rsid w:val="00076974"/>
    <w:rsid w:val="00082609"/>
    <w:rsid w:val="000851CC"/>
    <w:rsid w:val="00087F21"/>
    <w:rsid w:val="00093BE8"/>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3855"/>
    <w:rsid w:val="00126A4D"/>
    <w:rsid w:val="00137950"/>
    <w:rsid w:val="0014171F"/>
    <w:rsid w:val="0014622C"/>
    <w:rsid w:val="001463D6"/>
    <w:rsid w:val="00152348"/>
    <w:rsid w:val="0015456D"/>
    <w:rsid w:val="00155FA2"/>
    <w:rsid w:val="00161F1B"/>
    <w:rsid w:val="00162829"/>
    <w:rsid w:val="00163644"/>
    <w:rsid w:val="0016583A"/>
    <w:rsid w:val="00180548"/>
    <w:rsid w:val="00180AC4"/>
    <w:rsid w:val="00180CCE"/>
    <w:rsid w:val="0018267A"/>
    <w:rsid w:val="00182779"/>
    <w:rsid w:val="001830DF"/>
    <w:rsid w:val="0018424C"/>
    <w:rsid w:val="0019004D"/>
    <w:rsid w:val="001937CB"/>
    <w:rsid w:val="001966D9"/>
    <w:rsid w:val="001A007A"/>
    <w:rsid w:val="001A7E9A"/>
    <w:rsid w:val="001B0F70"/>
    <w:rsid w:val="001B5016"/>
    <w:rsid w:val="001C45FC"/>
    <w:rsid w:val="001C590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5590A"/>
    <w:rsid w:val="00257736"/>
    <w:rsid w:val="002638B0"/>
    <w:rsid w:val="0026647A"/>
    <w:rsid w:val="002668D3"/>
    <w:rsid w:val="0027299F"/>
    <w:rsid w:val="00283BB3"/>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0E70"/>
    <w:rsid w:val="002D299D"/>
    <w:rsid w:val="002D3473"/>
    <w:rsid w:val="002F1956"/>
    <w:rsid w:val="002F3440"/>
    <w:rsid w:val="002F75A3"/>
    <w:rsid w:val="00303C2F"/>
    <w:rsid w:val="003042CB"/>
    <w:rsid w:val="00305564"/>
    <w:rsid w:val="00310533"/>
    <w:rsid w:val="003144EF"/>
    <w:rsid w:val="00326292"/>
    <w:rsid w:val="00326415"/>
    <w:rsid w:val="00330937"/>
    <w:rsid w:val="00330F31"/>
    <w:rsid w:val="00333CA0"/>
    <w:rsid w:val="00334648"/>
    <w:rsid w:val="0033768C"/>
    <w:rsid w:val="00337938"/>
    <w:rsid w:val="00340769"/>
    <w:rsid w:val="00341AA6"/>
    <w:rsid w:val="00356540"/>
    <w:rsid w:val="00361A0A"/>
    <w:rsid w:val="00364836"/>
    <w:rsid w:val="0036565C"/>
    <w:rsid w:val="0036625E"/>
    <w:rsid w:val="0037465A"/>
    <w:rsid w:val="00376A48"/>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3E7E5E"/>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0BF"/>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2423"/>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63A9"/>
    <w:rsid w:val="00551038"/>
    <w:rsid w:val="00553EB2"/>
    <w:rsid w:val="005545D0"/>
    <w:rsid w:val="00560534"/>
    <w:rsid w:val="0056391B"/>
    <w:rsid w:val="005650E2"/>
    <w:rsid w:val="00567AD7"/>
    <w:rsid w:val="00573696"/>
    <w:rsid w:val="00575B2D"/>
    <w:rsid w:val="005833D0"/>
    <w:rsid w:val="005846F3"/>
    <w:rsid w:val="0058622F"/>
    <w:rsid w:val="00592F82"/>
    <w:rsid w:val="005A0CCA"/>
    <w:rsid w:val="005A2E18"/>
    <w:rsid w:val="005A578F"/>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267E"/>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41D2"/>
    <w:rsid w:val="00687A1D"/>
    <w:rsid w:val="00693F47"/>
    <w:rsid w:val="00697EA1"/>
    <w:rsid w:val="006A2646"/>
    <w:rsid w:val="006A5375"/>
    <w:rsid w:val="006A6530"/>
    <w:rsid w:val="006B28CB"/>
    <w:rsid w:val="006B435A"/>
    <w:rsid w:val="006B4C64"/>
    <w:rsid w:val="006B6AED"/>
    <w:rsid w:val="006D3DC9"/>
    <w:rsid w:val="006D6BD5"/>
    <w:rsid w:val="006E481A"/>
    <w:rsid w:val="006E5298"/>
    <w:rsid w:val="006F4A78"/>
    <w:rsid w:val="006F734A"/>
    <w:rsid w:val="00700D83"/>
    <w:rsid w:val="00704852"/>
    <w:rsid w:val="007074E9"/>
    <w:rsid w:val="00713DA4"/>
    <w:rsid w:val="00714BF1"/>
    <w:rsid w:val="00717916"/>
    <w:rsid w:val="00721383"/>
    <w:rsid w:val="0073158B"/>
    <w:rsid w:val="007333CC"/>
    <w:rsid w:val="0073399A"/>
    <w:rsid w:val="00740DAD"/>
    <w:rsid w:val="00755382"/>
    <w:rsid w:val="00756650"/>
    <w:rsid w:val="007603F5"/>
    <w:rsid w:val="00764DB0"/>
    <w:rsid w:val="0076764D"/>
    <w:rsid w:val="0077498C"/>
    <w:rsid w:val="00775E93"/>
    <w:rsid w:val="007762E4"/>
    <w:rsid w:val="007808EB"/>
    <w:rsid w:val="007809BC"/>
    <w:rsid w:val="0078194F"/>
    <w:rsid w:val="00781B26"/>
    <w:rsid w:val="00784128"/>
    <w:rsid w:val="00787BCC"/>
    <w:rsid w:val="00793173"/>
    <w:rsid w:val="007A2A33"/>
    <w:rsid w:val="007B22CF"/>
    <w:rsid w:val="007B3A5E"/>
    <w:rsid w:val="007B5C89"/>
    <w:rsid w:val="007B783A"/>
    <w:rsid w:val="007C1B52"/>
    <w:rsid w:val="007C1FCC"/>
    <w:rsid w:val="007C6201"/>
    <w:rsid w:val="007D11EE"/>
    <w:rsid w:val="007D7C92"/>
    <w:rsid w:val="007E03FA"/>
    <w:rsid w:val="007E1154"/>
    <w:rsid w:val="007E3906"/>
    <w:rsid w:val="007E6BA4"/>
    <w:rsid w:val="007F41F8"/>
    <w:rsid w:val="007F659B"/>
    <w:rsid w:val="00802FC7"/>
    <w:rsid w:val="00803C72"/>
    <w:rsid w:val="0080454E"/>
    <w:rsid w:val="00804C32"/>
    <w:rsid w:val="00806302"/>
    <w:rsid w:val="00807119"/>
    <w:rsid w:val="0082483F"/>
    <w:rsid w:val="008279C0"/>
    <w:rsid w:val="00853516"/>
    <w:rsid w:val="00853B56"/>
    <w:rsid w:val="00867701"/>
    <w:rsid w:val="008723F3"/>
    <w:rsid w:val="00876F56"/>
    <w:rsid w:val="00881DE6"/>
    <w:rsid w:val="008837A6"/>
    <w:rsid w:val="00891116"/>
    <w:rsid w:val="0089145D"/>
    <w:rsid w:val="008A4DF2"/>
    <w:rsid w:val="008A6CFE"/>
    <w:rsid w:val="008B5333"/>
    <w:rsid w:val="008B6223"/>
    <w:rsid w:val="008C2574"/>
    <w:rsid w:val="008C66E0"/>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0968"/>
    <w:rsid w:val="00A34ABE"/>
    <w:rsid w:val="00A407EF"/>
    <w:rsid w:val="00A42E95"/>
    <w:rsid w:val="00A46B4C"/>
    <w:rsid w:val="00A46FE2"/>
    <w:rsid w:val="00A5117B"/>
    <w:rsid w:val="00A56D34"/>
    <w:rsid w:val="00A60074"/>
    <w:rsid w:val="00A615EC"/>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F1928"/>
    <w:rsid w:val="00AF228E"/>
    <w:rsid w:val="00B016A8"/>
    <w:rsid w:val="00B14819"/>
    <w:rsid w:val="00B15E2F"/>
    <w:rsid w:val="00B17AA9"/>
    <w:rsid w:val="00B30780"/>
    <w:rsid w:val="00B37221"/>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6D1E"/>
    <w:rsid w:val="00BC3A55"/>
    <w:rsid w:val="00BE4FF3"/>
    <w:rsid w:val="00BF50F7"/>
    <w:rsid w:val="00C02F29"/>
    <w:rsid w:val="00C17718"/>
    <w:rsid w:val="00C17783"/>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12A2"/>
    <w:rsid w:val="00D063C2"/>
    <w:rsid w:val="00D06A87"/>
    <w:rsid w:val="00D148DC"/>
    <w:rsid w:val="00D16C8B"/>
    <w:rsid w:val="00D17FDC"/>
    <w:rsid w:val="00D21D8C"/>
    <w:rsid w:val="00D27CBC"/>
    <w:rsid w:val="00D34393"/>
    <w:rsid w:val="00D35B63"/>
    <w:rsid w:val="00D53719"/>
    <w:rsid w:val="00D6188D"/>
    <w:rsid w:val="00D63EFD"/>
    <w:rsid w:val="00D71D5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62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86406"/>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B721C"/>
    <w:rsid w:val="00FB7FBD"/>
    <w:rsid w:val="00FC374A"/>
    <w:rsid w:val="00FC74C8"/>
    <w:rsid w:val="00FC7B47"/>
    <w:rsid w:val="00FD035C"/>
    <w:rsid w:val="00FD090D"/>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640232897">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4713714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3571</Words>
  <Characters>20358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Christa Verster</cp:lastModifiedBy>
  <cp:revision>2</cp:revision>
  <cp:lastPrinted>2019-08-27T05:42:00Z</cp:lastPrinted>
  <dcterms:created xsi:type="dcterms:W3CDTF">2023-07-31T14:59:00Z</dcterms:created>
  <dcterms:modified xsi:type="dcterms:W3CDTF">2023-07-31T14:59:00Z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