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xml:space="preserve">. </w:t>
      </w:r>
      <w:proofErr w:type="gramStart"/>
      <w:r w:rsidRPr="00B2234F">
        <w:rPr>
          <w:rFonts w:ascii="Avenir Next" w:hAnsi="Avenir Next" w:cs="Arial"/>
          <w:bCs/>
          <w:color w:val="767171" w:themeColor="background2" w:themeShade="80"/>
          <w:sz w:val="22"/>
          <w:szCs w:val="22"/>
          <w:lang w:val="en-GB"/>
        </w:rPr>
        <w:t>In order to</w:t>
      </w:r>
      <w:proofErr w:type="gramEnd"/>
      <w:r w:rsidRPr="00B2234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 xml:space="preserve">No limit has been set for the length of your answers to each question. </w:t>
      </w:r>
      <w:proofErr w:type="gramStart"/>
      <w:r w:rsidRPr="00B2234F">
        <w:rPr>
          <w:rFonts w:ascii="Avenir Next" w:hAnsi="Avenir Next" w:cs="Arial"/>
          <w:sz w:val="22"/>
          <w:szCs w:val="22"/>
          <w:lang w:val="en-GB"/>
        </w:rPr>
        <w:t>More often than not</w:t>
      </w:r>
      <w:proofErr w:type="gramEnd"/>
      <w:r w:rsidRPr="00B2234F">
        <w:rPr>
          <w:rFonts w:ascii="Avenir Next" w:hAnsi="Avenir Next"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w:t>
      </w:r>
      <w:proofErr w:type="spellStart"/>
      <w:r w:rsidRPr="00B2234F">
        <w:rPr>
          <w:rFonts w:ascii="Avenir Next" w:hAnsi="Avenir Next" w:cs="Arial"/>
          <w:bCs/>
          <w:sz w:val="22"/>
          <w:szCs w:val="22"/>
          <w:lang w:val="en-GB"/>
        </w:rPr>
        <w:t>student</w:t>
      </w:r>
      <w:r w:rsidR="00265D2D" w:rsidRPr="00B2234F">
        <w:rPr>
          <w:rFonts w:ascii="Avenir Next" w:hAnsi="Avenir Next" w:cs="Arial"/>
          <w:bCs/>
          <w:sz w:val="22"/>
          <w:szCs w:val="22"/>
          <w:lang w:val="en-GB"/>
        </w:rPr>
        <w:t>ID</w:t>
      </w:r>
      <w:proofErr w:type="spellEnd"/>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2234F">
        <w:rPr>
          <w:rFonts w:ascii="Avenir Next" w:hAnsi="Avenir Next" w:cs="Arial"/>
          <w:sz w:val="22"/>
          <w:szCs w:val="22"/>
          <w:lang w:val="en-GB"/>
        </w:rPr>
        <w:t>answer</w:t>
      </w:r>
      <w:proofErr w:type="gramEnd"/>
      <w:r w:rsidRPr="00B2234F">
        <w:rPr>
          <w:rFonts w:ascii="Avenir Next" w:hAnsi="Avenir Next" w:cs="Arial"/>
          <w:sz w:val="22"/>
          <w:szCs w:val="22"/>
          <w:lang w:val="en-GB"/>
        </w:rPr>
        <w:t xml:space="preserve">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6A6354" w:rsidRDefault="00AD12C7" w:rsidP="00265D2D">
      <w:pPr>
        <w:pStyle w:val="ListParagraph"/>
        <w:numPr>
          <w:ilvl w:val="0"/>
          <w:numId w:val="11"/>
        </w:numPr>
        <w:ind w:left="426"/>
        <w:jc w:val="both"/>
        <w:rPr>
          <w:rFonts w:ascii="Avenir Next" w:hAnsi="Avenir Next"/>
          <w:sz w:val="22"/>
          <w:szCs w:val="22"/>
          <w:highlight w:val="yellow"/>
          <w:lang w:val="en-GB"/>
        </w:rPr>
      </w:pPr>
      <w:r w:rsidRPr="006A6354">
        <w:rPr>
          <w:rFonts w:ascii="Avenir Next" w:hAnsi="Avenir Next"/>
          <w:sz w:val="22"/>
          <w:szCs w:val="22"/>
          <w:highlight w:val="yellow"/>
          <w:lang w:val="en-GB"/>
        </w:rPr>
        <w:t>apply to the court for the decision to be reversed or varied</w:t>
      </w:r>
      <w:r w:rsidR="005A2E18" w:rsidRPr="006A6354">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6A6354" w:rsidRDefault="00B2234F" w:rsidP="00265D2D">
      <w:pPr>
        <w:pStyle w:val="ListParagraph"/>
        <w:numPr>
          <w:ilvl w:val="0"/>
          <w:numId w:val="12"/>
        </w:numPr>
        <w:ind w:left="426"/>
        <w:rPr>
          <w:rFonts w:ascii="Avenir Next" w:hAnsi="Avenir Next" w:cs="Arial"/>
          <w:sz w:val="22"/>
          <w:szCs w:val="22"/>
          <w:highlight w:val="yellow"/>
          <w:lang w:val="en-GB"/>
        </w:rPr>
      </w:pPr>
      <w:r w:rsidRPr="006A6354">
        <w:rPr>
          <w:rFonts w:ascii="Avenir Next" w:hAnsi="Avenir Next" w:cs="Arial"/>
          <w:sz w:val="22"/>
          <w:szCs w:val="22"/>
          <w:highlight w:val="yellow"/>
          <w:lang w:val="en-GB"/>
        </w:rPr>
        <w:t>S</w:t>
      </w:r>
      <w:r w:rsidR="00422295" w:rsidRPr="006A6354">
        <w:rPr>
          <w:rFonts w:ascii="Avenir Next" w:hAnsi="Avenir Next" w:cs="Arial"/>
          <w:sz w:val="22"/>
          <w:szCs w:val="22"/>
          <w:highlight w:val="yellow"/>
          <w:lang w:val="en-GB"/>
        </w:rPr>
        <w:t>mall company restructuring</w:t>
      </w:r>
      <w:r w:rsidR="005A2E18" w:rsidRPr="006A6354">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69D17E51" w14:textId="24E7CA03" w:rsidR="009B01E9" w:rsidRDefault="009B01E9" w:rsidP="00C04AEB">
      <w:pPr>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scheme of arrangement</w:t>
      </w:r>
      <w:r w:rsidR="00265D2D" w:rsidRPr="00B2234F">
        <w:rPr>
          <w:rFonts w:ascii="Avenir Next" w:hAnsi="Avenir Next" w:cs="Arial"/>
          <w:sz w:val="22"/>
          <w:szCs w:val="22"/>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6A0BF659" w14:textId="6B835CB9" w:rsidR="00265D2D" w:rsidRPr="00C04AEB" w:rsidRDefault="009B01E9" w:rsidP="00C04AEB">
      <w:pPr>
        <w:pStyle w:val="ListParagraph"/>
        <w:numPr>
          <w:ilvl w:val="0"/>
          <w:numId w:val="13"/>
        </w:numPr>
        <w:ind w:left="426"/>
        <w:jc w:val="both"/>
        <w:rPr>
          <w:rFonts w:ascii="Avenir Next" w:hAnsi="Avenir Next" w:cs="Arial"/>
          <w:sz w:val="22"/>
          <w:szCs w:val="22"/>
          <w:highlight w:val="yellow"/>
          <w:lang w:val="en-GB"/>
        </w:rPr>
      </w:pPr>
      <w:r w:rsidRPr="006A6354">
        <w:rPr>
          <w:rFonts w:ascii="Avenir Next" w:hAnsi="Avenir Next" w:cs="Arial"/>
          <w:sz w:val="22"/>
          <w:szCs w:val="22"/>
          <w:highlight w:val="yellow"/>
          <w:lang w:val="en-GB"/>
        </w:rPr>
        <w:t>C</w:t>
      </w:r>
      <w:r w:rsidR="0089536F" w:rsidRPr="006A6354">
        <w:rPr>
          <w:rFonts w:ascii="Avenir Next" w:hAnsi="Avenir Next" w:cs="Arial"/>
          <w:sz w:val="22"/>
          <w:szCs w:val="22"/>
          <w:highlight w:val="yellow"/>
          <w:lang w:val="en-GB"/>
        </w:rPr>
        <w:t>reditors’ voluntary liquidation</w:t>
      </w:r>
      <w:r w:rsidR="00265D2D" w:rsidRPr="006A6354">
        <w:rPr>
          <w:rFonts w:ascii="Avenir Next" w:hAnsi="Avenir Next" w:cs="Arial"/>
          <w:sz w:val="22"/>
          <w:szCs w:val="22"/>
          <w:highlight w:val="yellow"/>
          <w:lang w:val="en-GB"/>
        </w:rPr>
        <w:t>.</w:t>
      </w: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lastRenderedPageBreak/>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AE20EB" w:rsidRPr="00B2234F">
        <w:rPr>
          <w:rFonts w:ascii="Avenir Next" w:hAnsi="Avenir Next" w:cs="Arial"/>
          <w:sz w:val="22"/>
          <w:szCs w:val="22"/>
          <w:lang w:val="en-GB"/>
        </w:rPr>
        <w:t xml:space="preserve"> debt agreement under Part IX</w:t>
      </w:r>
      <w:r w:rsidR="00E131DE" w:rsidRPr="00B2234F">
        <w:rPr>
          <w:rFonts w:ascii="Avenir Next" w:hAnsi="Avenir Next" w:cs="Arial"/>
          <w:sz w:val="22"/>
          <w:szCs w:val="22"/>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FD3EDB" w:rsidRDefault="009B01E9" w:rsidP="00265D2D">
      <w:pPr>
        <w:pStyle w:val="ListParagraph"/>
        <w:numPr>
          <w:ilvl w:val="0"/>
          <w:numId w:val="14"/>
        </w:numPr>
        <w:ind w:left="426"/>
        <w:rPr>
          <w:rFonts w:ascii="Avenir Next" w:hAnsi="Avenir Next" w:cs="Arial"/>
          <w:sz w:val="22"/>
          <w:szCs w:val="22"/>
          <w:highlight w:val="yellow"/>
          <w:lang w:val="en-GB"/>
        </w:rPr>
      </w:pPr>
      <w:r w:rsidRPr="00FD3EDB">
        <w:rPr>
          <w:rFonts w:ascii="Avenir Next" w:hAnsi="Avenir Next" w:cs="Arial"/>
          <w:sz w:val="22"/>
          <w:szCs w:val="22"/>
          <w:highlight w:val="yellow"/>
          <w:lang w:val="en-GB"/>
        </w:rPr>
        <w:t>A</w:t>
      </w:r>
      <w:r w:rsidR="00321D73" w:rsidRPr="00FD3EDB">
        <w:rPr>
          <w:rFonts w:ascii="Avenir Next" w:hAnsi="Avenir Next" w:cs="Arial"/>
          <w:sz w:val="22"/>
          <w:szCs w:val="22"/>
          <w:highlight w:val="yellow"/>
          <w:lang w:val="en-GB"/>
        </w:rPr>
        <w:t xml:space="preserve"> voluntary administration followed by a deed of company arrangement</w:t>
      </w:r>
      <w:r w:rsidR="00265D2D" w:rsidRPr="00FD3EDB">
        <w:rPr>
          <w:rFonts w:ascii="Avenir Next" w:hAnsi="Avenir Next" w:cs="Arial"/>
          <w:sz w:val="22"/>
          <w:szCs w:val="22"/>
          <w:highlight w:val="yellow"/>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366A074" w14:textId="0BB651FA" w:rsidR="008465BE" w:rsidRPr="00FD3EDB" w:rsidRDefault="008465BE" w:rsidP="00FD3EDB">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FD3EDB"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FD3EDB">
        <w:rPr>
          <w:rFonts w:ascii="Avenir Next" w:hAnsi="Avenir Next" w:cs="Arial"/>
          <w:sz w:val="22"/>
          <w:szCs w:val="22"/>
          <w:highlight w:val="yellow"/>
          <w:lang w:val="en-GB"/>
        </w:rPr>
        <w:t>S</w:t>
      </w:r>
      <w:r w:rsidR="00AD12C7" w:rsidRPr="00FD3EDB">
        <w:rPr>
          <w:rFonts w:ascii="Avenir Next" w:hAnsi="Avenir Next" w:cs="Arial"/>
          <w:sz w:val="22"/>
          <w:szCs w:val="22"/>
          <w:highlight w:val="yellow"/>
          <w:lang w:val="en-GB"/>
        </w:rPr>
        <w:t>uperannuation funds</w:t>
      </w:r>
      <w:r w:rsidR="007B3A5E" w:rsidRPr="00FD3EDB">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1B093B" w:rsidRDefault="008465BE" w:rsidP="00265D2D">
      <w:pPr>
        <w:pStyle w:val="ListParagraph"/>
        <w:numPr>
          <w:ilvl w:val="0"/>
          <w:numId w:val="16"/>
        </w:numPr>
        <w:ind w:left="426"/>
        <w:jc w:val="both"/>
        <w:rPr>
          <w:rFonts w:ascii="Avenir Next" w:hAnsi="Avenir Next" w:cs="Arial"/>
          <w:sz w:val="22"/>
          <w:szCs w:val="22"/>
          <w:highlight w:val="yellow"/>
          <w:lang w:val="en-GB"/>
        </w:rPr>
      </w:pPr>
      <w:r w:rsidRPr="001B093B">
        <w:rPr>
          <w:rFonts w:ascii="Avenir Next" w:hAnsi="Avenir Next" w:cs="Arial"/>
          <w:sz w:val="22"/>
          <w:szCs w:val="22"/>
          <w:highlight w:val="yellow"/>
          <w:lang w:val="en-GB"/>
        </w:rPr>
        <w:t>P</w:t>
      </w:r>
      <w:r w:rsidR="00BF0AFE" w:rsidRPr="001B093B">
        <w:rPr>
          <w:rFonts w:ascii="Avenir Next" w:hAnsi="Avenir Next" w:cs="Arial"/>
          <w:sz w:val="22"/>
          <w:szCs w:val="22"/>
          <w:highlight w:val="yellow"/>
          <w:lang w:val="en-GB"/>
        </w:rPr>
        <w:t xml:space="preserve">enalties or fines imposed by a court in respect of an offence against a </w:t>
      </w:r>
      <w:proofErr w:type="gramStart"/>
      <w:r w:rsidR="00BF0AFE" w:rsidRPr="001B093B">
        <w:rPr>
          <w:rFonts w:ascii="Avenir Next" w:hAnsi="Avenir Next" w:cs="Arial"/>
          <w:sz w:val="22"/>
          <w:szCs w:val="22"/>
          <w:highlight w:val="yellow"/>
          <w:lang w:val="en-GB"/>
        </w:rPr>
        <w:t>law</w:t>
      </w:r>
      <w:proofErr w:type="gramEnd"/>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 xml:space="preserve">laims for damages for personal </w:t>
      </w:r>
      <w:proofErr w:type="gramStart"/>
      <w:r w:rsidR="00BF0AFE" w:rsidRPr="00B2234F">
        <w:rPr>
          <w:rFonts w:ascii="Avenir Next" w:hAnsi="Avenir Next" w:cs="Arial"/>
          <w:sz w:val="22"/>
          <w:szCs w:val="22"/>
          <w:lang w:val="en-GB"/>
        </w:rPr>
        <w:t>injury</w:t>
      </w:r>
      <w:proofErr w:type="gramEnd"/>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2E64C1" w:rsidRDefault="0089536F" w:rsidP="00265D2D">
      <w:pPr>
        <w:pStyle w:val="ListParagraph"/>
        <w:numPr>
          <w:ilvl w:val="0"/>
          <w:numId w:val="17"/>
        </w:numPr>
        <w:ind w:left="426"/>
        <w:rPr>
          <w:rFonts w:ascii="Avenir Next" w:hAnsi="Avenir Next" w:cs="Arial"/>
          <w:sz w:val="22"/>
          <w:szCs w:val="22"/>
          <w:highlight w:val="yellow"/>
          <w:lang w:val="en-GB"/>
        </w:rPr>
      </w:pPr>
      <w:r w:rsidRPr="002E64C1">
        <w:rPr>
          <w:rFonts w:ascii="Avenir Next" w:hAnsi="Avenir Next" w:cs="Arial"/>
          <w:sz w:val="22"/>
          <w:szCs w:val="22"/>
          <w:highlight w:val="yellow"/>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76D94D41"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 xml:space="preserve">a liquidator declares that the </w:t>
      </w:r>
      <w:proofErr w:type="spellStart"/>
      <w:r w:rsidRPr="00B2234F">
        <w:rPr>
          <w:rFonts w:ascii="Avenir Next" w:hAnsi="Avenir Next" w:cs="Arial"/>
          <w:sz w:val="22"/>
          <w:szCs w:val="22"/>
          <w:lang w:val="en-GB"/>
        </w:rPr>
        <w:t>compan</w:t>
      </w:r>
      <w:proofErr w:type="spellEnd"/>
      <w:r w:rsidRPr="00B2234F">
        <w:rPr>
          <w:rFonts w:ascii="Avenir Next" w:hAnsi="Avenir Next" w:cs="Arial"/>
          <w:sz w:val="22"/>
          <w:szCs w:val="22"/>
          <w:lang w:val="en-GB"/>
        </w:rPr>
        <w:t xml:space="preserve">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2E64C1" w:rsidRDefault="00AD12C7" w:rsidP="00265D2D">
      <w:pPr>
        <w:pStyle w:val="ListParagraph"/>
        <w:numPr>
          <w:ilvl w:val="0"/>
          <w:numId w:val="19"/>
        </w:numPr>
        <w:ind w:left="426"/>
        <w:jc w:val="both"/>
        <w:rPr>
          <w:rFonts w:ascii="Avenir Next" w:hAnsi="Avenir Next" w:cs="Arial"/>
          <w:sz w:val="22"/>
          <w:szCs w:val="22"/>
          <w:highlight w:val="yellow"/>
          <w:lang w:val="en-GB"/>
        </w:rPr>
      </w:pPr>
      <w:r w:rsidRPr="002E64C1">
        <w:rPr>
          <w:rFonts w:ascii="Avenir Next" w:hAnsi="Avenir Next" w:cs="Arial"/>
          <w:sz w:val="22"/>
          <w:szCs w:val="22"/>
          <w:highlight w:val="yellow"/>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0EB83B28" w14:textId="478ED684" w:rsidR="008465BE" w:rsidRPr="002E64C1" w:rsidRDefault="00AD12C7" w:rsidP="002E64C1">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w:t>
      </w:r>
      <w:r w:rsidR="00796B95" w:rsidRPr="00B2234F">
        <w:rPr>
          <w:rFonts w:ascii="Avenir Next" w:hAnsi="Avenir Next" w:cs="Arial"/>
          <w:sz w:val="22"/>
          <w:szCs w:val="22"/>
          <w:lang w:val="en-GB"/>
        </w:rPr>
        <w:t>,</w:t>
      </w:r>
      <w:r w:rsidRPr="00B2234F">
        <w:rPr>
          <w:rFonts w:ascii="Avenir Next" w:hAnsi="Avenir Next" w:cs="Arial"/>
          <w:sz w:val="22"/>
          <w:szCs w:val="22"/>
          <w:lang w:val="en-GB"/>
        </w:rPr>
        <w:t xml:space="preserve"> until the appointment of a liquidator to </w:t>
      </w:r>
      <w:r w:rsidR="00023705" w:rsidRPr="00B2234F">
        <w:rPr>
          <w:rFonts w:ascii="Avenir Next" w:hAnsi="Avenir Next" w:cs="Arial"/>
          <w:sz w:val="22"/>
          <w:szCs w:val="22"/>
          <w:lang w:val="en-GB"/>
        </w:rPr>
        <w:t xml:space="preserve">the </w:t>
      </w:r>
      <w:r w:rsidRPr="00B2234F">
        <w:rPr>
          <w:rFonts w:ascii="Avenir Next" w:hAnsi="Avenir Next" w:cs="Arial"/>
          <w:sz w:val="22"/>
          <w:szCs w:val="22"/>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2E64C1" w:rsidRDefault="00E131DE" w:rsidP="00265D2D">
      <w:pPr>
        <w:pStyle w:val="ListParagraph"/>
        <w:numPr>
          <w:ilvl w:val="0"/>
          <w:numId w:val="20"/>
        </w:numPr>
        <w:ind w:left="426"/>
        <w:jc w:val="both"/>
        <w:rPr>
          <w:rFonts w:ascii="Avenir Next" w:hAnsi="Avenir Next" w:cs="Arial"/>
          <w:sz w:val="22"/>
          <w:szCs w:val="22"/>
          <w:highlight w:val="yellow"/>
          <w:lang w:val="en-GB"/>
        </w:rPr>
      </w:pPr>
      <w:r w:rsidRPr="002E64C1">
        <w:rPr>
          <w:rFonts w:ascii="Avenir Next" w:hAnsi="Avenir Next" w:cs="Arial"/>
          <w:sz w:val="22"/>
          <w:szCs w:val="22"/>
          <w:highlight w:val="yellow"/>
          <w:lang w:val="en-GB"/>
        </w:rPr>
        <w:t>t</w:t>
      </w:r>
      <w:r w:rsidR="002476AF" w:rsidRPr="002E64C1">
        <w:rPr>
          <w:rFonts w:ascii="Avenir Next" w:hAnsi="Avenir Next" w:cs="Arial"/>
          <w:sz w:val="22"/>
          <w:szCs w:val="22"/>
          <w:highlight w:val="yellow"/>
          <w:lang w:val="en-GB"/>
        </w:rPr>
        <w:t xml:space="preserve">he part dealing with receivers, and other controllers, of property of </w:t>
      </w:r>
      <w:r w:rsidR="00416D2B" w:rsidRPr="002E64C1">
        <w:rPr>
          <w:rFonts w:ascii="Avenir Next" w:hAnsi="Avenir Next" w:cs="Arial"/>
          <w:sz w:val="22"/>
          <w:szCs w:val="22"/>
          <w:highlight w:val="yellow"/>
          <w:lang w:val="en-GB"/>
        </w:rPr>
        <w:t xml:space="preserve">the </w:t>
      </w:r>
      <w:r w:rsidR="002476AF" w:rsidRPr="002E64C1">
        <w:rPr>
          <w:rFonts w:ascii="Avenir Next" w:hAnsi="Avenir Next" w:cs="Arial"/>
          <w:sz w:val="22"/>
          <w:szCs w:val="22"/>
          <w:highlight w:val="yellow"/>
          <w:lang w:val="en-GB"/>
        </w:rPr>
        <w:t>corporation</w:t>
      </w:r>
      <w:r w:rsidR="00416D2B" w:rsidRPr="002E64C1">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lastRenderedPageBreak/>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4E20B2" w:rsidRDefault="008465BE" w:rsidP="00265D2D">
      <w:pPr>
        <w:pStyle w:val="ListParagraph"/>
        <w:numPr>
          <w:ilvl w:val="0"/>
          <w:numId w:val="21"/>
        </w:numPr>
        <w:ind w:left="426"/>
        <w:jc w:val="both"/>
        <w:rPr>
          <w:rFonts w:ascii="Avenir Next" w:hAnsi="Avenir Next" w:cs="Arial"/>
          <w:sz w:val="22"/>
          <w:szCs w:val="22"/>
          <w:highlight w:val="yellow"/>
          <w:lang w:val="en-GB"/>
        </w:rPr>
      </w:pPr>
      <w:r w:rsidRPr="004E20B2">
        <w:rPr>
          <w:rFonts w:ascii="Avenir Next" w:hAnsi="Avenir Next" w:cs="Arial"/>
          <w:sz w:val="22"/>
          <w:szCs w:val="22"/>
          <w:highlight w:val="yellow"/>
          <w:lang w:val="en-GB"/>
        </w:rPr>
        <w:t>S</w:t>
      </w:r>
      <w:r w:rsidR="002476AF" w:rsidRPr="004E20B2">
        <w:rPr>
          <w:rFonts w:ascii="Avenir Next" w:hAnsi="Avenir Next" w:cs="Arial"/>
          <w:sz w:val="22"/>
          <w:szCs w:val="22"/>
          <w:highlight w:val="yellow"/>
          <w:lang w:val="en-GB"/>
        </w:rPr>
        <w:t xml:space="preserve">implified </w:t>
      </w:r>
      <w:r w:rsidR="008235B7" w:rsidRPr="004E20B2">
        <w:rPr>
          <w:rFonts w:ascii="Avenir Next" w:hAnsi="Avenir Next" w:cs="Arial"/>
          <w:sz w:val="22"/>
          <w:szCs w:val="22"/>
          <w:highlight w:val="yellow"/>
          <w:lang w:val="en-GB"/>
        </w:rPr>
        <w:t>restructuring and liquidation regimes for small companies</w:t>
      </w:r>
      <w:r w:rsidR="002476AF" w:rsidRPr="004E20B2">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45CF6194"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 xml:space="preserve">reversed by a liquidator on application to the </w:t>
      </w:r>
      <w:r w:rsidR="00C04AEB" w:rsidRPr="00B2234F">
        <w:rPr>
          <w:rFonts w:ascii="Avenir Next" w:hAnsi="Avenir Next" w:cs="Arial"/>
          <w:sz w:val="22"/>
          <w:szCs w:val="22"/>
          <w:lang w:val="en-GB"/>
        </w:rPr>
        <w:t>court and</w:t>
      </w:r>
      <w:r w:rsidR="00823B29" w:rsidRPr="00B2234F">
        <w:rPr>
          <w:rFonts w:ascii="Avenir Next" w:hAnsi="Avenir Next" w:cs="Arial"/>
          <w:sz w:val="22"/>
          <w:szCs w:val="22"/>
          <w:lang w:val="en-GB"/>
        </w:rPr>
        <w:t xml:space="preserve">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 xml:space="preserve">not aware that the company was insolvent at the time they </w:t>
      </w:r>
      <w:proofErr w:type="gramStart"/>
      <w:r w:rsidR="0035372F" w:rsidRPr="00B2234F">
        <w:rPr>
          <w:rFonts w:ascii="Avenir Next" w:hAnsi="Avenir Next" w:cs="Arial"/>
          <w:sz w:val="22"/>
          <w:szCs w:val="22"/>
          <w:lang w:val="en-GB"/>
        </w:rPr>
        <w:t>entered into</w:t>
      </w:r>
      <w:proofErr w:type="gramEnd"/>
      <w:r w:rsidR="0035372F" w:rsidRPr="00B2234F">
        <w:rPr>
          <w:rFonts w:ascii="Avenir Next" w:hAnsi="Avenir Next" w:cs="Arial"/>
          <w:sz w:val="22"/>
          <w:szCs w:val="22"/>
          <w:lang w:val="en-GB"/>
        </w:rPr>
        <w:t xml:space="preserve"> the transactions.</w:t>
      </w:r>
    </w:p>
    <w:p w14:paraId="1233004E" w14:textId="77777777" w:rsidR="00A8083D" w:rsidRDefault="00A8083D" w:rsidP="002476AF">
      <w:pPr>
        <w:jc w:val="both"/>
        <w:rPr>
          <w:rFonts w:ascii="Avenir Next" w:hAnsi="Avenir Next" w:cs="Arial"/>
          <w:sz w:val="22"/>
          <w:szCs w:val="22"/>
          <w:lang w:val="en-GB"/>
        </w:rPr>
      </w:pPr>
    </w:p>
    <w:p w14:paraId="62CAE0A0" w14:textId="37E657AE" w:rsidR="00F90E45" w:rsidRPr="00F90E45" w:rsidRDefault="00F90E45" w:rsidP="002476AF">
      <w:p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Answer:</w:t>
      </w:r>
    </w:p>
    <w:p w14:paraId="14E1DCF5" w14:textId="77777777" w:rsidR="00F90E45" w:rsidRPr="00F90E45" w:rsidRDefault="00F90E45" w:rsidP="002476AF">
      <w:pPr>
        <w:jc w:val="both"/>
        <w:rPr>
          <w:rFonts w:ascii="Arial" w:hAnsi="Arial" w:cs="Arial"/>
          <w:color w:val="808080" w:themeColor="background1" w:themeShade="80"/>
          <w:sz w:val="22"/>
          <w:szCs w:val="22"/>
          <w:lang w:val="en-GB"/>
        </w:rPr>
      </w:pPr>
    </w:p>
    <w:p w14:paraId="66FCBB75" w14:textId="4BF2336D" w:rsidR="00526091" w:rsidRPr="00F90E45" w:rsidRDefault="00A8083D" w:rsidP="00A8083D">
      <w:pPr>
        <w:pStyle w:val="ListParagraph"/>
        <w:numPr>
          <w:ilvl w:val="0"/>
          <w:numId w:val="28"/>
        </w:num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Unfair preferences</w:t>
      </w:r>
    </w:p>
    <w:p w14:paraId="62D04AD9" w14:textId="162C86C5" w:rsidR="00A8083D" w:rsidRPr="00F90E45" w:rsidRDefault="00A8083D" w:rsidP="00A8083D">
      <w:pPr>
        <w:pStyle w:val="ListParagraph"/>
        <w:numPr>
          <w:ilvl w:val="0"/>
          <w:numId w:val="28"/>
        </w:num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Uncommercial transactions</w:t>
      </w:r>
    </w:p>
    <w:p w14:paraId="453AF2A8" w14:textId="01ACB923" w:rsidR="00A8083D" w:rsidRPr="00F90E45" w:rsidRDefault="00A8083D" w:rsidP="00A8083D">
      <w:pPr>
        <w:pStyle w:val="ListParagraph"/>
        <w:numPr>
          <w:ilvl w:val="0"/>
          <w:numId w:val="28"/>
        </w:num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 xml:space="preserve">Unreasonable director-related transactions </w:t>
      </w:r>
    </w:p>
    <w:p w14:paraId="5A4726AA" w14:textId="25E53247" w:rsidR="003A4F64" w:rsidRPr="00F90E45" w:rsidRDefault="003A4F64" w:rsidP="00A8083D">
      <w:pPr>
        <w:pStyle w:val="ListParagraph"/>
        <w:numPr>
          <w:ilvl w:val="0"/>
          <w:numId w:val="28"/>
        </w:num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 xml:space="preserve">Unfair loans </w:t>
      </w:r>
    </w:p>
    <w:p w14:paraId="64C684DD" w14:textId="5FADA70B" w:rsidR="003A4F64" w:rsidRPr="00F90E45" w:rsidRDefault="003A4F64" w:rsidP="00A8083D">
      <w:pPr>
        <w:pStyle w:val="ListParagraph"/>
        <w:numPr>
          <w:ilvl w:val="0"/>
          <w:numId w:val="28"/>
        </w:num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Circulating security interests (in limited circumstances) p35</w:t>
      </w:r>
    </w:p>
    <w:p w14:paraId="7B005E35" w14:textId="77777777" w:rsidR="00B04780" w:rsidRPr="00F90E45" w:rsidRDefault="00B04780" w:rsidP="002476AF">
      <w:pPr>
        <w:jc w:val="both"/>
        <w:rPr>
          <w:rFonts w:ascii="Arial" w:hAnsi="Arial" w:cs="Arial"/>
          <w:color w:val="808080" w:themeColor="background1" w:themeShade="80"/>
          <w:sz w:val="22"/>
          <w:szCs w:val="22"/>
          <w:lang w:val="en-GB"/>
        </w:rPr>
      </w:pPr>
    </w:p>
    <w:p w14:paraId="216E7750" w14:textId="4C1FDA49" w:rsidR="00007BF3" w:rsidRPr="00B2234F" w:rsidRDefault="00007BF3" w:rsidP="002A37BB">
      <w:pPr>
        <w:ind w:left="720" w:hanging="720"/>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0866755B" w14:textId="187B2D9E" w:rsidR="00F90E45" w:rsidRDefault="00F90E45" w:rsidP="002476AF">
      <w:pPr>
        <w:jc w:val="both"/>
        <w:rPr>
          <w:rFonts w:ascii="Avenir Next" w:hAnsi="Avenir Next" w:cs="Arial"/>
          <w:sz w:val="22"/>
          <w:szCs w:val="22"/>
          <w:lang w:val="en-GB"/>
        </w:rPr>
      </w:pPr>
      <w:r>
        <w:rPr>
          <w:rFonts w:ascii="Avenir Next" w:hAnsi="Avenir Next" w:cs="Arial"/>
          <w:sz w:val="22"/>
          <w:szCs w:val="22"/>
          <w:lang w:val="en-GB"/>
        </w:rPr>
        <w:t>Answer:</w:t>
      </w:r>
    </w:p>
    <w:p w14:paraId="198638B2" w14:textId="77777777" w:rsidR="00F90E45" w:rsidRDefault="00F90E45" w:rsidP="002476AF">
      <w:pPr>
        <w:jc w:val="both"/>
        <w:rPr>
          <w:rFonts w:ascii="Avenir Next" w:hAnsi="Avenir Next" w:cs="Arial"/>
          <w:sz w:val="22"/>
          <w:szCs w:val="22"/>
          <w:lang w:val="en-GB"/>
        </w:rPr>
      </w:pPr>
    </w:p>
    <w:p w14:paraId="656234E1" w14:textId="6298146C" w:rsidR="00B04780" w:rsidRPr="00F90E45" w:rsidRDefault="00BD4F02" w:rsidP="00B04780">
      <w:p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 xml:space="preserve">The Court should in a recognition application, </w:t>
      </w:r>
      <w:r w:rsidR="00626663" w:rsidRPr="00F90E45">
        <w:rPr>
          <w:rFonts w:ascii="Arial" w:hAnsi="Arial" w:cs="Arial"/>
          <w:color w:val="808080" w:themeColor="background1" w:themeShade="80"/>
          <w:sz w:val="22"/>
          <w:szCs w:val="22"/>
          <w:lang w:val="en-GB"/>
        </w:rPr>
        <w:t xml:space="preserve">consider what “the case requires”. This entails whether the case requires the broader voluntary administration stay which in essence only affects secured creditors or if it requires a standard liquidation stay that would only affects unsecured creditors.  </w:t>
      </w:r>
    </w:p>
    <w:p w14:paraId="48DD1B04" w14:textId="77777777" w:rsidR="00B04780" w:rsidRPr="00B2234F" w:rsidRDefault="00B04780" w:rsidP="002476AF">
      <w:pPr>
        <w:jc w:val="both"/>
        <w:rPr>
          <w:rFonts w:ascii="Avenir Next" w:hAnsi="Avenir Next" w:cs="Arial"/>
          <w:sz w:val="22"/>
          <w:szCs w:val="22"/>
          <w:lang w:val="en-GB"/>
        </w:rPr>
      </w:pP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F90E45">
        <w:rPr>
          <w:rFonts w:ascii="Avenir Next Demi Bold" w:hAnsi="Avenir Next Demi Bold" w:cs="Arial"/>
          <w:b/>
          <w:bCs/>
          <w:sz w:val="22"/>
          <w:szCs w:val="22"/>
          <w:lang w:val="en-GB"/>
        </w:rPr>
        <w:t xml:space="preserve">Question </w:t>
      </w:r>
      <w:r w:rsidR="00E6452F" w:rsidRPr="00F90E45">
        <w:rPr>
          <w:rFonts w:ascii="Avenir Next Demi Bold" w:hAnsi="Avenir Next Demi Bold" w:cs="Arial"/>
          <w:b/>
          <w:bCs/>
          <w:sz w:val="22"/>
          <w:szCs w:val="22"/>
          <w:lang w:val="en-GB"/>
        </w:rPr>
        <w:t>2.3</w:t>
      </w:r>
      <w:r w:rsidR="00E6452F" w:rsidRPr="00F90E45">
        <w:rPr>
          <w:rFonts w:ascii="Avenir Next Demi Bold" w:hAnsi="Avenir Next Demi Bold" w:cs="Arial"/>
          <w:b/>
          <w:bCs/>
          <w:sz w:val="22"/>
          <w:szCs w:val="22"/>
          <w:lang w:val="en-GB"/>
        </w:rPr>
        <w:tab/>
        <w:t>[</w:t>
      </w:r>
      <w:r w:rsidR="00D17FDC" w:rsidRPr="00F90E45">
        <w:rPr>
          <w:rFonts w:ascii="Avenir Next Demi Bold" w:hAnsi="Avenir Next Demi Bold" w:cs="Arial"/>
          <w:b/>
          <w:bCs/>
          <w:sz w:val="22"/>
          <w:szCs w:val="22"/>
          <w:lang w:val="en-GB"/>
        </w:rPr>
        <w:t>m</w:t>
      </w:r>
      <w:r w:rsidR="00E6452F" w:rsidRPr="00F90E45">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Pr="00C51E06" w:rsidRDefault="00BA5FCB" w:rsidP="002476AF">
      <w:pPr>
        <w:jc w:val="both"/>
        <w:rPr>
          <w:rFonts w:ascii="Avenir Next" w:hAnsi="Avenir Next" w:cs="Arial"/>
          <w:sz w:val="22"/>
          <w:szCs w:val="22"/>
          <w:lang w:val="en-GB"/>
        </w:rPr>
      </w:pPr>
      <w:r w:rsidRPr="00C51E06">
        <w:rPr>
          <w:rFonts w:ascii="Avenir Next" w:hAnsi="Avenir Next" w:cs="Arial"/>
          <w:sz w:val="22"/>
          <w:szCs w:val="22"/>
          <w:lang w:val="en-GB"/>
        </w:rPr>
        <w:t xml:space="preserve">What are the differences between </w:t>
      </w:r>
      <w:r w:rsidR="00823B29" w:rsidRPr="00C51E06">
        <w:rPr>
          <w:rFonts w:ascii="Avenir Next" w:hAnsi="Avenir Next" w:cs="Arial"/>
          <w:sz w:val="22"/>
          <w:szCs w:val="22"/>
          <w:lang w:val="en-GB"/>
        </w:rPr>
        <w:t>liquidations</w:t>
      </w:r>
      <w:r w:rsidRPr="00C51E06">
        <w:rPr>
          <w:rFonts w:ascii="Avenir Next" w:hAnsi="Avenir Next" w:cs="Arial"/>
          <w:sz w:val="22"/>
          <w:szCs w:val="22"/>
          <w:lang w:val="en-GB"/>
        </w:rPr>
        <w:t xml:space="preserve"> and small company liquidations</w:t>
      </w:r>
      <w:r w:rsidR="002476AF" w:rsidRPr="00C51E06">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162EB88D" w14:textId="127E4871" w:rsidR="00A0352F" w:rsidRPr="00F90E45" w:rsidRDefault="00A0352F" w:rsidP="008420F8">
      <w:p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 xml:space="preserve">The differences are: </w:t>
      </w:r>
    </w:p>
    <w:p w14:paraId="3B543430" w14:textId="347E5A7D" w:rsidR="008420F8" w:rsidRPr="00F90E45" w:rsidRDefault="00A0352F" w:rsidP="00A0352F">
      <w:pPr>
        <w:pStyle w:val="ListParagraph"/>
        <w:numPr>
          <w:ilvl w:val="0"/>
          <w:numId w:val="29"/>
        </w:num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 xml:space="preserve"> with a small company </w:t>
      </w:r>
      <w:r w:rsidR="008E51E0" w:rsidRPr="00F90E45">
        <w:rPr>
          <w:rFonts w:ascii="Arial" w:hAnsi="Arial" w:cs="Arial"/>
          <w:color w:val="808080" w:themeColor="background1" w:themeShade="80"/>
          <w:sz w:val="22"/>
          <w:szCs w:val="22"/>
          <w:lang w:val="en-GB"/>
        </w:rPr>
        <w:t>liquidation,</w:t>
      </w:r>
      <w:r w:rsidRPr="00F90E45">
        <w:rPr>
          <w:rFonts w:ascii="Arial" w:hAnsi="Arial" w:cs="Arial"/>
          <w:color w:val="808080" w:themeColor="background1" w:themeShade="80"/>
          <w:sz w:val="22"/>
          <w:szCs w:val="22"/>
          <w:lang w:val="en-GB"/>
        </w:rPr>
        <w:t xml:space="preserve"> the company’s total liabilities do not exceed AUD 1 million.</w:t>
      </w:r>
    </w:p>
    <w:p w14:paraId="44612AE0" w14:textId="705281AE" w:rsidR="00A0352F" w:rsidRPr="00F90E45" w:rsidRDefault="00A0352F" w:rsidP="00A0352F">
      <w:pPr>
        <w:pStyle w:val="ListParagraph"/>
        <w:numPr>
          <w:ilvl w:val="0"/>
          <w:numId w:val="29"/>
        </w:num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 xml:space="preserve">The current directors of the company must not have been directors of other companies that have undergone restructuring or was subject to simplified liquidation process within seven </w:t>
      </w:r>
      <w:proofErr w:type="gramStart"/>
      <w:r w:rsidRPr="00F90E45">
        <w:rPr>
          <w:rFonts w:ascii="Arial" w:hAnsi="Arial" w:cs="Arial"/>
          <w:color w:val="808080" w:themeColor="background1" w:themeShade="80"/>
          <w:sz w:val="22"/>
          <w:szCs w:val="22"/>
          <w:lang w:val="en-GB"/>
        </w:rPr>
        <w:t>years</w:t>
      </w:r>
      <w:proofErr w:type="gramEnd"/>
      <w:r w:rsidRPr="00F90E45">
        <w:rPr>
          <w:rFonts w:ascii="Arial" w:hAnsi="Arial" w:cs="Arial"/>
          <w:color w:val="808080" w:themeColor="background1" w:themeShade="80"/>
          <w:sz w:val="22"/>
          <w:szCs w:val="22"/>
          <w:lang w:val="en-GB"/>
        </w:rPr>
        <w:t xml:space="preserve"> </w:t>
      </w:r>
    </w:p>
    <w:p w14:paraId="2845F450" w14:textId="76DD5C02" w:rsidR="00A0352F" w:rsidRPr="00F90E45" w:rsidRDefault="00A0352F" w:rsidP="00A0352F">
      <w:pPr>
        <w:pStyle w:val="ListParagraph"/>
        <w:numPr>
          <w:ilvl w:val="0"/>
          <w:numId w:val="29"/>
        </w:numPr>
        <w:jc w:val="both"/>
        <w:rPr>
          <w:rFonts w:ascii="Arial" w:hAnsi="Arial" w:cs="Arial"/>
          <w:color w:val="808080" w:themeColor="background1" w:themeShade="80"/>
          <w:sz w:val="22"/>
          <w:szCs w:val="22"/>
          <w:lang w:val="en-GB"/>
        </w:rPr>
      </w:pPr>
      <w:r w:rsidRPr="00F90E45">
        <w:rPr>
          <w:rFonts w:ascii="Arial" w:hAnsi="Arial" w:cs="Arial"/>
          <w:color w:val="808080" w:themeColor="background1" w:themeShade="80"/>
          <w:sz w:val="22"/>
          <w:szCs w:val="22"/>
          <w:lang w:val="en-GB"/>
        </w:rPr>
        <w:t xml:space="preserve">A liquidator cannot adopt the simplified liquidation if at least 25% in value of the creditors voted in favour of the </w:t>
      </w:r>
      <w:proofErr w:type="gramStart"/>
      <w:r w:rsidRPr="00F90E45">
        <w:rPr>
          <w:rFonts w:ascii="Arial" w:hAnsi="Arial" w:cs="Arial"/>
          <w:color w:val="808080" w:themeColor="background1" w:themeShade="80"/>
          <w:sz w:val="22"/>
          <w:szCs w:val="22"/>
          <w:lang w:val="en-GB"/>
        </w:rPr>
        <w:t>process</w:t>
      </w:r>
      <w:proofErr w:type="gramEnd"/>
    </w:p>
    <w:p w14:paraId="1CB2D5BE" w14:textId="77777777" w:rsidR="008E51E0" w:rsidRPr="00B2234F" w:rsidRDefault="008E51E0"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bookmarkStart w:id="0" w:name="_Hlk141257326"/>
      <w:r w:rsidRPr="00B04780">
        <w:rPr>
          <w:rFonts w:ascii="Avenir Next Demi Bold" w:hAnsi="Avenir Next Demi Bold" w:cs="Arial"/>
          <w:b/>
          <w:bCs/>
          <w:sz w:val="22"/>
          <w:szCs w:val="22"/>
          <w:lang w:val="en-GB"/>
        </w:rPr>
        <w:lastRenderedPageBreak/>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proofErr w:type="gramStart"/>
      <w:r w:rsidR="0089536F" w:rsidRPr="00B2234F">
        <w:rPr>
          <w:rFonts w:ascii="Avenir Next" w:hAnsi="Avenir Next" w:cs="Arial"/>
          <w:sz w:val="22"/>
          <w:szCs w:val="22"/>
          <w:lang w:val="en-GB"/>
        </w:rPr>
        <w:t>creditor-friendly</w:t>
      </w:r>
      <w:proofErr w:type="gramEnd"/>
      <w:r w:rsidR="0089536F" w:rsidRPr="00B2234F">
        <w:rPr>
          <w:rFonts w:ascii="Avenir Next" w:hAnsi="Avenir Next" w:cs="Arial"/>
          <w:sz w:val="22"/>
          <w:szCs w:val="22"/>
          <w:lang w:val="en-GB"/>
        </w:rPr>
        <w:t xml:space="preserve">.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 xml:space="preserve">a debtor-friendly </w:t>
      </w:r>
      <w:proofErr w:type="gramStart"/>
      <w:r w:rsidR="0089536F" w:rsidRPr="00B2234F">
        <w:rPr>
          <w:rFonts w:ascii="Avenir Next" w:hAnsi="Avenir Next" w:cs="Arial"/>
          <w:sz w:val="22"/>
          <w:szCs w:val="22"/>
          <w:lang w:val="en-GB"/>
        </w:rPr>
        <w:t>jurisdiction.“</w:t>
      </w:r>
      <w:proofErr w:type="gramEnd"/>
    </w:p>
    <w:p w14:paraId="3551A64F" w14:textId="77777777" w:rsidR="00265D2D" w:rsidRPr="00B2234F" w:rsidRDefault="00265D2D" w:rsidP="002476AF">
      <w:pPr>
        <w:jc w:val="both"/>
        <w:rPr>
          <w:rFonts w:ascii="Avenir Next" w:hAnsi="Avenir Next" w:cs="Arial"/>
          <w:sz w:val="22"/>
          <w:szCs w:val="22"/>
          <w:lang w:val="en-GB"/>
        </w:rPr>
      </w:pPr>
    </w:p>
    <w:p w14:paraId="0E6AC538" w14:textId="2D8374AB"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r w:rsidR="004F353C">
        <w:rPr>
          <w:rFonts w:ascii="Avenir Next" w:hAnsi="Avenir Next" w:cs="Arial"/>
          <w:sz w:val="22"/>
          <w:szCs w:val="22"/>
          <w:lang w:val="en-GB"/>
        </w:rPr>
        <w:t xml:space="preserve">  </w:t>
      </w:r>
    </w:p>
    <w:p w14:paraId="7DFCEB65" w14:textId="77777777" w:rsidR="00455480" w:rsidRDefault="00455480" w:rsidP="002476AF">
      <w:pPr>
        <w:jc w:val="both"/>
        <w:rPr>
          <w:rFonts w:ascii="Avenir Next" w:hAnsi="Avenir Next" w:cs="Arial"/>
          <w:color w:val="FF0000"/>
          <w:sz w:val="22"/>
          <w:szCs w:val="22"/>
          <w:lang w:val="en-GB"/>
        </w:rPr>
      </w:pPr>
    </w:p>
    <w:p w14:paraId="7A5C926B" w14:textId="1E1C2D6C" w:rsidR="00941BE7" w:rsidRPr="00F90E45" w:rsidRDefault="00941BE7" w:rsidP="00941BE7">
      <w:pPr>
        <w:spacing w:before="100" w:beforeAutospacing="1" w:after="100" w:afterAutospacing="1"/>
        <w:jc w:val="both"/>
        <w:rPr>
          <w:rFonts w:ascii="Arial" w:hAnsi="Arial" w:cs="Arial"/>
          <w:color w:val="808080" w:themeColor="background1" w:themeShade="80"/>
          <w:sz w:val="22"/>
          <w:szCs w:val="22"/>
        </w:rPr>
      </w:pPr>
      <w:r w:rsidRPr="00F90E45">
        <w:rPr>
          <w:rFonts w:ascii="Arial" w:hAnsi="Arial" w:cs="Arial"/>
          <w:color w:val="808080" w:themeColor="background1" w:themeShade="80"/>
          <w:sz w:val="22"/>
          <w:szCs w:val="22"/>
          <w:lang w:val="en-GB" w:eastAsia="en-GB"/>
        </w:rPr>
        <w:t>I agree with the statement.  </w:t>
      </w:r>
    </w:p>
    <w:p w14:paraId="1D142A19" w14:textId="3A074826" w:rsidR="00941BE7" w:rsidRPr="00F90E45" w:rsidRDefault="00941BE7" w:rsidP="00941BE7">
      <w:pPr>
        <w:spacing w:before="100" w:beforeAutospacing="1" w:after="100" w:afterAutospacing="1"/>
        <w:jc w:val="both"/>
        <w:rPr>
          <w:rFonts w:ascii="Arial" w:hAnsi="Arial" w:cs="Arial"/>
          <w:color w:val="808080" w:themeColor="background1" w:themeShade="80"/>
          <w:sz w:val="22"/>
          <w:szCs w:val="22"/>
        </w:rPr>
      </w:pPr>
      <w:r w:rsidRPr="00F90E45">
        <w:rPr>
          <w:rFonts w:ascii="Arial" w:hAnsi="Arial" w:cs="Arial"/>
          <w:color w:val="808080" w:themeColor="background1" w:themeShade="80"/>
          <w:sz w:val="22"/>
          <w:szCs w:val="22"/>
          <w:lang w:val="en-GB" w:eastAsia="en-GB"/>
        </w:rPr>
        <w:t>Prior the recent reforms to the corporate insolvency regime, the law was overwhelmingly focussed on upholding creditors’ rights and remedies, especially by actively assisting creditors to secure and enforce their claims and sequestrate and liquidate individuals and companies respectively.  </w:t>
      </w:r>
    </w:p>
    <w:p w14:paraId="6EF2C2B7" w14:textId="4467B152" w:rsidR="00941BE7" w:rsidRPr="00F90E45" w:rsidRDefault="00941BE7" w:rsidP="00941BE7">
      <w:pPr>
        <w:spacing w:before="100" w:beforeAutospacing="1" w:after="100" w:afterAutospacing="1"/>
        <w:jc w:val="both"/>
        <w:rPr>
          <w:rFonts w:ascii="Arial" w:hAnsi="Arial" w:cs="Arial"/>
          <w:color w:val="808080" w:themeColor="background1" w:themeShade="80"/>
          <w:sz w:val="22"/>
          <w:szCs w:val="22"/>
        </w:rPr>
      </w:pPr>
      <w:r w:rsidRPr="00F90E45">
        <w:rPr>
          <w:rFonts w:ascii="Arial" w:hAnsi="Arial" w:cs="Arial"/>
          <w:color w:val="808080" w:themeColor="background1" w:themeShade="80"/>
          <w:sz w:val="22"/>
          <w:szCs w:val="22"/>
          <w:lang w:val="en-GB" w:eastAsia="en-GB"/>
        </w:rPr>
        <w:t xml:space="preserve">The idea that creditors’ rights should be balanced against, never mind being at times subsumed by, the rights and interests of debtors, their shareholders, management, and employees </w:t>
      </w:r>
      <w:proofErr w:type="gramStart"/>
      <w:r w:rsidRPr="00F90E45">
        <w:rPr>
          <w:rFonts w:ascii="Arial" w:hAnsi="Arial" w:cs="Arial"/>
          <w:color w:val="808080" w:themeColor="background1" w:themeShade="80"/>
          <w:sz w:val="22"/>
          <w:szCs w:val="22"/>
          <w:lang w:val="en-GB" w:eastAsia="en-GB"/>
        </w:rPr>
        <w:t>in an effort to</w:t>
      </w:r>
      <w:proofErr w:type="gramEnd"/>
      <w:r w:rsidRPr="00F90E45">
        <w:rPr>
          <w:rFonts w:ascii="Arial" w:hAnsi="Arial" w:cs="Arial"/>
          <w:color w:val="808080" w:themeColor="background1" w:themeShade="80"/>
          <w:sz w:val="22"/>
          <w:szCs w:val="22"/>
          <w:lang w:val="en-GB" w:eastAsia="en-GB"/>
        </w:rPr>
        <w:t xml:space="preserve"> encourage and assist indebted businesses to continue in business (or be rescued) was regarded as unworthy of consideration.  </w:t>
      </w:r>
    </w:p>
    <w:p w14:paraId="084EABD1" w14:textId="590A769F" w:rsidR="00941BE7" w:rsidRPr="00F90E45" w:rsidRDefault="00941BE7" w:rsidP="00941BE7">
      <w:pPr>
        <w:spacing w:before="100" w:beforeAutospacing="1" w:after="100" w:afterAutospacing="1"/>
        <w:jc w:val="both"/>
        <w:rPr>
          <w:rFonts w:ascii="Arial" w:hAnsi="Arial" w:cs="Arial"/>
          <w:color w:val="808080" w:themeColor="background1" w:themeShade="80"/>
          <w:sz w:val="22"/>
          <w:szCs w:val="22"/>
        </w:rPr>
      </w:pPr>
      <w:r w:rsidRPr="00F90E45">
        <w:rPr>
          <w:rFonts w:ascii="Arial" w:hAnsi="Arial" w:cs="Arial"/>
          <w:color w:val="808080" w:themeColor="background1" w:themeShade="80"/>
          <w:sz w:val="22"/>
          <w:szCs w:val="22"/>
          <w:lang w:val="en-GB" w:eastAsia="en-GB"/>
        </w:rPr>
        <w:t>The law largely concerned itself with protecting creditors and their rights to the exclusion of other stakeholders. This skewed (even one-sided) emphasis had a negative impact on corporate revival and business rescue.  </w:t>
      </w:r>
    </w:p>
    <w:p w14:paraId="31CFD59C" w14:textId="017597D1" w:rsidR="00941BE7" w:rsidRPr="00F90E45" w:rsidRDefault="00941BE7" w:rsidP="00941BE7">
      <w:pPr>
        <w:spacing w:before="100" w:beforeAutospacing="1" w:after="100" w:afterAutospacing="1"/>
        <w:jc w:val="both"/>
        <w:rPr>
          <w:rFonts w:ascii="Arial" w:hAnsi="Arial" w:cs="Arial"/>
          <w:color w:val="808080" w:themeColor="background1" w:themeShade="80"/>
          <w:sz w:val="22"/>
          <w:szCs w:val="22"/>
        </w:rPr>
      </w:pPr>
      <w:r w:rsidRPr="00F90E45">
        <w:rPr>
          <w:rFonts w:ascii="Arial" w:hAnsi="Arial" w:cs="Arial"/>
          <w:color w:val="808080" w:themeColor="background1" w:themeShade="80"/>
          <w:sz w:val="22"/>
          <w:szCs w:val="22"/>
          <w:lang w:val="en-GB" w:eastAsia="en-GB"/>
        </w:rPr>
        <w:t>In a time of the dominance of creditors’ rights, secured creditors were entitled to enforce their rights during a bankruptcy process and / or liquidation process while unsecured creditors relied on the Bankruptcy Act and Corporations Act to force individuals or companies to pay their debts. If not paid within a stipulated time, the creditors were entitled to forthwith apply to sequestrate (place in Bankruptcy) an individual or to liquidate of a company without regard to the negative consequences that may flow from such actions.  </w:t>
      </w:r>
    </w:p>
    <w:p w14:paraId="4BFC28CD" w14:textId="23EB46F8" w:rsidR="00941BE7" w:rsidRPr="00F90E45" w:rsidRDefault="00941BE7" w:rsidP="00941BE7">
      <w:pPr>
        <w:spacing w:before="100" w:beforeAutospacing="1" w:after="100" w:afterAutospacing="1"/>
        <w:jc w:val="both"/>
        <w:rPr>
          <w:rFonts w:ascii="Arial" w:hAnsi="Arial" w:cs="Arial"/>
          <w:color w:val="808080" w:themeColor="background1" w:themeShade="80"/>
          <w:sz w:val="22"/>
          <w:szCs w:val="22"/>
        </w:rPr>
      </w:pPr>
      <w:r w:rsidRPr="00F90E45">
        <w:rPr>
          <w:rFonts w:ascii="Arial" w:hAnsi="Arial" w:cs="Arial"/>
          <w:color w:val="808080" w:themeColor="background1" w:themeShade="80"/>
          <w:sz w:val="22"/>
          <w:szCs w:val="22"/>
          <w:lang w:val="en-GB" w:eastAsia="en-GB"/>
        </w:rPr>
        <w:t xml:space="preserve">The notion that sequestrated individuals would for several years be made to live under oppressive restrictions by being deprived of the rights and privileges enjoyed by their fellow citizens, such as to run their own bank account or apply for credit was not a consideration when deciding how an indebted individual should live his / her life post-becoming over-indebted. </w:t>
      </w:r>
    </w:p>
    <w:p w14:paraId="23B61A50" w14:textId="77777777" w:rsidR="00941BE7" w:rsidRPr="00F90E45" w:rsidRDefault="00941BE7" w:rsidP="00941BE7">
      <w:pPr>
        <w:spacing w:before="100" w:beforeAutospacing="1" w:after="100" w:afterAutospacing="1"/>
        <w:jc w:val="both"/>
        <w:rPr>
          <w:rFonts w:ascii="Arial" w:hAnsi="Arial" w:cs="Arial"/>
          <w:color w:val="808080" w:themeColor="background1" w:themeShade="80"/>
          <w:sz w:val="22"/>
          <w:szCs w:val="22"/>
          <w:lang w:val="en-GB" w:eastAsia="en-GB"/>
        </w:rPr>
      </w:pPr>
      <w:r w:rsidRPr="00F90E45">
        <w:rPr>
          <w:rFonts w:ascii="Arial" w:hAnsi="Arial" w:cs="Arial"/>
          <w:color w:val="808080" w:themeColor="background1" w:themeShade="80"/>
          <w:sz w:val="22"/>
          <w:szCs w:val="22"/>
          <w:lang w:val="en-GB" w:eastAsia="en-GB"/>
        </w:rPr>
        <w:t xml:space="preserve">Likewise, indebted corporate entities liable for liquidation were restricted in their ability to resist liquidation, or to remain in business or, if so allowed, only at the say-so of their creditors who would exercise their rights in such a way as to impose oppressive financial terms on the entity. The heavily pro-creditor legal regime led to many companies that would otherwise have been able to resume trade after compromising with their creditors or being given an opportunity to restructure, being placed in liquidation, and thus permanently depriving the entity of the opportunity to trade causing job losses, loss of shareholder capital, and removal of otherwise viable corporate entitles from the Australian market. </w:t>
      </w:r>
    </w:p>
    <w:p w14:paraId="3DB39CF4" w14:textId="7607CC21" w:rsidR="00C65DCE" w:rsidRPr="00F90E45" w:rsidRDefault="00941BE7" w:rsidP="00941BE7">
      <w:pPr>
        <w:spacing w:before="100" w:beforeAutospacing="1" w:after="100" w:afterAutospacing="1"/>
        <w:jc w:val="both"/>
        <w:rPr>
          <w:rFonts w:ascii="Arial" w:hAnsi="Arial" w:cs="Arial"/>
          <w:color w:val="808080" w:themeColor="background1" w:themeShade="80"/>
          <w:sz w:val="22"/>
          <w:szCs w:val="22"/>
          <w:lang w:val="en-GB" w:eastAsia="en-GB"/>
        </w:rPr>
      </w:pPr>
      <w:r w:rsidRPr="00F90E45">
        <w:rPr>
          <w:rFonts w:ascii="Arial" w:hAnsi="Arial" w:cs="Arial"/>
          <w:color w:val="808080" w:themeColor="background1" w:themeShade="80"/>
          <w:sz w:val="22"/>
          <w:szCs w:val="22"/>
          <w:lang w:val="en-GB" w:eastAsia="en-GB"/>
        </w:rPr>
        <w:t>As a result of the recent reforms</w:t>
      </w:r>
      <w:r w:rsidR="000A66EA" w:rsidRPr="00F90E45">
        <w:rPr>
          <w:rFonts w:ascii="Arial" w:hAnsi="Arial" w:cs="Arial"/>
          <w:color w:val="808080" w:themeColor="background1" w:themeShade="80"/>
          <w:sz w:val="22"/>
          <w:szCs w:val="22"/>
          <w:lang w:val="en-GB" w:eastAsia="en-GB"/>
        </w:rPr>
        <w:t>,</w:t>
      </w:r>
      <w:r w:rsidRPr="00F90E45">
        <w:rPr>
          <w:rFonts w:ascii="Arial" w:hAnsi="Arial" w:cs="Arial"/>
          <w:color w:val="808080" w:themeColor="background1" w:themeShade="80"/>
          <w:sz w:val="22"/>
          <w:szCs w:val="22"/>
          <w:lang w:val="en-GB" w:eastAsia="en-GB"/>
        </w:rPr>
        <w:t xml:space="preserve"> companies </w:t>
      </w:r>
      <w:r w:rsidR="00C65DCE" w:rsidRPr="00F90E45">
        <w:rPr>
          <w:rFonts w:ascii="Arial" w:hAnsi="Arial" w:cs="Arial"/>
          <w:color w:val="808080" w:themeColor="background1" w:themeShade="80"/>
          <w:sz w:val="22"/>
          <w:szCs w:val="22"/>
          <w:lang w:val="en-GB" w:eastAsia="en-GB"/>
        </w:rPr>
        <w:t>can now</w:t>
      </w:r>
      <w:r w:rsidRPr="00F90E45">
        <w:rPr>
          <w:rFonts w:ascii="Arial" w:hAnsi="Arial" w:cs="Arial"/>
          <w:color w:val="808080" w:themeColor="background1" w:themeShade="80"/>
          <w:sz w:val="22"/>
          <w:szCs w:val="22"/>
          <w:lang w:val="en-GB" w:eastAsia="en-GB"/>
        </w:rPr>
        <w:t xml:space="preserve"> </w:t>
      </w:r>
      <w:r w:rsidR="000A66EA" w:rsidRPr="00F90E45">
        <w:rPr>
          <w:rFonts w:ascii="Arial" w:hAnsi="Arial" w:cs="Arial"/>
          <w:color w:val="808080" w:themeColor="background1" w:themeShade="80"/>
          <w:sz w:val="22"/>
          <w:szCs w:val="22"/>
          <w:lang w:val="en-GB" w:eastAsia="en-GB"/>
        </w:rPr>
        <w:t>enter</w:t>
      </w:r>
      <w:r w:rsidRPr="00F90E45">
        <w:rPr>
          <w:rFonts w:ascii="Arial" w:hAnsi="Arial" w:cs="Arial"/>
          <w:color w:val="808080" w:themeColor="background1" w:themeShade="80"/>
          <w:sz w:val="22"/>
          <w:szCs w:val="22"/>
          <w:lang w:val="en-GB" w:eastAsia="en-GB"/>
        </w:rPr>
        <w:t xml:space="preserve"> </w:t>
      </w:r>
      <w:r w:rsidR="00C65DCE" w:rsidRPr="00F90E45">
        <w:rPr>
          <w:rFonts w:ascii="Arial" w:hAnsi="Arial" w:cs="Arial"/>
          <w:color w:val="808080" w:themeColor="background1" w:themeShade="80"/>
          <w:sz w:val="22"/>
          <w:szCs w:val="22"/>
          <w:lang w:val="en-GB" w:eastAsia="en-GB"/>
        </w:rPr>
        <w:t xml:space="preserve">voluntary </w:t>
      </w:r>
      <w:r w:rsidRPr="00F90E45">
        <w:rPr>
          <w:rFonts w:ascii="Arial" w:hAnsi="Arial" w:cs="Arial"/>
          <w:color w:val="808080" w:themeColor="background1" w:themeShade="80"/>
          <w:sz w:val="22"/>
          <w:szCs w:val="22"/>
          <w:lang w:val="en-GB" w:eastAsia="en-GB"/>
        </w:rPr>
        <w:t>Administration</w:t>
      </w:r>
      <w:r w:rsidR="000A66EA" w:rsidRPr="00F90E45">
        <w:rPr>
          <w:rFonts w:ascii="Arial" w:hAnsi="Arial" w:cs="Arial"/>
          <w:color w:val="808080" w:themeColor="background1" w:themeShade="80"/>
          <w:sz w:val="22"/>
          <w:szCs w:val="22"/>
          <w:lang w:val="en-GB" w:eastAsia="en-GB"/>
        </w:rPr>
        <w:t xml:space="preserve"> (Part 5.3A of the Corporations Act)</w:t>
      </w:r>
      <w:r w:rsidR="00C65DCE" w:rsidRPr="00F90E45">
        <w:rPr>
          <w:rFonts w:ascii="Arial" w:hAnsi="Arial" w:cs="Arial"/>
          <w:color w:val="808080" w:themeColor="background1" w:themeShade="80"/>
          <w:sz w:val="22"/>
          <w:szCs w:val="22"/>
          <w:lang w:val="en-GB" w:eastAsia="en-GB"/>
        </w:rPr>
        <w:t>, or a creditors’ scheme of arrangement</w:t>
      </w:r>
      <w:r w:rsidR="000A66EA" w:rsidRPr="00F90E45">
        <w:rPr>
          <w:rFonts w:ascii="Arial" w:hAnsi="Arial" w:cs="Arial"/>
          <w:color w:val="808080" w:themeColor="background1" w:themeShade="80"/>
          <w:sz w:val="22"/>
          <w:szCs w:val="22"/>
          <w:lang w:val="en-GB" w:eastAsia="en-GB"/>
        </w:rPr>
        <w:t xml:space="preserve"> (under Part 5.1 of the Corporations Act)</w:t>
      </w:r>
      <w:r w:rsidR="00C65DCE" w:rsidRPr="00F90E45">
        <w:rPr>
          <w:rFonts w:ascii="Arial" w:hAnsi="Arial" w:cs="Arial"/>
          <w:color w:val="808080" w:themeColor="background1" w:themeShade="80"/>
          <w:sz w:val="22"/>
          <w:szCs w:val="22"/>
          <w:lang w:val="en-GB" w:eastAsia="en-GB"/>
        </w:rPr>
        <w:t xml:space="preserve"> or for companies with a liability of less than AUD 1 million a restructuring process and plan under the new Part 5.3B of the Corporations Act (which came into effect on 1 January 2021)</w:t>
      </w:r>
      <w:r w:rsidR="0010175D" w:rsidRPr="00F90E45">
        <w:rPr>
          <w:rFonts w:ascii="Arial" w:hAnsi="Arial" w:cs="Arial"/>
          <w:color w:val="808080" w:themeColor="background1" w:themeShade="80"/>
          <w:sz w:val="22"/>
          <w:szCs w:val="22"/>
          <w:lang w:val="en-GB" w:eastAsia="en-GB"/>
        </w:rPr>
        <w:t>.  A company</w:t>
      </w:r>
      <w:r w:rsidR="00C65DCE" w:rsidRPr="00F90E45">
        <w:rPr>
          <w:rFonts w:ascii="Arial" w:hAnsi="Arial" w:cs="Arial"/>
          <w:color w:val="808080" w:themeColor="background1" w:themeShade="80"/>
          <w:sz w:val="22"/>
          <w:szCs w:val="22"/>
          <w:lang w:val="en-GB" w:eastAsia="en-GB"/>
        </w:rPr>
        <w:t xml:space="preserve"> </w:t>
      </w:r>
      <w:r w:rsidRPr="00F90E45">
        <w:rPr>
          <w:rFonts w:ascii="Arial" w:hAnsi="Arial" w:cs="Arial"/>
          <w:color w:val="808080" w:themeColor="background1" w:themeShade="80"/>
          <w:sz w:val="22"/>
          <w:szCs w:val="22"/>
          <w:lang w:val="en-GB" w:eastAsia="en-GB"/>
        </w:rPr>
        <w:t xml:space="preserve">now has an opportunity to restructure and so to speak lift itself out of debt and continue their </w:t>
      </w:r>
      <w:r w:rsidR="0010175D" w:rsidRPr="00F90E45">
        <w:rPr>
          <w:rFonts w:ascii="Arial" w:hAnsi="Arial" w:cs="Arial"/>
          <w:color w:val="808080" w:themeColor="background1" w:themeShade="80"/>
          <w:sz w:val="22"/>
          <w:szCs w:val="22"/>
          <w:lang w:val="en-GB" w:eastAsia="en-GB"/>
        </w:rPr>
        <w:t>existence.</w:t>
      </w:r>
      <w:r w:rsidR="00C65DCE" w:rsidRPr="00F90E45">
        <w:rPr>
          <w:rFonts w:ascii="Arial" w:hAnsi="Arial" w:cs="Arial"/>
          <w:color w:val="808080" w:themeColor="background1" w:themeShade="80"/>
          <w:sz w:val="22"/>
          <w:szCs w:val="22"/>
          <w:lang w:val="en-GB" w:eastAsia="en-GB"/>
        </w:rPr>
        <w:t xml:space="preserve"> </w:t>
      </w:r>
    </w:p>
    <w:p w14:paraId="06D89AB9" w14:textId="51570A8A" w:rsidR="00941BE7" w:rsidRPr="00F90E45" w:rsidRDefault="000A66EA" w:rsidP="00941BE7">
      <w:pPr>
        <w:spacing w:before="100" w:beforeAutospacing="1" w:after="100" w:afterAutospacing="1"/>
        <w:jc w:val="both"/>
        <w:rPr>
          <w:rFonts w:ascii="Arial" w:hAnsi="Arial" w:cs="Arial"/>
          <w:color w:val="808080" w:themeColor="background1" w:themeShade="80"/>
          <w:sz w:val="22"/>
          <w:szCs w:val="22"/>
          <w:lang w:val="en-GB" w:eastAsia="en-GB"/>
        </w:rPr>
      </w:pPr>
      <w:r w:rsidRPr="00F90E45">
        <w:rPr>
          <w:rFonts w:ascii="Arial" w:hAnsi="Arial" w:cs="Arial"/>
          <w:color w:val="808080" w:themeColor="background1" w:themeShade="80"/>
          <w:sz w:val="22"/>
          <w:szCs w:val="22"/>
          <w:lang w:val="en-GB" w:eastAsia="en-GB"/>
        </w:rPr>
        <w:lastRenderedPageBreak/>
        <w:t>C</w:t>
      </w:r>
      <w:r w:rsidR="00663BE6" w:rsidRPr="00F90E45">
        <w:rPr>
          <w:rFonts w:ascii="Arial" w:hAnsi="Arial" w:cs="Arial"/>
          <w:color w:val="808080" w:themeColor="background1" w:themeShade="80"/>
          <w:sz w:val="22"/>
          <w:szCs w:val="22"/>
          <w:lang w:val="en-GB" w:eastAsia="en-GB"/>
        </w:rPr>
        <w:t xml:space="preserve">reditors can no longer enforce contractual rights, apart from certain exclusions, thereby giving the company a better </w:t>
      </w:r>
      <w:r w:rsidR="001404BC" w:rsidRPr="00F90E45">
        <w:rPr>
          <w:rFonts w:ascii="Arial" w:hAnsi="Arial" w:cs="Arial"/>
          <w:color w:val="808080" w:themeColor="background1" w:themeShade="80"/>
          <w:sz w:val="22"/>
          <w:szCs w:val="22"/>
          <w:lang w:val="en-GB" w:eastAsia="en-GB"/>
        </w:rPr>
        <w:t xml:space="preserve">chance of survival.  Directors of a company can now proceed to trade without the fear of personal liability, a “safe harbour”, under the professional supervision of an appointed professional. </w:t>
      </w:r>
      <w:r w:rsidR="0010175D" w:rsidRPr="00F90E45">
        <w:rPr>
          <w:rFonts w:ascii="Arial" w:hAnsi="Arial" w:cs="Arial"/>
          <w:color w:val="808080" w:themeColor="background1" w:themeShade="80"/>
          <w:sz w:val="22"/>
          <w:szCs w:val="22"/>
          <w:lang w:val="en-GB" w:eastAsia="en-GB"/>
        </w:rPr>
        <w:t xml:space="preserve">By doing this the arrangement will provide a better return for the company’s creditors.  </w:t>
      </w:r>
      <w:r w:rsidRPr="00F90E45">
        <w:rPr>
          <w:rFonts w:ascii="Arial" w:hAnsi="Arial" w:cs="Arial"/>
          <w:color w:val="808080" w:themeColor="background1" w:themeShade="80"/>
          <w:sz w:val="22"/>
          <w:szCs w:val="22"/>
          <w:lang w:val="en-GB" w:eastAsia="en-GB"/>
        </w:rPr>
        <w:t xml:space="preserve">Employees will retain employment </w:t>
      </w:r>
      <w:r w:rsidR="00A028D5" w:rsidRPr="00F90E45">
        <w:rPr>
          <w:rFonts w:ascii="Arial" w:hAnsi="Arial" w:cs="Arial"/>
          <w:color w:val="808080" w:themeColor="background1" w:themeShade="80"/>
          <w:sz w:val="22"/>
          <w:szCs w:val="22"/>
          <w:lang w:val="en-GB" w:eastAsia="en-GB"/>
        </w:rPr>
        <w:t xml:space="preserve">and suppliers can continue trading with the company.  </w:t>
      </w:r>
    </w:p>
    <w:p w14:paraId="51EEC8B8" w14:textId="4B675341" w:rsidR="00AE5A5F" w:rsidRPr="00F90E45" w:rsidRDefault="00AE5A5F" w:rsidP="00941BE7">
      <w:pPr>
        <w:spacing w:before="100" w:beforeAutospacing="1" w:after="100" w:afterAutospacing="1"/>
        <w:jc w:val="both"/>
        <w:rPr>
          <w:rFonts w:ascii="Arial" w:hAnsi="Arial" w:cs="Arial"/>
          <w:color w:val="808080" w:themeColor="background1" w:themeShade="80"/>
          <w:sz w:val="22"/>
          <w:szCs w:val="22"/>
        </w:rPr>
      </w:pPr>
      <w:r w:rsidRPr="00F90E45">
        <w:rPr>
          <w:rFonts w:ascii="Arial" w:hAnsi="Arial" w:cs="Arial"/>
          <w:color w:val="808080" w:themeColor="background1" w:themeShade="80"/>
          <w:sz w:val="22"/>
          <w:szCs w:val="22"/>
          <w:lang w:val="en-GB" w:eastAsia="en-GB"/>
        </w:rPr>
        <w:t xml:space="preserve">In the matter between </w:t>
      </w:r>
      <w:r w:rsidRPr="00F90E45">
        <w:rPr>
          <w:rFonts w:ascii="Arial" w:hAnsi="Arial" w:cs="Arial"/>
          <w:b/>
          <w:bCs/>
          <w:i/>
          <w:iCs/>
          <w:color w:val="808080" w:themeColor="background1" w:themeShade="80"/>
          <w:sz w:val="22"/>
          <w:szCs w:val="22"/>
          <w:lang w:val="en-GB" w:eastAsia="en-GB"/>
        </w:rPr>
        <w:t>Mighty River International Ltd v Hughes (2018) 265 CLR 480,</w:t>
      </w:r>
      <w:r w:rsidRPr="00F90E45">
        <w:rPr>
          <w:rFonts w:ascii="Arial" w:hAnsi="Arial" w:cs="Arial"/>
          <w:color w:val="808080" w:themeColor="background1" w:themeShade="80"/>
          <w:sz w:val="22"/>
          <w:szCs w:val="22"/>
          <w:lang w:val="en-GB" w:eastAsia="en-GB"/>
        </w:rPr>
        <w:t xml:space="preserve"> a decision of the High Court of Australia emphasised that a DOCA can</w:t>
      </w:r>
      <w:r w:rsidR="00EB3250" w:rsidRPr="00F90E45">
        <w:rPr>
          <w:rFonts w:ascii="Arial" w:hAnsi="Arial" w:cs="Arial"/>
          <w:color w:val="808080" w:themeColor="background1" w:themeShade="80"/>
          <w:sz w:val="22"/>
          <w:szCs w:val="22"/>
          <w:lang w:val="en-GB" w:eastAsia="en-GB"/>
        </w:rPr>
        <w:t xml:space="preserve"> hold off distribution of property to creditors thereby placing a suspension on claims from creditors with the understanding that an assessment by the appointed administrator must indicating that it would be a better outcome for creditors </w:t>
      </w:r>
      <w:r w:rsidR="00CD4E0C" w:rsidRPr="00F90E45">
        <w:rPr>
          <w:rFonts w:ascii="Arial" w:hAnsi="Arial" w:cs="Arial"/>
          <w:color w:val="808080" w:themeColor="background1" w:themeShade="80"/>
          <w:sz w:val="22"/>
          <w:szCs w:val="22"/>
          <w:lang w:val="en-GB" w:eastAsia="en-GB"/>
        </w:rPr>
        <w:t xml:space="preserve">to proceed with the voluntary administration rather than liquidation of the company.  </w:t>
      </w:r>
      <w:r w:rsidR="00EB3250" w:rsidRPr="00F90E45">
        <w:rPr>
          <w:rFonts w:ascii="Arial" w:hAnsi="Arial" w:cs="Arial"/>
          <w:color w:val="808080" w:themeColor="background1" w:themeShade="80"/>
          <w:sz w:val="22"/>
          <w:szCs w:val="22"/>
          <w:lang w:val="en-GB" w:eastAsia="en-GB"/>
        </w:rPr>
        <w:t xml:space="preserve">  </w:t>
      </w:r>
    </w:p>
    <w:p w14:paraId="78D5EC1D" w14:textId="77777777" w:rsidR="000A66EA" w:rsidRPr="00B2234F" w:rsidRDefault="000A66EA" w:rsidP="002A37BB">
      <w:pPr>
        <w:jc w:val="both"/>
        <w:rPr>
          <w:rFonts w:ascii="Avenir Next" w:hAnsi="Avenir Next" w:cs="Arial"/>
          <w:sz w:val="22"/>
          <w:szCs w:val="22"/>
        </w:rPr>
      </w:pPr>
    </w:p>
    <w:bookmarkEnd w:id="0"/>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1"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Pty Ltd (</w:t>
      </w:r>
      <w:proofErr w:type="spellStart"/>
      <w:r w:rsidRPr="00B2234F">
        <w:rPr>
          <w:rFonts w:ascii="Avenir Next" w:hAnsi="Avenir Next" w:cs="Arial"/>
          <w:bCs/>
          <w:sz w:val="22"/>
          <w:szCs w:val="22"/>
          <w:lang w:val="en-GB"/>
        </w:rPr>
        <w:t>Aussiebee</w:t>
      </w:r>
      <w:proofErr w:type="spellEnd"/>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Pty Ltd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an Australian-incorporated </w:t>
      </w:r>
      <w:proofErr w:type="gramStart"/>
      <w:r w:rsidRPr="00B2234F">
        <w:rPr>
          <w:rFonts w:ascii="Avenir Next" w:hAnsi="Avenir Next" w:cs="Arial"/>
          <w:sz w:val="22"/>
          <w:szCs w:val="22"/>
          <w:lang w:val="en-GB"/>
        </w:rPr>
        <w:t>wholly-owned</w:t>
      </w:r>
      <w:proofErr w:type="gramEnd"/>
      <w:r w:rsidRPr="00B2234F">
        <w:rPr>
          <w:rFonts w:ascii="Avenir Next" w:hAnsi="Avenir Next" w:cs="Arial"/>
          <w:sz w:val="22"/>
          <w:szCs w:val="22"/>
          <w:lang w:val="en-GB"/>
        </w:rPr>
        <w:t xml:space="preserve"> subsidiary of </w:t>
      </w: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has offices in both Sydney and in Lyonesse. </w:t>
      </w:r>
      <w:r w:rsidR="00F477C9" w:rsidRPr="00B2234F">
        <w:rPr>
          <w:rFonts w:ascii="Avenir Next" w:hAnsi="Avenir Next" w:cs="Arial"/>
          <w:sz w:val="22"/>
          <w:szCs w:val="22"/>
          <w:lang w:val="en-GB"/>
        </w:rPr>
        <w:t xml:space="preserve">Its warehouses are only in Sydney. </w:t>
      </w: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xml:space="preserve">. </w:t>
      </w:r>
      <w:proofErr w:type="spellStart"/>
      <w:r w:rsidRPr="00B2234F">
        <w:rPr>
          <w:rFonts w:ascii="Avenir Next" w:hAnsi="Avenir Next" w:cs="Arial"/>
          <w:sz w:val="22"/>
          <w:szCs w:val="22"/>
          <w:lang w:val="en-GB"/>
        </w:rPr>
        <w:t>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w:t>
      </w:r>
      <w:proofErr w:type="spellEnd"/>
      <w:r w:rsidRPr="00B2234F">
        <w:rPr>
          <w:rFonts w:ascii="Avenir Next" w:hAnsi="Avenir Next" w:cs="Arial"/>
          <w:sz w:val="22"/>
          <w:szCs w:val="22"/>
          <w:lang w:val="en-GB"/>
        </w:rPr>
        <w:t xml:space="preserve"> and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share a board of directors, made up of six Australians and one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w:t>
      </w:r>
      <w:proofErr w:type="spellStart"/>
      <w:r w:rsidRPr="00B2234F">
        <w:rPr>
          <w:rFonts w:ascii="Avenir Next" w:hAnsi="Avenir Next" w:cs="Arial"/>
          <w:sz w:val="22"/>
          <w:szCs w:val="22"/>
          <w:lang w:val="en-GB"/>
        </w:rPr>
        <w:t>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w:t>
      </w:r>
      <w:proofErr w:type="spellEnd"/>
      <w:r w:rsidRPr="00B2234F">
        <w:rPr>
          <w:rFonts w:ascii="Avenir Next" w:hAnsi="Avenir Next" w:cs="Arial"/>
          <w:sz w:val="22"/>
          <w:szCs w:val="22"/>
          <w:lang w:val="en-GB"/>
        </w:rPr>
        <w:t xml:space="preserv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20 in Sydney and 20 in Lyonesse.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CEO is an Australian, but resident in Lyonesse.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is insolvent.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 liquidator has been appointed to </w:t>
      </w: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in Lyonesse. She applies to the Federal Court of Australia for recognition of the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xml:space="preserve">, and for orders entrusting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assets (including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shares in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20 million) to her, so that she can realise them for the benefit of creditors in the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12 million in taxes in Australia, payable to the Australian Taxation Office (ATO). Assume that revenue creditors such as the ATO are not entitled to prove in the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1C6FFF29" w14:textId="77777777" w:rsidR="00F90E45" w:rsidRPr="009F5FC2" w:rsidRDefault="00F90E45" w:rsidP="00F90E45">
      <w:p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Answer </w:t>
      </w:r>
    </w:p>
    <w:p w14:paraId="0F9C76F4" w14:textId="77777777" w:rsidR="00F90E45" w:rsidRPr="009F5FC2" w:rsidRDefault="00F90E45" w:rsidP="00F90E45">
      <w:pPr>
        <w:jc w:val="both"/>
        <w:rPr>
          <w:rFonts w:ascii="Arial" w:hAnsi="Arial" w:cs="Arial"/>
          <w:color w:val="808080" w:themeColor="background1" w:themeShade="80"/>
          <w:sz w:val="22"/>
          <w:szCs w:val="22"/>
        </w:rPr>
      </w:pPr>
    </w:p>
    <w:p w14:paraId="008C24D1" w14:textId="77777777" w:rsidR="00F90E45" w:rsidRPr="009F5FC2" w:rsidRDefault="00F90E45" w:rsidP="00F90E45">
      <w:p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In summary, the question is whether, given the facts, can ATO claim </w:t>
      </w:r>
      <w:proofErr w:type="spellStart"/>
      <w:r w:rsidRPr="009F5FC2">
        <w:rPr>
          <w:rFonts w:ascii="Arial" w:hAnsi="Arial" w:cs="Arial"/>
          <w:color w:val="808080" w:themeColor="background1" w:themeShade="80"/>
          <w:sz w:val="22"/>
          <w:szCs w:val="22"/>
        </w:rPr>
        <w:t>pari</w:t>
      </w:r>
      <w:proofErr w:type="spellEnd"/>
      <w:r w:rsidRPr="009F5FC2">
        <w:rPr>
          <w:rFonts w:ascii="Arial" w:hAnsi="Arial" w:cs="Arial"/>
          <w:color w:val="808080" w:themeColor="background1" w:themeShade="80"/>
          <w:sz w:val="22"/>
          <w:szCs w:val="22"/>
        </w:rPr>
        <w:t xml:space="preserve"> passu payment of </w:t>
      </w:r>
      <w:proofErr w:type="spellStart"/>
      <w:r w:rsidRPr="009F5FC2">
        <w:rPr>
          <w:rFonts w:ascii="Arial" w:hAnsi="Arial" w:cs="Arial"/>
          <w:color w:val="808080" w:themeColor="background1" w:themeShade="80"/>
          <w:sz w:val="22"/>
          <w:szCs w:val="22"/>
        </w:rPr>
        <w:t>Aussiebee’s</w:t>
      </w:r>
      <w:proofErr w:type="spellEnd"/>
      <w:r w:rsidRPr="009F5FC2">
        <w:rPr>
          <w:rFonts w:ascii="Arial" w:hAnsi="Arial" w:cs="Arial"/>
          <w:color w:val="808080" w:themeColor="background1" w:themeShade="80"/>
          <w:sz w:val="22"/>
          <w:szCs w:val="22"/>
        </w:rPr>
        <w:t xml:space="preserve"> tax liability given the provisions of Australia’s Cross-Border Insolvency Act of which the Model Law is part. Put differently, can ATO take steps to prevent the Lyonesse appointed liquidator of </w:t>
      </w:r>
      <w:proofErr w:type="spellStart"/>
      <w:r w:rsidRPr="009F5FC2">
        <w:rPr>
          <w:rFonts w:ascii="Arial" w:hAnsi="Arial" w:cs="Arial"/>
          <w:color w:val="808080" w:themeColor="background1" w:themeShade="80"/>
          <w:sz w:val="22"/>
          <w:szCs w:val="22"/>
        </w:rPr>
        <w:t>Aussiebee</w:t>
      </w:r>
      <w:proofErr w:type="spellEnd"/>
      <w:r w:rsidRPr="009F5FC2">
        <w:rPr>
          <w:rFonts w:ascii="Arial" w:hAnsi="Arial" w:cs="Arial"/>
          <w:color w:val="808080" w:themeColor="background1" w:themeShade="80"/>
          <w:sz w:val="22"/>
          <w:szCs w:val="22"/>
        </w:rPr>
        <w:t xml:space="preserve"> from obtaining an order realizing and removing all </w:t>
      </w:r>
      <w:proofErr w:type="spellStart"/>
      <w:r w:rsidRPr="009F5FC2">
        <w:rPr>
          <w:rFonts w:ascii="Arial" w:hAnsi="Arial" w:cs="Arial"/>
          <w:color w:val="808080" w:themeColor="background1" w:themeShade="80"/>
          <w:sz w:val="22"/>
          <w:szCs w:val="22"/>
        </w:rPr>
        <w:t>Aussiebee’s</w:t>
      </w:r>
      <w:proofErr w:type="spellEnd"/>
      <w:r w:rsidRPr="009F5FC2">
        <w:rPr>
          <w:rFonts w:ascii="Arial" w:hAnsi="Arial" w:cs="Arial"/>
          <w:color w:val="808080" w:themeColor="background1" w:themeShade="80"/>
          <w:sz w:val="22"/>
          <w:szCs w:val="22"/>
        </w:rPr>
        <w:t xml:space="preserve"> assets from Australia to Lyonesse for general distribution to the general body of creditors in the Lyonesse run liquidation (to the exclusion of ATO). </w:t>
      </w:r>
    </w:p>
    <w:p w14:paraId="1B6D25EB" w14:textId="77777777" w:rsidR="00F90E45" w:rsidRPr="009F5FC2" w:rsidRDefault="00F90E45" w:rsidP="00F90E45">
      <w:pPr>
        <w:jc w:val="both"/>
        <w:rPr>
          <w:rFonts w:ascii="Arial" w:hAnsi="Arial" w:cs="Arial"/>
          <w:color w:val="808080" w:themeColor="background1" w:themeShade="80"/>
          <w:sz w:val="22"/>
          <w:szCs w:val="22"/>
        </w:rPr>
      </w:pPr>
    </w:p>
    <w:p w14:paraId="4554607E" w14:textId="77777777" w:rsidR="00F90E45" w:rsidRPr="009F5FC2" w:rsidRDefault="00F90E45" w:rsidP="00F90E45">
      <w:p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lastRenderedPageBreak/>
        <w:t xml:space="preserve">The liquidator has quite properly brought an application in terms of the Cross-Border Insolvency Act, 2008 (of which the Model Law is part) to have the Lyonesse liquidation </w:t>
      </w:r>
      <w:proofErr w:type="spellStart"/>
      <w:r w:rsidRPr="009F5FC2">
        <w:rPr>
          <w:rFonts w:ascii="Arial" w:hAnsi="Arial" w:cs="Arial"/>
          <w:color w:val="808080" w:themeColor="background1" w:themeShade="80"/>
          <w:sz w:val="22"/>
          <w:szCs w:val="22"/>
        </w:rPr>
        <w:t>recognised</w:t>
      </w:r>
      <w:proofErr w:type="spellEnd"/>
      <w:r w:rsidRPr="009F5FC2">
        <w:rPr>
          <w:rFonts w:ascii="Arial" w:hAnsi="Arial" w:cs="Arial"/>
          <w:color w:val="808080" w:themeColor="background1" w:themeShade="80"/>
          <w:sz w:val="22"/>
          <w:szCs w:val="22"/>
        </w:rPr>
        <w:t xml:space="preserve"> as a foreign proceeding. It is her request for an order that the assets be removed to Lyonesse which is contentious. </w:t>
      </w:r>
    </w:p>
    <w:p w14:paraId="5106A8FD" w14:textId="77777777" w:rsidR="00F90E45" w:rsidRPr="009F5FC2" w:rsidRDefault="00F90E45" w:rsidP="00F90E45">
      <w:pPr>
        <w:jc w:val="both"/>
        <w:rPr>
          <w:rFonts w:ascii="Arial" w:hAnsi="Arial" w:cs="Arial"/>
          <w:color w:val="808080" w:themeColor="background1" w:themeShade="80"/>
          <w:sz w:val="22"/>
          <w:szCs w:val="22"/>
        </w:rPr>
      </w:pPr>
    </w:p>
    <w:p w14:paraId="078DC097" w14:textId="77777777" w:rsidR="00F90E45" w:rsidRPr="009F5FC2" w:rsidRDefault="00F90E45" w:rsidP="00F90E45">
      <w:p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While in principle such orders are commonplace, the issue in this instance is whether domestic creditors, particularly </w:t>
      </w:r>
      <w:proofErr w:type="gramStart"/>
      <w:r w:rsidRPr="009F5FC2">
        <w:rPr>
          <w:rFonts w:ascii="Arial" w:hAnsi="Arial" w:cs="Arial"/>
          <w:color w:val="808080" w:themeColor="background1" w:themeShade="80"/>
          <w:sz w:val="22"/>
          <w:szCs w:val="22"/>
        </w:rPr>
        <w:t>those incapable</w:t>
      </w:r>
      <w:proofErr w:type="gramEnd"/>
      <w:r w:rsidRPr="009F5FC2">
        <w:rPr>
          <w:rFonts w:ascii="Arial" w:hAnsi="Arial" w:cs="Arial"/>
          <w:color w:val="808080" w:themeColor="background1" w:themeShade="80"/>
          <w:sz w:val="22"/>
          <w:szCs w:val="22"/>
        </w:rPr>
        <w:t xml:space="preserve"> of proving their claim in Lyonesse, can enforce their domestic creditor rights in Australia, especially given that the debt in this instance is a tax debt not </w:t>
      </w:r>
      <w:proofErr w:type="spellStart"/>
      <w:r w:rsidRPr="009F5FC2">
        <w:rPr>
          <w:rFonts w:ascii="Arial" w:hAnsi="Arial" w:cs="Arial"/>
          <w:color w:val="808080" w:themeColor="background1" w:themeShade="80"/>
          <w:sz w:val="22"/>
          <w:szCs w:val="22"/>
        </w:rPr>
        <w:t>recognised</w:t>
      </w:r>
      <w:proofErr w:type="spellEnd"/>
      <w:r w:rsidRPr="009F5FC2">
        <w:rPr>
          <w:rFonts w:ascii="Arial" w:hAnsi="Arial" w:cs="Arial"/>
          <w:color w:val="808080" w:themeColor="background1" w:themeShade="80"/>
          <w:sz w:val="22"/>
          <w:szCs w:val="22"/>
        </w:rPr>
        <w:t xml:space="preserve"> by, nor claimable, in Lyonesse. Put differently, as ATO is not </w:t>
      </w:r>
      <w:proofErr w:type="spellStart"/>
      <w:r w:rsidRPr="009F5FC2">
        <w:rPr>
          <w:rFonts w:ascii="Arial" w:hAnsi="Arial" w:cs="Arial"/>
          <w:color w:val="808080" w:themeColor="background1" w:themeShade="80"/>
          <w:sz w:val="22"/>
          <w:szCs w:val="22"/>
        </w:rPr>
        <w:t>recognised</w:t>
      </w:r>
      <w:proofErr w:type="spellEnd"/>
      <w:r w:rsidRPr="009F5FC2">
        <w:rPr>
          <w:rFonts w:ascii="Arial" w:hAnsi="Arial" w:cs="Arial"/>
          <w:color w:val="808080" w:themeColor="background1" w:themeShade="80"/>
          <w:sz w:val="22"/>
          <w:szCs w:val="22"/>
        </w:rPr>
        <w:t xml:space="preserve"> as a creditor in Lyonesse for the debt, it will not be </w:t>
      </w:r>
      <w:proofErr w:type="spellStart"/>
      <w:r w:rsidRPr="009F5FC2">
        <w:rPr>
          <w:rFonts w:ascii="Arial" w:hAnsi="Arial" w:cs="Arial"/>
          <w:color w:val="808080" w:themeColor="background1" w:themeShade="80"/>
          <w:sz w:val="22"/>
          <w:szCs w:val="22"/>
        </w:rPr>
        <w:t>recognised</w:t>
      </w:r>
      <w:proofErr w:type="spellEnd"/>
      <w:r w:rsidRPr="009F5FC2">
        <w:rPr>
          <w:rFonts w:ascii="Arial" w:hAnsi="Arial" w:cs="Arial"/>
          <w:color w:val="808080" w:themeColor="background1" w:themeShade="80"/>
          <w:sz w:val="22"/>
          <w:szCs w:val="22"/>
        </w:rPr>
        <w:t xml:space="preserve"> as a member of the general body of creditors in Lyonesse and thus not share in the proceeds of liquidation.</w:t>
      </w:r>
    </w:p>
    <w:p w14:paraId="642209B1" w14:textId="77777777" w:rsidR="00F90E45" w:rsidRPr="009F5FC2" w:rsidRDefault="00F90E45" w:rsidP="00F90E45">
      <w:pPr>
        <w:jc w:val="both"/>
        <w:rPr>
          <w:rFonts w:ascii="Arial" w:hAnsi="Arial" w:cs="Arial"/>
          <w:color w:val="808080" w:themeColor="background1" w:themeShade="80"/>
          <w:sz w:val="22"/>
          <w:szCs w:val="22"/>
        </w:rPr>
      </w:pPr>
    </w:p>
    <w:p w14:paraId="08DAA4EB" w14:textId="77777777" w:rsidR="00F90E45" w:rsidRPr="009F5FC2" w:rsidRDefault="00F90E45" w:rsidP="00F90E45">
      <w:p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In 2008 Australia adopted the UNCITRAL Model Law on Cross-Border Insolvency as a Schedule to the Cross-Border Insolvency Act 2008, thus giving the Model Law the force of law in Australia albeit with modifications. In </w:t>
      </w:r>
      <w:r w:rsidRPr="009F5FC2">
        <w:rPr>
          <w:rFonts w:ascii="Arial" w:hAnsi="Arial" w:cs="Arial"/>
          <w:color w:val="808080" w:themeColor="background1" w:themeShade="80"/>
          <w:sz w:val="22"/>
          <w:szCs w:val="22"/>
          <w:u w:val="single"/>
        </w:rPr>
        <w:t>Akers v Deputy Commissioner of Taxation</w:t>
      </w:r>
      <w:r w:rsidRPr="009F5FC2">
        <w:rPr>
          <w:rFonts w:ascii="Arial" w:hAnsi="Arial" w:cs="Arial"/>
          <w:color w:val="808080" w:themeColor="background1" w:themeShade="80"/>
          <w:sz w:val="22"/>
          <w:szCs w:val="22"/>
        </w:rPr>
        <w:t xml:space="preserve">, the lower court had to decide on the application of the Model Law in circumstances where a foreign liquidator wishes to remove assets from Australia for distribution to the general body of creditors in circumstances which would deprive the DCT from having its domestic claim to those assets for settlement of a tax liability satisfied. The court held that the Model Law could not be interpreted to deprive the DCT from attaching sufficient assets in Australia to satisfy its domestic claim </w:t>
      </w:r>
      <w:proofErr w:type="spellStart"/>
      <w:r w:rsidRPr="009F5FC2">
        <w:rPr>
          <w:rFonts w:ascii="Arial" w:hAnsi="Arial" w:cs="Arial"/>
          <w:color w:val="808080" w:themeColor="background1" w:themeShade="80"/>
          <w:sz w:val="22"/>
          <w:szCs w:val="22"/>
        </w:rPr>
        <w:t>pari</w:t>
      </w:r>
      <w:proofErr w:type="spellEnd"/>
      <w:r w:rsidRPr="009F5FC2">
        <w:rPr>
          <w:rFonts w:ascii="Arial" w:hAnsi="Arial" w:cs="Arial"/>
          <w:color w:val="808080" w:themeColor="background1" w:themeShade="80"/>
          <w:sz w:val="22"/>
          <w:szCs w:val="22"/>
        </w:rPr>
        <w:t xml:space="preserve"> passu. Important considerations </w:t>
      </w:r>
      <w:proofErr w:type="spellStart"/>
      <w:r w:rsidRPr="009F5FC2">
        <w:rPr>
          <w:rFonts w:ascii="Arial" w:hAnsi="Arial" w:cs="Arial"/>
          <w:color w:val="808080" w:themeColor="background1" w:themeShade="80"/>
          <w:sz w:val="22"/>
          <w:szCs w:val="22"/>
        </w:rPr>
        <w:t>favouring</w:t>
      </w:r>
      <w:proofErr w:type="spellEnd"/>
      <w:r w:rsidRPr="009F5FC2">
        <w:rPr>
          <w:rFonts w:ascii="Arial" w:hAnsi="Arial" w:cs="Arial"/>
          <w:color w:val="808080" w:themeColor="background1" w:themeShade="80"/>
          <w:sz w:val="22"/>
          <w:szCs w:val="22"/>
        </w:rPr>
        <w:t xml:space="preserve"> this interpretation was the fact that the Model Law should not be interpreted as prejudicing or lessening existing domestic rights, tax liability claimable by the DCT constituted a legitimate domestic (Australian) debt albeit a claim which would not be </w:t>
      </w:r>
      <w:proofErr w:type="spellStart"/>
      <w:r w:rsidRPr="009F5FC2">
        <w:rPr>
          <w:rFonts w:ascii="Arial" w:hAnsi="Arial" w:cs="Arial"/>
          <w:color w:val="808080" w:themeColor="background1" w:themeShade="80"/>
          <w:sz w:val="22"/>
          <w:szCs w:val="22"/>
        </w:rPr>
        <w:t>recognised</w:t>
      </w:r>
      <w:proofErr w:type="spellEnd"/>
      <w:r w:rsidRPr="009F5FC2">
        <w:rPr>
          <w:rFonts w:ascii="Arial" w:hAnsi="Arial" w:cs="Arial"/>
          <w:color w:val="808080" w:themeColor="background1" w:themeShade="80"/>
          <w:sz w:val="22"/>
          <w:szCs w:val="22"/>
        </w:rPr>
        <w:t xml:space="preserve"> under Lyonesse law and thus the DCT would not be able to participate in and benefit from the distribution of the realized assets in Lyonesse. Also, that the Model Law should not be interpreted in such a way as to not </w:t>
      </w:r>
      <w:proofErr w:type="spellStart"/>
      <w:r w:rsidRPr="009F5FC2">
        <w:rPr>
          <w:rFonts w:ascii="Arial" w:hAnsi="Arial" w:cs="Arial"/>
          <w:color w:val="808080" w:themeColor="background1" w:themeShade="80"/>
          <w:sz w:val="22"/>
          <w:szCs w:val="22"/>
        </w:rPr>
        <w:t>recognise</w:t>
      </w:r>
      <w:proofErr w:type="spellEnd"/>
      <w:r w:rsidRPr="009F5FC2">
        <w:rPr>
          <w:rFonts w:ascii="Arial" w:hAnsi="Arial" w:cs="Arial"/>
          <w:color w:val="808080" w:themeColor="background1" w:themeShade="80"/>
          <w:sz w:val="22"/>
          <w:szCs w:val="22"/>
        </w:rPr>
        <w:t xml:space="preserve"> domestic claims, especially those that would be unclaimable in the foreign jurisdiction. As a tax liability, and the public interest consideration flowing from that, especially the loss of tax revenue should the assets be transferred </w:t>
      </w:r>
      <w:r w:rsidRPr="009F5FC2">
        <w:rPr>
          <w:rFonts w:ascii="Arial" w:hAnsi="Arial" w:cs="Arial"/>
          <w:color w:val="808080" w:themeColor="background1" w:themeShade="80"/>
          <w:sz w:val="22"/>
          <w:szCs w:val="22"/>
          <w:u w:val="single"/>
        </w:rPr>
        <w:t>in toto</w:t>
      </w:r>
      <w:r w:rsidRPr="009F5FC2">
        <w:rPr>
          <w:rFonts w:ascii="Arial" w:hAnsi="Arial" w:cs="Arial"/>
          <w:color w:val="808080" w:themeColor="background1" w:themeShade="80"/>
          <w:sz w:val="22"/>
          <w:szCs w:val="22"/>
        </w:rPr>
        <w:t xml:space="preserve"> to Lyonesse, the Full Federal Court on appeal upheld the lower court’s order that: </w:t>
      </w:r>
    </w:p>
    <w:p w14:paraId="46F58823" w14:textId="77777777" w:rsidR="00F90E45" w:rsidRPr="009F5FC2" w:rsidRDefault="00F90E45" w:rsidP="00F90E45">
      <w:pPr>
        <w:pStyle w:val="ListParagraph"/>
        <w:numPr>
          <w:ilvl w:val="0"/>
          <w:numId w:val="30"/>
        </w:num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When granting or modifying relief under the Model Law, the Court must ensure that the interest of local creditors </w:t>
      </w:r>
      <w:proofErr w:type="gramStart"/>
      <w:r w:rsidRPr="009F5FC2">
        <w:rPr>
          <w:rFonts w:ascii="Arial" w:hAnsi="Arial" w:cs="Arial"/>
          <w:color w:val="808080" w:themeColor="background1" w:themeShade="80"/>
          <w:sz w:val="22"/>
          <w:szCs w:val="22"/>
        </w:rPr>
        <w:t>are</w:t>
      </w:r>
      <w:proofErr w:type="gramEnd"/>
      <w:r w:rsidRPr="009F5FC2">
        <w:rPr>
          <w:rFonts w:ascii="Arial" w:hAnsi="Arial" w:cs="Arial"/>
          <w:color w:val="808080" w:themeColor="background1" w:themeShade="80"/>
          <w:sz w:val="22"/>
          <w:szCs w:val="22"/>
        </w:rPr>
        <w:t xml:space="preserve"> protected, and</w:t>
      </w:r>
    </w:p>
    <w:p w14:paraId="54748C77" w14:textId="77777777" w:rsidR="00F90E45" w:rsidRPr="009F5FC2" w:rsidRDefault="00F90E45" w:rsidP="00F90E45">
      <w:pPr>
        <w:pStyle w:val="ListParagraph"/>
        <w:numPr>
          <w:ilvl w:val="0"/>
          <w:numId w:val="30"/>
        </w:num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The primary judge, by permitted the DCT to recover only a </w:t>
      </w:r>
      <w:proofErr w:type="spellStart"/>
      <w:r w:rsidRPr="009F5FC2">
        <w:rPr>
          <w:rFonts w:ascii="Arial" w:hAnsi="Arial" w:cs="Arial"/>
          <w:i/>
          <w:iCs/>
          <w:color w:val="808080" w:themeColor="background1" w:themeShade="80"/>
          <w:sz w:val="22"/>
          <w:szCs w:val="22"/>
        </w:rPr>
        <w:t>pari</w:t>
      </w:r>
      <w:proofErr w:type="spellEnd"/>
      <w:r w:rsidRPr="009F5FC2">
        <w:rPr>
          <w:rFonts w:ascii="Arial" w:hAnsi="Arial" w:cs="Arial"/>
          <w:i/>
          <w:iCs/>
          <w:color w:val="808080" w:themeColor="background1" w:themeShade="80"/>
          <w:sz w:val="22"/>
          <w:szCs w:val="22"/>
        </w:rPr>
        <w:t xml:space="preserve"> passu</w:t>
      </w:r>
      <w:r w:rsidRPr="009F5FC2">
        <w:rPr>
          <w:rFonts w:ascii="Arial" w:hAnsi="Arial" w:cs="Arial"/>
          <w:color w:val="808080" w:themeColor="background1" w:themeShade="80"/>
          <w:sz w:val="22"/>
          <w:szCs w:val="22"/>
        </w:rPr>
        <w:t> entitlement to the assets, acted correctly by upholding the principles of fairness between all creditors.</w:t>
      </w:r>
    </w:p>
    <w:p w14:paraId="163DA4B3" w14:textId="77777777" w:rsidR="00F90E45" w:rsidRPr="009F5FC2" w:rsidRDefault="00F90E45" w:rsidP="00F90E45">
      <w:p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Based on the </w:t>
      </w:r>
      <w:r w:rsidRPr="009F5FC2">
        <w:rPr>
          <w:rFonts w:ascii="Arial" w:hAnsi="Arial" w:cs="Arial"/>
          <w:b/>
          <w:bCs/>
          <w:color w:val="808080" w:themeColor="background1" w:themeShade="80"/>
          <w:sz w:val="22"/>
          <w:szCs w:val="22"/>
        </w:rPr>
        <w:t>Aker</w:t>
      </w:r>
      <w:r w:rsidRPr="009F5FC2">
        <w:rPr>
          <w:rFonts w:ascii="Arial" w:hAnsi="Arial" w:cs="Arial"/>
          <w:color w:val="808080" w:themeColor="background1" w:themeShade="80"/>
          <w:sz w:val="22"/>
          <w:szCs w:val="22"/>
        </w:rPr>
        <w:t xml:space="preserve"> judgment, the ATO is accordingly advised to apply to intervene in the recognition and removal proceedings in Australia, to seek an order that the ATO be permitted to recover its </w:t>
      </w:r>
      <w:proofErr w:type="spellStart"/>
      <w:r w:rsidRPr="009F5FC2">
        <w:rPr>
          <w:rFonts w:ascii="Arial" w:hAnsi="Arial" w:cs="Arial"/>
          <w:color w:val="808080" w:themeColor="background1" w:themeShade="80"/>
          <w:sz w:val="22"/>
          <w:szCs w:val="22"/>
        </w:rPr>
        <w:t>pari</w:t>
      </w:r>
      <w:proofErr w:type="spellEnd"/>
      <w:r w:rsidRPr="009F5FC2">
        <w:rPr>
          <w:rFonts w:ascii="Arial" w:hAnsi="Arial" w:cs="Arial"/>
          <w:color w:val="808080" w:themeColor="background1" w:themeShade="80"/>
          <w:sz w:val="22"/>
          <w:szCs w:val="22"/>
        </w:rPr>
        <w:t xml:space="preserve"> passu entitlement to the assets before the assets are released to the liquidator and removed to Lyonesse. Accordingly, </w:t>
      </w:r>
      <w:proofErr w:type="spellStart"/>
      <w:r w:rsidRPr="009F5FC2">
        <w:rPr>
          <w:rFonts w:ascii="Arial" w:hAnsi="Arial" w:cs="Arial"/>
          <w:color w:val="808080" w:themeColor="background1" w:themeShade="80"/>
          <w:sz w:val="22"/>
          <w:szCs w:val="22"/>
        </w:rPr>
        <w:t>Aussiebee’s</w:t>
      </w:r>
      <w:proofErr w:type="spellEnd"/>
      <w:r w:rsidRPr="009F5FC2">
        <w:rPr>
          <w:rFonts w:ascii="Arial" w:hAnsi="Arial" w:cs="Arial"/>
          <w:color w:val="808080" w:themeColor="background1" w:themeShade="80"/>
          <w:sz w:val="22"/>
          <w:szCs w:val="22"/>
        </w:rPr>
        <w:t xml:space="preserve"> assets in Australia may be sent to Lyonesse only after the ATO’s </w:t>
      </w:r>
      <w:proofErr w:type="spellStart"/>
      <w:r w:rsidRPr="009F5FC2">
        <w:rPr>
          <w:rFonts w:ascii="Arial" w:hAnsi="Arial" w:cs="Arial"/>
          <w:color w:val="808080" w:themeColor="background1" w:themeShade="80"/>
          <w:sz w:val="22"/>
          <w:szCs w:val="22"/>
        </w:rPr>
        <w:t>pari</w:t>
      </w:r>
      <w:proofErr w:type="spellEnd"/>
      <w:r w:rsidRPr="009F5FC2">
        <w:rPr>
          <w:rFonts w:ascii="Arial" w:hAnsi="Arial" w:cs="Arial"/>
          <w:color w:val="808080" w:themeColor="background1" w:themeShade="80"/>
          <w:sz w:val="22"/>
          <w:szCs w:val="22"/>
        </w:rPr>
        <w:t xml:space="preserve"> passu share had been recovered and, in this way, the domestic debt owed to ATO will be properly </w:t>
      </w:r>
      <w:proofErr w:type="spellStart"/>
      <w:r w:rsidRPr="009F5FC2">
        <w:rPr>
          <w:rFonts w:ascii="Arial" w:hAnsi="Arial" w:cs="Arial"/>
          <w:color w:val="808080" w:themeColor="background1" w:themeShade="80"/>
          <w:sz w:val="22"/>
          <w:szCs w:val="22"/>
        </w:rPr>
        <w:t>recognised</w:t>
      </w:r>
      <w:proofErr w:type="spellEnd"/>
      <w:r w:rsidRPr="009F5FC2">
        <w:rPr>
          <w:rFonts w:ascii="Arial" w:hAnsi="Arial" w:cs="Arial"/>
          <w:color w:val="808080" w:themeColor="background1" w:themeShade="80"/>
          <w:sz w:val="22"/>
          <w:szCs w:val="22"/>
        </w:rPr>
        <w:t xml:space="preserve"> and paid (albeit </w:t>
      </w:r>
      <w:proofErr w:type="spellStart"/>
      <w:r w:rsidRPr="009F5FC2">
        <w:rPr>
          <w:rFonts w:ascii="Arial" w:hAnsi="Arial" w:cs="Arial"/>
          <w:color w:val="808080" w:themeColor="background1" w:themeShade="80"/>
          <w:sz w:val="22"/>
          <w:szCs w:val="22"/>
        </w:rPr>
        <w:t>pari</w:t>
      </w:r>
      <w:proofErr w:type="spellEnd"/>
      <w:r w:rsidRPr="009F5FC2">
        <w:rPr>
          <w:rFonts w:ascii="Arial" w:hAnsi="Arial" w:cs="Arial"/>
          <w:color w:val="808080" w:themeColor="background1" w:themeShade="80"/>
          <w:sz w:val="22"/>
          <w:szCs w:val="22"/>
        </w:rPr>
        <w:t xml:space="preserve"> passu).</w:t>
      </w:r>
    </w:p>
    <w:p w14:paraId="7B916A60" w14:textId="77777777" w:rsidR="00636C3F" w:rsidRDefault="00636C3F" w:rsidP="00E14FED">
      <w:pPr>
        <w:jc w:val="both"/>
        <w:rPr>
          <w:rFonts w:ascii="Avenir Next" w:hAnsi="Avenir Next" w:cs="Arial"/>
          <w:color w:val="FF0000"/>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2" w:name="_Hlk60755414"/>
      <w:proofErr w:type="spellStart"/>
      <w:r w:rsidRPr="00B2234F">
        <w:rPr>
          <w:rFonts w:ascii="Avenir Next" w:hAnsi="Avenir Next" w:cs="Arial"/>
          <w:sz w:val="22"/>
          <w:szCs w:val="22"/>
          <w:lang w:val="en-GB"/>
        </w:rPr>
        <w:t>Hy</w:t>
      </w:r>
      <w:r w:rsidR="00E409FC" w:rsidRPr="00B2234F">
        <w:rPr>
          <w:rFonts w:ascii="Avenir Next" w:hAnsi="Avenir Next" w:cs="Arial"/>
          <w:sz w:val="22"/>
          <w:szCs w:val="22"/>
          <w:lang w:val="en-GB"/>
        </w:rPr>
        <w:t>rofine</w:t>
      </w:r>
      <w:proofErr w:type="spellEnd"/>
      <w:r w:rsidR="00E409FC"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proofErr w:type="gramStart"/>
      <w:r w:rsidR="00533704" w:rsidRPr="00B2234F">
        <w:rPr>
          <w:rFonts w:ascii="Avenir Next" w:hAnsi="Avenir Next" w:cs="Arial"/>
          <w:sz w:val="22"/>
          <w:szCs w:val="22"/>
          <w:lang w:val="en-GB"/>
        </w:rPr>
        <w:t>All of</w:t>
      </w:r>
      <w:proofErr w:type="gramEnd"/>
      <w:r w:rsidR="00533704" w:rsidRPr="00B2234F">
        <w:rPr>
          <w:rFonts w:ascii="Avenir Next" w:hAnsi="Avenir Next" w:cs="Arial"/>
          <w:sz w:val="22"/>
          <w:szCs w:val="22"/>
          <w:lang w:val="en-GB"/>
        </w:rPr>
        <w:t xml:space="preserve"> the shares in HA are owned by HA’s parent company, </w:t>
      </w:r>
      <w:proofErr w:type="spellStart"/>
      <w:r w:rsidR="00533704" w:rsidRPr="00B2234F">
        <w:rPr>
          <w:rFonts w:ascii="Avenir Next" w:hAnsi="Avenir Next" w:cs="Arial"/>
          <w:sz w:val="22"/>
          <w:szCs w:val="22"/>
          <w:lang w:val="en-GB"/>
        </w:rPr>
        <w:t>Hyrofine</w:t>
      </w:r>
      <w:proofErr w:type="spellEnd"/>
      <w:r w:rsidR="00533704" w:rsidRPr="00B2234F">
        <w:rPr>
          <w:rFonts w:ascii="Avenir Next" w:hAnsi="Avenir Next" w:cs="Arial"/>
          <w:sz w:val="22"/>
          <w:szCs w:val="22"/>
          <w:lang w:val="en-GB"/>
        </w:rPr>
        <w:t xml:space="preserv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w:t>
      </w:r>
      <w:proofErr w:type="gramStart"/>
      <w:r w:rsidR="00176286" w:rsidRPr="00B2234F">
        <w:rPr>
          <w:rFonts w:ascii="Avenir Next" w:hAnsi="Avenir Next" w:cs="Arial"/>
          <w:sz w:val="22"/>
          <w:szCs w:val="22"/>
          <w:lang w:val="en-GB"/>
        </w:rPr>
        <w:t>directors</w:t>
      </w:r>
      <w:proofErr w:type="gramEnd"/>
      <w:r w:rsidR="00176286" w:rsidRPr="00B2234F">
        <w:rPr>
          <w:rFonts w:ascii="Avenir Next" w:hAnsi="Avenir Next" w:cs="Arial"/>
          <w:sz w:val="22"/>
          <w:szCs w:val="22"/>
          <w:lang w:val="en-GB"/>
        </w:rPr>
        <w:t xml:space="preserve">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proofErr w:type="gramStart"/>
      <w:r w:rsidR="00FC7249" w:rsidRPr="00B2234F">
        <w:rPr>
          <w:rFonts w:ascii="Avenir Next" w:hAnsi="Avenir Next" w:cs="Arial"/>
          <w:sz w:val="22"/>
          <w:szCs w:val="22"/>
          <w:lang w:val="en-GB"/>
        </w:rPr>
        <w:t>unprofitable</w:t>
      </w:r>
      <w:proofErr w:type="gramEnd"/>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proofErr w:type="gramStart"/>
      <w:r w:rsidR="00FA0CE9" w:rsidRPr="00B2234F">
        <w:rPr>
          <w:rFonts w:ascii="Avenir Next" w:hAnsi="Avenir Next" w:cs="Arial"/>
          <w:sz w:val="22"/>
          <w:szCs w:val="22"/>
          <w:lang w:val="en-GB"/>
        </w:rPr>
        <w:t>enters into</w:t>
      </w:r>
      <w:proofErr w:type="gramEnd"/>
      <w:r w:rsidR="00FA0CE9" w:rsidRPr="00B2234F">
        <w:rPr>
          <w:rFonts w:ascii="Avenir Next" w:hAnsi="Avenir Next" w:cs="Arial"/>
          <w:sz w:val="22"/>
          <w:szCs w:val="22"/>
          <w:lang w:val="en-GB"/>
        </w:rPr>
        <w:t xml:space="preserve">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w:t>
      </w:r>
      <w:proofErr w:type="gramStart"/>
      <w:r w:rsidRPr="00B2234F">
        <w:rPr>
          <w:rFonts w:ascii="Avenir Next" w:hAnsi="Avenir Next" w:cs="Arial"/>
          <w:sz w:val="22"/>
          <w:szCs w:val="22"/>
          <w:lang w:val="en-GB"/>
        </w:rPr>
        <w:t xml:space="preserve">in </w:t>
      </w:r>
      <w:r w:rsidR="00FC7249" w:rsidRPr="00B2234F">
        <w:rPr>
          <w:rFonts w:ascii="Avenir Next" w:hAnsi="Avenir Next" w:cs="Arial"/>
          <w:sz w:val="22"/>
          <w:szCs w:val="22"/>
          <w:lang w:val="en-GB"/>
        </w:rPr>
        <w:t>light of</w:t>
      </w:r>
      <w:proofErr w:type="gramEnd"/>
      <w:r w:rsidR="00FC7249" w:rsidRPr="00B2234F">
        <w:rPr>
          <w:rFonts w:ascii="Avenir Next" w:hAnsi="Avenir Next" w:cs="Arial"/>
          <w:sz w:val="22"/>
          <w:szCs w:val="22"/>
          <w:lang w:val="en-GB"/>
        </w:rPr>
        <w:t xml:space="preserve"> the facts set out above?</w:t>
      </w:r>
    </w:p>
    <w:p w14:paraId="0B429D70" w14:textId="159E8D2F" w:rsidR="008420F8" w:rsidRDefault="008420F8" w:rsidP="00FC7249">
      <w:pPr>
        <w:jc w:val="both"/>
        <w:rPr>
          <w:rFonts w:ascii="Avenir Next" w:hAnsi="Avenir Next" w:cs="Arial"/>
          <w:sz w:val="22"/>
          <w:szCs w:val="22"/>
          <w:lang w:val="en-GB"/>
        </w:rPr>
      </w:pPr>
    </w:p>
    <w:p w14:paraId="5C553CF0" w14:textId="2CC1FCC2" w:rsidR="00F90E45" w:rsidRPr="009F5FC2" w:rsidRDefault="00F90E45" w:rsidP="00F90E45">
      <w:p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Answer </w:t>
      </w:r>
    </w:p>
    <w:p w14:paraId="4D0FA0EC" w14:textId="77777777" w:rsidR="00F90E45" w:rsidRPr="009F5FC2" w:rsidRDefault="00F90E45" w:rsidP="00F90E45">
      <w:pPr>
        <w:jc w:val="both"/>
        <w:rPr>
          <w:rFonts w:ascii="Arial" w:hAnsi="Arial" w:cs="Arial"/>
          <w:color w:val="808080" w:themeColor="background1" w:themeShade="80"/>
          <w:sz w:val="22"/>
          <w:szCs w:val="22"/>
        </w:rPr>
      </w:pPr>
    </w:p>
    <w:p w14:paraId="6B9D607D" w14:textId="77777777" w:rsidR="00F90E45" w:rsidRPr="009F5FC2" w:rsidRDefault="00F90E45" w:rsidP="00F90E45">
      <w:p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I would advise the boards that as HA is incorporated in Australia under the Corporations Act, HA’s board of directors ought to resolve to place HA under Voluntary Administration (“VA”) (to be followed up by a DOCA - deed of company arrangement) under section 5.3A of the Corporations Act as HA appears to be trading, or is at least on the brink of trading in insolvent circumstances given the level of indebtedness and the fact that the time to begin repaying substantial loans is imminent. </w:t>
      </w:r>
    </w:p>
    <w:p w14:paraId="0F8B84B0" w14:textId="77777777" w:rsidR="00F90E45" w:rsidRPr="009F5FC2" w:rsidRDefault="00F90E45" w:rsidP="00F90E45">
      <w:pPr>
        <w:jc w:val="both"/>
        <w:rPr>
          <w:rFonts w:ascii="Arial" w:hAnsi="Arial" w:cs="Arial"/>
          <w:color w:val="808080" w:themeColor="background1" w:themeShade="80"/>
          <w:sz w:val="22"/>
          <w:szCs w:val="22"/>
        </w:rPr>
      </w:pPr>
    </w:p>
    <w:p w14:paraId="766E0F5A" w14:textId="77777777" w:rsidR="00F90E45" w:rsidRPr="009F5FC2" w:rsidRDefault="00F90E45" w:rsidP="00F90E45">
      <w:p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As to the existing debtors, the following:</w:t>
      </w:r>
    </w:p>
    <w:p w14:paraId="774FF178" w14:textId="77777777" w:rsidR="00F90E45" w:rsidRPr="009F5FC2" w:rsidRDefault="00F90E45" w:rsidP="00F90E45">
      <w:pPr>
        <w:jc w:val="both"/>
        <w:rPr>
          <w:rFonts w:ascii="Arial" w:hAnsi="Arial" w:cs="Arial"/>
          <w:color w:val="808080" w:themeColor="background1" w:themeShade="80"/>
          <w:sz w:val="22"/>
          <w:szCs w:val="22"/>
        </w:rPr>
      </w:pPr>
    </w:p>
    <w:p w14:paraId="50EF7983" w14:textId="77777777" w:rsidR="00F90E45" w:rsidRPr="009F5FC2" w:rsidRDefault="00F90E45" w:rsidP="00F90E45">
      <w:pPr>
        <w:pStyle w:val="ListParagraph"/>
        <w:numPr>
          <w:ilvl w:val="0"/>
          <w:numId w:val="31"/>
        </w:num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A shareholder of HGL lent USD 30 million (unsecured) to HA and currently has little to no prospect of being repaid by HA from income generated from its trading operations with effect from end 2021. Moreover, HA and the shareholder entered into an agreement that the full loan will become payable if HA enters any formal insolvency or restructuring process (“the acceleration clause”). As a VA is not considered to be a “formal insolvency or restructuring process”, a VA will not trigger the acceleration clause. HA will thus avert the prospect of the shareholder instituting </w:t>
      </w:r>
      <w:r w:rsidRPr="009F5FC2">
        <w:rPr>
          <w:rFonts w:ascii="Arial" w:hAnsi="Arial" w:cs="Arial"/>
          <w:color w:val="808080" w:themeColor="background1" w:themeShade="80"/>
          <w:sz w:val="22"/>
          <w:szCs w:val="22"/>
        </w:rPr>
        <w:lastRenderedPageBreak/>
        <w:t>formal liquidation proceedings against HA (should be unable to repay the debt which it surely cannot), and the VA will provide HA with a moratorium against payment of the onerous month payments due to the shareholder from due date until the VA has run its course, or the DOCA is approved, and therefore relieve the current pressure on HA’s cashflow.</w:t>
      </w:r>
    </w:p>
    <w:p w14:paraId="0E15663E" w14:textId="77777777" w:rsidR="00F90E45" w:rsidRPr="009F5FC2" w:rsidRDefault="00F90E45" w:rsidP="00F90E45">
      <w:pPr>
        <w:pStyle w:val="ListParagraph"/>
        <w:jc w:val="both"/>
        <w:rPr>
          <w:rFonts w:ascii="Arial" w:hAnsi="Arial" w:cs="Arial"/>
          <w:color w:val="808080" w:themeColor="background1" w:themeShade="80"/>
          <w:sz w:val="22"/>
          <w:szCs w:val="22"/>
        </w:rPr>
      </w:pPr>
    </w:p>
    <w:p w14:paraId="66000F38" w14:textId="77777777" w:rsidR="00F90E45" w:rsidRPr="009F5FC2" w:rsidRDefault="00F90E45" w:rsidP="00F90E45">
      <w:pPr>
        <w:pStyle w:val="ListParagraph"/>
        <w:numPr>
          <w:ilvl w:val="0"/>
          <w:numId w:val="31"/>
        </w:num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Via VA, HA can avert an action brought by CBA for repayment of AUD 3 million based on the mortgages passed over the trucks. Because CBA omitted to register the mortgages on the Personal Property Securities Register, CBA is precluded from enforcing its rights by means of an action in an appropriate court having jurisdiction. Failure to have registered the mortgage bonds at least six months before the VA means that CBA cannot take priority as a secured creditor in liquidation. In fact, failure to register results in the unperfected security interest automatically vesting in HA as the grantor (save for the possibility that a court may grant CBA an extension of time within which to register the mortgages). This scenario presents HA with an opportunity to persuade CBA to co-operate in the VA knowing that the prospect of being repaid in a liquidation is greatly diminished as it will, in that case, to compelled to share in the distribution as an unsecured creditor together with all other unsecured creditors.   </w:t>
      </w:r>
    </w:p>
    <w:p w14:paraId="2B54C81D" w14:textId="77777777" w:rsidR="00F90E45" w:rsidRPr="009F5FC2" w:rsidRDefault="00F90E45" w:rsidP="00F90E45">
      <w:pPr>
        <w:jc w:val="both"/>
        <w:rPr>
          <w:rFonts w:ascii="Arial" w:hAnsi="Arial" w:cs="Arial"/>
          <w:color w:val="808080" w:themeColor="background1" w:themeShade="80"/>
          <w:sz w:val="22"/>
          <w:szCs w:val="22"/>
        </w:rPr>
      </w:pPr>
    </w:p>
    <w:p w14:paraId="6E8DC22B" w14:textId="77777777" w:rsidR="00F90E45" w:rsidRPr="009F5FC2" w:rsidRDefault="00F90E45" w:rsidP="00F90E45">
      <w:pPr>
        <w:pStyle w:val="ListParagraph"/>
        <w:numPr>
          <w:ilvl w:val="0"/>
          <w:numId w:val="31"/>
        </w:num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HGL, having lent a sum of USD 5 million to HA, is likely to support the VA as its loan is unsecured and HGL is unlikely to recover the monies lent if HA is placed in liquidation given the size of the claims that will be proven should HA be liquidated. </w:t>
      </w:r>
    </w:p>
    <w:p w14:paraId="4F5EF052" w14:textId="77777777" w:rsidR="00F90E45" w:rsidRPr="009F5FC2" w:rsidRDefault="00F90E45" w:rsidP="00F90E45">
      <w:pPr>
        <w:jc w:val="both"/>
        <w:rPr>
          <w:rFonts w:ascii="Arial" w:hAnsi="Arial" w:cs="Arial"/>
          <w:color w:val="808080" w:themeColor="background1" w:themeShade="80"/>
          <w:sz w:val="22"/>
          <w:szCs w:val="22"/>
        </w:rPr>
      </w:pPr>
    </w:p>
    <w:p w14:paraId="083647A5" w14:textId="77777777" w:rsidR="00F90E45" w:rsidRPr="009F5FC2" w:rsidRDefault="00F90E45" w:rsidP="00F90E45">
      <w:pPr>
        <w:pStyle w:val="ListParagraph"/>
        <w:numPr>
          <w:ilvl w:val="0"/>
          <w:numId w:val="31"/>
        </w:num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BOR has a judgment against HA in the sum of AUD 4.6 million which, if BOR chooses to make demand, HA will be unable to satisfy thus entitling BOR to apply for HA’s liquidation. This possibility can be averted by commencing a VA.</w:t>
      </w:r>
    </w:p>
    <w:p w14:paraId="25672DDB" w14:textId="77777777" w:rsidR="00F90E45" w:rsidRPr="009F5FC2" w:rsidRDefault="00F90E45" w:rsidP="00F90E45">
      <w:pPr>
        <w:jc w:val="both"/>
        <w:rPr>
          <w:rFonts w:ascii="Arial" w:hAnsi="Arial" w:cs="Arial"/>
          <w:color w:val="808080" w:themeColor="background1" w:themeShade="80"/>
          <w:sz w:val="22"/>
          <w:szCs w:val="22"/>
        </w:rPr>
      </w:pPr>
    </w:p>
    <w:p w14:paraId="0256E4C8" w14:textId="77777777" w:rsidR="00F90E45" w:rsidRPr="009F5FC2" w:rsidRDefault="00F90E45" w:rsidP="00F90E45">
      <w:pPr>
        <w:pStyle w:val="ListParagraph"/>
        <w:numPr>
          <w:ilvl w:val="0"/>
          <w:numId w:val="31"/>
        </w:numPr>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The board is advised that the directors have fiduciary duties towards HA and HGL and third parties. If HA is liquidated (and HGL may also face liquidation should HA be unable to repay the USD 5 million it lent to HA), the liquidator is entitled to pursue steps against the directors should he establish that the directors knowingly allowed HA or HGL to trade under insolvent circumstances. The directors will then face damages claims in their personal capacities. This is a remote possibility however as HA appeared to have traded in good faith and even made a profit albeit small.</w:t>
      </w:r>
    </w:p>
    <w:p w14:paraId="5A93854D" w14:textId="77777777" w:rsidR="00F90E45" w:rsidRPr="009F5FC2" w:rsidRDefault="00F90E45" w:rsidP="00F90E45">
      <w:pPr>
        <w:ind w:left="360"/>
        <w:jc w:val="both"/>
        <w:rPr>
          <w:rFonts w:ascii="Arial" w:hAnsi="Arial" w:cs="Arial"/>
          <w:color w:val="808080" w:themeColor="background1" w:themeShade="80"/>
          <w:sz w:val="22"/>
          <w:szCs w:val="22"/>
        </w:rPr>
      </w:pPr>
    </w:p>
    <w:p w14:paraId="686DC11A" w14:textId="77777777" w:rsidR="00F90E45" w:rsidRPr="009F5FC2" w:rsidRDefault="00F90E45" w:rsidP="00F90E45">
      <w:pPr>
        <w:ind w:left="360"/>
        <w:jc w:val="both"/>
        <w:rPr>
          <w:rFonts w:ascii="Arial" w:hAnsi="Arial" w:cs="Arial"/>
          <w:color w:val="808080" w:themeColor="background1" w:themeShade="80"/>
          <w:sz w:val="22"/>
          <w:szCs w:val="22"/>
        </w:rPr>
      </w:pPr>
      <w:r w:rsidRPr="009F5FC2">
        <w:rPr>
          <w:rFonts w:ascii="Arial" w:hAnsi="Arial" w:cs="Arial"/>
          <w:color w:val="808080" w:themeColor="background1" w:themeShade="80"/>
          <w:sz w:val="22"/>
          <w:szCs w:val="22"/>
        </w:rPr>
        <w:t xml:space="preserve">A VA is often used as a vehicle to achieve a business rescue via a sale of the business as a going concern to a third party. Given the level of indebtedness and the interest shown by a third party in purchasing the Perth plant, the board is advised to strongly consider proceeding to VA without delay. While preparing a subsequent DOCA, the existing creditors can be approached to re-arrange and / or compromise their claims against HA. It is likely that creditors will be willing to do so as otherwise they face the prospect of not recovering a substantial portion of the debt owed to them in liquidation proceedings.  </w:t>
      </w: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1"/>
    <w:bookmarkEnd w:id="2"/>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F054" w14:textId="77777777" w:rsidR="00ED5BEC" w:rsidRDefault="00ED5BEC" w:rsidP="00241B44">
      <w:r>
        <w:separator/>
      </w:r>
    </w:p>
  </w:endnote>
  <w:endnote w:type="continuationSeparator" w:id="0">
    <w:p w14:paraId="54E5F751" w14:textId="77777777" w:rsidR="00ED5BEC" w:rsidRDefault="00ED5BEC" w:rsidP="00241B44">
      <w:r>
        <w:continuationSeparator/>
      </w:r>
    </w:p>
  </w:endnote>
  <w:endnote w:type="continuationNotice" w:id="1">
    <w:p w14:paraId="65884D7F" w14:textId="77777777" w:rsidR="00ED5BEC" w:rsidRDefault="00ED5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3A77BF93" w:rsidR="00542A3A" w:rsidRPr="009B4976" w:rsidRDefault="00A32019" w:rsidP="009B4976">
    <w:pPr>
      <w:pStyle w:val="Footer"/>
      <w:ind w:right="360"/>
      <w:rPr>
        <w:rFonts w:ascii="Arial" w:hAnsi="Arial" w:cs="Arial"/>
        <w:sz w:val="18"/>
        <w:szCs w:val="18"/>
        <w:lang w:val="en-GB"/>
      </w:rPr>
    </w:pPr>
    <w:r>
      <w:rPr>
        <w:rFonts w:ascii="Arial" w:hAnsi="Arial" w:cs="Arial"/>
        <w:sz w:val="18"/>
        <w:szCs w:val="18"/>
        <w:lang w:val="en-GB"/>
      </w:rPr>
      <w:t>202223</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DF37" w14:textId="77777777" w:rsidR="00ED5BEC" w:rsidRDefault="00ED5BEC" w:rsidP="00241B44">
      <w:r>
        <w:separator/>
      </w:r>
    </w:p>
  </w:footnote>
  <w:footnote w:type="continuationSeparator" w:id="0">
    <w:p w14:paraId="30A50DCF" w14:textId="77777777" w:rsidR="00ED5BEC" w:rsidRDefault="00ED5BEC" w:rsidP="00241B44">
      <w:r>
        <w:continuationSeparator/>
      </w:r>
    </w:p>
  </w:footnote>
  <w:footnote w:type="continuationNotice" w:id="1">
    <w:p w14:paraId="3B3495B8" w14:textId="77777777" w:rsidR="00ED5BEC" w:rsidRDefault="00ED5B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FFC6861"/>
    <w:multiLevelType w:val="hybridMultilevel"/>
    <w:tmpl w:val="F3E4F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641E6"/>
    <w:multiLevelType w:val="hybridMultilevel"/>
    <w:tmpl w:val="6E121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DEA430D"/>
    <w:multiLevelType w:val="hybridMultilevel"/>
    <w:tmpl w:val="84F415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A6224FA"/>
    <w:multiLevelType w:val="hybridMultilevel"/>
    <w:tmpl w:val="D6EEEA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4673600">
    <w:abstractNumId w:val="27"/>
  </w:num>
  <w:num w:numId="2" w16cid:durableId="572082111">
    <w:abstractNumId w:val="14"/>
  </w:num>
  <w:num w:numId="3" w16cid:durableId="1868564304">
    <w:abstractNumId w:val="12"/>
  </w:num>
  <w:num w:numId="4" w16cid:durableId="961111450">
    <w:abstractNumId w:val="24"/>
  </w:num>
  <w:num w:numId="5" w16cid:durableId="1434127878">
    <w:abstractNumId w:val="13"/>
  </w:num>
  <w:num w:numId="6" w16cid:durableId="153449032">
    <w:abstractNumId w:val="16"/>
  </w:num>
  <w:num w:numId="7" w16cid:durableId="1104687071">
    <w:abstractNumId w:val="26"/>
  </w:num>
  <w:num w:numId="8" w16cid:durableId="1282957361">
    <w:abstractNumId w:val="22"/>
  </w:num>
  <w:num w:numId="9" w16cid:durableId="1756435679">
    <w:abstractNumId w:val="11"/>
  </w:num>
  <w:num w:numId="10" w16cid:durableId="175270846">
    <w:abstractNumId w:val="8"/>
  </w:num>
  <w:num w:numId="11" w16cid:durableId="1392271238">
    <w:abstractNumId w:val="0"/>
  </w:num>
  <w:num w:numId="12" w16cid:durableId="1698389057">
    <w:abstractNumId w:val="23"/>
  </w:num>
  <w:num w:numId="13" w16cid:durableId="1969317198">
    <w:abstractNumId w:val="28"/>
  </w:num>
  <w:num w:numId="14" w16cid:durableId="640383297">
    <w:abstractNumId w:val="10"/>
  </w:num>
  <w:num w:numId="15" w16cid:durableId="970401318">
    <w:abstractNumId w:val="5"/>
  </w:num>
  <w:num w:numId="16" w16cid:durableId="691498494">
    <w:abstractNumId w:val="1"/>
  </w:num>
  <w:num w:numId="17" w16cid:durableId="700738734">
    <w:abstractNumId w:val="29"/>
  </w:num>
  <w:num w:numId="18" w16cid:durableId="1092700729">
    <w:abstractNumId w:val="6"/>
  </w:num>
  <w:num w:numId="19" w16cid:durableId="89938318">
    <w:abstractNumId w:val="19"/>
  </w:num>
  <w:num w:numId="20" w16cid:durableId="781918930">
    <w:abstractNumId w:val="2"/>
  </w:num>
  <w:num w:numId="21" w16cid:durableId="782580121">
    <w:abstractNumId w:val="17"/>
  </w:num>
  <w:num w:numId="22" w16cid:durableId="1071780565">
    <w:abstractNumId w:val="30"/>
  </w:num>
  <w:num w:numId="23" w16cid:durableId="1690181520">
    <w:abstractNumId w:val="15"/>
  </w:num>
  <w:num w:numId="24" w16cid:durableId="1539508847">
    <w:abstractNumId w:val="18"/>
  </w:num>
  <w:num w:numId="25" w16cid:durableId="1059982715">
    <w:abstractNumId w:val="21"/>
  </w:num>
  <w:num w:numId="26" w16cid:durableId="872888964">
    <w:abstractNumId w:val="25"/>
  </w:num>
  <w:num w:numId="27" w16cid:durableId="1683390229">
    <w:abstractNumId w:val="7"/>
  </w:num>
  <w:num w:numId="28" w16cid:durableId="909578072">
    <w:abstractNumId w:val="9"/>
  </w:num>
  <w:num w:numId="29" w16cid:durableId="1195849139">
    <w:abstractNumId w:val="20"/>
  </w:num>
  <w:num w:numId="30" w16cid:durableId="1909686068">
    <w:abstractNumId w:val="4"/>
  </w:num>
  <w:num w:numId="31" w16cid:durableId="16359616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0152"/>
    <w:rsid w:val="00044D46"/>
    <w:rsid w:val="00045088"/>
    <w:rsid w:val="00045904"/>
    <w:rsid w:val="000502FD"/>
    <w:rsid w:val="00054BD6"/>
    <w:rsid w:val="000644ED"/>
    <w:rsid w:val="00065166"/>
    <w:rsid w:val="00082609"/>
    <w:rsid w:val="000851CC"/>
    <w:rsid w:val="00087F21"/>
    <w:rsid w:val="00093BE8"/>
    <w:rsid w:val="000A407B"/>
    <w:rsid w:val="000A66EA"/>
    <w:rsid w:val="000A68ED"/>
    <w:rsid w:val="000B58D9"/>
    <w:rsid w:val="000B5FF1"/>
    <w:rsid w:val="000B609F"/>
    <w:rsid w:val="000C648D"/>
    <w:rsid w:val="000D2487"/>
    <w:rsid w:val="000D55A8"/>
    <w:rsid w:val="000E4841"/>
    <w:rsid w:val="000F1677"/>
    <w:rsid w:val="000F3D6C"/>
    <w:rsid w:val="00101707"/>
    <w:rsid w:val="0010175D"/>
    <w:rsid w:val="00102CC9"/>
    <w:rsid w:val="00102F1F"/>
    <w:rsid w:val="0010593A"/>
    <w:rsid w:val="0011473D"/>
    <w:rsid w:val="00115C85"/>
    <w:rsid w:val="00123855"/>
    <w:rsid w:val="00126A4D"/>
    <w:rsid w:val="00127C1E"/>
    <w:rsid w:val="001316B3"/>
    <w:rsid w:val="0013356C"/>
    <w:rsid w:val="001404BC"/>
    <w:rsid w:val="0014171F"/>
    <w:rsid w:val="0014622C"/>
    <w:rsid w:val="00152348"/>
    <w:rsid w:val="0015456D"/>
    <w:rsid w:val="00155FA2"/>
    <w:rsid w:val="00161F1B"/>
    <w:rsid w:val="00162829"/>
    <w:rsid w:val="001712DA"/>
    <w:rsid w:val="00176286"/>
    <w:rsid w:val="00180548"/>
    <w:rsid w:val="00180AC4"/>
    <w:rsid w:val="00180CCE"/>
    <w:rsid w:val="0018267A"/>
    <w:rsid w:val="00182779"/>
    <w:rsid w:val="001830DF"/>
    <w:rsid w:val="001966D9"/>
    <w:rsid w:val="001A007A"/>
    <w:rsid w:val="001A7E9A"/>
    <w:rsid w:val="001B093B"/>
    <w:rsid w:val="001B0F70"/>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3396"/>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54C4"/>
    <w:rsid w:val="002E64C1"/>
    <w:rsid w:val="002F1956"/>
    <w:rsid w:val="002F3440"/>
    <w:rsid w:val="002F75A3"/>
    <w:rsid w:val="00303C2F"/>
    <w:rsid w:val="003042CB"/>
    <w:rsid w:val="00306391"/>
    <w:rsid w:val="003144EF"/>
    <w:rsid w:val="0031579E"/>
    <w:rsid w:val="00321D73"/>
    <w:rsid w:val="00326292"/>
    <w:rsid w:val="00326415"/>
    <w:rsid w:val="00330937"/>
    <w:rsid w:val="00330F31"/>
    <w:rsid w:val="00334648"/>
    <w:rsid w:val="003361F2"/>
    <w:rsid w:val="0033768C"/>
    <w:rsid w:val="00337938"/>
    <w:rsid w:val="00337B25"/>
    <w:rsid w:val="00340769"/>
    <w:rsid w:val="00341AA6"/>
    <w:rsid w:val="00352313"/>
    <w:rsid w:val="0035372F"/>
    <w:rsid w:val="00361A0A"/>
    <w:rsid w:val="00364836"/>
    <w:rsid w:val="0036565C"/>
    <w:rsid w:val="0036625E"/>
    <w:rsid w:val="0037465A"/>
    <w:rsid w:val="00382C98"/>
    <w:rsid w:val="0038533C"/>
    <w:rsid w:val="00386568"/>
    <w:rsid w:val="00390B57"/>
    <w:rsid w:val="003948D5"/>
    <w:rsid w:val="00396821"/>
    <w:rsid w:val="00397D3A"/>
    <w:rsid w:val="003A051E"/>
    <w:rsid w:val="003A4F64"/>
    <w:rsid w:val="003A540E"/>
    <w:rsid w:val="003B170F"/>
    <w:rsid w:val="003B3C5F"/>
    <w:rsid w:val="003C4471"/>
    <w:rsid w:val="003D0A6D"/>
    <w:rsid w:val="003D6120"/>
    <w:rsid w:val="003E0B16"/>
    <w:rsid w:val="003E67D1"/>
    <w:rsid w:val="00404329"/>
    <w:rsid w:val="00405DC1"/>
    <w:rsid w:val="00415F1F"/>
    <w:rsid w:val="00416D2B"/>
    <w:rsid w:val="0042108F"/>
    <w:rsid w:val="00422295"/>
    <w:rsid w:val="00430727"/>
    <w:rsid w:val="00430FED"/>
    <w:rsid w:val="00433844"/>
    <w:rsid w:val="00434A8C"/>
    <w:rsid w:val="00437297"/>
    <w:rsid w:val="00444284"/>
    <w:rsid w:val="00445CE6"/>
    <w:rsid w:val="004534C2"/>
    <w:rsid w:val="0045446F"/>
    <w:rsid w:val="00455480"/>
    <w:rsid w:val="0045683E"/>
    <w:rsid w:val="00477C72"/>
    <w:rsid w:val="004858B5"/>
    <w:rsid w:val="00491675"/>
    <w:rsid w:val="00493855"/>
    <w:rsid w:val="00495E79"/>
    <w:rsid w:val="004A09EE"/>
    <w:rsid w:val="004A2D83"/>
    <w:rsid w:val="004A57DD"/>
    <w:rsid w:val="004A7B51"/>
    <w:rsid w:val="004A7D71"/>
    <w:rsid w:val="004A7EF3"/>
    <w:rsid w:val="004B11FD"/>
    <w:rsid w:val="004B23A2"/>
    <w:rsid w:val="004C15FB"/>
    <w:rsid w:val="004C408E"/>
    <w:rsid w:val="004D05ED"/>
    <w:rsid w:val="004D1A5A"/>
    <w:rsid w:val="004D2FFF"/>
    <w:rsid w:val="004D3721"/>
    <w:rsid w:val="004D468D"/>
    <w:rsid w:val="004D64F9"/>
    <w:rsid w:val="004E20B2"/>
    <w:rsid w:val="004E3A6B"/>
    <w:rsid w:val="004E5A7A"/>
    <w:rsid w:val="004E622C"/>
    <w:rsid w:val="004F353C"/>
    <w:rsid w:val="004F5FDF"/>
    <w:rsid w:val="00504231"/>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76803"/>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00DE"/>
    <w:rsid w:val="00610388"/>
    <w:rsid w:val="00610AC7"/>
    <w:rsid w:val="00612CA5"/>
    <w:rsid w:val="006153EC"/>
    <w:rsid w:val="00621A17"/>
    <w:rsid w:val="00626663"/>
    <w:rsid w:val="00627784"/>
    <w:rsid w:val="00627A10"/>
    <w:rsid w:val="00627CC9"/>
    <w:rsid w:val="00627E7B"/>
    <w:rsid w:val="00630542"/>
    <w:rsid w:val="00632E44"/>
    <w:rsid w:val="00634622"/>
    <w:rsid w:val="00636808"/>
    <w:rsid w:val="00636C3F"/>
    <w:rsid w:val="00641515"/>
    <w:rsid w:val="0064404D"/>
    <w:rsid w:val="00654C2F"/>
    <w:rsid w:val="00657087"/>
    <w:rsid w:val="006639DB"/>
    <w:rsid w:val="00663BE6"/>
    <w:rsid w:val="006661EF"/>
    <w:rsid w:val="00671AF1"/>
    <w:rsid w:val="00677AEB"/>
    <w:rsid w:val="00680EF2"/>
    <w:rsid w:val="00687A1D"/>
    <w:rsid w:val="00690AFA"/>
    <w:rsid w:val="00697EA1"/>
    <w:rsid w:val="006A2646"/>
    <w:rsid w:val="006A4280"/>
    <w:rsid w:val="006A5375"/>
    <w:rsid w:val="006A6354"/>
    <w:rsid w:val="006A6530"/>
    <w:rsid w:val="006B435A"/>
    <w:rsid w:val="006B4C64"/>
    <w:rsid w:val="006B7879"/>
    <w:rsid w:val="006D6BD5"/>
    <w:rsid w:val="006E481A"/>
    <w:rsid w:val="006E5298"/>
    <w:rsid w:val="006E6760"/>
    <w:rsid w:val="006F4A78"/>
    <w:rsid w:val="006F54AE"/>
    <w:rsid w:val="006F734A"/>
    <w:rsid w:val="00700D83"/>
    <w:rsid w:val="00703EE7"/>
    <w:rsid w:val="00704852"/>
    <w:rsid w:val="007074E9"/>
    <w:rsid w:val="00713DA4"/>
    <w:rsid w:val="00714BF1"/>
    <w:rsid w:val="00721383"/>
    <w:rsid w:val="0072360C"/>
    <w:rsid w:val="0073158B"/>
    <w:rsid w:val="007333CC"/>
    <w:rsid w:val="0073399A"/>
    <w:rsid w:val="0074088D"/>
    <w:rsid w:val="00740A7C"/>
    <w:rsid w:val="00740DAD"/>
    <w:rsid w:val="007522E8"/>
    <w:rsid w:val="007603F5"/>
    <w:rsid w:val="00764DB0"/>
    <w:rsid w:val="0076764D"/>
    <w:rsid w:val="00771A2F"/>
    <w:rsid w:val="0077498C"/>
    <w:rsid w:val="00775C59"/>
    <w:rsid w:val="007809BC"/>
    <w:rsid w:val="00784128"/>
    <w:rsid w:val="00785534"/>
    <w:rsid w:val="00787BCC"/>
    <w:rsid w:val="00793173"/>
    <w:rsid w:val="00796B95"/>
    <w:rsid w:val="007A2A33"/>
    <w:rsid w:val="007B22CF"/>
    <w:rsid w:val="007B3A5E"/>
    <w:rsid w:val="007B5C89"/>
    <w:rsid w:val="007C1FCC"/>
    <w:rsid w:val="007C6201"/>
    <w:rsid w:val="007D1CE5"/>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65BE"/>
    <w:rsid w:val="00867701"/>
    <w:rsid w:val="00867C22"/>
    <w:rsid w:val="008723F3"/>
    <w:rsid w:val="0087682F"/>
    <w:rsid w:val="00876F56"/>
    <w:rsid w:val="00881DE6"/>
    <w:rsid w:val="008837A6"/>
    <w:rsid w:val="0089145D"/>
    <w:rsid w:val="0089536F"/>
    <w:rsid w:val="008A3075"/>
    <w:rsid w:val="008A4DF2"/>
    <w:rsid w:val="008A6CFE"/>
    <w:rsid w:val="008A7666"/>
    <w:rsid w:val="008B5333"/>
    <w:rsid w:val="008B6223"/>
    <w:rsid w:val="008C3FB9"/>
    <w:rsid w:val="008C66E0"/>
    <w:rsid w:val="008D4D4A"/>
    <w:rsid w:val="008E0B93"/>
    <w:rsid w:val="008E3339"/>
    <w:rsid w:val="008E51E0"/>
    <w:rsid w:val="008F20FC"/>
    <w:rsid w:val="008F240F"/>
    <w:rsid w:val="008F28E2"/>
    <w:rsid w:val="008F2C4E"/>
    <w:rsid w:val="008F5FFE"/>
    <w:rsid w:val="00905A43"/>
    <w:rsid w:val="00905DB0"/>
    <w:rsid w:val="00912C79"/>
    <w:rsid w:val="00921B8C"/>
    <w:rsid w:val="0092744E"/>
    <w:rsid w:val="00941BE7"/>
    <w:rsid w:val="00942123"/>
    <w:rsid w:val="009512E1"/>
    <w:rsid w:val="00951C44"/>
    <w:rsid w:val="0095207B"/>
    <w:rsid w:val="00962045"/>
    <w:rsid w:val="00980E61"/>
    <w:rsid w:val="00991428"/>
    <w:rsid w:val="0099169D"/>
    <w:rsid w:val="00992676"/>
    <w:rsid w:val="009954B2"/>
    <w:rsid w:val="00996691"/>
    <w:rsid w:val="009A3AB7"/>
    <w:rsid w:val="009B01E9"/>
    <w:rsid w:val="009B0723"/>
    <w:rsid w:val="009B07AD"/>
    <w:rsid w:val="009B0883"/>
    <w:rsid w:val="009B095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28D5"/>
    <w:rsid w:val="00A0352F"/>
    <w:rsid w:val="00A047EE"/>
    <w:rsid w:val="00A15DC7"/>
    <w:rsid w:val="00A21FA5"/>
    <w:rsid w:val="00A2274A"/>
    <w:rsid w:val="00A235B7"/>
    <w:rsid w:val="00A27A7A"/>
    <w:rsid w:val="00A27DC9"/>
    <w:rsid w:val="00A32019"/>
    <w:rsid w:val="00A34ABE"/>
    <w:rsid w:val="00A407EF"/>
    <w:rsid w:val="00A46B4C"/>
    <w:rsid w:val="00A5117B"/>
    <w:rsid w:val="00A55389"/>
    <w:rsid w:val="00A56D34"/>
    <w:rsid w:val="00A60074"/>
    <w:rsid w:val="00A6627C"/>
    <w:rsid w:val="00A71019"/>
    <w:rsid w:val="00A8083D"/>
    <w:rsid w:val="00A81029"/>
    <w:rsid w:val="00A845F5"/>
    <w:rsid w:val="00A96489"/>
    <w:rsid w:val="00AB2425"/>
    <w:rsid w:val="00AB685C"/>
    <w:rsid w:val="00AB6C2D"/>
    <w:rsid w:val="00AC08F7"/>
    <w:rsid w:val="00AC2099"/>
    <w:rsid w:val="00AC2F1F"/>
    <w:rsid w:val="00AC3839"/>
    <w:rsid w:val="00AC43F8"/>
    <w:rsid w:val="00AC68D5"/>
    <w:rsid w:val="00AC7082"/>
    <w:rsid w:val="00AD12C7"/>
    <w:rsid w:val="00AD4BE8"/>
    <w:rsid w:val="00AE20EB"/>
    <w:rsid w:val="00AE21A8"/>
    <w:rsid w:val="00AE5A5F"/>
    <w:rsid w:val="00AF228E"/>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C5A60"/>
    <w:rsid w:val="00BD4F02"/>
    <w:rsid w:val="00BE280B"/>
    <w:rsid w:val="00BE4FF3"/>
    <w:rsid w:val="00BF0AFE"/>
    <w:rsid w:val="00BF50F7"/>
    <w:rsid w:val="00BF6BCF"/>
    <w:rsid w:val="00C02F29"/>
    <w:rsid w:val="00C04AEB"/>
    <w:rsid w:val="00C06B6D"/>
    <w:rsid w:val="00C15EA3"/>
    <w:rsid w:val="00C17718"/>
    <w:rsid w:val="00C20AFE"/>
    <w:rsid w:val="00C22A25"/>
    <w:rsid w:val="00C24886"/>
    <w:rsid w:val="00C26E97"/>
    <w:rsid w:val="00C35671"/>
    <w:rsid w:val="00C35B77"/>
    <w:rsid w:val="00C376EB"/>
    <w:rsid w:val="00C41993"/>
    <w:rsid w:val="00C46A92"/>
    <w:rsid w:val="00C46EC1"/>
    <w:rsid w:val="00C51E06"/>
    <w:rsid w:val="00C52796"/>
    <w:rsid w:val="00C53E2C"/>
    <w:rsid w:val="00C550C8"/>
    <w:rsid w:val="00C55824"/>
    <w:rsid w:val="00C56B61"/>
    <w:rsid w:val="00C57CC1"/>
    <w:rsid w:val="00C60379"/>
    <w:rsid w:val="00C606C3"/>
    <w:rsid w:val="00C620F4"/>
    <w:rsid w:val="00C65DCE"/>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2198"/>
    <w:rsid w:val="00CD4998"/>
    <w:rsid w:val="00CD4E0C"/>
    <w:rsid w:val="00CE1035"/>
    <w:rsid w:val="00CE1D6C"/>
    <w:rsid w:val="00CE4667"/>
    <w:rsid w:val="00CE6E50"/>
    <w:rsid w:val="00CF128D"/>
    <w:rsid w:val="00CF2819"/>
    <w:rsid w:val="00CF4F9D"/>
    <w:rsid w:val="00CF70DC"/>
    <w:rsid w:val="00D079CC"/>
    <w:rsid w:val="00D148DC"/>
    <w:rsid w:val="00D17FDC"/>
    <w:rsid w:val="00D21D8C"/>
    <w:rsid w:val="00D37323"/>
    <w:rsid w:val="00D45B4F"/>
    <w:rsid w:val="00D50064"/>
    <w:rsid w:val="00D53719"/>
    <w:rsid w:val="00D6188D"/>
    <w:rsid w:val="00D63EFD"/>
    <w:rsid w:val="00D71128"/>
    <w:rsid w:val="00D745A7"/>
    <w:rsid w:val="00D801B5"/>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D3A4F"/>
    <w:rsid w:val="00DE03AF"/>
    <w:rsid w:val="00DE121C"/>
    <w:rsid w:val="00DE6633"/>
    <w:rsid w:val="00DF75F8"/>
    <w:rsid w:val="00DF7A3A"/>
    <w:rsid w:val="00E00C00"/>
    <w:rsid w:val="00E05C07"/>
    <w:rsid w:val="00E07C5A"/>
    <w:rsid w:val="00E11C54"/>
    <w:rsid w:val="00E131DE"/>
    <w:rsid w:val="00E14FED"/>
    <w:rsid w:val="00E15BA9"/>
    <w:rsid w:val="00E26E19"/>
    <w:rsid w:val="00E27C4D"/>
    <w:rsid w:val="00E31DF3"/>
    <w:rsid w:val="00E409FC"/>
    <w:rsid w:val="00E43938"/>
    <w:rsid w:val="00E450A4"/>
    <w:rsid w:val="00E47E46"/>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3250"/>
    <w:rsid w:val="00EB45AC"/>
    <w:rsid w:val="00EC441F"/>
    <w:rsid w:val="00EC4755"/>
    <w:rsid w:val="00ED03DF"/>
    <w:rsid w:val="00ED0BC4"/>
    <w:rsid w:val="00ED14CB"/>
    <w:rsid w:val="00ED447D"/>
    <w:rsid w:val="00ED5BDC"/>
    <w:rsid w:val="00ED5BEC"/>
    <w:rsid w:val="00ED6316"/>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90E45"/>
    <w:rsid w:val="00F97C5B"/>
    <w:rsid w:val="00FA0CE9"/>
    <w:rsid w:val="00FA18CF"/>
    <w:rsid w:val="00FA3D50"/>
    <w:rsid w:val="00FB0866"/>
    <w:rsid w:val="00FB4C6B"/>
    <w:rsid w:val="00FB7FBD"/>
    <w:rsid w:val="00FC374A"/>
    <w:rsid w:val="00FC490B"/>
    <w:rsid w:val="00FC7249"/>
    <w:rsid w:val="00FC74C8"/>
    <w:rsid w:val="00FC7B47"/>
    <w:rsid w:val="00FD035C"/>
    <w:rsid w:val="00FD1A35"/>
    <w:rsid w:val="00FD25FE"/>
    <w:rsid w:val="00FD2EA4"/>
    <w:rsid w:val="00FD36C5"/>
    <w:rsid w:val="00FD3EDB"/>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3650">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11</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Christa Verster</cp:lastModifiedBy>
  <cp:revision>34</cp:revision>
  <cp:lastPrinted>2019-08-27T05:42:00Z</cp:lastPrinted>
  <dcterms:created xsi:type="dcterms:W3CDTF">2022-09-12T13:55:00Z</dcterms:created>
  <dcterms:modified xsi:type="dcterms:W3CDTF">2023-07-31T14:54:00Z</dcterms:modified>
</cp:coreProperties>
</file>