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a3"/>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a3"/>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A5534B" w:rsidRDefault="00662251" w:rsidP="008C35C9">
      <w:pPr>
        <w:pStyle w:val="a3"/>
        <w:numPr>
          <w:ilvl w:val="0"/>
          <w:numId w:val="22"/>
        </w:numPr>
        <w:ind w:left="426"/>
        <w:jc w:val="both"/>
        <w:rPr>
          <w:rFonts w:ascii="Avenir Next" w:hAnsi="Avenir Next" w:cs="Arial"/>
          <w:sz w:val="22"/>
          <w:szCs w:val="22"/>
          <w:highlight w:val="yellow"/>
          <w:lang w:val="en-GB"/>
        </w:rPr>
      </w:pPr>
      <w:r w:rsidRPr="00A5534B">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a3"/>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a3"/>
        <w:numPr>
          <w:ilvl w:val="0"/>
          <w:numId w:val="23"/>
        </w:numPr>
        <w:ind w:left="426"/>
        <w:jc w:val="both"/>
        <w:rPr>
          <w:rFonts w:ascii="Avenir Next" w:hAnsi="Avenir Next" w:cs="Arial"/>
          <w:sz w:val="22"/>
          <w:szCs w:val="22"/>
        </w:rPr>
      </w:pPr>
      <w:r w:rsidRPr="00A5534B">
        <w:rPr>
          <w:rFonts w:ascii="Avenir Next" w:hAnsi="Avenir Next" w:cs="Arial"/>
          <w:sz w:val="22"/>
          <w:szCs w:val="22"/>
          <w:highlight w:val="yellow"/>
        </w:rPr>
        <w:t xml:space="preserve">Agent of the company granting the charge </w:t>
      </w:r>
      <w:r w:rsidR="00D93DCB" w:rsidRPr="00A5534B">
        <w:rPr>
          <w:rFonts w:ascii="Avenir Next" w:hAnsi="Avenir Next" w:cs="Arial"/>
          <w:sz w:val="22"/>
          <w:szCs w:val="22"/>
          <w:highlight w:val="yellow"/>
        </w:rPr>
        <w:t>(</w:t>
      </w:r>
      <w:r w:rsidRPr="00A5534B">
        <w:rPr>
          <w:rFonts w:ascii="Avenir Next" w:hAnsi="Avenir Next" w:cs="Arial"/>
          <w:sz w:val="22"/>
          <w:szCs w:val="22"/>
          <w:highlight w:val="yellow"/>
        </w:rPr>
        <w:t>A</w:t>
      </w:r>
      <w:r w:rsidR="00D93DCB" w:rsidRPr="00A5534B">
        <w:rPr>
          <w:rFonts w:ascii="Avenir Next" w:hAnsi="Avenir Next" w:cs="Arial"/>
          <w:sz w:val="22"/>
          <w:szCs w:val="22"/>
          <w:highlight w:val="yellow"/>
        </w:rPr>
        <w:t>, in this instance)</w:t>
      </w:r>
      <w:r w:rsidRPr="00A5534B">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a3"/>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a3"/>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a3"/>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a3"/>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a3"/>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a3"/>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A5534B" w:rsidRDefault="00BF7606" w:rsidP="008C35C9">
      <w:pPr>
        <w:pStyle w:val="a3"/>
        <w:numPr>
          <w:ilvl w:val="0"/>
          <w:numId w:val="24"/>
        </w:numPr>
        <w:ind w:left="426"/>
        <w:jc w:val="both"/>
        <w:rPr>
          <w:rFonts w:ascii="Avenir Next" w:hAnsi="Avenir Next" w:cs="Arial"/>
          <w:sz w:val="22"/>
          <w:szCs w:val="22"/>
          <w:highlight w:val="yellow"/>
        </w:rPr>
      </w:pPr>
      <w:r w:rsidRPr="00A5534B">
        <w:rPr>
          <w:rFonts w:ascii="Avenir Next" w:hAnsi="Avenir Next" w:cs="Arial"/>
          <w:sz w:val="22"/>
          <w:szCs w:val="22"/>
          <w:highlight w:val="yellow"/>
        </w:rPr>
        <w:t>There must be a reasonable possibility that the winding</w:t>
      </w:r>
      <w:r w:rsidR="00A431DB" w:rsidRPr="00A5534B">
        <w:rPr>
          <w:rFonts w:ascii="Avenir Next" w:hAnsi="Avenir Next" w:cs="Arial"/>
          <w:sz w:val="22"/>
          <w:szCs w:val="22"/>
          <w:highlight w:val="yellow"/>
        </w:rPr>
        <w:t>-</w:t>
      </w:r>
      <w:r w:rsidRPr="00A5534B">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a3"/>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a3"/>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6B654B" w:rsidRDefault="00982B1B" w:rsidP="008C35C9">
      <w:pPr>
        <w:pStyle w:val="a3"/>
        <w:numPr>
          <w:ilvl w:val="0"/>
          <w:numId w:val="25"/>
        </w:numPr>
        <w:ind w:left="426"/>
        <w:jc w:val="both"/>
        <w:rPr>
          <w:rFonts w:ascii="Avenir Next" w:hAnsi="Avenir Next" w:cs="Arial"/>
          <w:sz w:val="22"/>
          <w:szCs w:val="22"/>
          <w:highlight w:val="yellow"/>
        </w:rPr>
      </w:pPr>
      <w:r w:rsidRPr="006B654B">
        <w:rPr>
          <w:rFonts w:ascii="Avenir Next" w:hAnsi="Avenir Next" w:cs="Arial"/>
          <w:sz w:val="22"/>
          <w:szCs w:val="22"/>
          <w:highlight w:val="yellow"/>
        </w:rPr>
        <w:t xml:space="preserve">must first be used to satisfy the claims of preferential creditors as described in the relevant section of </w:t>
      </w:r>
      <w:r w:rsidR="00F322D0" w:rsidRPr="006B654B">
        <w:rPr>
          <w:rFonts w:ascii="Avenir Next" w:hAnsi="Avenir Next" w:cs="Arial"/>
          <w:sz w:val="22"/>
          <w:szCs w:val="22"/>
          <w:highlight w:val="yellow"/>
        </w:rPr>
        <w:t>Companies (Winding Up and Miscellaneous Provisions) Ordinance (Cap 32) (</w:t>
      </w:r>
      <w:r w:rsidRPr="006B654B">
        <w:rPr>
          <w:rFonts w:ascii="Avenir Next" w:hAnsi="Avenir Next" w:cs="Arial"/>
          <w:sz w:val="22"/>
          <w:szCs w:val="22"/>
          <w:highlight w:val="yellow"/>
        </w:rPr>
        <w:t>CWUMPO</w:t>
      </w:r>
      <w:r w:rsidR="00F322D0" w:rsidRPr="006B654B">
        <w:rPr>
          <w:rFonts w:ascii="Avenir Next" w:hAnsi="Avenir Next" w:cs="Arial"/>
          <w:sz w:val="22"/>
          <w:szCs w:val="22"/>
          <w:highlight w:val="yellow"/>
        </w:rPr>
        <w:t>)</w:t>
      </w:r>
      <w:r w:rsidRPr="006B654B">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a3"/>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a3"/>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a3"/>
        <w:numPr>
          <w:ilvl w:val="0"/>
          <w:numId w:val="26"/>
        </w:numPr>
        <w:autoSpaceDE w:val="0"/>
        <w:autoSpaceDN w:val="0"/>
        <w:adjustRightInd w:val="0"/>
        <w:ind w:left="426"/>
        <w:jc w:val="both"/>
        <w:rPr>
          <w:rFonts w:ascii="Avenir Next" w:hAnsi="Avenir Next" w:cs="Arial"/>
          <w:sz w:val="22"/>
          <w:szCs w:val="22"/>
          <w:lang w:val="en-GB"/>
        </w:rPr>
      </w:pPr>
      <w:r w:rsidRPr="006B654B">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a3"/>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a3"/>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a3"/>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a3"/>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a3"/>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6B654B" w:rsidRDefault="00931E20" w:rsidP="008C35C9">
      <w:pPr>
        <w:pStyle w:val="a3"/>
        <w:numPr>
          <w:ilvl w:val="0"/>
          <w:numId w:val="27"/>
        </w:numPr>
        <w:ind w:left="426"/>
        <w:jc w:val="both"/>
        <w:rPr>
          <w:rFonts w:ascii="Avenir Next" w:hAnsi="Avenir Next" w:cs="Arial"/>
          <w:sz w:val="22"/>
          <w:szCs w:val="22"/>
          <w:highlight w:val="yellow"/>
          <w:lang w:val="en-GB"/>
        </w:rPr>
      </w:pPr>
      <w:r w:rsidRPr="006B654B">
        <w:rPr>
          <w:rFonts w:ascii="Avenir Next" w:hAnsi="Avenir Next" w:cs="Arial"/>
          <w:sz w:val="22"/>
          <w:szCs w:val="22"/>
          <w:highlight w:val="yellow"/>
          <w:lang w:val="en-GB"/>
        </w:rPr>
        <w:t>N</w:t>
      </w:r>
      <w:r w:rsidR="00734EEF" w:rsidRPr="006B654B">
        <w:rPr>
          <w:rFonts w:ascii="Avenir Next" w:hAnsi="Avenir Next" w:cs="Arial"/>
          <w:sz w:val="22"/>
          <w:szCs w:val="22"/>
          <w:highlight w:val="yellow"/>
          <w:lang w:val="en-GB"/>
        </w:rPr>
        <w:t>one of above</w:t>
      </w:r>
      <w:r w:rsidR="000548DC" w:rsidRPr="006B654B">
        <w:rPr>
          <w:rFonts w:ascii="Avenir Next" w:hAnsi="Avenir Next" w:cs="Arial"/>
          <w:sz w:val="22"/>
          <w:szCs w:val="22"/>
          <w:highlight w:val="yellow"/>
          <w:lang w:val="en-GB"/>
        </w:rPr>
        <w:t>,</w:t>
      </w:r>
      <w:r w:rsidR="00734EEF" w:rsidRPr="006B654B">
        <w:rPr>
          <w:rFonts w:ascii="Avenir Next" w:hAnsi="Avenir Next" w:cs="Arial"/>
          <w:sz w:val="22"/>
          <w:szCs w:val="22"/>
          <w:highlight w:val="yellow"/>
          <w:lang w:val="en-GB"/>
        </w:rPr>
        <w:t xml:space="preserve"> </w:t>
      </w:r>
      <w:r w:rsidR="000548DC" w:rsidRPr="006B654B">
        <w:rPr>
          <w:rFonts w:ascii="Avenir Next" w:hAnsi="Avenir Next" w:cs="Arial"/>
          <w:sz w:val="22"/>
          <w:szCs w:val="22"/>
          <w:highlight w:val="yellow"/>
          <w:lang w:val="en-GB"/>
        </w:rPr>
        <w:t xml:space="preserve">as </w:t>
      </w:r>
      <w:r w:rsidR="00734EEF" w:rsidRPr="006B654B">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a3"/>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a3"/>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DD01D1" w:rsidRDefault="00911F8A" w:rsidP="008C35C9">
      <w:pPr>
        <w:pStyle w:val="a3"/>
        <w:numPr>
          <w:ilvl w:val="0"/>
          <w:numId w:val="28"/>
        </w:numPr>
        <w:ind w:left="426"/>
        <w:jc w:val="both"/>
        <w:rPr>
          <w:rFonts w:ascii="Avenir Next" w:hAnsi="Avenir Next" w:cs="Arial"/>
          <w:iCs/>
          <w:sz w:val="22"/>
          <w:szCs w:val="22"/>
          <w:highlight w:val="yellow"/>
          <w:lang w:val="en-GB"/>
        </w:rPr>
      </w:pPr>
      <w:r w:rsidRPr="00DD01D1">
        <w:rPr>
          <w:rFonts w:ascii="Avenir Next" w:hAnsi="Avenir Next" w:cs="Arial"/>
          <w:iCs/>
          <w:sz w:val="22"/>
          <w:szCs w:val="22"/>
          <w:highlight w:val="yellow"/>
          <w:lang w:val="en-GB"/>
        </w:rPr>
        <w:t>This statement is untrue</w:t>
      </w:r>
      <w:r w:rsidR="00A80144" w:rsidRPr="00DD01D1">
        <w:rPr>
          <w:rFonts w:ascii="Avenir Next" w:hAnsi="Avenir Next" w:cs="Arial"/>
          <w:iCs/>
          <w:sz w:val="22"/>
          <w:szCs w:val="22"/>
          <w:highlight w:val="yellow"/>
          <w:lang w:val="en-GB"/>
        </w:rPr>
        <w:t xml:space="preserve">, as </w:t>
      </w:r>
      <w:r w:rsidRPr="00DD01D1">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a3"/>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061059" w:rsidRDefault="0015630F" w:rsidP="008C35C9">
      <w:pPr>
        <w:pStyle w:val="a3"/>
        <w:numPr>
          <w:ilvl w:val="0"/>
          <w:numId w:val="29"/>
        </w:numPr>
        <w:ind w:left="426"/>
        <w:jc w:val="both"/>
        <w:rPr>
          <w:rFonts w:ascii="Avenir Next" w:hAnsi="Avenir Next" w:cs="Arial"/>
          <w:sz w:val="22"/>
          <w:szCs w:val="22"/>
          <w:highlight w:val="yellow"/>
          <w:lang w:val="en-GB"/>
        </w:rPr>
      </w:pPr>
      <w:r w:rsidRPr="00061059">
        <w:rPr>
          <w:rFonts w:ascii="Avenir Next" w:hAnsi="Avenir Next" w:cs="Arial"/>
          <w:sz w:val="22"/>
          <w:szCs w:val="22"/>
          <w:highlight w:val="yellow"/>
          <w:lang w:val="en-GB"/>
        </w:rPr>
        <w:t xml:space="preserve">This statement is untrue </w:t>
      </w:r>
      <w:r w:rsidR="002E1A20" w:rsidRPr="00061059">
        <w:rPr>
          <w:rFonts w:ascii="Avenir Next" w:hAnsi="Avenir Next" w:cs="Arial"/>
          <w:sz w:val="22"/>
          <w:szCs w:val="22"/>
          <w:highlight w:val="yellow"/>
          <w:lang w:val="en-GB"/>
        </w:rPr>
        <w:t xml:space="preserve">as </w:t>
      </w:r>
      <w:r w:rsidRPr="00061059">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a3"/>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a3"/>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a3"/>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a3"/>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061059" w:rsidRDefault="00323960" w:rsidP="008C35C9">
      <w:pPr>
        <w:pStyle w:val="a3"/>
        <w:numPr>
          <w:ilvl w:val="0"/>
          <w:numId w:val="30"/>
        </w:numPr>
        <w:ind w:left="426"/>
        <w:jc w:val="both"/>
        <w:rPr>
          <w:rFonts w:ascii="Avenir Next" w:hAnsi="Avenir Next" w:cs="Arial"/>
          <w:sz w:val="22"/>
          <w:szCs w:val="22"/>
          <w:highlight w:val="yellow"/>
          <w:lang w:val="en-GB"/>
        </w:rPr>
      </w:pPr>
      <w:r w:rsidRPr="00061059">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a3"/>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a3"/>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61059" w:rsidRDefault="000531FC" w:rsidP="008C35C9">
      <w:pPr>
        <w:pStyle w:val="a3"/>
        <w:numPr>
          <w:ilvl w:val="0"/>
          <w:numId w:val="31"/>
        </w:numPr>
        <w:ind w:left="426"/>
        <w:jc w:val="both"/>
        <w:rPr>
          <w:rFonts w:ascii="Avenir Next" w:hAnsi="Avenir Next" w:cs="Arial"/>
          <w:sz w:val="22"/>
          <w:szCs w:val="22"/>
          <w:highlight w:val="yellow"/>
          <w:lang w:val="en-GB"/>
        </w:rPr>
      </w:pPr>
      <w:r w:rsidRPr="00061059">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a3"/>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a3"/>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a3"/>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5D3E5D70"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304B52">
        <w:rPr>
          <w:rFonts w:ascii="Avenir Next" w:hAnsi="Avenir Next" w:cs="Arial"/>
          <w:color w:val="808080" w:themeColor="background1" w:themeShade="80"/>
          <w:sz w:val="22"/>
          <w:szCs w:val="22"/>
          <w:lang w:val="en-GB"/>
        </w:rPr>
        <w:t>Although a receiver is an a</w:t>
      </w:r>
      <w:r w:rsidR="00304B52" w:rsidRPr="00304B52">
        <w:rPr>
          <w:rFonts w:ascii="Avenir Next" w:hAnsi="Avenir Next" w:cs="Arial"/>
          <w:color w:val="808080" w:themeColor="background1" w:themeShade="80"/>
          <w:sz w:val="22"/>
          <w:szCs w:val="22"/>
          <w:lang w:val="en-GB"/>
        </w:rPr>
        <w:t>gent of the company granting the charge</w:t>
      </w:r>
      <w:r w:rsidR="00304B52">
        <w:rPr>
          <w:rFonts w:ascii="Avenir Next" w:hAnsi="Avenir Next" w:cs="Arial"/>
          <w:color w:val="808080" w:themeColor="background1" w:themeShade="80"/>
          <w:sz w:val="22"/>
          <w:szCs w:val="22"/>
          <w:lang w:val="en-GB"/>
        </w:rPr>
        <w:t xml:space="preserve">, she/he owes the duty to the charge holder. When the property charged is sold, </w:t>
      </w:r>
      <w:r w:rsidR="00304B52">
        <w:rPr>
          <w:rFonts w:ascii="Avenir Next" w:hAnsi="Avenir Next" w:cs="Arial"/>
          <w:color w:val="808080" w:themeColor="background1" w:themeShade="80"/>
          <w:sz w:val="22"/>
          <w:szCs w:val="22"/>
          <w:lang w:val="en-GB"/>
        </w:rPr>
        <w:t xml:space="preserve">she/he owes the </w:t>
      </w:r>
      <w:r w:rsidR="00304B52">
        <w:rPr>
          <w:rFonts w:ascii="Avenir Next" w:hAnsi="Avenir Next" w:cs="Arial"/>
          <w:color w:val="808080" w:themeColor="background1" w:themeShade="80"/>
          <w:sz w:val="22"/>
          <w:szCs w:val="22"/>
          <w:lang w:val="en-GB"/>
        </w:rPr>
        <w:t xml:space="preserve">remaining </w:t>
      </w:r>
      <w:r w:rsidR="00304B52">
        <w:rPr>
          <w:rFonts w:ascii="Avenir Next" w:hAnsi="Avenir Next" w:cs="Arial"/>
          <w:color w:val="808080" w:themeColor="background1" w:themeShade="80"/>
          <w:sz w:val="22"/>
          <w:szCs w:val="22"/>
          <w:lang w:val="en-GB"/>
        </w:rPr>
        <w:t>duty to the</w:t>
      </w:r>
      <w:r w:rsidR="00304B52">
        <w:rPr>
          <w:rFonts w:ascii="Avenir Next" w:hAnsi="Avenir Next" w:cs="Arial"/>
          <w:color w:val="808080" w:themeColor="background1" w:themeShade="80"/>
          <w:sz w:val="22"/>
          <w:szCs w:val="22"/>
          <w:lang w:val="en-GB"/>
        </w:rPr>
        <w:t xml:space="preserve"> borrower to act with reasonable skill and care.</w:t>
      </w:r>
      <w:r w:rsidRPr="008C35C9">
        <w:rPr>
          <w:rFonts w:ascii="Avenir Next" w:hAnsi="Avenir Next" w:cs="Arial"/>
          <w:color w:val="808080" w:themeColor="background1" w:themeShade="80"/>
          <w:sz w:val="22"/>
          <w:szCs w:val="22"/>
          <w:lang w:val="en-GB"/>
        </w:rPr>
        <w:t>]</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03C2AB50" w:rsid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304B52">
        <w:rPr>
          <w:rFonts w:ascii="Avenir Next" w:hAnsi="Avenir Next" w:cs="Arial"/>
          <w:color w:val="808080" w:themeColor="background1" w:themeShade="80"/>
          <w:sz w:val="22"/>
          <w:szCs w:val="22"/>
          <w:lang w:val="en-GB"/>
        </w:rPr>
        <w:t>The requirements to void unfair preferences are (i) the company was unable to pay its debts or became unable to pay its debts as a result of the transaction concerned, and (ii) the company was influenced by a desire to improve that person’s position in the occurrence of the liquidation.</w:t>
      </w:r>
      <w:r w:rsidRPr="008C35C9">
        <w:rPr>
          <w:rFonts w:ascii="Avenir Next" w:hAnsi="Avenir Next" w:cs="Arial"/>
          <w:color w:val="808080" w:themeColor="background1" w:themeShade="80"/>
          <w:sz w:val="22"/>
          <w:szCs w:val="22"/>
          <w:lang w:val="en-GB"/>
        </w:rPr>
        <w:t>]</w:t>
      </w:r>
    </w:p>
    <w:p w14:paraId="4715E764" w14:textId="77777777" w:rsidR="00304B52" w:rsidRPr="008C35C9" w:rsidRDefault="00304B52"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5AEE10AC" w14:textId="415B6DC6" w:rsidR="00164D6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164D6A">
        <w:rPr>
          <w:rFonts w:ascii="Avenir Next" w:hAnsi="Avenir Next" w:cs="Arial"/>
          <w:color w:val="808080" w:themeColor="background1" w:themeShade="80"/>
          <w:sz w:val="22"/>
          <w:szCs w:val="22"/>
          <w:lang w:val="en-GB"/>
        </w:rPr>
        <w:t xml:space="preserve">Considering the following elements, Hong Kong appointed liquidators or provisional liquidators in insolvency proceedings can apply for recognition in Mainland: </w:t>
      </w:r>
    </w:p>
    <w:p w14:paraId="2A2C0337" w14:textId="77777777" w:rsidR="00164D6A" w:rsidRDefault="00164D6A" w:rsidP="00164D6A">
      <w:pPr>
        <w:pStyle w:val="a3"/>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areas are Shanghai Municipality, Xiamen </w:t>
      </w:r>
      <w:r>
        <w:rPr>
          <w:rFonts w:ascii="Avenir Next" w:hAnsi="Avenir Next" w:cs="Arial"/>
          <w:color w:val="808080" w:themeColor="background1" w:themeShade="80"/>
          <w:sz w:val="22"/>
          <w:szCs w:val="22"/>
          <w:lang w:val="en-GB"/>
        </w:rPr>
        <w:t>Municipality</w:t>
      </w:r>
      <w:r>
        <w:rPr>
          <w:rFonts w:ascii="Avenir Next" w:hAnsi="Avenir Next" w:cs="Arial"/>
          <w:color w:val="808080" w:themeColor="background1" w:themeShade="80"/>
          <w:sz w:val="22"/>
          <w:szCs w:val="22"/>
          <w:lang w:val="en-GB"/>
        </w:rPr>
        <w:t xml:space="preserve"> of Fujian Province or Shenzhen </w:t>
      </w:r>
      <w:r>
        <w:rPr>
          <w:rFonts w:ascii="Avenir Next" w:hAnsi="Avenir Next" w:cs="Arial"/>
          <w:color w:val="808080" w:themeColor="background1" w:themeShade="80"/>
          <w:sz w:val="22"/>
          <w:szCs w:val="22"/>
          <w:lang w:val="en-GB"/>
        </w:rPr>
        <w:t>Municipality</w:t>
      </w:r>
      <w:r>
        <w:rPr>
          <w:rFonts w:ascii="Avenir Next" w:hAnsi="Avenir Next" w:cs="Arial"/>
          <w:color w:val="808080" w:themeColor="background1" w:themeShade="80"/>
          <w:sz w:val="22"/>
          <w:szCs w:val="22"/>
          <w:lang w:val="en-GB"/>
        </w:rPr>
        <w:t xml:space="preserve"> of Guangdong </w:t>
      </w:r>
      <w:proofErr w:type="gramStart"/>
      <w:r>
        <w:rPr>
          <w:rFonts w:ascii="Avenir Next" w:hAnsi="Avenir Next" w:cs="Arial"/>
          <w:color w:val="808080" w:themeColor="background1" w:themeShade="80"/>
          <w:sz w:val="22"/>
          <w:szCs w:val="22"/>
          <w:lang w:val="en-GB"/>
        </w:rPr>
        <w:t>Province;</w:t>
      </w:r>
      <w:proofErr w:type="gramEnd"/>
    </w:p>
    <w:p w14:paraId="1B90EEBC" w14:textId="77777777" w:rsidR="00164D6A" w:rsidRDefault="00164D6A" w:rsidP="00164D6A">
      <w:pPr>
        <w:pStyle w:val="a3"/>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Hong Kong liquidators are appointed in collective insolvency proceedings commenced under CWUMPO or the </w:t>
      </w:r>
      <w:proofErr w:type="gramStart"/>
      <w:r>
        <w:rPr>
          <w:rFonts w:ascii="Avenir Next" w:hAnsi="Avenir Next" w:cs="Arial"/>
          <w:color w:val="808080" w:themeColor="background1" w:themeShade="80"/>
          <w:sz w:val="22"/>
          <w:szCs w:val="22"/>
          <w:lang w:val="en-GB"/>
        </w:rPr>
        <w:t>CO;</w:t>
      </w:r>
      <w:proofErr w:type="gramEnd"/>
    </w:p>
    <w:p w14:paraId="1383611B" w14:textId="77777777" w:rsidR="00164D6A" w:rsidRDefault="00164D6A" w:rsidP="00164D6A">
      <w:pPr>
        <w:pStyle w:val="a3"/>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 is in Hong </w:t>
      </w:r>
      <w:proofErr w:type="gramStart"/>
      <w:r>
        <w:rPr>
          <w:rFonts w:ascii="Avenir Next" w:hAnsi="Avenir Next" w:cs="Arial"/>
          <w:color w:val="808080" w:themeColor="background1" w:themeShade="80"/>
          <w:sz w:val="22"/>
          <w:szCs w:val="22"/>
          <w:lang w:val="en-GB"/>
        </w:rPr>
        <w:t>Kong;</w:t>
      </w:r>
      <w:proofErr w:type="gramEnd"/>
    </w:p>
    <w:p w14:paraId="1E7DCB6E" w14:textId="77777777" w:rsidR="00F71E7A" w:rsidRDefault="00F71E7A" w:rsidP="00164D6A">
      <w:pPr>
        <w:pStyle w:val="a3"/>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debtor’s principal assets in Mainland are in the areas indicated in (i) </w:t>
      </w:r>
      <w:proofErr w:type="gramStart"/>
      <w:r>
        <w:rPr>
          <w:rFonts w:ascii="Avenir Next" w:hAnsi="Avenir Next" w:cs="Arial"/>
          <w:color w:val="808080" w:themeColor="background1" w:themeShade="80"/>
          <w:sz w:val="22"/>
          <w:szCs w:val="22"/>
          <w:lang w:val="en-GB"/>
        </w:rPr>
        <w:t>above;</w:t>
      </w:r>
      <w:proofErr w:type="gramEnd"/>
    </w:p>
    <w:p w14:paraId="1CF2559B" w14:textId="2CE6BD01" w:rsidR="008C35C9" w:rsidRPr="00164D6A" w:rsidRDefault="00F71E7A" w:rsidP="00164D6A">
      <w:pPr>
        <w:pStyle w:val="a3"/>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letter of request from the Hong Kong court is submitted.</w:t>
      </w:r>
      <w:r w:rsidR="008C35C9" w:rsidRPr="00164D6A">
        <w:rPr>
          <w:rFonts w:ascii="Avenir Next" w:hAnsi="Avenir Next" w:cs="Arial"/>
          <w:color w:val="808080" w:themeColor="background1" w:themeShade="80"/>
          <w:sz w:val="22"/>
          <w:szCs w:val="22"/>
          <w:lang w:val="en-GB"/>
        </w:rPr>
        <w:t>]</w:t>
      </w:r>
    </w:p>
    <w:p w14:paraId="4F481FA1" w14:textId="77777777" w:rsidR="008C35C9" w:rsidRPr="00F71E7A"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61009FEF" w14:textId="77777777" w:rsidR="00AA4770"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F71E7A">
        <w:rPr>
          <w:rFonts w:ascii="Avenir Next" w:hAnsi="Avenir Next" w:cs="Arial"/>
          <w:color w:val="808080" w:themeColor="background1" w:themeShade="80"/>
          <w:sz w:val="22"/>
          <w:szCs w:val="22"/>
          <w:lang w:val="en-GB"/>
        </w:rPr>
        <w:t xml:space="preserve">Hong Kong does not have statutory framework to deal with cross-border insolvency. However, </w:t>
      </w:r>
      <w:r w:rsidR="00AA4770">
        <w:rPr>
          <w:rFonts w:ascii="Avenir Next" w:hAnsi="Avenir Next" w:cs="Arial"/>
          <w:color w:val="808080" w:themeColor="background1" w:themeShade="80"/>
          <w:sz w:val="22"/>
          <w:szCs w:val="22"/>
          <w:lang w:val="en-GB"/>
        </w:rPr>
        <w:t xml:space="preserve">Part X of CWUMPO provides “Winding up of unregistered companies”, which may apply to not only registered non-Hong Kong company but also company not registered under the </w:t>
      </w:r>
      <w:proofErr w:type="gramStart"/>
      <w:r w:rsidR="00AA4770">
        <w:rPr>
          <w:rFonts w:ascii="Avenir Next" w:hAnsi="Avenir Next" w:cs="Arial"/>
          <w:color w:val="808080" w:themeColor="background1" w:themeShade="80"/>
          <w:sz w:val="22"/>
          <w:szCs w:val="22"/>
          <w:lang w:val="en-GB"/>
        </w:rPr>
        <w:t>companies</w:t>
      </w:r>
      <w:proofErr w:type="gramEnd"/>
      <w:r w:rsidR="00AA4770">
        <w:rPr>
          <w:rFonts w:ascii="Avenir Next" w:hAnsi="Avenir Next" w:cs="Arial"/>
          <w:color w:val="808080" w:themeColor="background1" w:themeShade="80"/>
          <w:sz w:val="22"/>
          <w:szCs w:val="22"/>
          <w:lang w:val="en-GB"/>
        </w:rPr>
        <w:t xml:space="preserve"> legislation. In order to wind-up an unregistered company in Hong Kong, there are three core requirements based on the CFA’s decision in Re Yung Kee:</w:t>
      </w:r>
    </w:p>
    <w:p w14:paraId="44E0F7BD" w14:textId="77777777" w:rsidR="00AA4770" w:rsidRDefault="00AA4770" w:rsidP="00AA4770">
      <w:pPr>
        <w:pStyle w:val="a3"/>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sufficient connection with Hong </w:t>
      </w:r>
      <w:proofErr w:type="gramStart"/>
      <w:r>
        <w:rPr>
          <w:rFonts w:ascii="Avenir Next" w:hAnsi="Avenir Next" w:cs="Arial"/>
          <w:color w:val="808080" w:themeColor="background1" w:themeShade="80"/>
          <w:sz w:val="22"/>
          <w:szCs w:val="22"/>
          <w:lang w:val="en-GB"/>
        </w:rPr>
        <w:t>Kong;</w:t>
      </w:r>
      <w:proofErr w:type="gramEnd"/>
    </w:p>
    <w:p w14:paraId="1A0B0C2A" w14:textId="172C9642" w:rsidR="00873B8A" w:rsidRDefault="00AA4770" w:rsidP="00AA4770">
      <w:pPr>
        <w:pStyle w:val="a3"/>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reasonable possibility that the winding-up order would benefit the petitioner applying </w:t>
      </w:r>
      <w:r w:rsidR="00873B8A">
        <w:rPr>
          <w:rFonts w:ascii="Avenir Next" w:hAnsi="Avenir Next" w:cs="Arial"/>
          <w:color w:val="808080" w:themeColor="background1" w:themeShade="80"/>
          <w:sz w:val="22"/>
          <w:szCs w:val="22"/>
          <w:lang w:val="en-GB"/>
        </w:rPr>
        <w:t>for it; and</w:t>
      </w:r>
    </w:p>
    <w:p w14:paraId="1BAA74E9" w14:textId="24DDEA83" w:rsidR="008C35C9" w:rsidRPr="00AA4770" w:rsidRDefault="00873B8A" w:rsidP="00AA4770">
      <w:pPr>
        <w:pStyle w:val="a3"/>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w:t>
      </w:r>
      <w:r w:rsidRPr="00873B8A">
        <w:rPr>
          <w:rFonts w:ascii="Avenir Next" w:hAnsi="Avenir Next" w:cs="Arial"/>
          <w:color w:val="808080" w:themeColor="background1" w:themeShade="80"/>
          <w:sz w:val="22"/>
          <w:szCs w:val="22"/>
          <w:lang w:val="en-GB"/>
        </w:rPr>
        <w:t>exercisable</w:t>
      </w:r>
      <w:r>
        <w:rPr>
          <w:rFonts w:ascii="Avenir Next" w:hAnsi="Avenir Next" w:cs="Arial"/>
          <w:color w:val="808080" w:themeColor="background1" w:themeShade="80"/>
          <w:sz w:val="22"/>
          <w:szCs w:val="22"/>
          <w:lang w:val="en-GB"/>
        </w:rPr>
        <w:t xml:space="preserve"> jurisdiction over one or more persons interested in the distribution of the company’s assets.</w:t>
      </w:r>
      <w:r w:rsidR="008C35C9" w:rsidRPr="00AA4770">
        <w:rPr>
          <w:rFonts w:ascii="Avenir Next" w:hAnsi="Avenir Next" w:cs="Arial"/>
          <w:color w:val="808080" w:themeColor="background1" w:themeShade="80"/>
          <w:sz w:val="22"/>
          <w:szCs w:val="22"/>
          <w:lang w:val="en-GB"/>
        </w:rPr>
        <w:t>]</w:t>
      </w:r>
    </w:p>
    <w:p w14:paraId="6147D45A" w14:textId="7553DDEA" w:rsidR="008C35C9" w:rsidRPr="00AA4770"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086347F0" w:rsidR="008C35C9" w:rsidRPr="00007808" w:rsidRDefault="008C35C9" w:rsidP="00007808">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342781">
        <w:rPr>
          <w:rFonts w:ascii="Avenir Next" w:hAnsi="Avenir Next" w:cs="Arial"/>
          <w:color w:val="808080" w:themeColor="background1" w:themeShade="80"/>
          <w:sz w:val="22"/>
          <w:szCs w:val="22"/>
          <w:lang w:val="en-GB"/>
        </w:rPr>
        <w:t xml:space="preserve">Under the scheme of arrangement, </w:t>
      </w:r>
      <w:r w:rsidR="00CD5394">
        <w:rPr>
          <w:rFonts w:ascii="Avenir Next" w:hAnsi="Avenir Next" w:cs="Arial"/>
          <w:color w:val="808080" w:themeColor="background1" w:themeShade="80"/>
          <w:sz w:val="22"/>
          <w:szCs w:val="22"/>
          <w:lang w:val="en-GB"/>
        </w:rPr>
        <w:t xml:space="preserve">the debtor can make binding compromises or arrangements with their members and/or creditors if the relevant majorities approve them and the court sanctions them. This includes adjustment of debts or reduction of capitals. Its </w:t>
      </w:r>
      <w:r w:rsidR="00007808">
        <w:rPr>
          <w:rFonts w:ascii="Avenir Next" w:hAnsi="Avenir Next" w:cs="Arial"/>
          <w:color w:val="808080" w:themeColor="background1" w:themeShade="80"/>
          <w:sz w:val="22"/>
          <w:szCs w:val="22"/>
          <w:lang w:val="en-GB"/>
        </w:rPr>
        <w:t xml:space="preserve">main </w:t>
      </w:r>
      <w:r w:rsidR="00CD5394">
        <w:rPr>
          <w:rFonts w:ascii="Avenir Next" w:hAnsi="Avenir Next" w:cs="Arial"/>
          <w:color w:val="808080" w:themeColor="background1" w:themeShade="80"/>
          <w:sz w:val="22"/>
          <w:szCs w:val="22"/>
          <w:lang w:val="en-GB"/>
        </w:rPr>
        <w:t>pros</w:t>
      </w:r>
      <w:r w:rsidR="00007808">
        <w:rPr>
          <w:rFonts w:ascii="Avenir Next" w:hAnsi="Avenir Next" w:cs="Arial"/>
          <w:color w:val="808080" w:themeColor="background1" w:themeShade="80"/>
          <w:sz w:val="22"/>
          <w:szCs w:val="22"/>
          <w:lang w:val="en-GB"/>
        </w:rPr>
        <w:t xml:space="preserve"> </w:t>
      </w:r>
      <w:proofErr w:type="gramStart"/>
      <w:r w:rsidR="00007808">
        <w:rPr>
          <w:rFonts w:ascii="Avenir Next" w:hAnsi="Avenir Next" w:cs="Arial"/>
          <w:color w:val="808080" w:themeColor="background1" w:themeShade="80"/>
          <w:sz w:val="22"/>
          <w:szCs w:val="22"/>
          <w:lang w:val="en-GB"/>
        </w:rPr>
        <w:t>is</w:t>
      </w:r>
      <w:proofErr w:type="gramEnd"/>
      <w:r w:rsidR="00007808">
        <w:rPr>
          <w:rFonts w:ascii="Avenir Next" w:hAnsi="Avenir Next" w:cs="Arial"/>
          <w:color w:val="808080" w:themeColor="background1" w:themeShade="80"/>
          <w:sz w:val="22"/>
          <w:szCs w:val="22"/>
          <w:lang w:val="en-GB"/>
        </w:rPr>
        <w:t xml:space="preserve"> </w:t>
      </w:r>
      <w:r w:rsidR="00CD5394" w:rsidRPr="00007808">
        <w:rPr>
          <w:rFonts w:ascii="Avenir Next" w:hAnsi="Avenir Next" w:cs="Arial"/>
          <w:color w:val="808080" w:themeColor="background1" w:themeShade="80"/>
          <w:sz w:val="22"/>
          <w:szCs w:val="22"/>
          <w:lang w:val="en-GB"/>
        </w:rPr>
        <w:t xml:space="preserve">the majority rules, i.e., </w:t>
      </w:r>
      <w:r w:rsidR="00007808" w:rsidRPr="00007808">
        <w:rPr>
          <w:rFonts w:ascii="Avenir Next" w:hAnsi="Avenir Next" w:cs="Arial"/>
          <w:color w:val="808080" w:themeColor="background1" w:themeShade="80"/>
          <w:sz w:val="22"/>
          <w:szCs w:val="22"/>
          <w:lang w:val="en-GB"/>
        </w:rPr>
        <w:t>successful adjustment of debts without the approval of all creditors</w:t>
      </w:r>
      <w:r w:rsidR="00007808">
        <w:rPr>
          <w:rFonts w:ascii="Avenir Next" w:hAnsi="Avenir Next" w:cs="Arial"/>
          <w:color w:val="808080" w:themeColor="background1" w:themeShade="80"/>
          <w:sz w:val="22"/>
          <w:szCs w:val="22"/>
          <w:lang w:val="en-GB"/>
        </w:rPr>
        <w:t xml:space="preserve">. If the debtor cannot use scheme of arrangement, it must obtain </w:t>
      </w:r>
      <w:r w:rsidR="00007808" w:rsidRPr="00007808">
        <w:rPr>
          <w:rFonts w:ascii="Avenir Next" w:hAnsi="Avenir Next" w:cs="Arial"/>
          <w:color w:val="808080" w:themeColor="background1" w:themeShade="80"/>
          <w:sz w:val="22"/>
          <w:szCs w:val="22"/>
          <w:lang w:val="en-GB"/>
        </w:rPr>
        <w:t xml:space="preserve">the approval of all </w:t>
      </w:r>
      <w:r w:rsidR="00007808">
        <w:rPr>
          <w:rFonts w:ascii="Avenir Next" w:hAnsi="Avenir Next" w:cs="Arial"/>
          <w:color w:val="808080" w:themeColor="background1" w:themeShade="80"/>
          <w:sz w:val="22"/>
          <w:szCs w:val="22"/>
          <w:lang w:val="en-GB"/>
        </w:rPr>
        <w:t xml:space="preserve">relevant </w:t>
      </w:r>
      <w:r w:rsidR="00007808" w:rsidRPr="00007808">
        <w:rPr>
          <w:rFonts w:ascii="Avenir Next" w:hAnsi="Avenir Next" w:cs="Arial"/>
          <w:color w:val="808080" w:themeColor="background1" w:themeShade="80"/>
          <w:sz w:val="22"/>
          <w:szCs w:val="22"/>
          <w:lang w:val="en-GB"/>
        </w:rPr>
        <w:t>creditors</w:t>
      </w:r>
      <w:r w:rsidR="00007808">
        <w:rPr>
          <w:rFonts w:ascii="Avenir Next" w:hAnsi="Avenir Next" w:cs="Arial"/>
          <w:color w:val="808080" w:themeColor="background1" w:themeShade="80"/>
          <w:sz w:val="22"/>
          <w:szCs w:val="22"/>
          <w:lang w:val="en-GB"/>
        </w:rPr>
        <w:t xml:space="preserve"> to contractually vary debts. As a result, the regime can prevent the debtor from paying unfair advantage to the specific creditors to obtain the relevant approval. Also, this regime is supervised by the court, resulting time-consuming process. However, </w:t>
      </w:r>
      <w:r w:rsidR="009871C3">
        <w:rPr>
          <w:rFonts w:ascii="Avenir Next" w:hAnsi="Avenir Next" w:cs="Arial"/>
          <w:color w:val="808080" w:themeColor="background1" w:themeShade="80"/>
          <w:sz w:val="22"/>
          <w:szCs w:val="22"/>
          <w:lang w:val="en-GB"/>
        </w:rPr>
        <w:t xml:space="preserve">from a creditors’ perspective, this supervision is to guarantee due process protection. Furthermore, even if the relevant majorities approve the proposal, the court does not necessarily sanction it. In sanctioning it, the court considers whether the relevant class of scheme creditors was fairly </w:t>
      </w:r>
      <w:proofErr w:type="gramStart"/>
      <w:r w:rsidR="009871C3">
        <w:rPr>
          <w:rFonts w:ascii="Avenir Next" w:hAnsi="Avenir Next" w:cs="Arial"/>
          <w:color w:val="808080" w:themeColor="background1" w:themeShade="80"/>
          <w:sz w:val="22"/>
          <w:szCs w:val="22"/>
          <w:lang w:val="en-GB"/>
        </w:rPr>
        <w:t>represented</w:t>
      </w:r>
      <w:proofErr w:type="gramEnd"/>
      <w:r w:rsidR="009871C3">
        <w:rPr>
          <w:rFonts w:ascii="Avenir Next" w:hAnsi="Avenir Next" w:cs="Arial"/>
          <w:color w:val="808080" w:themeColor="background1" w:themeShade="80"/>
          <w:sz w:val="22"/>
          <w:szCs w:val="22"/>
          <w:lang w:val="en-GB"/>
        </w:rPr>
        <w:t xml:space="preserve"> and the statutory majorities were acting bona fide and </w:t>
      </w:r>
      <w:r w:rsidR="00883F07">
        <w:rPr>
          <w:rFonts w:ascii="Avenir Next" w:hAnsi="Avenir Next" w:cs="Arial"/>
          <w:color w:val="808080" w:themeColor="background1" w:themeShade="80"/>
          <w:sz w:val="22"/>
          <w:szCs w:val="22"/>
          <w:lang w:val="en-GB"/>
        </w:rPr>
        <w:t xml:space="preserve">the minority was adequately treated and, if there is more than one class, the arrangement is entirely fair and equitable as between classes.  In </w:t>
      </w:r>
      <w:proofErr w:type="gramStart"/>
      <w:r w:rsidR="00883F07">
        <w:rPr>
          <w:rFonts w:ascii="Avenir Next" w:hAnsi="Avenir Next" w:cs="Arial"/>
          <w:color w:val="808080" w:themeColor="background1" w:themeShade="80"/>
          <w:sz w:val="22"/>
          <w:szCs w:val="22"/>
          <w:lang w:val="en-GB"/>
        </w:rPr>
        <w:t>this regards</w:t>
      </w:r>
      <w:proofErr w:type="gramEnd"/>
      <w:r w:rsidR="00883F07">
        <w:rPr>
          <w:rFonts w:ascii="Avenir Next" w:hAnsi="Avenir Next" w:cs="Arial"/>
          <w:color w:val="808080" w:themeColor="background1" w:themeShade="80"/>
          <w:sz w:val="22"/>
          <w:szCs w:val="22"/>
          <w:lang w:val="en-GB"/>
        </w:rPr>
        <w:t xml:space="preserve">, the court sanction process is advantageous for creditors, especially minority creditors. On the other hand, for debtors proposing the arrangement and the majority approving it, </w:t>
      </w:r>
      <w:r w:rsidR="00883F07">
        <w:rPr>
          <w:rFonts w:ascii="Avenir Next" w:hAnsi="Avenir Next" w:cs="Arial"/>
          <w:color w:val="808080" w:themeColor="background1" w:themeShade="80"/>
          <w:sz w:val="22"/>
          <w:szCs w:val="22"/>
          <w:lang w:val="en-GB"/>
        </w:rPr>
        <w:t xml:space="preserve">the court sanction process </w:t>
      </w:r>
      <w:r w:rsidR="00883F07">
        <w:rPr>
          <w:rFonts w:ascii="Avenir Next" w:hAnsi="Avenir Next" w:cs="Arial"/>
          <w:color w:val="808080" w:themeColor="background1" w:themeShade="80"/>
          <w:sz w:val="22"/>
          <w:szCs w:val="22"/>
          <w:lang w:val="en-GB"/>
        </w:rPr>
        <w:t xml:space="preserve">after the statutory creditor’s approval </w:t>
      </w:r>
      <w:r w:rsidR="00883F07">
        <w:rPr>
          <w:rFonts w:ascii="Avenir Next" w:hAnsi="Avenir Next" w:cs="Arial"/>
          <w:color w:val="808080" w:themeColor="background1" w:themeShade="80"/>
          <w:sz w:val="22"/>
          <w:szCs w:val="22"/>
          <w:lang w:val="en-GB"/>
        </w:rPr>
        <w:t>is</w:t>
      </w:r>
      <w:r w:rsidR="00883F07">
        <w:rPr>
          <w:rFonts w:ascii="Avenir Next" w:hAnsi="Avenir Next" w:cs="Arial"/>
          <w:color w:val="808080" w:themeColor="background1" w:themeShade="80"/>
          <w:sz w:val="22"/>
          <w:szCs w:val="22"/>
          <w:lang w:val="en-GB"/>
        </w:rPr>
        <w:t xml:space="preserve"> disadvantageous.</w:t>
      </w:r>
      <w:r w:rsidRPr="00007808">
        <w:rPr>
          <w:rFonts w:ascii="Avenir Next" w:hAnsi="Avenir Next" w:cs="Arial"/>
          <w:color w:val="808080" w:themeColor="background1" w:themeShade="80"/>
          <w:sz w:val="22"/>
          <w:szCs w:val="22"/>
          <w:lang w:val="en-GB"/>
        </w:rPr>
        <w:t>]</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61E72CA5"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C4A1CBF" w14:textId="2BF6633B" w:rsidR="00771304"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B2777C">
        <w:rPr>
          <w:rFonts w:ascii="Avenir Next" w:hAnsi="Avenir Next" w:cs="Arial"/>
          <w:color w:val="808080" w:themeColor="background1" w:themeShade="80"/>
          <w:sz w:val="22"/>
          <w:szCs w:val="22"/>
          <w:lang w:val="en-GB"/>
        </w:rPr>
        <w:t xml:space="preserve">Hong Kong has developed the common law principle for the assistance in terms of cross-border insolvencies. For instance, the Hong Kong court refused to enforce the judgement against Hong Kong assets held by the </w:t>
      </w:r>
      <w:proofErr w:type="gramStart"/>
      <w:r w:rsidR="00B2777C">
        <w:rPr>
          <w:rFonts w:ascii="Avenir Next" w:hAnsi="Avenir Next" w:cs="Arial"/>
          <w:color w:val="808080" w:themeColor="background1" w:themeShade="80"/>
          <w:sz w:val="22"/>
          <w:szCs w:val="22"/>
          <w:lang w:val="en-GB"/>
        </w:rPr>
        <w:t>company</w:t>
      </w:r>
      <w:proofErr w:type="gramEnd"/>
      <w:r w:rsidR="00B2777C">
        <w:rPr>
          <w:rFonts w:ascii="Avenir Next" w:hAnsi="Avenir Next" w:cs="Arial"/>
          <w:color w:val="808080" w:themeColor="background1" w:themeShade="80"/>
          <w:sz w:val="22"/>
          <w:szCs w:val="22"/>
          <w:lang w:val="en-GB"/>
        </w:rPr>
        <w:t xml:space="preserve"> which was under the foreign rehabilitation proceedings, resulting in the assistance of the foreign rehabilitation proceedings.  Also, the court has stayed the garnishee proceedings issued against the company which was under the bankruptcy proceedings in the </w:t>
      </w:r>
      <w:proofErr w:type="gramStart"/>
      <w:r w:rsidR="00B2777C">
        <w:rPr>
          <w:rFonts w:ascii="Avenir Next" w:hAnsi="Avenir Next" w:cs="Arial"/>
          <w:color w:val="808080" w:themeColor="background1" w:themeShade="80"/>
          <w:sz w:val="22"/>
          <w:szCs w:val="22"/>
          <w:lang w:val="en-GB"/>
        </w:rPr>
        <w:t>Mainland</w:t>
      </w:r>
      <w:proofErr w:type="gramEnd"/>
      <w:r w:rsidR="00B2777C">
        <w:rPr>
          <w:rFonts w:ascii="Avenir Next" w:hAnsi="Avenir Next" w:cs="Arial"/>
          <w:color w:val="808080" w:themeColor="background1" w:themeShade="80"/>
          <w:sz w:val="22"/>
          <w:szCs w:val="22"/>
          <w:lang w:val="en-GB"/>
        </w:rPr>
        <w:t xml:space="preserve">. </w:t>
      </w:r>
      <w:r w:rsidR="00260E60">
        <w:rPr>
          <w:rFonts w:ascii="Avenir Next" w:hAnsi="Avenir Next" w:cs="Arial"/>
          <w:color w:val="808080" w:themeColor="background1" w:themeShade="80"/>
          <w:sz w:val="22"/>
          <w:szCs w:val="22"/>
          <w:lang w:val="en-GB"/>
        </w:rPr>
        <w:t xml:space="preserve">Furthermore, the Privy Council has recognised the Singularis Principle as common law power of assistance: (i) jurisdiction of principal liquidation and (ii) assisting jurisdiction. </w:t>
      </w:r>
      <w:r w:rsidR="001D686A">
        <w:rPr>
          <w:rFonts w:ascii="Avenir Next" w:hAnsi="Avenir Next" w:cs="Arial"/>
          <w:color w:val="808080" w:themeColor="background1" w:themeShade="80"/>
          <w:sz w:val="22"/>
          <w:szCs w:val="22"/>
          <w:lang w:val="en-GB"/>
        </w:rPr>
        <w:t xml:space="preserve">Moreover, the letter of request issued by the foreign court to the Hong Kong court is required to recognise and assist the foreign representative, although there is no such requirement under the common law. In addition, in </w:t>
      </w:r>
      <w:r w:rsidR="001D686A">
        <w:rPr>
          <w:rFonts w:ascii="Avenir Next" w:hAnsi="Avenir Next" w:cs="Arial"/>
          <w:color w:val="808080" w:themeColor="background1" w:themeShade="80"/>
          <w:sz w:val="22"/>
          <w:szCs w:val="22"/>
          <w:lang w:val="en-GB"/>
        </w:rPr>
        <w:lastRenderedPageBreak/>
        <w:t>recognising and assisting the foreign representatives, the Hong Kong court has put the importance</w:t>
      </w:r>
      <w:r w:rsidR="00E229E0">
        <w:rPr>
          <w:rFonts w:ascii="Avenir Next" w:hAnsi="Avenir Next" w:cs="Arial"/>
          <w:color w:val="808080" w:themeColor="background1" w:themeShade="80"/>
          <w:sz w:val="22"/>
          <w:szCs w:val="22"/>
          <w:lang w:val="en-GB"/>
        </w:rPr>
        <w:t xml:space="preserve"> of the company’s COMI rather than the company’s place of incorporation. </w:t>
      </w:r>
      <w:r w:rsidR="001D686A">
        <w:rPr>
          <w:rFonts w:ascii="Avenir Next" w:hAnsi="Avenir Next" w:cs="Arial"/>
          <w:color w:val="808080" w:themeColor="background1" w:themeShade="80"/>
          <w:sz w:val="22"/>
          <w:szCs w:val="22"/>
          <w:lang w:val="en-GB"/>
        </w:rPr>
        <w:t xml:space="preserve"> </w:t>
      </w:r>
      <w:r w:rsidR="00260E60">
        <w:rPr>
          <w:rFonts w:ascii="Avenir Next" w:hAnsi="Avenir Next" w:cs="Arial"/>
          <w:color w:val="808080" w:themeColor="background1" w:themeShade="80"/>
          <w:sz w:val="22"/>
          <w:szCs w:val="22"/>
          <w:lang w:val="en-GB"/>
        </w:rPr>
        <w:t xml:space="preserve">These common law principles, which have been continued after the Handover, have developed by the desire of the court </w:t>
      </w:r>
      <w:r w:rsidR="00771304">
        <w:rPr>
          <w:rFonts w:ascii="Avenir Next" w:hAnsi="Avenir Next" w:cs="Arial"/>
          <w:color w:val="808080" w:themeColor="background1" w:themeShade="80"/>
          <w:sz w:val="22"/>
          <w:szCs w:val="22"/>
          <w:lang w:val="en-GB"/>
        </w:rPr>
        <w:t xml:space="preserve">to make is sure that there is a unitary system for the collection and distribution assets. Therefore, the court has refused to assist the liquidators of a solvent company. </w:t>
      </w:r>
    </w:p>
    <w:p w14:paraId="58497942" w14:textId="1DD2E941" w:rsidR="008C35C9" w:rsidRPr="008C35C9" w:rsidRDefault="001D686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 of the common law principle is the flexibility to adopt and develop. However, the disadvantage is that it is difficult to predict how new cases will be treated.</w:t>
      </w:r>
      <w:r w:rsidR="008C35C9" w:rsidRPr="008C35C9">
        <w:rPr>
          <w:rFonts w:ascii="Avenir Next" w:hAnsi="Avenir Next" w:cs="Arial"/>
          <w:color w:val="808080" w:themeColor="background1" w:themeShade="80"/>
          <w:sz w:val="22"/>
          <w:szCs w:val="22"/>
          <w:lang w:val="en-GB"/>
        </w:rPr>
        <w:t>]</w:t>
      </w:r>
    </w:p>
    <w:p w14:paraId="0206C1E7" w14:textId="15BDC5FD" w:rsidR="008C35C9" w:rsidRPr="00260E60"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71440DED"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E65D12">
        <w:rPr>
          <w:rFonts w:ascii="Avenir Next" w:hAnsi="Avenir Next" w:cs="Arial"/>
          <w:color w:val="808080" w:themeColor="background1" w:themeShade="80"/>
          <w:sz w:val="22"/>
          <w:szCs w:val="22"/>
          <w:lang w:val="en-GB"/>
        </w:rPr>
        <w:t xml:space="preserve">The receiver owes the primary duty to the debenture or charge folder, i.e., Sea Breeze in this case, rather than Palm Beach Limited. The receiver can be paid out of the assets and to exercise a lien over those assets pending payment. Such realisations from the assets cannot be used for the liquidation costs. However, the realisations </w:t>
      </w:r>
      <w:r w:rsidR="00641DF5">
        <w:rPr>
          <w:rFonts w:ascii="Avenir Next" w:hAnsi="Avenir Next" w:cs="Arial"/>
          <w:color w:val="808080" w:themeColor="background1" w:themeShade="80"/>
          <w:sz w:val="22"/>
          <w:szCs w:val="22"/>
          <w:lang w:val="en-GB"/>
        </w:rPr>
        <w:t>must be used to meet preferential claims even if they are unsecured creditor’s claims, provided that there are insufficient assets to pay those claims from the uncharged assets available to the liquidator</w:t>
      </w:r>
      <w:proofErr w:type="gramStart"/>
      <w:r w:rsidR="00641DF5">
        <w:rPr>
          <w:rFonts w:ascii="Avenir Next" w:hAnsi="Avenir Next" w:cs="Arial"/>
          <w:color w:val="808080" w:themeColor="background1" w:themeShade="80"/>
          <w:sz w:val="22"/>
          <w:szCs w:val="22"/>
          <w:lang w:val="en-GB"/>
        </w:rPr>
        <w:t>.</w:t>
      </w:r>
      <w:r w:rsidR="00E65D12">
        <w:rPr>
          <w:rFonts w:ascii="Avenir Next" w:hAnsi="Avenir Next" w:cs="Arial"/>
          <w:color w:val="808080" w:themeColor="background1" w:themeShade="80"/>
          <w:sz w:val="22"/>
          <w:szCs w:val="22"/>
          <w:lang w:val="en-GB"/>
        </w:rPr>
        <w:t xml:space="preserve"> </w:t>
      </w:r>
      <w:r w:rsidRPr="008C35C9">
        <w:rPr>
          <w:rFonts w:ascii="Avenir Next" w:hAnsi="Avenir Next" w:cs="Arial"/>
          <w:color w:val="808080" w:themeColor="background1" w:themeShade="80"/>
          <w:sz w:val="22"/>
          <w:szCs w:val="22"/>
          <w:lang w:val="en-GB"/>
        </w:rPr>
        <w:t>]</w:t>
      </w:r>
      <w:proofErr w:type="gramEnd"/>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49E8FD4E" w14:textId="77777777" w:rsidR="00EE723B"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EE723B">
        <w:rPr>
          <w:rFonts w:ascii="Avenir Next" w:hAnsi="Avenir Next" w:cs="Arial"/>
          <w:color w:val="808080" w:themeColor="background1" w:themeShade="80"/>
          <w:sz w:val="22"/>
          <w:szCs w:val="22"/>
          <w:lang w:val="en-GB"/>
        </w:rPr>
        <w:t>In order to obtain documents from SKL’s bank in Hong Kong, the foreign representative of SKL should apply for a specific recognition order. For this recognition order, SKL have to meet the following requirements:</w:t>
      </w:r>
    </w:p>
    <w:p w14:paraId="3E038D5C" w14:textId="69DC6C88" w:rsidR="00EE723B" w:rsidRPr="00EE723B" w:rsidRDefault="00EE723B" w:rsidP="00EE723B">
      <w:pPr>
        <w:pStyle w:val="a3"/>
        <w:numPr>
          <w:ilvl w:val="0"/>
          <w:numId w:val="41"/>
        </w:numPr>
        <w:jc w:val="both"/>
        <w:rPr>
          <w:rFonts w:ascii="Avenir Next" w:hAnsi="Avenir Next" w:cs="Arial"/>
          <w:color w:val="808080" w:themeColor="background1" w:themeShade="80"/>
          <w:sz w:val="22"/>
          <w:szCs w:val="22"/>
          <w:lang w:val="en-GB"/>
        </w:rPr>
      </w:pPr>
      <w:r w:rsidRPr="00EE723B">
        <w:rPr>
          <w:rFonts w:ascii="Avenir Next" w:hAnsi="Avenir Next" w:cs="Arial"/>
          <w:color w:val="808080" w:themeColor="background1" w:themeShade="80"/>
          <w:sz w:val="22"/>
          <w:szCs w:val="22"/>
          <w:lang w:val="en-GB"/>
        </w:rPr>
        <w:t xml:space="preserve">sufficient connection with Hong </w:t>
      </w:r>
      <w:proofErr w:type="gramStart"/>
      <w:r w:rsidRPr="00EE723B">
        <w:rPr>
          <w:rFonts w:ascii="Avenir Next" w:hAnsi="Avenir Next" w:cs="Arial"/>
          <w:color w:val="808080" w:themeColor="background1" w:themeShade="80"/>
          <w:sz w:val="22"/>
          <w:szCs w:val="22"/>
          <w:lang w:val="en-GB"/>
        </w:rPr>
        <w:t>Kong;</w:t>
      </w:r>
      <w:proofErr w:type="gramEnd"/>
    </w:p>
    <w:p w14:paraId="2952DF1C" w14:textId="3E7A0378" w:rsidR="00EE723B" w:rsidRPr="00EE723B" w:rsidRDefault="00EE723B" w:rsidP="00EE723B">
      <w:pPr>
        <w:pStyle w:val="a3"/>
        <w:numPr>
          <w:ilvl w:val="0"/>
          <w:numId w:val="41"/>
        </w:numPr>
        <w:jc w:val="both"/>
        <w:rPr>
          <w:rFonts w:ascii="Avenir Next" w:hAnsi="Avenir Next" w:cs="Arial"/>
          <w:color w:val="808080" w:themeColor="background1" w:themeShade="80"/>
          <w:sz w:val="22"/>
          <w:szCs w:val="22"/>
          <w:lang w:val="en-GB"/>
        </w:rPr>
      </w:pPr>
      <w:r w:rsidRPr="00EE723B">
        <w:rPr>
          <w:rFonts w:ascii="Avenir Next" w:hAnsi="Avenir Next" w:cs="Arial"/>
          <w:color w:val="808080" w:themeColor="background1" w:themeShade="80"/>
          <w:sz w:val="22"/>
          <w:szCs w:val="22"/>
          <w:lang w:val="en-GB"/>
        </w:rPr>
        <w:t>reasonable possibility that the winding-up order would benefit the petitioner applying for it; and</w:t>
      </w:r>
    </w:p>
    <w:p w14:paraId="5B9EF6FD" w14:textId="77777777" w:rsidR="00EE723B" w:rsidRDefault="00EE723B" w:rsidP="008C35C9">
      <w:pPr>
        <w:pStyle w:val="a3"/>
        <w:numPr>
          <w:ilvl w:val="0"/>
          <w:numId w:val="41"/>
        </w:numPr>
        <w:jc w:val="both"/>
        <w:rPr>
          <w:rFonts w:ascii="Avenir Next" w:hAnsi="Avenir Next" w:cs="Arial"/>
          <w:color w:val="808080" w:themeColor="background1" w:themeShade="80"/>
          <w:sz w:val="22"/>
          <w:szCs w:val="22"/>
          <w:lang w:val="en-GB"/>
        </w:rPr>
      </w:pPr>
      <w:r w:rsidRPr="00EE723B">
        <w:rPr>
          <w:rFonts w:ascii="Avenir Next" w:hAnsi="Avenir Next" w:cs="Arial"/>
          <w:color w:val="808080" w:themeColor="background1" w:themeShade="80"/>
          <w:sz w:val="22"/>
          <w:szCs w:val="22"/>
          <w:lang w:val="en-GB"/>
        </w:rPr>
        <w:t>the court’s exercisable jurisdiction over one or more persons interested in the distribution of the company’s assets.</w:t>
      </w:r>
    </w:p>
    <w:p w14:paraId="448DCDE2" w14:textId="359963C4" w:rsidR="001A4463" w:rsidRDefault="00EE723B" w:rsidP="00EE72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first requirement, as SKL is listed on Hong Kong Stock Exchange, SKL may be regarded as the sufficient connection with </w:t>
      </w:r>
      <w:r w:rsidR="001A4463">
        <w:rPr>
          <w:rFonts w:ascii="Avenir Next" w:hAnsi="Avenir Next" w:cs="Arial"/>
          <w:color w:val="808080" w:themeColor="background1" w:themeShade="80"/>
          <w:sz w:val="22"/>
          <w:szCs w:val="22"/>
          <w:lang w:val="en-GB"/>
        </w:rPr>
        <w:t>Hong Kong.</w:t>
      </w:r>
    </w:p>
    <w:p w14:paraId="2F193706" w14:textId="77777777" w:rsidR="001A4463" w:rsidRDefault="001A4463" w:rsidP="00EE72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second requirement, as </w:t>
      </w:r>
      <w:r>
        <w:rPr>
          <w:rFonts w:ascii="Avenir Next" w:hAnsi="Avenir Next" w:cs="Arial"/>
          <w:color w:val="808080" w:themeColor="background1" w:themeShade="80"/>
          <w:sz w:val="22"/>
          <w:szCs w:val="22"/>
          <w:lang w:val="en-GB"/>
        </w:rPr>
        <w:t>we do not have enough information related to its business or assets in Hong Kong</w:t>
      </w:r>
      <w:r>
        <w:rPr>
          <w:rFonts w:ascii="Avenir Next" w:hAnsi="Avenir Next" w:cs="Arial"/>
          <w:color w:val="808080" w:themeColor="background1" w:themeShade="80"/>
          <w:sz w:val="22"/>
          <w:szCs w:val="22"/>
          <w:lang w:val="en-GB"/>
        </w:rPr>
        <w:t xml:space="preserve">, it is not easy to make comments on the satisfaction of this requirement. However, assuming that SKJ has assets and a representative office in Shenzhen where is a pilot area </w:t>
      </w:r>
      <w:r>
        <w:rPr>
          <w:rFonts w:ascii="Avenir Next" w:hAnsi="Avenir Next" w:cs="Arial"/>
          <w:color w:val="808080" w:themeColor="background1" w:themeShade="80"/>
          <w:sz w:val="22"/>
          <w:szCs w:val="22"/>
          <w:lang w:val="en-GB"/>
        </w:rPr>
        <w:lastRenderedPageBreak/>
        <w:t>supplemented by the Supreme Court in the record of meeting, it may be regarded as</w:t>
      </w:r>
      <w:r>
        <w:rPr>
          <w:rFonts w:ascii="Avenir Next" w:hAnsi="Avenir Next" w:cs="Arial"/>
          <w:color w:val="808080" w:themeColor="background1" w:themeShade="80"/>
          <w:sz w:val="22"/>
          <w:szCs w:val="22"/>
          <w:lang w:val="en-GB"/>
        </w:rPr>
        <w:t xml:space="preserve"> the satisfaction of th</w:t>
      </w:r>
      <w:r>
        <w:rPr>
          <w:rFonts w:ascii="Avenir Next" w:hAnsi="Avenir Next" w:cs="Arial"/>
          <w:color w:val="808080" w:themeColor="background1" w:themeShade="80"/>
          <w:sz w:val="22"/>
          <w:szCs w:val="22"/>
          <w:lang w:val="en-GB"/>
        </w:rPr>
        <w:t xml:space="preserve">e second </w:t>
      </w:r>
      <w:r>
        <w:rPr>
          <w:rFonts w:ascii="Avenir Next" w:hAnsi="Avenir Next" w:cs="Arial"/>
          <w:color w:val="808080" w:themeColor="background1" w:themeShade="80"/>
          <w:sz w:val="22"/>
          <w:szCs w:val="22"/>
          <w:lang w:val="en-GB"/>
        </w:rPr>
        <w:t>requirement</w:t>
      </w:r>
      <w:r>
        <w:rPr>
          <w:rFonts w:ascii="Avenir Next" w:hAnsi="Avenir Next" w:cs="Arial"/>
          <w:color w:val="808080" w:themeColor="background1" w:themeShade="80"/>
          <w:sz w:val="22"/>
          <w:szCs w:val="22"/>
          <w:lang w:val="en-GB"/>
        </w:rPr>
        <w:t xml:space="preserve">, though there are the </w:t>
      </w:r>
      <w:r w:rsidRPr="001A4463">
        <w:rPr>
          <w:rFonts w:ascii="Avenir Next" w:hAnsi="Avenir Next" w:cs="Arial"/>
          <w:color w:val="808080" w:themeColor="background1" w:themeShade="80"/>
          <w:sz w:val="22"/>
          <w:szCs w:val="22"/>
          <w:lang w:val="en-GB"/>
        </w:rPr>
        <w:t>contradictory</w:t>
      </w:r>
      <w:r>
        <w:rPr>
          <w:rFonts w:ascii="Avenir Next" w:hAnsi="Avenir Next" w:cs="Arial"/>
          <w:color w:val="808080" w:themeColor="background1" w:themeShade="80"/>
          <w:sz w:val="22"/>
          <w:szCs w:val="22"/>
          <w:lang w:val="en-GB"/>
        </w:rPr>
        <w:t xml:space="preserve"> case, i.e., Re Solar Touch Ltd</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11600701" w14:textId="77777777" w:rsidR="008505B3" w:rsidRDefault="001A4463" w:rsidP="00EE72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the third requirement, </w:t>
      </w:r>
      <w:r w:rsidR="008505B3">
        <w:rPr>
          <w:rFonts w:ascii="Avenir Next" w:hAnsi="Avenir Next" w:cs="Arial"/>
          <w:color w:val="808080" w:themeColor="background1" w:themeShade="80"/>
          <w:sz w:val="22"/>
          <w:szCs w:val="22"/>
          <w:lang w:val="en-GB"/>
        </w:rPr>
        <w:t xml:space="preserve">the petitioner have to show that at least one creditor has sufficient connection with Hong Kong who would have sufficient economic interest in the winding-up of SKL. However, we do not have any information in relation to SKL’s creditor. </w:t>
      </w:r>
    </w:p>
    <w:p w14:paraId="6EB68A0C" w14:textId="77777777" w:rsidR="008505B3" w:rsidRDefault="008505B3" w:rsidP="00EE72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 to make further advice to SKL, we need more information related to these requirements.</w:t>
      </w:r>
    </w:p>
    <w:p w14:paraId="7851E56F" w14:textId="03400D45" w:rsidR="008C35C9" w:rsidRPr="00EE723B" w:rsidRDefault="008505B3" w:rsidP="00EE72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SKL obtains the recognition order, it is not clear whether SLK can seek the production of documents from its auditors under CWUMPO. To make it clear, we have to analyse whether Cayman law allows Cayman liquidator has the power to order production of the relevant documents</w:t>
      </w:r>
      <w:proofErr w:type="gramStart"/>
      <w:r>
        <w:rPr>
          <w:rFonts w:ascii="Avenir Next" w:hAnsi="Avenir Next" w:cs="Arial"/>
          <w:color w:val="808080" w:themeColor="background1" w:themeShade="80"/>
          <w:sz w:val="22"/>
          <w:szCs w:val="22"/>
          <w:lang w:val="en-GB"/>
        </w:rPr>
        <w:t xml:space="preserve">. </w:t>
      </w:r>
      <w:r w:rsidR="008C35C9" w:rsidRPr="00EE723B">
        <w:rPr>
          <w:rFonts w:ascii="Avenir Next" w:hAnsi="Avenir Next" w:cs="Arial"/>
          <w:color w:val="808080" w:themeColor="background1" w:themeShade="80"/>
          <w:sz w:val="22"/>
          <w:szCs w:val="22"/>
          <w:lang w:val="en-GB"/>
        </w:rPr>
        <w:t>]</w:t>
      </w:r>
      <w:proofErr w:type="gramEnd"/>
    </w:p>
    <w:p w14:paraId="164F919E" w14:textId="05922AE0" w:rsidR="008C35C9" w:rsidRPr="008505B3"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1D7E82C8"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267DF2">
        <w:rPr>
          <w:rFonts w:ascii="Avenir Next" w:hAnsi="Avenir Next" w:cs="Arial"/>
          <w:color w:val="808080" w:themeColor="background1" w:themeShade="80"/>
          <w:sz w:val="22"/>
          <w:szCs w:val="22"/>
          <w:lang w:val="en-GB"/>
        </w:rPr>
        <w:t xml:space="preserve">To commence the compulsory liquidation proceeding of Lapwing, Harrier as Lapwing’s creditor can present a winding-up petition to the court by showing that Lapwing is unable to pay its debts. Although the court cannot reject the winding-up order on the ground only that Lapwing has no assets or the assets of the company have been mortgaged to an amount equal to or over those assets, the count has the discretion to make the order. For example. If it seems that making the restructuring plan is the best interest for creditors, </w:t>
      </w:r>
      <w:r w:rsidR="00A97D6D">
        <w:rPr>
          <w:rFonts w:ascii="Avenir Next" w:hAnsi="Avenir Next" w:cs="Arial"/>
          <w:color w:val="808080" w:themeColor="background1" w:themeShade="80"/>
          <w:sz w:val="22"/>
          <w:szCs w:val="22"/>
          <w:lang w:val="en-GB"/>
        </w:rPr>
        <w:t xml:space="preserve">it is possibility that </w:t>
      </w:r>
      <w:r w:rsidR="00267DF2">
        <w:rPr>
          <w:rFonts w:ascii="Avenir Next" w:hAnsi="Avenir Next" w:cs="Arial"/>
          <w:color w:val="808080" w:themeColor="background1" w:themeShade="80"/>
          <w:sz w:val="22"/>
          <w:szCs w:val="22"/>
          <w:lang w:val="en-GB"/>
        </w:rPr>
        <w:t>the court</w:t>
      </w:r>
      <w:r w:rsidR="00A97D6D">
        <w:rPr>
          <w:rFonts w:ascii="Avenir Next" w:hAnsi="Avenir Next" w:cs="Arial"/>
          <w:color w:val="808080" w:themeColor="background1" w:themeShade="80"/>
          <w:sz w:val="22"/>
          <w:szCs w:val="22"/>
          <w:lang w:val="en-GB"/>
        </w:rPr>
        <w:t xml:space="preserve"> does not make the order. In addition, if Harrier’s claims against Lapwing are disputable, Lapwing might dispute that Harrier is not entitled to present the petition. Therefore, to make further analysis about this case, we need to collect further information in relation to this situation about Harrier and Lapwing.</w:t>
      </w:r>
      <w:r w:rsidRPr="008C35C9">
        <w:rPr>
          <w:rFonts w:ascii="Avenir Next" w:hAnsi="Avenir Next" w:cs="Arial"/>
          <w:color w:val="808080" w:themeColor="background1" w:themeShade="80"/>
          <w:sz w:val="22"/>
          <w:szCs w:val="22"/>
          <w:lang w:val="en-GB"/>
        </w:rPr>
        <w:t>]</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4691019D"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43F7CECF"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Demi Bold" w:hAnsi="Avenir Next Demi Bold" w:cs="Arial"/>
        <w:b/>
        <w:bCs/>
        <w:sz w:val="18"/>
        <w:szCs w:val="18"/>
      </w:rPr>
      <w:id w:val="-1409602822"/>
      <w:docPartObj>
        <w:docPartGallery w:val="Page Numbers (Bottom of Page)"/>
        <w:docPartUnique/>
      </w:docPartObj>
    </w:sdtPr>
    <w:sdtEndPr>
      <w:rPr>
        <w:rStyle w:val="af1"/>
        <w:rFonts w:ascii="Arial" w:hAnsi="Arial"/>
        <w:b w:val="0"/>
        <w:bCs w:val="0"/>
      </w:rPr>
    </w:sdtEndPr>
    <w:sdtContent>
      <w:p w14:paraId="7ED07D09" w14:textId="6E3CF840" w:rsidR="009B4976" w:rsidRPr="009B4976" w:rsidRDefault="009B4976" w:rsidP="00E23A7A">
        <w:pPr>
          <w:pStyle w:val="af"/>
          <w:framePr w:wrap="none" w:vAnchor="text" w:hAnchor="margin" w:xAlign="right" w:y="1"/>
          <w:rPr>
            <w:rStyle w:val="af1"/>
            <w:rFonts w:ascii="Arial" w:hAnsi="Arial" w:cs="Arial"/>
            <w:sz w:val="18"/>
            <w:szCs w:val="18"/>
          </w:rPr>
        </w:pPr>
        <w:r w:rsidRPr="00CB75C5">
          <w:rPr>
            <w:rStyle w:val="af1"/>
            <w:rFonts w:ascii="Avenir Next Demi Bold" w:hAnsi="Avenir Next Demi Bold" w:cs="Arial"/>
            <w:b/>
            <w:bCs/>
            <w:sz w:val="18"/>
            <w:szCs w:val="18"/>
          </w:rPr>
          <w:t xml:space="preserve">Page </w:t>
        </w:r>
        <w:r w:rsidRPr="00CB75C5">
          <w:rPr>
            <w:rStyle w:val="af1"/>
            <w:rFonts w:ascii="Avenir Next Demi Bold" w:hAnsi="Avenir Next Demi Bold" w:cs="Arial"/>
            <w:b/>
            <w:bCs/>
            <w:sz w:val="18"/>
            <w:szCs w:val="18"/>
          </w:rPr>
          <w:fldChar w:fldCharType="begin"/>
        </w:r>
        <w:r w:rsidRPr="00CB75C5">
          <w:rPr>
            <w:rStyle w:val="af1"/>
            <w:rFonts w:ascii="Avenir Next Demi Bold" w:hAnsi="Avenir Next Demi Bold" w:cs="Arial"/>
            <w:b/>
            <w:bCs/>
            <w:sz w:val="18"/>
            <w:szCs w:val="18"/>
          </w:rPr>
          <w:instrText xml:space="preserve"> PAGE </w:instrText>
        </w:r>
        <w:r w:rsidRPr="00CB75C5">
          <w:rPr>
            <w:rStyle w:val="af1"/>
            <w:rFonts w:ascii="Avenir Next Demi Bold" w:hAnsi="Avenir Next Demi Bold" w:cs="Arial"/>
            <w:b/>
            <w:bCs/>
            <w:sz w:val="18"/>
            <w:szCs w:val="18"/>
          </w:rPr>
          <w:fldChar w:fldCharType="separate"/>
        </w:r>
        <w:r w:rsidR="00AE1A12" w:rsidRPr="00CB75C5">
          <w:rPr>
            <w:rStyle w:val="af1"/>
            <w:rFonts w:ascii="Avenir Next Demi Bold" w:hAnsi="Avenir Next Demi Bold" w:cs="Arial"/>
            <w:b/>
            <w:bCs/>
            <w:noProof/>
            <w:sz w:val="18"/>
            <w:szCs w:val="18"/>
          </w:rPr>
          <w:t>7</w:t>
        </w:r>
        <w:r w:rsidRPr="00CB75C5">
          <w:rPr>
            <w:rStyle w:val="af1"/>
            <w:rFonts w:ascii="Avenir Next Demi Bold" w:hAnsi="Avenir Next Demi Bold" w:cs="Arial"/>
            <w:b/>
            <w:bCs/>
            <w:sz w:val="18"/>
            <w:szCs w:val="18"/>
          </w:rPr>
          <w:fldChar w:fldCharType="end"/>
        </w:r>
      </w:p>
    </w:sdtContent>
  </w:sdt>
  <w:p w14:paraId="1F59BECD" w14:textId="52EED6E1" w:rsidR="00241FA3" w:rsidRPr="00CB75C5" w:rsidRDefault="0073158B" w:rsidP="009B4976">
    <w:pPr>
      <w:pStyle w:val="af"/>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573C3"/>
    <w:multiLevelType w:val="hybridMultilevel"/>
    <w:tmpl w:val="9B46654C"/>
    <w:lvl w:ilvl="0" w:tplc="6144EC4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354ECE"/>
    <w:multiLevelType w:val="hybridMultilevel"/>
    <w:tmpl w:val="7070FA0A"/>
    <w:lvl w:ilvl="0" w:tplc="586A5DE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3B5585"/>
    <w:multiLevelType w:val="hybridMultilevel"/>
    <w:tmpl w:val="693CC38C"/>
    <w:lvl w:ilvl="0" w:tplc="AC3AC92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356EA8"/>
    <w:multiLevelType w:val="hybridMultilevel"/>
    <w:tmpl w:val="584A86DE"/>
    <w:lvl w:ilvl="0" w:tplc="1E922C0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9"/>
  </w:num>
  <w:num w:numId="3">
    <w:abstractNumId w:val="22"/>
  </w:num>
  <w:num w:numId="4">
    <w:abstractNumId w:val="17"/>
  </w:num>
  <w:num w:numId="5">
    <w:abstractNumId w:val="10"/>
  </w:num>
  <w:num w:numId="6">
    <w:abstractNumId w:val="37"/>
  </w:num>
  <w:num w:numId="7">
    <w:abstractNumId w:val="15"/>
  </w:num>
  <w:num w:numId="8">
    <w:abstractNumId w:val="29"/>
  </w:num>
  <w:num w:numId="9">
    <w:abstractNumId w:val="34"/>
  </w:num>
  <w:num w:numId="10">
    <w:abstractNumId w:val="11"/>
  </w:num>
  <w:num w:numId="11">
    <w:abstractNumId w:val="12"/>
  </w:num>
  <w:num w:numId="12">
    <w:abstractNumId w:val="0"/>
  </w:num>
  <w:num w:numId="13">
    <w:abstractNumId w:val="18"/>
  </w:num>
  <w:num w:numId="14">
    <w:abstractNumId w:val="6"/>
  </w:num>
  <w:num w:numId="15">
    <w:abstractNumId w:val="40"/>
  </w:num>
  <w:num w:numId="16">
    <w:abstractNumId w:val="25"/>
  </w:num>
  <w:num w:numId="17">
    <w:abstractNumId w:val="30"/>
  </w:num>
  <w:num w:numId="18">
    <w:abstractNumId w:val="24"/>
  </w:num>
  <w:num w:numId="19">
    <w:abstractNumId w:val="20"/>
  </w:num>
  <w:num w:numId="20">
    <w:abstractNumId w:val="19"/>
  </w:num>
  <w:num w:numId="21">
    <w:abstractNumId w:val="5"/>
  </w:num>
  <w:num w:numId="22">
    <w:abstractNumId w:val="28"/>
  </w:num>
  <w:num w:numId="23">
    <w:abstractNumId w:val="3"/>
  </w:num>
  <w:num w:numId="24">
    <w:abstractNumId w:val="32"/>
  </w:num>
  <w:num w:numId="25">
    <w:abstractNumId w:val="14"/>
  </w:num>
  <w:num w:numId="26">
    <w:abstractNumId w:val="2"/>
  </w:num>
  <w:num w:numId="27">
    <w:abstractNumId w:val="16"/>
  </w:num>
  <w:num w:numId="28">
    <w:abstractNumId w:val="36"/>
  </w:num>
  <w:num w:numId="29">
    <w:abstractNumId w:val="13"/>
  </w:num>
  <w:num w:numId="30">
    <w:abstractNumId w:val="39"/>
  </w:num>
  <w:num w:numId="31">
    <w:abstractNumId w:val="38"/>
  </w:num>
  <w:num w:numId="32">
    <w:abstractNumId w:val="27"/>
  </w:num>
  <w:num w:numId="33">
    <w:abstractNumId w:val="23"/>
  </w:num>
  <w:num w:numId="34">
    <w:abstractNumId w:val="1"/>
  </w:num>
  <w:num w:numId="35">
    <w:abstractNumId w:val="35"/>
  </w:num>
  <w:num w:numId="36">
    <w:abstractNumId w:val="7"/>
  </w:num>
  <w:num w:numId="37">
    <w:abstractNumId w:val="8"/>
  </w:num>
  <w:num w:numId="38">
    <w:abstractNumId w:val="21"/>
  </w:num>
  <w:num w:numId="39">
    <w:abstractNumId w:val="4"/>
  </w:num>
  <w:num w:numId="40">
    <w:abstractNumId w:val="31"/>
  </w:num>
  <w:num w:numId="4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808"/>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1059"/>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4D6A"/>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4463"/>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686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60"/>
    <w:rsid w:val="002638B0"/>
    <w:rsid w:val="00263D03"/>
    <w:rsid w:val="0026647A"/>
    <w:rsid w:val="002668D3"/>
    <w:rsid w:val="00266C4D"/>
    <w:rsid w:val="00267804"/>
    <w:rsid w:val="00267DF2"/>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4B52"/>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2781"/>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104B"/>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5F38"/>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1DF5"/>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54B"/>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1304"/>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05B3"/>
    <w:rsid w:val="00851B6A"/>
    <w:rsid w:val="0085270E"/>
    <w:rsid w:val="00855F61"/>
    <w:rsid w:val="008619A1"/>
    <w:rsid w:val="00864762"/>
    <w:rsid w:val="0086705F"/>
    <w:rsid w:val="00867701"/>
    <w:rsid w:val="008723F3"/>
    <w:rsid w:val="00873B8A"/>
    <w:rsid w:val="00874FFA"/>
    <w:rsid w:val="008759B7"/>
    <w:rsid w:val="00876F56"/>
    <w:rsid w:val="00880683"/>
    <w:rsid w:val="008808F5"/>
    <w:rsid w:val="00881DE6"/>
    <w:rsid w:val="008837A6"/>
    <w:rsid w:val="00883F07"/>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1C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34B"/>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97D6D"/>
    <w:rsid w:val="00AA4770"/>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2777C"/>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394"/>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1D1"/>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3614"/>
    <w:rsid w:val="00E15215"/>
    <w:rsid w:val="00E159ED"/>
    <w:rsid w:val="00E15B75"/>
    <w:rsid w:val="00E15BA9"/>
    <w:rsid w:val="00E15F1C"/>
    <w:rsid w:val="00E1761E"/>
    <w:rsid w:val="00E17693"/>
    <w:rsid w:val="00E2038D"/>
    <w:rsid w:val="00E20A7B"/>
    <w:rsid w:val="00E20F31"/>
    <w:rsid w:val="00E220AA"/>
    <w:rsid w:val="00E2260B"/>
    <w:rsid w:val="00E229E0"/>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5D12"/>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E723B"/>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E7A"/>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9</Pages>
  <Words>3005</Words>
  <Characters>17134</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AMT</cp:lastModifiedBy>
  <cp:revision>9</cp:revision>
  <cp:lastPrinted>2019-08-27T05:42:00Z</cp:lastPrinted>
  <dcterms:created xsi:type="dcterms:W3CDTF">2023-07-28T05:03:00Z</dcterms:created>
  <dcterms:modified xsi:type="dcterms:W3CDTF">2023-07-29T03:55:00Z</dcterms:modified>
</cp:coreProperties>
</file>