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82439E" w:rsidRDefault="00500836" w:rsidP="00500836">
      <w:pPr>
        <w:pStyle w:val="ListParagraph"/>
        <w:numPr>
          <w:ilvl w:val="0"/>
          <w:numId w:val="22"/>
        </w:numPr>
        <w:ind w:left="426"/>
        <w:jc w:val="both"/>
        <w:rPr>
          <w:rFonts w:ascii="Avenir Next" w:hAnsi="Avenir Next" w:cs="Arial"/>
          <w:sz w:val="22"/>
          <w:szCs w:val="22"/>
          <w:highlight w:val="yellow"/>
          <w:lang w:val="en-GB"/>
        </w:rPr>
      </w:pPr>
      <w:r w:rsidRPr="0082439E">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82439E" w:rsidRDefault="00D03AE2" w:rsidP="00D03AE2">
      <w:pPr>
        <w:pStyle w:val="ListParagraph"/>
        <w:numPr>
          <w:ilvl w:val="0"/>
          <w:numId w:val="23"/>
        </w:numPr>
        <w:ind w:left="426"/>
        <w:jc w:val="both"/>
        <w:rPr>
          <w:rFonts w:ascii="Avenir Next" w:hAnsi="Avenir Next" w:cs="Arial"/>
          <w:sz w:val="22"/>
          <w:szCs w:val="22"/>
          <w:highlight w:val="yellow"/>
        </w:rPr>
      </w:pPr>
      <w:r w:rsidRPr="0082439E">
        <w:rPr>
          <w:rFonts w:ascii="Avenir Next" w:hAnsi="Avenir Next" w:cs="Arial"/>
          <w:sz w:val="22"/>
          <w:szCs w:val="22"/>
          <w:highlight w:val="yellow"/>
        </w:rPr>
        <w:t>T</w:t>
      </w:r>
      <w:r w:rsidR="00582326" w:rsidRPr="0082439E">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82439E" w:rsidRDefault="00771D67" w:rsidP="00992661">
      <w:pPr>
        <w:pStyle w:val="ListParagraph"/>
        <w:numPr>
          <w:ilvl w:val="0"/>
          <w:numId w:val="24"/>
        </w:numPr>
        <w:ind w:left="426"/>
        <w:rPr>
          <w:rFonts w:ascii="Avenir Next" w:hAnsi="Avenir Next" w:cs="Arial"/>
          <w:sz w:val="22"/>
          <w:szCs w:val="22"/>
          <w:highlight w:val="yellow"/>
        </w:rPr>
      </w:pPr>
      <w:r w:rsidRPr="0082439E">
        <w:rPr>
          <w:rFonts w:ascii="Avenir Next" w:hAnsi="Avenir Next" w:cs="Arial"/>
          <w:sz w:val="22"/>
          <w:szCs w:val="22"/>
          <w:highlight w:val="yellow"/>
        </w:rPr>
        <w:t xml:space="preserve">The CCAA is available to companies with debts </w:t>
      </w:r>
      <w:r w:rsidR="00992661" w:rsidRPr="0082439E">
        <w:rPr>
          <w:rFonts w:ascii="Avenir Next" w:hAnsi="Avenir Next" w:cs="Arial"/>
          <w:sz w:val="22"/>
          <w:szCs w:val="22"/>
          <w:highlight w:val="yellow"/>
        </w:rPr>
        <w:t xml:space="preserve">of </w:t>
      </w:r>
      <w:r w:rsidRPr="0082439E">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proofErr w:type="spellStart"/>
      <w:r w:rsidRPr="00260EF7">
        <w:rPr>
          <w:rFonts w:ascii="Avenir Next" w:hAnsi="Avenir Next" w:cs="Arial"/>
          <w:i/>
          <w:iCs/>
          <w:sz w:val="22"/>
          <w:szCs w:val="22"/>
        </w:rPr>
        <w:t>pari</w:t>
      </w:r>
      <w:proofErr w:type="spellEnd"/>
      <w:r w:rsidRPr="00260EF7">
        <w:rPr>
          <w:rFonts w:ascii="Avenir Next" w:hAnsi="Avenir Next" w:cs="Arial"/>
          <w:i/>
          <w:iCs/>
          <w:sz w:val="22"/>
          <w:szCs w:val="22"/>
        </w:rPr>
        <w:t xml:space="preserve">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82439E" w:rsidRDefault="00B4609D" w:rsidP="00B4609D">
      <w:pPr>
        <w:pStyle w:val="ListParagraph"/>
        <w:numPr>
          <w:ilvl w:val="0"/>
          <w:numId w:val="25"/>
        </w:numPr>
        <w:ind w:left="426"/>
        <w:jc w:val="both"/>
        <w:rPr>
          <w:rFonts w:ascii="Avenir Next" w:hAnsi="Avenir Next" w:cs="Arial"/>
          <w:sz w:val="22"/>
          <w:szCs w:val="22"/>
          <w:highlight w:val="yellow"/>
        </w:rPr>
      </w:pPr>
      <w:r w:rsidRPr="0082439E">
        <w:rPr>
          <w:rFonts w:ascii="Avenir Next" w:hAnsi="Avenir Next" w:cs="Arial"/>
          <w:sz w:val="22"/>
          <w:szCs w:val="22"/>
          <w:highlight w:val="yellow"/>
        </w:rPr>
        <w:t>all of the above statements</w:t>
      </w:r>
      <w:r w:rsidR="00D40715" w:rsidRPr="0082439E">
        <w:rPr>
          <w:rFonts w:ascii="Avenir Next" w:hAnsi="Avenir Next" w:cs="Arial"/>
          <w:sz w:val="22"/>
          <w:szCs w:val="22"/>
          <w:highlight w:val="yellow"/>
        </w:rPr>
        <w:t xml:space="preserve"> are correct</w:t>
      </w:r>
      <w:r w:rsidRPr="0082439E">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82439E"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82439E">
        <w:rPr>
          <w:rFonts w:ascii="Avenir Next" w:hAnsi="Avenir Next" w:cs="Arial"/>
          <w:sz w:val="22"/>
          <w:szCs w:val="22"/>
          <w:highlight w:val="yellow"/>
          <w:lang w:val="en-GB"/>
        </w:rPr>
        <w:t>A</w:t>
      </w:r>
      <w:r w:rsidR="00012B29" w:rsidRPr="0082439E">
        <w:rPr>
          <w:rFonts w:ascii="Avenir Next" w:hAnsi="Avenir Next" w:cs="Arial"/>
          <w:sz w:val="22"/>
          <w:szCs w:val="22"/>
          <w:highlight w:val="yellow"/>
          <w:lang w:val="en-GB"/>
        </w:rPr>
        <w:t xml:space="preserve"> person whose liabilities to creditors provable as claims under the BIA amount to at least CAD 10,000</w:t>
      </w:r>
      <w:r w:rsidRPr="0082439E">
        <w:rPr>
          <w:rFonts w:ascii="Avenir Next" w:hAnsi="Avenir Next" w:cs="Arial"/>
          <w:sz w:val="22"/>
          <w:szCs w:val="22"/>
          <w:highlight w:val="yellow"/>
          <w:lang w:val="en-GB"/>
        </w:rPr>
        <w:t>.</w:t>
      </w:r>
      <w:r w:rsidR="00012B29" w:rsidRPr="0082439E">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proofErr w:type="spellStart"/>
      <w:r>
        <w:rPr>
          <w:rFonts w:ascii="Avenir Next" w:hAnsi="Avenir Next" w:cs="Arial"/>
          <w:sz w:val="22"/>
          <w:szCs w:val="22"/>
          <w:lang w:val="en-GB"/>
        </w:rPr>
        <w:t>i</w:t>
      </w:r>
      <w:proofErr w:type="spellEnd"/>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9E50C2" w:rsidRDefault="00351EF7" w:rsidP="00351EF7">
      <w:pPr>
        <w:pStyle w:val="ListParagraph"/>
        <w:numPr>
          <w:ilvl w:val="0"/>
          <w:numId w:val="27"/>
        </w:numPr>
        <w:ind w:left="426"/>
        <w:jc w:val="both"/>
        <w:rPr>
          <w:rFonts w:ascii="Avenir Next" w:hAnsi="Avenir Next" w:cs="Arial"/>
          <w:sz w:val="22"/>
          <w:szCs w:val="22"/>
          <w:highlight w:val="yellow"/>
          <w:lang w:val="en-GB"/>
        </w:rPr>
      </w:pPr>
      <w:r w:rsidRPr="009E50C2">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A84DC0"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A84DC0">
        <w:rPr>
          <w:rFonts w:ascii="Avenir Next" w:hAnsi="Avenir Next" w:cs="Arial"/>
          <w:iCs/>
          <w:sz w:val="22"/>
          <w:szCs w:val="22"/>
          <w:highlight w:val="yellow"/>
          <w:lang w:val="en-GB"/>
        </w:rPr>
        <w:t>True</w:t>
      </w:r>
      <w:r w:rsidR="00F47A63" w:rsidRPr="00A84DC0">
        <w:rPr>
          <w:rFonts w:ascii="Avenir Next" w:hAnsi="Avenir Next" w:cs="Arial"/>
          <w:iCs/>
          <w:sz w:val="22"/>
          <w:szCs w:val="22"/>
          <w:highlight w:val="yellow"/>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A84DC0" w:rsidRDefault="00716084" w:rsidP="00EF6D63">
      <w:pPr>
        <w:pStyle w:val="ListParagraph"/>
        <w:numPr>
          <w:ilvl w:val="0"/>
          <w:numId w:val="7"/>
        </w:numPr>
        <w:ind w:left="426"/>
        <w:jc w:val="both"/>
        <w:rPr>
          <w:rFonts w:ascii="Avenir Next" w:hAnsi="Avenir Next" w:cs="Arial"/>
          <w:iCs/>
          <w:sz w:val="22"/>
          <w:szCs w:val="22"/>
          <w:lang w:val="en-GB"/>
        </w:rPr>
      </w:pPr>
      <w:r w:rsidRPr="00A84DC0">
        <w:rPr>
          <w:rFonts w:ascii="Avenir Next" w:hAnsi="Avenir Next" w:cs="Arial"/>
          <w:iCs/>
          <w:sz w:val="22"/>
          <w:szCs w:val="22"/>
          <w:lang w:val="en-GB"/>
        </w:rPr>
        <w:t>False</w:t>
      </w:r>
      <w:r w:rsidR="00F47A63" w:rsidRPr="00A84DC0">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 xml:space="preserve">The CCAA is a debtor-in-possession restructuring statute designed for the </w:t>
      </w:r>
      <w:proofErr w:type="spellStart"/>
      <w:r w:rsidRPr="00864AC2">
        <w:rPr>
          <w:rFonts w:ascii="Avenir Next" w:hAnsi="Avenir Next" w:cs="Arial"/>
          <w:sz w:val="22"/>
          <w:szCs w:val="22"/>
        </w:rPr>
        <w:t>reorgani</w:t>
      </w:r>
      <w:r w:rsidR="000032D2">
        <w:rPr>
          <w:rFonts w:ascii="Avenir Next" w:hAnsi="Avenir Next" w:cs="Arial"/>
          <w:sz w:val="22"/>
          <w:szCs w:val="22"/>
        </w:rPr>
        <w:t>s</w:t>
      </w:r>
      <w:r w:rsidRPr="00864AC2">
        <w:rPr>
          <w:rFonts w:ascii="Avenir Next" w:hAnsi="Avenir Next" w:cs="Arial"/>
          <w:sz w:val="22"/>
          <w:szCs w:val="22"/>
        </w:rPr>
        <w:t>ation</w:t>
      </w:r>
      <w:proofErr w:type="spellEnd"/>
      <w:r w:rsidRPr="00864AC2">
        <w:rPr>
          <w:rFonts w:ascii="Avenir Next" w:hAnsi="Avenir Next" w:cs="Arial"/>
          <w:sz w:val="22"/>
          <w:szCs w:val="22"/>
        </w:rPr>
        <w:t xml:space="preserve">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A84DC0"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A84DC0">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A03D98"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A03D98">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A84DC0"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A84DC0">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64A6CCC5" w:rsidR="006F4E04" w:rsidRDefault="00B54B7F"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Three of the recognised purposes of the BIA are:</w:t>
      </w:r>
    </w:p>
    <w:p w14:paraId="242FCAD1" w14:textId="1AAA2A48" w:rsidR="00B54B7F" w:rsidRDefault="00B54B7F" w:rsidP="00B54B7F">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for the financial rehabilitation of insolvent persons;</w:t>
      </w:r>
    </w:p>
    <w:p w14:paraId="589B9BB5" w14:textId="1BDF8C79" w:rsidR="00B54B7F" w:rsidRDefault="00B54B7F" w:rsidP="00B54B7F">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a collective proceeding for orderly and fair distribution of property of a bankrupt among unsecured creditors on a </w:t>
      </w:r>
      <w:proofErr w:type="spellStart"/>
      <w:r>
        <w:rPr>
          <w:rFonts w:ascii="Avenir Next" w:hAnsi="Avenir Next" w:cs="Arial"/>
          <w:i/>
          <w:iCs/>
          <w:color w:val="808080" w:themeColor="background1" w:themeShade="80"/>
          <w:sz w:val="22"/>
          <w:szCs w:val="22"/>
          <w:lang w:val="en-GB"/>
        </w:rPr>
        <w:t>pari</w:t>
      </w:r>
      <w:proofErr w:type="spellEnd"/>
      <w:r>
        <w:rPr>
          <w:rFonts w:ascii="Avenir Next" w:hAnsi="Avenir Next" w:cs="Arial"/>
          <w:i/>
          <w:iCs/>
          <w:color w:val="808080" w:themeColor="background1" w:themeShade="80"/>
          <w:sz w:val="22"/>
          <w:szCs w:val="22"/>
          <w:lang w:val="en-GB"/>
        </w:rPr>
        <w:t xml:space="preserve"> passu </w:t>
      </w:r>
      <w:r>
        <w:rPr>
          <w:rFonts w:ascii="Avenir Next" w:hAnsi="Avenir Next" w:cs="Arial"/>
          <w:color w:val="808080" w:themeColor="background1" w:themeShade="80"/>
          <w:sz w:val="22"/>
          <w:szCs w:val="22"/>
          <w:lang w:val="en-GB"/>
        </w:rPr>
        <w:t>basis; and</w:t>
      </w:r>
    </w:p>
    <w:p w14:paraId="6C0327A5" w14:textId="3CF29749" w:rsidR="00B54B7F" w:rsidRPr="00B54B7F" w:rsidRDefault="00B54B7F" w:rsidP="00B54B7F">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Allowing for an investigation to be made into the affairs of a bankrupt.</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3B414199" w:rsidR="006F4E04" w:rsidRDefault="00D60A48"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Generally, in the context of an individual bankruptcy, the types of assets a debtor can keep in a bankruptcy include:</w:t>
      </w:r>
    </w:p>
    <w:p w14:paraId="75951ACC" w14:textId="2751E214" w:rsidR="00D60A48" w:rsidRDefault="00D60A48" w:rsidP="00D60A48">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Personal items and clothing;</w:t>
      </w:r>
    </w:p>
    <w:p w14:paraId="39EB32F7" w14:textId="62CE0BA5" w:rsidR="00D60A48" w:rsidRDefault="00D60A48" w:rsidP="00D60A48">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Household furniture, food and utensils in the debtor’s permanent home;</w:t>
      </w:r>
    </w:p>
    <w:p w14:paraId="7509D77C" w14:textId="3ADA639D" w:rsidR="00D60A48" w:rsidRDefault="00D60A48" w:rsidP="00D60A48">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Tools necessary to a debtor’s work;</w:t>
      </w:r>
    </w:p>
    <w:p w14:paraId="2B61FBFB" w14:textId="44202961" w:rsidR="00D60A48" w:rsidRDefault="00D60A48" w:rsidP="00D60A48">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motor vehicle with a value up to a certain limit; and</w:t>
      </w:r>
    </w:p>
    <w:p w14:paraId="58C0E759" w14:textId="6A4D475F" w:rsidR="00D60A48" w:rsidRPr="00D60A48" w:rsidRDefault="00D60A48" w:rsidP="00D60A48">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Certain farm property.</w:t>
      </w: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1E44D577" w:rsidR="006F4E04" w:rsidRDefault="005A09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Three types of court-officers that may be appointed in insolvency proceedings are: (a) a trustee; (b) a court-appointed receiver; and (c) a Monitor in proceedings under the </w:t>
      </w:r>
      <w:proofErr w:type="spellStart"/>
      <w:r>
        <w:rPr>
          <w:rFonts w:ascii="Avenir Next" w:hAnsi="Avenir Next" w:cs="Arial"/>
          <w:color w:val="808080" w:themeColor="background1" w:themeShade="80"/>
          <w:sz w:val="22"/>
          <w:szCs w:val="22"/>
          <w:lang w:val="en-GB"/>
        </w:rPr>
        <w:t>Companies</w:t>
      </w:r>
      <w:proofErr w:type="spellEnd"/>
      <w:r>
        <w:rPr>
          <w:rFonts w:ascii="Avenir Next" w:hAnsi="Avenir Next" w:cs="Arial"/>
          <w:color w:val="808080" w:themeColor="background1" w:themeShade="80"/>
          <w:sz w:val="22"/>
          <w:szCs w:val="22"/>
          <w:lang w:val="en-GB"/>
        </w:rPr>
        <w:t xml:space="preserve"> Creditors Arrangement Act (CCAA).</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16040CB9" w:rsidR="006F4E04" w:rsidRPr="002D2DAC" w:rsidRDefault="00AC60E1" w:rsidP="000101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s</w:t>
      </w:r>
      <w:r w:rsidR="008C51A8">
        <w:rPr>
          <w:rFonts w:ascii="Avenir Next" w:hAnsi="Avenir Next" w:cs="Arial"/>
          <w:color w:val="808080" w:themeColor="background1" w:themeShade="80"/>
          <w:sz w:val="22"/>
          <w:szCs w:val="22"/>
          <w:lang w:val="en-GB"/>
        </w:rPr>
        <w:t>ection</w:t>
      </w:r>
      <w:r>
        <w:rPr>
          <w:rFonts w:ascii="Avenir Next" w:hAnsi="Avenir Next" w:cs="Arial"/>
          <w:color w:val="808080" w:themeColor="background1" w:themeShade="80"/>
          <w:sz w:val="22"/>
          <w:szCs w:val="22"/>
          <w:lang w:val="en-GB"/>
        </w:rPr>
        <w:t xml:space="preserve"> 2 of the BIA, a “person” includes a partnership, an unincorporated association, a corporation, a cooperative society or a cooperative organisation, as well as the successors, heirs, executors, liquidators of the succession, administrators or other legal representatives of a person.</w:t>
      </w:r>
    </w:p>
    <w:p w14:paraId="3864E91B" w14:textId="65A8A82C" w:rsidR="006F4E04" w:rsidRDefault="006F4E04" w:rsidP="000101F5">
      <w:pPr>
        <w:jc w:val="both"/>
        <w:rPr>
          <w:rFonts w:ascii="Avenir Next" w:hAnsi="Avenir Next" w:cs="Arial"/>
          <w:bCs/>
          <w:color w:val="000000" w:themeColor="text1"/>
          <w:sz w:val="22"/>
          <w:szCs w:val="22"/>
          <w:lang w:val="en-GB"/>
        </w:rPr>
      </w:pPr>
    </w:p>
    <w:p w14:paraId="12489387" w14:textId="055058F8" w:rsidR="00C57600" w:rsidRDefault="00C57600" w:rsidP="000101F5">
      <w:pPr>
        <w:jc w:val="both"/>
        <w:rPr>
          <w:rFonts w:ascii="Avenir Next" w:hAnsi="Avenir Next" w:cs="Arial"/>
          <w:bCs/>
          <w:color w:val="000000" w:themeColor="text1"/>
          <w:sz w:val="22"/>
          <w:szCs w:val="22"/>
          <w:lang w:val="en-GB"/>
        </w:rPr>
      </w:pPr>
    </w:p>
    <w:p w14:paraId="7671DB09" w14:textId="08ECEA46" w:rsidR="00C57600" w:rsidRDefault="00C57600" w:rsidP="000101F5">
      <w:pPr>
        <w:jc w:val="both"/>
        <w:rPr>
          <w:rFonts w:ascii="Avenir Next" w:hAnsi="Avenir Next" w:cs="Arial"/>
          <w:bCs/>
          <w:color w:val="000000" w:themeColor="text1"/>
          <w:sz w:val="22"/>
          <w:szCs w:val="22"/>
          <w:lang w:val="en-GB"/>
        </w:rPr>
      </w:pPr>
    </w:p>
    <w:p w14:paraId="03E4389B" w14:textId="655C361F" w:rsidR="00C57600" w:rsidRDefault="00C57600" w:rsidP="000101F5">
      <w:pPr>
        <w:jc w:val="both"/>
        <w:rPr>
          <w:rFonts w:ascii="Avenir Next" w:hAnsi="Avenir Next" w:cs="Arial"/>
          <w:bCs/>
          <w:color w:val="000000" w:themeColor="text1"/>
          <w:sz w:val="22"/>
          <w:szCs w:val="22"/>
          <w:lang w:val="en-GB"/>
        </w:rPr>
      </w:pPr>
    </w:p>
    <w:p w14:paraId="1D953CB9" w14:textId="0147498C" w:rsidR="00C57600" w:rsidRDefault="00C57600" w:rsidP="000101F5">
      <w:pPr>
        <w:jc w:val="both"/>
        <w:rPr>
          <w:rFonts w:ascii="Avenir Next" w:hAnsi="Avenir Next" w:cs="Arial"/>
          <w:bCs/>
          <w:color w:val="000000" w:themeColor="text1"/>
          <w:sz w:val="22"/>
          <w:szCs w:val="22"/>
          <w:lang w:val="en-GB"/>
        </w:rPr>
      </w:pPr>
    </w:p>
    <w:p w14:paraId="26DD2626" w14:textId="0D0D52AE" w:rsidR="00C57600" w:rsidRDefault="00C57600" w:rsidP="000101F5">
      <w:pPr>
        <w:jc w:val="both"/>
        <w:rPr>
          <w:rFonts w:ascii="Avenir Next" w:hAnsi="Avenir Next" w:cs="Arial"/>
          <w:bCs/>
          <w:color w:val="000000" w:themeColor="text1"/>
          <w:sz w:val="22"/>
          <w:szCs w:val="22"/>
          <w:lang w:val="en-GB"/>
        </w:rPr>
      </w:pPr>
    </w:p>
    <w:p w14:paraId="53299824" w14:textId="7DBE84BD" w:rsidR="00C57600" w:rsidRDefault="00C57600" w:rsidP="000101F5">
      <w:pPr>
        <w:jc w:val="both"/>
        <w:rPr>
          <w:rFonts w:ascii="Avenir Next" w:hAnsi="Avenir Next" w:cs="Arial"/>
          <w:bCs/>
          <w:color w:val="000000" w:themeColor="text1"/>
          <w:sz w:val="22"/>
          <w:szCs w:val="22"/>
          <w:lang w:val="en-GB"/>
        </w:rPr>
      </w:pPr>
    </w:p>
    <w:p w14:paraId="10F73F26" w14:textId="783E4B46" w:rsidR="00C57600" w:rsidRDefault="00C57600" w:rsidP="000101F5">
      <w:pPr>
        <w:jc w:val="both"/>
        <w:rPr>
          <w:rFonts w:ascii="Avenir Next" w:hAnsi="Avenir Next" w:cs="Arial"/>
          <w:bCs/>
          <w:color w:val="000000" w:themeColor="text1"/>
          <w:sz w:val="22"/>
          <w:szCs w:val="22"/>
          <w:lang w:val="en-GB"/>
        </w:rPr>
      </w:pPr>
    </w:p>
    <w:p w14:paraId="08DABEA9" w14:textId="4AD1012E" w:rsidR="00C57600" w:rsidRDefault="00C57600" w:rsidP="000101F5">
      <w:pPr>
        <w:jc w:val="both"/>
        <w:rPr>
          <w:rFonts w:ascii="Avenir Next" w:hAnsi="Avenir Next" w:cs="Arial"/>
          <w:bCs/>
          <w:color w:val="000000" w:themeColor="text1"/>
          <w:sz w:val="22"/>
          <w:szCs w:val="22"/>
          <w:lang w:val="en-GB"/>
        </w:rPr>
      </w:pPr>
    </w:p>
    <w:p w14:paraId="4F272CDC" w14:textId="2CF0C406" w:rsidR="00C57600" w:rsidRDefault="00C57600" w:rsidP="000101F5">
      <w:pPr>
        <w:jc w:val="both"/>
        <w:rPr>
          <w:rFonts w:ascii="Avenir Next" w:hAnsi="Avenir Next" w:cs="Arial"/>
          <w:bCs/>
          <w:color w:val="000000" w:themeColor="text1"/>
          <w:sz w:val="22"/>
          <w:szCs w:val="22"/>
          <w:lang w:val="en-GB"/>
        </w:rPr>
      </w:pP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lastRenderedPageBreak/>
        <w:t>In your essay you should refer to at least the following: (</w:t>
      </w:r>
      <w:proofErr w:type="spellStart"/>
      <w:r w:rsidR="00ED5260">
        <w:rPr>
          <w:rFonts w:ascii="Avenir Next" w:hAnsi="Avenir Next" w:cs="Arial"/>
          <w:sz w:val="22"/>
          <w:szCs w:val="22"/>
          <w:lang w:val="en-GB"/>
        </w:rPr>
        <w:t>i</w:t>
      </w:r>
      <w:proofErr w:type="spellEnd"/>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5189858A" w14:textId="29D9284A" w:rsidR="00F47A63" w:rsidRDefault="004B1C94" w:rsidP="00D67759">
      <w:pPr>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Appointment of receivers</w:t>
      </w:r>
    </w:p>
    <w:p w14:paraId="73F00FE2" w14:textId="77777777" w:rsidR="004B1C94" w:rsidRDefault="004B1C94" w:rsidP="00D67759">
      <w:pPr>
        <w:jc w:val="both"/>
        <w:rPr>
          <w:rFonts w:ascii="Avenir Next" w:hAnsi="Avenir Next" w:cs="Arial"/>
          <w:b/>
          <w:bCs/>
          <w:color w:val="808080" w:themeColor="background1" w:themeShade="80"/>
          <w:sz w:val="22"/>
          <w:szCs w:val="22"/>
          <w:u w:val="single"/>
          <w:lang w:val="en-GB"/>
        </w:rPr>
      </w:pPr>
    </w:p>
    <w:p w14:paraId="71607FF3" w14:textId="14BD9E9D" w:rsidR="004B1C94" w:rsidRDefault="004B1C94"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privately-appointed receiver will be provided for in the security agreement between the debtor and the secured creditor, under which the secured creditor has a contractual right to appoint a receiver if the debtor is unable to meet its obligations.</w:t>
      </w:r>
    </w:p>
    <w:p w14:paraId="54ABE0FC" w14:textId="77777777" w:rsidR="004B1C94" w:rsidRDefault="004B1C94" w:rsidP="00D67759">
      <w:pPr>
        <w:jc w:val="both"/>
        <w:rPr>
          <w:rFonts w:ascii="Avenir Next" w:hAnsi="Avenir Next" w:cs="Arial"/>
          <w:color w:val="808080" w:themeColor="background1" w:themeShade="80"/>
          <w:sz w:val="22"/>
          <w:szCs w:val="22"/>
          <w:lang w:val="en-GB"/>
        </w:rPr>
      </w:pPr>
    </w:p>
    <w:p w14:paraId="62A4FA76" w14:textId="56386B0B" w:rsidR="004B1C94" w:rsidRPr="001F1D1F" w:rsidRDefault="004B1C94"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a court-appointed receiver is appointed by the court </w:t>
      </w:r>
      <w:r w:rsidR="001F1D1F">
        <w:rPr>
          <w:rFonts w:ascii="Avenir Next" w:hAnsi="Avenir Next" w:cs="Arial"/>
          <w:color w:val="808080" w:themeColor="background1" w:themeShade="80"/>
          <w:sz w:val="22"/>
          <w:szCs w:val="22"/>
          <w:lang w:val="en-GB"/>
        </w:rPr>
        <w:t>either upon application by a secured creditor or any interested party. Section 243 of the BIA</w:t>
      </w:r>
      <w:r>
        <w:rPr>
          <w:rFonts w:ascii="Avenir Next" w:hAnsi="Avenir Next" w:cs="Arial"/>
          <w:color w:val="808080" w:themeColor="background1" w:themeShade="80"/>
          <w:sz w:val="22"/>
          <w:szCs w:val="22"/>
          <w:lang w:val="en-GB"/>
        </w:rPr>
        <w:t xml:space="preserve"> authorizes a secured creditor to apply to the court for the appointment of a receiver with national authority to take control of the business when the debtor is unable to meet its obligations under the security agreement.</w:t>
      </w:r>
      <w:r w:rsidR="001F1D1F">
        <w:rPr>
          <w:rFonts w:ascii="Avenir Next" w:hAnsi="Avenir Next" w:cs="Arial"/>
          <w:color w:val="808080" w:themeColor="background1" w:themeShade="80"/>
          <w:sz w:val="22"/>
          <w:szCs w:val="22"/>
          <w:lang w:val="en-GB"/>
        </w:rPr>
        <w:t xml:space="preserve"> In addition, the Courts of Justice Acts of individual Canadian provinces also allow the court to appoint a receiver on application by any interested party (including shareholders or unsecured creditors) where it is “just and convenient” to do so (</w:t>
      </w:r>
      <w:proofErr w:type="spellStart"/>
      <w:r w:rsidR="001F1D1F">
        <w:rPr>
          <w:rFonts w:ascii="Avenir Next" w:hAnsi="Avenir Next" w:cs="Arial"/>
          <w:i/>
          <w:iCs/>
          <w:color w:val="808080" w:themeColor="background1" w:themeShade="80"/>
          <w:sz w:val="22"/>
          <w:szCs w:val="22"/>
          <w:lang w:val="en-GB"/>
        </w:rPr>
        <w:t>ie</w:t>
      </w:r>
      <w:proofErr w:type="spellEnd"/>
      <w:r w:rsidR="001F1D1F">
        <w:rPr>
          <w:rFonts w:ascii="Avenir Next" w:hAnsi="Avenir Next" w:cs="Arial"/>
          <w:color w:val="808080" w:themeColor="background1" w:themeShade="80"/>
          <w:sz w:val="22"/>
          <w:szCs w:val="22"/>
          <w:lang w:val="en-GB"/>
        </w:rPr>
        <w:t xml:space="preserve">, an “equitable receiver”). A court-appointed receiver derives its powers from the court order and any specific legislation governing its powers. </w:t>
      </w:r>
    </w:p>
    <w:p w14:paraId="00F0CD51" w14:textId="77777777" w:rsidR="004B1C94" w:rsidRDefault="004B1C94" w:rsidP="00D67759">
      <w:pPr>
        <w:jc w:val="both"/>
        <w:rPr>
          <w:rFonts w:ascii="Avenir Next" w:hAnsi="Avenir Next" w:cs="Arial"/>
          <w:color w:val="808080" w:themeColor="background1" w:themeShade="80"/>
          <w:sz w:val="22"/>
          <w:szCs w:val="22"/>
          <w:lang w:val="en-GB"/>
        </w:rPr>
      </w:pPr>
    </w:p>
    <w:p w14:paraId="1AA81F7D" w14:textId="05A5CCD7" w:rsidR="004B1C94" w:rsidRPr="004B1C94" w:rsidRDefault="004B1C94" w:rsidP="00D67759">
      <w:pPr>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Duties of receivers</w:t>
      </w:r>
    </w:p>
    <w:p w14:paraId="5A03BC27" w14:textId="37E861EE" w:rsidR="006F4E04" w:rsidRDefault="006F4E04" w:rsidP="006F4E04">
      <w:pPr>
        <w:rPr>
          <w:lang w:val="en-GB"/>
        </w:rPr>
      </w:pPr>
    </w:p>
    <w:p w14:paraId="319DFF9A" w14:textId="6FE32A8B" w:rsidR="004B1C94" w:rsidRDefault="004B1C94" w:rsidP="004B1C94">
      <w:pPr>
        <w:jc w:val="both"/>
        <w:rPr>
          <w:rFonts w:ascii="Avenir Next" w:hAnsi="Avenir Next" w:cs="Arial"/>
          <w:color w:val="808080" w:themeColor="background1" w:themeShade="80"/>
          <w:sz w:val="22"/>
          <w:szCs w:val="22"/>
          <w:lang w:val="en-GB"/>
        </w:rPr>
      </w:pPr>
      <w:r w:rsidRPr="004B1C94">
        <w:rPr>
          <w:rFonts w:ascii="Avenir Next" w:hAnsi="Avenir Next" w:cs="Arial"/>
          <w:color w:val="808080" w:themeColor="background1" w:themeShade="80"/>
          <w:sz w:val="22"/>
          <w:szCs w:val="22"/>
          <w:lang w:val="en-GB"/>
        </w:rPr>
        <w:t>A private receiver’s duties are owed mainly to the secured creditor that appointed it.</w:t>
      </w:r>
      <w:r>
        <w:rPr>
          <w:rFonts w:ascii="Avenir Next" w:hAnsi="Avenir Next" w:cs="Arial"/>
          <w:color w:val="808080" w:themeColor="background1" w:themeShade="80"/>
          <w:sz w:val="22"/>
          <w:szCs w:val="22"/>
          <w:lang w:val="en-GB"/>
        </w:rPr>
        <w:t xml:space="preserve"> Nonetheless, a private receiver still has a general duty to act honestly, in good faith and in a commercially reasonable manner, including to attempt to maximise recoveries and obtain the best price for the debtor’s assets in the given circumstances (L A Rogers and P L J Huff, “Commercial Restructuring and Insolvency in Canada”, The Insolvency law Institute, p 18).</w:t>
      </w:r>
    </w:p>
    <w:p w14:paraId="555FB3F1" w14:textId="77777777" w:rsidR="001F1D1F" w:rsidRDefault="001F1D1F" w:rsidP="004B1C94">
      <w:pPr>
        <w:jc w:val="both"/>
        <w:rPr>
          <w:rFonts w:ascii="Avenir Next" w:hAnsi="Avenir Next" w:cs="Arial"/>
          <w:color w:val="808080" w:themeColor="background1" w:themeShade="80"/>
          <w:sz w:val="22"/>
          <w:szCs w:val="22"/>
          <w:lang w:val="en-GB"/>
        </w:rPr>
      </w:pPr>
    </w:p>
    <w:p w14:paraId="7E2784FF" w14:textId="7E53D6B3" w:rsidR="001F1D1F" w:rsidRDefault="001F1D1F" w:rsidP="004B1C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court-appointed receiver, on the other hand, is an officer of the court and has duties to all creditors of the debtor. The court-appointed receiver reports to and takes directions and instructions from the court, not the creditor that first sought its appointment.</w:t>
      </w:r>
    </w:p>
    <w:p w14:paraId="39EA9D6D" w14:textId="77777777" w:rsidR="001F1D1F" w:rsidRDefault="001F1D1F" w:rsidP="004B1C94">
      <w:pPr>
        <w:jc w:val="both"/>
        <w:rPr>
          <w:rFonts w:ascii="Avenir Next" w:hAnsi="Avenir Next" w:cs="Arial"/>
          <w:color w:val="808080" w:themeColor="background1" w:themeShade="80"/>
          <w:sz w:val="22"/>
          <w:szCs w:val="22"/>
          <w:lang w:val="en-GB"/>
        </w:rPr>
      </w:pPr>
    </w:p>
    <w:p w14:paraId="1C376DB5" w14:textId="6351402E" w:rsidR="001F1D1F" w:rsidRDefault="001F1D1F" w:rsidP="004B1C94">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u w:val="single"/>
          <w:lang w:val="en-GB"/>
        </w:rPr>
        <w:t>Circumstances in which each type of receiver is generally used</w:t>
      </w:r>
    </w:p>
    <w:p w14:paraId="1BF99A6F" w14:textId="77777777" w:rsidR="001F1D1F" w:rsidRDefault="001F1D1F" w:rsidP="004B1C94">
      <w:pPr>
        <w:jc w:val="both"/>
        <w:rPr>
          <w:rFonts w:ascii="Avenir Next" w:hAnsi="Avenir Next" w:cs="Arial"/>
          <w:color w:val="808080" w:themeColor="background1" w:themeShade="80"/>
          <w:sz w:val="22"/>
          <w:szCs w:val="22"/>
          <w:lang w:val="en-GB"/>
        </w:rPr>
      </w:pPr>
    </w:p>
    <w:p w14:paraId="6C783DF3" w14:textId="4C806BB3" w:rsidR="001F1D1F" w:rsidRDefault="001F1D1F" w:rsidP="004B1C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Private receivers are most often used where there is a small business or a discrete pool of assets and there will not be competing creditor claims or disputes with the debtor. As private receiverships go not generally involve court attendances, they can be quick and cost effective. However, concerns over successor liability to the receiver’s carrying on business means private receivers are not often used. </w:t>
      </w:r>
    </w:p>
    <w:p w14:paraId="4425C8AB" w14:textId="77777777" w:rsidR="001F1D1F" w:rsidRDefault="001F1D1F" w:rsidP="004B1C94">
      <w:pPr>
        <w:jc w:val="both"/>
        <w:rPr>
          <w:rFonts w:ascii="Avenir Next" w:hAnsi="Avenir Next" w:cs="Arial"/>
          <w:color w:val="808080" w:themeColor="background1" w:themeShade="80"/>
          <w:sz w:val="22"/>
          <w:szCs w:val="22"/>
          <w:lang w:val="en-GB"/>
        </w:rPr>
      </w:pPr>
    </w:p>
    <w:p w14:paraId="73B5AE4A" w14:textId="7E346B98" w:rsidR="001F1D1F" w:rsidRPr="001F1D1F" w:rsidRDefault="001F1D1F" w:rsidP="004B1C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comparison, court appointments usually occur in more complex cases, especially where there are competing claims between creditors or disputes between the creditor and debt</w:t>
      </w:r>
      <w:r w:rsidR="00D74359">
        <w:rPr>
          <w:rFonts w:ascii="Avenir Next" w:hAnsi="Avenir Next" w:cs="Arial"/>
          <w:color w:val="808080" w:themeColor="background1" w:themeShade="80"/>
          <w:sz w:val="22"/>
          <w:szCs w:val="22"/>
          <w:lang w:val="en-GB"/>
        </w:rPr>
        <w:t>or</w:t>
      </w:r>
      <w:r>
        <w:rPr>
          <w:rFonts w:ascii="Avenir Next" w:hAnsi="Avenir Next" w:cs="Arial"/>
          <w:color w:val="808080" w:themeColor="background1" w:themeShade="80"/>
          <w:sz w:val="22"/>
          <w:szCs w:val="22"/>
          <w:lang w:val="en-GB"/>
        </w:rPr>
        <w:t>. Court appointments may also be the case where it appears likely from the outset that the court’s assistance will be required on an ongoing basis. In such circumstances, a court-appointed receiver provides a greater degree of comfort for creditors and professionals in terms of the potential liability they may face as compared to in a private receivership, since the court must approve many of the receiver’s decisions along the way.</w:t>
      </w: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5AD514EF" w14:textId="2256C870" w:rsidR="007E70EC" w:rsidRDefault="008C1B34"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There are three methods for entering into bankruptcy:</w:t>
      </w:r>
    </w:p>
    <w:p w14:paraId="195D3E7F" w14:textId="456E484F" w:rsidR="008C1B34" w:rsidRDefault="008C1B34" w:rsidP="008C1B34">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Involuntary;</w:t>
      </w:r>
    </w:p>
    <w:p w14:paraId="425A0A6E" w14:textId="6ED9969F" w:rsidR="008C1B34" w:rsidRDefault="008C1B34" w:rsidP="008C1B34">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Voluntary;</w:t>
      </w:r>
    </w:p>
    <w:p w14:paraId="05BE3F61" w14:textId="5F40843B" w:rsidR="008C1B34" w:rsidRDefault="008C1B34" w:rsidP="008C1B34">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And on the failure of, or failure to perform the terms of, a BIA proposal.</w:t>
      </w:r>
    </w:p>
    <w:p w14:paraId="144B7539" w14:textId="77777777" w:rsidR="008C1B34" w:rsidRDefault="008C1B34" w:rsidP="008C1B34">
      <w:pPr>
        <w:jc w:val="both"/>
        <w:rPr>
          <w:rFonts w:ascii="Avenir Next" w:hAnsi="Avenir Next" w:cs="Arial"/>
          <w:color w:val="808080" w:themeColor="background1" w:themeShade="80"/>
          <w:sz w:val="22"/>
          <w:szCs w:val="22"/>
          <w:lang w:val="en-GB"/>
        </w:rPr>
      </w:pPr>
    </w:p>
    <w:p w14:paraId="4F5E139D" w14:textId="4A7F950F" w:rsidR="008C1B34" w:rsidRPr="008C1B34" w:rsidRDefault="008C1B34" w:rsidP="008C1B34">
      <w:pPr>
        <w:pStyle w:val="ListParagraph"/>
        <w:numPr>
          <w:ilvl w:val="0"/>
          <w:numId w:val="34"/>
        </w:numPr>
        <w:jc w:val="both"/>
        <w:rPr>
          <w:rFonts w:ascii="Avenir Next" w:hAnsi="Avenir Next" w:cs="Arial"/>
          <w:b/>
          <w:bCs/>
          <w:color w:val="808080" w:themeColor="background1" w:themeShade="80"/>
          <w:sz w:val="22"/>
          <w:szCs w:val="22"/>
          <w:lang w:val="en-GB"/>
        </w:rPr>
      </w:pPr>
      <w:r w:rsidRPr="008C1B34">
        <w:rPr>
          <w:rFonts w:ascii="Avenir Next" w:hAnsi="Avenir Next" w:cs="Arial"/>
          <w:b/>
          <w:bCs/>
          <w:color w:val="808080" w:themeColor="background1" w:themeShade="80"/>
          <w:sz w:val="22"/>
          <w:szCs w:val="22"/>
          <w:lang w:val="en-GB"/>
        </w:rPr>
        <w:t>Involuntary bankruptcy</w:t>
      </w:r>
    </w:p>
    <w:p w14:paraId="07125F16" w14:textId="31619A71" w:rsidR="008C1B34" w:rsidRDefault="008C1B34" w:rsidP="008C1B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creditor may apply for an involuntary bankruptcy order. The applying creditor(s) must: (a) be owed in excess of CAD 1,000 of unsecured debt and (b) provide evidence that the debtor has committed an “act of bankruptcy” within six months of the date of the filing of the application. An involuntary bankruptcy application must be brought to the bankruptcy court in the location where the debtor ordinarily resides, does business has assets or property, or in the case where the debtor has no assets currently in Canada, where it did business within the previous year.</w:t>
      </w:r>
    </w:p>
    <w:p w14:paraId="1B550AE2" w14:textId="77777777" w:rsidR="008C1B34" w:rsidRDefault="008C1B34" w:rsidP="008C1B34">
      <w:pPr>
        <w:jc w:val="both"/>
        <w:rPr>
          <w:rFonts w:ascii="Avenir Next" w:hAnsi="Avenir Next" w:cs="Arial"/>
          <w:color w:val="808080" w:themeColor="background1" w:themeShade="80"/>
          <w:sz w:val="22"/>
          <w:szCs w:val="22"/>
          <w:lang w:val="en-GB"/>
        </w:rPr>
      </w:pPr>
    </w:p>
    <w:p w14:paraId="189DC7BC" w14:textId="265E59DE" w:rsidR="008C1B34" w:rsidRDefault="008C1B34" w:rsidP="008C1B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“act of bankruptcy” involves one of two different types of conduct: (a) conduct that shows the debtor has violated certain norms of commercial morality by attempting to frustrate the legitimate collection efforts of the creditor; (b) conduct that shows the debtor is insolvent. </w:t>
      </w:r>
    </w:p>
    <w:p w14:paraId="05CCF62E" w14:textId="77777777" w:rsidR="008C1B34" w:rsidRDefault="008C1B34" w:rsidP="008C1B34">
      <w:pPr>
        <w:jc w:val="both"/>
        <w:rPr>
          <w:rFonts w:ascii="Avenir Next" w:hAnsi="Avenir Next" w:cs="Arial"/>
          <w:color w:val="808080" w:themeColor="background1" w:themeShade="80"/>
          <w:sz w:val="22"/>
          <w:szCs w:val="22"/>
          <w:lang w:val="en-GB"/>
        </w:rPr>
      </w:pPr>
    </w:p>
    <w:p w14:paraId="42648B96" w14:textId="49E42FE7" w:rsidR="008C1B34" w:rsidRDefault="008C1B34" w:rsidP="008C1B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42 of the BIA lists the acts of bankruptcy:</w:t>
      </w:r>
    </w:p>
    <w:p w14:paraId="123EAE0A" w14:textId="1C9DD183" w:rsidR="008C1B34" w:rsidRDefault="008C1B34" w:rsidP="008C1B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Canada or elsewhere the bankrupt makes an assignment of property to a trustee for the benefit of creditors;</w:t>
      </w:r>
    </w:p>
    <w:p w14:paraId="305CACEA" w14:textId="51514230" w:rsidR="008C1B34" w:rsidRDefault="008C1B34" w:rsidP="008C1B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Canada or elsewhere the debtor makes a fraudulent gift, delivery or transfer of the debtor’s property or of any part of it;</w:t>
      </w:r>
    </w:p>
    <w:p w14:paraId="02F4FF06" w14:textId="3C41CAB2" w:rsidR="008C1B34" w:rsidRDefault="008C1B34" w:rsidP="008C1B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Canada or elsewhere the debtor makes any transfer of the debtor’s property or any part of it, or creates any charge on it, that is a fraudulent preference;</w:t>
      </w:r>
    </w:p>
    <w:p w14:paraId="6F1803CC" w14:textId="69438ECC" w:rsidR="008C1B34" w:rsidRDefault="008C1B34" w:rsidP="008C1B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with the intent to defeat or delay his creditors, departs out of Canada or remains out of Canada or departs from his dwelling or otherwise absents himself;</w:t>
      </w:r>
    </w:p>
    <w:p w14:paraId="66A21774" w14:textId="2C7D6B87" w:rsidR="008C1B34" w:rsidRDefault="008C1B34" w:rsidP="008C1B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Permitting, for certain specific periods of time, execution under which the debtor’s property is taken; </w:t>
      </w:r>
    </w:p>
    <w:p w14:paraId="378F5A36" w14:textId="39308763" w:rsidR="008C1B34" w:rsidRDefault="008C1B34" w:rsidP="008C1B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admission of his inability to pay debts;</w:t>
      </w:r>
    </w:p>
    <w:p w14:paraId="01783F5A" w14:textId="61027666" w:rsidR="008C1B34" w:rsidRDefault="008C1B34" w:rsidP="008C1B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assigns, removes, secretes or disposes of or attempts or is about to do</w:t>
      </w:r>
      <w:r w:rsidR="00363FDA">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same with his property with the intent to defraud, defeat or delay his creditors or any of them;</w:t>
      </w:r>
    </w:p>
    <w:p w14:paraId="54BF682C" w14:textId="23EAEDEE" w:rsidR="008C1B34" w:rsidRDefault="008C1B34" w:rsidP="008C1B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Giving notice to creditors that the debtor has </w:t>
      </w:r>
      <w:r w:rsidR="006E50DC">
        <w:rPr>
          <w:rFonts w:ascii="Avenir Next" w:hAnsi="Avenir Next" w:cs="Arial"/>
          <w:color w:val="808080" w:themeColor="background1" w:themeShade="80"/>
          <w:sz w:val="22"/>
          <w:szCs w:val="22"/>
          <w:lang w:val="en-GB"/>
        </w:rPr>
        <w:t>suspended or is about to suspend payment of debts;</w:t>
      </w:r>
    </w:p>
    <w:p w14:paraId="21486380" w14:textId="27ECE682" w:rsidR="006E50DC" w:rsidRDefault="006E50DC" w:rsidP="008C1B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Defaulting on a proposal; and</w:t>
      </w:r>
    </w:p>
    <w:p w14:paraId="19F5C6E9" w14:textId="25DE8C23" w:rsidR="006E50DC" w:rsidRPr="006E50DC" w:rsidRDefault="006E50DC" w:rsidP="006E50DC">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debtor ceases to meet liabilities generally as they become due.</w:t>
      </w:r>
    </w:p>
    <w:p w14:paraId="7F93B14E" w14:textId="77777777" w:rsidR="008C1B34" w:rsidRDefault="008C1B34" w:rsidP="008C1B34">
      <w:pPr>
        <w:jc w:val="both"/>
        <w:rPr>
          <w:rFonts w:ascii="Avenir Next" w:hAnsi="Avenir Next" w:cs="Arial"/>
          <w:color w:val="808080" w:themeColor="background1" w:themeShade="80"/>
          <w:sz w:val="22"/>
          <w:szCs w:val="22"/>
          <w:lang w:val="en-GB"/>
        </w:rPr>
      </w:pPr>
    </w:p>
    <w:p w14:paraId="468742A2" w14:textId="6BA886E1" w:rsidR="008C1B34" w:rsidRDefault="008C1B34" w:rsidP="008C1B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most common act of bankr</w:t>
      </w:r>
      <w:r w:rsidR="006E50DC">
        <w:rPr>
          <w:rFonts w:ascii="Avenir Next" w:hAnsi="Avenir Next" w:cs="Arial"/>
          <w:color w:val="808080" w:themeColor="background1" w:themeShade="80"/>
          <w:sz w:val="22"/>
          <w:szCs w:val="22"/>
          <w:lang w:val="en-GB"/>
        </w:rPr>
        <w:t xml:space="preserve">uptcy is where a debtor ceases to meet liabilities generally as they become due. The term “generally” means it is insufficient to allege that the debtor has failed to pay only the application creditor, unless the applicant creditor is either the only claimant or the debt owed is so large that the claims of other creditors are not of significance in comparison. </w:t>
      </w:r>
    </w:p>
    <w:p w14:paraId="54341B82" w14:textId="77777777" w:rsidR="006E50DC" w:rsidRDefault="006E50DC" w:rsidP="008C1B34">
      <w:pPr>
        <w:jc w:val="both"/>
        <w:rPr>
          <w:rFonts w:ascii="Avenir Next" w:hAnsi="Avenir Next" w:cs="Arial"/>
          <w:color w:val="808080" w:themeColor="background1" w:themeShade="80"/>
          <w:sz w:val="22"/>
          <w:szCs w:val="22"/>
          <w:lang w:val="en-GB"/>
        </w:rPr>
      </w:pPr>
    </w:p>
    <w:p w14:paraId="00076687" w14:textId="6DB09B88" w:rsidR="006E50DC" w:rsidRDefault="006E50DC" w:rsidP="008C1B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is entitled to object to the application and must demonstrate that it has the ability to pay their debts. If so, the court may dismiss the applicant creditor’s application. If the court is satisfied that the facts in the application have been proven, the court can make the order of bankruptcy, following which the property of the debtor vests in a licensed trustee appointed by the court.</w:t>
      </w:r>
    </w:p>
    <w:p w14:paraId="10CECD7D" w14:textId="77777777" w:rsidR="006E50DC" w:rsidRDefault="006E50DC" w:rsidP="008C1B34">
      <w:pPr>
        <w:jc w:val="both"/>
        <w:rPr>
          <w:rFonts w:ascii="Avenir Next" w:hAnsi="Avenir Next" w:cs="Arial"/>
          <w:color w:val="808080" w:themeColor="background1" w:themeShade="80"/>
          <w:sz w:val="22"/>
          <w:szCs w:val="22"/>
          <w:lang w:val="en-GB"/>
        </w:rPr>
      </w:pPr>
    </w:p>
    <w:p w14:paraId="756BC131" w14:textId="73207CAE" w:rsidR="006E50DC" w:rsidRDefault="006E50DC" w:rsidP="006E50DC">
      <w:pPr>
        <w:pStyle w:val="ListParagraph"/>
        <w:numPr>
          <w:ilvl w:val="0"/>
          <w:numId w:val="34"/>
        </w:num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Voluntary bankruptcy</w:t>
      </w:r>
    </w:p>
    <w:p w14:paraId="35FA28E2" w14:textId="77777777" w:rsidR="006E50DC" w:rsidRDefault="006E50DC" w:rsidP="006E50D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Voluntary bankruptcy is when the debtor voluntarily makes an assignment into bankruptcy proceedings. The debtor may do so for a number of reasons, including to stay legal actions by creditors or (in the case of an individual) to obtain a fresh start once the proceedings have concluded. The debtor, who must fall under the definition of an insolvent person in the BIA, executes an “assignment” </w:t>
      </w:r>
      <w:r>
        <w:rPr>
          <w:rFonts w:ascii="Avenir Next" w:hAnsi="Avenir Next" w:cs="Arial"/>
          <w:color w:val="808080" w:themeColor="background1" w:themeShade="80"/>
          <w:sz w:val="22"/>
          <w:szCs w:val="22"/>
          <w:lang w:val="en-GB"/>
        </w:rPr>
        <w:lastRenderedPageBreak/>
        <w:t>of its property for the benefit of its creditors accompanied by a sworn statement that discloses the debtor’s property, the names and addresses of its creditors, and the amount of the creditors’ claims. The documents are filed with the Official Receiver. Once accepted, the bankruptcy proceedings commence. The process does not involve a court application.</w:t>
      </w:r>
    </w:p>
    <w:p w14:paraId="51A404F9" w14:textId="77777777" w:rsidR="006E50DC" w:rsidRDefault="006E50DC" w:rsidP="006E50DC">
      <w:pPr>
        <w:jc w:val="both"/>
        <w:rPr>
          <w:rFonts w:ascii="Avenir Next" w:hAnsi="Avenir Next" w:cs="Arial"/>
          <w:color w:val="808080" w:themeColor="background1" w:themeShade="80"/>
          <w:sz w:val="22"/>
          <w:szCs w:val="22"/>
          <w:lang w:val="en-GB"/>
        </w:rPr>
      </w:pPr>
    </w:p>
    <w:p w14:paraId="7C827EE2" w14:textId="77777777" w:rsidR="006E50DC" w:rsidRPr="006E50DC" w:rsidRDefault="006E50DC" w:rsidP="006E50DC">
      <w:pPr>
        <w:pStyle w:val="ListParagraph"/>
        <w:numPr>
          <w:ilvl w:val="0"/>
          <w:numId w:val="34"/>
        </w:numPr>
        <w:jc w:val="both"/>
        <w:rPr>
          <w:rFonts w:ascii="Avenir Next" w:hAnsi="Avenir Next" w:cs="Arial"/>
          <w:b/>
          <w:bCs/>
          <w:color w:val="808080" w:themeColor="background1" w:themeShade="80"/>
          <w:sz w:val="22"/>
          <w:szCs w:val="22"/>
          <w:lang w:val="en-GB"/>
        </w:rPr>
      </w:pPr>
      <w:r w:rsidRPr="006E50DC">
        <w:rPr>
          <w:rFonts w:ascii="Avenir Next" w:hAnsi="Avenir Next" w:cs="Arial"/>
          <w:b/>
          <w:bCs/>
          <w:color w:val="808080" w:themeColor="background1" w:themeShade="80"/>
          <w:sz w:val="22"/>
          <w:szCs w:val="22"/>
          <w:lang w:val="en-GB"/>
        </w:rPr>
        <w:t>Failure of or failure to perform the terms of a BIA proposal</w:t>
      </w:r>
    </w:p>
    <w:p w14:paraId="259060E6" w14:textId="0C7616F5" w:rsidR="006E50DC" w:rsidRPr="006E50DC" w:rsidRDefault="006E50DC" w:rsidP="006E50DC">
      <w:pPr>
        <w:jc w:val="both"/>
        <w:rPr>
          <w:rFonts w:ascii="Avenir Next" w:hAnsi="Avenir Next" w:cs="Arial"/>
          <w:color w:val="808080" w:themeColor="background1" w:themeShade="80"/>
          <w:sz w:val="22"/>
          <w:szCs w:val="22"/>
          <w:lang w:val="en-GB"/>
        </w:rPr>
      </w:pPr>
      <w:r w:rsidRPr="006E50D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BIA contains provisions o</w:t>
      </w:r>
      <w:r w:rsidR="006078D5">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both corporate and consumer proposals which allow debtors to reach compromises with their creditors. Failure of or failure to perform the terms of a BIA proposal occur when a corporate proposal is rejected by a class of creditors or is not approved by the court, in which case the debtor will be deemed to have made an assignment in bankruptcy. Such failure also occurs when a debtor defaults under the terms of its proposal and such default is not waived by inspectors (creditor-appointed representatives appointed in certain circumstances) or creditors themselves (if there are no inspectors). The proposal trustee must then inform the creditors and the Official Receiver, following which a motion may be brought to the court to annul the proposal. If the order is granted, the debtor is automatically assigned into bankruptcy.</w:t>
      </w:r>
    </w:p>
    <w:p w14:paraId="3773A050" w14:textId="004AFC37" w:rsidR="006F4E04" w:rsidRDefault="006F4E04" w:rsidP="004D67B3">
      <w:pPr>
        <w:jc w:val="both"/>
        <w:rPr>
          <w:rFonts w:ascii="Avenir Next" w:hAnsi="Avenir Next" w:cs="Arial"/>
          <w:color w:val="808080" w:themeColor="background1" w:themeShade="80"/>
          <w:sz w:val="22"/>
          <w:szCs w:val="22"/>
          <w:lang w:val="en-GB"/>
        </w:rPr>
      </w:pP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75F4842F" w14:textId="57DD5008" w:rsidR="00256B47" w:rsidRDefault="00256B4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Canada has adopted a modified version of the UNCITRAL Model Law </w:t>
      </w:r>
      <w:r w:rsidR="00E34F88">
        <w:rPr>
          <w:rFonts w:ascii="Avenir Next" w:hAnsi="Avenir Next" w:cs="Arial"/>
          <w:color w:val="808080" w:themeColor="background1" w:themeShade="80"/>
          <w:sz w:val="22"/>
          <w:szCs w:val="22"/>
          <w:lang w:val="en-GB"/>
        </w:rPr>
        <w:t xml:space="preserve">on Cross-Border Insolvency </w:t>
      </w:r>
      <w:r>
        <w:rPr>
          <w:rFonts w:ascii="Avenir Next" w:hAnsi="Avenir Next" w:cs="Arial"/>
          <w:color w:val="808080" w:themeColor="background1" w:themeShade="80"/>
          <w:sz w:val="22"/>
          <w:szCs w:val="22"/>
          <w:lang w:val="en-GB"/>
        </w:rPr>
        <w:t>in Part XIII of the BIA and a new Part IV of the CCAA.</w:t>
      </w:r>
      <w:r w:rsidR="00E34F88">
        <w:rPr>
          <w:rFonts w:ascii="Avenir Next" w:hAnsi="Avenir Next" w:cs="Arial"/>
          <w:color w:val="808080" w:themeColor="background1" w:themeShade="80"/>
          <w:sz w:val="22"/>
          <w:szCs w:val="22"/>
          <w:lang w:val="en-GB"/>
        </w:rPr>
        <w:t xml:space="preserve"> The provisions of the BIA and CCAA on the recognition of foreign insolvency proceedings require Canadian courts to recognise foreign proceedings on formal proof of three main requirements (BIA ss 269 to 272, CCAA, ss 46 to 49):</w:t>
      </w:r>
    </w:p>
    <w:p w14:paraId="30E3DB5E" w14:textId="2ABC7C30" w:rsidR="00E34F88" w:rsidRDefault="00E34F88" w:rsidP="00E34F88">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proceeding is a “foreign proceeding” in accordance with the statutory definition;</w:t>
      </w:r>
    </w:p>
    <w:p w14:paraId="22F582B4" w14:textId="708AF522" w:rsidR="00E34F88" w:rsidRDefault="00E34F88" w:rsidP="00E34F88">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applicant is a “foreign representative” in accordance with the statutory definition; and</w:t>
      </w:r>
    </w:p>
    <w:p w14:paraId="5E8DF659" w14:textId="75257404" w:rsidR="00E34F88" w:rsidRDefault="00E34F88" w:rsidP="00E34F88">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Whether the “foreign proceeding” is a “foreign main proceeding” or a “foreign non-main </w:t>
      </w:r>
      <w:r w:rsidR="0059652C">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based on a centre of main interest (COMI) analysis.</w:t>
      </w:r>
    </w:p>
    <w:p w14:paraId="00EB066B" w14:textId="77777777" w:rsidR="00E34F88" w:rsidRDefault="00E34F88" w:rsidP="00E34F88">
      <w:pPr>
        <w:jc w:val="both"/>
        <w:rPr>
          <w:rFonts w:ascii="Avenir Next" w:hAnsi="Avenir Next" w:cs="Arial"/>
          <w:color w:val="808080" w:themeColor="background1" w:themeShade="80"/>
          <w:sz w:val="22"/>
          <w:szCs w:val="22"/>
          <w:lang w:val="en-GB"/>
        </w:rPr>
      </w:pPr>
    </w:p>
    <w:p w14:paraId="3DE1ABFF" w14:textId="2DB6ADF1" w:rsidR="00E34F88" w:rsidRDefault="00E34F88" w:rsidP="00E34F8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recognition application commences with the foreign agent’s filing of sufficient evidence of the foreign law to allow the Canadian court to determine that the</w:t>
      </w:r>
      <w:r w:rsidR="004B38E3">
        <w:rPr>
          <w:rFonts w:ascii="Avenir Next" w:hAnsi="Avenir Next" w:cs="Arial"/>
          <w:color w:val="808080" w:themeColor="background1" w:themeShade="80"/>
          <w:sz w:val="22"/>
          <w:szCs w:val="22"/>
          <w:lang w:val="en-GB"/>
        </w:rPr>
        <w:t xml:space="preserve"> foreign agent</w:t>
      </w:r>
      <w:r>
        <w:rPr>
          <w:rFonts w:ascii="Avenir Next" w:hAnsi="Avenir Next" w:cs="Arial"/>
          <w:color w:val="808080" w:themeColor="background1" w:themeShade="80"/>
          <w:sz w:val="22"/>
          <w:szCs w:val="22"/>
          <w:lang w:val="en-GB"/>
        </w:rPr>
        <w:t xml:space="preserve"> </w:t>
      </w:r>
      <w:r w:rsidR="004B38E3">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a foreign representative and the proceeding is a foreign proceeding. Under Canadian case law, both terms are to be given a broad and purpos</w:t>
      </w:r>
      <w:r w:rsidR="00A85BB5">
        <w:rPr>
          <w:rFonts w:ascii="Avenir Next" w:hAnsi="Avenir Next" w:cs="Arial"/>
          <w:color w:val="808080" w:themeColor="background1" w:themeShade="80"/>
          <w:sz w:val="22"/>
          <w:szCs w:val="22"/>
          <w:lang w:val="en-GB"/>
        </w:rPr>
        <w:t>ive</w:t>
      </w:r>
      <w:r>
        <w:rPr>
          <w:rFonts w:ascii="Avenir Next" w:hAnsi="Avenir Next" w:cs="Arial"/>
          <w:color w:val="808080" w:themeColor="background1" w:themeShade="80"/>
          <w:sz w:val="22"/>
          <w:szCs w:val="22"/>
          <w:lang w:val="en-GB"/>
        </w:rPr>
        <w:t xml:space="preserve"> interpretation. The foreign agent is advised to file the foreign court order empowering him to deal with the assets of insolvent companies, and he should likely meet the requirements.</w:t>
      </w:r>
    </w:p>
    <w:p w14:paraId="43910666" w14:textId="77777777" w:rsidR="00E34F88" w:rsidRDefault="00E34F88" w:rsidP="00E34F88">
      <w:pPr>
        <w:jc w:val="both"/>
        <w:rPr>
          <w:rFonts w:ascii="Avenir Next" w:hAnsi="Avenir Next" w:cs="Arial"/>
          <w:color w:val="808080" w:themeColor="background1" w:themeShade="80"/>
          <w:sz w:val="22"/>
          <w:szCs w:val="22"/>
          <w:lang w:val="en-GB"/>
        </w:rPr>
      </w:pPr>
    </w:p>
    <w:p w14:paraId="3BC49B96" w14:textId="7B635B6D" w:rsidR="00E34F88" w:rsidRPr="00E34F88" w:rsidRDefault="00E34F88" w:rsidP="00E34F8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the requirements for recognition have been met, recognition is automatic and compulsory, and the court must make an order recognising the foreign proceeding. If the court determines the foreign proceeding to be a foreign main proceeding, the court will automatically issue a stay of proceedings. If the court determines that the proceeding is a foreign non-main proceeding, then a stay may be requested. The court exercises its discretion to make any order necessary for the protection of the debtor’s property or the interests of creditors. To that end, the foreign agent may request for an order authorising him to further investigate into the movements of the Canadian resident in charge of the fulfilment office and the warehouse in Canada alleged to be improperly diverting funds</w:t>
      </w:r>
      <w:r w:rsidR="009F4C31">
        <w:rPr>
          <w:rFonts w:ascii="Avenir Next" w:hAnsi="Avenir Next" w:cs="Arial"/>
          <w:color w:val="808080" w:themeColor="background1" w:themeShade="80"/>
          <w:sz w:val="22"/>
          <w:szCs w:val="22"/>
          <w:lang w:val="en-GB"/>
        </w:rPr>
        <w:t>. Investigative powers that the foreign agent may ask for include the examination of witnesses and the taking of evidence, and provision of information on the online seller’s property and affairs.</w:t>
      </w:r>
    </w:p>
    <w:p w14:paraId="669B34F1" w14:textId="19AE8460" w:rsidR="006F4E04" w:rsidRDefault="006F4E04" w:rsidP="006F4E04">
      <w:pPr>
        <w:rPr>
          <w:lang w:val="en-GB"/>
        </w:rPr>
      </w:pP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2883110" w14:textId="67B7D2FD" w:rsidR="006F4E04" w:rsidRDefault="00E34F8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Neither the BIA nor the CCAA contain a statutory definition of the “centre of main interest” (COMI). Both statutes contain a rebuttable presumption to that effect. In the case of an individual, the COMI is presumed to be the debtor’s ordinary place of residence in the absence of proof to the contrary. As for a company, the COMI is the company’s registered office in the absence of proof to the contrary (BIA, s 268 and CCAA, s 45). In determining the COMI, the courts have identified three considerations considered as a whole which are of primary importance (</w:t>
      </w:r>
      <w:r>
        <w:rPr>
          <w:rFonts w:ascii="Avenir Next" w:hAnsi="Avenir Next" w:cs="Arial"/>
          <w:i/>
          <w:iCs/>
          <w:color w:val="808080" w:themeColor="background1" w:themeShade="80"/>
          <w:sz w:val="22"/>
          <w:szCs w:val="22"/>
          <w:lang w:val="en-GB"/>
        </w:rPr>
        <w:t xml:space="preserve">Re Mt Gox </w:t>
      </w:r>
      <w:r>
        <w:rPr>
          <w:rFonts w:ascii="Avenir Next" w:hAnsi="Avenir Next" w:cs="Arial"/>
          <w:color w:val="808080" w:themeColor="background1" w:themeShade="80"/>
          <w:sz w:val="22"/>
          <w:szCs w:val="22"/>
          <w:lang w:val="en-GB"/>
        </w:rPr>
        <w:t>[2014] ONSC 5811):</w:t>
      </w:r>
    </w:p>
    <w:p w14:paraId="5D7F1BA8" w14:textId="44F6A4C8" w:rsidR="00E34F88" w:rsidRDefault="00E34F88" w:rsidP="00E34F8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that significant creditors recognise as being the centre of the company’s operations;</w:t>
      </w:r>
    </w:p>
    <w:p w14:paraId="6C3077D8" w14:textId="473B7649" w:rsidR="00E34F88" w:rsidRDefault="00E34F88" w:rsidP="00E34F8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in which the debtor’s principal </w:t>
      </w:r>
      <w:r w:rsidR="009F4C31">
        <w:rPr>
          <w:rFonts w:ascii="Avenir Next" w:hAnsi="Avenir Next" w:cs="Arial"/>
          <w:color w:val="808080" w:themeColor="background1" w:themeShade="80"/>
          <w:sz w:val="22"/>
          <w:szCs w:val="22"/>
          <w:lang w:val="en-GB"/>
        </w:rPr>
        <w:t>assets or operations are found; and</w:t>
      </w:r>
    </w:p>
    <w:p w14:paraId="55DC81DF" w14:textId="1D0FDCA7" w:rsidR="009F4C31" w:rsidRDefault="009F4C31" w:rsidP="00E34F8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of the debtor’s headquarters, head office or “nerve centre”.</w:t>
      </w:r>
    </w:p>
    <w:p w14:paraId="40B21808" w14:textId="77777777" w:rsidR="009F4C31" w:rsidRDefault="009F4C31" w:rsidP="009F4C31">
      <w:pPr>
        <w:jc w:val="both"/>
        <w:rPr>
          <w:rFonts w:ascii="Avenir Next" w:hAnsi="Avenir Next" w:cs="Arial"/>
          <w:color w:val="808080" w:themeColor="background1" w:themeShade="80"/>
          <w:sz w:val="22"/>
          <w:szCs w:val="22"/>
          <w:lang w:val="en-GB"/>
        </w:rPr>
      </w:pPr>
    </w:p>
    <w:p w14:paraId="2E660BD6" w14:textId="5AB51854" w:rsidR="009F4C31" w:rsidRPr="009F4C31" w:rsidRDefault="009F4C31" w:rsidP="009F4C3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foreign proceeding is in the COMI, the foreign proceeding will be classified as the foreign main proceedings. If the foreign proceeding is not in the COMI, the foreign proceeding is a foreign non-main proceeding. </w:t>
      </w:r>
    </w:p>
    <w:p w14:paraId="69BDE481" w14:textId="79948EFF" w:rsidR="006F4E04" w:rsidRDefault="006F4E04" w:rsidP="006F4E04">
      <w:pPr>
        <w:rPr>
          <w:lang w:val="en-GB"/>
        </w:rPr>
      </w:pP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1A33723B" w14:textId="5FDFE0A7" w:rsidR="004171EC" w:rsidRDefault="004171E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the BIA and the CCAA contain broadly worded, discretionary provisions which provide that upon recognition, the court may, on the foreign representative’s application and if it is satisfied that it is </w:t>
      </w:r>
      <w:r>
        <w:rPr>
          <w:rFonts w:ascii="Avenir Next" w:hAnsi="Avenir Next" w:cs="Arial"/>
          <w:color w:val="808080" w:themeColor="background1" w:themeShade="80"/>
          <w:sz w:val="22"/>
          <w:szCs w:val="22"/>
          <w:lang w:val="en-GB"/>
        </w:rPr>
        <w:lastRenderedPageBreak/>
        <w:t xml:space="preserve">necessary for the protection of the debtor company’s property or the interests of a creditor or creditors, make “any order that it considers appropriate” (BIA, s 272(1) and CCAA, s 49(1)). The Canadian court is not restricted in exercising this discretion to only to providing the same or similar remedies or entitlements available under Canadian insolvency law. The Canadian court has in fact ordered relief </w:t>
      </w:r>
      <w:r w:rsidR="00D8084F">
        <w:rPr>
          <w:rFonts w:ascii="Avenir Next" w:hAnsi="Avenir Next" w:cs="Arial"/>
          <w:color w:val="808080" w:themeColor="background1" w:themeShade="80"/>
          <w:sz w:val="22"/>
          <w:szCs w:val="22"/>
          <w:lang w:val="en-GB"/>
        </w:rPr>
        <w:t xml:space="preserve">that would not ordinarily be available in Canadian proceedings </w:t>
      </w:r>
      <w:r>
        <w:rPr>
          <w:rFonts w:ascii="Avenir Next" w:hAnsi="Avenir Next" w:cs="Arial"/>
          <w:color w:val="808080" w:themeColor="background1" w:themeShade="80"/>
          <w:sz w:val="22"/>
          <w:szCs w:val="22"/>
          <w:lang w:val="en-GB"/>
        </w:rPr>
        <w:t xml:space="preserve">in foreign-main proceedings where there are ancillary Canadian proceedings (see </w:t>
      </w:r>
      <w:r>
        <w:rPr>
          <w:rFonts w:ascii="Avenir Next" w:hAnsi="Avenir Next" w:cs="Arial"/>
          <w:i/>
          <w:iCs/>
          <w:color w:val="808080" w:themeColor="background1" w:themeShade="80"/>
          <w:sz w:val="22"/>
          <w:szCs w:val="22"/>
          <w:lang w:val="en-GB"/>
        </w:rPr>
        <w:t xml:space="preserve">Re Hartford Computer Hardware Inc </w:t>
      </w:r>
      <w:r>
        <w:rPr>
          <w:rFonts w:ascii="Avenir Next" w:hAnsi="Avenir Next" w:cs="Arial"/>
          <w:color w:val="808080" w:themeColor="background1" w:themeShade="80"/>
          <w:sz w:val="22"/>
          <w:szCs w:val="22"/>
          <w:lang w:val="en-GB"/>
        </w:rPr>
        <w:t xml:space="preserve">2012 ONSC 964). </w:t>
      </w:r>
    </w:p>
    <w:p w14:paraId="442970FC" w14:textId="77777777" w:rsidR="004171EC" w:rsidRDefault="004171EC" w:rsidP="006F4E04">
      <w:pPr>
        <w:jc w:val="both"/>
        <w:rPr>
          <w:rFonts w:ascii="Avenir Next" w:hAnsi="Avenir Next" w:cs="Arial"/>
          <w:color w:val="808080" w:themeColor="background1" w:themeShade="80"/>
          <w:sz w:val="22"/>
          <w:szCs w:val="22"/>
          <w:lang w:val="en-GB"/>
        </w:rPr>
      </w:pPr>
    </w:p>
    <w:p w14:paraId="14269EDC" w14:textId="47A98374" w:rsidR="006F4E04" w:rsidRPr="004171EC" w:rsidRDefault="004171E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Canadian court’s wide, discretionary powers to order relief are subject to the public policy exception, which permits the court to “refuse to do something that would be contrary to public policy” when implementing the cross-border insolvency provisions (BIA, s 284(2) and CCAA, s 61(2)). It should be noted, nevertheless, that Canadian courts are inclined to recognise foreign insolvency proceedings, particularly those initiated in common law jurisdictions where Canada has strong economic ties and the Canadian courts </w:t>
      </w:r>
      <w:r w:rsidR="00EA58DC">
        <w:rPr>
          <w:rFonts w:ascii="Avenir Next" w:hAnsi="Avenir Next" w:cs="Arial"/>
          <w:color w:val="808080" w:themeColor="background1" w:themeShade="80"/>
          <w:sz w:val="22"/>
          <w:szCs w:val="22"/>
          <w:lang w:val="en-GB"/>
        </w:rPr>
        <w:t>are familiar</w:t>
      </w:r>
      <w:r>
        <w:rPr>
          <w:rFonts w:ascii="Avenir Next" w:hAnsi="Avenir Next" w:cs="Arial"/>
          <w:color w:val="808080" w:themeColor="background1" w:themeShade="80"/>
          <w:sz w:val="22"/>
          <w:szCs w:val="22"/>
          <w:lang w:val="en-GB"/>
        </w:rPr>
        <w:t xml:space="preserve"> with the legal system, and are generally reluctant to employ the public policy exception absent clear circumstances that offend Canadian public policy. Insofar as there is no asymmetrical or unfair treatment of Canadian creditors, recognition will be ordered and the foreign agent will likely be able to obtain the relief sought.</w:t>
      </w: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9D69" w14:textId="77777777" w:rsidR="00B473E1" w:rsidRDefault="00B473E1" w:rsidP="00241B44">
      <w:r>
        <w:separator/>
      </w:r>
    </w:p>
  </w:endnote>
  <w:endnote w:type="continuationSeparator" w:id="0">
    <w:p w14:paraId="5E8A44AD" w14:textId="77777777" w:rsidR="00B473E1" w:rsidRDefault="00B473E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796B401" w:rsidR="00241FA3" w:rsidRPr="009B4976" w:rsidRDefault="00011172" w:rsidP="009B4976">
    <w:pPr>
      <w:pStyle w:val="Footer"/>
      <w:ind w:right="360"/>
      <w:rPr>
        <w:rFonts w:ascii="Arial" w:hAnsi="Arial" w:cs="Arial"/>
        <w:sz w:val="18"/>
        <w:szCs w:val="18"/>
        <w:lang w:val="en-GB"/>
      </w:rPr>
    </w:pPr>
    <w:r>
      <w:rPr>
        <w:rFonts w:ascii="Arial" w:hAnsi="Arial" w:cs="Arial"/>
        <w:sz w:val="18"/>
        <w:szCs w:val="18"/>
        <w:lang w:val="en-GB"/>
      </w:rPr>
      <w:t>202223-994</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AB99" w14:textId="77777777" w:rsidR="00B473E1" w:rsidRDefault="00B473E1" w:rsidP="00241B44">
      <w:r>
        <w:separator/>
      </w:r>
    </w:p>
  </w:footnote>
  <w:footnote w:type="continuationSeparator" w:id="0">
    <w:p w14:paraId="18F4E502" w14:textId="77777777" w:rsidR="00B473E1" w:rsidRDefault="00B473E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22303"/>
    <w:multiLevelType w:val="hybridMultilevel"/>
    <w:tmpl w:val="B9D837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804ADD"/>
    <w:multiLevelType w:val="hybridMultilevel"/>
    <w:tmpl w:val="AF6E8D70"/>
    <w:lvl w:ilvl="0" w:tplc="2D986B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2723EE"/>
    <w:multiLevelType w:val="hybridMultilevel"/>
    <w:tmpl w:val="4DB464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426E68"/>
    <w:multiLevelType w:val="hybridMultilevel"/>
    <w:tmpl w:val="ADD40B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8AF793D"/>
    <w:multiLevelType w:val="hybridMultilevel"/>
    <w:tmpl w:val="39D04B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342E14B6"/>
    <w:multiLevelType w:val="hybridMultilevel"/>
    <w:tmpl w:val="730AC5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9"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B2D60A4"/>
    <w:multiLevelType w:val="hybridMultilevel"/>
    <w:tmpl w:val="80968C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B8F1949"/>
    <w:multiLevelType w:val="hybridMultilevel"/>
    <w:tmpl w:val="03E497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3253225"/>
    <w:multiLevelType w:val="hybridMultilevel"/>
    <w:tmpl w:val="6D06F9F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5087521">
    <w:abstractNumId w:val="29"/>
  </w:num>
  <w:num w:numId="2" w16cid:durableId="674958726">
    <w:abstractNumId w:val="7"/>
  </w:num>
  <w:num w:numId="3" w16cid:durableId="903755156">
    <w:abstractNumId w:val="21"/>
  </w:num>
  <w:num w:numId="4" w16cid:durableId="1155494574">
    <w:abstractNumId w:val="16"/>
  </w:num>
  <w:num w:numId="5" w16cid:durableId="1267887680">
    <w:abstractNumId w:val="8"/>
  </w:num>
  <w:num w:numId="6" w16cid:durableId="1502358221">
    <w:abstractNumId w:val="32"/>
  </w:num>
  <w:num w:numId="7" w16cid:durableId="828979202">
    <w:abstractNumId w:val="15"/>
  </w:num>
  <w:num w:numId="8" w16cid:durableId="804354357">
    <w:abstractNumId w:val="26"/>
  </w:num>
  <w:num w:numId="9" w16cid:durableId="1887907826">
    <w:abstractNumId w:val="30"/>
  </w:num>
  <w:num w:numId="10" w16cid:durableId="966815756">
    <w:abstractNumId w:val="11"/>
  </w:num>
  <w:num w:numId="11" w16cid:durableId="497310362">
    <w:abstractNumId w:val="13"/>
  </w:num>
  <w:num w:numId="12" w16cid:durableId="88089262">
    <w:abstractNumId w:val="0"/>
  </w:num>
  <w:num w:numId="13" w16cid:durableId="1951743933">
    <w:abstractNumId w:val="18"/>
  </w:num>
  <w:num w:numId="14" w16cid:durableId="479886461">
    <w:abstractNumId w:val="4"/>
  </w:num>
  <w:num w:numId="15" w16cid:durableId="1280137698">
    <w:abstractNumId w:val="37"/>
  </w:num>
  <w:num w:numId="16" w16cid:durableId="1315570312">
    <w:abstractNumId w:val="24"/>
  </w:num>
  <w:num w:numId="17" w16cid:durableId="1371034521">
    <w:abstractNumId w:val="27"/>
  </w:num>
  <w:num w:numId="18" w16cid:durableId="736785312">
    <w:abstractNumId w:val="23"/>
  </w:num>
  <w:num w:numId="19" w16cid:durableId="758335915">
    <w:abstractNumId w:val="20"/>
  </w:num>
  <w:num w:numId="20" w16cid:durableId="1816071358">
    <w:abstractNumId w:val="19"/>
  </w:num>
  <w:num w:numId="21" w16cid:durableId="14305058">
    <w:abstractNumId w:val="3"/>
  </w:num>
  <w:num w:numId="22" w16cid:durableId="1248465784">
    <w:abstractNumId w:val="35"/>
  </w:num>
  <w:num w:numId="23" w16cid:durableId="1585065994">
    <w:abstractNumId w:val="14"/>
  </w:num>
  <w:num w:numId="24" w16cid:durableId="1631131256">
    <w:abstractNumId w:val="9"/>
  </w:num>
  <w:num w:numId="25" w16cid:durableId="167716296">
    <w:abstractNumId w:val="28"/>
  </w:num>
  <w:num w:numId="26" w16cid:durableId="291208809">
    <w:abstractNumId w:val="31"/>
  </w:num>
  <w:num w:numId="27" w16cid:durableId="892425637">
    <w:abstractNumId w:val="22"/>
  </w:num>
  <w:num w:numId="28" w16cid:durableId="1469349766">
    <w:abstractNumId w:val="1"/>
  </w:num>
  <w:num w:numId="29" w16cid:durableId="2078938411">
    <w:abstractNumId w:val="25"/>
  </w:num>
  <w:num w:numId="30" w16cid:durableId="1395858711">
    <w:abstractNumId w:val="38"/>
  </w:num>
  <w:num w:numId="31" w16cid:durableId="275868440">
    <w:abstractNumId w:val="10"/>
  </w:num>
  <w:num w:numId="32" w16cid:durableId="1101997591">
    <w:abstractNumId w:val="34"/>
  </w:num>
  <w:num w:numId="33" w16cid:durableId="668557375">
    <w:abstractNumId w:val="12"/>
  </w:num>
  <w:num w:numId="34" w16cid:durableId="423844385">
    <w:abstractNumId w:val="2"/>
  </w:num>
  <w:num w:numId="35" w16cid:durableId="679478038">
    <w:abstractNumId w:val="5"/>
  </w:num>
  <w:num w:numId="36" w16cid:durableId="550113535">
    <w:abstractNumId w:val="6"/>
  </w:num>
  <w:num w:numId="37" w16cid:durableId="1898929776">
    <w:abstractNumId w:val="33"/>
  </w:num>
  <w:num w:numId="38" w16cid:durableId="372968289">
    <w:abstractNumId w:val="36"/>
  </w:num>
  <w:num w:numId="39" w16cid:durableId="137955268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1172"/>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409B"/>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3263"/>
    <w:rsid w:val="001840F5"/>
    <w:rsid w:val="00186F3A"/>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5164"/>
    <w:rsid w:val="001E748A"/>
    <w:rsid w:val="001E7B5A"/>
    <w:rsid w:val="001F1D1F"/>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B47"/>
    <w:rsid w:val="00256E1E"/>
    <w:rsid w:val="00260EF7"/>
    <w:rsid w:val="002638B0"/>
    <w:rsid w:val="0026647A"/>
    <w:rsid w:val="002668D3"/>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3FDA"/>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171EC"/>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1C94"/>
    <w:rsid w:val="004B23A2"/>
    <w:rsid w:val="004B38E3"/>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9652C"/>
    <w:rsid w:val="005A0904"/>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078D5"/>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0DC"/>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2874"/>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39E"/>
    <w:rsid w:val="0082483F"/>
    <w:rsid w:val="00824FC1"/>
    <w:rsid w:val="00825B36"/>
    <w:rsid w:val="008279C0"/>
    <w:rsid w:val="00830097"/>
    <w:rsid w:val="008307FE"/>
    <w:rsid w:val="00831DCC"/>
    <w:rsid w:val="00832877"/>
    <w:rsid w:val="008415BE"/>
    <w:rsid w:val="00844879"/>
    <w:rsid w:val="00851B6A"/>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1B34"/>
    <w:rsid w:val="008C51A8"/>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6501"/>
    <w:rsid w:val="009E2AEB"/>
    <w:rsid w:val="009E2E27"/>
    <w:rsid w:val="009E45DF"/>
    <w:rsid w:val="009E4DE3"/>
    <w:rsid w:val="009E50C2"/>
    <w:rsid w:val="009E6997"/>
    <w:rsid w:val="009E69E8"/>
    <w:rsid w:val="009E77CD"/>
    <w:rsid w:val="009F275E"/>
    <w:rsid w:val="009F384C"/>
    <w:rsid w:val="009F40BB"/>
    <w:rsid w:val="009F4C31"/>
    <w:rsid w:val="009F4DCF"/>
    <w:rsid w:val="009F5B42"/>
    <w:rsid w:val="009F6604"/>
    <w:rsid w:val="00A039BC"/>
    <w:rsid w:val="00A03D98"/>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59D8"/>
    <w:rsid w:val="00A76786"/>
    <w:rsid w:val="00A77FB4"/>
    <w:rsid w:val="00A81029"/>
    <w:rsid w:val="00A82010"/>
    <w:rsid w:val="00A845F5"/>
    <w:rsid w:val="00A84DC0"/>
    <w:rsid w:val="00A85685"/>
    <w:rsid w:val="00A85BB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60E1"/>
    <w:rsid w:val="00AC7082"/>
    <w:rsid w:val="00AC7550"/>
    <w:rsid w:val="00AD08BD"/>
    <w:rsid w:val="00AD1D19"/>
    <w:rsid w:val="00AD4BE8"/>
    <w:rsid w:val="00AD55FA"/>
    <w:rsid w:val="00AD6545"/>
    <w:rsid w:val="00AE0C2E"/>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09D"/>
    <w:rsid w:val="00B46C4B"/>
    <w:rsid w:val="00B473E1"/>
    <w:rsid w:val="00B50944"/>
    <w:rsid w:val="00B517AE"/>
    <w:rsid w:val="00B51B95"/>
    <w:rsid w:val="00B540AD"/>
    <w:rsid w:val="00B54B7F"/>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2632"/>
    <w:rsid w:val="00BD4A3D"/>
    <w:rsid w:val="00BD545E"/>
    <w:rsid w:val="00BD5C7A"/>
    <w:rsid w:val="00BE0F37"/>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12E"/>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516E"/>
    <w:rsid w:val="00D15890"/>
    <w:rsid w:val="00D16F06"/>
    <w:rsid w:val="00D17859"/>
    <w:rsid w:val="00D17FDC"/>
    <w:rsid w:val="00D21D8C"/>
    <w:rsid w:val="00D23C70"/>
    <w:rsid w:val="00D40715"/>
    <w:rsid w:val="00D40B41"/>
    <w:rsid w:val="00D41FDB"/>
    <w:rsid w:val="00D42444"/>
    <w:rsid w:val="00D457B9"/>
    <w:rsid w:val="00D47A2B"/>
    <w:rsid w:val="00D47FBB"/>
    <w:rsid w:val="00D522CF"/>
    <w:rsid w:val="00D53719"/>
    <w:rsid w:val="00D60A48"/>
    <w:rsid w:val="00D61596"/>
    <w:rsid w:val="00D62306"/>
    <w:rsid w:val="00D63EFD"/>
    <w:rsid w:val="00D66B7D"/>
    <w:rsid w:val="00D67759"/>
    <w:rsid w:val="00D70954"/>
    <w:rsid w:val="00D71018"/>
    <w:rsid w:val="00D716CF"/>
    <w:rsid w:val="00D74359"/>
    <w:rsid w:val="00D7602E"/>
    <w:rsid w:val="00D8084F"/>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34F88"/>
    <w:rsid w:val="00E423AC"/>
    <w:rsid w:val="00E450A4"/>
    <w:rsid w:val="00E46C58"/>
    <w:rsid w:val="00E506BE"/>
    <w:rsid w:val="00E549D8"/>
    <w:rsid w:val="00E55547"/>
    <w:rsid w:val="00E55EDF"/>
    <w:rsid w:val="00E56D74"/>
    <w:rsid w:val="00E62FE8"/>
    <w:rsid w:val="00E6302B"/>
    <w:rsid w:val="00E6452F"/>
    <w:rsid w:val="00E64F45"/>
    <w:rsid w:val="00E6742D"/>
    <w:rsid w:val="00E71CB0"/>
    <w:rsid w:val="00E73341"/>
    <w:rsid w:val="00E77C3D"/>
    <w:rsid w:val="00E85922"/>
    <w:rsid w:val="00E86A1C"/>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8DC"/>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11</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Gwendolyn Oh</cp:lastModifiedBy>
  <cp:revision>31</cp:revision>
  <cp:lastPrinted>2019-08-27T05:42:00Z</cp:lastPrinted>
  <dcterms:created xsi:type="dcterms:W3CDTF">2023-07-28T04:42:00Z</dcterms:created>
  <dcterms:modified xsi:type="dcterms:W3CDTF">2023-07-31T08:26:00Z</dcterms:modified>
</cp:coreProperties>
</file>