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03EA9" w:rsidRDefault="00AE5B6F" w:rsidP="00B04033">
      <w:pPr>
        <w:pStyle w:val="ListParagraph"/>
        <w:numPr>
          <w:ilvl w:val="0"/>
          <w:numId w:val="1"/>
        </w:numPr>
        <w:ind w:left="426"/>
        <w:jc w:val="both"/>
        <w:rPr>
          <w:rFonts w:ascii="Avenir Next" w:hAnsi="Avenir Next" w:cs="Arial"/>
          <w:sz w:val="22"/>
          <w:szCs w:val="22"/>
          <w:highlight w:val="yellow"/>
          <w:lang w:val="en-GB"/>
        </w:rPr>
      </w:pPr>
      <w:r w:rsidRPr="00703EA9">
        <w:rPr>
          <w:rFonts w:ascii="Avenir Next" w:hAnsi="Avenir Next" w:cs="Arial"/>
          <w:sz w:val="22"/>
          <w:szCs w:val="22"/>
          <w:highlight w:val="yellow"/>
          <w:lang w:val="en-GB"/>
        </w:rPr>
        <w:t>w</w:t>
      </w:r>
      <w:r w:rsidR="00C91062" w:rsidRPr="00703EA9">
        <w:rPr>
          <w:rFonts w:ascii="Avenir Next" w:hAnsi="Avenir Next" w:cs="Arial"/>
          <w:sz w:val="22"/>
          <w:szCs w:val="22"/>
          <w:highlight w:val="yellow"/>
          <w:lang w:val="en-GB"/>
        </w:rPr>
        <w:t>ithin 8 weeks of the commencement of the administration</w:t>
      </w:r>
      <w:r w:rsidR="00763348" w:rsidRPr="00703EA9">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703EA9" w:rsidRDefault="00E443D7" w:rsidP="00B04033">
      <w:pPr>
        <w:pStyle w:val="ListParagraph"/>
        <w:numPr>
          <w:ilvl w:val="0"/>
          <w:numId w:val="2"/>
        </w:numPr>
        <w:ind w:left="426"/>
        <w:jc w:val="both"/>
        <w:rPr>
          <w:rFonts w:ascii="Avenir Next" w:hAnsi="Avenir Next" w:cs="Arial"/>
          <w:sz w:val="22"/>
          <w:szCs w:val="22"/>
          <w:highlight w:val="yellow"/>
          <w:lang w:val="en-GB"/>
        </w:rPr>
      </w:pPr>
      <w:r w:rsidRPr="00703EA9">
        <w:rPr>
          <w:rFonts w:ascii="Avenir Next" w:hAnsi="Avenir Next" w:cs="Arial"/>
          <w:sz w:val="22"/>
          <w:szCs w:val="22"/>
          <w:highlight w:val="yellow"/>
          <w:lang w:val="en-GB"/>
        </w:rPr>
        <w:t>One year and 20 business days</w:t>
      </w:r>
      <w:r w:rsidR="00763348" w:rsidRPr="00703EA9">
        <w:rPr>
          <w:rFonts w:ascii="Avenir Next" w:hAnsi="Avenir Next" w:cs="Arial"/>
          <w:sz w:val="22"/>
          <w:szCs w:val="22"/>
          <w:highlight w:val="yellow"/>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C70C34" w:rsidRDefault="00AE5B6F" w:rsidP="00B04033">
      <w:pPr>
        <w:pStyle w:val="ListParagraph"/>
        <w:numPr>
          <w:ilvl w:val="0"/>
          <w:numId w:val="3"/>
        </w:numPr>
        <w:ind w:left="426"/>
        <w:jc w:val="both"/>
        <w:rPr>
          <w:rFonts w:ascii="Avenir Next" w:hAnsi="Avenir Next" w:cs="Arial"/>
          <w:sz w:val="22"/>
          <w:szCs w:val="22"/>
          <w:highlight w:val="yellow"/>
          <w:lang w:val="en-GB"/>
        </w:rPr>
      </w:pPr>
      <w:r w:rsidRPr="00C70C34">
        <w:rPr>
          <w:rFonts w:ascii="Avenir Next" w:hAnsi="Avenir Next" w:cs="Arial"/>
          <w:sz w:val="22"/>
          <w:szCs w:val="22"/>
          <w:highlight w:val="yellow"/>
          <w:lang w:val="en-GB"/>
        </w:rPr>
        <w:t>T</w:t>
      </w:r>
      <w:r w:rsidR="008D1616" w:rsidRPr="00C70C34">
        <w:rPr>
          <w:rFonts w:ascii="Avenir Next" w:hAnsi="Avenir Next" w:cs="Arial"/>
          <w:sz w:val="22"/>
          <w:szCs w:val="22"/>
          <w:highlight w:val="yellow"/>
          <w:lang w:val="en-GB"/>
        </w:rPr>
        <w:t>he company is, or is likely to become, unable to pay their debts, as defined under s</w:t>
      </w:r>
      <w:r w:rsidR="00E833F4" w:rsidRPr="00C70C34">
        <w:rPr>
          <w:rFonts w:ascii="Avenir Next" w:hAnsi="Avenir Next" w:cs="Arial"/>
          <w:sz w:val="22"/>
          <w:szCs w:val="22"/>
          <w:highlight w:val="yellow"/>
          <w:lang w:val="en-GB"/>
        </w:rPr>
        <w:t>ection</w:t>
      </w:r>
      <w:r w:rsidR="008D1616" w:rsidRPr="00C70C34">
        <w:rPr>
          <w:rFonts w:ascii="Avenir Next" w:hAnsi="Avenir Next" w:cs="Arial"/>
          <w:sz w:val="22"/>
          <w:szCs w:val="22"/>
          <w:highlight w:val="yellow"/>
          <w:lang w:val="en-GB"/>
        </w:rPr>
        <w:t xml:space="preserve"> 123 of the Insolvency Act 1986</w:t>
      </w:r>
      <w:r w:rsidR="00763348" w:rsidRPr="00C70C34">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C70C34" w:rsidRDefault="00C91062" w:rsidP="00B04033">
      <w:pPr>
        <w:pStyle w:val="ListParagraph"/>
        <w:numPr>
          <w:ilvl w:val="0"/>
          <w:numId w:val="4"/>
        </w:numPr>
        <w:ind w:left="426"/>
        <w:jc w:val="both"/>
        <w:rPr>
          <w:rFonts w:ascii="Avenir Next" w:hAnsi="Avenir Next" w:cs="Arial"/>
          <w:sz w:val="22"/>
          <w:szCs w:val="22"/>
          <w:highlight w:val="yellow"/>
          <w:lang w:val="en-GB"/>
        </w:rPr>
      </w:pPr>
      <w:r w:rsidRPr="00C70C34">
        <w:rPr>
          <w:rFonts w:ascii="Avenir Next" w:hAnsi="Avenir Next" w:cs="Arial"/>
          <w:sz w:val="22"/>
          <w:szCs w:val="22"/>
          <w:highlight w:val="yellow"/>
          <w:lang w:val="en-GB"/>
        </w:rPr>
        <w:t>The purchaser</w:t>
      </w:r>
      <w:r w:rsidR="00763348" w:rsidRPr="00C70C34">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70C34" w:rsidRDefault="00BA1CFD" w:rsidP="00B04033">
      <w:pPr>
        <w:pStyle w:val="ListParagraph"/>
        <w:numPr>
          <w:ilvl w:val="0"/>
          <w:numId w:val="5"/>
        </w:numPr>
        <w:ind w:left="426"/>
        <w:jc w:val="both"/>
        <w:rPr>
          <w:rFonts w:ascii="Avenir Next" w:hAnsi="Avenir Next" w:cs="Arial"/>
          <w:sz w:val="22"/>
          <w:szCs w:val="22"/>
          <w:highlight w:val="yellow"/>
          <w:lang w:val="en-GB"/>
        </w:rPr>
      </w:pPr>
      <w:r w:rsidRPr="00C70C34">
        <w:rPr>
          <w:rFonts w:ascii="Avenir Next" w:hAnsi="Avenir Next" w:cs="Arial"/>
          <w:sz w:val="22"/>
          <w:szCs w:val="22"/>
          <w:highlight w:val="yellow"/>
          <w:lang w:val="en-GB"/>
        </w:rPr>
        <w:t>Administration</w:t>
      </w:r>
      <w:r w:rsidR="00763348" w:rsidRPr="00C70C34">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C70C34" w:rsidRDefault="001F3C98" w:rsidP="00B04033">
      <w:pPr>
        <w:pStyle w:val="ListParagraph"/>
        <w:numPr>
          <w:ilvl w:val="0"/>
          <w:numId w:val="6"/>
        </w:numPr>
        <w:ind w:left="426"/>
        <w:jc w:val="both"/>
        <w:rPr>
          <w:rFonts w:ascii="Avenir Next" w:hAnsi="Avenir Next" w:cs="Arial"/>
          <w:sz w:val="22"/>
          <w:szCs w:val="22"/>
          <w:highlight w:val="yellow"/>
          <w:lang w:val="en-GB"/>
        </w:rPr>
      </w:pPr>
      <w:r w:rsidRPr="00C70C34">
        <w:rPr>
          <w:rFonts w:ascii="Avenir Next" w:hAnsi="Avenir Next" w:cs="Arial"/>
          <w:sz w:val="22"/>
          <w:szCs w:val="22"/>
          <w:highlight w:val="yellow"/>
          <w:lang w:val="en-GB"/>
        </w:rPr>
        <w:t xml:space="preserve">GBP </w:t>
      </w:r>
      <w:r w:rsidR="00BA1CFD" w:rsidRPr="00C70C34">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C70C34" w:rsidRDefault="00BA1CFD" w:rsidP="00B04033">
      <w:pPr>
        <w:pStyle w:val="ListParagraph"/>
        <w:numPr>
          <w:ilvl w:val="0"/>
          <w:numId w:val="7"/>
        </w:numPr>
        <w:ind w:left="426"/>
        <w:jc w:val="both"/>
        <w:rPr>
          <w:rFonts w:ascii="Avenir Next" w:hAnsi="Avenir Next" w:cs="Arial"/>
          <w:sz w:val="22"/>
          <w:szCs w:val="22"/>
          <w:highlight w:val="yellow"/>
          <w:lang w:val="en-GB"/>
        </w:rPr>
      </w:pPr>
      <w:r w:rsidRPr="00C70C34">
        <w:rPr>
          <w:rFonts w:ascii="Avenir Next" w:hAnsi="Avenir Next" w:cs="Arial"/>
          <w:sz w:val="22"/>
          <w:szCs w:val="22"/>
          <w:highlight w:val="yellow"/>
          <w:lang w:val="en-GB"/>
        </w:rPr>
        <w:t>Being found guilty of an indictable offence overseas</w:t>
      </w:r>
      <w:r w:rsidR="00763348" w:rsidRPr="00C70C34">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BE4C4F" w:rsidRDefault="00876F56" w:rsidP="00B04033">
      <w:pPr>
        <w:pStyle w:val="ListParagraph"/>
        <w:numPr>
          <w:ilvl w:val="0"/>
          <w:numId w:val="8"/>
        </w:numPr>
        <w:ind w:left="426"/>
        <w:jc w:val="both"/>
        <w:rPr>
          <w:rFonts w:ascii="Avenir Next" w:hAnsi="Avenir Next" w:cs="Arial"/>
          <w:sz w:val="22"/>
          <w:szCs w:val="22"/>
          <w:highlight w:val="yellow"/>
          <w:lang w:val="en-GB"/>
        </w:rPr>
      </w:pPr>
      <w:r w:rsidRPr="00BE4C4F">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BE4C4F" w:rsidRDefault="00E833F4" w:rsidP="00B04033">
      <w:pPr>
        <w:pStyle w:val="ListParagraph"/>
        <w:numPr>
          <w:ilvl w:val="0"/>
          <w:numId w:val="9"/>
        </w:numPr>
        <w:ind w:left="426"/>
        <w:jc w:val="both"/>
        <w:rPr>
          <w:rFonts w:ascii="Avenir Next" w:hAnsi="Avenir Next" w:cs="Arial"/>
          <w:sz w:val="22"/>
          <w:szCs w:val="22"/>
          <w:highlight w:val="yellow"/>
          <w:lang w:val="en-GB"/>
        </w:rPr>
      </w:pPr>
      <w:r w:rsidRPr="00BE4C4F">
        <w:rPr>
          <w:rFonts w:ascii="Avenir Next" w:hAnsi="Avenir Next" w:cs="Arial"/>
          <w:sz w:val="22"/>
          <w:szCs w:val="22"/>
          <w:highlight w:val="yellow"/>
          <w:lang w:val="en-GB"/>
        </w:rPr>
        <w:t>A</w:t>
      </w:r>
      <w:r w:rsidR="000D10C6" w:rsidRPr="00BE4C4F">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C2677B">
        <w:rPr>
          <w:rFonts w:ascii="Avenir Next" w:hAnsi="Avenir Next" w:cs="Arial"/>
          <w:sz w:val="22"/>
          <w:szCs w:val="22"/>
          <w:highlight w:val="yellow"/>
          <w:lang w:val="en-GB"/>
        </w:rPr>
        <w:t>12 months</w:t>
      </w:r>
      <w:r w:rsidR="00763348" w:rsidRPr="00C2677B">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203FF908" w14:textId="77777777" w:rsidR="002E43EA" w:rsidRDefault="002E43EA"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423 of the Insolvency Act 1986, the following parties have the right to attack transactions which are designed to defraud creditors: </w:t>
      </w:r>
    </w:p>
    <w:p w14:paraId="7061C9D6" w14:textId="47CCFA6A" w:rsidR="00AE5B6F" w:rsidRDefault="002E43EA" w:rsidP="002E43EA">
      <w:pPr>
        <w:pStyle w:val="ListParagraph"/>
        <w:numPr>
          <w:ilvl w:val="0"/>
          <w:numId w:val="18"/>
        </w:numPr>
        <w:jc w:val="both"/>
        <w:rPr>
          <w:rFonts w:ascii="Avenir Next" w:hAnsi="Avenir Next" w:cs="Arial"/>
          <w:color w:val="808080" w:themeColor="background1" w:themeShade="80"/>
          <w:sz w:val="22"/>
          <w:szCs w:val="22"/>
          <w:lang w:val="en-GB"/>
        </w:rPr>
      </w:pPr>
      <w:r w:rsidRPr="002E43EA">
        <w:rPr>
          <w:rFonts w:ascii="Avenir Next" w:hAnsi="Avenir Next" w:cs="Arial"/>
          <w:color w:val="808080" w:themeColor="background1" w:themeShade="80"/>
          <w:sz w:val="22"/>
          <w:szCs w:val="22"/>
          <w:lang w:val="en-GB"/>
        </w:rPr>
        <w:t xml:space="preserve">where the company is being </w:t>
      </w:r>
      <w:r>
        <w:rPr>
          <w:rFonts w:ascii="Avenir Next" w:hAnsi="Avenir Next" w:cs="Arial"/>
          <w:color w:val="808080" w:themeColor="background1" w:themeShade="80"/>
          <w:sz w:val="22"/>
          <w:szCs w:val="22"/>
          <w:lang w:val="en-GB"/>
        </w:rPr>
        <w:t>wound up or is in administration, the official receiver, the liquidator, the administrator (and with the leave of the court) any victim of the transaction such as a creditor;</w:t>
      </w:r>
    </w:p>
    <w:p w14:paraId="66A5BF16" w14:textId="5C2FA05D" w:rsidR="002E43EA" w:rsidRDefault="002E43EA" w:rsidP="002E43E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victim is bound by a company voluntary arrangement (CVA), the supervisor of the CVA or any victim of the transaction (whether bound by the CVA or not); or</w:t>
      </w:r>
    </w:p>
    <w:p w14:paraId="531A5DA0" w14:textId="465E35B6" w:rsidR="002E43EA" w:rsidRDefault="002E43EA" w:rsidP="002E43E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any other case, by a victim of the transaction.</w:t>
      </w:r>
    </w:p>
    <w:p w14:paraId="749E2ADC" w14:textId="77777777" w:rsidR="002E43EA" w:rsidRDefault="002E43EA" w:rsidP="002E43EA">
      <w:pPr>
        <w:jc w:val="both"/>
        <w:rPr>
          <w:rFonts w:ascii="Avenir Next" w:hAnsi="Avenir Next" w:cs="Arial"/>
          <w:color w:val="808080" w:themeColor="background1" w:themeShade="80"/>
          <w:sz w:val="22"/>
          <w:szCs w:val="22"/>
          <w:lang w:val="en-GB"/>
        </w:rPr>
      </w:pPr>
    </w:p>
    <w:p w14:paraId="5A70B751" w14:textId="2FEE61F9" w:rsidR="002E43EA" w:rsidRDefault="002E43EA" w:rsidP="002E43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Applications to disqualify a director under section 6 of the Company Directors Disqualification Act 1986 may be brought by the Secretary of State, or the Official Receiver or any liquidator, or a member or creditor of the company in relation to which the person against whom the disqualification order is sought is alleged to have committed the offence.</w:t>
      </w:r>
    </w:p>
    <w:p w14:paraId="690A91AE" w14:textId="77777777" w:rsidR="002E43EA" w:rsidRDefault="002E43EA" w:rsidP="002E43EA">
      <w:pPr>
        <w:jc w:val="both"/>
        <w:rPr>
          <w:rFonts w:ascii="Avenir Next" w:hAnsi="Avenir Next" w:cs="Arial"/>
          <w:color w:val="808080" w:themeColor="background1" w:themeShade="80"/>
          <w:sz w:val="22"/>
          <w:szCs w:val="22"/>
          <w:lang w:val="en-GB"/>
        </w:rPr>
      </w:pPr>
    </w:p>
    <w:p w14:paraId="3A9BF2A1" w14:textId="3CF38177" w:rsidR="002E43EA" w:rsidRDefault="002E43EA" w:rsidP="002E43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application to court for wrongful trading under section 246ZB of the Insolvency Act 1986 can only be made by the liquidator, and not a creditor or contributory.</w:t>
      </w:r>
    </w:p>
    <w:p w14:paraId="6587A6F4" w14:textId="77777777" w:rsidR="002E43EA" w:rsidRPr="002E43EA" w:rsidRDefault="002E43EA" w:rsidP="002E43EA">
      <w:pPr>
        <w:jc w:val="both"/>
        <w:rPr>
          <w:rFonts w:ascii="Avenir Next" w:hAnsi="Avenir Next" w:cs="Arial"/>
          <w:color w:val="808080" w:themeColor="background1" w:themeShade="80"/>
          <w:sz w:val="22"/>
          <w:szCs w:val="22"/>
          <w:lang w:val="en-GB"/>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4869E32D" w14:textId="77777777" w:rsidR="009D7A1D" w:rsidRDefault="009D7A1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Debts which do not form part of the payment holiday when a company is subject to a Moratorium include: </w:t>
      </w:r>
    </w:p>
    <w:p w14:paraId="652F0540" w14:textId="210FDF4F" w:rsidR="009D7A1D" w:rsidRDefault="009D7A1D" w:rsidP="009D7A1D">
      <w:pPr>
        <w:pStyle w:val="ListParagraph"/>
        <w:numPr>
          <w:ilvl w:val="0"/>
          <w:numId w:val="19"/>
        </w:numPr>
        <w:jc w:val="both"/>
        <w:rPr>
          <w:rFonts w:ascii="Avenir Next" w:hAnsi="Avenir Next" w:cs="Arial"/>
          <w:color w:val="808080" w:themeColor="background1" w:themeShade="80"/>
          <w:sz w:val="22"/>
          <w:szCs w:val="22"/>
        </w:rPr>
      </w:pPr>
      <w:r w:rsidRPr="009D7A1D">
        <w:rPr>
          <w:rFonts w:ascii="Avenir Next" w:hAnsi="Avenir Next" w:cs="Arial"/>
          <w:color w:val="808080" w:themeColor="background1" w:themeShade="80"/>
          <w:sz w:val="22"/>
          <w:szCs w:val="22"/>
        </w:rPr>
        <w:t>the monitor’s remuneration or expenses;</w:t>
      </w:r>
    </w:p>
    <w:p w14:paraId="28D3A2C3" w14:textId="2B860B64" w:rsidR="009D7A1D" w:rsidRDefault="009D7A1D" w:rsidP="009D7A1D">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or services supplied during the Moratorium;</w:t>
      </w:r>
    </w:p>
    <w:p w14:paraId="69553234" w14:textId="55E6CCEC" w:rsidR="009D7A1D" w:rsidRDefault="009D7A1D" w:rsidP="009D7A1D">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in respect of a period during the Moratorium;</w:t>
      </w:r>
    </w:p>
    <w:p w14:paraId="2DF687D6" w14:textId="60D211E1" w:rsidR="009D7A1D" w:rsidRDefault="009D7A1D" w:rsidP="009D7A1D">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wages of salary arising under a contract of employment; and</w:t>
      </w:r>
    </w:p>
    <w:p w14:paraId="312C6D20" w14:textId="0998D313" w:rsidR="009D7A1D" w:rsidRPr="009D7A1D" w:rsidRDefault="009D7A1D" w:rsidP="009D7A1D">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5078D1D7" w14:textId="77777777" w:rsidR="00026CEE" w:rsidRDefault="00026CE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the administrator can still require suppliers of goods and services to continue to supply those goods and services during the administration. </w:t>
      </w:r>
    </w:p>
    <w:p w14:paraId="7E335992" w14:textId="77777777" w:rsidR="00026CEE" w:rsidRDefault="00026CEE" w:rsidP="00EA3B38">
      <w:pPr>
        <w:jc w:val="both"/>
        <w:rPr>
          <w:rFonts w:ascii="Avenir Next" w:hAnsi="Avenir Next" w:cs="Arial"/>
          <w:color w:val="808080" w:themeColor="background1" w:themeShade="80"/>
          <w:sz w:val="22"/>
          <w:szCs w:val="22"/>
        </w:rPr>
      </w:pPr>
    </w:p>
    <w:p w14:paraId="0770EFD5" w14:textId="5790FFBF" w:rsidR="00EA3B38" w:rsidRDefault="00026CE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While terms in contracts of supply which provide for automatic termination upon the appointment of an administrator have historically been effective, they have increasingly become subject to statutory exceptions that render them void. Under section 233A of the Insolvency Act 1986 (“the Act”), a supplier of goods and services is generally unable to rely upon an “insolvency-related term” in a contract of supply which would otherwise entitle the supplier to terminate the supply, alter the terms of the supply or compel higher payments for continued supply. Moreover, section 233B of the Act prohibits clauses which allow the supplier of goods or services to terminate or “do any other thing” in relation to that contract if the company enters a formal insolvency procedure. In this way, not only does section 233B prevent suppliers from terminating a supply upon the company’s insolvency; it also prevents suppliers from requiring payment of pre-insolvency arrears as a condition for continued supply, and from making other changes to the contract such as increasing prices. Under section 233B, a supplier also cannot insist on a personal guarantee from the administrator.</w:t>
      </w:r>
    </w:p>
    <w:p w14:paraId="69144AE4" w14:textId="430F43B6" w:rsidR="00026CEE" w:rsidRDefault="00026CEE" w:rsidP="00EA3B38">
      <w:pPr>
        <w:jc w:val="both"/>
        <w:rPr>
          <w:rFonts w:ascii="Avenir Next" w:hAnsi="Avenir Next" w:cs="Arial"/>
          <w:color w:val="808080" w:themeColor="background1" w:themeShade="80"/>
          <w:sz w:val="22"/>
          <w:szCs w:val="22"/>
        </w:rPr>
      </w:pPr>
    </w:p>
    <w:p w14:paraId="55168F15" w14:textId="0EA7EB9F" w:rsidR="00026CEE" w:rsidRPr="00B84055" w:rsidRDefault="00026CE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contract between the company and the suppliers can only be terminated under section 233B where the company or the administrator consents, or if the suppliers apply to the court and the court is satisfied that the continuation of the contract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Default="00DF75F8" w:rsidP="002A37BB">
      <w:pPr>
        <w:jc w:val="both"/>
        <w:rPr>
          <w:rFonts w:ascii="Avenir Next" w:hAnsi="Avenir Next" w:cs="Arial"/>
          <w:sz w:val="22"/>
          <w:szCs w:val="22"/>
        </w:rPr>
      </w:pPr>
    </w:p>
    <w:p w14:paraId="2342A6E8" w14:textId="02D01D40" w:rsidR="003703D2" w:rsidRPr="003703D2" w:rsidRDefault="003703D2" w:rsidP="002A37BB">
      <w:pPr>
        <w:jc w:val="both"/>
        <w:rPr>
          <w:rFonts w:ascii="Avenir Next" w:hAnsi="Avenir Next" w:cs="Arial"/>
          <w:b/>
          <w:bCs/>
          <w:color w:val="808080" w:themeColor="background1" w:themeShade="80"/>
          <w:sz w:val="22"/>
          <w:szCs w:val="22"/>
          <w:u w:val="single"/>
        </w:rPr>
      </w:pPr>
      <w:r w:rsidRPr="003703D2">
        <w:rPr>
          <w:rFonts w:ascii="Avenir Next" w:hAnsi="Avenir Next" w:cs="Arial"/>
          <w:b/>
          <w:bCs/>
          <w:color w:val="808080" w:themeColor="background1" w:themeShade="80"/>
          <w:sz w:val="22"/>
          <w:szCs w:val="22"/>
          <w:u w:val="single"/>
        </w:rPr>
        <w:t>Liquidation expenses</w:t>
      </w:r>
    </w:p>
    <w:p w14:paraId="10AE5F9E" w14:textId="07678592" w:rsidR="00833E6A" w:rsidRDefault="00833E6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115 of the Insolvency Act 1986, read with rules 6.42 and 7.108 of the Rules, a number of expenses are given priority over all other claims. These expenses which are payable in priority to those creditors are (in order of priority):</w:t>
      </w:r>
    </w:p>
    <w:p w14:paraId="104EF412" w14:textId="342C567C"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expenses that are properly incurred by the liquidator in preserving, realizing or getting in any of the assets of the company (including the conduct of any legal proceedings);</w:t>
      </w:r>
    </w:p>
    <w:p w14:paraId="3914F49D" w14:textId="23F76A88"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 of any security provided by the liquidator;</w:t>
      </w:r>
    </w:p>
    <w:p w14:paraId="60833629" w14:textId="1A4CFAD5"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amount payable to a person to assist in the preparation of a statement of affairs or accounts;</w:t>
      </w:r>
    </w:p>
    <w:p w14:paraId="1B0FF0C7" w14:textId="5ED3C37B"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necessary disbursements by the liquidator in the course of the winding up (including, for example, any expenses incurred by members of the liquidation committee);</w:t>
      </w:r>
    </w:p>
    <w:p w14:paraId="65A3EF0C" w14:textId="6E8E284C"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remuneration of any person who has been employed by the liquidator to perform any services for the company;</w:t>
      </w:r>
    </w:p>
    <w:p w14:paraId="058F4137" w14:textId="65D6F235"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the remuneration of the liquidator (which is subject to effectively the same rules as those which apply to administrator, specifically including the fees estimate regime where a time cost basis for the liquidator’s fees is adopted);</w:t>
      </w:r>
    </w:p>
    <w:p w14:paraId="40319C38" w14:textId="67AF524C"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amount of any corporation tax on chargeable gains accruing on the realization of any asset of the company; and</w:t>
      </w:r>
    </w:p>
    <w:p w14:paraId="0622D443" w14:textId="55BB1060" w:rsidR="00833E6A" w:rsidRDefault="00833E6A" w:rsidP="00833E6A">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other expenses properly chargeable by the liquidator in carrying out the liquidator’s functions in the winding up.</w:t>
      </w:r>
    </w:p>
    <w:p w14:paraId="525A0DAD" w14:textId="77777777" w:rsidR="003703D2" w:rsidRDefault="003703D2" w:rsidP="003703D2">
      <w:pPr>
        <w:jc w:val="both"/>
        <w:rPr>
          <w:rFonts w:ascii="Avenir Next" w:hAnsi="Avenir Next" w:cs="Arial"/>
          <w:color w:val="808080" w:themeColor="background1" w:themeShade="80"/>
          <w:sz w:val="22"/>
          <w:szCs w:val="22"/>
        </w:rPr>
      </w:pPr>
    </w:p>
    <w:p w14:paraId="7A449656" w14:textId="66E6AEC0" w:rsidR="003703D2" w:rsidRPr="003703D2" w:rsidRDefault="003703D2" w:rsidP="003703D2">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Preferential creditors</w:t>
      </w:r>
    </w:p>
    <w:p w14:paraId="6E2ECAF5" w14:textId="068CB6CF" w:rsidR="003703D2" w:rsidRDefault="003703D2"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Once the expenses of the liquidation have bee</w:t>
      </w:r>
      <w:r w:rsidR="00AE50E9">
        <w:rPr>
          <w:rFonts w:ascii="Avenir Next" w:hAnsi="Avenir Next" w:cs="Arial"/>
          <w:color w:val="808080" w:themeColor="background1" w:themeShade="80"/>
          <w:sz w:val="22"/>
          <w:szCs w:val="22"/>
        </w:rPr>
        <w:t>n</w:t>
      </w:r>
      <w:r>
        <w:rPr>
          <w:rFonts w:ascii="Avenir Next" w:hAnsi="Avenir Next" w:cs="Arial"/>
          <w:color w:val="808080" w:themeColor="background1" w:themeShade="80"/>
          <w:sz w:val="22"/>
          <w:szCs w:val="22"/>
        </w:rPr>
        <w:t xml:space="preserve"> paid in full, the assets of the company are then used to pay preferential creditors before any payment may be made to holders of floating charges or unsecured creditors. Ordinary preferential debts are paid before secondary preferential debts. This preferential debts regime applies to all insolvency procedures, and the terms of company voluntary arrangements cannot alter the priority of preferential creditors. Preferential creditors are mainly limited claims of employees and some taxation liabilities to the Crown. The latter was abolished by the Enterprise Act 2002 but has largely been reintroduced by section 95 of the Finance Act 2020. While it has always been a characteristic of the statutory preferential debts regime that employees’ remuneration be given some priority, there are significant limits on such claims. In most insolvencies, the statutory protection afforded to employees under the Employment Rights Act 1996 provides considerably more extensive protection for employees, and it has been questioned why the Act retains its historic employee protection provisions. Schedule 6 of the Insolvency Act 1986 lists the categories of preferential debts.</w:t>
      </w:r>
    </w:p>
    <w:p w14:paraId="5EDAE546" w14:textId="77777777" w:rsidR="003703D2" w:rsidRDefault="003703D2" w:rsidP="003703D2">
      <w:pPr>
        <w:jc w:val="both"/>
        <w:rPr>
          <w:rFonts w:ascii="Avenir Next" w:hAnsi="Avenir Next" w:cs="Arial"/>
          <w:color w:val="808080" w:themeColor="background1" w:themeShade="80"/>
          <w:sz w:val="22"/>
          <w:szCs w:val="22"/>
        </w:rPr>
      </w:pPr>
    </w:p>
    <w:p w14:paraId="1795584D" w14:textId="1965654A" w:rsidR="003703D2" w:rsidRPr="003703D2" w:rsidRDefault="003703D2" w:rsidP="003703D2">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Floating charge holders</w:t>
      </w:r>
    </w:p>
    <w:p w14:paraId="0812412F" w14:textId="1C9C870E" w:rsidR="003703D2" w:rsidRDefault="003703D2"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preferential creditors have been paid, floating charge holders will be paid. If there </w:t>
      </w:r>
      <w:r w:rsidR="00EE5928">
        <w:rPr>
          <w:rFonts w:ascii="Avenir Next" w:hAnsi="Avenir Next" w:cs="Arial"/>
          <w:color w:val="808080" w:themeColor="background1" w:themeShade="80"/>
          <w:sz w:val="22"/>
          <w:szCs w:val="22"/>
        </w:rPr>
        <w:t>is</w:t>
      </w:r>
      <w:r>
        <w:rPr>
          <w:rFonts w:ascii="Avenir Next" w:hAnsi="Avenir Next" w:cs="Arial"/>
          <w:color w:val="808080" w:themeColor="background1" w:themeShade="80"/>
          <w:sz w:val="22"/>
          <w:szCs w:val="22"/>
        </w:rPr>
        <w:t xml:space="preserve"> more than one floating charge holder, priority between the</w:t>
      </w:r>
      <w:r w:rsidR="00111335">
        <w:rPr>
          <w:rFonts w:ascii="Avenir Next" w:hAnsi="Avenir Next" w:cs="Arial"/>
          <w:color w:val="808080" w:themeColor="background1" w:themeShade="80"/>
          <w:sz w:val="22"/>
          <w:szCs w:val="22"/>
        </w:rPr>
        <w:t xml:space="preserve"> floating charge holders</w:t>
      </w:r>
      <w:r>
        <w:rPr>
          <w:rFonts w:ascii="Avenir Next" w:hAnsi="Avenir Next" w:cs="Arial"/>
          <w:color w:val="808080" w:themeColor="background1" w:themeShade="80"/>
          <w:sz w:val="22"/>
          <w:szCs w:val="22"/>
        </w:rPr>
        <w:t xml:space="preserve"> generally turns upon which floating charge was first created. However, before paying the floating charge holder, the liquidator must first consider whether section 176A of the Insolvency Act 1986 applies. Section 176A applies to a company with a floating charge created on or after 15 September 2003 and the company has gone into liquidation or administration. </w:t>
      </w:r>
    </w:p>
    <w:p w14:paraId="303E319A" w14:textId="77777777" w:rsidR="003703D2" w:rsidRDefault="003703D2" w:rsidP="003703D2">
      <w:pPr>
        <w:jc w:val="both"/>
        <w:rPr>
          <w:rFonts w:ascii="Avenir Next" w:hAnsi="Avenir Next" w:cs="Arial"/>
          <w:color w:val="808080" w:themeColor="background1" w:themeShade="80"/>
          <w:sz w:val="22"/>
          <w:szCs w:val="22"/>
        </w:rPr>
      </w:pPr>
    </w:p>
    <w:p w14:paraId="08F8C7AE" w14:textId="77777777" w:rsidR="003703D2" w:rsidRDefault="003703D2"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 176A, the liquidator or administrator is under a duty to make a “prescribed part” of the company’s net property available for the satisfaction of unsecured debts, and must not distribute that part to a floating charge holder except insofar as it exceeds the amount required for the satisfaction of unsecured debts. “Net property” is the amount of the company’s property which otherwise would be available for the satisfaction of debts of floating charge holders, and is calculated after the liquidation expenses and preferential debts have been paid. </w:t>
      </w:r>
    </w:p>
    <w:p w14:paraId="684DC534" w14:textId="77777777" w:rsidR="003703D2" w:rsidRDefault="003703D2" w:rsidP="003703D2">
      <w:pPr>
        <w:jc w:val="both"/>
        <w:rPr>
          <w:rFonts w:ascii="Avenir Next" w:hAnsi="Avenir Next" w:cs="Arial"/>
          <w:color w:val="808080" w:themeColor="background1" w:themeShade="80"/>
          <w:sz w:val="22"/>
          <w:szCs w:val="22"/>
        </w:rPr>
      </w:pPr>
    </w:p>
    <w:p w14:paraId="5E7DD648" w14:textId="300733E4" w:rsidR="003703D2" w:rsidRDefault="003703D2"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the company’s net property does not exceed GBP 10,000, the prescribed part is 50% of that property. However, in such circumstances, if the liquidator thinks that making a distribution to unsecured creditors would be disproportionate to the benefits, then the duty to make the distribution of the prescribed part does not apply.</w:t>
      </w:r>
    </w:p>
    <w:p w14:paraId="0740E665" w14:textId="77777777" w:rsidR="003703D2" w:rsidRDefault="003703D2" w:rsidP="003703D2">
      <w:pPr>
        <w:jc w:val="both"/>
        <w:rPr>
          <w:rFonts w:ascii="Avenir Next" w:hAnsi="Avenir Next" w:cs="Arial"/>
          <w:color w:val="808080" w:themeColor="background1" w:themeShade="80"/>
          <w:sz w:val="22"/>
          <w:szCs w:val="22"/>
        </w:rPr>
      </w:pPr>
    </w:p>
    <w:p w14:paraId="4B4C3C14" w14:textId="7840BC47" w:rsidR="003703D2" w:rsidRDefault="003703D2"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the company’s net property exceeds GBP 10,000, the prescribed part is the sum of 50% of the first GBP 10,000 in value, plus 20% of the excess in value above the GBP 10,000, subject to a maximum amount of the prescribed part of GBP 800,000.</w:t>
      </w:r>
    </w:p>
    <w:p w14:paraId="33FB5033" w14:textId="77777777" w:rsidR="00255B17" w:rsidRDefault="00255B17" w:rsidP="003703D2">
      <w:pPr>
        <w:jc w:val="both"/>
        <w:rPr>
          <w:rFonts w:ascii="Avenir Next" w:hAnsi="Avenir Next" w:cs="Arial"/>
          <w:color w:val="808080" w:themeColor="background1" w:themeShade="80"/>
          <w:sz w:val="22"/>
          <w:szCs w:val="22"/>
        </w:rPr>
      </w:pPr>
    </w:p>
    <w:p w14:paraId="05384E1F" w14:textId="09099506" w:rsidR="00255B17" w:rsidRDefault="00255B17"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floating charge holder or any secured creditor who may have an outstanding unsecured balance owing to it is not permitted to participate in the distribution of the prescribed part.</w:t>
      </w:r>
    </w:p>
    <w:p w14:paraId="4B7E8341" w14:textId="77777777" w:rsidR="00255B17" w:rsidRDefault="00255B17" w:rsidP="003703D2">
      <w:pPr>
        <w:jc w:val="both"/>
        <w:rPr>
          <w:rFonts w:ascii="Avenir Next" w:hAnsi="Avenir Next" w:cs="Arial"/>
          <w:color w:val="808080" w:themeColor="background1" w:themeShade="80"/>
          <w:sz w:val="22"/>
          <w:szCs w:val="22"/>
        </w:rPr>
      </w:pPr>
    </w:p>
    <w:p w14:paraId="0415628B" w14:textId="77777777" w:rsidR="00255B17" w:rsidRDefault="00255B17" w:rsidP="003703D2">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Unsecured creditors</w:t>
      </w:r>
    </w:p>
    <w:p w14:paraId="4645FA1D" w14:textId="0052D080" w:rsidR="00255B17" w:rsidRPr="00255B17" w:rsidRDefault="00255B17" w:rsidP="003703D2">
      <w:pPr>
        <w:jc w:val="both"/>
        <w:rPr>
          <w:rFonts w:ascii="Avenir Next" w:hAnsi="Avenir Next" w:cs="Arial"/>
          <w:b/>
          <w:bCs/>
          <w:color w:val="808080" w:themeColor="background1" w:themeShade="80"/>
          <w:sz w:val="22"/>
          <w:szCs w:val="22"/>
          <w:u w:val="single"/>
        </w:rPr>
      </w:pPr>
      <w:r>
        <w:rPr>
          <w:rFonts w:ascii="Avenir Next" w:hAnsi="Avenir Next" w:cs="Arial"/>
          <w:color w:val="808080" w:themeColor="background1" w:themeShade="80"/>
          <w:sz w:val="22"/>
          <w:szCs w:val="22"/>
        </w:rPr>
        <w:lastRenderedPageBreak/>
        <w:t>Unsecured creditors, who are ordinary trade creditors, are paid out last in the statutory order. At this point, there is frequently little or nothing left to pay the unsecured creditors.</w:t>
      </w:r>
    </w:p>
    <w:p w14:paraId="4BAA557B" w14:textId="77777777" w:rsidR="00255B17" w:rsidRDefault="00255B17" w:rsidP="003703D2">
      <w:pPr>
        <w:jc w:val="both"/>
        <w:rPr>
          <w:rFonts w:ascii="Avenir Next" w:hAnsi="Avenir Next" w:cs="Arial"/>
          <w:color w:val="808080" w:themeColor="background1" w:themeShade="80"/>
          <w:sz w:val="22"/>
          <w:szCs w:val="22"/>
        </w:rPr>
      </w:pPr>
    </w:p>
    <w:p w14:paraId="2D2A9CAF" w14:textId="20DAA64B" w:rsidR="00255B17" w:rsidRDefault="00255B17" w:rsidP="003703D2">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Shareholders</w:t>
      </w:r>
    </w:p>
    <w:p w14:paraId="17555B99" w14:textId="5997525C" w:rsidR="00255B17" w:rsidRDefault="00255B17"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there are sufficient funds to pay all the creditors with interest, any surplus is distributed among the shareholders according to the company’s constitution, which normally permit a distribution </w:t>
      </w:r>
      <w:r>
        <w:rPr>
          <w:rFonts w:ascii="Avenir Next" w:hAnsi="Avenir Next" w:cs="Arial"/>
          <w:i/>
          <w:iCs/>
          <w:color w:val="808080" w:themeColor="background1" w:themeShade="80"/>
          <w:sz w:val="22"/>
          <w:szCs w:val="22"/>
        </w:rPr>
        <w:t xml:space="preserve">pro rata </w:t>
      </w:r>
      <w:r>
        <w:rPr>
          <w:rFonts w:ascii="Avenir Next" w:hAnsi="Avenir Next" w:cs="Arial"/>
          <w:color w:val="808080" w:themeColor="background1" w:themeShade="80"/>
          <w:sz w:val="22"/>
          <w:szCs w:val="22"/>
        </w:rPr>
        <w:t>the shareholders’ respective shareholdings.</w:t>
      </w:r>
    </w:p>
    <w:p w14:paraId="24AB9C63" w14:textId="77777777" w:rsidR="00255B17" w:rsidRDefault="00255B17" w:rsidP="003703D2">
      <w:pPr>
        <w:jc w:val="both"/>
        <w:rPr>
          <w:rFonts w:ascii="Avenir Next" w:hAnsi="Avenir Next" w:cs="Arial"/>
          <w:color w:val="808080" w:themeColor="background1" w:themeShade="80"/>
          <w:sz w:val="22"/>
          <w:szCs w:val="22"/>
        </w:rPr>
      </w:pPr>
    </w:p>
    <w:p w14:paraId="6C01DA59" w14:textId="2E4DBEC1" w:rsidR="00255B17" w:rsidRPr="00255B17" w:rsidRDefault="00255B17" w:rsidP="003703D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should also be noted that a subordination agreement is an agreement between two creditors whereby they agree between themselves to vary their priority. Since a subordination agreement is a contractual agreement between two or more creditors, it is valid as they do not affect the priority of other creditors. </w:t>
      </w:r>
    </w:p>
    <w:p w14:paraId="17684F3E" w14:textId="77777777" w:rsidR="00833E6A" w:rsidRDefault="00833E6A" w:rsidP="00EA3B38">
      <w:pPr>
        <w:jc w:val="both"/>
        <w:rPr>
          <w:rFonts w:ascii="Avenir Next" w:hAnsi="Avenir Next" w:cs="Arial"/>
          <w:color w:val="808080" w:themeColor="background1" w:themeShade="80"/>
          <w:sz w:val="22"/>
          <w:szCs w:val="22"/>
        </w:rPr>
      </w:pPr>
    </w:p>
    <w:p w14:paraId="23E7F313" w14:textId="5F232138" w:rsidR="003703D2" w:rsidRPr="003703D2" w:rsidRDefault="003703D2" w:rsidP="00EA3B38">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Effect of a Moratorium</w:t>
      </w:r>
    </w:p>
    <w:p w14:paraId="1F067633" w14:textId="1F4FAF8E" w:rsidR="00EA3B38" w:rsidRPr="00581117" w:rsidRDefault="0058111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subject to a Moratorium under Part A1 of the Insolvency Act 1986 during the 12-week period prior to the commencement of the liquidation, the priority of debts in the liquidation may </w:t>
      </w:r>
      <w:r w:rsidR="00833E6A">
        <w:rPr>
          <w:rFonts w:ascii="Avenir Next" w:hAnsi="Avenir Next" w:cs="Arial"/>
          <w:color w:val="808080" w:themeColor="background1" w:themeShade="80"/>
          <w:sz w:val="22"/>
          <w:szCs w:val="22"/>
        </w:rPr>
        <w:t xml:space="preserve">change </w:t>
      </w:r>
      <w:r>
        <w:rPr>
          <w:rFonts w:ascii="Avenir Next" w:hAnsi="Avenir Next" w:cs="Arial"/>
          <w:color w:val="808080" w:themeColor="background1" w:themeShade="80"/>
          <w:sz w:val="22"/>
          <w:szCs w:val="22"/>
        </w:rPr>
        <w:t>to the priority of debts which existed prior to the Moratorium. Section 174A of the Insolvency Act 1986 affords certain unsecured debts a form of “super priority” in the subsequent liquidation. Section 174A provides that certain unpaid pre-Moratorium or Moratorium debts (debts which are not pa</w:t>
      </w:r>
      <w:r w:rsidR="008E5FB0">
        <w:rPr>
          <w:rFonts w:ascii="Avenir Next" w:hAnsi="Avenir Next" w:cs="Arial"/>
          <w:color w:val="808080" w:themeColor="background1" w:themeShade="80"/>
          <w:sz w:val="22"/>
          <w:szCs w:val="22"/>
        </w:rPr>
        <w:t>r</w:t>
      </w:r>
      <w:r>
        <w:rPr>
          <w:rFonts w:ascii="Avenir Next" w:hAnsi="Avenir Next" w:cs="Arial"/>
          <w:color w:val="808080" w:themeColor="background1" w:themeShade="80"/>
          <w:sz w:val="22"/>
          <w:szCs w:val="22"/>
        </w:rPr>
        <w:t xml:space="preserve">t of the payment holiday), e.g. debts owed to employees or “financial services debts”), are paid in the subsequent liquidation, in priority to even the liquidator’s fees and expenses. Unsecured (or secured) pre-Moratorium bank debt falling within the definition of “financial services” will acquire such “super priority”, unless such debt is accelerated debt, </w:t>
      </w:r>
      <w:r>
        <w:rPr>
          <w:rFonts w:ascii="Avenir Next" w:hAnsi="Avenir Next" w:cs="Arial"/>
          <w:i/>
          <w:iCs/>
          <w:color w:val="808080" w:themeColor="background1" w:themeShade="80"/>
          <w:sz w:val="22"/>
          <w:szCs w:val="22"/>
        </w:rPr>
        <w:t>ie</w:t>
      </w:r>
      <w:r>
        <w:rPr>
          <w:rFonts w:ascii="Avenir Next" w:hAnsi="Avenir Next" w:cs="Arial"/>
          <w:color w:val="808080" w:themeColor="background1" w:themeShade="80"/>
          <w:sz w:val="22"/>
          <w:szCs w:val="22"/>
        </w:rPr>
        <w:t>, any pre-moratorium financial services debt which fell due by reason of the operation of, or exercise of rights under, an acceleration or early termination provision in the financial services contract.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03D7D460" w14:textId="5C927F71" w:rsidR="00BD3CB3" w:rsidRDefault="00BD3CB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may rely on section 245 of the Insolvency Act 1986 (“the Act”) to render the floating charge in favour of Fretus Bank plc void. Section 245 renders floating charges given by a company at a relevant time</w:t>
      </w:r>
      <w:r w:rsidR="00654964">
        <w:rPr>
          <w:rFonts w:ascii="Avenir Next" w:hAnsi="Avenir Next" w:cs="Arial"/>
          <w:color w:val="808080" w:themeColor="background1" w:themeShade="80"/>
          <w:sz w:val="22"/>
          <w:szCs w:val="22"/>
        </w:rPr>
        <w:t xml:space="preserve"> invalid</w:t>
      </w:r>
      <w:r>
        <w:rPr>
          <w:rFonts w:ascii="Avenir Next" w:hAnsi="Avenir Next" w:cs="Arial"/>
          <w:color w:val="808080" w:themeColor="background1" w:themeShade="80"/>
          <w:sz w:val="22"/>
          <w:szCs w:val="22"/>
        </w:rPr>
        <w:t>, except to the extent that “new” consideration is provided for the charge. Section 245 applies where a company is in administration or liquidation and the provision is aimed at preventing pre-existing unsecured creditors obtaining the security of a floating charge shortly before a company enters a formal insolvency procedure. Where the person in whose favour the floating charge is created is connected with the company, the relevant time is any time within the period of two years prior to the onset of insolvency. Where the person in whose favour the floating charge is created is not connected with the company, the relevant time is any time within the period of 12 months prior to the onset of insolvency, but only if at the time of the creation of the charge the company was either unable to pay its debts (within the meaning in section 123 of the Act) or became unable to do so in consequence of the transaction.</w:t>
      </w:r>
    </w:p>
    <w:p w14:paraId="7F4BD617" w14:textId="77777777" w:rsidR="00BD3CB3" w:rsidRDefault="00BD3CB3" w:rsidP="00EA3B38">
      <w:pPr>
        <w:jc w:val="both"/>
        <w:rPr>
          <w:rFonts w:ascii="Avenir Next" w:hAnsi="Avenir Next" w:cs="Arial"/>
          <w:color w:val="808080" w:themeColor="background1" w:themeShade="80"/>
          <w:sz w:val="22"/>
          <w:szCs w:val="22"/>
        </w:rPr>
      </w:pPr>
    </w:p>
    <w:p w14:paraId="2974A3E2" w14:textId="276B585E" w:rsidR="00BD3CB3" w:rsidRPr="00BD3CB3" w:rsidRDefault="003B1EA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 it is clear that the floating charge granted falls within the scope of s 245 of the Act. I</w:t>
      </w:r>
      <w:r w:rsidR="00BD3CB3">
        <w:rPr>
          <w:rFonts w:ascii="Avenir Next" w:hAnsi="Avenir Next" w:cs="Arial"/>
          <w:color w:val="808080" w:themeColor="background1" w:themeShade="80"/>
          <w:sz w:val="22"/>
          <w:szCs w:val="22"/>
        </w:rPr>
        <w:t xml:space="preserve">n the present case, assuming that the Company granted the floating charge in favour of Fretus Bank plc </w:t>
      </w:r>
      <w:r w:rsidR="00BD3CB3">
        <w:rPr>
          <w:rFonts w:ascii="Avenir Next" w:hAnsi="Avenir Next" w:cs="Arial"/>
          <w:i/>
          <w:iCs/>
          <w:color w:val="808080" w:themeColor="background1" w:themeShade="80"/>
          <w:sz w:val="22"/>
          <w:szCs w:val="22"/>
        </w:rPr>
        <w:t xml:space="preserve">after </w:t>
      </w:r>
      <w:r w:rsidR="00BD3CB3">
        <w:rPr>
          <w:rFonts w:ascii="Avenir Next" w:hAnsi="Avenir Next" w:cs="Arial"/>
          <w:color w:val="808080" w:themeColor="background1" w:themeShade="80"/>
          <w:sz w:val="22"/>
          <w:szCs w:val="22"/>
        </w:rPr>
        <w:t xml:space="preserve">the </w:t>
      </w:r>
      <w:r w:rsidR="009962DE">
        <w:rPr>
          <w:rFonts w:ascii="Avenir Next" w:hAnsi="Avenir Next" w:cs="Arial"/>
          <w:color w:val="808080" w:themeColor="background1" w:themeShade="80"/>
          <w:sz w:val="22"/>
          <w:szCs w:val="22"/>
        </w:rPr>
        <w:t>creditor’s winding up petition</w:t>
      </w:r>
      <w:r w:rsidR="00BD3CB3">
        <w:rPr>
          <w:rFonts w:ascii="Avenir Next" w:hAnsi="Avenir Next" w:cs="Arial"/>
          <w:color w:val="808080" w:themeColor="background1" w:themeShade="80"/>
          <w:sz w:val="22"/>
          <w:szCs w:val="22"/>
        </w:rPr>
        <w:t xml:space="preserve"> on 14 October 2022 but just before going into compulsory liquidation on 23 December 2022, section 245 will apply to render the floating charge in favour of Fretus Bank plc invalid. </w:t>
      </w:r>
      <w:r w:rsidR="009962DE">
        <w:rPr>
          <w:rFonts w:ascii="Avenir Next" w:hAnsi="Avenir Next" w:cs="Arial"/>
          <w:color w:val="808080" w:themeColor="background1" w:themeShade="80"/>
          <w:sz w:val="22"/>
          <w:szCs w:val="22"/>
        </w:rPr>
        <w:t>Under section 129 of the Act, where a winding-up order is made, the liquidation is deemed to have commenced at the date of the petition and not the date of the winding-up order. The issuance of the winding-up order shows that at the time of the winding up petition on 14 October 2022, the Company was unable to pay its debts within the meaning in section 123 of the Act. Therefore, the Company’s granting of a debenture containing a floating charge in favour of Fretus Bank plc clearly runs afoul of section 245 of the Act and can be declared invalid.</w:t>
      </w:r>
    </w:p>
    <w:p w14:paraId="74C366AC" w14:textId="6BD8484D" w:rsidR="007E2919" w:rsidRDefault="007E2919" w:rsidP="007E2919">
      <w:pPr>
        <w:rPr>
          <w:rFonts w:ascii="Avenir Next" w:hAnsi="Avenir Next" w:cs="Arial"/>
          <w:b/>
          <w:sz w:val="22"/>
          <w:szCs w:val="22"/>
        </w:rPr>
      </w:pPr>
    </w:p>
    <w:p w14:paraId="4E4E2B3D" w14:textId="488726F5" w:rsidR="003B1EA4" w:rsidRDefault="003B1EA4" w:rsidP="003B1EA4">
      <w:pPr>
        <w:jc w:val="both"/>
        <w:rPr>
          <w:rFonts w:ascii="Avenir Next" w:hAnsi="Avenir Next" w:cs="Arial"/>
          <w:color w:val="808080" w:themeColor="background1" w:themeShade="80"/>
          <w:sz w:val="22"/>
          <w:szCs w:val="22"/>
        </w:rPr>
      </w:pPr>
      <w:r w:rsidRPr="003B1EA4">
        <w:rPr>
          <w:rFonts w:ascii="Avenir Next" w:hAnsi="Avenir Next" w:cs="Arial"/>
          <w:color w:val="808080" w:themeColor="background1" w:themeShade="80"/>
          <w:sz w:val="22"/>
          <w:szCs w:val="22"/>
        </w:rPr>
        <w:t>Second, n</w:t>
      </w:r>
      <w:r>
        <w:rPr>
          <w:rFonts w:ascii="Avenir Next" w:hAnsi="Avenir Next" w:cs="Arial"/>
          <w:color w:val="808080" w:themeColor="background1" w:themeShade="80"/>
          <w:sz w:val="22"/>
          <w:szCs w:val="22"/>
        </w:rPr>
        <w:t>o new consideration was provided for the floating charge. Section 245 of the Act sets out two main categories of “new consideration” which, if satisfied, mean the floating charge will not be invalid:</w:t>
      </w:r>
    </w:p>
    <w:p w14:paraId="6DDE31ED" w14:textId="4019A984" w:rsidR="003B1EA4" w:rsidRDefault="003B1EA4" w:rsidP="003B1EA4">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value of so much of the consideration for the creation of the charge as consists of money paid, or goods or services supplied, to the company at the same time as, or after, the creation of the charge.</w:t>
      </w:r>
    </w:p>
    <w:p w14:paraId="290A801D" w14:textId="091B92E3" w:rsidR="003B1EA4" w:rsidRDefault="003B1EA4" w:rsidP="003B1EA4">
      <w:pPr>
        <w:pStyle w:val="ListParagraph"/>
        <w:numPr>
          <w:ilvl w:val="0"/>
          <w:numId w:val="22"/>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value of so much of that consideration as consists of the discharge or reduction, at the same time as, or after, the creation of the charge, of any debt of the company.</w:t>
      </w:r>
    </w:p>
    <w:p w14:paraId="58AC38C4" w14:textId="77777777" w:rsidR="003B1EA4" w:rsidRDefault="003B1EA4" w:rsidP="003B1EA4">
      <w:pPr>
        <w:jc w:val="both"/>
        <w:rPr>
          <w:rFonts w:ascii="Avenir Next" w:hAnsi="Avenir Next" w:cs="Arial"/>
          <w:color w:val="808080" w:themeColor="background1" w:themeShade="80"/>
          <w:sz w:val="22"/>
          <w:szCs w:val="22"/>
        </w:rPr>
      </w:pPr>
    </w:p>
    <w:p w14:paraId="41FE4A6B" w14:textId="31A12F0B" w:rsidR="003B1EA4" w:rsidRPr="003B1EA4" w:rsidRDefault="003B1EA4" w:rsidP="003B1EA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is no evidence that Fretus Bank plc furnished the above “new” consideration for the floating charge. The floating charge was granted not in </w:t>
      </w:r>
      <w:r>
        <w:rPr>
          <w:rFonts w:ascii="Avenir Next" w:hAnsi="Avenir Next" w:cs="Arial"/>
          <w:i/>
          <w:iCs/>
          <w:color w:val="808080" w:themeColor="background1" w:themeShade="80"/>
          <w:sz w:val="22"/>
          <w:szCs w:val="22"/>
        </w:rPr>
        <w:t xml:space="preserve">discharge or reduction </w:t>
      </w:r>
      <w:r>
        <w:rPr>
          <w:rFonts w:ascii="Avenir Next" w:hAnsi="Avenir Next" w:cs="Arial"/>
          <w:color w:val="808080" w:themeColor="background1" w:themeShade="80"/>
          <w:sz w:val="22"/>
          <w:szCs w:val="22"/>
        </w:rPr>
        <w:t xml:space="preserve">of the Company’s existing debt, but only to “prevent” Fretus Bank plc from demanding repayment of the Company’s loans, </w:t>
      </w:r>
      <w:r>
        <w:rPr>
          <w:rFonts w:ascii="Avenir Next" w:hAnsi="Avenir Next" w:cs="Arial"/>
          <w:i/>
          <w:iCs/>
          <w:color w:val="808080" w:themeColor="background1" w:themeShade="80"/>
          <w:sz w:val="22"/>
          <w:szCs w:val="22"/>
        </w:rPr>
        <w:t>ie</w:t>
      </w:r>
      <w:r>
        <w:rPr>
          <w:rFonts w:ascii="Avenir Next" w:hAnsi="Avenir Next" w:cs="Arial"/>
          <w:color w:val="808080" w:themeColor="background1" w:themeShade="80"/>
          <w:sz w:val="22"/>
          <w:szCs w:val="22"/>
        </w:rPr>
        <w:t xml:space="preserve">, a </w:t>
      </w:r>
      <w:r>
        <w:rPr>
          <w:rFonts w:ascii="Avenir Next" w:hAnsi="Avenir Next" w:cs="Arial"/>
          <w:i/>
          <w:iCs/>
          <w:color w:val="808080" w:themeColor="background1" w:themeShade="80"/>
          <w:sz w:val="22"/>
          <w:szCs w:val="22"/>
        </w:rPr>
        <w:t xml:space="preserve">delay </w:t>
      </w:r>
      <w:r>
        <w:rPr>
          <w:rFonts w:ascii="Avenir Next" w:hAnsi="Avenir Next" w:cs="Arial"/>
          <w:color w:val="808080" w:themeColor="background1" w:themeShade="80"/>
          <w:sz w:val="22"/>
          <w:szCs w:val="22"/>
        </w:rPr>
        <w:t>in repayment of the debt. In these circumstances, it is unlikely that Fretus Bank plc would be found to have furnished “new” consideration for the floating charge. The floating charge will therefore be declared invalid.</w:t>
      </w:r>
    </w:p>
    <w:p w14:paraId="7B08243D" w14:textId="77777777" w:rsidR="003B1EA4" w:rsidRPr="006925C1" w:rsidRDefault="003B1EA4"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64299AA5" w:rsidR="00EA3B38" w:rsidRDefault="00FE4F8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The liquidator can apply to set aside the sale of the marble cutting machines to Rita Perkins on the basis that the sale was a transaction at an undervalue under s 238 of the Insolvency Act 1986 (“the Act”). In this case, under section 238, the liquidator must show that the Company’s sale of the marble cutting machines to Rita Perkins was for a consideration which, in money or money’s worth was, at the date of the transaction, significantly less than the value, in money or money’s worth, of the consideration provided by the Company. The sale must also have taken place at a “relevant time”, which is in the period of two years prior to the commencement of the liquidation or administration. Moreover, under section 238, it must be shown that at the time the transaction was entered into, the Company was either unable to pay its debts as they fell due within the meaning of section 123 or became unable to pay its debts within the meaning of section 123 as a consequence of the transaction. In the case of a transaction with a connected person, however, the company is presumed to have been insolvent, or to have become insolvent as a result of the transaction, unless the contrary is proven.</w:t>
      </w:r>
    </w:p>
    <w:p w14:paraId="4D2199C7" w14:textId="77777777" w:rsidR="00FE4F8B" w:rsidRDefault="00FE4F8B" w:rsidP="00EA3B38">
      <w:pPr>
        <w:jc w:val="both"/>
        <w:rPr>
          <w:rFonts w:ascii="Avenir Next" w:hAnsi="Avenir Next" w:cs="Arial"/>
          <w:color w:val="808080" w:themeColor="background1" w:themeShade="80"/>
          <w:sz w:val="22"/>
          <w:szCs w:val="22"/>
        </w:rPr>
      </w:pPr>
    </w:p>
    <w:p w14:paraId="51B5DAF0" w14:textId="1412B2B5" w:rsidR="00FE4F8B" w:rsidRDefault="00FE4F8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the Company’s sale of the marble cutting machines to Rita Perkins was indeed for a consideration significantly less than the value of the consideration provided by the Company. The Company sold both marble cutting machines to Rita Perkins at </w:t>
      </w:r>
      <w:r w:rsidR="00253A98">
        <w:rPr>
          <w:rFonts w:ascii="Avenir Next" w:hAnsi="Avenir Next" w:cs="Arial"/>
          <w:color w:val="808080" w:themeColor="background1" w:themeShade="80"/>
          <w:sz w:val="22"/>
          <w:szCs w:val="22"/>
        </w:rPr>
        <w:t xml:space="preserve">GBP 5,000 each (GBP 10,000 in total). This is a steep discount from the price the Company had acquired the marble cutting machines, at GBP 25,000 just the year before. Under section 129 of the Act, where a winding-up order is made, the liquidation is deemed to have commenced at the date of the petition on 14 October 2022. The sale of the marble cutting machines in July 2022 falls within the “relevant time” of two years prior to the commencement of the liquidation. Moreover, as Rita Perkins was a director of the Company at the time of the sale, she is a “connected person”. The Company is therefore presumed to have been insolvent or to have become insolvent as a result of the transaction. There is no evidence to suggest that Rita Perkins will be able to prove the contrary. </w:t>
      </w:r>
    </w:p>
    <w:p w14:paraId="76DB5F19" w14:textId="77777777" w:rsidR="00FE4F8B" w:rsidRDefault="00FE4F8B" w:rsidP="00EA3B38">
      <w:pPr>
        <w:jc w:val="both"/>
        <w:rPr>
          <w:rFonts w:ascii="Avenir Next" w:hAnsi="Avenir Next" w:cs="Arial"/>
          <w:color w:val="808080" w:themeColor="background1" w:themeShade="80"/>
          <w:sz w:val="22"/>
          <w:szCs w:val="22"/>
        </w:rPr>
      </w:pPr>
    </w:p>
    <w:p w14:paraId="15AB337A" w14:textId="25811CEC" w:rsidR="00FE4F8B" w:rsidRDefault="00A05ED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resisting the application, R</w:t>
      </w:r>
      <w:r w:rsidR="00FE4F8B">
        <w:rPr>
          <w:rFonts w:ascii="Avenir Next" w:hAnsi="Avenir Next" w:cs="Arial"/>
          <w:color w:val="808080" w:themeColor="background1" w:themeShade="80"/>
          <w:sz w:val="22"/>
          <w:szCs w:val="22"/>
        </w:rPr>
        <w:t>ita Perkins is likely to argue that the sale was done in good faith and for the purpose of carrying on its business, and that at the time the Company did so there were reasonable grounds for believing that the transaction would benefit the Company. If she is able to satisfy the court on these points, then the court will not make an order under section 238.</w:t>
      </w:r>
    </w:p>
    <w:p w14:paraId="59C84141" w14:textId="77777777" w:rsidR="00FE4F8B" w:rsidRDefault="00FE4F8B" w:rsidP="00EA3B38">
      <w:pPr>
        <w:jc w:val="both"/>
        <w:rPr>
          <w:rFonts w:ascii="Avenir Next" w:hAnsi="Avenir Next" w:cs="Arial"/>
          <w:color w:val="808080" w:themeColor="background1" w:themeShade="80"/>
          <w:sz w:val="22"/>
          <w:szCs w:val="22"/>
        </w:rPr>
      </w:pPr>
    </w:p>
    <w:p w14:paraId="238785B5" w14:textId="634FA47E" w:rsidR="00FE4F8B" w:rsidRDefault="00FE4F8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it is unlikely that Rita Perkins will </w:t>
      </w:r>
      <w:r w:rsidR="00A05ED9">
        <w:rPr>
          <w:rFonts w:ascii="Avenir Next" w:hAnsi="Avenir Next" w:cs="Arial"/>
          <w:color w:val="808080" w:themeColor="background1" w:themeShade="80"/>
          <w:sz w:val="22"/>
          <w:szCs w:val="22"/>
        </w:rPr>
        <w:t xml:space="preserve">be able to </w:t>
      </w:r>
      <w:r>
        <w:rPr>
          <w:rFonts w:ascii="Avenir Next" w:hAnsi="Avenir Next" w:cs="Arial"/>
          <w:color w:val="808080" w:themeColor="background1" w:themeShade="80"/>
          <w:sz w:val="22"/>
          <w:szCs w:val="22"/>
        </w:rPr>
        <w:t xml:space="preserve">discharge this burden. As mentioned above, the machines were bought at a steep discount of </w:t>
      </w:r>
      <w:r w:rsidR="00A05ED9">
        <w:rPr>
          <w:rFonts w:ascii="Avenir Next" w:hAnsi="Avenir Next" w:cs="Arial"/>
          <w:color w:val="808080" w:themeColor="background1" w:themeShade="80"/>
          <w:sz w:val="22"/>
          <w:szCs w:val="22"/>
        </w:rPr>
        <w:t xml:space="preserve">GBP </w:t>
      </w:r>
      <w:r w:rsidR="00092447">
        <w:rPr>
          <w:rFonts w:ascii="Avenir Next" w:hAnsi="Avenir Next" w:cs="Arial"/>
          <w:color w:val="808080" w:themeColor="background1" w:themeShade="80"/>
          <w:sz w:val="22"/>
          <w:szCs w:val="22"/>
        </w:rPr>
        <w:t>15,000</w:t>
      </w:r>
      <w:r>
        <w:rPr>
          <w:rFonts w:ascii="Avenir Next" w:hAnsi="Avenir Next" w:cs="Arial"/>
          <w:color w:val="808080" w:themeColor="background1" w:themeShade="80"/>
          <w:sz w:val="22"/>
          <w:szCs w:val="22"/>
        </w:rPr>
        <w:t>.</w:t>
      </w:r>
      <w:r w:rsidR="00253A98">
        <w:rPr>
          <w:rFonts w:ascii="Avenir Next" w:hAnsi="Avenir Next" w:cs="Arial"/>
          <w:color w:val="808080" w:themeColor="background1" w:themeShade="80"/>
          <w:sz w:val="22"/>
          <w:szCs w:val="22"/>
        </w:rPr>
        <w:t xml:space="preserve"> Given that the Company bought the marble cutting machines at GBP 25,000 just the year before, Rita Perkins will not be able to argue that the marble cutting machines had suffered such wear and tear or depreciation in value as to justify a price </w:t>
      </w:r>
      <w:r w:rsidR="00B8399B">
        <w:rPr>
          <w:rFonts w:ascii="Avenir Next" w:hAnsi="Avenir Next" w:cs="Arial"/>
          <w:color w:val="808080" w:themeColor="background1" w:themeShade="80"/>
          <w:sz w:val="22"/>
          <w:szCs w:val="22"/>
        </w:rPr>
        <w:t xml:space="preserve">of merely </w:t>
      </w:r>
      <w:r w:rsidR="00B8399B">
        <w:rPr>
          <w:rFonts w:ascii="Avenir Next" w:hAnsi="Avenir Next" w:cs="Arial"/>
          <w:color w:val="808080" w:themeColor="background1" w:themeShade="80"/>
          <w:sz w:val="22"/>
          <w:szCs w:val="22"/>
        </w:rPr>
        <w:t>GBP 5,000</w:t>
      </w:r>
      <w:r w:rsidR="00B8399B">
        <w:rPr>
          <w:rFonts w:ascii="Avenir Next" w:hAnsi="Avenir Next" w:cs="Arial"/>
          <w:color w:val="808080" w:themeColor="background1" w:themeShade="80"/>
          <w:sz w:val="22"/>
          <w:szCs w:val="22"/>
        </w:rPr>
        <w:t xml:space="preserve"> each</w:t>
      </w:r>
      <w:r w:rsidR="00253A9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these circumstances, a reasonable person in Rita Perkins’ position is unlikely to believe that the transaction would benefit the Company.</w:t>
      </w:r>
    </w:p>
    <w:p w14:paraId="2BC30B49" w14:textId="77777777" w:rsidR="008C5025" w:rsidRDefault="008C5025" w:rsidP="00EA3B38">
      <w:pPr>
        <w:jc w:val="both"/>
        <w:rPr>
          <w:rFonts w:ascii="Avenir Next" w:hAnsi="Avenir Next" w:cs="Arial"/>
          <w:color w:val="808080" w:themeColor="background1" w:themeShade="80"/>
          <w:sz w:val="22"/>
          <w:szCs w:val="22"/>
        </w:rPr>
      </w:pPr>
    </w:p>
    <w:p w14:paraId="0768A95A" w14:textId="2DFCD5A9" w:rsidR="008C5025" w:rsidRDefault="008C502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 the liquidator will likely be able to persuade the court that the sale of the marble cutting machines was a transaction at an undervalue. The court will then make an order restoring the position to what it would have been if the transaction had not been entered.</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9156A0F" w14:textId="0B6BBAAA" w:rsidR="0041797C" w:rsidRDefault="0041797C" w:rsidP="009452DF">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Void disposition</w:t>
      </w:r>
    </w:p>
    <w:p w14:paraId="1DB3DCFB" w14:textId="77777777" w:rsidR="00C1285E" w:rsidRDefault="00C1285E" w:rsidP="009452DF">
      <w:pPr>
        <w:jc w:val="both"/>
        <w:rPr>
          <w:rFonts w:ascii="Avenir Next" w:hAnsi="Avenir Next" w:cs="Arial"/>
          <w:color w:val="808080" w:themeColor="background1" w:themeShade="80"/>
          <w:sz w:val="22"/>
          <w:szCs w:val="22"/>
        </w:rPr>
      </w:pPr>
    </w:p>
    <w:p w14:paraId="7A4F5CCD" w14:textId="6AE51EC1" w:rsidR="00C679F5" w:rsidRDefault="00C679F5"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liquidator can seek to render the payments to Hard and Fast Ltd void under s</w:t>
      </w:r>
      <w:r w:rsidR="00294FA6">
        <w:rPr>
          <w:rFonts w:ascii="Avenir Next" w:hAnsi="Avenir Next" w:cs="Arial"/>
          <w:color w:val="808080" w:themeColor="background1" w:themeShade="80"/>
          <w:sz w:val="22"/>
          <w:szCs w:val="22"/>
        </w:rPr>
        <w:t>ection</w:t>
      </w:r>
      <w:r>
        <w:rPr>
          <w:rFonts w:ascii="Avenir Next" w:hAnsi="Avenir Next" w:cs="Arial"/>
          <w:color w:val="808080" w:themeColor="background1" w:themeShade="80"/>
          <w:sz w:val="22"/>
          <w:szCs w:val="22"/>
        </w:rPr>
        <w:t xml:space="preserve"> 127 of the Insolvency Act 1986 on the basis that the payments were made after the commencement of liquidation. In a compulsory winding up, section 127 avoids any disposition of the property of the company made after the commencement of winding up, unless the court orders otherwise. Under </w:t>
      </w:r>
      <w:r w:rsidR="00885DDA">
        <w:rPr>
          <w:rFonts w:ascii="Avenir Next" w:hAnsi="Avenir Next" w:cs="Arial"/>
          <w:color w:val="808080" w:themeColor="background1" w:themeShade="80"/>
          <w:sz w:val="22"/>
          <w:szCs w:val="22"/>
        </w:rPr>
        <w:lastRenderedPageBreak/>
        <w:t>section</w:t>
      </w:r>
      <w:r w:rsidR="000E4CA1">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 xml:space="preserve">129 of the Act, the commencement date is the date of the presentation of the petition to wind up. The avoidance provision in </w:t>
      </w:r>
      <w:r w:rsidR="00885DDA">
        <w:rPr>
          <w:rFonts w:ascii="Avenir Next" w:hAnsi="Avenir Next" w:cs="Arial"/>
          <w:color w:val="808080" w:themeColor="background1" w:themeShade="80"/>
          <w:sz w:val="22"/>
          <w:szCs w:val="22"/>
        </w:rPr>
        <w:t>section</w:t>
      </w:r>
      <w:r>
        <w:rPr>
          <w:rFonts w:ascii="Avenir Next" w:hAnsi="Avenir Next" w:cs="Arial"/>
          <w:color w:val="808080" w:themeColor="background1" w:themeShade="80"/>
          <w:sz w:val="22"/>
          <w:szCs w:val="22"/>
        </w:rPr>
        <w:t xml:space="preserve"> 127 therefore acts in a backdated manner to avoid any dispositions of company property which has happened in the interim period between the winding up petition and the winding up order. The words “disposition of property” in s</w:t>
      </w:r>
      <w:r w:rsidR="00885DDA">
        <w:rPr>
          <w:rFonts w:ascii="Avenir Next" w:hAnsi="Avenir Next" w:cs="Arial"/>
          <w:color w:val="808080" w:themeColor="background1" w:themeShade="80"/>
          <w:sz w:val="22"/>
          <w:szCs w:val="22"/>
        </w:rPr>
        <w:t>ection</w:t>
      </w:r>
      <w:r>
        <w:rPr>
          <w:rFonts w:ascii="Avenir Next" w:hAnsi="Avenir Next" w:cs="Arial"/>
          <w:color w:val="808080" w:themeColor="background1" w:themeShade="80"/>
          <w:sz w:val="22"/>
          <w:szCs w:val="22"/>
        </w:rPr>
        <w:t xml:space="preserve"> 127 of the Act are given a wide meaning and affect any payment of money as well as assets being sold or transferred.</w:t>
      </w:r>
    </w:p>
    <w:p w14:paraId="3A155849" w14:textId="77777777" w:rsidR="00C679F5" w:rsidRDefault="00C679F5" w:rsidP="009452DF">
      <w:pPr>
        <w:jc w:val="both"/>
        <w:rPr>
          <w:rFonts w:ascii="Avenir Next" w:hAnsi="Avenir Next" w:cs="Arial"/>
          <w:color w:val="808080" w:themeColor="background1" w:themeShade="80"/>
          <w:sz w:val="22"/>
          <w:szCs w:val="22"/>
        </w:rPr>
      </w:pPr>
    </w:p>
    <w:p w14:paraId="309CA807" w14:textId="75D00CB9" w:rsidR="00C679F5" w:rsidRDefault="00C679F5"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the payments clearly fall within the definition of “disposition of property” in </w:t>
      </w:r>
      <w:r w:rsidR="00885DDA">
        <w:rPr>
          <w:rFonts w:ascii="Avenir Next" w:hAnsi="Avenir Next" w:cs="Arial"/>
          <w:color w:val="808080" w:themeColor="background1" w:themeShade="80"/>
          <w:sz w:val="22"/>
          <w:szCs w:val="22"/>
        </w:rPr>
        <w:t>section</w:t>
      </w:r>
      <w:r>
        <w:rPr>
          <w:rFonts w:ascii="Avenir Next" w:hAnsi="Avenir Next" w:cs="Arial"/>
          <w:color w:val="808080" w:themeColor="background1" w:themeShade="80"/>
          <w:sz w:val="22"/>
          <w:szCs w:val="22"/>
        </w:rPr>
        <w:t xml:space="preserve"> 127. The liquidation is deemed to have commenced at the date of the creditor’s petition for winding-up issued on 14 October 2022. The payments were </w:t>
      </w:r>
      <w:r w:rsidR="00F6026D">
        <w:rPr>
          <w:rFonts w:ascii="Avenir Next" w:hAnsi="Avenir Next" w:cs="Arial"/>
          <w:color w:val="808080" w:themeColor="background1" w:themeShade="80"/>
          <w:sz w:val="22"/>
          <w:szCs w:val="22"/>
        </w:rPr>
        <w:t>done</w:t>
      </w:r>
      <w:r>
        <w:rPr>
          <w:rFonts w:ascii="Avenir Next" w:hAnsi="Avenir Next" w:cs="Arial"/>
          <w:color w:val="808080" w:themeColor="background1" w:themeShade="80"/>
          <w:sz w:val="22"/>
          <w:szCs w:val="22"/>
        </w:rPr>
        <w:t xml:space="preserve"> one month before the winding up order was made on 23 December 2022, and were therefore done after the commencement of liquidation. The payments can </w:t>
      </w:r>
      <w:r w:rsidR="001C1E3E">
        <w:rPr>
          <w:rFonts w:ascii="Avenir Next" w:hAnsi="Avenir Next" w:cs="Arial"/>
          <w:color w:val="808080" w:themeColor="background1" w:themeShade="80"/>
          <w:sz w:val="22"/>
          <w:szCs w:val="22"/>
        </w:rPr>
        <w:t>hence</w:t>
      </w:r>
      <w:r>
        <w:rPr>
          <w:rFonts w:ascii="Avenir Next" w:hAnsi="Avenir Next" w:cs="Arial"/>
          <w:color w:val="808080" w:themeColor="background1" w:themeShade="80"/>
          <w:sz w:val="22"/>
          <w:szCs w:val="22"/>
        </w:rPr>
        <w:t xml:space="preserve"> be voided by the court under </w:t>
      </w:r>
      <w:r w:rsidR="00885DDA">
        <w:rPr>
          <w:rFonts w:ascii="Avenir Next" w:hAnsi="Avenir Next" w:cs="Arial"/>
          <w:color w:val="808080" w:themeColor="background1" w:themeShade="80"/>
          <w:sz w:val="22"/>
          <w:szCs w:val="22"/>
        </w:rPr>
        <w:t>section</w:t>
      </w:r>
      <w:r>
        <w:rPr>
          <w:rFonts w:ascii="Avenir Next" w:hAnsi="Avenir Next" w:cs="Arial"/>
          <w:color w:val="808080" w:themeColor="background1" w:themeShade="80"/>
          <w:sz w:val="22"/>
          <w:szCs w:val="22"/>
        </w:rPr>
        <w:t xml:space="preserve"> 127 of the Act.</w:t>
      </w:r>
    </w:p>
    <w:p w14:paraId="291205C2" w14:textId="77777777" w:rsidR="00C679F5" w:rsidRDefault="00C679F5" w:rsidP="009452DF">
      <w:pPr>
        <w:jc w:val="both"/>
        <w:rPr>
          <w:rFonts w:ascii="Avenir Next" w:hAnsi="Avenir Next" w:cs="Arial"/>
          <w:color w:val="808080" w:themeColor="background1" w:themeShade="80"/>
          <w:sz w:val="22"/>
          <w:szCs w:val="22"/>
        </w:rPr>
      </w:pPr>
    </w:p>
    <w:p w14:paraId="7DA30F01" w14:textId="1D2B4078" w:rsidR="00C679F5" w:rsidRDefault="00C679F5"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impact of </w:t>
      </w:r>
      <w:r w:rsidR="00885DDA">
        <w:rPr>
          <w:rFonts w:ascii="Avenir Next" w:hAnsi="Avenir Next" w:cs="Arial"/>
          <w:color w:val="808080" w:themeColor="background1" w:themeShade="80"/>
          <w:sz w:val="22"/>
          <w:szCs w:val="22"/>
        </w:rPr>
        <w:t>section</w:t>
      </w:r>
      <w:r>
        <w:rPr>
          <w:rFonts w:ascii="Avenir Next" w:hAnsi="Avenir Next" w:cs="Arial"/>
          <w:color w:val="808080" w:themeColor="background1" w:themeShade="80"/>
          <w:sz w:val="22"/>
          <w:szCs w:val="22"/>
        </w:rPr>
        <w:t xml:space="preserve"> 127 is, however, not absolute. The court has a discretionary power to declare that dispositions shall not be void under a validation order. To that end, it is likely that Hard and Fast Ltd would apply for a validation order, and would bear the burden of proving that the order should be made. The court has a wide discretion whether or not to make a validation order, with the underlying rationale for such an order being that, where a company is trading, if transactions in the ordinary course of business which are entered into </w:t>
      </w:r>
      <w:r>
        <w:rPr>
          <w:rFonts w:ascii="Avenir Next" w:hAnsi="Avenir Next" w:cs="Arial"/>
          <w:i/>
          <w:iCs/>
          <w:color w:val="808080" w:themeColor="background1" w:themeShade="80"/>
          <w:sz w:val="22"/>
          <w:szCs w:val="22"/>
        </w:rPr>
        <w:t xml:space="preserve">bona fide </w:t>
      </w:r>
      <w:r>
        <w:rPr>
          <w:rFonts w:ascii="Avenir Next" w:hAnsi="Avenir Next" w:cs="Arial"/>
          <w:color w:val="808080" w:themeColor="background1" w:themeShade="80"/>
          <w:sz w:val="22"/>
          <w:szCs w:val="22"/>
        </w:rPr>
        <w:t xml:space="preserve">are not permitted, the parties interested in the assets of the company could be prejudiced. A validation order will only be made in relation to an insolvent company where the circumstances indicate that the disposition has been made </w:t>
      </w:r>
      <w:r w:rsidRPr="00CF287E">
        <w:rPr>
          <w:rFonts w:ascii="Avenir Next" w:hAnsi="Avenir Next" w:cs="Arial"/>
          <w:i/>
          <w:iCs/>
          <w:color w:val="808080" w:themeColor="background1" w:themeShade="80"/>
          <w:sz w:val="22"/>
          <w:szCs w:val="22"/>
        </w:rPr>
        <w:t>for the benefit of the general body of unsecured creditors</w:t>
      </w:r>
      <w:r>
        <w:rPr>
          <w:rFonts w:ascii="Avenir Next" w:hAnsi="Avenir Next" w:cs="Arial"/>
          <w:color w:val="808080" w:themeColor="background1" w:themeShade="80"/>
          <w:sz w:val="22"/>
          <w:szCs w:val="22"/>
        </w:rPr>
        <w:t>. The court will consider the following general guidelines:</w:t>
      </w:r>
    </w:p>
    <w:p w14:paraId="49D3425A" w14:textId="3A529DB3"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Save in exceptional circumstances, the court will be reluctant to depart from the basic principle of </w:t>
      </w:r>
      <w:r>
        <w:rPr>
          <w:rFonts w:ascii="Avenir Next" w:hAnsi="Avenir Next" w:cs="Arial"/>
          <w:i/>
          <w:iCs/>
          <w:color w:val="808080" w:themeColor="background1" w:themeShade="80"/>
          <w:sz w:val="22"/>
          <w:szCs w:val="22"/>
        </w:rPr>
        <w:t xml:space="preserve">pari passu </w:t>
      </w:r>
      <w:r>
        <w:rPr>
          <w:rFonts w:ascii="Avenir Next" w:hAnsi="Avenir Next" w:cs="Arial"/>
          <w:color w:val="808080" w:themeColor="background1" w:themeShade="80"/>
          <w:sz w:val="22"/>
          <w:szCs w:val="22"/>
        </w:rPr>
        <w:t>distribution among creditors in order to validate payments made in relation to pre-liquidation transactions where the effect is to give a preference to a pre-liquidation creditor over other creditors (</w:t>
      </w:r>
      <w:r>
        <w:rPr>
          <w:rFonts w:ascii="Avenir Next" w:hAnsi="Avenir Next" w:cs="Arial"/>
          <w:i/>
          <w:iCs/>
          <w:color w:val="808080" w:themeColor="background1" w:themeShade="80"/>
          <w:sz w:val="22"/>
          <w:szCs w:val="22"/>
        </w:rPr>
        <w:t xml:space="preserve">Re Changtel Solutions UK Ltd </w:t>
      </w:r>
      <w:r>
        <w:rPr>
          <w:rFonts w:ascii="Avenir Next" w:hAnsi="Avenir Next" w:cs="Arial"/>
          <w:color w:val="808080" w:themeColor="background1" w:themeShade="80"/>
          <w:sz w:val="22"/>
          <w:szCs w:val="22"/>
        </w:rPr>
        <w:t>[2022] EWHC 694 (Ch)).</w:t>
      </w:r>
    </w:p>
    <w:p w14:paraId="44E09A1C" w14:textId="66B18439"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Payments are likely to be sanctioned where they are necessary to ensure continued supplies enabling the company to continue trading in cases where the court considers that the continuance of trading was in the best interests of creditors.</w:t>
      </w:r>
    </w:p>
    <w:p w14:paraId="4CAD4C59" w14:textId="0F1366B1"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Transactions which do not diminish the company’s net assets and which increase the value of the company’s assets will normally be validated.</w:t>
      </w:r>
    </w:p>
    <w:p w14:paraId="1018700F" w14:textId="085E2178"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cases where the parties are unaware that a petition has been presented and so the disposition is in good faith and in the ordinary course of business, the transaction is likely to be sanctioned as long as it was likely to be for the benefit of creditors generally.</w:t>
      </w:r>
    </w:p>
    <w:p w14:paraId="33993305" w14:textId="477A2B8D"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goods have been paid for on terms of cash on delivery the court will consider the benefit to the company, including whether the payment will enable further supplies to be received and so enable the business to continue.</w:t>
      </w:r>
    </w:p>
    <w:p w14:paraId="67DB4367" w14:textId="0D7FB4D5" w:rsidR="00C679F5" w:rsidRDefault="00C679F5" w:rsidP="00C679F5">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Although the court can authorize or validate a particular disposition it may also authorize a general continuance of trading.</w:t>
      </w:r>
    </w:p>
    <w:p w14:paraId="0A8B770A" w14:textId="77777777" w:rsidR="00C1285E" w:rsidRDefault="00C1285E" w:rsidP="00C1285E">
      <w:pPr>
        <w:jc w:val="both"/>
        <w:rPr>
          <w:rFonts w:ascii="Avenir Next" w:hAnsi="Avenir Next" w:cs="Arial"/>
          <w:color w:val="808080" w:themeColor="background1" w:themeShade="80"/>
          <w:sz w:val="22"/>
          <w:szCs w:val="22"/>
        </w:rPr>
      </w:pPr>
    </w:p>
    <w:p w14:paraId="24556CF8" w14:textId="1AE654A7" w:rsidR="00C1285E" w:rsidRDefault="00C1285E" w:rsidP="00C1285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While transactions allowing the company to continue trading are generally validated, the court has also refused to grant validation orders where the disposition was going to benefit only one creditor to the detriment of other unsecured creditors of the company.</w:t>
      </w:r>
    </w:p>
    <w:p w14:paraId="6C9FF0AC" w14:textId="77777777" w:rsidR="00C1285E" w:rsidRDefault="00C1285E" w:rsidP="00C1285E">
      <w:pPr>
        <w:jc w:val="both"/>
        <w:rPr>
          <w:rFonts w:ascii="Avenir Next" w:hAnsi="Avenir Next" w:cs="Arial"/>
          <w:color w:val="808080" w:themeColor="background1" w:themeShade="80"/>
          <w:sz w:val="22"/>
          <w:szCs w:val="22"/>
        </w:rPr>
      </w:pPr>
    </w:p>
    <w:p w14:paraId="6BCC6645" w14:textId="6B3703CA" w:rsidR="0041797C" w:rsidRDefault="00C1285E"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it is likely that Hard and Fast Ltd would seek a validation order on the basis that the payments were necessary to ensure a continued supply of marble for the Company to continue trading. However, the liquidator can argue against the validation order on the grounds that there are no exceptional circumstances present which would justify the court’s departure from the </w:t>
      </w:r>
      <w:r>
        <w:rPr>
          <w:rFonts w:ascii="Avenir Next" w:hAnsi="Avenir Next" w:cs="Arial"/>
          <w:i/>
          <w:iCs/>
          <w:color w:val="808080" w:themeColor="background1" w:themeShade="80"/>
          <w:sz w:val="22"/>
          <w:szCs w:val="22"/>
        </w:rPr>
        <w:t xml:space="preserve">pari passu </w:t>
      </w:r>
      <w:r>
        <w:rPr>
          <w:rFonts w:ascii="Avenir Next" w:hAnsi="Avenir Next" w:cs="Arial"/>
          <w:color w:val="808080" w:themeColor="background1" w:themeShade="80"/>
          <w:sz w:val="22"/>
          <w:szCs w:val="22"/>
        </w:rPr>
        <w:t xml:space="preserve">principle. While the payments were necessary to ensure the continued supply of marble to the Company, the payments were done and will be done to benefit only one creditor, Hard and Fast Ltd, to the detriment of other unsecured creditors of the company. Moreover, it can be argued that the </w:t>
      </w:r>
      <w:r>
        <w:rPr>
          <w:rFonts w:ascii="Avenir Next" w:hAnsi="Avenir Next" w:cs="Arial"/>
          <w:color w:val="808080" w:themeColor="background1" w:themeShade="80"/>
          <w:sz w:val="22"/>
          <w:szCs w:val="22"/>
        </w:rPr>
        <w:lastRenderedPageBreak/>
        <w:t xml:space="preserve">payments were not done in good faith – both Hard and Fast Ltd and the Company were well aware of the creditor’s winding up petition given that the terms of the cash on delivery arrangement was for </w:t>
      </w:r>
      <w:r w:rsidRPr="00C1285E">
        <w:rPr>
          <w:rFonts w:ascii="Avenir Next" w:hAnsi="Avenir Next" w:cs="Arial"/>
          <w:color w:val="808080" w:themeColor="background1" w:themeShade="80"/>
          <w:sz w:val="22"/>
          <w:szCs w:val="22"/>
        </w:rPr>
        <w:t xml:space="preserve">further payments of GBP 3,000 </w:t>
      </w:r>
      <w:r w:rsidRPr="00C1285E">
        <w:rPr>
          <w:rFonts w:ascii="Avenir Next" w:hAnsi="Avenir Next" w:cs="Arial"/>
          <w:i/>
          <w:iCs/>
          <w:color w:val="808080" w:themeColor="background1" w:themeShade="80"/>
          <w:sz w:val="22"/>
          <w:szCs w:val="22"/>
        </w:rPr>
        <w:t>up to the date of the winding up order</w:t>
      </w:r>
      <w:r w:rsidRPr="00C1285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these circumstances, it is likely that the liquidator would be able to argue that the payments to Hard and Fast Ltd should be voided </w:t>
      </w:r>
      <w:r w:rsidR="00866EA4">
        <w:rPr>
          <w:rFonts w:ascii="Avenir Next" w:hAnsi="Avenir Next" w:cs="Arial"/>
          <w:color w:val="808080" w:themeColor="background1" w:themeShade="80"/>
          <w:sz w:val="22"/>
          <w:szCs w:val="22"/>
        </w:rPr>
        <w:t xml:space="preserve">under section 127 </w:t>
      </w:r>
      <w:r>
        <w:rPr>
          <w:rFonts w:ascii="Avenir Next" w:hAnsi="Avenir Next" w:cs="Arial"/>
          <w:color w:val="808080" w:themeColor="background1" w:themeShade="80"/>
          <w:sz w:val="22"/>
          <w:szCs w:val="22"/>
        </w:rPr>
        <w:t>and that there should be no validation order.</w:t>
      </w:r>
    </w:p>
    <w:p w14:paraId="4ACB9054" w14:textId="77777777" w:rsidR="00C679F5" w:rsidRDefault="00C679F5" w:rsidP="009452DF">
      <w:pPr>
        <w:jc w:val="both"/>
        <w:rPr>
          <w:rFonts w:ascii="Avenir Next" w:hAnsi="Avenir Next" w:cs="Arial"/>
          <w:color w:val="808080" w:themeColor="background1" w:themeShade="80"/>
          <w:sz w:val="22"/>
          <w:szCs w:val="22"/>
        </w:rPr>
      </w:pPr>
    </w:p>
    <w:p w14:paraId="2DEB2B6C" w14:textId="6ABA57AA" w:rsidR="00C679F5" w:rsidRPr="00C679F5" w:rsidRDefault="00C679F5" w:rsidP="009452DF">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Preference?</w:t>
      </w:r>
    </w:p>
    <w:p w14:paraId="546A96E8" w14:textId="77777777" w:rsidR="0041797C" w:rsidRDefault="0041797C" w:rsidP="009452DF">
      <w:pPr>
        <w:jc w:val="both"/>
        <w:rPr>
          <w:rFonts w:ascii="Avenir Next" w:hAnsi="Avenir Next" w:cs="Arial"/>
          <w:color w:val="808080" w:themeColor="background1" w:themeShade="80"/>
          <w:sz w:val="22"/>
          <w:szCs w:val="22"/>
        </w:rPr>
      </w:pPr>
    </w:p>
    <w:p w14:paraId="6F38B806" w14:textId="4073D685" w:rsidR="009452DF" w:rsidRDefault="00F4233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w:t>
      </w:r>
      <w:r w:rsidR="00C1285E">
        <w:rPr>
          <w:rFonts w:ascii="Avenir Next" w:hAnsi="Avenir Next" w:cs="Arial"/>
          <w:color w:val="808080" w:themeColor="background1" w:themeShade="80"/>
          <w:sz w:val="22"/>
          <w:szCs w:val="22"/>
        </w:rPr>
        <w:t>may also have considered setting</w:t>
      </w:r>
      <w:r>
        <w:rPr>
          <w:rFonts w:ascii="Avenir Next" w:hAnsi="Avenir Next" w:cs="Arial"/>
          <w:color w:val="808080" w:themeColor="background1" w:themeShade="80"/>
          <w:sz w:val="22"/>
          <w:szCs w:val="22"/>
        </w:rPr>
        <w:t xml:space="preserve"> aside the payments to Hard and Fast Ltd on the ground that the payments were preferences under section 239 of the Insolvency Act 1986. The underlying purpose of section 239 is to prevent a company, shortly before entering a formal insolvency procedure, from placing one of its creditors in a better position than others. Section 239 prevents preferences like a payment in full where the creditor could have expected only a dividend as an unsecured creditor. It will also open up to attack a security given to a creditor, or other property of the company made available to the creditor, who previously only had priority as an unsecured creditor.</w:t>
      </w:r>
    </w:p>
    <w:p w14:paraId="161A77E6" w14:textId="77777777" w:rsidR="00C1285E" w:rsidRDefault="00C1285E" w:rsidP="009452DF">
      <w:pPr>
        <w:jc w:val="both"/>
        <w:rPr>
          <w:rFonts w:ascii="Avenir Next" w:hAnsi="Avenir Next" w:cs="Arial"/>
          <w:color w:val="808080" w:themeColor="background1" w:themeShade="80"/>
          <w:sz w:val="22"/>
          <w:szCs w:val="22"/>
        </w:rPr>
      </w:pPr>
    </w:p>
    <w:p w14:paraId="29DBCB14" w14:textId="1E4CBAF3" w:rsidR="00C1285E" w:rsidRDefault="00C1285E"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it is unlikely for an application under section 239 to succeed.</w:t>
      </w:r>
    </w:p>
    <w:p w14:paraId="7B65DA04" w14:textId="77777777" w:rsidR="00940A9B" w:rsidRDefault="00940A9B" w:rsidP="009452DF">
      <w:pPr>
        <w:jc w:val="both"/>
        <w:rPr>
          <w:rFonts w:ascii="Avenir Next" w:hAnsi="Avenir Next" w:cs="Arial"/>
          <w:color w:val="808080" w:themeColor="background1" w:themeShade="80"/>
          <w:sz w:val="22"/>
          <w:szCs w:val="22"/>
        </w:rPr>
      </w:pPr>
    </w:p>
    <w:p w14:paraId="2D1E9025" w14:textId="2CF96DF7" w:rsidR="00940A9B" w:rsidRDefault="00940A9B"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To successfully bring an application under section 239, the liquidator must show that:</w:t>
      </w:r>
    </w:p>
    <w:p w14:paraId="38C494A7" w14:textId="2DB5D73A" w:rsidR="003B01B2" w:rsidRDefault="003B01B2" w:rsidP="003B01B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Hard and Fast Ltd was, at the time of the payments, a creditor of the Company;</w:t>
      </w:r>
    </w:p>
    <w:p w14:paraId="228309DE" w14:textId="2E685C77" w:rsidR="003B01B2" w:rsidRDefault="003B01B2" w:rsidP="003B01B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had the effect of putting Hard and Fast Ltd in a better position than the position Hard and Fast </w:t>
      </w:r>
      <w:r w:rsidR="001532E4">
        <w:rPr>
          <w:rFonts w:ascii="Avenir Next" w:hAnsi="Avenir Next" w:cs="Arial"/>
          <w:color w:val="808080" w:themeColor="background1" w:themeShade="80"/>
          <w:sz w:val="22"/>
          <w:szCs w:val="22"/>
        </w:rPr>
        <w:t>Lt</w:t>
      </w:r>
      <w:r>
        <w:rPr>
          <w:rFonts w:ascii="Avenir Next" w:hAnsi="Avenir Next" w:cs="Arial"/>
          <w:color w:val="808080" w:themeColor="background1" w:themeShade="80"/>
          <w:sz w:val="22"/>
          <w:szCs w:val="22"/>
        </w:rPr>
        <w:t>d would have been in if the payments had not been made (</w:t>
      </w:r>
      <w:r>
        <w:rPr>
          <w:rFonts w:ascii="Avenir Next" w:hAnsi="Avenir Next" w:cs="Arial"/>
          <w:i/>
          <w:iCs/>
          <w:color w:val="808080" w:themeColor="background1" w:themeShade="80"/>
          <w:sz w:val="22"/>
          <w:szCs w:val="22"/>
        </w:rPr>
        <w:t>ie</w:t>
      </w:r>
      <w:r>
        <w:rPr>
          <w:rFonts w:ascii="Avenir Next" w:hAnsi="Avenir Next" w:cs="Arial"/>
          <w:color w:val="808080" w:themeColor="background1" w:themeShade="80"/>
          <w:sz w:val="22"/>
          <w:szCs w:val="22"/>
        </w:rPr>
        <w:t>, Hard and Fast Ltd has been preferred);</w:t>
      </w:r>
    </w:p>
    <w:p w14:paraId="7B4F48F1" w14:textId="510A5D93" w:rsidR="003B01B2" w:rsidRDefault="003B01B2" w:rsidP="003B01B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was, in giving the preference, influenced by a desire to prefer Hard and Fast Ltd; and</w:t>
      </w:r>
    </w:p>
    <w:p w14:paraId="26A373EF" w14:textId="0A97DD5B" w:rsidR="003B01B2" w:rsidRDefault="003B01B2" w:rsidP="003B01B2">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preference was given at a relevant time.</w:t>
      </w:r>
    </w:p>
    <w:p w14:paraId="067A200F" w14:textId="77777777" w:rsidR="003B01B2" w:rsidRDefault="003B01B2" w:rsidP="003B01B2">
      <w:pPr>
        <w:jc w:val="both"/>
        <w:rPr>
          <w:rFonts w:ascii="Avenir Next" w:hAnsi="Avenir Next" w:cs="Arial"/>
          <w:color w:val="808080" w:themeColor="background1" w:themeShade="80"/>
          <w:sz w:val="22"/>
          <w:szCs w:val="22"/>
        </w:rPr>
      </w:pPr>
    </w:p>
    <w:p w14:paraId="206B87DF" w14:textId="08CC2BB2" w:rsidR="003B01B2" w:rsidRDefault="00C1285E" w:rsidP="003B01B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first, second and fourth requirements will be satisfied in the present case. </w:t>
      </w:r>
      <w:r w:rsidR="003B01B2">
        <w:rPr>
          <w:rFonts w:ascii="Avenir Next" w:hAnsi="Avenir Next" w:cs="Arial"/>
          <w:color w:val="808080" w:themeColor="background1" w:themeShade="80"/>
          <w:sz w:val="22"/>
          <w:szCs w:val="22"/>
        </w:rPr>
        <w:t>First, it is clear that Hard and Fast Ltd was at the time of the payments a creditor of the Company as the Company owed Hard and Fast Ltd sums for Hard and Fast Ltd’s supply of marble.</w:t>
      </w:r>
      <w:r>
        <w:rPr>
          <w:rFonts w:ascii="Avenir Next" w:hAnsi="Avenir Next" w:cs="Arial"/>
          <w:color w:val="808080" w:themeColor="background1" w:themeShade="80"/>
          <w:sz w:val="22"/>
          <w:szCs w:val="22"/>
        </w:rPr>
        <w:t xml:space="preserve"> S</w:t>
      </w:r>
      <w:r w:rsidR="003B01B2">
        <w:rPr>
          <w:rFonts w:ascii="Avenir Next" w:hAnsi="Avenir Next" w:cs="Arial"/>
          <w:color w:val="808080" w:themeColor="background1" w:themeShade="80"/>
          <w:sz w:val="22"/>
          <w:szCs w:val="22"/>
        </w:rPr>
        <w:t xml:space="preserve">econd, the payments were a preference as they had the effect of placing Hard and Fast Ltd in a better position than the position Hard and Fast Ltd would have been in if the payments had not been made. Had the payments not been made, Hard and Fast Ltd may not have been able to recover the full GBP 8,000 the Company owed it. Hard and Fast Ltd, being an unsecured creditor, would only have been paid out </w:t>
      </w:r>
      <w:r w:rsidR="0041797C">
        <w:rPr>
          <w:rFonts w:ascii="Avenir Next" w:hAnsi="Avenir Next" w:cs="Arial"/>
          <w:color w:val="808080" w:themeColor="background1" w:themeShade="80"/>
          <w:sz w:val="22"/>
          <w:szCs w:val="22"/>
        </w:rPr>
        <w:t xml:space="preserve">after the liquidation expenses, preferential creditors and floating charge holders have been paid in full. </w:t>
      </w:r>
      <w:r>
        <w:rPr>
          <w:rFonts w:ascii="Avenir Next" w:hAnsi="Avenir Next" w:cs="Arial"/>
          <w:color w:val="808080" w:themeColor="background1" w:themeShade="80"/>
          <w:sz w:val="22"/>
          <w:szCs w:val="22"/>
        </w:rPr>
        <w:t>Third, the payments were given at the relevant time, having occurred within the six months prior to the onset of insolvency.</w:t>
      </w:r>
    </w:p>
    <w:p w14:paraId="097EDBD3" w14:textId="77777777" w:rsidR="00C1285E" w:rsidRDefault="00C1285E" w:rsidP="003B01B2">
      <w:pPr>
        <w:jc w:val="both"/>
        <w:rPr>
          <w:rFonts w:ascii="Avenir Next" w:hAnsi="Avenir Next" w:cs="Arial"/>
          <w:color w:val="808080" w:themeColor="background1" w:themeShade="80"/>
          <w:sz w:val="22"/>
          <w:szCs w:val="22"/>
        </w:rPr>
      </w:pPr>
    </w:p>
    <w:p w14:paraId="7F779D98" w14:textId="41339349" w:rsidR="00C1285E" w:rsidRDefault="00C1285E" w:rsidP="003B01B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difficulty is with the third requirement. The liquidator is unlikely to be able to show that </w:t>
      </w:r>
      <w:r w:rsidR="0041797C">
        <w:rPr>
          <w:rFonts w:ascii="Avenir Next" w:hAnsi="Avenir Next" w:cs="Arial"/>
          <w:color w:val="808080" w:themeColor="background1" w:themeShade="80"/>
          <w:sz w:val="22"/>
          <w:szCs w:val="22"/>
        </w:rPr>
        <w:t xml:space="preserve">the Company was, in making payment to Hard and Fast Ltd, influenced by a desire to prefer Hard and Fast Ltd. </w:t>
      </w:r>
      <w:r>
        <w:rPr>
          <w:rFonts w:ascii="Avenir Next" w:hAnsi="Avenir Next" w:cs="Arial"/>
          <w:color w:val="808080" w:themeColor="background1" w:themeShade="80"/>
          <w:sz w:val="22"/>
          <w:szCs w:val="22"/>
        </w:rPr>
        <w:t xml:space="preserve">In </w:t>
      </w:r>
      <w:r>
        <w:rPr>
          <w:rFonts w:ascii="Avenir Next" w:hAnsi="Avenir Next" w:cs="Arial"/>
          <w:i/>
          <w:iCs/>
          <w:color w:val="808080" w:themeColor="background1" w:themeShade="80"/>
          <w:sz w:val="22"/>
          <w:szCs w:val="22"/>
        </w:rPr>
        <w:t>Re MC Bacon Ltd</w:t>
      </w:r>
      <w:r w:rsidR="005155D0">
        <w:rPr>
          <w:rFonts w:ascii="Avenir Next" w:hAnsi="Avenir Next" w:cs="Arial"/>
          <w:i/>
          <w:iCs/>
          <w:color w:val="808080" w:themeColor="background1" w:themeShade="80"/>
          <w:sz w:val="22"/>
          <w:szCs w:val="22"/>
        </w:rPr>
        <w:t xml:space="preserve"> </w:t>
      </w:r>
      <w:r w:rsidR="005155D0">
        <w:rPr>
          <w:rFonts w:ascii="Avenir Next" w:hAnsi="Avenir Next" w:cs="Arial"/>
          <w:color w:val="808080" w:themeColor="background1" w:themeShade="80"/>
          <w:sz w:val="22"/>
          <w:szCs w:val="22"/>
        </w:rPr>
        <w:t>[1990] BCC 78</w:t>
      </w:r>
      <w:r w:rsidRPr="0041797C">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 Millett J drew a distinction between intention, which is objective, and desire which is subjective: “A man is taken to intend the necessary consequences of his actions [but a] man can choose the lesser of two evils without desiring either.” In other words, one can intend to do something yet not desire it. It has been held that where the company was influenced solely by commercial considerations, specifically attempts to ensure that the company continued trading, there could be no desire to prefer. This is likely the case here. While Hard and Fast Ltd did apply pressure on the Company by demanding payment, the facts show that the Company was only driven to prefer Hard and Fast Ltd on the basis that Hard and Fast Ltd was a key supplier and the </w:t>
      </w:r>
      <w:r w:rsidRPr="003B01B2">
        <w:rPr>
          <w:rFonts w:ascii="Avenir Next" w:hAnsi="Avenir Next" w:cs="Arial"/>
          <w:color w:val="808080" w:themeColor="background1" w:themeShade="80"/>
          <w:sz w:val="22"/>
          <w:szCs w:val="22"/>
        </w:rPr>
        <w:t>continued supply of marble was seen as essential by the Company</w:t>
      </w:r>
      <w:r>
        <w:rPr>
          <w:rFonts w:ascii="Avenir Next" w:hAnsi="Avenir Next" w:cs="Arial"/>
          <w:color w:val="808080" w:themeColor="background1" w:themeShade="80"/>
          <w:sz w:val="22"/>
          <w:szCs w:val="22"/>
        </w:rPr>
        <w:t xml:space="preserve">. In these circumstances, the </w:t>
      </w:r>
      <w:r>
        <w:rPr>
          <w:rFonts w:ascii="Avenir Next" w:hAnsi="Avenir Next" w:cs="Arial"/>
          <w:color w:val="808080" w:themeColor="background1" w:themeShade="80"/>
          <w:sz w:val="22"/>
          <w:szCs w:val="22"/>
        </w:rPr>
        <w:lastRenderedPageBreak/>
        <w:t xml:space="preserve">Company may have </w:t>
      </w:r>
      <w:r>
        <w:rPr>
          <w:rFonts w:ascii="Avenir Next" w:hAnsi="Avenir Next" w:cs="Arial"/>
          <w:i/>
          <w:iCs/>
          <w:color w:val="808080" w:themeColor="background1" w:themeShade="80"/>
          <w:sz w:val="22"/>
          <w:szCs w:val="22"/>
        </w:rPr>
        <w:t xml:space="preserve">intended </w:t>
      </w:r>
      <w:r>
        <w:rPr>
          <w:rFonts w:ascii="Avenir Next" w:hAnsi="Avenir Next" w:cs="Arial"/>
          <w:color w:val="808080" w:themeColor="background1" w:themeShade="80"/>
          <w:sz w:val="22"/>
          <w:szCs w:val="22"/>
        </w:rPr>
        <w:t xml:space="preserve">to prefer Hard and Fast Ltd, but cannot be said to have </w:t>
      </w:r>
      <w:r w:rsidR="00F71DE6">
        <w:rPr>
          <w:rFonts w:ascii="Avenir Next" w:hAnsi="Avenir Next" w:cs="Arial"/>
          <w:color w:val="808080" w:themeColor="background1" w:themeShade="80"/>
          <w:sz w:val="22"/>
          <w:szCs w:val="22"/>
        </w:rPr>
        <w:t xml:space="preserve">been influenced by the </w:t>
      </w:r>
      <w:r>
        <w:rPr>
          <w:rFonts w:ascii="Avenir Next" w:hAnsi="Avenir Next" w:cs="Arial"/>
          <w:i/>
          <w:iCs/>
          <w:color w:val="808080" w:themeColor="background1" w:themeShade="80"/>
          <w:sz w:val="22"/>
          <w:szCs w:val="22"/>
        </w:rPr>
        <w:t xml:space="preserve">desire </w:t>
      </w:r>
      <w:r>
        <w:rPr>
          <w:rFonts w:ascii="Avenir Next" w:hAnsi="Avenir Next" w:cs="Arial"/>
          <w:color w:val="808080" w:themeColor="background1" w:themeShade="80"/>
          <w:sz w:val="22"/>
          <w:szCs w:val="22"/>
        </w:rPr>
        <w:t>t</w:t>
      </w:r>
      <w:r w:rsidR="00F71DE6">
        <w:rPr>
          <w:rFonts w:ascii="Avenir Next" w:hAnsi="Avenir Next" w:cs="Arial"/>
          <w:color w:val="808080" w:themeColor="background1" w:themeShade="80"/>
          <w:sz w:val="22"/>
          <w:szCs w:val="22"/>
        </w:rPr>
        <w:t xml:space="preserve">o </w:t>
      </w:r>
      <w:r>
        <w:rPr>
          <w:rFonts w:ascii="Avenir Next" w:hAnsi="Avenir Next" w:cs="Arial"/>
          <w:color w:val="808080" w:themeColor="background1" w:themeShade="80"/>
          <w:sz w:val="22"/>
          <w:szCs w:val="22"/>
        </w:rPr>
        <w:t>prefer</w:t>
      </w:r>
      <w:r w:rsidR="00F71DE6">
        <w:rPr>
          <w:rFonts w:ascii="Avenir Next" w:hAnsi="Avenir Next" w:cs="Arial"/>
          <w:color w:val="808080" w:themeColor="background1" w:themeShade="80"/>
          <w:sz w:val="22"/>
          <w:szCs w:val="22"/>
        </w:rPr>
        <w:t xml:space="preserve"> Hard and Fast Ltd</w:t>
      </w:r>
      <w:r>
        <w:rPr>
          <w:rFonts w:ascii="Avenir Next" w:hAnsi="Avenir Next" w:cs="Arial"/>
          <w:color w:val="808080" w:themeColor="background1" w:themeShade="80"/>
          <w:sz w:val="22"/>
          <w:szCs w:val="22"/>
        </w:rPr>
        <w:t>.</w:t>
      </w:r>
    </w:p>
    <w:p w14:paraId="352A03C5" w14:textId="77777777" w:rsidR="00C1285E" w:rsidRDefault="00C1285E" w:rsidP="003B01B2">
      <w:pPr>
        <w:jc w:val="both"/>
        <w:rPr>
          <w:rFonts w:ascii="Avenir Next" w:hAnsi="Avenir Next" w:cs="Arial"/>
          <w:color w:val="808080" w:themeColor="background1" w:themeShade="80"/>
          <w:sz w:val="22"/>
          <w:szCs w:val="22"/>
        </w:rPr>
      </w:pPr>
    </w:p>
    <w:p w14:paraId="4C2C1FFC" w14:textId="0BFBFBD8" w:rsidR="00C1285E" w:rsidRDefault="00C1285E" w:rsidP="003B01B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Therefore, the liquidator is advised that voiding the payments under section 127 of the Insolvency Act 1986 remains the best option.</w:t>
      </w:r>
    </w:p>
    <w:p w14:paraId="0034C015" w14:textId="77777777" w:rsidR="00C1285E" w:rsidRDefault="00C1285E" w:rsidP="003B01B2">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2B1B" w14:textId="77777777" w:rsidR="002C643D" w:rsidRDefault="002C643D" w:rsidP="00241B44">
      <w:r>
        <w:separator/>
      </w:r>
    </w:p>
  </w:endnote>
  <w:endnote w:type="continuationSeparator" w:id="0">
    <w:p w14:paraId="0E88C505" w14:textId="77777777" w:rsidR="002C643D" w:rsidRDefault="002C643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7C40C10" w:rsidR="00241FA3" w:rsidRPr="00A84235" w:rsidRDefault="00050D36" w:rsidP="009B4976">
    <w:pPr>
      <w:pStyle w:val="Footer"/>
      <w:ind w:right="360"/>
      <w:rPr>
        <w:rFonts w:ascii="Avenir Next" w:hAnsi="Avenir Next" w:cs="Arial"/>
        <w:sz w:val="22"/>
        <w:szCs w:val="22"/>
        <w:lang w:val="en-GB"/>
      </w:rPr>
    </w:pPr>
    <w:r>
      <w:rPr>
        <w:rFonts w:ascii="Avenir Next" w:hAnsi="Avenir Next" w:cs="Arial"/>
        <w:sz w:val="22"/>
        <w:szCs w:val="22"/>
        <w:lang w:val="en-GB"/>
      </w:rPr>
      <w:t>202223-994</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7941" w14:textId="77777777" w:rsidR="002C643D" w:rsidRDefault="002C643D" w:rsidP="00241B44">
      <w:r>
        <w:separator/>
      </w:r>
    </w:p>
  </w:footnote>
  <w:footnote w:type="continuationSeparator" w:id="0">
    <w:p w14:paraId="6C57C64C" w14:textId="77777777" w:rsidR="002C643D" w:rsidRDefault="002C643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07B39"/>
    <w:multiLevelType w:val="hybridMultilevel"/>
    <w:tmpl w:val="AE06A9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C2FC4"/>
    <w:multiLevelType w:val="hybridMultilevel"/>
    <w:tmpl w:val="ABB865B4"/>
    <w:lvl w:ilvl="0" w:tplc="912A81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2542"/>
    <w:multiLevelType w:val="hybridMultilevel"/>
    <w:tmpl w:val="76089C00"/>
    <w:lvl w:ilvl="0" w:tplc="5DD658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C73CF6"/>
    <w:multiLevelType w:val="hybridMultilevel"/>
    <w:tmpl w:val="D2C8F49A"/>
    <w:lvl w:ilvl="0" w:tplc="5DD658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C5E73B4"/>
    <w:multiLevelType w:val="hybridMultilevel"/>
    <w:tmpl w:val="0E88C116"/>
    <w:lvl w:ilvl="0" w:tplc="5DD658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21266"/>
    <w:multiLevelType w:val="hybridMultilevel"/>
    <w:tmpl w:val="F894F280"/>
    <w:lvl w:ilvl="0" w:tplc="5DD658A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67D0D25"/>
    <w:multiLevelType w:val="hybridMultilevel"/>
    <w:tmpl w:val="BA561E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142138">
    <w:abstractNumId w:val="4"/>
  </w:num>
  <w:num w:numId="2" w16cid:durableId="1992977554">
    <w:abstractNumId w:val="2"/>
  </w:num>
  <w:num w:numId="3" w16cid:durableId="2062053664">
    <w:abstractNumId w:val="0"/>
  </w:num>
  <w:num w:numId="4" w16cid:durableId="2003270653">
    <w:abstractNumId w:val="12"/>
  </w:num>
  <w:num w:numId="5" w16cid:durableId="944271166">
    <w:abstractNumId w:val="15"/>
  </w:num>
  <w:num w:numId="6" w16cid:durableId="749355904">
    <w:abstractNumId w:val="3"/>
  </w:num>
  <w:num w:numId="7" w16cid:durableId="1141657362">
    <w:abstractNumId w:val="16"/>
  </w:num>
  <w:num w:numId="8" w16cid:durableId="175072019">
    <w:abstractNumId w:val="22"/>
  </w:num>
  <w:num w:numId="9" w16cid:durableId="953092607">
    <w:abstractNumId w:val="13"/>
  </w:num>
  <w:num w:numId="10" w16cid:durableId="2091194228">
    <w:abstractNumId w:val="23"/>
  </w:num>
  <w:num w:numId="11" w16cid:durableId="1282155312">
    <w:abstractNumId w:val="7"/>
  </w:num>
  <w:num w:numId="12" w16cid:durableId="10301814">
    <w:abstractNumId w:val="20"/>
  </w:num>
  <w:num w:numId="13" w16cid:durableId="856696230">
    <w:abstractNumId w:val="14"/>
  </w:num>
  <w:num w:numId="14" w16cid:durableId="1841118008">
    <w:abstractNumId w:val="6"/>
  </w:num>
  <w:num w:numId="15" w16cid:durableId="255598931">
    <w:abstractNumId w:val="18"/>
  </w:num>
  <w:num w:numId="16" w16cid:durableId="1545487220">
    <w:abstractNumId w:val="21"/>
  </w:num>
  <w:num w:numId="17" w16cid:durableId="1592542417">
    <w:abstractNumId w:val="11"/>
  </w:num>
  <w:num w:numId="18" w16cid:durableId="972246109">
    <w:abstractNumId w:val="10"/>
  </w:num>
  <w:num w:numId="19" w16cid:durableId="1946648428">
    <w:abstractNumId w:val="9"/>
  </w:num>
  <w:num w:numId="20" w16cid:durableId="1500074245">
    <w:abstractNumId w:val="17"/>
  </w:num>
  <w:num w:numId="21" w16cid:durableId="1589583618">
    <w:abstractNumId w:val="8"/>
  </w:num>
  <w:num w:numId="22" w16cid:durableId="2088569734">
    <w:abstractNumId w:val="1"/>
  </w:num>
  <w:num w:numId="23" w16cid:durableId="1042823446">
    <w:abstractNumId w:val="5"/>
  </w:num>
  <w:num w:numId="24" w16cid:durableId="110037710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8B1"/>
    <w:rsid w:val="00021FC2"/>
    <w:rsid w:val="000250C7"/>
    <w:rsid w:val="00026CEE"/>
    <w:rsid w:val="00026F16"/>
    <w:rsid w:val="00037621"/>
    <w:rsid w:val="00044D46"/>
    <w:rsid w:val="00045088"/>
    <w:rsid w:val="00045904"/>
    <w:rsid w:val="000502FD"/>
    <w:rsid w:val="00050D36"/>
    <w:rsid w:val="00065166"/>
    <w:rsid w:val="00082609"/>
    <w:rsid w:val="000851CC"/>
    <w:rsid w:val="00087F21"/>
    <w:rsid w:val="00092447"/>
    <w:rsid w:val="00093BE8"/>
    <w:rsid w:val="000A407B"/>
    <w:rsid w:val="000A68ED"/>
    <w:rsid w:val="000B0D0B"/>
    <w:rsid w:val="000B5FF1"/>
    <w:rsid w:val="000B609F"/>
    <w:rsid w:val="000D10C6"/>
    <w:rsid w:val="000D55A8"/>
    <w:rsid w:val="000E4841"/>
    <w:rsid w:val="000E4CA1"/>
    <w:rsid w:val="000F1677"/>
    <w:rsid w:val="000F3D6C"/>
    <w:rsid w:val="00101694"/>
    <w:rsid w:val="00101707"/>
    <w:rsid w:val="00102CC9"/>
    <w:rsid w:val="0010593A"/>
    <w:rsid w:val="00111335"/>
    <w:rsid w:val="0011473D"/>
    <w:rsid w:val="00115C85"/>
    <w:rsid w:val="00123855"/>
    <w:rsid w:val="00126A4D"/>
    <w:rsid w:val="0014171F"/>
    <w:rsid w:val="0014622C"/>
    <w:rsid w:val="00152348"/>
    <w:rsid w:val="001532E4"/>
    <w:rsid w:val="0015456D"/>
    <w:rsid w:val="00155FA2"/>
    <w:rsid w:val="00161F1B"/>
    <w:rsid w:val="00162829"/>
    <w:rsid w:val="00175228"/>
    <w:rsid w:val="00180548"/>
    <w:rsid w:val="00180AC4"/>
    <w:rsid w:val="00180CCE"/>
    <w:rsid w:val="0018267A"/>
    <w:rsid w:val="00182779"/>
    <w:rsid w:val="00182788"/>
    <w:rsid w:val="001830DF"/>
    <w:rsid w:val="001966D9"/>
    <w:rsid w:val="001A007A"/>
    <w:rsid w:val="001A7E9A"/>
    <w:rsid w:val="001B0F70"/>
    <w:rsid w:val="001B5016"/>
    <w:rsid w:val="001C1E3E"/>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53A98"/>
    <w:rsid w:val="00255B17"/>
    <w:rsid w:val="002638B0"/>
    <w:rsid w:val="0026647A"/>
    <w:rsid w:val="002668D3"/>
    <w:rsid w:val="0027299F"/>
    <w:rsid w:val="00277F94"/>
    <w:rsid w:val="00284EBE"/>
    <w:rsid w:val="002903A7"/>
    <w:rsid w:val="0029433F"/>
    <w:rsid w:val="00294829"/>
    <w:rsid w:val="00294FA6"/>
    <w:rsid w:val="0029690F"/>
    <w:rsid w:val="00297C8A"/>
    <w:rsid w:val="002A2A60"/>
    <w:rsid w:val="002A37BB"/>
    <w:rsid w:val="002B1C45"/>
    <w:rsid w:val="002C13C8"/>
    <w:rsid w:val="002C3547"/>
    <w:rsid w:val="002C46CB"/>
    <w:rsid w:val="002C643D"/>
    <w:rsid w:val="002D0021"/>
    <w:rsid w:val="002D299D"/>
    <w:rsid w:val="002D3473"/>
    <w:rsid w:val="002E43EA"/>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03D2"/>
    <w:rsid w:val="0037465A"/>
    <w:rsid w:val="00382C98"/>
    <w:rsid w:val="0038410E"/>
    <w:rsid w:val="0038533C"/>
    <w:rsid w:val="00386568"/>
    <w:rsid w:val="00390B57"/>
    <w:rsid w:val="003948D5"/>
    <w:rsid w:val="00396821"/>
    <w:rsid w:val="00397D3A"/>
    <w:rsid w:val="003A051E"/>
    <w:rsid w:val="003A14E1"/>
    <w:rsid w:val="003A4482"/>
    <w:rsid w:val="003B01B2"/>
    <w:rsid w:val="003B170F"/>
    <w:rsid w:val="003B1EA4"/>
    <w:rsid w:val="003B3C5F"/>
    <w:rsid w:val="003C4471"/>
    <w:rsid w:val="003D0A6D"/>
    <w:rsid w:val="003E0B16"/>
    <w:rsid w:val="003E1BBF"/>
    <w:rsid w:val="003E67D1"/>
    <w:rsid w:val="00404329"/>
    <w:rsid w:val="00405DC1"/>
    <w:rsid w:val="00415F1F"/>
    <w:rsid w:val="0041797C"/>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46E8"/>
    <w:rsid w:val="005155D0"/>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1117"/>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3253"/>
    <w:rsid w:val="00654964"/>
    <w:rsid w:val="00654C2F"/>
    <w:rsid w:val="00657087"/>
    <w:rsid w:val="006624AB"/>
    <w:rsid w:val="006639DB"/>
    <w:rsid w:val="006661EF"/>
    <w:rsid w:val="00677AEB"/>
    <w:rsid w:val="00680EF2"/>
    <w:rsid w:val="00687A1D"/>
    <w:rsid w:val="00691A65"/>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3EA9"/>
    <w:rsid w:val="00704852"/>
    <w:rsid w:val="0070524B"/>
    <w:rsid w:val="007074E9"/>
    <w:rsid w:val="00713DA4"/>
    <w:rsid w:val="00714BF1"/>
    <w:rsid w:val="00721383"/>
    <w:rsid w:val="007213BF"/>
    <w:rsid w:val="0073158B"/>
    <w:rsid w:val="007333CC"/>
    <w:rsid w:val="0073399A"/>
    <w:rsid w:val="00740DAD"/>
    <w:rsid w:val="00742AF3"/>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33E6A"/>
    <w:rsid w:val="00866EA4"/>
    <w:rsid w:val="00867701"/>
    <w:rsid w:val="00871C74"/>
    <w:rsid w:val="008723F3"/>
    <w:rsid w:val="00876F56"/>
    <w:rsid w:val="00881DE6"/>
    <w:rsid w:val="008837A6"/>
    <w:rsid w:val="00885DDA"/>
    <w:rsid w:val="0089145D"/>
    <w:rsid w:val="00891690"/>
    <w:rsid w:val="008945A3"/>
    <w:rsid w:val="008A4DF2"/>
    <w:rsid w:val="008A6CFE"/>
    <w:rsid w:val="008B5333"/>
    <w:rsid w:val="008B58D5"/>
    <w:rsid w:val="008B6223"/>
    <w:rsid w:val="008B72B8"/>
    <w:rsid w:val="008C5025"/>
    <w:rsid w:val="008C66E0"/>
    <w:rsid w:val="008D1616"/>
    <w:rsid w:val="008E3339"/>
    <w:rsid w:val="008E5FB0"/>
    <w:rsid w:val="008F1DF9"/>
    <w:rsid w:val="008F20FC"/>
    <w:rsid w:val="008F5FFE"/>
    <w:rsid w:val="00905A43"/>
    <w:rsid w:val="00912C79"/>
    <w:rsid w:val="00921B8C"/>
    <w:rsid w:val="00924DAF"/>
    <w:rsid w:val="00931D14"/>
    <w:rsid w:val="00940A9B"/>
    <w:rsid w:val="00942123"/>
    <w:rsid w:val="009452DF"/>
    <w:rsid w:val="00951AA8"/>
    <w:rsid w:val="0095207B"/>
    <w:rsid w:val="00961CBB"/>
    <w:rsid w:val="00962045"/>
    <w:rsid w:val="00980E61"/>
    <w:rsid w:val="00991428"/>
    <w:rsid w:val="00992676"/>
    <w:rsid w:val="009954B2"/>
    <w:rsid w:val="009962DE"/>
    <w:rsid w:val="00996691"/>
    <w:rsid w:val="009A3AB7"/>
    <w:rsid w:val="009B0723"/>
    <w:rsid w:val="009B07AD"/>
    <w:rsid w:val="009B0883"/>
    <w:rsid w:val="009B15E2"/>
    <w:rsid w:val="009B4976"/>
    <w:rsid w:val="009C0B8E"/>
    <w:rsid w:val="009C1BC8"/>
    <w:rsid w:val="009C2442"/>
    <w:rsid w:val="009D0811"/>
    <w:rsid w:val="009D0EE1"/>
    <w:rsid w:val="009D3AF0"/>
    <w:rsid w:val="009D7A1D"/>
    <w:rsid w:val="009E2AEB"/>
    <w:rsid w:val="009E2E27"/>
    <w:rsid w:val="009E45DF"/>
    <w:rsid w:val="009E4DE3"/>
    <w:rsid w:val="009F275E"/>
    <w:rsid w:val="00A047EE"/>
    <w:rsid w:val="00A05ED9"/>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0E9"/>
    <w:rsid w:val="00AE5B6F"/>
    <w:rsid w:val="00AF228E"/>
    <w:rsid w:val="00B016A8"/>
    <w:rsid w:val="00B04033"/>
    <w:rsid w:val="00B14819"/>
    <w:rsid w:val="00B15E2F"/>
    <w:rsid w:val="00B17AA9"/>
    <w:rsid w:val="00B44713"/>
    <w:rsid w:val="00B455E5"/>
    <w:rsid w:val="00B51B95"/>
    <w:rsid w:val="00B56103"/>
    <w:rsid w:val="00B604A1"/>
    <w:rsid w:val="00B64929"/>
    <w:rsid w:val="00B71113"/>
    <w:rsid w:val="00B736DF"/>
    <w:rsid w:val="00B743D6"/>
    <w:rsid w:val="00B74FBD"/>
    <w:rsid w:val="00B77F46"/>
    <w:rsid w:val="00B82586"/>
    <w:rsid w:val="00B829A3"/>
    <w:rsid w:val="00B8399B"/>
    <w:rsid w:val="00B86DB1"/>
    <w:rsid w:val="00B87869"/>
    <w:rsid w:val="00B9639B"/>
    <w:rsid w:val="00BA1CFD"/>
    <w:rsid w:val="00BB0F2B"/>
    <w:rsid w:val="00BD3CB3"/>
    <w:rsid w:val="00BE4C4F"/>
    <w:rsid w:val="00BE4FF3"/>
    <w:rsid w:val="00BF2C93"/>
    <w:rsid w:val="00BF50F7"/>
    <w:rsid w:val="00C02F29"/>
    <w:rsid w:val="00C1285E"/>
    <w:rsid w:val="00C17718"/>
    <w:rsid w:val="00C20AFE"/>
    <w:rsid w:val="00C22A25"/>
    <w:rsid w:val="00C2677B"/>
    <w:rsid w:val="00C305F5"/>
    <w:rsid w:val="00C35671"/>
    <w:rsid w:val="00C35B77"/>
    <w:rsid w:val="00C376EB"/>
    <w:rsid w:val="00C46A92"/>
    <w:rsid w:val="00C46EC1"/>
    <w:rsid w:val="00C52796"/>
    <w:rsid w:val="00C53E2C"/>
    <w:rsid w:val="00C550C8"/>
    <w:rsid w:val="00C55824"/>
    <w:rsid w:val="00C56B61"/>
    <w:rsid w:val="00C606C3"/>
    <w:rsid w:val="00C620F4"/>
    <w:rsid w:val="00C679F5"/>
    <w:rsid w:val="00C70C3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287E"/>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5928"/>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4233A"/>
    <w:rsid w:val="00F5524B"/>
    <w:rsid w:val="00F6026D"/>
    <w:rsid w:val="00F60538"/>
    <w:rsid w:val="00F61DD2"/>
    <w:rsid w:val="00F62E7A"/>
    <w:rsid w:val="00F66AFF"/>
    <w:rsid w:val="00F70126"/>
    <w:rsid w:val="00F71433"/>
    <w:rsid w:val="00F71DE6"/>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4F8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Gwendolyn Oh</cp:lastModifiedBy>
  <cp:revision>43</cp:revision>
  <cp:lastPrinted>2019-08-27T05:42:00Z</cp:lastPrinted>
  <dcterms:created xsi:type="dcterms:W3CDTF">2023-07-28T09:58:00Z</dcterms:created>
  <dcterms:modified xsi:type="dcterms:W3CDTF">2023-07-31T08:16:00Z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