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3D13E2" w:rsidRDefault="00436884">
      <w:pPr>
        <w:pStyle w:val="ListParagraph"/>
        <w:numPr>
          <w:ilvl w:val="0"/>
          <w:numId w:val="1"/>
        </w:numPr>
        <w:ind w:left="426"/>
        <w:jc w:val="both"/>
        <w:rPr>
          <w:rFonts w:ascii="Avenir Next" w:hAnsi="Avenir Next" w:cs="Arial"/>
          <w:sz w:val="22"/>
          <w:szCs w:val="22"/>
          <w:highlight w:val="yellow"/>
          <w:lang w:val="en-GB"/>
        </w:rPr>
      </w:pPr>
      <w:r w:rsidRPr="003D13E2">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pPr>
        <w:pStyle w:val="ListParagraph"/>
        <w:numPr>
          <w:ilvl w:val="0"/>
          <w:numId w:val="2"/>
        </w:numPr>
        <w:ind w:left="426"/>
        <w:jc w:val="both"/>
        <w:rPr>
          <w:rFonts w:ascii="Avenir Next" w:hAnsi="Avenir Next" w:cs="Arial"/>
          <w:sz w:val="22"/>
          <w:szCs w:val="22"/>
          <w:lang w:val="en-GB"/>
        </w:rPr>
      </w:pPr>
      <w:r w:rsidRPr="003D13E2">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AD2763">
        <w:rPr>
          <w:rFonts w:ascii="Avenir Next" w:hAnsi="Avenir Next" w:cs="Arial"/>
          <w:sz w:val="22"/>
          <w:szCs w:val="22"/>
          <w:highlight w:val="yellow"/>
          <w:lang w:val="en-GB"/>
        </w:rPr>
        <w:t>The debtor has neither its COMI nor an establishment in the jurisdiction where the foreign proceedings were opened</w:t>
      </w:r>
      <w:r w:rsidRPr="00B77352">
        <w:rPr>
          <w:rFonts w:ascii="Avenir Next" w:hAnsi="Avenir Next" w:cs="Arial"/>
          <w:sz w:val="22"/>
          <w:szCs w:val="22"/>
          <w:lang w:val="en-GB"/>
        </w:rPr>
        <w:t xml:space="preserve">.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pPr>
        <w:pStyle w:val="ListParagraph"/>
        <w:numPr>
          <w:ilvl w:val="0"/>
          <w:numId w:val="4"/>
        </w:numPr>
        <w:ind w:left="426"/>
        <w:jc w:val="both"/>
        <w:rPr>
          <w:rFonts w:ascii="Avenir Next" w:hAnsi="Avenir Next" w:cs="Arial"/>
          <w:sz w:val="22"/>
          <w:szCs w:val="22"/>
          <w:lang w:val="en-GB"/>
        </w:rPr>
      </w:pPr>
      <w:r w:rsidRPr="00BF3F0C">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pPr>
        <w:pStyle w:val="ListParagraph"/>
        <w:numPr>
          <w:ilvl w:val="0"/>
          <w:numId w:val="5"/>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B5239E" w:rsidRDefault="00C504E5">
      <w:pPr>
        <w:pStyle w:val="ListParagraph"/>
        <w:numPr>
          <w:ilvl w:val="0"/>
          <w:numId w:val="5"/>
        </w:numPr>
        <w:ind w:left="426"/>
        <w:jc w:val="both"/>
        <w:rPr>
          <w:rFonts w:ascii="Avenir Next" w:hAnsi="Avenir Next" w:cs="Arial"/>
          <w:sz w:val="22"/>
          <w:szCs w:val="22"/>
          <w:highlight w:val="yellow"/>
          <w:lang w:val="en-GB"/>
        </w:rPr>
      </w:pPr>
      <w:r w:rsidRPr="00B5239E">
        <w:rPr>
          <w:rFonts w:ascii="Avenir Next" w:hAnsi="Avenir Next" w:cs="Arial"/>
          <w:sz w:val="22"/>
          <w:szCs w:val="22"/>
          <w:highlight w:val="yellow"/>
          <w:lang w:val="en-GB"/>
        </w:rPr>
        <w:t xml:space="preserve">None of the statements in (a), (b) </w:t>
      </w:r>
      <w:r w:rsidR="002E00F8" w:rsidRPr="00B5239E">
        <w:rPr>
          <w:rFonts w:ascii="Avenir Next" w:hAnsi="Avenir Next" w:cs="Arial"/>
          <w:sz w:val="22"/>
          <w:szCs w:val="22"/>
          <w:highlight w:val="yellow"/>
          <w:lang w:val="en-GB"/>
        </w:rPr>
        <w:t>or</w:t>
      </w:r>
      <w:r w:rsidRPr="00B5239E">
        <w:rPr>
          <w:rFonts w:ascii="Avenir Next" w:hAnsi="Avenir Next" w:cs="Arial"/>
          <w:sz w:val="22"/>
          <w:szCs w:val="22"/>
          <w:highlight w:val="yellow"/>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5239E" w:rsidRDefault="00B72F5F">
      <w:pPr>
        <w:pStyle w:val="ListParagraph"/>
        <w:numPr>
          <w:ilvl w:val="0"/>
          <w:numId w:val="6"/>
        </w:numPr>
        <w:ind w:left="426"/>
        <w:jc w:val="both"/>
        <w:rPr>
          <w:rFonts w:ascii="Avenir Next" w:hAnsi="Avenir Next" w:cs="Arial"/>
          <w:sz w:val="22"/>
          <w:szCs w:val="22"/>
          <w:highlight w:val="yellow"/>
          <w:lang w:val="en-GB"/>
        </w:rPr>
      </w:pPr>
      <w:r w:rsidRPr="00B5239E">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5239E">
        <w:rPr>
          <w:rFonts w:ascii="Avenir Next" w:hAnsi="Avenir Next" w:cs="Arial"/>
          <w:sz w:val="22"/>
          <w:szCs w:val="22"/>
          <w:highlight w:val="yellow"/>
          <w:lang w:val="en-GB"/>
        </w:rPr>
        <w:t>will</w:t>
      </w:r>
      <w:r w:rsidRPr="00B5239E">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pPr>
        <w:pStyle w:val="ListParagraph"/>
        <w:numPr>
          <w:ilvl w:val="0"/>
          <w:numId w:val="7"/>
        </w:numPr>
        <w:ind w:left="426"/>
        <w:jc w:val="both"/>
        <w:rPr>
          <w:rFonts w:ascii="Avenir Next" w:hAnsi="Avenir Next" w:cs="Arial"/>
          <w:sz w:val="22"/>
          <w:szCs w:val="22"/>
          <w:lang w:val="en-GB"/>
        </w:rPr>
      </w:pPr>
      <w:r w:rsidRPr="00666496">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B77352">
        <w:rPr>
          <w:rFonts w:ascii="Avenir Next" w:hAnsi="Avenir Next" w:cs="Arial"/>
          <w:sz w:val="22"/>
          <w:szCs w:val="22"/>
          <w:lang w:val="en-GB"/>
        </w:rPr>
        <w:t>.</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666496">
        <w:rPr>
          <w:rFonts w:ascii="Avenir Next" w:hAnsi="Avenir Next" w:cs="Arial"/>
          <w:sz w:val="22"/>
          <w:szCs w:val="22"/>
          <w:lang w:val="en-GB"/>
        </w:rPr>
        <w:t>COMI is not a defined term in the Model Law</w:t>
      </w:r>
      <w:r w:rsidRPr="00E2622D">
        <w:rPr>
          <w:rFonts w:ascii="Avenir Next" w:hAnsi="Avenir Next" w:cs="Arial"/>
          <w:sz w:val="22"/>
          <w:szCs w:val="22"/>
          <w:lang w:val="en-GB"/>
        </w:rPr>
        <w:t>.</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666496" w:rsidRDefault="00436884">
      <w:pPr>
        <w:pStyle w:val="ListParagraph"/>
        <w:numPr>
          <w:ilvl w:val="0"/>
          <w:numId w:val="8"/>
        </w:numPr>
        <w:ind w:left="426"/>
        <w:jc w:val="both"/>
        <w:rPr>
          <w:rFonts w:ascii="Avenir Next" w:hAnsi="Avenir Next" w:cs="Arial"/>
          <w:sz w:val="22"/>
          <w:szCs w:val="22"/>
          <w:highlight w:val="yellow"/>
          <w:lang w:val="en-GB"/>
        </w:rPr>
      </w:pPr>
      <w:r w:rsidRPr="00666496">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666496" w:rsidRDefault="00436884">
      <w:pPr>
        <w:pStyle w:val="ListParagraph"/>
        <w:numPr>
          <w:ilvl w:val="0"/>
          <w:numId w:val="9"/>
        </w:numPr>
        <w:ind w:left="426"/>
        <w:jc w:val="both"/>
        <w:rPr>
          <w:rFonts w:ascii="Avenir Next" w:hAnsi="Avenir Next" w:cs="Arial"/>
          <w:sz w:val="22"/>
          <w:szCs w:val="22"/>
          <w:highlight w:val="yellow"/>
          <w:lang w:val="en-GB"/>
        </w:rPr>
      </w:pPr>
      <w:r w:rsidRPr="00666496">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666496" w:rsidRDefault="00436884">
      <w:pPr>
        <w:pStyle w:val="ListParagraph"/>
        <w:numPr>
          <w:ilvl w:val="0"/>
          <w:numId w:val="10"/>
        </w:numPr>
        <w:ind w:left="426"/>
        <w:jc w:val="both"/>
        <w:rPr>
          <w:rFonts w:ascii="Avenir Next" w:hAnsi="Avenir Next" w:cs="Arial"/>
          <w:sz w:val="22"/>
          <w:szCs w:val="22"/>
          <w:highlight w:val="yellow"/>
          <w:lang w:val="en-GB"/>
        </w:rPr>
      </w:pPr>
      <w:r w:rsidRPr="00666496">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666496">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3045D692" w14:textId="77777777" w:rsidR="00666496" w:rsidRDefault="00666496" w:rsidP="00707FC8">
      <w:pPr>
        <w:jc w:val="both"/>
        <w:rPr>
          <w:rFonts w:ascii="Avenir Next Demi Bold" w:hAnsi="Avenir Next Demi Bold" w:cs="Arial"/>
          <w:b/>
          <w:bCs/>
          <w:sz w:val="22"/>
          <w:szCs w:val="22"/>
          <w:lang w:val="en-GB"/>
        </w:rPr>
      </w:pPr>
    </w:p>
    <w:p w14:paraId="4FC20A3B" w14:textId="6FFF4D50"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5743D3AE" w:rsidR="00CB56CE" w:rsidRPr="00B666F6" w:rsidRDefault="00AA1064" w:rsidP="00AA1064">
      <w:pPr>
        <w:jc w:val="both"/>
        <w:rPr>
          <w:rFonts w:ascii="Arial" w:hAnsi="Arial" w:cs="Arial"/>
          <w:color w:val="808080" w:themeColor="background1" w:themeShade="80"/>
          <w:sz w:val="22"/>
          <w:szCs w:val="22"/>
        </w:rPr>
      </w:pPr>
      <w:r w:rsidRPr="00B666F6">
        <w:rPr>
          <w:rFonts w:ascii="Arial" w:hAnsi="Arial" w:cs="Arial"/>
          <w:color w:val="808080" w:themeColor="background1" w:themeShade="80"/>
          <w:sz w:val="22"/>
          <w:szCs w:val="22"/>
          <w:lang w:val="en-GB"/>
        </w:rPr>
        <w:t>The appropriate date for determining a debtor’s centre of main interest (</w:t>
      </w:r>
      <w:r w:rsidRPr="00B666F6">
        <w:rPr>
          <w:rFonts w:ascii="Arial" w:hAnsi="Arial" w:cs="Arial"/>
          <w:b/>
          <w:bCs/>
          <w:i/>
          <w:iCs/>
          <w:color w:val="808080" w:themeColor="background1" w:themeShade="80"/>
          <w:sz w:val="22"/>
          <w:szCs w:val="22"/>
          <w:lang w:val="en-GB"/>
        </w:rPr>
        <w:t>COMI</w:t>
      </w:r>
      <w:r w:rsidRPr="00B666F6">
        <w:rPr>
          <w:rFonts w:ascii="Arial" w:hAnsi="Arial" w:cs="Arial"/>
          <w:color w:val="808080" w:themeColor="background1" w:themeShade="80"/>
          <w:sz w:val="22"/>
          <w:szCs w:val="22"/>
          <w:lang w:val="en-GB"/>
        </w:rPr>
        <w:t xml:space="preserve">) is the date of the commencement of the foreign proceedings. The COMI must be readily ascertainable by third parties (including creditors). In cases of a `”COMI shift”, </w:t>
      </w:r>
      <w:proofErr w:type="spellStart"/>
      <w:proofErr w:type="gramStart"/>
      <w:r w:rsidRPr="00B666F6">
        <w:rPr>
          <w:rFonts w:ascii="Arial" w:hAnsi="Arial" w:cs="Arial"/>
          <w:color w:val="808080" w:themeColor="background1" w:themeShade="80"/>
          <w:sz w:val="22"/>
          <w:szCs w:val="22"/>
          <w:lang w:val="en-GB"/>
        </w:rPr>
        <w:t>ie</w:t>
      </w:r>
      <w:proofErr w:type="spellEnd"/>
      <w:proofErr w:type="gramEnd"/>
      <w:r w:rsidRPr="00B666F6">
        <w:rPr>
          <w:rFonts w:ascii="Arial" w:hAnsi="Arial" w:cs="Arial"/>
          <w:color w:val="808080" w:themeColor="background1" w:themeShade="80"/>
          <w:sz w:val="22"/>
          <w:szCs w:val="22"/>
          <w:lang w:val="en-GB"/>
        </w:rPr>
        <w:t xml:space="preserve"> moving the COMI to another jurisdiction, which is in close proximity to the commencement of foreign proceedings, special attention should be put </w:t>
      </w:r>
      <w:r w:rsidR="00B666F6" w:rsidRPr="00B666F6">
        <w:rPr>
          <w:rFonts w:ascii="Arial" w:hAnsi="Arial" w:cs="Arial"/>
          <w:color w:val="808080" w:themeColor="background1" w:themeShade="80"/>
          <w:sz w:val="22"/>
          <w:szCs w:val="22"/>
          <w:lang w:val="en-GB"/>
        </w:rPr>
        <w:t xml:space="preserve">on establishing the appropriate evidence of the COMI. Furthermore, it should be noted that in Morning Mist </w:t>
      </w:r>
      <w:proofErr w:type="spellStart"/>
      <w:r w:rsidR="00B666F6" w:rsidRPr="00B666F6">
        <w:rPr>
          <w:rFonts w:ascii="Arial" w:hAnsi="Arial" w:cs="Arial"/>
          <w:color w:val="808080" w:themeColor="background1" w:themeShade="80"/>
          <w:sz w:val="22"/>
          <w:szCs w:val="22"/>
          <w:lang w:val="en-GB"/>
        </w:rPr>
        <w:t>Holdis</w:t>
      </w:r>
      <w:proofErr w:type="spellEnd"/>
      <w:r w:rsidR="00B666F6" w:rsidRPr="00B666F6">
        <w:rPr>
          <w:rFonts w:ascii="Arial" w:hAnsi="Arial" w:cs="Arial"/>
          <w:color w:val="808080" w:themeColor="background1" w:themeShade="80"/>
          <w:sz w:val="22"/>
          <w:szCs w:val="22"/>
          <w:lang w:val="en-GB"/>
        </w:rPr>
        <w:t xml:space="preserve"> Ltd vs </w:t>
      </w:r>
      <w:proofErr w:type="spellStart"/>
      <w:r w:rsidR="00B666F6" w:rsidRPr="00B666F6">
        <w:rPr>
          <w:rFonts w:ascii="Arial" w:hAnsi="Arial" w:cs="Arial"/>
          <w:color w:val="808080" w:themeColor="background1" w:themeShade="80"/>
          <w:sz w:val="22"/>
          <w:szCs w:val="22"/>
          <w:lang w:val="en-GB"/>
        </w:rPr>
        <w:t>Krys</w:t>
      </w:r>
      <w:proofErr w:type="spellEnd"/>
      <w:r w:rsidR="00B666F6" w:rsidRPr="00B666F6">
        <w:rPr>
          <w:rFonts w:ascii="Arial" w:hAnsi="Arial" w:cs="Arial"/>
          <w:color w:val="808080" w:themeColor="background1" w:themeShade="80"/>
          <w:sz w:val="22"/>
          <w:szCs w:val="22"/>
          <w:lang w:val="en-GB"/>
        </w:rPr>
        <w:t xml:space="preserve"> the Second Circuit of Appeals took a slightly different approach to the date for determination of the debtor’s COMI, where the court held that a debtor’s COMI should be determined based on its activities at around the time the relevant petition is filed, whereby the court may also consider the period between the commencement of proceedings and the date of the filing in order to ensure COMI manipulations in bad faith. This decision is of particular importance, as the underlying approach has been followed in the UK in Re </w:t>
      </w:r>
      <w:proofErr w:type="spellStart"/>
      <w:r w:rsidR="00B666F6" w:rsidRPr="00B666F6">
        <w:rPr>
          <w:rFonts w:ascii="Arial" w:hAnsi="Arial" w:cs="Arial"/>
          <w:color w:val="808080" w:themeColor="background1" w:themeShade="80"/>
          <w:sz w:val="22"/>
          <w:szCs w:val="22"/>
          <w:lang w:val="en-GB"/>
        </w:rPr>
        <w:t>Toisa</w:t>
      </w:r>
      <w:proofErr w:type="spellEnd"/>
      <w:r w:rsidR="00B666F6" w:rsidRPr="00B666F6">
        <w:rPr>
          <w:rFonts w:ascii="Arial" w:hAnsi="Arial" w:cs="Arial"/>
          <w:color w:val="808080" w:themeColor="background1" w:themeShade="80"/>
          <w:sz w:val="22"/>
          <w:szCs w:val="22"/>
          <w:lang w:val="en-GB"/>
        </w:rPr>
        <w:t xml:space="preserve"> Limited (2019). </w:t>
      </w:r>
    </w:p>
    <w:p w14:paraId="0E8C2C3F" w14:textId="328A1A12" w:rsidR="00B77352" w:rsidRPr="00B666F6" w:rsidRDefault="00B77352" w:rsidP="00707FC8">
      <w:pPr>
        <w:ind w:left="720" w:hanging="720"/>
        <w:jc w:val="both"/>
        <w:rPr>
          <w:rFonts w:ascii="Avenir Next" w:hAnsi="Avenir Next" w:cs="Arial"/>
          <w:sz w:val="22"/>
          <w:szCs w:val="22"/>
        </w:rPr>
      </w:pPr>
    </w:p>
    <w:p w14:paraId="7716EC51" w14:textId="77777777" w:rsidR="00B77352" w:rsidRPr="00B666F6" w:rsidRDefault="00B77352" w:rsidP="00707FC8">
      <w:pPr>
        <w:ind w:left="720" w:hanging="720"/>
        <w:jc w:val="both"/>
        <w:rPr>
          <w:rFonts w:ascii="Avenir Next" w:hAnsi="Avenir Next" w:cs="Arial"/>
          <w:sz w:val="22"/>
          <w:szCs w:val="22"/>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6D976C40" w:rsidR="00436884"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520B46E" w14:textId="32B6D06E" w:rsidR="002A4735" w:rsidRDefault="002A4735" w:rsidP="00436884">
      <w:pPr>
        <w:ind w:left="1440" w:hanging="1440"/>
        <w:jc w:val="both"/>
        <w:rPr>
          <w:rFonts w:ascii="Avenir Next" w:hAnsi="Avenir Next" w:cs="Arial"/>
          <w:sz w:val="22"/>
          <w:szCs w:val="22"/>
          <w:lang w:val="en-GB"/>
        </w:rPr>
      </w:pPr>
    </w:p>
    <w:p w14:paraId="2A66D817" w14:textId="1315B215" w:rsidR="002A4735" w:rsidRPr="00300589" w:rsidRDefault="002A4735" w:rsidP="00300589">
      <w:pPr>
        <w:jc w:val="both"/>
        <w:rPr>
          <w:rFonts w:ascii="Arial" w:hAnsi="Arial" w:cs="Arial"/>
          <w:color w:val="808080" w:themeColor="background1" w:themeShade="80"/>
          <w:sz w:val="22"/>
          <w:szCs w:val="22"/>
          <w:lang w:val="en-GB"/>
        </w:rPr>
      </w:pPr>
      <w:r w:rsidRPr="00300589">
        <w:rPr>
          <w:rFonts w:ascii="Arial" w:hAnsi="Arial" w:cs="Arial"/>
          <w:color w:val="808080" w:themeColor="background1" w:themeShade="80"/>
          <w:sz w:val="22"/>
          <w:szCs w:val="22"/>
          <w:lang w:val="en-GB"/>
        </w:rPr>
        <w:lastRenderedPageBreak/>
        <w:t>Article 14 (timely notice</w:t>
      </w:r>
      <w:r w:rsidR="00300589" w:rsidRPr="00300589">
        <w:rPr>
          <w:rFonts w:ascii="Arial" w:hAnsi="Arial" w:cs="Arial"/>
          <w:color w:val="808080" w:themeColor="background1" w:themeShade="80"/>
          <w:sz w:val="22"/>
          <w:szCs w:val="22"/>
          <w:lang w:val="en-GB"/>
        </w:rPr>
        <w:t>): A</w:t>
      </w:r>
      <w:r w:rsidRPr="00300589">
        <w:rPr>
          <w:rFonts w:ascii="Arial" w:hAnsi="Arial" w:cs="Arial"/>
          <w:color w:val="808080" w:themeColor="background1" w:themeShade="80"/>
          <w:sz w:val="22"/>
          <w:szCs w:val="22"/>
          <w:lang w:val="en-GB"/>
        </w:rPr>
        <w:t>s per the equal treatment principle, foreign creditors should be notified whenever notification is required for local creditors in the enacting state.</w:t>
      </w:r>
    </w:p>
    <w:p w14:paraId="61610003" w14:textId="77777777" w:rsidR="00436884" w:rsidRPr="00300589" w:rsidRDefault="00436884" w:rsidP="00300589">
      <w:pPr>
        <w:jc w:val="both"/>
        <w:rPr>
          <w:rFonts w:ascii="Arial" w:hAnsi="Arial" w:cs="Arial"/>
          <w:color w:val="808080" w:themeColor="background1" w:themeShade="80"/>
          <w:sz w:val="22"/>
          <w:szCs w:val="22"/>
          <w:lang w:val="en-GB"/>
        </w:rPr>
      </w:pPr>
    </w:p>
    <w:p w14:paraId="614A51A6" w14:textId="02E1706D" w:rsidR="00436884" w:rsidRDefault="00436884" w:rsidP="00436884">
      <w:pPr>
        <w:ind w:left="1440" w:hanging="1440"/>
        <w:jc w:val="both"/>
        <w:rPr>
          <w:rFonts w:ascii="Avenir Next" w:hAnsi="Avenir Next" w:cs="Arial"/>
          <w:i/>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1DA2A49F" w14:textId="77777777" w:rsidR="00300589" w:rsidRPr="00E2622D" w:rsidRDefault="00300589" w:rsidP="00436884">
      <w:pPr>
        <w:ind w:left="1440" w:hanging="1440"/>
        <w:jc w:val="both"/>
        <w:rPr>
          <w:rFonts w:ascii="Avenir Next" w:hAnsi="Avenir Next" w:cs="Arial"/>
          <w:sz w:val="22"/>
          <w:szCs w:val="22"/>
          <w:lang w:val="en-GB"/>
        </w:rPr>
      </w:pPr>
    </w:p>
    <w:p w14:paraId="7B2B2FFB" w14:textId="345A86AB" w:rsidR="00436884" w:rsidRPr="00300589" w:rsidRDefault="00300589" w:rsidP="00300589">
      <w:pPr>
        <w:jc w:val="both"/>
        <w:rPr>
          <w:rFonts w:ascii="Arial" w:hAnsi="Arial" w:cs="Arial"/>
          <w:color w:val="808080" w:themeColor="background1" w:themeShade="80"/>
          <w:sz w:val="22"/>
          <w:szCs w:val="22"/>
          <w:lang w:val="en-GB"/>
        </w:rPr>
      </w:pPr>
      <w:r w:rsidRPr="00300589">
        <w:rPr>
          <w:rFonts w:ascii="Arial" w:hAnsi="Arial" w:cs="Arial"/>
          <w:color w:val="808080" w:themeColor="background1" w:themeShade="80"/>
          <w:sz w:val="22"/>
          <w:szCs w:val="22"/>
          <w:lang w:val="en-GB"/>
        </w:rPr>
        <w:t xml:space="preserve">Article 10 (safe conduct rule): The safe conduct rule provides that the court in the enacting state does not assume jurisdiction over all of the assets of the debtor on the sole ground that the foreign representative has made an application for the recognition of a foreign proceeding. </w:t>
      </w:r>
    </w:p>
    <w:p w14:paraId="54DB6DAB" w14:textId="77777777" w:rsidR="00300589" w:rsidRPr="00300589" w:rsidRDefault="00300589" w:rsidP="00300589">
      <w:pPr>
        <w:jc w:val="both"/>
        <w:rPr>
          <w:rFonts w:ascii="Arial" w:hAnsi="Arial" w:cs="Arial"/>
          <w:color w:val="808080" w:themeColor="background1" w:themeShade="80"/>
          <w:sz w:val="22"/>
          <w:szCs w:val="22"/>
          <w:lang w:val="en-GB"/>
        </w:rPr>
      </w:pPr>
    </w:p>
    <w:p w14:paraId="42DCB8DA" w14:textId="0FED1143" w:rsidR="00436884"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4BBE13A" w14:textId="77777777" w:rsidR="00300589" w:rsidRPr="00E2622D" w:rsidRDefault="00300589" w:rsidP="00300589">
      <w:pPr>
        <w:ind w:hanging="1440"/>
        <w:jc w:val="both"/>
        <w:rPr>
          <w:rFonts w:ascii="Avenir Next" w:hAnsi="Avenir Next" w:cs="Arial"/>
          <w:iCs/>
          <w:sz w:val="22"/>
          <w:szCs w:val="22"/>
          <w:lang w:val="en-GB"/>
        </w:rPr>
      </w:pP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61701DD3" w14:textId="7A5F0D09" w:rsidR="00867A8F" w:rsidRDefault="00300589" w:rsidP="00F90A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16 (recognition presumptions) and in particular the presumption regarding the concept of COMI (COMI is not defined in the MLCBI), providing that the court is entitled to presume that </w:t>
      </w:r>
      <w:r w:rsidR="00F90A21">
        <w:rPr>
          <w:rFonts w:ascii="Arial" w:hAnsi="Arial" w:cs="Arial"/>
          <w:color w:val="808080" w:themeColor="background1" w:themeShade="80"/>
          <w:sz w:val="22"/>
          <w:szCs w:val="22"/>
          <w:lang w:val="en-GB"/>
        </w:rPr>
        <w:t xml:space="preserve">the debtor’s registered office / habitual resistance for individuals also is its COMI. </w:t>
      </w:r>
    </w:p>
    <w:p w14:paraId="2B8411E0" w14:textId="77777777" w:rsidR="00F90A21" w:rsidRPr="00E2622D" w:rsidRDefault="00F90A21" w:rsidP="00F90A21">
      <w:pPr>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6C919863" w14:textId="381626FD" w:rsidR="006624AF" w:rsidRPr="006624AF" w:rsidRDefault="006624AF" w:rsidP="006624A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By summary the Court of Appeal held that an English court could only properly grant the indefinite Moratorium Continuation if it were satisfied that (1) the stay would have to be necessary to protect the interests of IBA’s creditors and, (2) the stay would have to be an appropriate way of achieving such protection. In the underlying case both requisites were not met. Also, the Court of Appeal argued that the information obligation on the foreign representative pursuant to article 18 of the MLCBI required the foreign proceeding to still be in existence and the foreign representative still being in office.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63DEB170" w:rsidR="00867A8F" w:rsidRDefault="003A6F6F" w:rsidP="003A6F6F">
      <w:pPr>
        <w:jc w:val="both"/>
        <w:rPr>
          <w:rFonts w:ascii="Arial" w:hAnsi="Arial" w:cs="Arial"/>
          <w:color w:val="808080" w:themeColor="background1" w:themeShade="80"/>
          <w:sz w:val="22"/>
          <w:szCs w:val="22"/>
          <w:lang w:val="en-GB"/>
        </w:rPr>
      </w:pPr>
      <w:r w:rsidRPr="00FF797D">
        <w:rPr>
          <w:rFonts w:ascii="Arial" w:hAnsi="Arial" w:cs="Arial"/>
          <w:color w:val="808080" w:themeColor="background1" w:themeShade="80"/>
          <w:sz w:val="22"/>
          <w:szCs w:val="22"/>
          <w:lang w:val="en-GB"/>
        </w:rPr>
        <w:t>Article 29 of the MLCBI</w:t>
      </w:r>
      <w:r w:rsidR="002E48E5">
        <w:rPr>
          <w:rFonts w:ascii="Arial" w:hAnsi="Arial" w:cs="Arial"/>
          <w:color w:val="808080" w:themeColor="background1" w:themeShade="80"/>
          <w:sz w:val="22"/>
          <w:szCs w:val="22"/>
          <w:lang w:val="en-GB"/>
        </w:rPr>
        <w:t xml:space="preserve">; any relief granted must be consistent with the domestic insolvency proceedings; furthermore, if the foreign main proceeding is </w:t>
      </w:r>
      <w:proofErr w:type="spellStart"/>
      <w:r w:rsidR="002E48E5">
        <w:rPr>
          <w:rFonts w:ascii="Arial" w:hAnsi="Arial" w:cs="Arial"/>
          <w:color w:val="808080" w:themeColor="background1" w:themeShade="80"/>
          <w:sz w:val="22"/>
          <w:szCs w:val="22"/>
          <w:lang w:val="en-GB"/>
        </w:rPr>
        <w:t>recoginised</w:t>
      </w:r>
      <w:proofErr w:type="spellEnd"/>
      <w:r w:rsidR="002E48E5">
        <w:rPr>
          <w:rFonts w:ascii="Arial" w:hAnsi="Arial" w:cs="Arial"/>
          <w:color w:val="808080" w:themeColor="background1" w:themeShade="80"/>
          <w:sz w:val="22"/>
          <w:szCs w:val="22"/>
          <w:lang w:val="en-GB"/>
        </w:rPr>
        <w:t xml:space="preserve"> in the enacting state as such, article 20 MLCBI does not apply. </w:t>
      </w:r>
    </w:p>
    <w:p w14:paraId="714A10DE" w14:textId="4176062A" w:rsidR="002E48E5" w:rsidRDefault="002E48E5" w:rsidP="003A6F6F">
      <w:pPr>
        <w:jc w:val="both"/>
        <w:rPr>
          <w:rFonts w:ascii="Arial" w:hAnsi="Arial" w:cs="Arial"/>
          <w:color w:val="808080" w:themeColor="background1" w:themeShade="80"/>
          <w:sz w:val="22"/>
          <w:szCs w:val="22"/>
          <w:lang w:val="en-GB"/>
        </w:rPr>
      </w:pPr>
    </w:p>
    <w:p w14:paraId="67D75A4A" w14:textId="651EA734" w:rsidR="002E48E5" w:rsidRDefault="002E48E5" w:rsidP="003A6F6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exercise of its functions, the foreign representative must co-operate to the maximum extent possible and is entitled to directly communicate with foreign courts and foreign representatives; Articles 26 et </w:t>
      </w:r>
      <w:proofErr w:type="spellStart"/>
      <w:r>
        <w:rPr>
          <w:rFonts w:ascii="Arial" w:hAnsi="Arial" w:cs="Arial"/>
          <w:color w:val="808080" w:themeColor="background1" w:themeShade="80"/>
          <w:sz w:val="22"/>
          <w:szCs w:val="22"/>
          <w:lang w:val="en-GB"/>
        </w:rPr>
        <w:t>swq</w:t>
      </w:r>
      <w:proofErr w:type="spellEnd"/>
      <w:r>
        <w:rPr>
          <w:rFonts w:ascii="Arial" w:hAnsi="Arial" w:cs="Arial"/>
          <w:color w:val="808080" w:themeColor="background1" w:themeShade="80"/>
          <w:sz w:val="22"/>
          <w:szCs w:val="22"/>
          <w:lang w:val="en-GB"/>
        </w:rPr>
        <w:t xml:space="preserve"> of the MLCBI</w:t>
      </w:r>
      <w:r w:rsidR="00595450">
        <w:rPr>
          <w:rFonts w:ascii="Arial" w:hAnsi="Arial" w:cs="Arial"/>
          <w:color w:val="808080" w:themeColor="background1" w:themeShade="80"/>
          <w:sz w:val="22"/>
          <w:szCs w:val="22"/>
          <w:lang w:val="en-GB"/>
        </w:rPr>
        <w:t xml:space="preserve"> (see also Practice Guide). </w:t>
      </w:r>
    </w:p>
    <w:p w14:paraId="64016EC0" w14:textId="26029511" w:rsidR="002624A1" w:rsidRDefault="002624A1" w:rsidP="003A6F6F">
      <w:pPr>
        <w:jc w:val="both"/>
        <w:rPr>
          <w:rFonts w:ascii="Arial" w:hAnsi="Arial" w:cs="Arial"/>
          <w:color w:val="808080" w:themeColor="background1" w:themeShade="80"/>
          <w:sz w:val="22"/>
          <w:szCs w:val="22"/>
          <w:lang w:val="en-GB"/>
        </w:rPr>
      </w:pPr>
    </w:p>
    <w:p w14:paraId="4C1D746F" w14:textId="7B900269" w:rsidR="002624A1" w:rsidRPr="00FF797D" w:rsidRDefault="002624A1" w:rsidP="003A6F6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Furthermore, Article 18 of the MCLBI stipulates an ongoing obligation to inform the court on developments.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lastRenderedPageBreak/>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43AB1660" w:rsidR="00867A8F" w:rsidRPr="00153816" w:rsidRDefault="00153816" w:rsidP="00153816">
      <w:pPr>
        <w:jc w:val="both"/>
        <w:rPr>
          <w:rFonts w:ascii="Arial" w:hAnsi="Arial" w:cs="Arial"/>
          <w:color w:val="808080" w:themeColor="background1" w:themeShade="80"/>
          <w:sz w:val="22"/>
          <w:szCs w:val="22"/>
          <w:lang w:val="en-GB"/>
        </w:rPr>
      </w:pPr>
      <w:r w:rsidRPr="00153816">
        <w:rPr>
          <w:rFonts w:ascii="Arial" w:hAnsi="Arial" w:cs="Arial"/>
          <w:color w:val="808080" w:themeColor="background1" w:themeShade="80"/>
          <w:sz w:val="22"/>
          <w:szCs w:val="22"/>
          <w:lang w:val="en-GB"/>
        </w:rPr>
        <w:t>Firstly, the access rights provided to the foreign representative</w:t>
      </w:r>
      <w:r>
        <w:rPr>
          <w:rFonts w:ascii="Arial" w:hAnsi="Arial" w:cs="Arial"/>
          <w:color w:val="808080" w:themeColor="background1" w:themeShade="80"/>
          <w:sz w:val="22"/>
          <w:szCs w:val="22"/>
          <w:lang w:val="en-GB"/>
        </w:rPr>
        <w:t xml:space="preserve"> (</w:t>
      </w:r>
      <w:r w:rsidRPr="00153816">
        <w:rPr>
          <w:rFonts w:ascii="Arial" w:hAnsi="Arial" w:cs="Arial"/>
          <w:b/>
          <w:bCs/>
          <w:i/>
          <w:iCs/>
          <w:color w:val="808080" w:themeColor="background1" w:themeShade="80"/>
          <w:sz w:val="22"/>
          <w:szCs w:val="22"/>
          <w:lang w:val="en-GB"/>
        </w:rPr>
        <w:t>FR</w:t>
      </w:r>
      <w:r>
        <w:rPr>
          <w:rFonts w:ascii="Arial" w:hAnsi="Arial" w:cs="Arial"/>
          <w:color w:val="808080" w:themeColor="background1" w:themeShade="80"/>
          <w:sz w:val="22"/>
          <w:szCs w:val="22"/>
          <w:lang w:val="en-GB"/>
        </w:rPr>
        <w:t>)</w:t>
      </w:r>
      <w:r w:rsidRPr="00153816">
        <w:rPr>
          <w:rFonts w:ascii="Arial" w:hAnsi="Arial" w:cs="Arial"/>
          <w:color w:val="808080" w:themeColor="background1" w:themeShade="80"/>
          <w:sz w:val="22"/>
          <w:szCs w:val="22"/>
          <w:lang w:val="en-GB"/>
        </w:rPr>
        <w:t xml:space="preserve"> pursuant to Article 9 of the MLCBI </w:t>
      </w:r>
      <w:r>
        <w:rPr>
          <w:rFonts w:ascii="Arial" w:hAnsi="Arial" w:cs="Arial"/>
          <w:color w:val="808080" w:themeColor="background1" w:themeShade="80"/>
          <w:sz w:val="22"/>
          <w:szCs w:val="22"/>
          <w:lang w:val="en-GB"/>
        </w:rPr>
        <w:t>give the FR standing before the courts of the enacting state</w:t>
      </w:r>
      <w:r w:rsidR="002624A1">
        <w:rPr>
          <w:rFonts w:ascii="Arial" w:hAnsi="Arial" w:cs="Arial"/>
          <w:color w:val="808080" w:themeColor="background1" w:themeShade="80"/>
          <w:sz w:val="22"/>
          <w:szCs w:val="22"/>
          <w:lang w:val="en-GB"/>
        </w:rPr>
        <w:t xml:space="preserve"> (so-called locus standi)</w:t>
      </w:r>
      <w:r>
        <w:rPr>
          <w:rFonts w:ascii="Arial" w:hAnsi="Arial" w:cs="Arial"/>
          <w:color w:val="808080" w:themeColor="background1" w:themeShade="80"/>
          <w:sz w:val="22"/>
          <w:szCs w:val="22"/>
          <w:lang w:val="en-GB"/>
        </w:rPr>
        <w:t xml:space="preserve"> without the need for the foreign proceeding to be</w:t>
      </w:r>
      <w:r w:rsidR="006374BA">
        <w:rPr>
          <w:rFonts w:ascii="Arial" w:hAnsi="Arial" w:cs="Arial"/>
          <w:color w:val="808080" w:themeColor="background1" w:themeShade="80"/>
          <w:sz w:val="22"/>
          <w:szCs w:val="22"/>
          <w:lang w:val="en-GB"/>
        </w:rPr>
        <w:t xml:space="preserve"> recognised in the enacting state. Secondly, Article 11 of the MLCBI provided the FR with standing to open domestic insolvency proceedings in the enacting state (provided that all applicable prerequisites are met), while Article 13 gives the foreign creditors the same rights as creditors domiciled in the enacting state</w:t>
      </w:r>
      <w:r w:rsidR="002624A1">
        <w:rPr>
          <w:rFonts w:ascii="Arial" w:hAnsi="Arial" w:cs="Arial"/>
          <w:color w:val="808080" w:themeColor="background1" w:themeShade="80"/>
          <w:sz w:val="22"/>
          <w:szCs w:val="22"/>
          <w:lang w:val="en-GB"/>
        </w:rPr>
        <w:t xml:space="preserve"> (so-called anti-discrimination principle)</w:t>
      </w:r>
      <w:r w:rsidR="006374BA">
        <w:rPr>
          <w:rFonts w:ascii="Arial" w:hAnsi="Arial" w:cs="Arial"/>
          <w:color w:val="808080" w:themeColor="background1" w:themeShade="80"/>
          <w:sz w:val="22"/>
          <w:szCs w:val="22"/>
          <w:lang w:val="en-GB"/>
        </w:rPr>
        <w:t xml:space="preserve">. </w:t>
      </w:r>
      <w:r w:rsidR="002624A1">
        <w:rPr>
          <w:rFonts w:ascii="Arial" w:hAnsi="Arial" w:cs="Arial"/>
          <w:color w:val="808080" w:themeColor="background1" w:themeShade="80"/>
          <w:sz w:val="22"/>
          <w:szCs w:val="22"/>
          <w:lang w:val="en-GB"/>
        </w:rPr>
        <w:t xml:space="preserve">Furthermore, the FR is protected by the safe conduct rule as set forth in Article 10 of the MCLBI. </w:t>
      </w:r>
      <w:r w:rsidR="006374BA">
        <w:rPr>
          <w:rFonts w:ascii="Arial" w:hAnsi="Arial" w:cs="Arial"/>
          <w:color w:val="808080" w:themeColor="background1" w:themeShade="80"/>
          <w:sz w:val="22"/>
          <w:szCs w:val="22"/>
          <w:lang w:val="en-GB"/>
        </w:rPr>
        <w:t>The discussed access rights thereby facilitate cooperation. That Cooperation is further facilitated by recognising the foreign proceedings which allow the court to provide the FR with appropriate relief.</w:t>
      </w:r>
      <w:r w:rsidR="00E023CE">
        <w:rPr>
          <w:rFonts w:ascii="Arial" w:hAnsi="Arial" w:cs="Arial"/>
          <w:color w:val="808080" w:themeColor="background1" w:themeShade="80"/>
          <w:sz w:val="22"/>
          <w:szCs w:val="22"/>
          <w:lang w:val="en-GB"/>
        </w:rPr>
        <w:t xml:space="preserve"> The MLCBI thereby provided a (non-exhaustive) list of means of cooperation. Access rights and recognition should thus be used / applied in conjunction with co-operation as procedural tools to facilitate cross border insolvencies.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24CAB479" w:rsidR="00867A8F" w:rsidRDefault="002624A1" w:rsidP="002624A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evidential requirements for recognition of foreign proceedings are provided for in Article 15 of the MLCBI. Such requirements include: </w:t>
      </w:r>
    </w:p>
    <w:p w14:paraId="0F7A5768" w14:textId="43249010" w:rsidR="002624A1" w:rsidRDefault="002624A1" w:rsidP="002624A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The FR must be appointed as FR under the proceedings he seeks recognition for; </w:t>
      </w:r>
    </w:p>
    <w:p w14:paraId="6CB77BCB" w14:textId="26024597" w:rsidR="002624A1" w:rsidRDefault="002624A1" w:rsidP="002624A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The application for recognition shall be accompanied by (1) a certified copy of the decision commencing the foreign proceeding and appointing the foreign representative; OR (2) a certificate from the foreign court affirming the existence of the foreign proceeding and of the appointment of the foreign representative; OR (3) in the absence of evidence referred to in (1) or (2) any other evidence as acceptable for the court. </w:t>
      </w:r>
    </w:p>
    <w:p w14:paraId="40346C74" w14:textId="690DB80B" w:rsidR="002624A1" w:rsidRDefault="002624A1" w:rsidP="002624A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The application for recognition shall be accompanied by a statement identifying all foreign proceedings in respect of the debtor that are known to the FR: </w:t>
      </w:r>
    </w:p>
    <w:p w14:paraId="4E5A737C" w14:textId="1BEE232E" w:rsidR="002624A1" w:rsidRDefault="002624A1" w:rsidP="002624A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The court may require a translation of documents supplied in support of the application for recognition into an official language of the enacting State. </w:t>
      </w:r>
    </w:p>
    <w:p w14:paraId="19C866B8" w14:textId="38194D80" w:rsidR="002624A1" w:rsidRDefault="002624A1" w:rsidP="002624A1">
      <w:pPr>
        <w:jc w:val="both"/>
        <w:rPr>
          <w:rFonts w:ascii="Arial" w:hAnsi="Arial" w:cs="Arial"/>
          <w:color w:val="808080" w:themeColor="background1" w:themeShade="80"/>
          <w:sz w:val="22"/>
          <w:szCs w:val="22"/>
          <w:lang w:val="en-GB"/>
        </w:rPr>
      </w:pPr>
    </w:p>
    <w:p w14:paraId="3DBF0B3B" w14:textId="71EEF8FA" w:rsidR="002624A1" w:rsidRPr="002624A1" w:rsidRDefault="002624A1" w:rsidP="002624A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Article 16 of the MLCBI provides for </w:t>
      </w:r>
      <w:r w:rsidR="00EA2563">
        <w:rPr>
          <w:rFonts w:ascii="Arial" w:hAnsi="Arial" w:cs="Arial"/>
          <w:color w:val="808080" w:themeColor="background1" w:themeShade="80"/>
          <w:sz w:val="22"/>
          <w:szCs w:val="22"/>
          <w:lang w:val="en-GB"/>
        </w:rPr>
        <w:t xml:space="preserve">presumptions concerning the recognition of proceedings, including presumptions relating to the evidential requirements described above and the debtor’s COMI. </w:t>
      </w:r>
    </w:p>
    <w:p w14:paraId="713C0C0F" w14:textId="77D28DBF" w:rsidR="0017257C" w:rsidRDefault="0017257C" w:rsidP="00707FC8">
      <w:pPr>
        <w:jc w:val="both"/>
        <w:rPr>
          <w:rFonts w:ascii="Avenir Next" w:hAnsi="Avenir Next" w:cs="Arial"/>
          <w:sz w:val="22"/>
          <w:szCs w:val="22"/>
          <w:shd w:val="clear" w:color="auto" w:fill="FFFFFF"/>
          <w:lang w:val="en-GB"/>
        </w:rPr>
      </w:pPr>
    </w:p>
    <w:p w14:paraId="6394CD33" w14:textId="06274F74" w:rsidR="00EA2563" w:rsidRDefault="00EA2563"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 </w:t>
      </w:r>
      <w:r w:rsidRPr="00EA2563">
        <w:rPr>
          <w:rFonts w:ascii="Arial" w:hAnsi="Arial" w:cs="Arial"/>
          <w:color w:val="808080" w:themeColor="background1" w:themeShade="80"/>
          <w:sz w:val="22"/>
          <w:szCs w:val="22"/>
          <w:lang w:val="en-GB"/>
        </w:rPr>
        <w:t>Article 17 of the MLCBI</w:t>
      </w:r>
      <w:r>
        <w:rPr>
          <w:rFonts w:ascii="Arial" w:hAnsi="Arial" w:cs="Arial"/>
          <w:color w:val="808080" w:themeColor="background1" w:themeShade="80"/>
          <w:sz w:val="22"/>
          <w:szCs w:val="22"/>
          <w:lang w:val="en-GB"/>
        </w:rPr>
        <w:t xml:space="preserve"> stipulates that the decision regarding the recognition must be mase as early as possible. The recognition can, however, be modified, challenged, or terminated if its is shown that the grounds for the recognition have either never applied or ceased to apply. Recognition can, furthermore, be denied due to public grounds in the enacting state, ensuring that the enacting state’s fundamental legal principles are upheld.</w:t>
      </w:r>
    </w:p>
    <w:p w14:paraId="2D1FCBEA" w14:textId="37DEA161" w:rsidR="00EA2563" w:rsidRDefault="00EA2563" w:rsidP="00707FC8">
      <w:pPr>
        <w:jc w:val="both"/>
        <w:rPr>
          <w:rFonts w:ascii="Arial" w:hAnsi="Arial" w:cs="Arial"/>
          <w:color w:val="808080" w:themeColor="background1" w:themeShade="80"/>
          <w:sz w:val="22"/>
          <w:szCs w:val="22"/>
          <w:lang w:val="en-GB"/>
        </w:rPr>
      </w:pPr>
    </w:p>
    <w:p w14:paraId="72E1EA1D" w14:textId="76CDEEB4" w:rsidR="00EA2563" w:rsidRDefault="00EA2563"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no reciprocity requirement with respect to a recognition (noting that certain jurisdictions, such as South Africa, provide however for the same). </w:t>
      </w:r>
    </w:p>
    <w:p w14:paraId="554B7835" w14:textId="4B4F7D2B" w:rsidR="00EA2563" w:rsidRDefault="00EA2563" w:rsidP="00707FC8">
      <w:pPr>
        <w:jc w:val="both"/>
        <w:rPr>
          <w:rFonts w:ascii="Arial" w:hAnsi="Arial" w:cs="Arial"/>
          <w:color w:val="808080" w:themeColor="background1" w:themeShade="80"/>
          <w:sz w:val="22"/>
          <w:szCs w:val="22"/>
          <w:lang w:val="en-GB"/>
        </w:rPr>
      </w:pPr>
    </w:p>
    <w:p w14:paraId="4381B463" w14:textId="05133057" w:rsidR="00EA2563" w:rsidRDefault="00EA2563"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Also, the concept of COMI, which is not defined in the MLCBI, is essential for the recognition of proceedings (also see above regarding the presumption of COMI as per Article 16 of the MLCBI; furthermore, the UNCITRAL Guide to Enactment offers guidance). </w:t>
      </w:r>
    </w:p>
    <w:p w14:paraId="4C323AB8" w14:textId="3E0378C4" w:rsidR="00EA2563" w:rsidRDefault="00EA2563" w:rsidP="00707FC8">
      <w:pPr>
        <w:jc w:val="both"/>
        <w:rPr>
          <w:rFonts w:ascii="Arial" w:hAnsi="Arial" w:cs="Arial"/>
          <w:color w:val="808080" w:themeColor="background1" w:themeShade="80"/>
          <w:sz w:val="22"/>
          <w:szCs w:val="22"/>
          <w:lang w:val="en-GB"/>
        </w:rPr>
      </w:pPr>
    </w:p>
    <w:p w14:paraId="263CBB77" w14:textId="5101412E" w:rsidR="00EA2563" w:rsidRPr="00EA2563" w:rsidRDefault="00EA2563"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Lastly, recognition can be denied</w:t>
      </w:r>
      <w:r w:rsidR="00E25631">
        <w:rPr>
          <w:rFonts w:ascii="Arial" w:hAnsi="Arial" w:cs="Arial"/>
          <w:color w:val="808080" w:themeColor="background1" w:themeShade="80"/>
          <w:sz w:val="22"/>
          <w:szCs w:val="22"/>
          <w:lang w:val="en-GB"/>
        </w:rPr>
        <w:t xml:space="preserve"> due</w:t>
      </w:r>
      <w:r>
        <w:rPr>
          <w:rFonts w:ascii="Arial" w:hAnsi="Arial" w:cs="Arial"/>
          <w:color w:val="808080" w:themeColor="background1" w:themeShade="80"/>
          <w:sz w:val="22"/>
          <w:szCs w:val="22"/>
          <w:lang w:val="en-GB"/>
        </w:rPr>
        <w:t xml:space="preserve"> to an abuse of process, which is not stipulated in the MLCBI itself, but </w:t>
      </w:r>
      <w:r w:rsidR="00E25631">
        <w:rPr>
          <w:rFonts w:ascii="Arial" w:hAnsi="Arial" w:cs="Arial"/>
          <w:color w:val="808080" w:themeColor="background1" w:themeShade="80"/>
          <w:sz w:val="22"/>
          <w:szCs w:val="22"/>
          <w:lang w:val="en-GB"/>
        </w:rPr>
        <w:t xml:space="preserve">decided upon pursuant to domestic laws of the enacting state. An example would be non-disclosure of information or falsely claiming that the COMI of the debtor is in a particular state.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3AD64608" w14:textId="3A3F5ECE" w:rsidR="00867A8F" w:rsidRPr="00C6045A" w:rsidRDefault="00C6045A" w:rsidP="00C6045A">
      <w:pPr>
        <w:jc w:val="both"/>
        <w:rPr>
          <w:rFonts w:ascii="Arial" w:hAnsi="Arial" w:cs="Arial"/>
          <w:color w:val="808080" w:themeColor="background1" w:themeShade="80"/>
          <w:sz w:val="22"/>
          <w:szCs w:val="22"/>
          <w:lang w:val="en-GB"/>
        </w:rPr>
      </w:pPr>
      <w:r w:rsidRPr="00C6045A">
        <w:rPr>
          <w:rFonts w:ascii="Arial" w:hAnsi="Arial" w:cs="Arial"/>
          <w:color w:val="808080" w:themeColor="background1" w:themeShade="80"/>
          <w:sz w:val="22"/>
          <w:szCs w:val="22"/>
          <w:lang w:val="en-GB"/>
        </w:rPr>
        <w:t xml:space="preserve">Prior to a decision on the recognition, </w:t>
      </w:r>
      <w:r>
        <w:rPr>
          <w:rFonts w:ascii="Arial" w:hAnsi="Arial" w:cs="Arial"/>
          <w:color w:val="808080" w:themeColor="background1" w:themeShade="80"/>
          <w:sz w:val="22"/>
          <w:szCs w:val="22"/>
          <w:lang w:val="en-GB"/>
        </w:rPr>
        <w:t>interim relief can be grant ed pursuant to Article 19 of the MLCBI, provided that such relief is urgently needed. Furthermore, the court can (in its discretion) grant post-recognition relief in accordance with Article 21 of the MLCBI. Pursuant to Article 20 of the MLCBI automatic mandatory relief is granted, provided that the recognised foreign proceeding qualifies as a “foreign mandatory proceeding”.</w:t>
      </w:r>
    </w:p>
    <w:p w14:paraId="21A67231" w14:textId="2C24E220" w:rsidR="00867A8F" w:rsidRDefault="00867A8F" w:rsidP="00707FC8">
      <w:pPr>
        <w:ind w:left="720" w:hanging="720"/>
        <w:jc w:val="both"/>
        <w:rPr>
          <w:rFonts w:ascii="Avenir Next" w:hAnsi="Avenir Next" w:cs="Arial"/>
          <w:sz w:val="22"/>
          <w:szCs w:val="22"/>
          <w:lang w:val="en-GB"/>
        </w:rPr>
      </w:pPr>
    </w:p>
    <w:p w14:paraId="1E039E93" w14:textId="32440EB3" w:rsidR="00C6045A" w:rsidRDefault="00C6045A" w:rsidP="001E6B93">
      <w:pPr>
        <w:jc w:val="both"/>
        <w:rPr>
          <w:rFonts w:ascii="Arial" w:hAnsi="Arial" w:cs="Arial"/>
          <w:color w:val="808080" w:themeColor="background1" w:themeShade="80"/>
          <w:sz w:val="22"/>
          <w:szCs w:val="22"/>
          <w:lang w:val="en-GB"/>
        </w:rPr>
      </w:pPr>
      <w:r w:rsidRPr="001E6B93">
        <w:rPr>
          <w:rFonts w:ascii="Arial" w:hAnsi="Arial" w:cs="Arial"/>
          <w:color w:val="808080" w:themeColor="background1" w:themeShade="80"/>
          <w:sz w:val="22"/>
          <w:szCs w:val="22"/>
          <w:lang w:val="en-GB"/>
        </w:rPr>
        <w:t>In granting interim pre-recognition relief pursuant to Article 19 of the MLCBI, or discretionary post-recognition relief pursuant to Article 21 of the MLCBI, the court in the enacting state must be satisfied that the interests of the insolvent’s creditors and other interested parties are adequately protected. In order to assess this requirement, the court can subject the relief to certain conditions, as it considers adequate. Furthermore, the court can</w:t>
      </w:r>
      <w:r w:rsidR="001E6B93" w:rsidRPr="001E6B93">
        <w:rPr>
          <w:rFonts w:ascii="Arial" w:hAnsi="Arial" w:cs="Arial"/>
          <w:color w:val="808080" w:themeColor="background1" w:themeShade="80"/>
          <w:sz w:val="22"/>
          <w:szCs w:val="22"/>
          <w:lang w:val="en-GB"/>
        </w:rPr>
        <w:t xml:space="preserve"> – at the request of the FR or any other affected party – modify or even terminate the relief. </w:t>
      </w:r>
    </w:p>
    <w:p w14:paraId="77F4C077" w14:textId="03889476" w:rsidR="001E6B93" w:rsidRDefault="001E6B93" w:rsidP="001E6B93">
      <w:pPr>
        <w:jc w:val="both"/>
        <w:rPr>
          <w:rFonts w:ascii="Arial" w:hAnsi="Arial" w:cs="Arial"/>
          <w:color w:val="808080" w:themeColor="background1" w:themeShade="80"/>
          <w:sz w:val="22"/>
          <w:szCs w:val="22"/>
          <w:lang w:val="en-GB"/>
        </w:rPr>
      </w:pPr>
    </w:p>
    <w:p w14:paraId="29B436D4" w14:textId="0AA3629B" w:rsidR="001E6B93" w:rsidRPr="001E6B93" w:rsidRDefault="001E6B93" w:rsidP="001E6B9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FR obtains a standing (including the right to initiate certain actions) under the laws / proceedings of the enacting state, in order to protect the debtor’s assets for the creditors. This is provided for in Articles 23 and 24 of the MLCBI.  </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467D9FE1" w:rsidR="00867A8F" w:rsidRPr="00467782" w:rsidRDefault="00467782" w:rsidP="0046778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Case law: </w:t>
      </w:r>
      <w:proofErr w:type="spellStart"/>
      <w:r w:rsidRPr="00D07F23">
        <w:rPr>
          <w:rFonts w:ascii="Arial" w:hAnsi="Arial" w:cs="Arial"/>
          <w:i/>
          <w:iCs/>
          <w:color w:val="808080" w:themeColor="background1" w:themeShade="80"/>
          <w:sz w:val="22"/>
          <w:szCs w:val="22"/>
          <w:lang w:val="en-GB"/>
        </w:rPr>
        <w:t>Protasov</w:t>
      </w:r>
      <w:proofErr w:type="spellEnd"/>
      <w:r w:rsidRPr="00D07F23">
        <w:rPr>
          <w:rFonts w:ascii="Arial" w:hAnsi="Arial" w:cs="Arial"/>
          <w:i/>
          <w:iCs/>
          <w:color w:val="808080" w:themeColor="background1" w:themeShade="80"/>
          <w:sz w:val="22"/>
          <w:szCs w:val="22"/>
          <w:lang w:val="en-GB"/>
        </w:rPr>
        <w:t xml:space="preserve"> v </w:t>
      </w:r>
      <w:proofErr w:type="spellStart"/>
      <w:r w:rsidRPr="00D07F23">
        <w:rPr>
          <w:rFonts w:ascii="Arial" w:hAnsi="Arial" w:cs="Arial"/>
          <w:i/>
          <w:iCs/>
          <w:color w:val="808080" w:themeColor="background1" w:themeShade="80"/>
          <w:sz w:val="22"/>
          <w:szCs w:val="22"/>
          <w:lang w:val="en-GB"/>
        </w:rPr>
        <w:t>Derev</w:t>
      </w:r>
      <w:proofErr w:type="spellEnd"/>
      <w:r>
        <w:rPr>
          <w:rFonts w:ascii="Arial" w:hAnsi="Arial" w:cs="Arial"/>
          <w:color w:val="808080" w:themeColor="background1" w:themeShade="80"/>
          <w:sz w:val="22"/>
          <w:szCs w:val="22"/>
          <w:lang w:val="en-GB"/>
        </w:rPr>
        <w:t xml:space="preserve">, EWHC 392. The court found that under domestic law (in the relevant case English law) forms of protections are offered, so that a relief in the form of a freezing order (or similar injunction) were simply not warranted.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licence. At that point, the DGF acquires </w:t>
      </w:r>
      <w:bookmarkStart w:id="19" w:name="_Hlk141631330"/>
      <w:r w:rsidRPr="00E2622D">
        <w:rPr>
          <w:rFonts w:ascii="Avenir Next" w:hAnsi="Avenir Next" w:cs="Arial"/>
          <w:color w:val="000000"/>
          <w:sz w:val="22"/>
          <w:szCs w:val="22"/>
          <w:lang w:val="en-GB" w:eastAsia="en-GB"/>
        </w:rPr>
        <w:t>the full powers of a liquidator under the law of Country A</w:t>
      </w:r>
      <w:bookmarkEnd w:id="19"/>
      <w:r w:rsidRPr="00E2622D">
        <w:rPr>
          <w:rFonts w:ascii="Avenir Next" w:hAnsi="Avenir Next" w:cs="Arial"/>
          <w:color w:val="000000"/>
          <w:sz w:val="22"/>
          <w:szCs w:val="22"/>
          <w:lang w:val="en-GB" w:eastAsia="en-GB"/>
        </w:rPr>
        <w:t>.</w:t>
      </w:r>
      <w:bookmarkStart w:id="20"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1" w:name="para35"/>
      <w:bookmarkEnd w:id="20"/>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1"/>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2"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2"/>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3"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3"/>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4"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4"/>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5"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Those operations included:</w:t>
      </w:r>
      <w:bookmarkEnd w:id="25"/>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6"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7" w:name="para40"/>
      <w:bookmarkEnd w:id="26"/>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8" w:name="para41"/>
      <w:bookmarkEnd w:id="27"/>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8"/>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55EE8A00" w:rsidR="0077498C" w:rsidRDefault="005509D9" w:rsidP="007060CD">
      <w:pPr>
        <w:autoSpaceDE w:val="0"/>
        <w:autoSpaceDN w:val="0"/>
        <w:adjustRightInd w:val="0"/>
        <w:rPr>
          <w:rFonts w:ascii="Arial" w:hAnsi="Arial" w:cs="Arial"/>
          <w:color w:val="808080" w:themeColor="background1" w:themeShade="80"/>
          <w:sz w:val="22"/>
          <w:szCs w:val="22"/>
          <w:lang w:val="en-GB"/>
        </w:rPr>
      </w:pPr>
      <w:r w:rsidRPr="005509D9">
        <w:rPr>
          <w:rFonts w:ascii="Arial" w:hAnsi="Arial" w:cs="Arial"/>
          <w:color w:val="808080" w:themeColor="background1" w:themeShade="80"/>
          <w:sz w:val="22"/>
          <w:szCs w:val="22"/>
          <w:lang w:val="en-GB"/>
        </w:rPr>
        <w:t>4.1.1</w:t>
      </w:r>
      <w:r w:rsidR="00E31661">
        <w:rPr>
          <w:rFonts w:ascii="Arial" w:hAnsi="Arial" w:cs="Arial"/>
          <w:color w:val="808080" w:themeColor="background1" w:themeShade="80"/>
          <w:sz w:val="22"/>
          <w:szCs w:val="22"/>
          <w:lang w:val="en-GB"/>
        </w:rPr>
        <w:t xml:space="preserve"> According to the MLCBI, “</w:t>
      </w:r>
      <w:r w:rsidRPr="005509D9">
        <w:rPr>
          <w:rFonts w:ascii="Arial" w:hAnsi="Arial" w:cs="Arial"/>
          <w:color w:val="808080" w:themeColor="background1" w:themeShade="80"/>
          <w:sz w:val="22"/>
          <w:szCs w:val="22"/>
          <w:lang w:val="en-GB"/>
        </w:rPr>
        <w:t xml:space="preserve"> </w:t>
      </w:r>
      <w:r w:rsidR="00E31661">
        <w:rPr>
          <w:rFonts w:ascii="Arial" w:hAnsi="Arial" w:cs="Arial"/>
          <w:color w:val="808080" w:themeColor="background1" w:themeShade="80"/>
          <w:sz w:val="22"/>
          <w:szCs w:val="22"/>
          <w:lang w:val="en-GB"/>
        </w:rPr>
        <w:t>f</w:t>
      </w:r>
      <w:r w:rsidRPr="005509D9">
        <w:rPr>
          <w:rFonts w:ascii="Arial" w:hAnsi="Arial" w:cs="Arial"/>
          <w:color w:val="808080" w:themeColor="background1" w:themeShade="80"/>
          <w:sz w:val="22"/>
          <w:szCs w:val="22"/>
          <w:lang w:val="en-GB"/>
        </w:rPr>
        <w:t>oreign proceeding” means a collective</w:t>
      </w:r>
      <w:r w:rsidRPr="005509D9">
        <w:rPr>
          <w:rFonts w:ascii="Arial" w:hAnsi="Arial" w:cs="Arial"/>
          <w:color w:val="808080" w:themeColor="background1" w:themeShade="80"/>
          <w:sz w:val="22"/>
          <w:szCs w:val="22"/>
          <w:lang w:val="en-GB"/>
        </w:rPr>
        <w:t xml:space="preserve"> </w:t>
      </w:r>
      <w:r w:rsidRPr="005509D9">
        <w:rPr>
          <w:rFonts w:ascii="Arial" w:hAnsi="Arial" w:cs="Arial"/>
          <w:color w:val="808080" w:themeColor="background1" w:themeShade="80"/>
          <w:sz w:val="22"/>
          <w:szCs w:val="22"/>
          <w:lang w:val="en-GB"/>
        </w:rPr>
        <w:t>judicial or administrative proceeding in</w:t>
      </w:r>
      <w:r w:rsidRPr="005509D9">
        <w:rPr>
          <w:rFonts w:ascii="Arial" w:hAnsi="Arial" w:cs="Arial"/>
          <w:color w:val="808080" w:themeColor="background1" w:themeShade="80"/>
          <w:sz w:val="22"/>
          <w:szCs w:val="22"/>
          <w:lang w:val="en-GB"/>
        </w:rPr>
        <w:t xml:space="preserve"> </w:t>
      </w:r>
      <w:r w:rsidRPr="005509D9">
        <w:rPr>
          <w:rFonts w:ascii="Arial" w:hAnsi="Arial" w:cs="Arial"/>
          <w:color w:val="808080" w:themeColor="background1" w:themeShade="80"/>
          <w:sz w:val="22"/>
          <w:szCs w:val="22"/>
          <w:lang w:val="en-GB"/>
        </w:rPr>
        <w:t xml:space="preserve">a foreign </w:t>
      </w:r>
      <w:r w:rsidR="00E31661">
        <w:rPr>
          <w:rFonts w:ascii="Arial" w:hAnsi="Arial" w:cs="Arial"/>
          <w:color w:val="808080" w:themeColor="background1" w:themeShade="80"/>
          <w:sz w:val="22"/>
          <w:szCs w:val="22"/>
          <w:lang w:val="en-GB"/>
        </w:rPr>
        <w:t>s</w:t>
      </w:r>
      <w:r w:rsidRPr="005509D9">
        <w:rPr>
          <w:rFonts w:ascii="Arial" w:hAnsi="Arial" w:cs="Arial"/>
          <w:color w:val="808080" w:themeColor="background1" w:themeShade="80"/>
          <w:sz w:val="22"/>
          <w:szCs w:val="22"/>
          <w:lang w:val="en-GB"/>
        </w:rPr>
        <w:t>tate, including an interim proceeding,</w:t>
      </w:r>
      <w:r w:rsidRPr="005509D9">
        <w:rPr>
          <w:rFonts w:ascii="Arial" w:hAnsi="Arial" w:cs="Arial"/>
          <w:color w:val="808080" w:themeColor="background1" w:themeShade="80"/>
          <w:sz w:val="22"/>
          <w:szCs w:val="22"/>
          <w:lang w:val="en-GB"/>
        </w:rPr>
        <w:t xml:space="preserve"> </w:t>
      </w:r>
      <w:r w:rsidRPr="005509D9">
        <w:rPr>
          <w:rFonts w:ascii="Arial" w:hAnsi="Arial" w:cs="Arial"/>
          <w:color w:val="808080" w:themeColor="background1" w:themeShade="80"/>
          <w:sz w:val="22"/>
          <w:szCs w:val="22"/>
          <w:lang w:val="en-GB"/>
        </w:rPr>
        <w:t>pursuant to a law relating to insolvency in</w:t>
      </w:r>
      <w:r w:rsidRPr="005509D9">
        <w:rPr>
          <w:rFonts w:ascii="Arial" w:hAnsi="Arial" w:cs="Arial"/>
          <w:color w:val="808080" w:themeColor="background1" w:themeShade="80"/>
          <w:sz w:val="22"/>
          <w:szCs w:val="22"/>
          <w:lang w:val="en-GB"/>
        </w:rPr>
        <w:t xml:space="preserve"> </w:t>
      </w:r>
      <w:r w:rsidRPr="005509D9">
        <w:rPr>
          <w:rFonts w:ascii="Arial" w:hAnsi="Arial" w:cs="Arial"/>
          <w:color w:val="808080" w:themeColor="background1" w:themeShade="80"/>
          <w:sz w:val="22"/>
          <w:szCs w:val="22"/>
          <w:lang w:val="en-GB"/>
        </w:rPr>
        <w:t>which proceeding the assets and affairs of the</w:t>
      </w:r>
      <w:r w:rsidRPr="005509D9">
        <w:rPr>
          <w:rFonts w:ascii="Arial" w:hAnsi="Arial" w:cs="Arial"/>
          <w:color w:val="808080" w:themeColor="background1" w:themeShade="80"/>
          <w:sz w:val="22"/>
          <w:szCs w:val="22"/>
          <w:lang w:val="en-GB"/>
        </w:rPr>
        <w:t xml:space="preserve"> </w:t>
      </w:r>
      <w:r w:rsidRPr="005509D9">
        <w:rPr>
          <w:rFonts w:ascii="Arial" w:hAnsi="Arial" w:cs="Arial"/>
          <w:color w:val="808080" w:themeColor="background1" w:themeShade="80"/>
          <w:sz w:val="22"/>
          <w:szCs w:val="22"/>
          <w:lang w:val="en-GB"/>
        </w:rPr>
        <w:t>debtor are subject to control or supervision by a</w:t>
      </w:r>
      <w:r w:rsidRPr="005509D9">
        <w:rPr>
          <w:rFonts w:ascii="Arial" w:hAnsi="Arial" w:cs="Arial"/>
          <w:color w:val="808080" w:themeColor="background1" w:themeShade="80"/>
          <w:sz w:val="22"/>
          <w:szCs w:val="22"/>
          <w:lang w:val="en-GB"/>
        </w:rPr>
        <w:t xml:space="preserve"> </w:t>
      </w:r>
      <w:r w:rsidRPr="005509D9">
        <w:rPr>
          <w:rFonts w:ascii="Arial" w:hAnsi="Arial" w:cs="Arial"/>
          <w:color w:val="808080" w:themeColor="background1" w:themeShade="80"/>
          <w:sz w:val="22"/>
          <w:szCs w:val="22"/>
          <w:lang w:val="en-GB"/>
        </w:rPr>
        <w:t>foreign court, for the purpose of reorganization</w:t>
      </w:r>
      <w:r w:rsidRPr="005509D9">
        <w:rPr>
          <w:rFonts w:ascii="Arial" w:hAnsi="Arial" w:cs="Arial"/>
          <w:color w:val="808080" w:themeColor="background1" w:themeShade="80"/>
          <w:sz w:val="22"/>
          <w:szCs w:val="22"/>
          <w:lang w:val="en-GB"/>
        </w:rPr>
        <w:t xml:space="preserve"> </w:t>
      </w:r>
      <w:r w:rsidRPr="005509D9">
        <w:rPr>
          <w:rFonts w:ascii="Arial" w:hAnsi="Arial" w:cs="Arial"/>
          <w:color w:val="808080" w:themeColor="background1" w:themeShade="80"/>
          <w:sz w:val="22"/>
          <w:szCs w:val="22"/>
          <w:lang w:val="en-GB"/>
        </w:rPr>
        <w:t>or liquidation</w:t>
      </w:r>
      <w:r w:rsidRPr="005509D9">
        <w:rPr>
          <w:rFonts w:ascii="Arial" w:hAnsi="Arial" w:cs="Arial"/>
          <w:color w:val="808080" w:themeColor="background1" w:themeShade="80"/>
          <w:sz w:val="22"/>
          <w:szCs w:val="22"/>
          <w:lang w:val="en-GB"/>
        </w:rPr>
        <w:t>.</w:t>
      </w:r>
      <w:r w:rsidR="00E31661">
        <w:rPr>
          <w:rFonts w:ascii="Arial" w:hAnsi="Arial" w:cs="Arial"/>
          <w:color w:val="808080" w:themeColor="background1" w:themeShade="80"/>
          <w:sz w:val="22"/>
          <w:szCs w:val="22"/>
          <w:lang w:val="en-GB"/>
        </w:rPr>
        <w:t xml:space="preserve"> The</w:t>
      </w:r>
      <w:r w:rsidR="007060CD">
        <w:rPr>
          <w:rFonts w:ascii="Arial" w:hAnsi="Arial" w:cs="Arial"/>
          <w:color w:val="808080" w:themeColor="background1" w:themeShade="80"/>
          <w:sz w:val="22"/>
          <w:szCs w:val="22"/>
          <w:lang w:val="en-GB"/>
        </w:rPr>
        <w:t xml:space="preserve"> </w:t>
      </w:r>
      <w:r w:rsidR="007060CD" w:rsidRPr="00E31661">
        <w:rPr>
          <w:rFonts w:ascii="Arial" w:hAnsi="Arial" w:cs="Arial"/>
          <w:color w:val="808080" w:themeColor="background1" w:themeShade="80"/>
          <w:sz w:val="22"/>
          <w:szCs w:val="22"/>
          <w:lang w:val="en-GB"/>
        </w:rPr>
        <w:t xml:space="preserve">characteristics of </w:t>
      </w:r>
      <w:r w:rsidR="00E31661">
        <w:rPr>
          <w:rFonts w:ascii="Arial" w:hAnsi="Arial" w:cs="Arial"/>
          <w:color w:val="808080" w:themeColor="background1" w:themeShade="80"/>
          <w:sz w:val="22"/>
          <w:szCs w:val="22"/>
          <w:lang w:val="en-GB"/>
        </w:rPr>
        <w:t>such foreign proceedings</w:t>
      </w:r>
      <w:r w:rsidR="007060CD" w:rsidRPr="00E31661">
        <w:rPr>
          <w:rFonts w:ascii="Arial" w:hAnsi="Arial" w:cs="Arial"/>
          <w:color w:val="808080" w:themeColor="background1" w:themeShade="80"/>
          <w:sz w:val="22"/>
          <w:szCs w:val="22"/>
          <w:lang w:val="en-GB"/>
        </w:rPr>
        <w:t xml:space="preserve"> </w:t>
      </w:r>
      <w:r w:rsidR="00E31661">
        <w:rPr>
          <w:rFonts w:ascii="Arial" w:hAnsi="Arial" w:cs="Arial"/>
          <w:color w:val="808080" w:themeColor="background1" w:themeShade="80"/>
          <w:sz w:val="22"/>
          <w:szCs w:val="22"/>
          <w:lang w:val="en-GB"/>
        </w:rPr>
        <w:t>should be applied</w:t>
      </w:r>
      <w:r w:rsidR="007060CD" w:rsidRPr="00E31661">
        <w:rPr>
          <w:rFonts w:ascii="Arial" w:hAnsi="Arial" w:cs="Arial"/>
          <w:color w:val="808080" w:themeColor="background1" w:themeShade="80"/>
          <w:sz w:val="22"/>
          <w:szCs w:val="22"/>
          <w:lang w:val="en-GB"/>
        </w:rPr>
        <w:t xml:space="preserve"> cumulative</w:t>
      </w:r>
      <w:r w:rsidR="00E31661">
        <w:rPr>
          <w:rFonts w:ascii="Arial" w:hAnsi="Arial" w:cs="Arial"/>
          <w:color w:val="808080" w:themeColor="background1" w:themeShade="80"/>
          <w:sz w:val="22"/>
          <w:szCs w:val="22"/>
          <w:lang w:val="en-GB"/>
        </w:rPr>
        <w:t xml:space="preserve">ly </w:t>
      </w:r>
      <w:r w:rsidR="007060CD" w:rsidRPr="00E31661">
        <w:rPr>
          <w:rFonts w:ascii="Arial" w:hAnsi="Arial" w:cs="Arial"/>
          <w:color w:val="808080" w:themeColor="background1" w:themeShade="80"/>
          <w:sz w:val="22"/>
          <w:szCs w:val="22"/>
          <w:lang w:val="en-GB"/>
        </w:rPr>
        <w:t>and should be considered as a whole</w:t>
      </w:r>
      <w:r w:rsidR="00E31661">
        <w:rPr>
          <w:rFonts w:ascii="Arial" w:hAnsi="Arial" w:cs="Arial"/>
          <w:color w:val="808080" w:themeColor="background1" w:themeShade="80"/>
          <w:sz w:val="22"/>
          <w:szCs w:val="22"/>
          <w:lang w:val="en-GB"/>
        </w:rPr>
        <w:t xml:space="preserve">. The assessment is to be fact based. </w:t>
      </w:r>
    </w:p>
    <w:p w14:paraId="3B3110E5" w14:textId="6461F46F" w:rsidR="00E31661" w:rsidRDefault="00E31661" w:rsidP="007060CD">
      <w:pPr>
        <w:autoSpaceDE w:val="0"/>
        <w:autoSpaceDN w:val="0"/>
        <w:adjustRightInd w:val="0"/>
        <w:rPr>
          <w:rFonts w:ascii="Arial" w:hAnsi="Arial" w:cs="Arial"/>
          <w:color w:val="808080" w:themeColor="background1" w:themeShade="80"/>
          <w:sz w:val="22"/>
          <w:szCs w:val="22"/>
          <w:lang w:val="en-GB"/>
        </w:rPr>
      </w:pPr>
    </w:p>
    <w:p w14:paraId="4C06425C" w14:textId="601BC359" w:rsidR="00E31661" w:rsidRDefault="00E31661">
      <w:pPr>
        <w:pStyle w:val="ListParagraph"/>
        <w:numPr>
          <w:ilvl w:val="0"/>
          <w:numId w:val="15"/>
        </w:num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proceeding must either qualify as judicial or administrative proceeding: According to case law, “proceeding” is a statutory framework that constrains </w:t>
      </w:r>
      <w:r w:rsidRPr="00D3731B">
        <w:rPr>
          <w:rFonts w:ascii="Arial" w:hAnsi="Arial" w:cs="Arial"/>
          <w:color w:val="808080" w:themeColor="background1" w:themeShade="80"/>
          <w:sz w:val="22"/>
          <w:szCs w:val="22"/>
          <w:lang w:val="en-GB"/>
        </w:rPr>
        <w:t xml:space="preserve">company’s actions and that regulates the final distribution of a company’s assets. According to the facts above, when entering into liquidation, all powers of the </w:t>
      </w:r>
      <w:r w:rsidR="00D3731B">
        <w:rPr>
          <w:rFonts w:ascii="Arial" w:hAnsi="Arial" w:cs="Arial"/>
          <w:color w:val="808080" w:themeColor="background1" w:themeShade="80"/>
          <w:sz w:val="22"/>
          <w:szCs w:val="22"/>
          <w:lang w:val="en-GB"/>
        </w:rPr>
        <w:t>B</w:t>
      </w:r>
      <w:r w:rsidRPr="00D3731B">
        <w:rPr>
          <w:rFonts w:ascii="Arial" w:hAnsi="Arial" w:cs="Arial"/>
          <w:color w:val="808080" w:themeColor="background1" w:themeShade="80"/>
          <w:sz w:val="22"/>
          <w:szCs w:val="22"/>
          <w:lang w:val="en-GB"/>
        </w:rPr>
        <w:t xml:space="preserve">ank’s management and control bodies </w:t>
      </w:r>
      <w:r w:rsidR="00D3731B" w:rsidRPr="00D3731B">
        <w:rPr>
          <w:rFonts w:ascii="Arial" w:hAnsi="Arial" w:cs="Arial"/>
          <w:color w:val="808080" w:themeColor="background1" w:themeShade="80"/>
          <w:sz w:val="22"/>
          <w:szCs w:val="22"/>
          <w:lang w:val="en-GB"/>
        </w:rPr>
        <w:t xml:space="preserve">as well as all banking activities are </w:t>
      </w:r>
      <w:proofErr w:type="gramStart"/>
      <w:r w:rsidR="00D3731B" w:rsidRPr="00D3731B">
        <w:rPr>
          <w:rFonts w:ascii="Arial" w:hAnsi="Arial" w:cs="Arial"/>
          <w:color w:val="808080" w:themeColor="background1" w:themeShade="80"/>
          <w:sz w:val="22"/>
          <w:szCs w:val="22"/>
          <w:lang w:val="en-GB"/>
        </w:rPr>
        <w:t>terminate</w:t>
      </w:r>
      <w:proofErr w:type="gramEnd"/>
      <w:r w:rsidR="00D3731B">
        <w:rPr>
          <w:rFonts w:ascii="Arial" w:hAnsi="Arial" w:cs="Arial"/>
          <w:color w:val="808080" w:themeColor="background1" w:themeShade="80"/>
          <w:sz w:val="22"/>
          <w:szCs w:val="22"/>
          <w:lang w:val="en-GB"/>
        </w:rPr>
        <w:t xml:space="preserve"> and the DGF alienates the Bank’s property and funds. The liquidation proceedings can therefore be considered as framework (</w:t>
      </w:r>
      <w:proofErr w:type="spellStart"/>
      <w:proofErr w:type="gramStart"/>
      <w:r w:rsidR="00D3731B">
        <w:rPr>
          <w:rFonts w:ascii="Arial" w:hAnsi="Arial" w:cs="Arial"/>
          <w:color w:val="808080" w:themeColor="background1" w:themeShade="80"/>
          <w:sz w:val="22"/>
          <w:szCs w:val="22"/>
          <w:lang w:val="en-GB"/>
        </w:rPr>
        <w:t>ie</w:t>
      </w:r>
      <w:proofErr w:type="spellEnd"/>
      <w:proofErr w:type="gramEnd"/>
      <w:r w:rsidR="00D3731B">
        <w:rPr>
          <w:rFonts w:ascii="Arial" w:hAnsi="Arial" w:cs="Arial"/>
          <w:color w:val="808080" w:themeColor="background1" w:themeShade="80"/>
          <w:sz w:val="22"/>
          <w:szCs w:val="22"/>
          <w:lang w:val="en-GB"/>
        </w:rPr>
        <w:t xml:space="preserve"> statutory of set of general applicable rules) that constrains the action’s of the Bank and that regulates the distribution of its assets. </w:t>
      </w:r>
      <w:r w:rsidR="00D3731B" w:rsidRPr="00D3731B">
        <w:rPr>
          <w:rFonts w:ascii="Arial" w:hAnsi="Arial" w:cs="Arial"/>
          <w:b/>
          <w:bCs/>
          <w:i/>
          <w:iCs/>
          <w:color w:val="808080" w:themeColor="background1" w:themeShade="80"/>
          <w:sz w:val="22"/>
          <w:szCs w:val="22"/>
          <w:lang w:val="en-GB"/>
        </w:rPr>
        <w:t>The liquidation therefore qualifies as judicial or administrative proceedings</w:t>
      </w:r>
      <w:r w:rsidR="00D3731B">
        <w:rPr>
          <w:rFonts w:ascii="Arial" w:hAnsi="Arial" w:cs="Arial"/>
          <w:color w:val="808080" w:themeColor="background1" w:themeShade="80"/>
          <w:sz w:val="22"/>
          <w:szCs w:val="22"/>
          <w:lang w:val="en-GB"/>
        </w:rPr>
        <w:t>.</w:t>
      </w:r>
    </w:p>
    <w:p w14:paraId="1CEB3EF6" w14:textId="38B32CE8" w:rsidR="00E31661" w:rsidRPr="00C77893" w:rsidRDefault="00D3731B">
      <w:pPr>
        <w:pStyle w:val="ListParagraph"/>
        <w:numPr>
          <w:ilvl w:val="0"/>
          <w:numId w:val="15"/>
        </w:num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proceeding must be collective: In determining whether a proceeding is “collective”, a key consideration is, whether substantially all of the assets and liabilities of the debtor are dealt with. According to the above facts, </w:t>
      </w:r>
      <w:r w:rsidRPr="00D3731B">
        <w:rPr>
          <w:rFonts w:ascii="Arial" w:hAnsi="Arial" w:cs="Arial"/>
          <w:color w:val="808080" w:themeColor="background1" w:themeShade="80"/>
          <w:sz w:val="22"/>
          <w:szCs w:val="22"/>
          <w:lang w:val="en-GB"/>
        </w:rPr>
        <w:t>w</w:t>
      </w:r>
      <w:r w:rsidR="00E31661" w:rsidRPr="00D3731B">
        <w:rPr>
          <w:rFonts w:ascii="Arial" w:hAnsi="Arial" w:cs="Arial"/>
          <w:color w:val="808080" w:themeColor="background1" w:themeShade="80"/>
          <w:sz w:val="22"/>
          <w:szCs w:val="22"/>
          <w:lang w:val="en-GB"/>
        </w:rPr>
        <w:t xml:space="preserve">hen the </w:t>
      </w:r>
      <w:r w:rsidRPr="00D3731B">
        <w:rPr>
          <w:rFonts w:ascii="Arial" w:hAnsi="Arial" w:cs="Arial"/>
          <w:color w:val="808080" w:themeColor="background1" w:themeShade="80"/>
          <w:sz w:val="22"/>
          <w:szCs w:val="22"/>
          <w:lang w:val="en-GB"/>
        </w:rPr>
        <w:t>B</w:t>
      </w:r>
      <w:r w:rsidR="00E31661" w:rsidRPr="00D3731B">
        <w:rPr>
          <w:rFonts w:ascii="Arial" w:hAnsi="Arial" w:cs="Arial"/>
          <w:color w:val="808080" w:themeColor="background1" w:themeShade="80"/>
          <w:sz w:val="22"/>
          <w:szCs w:val="22"/>
          <w:lang w:val="en-GB"/>
        </w:rPr>
        <w:t xml:space="preserve">ank </w:t>
      </w:r>
      <w:r w:rsidRPr="00D3731B">
        <w:rPr>
          <w:rFonts w:ascii="Arial" w:hAnsi="Arial" w:cs="Arial"/>
          <w:color w:val="808080" w:themeColor="background1" w:themeShade="80"/>
          <w:sz w:val="22"/>
          <w:szCs w:val="22"/>
          <w:lang w:val="en-GB"/>
        </w:rPr>
        <w:t xml:space="preserve">entered into liquidation, </w:t>
      </w:r>
      <w:r w:rsidR="00E31661" w:rsidRPr="00D3731B">
        <w:rPr>
          <w:rFonts w:ascii="Arial" w:hAnsi="Arial" w:cs="Arial"/>
          <w:color w:val="808080" w:themeColor="background1" w:themeShade="80"/>
          <w:sz w:val="22"/>
          <w:szCs w:val="22"/>
          <w:lang w:val="en-GB"/>
        </w:rPr>
        <w:t xml:space="preserve">all money liabilities due to the </w:t>
      </w:r>
      <w:r w:rsidRPr="00D3731B">
        <w:rPr>
          <w:rFonts w:ascii="Arial" w:hAnsi="Arial" w:cs="Arial"/>
          <w:color w:val="808080" w:themeColor="background1" w:themeShade="80"/>
          <w:sz w:val="22"/>
          <w:szCs w:val="22"/>
          <w:lang w:val="en-GB"/>
        </w:rPr>
        <w:t xml:space="preserve">Bank became/were deemed due and </w:t>
      </w:r>
      <w:r w:rsidR="00E31661" w:rsidRPr="00D3731B">
        <w:rPr>
          <w:rFonts w:ascii="Arial" w:hAnsi="Arial" w:cs="Arial"/>
          <w:color w:val="808080" w:themeColor="background1" w:themeShade="80"/>
          <w:sz w:val="22"/>
          <w:szCs w:val="22"/>
          <w:lang w:val="en-GB"/>
        </w:rPr>
        <w:t xml:space="preserve"> </w:t>
      </w:r>
      <w:proofErr w:type="spellStart"/>
      <w:r w:rsidR="00E31661" w:rsidRPr="00D3731B">
        <w:rPr>
          <w:rFonts w:ascii="Arial" w:hAnsi="Arial" w:cs="Arial"/>
          <w:color w:val="808080" w:themeColor="background1" w:themeShade="80"/>
          <w:sz w:val="22"/>
          <w:szCs w:val="22"/>
          <w:lang w:val="en-GB"/>
        </w:rPr>
        <w:t>and</w:t>
      </w:r>
      <w:proofErr w:type="spellEnd"/>
      <w:r w:rsidRPr="00D3731B">
        <w:rPr>
          <w:rFonts w:ascii="Arial" w:hAnsi="Arial" w:cs="Arial"/>
          <w:color w:val="808080" w:themeColor="background1" w:themeShade="80"/>
          <w:sz w:val="22"/>
          <w:szCs w:val="22"/>
          <w:lang w:val="en-GB"/>
        </w:rPr>
        <w:t xml:space="preserve"> p</w:t>
      </w:r>
      <w:r w:rsidR="00E31661" w:rsidRPr="00D3731B">
        <w:rPr>
          <w:rFonts w:ascii="Arial" w:hAnsi="Arial" w:cs="Arial"/>
          <w:color w:val="808080" w:themeColor="background1" w:themeShade="80"/>
          <w:sz w:val="22"/>
          <w:szCs w:val="22"/>
          <w:lang w:val="en-GB"/>
        </w:rPr>
        <w:t>ublic encumbrances and restrictions on disposal of</w:t>
      </w:r>
      <w:r w:rsidRPr="00D3731B">
        <w:rPr>
          <w:rFonts w:ascii="Arial" w:hAnsi="Arial" w:cs="Arial"/>
          <w:color w:val="808080" w:themeColor="background1" w:themeShade="80"/>
          <w:sz w:val="22"/>
          <w:szCs w:val="22"/>
          <w:lang w:val="en-GB"/>
        </w:rPr>
        <w:t xml:space="preserve"> the B</w:t>
      </w:r>
      <w:r w:rsidR="00E31661" w:rsidRPr="00D3731B">
        <w:rPr>
          <w:rFonts w:ascii="Arial" w:hAnsi="Arial" w:cs="Arial"/>
          <w:color w:val="808080" w:themeColor="background1" w:themeShade="80"/>
          <w:sz w:val="22"/>
          <w:szCs w:val="22"/>
          <w:lang w:val="en-GB"/>
        </w:rPr>
        <w:t>ank</w:t>
      </w:r>
      <w:r w:rsidRPr="00D3731B">
        <w:rPr>
          <w:rFonts w:ascii="Arial" w:hAnsi="Arial" w:cs="Arial"/>
          <w:color w:val="808080" w:themeColor="background1" w:themeShade="80"/>
          <w:sz w:val="22"/>
          <w:szCs w:val="22"/>
          <w:lang w:val="en-GB"/>
        </w:rPr>
        <w:t>’s</w:t>
      </w:r>
      <w:r w:rsidR="00E31661" w:rsidRPr="00D3731B">
        <w:rPr>
          <w:rFonts w:ascii="Arial" w:hAnsi="Arial" w:cs="Arial"/>
          <w:color w:val="808080" w:themeColor="background1" w:themeShade="80"/>
          <w:sz w:val="22"/>
          <w:szCs w:val="22"/>
          <w:lang w:val="en-GB"/>
        </w:rPr>
        <w:t xml:space="preserve"> property </w:t>
      </w:r>
      <w:r w:rsidRPr="00D3731B">
        <w:rPr>
          <w:rFonts w:ascii="Arial" w:hAnsi="Arial" w:cs="Arial"/>
          <w:color w:val="808080" w:themeColor="background1" w:themeShade="80"/>
          <w:sz w:val="22"/>
          <w:szCs w:val="22"/>
          <w:lang w:val="en-GB"/>
        </w:rPr>
        <w:t>were</w:t>
      </w:r>
      <w:r w:rsidR="00E31661" w:rsidRPr="00D3731B">
        <w:rPr>
          <w:rFonts w:ascii="Arial" w:hAnsi="Arial" w:cs="Arial"/>
          <w:color w:val="808080" w:themeColor="background1" w:themeShade="80"/>
          <w:sz w:val="22"/>
          <w:szCs w:val="22"/>
          <w:lang w:val="en-GB"/>
        </w:rPr>
        <w:t xml:space="preserve"> terminated and offsetting of </w:t>
      </w:r>
      <w:proofErr w:type="gramStart"/>
      <w:r w:rsidR="00E31661" w:rsidRPr="00D3731B">
        <w:rPr>
          <w:rFonts w:ascii="Arial" w:hAnsi="Arial" w:cs="Arial"/>
          <w:color w:val="808080" w:themeColor="background1" w:themeShade="80"/>
          <w:sz w:val="22"/>
          <w:szCs w:val="22"/>
          <w:lang w:val="en-GB"/>
        </w:rPr>
        <w:t>counter-claims</w:t>
      </w:r>
      <w:proofErr w:type="gramEnd"/>
      <w:r w:rsidR="00E31661" w:rsidRPr="00D3731B">
        <w:rPr>
          <w:rFonts w:ascii="Arial" w:hAnsi="Arial" w:cs="Arial"/>
          <w:color w:val="808080" w:themeColor="background1" w:themeShade="80"/>
          <w:sz w:val="22"/>
          <w:szCs w:val="22"/>
          <w:lang w:val="en-GB"/>
        </w:rPr>
        <w:t xml:space="preserve"> </w:t>
      </w:r>
      <w:r w:rsidRPr="00D3731B">
        <w:rPr>
          <w:rFonts w:ascii="Arial" w:hAnsi="Arial" w:cs="Arial"/>
          <w:color w:val="808080" w:themeColor="background1" w:themeShade="80"/>
          <w:sz w:val="22"/>
          <w:szCs w:val="22"/>
          <w:lang w:val="en-GB"/>
        </w:rPr>
        <w:t xml:space="preserve">was </w:t>
      </w:r>
      <w:r w:rsidR="00E31661" w:rsidRPr="00D3731B">
        <w:rPr>
          <w:rFonts w:ascii="Arial" w:hAnsi="Arial" w:cs="Arial"/>
          <w:color w:val="808080" w:themeColor="background1" w:themeShade="80"/>
          <w:sz w:val="22"/>
          <w:szCs w:val="22"/>
          <w:lang w:val="en-GB"/>
        </w:rPr>
        <w:t>prohibited</w:t>
      </w:r>
      <w:r w:rsidRPr="00D3731B">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The commencement of liquidation can, therefore, be considered as an orderly regime that affects the rights and obligations of all creditors and all of the assets </w:t>
      </w:r>
      <w:r w:rsidR="00C77893">
        <w:rPr>
          <w:rFonts w:ascii="Arial" w:hAnsi="Arial" w:cs="Arial"/>
          <w:color w:val="808080" w:themeColor="background1" w:themeShade="80"/>
          <w:sz w:val="22"/>
          <w:szCs w:val="22"/>
          <w:lang w:val="en-GB"/>
        </w:rPr>
        <w:t xml:space="preserve">of the debtor. </w:t>
      </w:r>
      <w:r w:rsidR="00C77893" w:rsidRPr="00C77893">
        <w:rPr>
          <w:rFonts w:ascii="Arial" w:hAnsi="Arial" w:cs="Arial"/>
          <w:b/>
          <w:bCs/>
          <w:color w:val="808080" w:themeColor="background1" w:themeShade="80"/>
          <w:sz w:val="22"/>
          <w:szCs w:val="22"/>
          <w:lang w:val="en-GB"/>
        </w:rPr>
        <w:t>The liquidation proceedings</w:t>
      </w:r>
      <w:r w:rsidR="00654CA2">
        <w:rPr>
          <w:rFonts w:ascii="Arial" w:hAnsi="Arial" w:cs="Arial"/>
          <w:b/>
          <w:bCs/>
          <w:color w:val="808080" w:themeColor="background1" w:themeShade="80"/>
          <w:sz w:val="22"/>
          <w:szCs w:val="22"/>
          <w:lang w:val="en-GB"/>
        </w:rPr>
        <w:t xml:space="preserve"> should</w:t>
      </w:r>
      <w:r w:rsidR="00C77893" w:rsidRPr="00C77893">
        <w:rPr>
          <w:rFonts w:ascii="Arial" w:hAnsi="Arial" w:cs="Arial"/>
          <w:b/>
          <w:bCs/>
          <w:color w:val="808080" w:themeColor="background1" w:themeShade="80"/>
          <w:sz w:val="22"/>
          <w:szCs w:val="22"/>
          <w:lang w:val="en-GB"/>
        </w:rPr>
        <w:t xml:space="preserve"> therefore </w:t>
      </w:r>
      <w:r w:rsidR="00654CA2">
        <w:rPr>
          <w:rFonts w:ascii="Arial" w:hAnsi="Arial" w:cs="Arial"/>
          <w:b/>
          <w:bCs/>
          <w:color w:val="808080" w:themeColor="background1" w:themeShade="80"/>
          <w:sz w:val="22"/>
          <w:szCs w:val="22"/>
          <w:lang w:val="en-GB"/>
        </w:rPr>
        <w:t>also</w:t>
      </w:r>
      <w:r w:rsidR="00C77893" w:rsidRPr="00C77893">
        <w:rPr>
          <w:rFonts w:ascii="Arial" w:hAnsi="Arial" w:cs="Arial"/>
          <w:b/>
          <w:bCs/>
          <w:color w:val="808080" w:themeColor="background1" w:themeShade="80"/>
          <w:sz w:val="22"/>
          <w:szCs w:val="22"/>
          <w:lang w:val="en-GB"/>
        </w:rPr>
        <w:t xml:space="preserve"> be considered collective.</w:t>
      </w:r>
    </w:p>
    <w:p w14:paraId="777CEA16" w14:textId="5D510B5E" w:rsidR="00E31661" w:rsidRPr="002D6A30" w:rsidRDefault="00654CA2">
      <w:pPr>
        <w:pStyle w:val="ListParagraph"/>
        <w:numPr>
          <w:ilvl w:val="0"/>
          <w:numId w:val="15"/>
        </w:num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proceedings must be a proceeding pursuant to a law relating to insolvency</w:t>
      </w:r>
      <w:r w:rsidR="002D6A30">
        <w:rPr>
          <w:rFonts w:ascii="Arial" w:hAnsi="Arial" w:cs="Arial"/>
          <w:color w:val="808080" w:themeColor="background1" w:themeShade="80"/>
          <w:sz w:val="22"/>
          <w:szCs w:val="22"/>
          <w:lang w:val="en-GB"/>
        </w:rPr>
        <w:t xml:space="preserve"> or severe financial distress, including laws which are not labelled as insolvency law but that nevertheless deal with insolvency. Considering the facts above, in particular that liquidation was opened due to the Bank’s severe financial distress/ insolvency following provisional administration, </w:t>
      </w:r>
      <w:r w:rsidR="002D6A30" w:rsidRPr="002D6A30">
        <w:rPr>
          <w:rFonts w:ascii="Arial" w:hAnsi="Arial" w:cs="Arial"/>
          <w:b/>
          <w:bCs/>
          <w:color w:val="808080" w:themeColor="background1" w:themeShade="80"/>
          <w:sz w:val="22"/>
          <w:szCs w:val="22"/>
          <w:lang w:val="en-GB"/>
        </w:rPr>
        <w:t xml:space="preserve">Articles 75 et </w:t>
      </w:r>
      <w:proofErr w:type="spellStart"/>
      <w:r w:rsidR="002D6A30" w:rsidRPr="002D6A30">
        <w:rPr>
          <w:rFonts w:ascii="Arial" w:hAnsi="Arial" w:cs="Arial"/>
          <w:b/>
          <w:bCs/>
          <w:color w:val="808080" w:themeColor="background1" w:themeShade="80"/>
          <w:sz w:val="22"/>
          <w:szCs w:val="22"/>
          <w:lang w:val="en-GB"/>
        </w:rPr>
        <w:t>seq</w:t>
      </w:r>
      <w:proofErr w:type="spellEnd"/>
      <w:r w:rsidR="002D6A30" w:rsidRPr="002D6A30">
        <w:rPr>
          <w:rFonts w:ascii="Arial" w:hAnsi="Arial" w:cs="Arial"/>
          <w:b/>
          <w:bCs/>
          <w:color w:val="808080" w:themeColor="background1" w:themeShade="80"/>
          <w:sz w:val="22"/>
          <w:szCs w:val="22"/>
          <w:lang w:val="en-GB"/>
        </w:rPr>
        <w:t xml:space="preserve"> of the Law on Banks and Banking Activity can be qualified as law relating to insolvency</w:t>
      </w:r>
      <w:r w:rsidR="002D6A30">
        <w:rPr>
          <w:rFonts w:ascii="Arial" w:hAnsi="Arial" w:cs="Arial"/>
          <w:color w:val="808080" w:themeColor="background1" w:themeShade="80"/>
          <w:sz w:val="22"/>
          <w:szCs w:val="22"/>
          <w:lang w:val="en-GB"/>
        </w:rPr>
        <w:t xml:space="preserve">. </w:t>
      </w:r>
    </w:p>
    <w:p w14:paraId="3E05D22C" w14:textId="2B03C085" w:rsidR="005509D9" w:rsidRPr="006C73F0" w:rsidRDefault="002D6A30">
      <w:pPr>
        <w:pStyle w:val="ListParagraph"/>
        <w:numPr>
          <w:ilvl w:val="0"/>
          <w:numId w:val="15"/>
        </w:numPr>
        <w:autoSpaceDE w:val="0"/>
        <w:autoSpaceDN w:val="0"/>
        <w:adjustRightInd w:val="0"/>
        <w:rPr>
          <w:rFonts w:ascii="Arial" w:hAnsi="Arial" w:cs="Arial"/>
          <w:color w:val="808080" w:themeColor="background1" w:themeShade="80"/>
          <w:sz w:val="22"/>
          <w:szCs w:val="22"/>
          <w:lang w:val="en-GB"/>
        </w:rPr>
      </w:pPr>
      <w:r w:rsidRPr="002D6A30">
        <w:rPr>
          <w:rFonts w:ascii="Arial" w:hAnsi="Arial" w:cs="Arial"/>
          <w:color w:val="808080" w:themeColor="background1" w:themeShade="80"/>
          <w:sz w:val="22"/>
          <w:szCs w:val="22"/>
          <w:lang w:val="en-GB"/>
        </w:rPr>
        <w:t>The foreign proceeding must be a proceeding in which the assets and affairs of the debtor ar</w:t>
      </w:r>
      <w:r>
        <w:rPr>
          <w:rFonts w:ascii="Arial" w:hAnsi="Arial" w:cs="Arial"/>
          <w:color w:val="808080" w:themeColor="background1" w:themeShade="80"/>
          <w:sz w:val="22"/>
          <w:szCs w:val="22"/>
          <w:lang w:val="en-GB"/>
        </w:rPr>
        <w:t>e</w:t>
      </w:r>
      <w:r w:rsidRPr="002D6A30">
        <w:rPr>
          <w:rFonts w:ascii="Arial" w:hAnsi="Arial" w:cs="Arial"/>
          <w:color w:val="808080" w:themeColor="background1" w:themeShade="80"/>
          <w:sz w:val="22"/>
          <w:szCs w:val="22"/>
          <w:lang w:val="en-GB"/>
        </w:rPr>
        <w:t xml:space="preserve"> subject to control or supervision of a foreign court.</w:t>
      </w:r>
      <w:r>
        <w:rPr>
          <w:rFonts w:ascii="Arial" w:hAnsi="Arial" w:cs="Arial"/>
          <w:color w:val="808080" w:themeColor="background1" w:themeShade="80"/>
          <w:sz w:val="22"/>
          <w:szCs w:val="22"/>
          <w:lang w:val="en-GB"/>
        </w:rPr>
        <w:t xml:space="preserve"> The MLCBI specifies neither the level of control nor the supervision required to satisfy this aspect. </w:t>
      </w:r>
      <w:r w:rsidR="006C73F0">
        <w:rPr>
          <w:rFonts w:ascii="Arial" w:hAnsi="Arial" w:cs="Arial"/>
          <w:color w:val="808080" w:themeColor="background1" w:themeShade="80"/>
          <w:sz w:val="22"/>
          <w:szCs w:val="22"/>
          <w:lang w:val="en-GB"/>
        </w:rPr>
        <w:t xml:space="preserve">According to case law, </w:t>
      </w:r>
      <w:r w:rsidR="006C73F0" w:rsidRPr="006C73F0">
        <w:rPr>
          <w:rFonts w:ascii="Arial" w:hAnsi="Arial" w:cs="Arial"/>
          <w:color w:val="808080" w:themeColor="background1" w:themeShade="80"/>
          <w:sz w:val="22"/>
          <w:szCs w:val="22"/>
          <w:lang w:val="en-GB"/>
        </w:rPr>
        <w:t>that control or supervision may</w:t>
      </w:r>
      <w:r w:rsidR="006C73F0">
        <w:rPr>
          <w:rFonts w:ascii="Arial" w:hAnsi="Arial" w:cs="Arial"/>
          <w:color w:val="808080" w:themeColor="background1" w:themeShade="80"/>
          <w:sz w:val="22"/>
          <w:szCs w:val="22"/>
          <w:lang w:val="en-GB"/>
        </w:rPr>
        <w:t xml:space="preserve"> </w:t>
      </w:r>
      <w:r w:rsidR="006C73F0" w:rsidRPr="006C73F0">
        <w:rPr>
          <w:rFonts w:ascii="Arial" w:hAnsi="Arial" w:cs="Arial"/>
          <w:color w:val="808080" w:themeColor="background1" w:themeShade="80"/>
          <w:sz w:val="22"/>
          <w:szCs w:val="22"/>
          <w:lang w:val="en-GB"/>
        </w:rPr>
        <w:t>be exercised not only directly by the court, but also indirectly</w:t>
      </w:r>
      <w:r w:rsidR="006C73F0">
        <w:rPr>
          <w:rFonts w:ascii="Arial" w:hAnsi="Arial" w:cs="Arial"/>
          <w:color w:val="808080" w:themeColor="background1" w:themeShade="80"/>
          <w:sz w:val="22"/>
          <w:szCs w:val="22"/>
          <w:lang w:val="en-GB"/>
        </w:rPr>
        <w:t xml:space="preserve"> </w:t>
      </w:r>
      <w:r w:rsidR="006C73F0" w:rsidRPr="006C73F0">
        <w:rPr>
          <w:rFonts w:ascii="Arial" w:hAnsi="Arial" w:cs="Arial"/>
          <w:color w:val="808080" w:themeColor="background1" w:themeShade="80"/>
          <w:sz w:val="22"/>
          <w:szCs w:val="22"/>
          <w:lang w:val="en-GB"/>
        </w:rPr>
        <w:t>by an insolvency representative where, for example, the</w:t>
      </w:r>
      <w:r w:rsidR="006C73F0">
        <w:rPr>
          <w:rFonts w:ascii="Arial" w:hAnsi="Arial" w:cs="Arial"/>
          <w:color w:val="808080" w:themeColor="background1" w:themeShade="80"/>
          <w:sz w:val="22"/>
          <w:szCs w:val="22"/>
          <w:lang w:val="en-GB"/>
        </w:rPr>
        <w:t xml:space="preserve"> </w:t>
      </w:r>
      <w:r w:rsidR="006C73F0" w:rsidRPr="006C73F0">
        <w:rPr>
          <w:rFonts w:ascii="Arial" w:hAnsi="Arial" w:cs="Arial"/>
          <w:color w:val="808080" w:themeColor="background1" w:themeShade="80"/>
          <w:sz w:val="22"/>
          <w:szCs w:val="22"/>
          <w:lang w:val="en-GB"/>
        </w:rPr>
        <w:t>insolvency representative itself is subject to control or</w:t>
      </w:r>
      <w:r w:rsidR="006C73F0">
        <w:rPr>
          <w:rFonts w:ascii="Arial" w:hAnsi="Arial" w:cs="Arial"/>
          <w:color w:val="808080" w:themeColor="background1" w:themeShade="80"/>
          <w:sz w:val="22"/>
          <w:szCs w:val="22"/>
          <w:lang w:val="en-GB"/>
        </w:rPr>
        <w:t xml:space="preserve"> </w:t>
      </w:r>
      <w:r w:rsidR="006C73F0" w:rsidRPr="006C73F0">
        <w:rPr>
          <w:rFonts w:ascii="Arial" w:hAnsi="Arial" w:cs="Arial"/>
          <w:color w:val="808080" w:themeColor="background1" w:themeShade="80"/>
          <w:sz w:val="22"/>
          <w:szCs w:val="22"/>
          <w:lang w:val="en-GB"/>
        </w:rPr>
        <w:t xml:space="preserve">supervision by the court or </w:t>
      </w:r>
      <w:r w:rsidR="006C73F0" w:rsidRPr="006C73F0">
        <w:rPr>
          <w:rFonts w:ascii="Arial" w:hAnsi="Arial" w:cs="Arial"/>
          <w:color w:val="808080" w:themeColor="background1" w:themeShade="80"/>
          <w:sz w:val="22"/>
          <w:szCs w:val="22"/>
          <w:lang w:val="en-GB"/>
        </w:rPr>
        <w:lastRenderedPageBreak/>
        <w:t>other regulatory authority</w:t>
      </w:r>
      <w:r w:rsidR="006C73F0">
        <w:rPr>
          <w:rFonts w:ascii="Arial" w:hAnsi="Arial" w:cs="Arial"/>
          <w:color w:val="808080" w:themeColor="background1" w:themeShade="80"/>
          <w:sz w:val="22"/>
          <w:szCs w:val="22"/>
          <w:lang w:val="en-GB"/>
        </w:rPr>
        <w:t xml:space="preserve"> (including cases where liquidators can proceed with their duties largely without court involvement). According to the facts above, with the commencement of liquidation proceedings, the DGF alienates the Bank’s property and funds and has </w:t>
      </w:r>
      <w:r w:rsidR="006C73F0" w:rsidRPr="006C73F0">
        <w:rPr>
          <w:rFonts w:ascii="Arial" w:hAnsi="Arial" w:cs="Arial"/>
          <w:color w:val="808080" w:themeColor="background1" w:themeShade="80"/>
          <w:sz w:val="22"/>
          <w:szCs w:val="22"/>
          <w:lang w:val="en-GB"/>
        </w:rPr>
        <w:t>the full powers of a liquidator under the law of Country A</w:t>
      </w:r>
      <w:r w:rsidR="006C73F0">
        <w:rPr>
          <w:rFonts w:ascii="Arial" w:hAnsi="Arial" w:cs="Arial"/>
          <w:color w:val="808080" w:themeColor="background1" w:themeShade="80"/>
          <w:sz w:val="22"/>
          <w:szCs w:val="22"/>
          <w:lang w:val="en-GB"/>
        </w:rPr>
        <w:t xml:space="preserve">, including </w:t>
      </w:r>
      <w:r w:rsidR="006C73F0" w:rsidRPr="006C73F0">
        <w:rPr>
          <w:rFonts w:ascii="Arial" w:hAnsi="Arial" w:cs="Arial"/>
          <w:color w:val="808080" w:themeColor="background1" w:themeShade="80"/>
          <w:sz w:val="22"/>
          <w:szCs w:val="22"/>
          <w:lang w:val="en-GB"/>
        </w:rPr>
        <w:t>the power to exercise management powers and take over management of the property (including the money) of the bank;</w:t>
      </w:r>
      <w:r w:rsidR="006C73F0" w:rsidRPr="006C73F0">
        <w:rPr>
          <w:rFonts w:ascii="Arial" w:hAnsi="Arial" w:cs="Arial"/>
          <w:color w:val="808080" w:themeColor="background1" w:themeShade="80"/>
          <w:sz w:val="22"/>
          <w:szCs w:val="22"/>
          <w:lang w:val="en-GB"/>
        </w:rPr>
        <w:t xml:space="preserve"> </w:t>
      </w:r>
      <w:r w:rsidR="006C73F0" w:rsidRPr="006C73F0">
        <w:rPr>
          <w:rFonts w:ascii="Arial" w:hAnsi="Arial" w:cs="Arial"/>
          <w:color w:val="808080" w:themeColor="background1" w:themeShade="80"/>
          <w:sz w:val="22"/>
          <w:szCs w:val="22"/>
          <w:lang w:val="en-GB"/>
        </w:rPr>
        <w:t>the power to compile a register of creditor claims and to seek to satisfy those claims;</w:t>
      </w:r>
      <w:r w:rsidR="006C73F0" w:rsidRPr="006C73F0">
        <w:rPr>
          <w:rFonts w:ascii="Arial" w:hAnsi="Arial" w:cs="Arial"/>
          <w:color w:val="808080" w:themeColor="background1" w:themeShade="80"/>
          <w:sz w:val="22"/>
          <w:szCs w:val="22"/>
          <w:lang w:val="en-GB"/>
        </w:rPr>
        <w:t xml:space="preserve"> </w:t>
      </w:r>
      <w:r w:rsidR="006C73F0" w:rsidRPr="006C73F0">
        <w:rPr>
          <w:rFonts w:ascii="Arial" w:hAnsi="Arial" w:cs="Arial"/>
          <w:color w:val="808080" w:themeColor="background1" w:themeShade="80"/>
          <w:sz w:val="22"/>
          <w:szCs w:val="22"/>
          <w:lang w:val="en-GB"/>
        </w:rPr>
        <w:t>the power to take steps to find, identify and recover property belonging to the bank</w:t>
      </w:r>
      <w:r w:rsidR="006C73F0" w:rsidRPr="006C73F0">
        <w:rPr>
          <w:rFonts w:ascii="Arial" w:hAnsi="Arial" w:cs="Arial"/>
          <w:color w:val="808080" w:themeColor="background1" w:themeShade="80"/>
          <w:sz w:val="22"/>
          <w:szCs w:val="22"/>
          <w:lang w:val="en-GB"/>
        </w:rPr>
        <w:t xml:space="preserve"> etc. </w:t>
      </w:r>
      <w:r w:rsidR="006C73F0" w:rsidRPr="006C73F0">
        <w:rPr>
          <w:rFonts w:ascii="Arial" w:hAnsi="Arial" w:cs="Arial"/>
          <w:b/>
          <w:bCs/>
          <w:i/>
          <w:iCs/>
          <w:color w:val="808080" w:themeColor="background1" w:themeShade="80"/>
          <w:sz w:val="22"/>
          <w:szCs w:val="22"/>
          <w:lang w:val="en-GB"/>
        </w:rPr>
        <w:t xml:space="preserve">As the </w:t>
      </w:r>
      <w:r w:rsidR="006C73F0" w:rsidRPr="006C73F0">
        <w:rPr>
          <w:rFonts w:ascii="Arial" w:hAnsi="Arial" w:cs="Arial"/>
          <w:b/>
          <w:bCs/>
          <w:i/>
          <w:iCs/>
          <w:color w:val="808080" w:themeColor="background1" w:themeShade="80"/>
          <w:sz w:val="22"/>
          <w:szCs w:val="22"/>
          <w:lang w:val="en-GB"/>
        </w:rPr>
        <w:t>assets and</w:t>
      </w:r>
      <w:r w:rsidR="006C73F0" w:rsidRPr="006C73F0">
        <w:rPr>
          <w:rFonts w:ascii="Arial" w:hAnsi="Arial" w:cs="Arial"/>
          <w:b/>
          <w:bCs/>
          <w:i/>
          <w:iCs/>
          <w:color w:val="808080" w:themeColor="background1" w:themeShade="80"/>
          <w:sz w:val="22"/>
          <w:szCs w:val="22"/>
          <w:lang w:val="en-GB"/>
        </w:rPr>
        <w:t xml:space="preserve"> the </w:t>
      </w:r>
      <w:r w:rsidR="006C73F0" w:rsidRPr="006C73F0">
        <w:rPr>
          <w:rFonts w:ascii="Arial" w:hAnsi="Arial" w:cs="Arial"/>
          <w:b/>
          <w:bCs/>
          <w:i/>
          <w:iCs/>
          <w:color w:val="808080" w:themeColor="background1" w:themeShade="80"/>
          <w:sz w:val="22"/>
          <w:szCs w:val="22"/>
          <w:lang w:val="en-GB"/>
        </w:rPr>
        <w:t xml:space="preserve">affairs of the </w:t>
      </w:r>
      <w:r w:rsidR="006C73F0" w:rsidRPr="006C73F0">
        <w:rPr>
          <w:rFonts w:ascii="Arial" w:hAnsi="Arial" w:cs="Arial"/>
          <w:b/>
          <w:bCs/>
          <w:i/>
          <w:iCs/>
          <w:color w:val="808080" w:themeColor="background1" w:themeShade="80"/>
          <w:sz w:val="22"/>
          <w:szCs w:val="22"/>
          <w:lang w:val="en-GB"/>
        </w:rPr>
        <w:t>Bank are</w:t>
      </w:r>
      <w:r w:rsidR="006C73F0" w:rsidRPr="006C73F0">
        <w:rPr>
          <w:rFonts w:ascii="Arial" w:hAnsi="Arial" w:cs="Arial"/>
          <w:b/>
          <w:bCs/>
          <w:i/>
          <w:iCs/>
          <w:color w:val="808080" w:themeColor="background1" w:themeShade="80"/>
          <w:sz w:val="22"/>
          <w:szCs w:val="22"/>
          <w:lang w:val="en-GB"/>
        </w:rPr>
        <w:t xml:space="preserve"> subject to </w:t>
      </w:r>
      <w:r w:rsidR="006C73F0" w:rsidRPr="006C73F0">
        <w:rPr>
          <w:rFonts w:ascii="Arial" w:hAnsi="Arial" w:cs="Arial"/>
          <w:b/>
          <w:bCs/>
          <w:i/>
          <w:iCs/>
          <w:color w:val="808080" w:themeColor="background1" w:themeShade="80"/>
          <w:sz w:val="22"/>
          <w:szCs w:val="22"/>
          <w:lang w:val="en-GB"/>
        </w:rPr>
        <w:t xml:space="preserve">the DGF’s control </w:t>
      </w:r>
      <w:proofErr w:type="spellStart"/>
      <w:r w:rsidR="006C73F0" w:rsidRPr="006C73F0">
        <w:rPr>
          <w:rFonts w:ascii="Arial" w:hAnsi="Arial" w:cs="Arial"/>
          <w:b/>
          <w:bCs/>
          <w:i/>
          <w:iCs/>
          <w:color w:val="808080" w:themeColor="background1" w:themeShade="80"/>
          <w:sz w:val="22"/>
          <w:szCs w:val="22"/>
          <w:lang w:val="en-GB"/>
        </w:rPr>
        <w:t>contr</w:t>
      </w:r>
      <w:r w:rsidR="006C73F0" w:rsidRPr="006C73F0">
        <w:rPr>
          <w:rFonts w:ascii="Arial" w:hAnsi="Arial" w:cs="Arial"/>
          <w:b/>
          <w:bCs/>
          <w:i/>
          <w:iCs/>
          <w:color w:val="808080" w:themeColor="background1" w:themeShade="80"/>
          <w:sz w:val="22"/>
          <w:szCs w:val="22"/>
          <w:lang w:val="en-GB"/>
        </w:rPr>
        <w:t>ol</w:t>
      </w:r>
      <w:proofErr w:type="spellEnd"/>
      <w:r w:rsidR="006C73F0" w:rsidRPr="006C73F0">
        <w:rPr>
          <w:rFonts w:ascii="Arial" w:hAnsi="Arial" w:cs="Arial"/>
          <w:b/>
          <w:bCs/>
          <w:i/>
          <w:iCs/>
          <w:color w:val="808080" w:themeColor="background1" w:themeShade="80"/>
          <w:sz w:val="22"/>
          <w:szCs w:val="22"/>
          <w:lang w:val="en-GB"/>
        </w:rPr>
        <w:t xml:space="preserve">, the liquidation proceedings should qualify as </w:t>
      </w:r>
      <w:r w:rsidR="006C73F0" w:rsidRPr="006C73F0">
        <w:rPr>
          <w:rFonts w:ascii="Arial" w:hAnsi="Arial" w:cs="Arial"/>
          <w:b/>
          <w:bCs/>
          <w:i/>
          <w:iCs/>
          <w:color w:val="808080" w:themeColor="background1" w:themeShade="80"/>
          <w:sz w:val="22"/>
          <w:szCs w:val="22"/>
          <w:lang w:val="en-GB"/>
        </w:rPr>
        <w:t>proceeding in which the assets and affairs of the debtor are subject to control or supervision of a foreign court</w:t>
      </w:r>
      <w:r w:rsidR="006C73F0" w:rsidRPr="006C73F0">
        <w:rPr>
          <w:rFonts w:ascii="Arial" w:hAnsi="Arial" w:cs="Arial"/>
          <w:b/>
          <w:bCs/>
          <w:i/>
          <w:iCs/>
          <w:color w:val="808080" w:themeColor="background1" w:themeShade="80"/>
          <w:sz w:val="22"/>
          <w:szCs w:val="22"/>
          <w:lang w:val="en-GB"/>
        </w:rPr>
        <w:t>, including an administrator</w:t>
      </w:r>
      <w:r w:rsidR="006C73F0">
        <w:rPr>
          <w:rFonts w:ascii="Arial" w:hAnsi="Arial" w:cs="Arial"/>
          <w:color w:val="808080" w:themeColor="background1" w:themeShade="80"/>
          <w:sz w:val="22"/>
          <w:szCs w:val="22"/>
          <w:lang w:val="en-GB"/>
        </w:rPr>
        <w:t xml:space="preserve">. </w:t>
      </w:r>
    </w:p>
    <w:p w14:paraId="11948E0F" w14:textId="18D6618E" w:rsidR="006C73F0" w:rsidRDefault="0006785C">
      <w:pPr>
        <w:pStyle w:val="ListParagraph"/>
        <w:numPr>
          <w:ilvl w:val="0"/>
          <w:numId w:val="15"/>
        </w:numPr>
        <w:autoSpaceDE w:val="0"/>
        <w:autoSpaceDN w:val="0"/>
        <w:adjustRightInd w:val="0"/>
        <w:rPr>
          <w:rFonts w:ascii="Arial" w:hAnsi="Arial" w:cs="Arial"/>
          <w:b/>
          <w:bCs/>
          <w:i/>
          <w:iCs/>
          <w:color w:val="808080" w:themeColor="background1" w:themeShade="80"/>
          <w:sz w:val="22"/>
          <w:szCs w:val="22"/>
          <w:lang w:val="en-GB"/>
        </w:rPr>
      </w:pPr>
      <w:r w:rsidRPr="0006785C">
        <w:rPr>
          <w:rFonts w:ascii="Arial" w:hAnsi="Arial" w:cs="Arial"/>
          <w:b/>
          <w:bCs/>
          <w:i/>
          <w:iCs/>
          <w:color w:val="808080" w:themeColor="background1" w:themeShade="80"/>
          <w:sz w:val="22"/>
          <w:szCs w:val="22"/>
          <w:lang w:val="en-GB"/>
        </w:rPr>
        <w:t xml:space="preserve">The liquidation proceedings purpose is the liquidation of the Bank. </w:t>
      </w:r>
    </w:p>
    <w:p w14:paraId="736945B2" w14:textId="77777777" w:rsidR="0067523E" w:rsidRPr="0067523E" w:rsidRDefault="0067523E" w:rsidP="0067523E">
      <w:pPr>
        <w:autoSpaceDE w:val="0"/>
        <w:autoSpaceDN w:val="0"/>
        <w:adjustRightInd w:val="0"/>
        <w:rPr>
          <w:rFonts w:ascii="Arial" w:hAnsi="Arial" w:cs="Arial"/>
          <w:b/>
          <w:bCs/>
          <w:i/>
          <w:iCs/>
          <w:color w:val="808080" w:themeColor="background1" w:themeShade="80"/>
          <w:sz w:val="22"/>
          <w:szCs w:val="22"/>
          <w:lang w:val="en-GB"/>
        </w:rPr>
      </w:pPr>
    </w:p>
    <w:p w14:paraId="09A6B242" w14:textId="5B11536F" w:rsidR="0006785C" w:rsidRDefault="0006785C" w:rsidP="0006785C">
      <w:pPr>
        <w:pStyle w:val="ListParagraph"/>
        <w:autoSpaceDE w:val="0"/>
        <w:autoSpaceDN w:val="0"/>
        <w:adjustRightInd w:val="0"/>
        <w:rPr>
          <w:rFonts w:ascii="Arial" w:hAnsi="Arial" w:cs="Arial"/>
          <w:b/>
          <w:bCs/>
          <w:i/>
          <w:iCs/>
          <w:color w:val="808080" w:themeColor="background1" w:themeShade="80"/>
          <w:sz w:val="22"/>
          <w:szCs w:val="22"/>
          <w:lang w:val="en-GB"/>
        </w:rPr>
      </w:pPr>
    </w:p>
    <w:p w14:paraId="04881EEE" w14:textId="75173686" w:rsidR="0067523E" w:rsidRPr="0067523E" w:rsidRDefault="0067523E" w:rsidP="0006785C">
      <w:pPr>
        <w:autoSpaceDE w:val="0"/>
        <w:autoSpaceDN w:val="0"/>
        <w:adjustRightInd w:val="0"/>
        <w:rPr>
          <w:rFonts w:ascii="TimesLTStd-Roman" w:eastAsia="MS Mincho" w:hAnsi="TimesLTStd-Roman" w:cs="TimesLTStd-Roman"/>
          <w:szCs w:val="20"/>
        </w:rPr>
      </w:pPr>
      <w:r>
        <w:rPr>
          <w:rFonts w:ascii="Arial" w:hAnsi="Arial" w:cs="Arial"/>
          <w:color w:val="808080" w:themeColor="background1" w:themeShade="80"/>
          <w:sz w:val="22"/>
          <w:szCs w:val="22"/>
          <w:lang w:val="en-GB"/>
        </w:rPr>
        <w:t xml:space="preserve">4.1.2 Foreign representative: </w:t>
      </w:r>
      <w:r w:rsidRPr="0067523E">
        <w:rPr>
          <w:rFonts w:ascii="Arial" w:hAnsi="Arial" w:cs="Arial"/>
          <w:color w:val="808080" w:themeColor="background1" w:themeShade="80"/>
          <w:sz w:val="22"/>
          <w:szCs w:val="22"/>
          <w:lang w:val="en-GB"/>
        </w:rPr>
        <w:t>“Foreign representative” means a person</w:t>
      </w:r>
      <w:r w:rsidRPr="0067523E">
        <w:rPr>
          <w:rFonts w:ascii="Arial" w:hAnsi="Arial" w:cs="Arial"/>
          <w:color w:val="808080" w:themeColor="background1" w:themeShade="80"/>
          <w:sz w:val="22"/>
          <w:szCs w:val="22"/>
          <w:lang w:val="en-GB"/>
        </w:rPr>
        <w:t xml:space="preserve"> </w:t>
      </w:r>
      <w:r w:rsidRPr="0067523E">
        <w:rPr>
          <w:rFonts w:ascii="Arial" w:hAnsi="Arial" w:cs="Arial"/>
          <w:color w:val="808080" w:themeColor="background1" w:themeShade="80"/>
          <w:sz w:val="22"/>
          <w:szCs w:val="22"/>
          <w:lang w:val="en-GB"/>
        </w:rPr>
        <w:t>or body, including one appointed on an interim</w:t>
      </w:r>
      <w:r w:rsidRPr="0067523E">
        <w:rPr>
          <w:rFonts w:ascii="Arial" w:hAnsi="Arial" w:cs="Arial"/>
          <w:color w:val="808080" w:themeColor="background1" w:themeShade="80"/>
          <w:sz w:val="22"/>
          <w:szCs w:val="22"/>
          <w:lang w:val="en-GB"/>
        </w:rPr>
        <w:t xml:space="preserve"> </w:t>
      </w:r>
      <w:r w:rsidRPr="0067523E">
        <w:rPr>
          <w:rFonts w:ascii="Arial" w:hAnsi="Arial" w:cs="Arial"/>
          <w:color w:val="808080" w:themeColor="background1" w:themeShade="80"/>
          <w:sz w:val="22"/>
          <w:szCs w:val="22"/>
          <w:lang w:val="en-GB"/>
        </w:rPr>
        <w:t>basis, authorized in a foreign proceeding to</w:t>
      </w:r>
      <w:r w:rsidRPr="0067523E">
        <w:rPr>
          <w:rFonts w:ascii="Arial" w:hAnsi="Arial" w:cs="Arial"/>
          <w:color w:val="808080" w:themeColor="background1" w:themeShade="80"/>
          <w:sz w:val="22"/>
          <w:szCs w:val="22"/>
          <w:lang w:val="en-GB"/>
        </w:rPr>
        <w:t xml:space="preserve"> </w:t>
      </w:r>
      <w:r w:rsidRPr="0067523E">
        <w:rPr>
          <w:rFonts w:ascii="Arial" w:hAnsi="Arial" w:cs="Arial"/>
          <w:color w:val="808080" w:themeColor="background1" w:themeShade="80"/>
          <w:sz w:val="22"/>
          <w:szCs w:val="22"/>
          <w:lang w:val="en-GB"/>
        </w:rPr>
        <w:t>administer the reorganization or the liquidation</w:t>
      </w:r>
      <w:r w:rsidRPr="0067523E">
        <w:rPr>
          <w:rFonts w:ascii="Arial" w:hAnsi="Arial" w:cs="Arial"/>
          <w:color w:val="808080" w:themeColor="background1" w:themeShade="80"/>
          <w:sz w:val="22"/>
          <w:szCs w:val="22"/>
          <w:lang w:val="en-GB"/>
        </w:rPr>
        <w:t xml:space="preserve"> </w:t>
      </w:r>
      <w:r w:rsidRPr="0067523E">
        <w:rPr>
          <w:rFonts w:ascii="Arial" w:hAnsi="Arial" w:cs="Arial"/>
          <w:color w:val="808080" w:themeColor="background1" w:themeShade="80"/>
          <w:sz w:val="22"/>
          <w:szCs w:val="22"/>
          <w:lang w:val="en-GB"/>
        </w:rPr>
        <w:t>of the debtor’s assets or affairs or to act as a</w:t>
      </w:r>
      <w:r w:rsidRPr="0067523E">
        <w:rPr>
          <w:rFonts w:ascii="Arial" w:hAnsi="Arial" w:cs="Arial"/>
          <w:color w:val="808080" w:themeColor="background1" w:themeShade="80"/>
          <w:sz w:val="22"/>
          <w:szCs w:val="22"/>
          <w:lang w:val="en-GB"/>
        </w:rPr>
        <w:t xml:space="preserve"> r</w:t>
      </w:r>
      <w:r w:rsidRPr="0067523E">
        <w:rPr>
          <w:rFonts w:ascii="Arial" w:hAnsi="Arial" w:cs="Arial"/>
          <w:color w:val="808080" w:themeColor="background1" w:themeShade="80"/>
          <w:sz w:val="22"/>
          <w:szCs w:val="22"/>
          <w:lang w:val="en-GB"/>
        </w:rPr>
        <w:t>epresentative of the foreign proceeding;</w:t>
      </w:r>
    </w:p>
    <w:p w14:paraId="6D1BBB76" w14:textId="77777777" w:rsidR="0067523E" w:rsidRDefault="0067523E" w:rsidP="0006785C">
      <w:pPr>
        <w:jc w:val="center"/>
        <w:rPr>
          <w:rFonts w:ascii="Avenir Next Demi Bold" w:hAnsi="Avenir Next Demi Bold" w:cs="Arial"/>
          <w:b/>
          <w:bCs/>
          <w:sz w:val="22"/>
          <w:szCs w:val="22"/>
          <w:lang w:val="en-GB"/>
        </w:rPr>
      </w:pPr>
    </w:p>
    <w:p w14:paraId="48D5446A" w14:textId="69EC6EEA" w:rsidR="0067523E" w:rsidRPr="00567BB4" w:rsidRDefault="00567BB4">
      <w:pPr>
        <w:pStyle w:val="ListParagraph"/>
        <w:numPr>
          <w:ilvl w:val="0"/>
          <w:numId w:val="16"/>
        </w:numPr>
        <w:autoSpaceDE w:val="0"/>
        <w:autoSpaceDN w:val="0"/>
        <w:adjustRightInd w:val="0"/>
        <w:rPr>
          <w:rFonts w:ascii="Arial" w:hAnsi="Arial" w:cs="Arial"/>
          <w:b/>
          <w:bCs/>
          <w:i/>
          <w:iCs/>
          <w:color w:val="808080" w:themeColor="background1" w:themeShade="80"/>
          <w:sz w:val="22"/>
          <w:szCs w:val="22"/>
          <w:lang w:val="en-GB"/>
        </w:rPr>
      </w:pPr>
      <w:r>
        <w:rPr>
          <w:rFonts w:ascii="Arial" w:hAnsi="Arial" w:cs="Arial"/>
          <w:b/>
          <w:bCs/>
          <w:i/>
          <w:iCs/>
          <w:color w:val="808080" w:themeColor="background1" w:themeShade="80"/>
          <w:sz w:val="22"/>
          <w:szCs w:val="22"/>
          <w:lang w:val="en-GB"/>
        </w:rPr>
        <w:t>A</w:t>
      </w:r>
      <w:r w:rsidR="0067523E" w:rsidRPr="0067523E">
        <w:rPr>
          <w:rFonts w:ascii="Arial" w:hAnsi="Arial" w:cs="Arial"/>
          <w:b/>
          <w:bCs/>
          <w:i/>
          <w:iCs/>
          <w:color w:val="808080" w:themeColor="background1" w:themeShade="80"/>
          <w:sz w:val="22"/>
          <w:szCs w:val="22"/>
          <w:lang w:val="en-GB"/>
        </w:rPr>
        <w:t>uthorized</w:t>
      </w:r>
      <w:r w:rsidR="0067523E">
        <w:rPr>
          <w:rFonts w:ascii="Arial" w:hAnsi="Arial" w:cs="Arial"/>
          <w:b/>
          <w:bCs/>
          <w:i/>
          <w:iCs/>
          <w:color w:val="808080" w:themeColor="background1" w:themeShade="80"/>
          <w:sz w:val="22"/>
          <w:szCs w:val="22"/>
          <w:lang w:val="en-GB"/>
        </w:rPr>
        <w:t xml:space="preserve"> to administer: </w:t>
      </w:r>
      <w:r w:rsidR="0067523E" w:rsidRPr="0067523E">
        <w:rPr>
          <w:rFonts w:ascii="Arial" w:hAnsi="Arial" w:cs="Arial"/>
          <w:color w:val="808080" w:themeColor="background1" w:themeShade="80"/>
          <w:sz w:val="22"/>
          <w:szCs w:val="22"/>
          <w:lang w:val="en-GB"/>
        </w:rPr>
        <w:t xml:space="preserve">Article 37 </w:t>
      </w:r>
      <w:r w:rsidR="0067523E" w:rsidRPr="0067523E">
        <w:rPr>
          <w:rFonts w:ascii="Arial" w:hAnsi="Arial" w:cs="Arial"/>
          <w:color w:val="808080" w:themeColor="background1" w:themeShade="80"/>
          <w:sz w:val="22"/>
          <w:szCs w:val="22"/>
          <w:lang w:val="en-GB"/>
        </w:rPr>
        <w:t xml:space="preserve">of the LBBA </w:t>
      </w:r>
      <w:r w:rsidR="0067523E" w:rsidRPr="0067523E">
        <w:rPr>
          <w:rFonts w:ascii="Arial" w:hAnsi="Arial" w:cs="Arial"/>
          <w:color w:val="808080" w:themeColor="background1" w:themeShade="80"/>
          <w:sz w:val="22"/>
          <w:szCs w:val="22"/>
          <w:lang w:val="en-GB"/>
        </w:rPr>
        <w:t>establishes that the DGF (or its authorised person, insofar as such powers are delegated)</w:t>
      </w:r>
      <w:r w:rsidR="0067523E" w:rsidRPr="0067523E">
        <w:rPr>
          <w:rFonts w:ascii="Arial" w:hAnsi="Arial" w:cs="Arial"/>
          <w:color w:val="808080" w:themeColor="background1" w:themeShade="80"/>
          <w:sz w:val="22"/>
          <w:szCs w:val="22"/>
          <w:lang w:val="en-GB"/>
        </w:rPr>
        <w:t>, who becomes pursuant to the LBBA automatically the administrator upon commencement of liquidation,</w:t>
      </w:r>
      <w:r w:rsidR="0067523E" w:rsidRPr="0067523E">
        <w:rPr>
          <w:rFonts w:ascii="Arial" w:hAnsi="Arial" w:cs="Arial"/>
          <w:color w:val="808080" w:themeColor="background1" w:themeShade="80"/>
          <w:sz w:val="22"/>
          <w:szCs w:val="22"/>
          <w:lang w:val="en-GB"/>
        </w:rPr>
        <w:t xml:space="preserve"> has extensive powers, including powers to exercise managerial and supervisory powers, to enter into contracts, to restrict or terminate the bank’s transactions, and to file property and non-property claims with a court</w:t>
      </w:r>
      <w:r w:rsidR="0067523E" w:rsidRPr="0067523E">
        <w:rPr>
          <w:rFonts w:ascii="Arial" w:hAnsi="Arial" w:cs="Arial"/>
          <w:color w:val="808080" w:themeColor="background1" w:themeShade="80"/>
          <w:sz w:val="22"/>
          <w:szCs w:val="22"/>
          <w:lang w:val="en-GB"/>
        </w:rPr>
        <w:t>. The DGF therefore has the power to administrate the estate of the Bank.</w:t>
      </w:r>
      <w:r w:rsidR="0067523E" w:rsidRPr="00567BB4">
        <w:rPr>
          <w:rFonts w:ascii="Arial" w:hAnsi="Arial" w:cs="Arial"/>
          <w:color w:val="808080" w:themeColor="background1" w:themeShade="80"/>
          <w:sz w:val="22"/>
          <w:szCs w:val="22"/>
          <w:lang w:val="en-GB"/>
        </w:rPr>
        <w:t xml:space="preserve"> </w:t>
      </w:r>
      <w:r w:rsidRPr="00567BB4">
        <w:rPr>
          <w:rFonts w:ascii="Arial" w:hAnsi="Arial" w:cs="Arial"/>
          <w:b/>
          <w:bCs/>
          <w:i/>
          <w:iCs/>
          <w:color w:val="808080" w:themeColor="background1" w:themeShade="80"/>
          <w:sz w:val="22"/>
          <w:szCs w:val="22"/>
          <w:lang w:val="en-GB"/>
        </w:rPr>
        <w:t>The Applicants are authorised to represent the Bank.</w:t>
      </w:r>
    </w:p>
    <w:p w14:paraId="05CE31A3" w14:textId="3A60851E" w:rsidR="00567BB4" w:rsidRPr="00567BB4" w:rsidRDefault="00567BB4">
      <w:pPr>
        <w:pStyle w:val="ListParagraph"/>
        <w:numPr>
          <w:ilvl w:val="0"/>
          <w:numId w:val="16"/>
        </w:numPr>
        <w:autoSpaceDE w:val="0"/>
        <w:autoSpaceDN w:val="0"/>
        <w:adjustRightInd w:val="0"/>
        <w:rPr>
          <w:rFonts w:ascii="Arial" w:hAnsi="Arial" w:cs="Arial"/>
          <w:b/>
          <w:bCs/>
          <w:i/>
          <w:iCs/>
          <w:color w:val="808080" w:themeColor="background1" w:themeShade="80"/>
          <w:sz w:val="22"/>
          <w:szCs w:val="22"/>
          <w:lang w:val="en-GB"/>
        </w:rPr>
      </w:pPr>
      <w:r>
        <w:rPr>
          <w:rFonts w:ascii="Arial" w:hAnsi="Arial" w:cs="Arial"/>
          <w:b/>
          <w:bCs/>
          <w:i/>
          <w:iCs/>
          <w:color w:val="808080" w:themeColor="background1" w:themeShade="80"/>
          <w:sz w:val="22"/>
          <w:szCs w:val="22"/>
          <w:lang w:val="en-GB"/>
        </w:rPr>
        <w:t xml:space="preserve">Person: </w:t>
      </w:r>
      <w:r>
        <w:rPr>
          <w:rFonts w:ascii="Arial" w:hAnsi="Arial" w:cs="Arial"/>
          <w:color w:val="808080" w:themeColor="background1" w:themeShade="80"/>
          <w:sz w:val="22"/>
          <w:szCs w:val="22"/>
          <w:lang w:val="en-GB"/>
        </w:rPr>
        <w:t xml:space="preserve">The MLCBI does not define “person” or “body”. According to case law, body has been interpreted as an artificial person created by a legal authority. The DGF can be understood as such “artificial Body” created by legal authority. </w:t>
      </w:r>
      <w:r w:rsidRPr="00567BB4">
        <w:rPr>
          <w:rFonts w:ascii="Arial" w:hAnsi="Arial" w:cs="Arial"/>
          <w:b/>
          <w:bCs/>
          <w:i/>
          <w:iCs/>
          <w:color w:val="808080" w:themeColor="background1" w:themeShade="80"/>
          <w:sz w:val="22"/>
          <w:szCs w:val="22"/>
          <w:lang w:val="en-GB"/>
        </w:rPr>
        <w:t>Therefore, both Ms G as natural person and the DGF meet the requirements.</w:t>
      </w:r>
    </w:p>
    <w:p w14:paraId="394A645E" w14:textId="77777777" w:rsidR="0067523E" w:rsidRDefault="0067523E" w:rsidP="0006785C">
      <w:pPr>
        <w:jc w:val="center"/>
        <w:rPr>
          <w:rFonts w:ascii="Avenir Next Demi Bold" w:hAnsi="Avenir Next Demi Bold" w:cs="Arial"/>
          <w:b/>
          <w:bCs/>
          <w:sz w:val="22"/>
          <w:szCs w:val="22"/>
          <w:lang w:val="en-GB"/>
        </w:rPr>
      </w:pPr>
    </w:p>
    <w:p w14:paraId="757300EF" w14:textId="77777777" w:rsidR="0067523E" w:rsidRDefault="0067523E" w:rsidP="0006785C">
      <w:pPr>
        <w:jc w:val="center"/>
        <w:rPr>
          <w:rFonts w:ascii="Avenir Next Demi Bold" w:hAnsi="Avenir Next Demi Bold" w:cs="Arial"/>
          <w:b/>
          <w:bCs/>
          <w:sz w:val="22"/>
          <w:szCs w:val="22"/>
          <w:lang w:val="en-GB"/>
        </w:rPr>
      </w:pPr>
    </w:p>
    <w:p w14:paraId="722C1D98" w14:textId="75F93BAB" w:rsidR="009B0723" w:rsidRPr="0006785C" w:rsidRDefault="00C606C3" w:rsidP="0006785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2A3E344F" w14:textId="77777777" w:rsidR="009B5832" w:rsidRPr="00E2622D" w:rsidRDefault="009B5832" w:rsidP="0067523E">
      <w:pPr>
        <w:pStyle w:val="ListParagraph"/>
        <w:autoSpaceDE w:val="0"/>
        <w:autoSpaceDN w:val="0"/>
        <w:adjustRightInd w:val="0"/>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2C30" w14:textId="77777777" w:rsidR="00E46E40" w:rsidRDefault="00E46E40" w:rsidP="00241B44">
      <w:r>
        <w:separator/>
      </w:r>
    </w:p>
  </w:endnote>
  <w:endnote w:type="continuationSeparator" w:id="0">
    <w:p w14:paraId="2B3EB5C0" w14:textId="77777777" w:rsidR="00E46E40" w:rsidRDefault="00E46E4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A177" w14:textId="233220E9" w:rsidR="00B46CE2" w:rsidRPr="000300E0" w:rsidRDefault="00E43BD8" w:rsidP="00B46CE2">
    <w:pPr>
      <w:pStyle w:val="Footer"/>
      <w:framePr w:w="1071" w:h="331" w:hRule="exact" w:wrap="none" w:vAnchor="text" w:hAnchor="page" w:x="9641" w:y="-303"/>
      <w:rPr>
        <w:rStyle w:val="PageNumber"/>
        <w:rFonts w:ascii="Avenir Next" w:hAnsi="Avenir Next"/>
        <w:sz w:val="22"/>
        <w:szCs w:val="22"/>
      </w:rPr>
    </w:pPr>
    <w:r w:rsidRPr="00E43BD8">
      <w:rPr>
        <w:rFonts w:ascii="Avenir Next" w:hAnsi="Avenir Next"/>
        <w:sz w:val="22"/>
        <w:szCs w:val="22"/>
      </w:rPr>
      <w:t>202223-976.assessment6B</w:t>
    </w:r>
    <w:sdt>
      <w:sdtPr>
        <w:rPr>
          <w:rStyle w:val="PageNumber"/>
          <w:rFonts w:ascii="Avenir Next" w:hAnsi="Avenir Next"/>
          <w:sz w:val="22"/>
          <w:szCs w:val="22"/>
        </w:rPr>
        <w:id w:val="-1213347160"/>
        <w:docPartObj>
          <w:docPartGallery w:val="Page Numbers (Bottom of Page)"/>
          <w:docPartUnique/>
        </w:docPartObj>
      </w:sdtPr>
      <w:sdtContent>
        <w:r w:rsidR="00B46CE2" w:rsidRPr="000300E0">
          <w:rPr>
            <w:rStyle w:val="PageNumber"/>
            <w:rFonts w:ascii="Avenir Next" w:hAnsi="Avenir Next"/>
            <w:sz w:val="22"/>
            <w:szCs w:val="22"/>
          </w:rPr>
          <w:t xml:space="preserve">Page </w:t>
        </w:r>
        <w:r w:rsidR="00B46CE2" w:rsidRPr="000300E0">
          <w:rPr>
            <w:rStyle w:val="PageNumber"/>
            <w:rFonts w:ascii="Avenir Next" w:hAnsi="Avenir Next"/>
            <w:sz w:val="22"/>
            <w:szCs w:val="22"/>
          </w:rPr>
          <w:fldChar w:fldCharType="begin"/>
        </w:r>
        <w:r w:rsidR="00B46CE2" w:rsidRPr="000300E0">
          <w:rPr>
            <w:rStyle w:val="PageNumber"/>
            <w:rFonts w:ascii="Avenir Next" w:hAnsi="Avenir Next"/>
            <w:sz w:val="22"/>
            <w:szCs w:val="22"/>
          </w:rPr>
          <w:instrText xml:space="preserve"> PAGE </w:instrText>
        </w:r>
        <w:r w:rsidR="00B46CE2" w:rsidRPr="000300E0">
          <w:rPr>
            <w:rStyle w:val="PageNumber"/>
            <w:rFonts w:ascii="Avenir Next" w:hAnsi="Avenir Next"/>
            <w:sz w:val="22"/>
            <w:szCs w:val="22"/>
          </w:rPr>
          <w:fldChar w:fldCharType="separate"/>
        </w:r>
        <w:r w:rsidR="00B46CE2" w:rsidRPr="000300E0">
          <w:rPr>
            <w:rStyle w:val="PageNumber"/>
            <w:rFonts w:ascii="Avenir Next" w:hAnsi="Avenir Next"/>
            <w:noProof/>
            <w:sz w:val="22"/>
            <w:szCs w:val="22"/>
          </w:rPr>
          <w:t>2</w:t>
        </w:r>
        <w:r w:rsidR="00B46CE2" w:rsidRPr="000300E0">
          <w:rPr>
            <w:rStyle w:val="PageNumber"/>
            <w:rFonts w:ascii="Avenir Next" w:hAnsi="Avenir Next"/>
            <w:sz w:val="22"/>
            <w:szCs w:val="22"/>
          </w:rPr>
          <w:fldChar w:fldCharType="end"/>
        </w:r>
      </w:sdtContent>
    </w:sdt>
  </w:p>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48A71F17" w:rsidR="00B46CE2" w:rsidRDefault="00E43BD8" w:rsidP="00E43BD8">
    <w:r w:rsidRPr="00E43BD8">
      <w:t>202223-976.assessment</w:t>
    </w:r>
    <w:r>
      <w:t>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F96D" w14:textId="77777777" w:rsidR="00E46E40" w:rsidRDefault="00E46E40" w:rsidP="00241B44">
      <w:r>
        <w:separator/>
      </w:r>
    </w:p>
  </w:footnote>
  <w:footnote w:type="continuationSeparator" w:id="0">
    <w:p w14:paraId="52BA091D" w14:textId="77777777" w:rsidR="00E46E40" w:rsidRDefault="00E46E4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B8F" w14:textId="77777777" w:rsidR="00E43BD8" w:rsidRDefault="00E43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E0F9" w14:textId="77777777" w:rsidR="00E43BD8" w:rsidRDefault="00E43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361E" w14:textId="77777777" w:rsidR="00E43BD8" w:rsidRDefault="00E4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9024B84"/>
    <w:multiLevelType w:val="hybridMultilevel"/>
    <w:tmpl w:val="04A447B4"/>
    <w:lvl w:ilvl="0" w:tplc="5916FFF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C63E8"/>
    <w:multiLevelType w:val="hybridMultilevel"/>
    <w:tmpl w:val="04A447B4"/>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37671891">
    <w:abstractNumId w:val="12"/>
  </w:num>
  <w:num w:numId="2" w16cid:durableId="1025862281">
    <w:abstractNumId w:val="11"/>
  </w:num>
  <w:num w:numId="3" w16cid:durableId="992101378">
    <w:abstractNumId w:val="5"/>
  </w:num>
  <w:num w:numId="4" w16cid:durableId="1368526962">
    <w:abstractNumId w:val="2"/>
  </w:num>
  <w:num w:numId="5" w16cid:durableId="1791243652">
    <w:abstractNumId w:val="15"/>
  </w:num>
  <w:num w:numId="6" w16cid:durableId="2138138876">
    <w:abstractNumId w:val="14"/>
  </w:num>
  <w:num w:numId="7" w16cid:durableId="956257963">
    <w:abstractNumId w:val="13"/>
  </w:num>
  <w:num w:numId="8" w16cid:durableId="2050571744">
    <w:abstractNumId w:val="3"/>
  </w:num>
  <w:num w:numId="9" w16cid:durableId="129714976">
    <w:abstractNumId w:val="4"/>
  </w:num>
  <w:num w:numId="10" w16cid:durableId="2048602849">
    <w:abstractNumId w:val="10"/>
  </w:num>
  <w:num w:numId="11" w16cid:durableId="1696885534">
    <w:abstractNumId w:val="0"/>
  </w:num>
  <w:num w:numId="12" w16cid:durableId="97215357">
    <w:abstractNumId w:val="6"/>
  </w:num>
  <w:num w:numId="13" w16cid:durableId="930547894">
    <w:abstractNumId w:val="7"/>
  </w:num>
  <w:num w:numId="14" w16cid:durableId="173039924">
    <w:abstractNumId w:val="1"/>
  </w:num>
  <w:num w:numId="15" w16cid:durableId="334459881">
    <w:abstractNumId w:val="8"/>
  </w:num>
  <w:num w:numId="16" w16cid:durableId="5833003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85C"/>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3816"/>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6B9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24A1"/>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A4735"/>
    <w:rsid w:val="002B1C45"/>
    <w:rsid w:val="002C13C8"/>
    <w:rsid w:val="002C3547"/>
    <w:rsid w:val="002D0021"/>
    <w:rsid w:val="002D3473"/>
    <w:rsid w:val="002D5C95"/>
    <w:rsid w:val="002D6A30"/>
    <w:rsid w:val="002E00F8"/>
    <w:rsid w:val="002E1BB5"/>
    <w:rsid w:val="002E2322"/>
    <w:rsid w:val="002E38E2"/>
    <w:rsid w:val="002E48E5"/>
    <w:rsid w:val="002F1956"/>
    <w:rsid w:val="002F3440"/>
    <w:rsid w:val="002F4EC0"/>
    <w:rsid w:val="002F71BE"/>
    <w:rsid w:val="002F75A3"/>
    <w:rsid w:val="002F78CA"/>
    <w:rsid w:val="00300589"/>
    <w:rsid w:val="00303C2F"/>
    <w:rsid w:val="00311871"/>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A6F6F"/>
    <w:rsid w:val="003B1310"/>
    <w:rsid w:val="003B170F"/>
    <w:rsid w:val="003B3C5F"/>
    <w:rsid w:val="003C089D"/>
    <w:rsid w:val="003C4471"/>
    <w:rsid w:val="003C66B1"/>
    <w:rsid w:val="003D0A6D"/>
    <w:rsid w:val="003D13E2"/>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7782"/>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09D9"/>
    <w:rsid w:val="00553EB2"/>
    <w:rsid w:val="00556777"/>
    <w:rsid w:val="0055688E"/>
    <w:rsid w:val="00560534"/>
    <w:rsid w:val="0056391B"/>
    <w:rsid w:val="005650E2"/>
    <w:rsid w:val="00565292"/>
    <w:rsid w:val="0056535A"/>
    <w:rsid w:val="00565DEE"/>
    <w:rsid w:val="00567AD7"/>
    <w:rsid w:val="00567BB4"/>
    <w:rsid w:val="00567F31"/>
    <w:rsid w:val="00573E73"/>
    <w:rsid w:val="00575B2D"/>
    <w:rsid w:val="005833D0"/>
    <w:rsid w:val="005846F3"/>
    <w:rsid w:val="0058622F"/>
    <w:rsid w:val="00587461"/>
    <w:rsid w:val="00590023"/>
    <w:rsid w:val="00592F82"/>
    <w:rsid w:val="00595450"/>
    <w:rsid w:val="005A0CCA"/>
    <w:rsid w:val="005A726D"/>
    <w:rsid w:val="005B3630"/>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374BA"/>
    <w:rsid w:val="00641002"/>
    <w:rsid w:val="00641515"/>
    <w:rsid w:val="00651AE3"/>
    <w:rsid w:val="00654C2F"/>
    <w:rsid w:val="00654CA2"/>
    <w:rsid w:val="00657087"/>
    <w:rsid w:val="006624AF"/>
    <w:rsid w:val="0066252C"/>
    <w:rsid w:val="006661EF"/>
    <w:rsid w:val="00666496"/>
    <w:rsid w:val="0067294B"/>
    <w:rsid w:val="0067523E"/>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73F0"/>
    <w:rsid w:val="006D0E6E"/>
    <w:rsid w:val="006D6BD5"/>
    <w:rsid w:val="006E481A"/>
    <w:rsid w:val="006E5298"/>
    <w:rsid w:val="006F2CE3"/>
    <w:rsid w:val="006F734A"/>
    <w:rsid w:val="00700D83"/>
    <w:rsid w:val="00703819"/>
    <w:rsid w:val="00704852"/>
    <w:rsid w:val="007060CD"/>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4ADF"/>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1064"/>
    <w:rsid w:val="00AA3A42"/>
    <w:rsid w:val="00AA5311"/>
    <w:rsid w:val="00AA7BAA"/>
    <w:rsid w:val="00AB685C"/>
    <w:rsid w:val="00AB6C2D"/>
    <w:rsid w:val="00AC08F7"/>
    <w:rsid w:val="00AC3839"/>
    <w:rsid w:val="00AC7082"/>
    <w:rsid w:val="00AD2763"/>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5239E"/>
    <w:rsid w:val="00B60190"/>
    <w:rsid w:val="00B61419"/>
    <w:rsid w:val="00B666F6"/>
    <w:rsid w:val="00B72F5F"/>
    <w:rsid w:val="00B736DF"/>
    <w:rsid w:val="00B74FBD"/>
    <w:rsid w:val="00B77352"/>
    <w:rsid w:val="00B82586"/>
    <w:rsid w:val="00B829A3"/>
    <w:rsid w:val="00B86DB1"/>
    <w:rsid w:val="00B87869"/>
    <w:rsid w:val="00BA0E44"/>
    <w:rsid w:val="00BA47C5"/>
    <w:rsid w:val="00BB0F2B"/>
    <w:rsid w:val="00BD0D57"/>
    <w:rsid w:val="00BE1A50"/>
    <w:rsid w:val="00BF3F0C"/>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45A"/>
    <w:rsid w:val="00C606C3"/>
    <w:rsid w:val="00C620F4"/>
    <w:rsid w:val="00C668B6"/>
    <w:rsid w:val="00C67ECE"/>
    <w:rsid w:val="00C7161B"/>
    <w:rsid w:val="00C72848"/>
    <w:rsid w:val="00C7736C"/>
    <w:rsid w:val="00C77893"/>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07F23"/>
    <w:rsid w:val="00D148DC"/>
    <w:rsid w:val="00D17FDC"/>
    <w:rsid w:val="00D3731B"/>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23CE"/>
    <w:rsid w:val="00E04A7C"/>
    <w:rsid w:val="00E059FB"/>
    <w:rsid w:val="00E069C4"/>
    <w:rsid w:val="00E07275"/>
    <w:rsid w:val="00E07866"/>
    <w:rsid w:val="00E07C5A"/>
    <w:rsid w:val="00E15BA9"/>
    <w:rsid w:val="00E25631"/>
    <w:rsid w:val="00E25B22"/>
    <w:rsid w:val="00E2622D"/>
    <w:rsid w:val="00E26E19"/>
    <w:rsid w:val="00E27E3C"/>
    <w:rsid w:val="00E31661"/>
    <w:rsid w:val="00E31DF3"/>
    <w:rsid w:val="00E32814"/>
    <w:rsid w:val="00E33448"/>
    <w:rsid w:val="00E33486"/>
    <w:rsid w:val="00E34181"/>
    <w:rsid w:val="00E43BD8"/>
    <w:rsid w:val="00E450A4"/>
    <w:rsid w:val="00E46E40"/>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2563"/>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21"/>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5711"/>
    <w:rsid w:val="00FF296F"/>
    <w:rsid w:val="00FF5E23"/>
    <w:rsid w:val="00FF7578"/>
    <w:rsid w:val="00FF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4894</Words>
  <Characters>34654</Characters>
  <Application>Microsoft Office Word</Application>
  <DocSecurity>0</DocSecurity>
  <Lines>666</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Freshfields Bruckhaus Deringer</cp:lastModifiedBy>
  <cp:revision>2</cp:revision>
  <cp:lastPrinted>2019-08-27T05:42:00Z</cp:lastPrinted>
  <dcterms:created xsi:type="dcterms:W3CDTF">2023-07-30T16:02:00Z</dcterms:created>
  <dcterms:modified xsi:type="dcterms:W3CDTF">2023-07-30T16:02:00Z</dcterms:modified>
</cp:coreProperties>
</file>