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lastRenderedPageBreak/>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which all jurisdictions have to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617C4A" w:rsidRDefault="002460B1" w:rsidP="00841D99">
      <w:pPr>
        <w:pStyle w:val="ListParagraph"/>
        <w:numPr>
          <w:ilvl w:val="0"/>
          <w:numId w:val="10"/>
        </w:numPr>
        <w:ind w:left="426"/>
        <w:jc w:val="both"/>
        <w:rPr>
          <w:rFonts w:ascii="Avenir Next" w:hAnsi="Avenir Next" w:cs="Arial"/>
          <w:sz w:val="22"/>
          <w:szCs w:val="22"/>
          <w:highlight w:val="yellow"/>
        </w:rPr>
      </w:pPr>
      <w:r w:rsidRPr="00617C4A">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with regard to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25894C30" w14:textId="77777777" w:rsidR="002E7621" w:rsidRPr="002E7621" w:rsidRDefault="002E7621" w:rsidP="00617C4A">
      <w:pPr>
        <w:jc w:val="both"/>
        <w:rPr>
          <w:rFonts w:ascii="Avenir Next" w:hAnsi="Avenir Next" w:cs="Arial"/>
          <w:sz w:val="22"/>
          <w:szCs w:val="22"/>
        </w:rPr>
      </w:pPr>
    </w:p>
    <w:p w14:paraId="01C3E34E" w14:textId="61DA0B57" w:rsidR="00A37300" w:rsidRPr="00617C4A" w:rsidRDefault="00A37300" w:rsidP="00BA7E39">
      <w:pPr>
        <w:pStyle w:val="ListParagraph"/>
        <w:numPr>
          <w:ilvl w:val="0"/>
          <w:numId w:val="11"/>
        </w:numPr>
        <w:ind w:left="426"/>
        <w:jc w:val="both"/>
        <w:rPr>
          <w:rFonts w:ascii="Avenir Next" w:hAnsi="Avenir Next" w:cs="Arial"/>
          <w:sz w:val="22"/>
          <w:szCs w:val="22"/>
          <w:highlight w:val="yellow"/>
        </w:rPr>
      </w:pPr>
      <w:r w:rsidRPr="00617C4A">
        <w:rPr>
          <w:rFonts w:ascii="Avenir Next" w:hAnsi="Avenir Next"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lastRenderedPageBreak/>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Unethical behaviour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617C4A">
        <w:rPr>
          <w:rFonts w:ascii="Avenir Next" w:hAnsi="Avenir Next" w:cs="Arial"/>
          <w:sz w:val="22"/>
          <w:szCs w:val="22"/>
          <w:highlight w:val="yellow"/>
        </w:rPr>
        <w:t>(a)</w:t>
      </w:r>
      <w:r w:rsidRPr="00617C4A">
        <w:rPr>
          <w:rFonts w:ascii="Avenir Next" w:hAnsi="Avenir Next" w:cs="Arial"/>
          <w:sz w:val="22"/>
          <w:szCs w:val="22"/>
          <w:highlight w:val="yellow"/>
        </w:rPr>
        <w:tab/>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Being an officer of the court requires a person to act with integrity and to not mislead the court in acting on behalf of a client. An officer of the court recognises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617C4A">
        <w:rPr>
          <w:rFonts w:ascii="Avenir Next" w:hAnsi="Avenir Next" w:cs="Arial"/>
          <w:sz w:val="22"/>
          <w:szCs w:val="22"/>
          <w:highlight w:val="yellow"/>
        </w:rPr>
        <w:t>(a)</w:t>
      </w:r>
      <w:r w:rsidRPr="00617C4A">
        <w:rPr>
          <w:rFonts w:ascii="Avenir Next" w:hAnsi="Avenir Next" w:cs="Arial"/>
          <w:sz w:val="22"/>
          <w:szCs w:val="22"/>
          <w:highlight w:val="yellow"/>
        </w:rPr>
        <w:tab/>
      </w:r>
      <w:r w:rsidR="00002086" w:rsidRPr="00617C4A">
        <w:rPr>
          <w:rFonts w:ascii="Avenir Next" w:hAnsi="Avenir Next" w:cs="Arial"/>
          <w:sz w:val="22"/>
          <w:szCs w:val="22"/>
          <w:highlight w:val="yellow"/>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Pr="00617C4A" w:rsidRDefault="002E7621" w:rsidP="002E7621">
      <w:pPr>
        <w:pStyle w:val="ListParagraph"/>
        <w:numPr>
          <w:ilvl w:val="0"/>
          <w:numId w:val="26"/>
        </w:numPr>
        <w:spacing w:line="276" w:lineRule="auto"/>
        <w:ind w:left="426"/>
        <w:jc w:val="both"/>
        <w:rPr>
          <w:rFonts w:ascii="Avenir Next" w:hAnsi="Avenir Next" w:cs="Arial"/>
          <w:sz w:val="22"/>
          <w:szCs w:val="22"/>
          <w:highlight w:val="yellow"/>
        </w:rPr>
      </w:pPr>
      <w:r w:rsidRPr="00617C4A">
        <w:rPr>
          <w:rFonts w:ascii="Avenir Next" w:hAnsi="Avenir Next" w:cs="Arial"/>
          <w:sz w:val="22"/>
          <w:szCs w:val="22"/>
          <w:highlight w:val="yellow"/>
        </w:rPr>
        <w:t>a</w:t>
      </w:r>
      <w:r w:rsidR="00B501A0" w:rsidRPr="00617C4A">
        <w:rPr>
          <w:rFonts w:ascii="Avenir Next" w:hAnsi="Avenir Next" w:cs="Arial"/>
          <w:sz w:val="22"/>
          <w:szCs w:val="22"/>
          <w:highlight w:val="yellow"/>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3F0618CF" w14:textId="77777777" w:rsidR="00617C4A" w:rsidRDefault="00617C4A" w:rsidP="00C55824">
      <w:pPr>
        <w:autoSpaceDE w:val="0"/>
        <w:autoSpaceDN w:val="0"/>
        <w:adjustRightInd w:val="0"/>
        <w:jc w:val="both"/>
        <w:rPr>
          <w:rFonts w:ascii="Avenir Next" w:hAnsi="Avenir Next" w:cs="Arial"/>
          <w:sz w:val="22"/>
          <w:szCs w:val="22"/>
        </w:rPr>
      </w:pPr>
    </w:p>
    <w:p w14:paraId="462DBC77" w14:textId="359C0F5C"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lastRenderedPageBreak/>
        <w:t>John was appointed as the liquidator of DebtCO. One of DebtCO’s suppliers and major unsecured creditors, S. Panesar, is very friendly towards John. Mr Panesar has heard in passing that John enjoys sport and managed to procure tickets to several events in the recent Tokyo 2020 Olympic Games, which John accepted. John realises that this will be deemed questionable behaviour and he fears 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Pr="00617C4A" w:rsidRDefault="002E7621" w:rsidP="002E7621">
      <w:pPr>
        <w:pStyle w:val="ListParagraph"/>
        <w:numPr>
          <w:ilvl w:val="0"/>
          <w:numId w:val="28"/>
        </w:numPr>
        <w:ind w:left="426"/>
        <w:jc w:val="both"/>
        <w:rPr>
          <w:rFonts w:ascii="Avenir Next" w:hAnsi="Avenir Next" w:cs="Arial"/>
          <w:sz w:val="22"/>
          <w:szCs w:val="22"/>
          <w:highlight w:val="yellow"/>
        </w:rPr>
      </w:pPr>
      <w:r w:rsidRPr="00617C4A">
        <w:rPr>
          <w:rFonts w:ascii="Avenir Next" w:hAnsi="Avenir Next" w:cs="Arial"/>
          <w:sz w:val="22"/>
          <w:szCs w:val="22"/>
          <w:highlight w:val="yellow"/>
        </w:rPr>
        <w:t>f</w:t>
      </w:r>
      <w:r w:rsidR="00693A37" w:rsidRPr="00617C4A">
        <w:rPr>
          <w:rFonts w:ascii="Avenir Next" w:hAnsi="Avenir Next" w:cs="Arial"/>
          <w:sz w:val="22"/>
          <w:szCs w:val="22"/>
          <w:highlight w:val="yellow"/>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E7621">
        <w:rPr>
          <w:rFonts w:ascii="Avenir Next" w:eastAsiaTheme="minorHAnsi" w:hAnsi="Avenir Next" w:cs="Arial"/>
          <w:i/>
          <w:iCs/>
          <w:sz w:val="22"/>
          <w:szCs w:val="22"/>
          <w:lang w:val="en-GB"/>
        </w:rPr>
        <w:t>curriculum vitae</w:t>
      </w:r>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will have the ability to give all of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617C4A" w:rsidRDefault="00391384" w:rsidP="002577C4">
      <w:pPr>
        <w:pStyle w:val="ListParagraph"/>
        <w:numPr>
          <w:ilvl w:val="0"/>
          <w:numId w:val="17"/>
        </w:numPr>
        <w:ind w:left="426"/>
        <w:jc w:val="both"/>
        <w:rPr>
          <w:rFonts w:ascii="Avenir Next" w:eastAsiaTheme="minorHAnsi" w:hAnsi="Avenir Next" w:cs="Arial"/>
          <w:sz w:val="22"/>
          <w:szCs w:val="22"/>
          <w:highlight w:val="yellow"/>
          <w:lang w:val="en-GB"/>
        </w:rPr>
      </w:pPr>
      <w:r w:rsidRPr="00617C4A">
        <w:rPr>
          <w:rFonts w:ascii="Avenir Next" w:eastAsiaTheme="minorHAnsi" w:hAnsi="Avenir Next" w:cs="Arial"/>
          <w:sz w:val="22"/>
          <w:szCs w:val="22"/>
          <w:highlight w:val="yellow"/>
          <w:lang w:val="en-GB"/>
        </w:rPr>
        <w:t>Refuse the appointment as she will not be able to give all of the cases she is involved in the requisite level of attention.</w:t>
      </w:r>
    </w:p>
    <w:p w14:paraId="76A29EAE" w14:textId="77777777" w:rsidR="00617C4A" w:rsidRDefault="00617C4A" w:rsidP="00C55824">
      <w:pPr>
        <w:jc w:val="both"/>
        <w:rPr>
          <w:rFonts w:ascii="Avenir Next Demi Bold" w:hAnsi="Avenir Next Demi Bold" w:cs="Arial"/>
          <w:b/>
          <w:bCs/>
          <w:sz w:val="22"/>
          <w:szCs w:val="22"/>
        </w:rPr>
      </w:pPr>
    </w:p>
    <w:p w14:paraId="2542F9D9" w14:textId="039B4494"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has to meet certain targets in relation to the fees he earns for taking appointments. </w:t>
      </w:r>
      <w:r w:rsidRPr="002E7621">
        <w:rPr>
          <w:rFonts w:ascii="Avenir Next" w:eastAsiaTheme="minorHAnsi" w:hAnsi="Avenir Next" w:cs="Arial"/>
          <w:sz w:val="22"/>
          <w:szCs w:val="22"/>
          <w:lang w:val="en-GB"/>
        </w:rPr>
        <w:lastRenderedPageBreak/>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617C4A" w:rsidRDefault="00501270" w:rsidP="001478F8">
      <w:pPr>
        <w:pStyle w:val="ListParagraph"/>
        <w:numPr>
          <w:ilvl w:val="0"/>
          <w:numId w:val="18"/>
        </w:numPr>
        <w:ind w:left="426"/>
        <w:jc w:val="both"/>
        <w:rPr>
          <w:rFonts w:ascii="Avenir Next" w:eastAsiaTheme="minorHAnsi" w:hAnsi="Avenir Next" w:cs="Arial"/>
          <w:sz w:val="22"/>
          <w:szCs w:val="22"/>
          <w:highlight w:val="yellow"/>
          <w:lang w:val="en-GB"/>
        </w:rPr>
      </w:pPr>
      <w:r w:rsidRPr="00617C4A">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t>Please choose the most correct answer.</w:t>
      </w:r>
    </w:p>
    <w:p w14:paraId="21C79085" w14:textId="11048D9F" w:rsidR="000E55FD" w:rsidRDefault="000E55FD" w:rsidP="002E7621">
      <w:pPr>
        <w:pStyle w:val="ListParagraph"/>
        <w:numPr>
          <w:ilvl w:val="0"/>
          <w:numId w:val="29"/>
        </w:numPr>
        <w:ind w:left="426"/>
        <w:jc w:val="both"/>
        <w:rPr>
          <w:rFonts w:ascii="Avenir Next" w:hAnsi="Avenir Next" w:cs="Arial"/>
          <w:sz w:val="22"/>
          <w:szCs w:val="22"/>
        </w:rPr>
      </w:pPr>
      <w:r w:rsidRPr="00617C4A">
        <w:rPr>
          <w:rFonts w:ascii="Avenir Next" w:hAnsi="Avenir Next" w:cs="Arial"/>
          <w:sz w:val="22"/>
          <w:szCs w:val="22"/>
          <w:highlight w:val="yellow"/>
        </w:rPr>
        <w:t>This statement is false since the practitioner might have carried out more work and invested more resources than is reflected in the fee.</w:t>
      </w:r>
      <w:r w:rsidR="00617C4A">
        <w:rPr>
          <w:rFonts w:ascii="Avenir Next" w:hAnsi="Avenir Next" w:cs="Arial"/>
          <w:sz w:val="22"/>
          <w:szCs w:val="22"/>
        </w:rPr>
        <w:t xml:space="preserve"> </w:t>
      </w:r>
      <w:r w:rsidR="00617C4A" w:rsidRPr="00617C4A">
        <w:rPr>
          <w:rFonts w:ascii="Avenir Next" w:hAnsi="Avenir Next" w:cs="Arial"/>
          <w:color w:val="808080" w:themeColor="background1" w:themeShade="80"/>
          <w:sz w:val="22"/>
          <w:szCs w:val="22"/>
        </w:rPr>
        <w:t xml:space="preserve">*Student Note: This seems like the most correct answer choice, but in the same vein, I would also say that the petitioner may have carried out less work than is reflected in the fee. </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1BD8D6C0" w14:textId="4A41C8EF" w:rsidR="00876F56" w:rsidRPr="00617C4A" w:rsidRDefault="000E55FD" w:rsidP="00C10B1A">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w:t>
      </w:r>
      <w:r w:rsidRPr="002E7621">
        <w:rPr>
          <w:rFonts w:ascii="Avenir Next" w:hAnsi="Avenir Next" w:cs="Arial"/>
          <w:sz w:val="22"/>
          <w:szCs w:val="22"/>
        </w:rPr>
        <w:lastRenderedPageBreak/>
        <w:t>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617C4A" w:rsidRDefault="0089154C" w:rsidP="002E7621">
      <w:pPr>
        <w:pStyle w:val="ListParagraph"/>
        <w:numPr>
          <w:ilvl w:val="0"/>
          <w:numId w:val="31"/>
        </w:numPr>
        <w:ind w:left="426"/>
        <w:jc w:val="both"/>
        <w:rPr>
          <w:rFonts w:ascii="Avenir Next" w:hAnsi="Avenir Next" w:cs="Arial"/>
          <w:sz w:val="22"/>
          <w:szCs w:val="22"/>
          <w:highlight w:val="yellow"/>
        </w:rPr>
      </w:pPr>
      <w:r w:rsidRPr="00617C4A">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What are the most common elements associated with the existence of a fiduciary relationship generally?</w:t>
      </w:r>
    </w:p>
    <w:p w14:paraId="198DA937" w14:textId="77777777" w:rsidR="00176331" w:rsidRDefault="00176331" w:rsidP="00AF6FFB">
      <w:pPr>
        <w:jc w:val="both"/>
        <w:rPr>
          <w:rFonts w:ascii="Avenir Next" w:hAnsi="Avenir Next" w:cs="Arial"/>
          <w:color w:val="7B7B7B" w:themeColor="accent3" w:themeShade="BF"/>
          <w:sz w:val="22"/>
          <w:szCs w:val="22"/>
          <w:lang w:val="en-GB"/>
        </w:rPr>
      </w:pPr>
    </w:p>
    <w:p w14:paraId="1EA0E168" w14:textId="4C1F6FDF" w:rsidR="002E7621" w:rsidRPr="003F1372" w:rsidRDefault="00176331" w:rsidP="00AF6FF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fiduciary is largely accepted to be a person who undertakes to act on behalf of </w:t>
      </w:r>
      <w:r w:rsidR="00783C21">
        <w:rPr>
          <w:rFonts w:ascii="Avenir Next" w:hAnsi="Avenir Next" w:cs="Arial"/>
          <w:color w:val="7B7B7B" w:themeColor="accent3" w:themeShade="BF"/>
          <w:sz w:val="22"/>
          <w:szCs w:val="22"/>
          <w:lang w:val="en-GB"/>
        </w:rPr>
        <w:t xml:space="preserve">another and has discretion and power over the interests of the other. </w:t>
      </w:r>
      <w:r w:rsidR="00AF6FFB">
        <w:rPr>
          <w:rFonts w:ascii="Avenir Next" w:hAnsi="Avenir Next" w:cs="Arial"/>
          <w:color w:val="7B7B7B" w:themeColor="accent3" w:themeShade="BF"/>
          <w:sz w:val="22"/>
          <w:szCs w:val="22"/>
          <w:lang w:val="en-GB"/>
        </w:rPr>
        <w:t>Elements such as v</w:t>
      </w:r>
      <w:r w:rsidR="00783C21">
        <w:rPr>
          <w:rFonts w:ascii="Avenir Next" w:hAnsi="Avenir Next" w:cs="Arial"/>
          <w:color w:val="7B7B7B" w:themeColor="accent3" w:themeShade="BF"/>
          <w:sz w:val="22"/>
          <w:szCs w:val="22"/>
          <w:lang w:val="en-GB"/>
        </w:rPr>
        <w:t xml:space="preserve">ulnerability, power, trust, </w:t>
      </w:r>
      <w:r w:rsidR="00AF6FFB">
        <w:rPr>
          <w:rFonts w:ascii="Avenir Next" w:hAnsi="Avenir Next" w:cs="Arial"/>
          <w:color w:val="7B7B7B" w:themeColor="accent3" w:themeShade="BF"/>
          <w:sz w:val="22"/>
          <w:szCs w:val="22"/>
          <w:lang w:val="en-GB"/>
        </w:rPr>
        <w:t>from one party to another may be</w:t>
      </w:r>
      <w:r w:rsidR="00783C21">
        <w:rPr>
          <w:rFonts w:ascii="Avenir Next" w:hAnsi="Avenir Next" w:cs="Arial"/>
          <w:color w:val="7B7B7B" w:themeColor="accent3" w:themeShade="BF"/>
          <w:sz w:val="22"/>
          <w:szCs w:val="22"/>
          <w:lang w:val="en-GB"/>
        </w:rPr>
        <w:t xml:space="preserve"> indicator</w:t>
      </w:r>
      <w:r w:rsidR="00AF6FFB">
        <w:rPr>
          <w:rFonts w:ascii="Avenir Next" w:hAnsi="Avenir Next" w:cs="Arial"/>
          <w:color w:val="7B7B7B" w:themeColor="accent3" w:themeShade="BF"/>
          <w:sz w:val="22"/>
          <w:szCs w:val="22"/>
          <w:lang w:val="en-GB"/>
        </w:rPr>
        <w:t>s</w:t>
      </w:r>
      <w:r w:rsidR="00783C21">
        <w:rPr>
          <w:rFonts w:ascii="Avenir Next" w:hAnsi="Avenir Next" w:cs="Arial"/>
          <w:color w:val="7B7B7B" w:themeColor="accent3" w:themeShade="BF"/>
          <w:sz w:val="22"/>
          <w:szCs w:val="22"/>
          <w:lang w:val="en-GB"/>
        </w:rPr>
        <w:t xml:space="preserve"> </w:t>
      </w:r>
      <w:r w:rsidR="00AF6FFB">
        <w:rPr>
          <w:rFonts w:ascii="Avenir Next" w:hAnsi="Avenir Next" w:cs="Arial"/>
          <w:color w:val="7B7B7B" w:themeColor="accent3" w:themeShade="BF"/>
          <w:sz w:val="22"/>
          <w:szCs w:val="22"/>
          <w:lang w:val="en-GB"/>
        </w:rPr>
        <w:t>of</w:t>
      </w:r>
      <w:r w:rsidR="00783C21">
        <w:rPr>
          <w:rFonts w:ascii="Avenir Next" w:hAnsi="Avenir Next" w:cs="Arial"/>
          <w:color w:val="7B7B7B" w:themeColor="accent3" w:themeShade="BF"/>
          <w:sz w:val="22"/>
          <w:szCs w:val="22"/>
          <w:lang w:val="en-GB"/>
        </w:rPr>
        <w:t xml:space="preserve"> the existence of a fiduciary relationship</w:t>
      </w:r>
      <w:r w:rsidR="00AF6FFB">
        <w:rPr>
          <w:rFonts w:ascii="Avenir Next" w:hAnsi="Avenir Next" w:cs="Arial"/>
          <w:color w:val="7B7B7B" w:themeColor="accent3" w:themeShade="BF"/>
          <w:sz w:val="22"/>
          <w:szCs w:val="22"/>
          <w:lang w:val="en-GB"/>
        </w:rPr>
        <w:t xml:space="preserve"> between the parties. A fiduciary could have implied and express duties, such as the duty</w:t>
      </w:r>
      <w:r w:rsidR="00AF6FFB" w:rsidRPr="00AF6FFB">
        <w:rPr>
          <w:rFonts w:ascii="Avenir Next" w:hAnsi="Avenir Next" w:cs="Arial"/>
          <w:color w:val="7B7B7B" w:themeColor="accent3" w:themeShade="BF"/>
          <w:sz w:val="22"/>
          <w:szCs w:val="22"/>
          <w:lang w:val="en-GB"/>
        </w:rPr>
        <w:t xml:space="preserve"> </w:t>
      </w:r>
      <w:r w:rsidR="00AF6FFB">
        <w:rPr>
          <w:rFonts w:ascii="Avenir Next" w:hAnsi="Avenir Next" w:cs="Arial"/>
          <w:color w:val="7B7B7B" w:themeColor="accent3" w:themeShade="BF"/>
          <w:sz w:val="22"/>
          <w:szCs w:val="22"/>
          <w:lang w:val="en-GB"/>
        </w:rPr>
        <w:t>to act in good faith (</w:t>
      </w:r>
      <w:r w:rsidR="00AF6FFB">
        <w:rPr>
          <w:rFonts w:ascii="Avenir Next" w:hAnsi="Avenir Next" w:cs="Arial"/>
          <w:color w:val="7B7B7B" w:themeColor="accent3" w:themeShade="BF"/>
          <w:sz w:val="22"/>
          <w:szCs w:val="22"/>
          <w:lang w:val="en-GB"/>
        </w:rPr>
        <w:t xml:space="preserve">which </w:t>
      </w:r>
      <w:r w:rsidR="00AF6FFB">
        <w:rPr>
          <w:rFonts w:ascii="Avenir Next" w:hAnsi="Avenir Next" w:cs="Arial"/>
          <w:color w:val="7B7B7B" w:themeColor="accent3" w:themeShade="BF"/>
          <w:sz w:val="22"/>
          <w:szCs w:val="22"/>
          <w:lang w:val="en-GB"/>
        </w:rPr>
        <w:t xml:space="preserve">implies honesty and fair dealing); </w:t>
      </w:r>
      <w:r w:rsidR="003F1372">
        <w:rPr>
          <w:rFonts w:ascii="Avenir Next" w:hAnsi="Avenir Next" w:cs="Arial"/>
          <w:color w:val="7B7B7B" w:themeColor="accent3" w:themeShade="BF"/>
          <w:sz w:val="22"/>
          <w:szCs w:val="22"/>
          <w:lang w:val="en-GB"/>
        </w:rPr>
        <w:t xml:space="preserve">the </w:t>
      </w:r>
      <w:r w:rsidR="00AF6FFB">
        <w:rPr>
          <w:rFonts w:ascii="Avenir Next" w:hAnsi="Avenir Next" w:cs="Arial"/>
          <w:color w:val="7B7B7B" w:themeColor="accent3" w:themeShade="BF"/>
          <w:sz w:val="22"/>
          <w:szCs w:val="22"/>
          <w:lang w:val="en-GB"/>
        </w:rPr>
        <w:t xml:space="preserve">duty to act in the best interest of the beneficiary of </w:t>
      </w:r>
      <w:r w:rsidR="003F1372">
        <w:rPr>
          <w:rFonts w:ascii="Avenir Next" w:hAnsi="Avenir Next" w:cs="Arial"/>
          <w:color w:val="7B7B7B" w:themeColor="accent3" w:themeShade="BF"/>
          <w:sz w:val="22"/>
          <w:szCs w:val="22"/>
          <w:lang w:val="en-GB"/>
        </w:rPr>
        <w:t xml:space="preserve">such </w:t>
      </w:r>
      <w:r w:rsidR="00AF6FFB">
        <w:rPr>
          <w:rFonts w:ascii="Avenir Next" w:hAnsi="Avenir Next" w:cs="Arial"/>
          <w:color w:val="7B7B7B" w:themeColor="accent3" w:themeShade="BF"/>
          <w:sz w:val="22"/>
          <w:szCs w:val="22"/>
          <w:lang w:val="en-GB"/>
        </w:rPr>
        <w:t>fiduciary duties;</w:t>
      </w:r>
      <w:r w:rsidR="003F1372">
        <w:rPr>
          <w:rFonts w:ascii="Avenir Next" w:hAnsi="Avenir Next" w:cs="Arial"/>
          <w:color w:val="7B7B7B" w:themeColor="accent3" w:themeShade="BF"/>
          <w:sz w:val="22"/>
          <w:szCs w:val="22"/>
          <w:lang w:val="en-GB"/>
        </w:rPr>
        <w:t xml:space="preserve"> the</w:t>
      </w:r>
      <w:r w:rsidR="00AF6FFB">
        <w:rPr>
          <w:rFonts w:ascii="Avenir Next" w:hAnsi="Avenir Next" w:cs="Arial"/>
          <w:color w:val="7B7B7B" w:themeColor="accent3" w:themeShade="BF"/>
          <w:sz w:val="22"/>
          <w:szCs w:val="22"/>
          <w:lang w:val="en-GB"/>
        </w:rPr>
        <w:t xml:space="preserve"> duty to exercise the powers of the office in an independent and impartial manne</w:t>
      </w:r>
      <w:r w:rsidR="003F1372">
        <w:rPr>
          <w:rFonts w:ascii="Avenir Next" w:hAnsi="Avenir Next" w:cs="Arial"/>
          <w:color w:val="7B7B7B" w:themeColor="accent3" w:themeShade="BF"/>
          <w:sz w:val="22"/>
          <w:szCs w:val="22"/>
          <w:lang w:val="en-GB"/>
        </w:rPr>
        <w:t>r, which</w:t>
      </w:r>
      <w:r w:rsidR="00AF6FFB">
        <w:rPr>
          <w:rFonts w:ascii="Avenir Next" w:hAnsi="Avenir Next" w:cs="Arial"/>
          <w:color w:val="7B7B7B" w:themeColor="accent3" w:themeShade="BF"/>
          <w:sz w:val="22"/>
          <w:szCs w:val="22"/>
          <w:lang w:val="en-GB"/>
        </w:rPr>
        <w:t xml:space="preserve"> includ</w:t>
      </w:r>
      <w:r w:rsidR="003F1372">
        <w:rPr>
          <w:rFonts w:ascii="Avenir Next" w:hAnsi="Avenir Next" w:cs="Arial"/>
          <w:color w:val="7B7B7B" w:themeColor="accent3" w:themeShade="BF"/>
          <w:sz w:val="22"/>
          <w:szCs w:val="22"/>
          <w:lang w:val="en-GB"/>
        </w:rPr>
        <w:t>es a</w:t>
      </w:r>
      <w:r w:rsidR="00AF6FFB">
        <w:rPr>
          <w:rFonts w:ascii="Avenir Next" w:hAnsi="Avenir Next" w:cs="Arial"/>
          <w:color w:val="7B7B7B" w:themeColor="accent3" w:themeShade="BF"/>
          <w:sz w:val="22"/>
          <w:szCs w:val="22"/>
          <w:lang w:val="en-GB"/>
        </w:rPr>
        <w:t xml:space="preserve"> duty to avoid conflict of interest</w:t>
      </w:r>
      <w:r w:rsidR="003F1372">
        <w:rPr>
          <w:rFonts w:ascii="Avenir Next" w:hAnsi="Avenir Next" w:cs="Arial"/>
          <w:color w:val="7B7B7B" w:themeColor="accent3" w:themeShade="BF"/>
          <w:sz w:val="22"/>
          <w:szCs w:val="22"/>
          <w:lang w:val="en-GB"/>
        </w:rPr>
        <w:t>; and the duty</w:t>
      </w:r>
      <w:r w:rsidR="00AF6FFB">
        <w:rPr>
          <w:rFonts w:ascii="Avenir Next" w:hAnsi="Avenir Next" w:cs="Arial"/>
          <w:color w:val="7B7B7B" w:themeColor="accent3" w:themeShade="BF"/>
          <w:sz w:val="22"/>
          <w:szCs w:val="22"/>
          <w:lang w:val="en-GB"/>
        </w:rPr>
        <w:t xml:space="preserve"> to act with care, skill and diligenc</w:t>
      </w:r>
      <w:r w:rsidR="003F1372">
        <w:rPr>
          <w:rFonts w:ascii="Avenir Next" w:hAnsi="Avenir Next" w:cs="Arial"/>
          <w:color w:val="7B7B7B" w:themeColor="accent3" w:themeShade="BF"/>
          <w:sz w:val="22"/>
          <w:szCs w:val="22"/>
          <w:lang w:val="en-GB"/>
        </w:rPr>
        <w:t>e</w:t>
      </w:r>
      <w:r w:rsidR="00862BD4">
        <w:rPr>
          <w:rFonts w:ascii="Avenir Next" w:hAnsi="Avenir Next" w:cs="Arial"/>
          <w:color w:val="7B7B7B" w:themeColor="accent3" w:themeShade="BF"/>
          <w:sz w:val="22"/>
          <w:szCs w:val="22"/>
          <w:lang w:val="en-GB"/>
        </w:rPr>
        <w:t xml:space="preserve"> (though this may not be a fiduciary duty in the traditional sense)</w:t>
      </w:r>
      <w:r w:rsidR="003F1372">
        <w:rPr>
          <w:rFonts w:ascii="Avenir Next" w:hAnsi="Avenir Next" w:cs="Arial"/>
          <w:color w:val="7B7B7B" w:themeColor="accent3" w:themeShade="BF"/>
          <w:sz w:val="22"/>
          <w:szCs w:val="22"/>
          <w:lang w:val="en-GB"/>
        </w:rPr>
        <w:t>.</w:t>
      </w:r>
      <w:r w:rsidR="00AF6FFB">
        <w:rPr>
          <w:rFonts w:ascii="Avenir Next" w:hAnsi="Avenir Next" w:cs="Arial"/>
          <w:color w:val="7B7B7B" w:themeColor="accent3" w:themeShade="BF"/>
          <w:sz w:val="22"/>
          <w:szCs w:val="22"/>
          <w:lang w:val="en-GB"/>
        </w:rPr>
        <w:t xml:space="preserve"> </w:t>
      </w:r>
    </w:p>
    <w:p w14:paraId="5C021CB8" w14:textId="77777777" w:rsidR="002E7621" w:rsidRPr="002E7621" w:rsidRDefault="002E7621"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641C01D6" w14:textId="48725F0A" w:rsidR="009D7E8C" w:rsidRPr="00E034E2" w:rsidRDefault="009D7E8C" w:rsidP="00E034E2">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 xml:space="preserve">An insolvency professional’s duty to act with </w:t>
      </w:r>
      <w:r w:rsidR="009B627D">
        <w:rPr>
          <w:rFonts w:ascii="Avenir Next" w:hAnsi="Avenir Next" w:cs="Arial"/>
          <w:color w:val="7B7B7B" w:themeColor="accent3" w:themeShade="BF"/>
          <w:sz w:val="22"/>
          <w:szCs w:val="22"/>
        </w:rPr>
        <w:t>independence and impartiality of the IP aim</w:t>
      </w:r>
      <w:r>
        <w:rPr>
          <w:rFonts w:ascii="Avenir Next" w:hAnsi="Avenir Next" w:cs="Arial"/>
          <w:color w:val="7B7B7B" w:themeColor="accent3" w:themeShade="BF"/>
          <w:sz w:val="22"/>
          <w:szCs w:val="22"/>
        </w:rPr>
        <w:t>s to broadly aims</w:t>
      </w:r>
      <w:r w:rsidR="009B627D">
        <w:rPr>
          <w:rFonts w:ascii="Avenir Next" w:hAnsi="Avenir Next" w:cs="Arial"/>
          <w:color w:val="7B7B7B" w:themeColor="accent3" w:themeShade="BF"/>
          <w:sz w:val="22"/>
          <w:szCs w:val="22"/>
        </w:rPr>
        <w:t xml:space="preserve"> ensure </w:t>
      </w:r>
      <w:r>
        <w:rPr>
          <w:rFonts w:ascii="Avenir Next" w:hAnsi="Avenir Next" w:cs="Arial"/>
          <w:color w:val="7B7B7B" w:themeColor="accent3" w:themeShade="BF"/>
          <w:sz w:val="22"/>
          <w:szCs w:val="22"/>
        </w:rPr>
        <w:t xml:space="preserve">the </w:t>
      </w:r>
      <w:r w:rsidR="009B627D">
        <w:rPr>
          <w:rFonts w:ascii="Avenir Next" w:hAnsi="Avenir Next" w:cs="Arial"/>
          <w:color w:val="7B7B7B" w:themeColor="accent3" w:themeShade="BF"/>
          <w:sz w:val="22"/>
          <w:szCs w:val="22"/>
        </w:rPr>
        <w:t xml:space="preserve">IP won’t </w:t>
      </w:r>
      <w:r>
        <w:rPr>
          <w:rFonts w:ascii="Avenir Next" w:hAnsi="Avenir Next" w:cs="Arial"/>
          <w:color w:val="7B7B7B" w:themeColor="accent3" w:themeShade="BF"/>
          <w:sz w:val="22"/>
          <w:szCs w:val="22"/>
        </w:rPr>
        <w:t xml:space="preserve">permit </w:t>
      </w:r>
      <w:r w:rsidR="009B627D">
        <w:rPr>
          <w:rFonts w:ascii="Avenir Next" w:hAnsi="Avenir Next" w:cs="Arial"/>
          <w:color w:val="7B7B7B" w:themeColor="accent3" w:themeShade="BF"/>
          <w:sz w:val="22"/>
          <w:szCs w:val="22"/>
        </w:rPr>
        <w:t>bias or a conflicted interest or undue influence to override</w:t>
      </w:r>
      <w:r>
        <w:rPr>
          <w:rFonts w:ascii="Avenir Next" w:hAnsi="Avenir Next" w:cs="Arial"/>
          <w:color w:val="7B7B7B" w:themeColor="accent3" w:themeShade="BF"/>
          <w:sz w:val="22"/>
          <w:szCs w:val="22"/>
        </w:rPr>
        <w:t xml:space="preserve"> their </w:t>
      </w:r>
      <w:r w:rsidR="009B627D">
        <w:rPr>
          <w:rFonts w:ascii="Avenir Next" w:hAnsi="Avenir Next" w:cs="Arial"/>
          <w:color w:val="7B7B7B" w:themeColor="accent3" w:themeShade="BF"/>
          <w:sz w:val="22"/>
          <w:szCs w:val="22"/>
        </w:rPr>
        <w:t xml:space="preserve">professional or business </w:t>
      </w:r>
      <w:r>
        <w:rPr>
          <w:rFonts w:ascii="Avenir Next" w:hAnsi="Avenir Next" w:cs="Arial"/>
          <w:color w:val="7B7B7B" w:themeColor="accent3" w:themeShade="BF"/>
          <w:sz w:val="22"/>
          <w:szCs w:val="22"/>
        </w:rPr>
        <w:t xml:space="preserve">judgments </w:t>
      </w:r>
      <w:r w:rsidR="009B627D">
        <w:rPr>
          <w:rFonts w:ascii="Avenir Next" w:hAnsi="Avenir Next" w:cs="Arial"/>
          <w:color w:val="7B7B7B" w:themeColor="accent3" w:themeShade="BF"/>
          <w:sz w:val="22"/>
          <w:szCs w:val="22"/>
        </w:rPr>
        <w:t xml:space="preserve">in execution of </w:t>
      </w:r>
      <w:r>
        <w:rPr>
          <w:rFonts w:ascii="Avenir Next" w:hAnsi="Avenir Next" w:cs="Arial"/>
          <w:color w:val="7B7B7B" w:themeColor="accent3" w:themeShade="BF"/>
          <w:sz w:val="22"/>
          <w:szCs w:val="22"/>
        </w:rPr>
        <w:t xml:space="preserve">their </w:t>
      </w:r>
      <w:r w:rsidR="009B627D">
        <w:rPr>
          <w:rFonts w:ascii="Avenir Next" w:hAnsi="Avenir Next" w:cs="Arial"/>
          <w:color w:val="7B7B7B" w:themeColor="accent3" w:themeShade="BF"/>
          <w:sz w:val="22"/>
          <w:szCs w:val="22"/>
        </w:rPr>
        <w:t xml:space="preserve">duties. </w:t>
      </w:r>
      <w:r>
        <w:rPr>
          <w:rFonts w:ascii="Avenir Next" w:hAnsi="Avenir Next" w:cs="Arial"/>
          <w:color w:val="7B7B7B" w:themeColor="accent3" w:themeShade="BF"/>
          <w:sz w:val="22"/>
          <w:szCs w:val="22"/>
        </w:rPr>
        <w:t xml:space="preserve"> Tracking the “no profit” and “no conflict” </w:t>
      </w:r>
      <w:r w:rsidR="00E034E2">
        <w:rPr>
          <w:rFonts w:ascii="Avenir Next" w:hAnsi="Avenir Next" w:cs="Arial"/>
          <w:color w:val="7B7B7B" w:themeColor="accent3" w:themeShade="BF"/>
          <w:sz w:val="22"/>
          <w:szCs w:val="22"/>
        </w:rPr>
        <w:t xml:space="preserve">principals of corporate law, </w:t>
      </w:r>
      <w:r>
        <w:rPr>
          <w:rFonts w:ascii="Avenir Next" w:hAnsi="Avenir Next" w:cs="Arial"/>
          <w:color w:val="7B7B7B" w:themeColor="accent3" w:themeShade="BF"/>
          <w:sz w:val="22"/>
          <w:szCs w:val="22"/>
        </w:rPr>
        <w:t xml:space="preserve">a </w:t>
      </w:r>
      <w:r w:rsidR="00E034E2">
        <w:rPr>
          <w:rFonts w:ascii="Avenir Next" w:hAnsi="Avenir Next" w:cs="Arial"/>
          <w:color w:val="7B7B7B" w:themeColor="accent3" w:themeShade="BF"/>
          <w:sz w:val="22"/>
          <w:szCs w:val="22"/>
        </w:rPr>
        <w:t>fiduciary</w:t>
      </w:r>
      <w:r>
        <w:rPr>
          <w:rFonts w:ascii="Avenir Next" w:hAnsi="Avenir Next" w:cs="Arial"/>
          <w:color w:val="7B7B7B" w:themeColor="accent3" w:themeShade="BF"/>
          <w:sz w:val="22"/>
          <w:szCs w:val="22"/>
        </w:rPr>
        <w:t xml:space="preserve"> may not</w:t>
      </w:r>
      <w:r w:rsidR="00E034E2">
        <w:rPr>
          <w:rFonts w:ascii="Avenir Next" w:hAnsi="Avenir Next" w:cs="Arial"/>
          <w:color w:val="7B7B7B" w:themeColor="accent3" w:themeShade="BF"/>
          <w:sz w:val="22"/>
          <w:szCs w:val="22"/>
        </w:rPr>
        <w:t>: (1)</w:t>
      </w:r>
      <w:r w:rsidR="00E76906">
        <w:rPr>
          <w:rFonts w:ascii="Avenir Next" w:hAnsi="Avenir Next" w:cs="Arial"/>
          <w:color w:val="7B7B7B" w:themeColor="accent3" w:themeShade="BF"/>
          <w:sz w:val="22"/>
          <w:szCs w:val="22"/>
        </w:rPr>
        <w:t xml:space="preserve"> profit from his position of trust and be unjustly</w:t>
      </w:r>
      <w:r w:rsidR="00E034E2">
        <w:rPr>
          <w:rFonts w:ascii="Avenir Next" w:hAnsi="Avenir Next" w:cs="Arial"/>
          <w:color w:val="7B7B7B" w:themeColor="accent3" w:themeShade="BF"/>
          <w:sz w:val="22"/>
          <w:szCs w:val="22"/>
        </w:rPr>
        <w:t xml:space="preserve"> — the “no </w:t>
      </w:r>
      <w:r w:rsidR="00E76906">
        <w:rPr>
          <w:rFonts w:ascii="Avenir Next" w:hAnsi="Avenir Next" w:cs="Arial"/>
          <w:color w:val="7B7B7B" w:themeColor="accent3" w:themeShade="BF"/>
          <w:sz w:val="22"/>
          <w:szCs w:val="22"/>
        </w:rPr>
        <w:t>profit” rule</w:t>
      </w:r>
      <w:r w:rsidR="00DA7C95">
        <w:rPr>
          <w:rFonts w:ascii="Avenir Next" w:hAnsi="Avenir Next" w:cs="Arial"/>
          <w:color w:val="7B7B7B" w:themeColor="accent3" w:themeShade="BF"/>
          <w:sz w:val="22"/>
          <w:szCs w:val="22"/>
        </w:rPr>
        <w:t xml:space="preserve"> OR</w:t>
      </w:r>
      <w:r w:rsidR="00E034E2">
        <w:rPr>
          <w:rFonts w:ascii="Avenir Next" w:hAnsi="Avenir Next" w:cs="Arial"/>
          <w:color w:val="7B7B7B" w:themeColor="accent3" w:themeShade="BF"/>
          <w:sz w:val="22"/>
          <w:szCs w:val="22"/>
        </w:rPr>
        <w:t xml:space="preserve">; (2) </w:t>
      </w:r>
      <w:r>
        <w:rPr>
          <w:rFonts w:ascii="Avenir Next" w:hAnsi="Avenir Next" w:cs="Arial"/>
          <w:color w:val="7B7B7B" w:themeColor="accent3" w:themeShade="BF"/>
          <w:sz w:val="22"/>
          <w:szCs w:val="22"/>
        </w:rPr>
        <w:t xml:space="preserve">allow a conflict to arise between his duty to act impartially and the </w:t>
      </w:r>
      <w:r w:rsidR="00E034E2">
        <w:rPr>
          <w:rFonts w:ascii="Avenir Next" w:hAnsi="Avenir Next" w:cs="Arial"/>
          <w:color w:val="7B7B7B" w:themeColor="accent3" w:themeShade="BF"/>
          <w:sz w:val="22"/>
          <w:szCs w:val="22"/>
        </w:rPr>
        <w:t>beneficiaries</w:t>
      </w:r>
      <w:r>
        <w:rPr>
          <w:rFonts w:ascii="Avenir Next" w:hAnsi="Avenir Next" w:cs="Arial"/>
          <w:color w:val="7B7B7B" w:themeColor="accent3" w:themeShade="BF"/>
          <w:sz w:val="22"/>
          <w:szCs w:val="22"/>
        </w:rPr>
        <w:t xml:space="preserve">’ </w:t>
      </w:r>
      <w:r w:rsidR="00E034E2">
        <w:rPr>
          <w:rFonts w:ascii="Avenir Next" w:hAnsi="Avenir Next" w:cs="Arial"/>
          <w:color w:val="7B7B7B" w:themeColor="accent3" w:themeShade="BF"/>
          <w:sz w:val="22"/>
          <w:szCs w:val="22"/>
        </w:rPr>
        <w:t>interests — the “no-</w:t>
      </w:r>
      <w:r w:rsidR="00E76906">
        <w:rPr>
          <w:rFonts w:ascii="Avenir Next" w:hAnsi="Avenir Next" w:cs="Arial"/>
          <w:color w:val="7B7B7B" w:themeColor="accent3" w:themeShade="BF"/>
          <w:sz w:val="22"/>
          <w:szCs w:val="22"/>
        </w:rPr>
        <w:t>conflict</w:t>
      </w:r>
      <w:r w:rsidR="00E034E2">
        <w:rPr>
          <w:rFonts w:ascii="Avenir Next" w:hAnsi="Avenir Next" w:cs="Arial"/>
          <w:color w:val="7B7B7B" w:themeColor="accent3" w:themeShade="BF"/>
          <w:sz w:val="22"/>
          <w:szCs w:val="22"/>
        </w:rPr>
        <w:t>” rule</w:t>
      </w:r>
      <w:r>
        <w:rPr>
          <w:rFonts w:ascii="Avenir Next" w:hAnsi="Avenir Next" w:cs="Arial"/>
          <w:color w:val="7B7B7B" w:themeColor="accent3" w:themeShade="BF"/>
          <w:sz w:val="22"/>
          <w:szCs w:val="22"/>
        </w:rPr>
        <w:t>. Transacting with the debtor company in his personal capacity is one such examp</w:t>
      </w:r>
      <w:r w:rsidR="00E034E2">
        <w:rPr>
          <w:rFonts w:ascii="Avenir Next" w:hAnsi="Avenir Next" w:cs="Arial"/>
          <w:color w:val="7B7B7B" w:themeColor="accent3" w:themeShade="BF"/>
          <w:sz w:val="22"/>
          <w:szCs w:val="22"/>
        </w:rPr>
        <w:t>le.</w:t>
      </w:r>
    </w:p>
    <w:p w14:paraId="6948B395" w14:textId="65A1604F" w:rsidR="00E90991" w:rsidRPr="002E7621" w:rsidRDefault="00E90991" w:rsidP="002A37BB">
      <w:pPr>
        <w:ind w:left="720" w:hanging="720"/>
        <w:jc w:val="both"/>
        <w:rPr>
          <w:rFonts w:ascii="Avenir Next" w:hAnsi="Avenir Next" w:cs="Arial"/>
          <w:sz w:val="22"/>
          <w:szCs w:val="22"/>
          <w:lang w:val="en-GB"/>
        </w:rPr>
      </w:pP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2E7621" w:rsidRDefault="002E5175" w:rsidP="002E5175">
      <w:pPr>
        <w:jc w:val="both"/>
        <w:rPr>
          <w:rFonts w:ascii="Avenir Next" w:hAnsi="Avenir Next" w:cs="Arial"/>
          <w:sz w:val="22"/>
          <w:szCs w:val="22"/>
          <w:lang w:val="en-GB"/>
        </w:rPr>
      </w:pPr>
    </w:p>
    <w:p w14:paraId="20DD93A5" w14:textId="56608570" w:rsidR="007C7D7E" w:rsidRPr="00E937F3" w:rsidRDefault="00CE0BB3"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Where appropriate, insolvency practitioners should obtain professional and/or fidelity insurance, as doing so tracks the best interests of stakeholders. While professional </w:t>
      </w:r>
      <w:r w:rsidR="00EE69A0">
        <w:rPr>
          <w:rFonts w:ascii="Avenir Next" w:hAnsi="Avenir Next" w:cs="Arial"/>
          <w:color w:val="7B7B7B" w:themeColor="accent3" w:themeShade="BF"/>
          <w:sz w:val="22"/>
          <w:szCs w:val="22"/>
          <w:lang w:val="en-GB"/>
        </w:rPr>
        <w:t>indemnify</w:t>
      </w:r>
      <w:r>
        <w:rPr>
          <w:rFonts w:ascii="Avenir Next" w:hAnsi="Avenir Next" w:cs="Arial"/>
          <w:color w:val="7B7B7B" w:themeColor="accent3" w:themeShade="BF"/>
          <w:sz w:val="22"/>
          <w:szCs w:val="22"/>
          <w:lang w:val="en-GB"/>
        </w:rPr>
        <w:t xml:space="preserve"> insurance enable</w:t>
      </w:r>
      <w:r w:rsidR="00C12E26">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stakeholders to </w:t>
      </w:r>
      <w:r w:rsidR="00153EDD">
        <w:rPr>
          <w:rFonts w:ascii="Avenir Next" w:hAnsi="Avenir Next" w:cs="Arial"/>
          <w:color w:val="7B7B7B" w:themeColor="accent3" w:themeShade="BF"/>
          <w:sz w:val="22"/>
          <w:szCs w:val="22"/>
          <w:lang w:val="en-GB"/>
        </w:rPr>
        <w:t xml:space="preserve">cover the costs of initiating an action against a negligently acting insolvency </w:t>
      </w:r>
      <w:r w:rsidR="00560C5D">
        <w:rPr>
          <w:rFonts w:ascii="Avenir Next" w:hAnsi="Avenir Next" w:cs="Arial"/>
          <w:color w:val="7B7B7B" w:themeColor="accent3" w:themeShade="BF"/>
          <w:sz w:val="22"/>
          <w:szCs w:val="22"/>
          <w:lang w:val="en-GB"/>
        </w:rPr>
        <w:t>professional — where, for example, the duty of care is breached</w:t>
      </w:r>
      <w:r w:rsidR="00991263">
        <w:rPr>
          <w:rFonts w:ascii="Avenir Next" w:hAnsi="Avenir Next" w:cs="Arial"/>
          <w:color w:val="7B7B7B" w:themeColor="accent3" w:themeShade="BF"/>
          <w:sz w:val="22"/>
          <w:szCs w:val="22"/>
          <w:lang w:val="en-GB"/>
        </w:rPr>
        <w:t xml:space="preserve">. In contrast, fidelity </w:t>
      </w:r>
      <w:r w:rsidR="00560C5D">
        <w:rPr>
          <w:rFonts w:ascii="Avenir Next" w:hAnsi="Avenir Next" w:cs="Arial"/>
          <w:color w:val="7B7B7B" w:themeColor="accent3" w:themeShade="BF"/>
          <w:sz w:val="22"/>
          <w:szCs w:val="22"/>
          <w:lang w:val="en-GB"/>
        </w:rPr>
        <w:t xml:space="preserve">insurance protects the insolvency professional or his employees and agents from acting in a fraudulent manner (criminal or estate) </w:t>
      </w:r>
      <w:r w:rsidR="00467F3E">
        <w:rPr>
          <w:rFonts w:ascii="Avenir Next" w:hAnsi="Avenir Next" w:cs="Arial"/>
          <w:color w:val="7B7B7B" w:themeColor="accent3" w:themeShade="BF"/>
          <w:sz w:val="22"/>
          <w:szCs w:val="22"/>
          <w:lang w:val="en-GB"/>
        </w:rPr>
        <w:t>or from acting in a way that would defraud the bankruptcy estate. Insolvency professionals may use such insurance to protect themselves and stakeholders to cover the costs of such action</w:t>
      </w:r>
      <w:r w:rsidR="00E937F3">
        <w:rPr>
          <w:rFonts w:ascii="Avenir Next" w:hAnsi="Avenir Next" w:cs="Arial"/>
          <w:color w:val="7B7B7B" w:themeColor="accent3" w:themeShade="BF"/>
          <w:sz w:val="22"/>
          <w:szCs w:val="22"/>
          <w:lang w:val="en-GB"/>
        </w:rPr>
        <w:t xml:space="preserve">s. It is important for IPs to be able to protect the interest of </w:t>
      </w:r>
      <w:r w:rsidR="00E937F3">
        <w:rPr>
          <w:rFonts w:ascii="Avenir Next" w:hAnsi="Avenir Next" w:cs="Arial"/>
          <w:i/>
          <w:iCs/>
          <w:color w:val="7B7B7B" w:themeColor="accent3" w:themeShade="BF"/>
          <w:sz w:val="22"/>
          <w:szCs w:val="22"/>
          <w:lang w:val="en-GB"/>
        </w:rPr>
        <w:t>stakeholders</w:t>
      </w:r>
      <w:r w:rsidR="00E937F3">
        <w:rPr>
          <w:rFonts w:ascii="Avenir Next" w:hAnsi="Avenir Next" w:cs="Arial"/>
          <w:color w:val="7B7B7B" w:themeColor="accent3" w:themeShade="BF"/>
          <w:sz w:val="22"/>
          <w:szCs w:val="22"/>
          <w:lang w:val="en-GB"/>
        </w:rPr>
        <w:t xml:space="preserve"> based on potential misconduct </w:t>
      </w:r>
      <w:r w:rsidR="00066DBE">
        <w:rPr>
          <w:rFonts w:ascii="Avenir Next" w:hAnsi="Avenir Next" w:cs="Arial"/>
          <w:color w:val="7B7B7B" w:themeColor="accent3" w:themeShade="BF"/>
          <w:sz w:val="22"/>
          <w:szCs w:val="22"/>
          <w:lang w:val="en-GB"/>
        </w:rPr>
        <w:t xml:space="preserve">or fraudulent acts. </w:t>
      </w: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77777777" w:rsidR="00BA1E4F" w:rsidRPr="002E7621" w:rsidRDefault="00BA1E4F" w:rsidP="002A37BB">
      <w:pPr>
        <w:jc w:val="both"/>
        <w:rPr>
          <w:rFonts w:ascii="Avenir Next" w:hAnsi="Avenir Next" w:cs="Arial"/>
          <w:sz w:val="22"/>
          <w:szCs w:val="22"/>
        </w:rPr>
      </w:pPr>
    </w:p>
    <w:p w14:paraId="0EDF02D0" w14:textId="77777777" w:rsidR="00E8150C" w:rsidRDefault="008B7E9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principal of high moral and ethical standards</w:t>
      </w:r>
      <w:r w:rsidR="00C13189">
        <w:rPr>
          <w:rFonts w:ascii="Avenir Next" w:hAnsi="Avenir Next" w:cs="Arial"/>
          <w:color w:val="7B7B7B" w:themeColor="accent3" w:themeShade="BF"/>
          <w:sz w:val="22"/>
          <w:szCs w:val="22"/>
          <w:lang w:val="en-GB"/>
        </w:rPr>
        <w:t>, within the broad principle of integrity, requires an insolvency professional</w:t>
      </w:r>
      <w:r w:rsidR="00A944B1">
        <w:rPr>
          <w:rFonts w:ascii="Avenir Next" w:hAnsi="Avenir Next" w:cs="Arial"/>
          <w:color w:val="7B7B7B" w:themeColor="accent3" w:themeShade="BF"/>
          <w:sz w:val="22"/>
          <w:szCs w:val="22"/>
          <w:lang w:val="en-GB"/>
        </w:rPr>
        <w:t xml:space="preserve"> conduct themselves with </w:t>
      </w:r>
      <w:r w:rsidR="00A944B1">
        <w:rPr>
          <w:rFonts w:ascii="Avenir Next" w:hAnsi="Avenir Next" w:cs="Arial"/>
          <w:i/>
          <w:iCs/>
          <w:color w:val="7B7B7B" w:themeColor="accent3" w:themeShade="BF"/>
          <w:sz w:val="22"/>
          <w:szCs w:val="22"/>
          <w:lang w:val="en-GB"/>
        </w:rPr>
        <w:t xml:space="preserve">both, </w:t>
      </w:r>
      <w:r w:rsidR="00A944B1">
        <w:rPr>
          <w:rFonts w:ascii="Avenir Next" w:hAnsi="Avenir Next" w:cs="Arial"/>
          <w:color w:val="7B7B7B" w:themeColor="accent3" w:themeShade="BF"/>
          <w:sz w:val="22"/>
          <w:szCs w:val="22"/>
          <w:lang w:val="en-GB"/>
        </w:rPr>
        <w:t xml:space="preserve">morality — that is, what they personally believe might be right or wrong — AND </w:t>
      </w:r>
      <w:r w:rsidR="00A944B1">
        <w:rPr>
          <w:rFonts w:ascii="Avenir Next" w:hAnsi="Avenir Next" w:cs="Arial"/>
          <w:i/>
          <w:iCs/>
          <w:color w:val="7B7B7B" w:themeColor="accent3" w:themeShade="BF"/>
          <w:sz w:val="22"/>
          <w:szCs w:val="22"/>
          <w:lang w:val="en-GB"/>
        </w:rPr>
        <w:t>ethics — </w:t>
      </w:r>
      <w:r w:rsidR="00A944B1">
        <w:rPr>
          <w:rFonts w:ascii="Avenir Next" w:hAnsi="Avenir Next" w:cs="Arial"/>
          <w:color w:val="7B7B7B" w:themeColor="accent3" w:themeShade="BF"/>
          <w:sz w:val="22"/>
          <w:szCs w:val="22"/>
          <w:lang w:val="en-GB"/>
        </w:rPr>
        <w:t xml:space="preserve">which in turn </w:t>
      </w:r>
      <w:r w:rsidR="003F02EF">
        <w:rPr>
          <w:rFonts w:ascii="Avenir Next" w:hAnsi="Avenir Next" w:cs="Arial"/>
          <w:color w:val="7B7B7B" w:themeColor="accent3" w:themeShade="BF"/>
          <w:sz w:val="22"/>
          <w:szCs w:val="22"/>
          <w:lang w:val="en-GB"/>
        </w:rPr>
        <w:t>imposes a less subjective and more objective personal layer of how an insolvency professional should act. Both “morals” and “ethics” cover two different areas of integrity in an IP’s practice.</w:t>
      </w:r>
      <w:r w:rsidR="00E8150C">
        <w:rPr>
          <w:rFonts w:ascii="Avenir Next" w:hAnsi="Avenir Next" w:cs="Arial"/>
          <w:color w:val="7B7B7B" w:themeColor="accent3" w:themeShade="BF"/>
          <w:sz w:val="22"/>
          <w:szCs w:val="22"/>
          <w:lang w:val="en-GB"/>
        </w:rPr>
        <w:t xml:space="preserve"> What one person considers to be correct or right based on their personal set of beliefs may not, actually be ethical from a professional point of view. </w:t>
      </w:r>
    </w:p>
    <w:p w14:paraId="4DAD9AAA" w14:textId="77777777" w:rsidR="00E8150C" w:rsidRDefault="00E8150C" w:rsidP="002A37BB">
      <w:pPr>
        <w:jc w:val="both"/>
        <w:rPr>
          <w:rFonts w:ascii="Avenir Next" w:hAnsi="Avenir Next" w:cs="Arial"/>
          <w:color w:val="7B7B7B" w:themeColor="accent3" w:themeShade="BF"/>
          <w:sz w:val="22"/>
          <w:szCs w:val="22"/>
          <w:lang w:val="en-GB"/>
        </w:rPr>
      </w:pPr>
    </w:p>
    <w:p w14:paraId="4024A332" w14:textId="28CCBC6C" w:rsidR="00544127" w:rsidRPr="00E8150C" w:rsidRDefault="00E8150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such example is that of the duty of loyalty, which prohibits insolvency professions from effectively engaging in a manner that could benefit them in </w:t>
      </w:r>
      <w:r w:rsidR="00F90387">
        <w:rPr>
          <w:rFonts w:ascii="Avenir Next" w:hAnsi="Avenir Next" w:cs="Arial"/>
          <w:color w:val="7B7B7B" w:themeColor="accent3" w:themeShade="BF"/>
          <w:sz w:val="22"/>
          <w:szCs w:val="22"/>
          <w:lang w:val="en-GB"/>
        </w:rPr>
        <w:t>place</w:t>
      </w:r>
      <w:r>
        <w:rPr>
          <w:rFonts w:ascii="Avenir Next" w:hAnsi="Avenir Next" w:cs="Arial"/>
          <w:color w:val="7B7B7B" w:themeColor="accent3" w:themeShade="BF"/>
          <w:sz w:val="22"/>
          <w:szCs w:val="22"/>
          <w:lang w:val="en-GB"/>
        </w:rPr>
        <w:t xml:space="preserve"> of the corporation. An insolvency professional may believe it is </w:t>
      </w:r>
      <w:r>
        <w:rPr>
          <w:rFonts w:ascii="Avenir Next" w:hAnsi="Avenir Next" w:cs="Arial"/>
          <w:i/>
          <w:iCs/>
          <w:color w:val="7B7B7B" w:themeColor="accent3" w:themeShade="BF"/>
          <w:sz w:val="22"/>
          <w:szCs w:val="22"/>
          <w:lang w:val="en-GB"/>
        </w:rPr>
        <w:t>moral</w:t>
      </w:r>
      <w:r>
        <w:rPr>
          <w:rFonts w:ascii="Avenir Next" w:hAnsi="Avenir Next" w:cs="Arial"/>
          <w:color w:val="7B7B7B" w:themeColor="accent3" w:themeShade="BF"/>
          <w:sz w:val="22"/>
          <w:szCs w:val="22"/>
          <w:lang w:val="en-GB"/>
        </w:rPr>
        <w:t xml:space="preserve"> to act in a manner that may breach this duty by loaning personal funds to the debtor or </w:t>
      </w:r>
      <w:r w:rsidR="00F90387">
        <w:rPr>
          <w:rFonts w:ascii="Avenir Next" w:hAnsi="Avenir Next" w:cs="Arial"/>
          <w:color w:val="7B7B7B" w:themeColor="accent3" w:themeShade="BF"/>
          <w:sz w:val="22"/>
          <w:szCs w:val="22"/>
          <w:lang w:val="en-GB"/>
        </w:rPr>
        <w:t>insolvent</w:t>
      </w:r>
      <w:r>
        <w:rPr>
          <w:rFonts w:ascii="Avenir Next" w:hAnsi="Avenir Next" w:cs="Arial"/>
          <w:color w:val="7B7B7B" w:themeColor="accent3" w:themeShade="BF"/>
          <w:sz w:val="22"/>
          <w:szCs w:val="22"/>
          <w:lang w:val="en-GB"/>
        </w:rPr>
        <w:t xml:space="preserve"> company in order to save jobs or protect stakeholders. However, while this may be a moral act in the </w:t>
      </w:r>
      <w:r w:rsidR="00F90387">
        <w:rPr>
          <w:rFonts w:ascii="Avenir Next" w:hAnsi="Avenir Next" w:cs="Arial"/>
          <w:color w:val="7B7B7B" w:themeColor="accent3" w:themeShade="BF"/>
          <w:sz w:val="22"/>
          <w:szCs w:val="22"/>
          <w:lang w:val="en-GB"/>
        </w:rPr>
        <w:t xml:space="preserve">subjective insolvency </w:t>
      </w:r>
      <w:r w:rsidR="00F90387">
        <w:rPr>
          <w:rFonts w:ascii="Avenir Next" w:hAnsi="Avenir Next" w:cs="Arial"/>
          <w:color w:val="7B7B7B" w:themeColor="accent3" w:themeShade="BF"/>
          <w:sz w:val="22"/>
          <w:szCs w:val="22"/>
          <w:lang w:val="en-GB"/>
        </w:rPr>
        <w:lastRenderedPageBreak/>
        <w:t xml:space="preserve">professional, doing so would actually be a breach of the ethical requirements of an insolvency professional as it would violate their duty not to engage in any self-dealing transactions. Since one act may be moral to one person but not necessarily moral to the industry as a whole, it is important to separate both concepts — and include both concepts — in the ethical principles that govern how insolvency professionals should act. </w:t>
      </w: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26F30A9" w14:textId="77777777" w:rsidR="00132584" w:rsidRPr="002E7621" w:rsidRDefault="00132584" w:rsidP="002A37BB">
      <w:pPr>
        <w:jc w:val="both"/>
        <w:rPr>
          <w:rFonts w:ascii="Avenir Next" w:hAnsi="Avenir Next" w:cs="Arial"/>
          <w:sz w:val="22"/>
          <w:szCs w:val="22"/>
        </w:rPr>
      </w:pPr>
    </w:p>
    <w:p w14:paraId="1F291CA3" w14:textId="57CE8C3D" w:rsidR="007105FB" w:rsidRDefault="000C7950" w:rsidP="000C795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Insolvency professionals often run the risk of being perceived or seen as biased or partial, with a lack of independence, especially where they begin working on an insolvency matter with some degree of familiarity with the company. </w:t>
      </w:r>
      <w:r w:rsidR="001E48A3">
        <w:rPr>
          <w:rFonts w:ascii="Avenir Next" w:hAnsi="Avenir Next" w:cs="Arial"/>
          <w:color w:val="7B7B7B" w:themeColor="accent3" w:themeShade="BF"/>
          <w:sz w:val="22"/>
          <w:szCs w:val="22"/>
          <w:lang w:val="en-GB"/>
        </w:rPr>
        <w:t>Inevitably</w:t>
      </w:r>
      <w:r>
        <w:rPr>
          <w:rFonts w:ascii="Avenir Next" w:hAnsi="Avenir Next" w:cs="Arial"/>
          <w:color w:val="7B7B7B" w:themeColor="accent3" w:themeShade="BF"/>
          <w:sz w:val="22"/>
          <w:szCs w:val="22"/>
          <w:lang w:val="en-GB"/>
        </w:rPr>
        <w:t>,</w:t>
      </w:r>
      <w:r w:rsidR="001E48A3">
        <w:rPr>
          <w:rFonts w:ascii="Avenir Next" w:hAnsi="Avenir Next" w:cs="Arial"/>
          <w:color w:val="7B7B7B" w:themeColor="accent3" w:themeShade="BF"/>
          <w:sz w:val="22"/>
          <w:szCs w:val="22"/>
          <w:lang w:val="en-GB"/>
        </w:rPr>
        <w:t xml:space="preserve"> given that appointments of insolvency professionals are not always — in and of themselves — impartial or independent,</w:t>
      </w:r>
      <w:r>
        <w:rPr>
          <w:rFonts w:ascii="Avenir Next" w:hAnsi="Avenir Next" w:cs="Arial"/>
          <w:color w:val="7B7B7B" w:themeColor="accent3" w:themeShade="BF"/>
          <w:sz w:val="22"/>
          <w:szCs w:val="22"/>
          <w:lang w:val="en-GB"/>
        </w:rPr>
        <w:t xml:space="preserve"> parties could question a pre-existing </w:t>
      </w:r>
      <w:r w:rsidR="001E48A3">
        <w:rPr>
          <w:rFonts w:ascii="Avenir Next" w:hAnsi="Avenir Next" w:cs="Arial"/>
          <w:color w:val="7B7B7B" w:themeColor="accent3" w:themeShade="BF"/>
          <w:sz w:val="22"/>
          <w:szCs w:val="22"/>
          <w:lang w:val="en-GB"/>
        </w:rPr>
        <w:t>relationship</w:t>
      </w:r>
      <w:r>
        <w:rPr>
          <w:rFonts w:ascii="Avenir Next" w:hAnsi="Avenir Next" w:cs="Arial"/>
          <w:color w:val="7B7B7B" w:themeColor="accent3" w:themeShade="BF"/>
          <w:sz w:val="22"/>
          <w:szCs w:val="22"/>
          <w:lang w:val="en-GB"/>
        </w:rPr>
        <w:t xml:space="preserve"> the professional may share </w:t>
      </w:r>
      <w:r w:rsidR="007105FB">
        <w:rPr>
          <w:rFonts w:ascii="Avenir Next" w:hAnsi="Avenir Next" w:cs="Arial"/>
          <w:color w:val="7B7B7B" w:themeColor="accent3" w:themeShade="BF"/>
          <w:sz w:val="22"/>
          <w:szCs w:val="22"/>
          <w:lang w:val="en-GB"/>
        </w:rPr>
        <w:t xml:space="preserve">with other </w:t>
      </w:r>
      <w:r w:rsidR="001E48A3">
        <w:rPr>
          <w:rFonts w:ascii="Avenir Next" w:hAnsi="Avenir Next" w:cs="Arial"/>
          <w:color w:val="7B7B7B" w:themeColor="accent3" w:themeShade="BF"/>
          <w:sz w:val="22"/>
          <w:szCs w:val="22"/>
          <w:lang w:val="en-GB"/>
        </w:rPr>
        <w:t>stakeholders</w:t>
      </w:r>
      <w:r w:rsidR="007105FB">
        <w:rPr>
          <w:rFonts w:ascii="Avenir Next" w:hAnsi="Avenir Next" w:cs="Arial"/>
          <w:color w:val="7B7B7B" w:themeColor="accent3" w:themeShade="BF"/>
          <w:sz w:val="22"/>
          <w:szCs w:val="22"/>
          <w:lang w:val="en-GB"/>
        </w:rPr>
        <w:t xml:space="preserve">, given the risk that the IP would act on behalf of those individuals or in a personal manner, and not pursuant to their own duties to be </w:t>
      </w:r>
      <w:r w:rsidR="001E48A3">
        <w:rPr>
          <w:rFonts w:ascii="Avenir Next" w:hAnsi="Avenir Next" w:cs="Arial"/>
          <w:color w:val="7B7B7B" w:themeColor="accent3" w:themeShade="BF"/>
          <w:sz w:val="22"/>
          <w:szCs w:val="22"/>
          <w:lang w:val="en-GB"/>
        </w:rPr>
        <w:t>uninfluenced</w:t>
      </w:r>
      <w:r w:rsidR="007105FB">
        <w:rPr>
          <w:rFonts w:ascii="Avenir Next" w:hAnsi="Avenir Next" w:cs="Arial"/>
          <w:color w:val="7B7B7B" w:themeColor="accent3" w:themeShade="BF"/>
          <w:sz w:val="22"/>
          <w:szCs w:val="22"/>
          <w:lang w:val="en-GB"/>
        </w:rPr>
        <w:t xml:space="preserve"> and impartial. In an insolvency context, it is often the case that prior to acting as an insolvency professional, the IP was associated with (either professional or personally) a company shareholder, employee, business partner, creditor, or even </w:t>
      </w:r>
      <w:r w:rsidR="001E4965">
        <w:rPr>
          <w:rFonts w:ascii="Avenir Next" w:hAnsi="Avenir Next" w:cs="Arial"/>
          <w:color w:val="7B7B7B" w:themeColor="accent3" w:themeShade="BF"/>
          <w:sz w:val="22"/>
          <w:szCs w:val="22"/>
          <w:lang w:val="en-GB"/>
        </w:rPr>
        <w:t xml:space="preserve">the relatives of officials. </w:t>
      </w:r>
    </w:p>
    <w:p w14:paraId="2F935142" w14:textId="77777777" w:rsidR="007105FB" w:rsidRDefault="007105FB" w:rsidP="000C7950">
      <w:pPr>
        <w:jc w:val="both"/>
        <w:rPr>
          <w:rFonts w:ascii="Avenir Next" w:hAnsi="Avenir Next" w:cs="Arial"/>
          <w:color w:val="7B7B7B" w:themeColor="accent3" w:themeShade="BF"/>
          <w:sz w:val="22"/>
          <w:szCs w:val="22"/>
          <w:lang w:val="en-GB"/>
        </w:rPr>
      </w:pPr>
    </w:p>
    <w:p w14:paraId="0A7384C6" w14:textId="50FA9FA1" w:rsidR="001E4965" w:rsidRDefault="003B6A3D" w:rsidP="000C795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such example can be found in the case, Royal Bank of Scotland v TT International Ltd. In that matter, the </w:t>
      </w:r>
      <w:r w:rsidR="00D23277">
        <w:rPr>
          <w:rFonts w:ascii="Avenir Next" w:hAnsi="Avenir Next" w:cs="Arial"/>
          <w:color w:val="7B7B7B" w:themeColor="accent3" w:themeShade="BF"/>
          <w:sz w:val="22"/>
          <w:szCs w:val="22"/>
          <w:lang w:val="en-GB"/>
        </w:rPr>
        <w:t xml:space="preserve">court held that the insolvency professional not acing impartially r independently when his own personal “interests aligned with those of the </w:t>
      </w:r>
      <w:r w:rsidR="001E48A3">
        <w:rPr>
          <w:rFonts w:ascii="Avenir Next" w:hAnsi="Avenir Next" w:cs="Arial"/>
          <w:color w:val="7B7B7B" w:themeColor="accent3" w:themeShade="BF"/>
          <w:sz w:val="22"/>
          <w:szCs w:val="22"/>
          <w:lang w:val="en-GB"/>
        </w:rPr>
        <w:t>company” when</w:t>
      </w:r>
      <w:r w:rsidR="00D23277">
        <w:rPr>
          <w:rFonts w:ascii="Avenir Next" w:hAnsi="Avenir Next" w:cs="Arial"/>
          <w:color w:val="7B7B7B" w:themeColor="accent3" w:themeShade="BF"/>
          <w:sz w:val="22"/>
          <w:szCs w:val="22"/>
          <w:lang w:val="en-GB"/>
        </w:rPr>
        <w:t xml:space="preserve"> he was appointed by two shareholders</w:t>
      </w:r>
      <w:r w:rsidR="00FF6B4F">
        <w:rPr>
          <w:rFonts w:ascii="Avenir Next" w:hAnsi="Avenir Next" w:cs="Arial"/>
          <w:color w:val="7B7B7B" w:themeColor="accent3" w:themeShade="BF"/>
          <w:sz w:val="22"/>
          <w:szCs w:val="22"/>
          <w:lang w:val="en-GB"/>
        </w:rPr>
        <w:t xml:space="preserve"> who constituted the company’s management, as opposed to being appointed my creditors, and more critically, he acted as a nominee on behalf of the two shareholders who appointed him. This conflict of interest, the court found, would have threatened the insolvency professional from acting in a presumptively impartial and independent manner.</w:t>
      </w:r>
      <w:r w:rsidR="00A47889">
        <w:rPr>
          <w:rStyle w:val="FootnoteReference"/>
          <w:rFonts w:ascii="Avenir Next" w:hAnsi="Avenir Next" w:cs="Arial"/>
          <w:color w:val="7B7B7B" w:themeColor="accent3" w:themeShade="BF"/>
          <w:sz w:val="22"/>
          <w:szCs w:val="22"/>
          <w:lang w:val="en-GB"/>
        </w:rPr>
        <w:footnoteReference w:id="1"/>
      </w:r>
      <w:r w:rsidR="00BA5429">
        <w:rPr>
          <w:rFonts w:ascii="Avenir Next" w:hAnsi="Avenir Next" w:cs="Arial"/>
          <w:color w:val="7B7B7B" w:themeColor="accent3" w:themeShade="BF"/>
          <w:sz w:val="22"/>
          <w:szCs w:val="22"/>
          <w:lang w:val="en-GB"/>
        </w:rPr>
        <w:t xml:space="preserve"> </w:t>
      </w:r>
    </w:p>
    <w:p w14:paraId="3F736F6A" w14:textId="77777777" w:rsidR="001E4965" w:rsidRDefault="001E4965" w:rsidP="000C7950">
      <w:pPr>
        <w:jc w:val="both"/>
        <w:rPr>
          <w:rFonts w:ascii="Avenir Next" w:hAnsi="Avenir Next" w:cs="Arial"/>
          <w:color w:val="7B7B7B" w:themeColor="accent3" w:themeShade="BF"/>
          <w:sz w:val="22"/>
          <w:szCs w:val="22"/>
          <w:lang w:val="en-GB"/>
        </w:rPr>
      </w:pPr>
    </w:p>
    <w:p w14:paraId="44D4B432" w14:textId="0C976E0F" w:rsidR="00F30945" w:rsidRPr="00A47889" w:rsidRDefault="001E4965" w:rsidP="000C795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another example,</w:t>
      </w:r>
      <w:r w:rsidR="00BA5429">
        <w:rPr>
          <w:rFonts w:ascii="Avenir Next" w:hAnsi="Avenir Next" w:cs="Arial"/>
          <w:color w:val="7B7B7B" w:themeColor="accent3" w:themeShade="BF"/>
          <w:sz w:val="22"/>
          <w:szCs w:val="22"/>
          <w:lang w:val="en-GB"/>
        </w:rPr>
        <w:t xml:space="preserve"> in its 1988 General Insolvency Inquiry, the Australian Law Reform Commission</w:t>
      </w:r>
      <w:r>
        <w:rPr>
          <w:rFonts w:ascii="Avenir Next" w:hAnsi="Avenir Next" w:cs="Arial"/>
          <w:color w:val="7B7B7B" w:themeColor="accent3" w:themeShade="BF"/>
          <w:sz w:val="22"/>
          <w:szCs w:val="22"/>
          <w:lang w:val="en-GB"/>
        </w:rPr>
        <w:t xml:space="preserve"> highlighted </w:t>
      </w:r>
      <w:r w:rsidR="00F138E6">
        <w:rPr>
          <w:rFonts w:ascii="Avenir Next" w:hAnsi="Avenir Next" w:cs="Arial"/>
          <w:color w:val="7B7B7B" w:themeColor="accent3" w:themeShade="BF"/>
          <w:sz w:val="22"/>
          <w:szCs w:val="22"/>
          <w:lang w:val="en-GB"/>
        </w:rPr>
        <w:t xml:space="preserve">that some contributors opposed the selection of an insolvency professional by a company director because there is a risk the IP will not act impartially, or on behalf of directors whose mismanagement resulted in the insolvency, or </w:t>
      </w:r>
      <w:r w:rsidR="00F30945">
        <w:rPr>
          <w:rFonts w:ascii="Avenir Next" w:hAnsi="Avenir Next" w:cs="Arial"/>
          <w:color w:val="7B7B7B" w:themeColor="accent3" w:themeShade="BF"/>
          <w:sz w:val="22"/>
          <w:szCs w:val="22"/>
          <w:lang w:val="en-GB"/>
        </w:rPr>
        <w:t>where a person who has already been appointed in a different capacity by creditors would not be able to detach from that prior role entirely.</w:t>
      </w:r>
      <w:r w:rsidR="00A47889">
        <w:rPr>
          <w:rStyle w:val="FootnoteReference"/>
          <w:rFonts w:ascii="Avenir Next" w:hAnsi="Avenir Next" w:cs="Arial"/>
          <w:color w:val="7B7B7B" w:themeColor="accent3" w:themeShade="BF"/>
          <w:sz w:val="22"/>
          <w:szCs w:val="22"/>
          <w:lang w:val="en-GB"/>
        </w:rPr>
        <w:footnoteReference w:id="2"/>
      </w:r>
    </w:p>
    <w:p w14:paraId="1C7D9551" w14:textId="77777777" w:rsidR="004F7AAE" w:rsidRPr="002E7621" w:rsidRDefault="004F7AAE" w:rsidP="002A37BB">
      <w:pPr>
        <w:jc w:val="both"/>
        <w:rPr>
          <w:rFonts w:ascii="Avenir Next" w:hAnsi="Avenir Next" w:cs="Arial"/>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WeBuild Ltd is a private company registered in Eurafriclia.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 xml:space="preserve">business. Mr B Inlaw, Dr I Dontcare and Mrs I Relevant are the directors of the company. </w:t>
      </w:r>
      <w:r w:rsidRPr="002E7621">
        <w:rPr>
          <w:rFonts w:ascii="Avenir Next" w:hAnsi="Avenir Next" w:cs="Arial"/>
          <w:sz w:val="22"/>
          <w:szCs w:val="22"/>
          <w:lang w:val="en-GB"/>
        </w:rPr>
        <w:lastRenderedPageBreak/>
        <w:t>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Inlaw and Dr I Dontcare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decline is the fact that several of the company’s employees have instituted a class action claim against WeBuild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087F21">
      <w:pPr>
        <w:jc w:val="both"/>
        <w:rPr>
          <w:rFonts w:ascii="Avenir Next" w:hAnsi="Avenir Next" w:cs="Arial"/>
          <w:sz w:val="22"/>
          <w:szCs w:val="22"/>
          <w:lang w:val="en-GB"/>
        </w:rPr>
      </w:pPr>
    </w:p>
    <w:p w14:paraId="57A9B3BE" w14:textId="7DF278C1"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to provide them with information and advice in relation to their options. Some of the shareholders recognised Mr Relation as Mr B Inlaw’s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enter into a voluntary administration procedure. Mr B Inlaw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Inlaw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 </w:t>
      </w:r>
      <w:r w:rsidR="00795762" w:rsidRPr="002E7621">
        <w:rPr>
          <w:rFonts w:ascii="Avenir Next" w:hAnsi="Avenir Next" w:cs="Arial"/>
          <w:sz w:val="22"/>
          <w:szCs w:val="22"/>
          <w:lang w:val="en-GB"/>
        </w:rPr>
        <w:t xml:space="preserve">An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087F21">
      <w:pPr>
        <w:jc w:val="both"/>
        <w:rPr>
          <w:rFonts w:ascii="Avenir Next" w:hAnsi="Avenir Next" w:cs="Arial"/>
          <w:sz w:val="22"/>
          <w:szCs w:val="22"/>
          <w:lang w:val="en-GB"/>
        </w:rPr>
      </w:pPr>
    </w:p>
    <w:p w14:paraId="7516C386" w14:textId="4373ADB1"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Pr="002E7621"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2E7621" w:rsidRDefault="00DC7F76" w:rsidP="00087F21">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WeBuild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087F21">
      <w:pPr>
        <w:autoSpaceDE w:val="0"/>
        <w:autoSpaceDN w:val="0"/>
        <w:adjustRightInd w:val="0"/>
        <w:jc w:val="both"/>
        <w:rPr>
          <w:rFonts w:ascii="Avenir Next" w:hAnsi="Avenir Next" w:cs="Arial"/>
          <w:sz w:val="22"/>
          <w:szCs w:val="22"/>
          <w:lang w:val="en-GB"/>
        </w:rPr>
      </w:pPr>
      <w:bookmarkStart w:id="0" w:name="_Hlk17745211"/>
    </w:p>
    <w:p w14:paraId="626FA5C6" w14:textId="4952E5FB" w:rsidR="002D3473" w:rsidRPr="004D52F9" w:rsidRDefault="00231871" w:rsidP="00087F21">
      <w:pPr>
        <w:autoSpaceDE w:val="0"/>
        <w:autoSpaceDN w:val="0"/>
        <w:adjustRightInd w:val="0"/>
        <w:jc w:val="both"/>
        <w:rPr>
          <w:rFonts w:ascii="Avenir Next" w:hAnsi="Avenir Next" w:cs="Arial"/>
          <w:b/>
          <w:bCs/>
          <w:color w:val="808080" w:themeColor="background1" w:themeShade="80"/>
          <w:sz w:val="22"/>
          <w:szCs w:val="22"/>
          <w:u w:val="single"/>
          <w:lang w:val="en-GB"/>
        </w:rPr>
      </w:pPr>
      <w:r w:rsidRPr="004D52F9">
        <w:rPr>
          <w:rFonts w:ascii="Avenir Next" w:hAnsi="Avenir Next" w:cs="Arial"/>
          <w:b/>
          <w:bCs/>
          <w:color w:val="808080" w:themeColor="background1" w:themeShade="80"/>
          <w:sz w:val="22"/>
          <w:szCs w:val="22"/>
          <w:u w:val="single"/>
          <w:lang w:val="en-GB"/>
        </w:rPr>
        <w:t xml:space="preserve">Issue: Mr. Relation’s Appointment </w:t>
      </w:r>
    </w:p>
    <w:p w14:paraId="69DB47B4" w14:textId="6F0DB48B" w:rsidR="00F13DB2" w:rsidRDefault="00981286" w:rsidP="00F13DB2">
      <w:pPr>
        <w:pStyle w:val="ListParagraph"/>
        <w:numPr>
          <w:ilvl w:val="0"/>
          <w:numId w:val="33"/>
        </w:numPr>
        <w:autoSpaceDE w:val="0"/>
        <w:autoSpaceDN w:val="0"/>
        <w:adjustRightInd w:val="0"/>
        <w:jc w:val="both"/>
        <w:rPr>
          <w:rFonts w:ascii="Avenir Next" w:hAnsi="Avenir Next" w:cs="Arial"/>
          <w:color w:val="808080" w:themeColor="background1" w:themeShade="80"/>
          <w:sz w:val="22"/>
          <w:szCs w:val="22"/>
          <w:lang w:val="en-GB"/>
        </w:rPr>
      </w:pPr>
      <w:r w:rsidRPr="00111BD5">
        <w:rPr>
          <w:rFonts w:ascii="Avenir Next" w:hAnsi="Avenir Next" w:cs="Arial"/>
          <w:b/>
          <w:bCs/>
          <w:color w:val="808080" w:themeColor="background1" w:themeShade="80"/>
          <w:sz w:val="22"/>
          <w:szCs w:val="22"/>
          <w:lang w:val="en-GB"/>
        </w:rPr>
        <w:t>Impartial and Independent:</w:t>
      </w:r>
      <w:r>
        <w:rPr>
          <w:rFonts w:ascii="Avenir Next" w:hAnsi="Avenir Next" w:cs="Arial"/>
          <w:color w:val="808080" w:themeColor="background1" w:themeShade="80"/>
          <w:sz w:val="22"/>
          <w:szCs w:val="22"/>
          <w:lang w:val="en-GB"/>
        </w:rPr>
        <w:t xml:space="preserve"> </w:t>
      </w:r>
      <w:r w:rsidR="005F40EF">
        <w:rPr>
          <w:rFonts w:ascii="Avenir Next" w:hAnsi="Avenir Next" w:cs="Arial"/>
          <w:color w:val="808080" w:themeColor="background1" w:themeShade="80"/>
          <w:sz w:val="22"/>
          <w:szCs w:val="22"/>
          <w:lang w:val="en-GB"/>
        </w:rPr>
        <w:t xml:space="preserve">At issue is whether Mr. Relation’s conduct </w:t>
      </w:r>
      <w:r w:rsidR="00B54F84">
        <w:rPr>
          <w:rFonts w:ascii="Avenir Next" w:hAnsi="Avenir Next" w:cs="Arial"/>
          <w:color w:val="808080" w:themeColor="background1" w:themeShade="80"/>
          <w:sz w:val="22"/>
          <w:szCs w:val="22"/>
          <w:lang w:val="en-GB"/>
        </w:rPr>
        <w:t xml:space="preserve">and appointment </w:t>
      </w:r>
      <w:r w:rsidR="005F40EF">
        <w:rPr>
          <w:rFonts w:ascii="Avenir Next" w:hAnsi="Avenir Next" w:cs="Arial"/>
          <w:color w:val="808080" w:themeColor="background1" w:themeShade="80"/>
          <w:sz w:val="22"/>
          <w:szCs w:val="22"/>
          <w:lang w:val="en-GB"/>
        </w:rPr>
        <w:t xml:space="preserve">could be seen as unfair or improperly biased towards his appointers. Under Principle 2 (Objectivity, </w:t>
      </w:r>
      <w:r w:rsidR="00111BD5">
        <w:rPr>
          <w:rFonts w:ascii="Avenir Next" w:hAnsi="Avenir Next" w:cs="Arial"/>
          <w:color w:val="808080" w:themeColor="background1" w:themeShade="80"/>
          <w:sz w:val="22"/>
          <w:szCs w:val="22"/>
          <w:lang w:val="en-GB"/>
        </w:rPr>
        <w:t>Independence</w:t>
      </w:r>
      <w:r w:rsidR="005F40EF">
        <w:rPr>
          <w:rFonts w:ascii="Avenir Next" w:hAnsi="Avenir Next" w:cs="Arial"/>
          <w:color w:val="808080" w:themeColor="background1" w:themeShade="80"/>
          <w:sz w:val="22"/>
          <w:szCs w:val="22"/>
          <w:lang w:val="en-GB"/>
        </w:rPr>
        <w:t xml:space="preserve"> and Impartiality), </w:t>
      </w:r>
      <w:r w:rsidR="00111BD5">
        <w:rPr>
          <w:rFonts w:ascii="Avenir Next" w:hAnsi="Avenir Next" w:cs="Arial"/>
          <w:color w:val="808080" w:themeColor="background1" w:themeShade="80"/>
          <w:sz w:val="22"/>
          <w:szCs w:val="22"/>
          <w:lang w:val="en-GB"/>
        </w:rPr>
        <w:t xml:space="preserve">an insolvency professional should not be seen to be unfairly or improperly biased towards any party, and more appropriately, should not accept an appointment in connection with any estate if his relationship with the interested parties or stakeholders in the company could give a rise to any possible, </w:t>
      </w:r>
      <w:r w:rsidR="00111BD5">
        <w:rPr>
          <w:rFonts w:ascii="Avenir Next" w:hAnsi="Avenir Next" w:cs="Arial"/>
          <w:i/>
          <w:iCs/>
          <w:color w:val="808080" w:themeColor="background1" w:themeShade="80"/>
          <w:sz w:val="22"/>
          <w:szCs w:val="22"/>
          <w:lang w:val="en-GB"/>
        </w:rPr>
        <w:t>or even perceived</w:t>
      </w:r>
      <w:r w:rsidR="00111BD5">
        <w:rPr>
          <w:rFonts w:ascii="Avenir Next" w:hAnsi="Avenir Next" w:cs="Arial"/>
          <w:color w:val="808080" w:themeColor="background1" w:themeShade="80"/>
          <w:sz w:val="22"/>
          <w:szCs w:val="22"/>
          <w:lang w:val="en-GB"/>
        </w:rPr>
        <w:t xml:space="preserve">, lack of independence. Under the principles of independence and impartiality, an insolvency professional must take care not to be seen or perceived in a non-independent way and avoid any kind of personal or professional connection that could adversely influence or impede their ability to act in an impartial manner. </w:t>
      </w:r>
    </w:p>
    <w:p w14:paraId="1A6ECF1C" w14:textId="77777777" w:rsidR="00F13DB2" w:rsidRDefault="00F13DB2" w:rsidP="00F13DB2">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682CE0FE" w14:textId="421E0CD1" w:rsidR="00F13DB2" w:rsidRDefault="00F13DB2" w:rsidP="00F13DB2">
      <w:pPr>
        <w:pStyle w:val="ListParagraph"/>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Pr>
          <w:rFonts w:ascii="Avenir Next" w:hAnsi="Avenir Next" w:cs="Arial"/>
          <w:i/>
          <w:iCs/>
          <w:color w:val="808080" w:themeColor="background1" w:themeShade="80"/>
          <w:sz w:val="22"/>
          <w:szCs w:val="22"/>
          <w:lang w:val="en-GB"/>
        </w:rPr>
        <w:t>Royal Bank of Scotland v. TT International</w:t>
      </w:r>
      <w:r>
        <w:rPr>
          <w:rFonts w:ascii="Avenir Next" w:hAnsi="Avenir Next" w:cs="Arial"/>
          <w:color w:val="808080" w:themeColor="background1" w:themeShade="80"/>
          <w:sz w:val="22"/>
          <w:szCs w:val="22"/>
          <w:lang w:val="en-GB"/>
        </w:rPr>
        <w:t xml:space="preserve">, the Singapore Court found that a scheme manger’s </w:t>
      </w:r>
      <w:r>
        <w:rPr>
          <w:rFonts w:ascii="Avenir Next" w:hAnsi="Avenir Next" w:cs="Arial"/>
          <w:color w:val="7B7B7B" w:themeColor="accent3" w:themeShade="BF"/>
          <w:sz w:val="22"/>
          <w:szCs w:val="22"/>
          <w:lang w:val="en-GB"/>
        </w:rPr>
        <w:t xml:space="preserve">personal “interests aligned with those of the company” when he was appointed by two shareholders who constituted the company’s management. This fact pattern also applies under our facts: Mr. </w:t>
      </w:r>
      <w:r w:rsidR="0024190C">
        <w:rPr>
          <w:rFonts w:ascii="Avenir Next" w:hAnsi="Avenir Next" w:cs="Arial"/>
          <w:color w:val="7B7B7B" w:themeColor="accent3" w:themeShade="BF"/>
          <w:sz w:val="22"/>
          <w:szCs w:val="22"/>
          <w:lang w:val="en-GB"/>
        </w:rPr>
        <w:t>Relation</w:t>
      </w:r>
      <w:r>
        <w:rPr>
          <w:rFonts w:ascii="Avenir Next" w:hAnsi="Avenir Next" w:cs="Arial"/>
          <w:color w:val="7B7B7B" w:themeColor="accent3" w:themeShade="BF"/>
          <w:sz w:val="22"/>
          <w:szCs w:val="22"/>
          <w:lang w:val="en-GB"/>
        </w:rPr>
        <w:t xml:space="preserve"> was ultimately appointed by a shareholder who brought him in to provide information and advice about WeBuild’s financial distress. His appointment was proposed by B InLaw. Moreover, there is little possibility that Mr. Relation could have avoided any appearance of impartiality or </w:t>
      </w:r>
      <w:r w:rsidR="0024190C">
        <w:rPr>
          <w:rFonts w:ascii="Avenir Next" w:hAnsi="Avenir Next" w:cs="Arial"/>
          <w:color w:val="7B7B7B" w:themeColor="accent3" w:themeShade="BF"/>
          <w:sz w:val="22"/>
          <w:szCs w:val="22"/>
          <w:lang w:val="en-GB"/>
        </w:rPr>
        <w:t>impropriety</w:t>
      </w:r>
      <w:r>
        <w:rPr>
          <w:rFonts w:ascii="Avenir Next" w:hAnsi="Avenir Next" w:cs="Arial"/>
          <w:color w:val="7B7B7B" w:themeColor="accent3" w:themeShade="BF"/>
          <w:sz w:val="22"/>
          <w:szCs w:val="22"/>
          <w:lang w:val="en-GB"/>
        </w:rPr>
        <w:t xml:space="preserve">: </w:t>
      </w:r>
      <w:r w:rsidR="0024190C">
        <w:rPr>
          <w:rFonts w:ascii="Avenir Next" w:hAnsi="Avenir Next" w:cs="Arial"/>
          <w:color w:val="7B7B7B" w:themeColor="accent3" w:themeShade="BF"/>
          <w:sz w:val="22"/>
          <w:szCs w:val="22"/>
          <w:lang w:val="en-GB"/>
        </w:rPr>
        <w:t>shareholders</w:t>
      </w:r>
      <w:r>
        <w:rPr>
          <w:rFonts w:ascii="Avenir Next" w:hAnsi="Avenir Next" w:cs="Arial"/>
          <w:color w:val="7B7B7B" w:themeColor="accent3" w:themeShade="BF"/>
          <w:sz w:val="22"/>
          <w:szCs w:val="22"/>
          <w:lang w:val="en-GB"/>
        </w:rPr>
        <w:t xml:space="preserve"> knew that he was related to B InLaw, and as the godfather of Mr. B Inlaw’s daughter, Mr. Relation would conceivably put his family member’s interests above those of the company — even though he proclaimed to act with independence and impartiality. Even if Mr. Relation’s </w:t>
      </w:r>
      <w:r>
        <w:rPr>
          <w:rFonts w:ascii="Avenir Next" w:hAnsi="Avenir Next" w:cs="Arial"/>
          <w:color w:val="7B7B7B" w:themeColor="accent3" w:themeShade="BF"/>
          <w:sz w:val="22"/>
          <w:szCs w:val="22"/>
          <w:lang w:val="en-GB"/>
        </w:rPr>
        <w:pgNum/>
        <w:t xml:space="preserve">eclaration was sufficient, he still privately consulted with Mr. B InLaw and </w:t>
      </w:r>
      <w:r w:rsidR="0024190C">
        <w:rPr>
          <w:rFonts w:ascii="Avenir Next" w:hAnsi="Avenir Next" w:cs="Arial"/>
          <w:color w:val="7B7B7B" w:themeColor="accent3" w:themeShade="BF"/>
          <w:sz w:val="22"/>
          <w:szCs w:val="22"/>
          <w:lang w:val="en-GB"/>
        </w:rPr>
        <w:t>other</w:t>
      </w:r>
      <w:r>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lastRenderedPageBreak/>
        <w:t xml:space="preserve">directors after the shareholder meeting to discuss the directors’ personal liability for breach of duty and concerns that they might be found liable. Instead of making a statement to the effect of him not being able to discuss this because it would be a conflict of interest — which Mr. Relation should have done, Mr. Relation instead assures the directors not to worry because he won’t focus on their potential wrongdoing. All these facts show that Mr. Relation was not only both, </w:t>
      </w:r>
      <w:r>
        <w:rPr>
          <w:rFonts w:ascii="Avenir Next" w:hAnsi="Avenir Next" w:cs="Arial"/>
          <w:i/>
          <w:iCs/>
          <w:color w:val="7B7B7B" w:themeColor="accent3" w:themeShade="BF"/>
          <w:sz w:val="22"/>
          <w:szCs w:val="22"/>
          <w:lang w:val="en-GB"/>
        </w:rPr>
        <w:t>actually</w:t>
      </w:r>
      <w:r>
        <w:rPr>
          <w:rFonts w:ascii="Avenir Next" w:hAnsi="Avenir Next" w:cs="Arial"/>
          <w:color w:val="7B7B7B" w:themeColor="accent3" w:themeShade="BF"/>
          <w:sz w:val="22"/>
          <w:szCs w:val="22"/>
          <w:lang w:val="en-GB"/>
        </w:rPr>
        <w:t xml:space="preserve"> unable to act impartially or independently, but he was not perceived to be independent by any stakeholder either. </w:t>
      </w:r>
    </w:p>
    <w:p w14:paraId="44D2DB1E" w14:textId="77777777" w:rsidR="00F13DB2" w:rsidRPr="00F13DB2" w:rsidRDefault="00F13DB2" w:rsidP="00F13DB2">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2BA7C250" w14:textId="72A67BAD" w:rsidR="00111BD5" w:rsidRPr="00715D68" w:rsidRDefault="00B54F84" w:rsidP="00715D68">
      <w:pPr>
        <w:pStyle w:val="ListParagraph"/>
        <w:numPr>
          <w:ilvl w:val="0"/>
          <w:numId w:val="33"/>
        </w:num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Nature of Pre</w:t>
      </w:r>
      <w:r w:rsidRPr="009F108E">
        <w:rPr>
          <w:rFonts w:ascii="Avenir Next" w:hAnsi="Avenir Next" w:cs="Arial"/>
          <w:b/>
          <w:bCs/>
          <w:color w:val="808080" w:themeColor="background1" w:themeShade="80"/>
          <w:sz w:val="22"/>
          <w:szCs w:val="22"/>
          <w:lang w:val="en-GB"/>
        </w:rPr>
        <w:t>-Commencement/Appointment Involved:</w:t>
      </w:r>
      <w:r>
        <w:rPr>
          <w:rFonts w:ascii="Avenir Next" w:hAnsi="Avenir Next" w:cs="Arial"/>
          <w:color w:val="808080" w:themeColor="background1" w:themeShade="80"/>
          <w:sz w:val="22"/>
          <w:szCs w:val="22"/>
          <w:lang w:val="en-GB"/>
        </w:rPr>
        <w:t xml:space="preserve"> At issue is whether Mr. Relation’s appointment was permissible based on the </w:t>
      </w:r>
      <w:r w:rsidR="009F108E">
        <w:rPr>
          <w:rFonts w:ascii="Avenir Next" w:hAnsi="Avenir Next" w:cs="Arial"/>
          <w:color w:val="808080" w:themeColor="background1" w:themeShade="80"/>
          <w:sz w:val="22"/>
          <w:szCs w:val="22"/>
          <w:lang w:val="en-GB"/>
        </w:rPr>
        <w:t>requirements</w:t>
      </w:r>
      <w:r>
        <w:rPr>
          <w:rFonts w:ascii="Avenir Next" w:hAnsi="Avenir Next" w:cs="Arial"/>
          <w:color w:val="808080" w:themeColor="background1" w:themeShade="80"/>
          <w:sz w:val="22"/>
          <w:szCs w:val="22"/>
          <w:lang w:val="en-GB"/>
        </w:rPr>
        <w:t xml:space="preserve"> to remain objective and impartial. </w:t>
      </w:r>
      <w:r w:rsidR="00E4341F">
        <w:rPr>
          <w:rFonts w:ascii="Avenir Next" w:hAnsi="Avenir Next" w:cs="Arial"/>
          <w:color w:val="808080" w:themeColor="background1" w:themeShade="80"/>
          <w:sz w:val="22"/>
          <w:szCs w:val="22"/>
          <w:lang w:val="en-GB"/>
        </w:rPr>
        <w:t xml:space="preserve">In many cases, pre-commencement appointments prior to insolvency could result in the disqualification of a practitioner under Principle 1 in order to not be found biased. In this case, Mr. Relation was brought in as a consultant before his formal appointment, which could have created a perception of a lack of </w:t>
      </w:r>
      <w:r w:rsidR="00715D68">
        <w:rPr>
          <w:rFonts w:ascii="Avenir Next" w:hAnsi="Avenir Next" w:cs="Arial"/>
          <w:color w:val="808080" w:themeColor="background1" w:themeShade="80"/>
          <w:sz w:val="22"/>
          <w:szCs w:val="22"/>
          <w:lang w:val="en-GB"/>
        </w:rPr>
        <w:t>impartiality. Indeed, s</w:t>
      </w:r>
      <w:r w:rsidR="0051386F" w:rsidRPr="00715D68">
        <w:rPr>
          <w:rFonts w:ascii="Avenir Next" w:hAnsi="Avenir Next" w:cs="Arial"/>
          <w:color w:val="808080" w:themeColor="background1" w:themeShade="80"/>
          <w:sz w:val="22"/>
          <w:szCs w:val="22"/>
          <w:lang w:val="en-GB"/>
        </w:rPr>
        <w:t xml:space="preserve">afeguards could have been implemented: for example, in </w:t>
      </w:r>
      <w:r w:rsidR="0051386F" w:rsidRPr="00715D68">
        <w:rPr>
          <w:rFonts w:ascii="Avenir Next" w:hAnsi="Avenir Next" w:cs="Arial"/>
          <w:i/>
          <w:iCs/>
          <w:color w:val="808080" w:themeColor="background1" w:themeShade="80"/>
          <w:sz w:val="22"/>
          <w:szCs w:val="22"/>
          <w:lang w:val="en-GB"/>
        </w:rPr>
        <w:t xml:space="preserve">Re Korda, Ten </w:t>
      </w:r>
      <w:r w:rsidR="009F108E" w:rsidRPr="00715D68">
        <w:rPr>
          <w:rFonts w:ascii="Avenir Next" w:hAnsi="Avenir Next" w:cs="Arial"/>
          <w:i/>
          <w:iCs/>
          <w:color w:val="808080" w:themeColor="background1" w:themeShade="80"/>
          <w:sz w:val="22"/>
          <w:szCs w:val="22"/>
          <w:lang w:val="en-GB"/>
        </w:rPr>
        <w:t>Network</w:t>
      </w:r>
      <w:r w:rsidR="0051386F" w:rsidRPr="00715D68">
        <w:rPr>
          <w:rFonts w:ascii="Avenir Next" w:hAnsi="Avenir Next" w:cs="Arial"/>
          <w:i/>
          <w:iCs/>
          <w:color w:val="808080" w:themeColor="background1" w:themeShade="80"/>
          <w:sz w:val="22"/>
          <w:szCs w:val="22"/>
          <w:lang w:val="en-GB"/>
        </w:rPr>
        <w:t xml:space="preserve"> Holdings, </w:t>
      </w:r>
      <w:r w:rsidR="0051386F" w:rsidRPr="00715D68">
        <w:rPr>
          <w:rFonts w:ascii="Avenir Next" w:hAnsi="Avenir Next" w:cs="Arial"/>
          <w:color w:val="808080" w:themeColor="background1" w:themeShade="80"/>
          <w:sz w:val="22"/>
          <w:szCs w:val="22"/>
          <w:lang w:val="en-GB"/>
        </w:rPr>
        <w:t xml:space="preserve">the Australian Court found that </w:t>
      </w:r>
      <w:r w:rsidR="0051386F" w:rsidRPr="00715D68">
        <w:rPr>
          <w:rFonts w:ascii="Avenir Next" w:hAnsi="Avenir Next" w:cs="Arial"/>
          <w:color w:val="808080" w:themeColor="background1" w:themeShade="80"/>
          <w:sz w:val="22"/>
          <w:szCs w:val="22"/>
          <w:lang w:val="en-GB"/>
        </w:rPr>
        <w:t xml:space="preserve">procedural safeguards could be used where a potential administrator’s pre-insolvency appointment could impact their ability to take a formal appointment in a non-biased way. Such safeguards include a potential administrator making it clear to </w:t>
      </w:r>
      <w:r w:rsidR="009F108E" w:rsidRPr="00715D68">
        <w:rPr>
          <w:rFonts w:ascii="Avenir Next" w:hAnsi="Avenir Next" w:cs="Arial"/>
          <w:color w:val="808080" w:themeColor="background1" w:themeShade="80"/>
          <w:sz w:val="22"/>
          <w:szCs w:val="22"/>
          <w:lang w:val="en-GB"/>
        </w:rPr>
        <w:t>executives</w:t>
      </w:r>
      <w:r w:rsidR="0051386F" w:rsidRPr="00715D68">
        <w:rPr>
          <w:rFonts w:ascii="Avenir Next" w:hAnsi="Avenir Next" w:cs="Arial"/>
          <w:color w:val="808080" w:themeColor="background1" w:themeShade="80"/>
          <w:sz w:val="22"/>
          <w:szCs w:val="22"/>
          <w:lang w:val="en-GB"/>
        </w:rPr>
        <w:t xml:space="preserve"> </w:t>
      </w:r>
      <w:r w:rsidR="003A0A12" w:rsidRPr="00715D68">
        <w:rPr>
          <w:rFonts w:ascii="Avenir Next" w:hAnsi="Avenir Next" w:cs="Arial"/>
          <w:color w:val="808080" w:themeColor="background1" w:themeShade="80"/>
          <w:sz w:val="22"/>
          <w:szCs w:val="22"/>
          <w:lang w:val="en-GB"/>
        </w:rPr>
        <w:t>at the offset that they plan to become the administrator if pre-insolvency measures to save a company fail.  In this case, Mr. Relation</w:t>
      </w:r>
      <w:r w:rsidR="000F1EEE" w:rsidRPr="00715D68">
        <w:rPr>
          <w:rFonts w:ascii="Avenir Next" w:hAnsi="Avenir Next" w:cs="Arial"/>
          <w:color w:val="808080" w:themeColor="background1" w:themeShade="80"/>
          <w:sz w:val="22"/>
          <w:szCs w:val="22"/>
          <w:lang w:val="en-GB"/>
        </w:rPr>
        <w:t xml:space="preserve"> made no such declaration: he was involved in providing shareholders practical advice, but did not provide any kind of hedged statement that he might also be appointed as an insolvency professional. </w:t>
      </w:r>
    </w:p>
    <w:p w14:paraId="31FDEF43" w14:textId="77777777" w:rsidR="00111BD5" w:rsidRDefault="00111BD5" w:rsidP="00087F21">
      <w:pPr>
        <w:autoSpaceDE w:val="0"/>
        <w:autoSpaceDN w:val="0"/>
        <w:adjustRightInd w:val="0"/>
        <w:jc w:val="both"/>
        <w:rPr>
          <w:rFonts w:ascii="Avenir Next" w:hAnsi="Avenir Next" w:cs="Arial"/>
          <w:color w:val="808080" w:themeColor="background1" w:themeShade="80"/>
          <w:sz w:val="22"/>
          <w:szCs w:val="22"/>
          <w:lang w:val="en-GB"/>
        </w:rPr>
      </w:pPr>
    </w:p>
    <w:p w14:paraId="364C8406" w14:textId="0BBCEE58" w:rsidR="00DB246E" w:rsidRPr="008478F7" w:rsidRDefault="00DB246E" w:rsidP="00087F21">
      <w:pPr>
        <w:autoSpaceDE w:val="0"/>
        <w:autoSpaceDN w:val="0"/>
        <w:adjustRightInd w:val="0"/>
        <w:jc w:val="both"/>
        <w:rPr>
          <w:rFonts w:ascii="Avenir Next" w:hAnsi="Avenir Next" w:cs="Arial"/>
          <w:b/>
          <w:bCs/>
          <w:color w:val="808080" w:themeColor="background1" w:themeShade="80"/>
          <w:sz w:val="22"/>
          <w:szCs w:val="22"/>
          <w:u w:val="single"/>
          <w:lang w:val="en-GB"/>
        </w:rPr>
      </w:pPr>
      <w:r w:rsidRPr="008478F7">
        <w:rPr>
          <w:rFonts w:ascii="Avenir Next" w:hAnsi="Avenir Next" w:cs="Arial"/>
          <w:b/>
          <w:bCs/>
          <w:color w:val="808080" w:themeColor="background1" w:themeShade="80"/>
          <w:sz w:val="22"/>
          <w:szCs w:val="22"/>
          <w:u w:val="single"/>
          <w:lang w:val="en-GB"/>
        </w:rPr>
        <w:t>Issue: Mr. Relation’s Professional/Technical Competence</w:t>
      </w:r>
    </w:p>
    <w:p w14:paraId="390F1965" w14:textId="1D37FAEE" w:rsidR="00D76705" w:rsidRDefault="00AD1D99" w:rsidP="003F05C8">
      <w:pPr>
        <w:pStyle w:val="ListParagraph"/>
        <w:numPr>
          <w:ilvl w:val="0"/>
          <w:numId w:val="33"/>
        </w:num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Expertise and Competence: </w:t>
      </w:r>
      <w:r>
        <w:rPr>
          <w:rFonts w:ascii="Avenir Next" w:hAnsi="Avenir Next" w:cs="Arial"/>
          <w:color w:val="808080" w:themeColor="background1" w:themeShade="80"/>
          <w:sz w:val="22"/>
          <w:szCs w:val="22"/>
          <w:lang w:val="en-GB"/>
        </w:rPr>
        <w:t xml:space="preserve">At issue is whether Mr. Relation acted with the knowledge, skills, </w:t>
      </w:r>
      <w:r w:rsidR="00B376E2">
        <w:rPr>
          <w:rFonts w:ascii="Avenir Next" w:hAnsi="Avenir Next" w:cs="Arial"/>
          <w:color w:val="808080" w:themeColor="background1" w:themeShade="80"/>
          <w:sz w:val="22"/>
          <w:szCs w:val="22"/>
          <w:lang w:val="en-GB"/>
        </w:rPr>
        <w:t>and</w:t>
      </w:r>
      <w:r>
        <w:rPr>
          <w:rFonts w:ascii="Avenir Next" w:hAnsi="Avenir Next" w:cs="Arial"/>
          <w:color w:val="808080" w:themeColor="background1" w:themeShade="80"/>
          <w:sz w:val="22"/>
          <w:szCs w:val="22"/>
          <w:lang w:val="en-GB"/>
        </w:rPr>
        <w:t xml:space="preserve"> experience that is required of him as a fiduciary. Insolvency professionals must act with a duty of care, which can be objectively measured by looking at what a reasonable practitioner under similar circumstances would do. </w:t>
      </w:r>
      <w:r w:rsidR="004C0C30">
        <w:rPr>
          <w:rFonts w:ascii="Avenir Next" w:hAnsi="Avenir Next" w:cs="Arial"/>
          <w:color w:val="808080" w:themeColor="background1" w:themeShade="80"/>
          <w:sz w:val="22"/>
          <w:szCs w:val="22"/>
          <w:lang w:val="en-GB"/>
        </w:rPr>
        <w:t xml:space="preserve">Moreover, a </w:t>
      </w:r>
      <w:r w:rsidR="00B376E2">
        <w:rPr>
          <w:rFonts w:ascii="Avenir Next" w:hAnsi="Avenir Next" w:cs="Arial"/>
          <w:color w:val="808080" w:themeColor="background1" w:themeShade="80"/>
          <w:sz w:val="22"/>
          <w:szCs w:val="22"/>
          <w:lang w:val="en-GB"/>
        </w:rPr>
        <w:t>professionally</w:t>
      </w:r>
      <w:r w:rsidR="004C0C30">
        <w:rPr>
          <w:rFonts w:ascii="Avenir Next" w:hAnsi="Avenir Next" w:cs="Arial"/>
          <w:color w:val="808080" w:themeColor="background1" w:themeShade="80"/>
          <w:sz w:val="22"/>
          <w:szCs w:val="22"/>
          <w:lang w:val="en-GB"/>
        </w:rPr>
        <w:t xml:space="preserve"> competent insolvency professional based on guidance by UNCITRAL would act either with that of a prudent person in the same position, or with an even higher standard, given their role as a fiduciary. </w:t>
      </w:r>
      <w:r w:rsidR="00D610E5">
        <w:rPr>
          <w:rFonts w:ascii="Avenir Next" w:hAnsi="Avenir Next" w:cs="Arial"/>
          <w:color w:val="808080" w:themeColor="background1" w:themeShade="80"/>
          <w:sz w:val="22"/>
          <w:szCs w:val="22"/>
          <w:lang w:val="en-GB"/>
        </w:rPr>
        <w:t>Part of this responsibility</w:t>
      </w:r>
      <w:r w:rsidR="0090694A">
        <w:rPr>
          <w:rFonts w:ascii="Avenir Next" w:hAnsi="Avenir Next" w:cs="Arial"/>
          <w:color w:val="808080" w:themeColor="background1" w:themeShade="80"/>
          <w:sz w:val="22"/>
          <w:szCs w:val="22"/>
          <w:lang w:val="en-GB"/>
        </w:rPr>
        <w:t xml:space="preserve"> mandates a competent insolvency professional to understand the business and its functions, as well as understand the industry that the company is in. </w:t>
      </w:r>
      <w:r w:rsidR="00D76705">
        <w:rPr>
          <w:rFonts w:ascii="Avenir Next" w:hAnsi="Avenir Next" w:cs="Arial"/>
          <w:color w:val="808080" w:themeColor="background1" w:themeShade="80"/>
          <w:sz w:val="22"/>
          <w:szCs w:val="22"/>
          <w:lang w:val="en-GB"/>
        </w:rPr>
        <w:t>Under these facts, Mr. Relation relied entirely on knowledge passed on by Mr. B InLaw: his own investigation into the affairs of the company was only “superficial</w:t>
      </w:r>
      <w:r w:rsidR="006A6B99">
        <w:rPr>
          <w:rFonts w:ascii="Avenir Next" w:hAnsi="Avenir Next" w:cs="Arial"/>
          <w:color w:val="808080" w:themeColor="background1" w:themeShade="80"/>
          <w:sz w:val="22"/>
          <w:szCs w:val="22"/>
          <w:lang w:val="en-GB"/>
        </w:rPr>
        <w:t>.</w:t>
      </w:r>
      <w:r w:rsidR="00D76705">
        <w:rPr>
          <w:rFonts w:ascii="Avenir Next" w:hAnsi="Avenir Next" w:cs="Arial"/>
          <w:color w:val="808080" w:themeColor="background1" w:themeShade="80"/>
          <w:sz w:val="22"/>
          <w:szCs w:val="22"/>
          <w:lang w:val="en-GB"/>
        </w:rPr>
        <w:t>”</w:t>
      </w:r>
      <w:r w:rsidR="006A6B99">
        <w:rPr>
          <w:rFonts w:ascii="Avenir Next" w:hAnsi="Avenir Next" w:cs="Arial"/>
          <w:color w:val="808080" w:themeColor="background1" w:themeShade="80"/>
          <w:sz w:val="22"/>
          <w:szCs w:val="22"/>
          <w:lang w:val="en-GB"/>
        </w:rPr>
        <w:t xml:space="preserve"> Moreover, Mr. B InLaw, as </w:t>
      </w:r>
      <w:r w:rsidR="004835C9">
        <w:rPr>
          <w:rFonts w:ascii="Avenir Next" w:hAnsi="Avenir Next" w:cs="Arial"/>
          <w:color w:val="808080" w:themeColor="background1" w:themeShade="80"/>
          <w:sz w:val="22"/>
          <w:szCs w:val="22"/>
          <w:lang w:val="en-GB"/>
        </w:rPr>
        <w:t xml:space="preserve">the shareholder who is related to Mr. Relation and the shareholder who appointed him, picked Mr. Relation after his suggestion to initiate a </w:t>
      </w:r>
      <w:r w:rsidR="004835C9" w:rsidRPr="004835C9">
        <w:rPr>
          <w:rFonts w:ascii="Avenir Next" w:hAnsi="Avenir Next" w:cs="Arial"/>
          <w:color w:val="808080" w:themeColor="background1" w:themeShade="80"/>
          <w:sz w:val="22"/>
          <w:szCs w:val="22"/>
          <w:lang w:val="en-GB"/>
        </w:rPr>
        <w:t>voluntary administration procedure</w:t>
      </w:r>
      <w:r w:rsidR="004835C9">
        <w:rPr>
          <w:rFonts w:ascii="Avenir Next" w:hAnsi="Avenir Next" w:cs="Arial"/>
          <w:color w:val="808080" w:themeColor="background1" w:themeShade="80"/>
          <w:sz w:val="22"/>
          <w:szCs w:val="22"/>
          <w:lang w:val="en-GB"/>
        </w:rPr>
        <w:t xml:space="preserve">. Mr. </w:t>
      </w:r>
      <w:r w:rsidR="007F499A">
        <w:rPr>
          <w:rFonts w:ascii="Avenir Next" w:hAnsi="Avenir Next" w:cs="Arial"/>
          <w:color w:val="808080" w:themeColor="background1" w:themeShade="80"/>
          <w:sz w:val="22"/>
          <w:szCs w:val="22"/>
          <w:lang w:val="en-GB"/>
        </w:rPr>
        <w:t xml:space="preserve">Relation used the reports drafted by Mr. B InLaw to create a strategic plan for recovery. In total, Mr. </w:t>
      </w:r>
      <w:r w:rsidR="00B376E2">
        <w:rPr>
          <w:rFonts w:ascii="Avenir Next" w:hAnsi="Avenir Next" w:cs="Arial"/>
          <w:color w:val="808080" w:themeColor="background1" w:themeShade="80"/>
          <w:sz w:val="22"/>
          <w:szCs w:val="22"/>
          <w:lang w:val="en-GB"/>
        </w:rPr>
        <w:t>Relation</w:t>
      </w:r>
      <w:r w:rsidR="007F499A">
        <w:rPr>
          <w:rFonts w:ascii="Avenir Next" w:hAnsi="Avenir Next" w:cs="Arial"/>
          <w:color w:val="808080" w:themeColor="background1" w:themeShade="80"/>
          <w:sz w:val="22"/>
          <w:szCs w:val="22"/>
          <w:lang w:val="en-GB"/>
        </w:rPr>
        <w:t xml:space="preserve"> did little work of his own to make a good faith investigation into the </w:t>
      </w:r>
      <w:r w:rsidR="00B376E2">
        <w:rPr>
          <w:rFonts w:ascii="Avenir Next" w:hAnsi="Avenir Next" w:cs="Arial"/>
          <w:color w:val="808080" w:themeColor="background1" w:themeShade="80"/>
          <w:sz w:val="22"/>
          <w:szCs w:val="22"/>
          <w:lang w:val="en-GB"/>
        </w:rPr>
        <w:t>company’s</w:t>
      </w:r>
      <w:r w:rsidR="007F499A">
        <w:rPr>
          <w:rFonts w:ascii="Avenir Next" w:hAnsi="Avenir Next" w:cs="Arial"/>
          <w:color w:val="808080" w:themeColor="background1" w:themeShade="80"/>
          <w:sz w:val="22"/>
          <w:szCs w:val="22"/>
          <w:lang w:val="en-GB"/>
        </w:rPr>
        <w:t xml:space="preserve"> situation, thus breaching the duty of care. It is unlikely that any other reasonably prudent insolvency professional would also act in this manner and fail to conduct their own investigation. </w:t>
      </w:r>
      <w:r w:rsidR="004A4B15">
        <w:rPr>
          <w:rFonts w:ascii="Avenir Next" w:hAnsi="Avenir Next" w:cs="Arial"/>
          <w:color w:val="808080" w:themeColor="background1" w:themeShade="80"/>
          <w:sz w:val="22"/>
          <w:szCs w:val="22"/>
          <w:lang w:val="en-GB"/>
        </w:rPr>
        <w:t xml:space="preserve"> For example, the standard from </w:t>
      </w:r>
      <w:r w:rsidR="004A4B15">
        <w:rPr>
          <w:rFonts w:ascii="Avenir Next" w:hAnsi="Avenir Next" w:cs="Arial"/>
          <w:i/>
          <w:iCs/>
          <w:color w:val="808080" w:themeColor="background1" w:themeShade="80"/>
          <w:sz w:val="22"/>
          <w:szCs w:val="22"/>
          <w:lang w:val="en-GB"/>
        </w:rPr>
        <w:t>Re Charnley Davies</w:t>
      </w:r>
      <w:r w:rsidR="004A4B15">
        <w:rPr>
          <w:rFonts w:ascii="Avenir Next" w:hAnsi="Avenir Next" w:cs="Arial"/>
          <w:color w:val="808080" w:themeColor="background1" w:themeShade="80"/>
          <w:sz w:val="22"/>
          <w:szCs w:val="22"/>
          <w:lang w:val="en-GB"/>
        </w:rPr>
        <w:t xml:space="preserve"> would likely be one that Mr. Relation could not live up to, since it requires an </w:t>
      </w:r>
      <w:r w:rsidR="003F05C8">
        <w:rPr>
          <w:rFonts w:ascii="Avenir Next" w:hAnsi="Avenir Next" w:cs="Arial"/>
          <w:color w:val="808080" w:themeColor="background1" w:themeShade="80"/>
          <w:sz w:val="22"/>
          <w:szCs w:val="22"/>
          <w:lang w:val="en-GB"/>
        </w:rPr>
        <w:t>insolvency</w:t>
      </w:r>
      <w:r w:rsidR="004A4B15">
        <w:rPr>
          <w:rFonts w:ascii="Avenir Next" w:hAnsi="Avenir Next" w:cs="Arial"/>
          <w:color w:val="808080" w:themeColor="background1" w:themeShade="80"/>
          <w:sz w:val="22"/>
          <w:szCs w:val="22"/>
          <w:lang w:val="en-GB"/>
        </w:rPr>
        <w:t xml:space="preserve"> professional </w:t>
      </w:r>
      <w:r w:rsidR="002C5DCF">
        <w:rPr>
          <w:rFonts w:ascii="Avenir Next" w:hAnsi="Avenir Next" w:cs="Arial"/>
          <w:color w:val="808080" w:themeColor="background1" w:themeShade="80"/>
          <w:sz w:val="22"/>
          <w:szCs w:val="22"/>
          <w:lang w:val="en-GB"/>
        </w:rPr>
        <w:t xml:space="preserve">making an error (for </w:t>
      </w:r>
      <w:r w:rsidR="002C5DCF">
        <w:rPr>
          <w:rFonts w:ascii="Avenir Next" w:hAnsi="Avenir Next" w:cs="Arial"/>
          <w:color w:val="808080" w:themeColor="background1" w:themeShade="80"/>
          <w:sz w:val="22"/>
          <w:szCs w:val="22"/>
          <w:lang w:val="en-GB"/>
        </w:rPr>
        <w:lastRenderedPageBreak/>
        <w:t xml:space="preserve">example, one that leads to a failed administration proceeding because of lack of funding, in this case) to be judged based on whether a “reasonably skilled and careful </w:t>
      </w:r>
      <w:r w:rsidR="003F05C8">
        <w:rPr>
          <w:rFonts w:ascii="Avenir Next" w:hAnsi="Avenir Next" w:cs="Arial"/>
          <w:color w:val="808080" w:themeColor="background1" w:themeShade="80"/>
          <w:sz w:val="22"/>
          <w:szCs w:val="22"/>
          <w:lang w:val="en-GB"/>
        </w:rPr>
        <w:t>insolvency</w:t>
      </w:r>
      <w:r w:rsidR="002C5DCF">
        <w:rPr>
          <w:rFonts w:ascii="Avenir Next" w:hAnsi="Avenir Next" w:cs="Arial"/>
          <w:color w:val="808080" w:themeColor="background1" w:themeShade="80"/>
          <w:sz w:val="22"/>
          <w:szCs w:val="22"/>
          <w:lang w:val="en-GB"/>
        </w:rPr>
        <w:t xml:space="preserve"> professional “ would also have made this error. It is unlikely that a reasonably careful insolvency professional would have failed to conduct his own investigation when attempting to run a restructuring proceeding. </w:t>
      </w:r>
      <w:r w:rsidR="007F499A" w:rsidRPr="003F05C8">
        <w:rPr>
          <w:rFonts w:ascii="Avenir Next" w:hAnsi="Avenir Next" w:cs="Arial"/>
          <w:color w:val="808080" w:themeColor="background1" w:themeShade="80"/>
          <w:sz w:val="22"/>
          <w:szCs w:val="22"/>
          <w:lang w:val="en-GB"/>
        </w:rPr>
        <w:t xml:space="preserve">Therefore, Mr. Relation likely breached this ethical principle.  </w:t>
      </w:r>
    </w:p>
    <w:p w14:paraId="40212C5A" w14:textId="17D30C91" w:rsidR="0024704B" w:rsidRPr="00EE569F" w:rsidRDefault="00CB6B23" w:rsidP="0024704B">
      <w:pPr>
        <w:pStyle w:val="ListParagraph"/>
        <w:numPr>
          <w:ilvl w:val="0"/>
          <w:numId w:val="33"/>
        </w:numPr>
        <w:autoSpaceDE w:val="0"/>
        <w:autoSpaceDN w:val="0"/>
        <w:adjustRightInd w:val="0"/>
        <w:jc w:val="both"/>
        <w:rPr>
          <w:rFonts w:ascii="Avenir Next" w:hAnsi="Avenir Next" w:cs="Arial"/>
          <w:color w:val="808080" w:themeColor="background1" w:themeShade="80"/>
          <w:sz w:val="22"/>
          <w:szCs w:val="22"/>
          <w:lang w:val="en-GB"/>
        </w:rPr>
      </w:pPr>
      <w:r w:rsidRPr="0024704B">
        <w:rPr>
          <w:rFonts w:ascii="Avenir Next" w:hAnsi="Avenir Next" w:cs="Arial"/>
          <w:b/>
          <w:bCs/>
          <w:color w:val="808080" w:themeColor="background1" w:themeShade="80"/>
          <w:sz w:val="22"/>
          <w:szCs w:val="22"/>
          <w:lang w:val="en-GB"/>
        </w:rPr>
        <w:t>Integrity</w:t>
      </w:r>
      <w:r w:rsidR="0024704B" w:rsidRPr="0024704B">
        <w:rPr>
          <w:rFonts w:ascii="Avenir Next" w:hAnsi="Avenir Next" w:cs="Arial"/>
          <w:b/>
          <w:bCs/>
          <w:color w:val="808080" w:themeColor="background1" w:themeShade="80"/>
          <w:sz w:val="22"/>
          <w:szCs w:val="22"/>
          <w:lang w:val="en-GB"/>
        </w:rPr>
        <w:t xml:space="preserve"> and fair dealing</w:t>
      </w:r>
      <w:r w:rsidRPr="0024704B">
        <w:rPr>
          <w:rFonts w:ascii="Avenir Next" w:hAnsi="Avenir Next" w:cs="Arial"/>
          <w:b/>
          <w:bCs/>
          <w:color w:val="808080" w:themeColor="background1" w:themeShade="80"/>
          <w:sz w:val="22"/>
          <w:szCs w:val="22"/>
          <w:lang w:val="en-GB"/>
        </w:rPr>
        <w:t>:</w:t>
      </w:r>
      <w:r w:rsidRPr="0024704B">
        <w:rPr>
          <w:rFonts w:ascii="Avenir Next" w:hAnsi="Avenir Next" w:cs="Arial"/>
          <w:color w:val="808080" w:themeColor="background1" w:themeShade="80"/>
          <w:sz w:val="22"/>
          <w:szCs w:val="22"/>
          <w:lang w:val="en-GB"/>
        </w:rPr>
        <w:t xml:space="preserve"> At issue is whether Mr. </w:t>
      </w:r>
      <w:r w:rsidR="0024190C" w:rsidRPr="0024704B">
        <w:rPr>
          <w:rFonts w:ascii="Avenir Next" w:hAnsi="Avenir Next" w:cs="Arial"/>
          <w:color w:val="808080" w:themeColor="background1" w:themeShade="80"/>
          <w:sz w:val="22"/>
          <w:szCs w:val="22"/>
          <w:lang w:val="en-GB"/>
        </w:rPr>
        <w:t>Relation</w:t>
      </w:r>
      <w:r w:rsidRPr="0024704B">
        <w:rPr>
          <w:rFonts w:ascii="Avenir Next" w:hAnsi="Avenir Next" w:cs="Arial"/>
          <w:color w:val="808080" w:themeColor="background1" w:themeShade="80"/>
          <w:sz w:val="22"/>
          <w:szCs w:val="22"/>
          <w:lang w:val="en-GB"/>
        </w:rPr>
        <w:t xml:space="preserve"> breached the Principle 1 “Integrity” requirement in </w:t>
      </w:r>
      <w:r w:rsidR="0024704B">
        <w:rPr>
          <w:rFonts w:ascii="Avenir Next" w:hAnsi="Avenir Next" w:cs="Arial"/>
          <w:color w:val="808080" w:themeColor="background1" w:themeShade="80"/>
          <w:sz w:val="22"/>
          <w:szCs w:val="22"/>
          <w:lang w:val="en-GB"/>
        </w:rPr>
        <w:t xml:space="preserve">believing, in an insolvency scenario, that </w:t>
      </w:r>
      <w:r w:rsidR="0024704B" w:rsidRPr="0024704B">
        <w:rPr>
          <w:rFonts w:ascii="Avenir Next" w:hAnsi="Avenir Next" w:cs="Arial"/>
          <w:color w:val="808080" w:themeColor="background1" w:themeShade="80"/>
          <w:sz w:val="22"/>
          <w:szCs w:val="22"/>
          <w:lang w:val="en-GB"/>
        </w:rPr>
        <w:t xml:space="preserve">that banks should be more accommodating in restructuring proceedings and that </w:t>
      </w:r>
      <w:r w:rsidR="0024704B">
        <w:rPr>
          <w:rFonts w:ascii="Avenir Next" w:hAnsi="Avenir Next" w:cs="Arial"/>
          <w:color w:val="808080" w:themeColor="background1" w:themeShade="80"/>
          <w:sz w:val="22"/>
          <w:szCs w:val="22"/>
          <w:lang w:val="en-GB"/>
        </w:rPr>
        <w:t>th</w:t>
      </w:r>
      <w:r w:rsidR="0024704B" w:rsidRPr="0024704B">
        <w:rPr>
          <w:rFonts w:ascii="Avenir Next" w:hAnsi="Avenir Next" w:cs="Arial"/>
          <w:color w:val="808080" w:themeColor="background1" w:themeShade="80"/>
          <w:sz w:val="22"/>
          <w:szCs w:val="22"/>
          <w:lang w:val="en-GB"/>
        </w:rPr>
        <w:t>e interests of lower ranking creditors should sometimes outweigh “big money</w:t>
      </w:r>
      <w:r w:rsidR="0024704B">
        <w:rPr>
          <w:rFonts w:ascii="Avenir Next" w:hAnsi="Avenir Next" w:cs="Arial"/>
          <w:color w:val="808080" w:themeColor="background1" w:themeShade="80"/>
          <w:sz w:val="22"/>
          <w:szCs w:val="22"/>
          <w:lang w:val="en-GB"/>
        </w:rPr>
        <w:t>.</w:t>
      </w:r>
      <w:r w:rsidR="0024704B" w:rsidRPr="0024704B">
        <w:rPr>
          <w:rFonts w:ascii="Avenir Next" w:hAnsi="Avenir Next" w:cs="Arial"/>
          <w:color w:val="808080" w:themeColor="background1" w:themeShade="80"/>
          <w:sz w:val="22"/>
          <w:szCs w:val="22"/>
          <w:lang w:val="en-GB"/>
        </w:rPr>
        <w:t>”</w:t>
      </w:r>
      <w:r w:rsidR="0024704B">
        <w:rPr>
          <w:rFonts w:ascii="Avenir Next" w:hAnsi="Avenir Next" w:cs="Arial"/>
          <w:color w:val="808080" w:themeColor="background1" w:themeShade="80"/>
          <w:sz w:val="22"/>
          <w:szCs w:val="22"/>
          <w:lang w:val="en-GB"/>
        </w:rPr>
        <w:t xml:space="preserve"> The principle of integrity has a “fair </w:t>
      </w:r>
      <w:r w:rsidR="0024190C">
        <w:rPr>
          <w:rFonts w:ascii="Avenir Next" w:hAnsi="Avenir Next" w:cs="Arial"/>
          <w:color w:val="808080" w:themeColor="background1" w:themeShade="80"/>
          <w:sz w:val="22"/>
          <w:szCs w:val="22"/>
          <w:lang w:val="en-GB"/>
        </w:rPr>
        <w:t>dealing</w:t>
      </w:r>
      <w:r w:rsidR="0024704B">
        <w:rPr>
          <w:rFonts w:ascii="Avenir Next" w:hAnsi="Avenir Next" w:cs="Arial"/>
          <w:color w:val="808080" w:themeColor="background1" w:themeShade="80"/>
          <w:sz w:val="22"/>
          <w:szCs w:val="22"/>
          <w:lang w:val="en-GB"/>
        </w:rPr>
        <w:t xml:space="preserve">” requirement, which requires that a liquidator must “hold an even hand in his dealing with the often competing interests of creditors, contributories, and his appointers.” </w:t>
      </w:r>
      <w:r w:rsidR="0024704B">
        <w:rPr>
          <w:rFonts w:ascii="Avenir Next" w:hAnsi="Avenir Next" w:cs="Arial"/>
          <w:i/>
          <w:iCs/>
          <w:color w:val="808080" w:themeColor="background1" w:themeShade="80"/>
          <w:sz w:val="22"/>
          <w:szCs w:val="22"/>
          <w:lang w:val="en-GB"/>
        </w:rPr>
        <w:t>See Fustar Chemicals v. Liquidator of Fustar Chemicals.</w:t>
      </w:r>
      <w:r w:rsidR="0024704B">
        <w:rPr>
          <w:rFonts w:ascii="Avenir Next" w:hAnsi="Avenir Next" w:cs="Arial"/>
          <w:color w:val="808080" w:themeColor="background1" w:themeShade="80"/>
          <w:sz w:val="22"/>
          <w:szCs w:val="22"/>
          <w:lang w:val="en-GB"/>
        </w:rPr>
        <w:t xml:space="preserve"> </w:t>
      </w:r>
      <w:r w:rsidR="00EE569F">
        <w:rPr>
          <w:rFonts w:ascii="Avenir Next" w:hAnsi="Avenir Next" w:cs="Arial"/>
          <w:color w:val="808080" w:themeColor="background1" w:themeShade="80"/>
          <w:sz w:val="22"/>
          <w:szCs w:val="22"/>
          <w:lang w:val="en-GB"/>
        </w:rPr>
        <w:t xml:space="preserve">This belief, if true, may hinder Mr. Relation’s ability to act as an insolvency professional with proper fair dealing, given an inherent bias against </w:t>
      </w:r>
      <w:r w:rsidR="0024190C">
        <w:rPr>
          <w:rFonts w:ascii="Avenir Next" w:hAnsi="Avenir Next" w:cs="Arial"/>
          <w:color w:val="808080" w:themeColor="background1" w:themeShade="80"/>
          <w:sz w:val="22"/>
          <w:szCs w:val="22"/>
          <w:lang w:val="en-GB"/>
        </w:rPr>
        <w:t>banks in</w:t>
      </w:r>
      <w:r w:rsidR="00EE569F">
        <w:rPr>
          <w:rFonts w:ascii="Avenir Next" w:hAnsi="Avenir Next" w:cs="Arial"/>
          <w:color w:val="808080" w:themeColor="background1" w:themeShade="80"/>
          <w:sz w:val="22"/>
          <w:szCs w:val="22"/>
          <w:lang w:val="en-GB"/>
        </w:rPr>
        <w:t xml:space="preserve"> favour of lower-ranked creditors. </w:t>
      </w:r>
    </w:p>
    <w:p w14:paraId="56BB617E" w14:textId="432BCBDF" w:rsidR="00AD1D99" w:rsidRPr="0024704B" w:rsidRDefault="00CB6B23" w:rsidP="0024704B">
      <w:pPr>
        <w:pStyle w:val="ListParagraph"/>
        <w:autoSpaceDE w:val="0"/>
        <w:autoSpaceDN w:val="0"/>
        <w:adjustRightInd w:val="0"/>
        <w:jc w:val="both"/>
        <w:rPr>
          <w:rFonts w:ascii="Avenir Next" w:hAnsi="Avenir Next" w:cs="Arial"/>
          <w:color w:val="808080" w:themeColor="background1" w:themeShade="80"/>
          <w:sz w:val="22"/>
          <w:szCs w:val="22"/>
          <w:lang w:val="en-GB"/>
        </w:rPr>
      </w:pPr>
      <w:r w:rsidRPr="0024704B">
        <w:rPr>
          <w:rFonts w:ascii="Avenir Next" w:hAnsi="Avenir Next" w:cs="Arial"/>
          <w:color w:val="808080" w:themeColor="background1" w:themeShade="80"/>
          <w:sz w:val="22"/>
          <w:szCs w:val="22"/>
          <w:lang w:val="en-GB"/>
        </w:rPr>
        <w:t xml:space="preserve"> </w:t>
      </w:r>
    </w:p>
    <w:p w14:paraId="0DA055BD" w14:textId="1C42E6FA" w:rsidR="00C81F6B" w:rsidRPr="00B73416" w:rsidRDefault="00C81F6B" w:rsidP="00087F21">
      <w:pPr>
        <w:autoSpaceDE w:val="0"/>
        <w:autoSpaceDN w:val="0"/>
        <w:adjustRightInd w:val="0"/>
        <w:jc w:val="both"/>
        <w:rPr>
          <w:rFonts w:ascii="Avenir Next" w:hAnsi="Avenir Next" w:cs="Arial"/>
          <w:b/>
          <w:bCs/>
          <w:color w:val="808080" w:themeColor="background1" w:themeShade="80"/>
          <w:sz w:val="22"/>
          <w:szCs w:val="22"/>
          <w:u w:val="single"/>
          <w:lang w:val="en-GB"/>
        </w:rPr>
      </w:pPr>
      <w:r w:rsidRPr="00B73416">
        <w:rPr>
          <w:rFonts w:ascii="Avenir Next" w:hAnsi="Avenir Next" w:cs="Arial"/>
          <w:b/>
          <w:bCs/>
          <w:color w:val="808080" w:themeColor="background1" w:themeShade="80"/>
          <w:sz w:val="22"/>
          <w:szCs w:val="22"/>
          <w:u w:val="single"/>
          <w:lang w:val="en-GB"/>
        </w:rPr>
        <w:t>Issue: Mr. Relation’s Practice Management Issues During Liquidation</w:t>
      </w:r>
    </w:p>
    <w:p w14:paraId="1E23FECD" w14:textId="0D0899DE" w:rsidR="00C81F6B" w:rsidRPr="00AC7276" w:rsidRDefault="00AC7276" w:rsidP="00AC7276">
      <w:pPr>
        <w:pStyle w:val="ListParagraph"/>
        <w:numPr>
          <w:ilvl w:val="0"/>
          <w:numId w:val="32"/>
        </w:numPr>
        <w:autoSpaceDE w:val="0"/>
        <w:autoSpaceDN w:val="0"/>
        <w:adjustRightInd w:val="0"/>
        <w:jc w:val="both"/>
        <w:rPr>
          <w:rFonts w:ascii="Avenir Next" w:hAnsi="Avenir Next" w:cs="Arial"/>
          <w:color w:val="808080" w:themeColor="background1" w:themeShade="80"/>
          <w:sz w:val="22"/>
          <w:szCs w:val="22"/>
          <w:lang w:val="en-GB"/>
        </w:rPr>
      </w:pPr>
      <w:r w:rsidRPr="00B73416">
        <w:rPr>
          <w:rFonts w:ascii="Avenir Next" w:hAnsi="Avenir Next" w:cs="Arial"/>
          <w:b/>
          <w:bCs/>
          <w:color w:val="808080" w:themeColor="background1" w:themeShade="80"/>
          <w:sz w:val="22"/>
          <w:szCs w:val="22"/>
          <w:lang w:val="en-GB"/>
        </w:rPr>
        <w:t>Risk Management:</w:t>
      </w:r>
      <w:r>
        <w:rPr>
          <w:rFonts w:ascii="Avenir Next" w:hAnsi="Avenir Next" w:cs="Arial"/>
          <w:color w:val="808080" w:themeColor="background1" w:themeShade="80"/>
          <w:sz w:val="22"/>
          <w:szCs w:val="22"/>
          <w:lang w:val="en-GB"/>
        </w:rPr>
        <w:t xml:space="preserve"> </w:t>
      </w:r>
      <w:r w:rsidR="00961E9D">
        <w:rPr>
          <w:rFonts w:ascii="Avenir Next" w:hAnsi="Avenir Next" w:cs="Arial"/>
          <w:color w:val="808080" w:themeColor="background1" w:themeShade="80"/>
          <w:sz w:val="22"/>
          <w:szCs w:val="22"/>
          <w:lang w:val="en-GB"/>
        </w:rPr>
        <w:t xml:space="preserve">At issue is whether Mr. Relation’s firm </w:t>
      </w:r>
      <w:r w:rsidR="00D47267">
        <w:rPr>
          <w:rFonts w:ascii="Avenir Next" w:hAnsi="Avenir Next" w:cs="Arial"/>
          <w:color w:val="808080" w:themeColor="background1" w:themeShade="80"/>
          <w:sz w:val="22"/>
          <w:szCs w:val="22"/>
          <w:lang w:val="en-GB"/>
        </w:rPr>
        <w:t>implementing</w:t>
      </w:r>
      <w:r w:rsidR="00961E9D">
        <w:rPr>
          <w:rFonts w:ascii="Avenir Next" w:hAnsi="Avenir Next" w:cs="Arial"/>
          <w:color w:val="808080" w:themeColor="background1" w:themeShade="80"/>
          <w:sz w:val="22"/>
          <w:szCs w:val="22"/>
          <w:lang w:val="en-GB"/>
        </w:rPr>
        <w:t xml:space="preserve"> a work-from-home arrangement that includes his secretary and associate keeping several sensitive documents on their personal computers. As a general rule, p</w:t>
      </w:r>
      <w:r w:rsidR="00961E9D">
        <w:rPr>
          <w:rFonts w:ascii="Avenir Next" w:hAnsi="Avenir Next" w:cs="Arial"/>
          <w:color w:val="808080" w:themeColor="background1" w:themeShade="80"/>
          <w:sz w:val="22"/>
          <w:szCs w:val="22"/>
          <w:lang w:val="en-GB"/>
        </w:rPr>
        <w:t xml:space="preserve">art of an insolvency professional’s duty to conduct their practice in a reasonable and proper manner includes proper record-keeping and </w:t>
      </w:r>
      <w:r w:rsidR="00D47267">
        <w:rPr>
          <w:rFonts w:ascii="Avenir Next" w:hAnsi="Avenir Next" w:cs="Arial"/>
          <w:color w:val="808080" w:themeColor="background1" w:themeShade="80"/>
          <w:sz w:val="22"/>
          <w:szCs w:val="22"/>
          <w:lang w:val="en-GB"/>
        </w:rPr>
        <w:t>risk</w:t>
      </w:r>
      <w:r w:rsidR="00961E9D">
        <w:rPr>
          <w:rFonts w:ascii="Avenir Next" w:hAnsi="Avenir Next" w:cs="Arial"/>
          <w:color w:val="808080" w:themeColor="background1" w:themeShade="80"/>
          <w:sz w:val="22"/>
          <w:szCs w:val="22"/>
          <w:lang w:val="en-GB"/>
        </w:rPr>
        <w:t xml:space="preserve"> management.</w:t>
      </w:r>
      <w:r w:rsidR="00D47267">
        <w:rPr>
          <w:rFonts w:ascii="Avenir Next" w:hAnsi="Avenir Next" w:cs="Arial"/>
          <w:color w:val="808080" w:themeColor="background1" w:themeShade="80"/>
          <w:sz w:val="22"/>
          <w:szCs w:val="22"/>
          <w:lang w:val="en-GB"/>
        </w:rPr>
        <w:t xml:space="preserve"> Proper risk management </w:t>
      </w:r>
      <w:r w:rsidR="00632DA9">
        <w:rPr>
          <w:rFonts w:ascii="Avenir Next" w:hAnsi="Avenir Next" w:cs="Arial"/>
          <w:color w:val="808080" w:themeColor="background1" w:themeShade="80"/>
          <w:sz w:val="22"/>
          <w:szCs w:val="22"/>
          <w:lang w:val="en-GB"/>
        </w:rPr>
        <w:t>requires the prevention and control of threats. These threats include, among other things, data-related breaches</w:t>
      </w:r>
      <w:r w:rsidR="00C32B79">
        <w:rPr>
          <w:rFonts w:ascii="Avenir Next" w:hAnsi="Avenir Next" w:cs="Arial"/>
          <w:color w:val="808080" w:themeColor="background1" w:themeShade="80"/>
          <w:sz w:val="22"/>
          <w:szCs w:val="22"/>
          <w:lang w:val="en-GB"/>
        </w:rPr>
        <w:t xml:space="preserve"> and similar </w:t>
      </w:r>
      <w:r w:rsidR="00632DA9">
        <w:rPr>
          <w:rFonts w:ascii="Avenir Next" w:hAnsi="Avenir Next" w:cs="Arial"/>
          <w:color w:val="808080" w:themeColor="background1" w:themeShade="80"/>
          <w:sz w:val="22"/>
          <w:szCs w:val="22"/>
          <w:lang w:val="en-GB"/>
        </w:rPr>
        <w:t>legal liabilities</w:t>
      </w:r>
      <w:r w:rsidR="00C32B79">
        <w:rPr>
          <w:rFonts w:ascii="Avenir Next" w:hAnsi="Avenir Next" w:cs="Arial"/>
          <w:color w:val="808080" w:themeColor="background1" w:themeShade="80"/>
          <w:sz w:val="22"/>
          <w:szCs w:val="22"/>
          <w:lang w:val="en-GB"/>
        </w:rPr>
        <w:t xml:space="preserve">. Here, Mr. Relation’s work-from-home practices for his firm may </w:t>
      </w:r>
      <w:r w:rsidR="00AA25BC">
        <w:rPr>
          <w:rFonts w:ascii="Avenir Next" w:hAnsi="Avenir Next" w:cs="Arial"/>
          <w:color w:val="808080" w:themeColor="background1" w:themeShade="80"/>
          <w:sz w:val="22"/>
          <w:szCs w:val="22"/>
          <w:lang w:val="en-GB"/>
        </w:rPr>
        <w:t>risk</w:t>
      </w:r>
      <w:r w:rsidR="00C32B79">
        <w:rPr>
          <w:rFonts w:ascii="Avenir Next" w:hAnsi="Avenir Next" w:cs="Arial"/>
          <w:color w:val="808080" w:themeColor="background1" w:themeShade="80"/>
          <w:sz w:val="22"/>
          <w:szCs w:val="22"/>
          <w:lang w:val="en-GB"/>
        </w:rPr>
        <w:t xml:space="preserve"> WeBuil</w:t>
      </w:r>
      <w:r w:rsidR="00AA25BC">
        <w:rPr>
          <w:rFonts w:ascii="Avenir Next" w:hAnsi="Avenir Next" w:cs="Arial"/>
          <w:color w:val="808080" w:themeColor="background1" w:themeShade="80"/>
          <w:sz w:val="22"/>
          <w:szCs w:val="22"/>
          <w:lang w:val="en-GB"/>
        </w:rPr>
        <w:t xml:space="preserve">d’s confidential data, given the secretary and associate accessing these highly confidential documents at home on their personal devices. A failure to conduct the company’s </w:t>
      </w:r>
      <w:r w:rsidR="0024190C">
        <w:rPr>
          <w:rFonts w:ascii="Avenir Next" w:hAnsi="Avenir Next" w:cs="Arial"/>
          <w:color w:val="808080" w:themeColor="background1" w:themeShade="80"/>
          <w:sz w:val="22"/>
          <w:szCs w:val="22"/>
          <w:lang w:val="en-GB"/>
        </w:rPr>
        <w:t>business</w:t>
      </w:r>
      <w:r w:rsidR="00AA25BC">
        <w:rPr>
          <w:rFonts w:ascii="Avenir Next" w:hAnsi="Avenir Next" w:cs="Arial"/>
          <w:color w:val="808080" w:themeColor="background1" w:themeShade="80"/>
          <w:sz w:val="22"/>
          <w:szCs w:val="22"/>
          <w:lang w:val="en-GB"/>
        </w:rPr>
        <w:t xml:space="preserve"> in a manner that complies with proper </w:t>
      </w:r>
      <w:r w:rsidR="00957499">
        <w:rPr>
          <w:rFonts w:ascii="Avenir Next" w:hAnsi="Avenir Next" w:cs="Arial"/>
          <w:color w:val="808080" w:themeColor="background1" w:themeShade="80"/>
          <w:sz w:val="22"/>
          <w:szCs w:val="22"/>
          <w:lang w:val="en-GB"/>
        </w:rPr>
        <w:t xml:space="preserve">data protection measures, especially given how much sensitive information insolvency professionals have access to, could be incredibly detrimental and a breach of </w:t>
      </w:r>
      <w:r w:rsidR="004D52F9">
        <w:rPr>
          <w:rFonts w:ascii="Avenir Next" w:hAnsi="Avenir Next" w:cs="Arial"/>
          <w:color w:val="808080" w:themeColor="background1" w:themeShade="80"/>
          <w:sz w:val="22"/>
          <w:szCs w:val="22"/>
          <w:lang w:val="en-GB"/>
        </w:rPr>
        <w:t>the ethical regulations insolvency professionals should abide by.</w:t>
      </w:r>
    </w:p>
    <w:p w14:paraId="103E7C59" w14:textId="77777777" w:rsidR="00DB246E" w:rsidRDefault="00DB246E" w:rsidP="00087F21">
      <w:pPr>
        <w:autoSpaceDE w:val="0"/>
        <w:autoSpaceDN w:val="0"/>
        <w:adjustRightInd w:val="0"/>
        <w:jc w:val="both"/>
        <w:rPr>
          <w:rFonts w:ascii="Avenir Next" w:hAnsi="Avenir Next" w:cs="Arial"/>
          <w:color w:val="808080" w:themeColor="background1" w:themeShade="80"/>
          <w:sz w:val="22"/>
          <w:szCs w:val="22"/>
          <w:lang w:val="en-GB"/>
        </w:rPr>
      </w:pPr>
    </w:p>
    <w:p w14:paraId="1892F29B" w14:textId="77777777" w:rsidR="00231871" w:rsidRPr="002E7621" w:rsidRDefault="00231871" w:rsidP="00087F21">
      <w:pPr>
        <w:autoSpaceDE w:val="0"/>
        <w:autoSpaceDN w:val="0"/>
        <w:adjustRightInd w:val="0"/>
        <w:jc w:val="both"/>
        <w:rPr>
          <w:rFonts w:ascii="Avenir Next" w:hAnsi="Avenir Next" w:cs="Arial"/>
          <w:color w:val="808080" w:themeColor="background1" w:themeShade="80"/>
          <w:sz w:val="22"/>
          <w:szCs w:val="22"/>
          <w:lang w:val="en-GB"/>
        </w:rPr>
      </w:pPr>
    </w:p>
    <w:p w14:paraId="1B5E2F08" w14:textId="43AA2127" w:rsidR="002D3473" w:rsidRPr="002E7621" w:rsidRDefault="002D3473" w:rsidP="00087F21">
      <w:pPr>
        <w:autoSpaceDE w:val="0"/>
        <w:autoSpaceDN w:val="0"/>
        <w:adjustRightInd w:val="0"/>
        <w:jc w:val="both"/>
        <w:rPr>
          <w:rFonts w:ascii="Avenir Next" w:hAnsi="Avenir Next" w:cs="Arial"/>
          <w:sz w:val="22"/>
          <w:szCs w:val="22"/>
          <w:lang w:val="en-GB"/>
        </w:rPr>
      </w:pPr>
    </w:p>
    <w:p w14:paraId="70C6A8B6" w14:textId="1261BD9D" w:rsidR="00126A4D" w:rsidRPr="002E7621" w:rsidRDefault="00126A4D" w:rsidP="00087F21">
      <w:pPr>
        <w:autoSpaceDE w:val="0"/>
        <w:autoSpaceDN w:val="0"/>
        <w:adjustRightInd w:val="0"/>
        <w:jc w:val="both"/>
        <w:rPr>
          <w:rFonts w:ascii="Avenir Next" w:hAnsi="Avenir Next" w:cs="Arial"/>
          <w:sz w:val="22"/>
          <w:szCs w:val="22"/>
          <w:lang w:val="en-GB"/>
        </w:rPr>
      </w:pPr>
    </w:p>
    <w:bookmarkEnd w:id="0"/>
    <w:p w14:paraId="35D8F287" w14:textId="77777777" w:rsidR="0077498C" w:rsidRPr="002E7621" w:rsidRDefault="0077498C"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7697" w14:textId="77777777" w:rsidR="0047100B" w:rsidRDefault="0047100B" w:rsidP="00241B44">
      <w:r>
        <w:separator/>
      </w:r>
    </w:p>
  </w:endnote>
  <w:endnote w:type="continuationSeparator" w:id="0">
    <w:p w14:paraId="5F28C929" w14:textId="77777777" w:rsidR="0047100B" w:rsidRDefault="0047100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45C66D60" w:rsidR="00241FA3" w:rsidRPr="009B4976" w:rsidRDefault="00355FB3" w:rsidP="009B4976">
    <w:pPr>
      <w:pStyle w:val="Footer"/>
      <w:ind w:right="360"/>
      <w:rPr>
        <w:rFonts w:ascii="Arial" w:hAnsi="Arial" w:cs="Arial"/>
        <w:sz w:val="18"/>
        <w:szCs w:val="18"/>
        <w:lang w:val="en-GB"/>
      </w:rPr>
    </w:pPr>
    <w:r w:rsidRPr="00355FB3">
      <w:rPr>
        <w:rFonts w:ascii="Arial" w:hAnsi="Arial" w:cs="Arial"/>
        <w:sz w:val="18"/>
        <w:szCs w:val="18"/>
        <w:lang w:val="en-GB"/>
      </w:rPr>
      <w:t>202021IFU-349</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4CC6" w14:textId="77777777" w:rsidR="0047100B" w:rsidRDefault="0047100B" w:rsidP="00241B44">
      <w:r>
        <w:separator/>
      </w:r>
    </w:p>
  </w:footnote>
  <w:footnote w:type="continuationSeparator" w:id="0">
    <w:p w14:paraId="6D35B6A3" w14:textId="77777777" w:rsidR="0047100B" w:rsidRDefault="0047100B" w:rsidP="00241B44">
      <w:r>
        <w:continuationSeparator/>
      </w:r>
    </w:p>
  </w:footnote>
  <w:footnote w:id="1">
    <w:p w14:paraId="3EAFF768" w14:textId="4CF5CBC7" w:rsidR="00A47889" w:rsidRDefault="00A47889">
      <w:pPr>
        <w:pStyle w:val="FootnoteText"/>
      </w:pPr>
      <w:r>
        <w:rPr>
          <w:rStyle w:val="FootnoteReference"/>
        </w:rPr>
        <w:footnoteRef/>
      </w:r>
      <w:r>
        <w:t xml:space="preserve"> </w:t>
      </w:r>
      <w:r w:rsidR="00023D53" w:rsidRPr="00023D53">
        <w:t>Royal Bank of Scotland NV (formerly known as ABN Amro Bank NV) and others v TT International Ltd</w:t>
      </w:r>
    </w:p>
  </w:footnote>
  <w:footnote w:id="2">
    <w:p w14:paraId="331F5A65" w14:textId="7CF0D774" w:rsidR="00A47889" w:rsidRDefault="00A47889">
      <w:pPr>
        <w:pStyle w:val="FootnoteText"/>
      </w:pPr>
      <w:r>
        <w:rPr>
          <w:rStyle w:val="FootnoteReference"/>
        </w:rPr>
        <w:footnoteRef/>
      </w:r>
      <w:r>
        <w:t xml:space="preserve"> </w:t>
      </w:r>
      <w:r w:rsidRPr="00A47889">
        <w:t>General Insolvency Inquiry (ALRC Report 45)</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2"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E15229"/>
    <w:multiLevelType w:val="hybridMultilevel"/>
    <w:tmpl w:val="684C96DA"/>
    <w:lvl w:ilvl="0" w:tplc="1A7C61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E0225"/>
    <w:multiLevelType w:val="hybridMultilevel"/>
    <w:tmpl w:val="CE16A9DA"/>
    <w:lvl w:ilvl="0" w:tplc="F5D220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5"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5513695">
    <w:abstractNumId w:val="14"/>
  </w:num>
  <w:num w:numId="2" w16cid:durableId="711883087">
    <w:abstractNumId w:val="9"/>
  </w:num>
  <w:num w:numId="3" w16cid:durableId="1194924175">
    <w:abstractNumId w:val="19"/>
  </w:num>
  <w:num w:numId="4" w16cid:durableId="1892033685">
    <w:abstractNumId w:val="18"/>
  </w:num>
  <w:num w:numId="5" w16cid:durableId="1396077539">
    <w:abstractNumId w:val="30"/>
  </w:num>
  <w:num w:numId="6" w16cid:durableId="187647806">
    <w:abstractNumId w:val="31"/>
  </w:num>
  <w:num w:numId="7" w16cid:durableId="656803586">
    <w:abstractNumId w:val="32"/>
  </w:num>
  <w:num w:numId="8" w16cid:durableId="1874730527">
    <w:abstractNumId w:val="28"/>
  </w:num>
  <w:num w:numId="9" w16cid:durableId="1901867552">
    <w:abstractNumId w:val="20"/>
  </w:num>
  <w:num w:numId="10" w16cid:durableId="2140996527">
    <w:abstractNumId w:val="3"/>
  </w:num>
  <w:num w:numId="11" w16cid:durableId="1311014587">
    <w:abstractNumId w:val="12"/>
  </w:num>
  <w:num w:numId="12" w16cid:durableId="1127772138">
    <w:abstractNumId w:val="10"/>
  </w:num>
  <w:num w:numId="13" w16cid:durableId="291641135">
    <w:abstractNumId w:val="27"/>
  </w:num>
  <w:num w:numId="14" w16cid:durableId="1809785142">
    <w:abstractNumId w:val="2"/>
  </w:num>
  <w:num w:numId="15" w16cid:durableId="1538662194">
    <w:abstractNumId w:val="17"/>
  </w:num>
  <w:num w:numId="16" w16cid:durableId="1664435318">
    <w:abstractNumId w:val="22"/>
  </w:num>
  <w:num w:numId="17" w16cid:durableId="339167314">
    <w:abstractNumId w:val="0"/>
  </w:num>
  <w:num w:numId="18" w16cid:durableId="1739743018">
    <w:abstractNumId w:val="29"/>
  </w:num>
  <w:num w:numId="19" w16cid:durableId="1313558617">
    <w:abstractNumId w:val="21"/>
  </w:num>
  <w:num w:numId="20" w16cid:durableId="861747271">
    <w:abstractNumId w:val="1"/>
  </w:num>
  <w:num w:numId="21" w16cid:durableId="868295343">
    <w:abstractNumId w:val="7"/>
  </w:num>
  <w:num w:numId="22" w16cid:durableId="1048189250">
    <w:abstractNumId w:val="4"/>
  </w:num>
  <w:num w:numId="23" w16cid:durableId="2083064548">
    <w:abstractNumId w:val="6"/>
  </w:num>
  <w:num w:numId="24" w16cid:durableId="820852052">
    <w:abstractNumId w:val="16"/>
  </w:num>
  <w:num w:numId="25" w16cid:durableId="758601809">
    <w:abstractNumId w:val="11"/>
  </w:num>
  <w:num w:numId="26" w16cid:durableId="1402942016">
    <w:abstractNumId w:val="5"/>
  </w:num>
  <w:num w:numId="27" w16cid:durableId="466237805">
    <w:abstractNumId w:val="15"/>
  </w:num>
  <w:num w:numId="28" w16cid:durableId="810947345">
    <w:abstractNumId w:val="25"/>
  </w:num>
  <w:num w:numId="29" w16cid:durableId="1836454829">
    <w:abstractNumId w:val="26"/>
  </w:num>
  <w:num w:numId="30" w16cid:durableId="1132552306">
    <w:abstractNumId w:val="8"/>
  </w:num>
  <w:num w:numId="31" w16cid:durableId="113603140">
    <w:abstractNumId w:val="24"/>
  </w:num>
  <w:num w:numId="32" w16cid:durableId="282925487">
    <w:abstractNumId w:val="13"/>
  </w:num>
  <w:num w:numId="33" w16cid:durableId="171449655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086"/>
    <w:rsid w:val="00002FCA"/>
    <w:rsid w:val="00007BF3"/>
    <w:rsid w:val="00010BA0"/>
    <w:rsid w:val="00011067"/>
    <w:rsid w:val="0001695C"/>
    <w:rsid w:val="00020557"/>
    <w:rsid w:val="00021FC2"/>
    <w:rsid w:val="00023D53"/>
    <w:rsid w:val="000250C7"/>
    <w:rsid w:val="00026B8E"/>
    <w:rsid w:val="00026F16"/>
    <w:rsid w:val="00037621"/>
    <w:rsid w:val="00044D46"/>
    <w:rsid w:val="00045088"/>
    <w:rsid w:val="00045904"/>
    <w:rsid w:val="00047A13"/>
    <w:rsid w:val="000502FD"/>
    <w:rsid w:val="00065166"/>
    <w:rsid w:val="00066DBE"/>
    <w:rsid w:val="000756F8"/>
    <w:rsid w:val="00076A9F"/>
    <w:rsid w:val="00081EC8"/>
    <w:rsid w:val="00082609"/>
    <w:rsid w:val="000851CC"/>
    <w:rsid w:val="00087F21"/>
    <w:rsid w:val="00093BE8"/>
    <w:rsid w:val="00097ABD"/>
    <w:rsid w:val="000A407B"/>
    <w:rsid w:val="000A46AA"/>
    <w:rsid w:val="000A68ED"/>
    <w:rsid w:val="000B14BB"/>
    <w:rsid w:val="000B5FF1"/>
    <w:rsid w:val="000B609F"/>
    <w:rsid w:val="000C7950"/>
    <w:rsid w:val="000D55A8"/>
    <w:rsid w:val="000E46AC"/>
    <w:rsid w:val="000E4841"/>
    <w:rsid w:val="000E55FD"/>
    <w:rsid w:val="000F1677"/>
    <w:rsid w:val="000F1EEE"/>
    <w:rsid w:val="000F3D6C"/>
    <w:rsid w:val="000F4603"/>
    <w:rsid w:val="00101707"/>
    <w:rsid w:val="00102CC9"/>
    <w:rsid w:val="0010593A"/>
    <w:rsid w:val="00110AED"/>
    <w:rsid w:val="00111BD5"/>
    <w:rsid w:val="0011473D"/>
    <w:rsid w:val="00115C85"/>
    <w:rsid w:val="00123855"/>
    <w:rsid w:val="0012430D"/>
    <w:rsid w:val="00126A4D"/>
    <w:rsid w:val="00132584"/>
    <w:rsid w:val="0014171F"/>
    <w:rsid w:val="00143008"/>
    <w:rsid w:val="00144669"/>
    <w:rsid w:val="0014622C"/>
    <w:rsid w:val="001478F8"/>
    <w:rsid w:val="00152348"/>
    <w:rsid w:val="00153EDD"/>
    <w:rsid w:val="0015456D"/>
    <w:rsid w:val="00155FA2"/>
    <w:rsid w:val="00161F1B"/>
    <w:rsid w:val="00162829"/>
    <w:rsid w:val="00176331"/>
    <w:rsid w:val="001769B0"/>
    <w:rsid w:val="00180548"/>
    <w:rsid w:val="00180AC4"/>
    <w:rsid w:val="00180CCE"/>
    <w:rsid w:val="0018267A"/>
    <w:rsid w:val="00182779"/>
    <w:rsid w:val="001830DF"/>
    <w:rsid w:val="001966D9"/>
    <w:rsid w:val="001A007A"/>
    <w:rsid w:val="001A7E9A"/>
    <w:rsid w:val="001B0F70"/>
    <w:rsid w:val="001B5016"/>
    <w:rsid w:val="001C252A"/>
    <w:rsid w:val="001C45FC"/>
    <w:rsid w:val="001D0469"/>
    <w:rsid w:val="001D29C0"/>
    <w:rsid w:val="001D4862"/>
    <w:rsid w:val="001E172D"/>
    <w:rsid w:val="001E25B9"/>
    <w:rsid w:val="001E48A3"/>
    <w:rsid w:val="001E4965"/>
    <w:rsid w:val="001E49E0"/>
    <w:rsid w:val="001E7B5A"/>
    <w:rsid w:val="001F7412"/>
    <w:rsid w:val="001F747C"/>
    <w:rsid w:val="0020090A"/>
    <w:rsid w:val="00202DFE"/>
    <w:rsid w:val="0020725B"/>
    <w:rsid w:val="002110F1"/>
    <w:rsid w:val="002141AF"/>
    <w:rsid w:val="0022120D"/>
    <w:rsid w:val="00231871"/>
    <w:rsid w:val="002356EA"/>
    <w:rsid w:val="0024116D"/>
    <w:rsid w:val="0024190C"/>
    <w:rsid w:val="00241B44"/>
    <w:rsid w:val="00241FA3"/>
    <w:rsid w:val="00245EFB"/>
    <w:rsid w:val="002460B1"/>
    <w:rsid w:val="0024704B"/>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DCF"/>
    <w:rsid w:val="002C5F61"/>
    <w:rsid w:val="002D0021"/>
    <w:rsid w:val="002D299D"/>
    <w:rsid w:val="002D3473"/>
    <w:rsid w:val="002E2B14"/>
    <w:rsid w:val="002E5175"/>
    <w:rsid w:val="002E7621"/>
    <w:rsid w:val="002E762B"/>
    <w:rsid w:val="002F1956"/>
    <w:rsid w:val="002F3440"/>
    <w:rsid w:val="002F75A3"/>
    <w:rsid w:val="00303C2F"/>
    <w:rsid w:val="003144EF"/>
    <w:rsid w:val="00326292"/>
    <w:rsid w:val="00326415"/>
    <w:rsid w:val="00326FDE"/>
    <w:rsid w:val="00330937"/>
    <w:rsid w:val="00330F31"/>
    <w:rsid w:val="00334648"/>
    <w:rsid w:val="0033768C"/>
    <w:rsid w:val="00337938"/>
    <w:rsid w:val="00337D3E"/>
    <w:rsid w:val="00340769"/>
    <w:rsid w:val="00341AA6"/>
    <w:rsid w:val="003444A2"/>
    <w:rsid w:val="00355FB3"/>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0A12"/>
    <w:rsid w:val="003A29B7"/>
    <w:rsid w:val="003B170F"/>
    <w:rsid w:val="003B3C5F"/>
    <w:rsid w:val="003B6A3D"/>
    <w:rsid w:val="003C3723"/>
    <w:rsid w:val="003C4471"/>
    <w:rsid w:val="003D0A6D"/>
    <w:rsid w:val="003E0B16"/>
    <w:rsid w:val="003E67D1"/>
    <w:rsid w:val="003F02EF"/>
    <w:rsid w:val="003F05C8"/>
    <w:rsid w:val="003F1372"/>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67F3E"/>
    <w:rsid w:val="0047100B"/>
    <w:rsid w:val="00476D8C"/>
    <w:rsid w:val="00477C72"/>
    <w:rsid w:val="004807F1"/>
    <w:rsid w:val="004835C9"/>
    <w:rsid w:val="00491675"/>
    <w:rsid w:val="00493855"/>
    <w:rsid w:val="004948AB"/>
    <w:rsid w:val="00495E79"/>
    <w:rsid w:val="004A2D83"/>
    <w:rsid w:val="004A4B15"/>
    <w:rsid w:val="004A57DD"/>
    <w:rsid w:val="004A7B51"/>
    <w:rsid w:val="004A7D71"/>
    <w:rsid w:val="004A7EF3"/>
    <w:rsid w:val="004B11FD"/>
    <w:rsid w:val="004B23A2"/>
    <w:rsid w:val="004C0C30"/>
    <w:rsid w:val="004D1A5A"/>
    <w:rsid w:val="004D2C62"/>
    <w:rsid w:val="004D2FFF"/>
    <w:rsid w:val="004D3721"/>
    <w:rsid w:val="004D52F9"/>
    <w:rsid w:val="004D64F9"/>
    <w:rsid w:val="004E3A6B"/>
    <w:rsid w:val="004E622C"/>
    <w:rsid w:val="004E79E2"/>
    <w:rsid w:val="004F070C"/>
    <w:rsid w:val="004F50CD"/>
    <w:rsid w:val="004F5FDF"/>
    <w:rsid w:val="004F7AAE"/>
    <w:rsid w:val="00501270"/>
    <w:rsid w:val="0050623B"/>
    <w:rsid w:val="0051386F"/>
    <w:rsid w:val="005177FE"/>
    <w:rsid w:val="0052263B"/>
    <w:rsid w:val="00524728"/>
    <w:rsid w:val="005327A3"/>
    <w:rsid w:val="005331CA"/>
    <w:rsid w:val="00537970"/>
    <w:rsid w:val="00540E3A"/>
    <w:rsid w:val="00544127"/>
    <w:rsid w:val="005463A9"/>
    <w:rsid w:val="00553EB2"/>
    <w:rsid w:val="00560534"/>
    <w:rsid w:val="00560C5D"/>
    <w:rsid w:val="00562E8E"/>
    <w:rsid w:val="0056391B"/>
    <w:rsid w:val="005650E2"/>
    <w:rsid w:val="00567AD7"/>
    <w:rsid w:val="00575B2D"/>
    <w:rsid w:val="005833D0"/>
    <w:rsid w:val="005846F3"/>
    <w:rsid w:val="0058622F"/>
    <w:rsid w:val="00590B0C"/>
    <w:rsid w:val="00592F82"/>
    <w:rsid w:val="005A0CCA"/>
    <w:rsid w:val="005A6496"/>
    <w:rsid w:val="005A6FF2"/>
    <w:rsid w:val="005A726D"/>
    <w:rsid w:val="005B67AC"/>
    <w:rsid w:val="005B6A47"/>
    <w:rsid w:val="005B79F4"/>
    <w:rsid w:val="005D16DD"/>
    <w:rsid w:val="005D43E0"/>
    <w:rsid w:val="005D58A3"/>
    <w:rsid w:val="005E1B79"/>
    <w:rsid w:val="005E4A0D"/>
    <w:rsid w:val="005E6076"/>
    <w:rsid w:val="005E7008"/>
    <w:rsid w:val="005F026D"/>
    <w:rsid w:val="005F2AEA"/>
    <w:rsid w:val="005F2D0B"/>
    <w:rsid w:val="005F40EF"/>
    <w:rsid w:val="005F4B31"/>
    <w:rsid w:val="00610388"/>
    <w:rsid w:val="00610AC7"/>
    <w:rsid w:val="00612CA5"/>
    <w:rsid w:val="006153EC"/>
    <w:rsid w:val="006164E5"/>
    <w:rsid w:val="00617C4A"/>
    <w:rsid w:val="00621A17"/>
    <w:rsid w:val="00627CC9"/>
    <w:rsid w:val="00627E7B"/>
    <w:rsid w:val="00630542"/>
    <w:rsid w:val="00632DA9"/>
    <w:rsid w:val="00632E44"/>
    <w:rsid w:val="00634622"/>
    <w:rsid w:val="00636808"/>
    <w:rsid w:val="00641515"/>
    <w:rsid w:val="00651652"/>
    <w:rsid w:val="00654C2F"/>
    <w:rsid w:val="00657087"/>
    <w:rsid w:val="006639DB"/>
    <w:rsid w:val="006661EF"/>
    <w:rsid w:val="00677AEB"/>
    <w:rsid w:val="00680EF2"/>
    <w:rsid w:val="00687A1D"/>
    <w:rsid w:val="00693A37"/>
    <w:rsid w:val="00697EA1"/>
    <w:rsid w:val="006A1258"/>
    <w:rsid w:val="006A2646"/>
    <w:rsid w:val="006A6530"/>
    <w:rsid w:val="006A6B99"/>
    <w:rsid w:val="006B435A"/>
    <w:rsid w:val="006B4C64"/>
    <w:rsid w:val="006C53A1"/>
    <w:rsid w:val="006D6BD5"/>
    <w:rsid w:val="006E481A"/>
    <w:rsid w:val="006E5298"/>
    <w:rsid w:val="006E5663"/>
    <w:rsid w:val="006F450E"/>
    <w:rsid w:val="006F4A78"/>
    <w:rsid w:val="006F734A"/>
    <w:rsid w:val="00700D83"/>
    <w:rsid w:val="00701CCC"/>
    <w:rsid w:val="00704852"/>
    <w:rsid w:val="007074E9"/>
    <w:rsid w:val="007105FB"/>
    <w:rsid w:val="00713DA4"/>
    <w:rsid w:val="00714BF1"/>
    <w:rsid w:val="00715D68"/>
    <w:rsid w:val="00721383"/>
    <w:rsid w:val="0073158B"/>
    <w:rsid w:val="007333CC"/>
    <w:rsid w:val="0073399A"/>
    <w:rsid w:val="00740DAD"/>
    <w:rsid w:val="007425B0"/>
    <w:rsid w:val="007603F5"/>
    <w:rsid w:val="00764DB0"/>
    <w:rsid w:val="0076764D"/>
    <w:rsid w:val="0077498C"/>
    <w:rsid w:val="007809BC"/>
    <w:rsid w:val="00783C21"/>
    <w:rsid w:val="00784128"/>
    <w:rsid w:val="007852F7"/>
    <w:rsid w:val="00787BCC"/>
    <w:rsid w:val="00790157"/>
    <w:rsid w:val="00793173"/>
    <w:rsid w:val="00794A92"/>
    <w:rsid w:val="00795762"/>
    <w:rsid w:val="007A2A33"/>
    <w:rsid w:val="007B5C89"/>
    <w:rsid w:val="007C1FCC"/>
    <w:rsid w:val="007C6201"/>
    <w:rsid w:val="007C7D7E"/>
    <w:rsid w:val="007D7C92"/>
    <w:rsid w:val="007E1154"/>
    <w:rsid w:val="007E6BA4"/>
    <w:rsid w:val="007F41F8"/>
    <w:rsid w:val="007F499A"/>
    <w:rsid w:val="007F659B"/>
    <w:rsid w:val="0080454E"/>
    <w:rsid w:val="00804C32"/>
    <w:rsid w:val="00806302"/>
    <w:rsid w:val="008063DF"/>
    <w:rsid w:val="00807119"/>
    <w:rsid w:val="00815328"/>
    <w:rsid w:val="0082483F"/>
    <w:rsid w:val="008279C0"/>
    <w:rsid w:val="00841D99"/>
    <w:rsid w:val="008478F7"/>
    <w:rsid w:val="008555F6"/>
    <w:rsid w:val="00862BD4"/>
    <w:rsid w:val="00867701"/>
    <w:rsid w:val="0087232A"/>
    <w:rsid w:val="008723F3"/>
    <w:rsid w:val="00876F56"/>
    <w:rsid w:val="00881DE6"/>
    <w:rsid w:val="008837A6"/>
    <w:rsid w:val="0089145D"/>
    <w:rsid w:val="0089154C"/>
    <w:rsid w:val="00896196"/>
    <w:rsid w:val="008A4DF2"/>
    <w:rsid w:val="008A6CFE"/>
    <w:rsid w:val="008B2B0F"/>
    <w:rsid w:val="008B5333"/>
    <w:rsid w:val="008B6223"/>
    <w:rsid w:val="008B7E9E"/>
    <w:rsid w:val="008C4CD6"/>
    <w:rsid w:val="008C66E0"/>
    <w:rsid w:val="008C6825"/>
    <w:rsid w:val="008E1511"/>
    <w:rsid w:val="008E3339"/>
    <w:rsid w:val="008E7E16"/>
    <w:rsid w:val="008F20FC"/>
    <w:rsid w:val="008F5FFE"/>
    <w:rsid w:val="00905A43"/>
    <w:rsid w:val="0090694A"/>
    <w:rsid w:val="00912C79"/>
    <w:rsid w:val="00920BED"/>
    <w:rsid w:val="00921B8C"/>
    <w:rsid w:val="00942123"/>
    <w:rsid w:val="0095207B"/>
    <w:rsid w:val="00957499"/>
    <w:rsid w:val="00961E9D"/>
    <w:rsid w:val="00962045"/>
    <w:rsid w:val="00980E61"/>
    <w:rsid w:val="00980FFC"/>
    <w:rsid w:val="00981286"/>
    <w:rsid w:val="00991263"/>
    <w:rsid w:val="00991428"/>
    <w:rsid w:val="00992676"/>
    <w:rsid w:val="009954B2"/>
    <w:rsid w:val="00995961"/>
    <w:rsid w:val="00996691"/>
    <w:rsid w:val="009A2357"/>
    <w:rsid w:val="009A3AB7"/>
    <w:rsid w:val="009B0723"/>
    <w:rsid w:val="009B07AD"/>
    <w:rsid w:val="009B0883"/>
    <w:rsid w:val="009B15E2"/>
    <w:rsid w:val="009B4976"/>
    <w:rsid w:val="009B627D"/>
    <w:rsid w:val="009C0B8E"/>
    <w:rsid w:val="009C1BC8"/>
    <w:rsid w:val="009C2442"/>
    <w:rsid w:val="009D0811"/>
    <w:rsid w:val="009D0EE1"/>
    <w:rsid w:val="009D7E8C"/>
    <w:rsid w:val="009E2AEB"/>
    <w:rsid w:val="009E2E27"/>
    <w:rsid w:val="009E45DF"/>
    <w:rsid w:val="009E4DE3"/>
    <w:rsid w:val="009F108E"/>
    <w:rsid w:val="009F275E"/>
    <w:rsid w:val="00A047EE"/>
    <w:rsid w:val="00A151AB"/>
    <w:rsid w:val="00A2274A"/>
    <w:rsid w:val="00A235B7"/>
    <w:rsid w:val="00A27A7A"/>
    <w:rsid w:val="00A34ABE"/>
    <w:rsid w:val="00A37300"/>
    <w:rsid w:val="00A407EF"/>
    <w:rsid w:val="00A40CCE"/>
    <w:rsid w:val="00A46B4C"/>
    <w:rsid w:val="00A47889"/>
    <w:rsid w:val="00A5117B"/>
    <w:rsid w:val="00A56D34"/>
    <w:rsid w:val="00A60074"/>
    <w:rsid w:val="00A6627C"/>
    <w:rsid w:val="00A67F08"/>
    <w:rsid w:val="00A71019"/>
    <w:rsid w:val="00A81029"/>
    <w:rsid w:val="00A845F5"/>
    <w:rsid w:val="00A944B1"/>
    <w:rsid w:val="00A96489"/>
    <w:rsid w:val="00AA25BC"/>
    <w:rsid w:val="00AB2425"/>
    <w:rsid w:val="00AB685C"/>
    <w:rsid w:val="00AB6C2D"/>
    <w:rsid w:val="00AC08F7"/>
    <w:rsid w:val="00AC2807"/>
    <w:rsid w:val="00AC3839"/>
    <w:rsid w:val="00AC7082"/>
    <w:rsid w:val="00AC7276"/>
    <w:rsid w:val="00AD1D99"/>
    <w:rsid w:val="00AD4BE8"/>
    <w:rsid w:val="00AF228E"/>
    <w:rsid w:val="00AF6FFB"/>
    <w:rsid w:val="00B016A8"/>
    <w:rsid w:val="00B14819"/>
    <w:rsid w:val="00B15E2F"/>
    <w:rsid w:val="00B17AA9"/>
    <w:rsid w:val="00B27B6F"/>
    <w:rsid w:val="00B376E2"/>
    <w:rsid w:val="00B44713"/>
    <w:rsid w:val="00B501A0"/>
    <w:rsid w:val="00B51B95"/>
    <w:rsid w:val="00B54F84"/>
    <w:rsid w:val="00B56103"/>
    <w:rsid w:val="00B64929"/>
    <w:rsid w:val="00B73416"/>
    <w:rsid w:val="00B736DF"/>
    <w:rsid w:val="00B743D6"/>
    <w:rsid w:val="00B74FBD"/>
    <w:rsid w:val="00B77F46"/>
    <w:rsid w:val="00B82586"/>
    <w:rsid w:val="00B829A3"/>
    <w:rsid w:val="00B86DB1"/>
    <w:rsid w:val="00B87869"/>
    <w:rsid w:val="00B9639B"/>
    <w:rsid w:val="00BA1E4F"/>
    <w:rsid w:val="00BA5429"/>
    <w:rsid w:val="00BA7E39"/>
    <w:rsid w:val="00BB0F2B"/>
    <w:rsid w:val="00BC285B"/>
    <w:rsid w:val="00BE4FF3"/>
    <w:rsid w:val="00BF50F7"/>
    <w:rsid w:val="00C02F29"/>
    <w:rsid w:val="00C045CE"/>
    <w:rsid w:val="00C10B1A"/>
    <w:rsid w:val="00C12E26"/>
    <w:rsid w:val="00C13189"/>
    <w:rsid w:val="00C17718"/>
    <w:rsid w:val="00C20AFE"/>
    <w:rsid w:val="00C216AA"/>
    <w:rsid w:val="00C22A25"/>
    <w:rsid w:val="00C27FAA"/>
    <w:rsid w:val="00C32B79"/>
    <w:rsid w:val="00C35671"/>
    <w:rsid w:val="00C35B77"/>
    <w:rsid w:val="00C376EB"/>
    <w:rsid w:val="00C4183E"/>
    <w:rsid w:val="00C42A14"/>
    <w:rsid w:val="00C46A92"/>
    <w:rsid w:val="00C46EC1"/>
    <w:rsid w:val="00C47BCE"/>
    <w:rsid w:val="00C52796"/>
    <w:rsid w:val="00C53E2C"/>
    <w:rsid w:val="00C550C8"/>
    <w:rsid w:val="00C55824"/>
    <w:rsid w:val="00C56B61"/>
    <w:rsid w:val="00C606C3"/>
    <w:rsid w:val="00C620F4"/>
    <w:rsid w:val="00C72848"/>
    <w:rsid w:val="00C7736C"/>
    <w:rsid w:val="00C813D1"/>
    <w:rsid w:val="00C81F6B"/>
    <w:rsid w:val="00C82D87"/>
    <w:rsid w:val="00C830EE"/>
    <w:rsid w:val="00C8712A"/>
    <w:rsid w:val="00C87E9E"/>
    <w:rsid w:val="00C902C8"/>
    <w:rsid w:val="00C919D1"/>
    <w:rsid w:val="00C963D3"/>
    <w:rsid w:val="00CB0A1F"/>
    <w:rsid w:val="00CB1983"/>
    <w:rsid w:val="00CB2CBB"/>
    <w:rsid w:val="00CB6B23"/>
    <w:rsid w:val="00CB7CAC"/>
    <w:rsid w:val="00CC5335"/>
    <w:rsid w:val="00CC5BA4"/>
    <w:rsid w:val="00CD4998"/>
    <w:rsid w:val="00CE0BB3"/>
    <w:rsid w:val="00CE1035"/>
    <w:rsid w:val="00CE6E50"/>
    <w:rsid w:val="00CF03DA"/>
    <w:rsid w:val="00CF2819"/>
    <w:rsid w:val="00CF2F08"/>
    <w:rsid w:val="00CF4F9D"/>
    <w:rsid w:val="00CF70DC"/>
    <w:rsid w:val="00D148DC"/>
    <w:rsid w:val="00D17FDC"/>
    <w:rsid w:val="00D21D8C"/>
    <w:rsid w:val="00D23277"/>
    <w:rsid w:val="00D368FA"/>
    <w:rsid w:val="00D47208"/>
    <w:rsid w:val="00D47267"/>
    <w:rsid w:val="00D53719"/>
    <w:rsid w:val="00D610E5"/>
    <w:rsid w:val="00D61C6D"/>
    <w:rsid w:val="00D63EFD"/>
    <w:rsid w:val="00D76705"/>
    <w:rsid w:val="00D84752"/>
    <w:rsid w:val="00D86B3B"/>
    <w:rsid w:val="00D8714D"/>
    <w:rsid w:val="00D8748A"/>
    <w:rsid w:val="00D93196"/>
    <w:rsid w:val="00DA0DC0"/>
    <w:rsid w:val="00DA7C95"/>
    <w:rsid w:val="00DB243C"/>
    <w:rsid w:val="00DB246E"/>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34E2"/>
    <w:rsid w:val="00E07C5A"/>
    <w:rsid w:val="00E11924"/>
    <w:rsid w:val="00E15BA9"/>
    <w:rsid w:val="00E26E19"/>
    <w:rsid w:val="00E31DF3"/>
    <w:rsid w:val="00E4341F"/>
    <w:rsid w:val="00E450A4"/>
    <w:rsid w:val="00E506BE"/>
    <w:rsid w:val="00E55547"/>
    <w:rsid w:val="00E6302B"/>
    <w:rsid w:val="00E6452F"/>
    <w:rsid w:val="00E64F45"/>
    <w:rsid w:val="00E6742D"/>
    <w:rsid w:val="00E71CB0"/>
    <w:rsid w:val="00E76906"/>
    <w:rsid w:val="00E77C3D"/>
    <w:rsid w:val="00E8150C"/>
    <w:rsid w:val="00E90991"/>
    <w:rsid w:val="00E909F0"/>
    <w:rsid w:val="00E90D47"/>
    <w:rsid w:val="00E937F3"/>
    <w:rsid w:val="00E93993"/>
    <w:rsid w:val="00E9597C"/>
    <w:rsid w:val="00EA0913"/>
    <w:rsid w:val="00EA5B00"/>
    <w:rsid w:val="00EA5F27"/>
    <w:rsid w:val="00EB146B"/>
    <w:rsid w:val="00EB45AC"/>
    <w:rsid w:val="00EB6801"/>
    <w:rsid w:val="00EC441F"/>
    <w:rsid w:val="00EC4755"/>
    <w:rsid w:val="00ED0BC4"/>
    <w:rsid w:val="00ED447D"/>
    <w:rsid w:val="00EE4971"/>
    <w:rsid w:val="00EE569F"/>
    <w:rsid w:val="00EE69A0"/>
    <w:rsid w:val="00EE6CB0"/>
    <w:rsid w:val="00EF090E"/>
    <w:rsid w:val="00EF5572"/>
    <w:rsid w:val="00F01639"/>
    <w:rsid w:val="00F033DA"/>
    <w:rsid w:val="00F13691"/>
    <w:rsid w:val="00F138E6"/>
    <w:rsid w:val="00F13DB2"/>
    <w:rsid w:val="00F13FB1"/>
    <w:rsid w:val="00F27CD8"/>
    <w:rsid w:val="00F302D8"/>
    <w:rsid w:val="00F30351"/>
    <w:rsid w:val="00F30945"/>
    <w:rsid w:val="00F33038"/>
    <w:rsid w:val="00F3323E"/>
    <w:rsid w:val="00F341F4"/>
    <w:rsid w:val="00F34F9D"/>
    <w:rsid w:val="00F35CCE"/>
    <w:rsid w:val="00F5524B"/>
    <w:rsid w:val="00F60538"/>
    <w:rsid w:val="00F61DD2"/>
    <w:rsid w:val="00F66AFF"/>
    <w:rsid w:val="00F71433"/>
    <w:rsid w:val="00F80F20"/>
    <w:rsid w:val="00F83703"/>
    <w:rsid w:val="00F90387"/>
    <w:rsid w:val="00F97C5B"/>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6B4F"/>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524A55-2BD2-DF49-9277-7C13A624E8CA}">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13</Pages>
  <Words>4575</Words>
  <Characters>26083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Nikita Mathur</cp:lastModifiedBy>
  <cp:revision>20</cp:revision>
  <cp:lastPrinted>2019-08-27T05:42:00Z</cp:lastPrinted>
  <dcterms:created xsi:type="dcterms:W3CDTF">2023-03-14T17:58:00Z</dcterms:created>
  <dcterms:modified xsi:type="dcterms:W3CDTF">2023-07-30T03:00:00Z</dcterms:modified>
</cp:coreProperties>
</file>