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0167AB"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0167AB">
        <w:rPr>
          <w:rFonts w:ascii="Avenir Next" w:eastAsia="MS Mincho" w:hAnsi="Avenir Next" w:cs="Arial"/>
          <w:sz w:val="22"/>
          <w:szCs w:val="22"/>
          <w:highlight w:val="yellow"/>
          <w:lang w:val="en-GB"/>
        </w:rPr>
        <w:t xml:space="preserve">On the </w:t>
      </w:r>
      <w:r w:rsidR="009C2D45" w:rsidRPr="000167AB">
        <w:rPr>
          <w:rFonts w:ascii="Avenir Next" w:eastAsia="MS Mincho" w:hAnsi="Avenir Next" w:cs="Arial"/>
          <w:sz w:val="22"/>
          <w:szCs w:val="22"/>
          <w:highlight w:val="yellow"/>
          <w:lang w:val="en-GB"/>
        </w:rPr>
        <w:t>date the qualifying resolution is passed</w:t>
      </w:r>
      <w:r w:rsidRPr="000167AB">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0346F3" w:rsidRDefault="00516777" w:rsidP="00E87B1B">
      <w:pPr>
        <w:pStyle w:val="ListParagraph"/>
        <w:numPr>
          <w:ilvl w:val="0"/>
          <w:numId w:val="14"/>
        </w:numPr>
        <w:ind w:left="426"/>
        <w:jc w:val="both"/>
        <w:rPr>
          <w:rFonts w:ascii="Avenir Next" w:hAnsi="Avenir Next" w:cs="Arial"/>
          <w:sz w:val="22"/>
          <w:szCs w:val="22"/>
          <w:highlight w:val="yellow"/>
          <w:lang w:val="en-GB"/>
        </w:rPr>
      </w:pPr>
      <w:r w:rsidRPr="000346F3">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lastRenderedPageBreak/>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A70935">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D56BDA" w:rsidRDefault="00802DB8" w:rsidP="00966035">
      <w:pPr>
        <w:pStyle w:val="ListParagraph"/>
        <w:numPr>
          <w:ilvl w:val="0"/>
          <w:numId w:val="16"/>
        </w:numPr>
        <w:ind w:left="426"/>
        <w:jc w:val="both"/>
        <w:rPr>
          <w:rFonts w:ascii="Avenir Next" w:hAnsi="Avenir Next" w:cs="Arial"/>
          <w:sz w:val="22"/>
          <w:szCs w:val="22"/>
          <w:highlight w:val="yellow"/>
          <w:lang w:val="en-GB"/>
        </w:rPr>
      </w:pPr>
      <w:r w:rsidRPr="00D56BDA">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5D44E6"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5D44E6">
        <w:rPr>
          <w:rFonts w:ascii="Avenir Next" w:hAnsi="Avenir Next" w:cs="Arial"/>
          <w:sz w:val="22"/>
          <w:szCs w:val="22"/>
          <w:highlight w:val="yellow"/>
          <w:lang w:val="en-GB"/>
        </w:rPr>
        <w:t>He</w:t>
      </w:r>
      <w:r w:rsidR="00903504" w:rsidRPr="005D44E6">
        <w:rPr>
          <w:rFonts w:ascii="Avenir Next" w:hAnsi="Avenir Next" w:cs="Arial"/>
          <w:sz w:val="22"/>
          <w:szCs w:val="22"/>
          <w:highlight w:val="yellow"/>
          <w:lang w:val="en-GB"/>
        </w:rPr>
        <w:t xml:space="preserve"> or she</w:t>
      </w:r>
      <w:r w:rsidRPr="005D44E6">
        <w:rPr>
          <w:rFonts w:ascii="Avenir Next" w:hAnsi="Avenir Next" w:cs="Arial"/>
          <w:sz w:val="22"/>
          <w:szCs w:val="22"/>
          <w:highlight w:val="yellow"/>
          <w:lang w:val="en-GB"/>
        </w:rPr>
        <w:t xml:space="preserve"> is a licenced insolvency practitioner; has given written consent to act; </w:t>
      </w:r>
      <w:r w:rsidR="00903504" w:rsidRPr="005D44E6">
        <w:rPr>
          <w:rFonts w:ascii="Avenir Next" w:hAnsi="Avenir Next" w:cs="Arial"/>
          <w:sz w:val="22"/>
          <w:szCs w:val="22"/>
          <w:highlight w:val="yellow"/>
          <w:lang w:val="en-GB"/>
        </w:rPr>
        <w:t xml:space="preserve">is </w:t>
      </w:r>
      <w:r w:rsidRPr="005D44E6">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5D44E6">
        <w:rPr>
          <w:rFonts w:ascii="Avenir Next" w:hAnsi="Avenir Next" w:cs="Arial"/>
          <w:sz w:val="22"/>
          <w:szCs w:val="22"/>
          <w:highlight w:val="yellow"/>
          <w:lang w:val="en-GB"/>
        </w:rPr>
        <w:t xml:space="preserve"> or her</w:t>
      </w:r>
      <w:r w:rsidRPr="005D44E6">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5D44E6"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5D44E6">
        <w:rPr>
          <w:rFonts w:ascii="Avenir Next" w:hAnsi="Avenir Next" w:cs="Arial"/>
          <w:sz w:val="22"/>
          <w:szCs w:val="22"/>
          <w:highlight w:val="yellow"/>
          <w:lang w:val="en-GB"/>
        </w:rPr>
        <w:t>Within 12 months of the date of judgment</w:t>
      </w:r>
      <w:r w:rsidR="0027374E" w:rsidRPr="005D44E6">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8E48CA">
        <w:rPr>
          <w:rFonts w:ascii="Avenir Next" w:hAnsi="Avenir Next" w:cs="Arial"/>
          <w:sz w:val="22"/>
          <w:szCs w:val="22"/>
          <w:highlight w:val="yellow"/>
          <w:lang w:val="en-GB"/>
        </w:rPr>
        <w:t>The assets automatically vest in the liquidator</w:t>
      </w:r>
      <w:r w:rsidRPr="005965BF">
        <w:rPr>
          <w:rFonts w:ascii="Avenir Next" w:hAnsi="Avenir Next" w:cs="Arial"/>
          <w:sz w:val="22"/>
          <w:szCs w:val="22"/>
          <w:lang w:val="en-GB"/>
        </w:rPr>
        <w:t xml:space="preserve">.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1032E4" w:rsidRDefault="00B54DB9" w:rsidP="002649C2">
      <w:pPr>
        <w:pStyle w:val="ListParagraph"/>
        <w:numPr>
          <w:ilvl w:val="0"/>
          <w:numId w:val="20"/>
        </w:numPr>
        <w:ind w:left="426"/>
        <w:jc w:val="both"/>
        <w:rPr>
          <w:rFonts w:ascii="Avenir Next" w:hAnsi="Avenir Next" w:cs="Arial"/>
          <w:sz w:val="22"/>
          <w:szCs w:val="22"/>
          <w:highlight w:val="yellow"/>
          <w:lang w:val="en-GB"/>
        </w:rPr>
      </w:pPr>
      <w:r w:rsidRPr="001032E4">
        <w:rPr>
          <w:rFonts w:ascii="Avenir Next" w:hAnsi="Avenir Next" w:cs="Arial"/>
          <w:sz w:val="22"/>
          <w:szCs w:val="22"/>
          <w:highlight w:val="yellow"/>
          <w:lang w:val="en-GB"/>
        </w:rPr>
        <w:t>Two (</w:t>
      </w:r>
      <w:r w:rsidR="00802DB8" w:rsidRPr="001032E4">
        <w:rPr>
          <w:rFonts w:ascii="Avenir Next" w:hAnsi="Avenir Next" w:cs="Arial"/>
          <w:sz w:val="22"/>
          <w:szCs w:val="22"/>
          <w:highlight w:val="yellow"/>
          <w:lang w:val="en-GB"/>
        </w:rPr>
        <w:t>2</w:t>
      </w:r>
      <w:r w:rsidRPr="001032E4">
        <w:rPr>
          <w:rFonts w:ascii="Avenir Next" w:hAnsi="Avenir Next" w:cs="Arial"/>
          <w:sz w:val="22"/>
          <w:szCs w:val="22"/>
          <w:highlight w:val="yellow"/>
          <w:lang w:val="en-GB"/>
        </w:rPr>
        <w:t>)</w:t>
      </w:r>
      <w:r w:rsidR="00802DB8" w:rsidRPr="001032E4">
        <w:rPr>
          <w:rFonts w:ascii="Avenir Next" w:hAnsi="Avenir Next" w:cs="Arial"/>
          <w:sz w:val="22"/>
          <w:szCs w:val="22"/>
          <w:highlight w:val="yellow"/>
          <w:lang w:val="en-GB"/>
        </w:rPr>
        <w:t xml:space="preserve"> years prior to the onset of insolvency</w:t>
      </w:r>
      <w:r w:rsidR="00CE62E7" w:rsidRPr="001032E4">
        <w:rPr>
          <w:rFonts w:ascii="Avenir Next" w:hAnsi="Avenir Next" w:cs="Arial"/>
          <w:sz w:val="22"/>
          <w:szCs w:val="22"/>
          <w:highlight w:val="yellow"/>
          <w:lang w:val="en-GB"/>
        </w:rPr>
        <w:t xml:space="preserve"> and ending on the appointment of the liquidator</w:t>
      </w:r>
      <w:r w:rsidR="009859BA" w:rsidRPr="001032E4">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lastRenderedPageBreak/>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1032E4">
        <w:rPr>
          <w:rFonts w:ascii="Avenir Next" w:hAnsi="Avenir Next" w:cs="Arial"/>
          <w:sz w:val="22"/>
          <w:szCs w:val="22"/>
          <w:highlight w:val="yellow"/>
          <w:lang w:val="en-GB"/>
        </w:rPr>
        <w:t>Approving a liquidation plan and a declaration of solvency.</w:t>
      </w:r>
      <w:r w:rsidRPr="005965BF">
        <w:rPr>
          <w:rFonts w:ascii="Avenir Next" w:hAnsi="Avenir Next" w:cs="Arial"/>
          <w:sz w:val="22"/>
          <w:szCs w:val="22"/>
          <w:lang w:val="en-GB"/>
        </w:rPr>
        <w:t xml:space="preserve">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5965BF" w:rsidRDefault="00A52262" w:rsidP="002649C2">
      <w:pPr>
        <w:pStyle w:val="ListParagraph"/>
        <w:numPr>
          <w:ilvl w:val="0"/>
          <w:numId w:val="22"/>
        </w:numPr>
        <w:ind w:left="426"/>
        <w:jc w:val="both"/>
        <w:rPr>
          <w:rFonts w:ascii="Avenir Next" w:hAnsi="Avenir Next" w:cs="Arial"/>
          <w:sz w:val="22"/>
          <w:szCs w:val="22"/>
          <w:lang w:val="en-GB"/>
        </w:rPr>
      </w:pPr>
      <w:r w:rsidRPr="00BA6646">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EACEC87" w14:textId="77777777" w:rsidR="008655C0" w:rsidRDefault="00DC501C" w:rsidP="00804D1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00D75E05">
        <w:rPr>
          <w:rFonts w:ascii="Avenir Next" w:hAnsi="Avenir Next" w:cs="Arial"/>
          <w:color w:val="7B7B7B" w:themeColor="accent3" w:themeShade="BF"/>
          <w:sz w:val="22"/>
          <w:szCs w:val="22"/>
          <w:lang w:val="en-GB"/>
        </w:rPr>
        <w:t xml:space="preserve">ecured creditors enjoy protection by staying out of the liquidation process. </w:t>
      </w:r>
      <w:r w:rsidR="002C18E5">
        <w:rPr>
          <w:rFonts w:ascii="Avenir Next" w:hAnsi="Avenir Next" w:cs="Arial"/>
          <w:color w:val="7B7B7B" w:themeColor="accent3" w:themeShade="BF"/>
          <w:sz w:val="22"/>
          <w:szCs w:val="22"/>
          <w:lang w:val="en-GB"/>
        </w:rPr>
        <w:t>Given that</w:t>
      </w:r>
      <w:r w:rsidR="00804D12">
        <w:rPr>
          <w:rFonts w:ascii="Avenir Next" w:hAnsi="Avenir Next" w:cs="Arial"/>
          <w:color w:val="7B7B7B" w:themeColor="accent3" w:themeShade="BF"/>
          <w:sz w:val="22"/>
          <w:szCs w:val="22"/>
          <w:lang w:val="en-GB"/>
        </w:rPr>
        <w:t xml:space="preserve"> </w:t>
      </w:r>
      <w:r w:rsidR="002C18E5">
        <w:rPr>
          <w:rFonts w:ascii="Avenir Next" w:hAnsi="Avenir Next" w:cs="Arial"/>
          <w:color w:val="7B7B7B" w:themeColor="accent3" w:themeShade="BF"/>
          <w:sz w:val="22"/>
          <w:szCs w:val="22"/>
          <w:lang w:val="en-GB"/>
        </w:rPr>
        <w:t xml:space="preserve">secured creditors are not </w:t>
      </w:r>
      <w:r w:rsidR="00A41C65">
        <w:rPr>
          <w:rFonts w:ascii="Avenir Next" w:hAnsi="Avenir Next" w:cs="Arial"/>
          <w:color w:val="7B7B7B" w:themeColor="accent3" w:themeShade="BF"/>
          <w:sz w:val="22"/>
          <w:szCs w:val="22"/>
          <w:lang w:val="en-GB"/>
        </w:rPr>
        <w:t>one of the creditors subject to the liquidation they are free to</w:t>
      </w:r>
    </w:p>
    <w:p w14:paraId="52211DFF" w14:textId="758F1F33" w:rsidR="006F1654" w:rsidRDefault="006C6E8C" w:rsidP="00804D1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make progress their claim against a company’s assets and escape the restrictions other</w:t>
      </w:r>
      <w:r w:rsidR="008655C0">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unsecured creditors must submit to. </w:t>
      </w:r>
      <w:r w:rsidR="00E5333B">
        <w:rPr>
          <w:rFonts w:ascii="Avenir Next" w:hAnsi="Avenir Next" w:cs="Arial"/>
          <w:color w:val="7B7B7B" w:themeColor="accent3" w:themeShade="BF"/>
          <w:sz w:val="22"/>
          <w:szCs w:val="22"/>
          <w:lang w:val="en-GB"/>
        </w:rPr>
        <w:t xml:space="preserve">The Insolvency Act </w:t>
      </w:r>
      <w:r w:rsidR="007542CC">
        <w:rPr>
          <w:rFonts w:ascii="Avenir Next" w:hAnsi="Avenir Next" w:cs="Arial"/>
          <w:color w:val="7B7B7B" w:themeColor="accent3" w:themeShade="BF"/>
          <w:sz w:val="22"/>
          <w:szCs w:val="22"/>
          <w:lang w:val="en-GB"/>
        </w:rPr>
        <w:t>affirms the secured creditors</w:t>
      </w:r>
    </w:p>
    <w:p w14:paraId="38610D17" w14:textId="77777777" w:rsidR="00470BAF" w:rsidRDefault="007542CC" w:rsidP="00804D1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security</w:t>
      </w:r>
      <w:r w:rsidRPr="00804D12">
        <w:footnoteReference w:id="2"/>
      </w:r>
      <w:r>
        <w:rPr>
          <w:rFonts w:ascii="Avenir Next" w:hAnsi="Avenir Next" w:cs="Arial"/>
          <w:color w:val="7B7B7B" w:themeColor="accent3" w:themeShade="BF"/>
          <w:sz w:val="22"/>
          <w:szCs w:val="22"/>
          <w:lang w:val="en-GB"/>
        </w:rPr>
        <w:t>.</w:t>
      </w:r>
      <w:r w:rsidR="003965A4">
        <w:rPr>
          <w:rFonts w:ascii="Avenir Next" w:hAnsi="Avenir Next" w:cs="Arial"/>
          <w:color w:val="7B7B7B" w:themeColor="accent3" w:themeShade="BF"/>
          <w:sz w:val="22"/>
          <w:szCs w:val="22"/>
          <w:lang w:val="en-GB"/>
        </w:rPr>
        <w:t xml:space="preserve"> Although called secured creditors they do not play a role as such and are</w:t>
      </w:r>
    </w:p>
    <w:p w14:paraId="587E9DB1" w14:textId="77777777" w:rsidR="00B94CC4" w:rsidRDefault="003965A4" w:rsidP="00804D1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gener</w:t>
      </w:r>
      <w:r w:rsidR="00470BAF">
        <w:rPr>
          <w:rFonts w:ascii="Avenir Next" w:hAnsi="Avenir Next" w:cs="Arial"/>
          <w:color w:val="7B7B7B" w:themeColor="accent3" w:themeShade="BF"/>
          <w:sz w:val="22"/>
          <w:szCs w:val="22"/>
          <w:lang w:val="en-GB"/>
        </w:rPr>
        <w:t>ally do not take part in the insolvency proceedings.</w:t>
      </w:r>
      <w:r w:rsidR="00B63843">
        <w:rPr>
          <w:rFonts w:ascii="Avenir Next" w:hAnsi="Avenir Next" w:cs="Arial"/>
          <w:color w:val="7B7B7B" w:themeColor="accent3" w:themeShade="BF"/>
          <w:sz w:val="22"/>
          <w:szCs w:val="22"/>
          <w:lang w:val="en-GB"/>
        </w:rPr>
        <w:t xml:space="preserve"> They therefore have the choice</w:t>
      </w:r>
    </w:p>
    <w:p w14:paraId="7B3FAF41" w14:textId="77777777" w:rsidR="00B94CC4" w:rsidRDefault="00B63843" w:rsidP="00804D1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about when to seek to enforce their security and are not </w:t>
      </w:r>
      <w:r w:rsidR="00B94CC4">
        <w:rPr>
          <w:rFonts w:ascii="Avenir Next" w:hAnsi="Avenir Next" w:cs="Arial"/>
          <w:color w:val="7B7B7B" w:themeColor="accent3" w:themeShade="BF"/>
          <w:sz w:val="22"/>
          <w:szCs w:val="22"/>
          <w:lang w:val="en-GB"/>
        </w:rPr>
        <w:t>plagued by any existing insolvency</w:t>
      </w:r>
    </w:p>
    <w:p w14:paraId="0B38C93D" w14:textId="6B17630C" w:rsidR="009B07AD" w:rsidRPr="00804D12" w:rsidRDefault="00B94CC4" w:rsidP="00804D1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proceedings. </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677688D1" w14:textId="6985AAF2" w:rsidR="009B07AD" w:rsidRDefault="00994D06" w:rsidP="00BA5A3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the Insolvency Act </w:t>
      </w:r>
      <w:r w:rsidR="006409B6">
        <w:rPr>
          <w:rFonts w:ascii="Avenir Next" w:hAnsi="Avenir Next" w:cs="Arial"/>
          <w:color w:val="7B7B7B" w:themeColor="accent3" w:themeShade="BF"/>
          <w:sz w:val="22"/>
          <w:szCs w:val="22"/>
          <w:lang w:val="en-GB"/>
        </w:rPr>
        <w:t>a creditors’ committee has the following functions and powers:</w:t>
      </w:r>
    </w:p>
    <w:p w14:paraId="52F92A29" w14:textId="77777777" w:rsidR="00F93A9C" w:rsidRDefault="006409B6" w:rsidP="00BA5A30">
      <w:pPr>
        <w:jc w:val="both"/>
        <w:rPr>
          <w:rFonts w:ascii="Avenir Next" w:hAnsi="Avenir Next" w:cs="Arial"/>
          <w:color w:val="7B7B7B" w:themeColor="accent3" w:themeShade="BF"/>
          <w:sz w:val="22"/>
          <w:szCs w:val="22"/>
          <w:lang w:val="en-GB"/>
        </w:rPr>
      </w:pPr>
      <w:r w:rsidRPr="00F93A9C">
        <w:rPr>
          <w:rFonts w:ascii="Avenir Next" w:hAnsi="Avenir Next" w:cs="Arial"/>
          <w:color w:val="7B7B7B" w:themeColor="accent3" w:themeShade="BF"/>
          <w:sz w:val="22"/>
          <w:szCs w:val="22"/>
          <w:lang w:val="en-GB"/>
        </w:rPr>
        <w:lastRenderedPageBreak/>
        <w:t xml:space="preserve">In relation to its function </w:t>
      </w:r>
      <w:r w:rsidR="00F71749" w:rsidRPr="00F93A9C">
        <w:rPr>
          <w:rFonts w:ascii="Avenir Next" w:hAnsi="Avenir Next" w:cs="Arial"/>
          <w:color w:val="7B7B7B" w:themeColor="accent3" w:themeShade="BF"/>
          <w:sz w:val="22"/>
          <w:szCs w:val="22"/>
          <w:lang w:val="en-GB"/>
        </w:rPr>
        <w:t xml:space="preserve">the committee is </w:t>
      </w:r>
      <w:r w:rsidR="00AD11ED" w:rsidRPr="00F93A9C">
        <w:rPr>
          <w:rFonts w:ascii="Avenir Next" w:hAnsi="Avenir Next" w:cs="Arial"/>
          <w:color w:val="7B7B7B" w:themeColor="accent3" w:themeShade="BF"/>
          <w:sz w:val="22"/>
          <w:szCs w:val="22"/>
          <w:lang w:val="en-GB"/>
        </w:rPr>
        <w:t>made up of creditors who have an input and some</w:t>
      </w:r>
    </w:p>
    <w:p w14:paraId="00D9BCCC" w14:textId="77777777" w:rsidR="00F93A9C" w:rsidRDefault="00AD11ED" w:rsidP="00BA5A30">
      <w:pPr>
        <w:jc w:val="both"/>
        <w:rPr>
          <w:rFonts w:ascii="Avenir Next" w:hAnsi="Avenir Next" w:cs="Arial"/>
          <w:color w:val="7B7B7B" w:themeColor="accent3" w:themeShade="BF"/>
          <w:sz w:val="22"/>
          <w:szCs w:val="22"/>
          <w:lang w:val="en-GB"/>
        </w:rPr>
      </w:pPr>
      <w:r w:rsidRPr="00F93A9C">
        <w:rPr>
          <w:rFonts w:ascii="Avenir Next" w:hAnsi="Avenir Next" w:cs="Arial"/>
          <w:color w:val="7B7B7B" w:themeColor="accent3" w:themeShade="BF"/>
          <w:sz w:val="22"/>
          <w:szCs w:val="22"/>
          <w:lang w:val="en-GB"/>
        </w:rPr>
        <w:t>influence in relation to decisions made by liquidators</w:t>
      </w:r>
      <w:r w:rsidR="00CA2F67" w:rsidRPr="00F93A9C">
        <w:rPr>
          <w:rFonts w:ascii="Avenir Next" w:hAnsi="Avenir Next" w:cs="Arial"/>
          <w:color w:val="7B7B7B" w:themeColor="accent3" w:themeShade="BF"/>
          <w:sz w:val="22"/>
          <w:szCs w:val="22"/>
          <w:lang w:val="en-GB"/>
        </w:rPr>
        <w:t>. They report to the liquidators and</w:t>
      </w:r>
    </w:p>
    <w:p w14:paraId="2A2782B6" w14:textId="318CC7CC" w:rsidR="006409B6" w:rsidRPr="00F93A9C" w:rsidRDefault="00CA2F67" w:rsidP="00BA5A30">
      <w:pPr>
        <w:jc w:val="both"/>
        <w:rPr>
          <w:rFonts w:ascii="Avenir Next" w:hAnsi="Avenir Next" w:cs="Arial"/>
          <w:color w:val="7B7B7B" w:themeColor="accent3" w:themeShade="BF"/>
          <w:sz w:val="22"/>
          <w:szCs w:val="22"/>
          <w:lang w:val="en-GB"/>
        </w:rPr>
      </w:pPr>
      <w:r w:rsidRPr="00F93A9C">
        <w:rPr>
          <w:rFonts w:ascii="Avenir Next" w:hAnsi="Avenir Next" w:cs="Arial"/>
          <w:color w:val="7B7B7B" w:themeColor="accent3" w:themeShade="BF"/>
          <w:sz w:val="22"/>
          <w:szCs w:val="22"/>
          <w:lang w:val="en-GB"/>
        </w:rPr>
        <w:t xml:space="preserve">assist as appropriate. </w:t>
      </w:r>
    </w:p>
    <w:p w14:paraId="20E521A1" w14:textId="77777777" w:rsidR="00F93A9C" w:rsidRDefault="009F1889" w:rsidP="00BA5A30">
      <w:pPr>
        <w:jc w:val="both"/>
        <w:rPr>
          <w:rFonts w:ascii="Avenir Next" w:hAnsi="Avenir Next" w:cs="Arial"/>
          <w:color w:val="7B7B7B" w:themeColor="accent3" w:themeShade="BF"/>
          <w:sz w:val="22"/>
          <w:szCs w:val="22"/>
          <w:lang w:val="en-GB"/>
        </w:rPr>
      </w:pPr>
      <w:r w:rsidRPr="00F93A9C">
        <w:rPr>
          <w:rFonts w:ascii="Avenir Next" w:hAnsi="Avenir Next" w:cs="Arial"/>
          <w:color w:val="7B7B7B" w:themeColor="accent3" w:themeShade="BF"/>
          <w:sz w:val="22"/>
          <w:szCs w:val="22"/>
          <w:lang w:val="en-GB"/>
        </w:rPr>
        <w:t xml:space="preserve">The committee has the power to </w:t>
      </w:r>
      <w:r w:rsidR="001543AE" w:rsidRPr="00F93A9C">
        <w:rPr>
          <w:rFonts w:ascii="Avenir Next" w:hAnsi="Avenir Next" w:cs="Arial"/>
          <w:color w:val="7B7B7B" w:themeColor="accent3" w:themeShade="BF"/>
          <w:sz w:val="22"/>
          <w:szCs w:val="22"/>
          <w:lang w:val="en-GB"/>
        </w:rPr>
        <w:t>ask for reports generated by the liquidators and hold</w:t>
      </w:r>
    </w:p>
    <w:p w14:paraId="4EE8D10C" w14:textId="77777777" w:rsidR="00F93A9C" w:rsidRDefault="001543AE" w:rsidP="00BA5A30">
      <w:pPr>
        <w:jc w:val="both"/>
        <w:rPr>
          <w:rFonts w:ascii="Avenir Next" w:hAnsi="Avenir Next" w:cs="Arial"/>
          <w:color w:val="7B7B7B" w:themeColor="accent3" w:themeShade="BF"/>
          <w:sz w:val="22"/>
          <w:szCs w:val="22"/>
          <w:lang w:val="en-GB"/>
        </w:rPr>
      </w:pPr>
      <w:r w:rsidRPr="00F93A9C">
        <w:rPr>
          <w:rFonts w:ascii="Avenir Next" w:hAnsi="Avenir Next" w:cs="Arial"/>
          <w:color w:val="7B7B7B" w:themeColor="accent3" w:themeShade="BF"/>
          <w:sz w:val="22"/>
          <w:szCs w:val="22"/>
          <w:lang w:val="en-GB"/>
        </w:rPr>
        <w:t>meetings to discuss the same and other aspects of the liquidation</w:t>
      </w:r>
      <w:r w:rsidR="001B499B" w:rsidRPr="00F93A9C">
        <w:rPr>
          <w:rFonts w:ascii="Avenir Next" w:hAnsi="Avenir Next" w:cs="Arial"/>
          <w:color w:val="7B7B7B" w:themeColor="accent3" w:themeShade="BF"/>
          <w:sz w:val="22"/>
          <w:szCs w:val="22"/>
          <w:lang w:val="en-GB"/>
        </w:rPr>
        <w:t xml:space="preserve"> and generally assist the</w:t>
      </w:r>
    </w:p>
    <w:p w14:paraId="51ED4AE1" w14:textId="767005E1" w:rsidR="00120559" w:rsidRDefault="001B499B" w:rsidP="00BA5A30">
      <w:pPr>
        <w:jc w:val="both"/>
        <w:rPr>
          <w:rFonts w:ascii="Avenir Next" w:hAnsi="Avenir Next" w:cs="Arial"/>
          <w:color w:val="7B7B7B" w:themeColor="accent3" w:themeShade="BF"/>
          <w:sz w:val="22"/>
          <w:szCs w:val="22"/>
          <w:lang w:val="en-GB"/>
        </w:rPr>
      </w:pPr>
      <w:r w:rsidRPr="00F93A9C">
        <w:rPr>
          <w:rFonts w:ascii="Avenir Next" w:hAnsi="Avenir Next" w:cs="Arial"/>
          <w:color w:val="7B7B7B" w:themeColor="accent3" w:themeShade="BF"/>
          <w:sz w:val="22"/>
          <w:szCs w:val="22"/>
          <w:lang w:val="en-GB"/>
        </w:rPr>
        <w:t>liquidator</w:t>
      </w:r>
      <w:r w:rsidR="00AD713F" w:rsidRPr="00BA5A30">
        <w:footnoteReference w:id="3"/>
      </w:r>
      <w:r w:rsidR="00610EEE" w:rsidRPr="00F93A9C">
        <w:rPr>
          <w:rFonts w:ascii="Avenir Next" w:hAnsi="Avenir Next" w:cs="Arial"/>
          <w:color w:val="7B7B7B" w:themeColor="accent3" w:themeShade="BF"/>
          <w:sz w:val="22"/>
          <w:szCs w:val="22"/>
          <w:lang w:val="en-GB"/>
        </w:rPr>
        <w:t>. They have the power to require the liquidator to attend meetings and they</w:t>
      </w:r>
    </w:p>
    <w:p w14:paraId="221EF805" w14:textId="41C8DDAF" w:rsidR="009F1889" w:rsidRPr="00F93A9C" w:rsidRDefault="00610EEE" w:rsidP="00BA5A30">
      <w:pPr>
        <w:jc w:val="both"/>
        <w:rPr>
          <w:rFonts w:ascii="Avenir Next" w:hAnsi="Avenir Next" w:cs="Arial"/>
          <w:color w:val="7B7B7B" w:themeColor="accent3" w:themeShade="BF"/>
          <w:sz w:val="22"/>
          <w:szCs w:val="22"/>
          <w:lang w:val="en-GB"/>
        </w:rPr>
      </w:pPr>
      <w:r w:rsidRPr="00F93A9C">
        <w:rPr>
          <w:rFonts w:ascii="Avenir Next" w:hAnsi="Avenir Next" w:cs="Arial"/>
          <w:color w:val="7B7B7B" w:themeColor="accent3" w:themeShade="BF"/>
          <w:sz w:val="22"/>
          <w:szCs w:val="22"/>
          <w:lang w:val="en-GB"/>
        </w:rPr>
        <w:t xml:space="preserve">generally </w:t>
      </w:r>
      <w:r w:rsidR="00AF6B3A" w:rsidRPr="00F93A9C">
        <w:rPr>
          <w:rFonts w:ascii="Avenir Next" w:hAnsi="Avenir Next" w:cs="Arial"/>
          <w:color w:val="7B7B7B" w:themeColor="accent3" w:themeShade="BF"/>
          <w:sz w:val="22"/>
          <w:szCs w:val="22"/>
          <w:lang w:val="en-GB"/>
        </w:rPr>
        <w:t>have a say in and approving the liquidators remuneration.</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C07732B" w14:textId="11A3E20D" w:rsidR="00D52412" w:rsidRDefault="001813E4"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the </w:t>
      </w:r>
      <w:r w:rsidR="004677C8">
        <w:rPr>
          <w:rFonts w:ascii="Avenir Next" w:hAnsi="Avenir Next" w:cs="Arial"/>
          <w:color w:val="7B7B7B" w:themeColor="accent3" w:themeShade="BF"/>
          <w:sz w:val="22"/>
          <w:szCs w:val="22"/>
          <w:lang w:val="en-GB"/>
        </w:rPr>
        <w:t>Insolvency</w:t>
      </w:r>
      <w:r w:rsidR="009842DA">
        <w:rPr>
          <w:rFonts w:ascii="Avenir Next" w:hAnsi="Avenir Next" w:cs="Arial"/>
          <w:color w:val="7B7B7B" w:themeColor="accent3" w:themeShade="BF"/>
          <w:sz w:val="22"/>
          <w:szCs w:val="22"/>
          <w:lang w:val="en-GB"/>
        </w:rPr>
        <w:t xml:space="preserve"> </w:t>
      </w:r>
      <w:r w:rsidR="004677C8">
        <w:rPr>
          <w:rFonts w:ascii="Avenir Next" w:hAnsi="Avenir Next" w:cs="Arial"/>
          <w:color w:val="7B7B7B" w:themeColor="accent3" w:themeShade="BF"/>
          <w:sz w:val="22"/>
          <w:szCs w:val="22"/>
          <w:lang w:val="en-GB"/>
        </w:rPr>
        <w:t>Act</w:t>
      </w:r>
      <w:r w:rsidR="009842DA">
        <w:rPr>
          <w:rFonts w:ascii="Avenir Next" w:hAnsi="Avenir Next" w:cs="Arial"/>
          <w:color w:val="7B7B7B" w:themeColor="accent3" w:themeShade="BF"/>
          <w:sz w:val="22"/>
          <w:szCs w:val="22"/>
          <w:lang w:val="en-GB"/>
        </w:rPr>
        <w:t xml:space="preserve"> Part XIX </w:t>
      </w:r>
      <w:r w:rsidR="00A3309F">
        <w:rPr>
          <w:rFonts w:ascii="Avenir Next" w:hAnsi="Avenir Next" w:cs="Arial"/>
          <w:color w:val="7B7B7B" w:themeColor="accent3" w:themeShade="BF"/>
          <w:sz w:val="22"/>
          <w:szCs w:val="22"/>
          <w:lang w:val="en-GB"/>
        </w:rPr>
        <w:t>the BVI court is given power to recognise</w:t>
      </w:r>
      <w:r w:rsidR="005D3BB4">
        <w:rPr>
          <w:rFonts w:ascii="Avenir Next" w:hAnsi="Avenir Next" w:cs="Arial"/>
          <w:color w:val="7B7B7B" w:themeColor="accent3" w:themeShade="BF"/>
          <w:sz w:val="22"/>
          <w:szCs w:val="22"/>
          <w:lang w:val="en-GB"/>
        </w:rPr>
        <w:t xml:space="preserve"> insolvency related proceedings from other jurisdictions and give assistance to any foreign representative</w:t>
      </w:r>
      <w:r w:rsidR="00B00B9E">
        <w:rPr>
          <w:rFonts w:ascii="Avenir Next" w:hAnsi="Avenir Next" w:cs="Arial"/>
          <w:color w:val="7B7B7B" w:themeColor="accent3" w:themeShade="BF"/>
          <w:sz w:val="22"/>
          <w:szCs w:val="22"/>
          <w:lang w:val="en-GB"/>
        </w:rPr>
        <w:t xml:space="preserve">s. </w:t>
      </w:r>
      <w:r w:rsidR="009B2474">
        <w:rPr>
          <w:rFonts w:ascii="Avenir Next" w:hAnsi="Avenir Next" w:cs="Arial"/>
          <w:color w:val="7B7B7B" w:themeColor="accent3" w:themeShade="BF"/>
          <w:sz w:val="22"/>
          <w:szCs w:val="22"/>
          <w:lang w:val="en-GB"/>
        </w:rPr>
        <w:t>The BVI has broad powers</w:t>
      </w:r>
      <w:r w:rsidR="009B2474">
        <w:rPr>
          <w:rStyle w:val="FootnoteReference"/>
          <w:rFonts w:ascii="Avenir Next" w:hAnsi="Avenir Next" w:cs="Arial"/>
          <w:color w:val="7B7B7B" w:themeColor="accent3" w:themeShade="BF"/>
          <w:sz w:val="22"/>
          <w:szCs w:val="22"/>
          <w:lang w:val="en-GB"/>
        </w:rPr>
        <w:footnoteReference w:id="4"/>
      </w:r>
      <w:r w:rsidR="009B2474">
        <w:rPr>
          <w:rFonts w:ascii="Avenir Next" w:hAnsi="Avenir Next" w:cs="Arial"/>
          <w:color w:val="7B7B7B" w:themeColor="accent3" w:themeShade="BF"/>
          <w:sz w:val="22"/>
          <w:szCs w:val="22"/>
          <w:lang w:val="en-GB"/>
        </w:rPr>
        <w:t xml:space="preserve"> to</w:t>
      </w:r>
      <w:r w:rsidR="003E60F6">
        <w:rPr>
          <w:rFonts w:ascii="Avenir Next" w:hAnsi="Avenir Next" w:cs="Arial"/>
          <w:color w:val="7B7B7B" w:themeColor="accent3" w:themeShade="BF"/>
          <w:sz w:val="22"/>
          <w:szCs w:val="22"/>
          <w:lang w:val="en-GB"/>
        </w:rPr>
        <w:t xml:space="preserve"> assist in making orders which include, the restraining </w:t>
      </w:r>
      <w:r w:rsidR="00891C43">
        <w:rPr>
          <w:rFonts w:ascii="Avenir Next" w:hAnsi="Avenir Next" w:cs="Arial"/>
          <w:color w:val="7B7B7B" w:themeColor="accent3" w:themeShade="BF"/>
          <w:sz w:val="22"/>
          <w:szCs w:val="22"/>
          <w:lang w:val="en-GB"/>
        </w:rPr>
        <w:t>of commencement against a debtor, restraining enforcement against property owned by the debtor</w:t>
      </w:r>
      <w:r w:rsidR="00782915">
        <w:rPr>
          <w:rFonts w:ascii="Avenir Next" w:hAnsi="Avenir Next" w:cs="Arial"/>
          <w:color w:val="7B7B7B" w:themeColor="accent3" w:themeShade="BF"/>
          <w:sz w:val="22"/>
          <w:szCs w:val="22"/>
          <w:lang w:val="en-GB"/>
        </w:rPr>
        <w:t>, require delivery up on property</w:t>
      </w:r>
      <w:r w:rsidR="00BD547F">
        <w:rPr>
          <w:rFonts w:ascii="Avenir Next" w:hAnsi="Avenir Next" w:cs="Arial"/>
          <w:color w:val="7B7B7B" w:themeColor="accent3" w:themeShade="BF"/>
          <w:sz w:val="22"/>
          <w:szCs w:val="22"/>
          <w:lang w:val="en-GB"/>
        </w:rPr>
        <w:t xml:space="preserve"> owned by the debtor, </w:t>
      </w:r>
      <w:r w:rsidR="00532663">
        <w:rPr>
          <w:rFonts w:ascii="Avenir Next" w:hAnsi="Avenir Next" w:cs="Arial"/>
          <w:color w:val="7B7B7B" w:themeColor="accent3" w:themeShade="BF"/>
          <w:sz w:val="22"/>
          <w:szCs w:val="22"/>
          <w:lang w:val="en-GB"/>
        </w:rPr>
        <w:t>order/</w:t>
      </w:r>
      <w:r w:rsidR="00BD547F">
        <w:rPr>
          <w:rFonts w:ascii="Avenir Next" w:hAnsi="Avenir Next" w:cs="Arial"/>
          <w:color w:val="7B7B7B" w:themeColor="accent3" w:themeShade="BF"/>
          <w:sz w:val="22"/>
          <w:szCs w:val="22"/>
          <w:lang w:val="en-GB"/>
        </w:rPr>
        <w:t>grant relief</w:t>
      </w:r>
      <w:r w:rsidR="00532663">
        <w:rPr>
          <w:rFonts w:ascii="Avenir Next" w:hAnsi="Avenir Next" w:cs="Arial"/>
          <w:color w:val="7B7B7B" w:themeColor="accent3" w:themeShade="BF"/>
          <w:sz w:val="22"/>
          <w:szCs w:val="22"/>
          <w:lang w:val="en-GB"/>
        </w:rPr>
        <w:t xml:space="preserve"> in order to enhance co-operation with foreign proceedings</w:t>
      </w:r>
      <w:r w:rsidR="00F23D70">
        <w:rPr>
          <w:rFonts w:ascii="Avenir Next" w:hAnsi="Avenir Next" w:cs="Arial"/>
          <w:color w:val="7B7B7B" w:themeColor="accent3" w:themeShade="BF"/>
          <w:sz w:val="22"/>
          <w:szCs w:val="22"/>
          <w:lang w:val="en-GB"/>
        </w:rPr>
        <w:t xml:space="preserve">, </w:t>
      </w:r>
      <w:r w:rsidR="00652F22">
        <w:rPr>
          <w:rFonts w:ascii="Avenir Next" w:hAnsi="Avenir Next" w:cs="Arial"/>
          <w:color w:val="7B7B7B" w:themeColor="accent3" w:themeShade="BF"/>
          <w:sz w:val="22"/>
          <w:szCs w:val="22"/>
          <w:lang w:val="en-GB"/>
        </w:rPr>
        <w:t xml:space="preserve">permit the examination by a foreign representative of a debtor any one who in </w:t>
      </w:r>
      <w:r w:rsidR="0084231C">
        <w:rPr>
          <w:rFonts w:ascii="Avenir Next" w:hAnsi="Avenir Next" w:cs="Arial"/>
          <w:color w:val="7B7B7B" w:themeColor="accent3" w:themeShade="BF"/>
          <w:sz w:val="22"/>
          <w:szCs w:val="22"/>
          <w:lang w:val="en-GB"/>
        </w:rPr>
        <w:t xml:space="preserve">BVI insolvency proceedings. The court will ensure </w:t>
      </w:r>
      <w:r w:rsidR="0064164E">
        <w:rPr>
          <w:rFonts w:ascii="Avenir Next" w:hAnsi="Avenir Next" w:cs="Arial"/>
          <w:color w:val="7B7B7B" w:themeColor="accent3" w:themeShade="BF"/>
          <w:sz w:val="22"/>
          <w:szCs w:val="22"/>
          <w:lang w:val="en-GB"/>
        </w:rPr>
        <w:t xml:space="preserve">various </w:t>
      </w:r>
      <w:r w:rsidR="00C944C1">
        <w:rPr>
          <w:rFonts w:ascii="Avenir Next" w:hAnsi="Avenir Next" w:cs="Arial"/>
          <w:color w:val="7B7B7B" w:themeColor="accent3" w:themeShade="BF"/>
          <w:sz w:val="22"/>
          <w:szCs w:val="22"/>
          <w:lang w:val="en-GB"/>
        </w:rPr>
        <w:t>matters are duly considered</w:t>
      </w:r>
      <w:r w:rsidR="00C944C1">
        <w:rPr>
          <w:rStyle w:val="FootnoteReference"/>
          <w:rFonts w:ascii="Avenir Next" w:hAnsi="Avenir Next" w:cs="Arial"/>
          <w:color w:val="7B7B7B" w:themeColor="accent3" w:themeShade="BF"/>
          <w:sz w:val="22"/>
          <w:szCs w:val="22"/>
          <w:lang w:val="en-GB"/>
        </w:rPr>
        <w:footnoteReference w:id="5"/>
      </w:r>
      <w:r w:rsidR="00C944C1">
        <w:rPr>
          <w:rFonts w:ascii="Avenir Next" w:hAnsi="Avenir Next" w:cs="Arial"/>
          <w:color w:val="7B7B7B" w:themeColor="accent3" w:themeShade="BF"/>
          <w:sz w:val="22"/>
          <w:szCs w:val="22"/>
          <w:lang w:val="en-GB"/>
        </w:rPr>
        <w:t>.</w:t>
      </w:r>
    </w:p>
    <w:p w14:paraId="03C02E8A" w14:textId="77777777" w:rsidR="00592B74" w:rsidRPr="005965BF" w:rsidRDefault="00592B74"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7F95D219" w14:textId="2EC095EB" w:rsidR="00802DB8" w:rsidRDefault="00CE5B0B"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Whilst the court </w:t>
      </w:r>
      <w:r w:rsidR="00DB4053">
        <w:rPr>
          <w:rFonts w:ascii="Avenir Next" w:hAnsi="Avenir Next" w:cs="Arial"/>
          <w:color w:val="7B7B7B" w:themeColor="accent3" w:themeShade="BF"/>
          <w:sz w:val="22"/>
          <w:szCs w:val="22"/>
          <w:lang w:val="en-GB"/>
        </w:rPr>
        <w:t xml:space="preserve">holds the ultimate discretion to determine whether they consider a company </w:t>
      </w:r>
      <w:r w:rsidR="009A361D">
        <w:rPr>
          <w:rFonts w:ascii="Avenir Next" w:hAnsi="Avenir Next" w:cs="Arial"/>
          <w:color w:val="7B7B7B" w:themeColor="accent3" w:themeShade="BF"/>
          <w:sz w:val="22"/>
          <w:szCs w:val="22"/>
          <w:lang w:val="en-GB"/>
        </w:rPr>
        <w:t>is insolvent</w:t>
      </w:r>
      <w:r w:rsidR="00170636">
        <w:rPr>
          <w:rFonts w:ascii="Avenir Next" w:hAnsi="Avenir Next" w:cs="Arial"/>
          <w:color w:val="7B7B7B" w:themeColor="accent3" w:themeShade="BF"/>
          <w:sz w:val="22"/>
          <w:szCs w:val="22"/>
          <w:lang w:val="en-GB"/>
        </w:rPr>
        <w:t>,</w:t>
      </w:r>
      <w:r w:rsidR="009A361D">
        <w:rPr>
          <w:rFonts w:ascii="Avenir Next" w:hAnsi="Avenir Next" w:cs="Arial"/>
          <w:color w:val="7B7B7B" w:themeColor="accent3" w:themeShade="BF"/>
          <w:sz w:val="22"/>
          <w:szCs w:val="22"/>
          <w:lang w:val="en-GB"/>
        </w:rPr>
        <w:t xml:space="preserve"> there are certain circumstances </w:t>
      </w:r>
      <w:r w:rsidR="00921C96">
        <w:rPr>
          <w:rFonts w:ascii="Avenir Next" w:hAnsi="Avenir Next" w:cs="Arial"/>
          <w:color w:val="7B7B7B" w:themeColor="accent3" w:themeShade="BF"/>
          <w:sz w:val="22"/>
          <w:szCs w:val="22"/>
          <w:lang w:val="en-GB"/>
        </w:rPr>
        <w:t>where a company will be considered as insolvent</w:t>
      </w:r>
      <w:r w:rsidR="00A06D61">
        <w:rPr>
          <w:rFonts w:ascii="Avenir Next" w:hAnsi="Avenir Next" w:cs="Arial"/>
          <w:color w:val="7B7B7B" w:themeColor="accent3" w:themeShade="BF"/>
          <w:sz w:val="22"/>
          <w:szCs w:val="22"/>
          <w:lang w:val="en-GB"/>
        </w:rPr>
        <w:t xml:space="preserve"> as outlined below.</w:t>
      </w:r>
    </w:p>
    <w:p w14:paraId="7D62C223" w14:textId="77777777" w:rsidR="00AD2DAB" w:rsidRDefault="00AD2DAB" w:rsidP="008065CE">
      <w:pPr>
        <w:jc w:val="both"/>
        <w:rPr>
          <w:rFonts w:ascii="Avenir Next" w:hAnsi="Avenir Next" w:cs="Arial"/>
          <w:color w:val="7B7B7B" w:themeColor="accent3" w:themeShade="BF"/>
          <w:sz w:val="22"/>
          <w:szCs w:val="22"/>
          <w:lang w:val="en-GB"/>
        </w:rPr>
      </w:pPr>
    </w:p>
    <w:p w14:paraId="3C95A5E7" w14:textId="38720E73" w:rsidR="00AD2DAB" w:rsidRPr="00966568" w:rsidRDefault="005B43DE" w:rsidP="00EB7E20">
      <w:pPr>
        <w:pStyle w:val="ListParagraph"/>
        <w:numPr>
          <w:ilvl w:val="0"/>
          <w:numId w:val="26"/>
        </w:numPr>
        <w:jc w:val="both"/>
        <w:rPr>
          <w:rFonts w:ascii="Avenir Next" w:hAnsi="Avenir Next" w:cs="Arial"/>
          <w:bCs/>
          <w:color w:val="808080" w:themeColor="background1" w:themeShade="80"/>
          <w:sz w:val="22"/>
          <w:szCs w:val="22"/>
          <w:lang w:val="en-GB"/>
        </w:rPr>
      </w:pPr>
      <w:r w:rsidRPr="00966568">
        <w:rPr>
          <w:rFonts w:ascii="Avenir Next" w:hAnsi="Avenir Next" w:cs="Arial"/>
          <w:bCs/>
          <w:color w:val="808080" w:themeColor="background1" w:themeShade="80"/>
          <w:sz w:val="22"/>
          <w:szCs w:val="22"/>
          <w:lang w:val="en-GB"/>
        </w:rPr>
        <w:t>The court is satisfied the company’s debts cannot be paid when they are due</w:t>
      </w:r>
      <w:r w:rsidR="00E16C3A" w:rsidRPr="00966568">
        <w:rPr>
          <w:rStyle w:val="FootnoteReference"/>
          <w:rFonts w:ascii="Avenir Next" w:hAnsi="Avenir Next" w:cs="Arial"/>
          <w:bCs/>
          <w:color w:val="808080" w:themeColor="background1" w:themeShade="80"/>
          <w:sz w:val="22"/>
          <w:szCs w:val="22"/>
          <w:lang w:val="en-GB"/>
        </w:rPr>
        <w:footnoteReference w:id="6"/>
      </w:r>
      <w:r w:rsidRPr="00966568">
        <w:rPr>
          <w:rFonts w:ascii="Avenir Next" w:hAnsi="Avenir Next" w:cs="Arial"/>
          <w:bCs/>
          <w:color w:val="808080" w:themeColor="background1" w:themeShade="80"/>
          <w:sz w:val="22"/>
          <w:szCs w:val="22"/>
          <w:lang w:val="en-GB"/>
        </w:rPr>
        <w:t xml:space="preserve">. </w:t>
      </w:r>
    </w:p>
    <w:p w14:paraId="588B72C4" w14:textId="2B148B71" w:rsidR="002D7B73" w:rsidRPr="00966568" w:rsidRDefault="002D7B73" w:rsidP="00EB7E20">
      <w:pPr>
        <w:pStyle w:val="ListParagraph"/>
        <w:numPr>
          <w:ilvl w:val="0"/>
          <w:numId w:val="26"/>
        </w:numPr>
        <w:jc w:val="both"/>
        <w:rPr>
          <w:rFonts w:ascii="Avenir Next" w:hAnsi="Avenir Next" w:cs="Arial"/>
          <w:bCs/>
          <w:color w:val="808080" w:themeColor="background1" w:themeShade="80"/>
          <w:sz w:val="22"/>
          <w:szCs w:val="22"/>
          <w:lang w:val="en-GB"/>
        </w:rPr>
      </w:pPr>
      <w:r w:rsidRPr="00966568">
        <w:rPr>
          <w:rFonts w:ascii="Avenir Next" w:hAnsi="Avenir Next" w:cs="Arial"/>
          <w:bCs/>
          <w:color w:val="808080" w:themeColor="background1" w:themeShade="80"/>
          <w:sz w:val="22"/>
          <w:szCs w:val="22"/>
          <w:lang w:val="en-GB"/>
        </w:rPr>
        <w:t xml:space="preserve">The liability </w:t>
      </w:r>
      <w:r w:rsidR="009E132C" w:rsidRPr="00966568">
        <w:rPr>
          <w:rFonts w:ascii="Avenir Next" w:hAnsi="Avenir Next" w:cs="Arial"/>
          <w:bCs/>
          <w:color w:val="808080" w:themeColor="background1" w:themeShade="80"/>
          <w:sz w:val="22"/>
          <w:szCs w:val="22"/>
          <w:lang w:val="en-GB"/>
        </w:rPr>
        <w:t>outweigh the assets on a balance sheet</w:t>
      </w:r>
      <w:r w:rsidR="00C5075B">
        <w:rPr>
          <w:rStyle w:val="FootnoteReference"/>
          <w:rFonts w:ascii="Avenir Next" w:hAnsi="Avenir Next" w:cs="Arial"/>
          <w:bCs/>
          <w:color w:val="808080" w:themeColor="background1" w:themeShade="80"/>
          <w:sz w:val="22"/>
          <w:szCs w:val="22"/>
          <w:lang w:val="en-GB"/>
        </w:rPr>
        <w:footnoteReference w:id="7"/>
      </w:r>
      <w:r w:rsidR="009E132C" w:rsidRPr="00966568">
        <w:rPr>
          <w:rFonts w:ascii="Avenir Next" w:hAnsi="Avenir Next" w:cs="Arial"/>
          <w:bCs/>
          <w:color w:val="808080" w:themeColor="background1" w:themeShade="80"/>
          <w:sz w:val="22"/>
          <w:szCs w:val="22"/>
          <w:lang w:val="en-GB"/>
        </w:rPr>
        <w:t xml:space="preserve"> insolvency</w:t>
      </w:r>
      <w:r w:rsidR="00E45821" w:rsidRPr="00966568">
        <w:rPr>
          <w:rFonts w:ascii="Avenir Next" w:hAnsi="Avenir Next" w:cs="Arial"/>
          <w:bCs/>
          <w:color w:val="808080" w:themeColor="background1" w:themeShade="80"/>
          <w:sz w:val="22"/>
          <w:szCs w:val="22"/>
          <w:lang w:val="en-GB"/>
        </w:rPr>
        <w:t xml:space="preserve"> and th</w:t>
      </w:r>
      <w:r w:rsidR="00A81C52" w:rsidRPr="00966568">
        <w:rPr>
          <w:rFonts w:ascii="Avenir Next" w:hAnsi="Avenir Next" w:cs="Arial"/>
          <w:bCs/>
          <w:color w:val="808080" w:themeColor="background1" w:themeShade="80"/>
          <w:sz w:val="22"/>
          <w:szCs w:val="22"/>
          <w:lang w:val="en-GB"/>
        </w:rPr>
        <w:t xml:space="preserve">ere is a broad application </w:t>
      </w:r>
      <w:r w:rsidR="00FB4F49" w:rsidRPr="00966568">
        <w:rPr>
          <w:rFonts w:ascii="Avenir Next" w:hAnsi="Avenir Next" w:cs="Arial"/>
          <w:bCs/>
          <w:color w:val="808080" w:themeColor="background1" w:themeShade="80"/>
          <w:sz w:val="22"/>
          <w:szCs w:val="22"/>
          <w:lang w:val="en-GB"/>
        </w:rPr>
        <w:t>of liability</w:t>
      </w:r>
      <w:r w:rsidR="00FB4F49" w:rsidRPr="00966568">
        <w:rPr>
          <w:rStyle w:val="FootnoteReference"/>
          <w:rFonts w:ascii="Avenir Next" w:hAnsi="Avenir Next" w:cs="Arial"/>
          <w:bCs/>
          <w:color w:val="808080" w:themeColor="background1" w:themeShade="80"/>
          <w:sz w:val="22"/>
          <w:szCs w:val="22"/>
          <w:lang w:val="en-GB"/>
        </w:rPr>
        <w:footnoteReference w:id="8"/>
      </w:r>
      <w:r w:rsidR="00FB4F49" w:rsidRPr="00966568">
        <w:rPr>
          <w:rFonts w:ascii="Avenir Next" w:hAnsi="Avenir Next" w:cs="Arial"/>
          <w:bCs/>
          <w:color w:val="808080" w:themeColor="background1" w:themeShade="80"/>
          <w:sz w:val="22"/>
          <w:szCs w:val="22"/>
          <w:lang w:val="en-GB"/>
        </w:rPr>
        <w:t>.</w:t>
      </w:r>
      <w:r w:rsidR="00D35830">
        <w:rPr>
          <w:rFonts w:ascii="Avenir Next" w:hAnsi="Avenir Next" w:cs="Arial"/>
          <w:bCs/>
          <w:color w:val="808080" w:themeColor="background1" w:themeShade="80"/>
          <w:sz w:val="22"/>
          <w:szCs w:val="22"/>
          <w:lang w:val="en-GB"/>
        </w:rPr>
        <w:t xml:space="preserve"> However, as mentioned above the </w:t>
      </w:r>
      <w:r w:rsidR="003D6CDC">
        <w:rPr>
          <w:rFonts w:ascii="Avenir Next" w:hAnsi="Avenir Next" w:cs="Arial"/>
          <w:bCs/>
          <w:color w:val="808080" w:themeColor="background1" w:themeShade="80"/>
          <w:sz w:val="22"/>
          <w:szCs w:val="22"/>
          <w:lang w:val="en-GB"/>
        </w:rPr>
        <w:t xml:space="preserve">court will use its discretion in order to determine </w:t>
      </w:r>
      <w:r w:rsidR="00FE1DE1">
        <w:rPr>
          <w:rFonts w:ascii="Avenir Next" w:hAnsi="Avenir Next" w:cs="Arial"/>
          <w:bCs/>
          <w:color w:val="808080" w:themeColor="background1" w:themeShade="80"/>
          <w:sz w:val="22"/>
          <w:szCs w:val="22"/>
          <w:lang w:val="en-GB"/>
        </w:rPr>
        <w:t xml:space="preserve">whether a company should be deemed insolvent. For example, where a company’s liabilities </w:t>
      </w:r>
      <w:r w:rsidR="001F6823">
        <w:rPr>
          <w:rFonts w:ascii="Avenir Next" w:hAnsi="Avenir Next" w:cs="Arial"/>
          <w:bCs/>
          <w:color w:val="808080" w:themeColor="background1" w:themeShade="80"/>
          <w:sz w:val="22"/>
          <w:szCs w:val="22"/>
          <w:lang w:val="en-GB"/>
        </w:rPr>
        <w:t>were more than its assets but only for a short period, this would not be sufficient</w:t>
      </w:r>
      <w:r w:rsidR="001F6823">
        <w:rPr>
          <w:rStyle w:val="FootnoteReference"/>
          <w:rFonts w:ascii="Avenir Next" w:hAnsi="Avenir Next" w:cs="Arial"/>
          <w:bCs/>
          <w:color w:val="808080" w:themeColor="background1" w:themeShade="80"/>
          <w:sz w:val="22"/>
          <w:szCs w:val="22"/>
          <w:lang w:val="en-GB"/>
        </w:rPr>
        <w:footnoteReference w:id="9"/>
      </w:r>
      <w:r w:rsidR="001F6823">
        <w:rPr>
          <w:rFonts w:ascii="Avenir Next" w:hAnsi="Avenir Next" w:cs="Arial"/>
          <w:bCs/>
          <w:color w:val="808080" w:themeColor="background1" w:themeShade="80"/>
          <w:sz w:val="22"/>
          <w:szCs w:val="22"/>
          <w:lang w:val="en-GB"/>
        </w:rPr>
        <w:t>.</w:t>
      </w:r>
    </w:p>
    <w:p w14:paraId="669CC215" w14:textId="0643CC3C" w:rsidR="00D97D98" w:rsidRPr="00966568" w:rsidRDefault="004623BB" w:rsidP="00EB7E20">
      <w:pPr>
        <w:pStyle w:val="ListParagraph"/>
        <w:numPr>
          <w:ilvl w:val="0"/>
          <w:numId w:val="26"/>
        </w:numPr>
        <w:jc w:val="both"/>
        <w:rPr>
          <w:rFonts w:ascii="Avenir Next" w:hAnsi="Avenir Next" w:cs="Arial"/>
          <w:bCs/>
          <w:color w:val="808080" w:themeColor="background1" w:themeShade="80"/>
          <w:sz w:val="22"/>
          <w:szCs w:val="22"/>
          <w:lang w:val="en-GB"/>
        </w:rPr>
      </w:pPr>
      <w:r w:rsidRPr="00966568">
        <w:rPr>
          <w:rFonts w:ascii="Avenir Next" w:hAnsi="Avenir Next" w:cs="Arial"/>
          <w:bCs/>
          <w:color w:val="808080" w:themeColor="background1" w:themeShade="80"/>
          <w:sz w:val="22"/>
          <w:szCs w:val="22"/>
          <w:lang w:val="en-GB"/>
        </w:rPr>
        <w:t xml:space="preserve">The company does not satisfy </w:t>
      </w:r>
      <w:r w:rsidR="003B5289" w:rsidRPr="00966568">
        <w:rPr>
          <w:rFonts w:ascii="Avenir Next" w:hAnsi="Avenir Next" w:cs="Arial"/>
          <w:bCs/>
          <w:color w:val="808080" w:themeColor="background1" w:themeShade="80"/>
          <w:sz w:val="22"/>
          <w:szCs w:val="22"/>
          <w:lang w:val="en-GB"/>
        </w:rPr>
        <w:t>a judgment made in favour of the company’s creditor.</w:t>
      </w:r>
    </w:p>
    <w:p w14:paraId="55B43802" w14:textId="7B7CFC2E" w:rsidR="003B5289" w:rsidRPr="00966568" w:rsidRDefault="007E18FF" w:rsidP="00EB7E20">
      <w:pPr>
        <w:pStyle w:val="ListParagraph"/>
        <w:numPr>
          <w:ilvl w:val="0"/>
          <w:numId w:val="26"/>
        </w:numPr>
        <w:jc w:val="both"/>
        <w:rPr>
          <w:rFonts w:ascii="Avenir Next" w:hAnsi="Avenir Next" w:cs="Arial"/>
          <w:bCs/>
          <w:color w:val="808080" w:themeColor="background1" w:themeShade="80"/>
          <w:sz w:val="22"/>
          <w:szCs w:val="22"/>
          <w:lang w:val="en-GB"/>
        </w:rPr>
      </w:pPr>
      <w:r w:rsidRPr="00966568">
        <w:rPr>
          <w:rFonts w:ascii="Avenir Next" w:hAnsi="Avenir Next" w:cs="Arial"/>
          <w:bCs/>
          <w:color w:val="808080" w:themeColor="background1" w:themeShade="80"/>
          <w:sz w:val="22"/>
          <w:szCs w:val="22"/>
          <w:lang w:val="en-GB"/>
        </w:rPr>
        <w:lastRenderedPageBreak/>
        <w:t>A statutory demand is no</w:t>
      </w:r>
      <w:r w:rsidR="009443A6">
        <w:rPr>
          <w:rFonts w:ascii="Avenir Next" w:hAnsi="Avenir Next" w:cs="Arial"/>
          <w:bCs/>
          <w:color w:val="808080" w:themeColor="background1" w:themeShade="80"/>
          <w:sz w:val="22"/>
          <w:szCs w:val="22"/>
          <w:lang w:val="en-GB"/>
        </w:rPr>
        <w:t>t</w:t>
      </w:r>
      <w:r w:rsidRPr="00966568">
        <w:rPr>
          <w:rFonts w:ascii="Avenir Next" w:hAnsi="Avenir Next" w:cs="Arial"/>
          <w:bCs/>
          <w:color w:val="808080" w:themeColor="background1" w:themeShade="80"/>
          <w:sz w:val="22"/>
          <w:szCs w:val="22"/>
          <w:lang w:val="en-GB"/>
        </w:rPr>
        <w:t xml:space="preserve"> satisfied</w:t>
      </w:r>
      <w:r w:rsidR="00CD5531" w:rsidRPr="00966568">
        <w:rPr>
          <w:rStyle w:val="FootnoteReference"/>
          <w:rFonts w:ascii="Avenir Next" w:hAnsi="Avenir Next" w:cs="Arial"/>
          <w:bCs/>
          <w:color w:val="808080" w:themeColor="background1" w:themeShade="80"/>
          <w:sz w:val="22"/>
          <w:szCs w:val="22"/>
          <w:lang w:val="en-GB"/>
        </w:rPr>
        <w:footnoteReference w:id="10"/>
      </w:r>
      <w:r w:rsidRPr="00966568">
        <w:rPr>
          <w:rFonts w:ascii="Avenir Next" w:hAnsi="Avenir Next" w:cs="Arial"/>
          <w:bCs/>
          <w:color w:val="808080" w:themeColor="background1" w:themeShade="80"/>
          <w:sz w:val="22"/>
          <w:szCs w:val="22"/>
          <w:lang w:val="en-GB"/>
        </w:rPr>
        <w:t>.</w:t>
      </w: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678DA38F" w14:textId="77777777" w:rsidR="00841CF0" w:rsidRDefault="009937B8" w:rsidP="008065C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1 </w:t>
      </w:r>
      <w:r w:rsidR="00183F26" w:rsidRPr="00F63620">
        <w:rPr>
          <w:rFonts w:ascii="Avenir Next" w:hAnsi="Avenir Next" w:cs="Arial"/>
          <w:color w:val="808080" w:themeColor="background1" w:themeShade="80"/>
          <w:sz w:val="22"/>
          <w:szCs w:val="22"/>
          <w:lang w:val="en-GB"/>
        </w:rPr>
        <w:t>J</w:t>
      </w:r>
      <w:r w:rsidR="00511801" w:rsidRPr="00F63620">
        <w:rPr>
          <w:rFonts w:ascii="Avenir Next" w:hAnsi="Avenir Next" w:cs="Arial"/>
          <w:color w:val="808080" w:themeColor="background1" w:themeShade="80"/>
          <w:sz w:val="22"/>
          <w:szCs w:val="22"/>
          <w:lang w:val="en-GB"/>
        </w:rPr>
        <w:t>anuary 2023</w:t>
      </w:r>
      <w:r w:rsidR="00E75F0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BVI in</w:t>
      </w:r>
      <w:r w:rsidR="00EA45D8">
        <w:rPr>
          <w:rFonts w:ascii="Avenir Next" w:hAnsi="Avenir Next" w:cs="Arial"/>
          <w:color w:val="808080" w:themeColor="background1" w:themeShade="80"/>
          <w:sz w:val="22"/>
          <w:szCs w:val="22"/>
          <w:lang w:val="en-GB"/>
        </w:rPr>
        <w:t>trodu</w:t>
      </w:r>
      <w:r w:rsidR="001049F3">
        <w:rPr>
          <w:rFonts w:ascii="Avenir Next" w:hAnsi="Avenir Next" w:cs="Arial"/>
          <w:color w:val="808080" w:themeColor="background1" w:themeShade="80"/>
          <w:sz w:val="22"/>
          <w:szCs w:val="22"/>
          <w:lang w:val="en-GB"/>
        </w:rPr>
        <w:t>ced</w:t>
      </w:r>
      <w:r w:rsidR="00EA45D8">
        <w:rPr>
          <w:rFonts w:ascii="Avenir Next" w:hAnsi="Avenir Next" w:cs="Arial"/>
          <w:color w:val="808080" w:themeColor="background1" w:themeShade="80"/>
          <w:sz w:val="22"/>
          <w:szCs w:val="22"/>
          <w:lang w:val="en-GB"/>
        </w:rPr>
        <w:t xml:space="preserve"> a new statue</w:t>
      </w:r>
      <w:r w:rsidR="00511801" w:rsidRPr="00F63620">
        <w:rPr>
          <w:rFonts w:ascii="Avenir Next" w:hAnsi="Avenir Next" w:cs="Arial"/>
          <w:color w:val="808080" w:themeColor="background1" w:themeShade="80"/>
          <w:sz w:val="22"/>
          <w:szCs w:val="22"/>
          <w:lang w:val="en-GB"/>
        </w:rPr>
        <w:t xml:space="preserve"> </w:t>
      </w:r>
      <w:r w:rsidR="00ED2EBA">
        <w:rPr>
          <w:rFonts w:ascii="Avenir Next" w:hAnsi="Avenir Next" w:cs="Arial"/>
          <w:color w:val="808080" w:themeColor="background1" w:themeShade="80"/>
          <w:sz w:val="22"/>
          <w:szCs w:val="22"/>
          <w:lang w:val="en-GB"/>
        </w:rPr>
        <w:t xml:space="preserve">called the BVI Business </w:t>
      </w:r>
      <w:r w:rsidR="00236B2C">
        <w:rPr>
          <w:rFonts w:ascii="Avenir Next" w:hAnsi="Avenir Next" w:cs="Arial"/>
          <w:color w:val="808080" w:themeColor="background1" w:themeShade="80"/>
          <w:sz w:val="22"/>
          <w:szCs w:val="22"/>
          <w:lang w:val="en-GB"/>
        </w:rPr>
        <w:t>Companies</w:t>
      </w:r>
    </w:p>
    <w:p w14:paraId="182061E2" w14:textId="77777777" w:rsidR="00604652" w:rsidRDefault="00236B2C" w:rsidP="008065C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(Amendment) Act</w:t>
      </w:r>
      <w:r w:rsidR="00AC262D">
        <w:rPr>
          <w:rFonts w:ascii="Avenir Next" w:hAnsi="Avenir Next" w:cs="Arial"/>
          <w:color w:val="808080" w:themeColor="background1" w:themeShade="80"/>
          <w:sz w:val="22"/>
          <w:szCs w:val="22"/>
          <w:lang w:val="en-GB"/>
        </w:rPr>
        <w:t xml:space="preserve"> 2022</w:t>
      </w:r>
      <w:r w:rsidR="00841CF0">
        <w:rPr>
          <w:rFonts w:ascii="Avenir Next" w:hAnsi="Avenir Next" w:cs="Arial"/>
          <w:color w:val="808080" w:themeColor="background1" w:themeShade="80"/>
          <w:sz w:val="22"/>
          <w:szCs w:val="22"/>
          <w:lang w:val="en-GB"/>
        </w:rPr>
        <w:t xml:space="preserve"> as well as </w:t>
      </w:r>
      <w:r w:rsidR="00AC262D">
        <w:rPr>
          <w:rFonts w:ascii="Avenir Next" w:hAnsi="Avenir Next" w:cs="Arial"/>
          <w:color w:val="808080" w:themeColor="background1" w:themeShade="80"/>
          <w:sz w:val="22"/>
          <w:szCs w:val="22"/>
          <w:lang w:val="en-GB"/>
        </w:rPr>
        <w:t>regulations</w:t>
      </w:r>
      <w:r w:rsidR="00AC262D">
        <w:rPr>
          <w:rStyle w:val="FootnoteReference"/>
          <w:rFonts w:ascii="Avenir Next" w:hAnsi="Avenir Next" w:cs="Arial"/>
          <w:color w:val="808080" w:themeColor="background1" w:themeShade="80"/>
          <w:sz w:val="22"/>
          <w:szCs w:val="22"/>
          <w:lang w:val="en-GB"/>
        </w:rPr>
        <w:footnoteReference w:id="11"/>
      </w:r>
      <w:r w:rsidR="004F2411">
        <w:rPr>
          <w:rFonts w:ascii="Avenir Next" w:hAnsi="Avenir Next" w:cs="Arial"/>
          <w:color w:val="808080" w:themeColor="background1" w:themeShade="80"/>
          <w:sz w:val="22"/>
          <w:szCs w:val="22"/>
          <w:lang w:val="en-GB"/>
        </w:rPr>
        <w:t xml:space="preserve"> which make some significant changes </w:t>
      </w:r>
      <w:r w:rsidR="00604652">
        <w:rPr>
          <w:rFonts w:ascii="Avenir Next" w:hAnsi="Avenir Next" w:cs="Arial"/>
          <w:color w:val="808080" w:themeColor="background1" w:themeShade="80"/>
          <w:sz w:val="22"/>
          <w:szCs w:val="22"/>
          <w:lang w:val="en-GB"/>
        </w:rPr>
        <w:t>to the</w:t>
      </w:r>
    </w:p>
    <w:p w14:paraId="102209D2" w14:textId="77777777" w:rsidR="002461F3" w:rsidRDefault="00604652" w:rsidP="008065C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existing laws. </w:t>
      </w:r>
      <w:r w:rsidR="000F379F">
        <w:rPr>
          <w:rFonts w:ascii="Avenir Next" w:hAnsi="Avenir Next" w:cs="Arial"/>
          <w:color w:val="808080" w:themeColor="background1" w:themeShade="80"/>
          <w:sz w:val="22"/>
          <w:szCs w:val="22"/>
          <w:lang w:val="en-GB"/>
        </w:rPr>
        <w:t xml:space="preserve">The </w:t>
      </w:r>
      <w:r w:rsidR="00EA4F00">
        <w:rPr>
          <w:rFonts w:ascii="Avenir Next" w:hAnsi="Avenir Next" w:cs="Arial"/>
          <w:color w:val="808080" w:themeColor="background1" w:themeShade="80"/>
          <w:sz w:val="22"/>
          <w:szCs w:val="22"/>
          <w:lang w:val="en-GB"/>
        </w:rPr>
        <w:t xml:space="preserve">changes are designed to ensure are more efficient </w:t>
      </w:r>
      <w:r w:rsidR="000824D4">
        <w:rPr>
          <w:rFonts w:ascii="Avenir Next" w:hAnsi="Avenir Next" w:cs="Arial"/>
          <w:color w:val="808080" w:themeColor="background1" w:themeShade="80"/>
          <w:sz w:val="22"/>
          <w:szCs w:val="22"/>
          <w:lang w:val="en-GB"/>
        </w:rPr>
        <w:t xml:space="preserve">process for </w:t>
      </w:r>
      <w:r w:rsidR="002461F3">
        <w:rPr>
          <w:rFonts w:ascii="Avenir Next" w:hAnsi="Avenir Next" w:cs="Arial"/>
          <w:color w:val="808080" w:themeColor="background1" w:themeShade="80"/>
          <w:sz w:val="22"/>
          <w:szCs w:val="22"/>
          <w:lang w:val="en-GB"/>
        </w:rPr>
        <w:t>not only</w:t>
      </w:r>
    </w:p>
    <w:p w14:paraId="6909B5A2" w14:textId="441FB9A7" w:rsidR="00544127" w:rsidRDefault="002461F3" w:rsidP="008065C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dissolution of a company but also restoration of the same.</w:t>
      </w:r>
    </w:p>
    <w:p w14:paraId="492DF1F5" w14:textId="77777777" w:rsidR="00107AF5" w:rsidRDefault="00107AF5" w:rsidP="008065CE">
      <w:pPr>
        <w:ind w:left="720" w:hanging="720"/>
        <w:jc w:val="both"/>
        <w:rPr>
          <w:rFonts w:ascii="Avenir Next" w:hAnsi="Avenir Next" w:cs="Arial"/>
          <w:color w:val="808080" w:themeColor="background1" w:themeShade="80"/>
          <w:sz w:val="22"/>
          <w:szCs w:val="22"/>
          <w:lang w:val="en-GB"/>
        </w:rPr>
      </w:pPr>
    </w:p>
    <w:p w14:paraId="78FD1C12" w14:textId="212AD980" w:rsidR="00507F4D" w:rsidRDefault="006665F6" w:rsidP="008065C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new laws create more certainty about the status of an entit</w:t>
      </w:r>
      <w:r w:rsidR="00651E64">
        <w:rPr>
          <w:rFonts w:ascii="Avenir Next" w:hAnsi="Avenir Next" w:cs="Arial"/>
          <w:color w:val="808080" w:themeColor="background1" w:themeShade="80"/>
          <w:sz w:val="22"/>
          <w:szCs w:val="22"/>
          <w:lang w:val="en-GB"/>
        </w:rPr>
        <w:t>y</w:t>
      </w:r>
      <w:r w:rsidR="00507F4D">
        <w:rPr>
          <w:rFonts w:ascii="Avenir Next" w:hAnsi="Avenir Next" w:cs="Arial"/>
          <w:color w:val="808080" w:themeColor="background1" w:themeShade="80"/>
          <w:sz w:val="22"/>
          <w:szCs w:val="22"/>
          <w:lang w:val="en-GB"/>
        </w:rPr>
        <w:t>,</w:t>
      </w:r>
      <w:r w:rsidR="00651E64">
        <w:rPr>
          <w:rFonts w:ascii="Avenir Next" w:hAnsi="Avenir Next" w:cs="Arial"/>
          <w:color w:val="808080" w:themeColor="background1" w:themeShade="80"/>
          <w:sz w:val="22"/>
          <w:szCs w:val="22"/>
          <w:lang w:val="en-GB"/>
        </w:rPr>
        <w:t xml:space="preserve"> as the current Business</w:t>
      </w:r>
    </w:p>
    <w:p w14:paraId="26DBD422" w14:textId="77777777" w:rsidR="00475A1D" w:rsidRDefault="00651E64" w:rsidP="008065C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Companies Act</w:t>
      </w:r>
      <w:r>
        <w:rPr>
          <w:rStyle w:val="FootnoteReference"/>
          <w:rFonts w:ascii="Avenir Next" w:hAnsi="Avenir Next" w:cs="Arial"/>
          <w:color w:val="808080" w:themeColor="background1" w:themeShade="80"/>
          <w:sz w:val="22"/>
          <w:szCs w:val="22"/>
          <w:lang w:val="en-GB"/>
        </w:rPr>
        <w:footnoteReference w:id="12"/>
      </w:r>
      <w:r>
        <w:rPr>
          <w:rFonts w:ascii="Avenir Next" w:hAnsi="Avenir Next" w:cs="Arial"/>
          <w:color w:val="808080" w:themeColor="background1" w:themeShade="80"/>
          <w:sz w:val="22"/>
          <w:szCs w:val="22"/>
          <w:lang w:val="en-GB"/>
        </w:rPr>
        <w:t xml:space="preserve"> (“</w:t>
      </w:r>
      <w:r w:rsidR="00507F4D">
        <w:rPr>
          <w:rFonts w:ascii="Avenir Next" w:hAnsi="Avenir Next" w:cs="Arial"/>
          <w:color w:val="808080" w:themeColor="background1" w:themeShade="80"/>
          <w:sz w:val="22"/>
          <w:szCs w:val="22"/>
          <w:lang w:val="en-GB"/>
        </w:rPr>
        <w:t>BCA”) will mean that a company that has been struck off</w:t>
      </w:r>
      <w:r w:rsidR="00A0707B">
        <w:rPr>
          <w:rStyle w:val="FootnoteReference"/>
          <w:rFonts w:ascii="Avenir Next" w:hAnsi="Avenir Next" w:cs="Arial"/>
          <w:color w:val="808080" w:themeColor="background1" w:themeShade="80"/>
          <w:sz w:val="22"/>
          <w:szCs w:val="22"/>
          <w:lang w:val="en-GB"/>
        </w:rPr>
        <w:footnoteReference w:id="13"/>
      </w:r>
      <w:r w:rsidR="00A0707B">
        <w:rPr>
          <w:rFonts w:ascii="Avenir Next" w:hAnsi="Avenir Next" w:cs="Arial"/>
          <w:color w:val="808080" w:themeColor="background1" w:themeShade="80"/>
          <w:sz w:val="22"/>
          <w:szCs w:val="22"/>
          <w:lang w:val="en-GB"/>
        </w:rPr>
        <w:t xml:space="preserve"> will be</w:t>
      </w:r>
    </w:p>
    <w:p w14:paraId="6085E404" w14:textId="77777777" w:rsidR="00E555C6" w:rsidRDefault="00A0707B" w:rsidP="008065C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deemed to be dissolved </w:t>
      </w:r>
      <w:r w:rsidR="00475A1D">
        <w:rPr>
          <w:rFonts w:ascii="Avenir Next" w:hAnsi="Avenir Next" w:cs="Arial"/>
          <w:color w:val="808080" w:themeColor="background1" w:themeShade="80"/>
          <w:sz w:val="22"/>
          <w:szCs w:val="22"/>
          <w:lang w:val="en-GB"/>
        </w:rPr>
        <w:t>upon publication of the striking off</w:t>
      </w:r>
      <w:r w:rsidR="00475A1D">
        <w:rPr>
          <w:rStyle w:val="FootnoteReference"/>
          <w:rFonts w:ascii="Avenir Next" w:hAnsi="Avenir Next" w:cs="Arial"/>
          <w:color w:val="808080" w:themeColor="background1" w:themeShade="80"/>
          <w:sz w:val="22"/>
          <w:szCs w:val="22"/>
          <w:lang w:val="en-GB"/>
        </w:rPr>
        <w:footnoteReference w:id="14"/>
      </w:r>
      <w:r w:rsidR="00E555C6">
        <w:rPr>
          <w:rFonts w:ascii="Avenir Next" w:hAnsi="Avenir Next" w:cs="Arial"/>
          <w:color w:val="808080" w:themeColor="background1" w:themeShade="80"/>
          <w:sz w:val="22"/>
          <w:szCs w:val="22"/>
          <w:lang w:val="en-GB"/>
        </w:rPr>
        <w:t>. Companies are very often</w:t>
      </w:r>
    </w:p>
    <w:p w14:paraId="050F6A58" w14:textId="3012FB48" w:rsidR="00107AF5" w:rsidRDefault="00E555C6" w:rsidP="008065C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struck off for non-payment of fees or for having no registered office</w:t>
      </w:r>
      <w:r w:rsidR="002F400F">
        <w:rPr>
          <w:rStyle w:val="FootnoteReference"/>
          <w:rFonts w:ascii="Avenir Next" w:hAnsi="Avenir Next" w:cs="Arial"/>
          <w:color w:val="808080" w:themeColor="background1" w:themeShade="80"/>
          <w:sz w:val="22"/>
          <w:szCs w:val="22"/>
          <w:lang w:val="en-GB"/>
        </w:rPr>
        <w:footnoteReference w:id="15"/>
      </w:r>
      <w:r>
        <w:rPr>
          <w:rFonts w:ascii="Avenir Next" w:hAnsi="Avenir Next" w:cs="Arial"/>
          <w:color w:val="808080" w:themeColor="background1" w:themeShade="80"/>
          <w:sz w:val="22"/>
          <w:szCs w:val="22"/>
          <w:lang w:val="en-GB"/>
        </w:rPr>
        <w:t>.</w:t>
      </w:r>
    </w:p>
    <w:p w14:paraId="32009F43" w14:textId="77777777" w:rsidR="00753C00" w:rsidRDefault="00753C00" w:rsidP="008065CE">
      <w:pPr>
        <w:ind w:left="720" w:hanging="720"/>
        <w:jc w:val="both"/>
        <w:rPr>
          <w:rFonts w:ascii="Avenir Next" w:hAnsi="Avenir Next" w:cs="Arial"/>
          <w:color w:val="808080" w:themeColor="background1" w:themeShade="80"/>
          <w:sz w:val="22"/>
          <w:szCs w:val="22"/>
          <w:lang w:val="en-GB"/>
        </w:rPr>
      </w:pPr>
    </w:p>
    <w:p w14:paraId="1ADFCD36" w14:textId="77777777" w:rsidR="00A2643A" w:rsidRDefault="004F6DE1" w:rsidP="008065C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w:t>
      </w:r>
      <w:r w:rsidR="00FE5AF5">
        <w:rPr>
          <w:rFonts w:ascii="Avenir Next" w:hAnsi="Avenir Next" w:cs="Arial"/>
          <w:color w:val="808080" w:themeColor="background1" w:themeShade="80"/>
          <w:sz w:val="22"/>
          <w:szCs w:val="22"/>
          <w:lang w:val="en-GB"/>
        </w:rPr>
        <w:t>he changes to the law</w:t>
      </w:r>
      <w:r w:rsidR="00A2643A">
        <w:rPr>
          <w:rStyle w:val="FootnoteReference"/>
          <w:rFonts w:ascii="Avenir Next" w:hAnsi="Avenir Next" w:cs="Arial"/>
          <w:color w:val="808080" w:themeColor="background1" w:themeShade="80"/>
          <w:sz w:val="22"/>
          <w:szCs w:val="22"/>
          <w:lang w:val="en-GB"/>
        </w:rPr>
        <w:footnoteReference w:id="16"/>
      </w:r>
      <w:r w:rsidR="00FE5AF5">
        <w:rPr>
          <w:rFonts w:ascii="Avenir Next" w:hAnsi="Avenir Next" w:cs="Arial"/>
          <w:color w:val="808080" w:themeColor="background1" w:themeShade="80"/>
          <w:sz w:val="22"/>
          <w:szCs w:val="22"/>
          <w:lang w:val="en-GB"/>
        </w:rPr>
        <w:t xml:space="preserve"> in January 2023 result in </w:t>
      </w:r>
      <w:r w:rsidR="008126FB">
        <w:rPr>
          <w:rFonts w:ascii="Avenir Next" w:hAnsi="Avenir Next" w:cs="Arial"/>
          <w:color w:val="808080" w:themeColor="background1" w:themeShade="80"/>
          <w:sz w:val="22"/>
          <w:szCs w:val="22"/>
          <w:lang w:val="en-GB"/>
        </w:rPr>
        <w:t>voluntary liquidators being</w:t>
      </w:r>
    </w:p>
    <w:p w14:paraId="34FB6445" w14:textId="47BF3EA9" w:rsidR="00FE5AF5" w:rsidRDefault="008126FB" w:rsidP="00A2643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deemed as</w:t>
      </w:r>
      <w:r w:rsidR="00A2643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qualified to conduct a </w:t>
      </w:r>
      <w:r w:rsidR="003A1B28">
        <w:rPr>
          <w:rFonts w:ascii="Avenir Next" w:hAnsi="Avenir Next" w:cs="Arial"/>
          <w:color w:val="808080" w:themeColor="background1" w:themeShade="80"/>
          <w:sz w:val="22"/>
          <w:szCs w:val="22"/>
          <w:lang w:val="en-GB"/>
        </w:rPr>
        <w:t>non-insolvent liquidation</w:t>
      </w:r>
      <w:r w:rsidR="002806CE">
        <w:rPr>
          <w:rStyle w:val="FootnoteReference"/>
          <w:rFonts w:ascii="Avenir Next" w:hAnsi="Avenir Next" w:cs="Arial"/>
          <w:color w:val="808080" w:themeColor="background1" w:themeShade="80"/>
          <w:sz w:val="22"/>
          <w:szCs w:val="22"/>
          <w:lang w:val="en-GB"/>
        </w:rPr>
        <w:footnoteReference w:id="17"/>
      </w:r>
      <w:r w:rsidR="003A1B28">
        <w:rPr>
          <w:rFonts w:ascii="Avenir Next" w:hAnsi="Avenir Next" w:cs="Arial"/>
          <w:color w:val="808080" w:themeColor="background1" w:themeShade="80"/>
          <w:sz w:val="22"/>
          <w:szCs w:val="22"/>
          <w:lang w:val="en-GB"/>
        </w:rPr>
        <w:t xml:space="preserve"> if they:</w:t>
      </w:r>
    </w:p>
    <w:p w14:paraId="6E64293D" w14:textId="77777777" w:rsidR="003A1B28" w:rsidRDefault="003A1B28" w:rsidP="008065CE">
      <w:pPr>
        <w:ind w:left="720" w:hanging="720"/>
        <w:jc w:val="both"/>
        <w:rPr>
          <w:rFonts w:ascii="Avenir Next" w:hAnsi="Avenir Next" w:cs="Arial"/>
          <w:color w:val="808080" w:themeColor="background1" w:themeShade="80"/>
          <w:sz w:val="22"/>
          <w:szCs w:val="22"/>
          <w:lang w:val="en-GB"/>
        </w:rPr>
      </w:pPr>
    </w:p>
    <w:p w14:paraId="6F16E12C" w14:textId="524E356E" w:rsidR="003A1B28" w:rsidRDefault="004C322C" w:rsidP="003A1B28">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Have at least year years experience</w:t>
      </w:r>
    </w:p>
    <w:p w14:paraId="3AAE9D78" w14:textId="1500BDB7" w:rsidR="004C322C" w:rsidRDefault="00591450" w:rsidP="003A1B28">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Professional</w:t>
      </w:r>
      <w:r w:rsidR="005851DE">
        <w:rPr>
          <w:rFonts w:ascii="Avenir Next" w:hAnsi="Avenir Next" w:cs="Arial"/>
          <w:color w:val="808080" w:themeColor="background1" w:themeShade="80"/>
          <w:sz w:val="22"/>
          <w:szCs w:val="22"/>
          <w:lang w:val="en-GB"/>
        </w:rPr>
        <w:t xml:space="preserve">ly competent to deal with a specific company’s voluntary liquidation </w:t>
      </w:r>
    </w:p>
    <w:p w14:paraId="7ACC818B" w14:textId="24743865" w:rsidR="005851DE" w:rsidRDefault="00181BCA" w:rsidP="003A1B28">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Holds a licence </w:t>
      </w:r>
      <w:r w:rsidR="00AF79E5">
        <w:rPr>
          <w:rFonts w:ascii="Avenir Next" w:hAnsi="Avenir Next" w:cs="Arial"/>
          <w:color w:val="808080" w:themeColor="background1" w:themeShade="80"/>
          <w:sz w:val="22"/>
          <w:szCs w:val="22"/>
          <w:lang w:val="en-GB"/>
        </w:rPr>
        <w:t xml:space="preserve">and has professional qualifications </w:t>
      </w:r>
    </w:p>
    <w:p w14:paraId="4EBF08ED" w14:textId="0C8794D0" w:rsidR="00AF79E5" w:rsidRPr="003A1B28" w:rsidRDefault="00AF79E5" w:rsidP="003A1B28">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A120D0">
        <w:rPr>
          <w:rFonts w:ascii="Avenir Next" w:hAnsi="Avenir Next" w:cs="Arial"/>
          <w:color w:val="808080" w:themeColor="background1" w:themeShade="80"/>
          <w:sz w:val="22"/>
          <w:szCs w:val="22"/>
          <w:lang w:val="en-GB"/>
        </w:rPr>
        <w:t>s familiar with financial services law</w:t>
      </w:r>
      <w:r w:rsidR="009738BE">
        <w:rPr>
          <w:rStyle w:val="FootnoteReference"/>
          <w:rFonts w:ascii="Avenir Next" w:hAnsi="Avenir Next" w:cs="Arial"/>
          <w:color w:val="808080" w:themeColor="background1" w:themeShade="80"/>
          <w:sz w:val="22"/>
          <w:szCs w:val="22"/>
          <w:lang w:val="en-GB"/>
        </w:rPr>
        <w:footnoteReference w:id="18"/>
      </w:r>
      <w:r w:rsidR="00A120D0">
        <w:rPr>
          <w:rFonts w:ascii="Avenir Next" w:hAnsi="Avenir Next" w:cs="Arial"/>
          <w:color w:val="808080" w:themeColor="background1" w:themeShade="80"/>
          <w:sz w:val="22"/>
          <w:szCs w:val="22"/>
          <w:lang w:val="en-GB"/>
        </w:rPr>
        <w:t>.</w:t>
      </w:r>
    </w:p>
    <w:p w14:paraId="2FCEF063" w14:textId="77777777" w:rsidR="00753C00" w:rsidRPr="00F63620" w:rsidRDefault="00753C00" w:rsidP="008065CE">
      <w:pPr>
        <w:ind w:left="720" w:hanging="720"/>
        <w:jc w:val="both"/>
        <w:rPr>
          <w:rFonts w:ascii="Avenir Next" w:hAnsi="Avenir Next" w:cs="Arial"/>
          <w:color w:val="808080" w:themeColor="background1" w:themeShade="80"/>
          <w:sz w:val="22"/>
          <w:szCs w:val="22"/>
          <w:lang w:val="en-GB"/>
        </w:rPr>
      </w:pP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547A435F" w14:textId="77777777" w:rsidR="00F00A13" w:rsidRDefault="00430E77" w:rsidP="00F00A13">
      <w:pPr>
        <w:pStyle w:val="ListParagraph"/>
        <w:numPr>
          <w:ilvl w:val="0"/>
          <w:numId w:val="29"/>
        </w:numPr>
        <w:jc w:val="both"/>
        <w:rPr>
          <w:rFonts w:ascii="Avenir Next" w:hAnsi="Avenir Next" w:cs="Arial"/>
          <w:color w:val="808080" w:themeColor="background1" w:themeShade="80"/>
          <w:sz w:val="22"/>
          <w:szCs w:val="22"/>
          <w:lang w:val="en-GB"/>
        </w:rPr>
      </w:pPr>
      <w:r w:rsidRPr="000677EF">
        <w:rPr>
          <w:rFonts w:ascii="Avenir Next" w:hAnsi="Avenir Next" w:cs="Arial"/>
          <w:color w:val="808080" w:themeColor="background1" w:themeShade="80"/>
          <w:sz w:val="22"/>
          <w:szCs w:val="22"/>
          <w:lang w:val="en-GB"/>
        </w:rPr>
        <w:t xml:space="preserve">An overseas </w:t>
      </w:r>
      <w:r w:rsidR="004D23CF" w:rsidRPr="000677EF">
        <w:rPr>
          <w:rFonts w:ascii="Avenir Next" w:hAnsi="Avenir Next" w:cs="Arial"/>
          <w:color w:val="808080" w:themeColor="background1" w:themeShade="80"/>
          <w:sz w:val="22"/>
          <w:szCs w:val="22"/>
          <w:lang w:val="en-GB"/>
        </w:rPr>
        <w:t xml:space="preserve">insolvency practitioner can be appointed in the BVI over a company but only as a joint liquidator not as a sole </w:t>
      </w:r>
      <w:r w:rsidR="00886934" w:rsidRPr="000677EF">
        <w:rPr>
          <w:rFonts w:ascii="Avenir Next" w:hAnsi="Avenir Next" w:cs="Arial"/>
          <w:color w:val="808080" w:themeColor="background1" w:themeShade="80"/>
          <w:sz w:val="22"/>
          <w:szCs w:val="22"/>
          <w:lang w:val="en-GB"/>
        </w:rPr>
        <w:t xml:space="preserve">practitioner. </w:t>
      </w:r>
      <w:r w:rsidR="00E75563">
        <w:rPr>
          <w:rFonts w:ascii="Avenir Next" w:hAnsi="Avenir Next" w:cs="Arial"/>
          <w:color w:val="808080" w:themeColor="background1" w:themeShade="80"/>
          <w:sz w:val="22"/>
          <w:szCs w:val="22"/>
          <w:lang w:val="en-GB"/>
        </w:rPr>
        <w:t xml:space="preserve">Given the multi-jurisdictional </w:t>
      </w:r>
      <w:r w:rsidR="00C622F4">
        <w:rPr>
          <w:rFonts w:ascii="Avenir Next" w:hAnsi="Avenir Next" w:cs="Arial"/>
          <w:color w:val="808080" w:themeColor="background1" w:themeShade="80"/>
          <w:sz w:val="22"/>
          <w:szCs w:val="22"/>
          <w:lang w:val="en-GB"/>
        </w:rPr>
        <w:t xml:space="preserve">aspects involved in </w:t>
      </w:r>
      <w:r w:rsidR="00044974">
        <w:rPr>
          <w:rFonts w:ascii="Avenir Next" w:hAnsi="Avenir Next" w:cs="Arial"/>
          <w:color w:val="808080" w:themeColor="background1" w:themeShade="80"/>
          <w:sz w:val="22"/>
          <w:szCs w:val="22"/>
          <w:lang w:val="en-GB"/>
        </w:rPr>
        <w:t xml:space="preserve">liquidations, especially in places like the BVI, where many companies who are based there </w:t>
      </w:r>
      <w:r w:rsidR="009D13F5">
        <w:rPr>
          <w:rFonts w:ascii="Avenir Next" w:hAnsi="Avenir Next" w:cs="Arial"/>
          <w:color w:val="808080" w:themeColor="background1" w:themeShade="80"/>
          <w:sz w:val="22"/>
          <w:szCs w:val="22"/>
          <w:lang w:val="en-GB"/>
        </w:rPr>
        <w:t>are part of larger structures, a</w:t>
      </w:r>
      <w:r w:rsidR="00886934" w:rsidRPr="000677EF">
        <w:rPr>
          <w:rFonts w:ascii="Avenir Next" w:hAnsi="Avenir Next" w:cs="Arial"/>
          <w:color w:val="808080" w:themeColor="background1" w:themeShade="80"/>
          <w:sz w:val="22"/>
          <w:szCs w:val="22"/>
          <w:lang w:val="en-GB"/>
        </w:rPr>
        <w:t xml:space="preserve"> creditor may</w:t>
      </w:r>
      <w:r w:rsidR="00CA1AE8">
        <w:rPr>
          <w:rFonts w:ascii="Avenir Next" w:hAnsi="Avenir Next" w:cs="Arial"/>
          <w:color w:val="808080" w:themeColor="background1" w:themeShade="80"/>
          <w:sz w:val="22"/>
          <w:szCs w:val="22"/>
          <w:lang w:val="en-GB"/>
        </w:rPr>
        <w:t xml:space="preserve"> often involve and</w:t>
      </w:r>
      <w:r w:rsidR="00886934" w:rsidRPr="000677EF">
        <w:rPr>
          <w:rFonts w:ascii="Avenir Next" w:hAnsi="Avenir Next" w:cs="Arial"/>
          <w:color w:val="808080" w:themeColor="background1" w:themeShade="80"/>
          <w:sz w:val="22"/>
          <w:szCs w:val="22"/>
          <w:lang w:val="en-GB"/>
        </w:rPr>
        <w:t xml:space="preserve"> consider appointing an overseas insolvency practitioner</w:t>
      </w:r>
      <w:r w:rsidR="00CA1AE8">
        <w:rPr>
          <w:rFonts w:ascii="Avenir Next" w:hAnsi="Avenir Next" w:cs="Arial"/>
          <w:color w:val="808080" w:themeColor="background1" w:themeShade="80"/>
          <w:sz w:val="22"/>
          <w:szCs w:val="22"/>
          <w:lang w:val="en-GB"/>
        </w:rPr>
        <w:t xml:space="preserve"> to assist in the tracing and recovery of assets dissipated throughout a multi-jurisdictional </w:t>
      </w:r>
      <w:r w:rsidR="008E1AB2">
        <w:rPr>
          <w:rFonts w:ascii="Avenir Next" w:hAnsi="Avenir Next" w:cs="Arial"/>
          <w:color w:val="808080" w:themeColor="background1" w:themeShade="80"/>
          <w:sz w:val="22"/>
          <w:szCs w:val="22"/>
          <w:lang w:val="en-GB"/>
        </w:rPr>
        <w:t>structure.</w:t>
      </w:r>
      <w:r w:rsidR="00514108">
        <w:rPr>
          <w:rFonts w:ascii="Avenir Next" w:hAnsi="Avenir Next" w:cs="Arial"/>
          <w:color w:val="808080" w:themeColor="background1" w:themeShade="80"/>
          <w:sz w:val="22"/>
          <w:szCs w:val="22"/>
          <w:lang w:val="en-GB"/>
        </w:rPr>
        <w:t xml:space="preserve"> </w:t>
      </w:r>
      <w:r w:rsidR="00594D94">
        <w:rPr>
          <w:rFonts w:ascii="Avenir Next" w:hAnsi="Avenir Next" w:cs="Arial"/>
          <w:color w:val="808080" w:themeColor="background1" w:themeShade="80"/>
          <w:sz w:val="22"/>
          <w:szCs w:val="22"/>
          <w:lang w:val="en-GB"/>
        </w:rPr>
        <w:t xml:space="preserve">Very often creditors wishing to wind up a BVI company are in a different jurisdiction themselves which therefore necessitates </w:t>
      </w:r>
      <w:r w:rsidR="00941552">
        <w:rPr>
          <w:rFonts w:ascii="Avenir Next" w:hAnsi="Avenir Next" w:cs="Arial"/>
          <w:color w:val="808080" w:themeColor="background1" w:themeShade="80"/>
          <w:sz w:val="22"/>
          <w:szCs w:val="22"/>
          <w:lang w:val="en-GB"/>
        </w:rPr>
        <w:t xml:space="preserve">appointing an overseas insolvency </w:t>
      </w:r>
      <w:r w:rsidR="00B70B55">
        <w:rPr>
          <w:rFonts w:ascii="Avenir Next" w:hAnsi="Avenir Next" w:cs="Arial"/>
          <w:color w:val="808080" w:themeColor="background1" w:themeShade="80"/>
          <w:sz w:val="22"/>
          <w:szCs w:val="22"/>
          <w:lang w:val="en-GB"/>
        </w:rPr>
        <w:t>practitioner</w:t>
      </w:r>
      <w:r w:rsidR="00941552">
        <w:rPr>
          <w:rFonts w:ascii="Avenir Next" w:hAnsi="Avenir Next" w:cs="Arial"/>
          <w:color w:val="808080" w:themeColor="background1" w:themeShade="80"/>
          <w:sz w:val="22"/>
          <w:szCs w:val="22"/>
          <w:lang w:val="en-GB"/>
        </w:rPr>
        <w:t>.</w:t>
      </w:r>
      <w:r w:rsidR="00886934" w:rsidRPr="000677EF">
        <w:rPr>
          <w:rFonts w:ascii="Avenir Next" w:hAnsi="Avenir Next" w:cs="Arial"/>
          <w:color w:val="808080" w:themeColor="background1" w:themeShade="80"/>
          <w:sz w:val="22"/>
          <w:szCs w:val="22"/>
          <w:lang w:val="en-GB"/>
        </w:rPr>
        <w:t xml:space="preserve"> </w:t>
      </w:r>
    </w:p>
    <w:p w14:paraId="0C4C3726" w14:textId="77777777" w:rsidR="00F00A13" w:rsidRDefault="00F00A13" w:rsidP="00F00A13">
      <w:pPr>
        <w:pStyle w:val="ListParagraph"/>
        <w:jc w:val="both"/>
        <w:rPr>
          <w:rFonts w:ascii="Avenir Next" w:hAnsi="Avenir Next" w:cs="Arial"/>
          <w:color w:val="808080" w:themeColor="background1" w:themeShade="80"/>
          <w:sz w:val="22"/>
          <w:szCs w:val="22"/>
          <w:lang w:val="en-GB"/>
        </w:rPr>
      </w:pPr>
    </w:p>
    <w:p w14:paraId="0EC47CC1" w14:textId="71776435" w:rsidR="00894557" w:rsidRPr="00F00A13" w:rsidRDefault="00F2191F" w:rsidP="00F00A13">
      <w:pPr>
        <w:pStyle w:val="ListParagraph"/>
        <w:numPr>
          <w:ilvl w:val="0"/>
          <w:numId w:val="29"/>
        </w:numPr>
        <w:jc w:val="both"/>
        <w:rPr>
          <w:rFonts w:ascii="Avenir Next" w:hAnsi="Avenir Next" w:cs="Arial"/>
          <w:color w:val="808080" w:themeColor="background1" w:themeShade="80"/>
          <w:sz w:val="22"/>
          <w:szCs w:val="22"/>
          <w:lang w:val="en-GB"/>
        </w:rPr>
      </w:pPr>
      <w:r w:rsidRPr="00F00A13">
        <w:rPr>
          <w:rFonts w:ascii="Avenir Next" w:hAnsi="Avenir Next" w:cs="Arial"/>
          <w:color w:val="808080" w:themeColor="background1" w:themeShade="80"/>
          <w:sz w:val="22"/>
          <w:szCs w:val="22"/>
          <w:lang w:val="en-GB"/>
        </w:rPr>
        <w:t>The insolvency practitioner must satisfy the court that they are</w:t>
      </w:r>
      <w:r w:rsidR="00800319" w:rsidRPr="00F00A13">
        <w:rPr>
          <w:rFonts w:ascii="Avenir Next" w:hAnsi="Avenir Next" w:cs="Arial"/>
          <w:color w:val="808080" w:themeColor="background1" w:themeShade="80"/>
          <w:sz w:val="22"/>
          <w:szCs w:val="22"/>
          <w:lang w:val="en-GB"/>
        </w:rPr>
        <w:t xml:space="preserve"> el</w:t>
      </w:r>
      <w:r w:rsidR="009A5CE4" w:rsidRPr="00F00A13">
        <w:rPr>
          <w:rFonts w:ascii="Avenir Next" w:hAnsi="Avenir Next" w:cs="Arial"/>
          <w:color w:val="808080" w:themeColor="background1" w:themeShade="80"/>
          <w:sz w:val="22"/>
          <w:szCs w:val="22"/>
          <w:lang w:val="en-GB"/>
        </w:rPr>
        <w:t>igible</w:t>
      </w:r>
      <w:r w:rsidR="00800319" w:rsidRPr="00F00A13">
        <w:rPr>
          <w:rFonts w:ascii="Avenir Next" w:hAnsi="Avenir Next" w:cs="Arial"/>
          <w:color w:val="808080" w:themeColor="background1" w:themeShade="80"/>
          <w:sz w:val="22"/>
          <w:szCs w:val="22"/>
          <w:lang w:val="en-GB"/>
        </w:rPr>
        <w:t xml:space="preserve"> to be appointed</w:t>
      </w:r>
      <w:r w:rsidR="00800319">
        <w:rPr>
          <w:rStyle w:val="FootnoteReference"/>
          <w:rFonts w:ascii="Avenir Next" w:hAnsi="Avenir Next" w:cs="Arial"/>
          <w:color w:val="808080" w:themeColor="background1" w:themeShade="80"/>
          <w:sz w:val="22"/>
          <w:szCs w:val="22"/>
          <w:lang w:val="en-GB"/>
        </w:rPr>
        <w:footnoteReference w:id="19"/>
      </w:r>
      <w:r w:rsidR="009A5CE4" w:rsidRPr="00F00A13">
        <w:rPr>
          <w:rFonts w:ascii="Avenir Next" w:hAnsi="Avenir Next" w:cs="Arial"/>
          <w:color w:val="808080" w:themeColor="background1" w:themeShade="80"/>
          <w:sz w:val="22"/>
          <w:szCs w:val="22"/>
          <w:lang w:val="en-GB"/>
        </w:rPr>
        <w:t xml:space="preserve"> and demonstrating that the </w:t>
      </w:r>
      <w:r w:rsidR="00C941AF" w:rsidRPr="00F00A13">
        <w:rPr>
          <w:rFonts w:ascii="Avenir Next" w:hAnsi="Avenir Next" w:cs="Arial"/>
          <w:color w:val="808080" w:themeColor="background1" w:themeShade="80"/>
          <w:sz w:val="22"/>
          <w:szCs w:val="22"/>
          <w:lang w:val="en-GB"/>
        </w:rPr>
        <w:t xml:space="preserve">are </w:t>
      </w:r>
      <w:r w:rsidR="00F5162C" w:rsidRPr="00F00A13">
        <w:rPr>
          <w:rFonts w:ascii="Avenir Next" w:hAnsi="Avenir Next" w:cs="Arial"/>
          <w:color w:val="808080" w:themeColor="background1" w:themeShade="80"/>
          <w:sz w:val="22"/>
          <w:szCs w:val="22"/>
          <w:lang w:val="en-GB"/>
        </w:rPr>
        <w:t>licensed</w:t>
      </w:r>
      <w:r w:rsidR="00670E4A">
        <w:rPr>
          <w:rStyle w:val="FootnoteReference"/>
          <w:rFonts w:ascii="Avenir Next" w:hAnsi="Avenir Next" w:cs="Arial"/>
          <w:color w:val="808080" w:themeColor="background1" w:themeShade="80"/>
          <w:sz w:val="22"/>
          <w:szCs w:val="22"/>
          <w:lang w:val="en-GB"/>
        </w:rPr>
        <w:footnoteReference w:id="20"/>
      </w:r>
      <w:r w:rsidR="00F5162C" w:rsidRPr="00F00A13">
        <w:rPr>
          <w:rFonts w:ascii="Avenir Next" w:hAnsi="Avenir Next" w:cs="Arial"/>
          <w:color w:val="808080" w:themeColor="background1" w:themeShade="80"/>
          <w:sz w:val="22"/>
          <w:szCs w:val="22"/>
          <w:lang w:val="en-GB"/>
        </w:rPr>
        <w:t>, th</w:t>
      </w:r>
      <w:r w:rsidR="007549F8" w:rsidRPr="00F00A13">
        <w:rPr>
          <w:rFonts w:ascii="Avenir Next" w:hAnsi="Avenir Next" w:cs="Arial"/>
          <w:color w:val="808080" w:themeColor="background1" w:themeShade="80"/>
          <w:sz w:val="22"/>
          <w:szCs w:val="22"/>
          <w:lang w:val="en-GB"/>
        </w:rPr>
        <w:t xml:space="preserve">ey </w:t>
      </w:r>
      <w:r w:rsidR="002D40B6" w:rsidRPr="00F00A13">
        <w:rPr>
          <w:rFonts w:ascii="Avenir Next" w:hAnsi="Avenir Next" w:cs="Arial"/>
          <w:color w:val="808080" w:themeColor="background1" w:themeShade="80"/>
          <w:sz w:val="22"/>
          <w:szCs w:val="22"/>
          <w:lang w:val="en-GB"/>
        </w:rPr>
        <w:t xml:space="preserve">give their consent to act, </w:t>
      </w:r>
      <w:r w:rsidR="007B17D1" w:rsidRPr="00F00A13">
        <w:rPr>
          <w:rFonts w:ascii="Avenir Next" w:hAnsi="Avenir Next" w:cs="Arial"/>
          <w:color w:val="808080" w:themeColor="background1" w:themeShade="80"/>
          <w:sz w:val="22"/>
          <w:szCs w:val="22"/>
          <w:lang w:val="en-GB"/>
        </w:rPr>
        <w:t xml:space="preserve">they are permitted to hold a licence to practise and are permitted to act and </w:t>
      </w:r>
      <w:r w:rsidR="004110C5" w:rsidRPr="00F00A13">
        <w:rPr>
          <w:rFonts w:ascii="Avenir Next" w:hAnsi="Avenir Next" w:cs="Arial"/>
          <w:color w:val="808080" w:themeColor="background1" w:themeShade="80"/>
          <w:sz w:val="22"/>
          <w:szCs w:val="22"/>
          <w:lang w:val="en-GB"/>
        </w:rPr>
        <w:t>there is a retainer</w:t>
      </w:r>
      <w:r w:rsidR="004110C5">
        <w:rPr>
          <w:rStyle w:val="FootnoteReference"/>
          <w:rFonts w:ascii="Avenir Next" w:hAnsi="Avenir Next" w:cs="Arial"/>
          <w:color w:val="808080" w:themeColor="background1" w:themeShade="80"/>
          <w:sz w:val="22"/>
          <w:szCs w:val="22"/>
          <w:lang w:val="en-GB"/>
        </w:rPr>
        <w:footnoteReference w:id="21"/>
      </w:r>
      <w:r w:rsidR="004110C5" w:rsidRPr="00F00A13">
        <w:rPr>
          <w:rFonts w:ascii="Avenir Next" w:hAnsi="Avenir Next" w:cs="Arial"/>
          <w:color w:val="808080" w:themeColor="background1" w:themeShade="80"/>
          <w:sz w:val="22"/>
          <w:szCs w:val="22"/>
          <w:lang w:val="en-GB"/>
        </w:rPr>
        <w:t>.</w:t>
      </w:r>
      <w:r w:rsidR="00403340" w:rsidRPr="00F00A13">
        <w:rPr>
          <w:rFonts w:ascii="Avenir Next" w:hAnsi="Avenir Next" w:cs="Arial"/>
          <w:color w:val="808080" w:themeColor="background1" w:themeShade="80"/>
          <w:sz w:val="22"/>
          <w:szCs w:val="22"/>
          <w:lang w:val="en-GB"/>
        </w:rPr>
        <w:t xml:space="preserve"> Th</w:t>
      </w:r>
      <w:r w:rsidR="00C77B6D" w:rsidRPr="00F00A13">
        <w:rPr>
          <w:rFonts w:ascii="Avenir Next" w:hAnsi="Avenir Next" w:cs="Arial"/>
          <w:color w:val="808080" w:themeColor="background1" w:themeShade="80"/>
          <w:sz w:val="22"/>
          <w:szCs w:val="22"/>
          <w:lang w:val="en-GB"/>
        </w:rPr>
        <w:t xml:space="preserve">e requirement to be licensed does no apply to overseas insolvency </w:t>
      </w:r>
      <w:r w:rsidR="005C5BF6" w:rsidRPr="00F00A13">
        <w:rPr>
          <w:rFonts w:ascii="Avenir Next" w:hAnsi="Avenir Next" w:cs="Arial"/>
          <w:color w:val="808080" w:themeColor="background1" w:themeShade="80"/>
          <w:sz w:val="22"/>
          <w:szCs w:val="22"/>
          <w:lang w:val="en-GB"/>
        </w:rPr>
        <w:t>practitioner</w:t>
      </w:r>
      <w:r w:rsidR="00C77B6D" w:rsidRPr="00F00A13">
        <w:rPr>
          <w:rFonts w:ascii="Avenir Next" w:hAnsi="Avenir Next" w:cs="Arial"/>
          <w:color w:val="808080" w:themeColor="background1" w:themeShade="80"/>
          <w:sz w:val="22"/>
          <w:szCs w:val="22"/>
          <w:lang w:val="en-GB"/>
        </w:rPr>
        <w:t xml:space="preserve"> who may be</w:t>
      </w:r>
      <w:r w:rsidR="00015F5E" w:rsidRPr="00F00A13">
        <w:rPr>
          <w:rFonts w:ascii="Avenir Next" w:hAnsi="Avenir Next" w:cs="Arial"/>
          <w:color w:val="808080" w:themeColor="background1" w:themeShade="80"/>
          <w:sz w:val="22"/>
          <w:szCs w:val="22"/>
          <w:lang w:val="en-GB"/>
        </w:rPr>
        <w:t xml:space="preserve"> seeking to</w:t>
      </w:r>
      <w:r w:rsidR="00C77B6D" w:rsidRPr="00F00A13">
        <w:rPr>
          <w:rFonts w:ascii="Avenir Next" w:hAnsi="Avenir Next" w:cs="Arial"/>
          <w:color w:val="808080" w:themeColor="background1" w:themeShade="80"/>
          <w:sz w:val="22"/>
          <w:szCs w:val="22"/>
          <w:lang w:val="en-GB"/>
        </w:rPr>
        <w:t xml:space="preserve"> act jointly with a BVI licensed practitioner</w:t>
      </w:r>
      <w:r w:rsidR="00CE5BB2" w:rsidRPr="00F00A13">
        <w:rPr>
          <w:rFonts w:ascii="Avenir Next" w:hAnsi="Avenir Next" w:cs="Arial"/>
          <w:color w:val="808080" w:themeColor="background1" w:themeShade="80"/>
          <w:sz w:val="22"/>
          <w:szCs w:val="22"/>
          <w:lang w:val="en-GB"/>
        </w:rPr>
        <w:t xml:space="preserve"> and notice must be given to the FSC</w:t>
      </w:r>
      <w:r w:rsidR="002B6F2D">
        <w:rPr>
          <w:rStyle w:val="FootnoteReference"/>
          <w:rFonts w:ascii="Avenir Next" w:hAnsi="Avenir Next" w:cs="Arial"/>
          <w:color w:val="808080" w:themeColor="background1" w:themeShade="80"/>
          <w:sz w:val="22"/>
          <w:szCs w:val="22"/>
          <w:lang w:val="en-GB"/>
        </w:rPr>
        <w:footnoteReference w:id="22"/>
      </w:r>
      <w:r w:rsidR="00B306D4" w:rsidRPr="00F00A13">
        <w:rPr>
          <w:rFonts w:ascii="Avenir Next" w:hAnsi="Avenir Next" w:cs="Arial"/>
          <w:color w:val="808080" w:themeColor="background1" w:themeShade="80"/>
          <w:sz w:val="22"/>
          <w:szCs w:val="22"/>
          <w:lang w:val="en-GB"/>
        </w:rPr>
        <w:t xml:space="preserve"> who have the power to object to such </w:t>
      </w:r>
      <w:r w:rsidR="009314E9" w:rsidRPr="00F00A13">
        <w:rPr>
          <w:rFonts w:ascii="Avenir Next" w:hAnsi="Avenir Next" w:cs="Arial"/>
          <w:color w:val="808080" w:themeColor="background1" w:themeShade="80"/>
          <w:sz w:val="22"/>
          <w:szCs w:val="22"/>
          <w:lang w:val="en-GB"/>
        </w:rPr>
        <w:t>appointment before it is made</w:t>
      </w:r>
      <w:r w:rsidR="009314E9">
        <w:rPr>
          <w:rStyle w:val="FootnoteReference"/>
          <w:rFonts w:ascii="Avenir Next" w:hAnsi="Avenir Next" w:cs="Arial"/>
          <w:color w:val="808080" w:themeColor="background1" w:themeShade="80"/>
          <w:sz w:val="22"/>
          <w:szCs w:val="22"/>
          <w:lang w:val="en-GB"/>
        </w:rPr>
        <w:footnoteReference w:id="23"/>
      </w:r>
      <w:r w:rsidR="00C77B6D" w:rsidRPr="00F00A13">
        <w:rPr>
          <w:rFonts w:ascii="Avenir Next" w:hAnsi="Avenir Next" w:cs="Arial"/>
          <w:color w:val="808080" w:themeColor="background1" w:themeShade="80"/>
          <w:sz w:val="22"/>
          <w:szCs w:val="22"/>
          <w:lang w:val="en-GB"/>
        </w:rPr>
        <w:t>.</w:t>
      </w:r>
      <w:r w:rsidR="006C0B4D" w:rsidRPr="00F00A13">
        <w:rPr>
          <w:rFonts w:ascii="Avenir Next" w:hAnsi="Avenir Next" w:cs="Arial"/>
          <w:color w:val="808080" w:themeColor="background1" w:themeShade="80"/>
          <w:sz w:val="22"/>
          <w:szCs w:val="22"/>
          <w:lang w:val="en-GB"/>
        </w:rPr>
        <w:t xml:space="preserve"> Further </w:t>
      </w:r>
      <w:r w:rsidR="007F46E2" w:rsidRPr="00F00A13">
        <w:rPr>
          <w:rFonts w:ascii="Avenir Next" w:hAnsi="Avenir Next" w:cs="Arial"/>
          <w:color w:val="808080" w:themeColor="background1" w:themeShade="80"/>
          <w:sz w:val="22"/>
          <w:szCs w:val="22"/>
          <w:lang w:val="en-GB"/>
        </w:rPr>
        <w:t>the Insolvency Act</w:t>
      </w:r>
      <w:r w:rsidR="007F46E2">
        <w:rPr>
          <w:rStyle w:val="FootnoteReference"/>
          <w:rFonts w:ascii="Avenir Next" w:hAnsi="Avenir Next" w:cs="Arial"/>
          <w:color w:val="808080" w:themeColor="background1" w:themeShade="80"/>
          <w:sz w:val="22"/>
          <w:szCs w:val="22"/>
          <w:lang w:val="en-GB"/>
        </w:rPr>
        <w:footnoteReference w:id="24"/>
      </w:r>
      <w:r w:rsidR="007F46E2" w:rsidRPr="00F00A13">
        <w:rPr>
          <w:rFonts w:ascii="Avenir Next" w:hAnsi="Avenir Next" w:cs="Arial"/>
          <w:color w:val="808080" w:themeColor="background1" w:themeShade="80"/>
          <w:sz w:val="22"/>
          <w:szCs w:val="22"/>
          <w:lang w:val="en-GB"/>
        </w:rPr>
        <w:t xml:space="preserve"> details the requirements of overseas practitioners.</w:t>
      </w:r>
    </w:p>
    <w:p w14:paraId="24C0EC82" w14:textId="528093CE" w:rsidR="00767275" w:rsidRPr="00DD0379" w:rsidRDefault="00767275" w:rsidP="00DD0379">
      <w:pPr>
        <w:jc w:val="both"/>
        <w:rPr>
          <w:rFonts w:ascii="Avenir Next" w:hAnsi="Avenir Next" w:cs="Arial"/>
          <w:sz w:val="22"/>
          <w:szCs w:val="22"/>
          <w:lang w:val="en-GB"/>
        </w:rPr>
      </w:pP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1663C13A" w14:textId="77777777" w:rsidR="00D443B2" w:rsidRDefault="005B230C" w:rsidP="00886527">
      <w:pPr>
        <w:contextualSpacing/>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three main types of liquidation in the BVI. </w:t>
      </w:r>
      <w:r w:rsidR="004C4484">
        <w:rPr>
          <w:rFonts w:ascii="Avenir Next" w:hAnsi="Avenir Next" w:cs="Arial"/>
          <w:color w:val="808080" w:themeColor="background1" w:themeShade="80"/>
          <w:sz w:val="22"/>
          <w:szCs w:val="22"/>
          <w:lang w:val="en-GB"/>
        </w:rPr>
        <w:t xml:space="preserve">Firstly, under </w:t>
      </w:r>
      <w:r w:rsidR="00F00A13" w:rsidRPr="00F00A13">
        <w:rPr>
          <w:rFonts w:ascii="Avenir Next" w:hAnsi="Avenir Next" w:cs="Arial"/>
          <w:color w:val="808080" w:themeColor="background1" w:themeShade="80"/>
          <w:sz w:val="22"/>
          <w:szCs w:val="22"/>
          <w:lang w:val="en-GB"/>
        </w:rPr>
        <w:t>Part XII of the BCA governs voluntary liquidations. A company cannot be placed into voluntary liquidation if the company is insolvent, it must be able to pay its debts as they fall due</w:t>
      </w:r>
      <w:r w:rsidR="00F00A13" w:rsidRPr="00F00A13">
        <w:rPr>
          <w:rFonts w:ascii="Avenir Next" w:hAnsi="Avenir Next" w:cs="Arial"/>
          <w:color w:val="808080" w:themeColor="background1" w:themeShade="80"/>
          <w:sz w:val="22"/>
          <w:szCs w:val="22"/>
          <w:vertAlign w:val="superscript"/>
          <w:lang w:val="en-GB"/>
        </w:rPr>
        <w:footnoteReference w:id="25"/>
      </w:r>
      <w:r w:rsidR="00F00A13" w:rsidRPr="00F00A13">
        <w:rPr>
          <w:rFonts w:ascii="Avenir Next" w:hAnsi="Avenir Next" w:cs="Arial"/>
          <w:color w:val="808080" w:themeColor="background1" w:themeShade="80"/>
          <w:sz w:val="22"/>
          <w:szCs w:val="22"/>
          <w:lang w:val="en-GB"/>
        </w:rPr>
        <w:t xml:space="preserve">.  </w:t>
      </w:r>
      <w:r w:rsidR="00706F3B">
        <w:rPr>
          <w:rFonts w:ascii="Avenir Next" w:hAnsi="Avenir Next" w:cs="Arial"/>
          <w:color w:val="808080" w:themeColor="background1" w:themeShade="80"/>
          <w:sz w:val="22"/>
          <w:szCs w:val="22"/>
          <w:lang w:val="en-GB"/>
        </w:rPr>
        <w:t>T</w:t>
      </w:r>
      <w:r w:rsidR="00F00A13" w:rsidRPr="00F00A13">
        <w:rPr>
          <w:rFonts w:ascii="Avenir Next" w:hAnsi="Avenir Next" w:cs="Arial"/>
          <w:color w:val="808080" w:themeColor="background1" w:themeShade="80"/>
          <w:sz w:val="22"/>
          <w:szCs w:val="22"/>
          <w:lang w:val="en-GB"/>
        </w:rPr>
        <w:t>he directors must make a formal declaration of solvency and approve some form of liquidation plan</w:t>
      </w:r>
      <w:r w:rsidR="00F00A13" w:rsidRPr="00F00A13">
        <w:rPr>
          <w:rFonts w:ascii="Avenir Next" w:hAnsi="Avenir Next" w:cs="Arial"/>
          <w:color w:val="808080" w:themeColor="background1" w:themeShade="80"/>
          <w:sz w:val="22"/>
          <w:szCs w:val="22"/>
          <w:vertAlign w:val="superscript"/>
          <w:lang w:val="en-GB"/>
        </w:rPr>
        <w:footnoteReference w:id="26"/>
      </w:r>
      <w:r w:rsidR="00F00A13" w:rsidRPr="00F00A13">
        <w:rPr>
          <w:rFonts w:ascii="Avenir Next" w:hAnsi="Avenir Next" w:cs="Arial"/>
          <w:color w:val="808080" w:themeColor="background1" w:themeShade="80"/>
          <w:sz w:val="22"/>
          <w:szCs w:val="22"/>
          <w:lang w:val="en-GB"/>
        </w:rPr>
        <w:t xml:space="preserve"> and then one or more liquidators can by appointed by either a directors or members resolution</w:t>
      </w:r>
      <w:r w:rsidR="00F00A13" w:rsidRPr="00F00A13">
        <w:rPr>
          <w:rFonts w:ascii="Avenir Next" w:hAnsi="Avenir Next" w:cs="Arial"/>
          <w:color w:val="808080" w:themeColor="background1" w:themeShade="80"/>
          <w:sz w:val="22"/>
          <w:szCs w:val="22"/>
          <w:vertAlign w:val="superscript"/>
          <w:lang w:val="en-GB"/>
        </w:rPr>
        <w:footnoteReference w:id="27"/>
      </w:r>
      <w:r w:rsidR="00F00A13" w:rsidRPr="00F00A13">
        <w:rPr>
          <w:rFonts w:ascii="Avenir Next" w:hAnsi="Avenir Next" w:cs="Arial"/>
          <w:color w:val="808080" w:themeColor="background1" w:themeShade="80"/>
          <w:sz w:val="22"/>
          <w:szCs w:val="22"/>
          <w:lang w:val="en-GB"/>
        </w:rPr>
        <w:t xml:space="preserve"> following which an eligible liquidators is appointed</w:t>
      </w:r>
      <w:r w:rsidR="00F00A13" w:rsidRPr="00F00A13">
        <w:rPr>
          <w:rFonts w:ascii="Avenir Next" w:hAnsi="Avenir Next" w:cs="Arial"/>
          <w:color w:val="808080" w:themeColor="background1" w:themeShade="80"/>
          <w:sz w:val="22"/>
          <w:szCs w:val="22"/>
          <w:vertAlign w:val="superscript"/>
          <w:lang w:val="en-GB"/>
        </w:rPr>
        <w:footnoteReference w:id="28"/>
      </w:r>
      <w:r w:rsidR="00F00A13" w:rsidRPr="00F00A13">
        <w:rPr>
          <w:rFonts w:ascii="Avenir Next" w:hAnsi="Avenir Next" w:cs="Arial"/>
          <w:color w:val="808080" w:themeColor="background1" w:themeShade="80"/>
          <w:sz w:val="22"/>
          <w:szCs w:val="22"/>
          <w:lang w:val="en-GB"/>
        </w:rPr>
        <w:t xml:space="preserve"> and the registrar must be informed within 14 day of the appointment</w:t>
      </w:r>
      <w:r w:rsidR="00F00A13" w:rsidRPr="00F00A13">
        <w:rPr>
          <w:rFonts w:ascii="Avenir Next" w:hAnsi="Avenir Next" w:cs="Arial"/>
          <w:color w:val="808080" w:themeColor="background1" w:themeShade="80"/>
          <w:sz w:val="22"/>
          <w:szCs w:val="22"/>
          <w:vertAlign w:val="superscript"/>
          <w:lang w:val="en-GB"/>
        </w:rPr>
        <w:footnoteReference w:id="29"/>
      </w:r>
      <w:r w:rsidR="00F00A13" w:rsidRPr="00F00A13">
        <w:rPr>
          <w:rFonts w:ascii="Avenir Next" w:hAnsi="Avenir Next" w:cs="Arial"/>
          <w:color w:val="808080" w:themeColor="background1" w:themeShade="80"/>
          <w:sz w:val="22"/>
          <w:szCs w:val="22"/>
          <w:lang w:val="en-GB"/>
        </w:rPr>
        <w:t>.</w:t>
      </w:r>
    </w:p>
    <w:p w14:paraId="571E8E93" w14:textId="77777777" w:rsidR="00D443B2" w:rsidRDefault="00D443B2" w:rsidP="00886527">
      <w:pPr>
        <w:contextualSpacing/>
        <w:jc w:val="both"/>
        <w:rPr>
          <w:rFonts w:ascii="Avenir Next" w:hAnsi="Avenir Next" w:cs="Arial"/>
          <w:color w:val="808080" w:themeColor="background1" w:themeShade="80"/>
          <w:sz w:val="22"/>
          <w:szCs w:val="22"/>
          <w:lang w:val="en-GB"/>
        </w:rPr>
      </w:pPr>
    </w:p>
    <w:p w14:paraId="623FC609" w14:textId="0BF87EA1" w:rsidR="00D443B2" w:rsidRDefault="004C4484" w:rsidP="00886527">
      <w:pPr>
        <w:contextualSpacing/>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Secondly, under </w:t>
      </w:r>
      <w:r w:rsidR="00F00A13" w:rsidRPr="00F00A13">
        <w:rPr>
          <w:rFonts w:ascii="Avenir Next" w:hAnsi="Avenir Next" w:cs="Arial"/>
          <w:color w:val="808080" w:themeColor="background1" w:themeShade="80"/>
          <w:sz w:val="22"/>
          <w:szCs w:val="22"/>
          <w:lang w:val="en-GB"/>
        </w:rPr>
        <w:t xml:space="preserve">Part VIII of the </w:t>
      </w:r>
      <w:r w:rsidR="00432AC5">
        <w:rPr>
          <w:rFonts w:ascii="Avenir Next" w:hAnsi="Avenir Next" w:cs="Arial"/>
          <w:color w:val="808080" w:themeColor="background1" w:themeShade="80"/>
          <w:sz w:val="22"/>
          <w:szCs w:val="22"/>
          <w:lang w:val="en-GB"/>
        </w:rPr>
        <w:t>I</w:t>
      </w:r>
      <w:r w:rsidR="00F00A13" w:rsidRPr="00F00A13">
        <w:rPr>
          <w:rFonts w:ascii="Avenir Next" w:hAnsi="Avenir Next" w:cs="Arial"/>
          <w:color w:val="808080" w:themeColor="background1" w:themeShade="80"/>
          <w:sz w:val="22"/>
          <w:szCs w:val="22"/>
          <w:lang w:val="en-GB"/>
        </w:rPr>
        <w:t>nsolvency Act governs situations where an insolvency practitioner is to be appointed over an company in an insolvency context.</w:t>
      </w:r>
      <w:r w:rsidR="00432AC5">
        <w:rPr>
          <w:rFonts w:ascii="Avenir Next" w:hAnsi="Avenir Next" w:cs="Arial"/>
          <w:color w:val="808080" w:themeColor="background1" w:themeShade="80"/>
          <w:sz w:val="22"/>
          <w:szCs w:val="22"/>
          <w:lang w:val="en-GB"/>
        </w:rPr>
        <w:t xml:space="preserve"> I</w:t>
      </w:r>
      <w:r w:rsidR="00F00A13" w:rsidRPr="00F00A13">
        <w:rPr>
          <w:rFonts w:ascii="Avenir Next" w:hAnsi="Avenir Next" w:cs="Arial"/>
          <w:color w:val="808080" w:themeColor="background1" w:themeShade="80"/>
          <w:sz w:val="22"/>
          <w:szCs w:val="22"/>
          <w:lang w:val="en-GB"/>
        </w:rPr>
        <w:t>nsolvency must be established</w:t>
      </w:r>
      <w:r w:rsidR="00F00A13" w:rsidRPr="00F00A13">
        <w:rPr>
          <w:rFonts w:ascii="Avenir Next" w:hAnsi="Avenir Next" w:cs="Arial"/>
          <w:color w:val="808080" w:themeColor="background1" w:themeShade="80"/>
          <w:sz w:val="22"/>
          <w:szCs w:val="22"/>
          <w:vertAlign w:val="superscript"/>
          <w:lang w:val="en-GB"/>
        </w:rPr>
        <w:footnoteReference w:id="30"/>
      </w:r>
      <w:r w:rsidR="00F00A13" w:rsidRPr="00F00A13">
        <w:rPr>
          <w:rFonts w:ascii="Avenir Next" w:hAnsi="Avenir Next" w:cs="Arial"/>
          <w:color w:val="808080" w:themeColor="background1" w:themeShade="80"/>
          <w:sz w:val="22"/>
          <w:szCs w:val="22"/>
          <w:lang w:val="en-GB"/>
        </w:rPr>
        <w:t xml:space="preserve"> this can be a questions of fact (inability to pay debts as they fall due)</w:t>
      </w:r>
      <w:r w:rsidR="00F00A13" w:rsidRPr="00F00A13">
        <w:rPr>
          <w:rFonts w:ascii="Avenir Next" w:hAnsi="Avenir Next" w:cs="Arial"/>
          <w:color w:val="808080" w:themeColor="background1" w:themeShade="80"/>
          <w:sz w:val="22"/>
          <w:szCs w:val="22"/>
          <w:vertAlign w:val="superscript"/>
          <w:lang w:val="en-GB"/>
        </w:rPr>
        <w:footnoteReference w:id="31"/>
      </w:r>
      <w:r w:rsidR="00F00A13" w:rsidRPr="00F00A13">
        <w:rPr>
          <w:rFonts w:ascii="Avenir Next" w:hAnsi="Avenir Next" w:cs="Arial"/>
          <w:color w:val="808080" w:themeColor="background1" w:themeShade="80"/>
          <w:sz w:val="22"/>
          <w:szCs w:val="22"/>
          <w:lang w:val="en-GB"/>
        </w:rPr>
        <w:t>; where the court is satisfied that the value of the liabilities are more than the assets on a balance sheet test</w:t>
      </w:r>
      <w:r w:rsidR="00F00A13" w:rsidRPr="00F00A13">
        <w:rPr>
          <w:rFonts w:ascii="Avenir Next" w:hAnsi="Avenir Next" w:cs="Arial"/>
          <w:color w:val="808080" w:themeColor="background1" w:themeShade="80"/>
          <w:sz w:val="22"/>
          <w:szCs w:val="22"/>
          <w:vertAlign w:val="superscript"/>
          <w:lang w:val="en-GB"/>
        </w:rPr>
        <w:footnoteReference w:id="32"/>
      </w:r>
      <w:r w:rsidR="00F00A13" w:rsidRPr="00F00A13">
        <w:rPr>
          <w:rFonts w:ascii="Avenir Next" w:hAnsi="Avenir Next" w:cs="Arial"/>
          <w:color w:val="808080" w:themeColor="background1" w:themeShade="80"/>
          <w:sz w:val="22"/>
          <w:szCs w:val="22"/>
          <w:lang w:val="en-GB"/>
        </w:rPr>
        <w:t>; where they fail to satisfy a judgment; if a statutory demand has not been satisfied</w:t>
      </w:r>
      <w:r w:rsidR="00886527">
        <w:rPr>
          <w:rFonts w:ascii="Avenir Next" w:hAnsi="Avenir Next" w:cs="Arial"/>
          <w:color w:val="808080" w:themeColor="background1" w:themeShade="80"/>
          <w:sz w:val="22"/>
          <w:szCs w:val="22"/>
          <w:lang w:val="en-GB"/>
        </w:rPr>
        <w:t>.</w:t>
      </w:r>
      <w:r w:rsidR="00985BC8">
        <w:rPr>
          <w:rFonts w:ascii="Avenir Next" w:hAnsi="Avenir Next" w:cs="Arial"/>
          <w:color w:val="808080" w:themeColor="background1" w:themeShade="80"/>
          <w:sz w:val="22"/>
          <w:szCs w:val="22"/>
          <w:lang w:val="en-GB"/>
        </w:rPr>
        <w:t xml:space="preserve"> </w:t>
      </w:r>
    </w:p>
    <w:p w14:paraId="019857FB" w14:textId="77777777" w:rsidR="00D443B2" w:rsidRDefault="00D443B2" w:rsidP="00886527">
      <w:pPr>
        <w:contextualSpacing/>
        <w:jc w:val="both"/>
        <w:rPr>
          <w:rFonts w:ascii="Avenir Next" w:hAnsi="Avenir Next" w:cs="Arial"/>
          <w:color w:val="808080" w:themeColor="background1" w:themeShade="80"/>
          <w:sz w:val="22"/>
          <w:szCs w:val="22"/>
          <w:lang w:val="en-GB"/>
        </w:rPr>
      </w:pPr>
    </w:p>
    <w:p w14:paraId="29344331" w14:textId="56542116" w:rsidR="00F00A13" w:rsidRPr="00F00A13" w:rsidRDefault="00985BC8" w:rsidP="00886527">
      <w:pPr>
        <w:contextualSpacing/>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Thirdly, </w:t>
      </w:r>
      <w:r w:rsidR="00DB5673">
        <w:rPr>
          <w:rFonts w:ascii="Avenir Next" w:hAnsi="Avenir Next" w:cs="Arial"/>
          <w:color w:val="808080" w:themeColor="background1" w:themeShade="80"/>
          <w:sz w:val="22"/>
          <w:szCs w:val="22"/>
          <w:lang w:val="en-GB"/>
        </w:rPr>
        <w:t>a voluntary insolvent liquidation under the Insolvency Act</w:t>
      </w:r>
      <w:r w:rsidR="00C15B48">
        <w:rPr>
          <w:rFonts w:ascii="Avenir Next" w:hAnsi="Avenir Next" w:cs="Arial"/>
          <w:color w:val="808080" w:themeColor="background1" w:themeShade="80"/>
          <w:sz w:val="22"/>
          <w:szCs w:val="22"/>
          <w:lang w:val="en-GB"/>
        </w:rPr>
        <w:t xml:space="preserve">. Under this procedure the members would pass a </w:t>
      </w:r>
      <w:r w:rsidR="00CB4D93">
        <w:rPr>
          <w:rFonts w:ascii="Avenir Next" w:hAnsi="Avenir Next" w:cs="Arial"/>
          <w:color w:val="808080" w:themeColor="background1" w:themeShade="80"/>
          <w:sz w:val="22"/>
          <w:szCs w:val="22"/>
          <w:lang w:val="en-GB"/>
        </w:rPr>
        <w:t xml:space="preserve">qualifying </w:t>
      </w:r>
      <w:r w:rsidR="00C15B48">
        <w:rPr>
          <w:rFonts w:ascii="Avenir Next" w:hAnsi="Avenir Next" w:cs="Arial"/>
          <w:color w:val="808080" w:themeColor="background1" w:themeShade="80"/>
          <w:sz w:val="22"/>
          <w:szCs w:val="22"/>
          <w:lang w:val="en-GB"/>
        </w:rPr>
        <w:t>resolution</w:t>
      </w:r>
      <w:r w:rsidR="00CB4D93">
        <w:rPr>
          <w:rStyle w:val="FootnoteReference"/>
          <w:rFonts w:ascii="Avenir Next" w:hAnsi="Avenir Next" w:cs="Arial"/>
          <w:color w:val="808080" w:themeColor="background1" w:themeShade="80"/>
          <w:sz w:val="22"/>
          <w:szCs w:val="22"/>
          <w:lang w:val="en-GB"/>
        </w:rPr>
        <w:footnoteReference w:id="33"/>
      </w:r>
      <w:r w:rsidR="00C15B48">
        <w:rPr>
          <w:rFonts w:ascii="Avenir Next" w:hAnsi="Avenir Next" w:cs="Arial"/>
          <w:color w:val="808080" w:themeColor="background1" w:themeShade="80"/>
          <w:sz w:val="22"/>
          <w:szCs w:val="22"/>
          <w:lang w:val="en-GB"/>
        </w:rPr>
        <w:t xml:space="preserve"> </w:t>
      </w:r>
      <w:r w:rsidR="009A2A29">
        <w:rPr>
          <w:rFonts w:ascii="Avenir Next" w:hAnsi="Avenir Next" w:cs="Arial"/>
          <w:color w:val="808080" w:themeColor="background1" w:themeShade="80"/>
          <w:sz w:val="22"/>
          <w:szCs w:val="22"/>
          <w:lang w:val="en-GB"/>
        </w:rPr>
        <w:t>following which a liquidator is appointed</w:t>
      </w:r>
      <w:r w:rsidR="004F652D">
        <w:rPr>
          <w:rStyle w:val="FootnoteReference"/>
          <w:rFonts w:ascii="Avenir Next" w:hAnsi="Avenir Next" w:cs="Arial"/>
          <w:color w:val="808080" w:themeColor="background1" w:themeShade="80"/>
          <w:sz w:val="22"/>
          <w:szCs w:val="22"/>
          <w:lang w:val="en-GB"/>
        </w:rPr>
        <w:footnoteReference w:id="34"/>
      </w:r>
      <w:r w:rsidR="00B74105">
        <w:rPr>
          <w:rFonts w:ascii="Avenir Next" w:hAnsi="Avenir Next" w:cs="Arial"/>
          <w:color w:val="808080" w:themeColor="background1" w:themeShade="80"/>
          <w:sz w:val="22"/>
          <w:szCs w:val="22"/>
          <w:lang w:val="en-GB"/>
        </w:rPr>
        <w:t>.</w:t>
      </w:r>
      <w:r w:rsidR="00550F78">
        <w:rPr>
          <w:rFonts w:ascii="Avenir Next" w:hAnsi="Avenir Next" w:cs="Arial"/>
          <w:color w:val="808080" w:themeColor="background1" w:themeShade="80"/>
          <w:sz w:val="22"/>
          <w:szCs w:val="22"/>
          <w:lang w:val="en-GB"/>
        </w:rPr>
        <w:t xml:space="preserve"> The court would not appointed the liquidator in this instance. </w:t>
      </w:r>
    </w:p>
    <w:p w14:paraId="5FB2E645" w14:textId="77777777" w:rsidR="00802DB8" w:rsidRPr="005965BF" w:rsidRDefault="00802DB8" w:rsidP="008065CE">
      <w:pPr>
        <w:jc w:val="both"/>
        <w:rPr>
          <w:rFonts w:ascii="Avenir Next" w:hAnsi="Avenir Next" w:cs="Arial"/>
          <w:sz w:val="22"/>
          <w:szCs w:val="22"/>
          <w:shd w:val="clear" w:color="auto" w:fill="FFFFFF"/>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two 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4BEF2929" w14:textId="51745C69" w:rsidR="001A007A" w:rsidRDefault="008F0FA4" w:rsidP="008065CE">
      <w:pPr>
        <w:autoSpaceDE w:val="0"/>
        <w:autoSpaceDN w:val="0"/>
        <w:adjustRightInd w:val="0"/>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Limited (EL)</w:t>
      </w:r>
      <w:r w:rsidR="00FB0443">
        <w:rPr>
          <w:rFonts w:ascii="Avenir Next" w:hAnsi="Avenir Next" w:cs="Arial"/>
          <w:color w:val="7B7B7B" w:themeColor="accent3" w:themeShade="BF"/>
          <w:sz w:val="22"/>
          <w:szCs w:val="22"/>
          <w:lang w:val="en-GB"/>
        </w:rPr>
        <w:t xml:space="preserve"> having loaned </w:t>
      </w:r>
      <w:r w:rsidR="00E90698">
        <w:rPr>
          <w:rFonts w:ascii="Avenir Next" w:hAnsi="Avenir Next" w:cs="Arial"/>
          <w:color w:val="7B7B7B" w:themeColor="accent3" w:themeShade="BF"/>
          <w:sz w:val="22"/>
          <w:szCs w:val="22"/>
          <w:lang w:val="en-GB"/>
        </w:rPr>
        <w:t>the money to Swift Limited (SL) would</w:t>
      </w:r>
      <w:r w:rsidR="00BB55E6">
        <w:rPr>
          <w:rFonts w:ascii="Avenir Next" w:hAnsi="Avenir Next" w:cs="Arial"/>
          <w:color w:val="7B7B7B" w:themeColor="accent3" w:themeShade="BF"/>
          <w:sz w:val="22"/>
          <w:szCs w:val="22"/>
          <w:lang w:val="en-GB"/>
        </w:rPr>
        <w:t xml:space="preserve"> ostensibly have a few options</w:t>
      </w:r>
      <w:r w:rsidR="00D26E97">
        <w:rPr>
          <w:rFonts w:ascii="Avenir Next" w:hAnsi="Avenir Next" w:cs="Arial"/>
          <w:color w:val="7B7B7B" w:themeColor="accent3" w:themeShade="BF"/>
          <w:sz w:val="22"/>
          <w:szCs w:val="22"/>
          <w:lang w:val="en-GB"/>
        </w:rPr>
        <w:t xml:space="preserve"> </w:t>
      </w:r>
      <w:r w:rsidR="0084228B">
        <w:rPr>
          <w:rFonts w:ascii="Avenir Next" w:hAnsi="Avenir Next" w:cs="Arial"/>
          <w:color w:val="7B7B7B" w:themeColor="accent3" w:themeShade="BF"/>
          <w:sz w:val="22"/>
          <w:szCs w:val="22"/>
          <w:lang w:val="en-GB"/>
        </w:rPr>
        <w:t xml:space="preserve">open to them in order to try to recover the indebtedness. </w:t>
      </w:r>
      <w:r w:rsidR="004012E8">
        <w:rPr>
          <w:rFonts w:ascii="Avenir Next" w:hAnsi="Avenir Next" w:cs="Arial"/>
          <w:color w:val="7B7B7B" w:themeColor="accent3" w:themeShade="BF"/>
          <w:sz w:val="22"/>
          <w:szCs w:val="22"/>
          <w:lang w:val="en-GB"/>
        </w:rPr>
        <w:t>Consideration would also need to be given to the agr</w:t>
      </w:r>
      <w:r w:rsidR="0099080D">
        <w:rPr>
          <w:rFonts w:ascii="Avenir Next" w:hAnsi="Avenir Next" w:cs="Arial"/>
          <w:color w:val="7B7B7B" w:themeColor="accent3" w:themeShade="BF"/>
          <w:sz w:val="22"/>
          <w:szCs w:val="22"/>
          <w:lang w:val="en-GB"/>
        </w:rPr>
        <w:t xml:space="preserve">eement and governing law and so on. </w:t>
      </w:r>
      <w:r w:rsidR="00B668EC">
        <w:rPr>
          <w:rFonts w:ascii="Avenir Next" w:hAnsi="Avenir Next" w:cs="Arial"/>
          <w:color w:val="7B7B7B" w:themeColor="accent3" w:themeShade="BF"/>
          <w:sz w:val="22"/>
          <w:szCs w:val="22"/>
          <w:lang w:val="en-GB"/>
        </w:rPr>
        <w:t xml:space="preserve">It is unknown whether the loan agreement </w:t>
      </w:r>
      <w:r w:rsidR="001046CE">
        <w:rPr>
          <w:rFonts w:ascii="Avenir Next" w:hAnsi="Avenir Next" w:cs="Arial"/>
          <w:color w:val="7B7B7B" w:themeColor="accent3" w:themeShade="BF"/>
          <w:sz w:val="22"/>
          <w:szCs w:val="22"/>
          <w:lang w:val="en-GB"/>
        </w:rPr>
        <w:t>conf</w:t>
      </w:r>
      <w:r w:rsidR="0039788D">
        <w:rPr>
          <w:rFonts w:ascii="Avenir Next" w:hAnsi="Avenir Next" w:cs="Arial"/>
          <w:color w:val="7B7B7B" w:themeColor="accent3" w:themeShade="BF"/>
          <w:sz w:val="22"/>
          <w:szCs w:val="22"/>
          <w:lang w:val="en-GB"/>
        </w:rPr>
        <w:t>erred any security over the property that was bought by SL, for the purposes of this answer it will be assu</w:t>
      </w:r>
      <w:r w:rsidR="00886412">
        <w:rPr>
          <w:rFonts w:ascii="Avenir Next" w:hAnsi="Avenir Next" w:cs="Arial"/>
          <w:color w:val="7B7B7B" w:themeColor="accent3" w:themeShade="BF"/>
          <w:sz w:val="22"/>
          <w:szCs w:val="22"/>
          <w:lang w:val="en-GB"/>
        </w:rPr>
        <w:t xml:space="preserve">med there is no security. </w:t>
      </w:r>
    </w:p>
    <w:p w14:paraId="63FE77FD" w14:textId="77777777" w:rsidR="00E9008E" w:rsidRDefault="00E9008E" w:rsidP="008065CE">
      <w:pPr>
        <w:autoSpaceDE w:val="0"/>
        <w:autoSpaceDN w:val="0"/>
        <w:adjustRightInd w:val="0"/>
        <w:jc w:val="both"/>
        <w:rPr>
          <w:rFonts w:ascii="Avenir Next" w:hAnsi="Avenir Next" w:cs="Arial"/>
          <w:color w:val="7B7B7B" w:themeColor="accent3" w:themeShade="BF"/>
          <w:sz w:val="22"/>
          <w:szCs w:val="22"/>
          <w:lang w:val="en-GB"/>
        </w:rPr>
      </w:pPr>
    </w:p>
    <w:p w14:paraId="69098CF1" w14:textId="77777777" w:rsidR="00613B3A" w:rsidRDefault="005376CD"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Firstly, </w:t>
      </w:r>
      <w:r w:rsidR="00EA530C">
        <w:rPr>
          <w:rFonts w:ascii="Avenir Next" w:hAnsi="Avenir Next" w:cs="Arial"/>
          <w:color w:val="7B7B7B" w:themeColor="accent3" w:themeShade="BF"/>
          <w:sz w:val="22"/>
          <w:szCs w:val="22"/>
          <w:lang w:val="en-GB"/>
        </w:rPr>
        <w:t xml:space="preserve">as </w:t>
      </w:r>
      <w:r w:rsidR="00281BB3">
        <w:rPr>
          <w:rFonts w:ascii="Avenir Next" w:hAnsi="Avenir Next" w:cs="Arial"/>
          <w:color w:val="7B7B7B" w:themeColor="accent3" w:themeShade="BF"/>
          <w:sz w:val="22"/>
          <w:szCs w:val="22"/>
          <w:lang w:val="en-GB"/>
        </w:rPr>
        <w:t xml:space="preserve">the current law stands there is not yet in force </w:t>
      </w:r>
      <w:r>
        <w:rPr>
          <w:rFonts w:ascii="Avenir Next" w:hAnsi="Avenir Next" w:cs="Arial"/>
          <w:color w:val="7B7B7B" w:themeColor="accent3" w:themeShade="BF"/>
          <w:sz w:val="22"/>
          <w:szCs w:val="22"/>
          <w:lang w:val="en-GB"/>
        </w:rPr>
        <w:t>under</w:t>
      </w:r>
      <w:r w:rsidR="00A8044E">
        <w:rPr>
          <w:rFonts w:ascii="Avenir Next" w:hAnsi="Avenir Next" w:cs="Arial"/>
          <w:color w:val="7B7B7B" w:themeColor="accent3" w:themeShade="BF"/>
          <w:sz w:val="22"/>
          <w:szCs w:val="22"/>
          <w:lang w:val="en-GB"/>
        </w:rPr>
        <w:t xml:space="preserve"> s.466 of </w:t>
      </w:r>
      <w:r>
        <w:rPr>
          <w:rFonts w:ascii="Avenir Next" w:hAnsi="Avenir Next" w:cs="Arial"/>
          <w:color w:val="7B7B7B" w:themeColor="accent3" w:themeShade="BF"/>
          <w:sz w:val="22"/>
          <w:szCs w:val="22"/>
          <w:lang w:val="en-GB"/>
        </w:rPr>
        <w:t>Part XVIII of the</w:t>
      </w:r>
      <w:r w:rsidR="00281BB3">
        <w:rPr>
          <w:rFonts w:ascii="Avenir Next" w:hAnsi="Avenir Next" w:cs="Arial"/>
          <w:color w:val="7B7B7B" w:themeColor="accent3" w:themeShade="BF"/>
          <w:sz w:val="22"/>
          <w:szCs w:val="22"/>
          <w:lang w:val="en-GB"/>
        </w:rPr>
        <w:t xml:space="preserve"> </w:t>
      </w:r>
      <w:r w:rsidR="00583A1A">
        <w:rPr>
          <w:rFonts w:ascii="Avenir Next" w:hAnsi="Avenir Next" w:cs="Arial"/>
          <w:color w:val="7B7B7B" w:themeColor="accent3" w:themeShade="BF"/>
          <w:sz w:val="22"/>
          <w:szCs w:val="22"/>
          <w:lang w:val="en-GB"/>
        </w:rPr>
        <w:t>BVI Insolvency Act</w:t>
      </w:r>
      <w:r w:rsidR="00D8090E">
        <w:rPr>
          <w:rStyle w:val="FootnoteReference"/>
          <w:rFonts w:ascii="Avenir Next" w:hAnsi="Avenir Next" w:cs="Arial"/>
          <w:color w:val="7B7B7B" w:themeColor="accent3" w:themeShade="BF"/>
          <w:sz w:val="22"/>
          <w:szCs w:val="22"/>
          <w:lang w:val="en-GB"/>
        </w:rPr>
        <w:footnoteReference w:id="35"/>
      </w:r>
      <w:r w:rsidR="00583A1A">
        <w:rPr>
          <w:rFonts w:ascii="Avenir Next" w:hAnsi="Avenir Next" w:cs="Arial"/>
          <w:color w:val="7B7B7B" w:themeColor="accent3" w:themeShade="BF"/>
          <w:sz w:val="22"/>
          <w:szCs w:val="22"/>
          <w:lang w:val="en-GB"/>
        </w:rPr>
        <w:t xml:space="preserve"> (the Act)</w:t>
      </w:r>
      <w:r>
        <w:rPr>
          <w:rFonts w:ascii="Avenir Next" w:hAnsi="Avenir Next" w:cs="Arial"/>
          <w:color w:val="7B7B7B" w:themeColor="accent3" w:themeShade="BF"/>
          <w:sz w:val="22"/>
          <w:szCs w:val="22"/>
          <w:lang w:val="en-GB"/>
        </w:rPr>
        <w:t xml:space="preserve"> </w:t>
      </w:r>
      <w:r w:rsidR="00A8044E">
        <w:rPr>
          <w:rFonts w:ascii="Avenir Next" w:hAnsi="Avenir Next" w:cs="Arial"/>
          <w:color w:val="7B7B7B" w:themeColor="accent3" w:themeShade="BF"/>
          <w:sz w:val="22"/>
          <w:szCs w:val="22"/>
          <w:lang w:val="en-GB"/>
        </w:rPr>
        <w:t xml:space="preserve">allowing foreign creditors the ability to commence </w:t>
      </w:r>
      <w:r w:rsidR="002B01E7">
        <w:rPr>
          <w:rFonts w:ascii="Avenir Next" w:hAnsi="Avenir Next" w:cs="Arial"/>
          <w:color w:val="7B7B7B" w:themeColor="accent3" w:themeShade="BF"/>
          <w:sz w:val="22"/>
          <w:szCs w:val="22"/>
          <w:lang w:val="en-GB"/>
        </w:rPr>
        <w:t>proceedings in the BVI granting them the same rights</w:t>
      </w:r>
      <w:r w:rsidR="00A05C41">
        <w:rPr>
          <w:rFonts w:ascii="Avenir Next" w:hAnsi="Avenir Next" w:cs="Arial"/>
          <w:color w:val="7B7B7B" w:themeColor="accent3" w:themeShade="BF"/>
          <w:sz w:val="22"/>
          <w:szCs w:val="22"/>
          <w:lang w:val="en-GB"/>
        </w:rPr>
        <w:t xml:space="preserve"> as creditors based within the BVI. </w:t>
      </w:r>
    </w:p>
    <w:p w14:paraId="3D36094A" w14:textId="77777777" w:rsidR="00613B3A" w:rsidRDefault="00613B3A" w:rsidP="008065CE">
      <w:pPr>
        <w:autoSpaceDE w:val="0"/>
        <w:autoSpaceDN w:val="0"/>
        <w:adjustRightInd w:val="0"/>
        <w:jc w:val="both"/>
        <w:rPr>
          <w:rFonts w:ascii="Avenir Next" w:hAnsi="Avenir Next" w:cs="Arial"/>
          <w:color w:val="7B7B7B" w:themeColor="accent3" w:themeShade="BF"/>
          <w:sz w:val="22"/>
          <w:szCs w:val="22"/>
          <w:lang w:val="en-GB"/>
        </w:rPr>
      </w:pPr>
    </w:p>
    <w:p w14:paraId="30BF8B93" w14:textId="2F71B39C" w:rsidR="00E9008E" w:rsidRDefault="00431F9B"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dem</w:t>
      </w:r>
      <w:r w:rsidR="004D47E2">
        <w:rPr>
          <w:rFonts w:ascii="Avenir Next" w:hAnsi="Avenir Next" w:cs="Arial"/>
          <w:color w:val="7B7B7B" w:themeColor="accent3" w:themeShade="BF"/>
          <w:sz w:val="22"/>
          <w:szCs w:val="22"/>
          <w:lang w:val="en-GB"/>
        </w:rPr>
        <w:t xml:space="preserve">and that EL just sent out was not a </w:t>
      </w:r>
      <w:r w:rsidR="00B14A76">
        <w:rPr>
          <w:rFonts w:ascii="Avenir Next" w:hAnsi="Avenir Next" w:cs="Arial"/>
          <w:color w:val="7B7B7B" w:themeColor="accent3" w:themeShade="BF"/>
          <w:sz w:val="22"/>
          <w:szCs w:val="22"/>
          <w:lang w:val="en-GB"/>
        </w:rPr>
        <w:t>s</w:t>
      </w:r>
      <w:r w:rsidR="004D47E2">
        <w:rPr>
          <w:rFonts w:ascii="Avenir Next" w:hAnsi="Avenir Next" w:cs="Arial"/>
          <w:color w:val="7B7B7B" w:themeColor="accent3" w:themeShade="BF"/>
          <w:sz w:val="22"/>
          <w:szCs w:val="22"/>
          <w:lang w:val="en-GB"/>
        </w:rPr>
        <w:t>tatutory demand</w:t>
      </w:r>
      <w:r w:rsidR="00B14A76">
        <w:rPr>
          <w:rFonts w:ascii="Avenir Next" w:hAnsi="Avenir Next" w:cs="Arial"/>
          <w:color w:val="7B7B7B" w:themeColor="accent3" w:themeShade="BF"/>
          <w:sz w:val="22"/>
          <w:szCs w:val="22"/>
          <w:lang w:val="en-GB"/>
        </w:rPr>
        <w:t xml:space="preserve"> then the first step may be </w:t>
      </w:r>
      <w:r w:rsidR="00F92AD4">
        <w:rPr>
          <w:rFonts w:ascii="Avenir Next" w:hAnsi="Avenir Next" w:cs="Arial"/>
          <w:color w:val="7B7B7B" w:themeColor="accent3" w:themeShade="BF"/>
          <w:sz w:val="22"/>
          <w:szCs w:val="22"/>
          <w:lang w:val="en-GB"/>
        </w:rPr>
        <w:t>sending one in accordance with s.156 of the Act. If after 21 da</w:t>
      </w:r>
      <w:r w:rsidR="00920B23">
        <w:rPr>
          <w:rFonts w:ascii="Avenir Next" w:hAnsi="Avenir Next" w:cs="Arial"/>
          <w:color w:val="7B7B7B" w:themeColor="accent3" w:themeShade="BF"/>
          <w:sz w:val="22"/>
          <w:szCs w:val="22"/>
          <w:lang w:val="en-GB"/>
        </w:rPr>
        <w:t xml:space="preserve">ys from the date of service the monies are not repaid </w:t>
      </w:r>
      <w:r w:rsidR="004017BA">
        <w:rPr>
          <w:rFonts w:ascii="Avenir Next" w:hAnsi="Avenir Next" w:cs="Arial"/>
          <w:color w:val="7B7B7B" w:themeColor="accent3" w:themeShade="BF"/>
          <w:sz w:val="22"/>
          <w:szCs w:val="22"/>
          <w:lang w:val="en-GB"/>
        </w:rPr>
        <w:t>then SL would be deemed insolvent for failure to repay the debt</w:t>
      </w:r>
      <w:r w:rsidR="00E974DC">
        <w:rPr>
          <w:rFonts w:ascii="Avenir Next" w:hAnsi="Avenir Next" w:cs="Arial"/>
          <w:color w:val="7B7B7B" w:themeColor="accent3" w:themeShade="BF"/>
          <w:sz w:val="22"/>
          <w:szCs w:val="22"/>
          <w:lang w:val="en-GB"/>
        </w:rPr>
        <w:t xml:space="preserve"> </w:t>
      </w:r>
      <w:r w:rsidR="00886BCE">
        <w:rPr>
          <w:rFonts w:ascii="Avenir Next" w:hAnsi="Avenir Next" w:cs="Arial"/>
          <w:color w:val="7B7B7B" w:themeColor="accent3" w:themeShade="BF"/>
          <w:sz w:val="22"/>
          <w:szCs w:val="22"/>
          <w:lang w:val="en-GB"/>
        </w:rPr>
        <w:lastRenderedPageBreak/>
        <w:t>in accordance with the statutory demand</w:t>
      </w:r>
      <w:r w:rsidR="00886BCE">
        <w:rPr>
          <w:rStyle w:val="FootnoteReference"/>
          <w:rFonts w:ascii="Avenir Next" w:hAnsi="Avenir Next" w:cs="Arial"/>
          <w:color w:val="7B7B7B" w:themeColor="accent3" w:themeShade="BF"/>
          <w:sz w:val="22"/>
          <w:szCs w:val="22"/>
          <w:lang w:val="en-GB"/>
        </w:rPr>
        <w:footnoteReference w:id="36"/>
      </w:r>
      <w:r w:rsidR="00886BCE">
        <w:rPr>
          <w:rFonts w:ascii="Avenir Next" w:hAnsi="Avenir Next" w:cs="Arial"/>
          <w:color w:val="7B7B7B" w:themeColor="accent3" w:themeShade="BF"/>
          <w:sz w:val="22"/>
          <w:szCs w:val="22"/>
          <w:lang w:val="en-GB"/>
        </w:rPr>
        <w:t xml:space="preserve">. </w:t>
      </w:r>
      <w:r w:rsidR="003C3E0C">
        <w:rPr>
          <w:rFonts w:ascii="Avenir Next" w:hAnsi="Avenir Next" w:cs="Arial"/>
          <w:color w:val="7B7B7B" w:themeColor="accent3" w:themeShade="BF"/>
          <w:sz w:val="22"/>
          <w:szCs w:val="22"/>
          <w:lang w:val="en-GB"/>
        </w:rPr>
        <w:t xml:space="preserve">An application could </w:t>
      </w:r>
      <w:r w:rsidR="00FE7439">
        <w:rPr>
          <w:rFonts w:ascii="Avenir Next" w:hAnsi="Avenir Next" w:cs="Arial"/>
          <w:color w:val="7B7B7B" w:themeColor="accent3" w:themeShade="BF"/>
          <w:sz w:val="22"/>
          <w:szCs w:val="22"/>
          <w:lang w:val="en-GB"/>
        </w:rPr>
        <w:t xml:space="preserve">then </w:t>
      </w:r>
      <w:r w:rsidR="003C3E0C">
        <w:rPr>
          <w:rFonts w:ascii="Avenir Next" w:hAnsi="Avenir Next" w:cs="Arial"/>
          <w:color w:val="7B7B7B" w:themeColor="accent3" w:themeShade="BF"/>
          <w:sz w:val="22"/>
          <w:szCs w:val="22"/>
          <w:lang w:val="en-GB"/>
        </w:rPr>
        <w:t>be made to the BVI court</w:t>
      </w:r>
      <w:r w:rsidR="00613B3A">
        <w:rPr>
          <w:rFonts w:ascii="Avenir Next" w:hAnsi="Avenir Next" w:cs="Arial"/>
          <w:color w:val="7B7B7B" w:themeColor="accent3" w:themeShade="BF"/>
          <w:sz w:val="22"/>
          <w:szCs w:val="22"/>
          <w:lang w:val="en-GB"/>
        </w:rPr>
        <w:t xml:space="preserve"> under Part</w:t>
      </w:r>
      <w:r w:rsidR="00E264A2">
        <w:rPr>
          <w:rFonts w:ascii="Avenir Next" w:hAnsi="Avenir Next" w:cs="Arial"/>
          <w:color w:val="7B7B7B" w:themeColor="accent3" w:themeShade="BF"/>
          <w:sz w:val="22"/>
          <w:szCs w:val="22"/>
          <w:lang w:val="en-GB"/>
        </w:rPr>
        <w:t xml:space="preserve"> VI</w:t>
      </w:r>
      <w:r w:rsidR="00FE7439">
        <w:rPr>
          <w:rFonts w:ascii="Avenir Next" w:hAnsi="Avenir Next" w:cs="Arial"/>
          <w:color w:val="7B7B7B" w:themeColor="accent3" w:themeShade="BF"/>
          <w:sz w:val="22"/>
          <w:szCs w:val="22"/>
          <w:lang w:val="en-GB"/>
        </w:rPr>
        <w:t xml:space="preserve"> of the </w:t>
      </w:r>
      <w:r w:rsidR="00E264A2">
        <w:rPr>
          <w:rFonts w:ascii="Avenir Next" w:hAnsi="Avenir Next" w:cs="Arial"/>
          <w:color w:val="7B7B7B" w:themeColor="accent3" w:themeShade="BF"/>
          <w:sz w:val="22"/>
          <w:szCs w:val="22"/>
          <w:lang w:val="en-GB"/>
        </w:rPr>
        <w:t>Act</w:t>
      </w:r>
      <w:r w:rsidR="00870F85">
        <w:rPr>
          <w:rFonts w:ascii="Avenir Next" w:hAnsi="Avenir Next" w:cs="Arial"/>
          <w:color w:val="7B7B7B" w:themeColor="accent3" w:themeShade="BF"/>
          <w:sz w:val="22"/>
          <w:szCs w:val="22"/>
          <w:lang w:val="en-GB"/>
        </w:rPr>
        <w:t xml:space="preserve"> whereby the court appoints </w:t>
      </w:r>
      <w:r w:rsidR="00AD3252">
        <w:rPr>
          <w:rFonts w:ascii="Avenir Next" w:hAnsi="Avenir Next" w:cs="Arial"/>
          <w:color w:val="7B7B7B" w:themeColor="accent3" w:themeShade="BF"/>
          <w:sz w:val="22"/>
          <w:szCs w:val="22"/>
          <w:lang w:val="en-GB"/>
        </w:rPr>
        <w:t>an Official Receiver or a liquidator over SL</w:t>
      </w:r>
      <w:r w:rsidR="00C92206">
        <w:rPr>
          <w:rStyle w:val="FootnoteReference"/>
          <w:rFonts w:ascii="Avenir Next" w:hAnsi="Avenir Next" w:cs="Arial"/>
          <w:color w:val="7B7B7B" w:themeColor="accent3" w:themeShade="BF"/>
          <w:sz w:val="22"/>
          <w:szCs w:val="22"/>
          <w:lang w:val="en-GB"/>
        </w:rPr>
        <w:footnoteReference w:id="37"/>
      </w:r>
      <w:r w:rsidR="00C92206">
        <w:rPr>
          <w:rFonts w:ascii="Avenir Next" w:hAnsi="Avenir Next" w:cs="Arial"/>
          <w:color w:val="7B7B7B" w:themeColor="accent3" w:themeShade="BF"/>
          <w:sz w:val="22"/>
          <w:szCs w:val="22"/>
          <w:lang w:val="en-GB"/>
        </w:rPr>
        <w:t>.</w:t>
      </w:r>
      <w:r w:rsidR="003310E0">
        <w:rPr>
          <w:rFonts w:ascii="Avenir Next" w:hAnsi="Avenir Next" w:cs="Arial"/>
          <w:color w:val="7B7B7B" w:themeColor="accent3" w:themeShade="BF"/>
          <w:sz w:val="22"/>
          <w:szCs w:val="22"/>
          <w:lang w:val="en-GB"/>
        </w:rPr>
        <w:t xml:space="preserve"> </w:t>
      </w:r>
      <w:r w:rsidR="00F52709">
        <w:rPr>
          <w:rFonts w:ascii="Avenir Next" w:hAnsi="Avenir Next" w:cs="Arial"/>
          <w:color w:val="7B7B7B" w:themeColor="accent3" w:themeShade="BF"/>
          <w:sz w:val="22"/>
          <w:szCs w:val="22"/>
          <w:lang w:val="en-GB"/>
        </w:rPr>
        <w:t xml:space="preserve">Under this section a creditor which BL would be could make the </w:t>
      </w:r>
      <w:r w:rsidR="009502A4">
        <w:rPr>
          <w:rFonts w:ascii="Avenir Next" w:hAnsi="Avenir Next" w:cs="Arial"/>
          <w:color w:val="7B7B7B" w:themeColor="accent3" w:themeShade="BF"/>
          <w:sz w:val="22"/>
          <w:szCs w:val="22"/>
          <w:lang w:val="en-GB"/>
        </w:rPr>
        <w:t>application and this must be done within 6 months</w:t>
      </w:r>
      <w:r w:rsidR="009502A4">
        <w:rPr>
          <w:rStyle w:val="FootnoteReference"/>
          <w:rFonts w:ascii="Avenir Next" w:hAnsi="Avenir Next" w:cs="Arial"/>
          <w:color w:val="7B7B7B" w:themeColor="accent3" w:themeShade="BF"/>
          <w:sz w:val="22"/>
          <w:szCs w:val="22"/>
          <w:lang w:val="en-GB"/>
        </w:rPr>
        <w:footnoteReference w:id="38"/>
      </w:r>
      <w:r w:rsidR="009502A4">
        <w:rPr>
          <w:rFonts w:ascii="Avenir Next" w:hAnsi="Avenir Next" w:cs="Arial"/>
          <w:color w:val="7B7B7B" w:themeColor="accent3" w:themeShade="BF"/>
          <w:sz w:val="22"/>
          <w:szCs w:val="22"/>
          <w:lang w:val="en-GB"/>
        </w:rPr>
        <w:t xml:space="preserve">. </w:t>
      </w:r>
      <w:r w:rsidR="003F32C9">
        <w:rPr>
          <w:rFonts w:ascii="Avenir Next" w:hAnsi="Avenir Next" w:cs="Arial"/>
          <w:color w:val="7B7B7B" w:themeColor="accent3" w:themeShade="BF"/>
          <w:sz w:val="22"/>
          <w:szCs w:val="22"/>
          <w:lang w:val="en-GB"/>
        </w:rPr>
        <w:t>The court should appoint</w:t>
      </w:r>
      <w:r w:rsidR="003767A4">
        <w:rPr>
          <w:rFonts w:ascii="Avenir Next" w:hAnsi="Avenir Next" w:cs="Arial"/>
          <w:color w:val="7B7B7B" w:themeColor="accent3" w:themeShade="BF"/>
          <w:sz w:val="22"/>
          <w:szCs w:val="22"/>
          <w:lang w:val="en-GB"/>
        </w:rPr>
        <w:t xml:space="preserve"> a liquidator if it finds that SL is insolvent</w:t>
      </w:r>
      <w:r w:rsidR="0086653A">
        <w:rPr>
          <w:rStyle w:val="FootnoteReference"/>
          <w:rFonts w:ascii="Avenir Next" w:hAnsi="Avenir Next" w:cs="Arial"/>
          <w:color w:val="7B7B7B" w:themeColor="accent3" w:themeShade="BF"/>
          <w:sz w:val="22"/>
          <w:szCs w:val="22"/>
          <w:lang w:val="en-GB"/>
        </w:rPr>
        <w:footnoteReference w:id="39"/>
      </w:r>
      <w:r w:rsidR="003767A4">
        <w:rPr>
          <w:rFonts w:ascii="Avenir Next" w:hAnsi="Avenir Next" w:cs="Arial"/>
          <w:color w:val="7B7B7B" w:themeColor="accent3" w:themeShade="BF"/>
          <w:sz w:val="22"/>
          <w:szCs w:val="22"/>
          <w:lang w:val="en-GB"/>
        </w:rPr>
        <w:t xml:space="preserve">. </w:t>
      </w:r>
    </w:p>
    <w:p w14:paraId="5D9FB184" w14:textId="77777777" w:rsidR="00415E62" w:rsidRDefault="00415E62" w:rsidP="008065CE">
      <w:pPr>
        <w:autoSpaceDE w:val="0"/>
        <w:autoSpaceDN w:val="0"/>
        <w:adjustRightInd w:val="0"/>
        <w:jc w:val="both"/>
        <w:rPr>
          <w:rFonts w:ascii="Avenir Next" w:hAnsi="Avenir Next" w:cs="Arial"/>
          <w:color w:val="7B7B7B" w:themeColor="accent3" w:themeShade="BF"/>
          <w:sz w:val="22"/>
          <w:szCs w:val="22"/>
          <w:lang w:val="en-GB"/>
        </w:rPr>
      </w:pPr>
    </w:p>
    <w:p w14:paraId="4928034F" w14:textId="6E25640E" w:rsidR="00415E62" w:rsidRDefault="00296BB8"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there is some urgency due to risk of dissipation of assets by SL then interim re</w:t>
      </w:r>
      <w:r w:rsidR="00E726A0">
        <w:rPr>
          <w:rFonts w:ascii="Avenir Next" w:hAnsi="Avenir Next" w:cs="Arial"/>
          <w:color w:val="7B7B7B" w:themeColor="accent3" w:themeShade="BF"/>
          <w:sz w:val="22"/>
          <w:szCs w:val="22"/>
          <w:lang w:val="en-GB"/>
        </w:rPr>
        <w:t>lief</w:t>
      </w:r>
      <w:r>
        <w:rPr>
          <w:rFonts w:ascii="Avenir Next" w:hAnsi="Avenir Next" w:cs="Arial"/>
          <w:color w:val="7B7B7B" w:themeColor="accent3" w:themeShade="BF"/>
          <w:sz w:val="22"/>
          <w:szCs w:val="22"/>
          <w:lang w:val="en-GB"/>
        </w:rPr>
        <w:t xml:space="preserve"> may be sough</w:t>
      </w:r>
      <w:r w:rsidR="00E726A0">
        <w:rPr>
          <w:rFonts w:ascii="Avenir Next" w:hAnsi="Avenir Next" w:cs="Arial"/>
          <w:color w:val="7B7B7B" w:themeColor="accent3" w:themeShade="BF"/>
          <w:sz w:val="22"/>
          <w:szCs w:val="22"/>
          <w:lang w:val="en-GB"/>
        </w:rPr>
        <w:t>t</w:t>
      </w:r>
      <w:r w:rsidR="00E726A0">
        <w:rPr>
          <w:rStyle w:val="FootnoteReference"/>
          <w:rFonts w:ascii="Avenir Next" w:hAnsi="Avenir Next" w:cs="Arial"/>
          <w:color w:val="7B7B7B" w:themeColor="accent3" w:themeShade="BF"/>
          <w:sz w:val="22"/>
          <w:szCs w:val="22"/>
          <w:lang w:val="en-GB"/>
        </w:rPr>
        <w:footnoteReference w:id="40"/>
      </w:r>
      <w:r w:rsidR="00967985">
        <w:rPr>
          <w:rFonts w:ascii="Avenir Next" w:hAnsi="Avenir Next" w:cs="Arial"/>
          <w:color w:val="7B7B7B" w:themeColor="accent3" w:themeShade="BF"/>
          <w:sz w:val="22"/>
          <w:szCs w:val="22"/>
          <w:lang w:val="en-GB"/>
        </w:rPr>
        <w:t xml:space="preserve"> for the appointment of a provisional liquidator for example</w:t>
      </w:r>
      <w:r w:rsidR="00591B2C">
        <w:rPr>
          <w:rFonts w:ascii="Avenir Next" w:hAnsi="Avenir Next" w:cs="Arial"/>
          <w:color w:val="7B7B7B" w:themeColor="accent3" w:themeShade="BF"/>
          <w:sz w:val="22"/>
          <w:szCs w:val="22"/>
          <w:lang w:val="en-GB"/>
        </w:rPr>
        <w:t xml:space="preserve"> (if a liquidator has not yet been appointed)</w:t>
      </w:r>
      <w:r w:rsidR="003B6305">
        <w:rPr>
          <w:rFonts w:ascii="Avenir Next" w:hAnsi="Avenir Next" w:cs="Arial"/>
          <w:color w:val="7B7B7B" w:themeColor="accent3" w:themeShade="BF"/>
          <w:sz w:val="22"/>
          <w:szCs w:val="22"/>
          <w:lang w:val="en-GB"/>
        </w:rPr>
        <w:t>, a creditor can apply for this relief</w:t>
      </w:r>
      <w:r w:rsidR="003B6305">
        <w:rPr>
          <w:rStyle w:val="FootnoteReference"/>
          <w:rFonts w:ascii="Avenir Next" w:hAnsi="Avenir Next" w:cs="Arial"/>
          <w:color w:val="7B7B7B" w:themeColor="accent3" w:themeShade="BF"/>
          <w:sz w:val="22"/>
          <w:szCs w:val="22"/>
          <w:lang w:val="en-GB"/>
        </w:rPr>
        <w:footnoteReference w:id="41"/>
      </w:r>
      <w:r w:rsidR="003B6305">
        <w:rPr>
          <w:rFonts w:ascii="Avenir Next" w:hAnsi="Avenir Next" w:cs="Arial"/>
          <w:color w:val="7B7B7B" w:themeColor="accent3" w:themeShade="BF"/>
          <w:sz w:val="22"/>
          <w:szCs w:val="22"/>
          <w:lang w:val="en-GB"/>
        </w:rPr>
        <w:t>.</w:t>
      </w:r>
      <w:r w:rsidR="0019564D">
        <w:rPr>
          <w:rFonts w:ascii="Avenir Next" w:hAnsi="Avenir Next" w:cs="Arial"/>
          <w:color w:val="7B7B7B" w:themeColor="accent3" w:themeShade="BF"/>
          <w:sz w:val="22"/>
          <w:szCs w:val="22"/>
          <w:lang w:val="en-GB"/>
        </w:rPr>
        <w:t xml:space="preserve"> Pursuant to s.170(4) </w:t>
      </w:r>
      <w:r w:rsidR="00114A24">
        <w:rPr>
          <w:rFonts w:ascii="Avenir Next" w:hAnsi="Avenir Next" w:cs="Arial"/>
          <w:color w:val="7B7B7B" w:themeColor="accent3" w:themeShade="BF"/>
          <w:sz w:val="22"/>
          <w:szCs w:val="22"/>
          <w:lang w:val="en-GB"/>
        </w:rPr>
        <w:t xml:space="preserve">the court will only appoint a provisional liquidator if SL consents or the court deems it necessary </w:t>
      </w:r>
      <w:r w:rsidR="00A44876">
        <w:rPr>
          <w:rFonts w:ascii="Avenir Next" w:hAnsi="Avenir Next" w:cs="Arial"/>
          <w:color w:val="7B7B7B" w:themeColor="accent3" w:themeShade="BF"/>
          <w:sz w:val="22"/>
          <w:szCs w:val="22"/>
          <w:lang w:val="en-GB"/>
        </w:rPr>
        <w:t xml:space="preserve">and in the public interest. </w:t>
      </w:r>
      <w:r w:rsidR="00C52D20">
        <w:rPr>
          <w:rFonts w:ascii="Avenir Next" w:hAnsi="Avenir Next" w:cs="Arial"/>
          <w:color w:val="7B7B7B" w:themeColor="accent3" w:themeShade="BF"/>
          <w:sz w:val="22"/>
          <w:szCs w:val="22"/>
          <w:lang w:val="en-GB"/>
        </w:rPr>
        <w:t xml:space="preserve">EL would have to show that there is an application to appoint a liquidator, there is a </w:t>
      </w:r>
      <w:r w:rsidR="001634FE">
        <w:rPr>
          <w:rFonts w:ascii="Avenir Next" w:hAnsi="Avenir Next" w:cs="Arial"/>
          <w:color w:val="7B7B7B" w:themeColor="accent3" w:themeShade="BF"/>
          <w:sz w:val="22"/>
          <w:szCs w:val="22"/>
          <w:lang w:val="en-GB"/>
        </w:rPr>
        <w:t>good arguable case to appoint them and that EL has standing to make this application</w:t>
      </w:r>
      <w:r w:rsidR="00C14CC6">
        <w:rPr>
          <w:rFonts w:ascii="Avenir Next" w:hAnsi="Avenir Next" w:cs="Arial"/>
          <w:color w:val="7B7B7B" w:themeColor="accent3" w:themeShade="BF"/>
          <w:sz w:val="22"/>
          <w:szCs w:val="22"/>
          <w:lang w:val="en-GB"/>
        </w:rPr>
        <w:t xml:space="preserve"> and the court should maintain the status quo</w:t>
      </w:r>
      <w:r w:rsidR="00F632F7">
        <w:rPr>
          <w:rFonts w:ascii="Avenir Next" w:hAnsi="Avenir Next" w:cs="Arial"/>
          <w:color w:val="7B7B7B" w:themeColor="accent3" w:themeShade="BF"/>
          <w:sz w:val="22"/>
          <w:szCs w:val="22"/>
          <w:lang w:val="en-GB"/>
        </w:rPr>
        <w:t>.</w:t>
      </w:r>
    </w:p>
    <w:p w14:paraId="1E526438" w14:textId="77777777" w:rsidR="00790670" w:rsidRDefault="00790670" w:rsidP="008065CE">
      <w:pPr>
        <w:autoSpaceDE w:val="0"/>
        <w:autoSpaceDN w:val="0"/>
        <w:adjustRightInd w:val="0"/>
        <w:jc w:val="both"/>
        <w:rPr>
          <w:rFonts w:ascii="Avenir Next" w:hAnsi="Avenir Next" w:cs="Arial"/>
          <w:color w:val="7B7B7B" w:themeColor="accent3" w:themeShade="BF"/>
          <w:sz w:val="22"/>
          <w:szCs w:val="22"/>
          <w:lang w:val="en-GB"/>
        </w:rPr>
      </w:pPr>
    </w:p>
    <w:p w14:paraId="56506B96" w14:textId="1BD0850F" w:rsidR="00790670" w:rsidRDefault="00790670"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Secondly, receivership may also be an option for </w:t>
      </w:r>
      <w:r w:rsidR="009D1E73">
        <w:rPr>
          <w:rFonts w:ascii="Avenir Next" w:hAnsi="Avenir Next" w:cs="Arial"/>
          <w:color w:val="7B7B7B" w:themeColor="accent3" w:themeShade="BF"/>
          <w:sz w:val="22"/>
          <w:szCs w:val="22"/>
          <w:lang w:val="en-GB"/>
        </w:rPr>
        <w:t>EL. The Act proves for a list of those who would be eligible to be the receiver</w:t>
      </w:r>
      <w:r w:rsidR="00820286">
        <w:rPr>
          <w:rFonts w:ascii="Avenir Next" w:hAnsi="Avenir Next" w:cs="Arial"/>
          <w:color w:val="7B7B7B" w:themeColor="accent3" w:themeShade="BF"/>
          <w:sz w:val="22"/>
          <w:szCs w:val="22"/>
          <w:lang w:val="en-GB"/>
        </w:rPr>
        <w:t xml:space="preserve"> over a BVI company</w:t>
      </w:r>
      <w:r w:rsidR="00820286">
        <w:rPr>
          <w:rStyle w:val="FootnoteReference"/>
          <w:rFonts w:ascii="Avenir Next" w:hAnsi="Avenir Next" w:cs="Arial"/>
          <w:color w:val="7B7B7B" w:themeColor="accent3" w:themeShade="BF"/>
          <w:sz w:val="22"/>
          <w:szCs w:val="22"/>
          <w:lang w:val="en-GB"/>
        </w:rPr>
        <w:footnoteReference w:id="42"/>
      </w:r>
      <w:r w:rsidR="00820286">
        <w:rPr>
          <w:rFonts w:ascii="Avenir Next" w:hAnsi="Avenir Next" w:cs="Arial"/>
          <w:color w:val="7B7B7B" w:themeColor="accent3" w:themeShade="BF"/>
          <w:sz w:val="22"/>
          <w:szCs w:val="22"/>
          <w:lang w:val="en-GB"/>
        </w:rPr>
        <w:t xml:space="preserve">. </w:t>
      </w:r>
      <w:r w:rsidR="005B4753">
        <w:rPr>
          <w:rFonts w:ascii="Avenir Next" w:hAnsi="Avenir Next" w:cs="Arial"/>
          <w:color w:val="7B7B7B" w:themeColor="accent3" w:themeShade="BF"/>
          <w:sz w:val="22"/>
          <w:szCs w:val="22"/>
          <w:lang w:val="en-GB"/>
        </w:rPr>
        <w:t xml:space="preserve">There are various steps to follow in order to </w:t>
      </w:r>
      <w:r w:rsidR="003F4D82">
        <w:rPr>
          <w:rFonts w:ascii="Avenir Next" w:hAnsi="Avenir Next" w:cs="Arial"/>
          <w:color w:val="7B7B7B" w:themeColor="accent3" w:themeShade="BF"/>
          <w:sz w:val="22"/>
          <w:szCs w:val="22"/>
          <w:lang w:val="en-GB"/>
        </w:rPr>
        <w:t>appoint a receiver</w:t>
      </w:r>
      <w:r w:rsidR="003F4D82">
        <w:rPr>
          <w:rStyle w:val="FootnoteReference"/>
          <w:rFonts w:ascii="Avenir Next" w:hAnsi="Avenir Next" w:cs="Arial"/>
          <w:color w:val="7B7B7B" w:themeColor="accent3" w:themeShade="BF"/>
          <w:sz w:val="22"/>
          <w:szCs w:val="22"/>
          <w:lang w:val="en-GB"/>
        </w:rPr>
        <w:footnoteReference w:id="43"/>
      </w:r>
      <w:r w:rsidR="003F4D82">
        <w:rPr>
          <w:rFonts w:ascii="Avenir Next" w:hAnsi="Avenir Next" w:cs="Arial"/>
          <w:color w:val="7B7B7B" w:themeColor="accent3" w:themeShade="BF"/>
          <w:sz w:val="22"/>
          <w:szCs w:val="22"/>
          <w:lang w:val="en-GB"/>
        </w:rPr>
        <w:t>.</w:t>
      </w:r>
      <w:r w:rsidR="00422C93">
        <w:rPr>
          <w:rFonts w:ascii="Avenir Next" w:hAnsi="Avenir Next" w:cs="Arial"/>
          <w:color w:val="7B7B7B" w:themeColor="accent3" w:themeShade="BF"/>
          <w:sz w:val="22"/>
          <w:szCs w:val="22"/>
          <w:lang w:val="en-GB"/>
        </w:rPr>
        <w:t xml:space="preserve"> A</w:t>
      </w:r>
      <w:r w:rsidR="002B7F5D">
        <w:rPr>
          <w:rFonts w:ascii="Avenir Next" w:hAnsi="Avenir Next" w:cs="Arial"/>
          <w:color w:val="7B7B7B" w:themeColor="accent3" w:themeShade="BF"/>
          <w:sz w:val="22"/>
          <w:szCs w:val="22"/>
          <w:lang w:val="en-GB"/>
        </w:rPr>
        <w:t xml:space="preserve"> receiver can be appointed out of court (under </w:t>
      </w:r>
      <w:r w:rsidR="00967709">
        <w:rPr>
          <w:rFonts w:ascii="Avenir Next" w:hAnsi="Avenir Next" w:cs="Arial"/>
          <w:color w:val="7B7B7B" w:themeColor="accent3" w:themeShade="BF"/>
          <w:sz w:val="22"/>
          <w:szCs w:val="22"/>
          <w:lang w:val="en-GB"/>
        </w:rPr>
        <w:t>a debenture) or by the court. In relation to the former the receiver would be the agent of the company</w:t>
      </w:r>
      <w:r w:rsidR="00A83CD1">
        <w:rPr>
          <w:rStyle w:val="FootnoteReference"/>
          <w:rFonts w:ascii="Avenir Next" w:hAnsi="Avenir Next" w:cs="Arial"/>
          <w:color w:val="7B7B7B" w:themeColor="accent3" w:themeShade="BF"/>
          <w:sz w:val="22"/>
          <w:szCs w:val="22"/>
          <w:lang w:val="en-GB"/>
        </w:rPr>
        <w:footnoteReference w:id="44"/>
      </w:r>
      <w:r w:rsidR="00967709">
        <w:rPr>
          <w:rFonts w:ascii="Avenir Next" w:hAnsi="Avenir Next" w:cs="Arial"/>
          <w:color w:val="7B7B7B" w:themeColor="accent3" w:themeShade="BF"/>
          <w:sz w:val="22"/>
          <w:szCs w:val="22"/>
          <w:lang w:val="en-GB"/>
        </w:rPr>
        <w:t xml:space="preserve"> and in relatio</w:t>
      </w:r>
      <w:r w:rsidR="00EE47CF">
        <w:rPr>
          <w:rFonts w:ascii="Avenir Next" w:hAnsi="Avenir Next" w:cs="Arial"/>
          <w:color w:val="7B7B7B" w:themeColor="accent3" w:themeShade="BF"/>
          <w:sz w:val="22"/>
          <w:szCs w:val="22"/>
          <w:lang w:val="en-GB"/>
        </w:rPr>
        <w:t xml:space="preserve">n to the latter an agent of the court. </w:t>
      </w:r>
      <w:r w:rsidR="000D17DF">
        <w:rPr>
          <w:rFonts w:ascii="Avenir Next" w:hAnsi="Avenir Next" w:cs="Arial"/>
          <w:color w:val="7B7B7B" w:themeColor="accent3" w:themeShade="BF"/>
          <w:sz w:val="22"/>
          <w:szCs w:val="22"/>
          <w:lang w:val="en-GB"/>
        </w:rPr>
        <w:t>The receiver would be under a duty</w:t>
      </w:r>
      <w:r w:rsidR="004C4131">
        <w:rPr>
          <w:rFonts w:ascii="Avenir Next" w:hAnsi="Avenir Next" w:cs="Arial"/>
          <w:color w:val="7B7B7B" w:themeColor="accent3" w:themeShade="BF"/>
          <w:sz w:val="22"/>
          <w:szCs w:val="22"/>
          <w:lang w:val="en-GB"/>
        </w:rPr>
        <w:t>, if selling the property owned by SL, to EL as the creditor</w:t>
      </w:r>
      <w:r w:rsidR="00E20E16">
        <w:rPr>
          <w:rFonts w:ascii="Avenir Next" w:hAnsi="Avenir Next" w:cs="Arial"/>
          <w:color w:val="7B7B7B" w:themeColor="accent3" w:themeShade="BF"/>
          <w:sz w:val="22"/>
          <w:szCs w:val="22"/>
          <w:lang w:val="en-GB"/>
        </w:rPr>
        <w:t>.</w:t>
      </w:r>
    </w:p>
    <w:p w14:paraId="2CCF7D1F" w14:textId="77777777" w:rsidR="00E20E16" w:rsidRDefault="00E20E16" w:rsidP="008065CE">
      <w:pPr>
        <w:autoSpaceDE w:val="0"/>
        <w:autoSpaceDN w:val="0"/>
        <w:adjustRightInd w:val="0"/>
        <w:jc w:val="both"/>
        <w:rPr>
          <w:rFonts w:ascii="Avenir Next" w:hAnsi="Avenir Next" w:cs="Arial"/>
          <w:color w:val="7B7B7B" w:themeColor="accent3" w:themeShade="BF"/>
          <w:sz w:val="22"/>
          <w:szCs w:val="22"/>
          <w:lang w:val="en-GB"/>
        </w:rPr>
      </w:pPr>
    </w:p>
    <w:p w14:paraId="2A699FC4" w14:textId="7B64E7AC" w:rsidR="00E20E16" w:rsidRDefault="00E20E16"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there is a floating charge in relation to the </w:t>
      </w:r>
      <w:r w:rsidR="00481E38">
        <w:rPr>
          <w:rFonts w:ascii="Avenir Next" w:hAnsi="Avenir Next" w:cs="Arial"/>
          <w:color w:val="7B7B7B" w:themeColor="accent3" w:themeShade="BF"/>
          <w:sz w:val="22"/>
          <w:szCs w:val="22"/>
          <w:lang w:val="en-GB"/>
        </w:rPr>
        <w:t xml:space="preserve">loan by EL then it may be possible to appoint an </w:t>
      </w:r>
      <w:r w:rsidR="00F46947">
        <w:rPr>
          <w:rFonts w:ascii="Avenir Next" w:hAnsi="Avenir Next" w:cs="Arial"/>
          <w:color w:val="7B7B7B" w:themeColor="accent3" w:themeShade="BF"/>
          <w:sz w:val="22"/>
          <w:szCs w:val="22"/>
          <w:lang w:val="en-GB"/>
        </w:rPr>
        <w:t>administrative receiver</w:t>
      </w:r>
      <w:r w:rsidR="00F46947">
        <w:rPr>
          <w:rStyle w:val="FootnoteReference"/>
          <w:rFonts w:ascii="Avenir Next" w:hAnsi="Avenir Next" w:cs="Arial"/>
          <w:color w:val="7B7B7B" w:themeColor="accent3" w:themeShade="BF"/>
          <w:sz w:val="22"/>
          <w:szCs w:val="22"/>
          <w:lang w:val="en-GB"/>
        </w:rPr>
        <w:footnoteReference w:id="45"/>
      </w:r>
      <w:r w:rsidR="00A719B3">
        <w:rPr>
          <w:rFonts w:ascii="Avenir Next" w:hAnsi="Avenir Next" w:cs="Arial"/>
          <w:color w:val="7B7B7B" w:themeColor="accent3" w:themeShade="BF"/>
          <w:sz w:val="22"/>
          <w:szCs w:val="22"/>
          <w:lang w:val="en-GB"/>
        </w:rPr>
        <w:t xml:space="preserve">. </w:t>
      </w:r>
    </w:p>
    <w:p w14:paraId="73C0B502" w14:textId="77777777" w:rsidR="00250A9E" w:rsidRDefault="00250A9E" w:rsidP="008065CE">
      <w:pPr>
        <w:autoSpaceDE w:val="0"/>
        <w:autoSpaceDN w:val="0"/>
        <w:adjustRightInd w:val="0"/>
        <w:jc w:val="both"/>
        <w:rPr>
          <w:rFonts w:ascii="Avenir Next" w:hAnsi="Avenir Next" w:cs="Arial"/>
          <w:color w:val="7B7B7B" w:themeColor="accent3" w:themeShade="BF"/>
          <w:sz w:val="22"/>
          <w:szCs w:val="22"/>
          <w:lang w:val="en-GB"/>
        </w:rPr>
      </w:pPr>
    </w:p>
    <w:p w14:paraId="06A6AE35" w14:textId="6D882784" w:rsidR="00FA5A4B" w:rsidRPr="00E974DC" w:rsidRDefault="00DC5C3E"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Depending on the detail</w:t>
      </w:r>
      <w:r w:rsidR="00265ACC">
        <w:rPr>
          <w:rFonts w:ascii="Avenir Next" w:hAnsi="Avenir Next" w:cs="Arial"/>
          <w:color w:val="7B7B7B" w:themeColor="accent3" w:themeShade="BF"/>
          <w:sz w:val="22"/>
          <w:szCs w:val="22"/>
          <w:lang w:val="en-GB"/>
        </w:rPr>
        <w:t xml:space="preserve">, it may be that proceedings are commences in </w:t>
      </w:r>
      <w:r w:rsidR="00152EB8">
        <w:rPr>
          <w:rFonts w:ascii="Avenir Next" w:hAnsi="Avenir Next" w:cs="Arial"/>
          <w:color w:val="7B7B7B" w:themeColor="accent3" w:themeShade="BF"/>
          <w:sz w:val="22"/>
          <w:szCs w:val="22"/>
          <w:lang w:val="en-GB"/>
        </w:rPr>
        <w:t xml:space="preserve">the UK (if that is appropriate) and then </w:t>
      </w:r>
      <w:r w:rsidR="002C53DE">
        <w:rPr>
          <w:rFonts w:ascii="Avenir Next" w:hAnsi="Avenir Next" w:cs="Arial"/>
          <w:color w:val="7B7B7B" w:themeColor="accent3" w:themeShade="BF"/>
          <w:sz w:val="22"/>
          <w:szCs w:val="22"/>
          <w:lang w:val="en-GB"/>
        </w:rPr>
        <w:t xml:space="preserve">under Part XIX of the Act some </w:t>
      </w:r>
      <w:r w:rsidR="00CD4174">
        <w:rPr>
          <w:rFonts w:ascii="Avenir Next" w:hAnsi="Avenir Next" w:cs="Arial"/>
          <w:color w:val="7B7B7B" w:themeColor="accent3" w:themeShade="BF"/>
          <w:sz w:val="22"/>
          <w:szCs w:val="22"/>
          <w:lang w:val="en-GB"/>
        </w:rPr>
        <w:t>form of aid sort from the BVI court to assist those foreign proceedings</w:t>
      </w:r>
      <w:r w:rsidR="00F55F3E">
        <w:rPr>
          <w:rStyle w:val="FootnoteReference"/>
          <w:rFonts w:ascii="Avenir Next" w:hAnsi="Avenir Next" w:cs="Arial"/>
          <w:color w:val="7B7B7B" w:themeColor="accent3" w:themeShade="BF"/>
          <w:sz w:val="22"/>
          <w:szCs w:val="22"/>
          <w:lang w:val="en-GB"/>
        </w:rPr>
        <w:footnoteReference w:id="46"/>
      </w:r>
      <w:r w:rsidR="00CD4174">
        <w:rPr>
          <w:rFonts w:ascii="Avenir Next" w:hAnsi="Avenir Next" w:cs="Arial"/>
          <w:color w:val="7B7B7B" w:themeColor="accent3" w:themeShade="BF"/>
          <w:sz w:val="22"/>
          <w:szCs w:val="22"/>
          <w:lang w:val="en-GB"/>
        </w:rPr>
        <w:t>.</w:t>
      </w:r>
      <w:r w:rsidR="00FA5A4B">
        <w:rPr>
          <w:rFonts w:ascii="Avenir Next" w:hAnsi="Avenir Next" w:cs="Arial"/>
          <w:color w:val="7B7B7B" w:themeColor="accent3" w:themeShade="BF"/>
          <w:sz w:val="22"/>
          <w:szCs w:val="22"/>
          <w:lang w:val="en-GB"/>
        </w:rPr>
        <w:t xml:space="preserve"> It may also be possible under the </w:t>
      </w:r>
      <w:r w:rsidR="00B41DE8">
        <w:rPr>
          <w:rFonts w:ascii="Avenir Next" w:hAnsi="Avenir Next" w:cs="Arial"/>
          <w:color w:val="7B7B7B" w:themeColor="accent3" w:themeShade="BF"/>
          <w:sz w:val="22"/>
          <w:szCs w:val="22"/>
          <w:lang w:val="en-GB"/>
        </w:rPr>
        <w:t>Eastern Caribbean Supreme Court (Virgin islands) Act</w:t>
      </w:r>
      <w:r w:rsidR="00B4749D">
        <w:rPr>
          <w:rStyle w:val="FootnoteReference"/>
          <w:rFonts w:ascii="Avenir Next" w:hAnsi="Avenir Next" w:cs="Arial"/>
          <w:color w:val="7B7B7B" w:themeColor="accent3" w:themeShade="BF"/>
          <w:sz w:val="22"/>
          <w:szCs w:val="22"/>
          <w:lang w:val="en-GB"/>
        </w:rPr>
        <w:footnoteReference w:id="47"/>
      </w:r>
      <w:r w:rsidR="00B41DE8">
        <w:rPr>
          <w:rFonts w:ascii="Avenir Next" w:hAnsi="Avenir Next" w:cs="Arial"/>
          <w:color w:val="7B7B7B" w:themeColor="accent3" w:themeShade="BF"/>
          <w:sz w:val="22"/>
          <w:szCs w:val="22"/>
          <w:lang w:val="en-GB"/>
        </w:rPr>
        <w:t xml:space="preserve"> to </w:t>
      </w:r>
      <w:r w:rsidR="00D537E5">
        <w:rPr>
          <w:rFonts w:ascii="Avenir Next" w:hAnsi="Avenir Next" w:cs="Arial"/>
          <w:color w:val="7B7B7B" w:themeColor="accent3" w:themeShade="BF"/>
          <w:sz w:val="22"/>
          <w:szCs w:val="22"/>
          <w:lang w:val="en-GB"/>
        </w:rPr>
        <w:t xml:space="preserve">seek interim </w:t>
      </w:r>
      <w:r w:rsidR="00B4749D">
        <w:rPr>
          <w:rFonts w:ascii="Avenir Next" w:hAnsi="Avenir Next" w:cs="Arial"/>
          <w:color w:val="7B7B7B" w:themeColor="accent3" w:themeShade="BF"/>
          <w:sz w:val="22"/>
          <w:szCs w:val="22"/>
          <w:lang w:val="en-GB"/>
        </w:rPr>
        <w:t>relief</w:t>
      </w:r>
      <w:r w:rsidR="00D537E5">
        <w:rPr>
          <w:rFonts w:ascii="Avenir Next" w:hAnsi="Avenir Next" w:cs="Arial"/>
          <w:color w:val="7B7B7B" w:themeColor="accent3" w:themeShade="BF"/>
          <w:sz w:val="22"/>
          <w:szCs w:val="22"/>
          <w:lang w:val="en-GB"/>
        </w:rPr>
        <w:t xml:space="preserve"> such as an injunction, receivers appointing or third party disclosure orders.</w:t>
      </w:r>
      <w:r w:rsidR="00B4749D">
        <w:rPr>
          <w:rFonts w:ascii="Avenir Next" w:hAnsi="Avenir Next" w:cs="Arial"/>
          <w:color w:val="7B7B7B" w:themeColor="accent3" w:themeShade="BF"/>
          <w:sz w:val="22"/>
          <w:szCs w:val="22"/>
          <w:lang w:val="en-GB"/>
        </w:rPr>
        <w:t xml:space="preserve"> </w:t>
      </w:r>
    </w:p>
    <w:p w14:paraId="2FB530D9" w14:textId="7C707DD3" w:rsidR="00C85003" w:rsidRPr="005965BF" w:rsidRDefault="00C85003"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 xml:space="preserve">2 </w:t>
      </w:r>
      <w:r w:rsidRPr="005965BF">
        <w:rPr>
          <w:rFonts w:ascii="Avenir Next" w:hAnsi="Avenir Next" w:cs="Arial"/>
          <w:sz w:val="22"/>
          <w:szCs w:val="22"/>
          <w:lang w:val="en-GB"/>
        </w:rPr>
        <w:lastRenderedPageBreak/>
        <w:t>million.  In an attempt to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786545E3" w14:textId="1E788E86" w:rsidR="00CE46C6" w:rsidRDefault="009C74A4"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Given th</w:t>
      </w:r>
      <w:r w:rsidR="003D2A19">
        <w:rPr>
          <w:rFonts w:ascii="Avenir Next" w:hAnsi="Avenir Next" w:cs="Arial"/>
          <w:color w:val="7B7B7B" w:themeColor="accent3" w:themeShade="BF"/>
          <w:sz w:val="22"/>
          <w:szCs w:val="22"/>
          <w:lang w:val="en-GB"/>
        </w:rPr>
        <w:t xml:space="preserve">at ABC </w:t>
      </w:r>
      <w:r w:rsidR="00F565BB">
        <w:rPr>
          <w:rFonts w:ascii="Avenir Next" w:hAnsi="Avenir Next" w:cs="Arial"/>
          <w:color w:val="7B7B7B" w:themeColor="accent3" w:themeShade="BF"/>
          <w:sz w:val="22"/>
          <w:szCs w:val="22"/>
          <w:lang w:val="en-GB"/>
        </w:rPr>
        <w:t>L</w:t>
      </w:r>
      <w:r w:rsidR="003D2A19">
        <w:rPr>
          <w:rFonts w:ascii="Avenir Next" w:hAnsi="Avenir Next" w:cs="Arial"/>
          <w:color w:val="7B7B7B" w:themeColor="accent3" w:themeShade="BF"/>
          <w:sz w:val="22"/>
          <w:szCs w:val="22"/>
          <w:lang w:val="en-GB"/>
        </w:rPr>
        <w:t xml:space="preserve">imited (ABC) has a judgment against </w:t>
      </w:r>
      <w:r w:rsidR="002627C3">
        <w:rPr>
          <w:rFonts w:ascii="Avenir Next" w:hAnsi="Avenir Next" w:cs="Arial"/>
          <w:color w:val="7B7B7B" w:themeColor="accent3" w:themeShade="BF"/>
          <w:sz w:val="22"/>
          <w:szCs w:val="22"/>
          <w:lang w:val="en-GB"/>
        </w:rPr>
        <w:t>DEF Limited (DEF) both of whom are incorporated in England</w:t>
      </w:r>
      <w:r w:rsidR="00622936">
        <w:rPr>
          <w:rFonts w:ascii="Avenir Next" w:hAnsi="Avenir Next" w:cs="Arial"/>
          <w:color w:val="7B7B7B" w:themeColor="accent3" w:themeShade="BF"/>
          <w:sz w:val="22"/>
          <w:szCs w:val="22"/>
          <w:lang w:val="en-GB"/>
        </w:rPr>
        <w:t xml:space="preserve"> </w:t>
      </w:r>
      <w:r w:rsidR="00607D19">
        <w:rPr>
          <w:rFonts w:ascii="Avenir Next" w:hAnsi="Avenir Next" w:cs="Arial"/>
          <w:color w:val="7B7B7B" w:themeColor="accent3" w:themeShade="BF"/>
          <w:sz w:val="22"/>
          <w:szCs w:val="22"/>
          <w:lang w:val="en-GB"/>
        </w:rPr>
        <w:t>means that the Reciprocal Enforcement of Judgments Act (CAP</w:t>
      </w:r>
      <w:r w:rsidR="007A6BD4">
        <w:rPr>
          <w:rFonts w:ascii="Avenir Next" w:hAnsi="Avenir Next" w:cs="Arial"/>
          <w:color w:val="7B7B7B" w:themeColor="accent3" w:themeShade="BF"/>
          <w:sz w:val="22"/>
          <w:szCs w:val="22"/>
          <w:lang w:val="en-GB"/>
        </w:rPr>
        <w:t>)</w:t>
      </w:r>
      <w:r w:rsidR="00EB1949">
        <w:rPr>
          <w:rFonts w:ascii="Avenir Next" w:hAnsi="Avenir Next" w:cs="Arial"/>
          <w:color w:val="7B7B7B" w:themeColor="accent3" w:themeShade="BF"/>
          <w:sz w:val="22"/>
          <w:szCs w:val="22"/>
          <w:lang w:val="en-GB"/>
        </w:rPr>
        <w:t>1922 (1922 Act)</w:t>
      </w:r>
      <w:r w:rsidR="00B3758C">
        <w:rPr>
          <w:rFonts w:ascii="Avenir Next" w:hAnsi="Avenir Next" w:cs="Arial"/>
          <w:color w:val="7B7B7B" w:themeColor="accent3" w:themeShade="BF"/>
          <w:sz w:val="22"/>
          <w:szCs w:val="22"/>
          <w:lang w:val="en-GB"/>
        </w:rPr>
        <w:t xml:space="preserve"> will apply</w:t>
      </w:r>
      <w:r w:rsidR="00452885">
        <w:rPr>
          <w:rStyle w:val="FootnoteReference"/>
          <w:rFonts w:ascii="Avenir Next" w:hAnsi="Avenir Next" w:cs="Arial"/>
          <w:color w:val="7B7B7B" w:themeColor="accent3" w:themeShade="BF"/>
          <w:sz w:val="22"/>
          <w:szCs w:val="22"/>
          <w:lang w:val="en-GB"/>
        </w:rPr>
        <w:footnoteReference w:id="48"/>
      </w:r>
      <w:r w:rsidR="00B3758C">
        <w:rPr>
          <w:rFonts w:ascii="Avenir Next" w:hAnsi="Avenir Next" w:cs="Arial"/>
          <w:color w:val="7B7B7B" w:themeColor="accent3" w:themeShade="BF"/>
          <w:sz w:val="22"/>
          <w:szCs w:val="22"/>
          <w:lang w:val="en-GB"/>
        </w:rPr>
        <w:t xml:space="preserve"> in the BVI as </w:t>
      </w:r>
      <w:r w:rsidR="00C018C7">
        <w:rPr>
          <w:rFonts w:ascii="Avenir Next" w:hAnsi="Avenir Next" w:cs="Arial"/>
          <w:color w:val="7B7B7B" w:themeColor="accent3" w:themeShade="BF"/>
          <w:sz w:val="22"/>
          <w:szCs w:val="22"/>
          <w:lang w:val="en-GB"/>
        </w:rPr>
        <w:t>these deals</w:t>
      </w:r>
      <w:r w:rsidR="00F552FC">
        <w:rPr>
          <w:rFonts w:ascii="Avenir Next" w:hAnsi="Avenir Next" w:cs="Arial"/>
          <w:color w:val="7B7B7B" w:themeColor="accent3" w:themeShade="BF"/>
          <w:sz w:val="22"/>
          <w:szCs w:val="22"/>
          <w:lang w:val="en-GB"/>
        </w:rPr>
        <w:t xml:space="preserve"> with recognition of foreign judgments together with common law.</w:t>
      </w:r>
      <w:r w:rsidR="00216F2A">
        <w:rPr>
          <w:rFonts w:ascii="Avenir Next" w:hAnsi="Avenir Next" w:cs="Arial"/>
          <w:color w:val="7B7B7B" w:themeColor="accent3" w:themeShade="BF"/>
          <w:sz w:val="22"/>
          <w:szCs w:val="22"/>
          <w:lang w:val="en-GB"/>
        </w:rPr>
        <w:t xml:space="preserve"> Where a judgment has been obtained and money is payable this is capable of recognition in th</w:t>
      </w:r>
      <w:r w:rsidR="00A62843">
        <w:rPr>
          <w:rFonts w:ascii="Avenir Next" w:hAnsi="Avenir Next" w:cs="Arial"/>
          <w:color w:val="7B7B7B" w:themeColor="accent3" w:themeShade="BF"/>
          <w:sz w:val="22"/>
          <w:szCs w:val="22"/>
          <w:lang w:val="en-GB"/>
        </w:rPr>
        <w:t>e BVI</w:t>
      </w:r>
      <w:r w:rsidR="00A62843">
        <w:rPr>
          <w:rStyle w:val="FootnoteReference"/>
          <w:rFonts w:ascii="Avenir Next" w:hAnsi="Avenir Next" w:cs="Arial"/>
          <w:color w:val="7B7B7B" w:themeColor="accent3" w:themeShade="BF"/>
          <w:sz w:val="22"/>
          <w:szCs w:val="22"/>
          <w:lang w:val="en-GB"/>
        </w:rPr>
        <w:footnoteReference w:id="49"/>
      </w:r>
      <w:r w:rsidR="00BA179B">
        <w:rPr>
          <w:rFonts w:ascii="Avenir Next" w:hAnsi="Avenir Next" w:cs="Arial"/>
          <w:color w:val="7B7B7B" w:themeColor="accent3" w:themeShade="BF"/>
          <w:sz w:val="22"/>
          <w:szCs w:val="22"/>
          <w:lang w:val="en-GB"/>
        </w:rPr>
        <w:t>.</w:t>
      </w:r>
      <w:r w:rsidR="00F552FC">
        <w:rPr>
          <w:rFonts w:ascii="Avenir Next" w:hAnsi="Avenir Next" w:cs="Arial"/>
          <w:color w:val="7B7B7B" w:themeColor="accent3" w:themeShade="BF"/>
          <w:sz w:val="22"/>
          <w:szCs w:val="22"/>
          <w:lang w:val="en-GB"/>
        </w:rPr>
        <w:t xml:space="preserve"> </w:t>
      </w:r>
      <w:r w:rsidR="00362417">
        <w:rPr>
          <w:rFonts w:ascii="Avenir Next" w:hAnsi="Avenir Next" w:cs="Arial"/>
          <w:color w:val="7B7B7B" w:themeColor="accent3" w:themeShade="BF"/>
          <w:sz w:val="22"/>
          <w:szCs w:val="22"/>
          <w:lang w:val="en-GB"/>
        </w:rPr>
        <w:t>On</w:t>
      </w:r>
      <w:r w:rsidR="00D96A9B">
        <w:rPr>
          <w:rFonts w:ascii="Avenir Next" w:hAnsi="Avenir Next" w:cs="Arial"/>
          <w:color w:val="7B7B7B" w:themeColor="accent3" w:themeShade="BF"/>
          <w:sz w:val="22"/>
          <w:szCs w:val="22"/>
          <w:lang w:val="en-GB"/>
        </w:rPr>
        <w:t xml:space="preserve">e of the requirements is to ensure that assets in the BVI can be identified and this appears to be the case </w:t>
      </w:r>
      <w:r w:rsidR="00FF391D">
        <w:rPr>
          <w:rFonts w:ascii="Avenir Next" w:hAnsi="Avenir Next" w:cs="Arial"/>
          <w:color w:val="7B7B7B" w:themeColor="accent3" w:themeShade="BF"/>
          <w:sz w:val="22"/>
          <w:szCs w:val="22"/>
          <w:lang w:val="en-GB"/>
        </w:rPr>
        <w:t>in the instant case</w:t>
      </w:r>
      <w:r w:rsidR="00FC3842">
        <w:rPr>
          <w:rFonts w:ascii="Avenir Next" w:hAnsi="Avenir Next" w:cs="Arial"/>
          <w:color w:val="7B7B7B" w:themeColor="accent3" w:themeShade="BF"/>
          <w:sz w:val="22"/>
          <w:szCs w:val="22"/>
          <w:lang w:val="en-GB"/>
        </w:rPr>
        <w:t xml:space="preserve"> given </w:t>
      </w:r>
      <w:r w:rsidR="00C649CE">
        <w:rPr>
          <w:rFonts w:ascii="Avenir Next" w:hAnsi="Avenir Next" w:cs="Arial"/>
          <w:color w:val="7B7B7B" w:themeColor="accent3" w:themeShade="BF"/>
          <w:sz w:val="22"/>
          <w:szCs w:val="22"/>
          <w:lang w:val="en-GB"/>
        </w:rPr>
        <w:t>there are assets in in the BVI (</w:t>
      </w:r>
      <w:r w:rsidR="004D3206">
        <w:rPr>
          <w:rFonts w:ascii="Avenir Next" w:hAnsi="Avenir Next" w:cs="Arial"/>
          <w:color w:val="7B7B7B" w:themeColor="accent3" w:themeShade="BF"/>
          <w:sz w:val="22"/>
          <w:szCs w:val="22"/>
          <w:lang w:val="en-GB"/>
        </w:rPr>
        <w:t xml:space="preserve">100% </w:t>
      </w:r>
      <w:r w:rsidR="00C649CE">
        <w:rPr>
          <w:rFonts w:ascii="Avenir Next" w:hAnsi="Avenir Next" w:cs="Arial"/>
          <w:color w:val="7B7B7B" w:themeColor="accent3" w:themeShade="BF"/>
          <w:sz w:val="22"/>
          <w:szCs w:val="22"/>
          <w:lang w:val="en-GB"/>
        </w:rPr>
        <w:t>owner of a BVI in</w:t>
      </w:r>
      <w:r w:rsidR="006F0FAD">
        <w:rPr>
          <w:rFonts w:ascii="Avenir Next" w:hAnsi="Avenir Next" w:cs="Arial"/>
          <w:color w:val="7B7B7B" w:themeColor="accent3" w:themeShade="BF"/>
          <w:sz w:val="22"/>
          <w:szCs w:val="22"/>
          <w:lang w:val="en-GB"/>
        </w:rPr>
        <w:t>corporated company XYZ Limited (XYZ))</w:t>
      </w:r>
      <w:r w:rsidR="00FF391D">
        <w:rPr>
          <w:rFonts w:ascii="Avenir Next" w:hAnsi="Avenir Next" w:cs="Arial"/>
          <w:color w:val="7B7B7B" w:themeColor="accent3" w:themeShade="BF"/>
          <w:sz w:val="22"/>
          <w:szCs w:val="22"/>
          <w:lang w:val="en-GB"/>
        </w:rPr>
        <w:t xml:space="preserve">. </w:t>
      </w:r>
      <w:r w:rsidR="006F47F6">
        <w:rPr>
          <w:rFonts w:ascii="Avenir Next" w:hAnsi="Avenir Next" w:cs="Arial"/>
          <w:color w:val="7B7B7B" w:themeColor="accent3" w:themeShade="BF"/>
          <w:sz w:val="22"/>
          <w:szCs w:val="22"/>
          <w:lang w:val="en-GB"/>
        </w:rPr>
        <w:t xml:space="preserve">The English judgment can then be registered </w:t>
      </w:r>
      <w:r w:rsidR="007B77FB">
        <w:rPr>
          <w:rFonts w:ascii="Avenir Next" w:hAnsi="Avenir Next" w:cs="Arial"/>
          <w:color w:val="7B7B7B" w:themeColor="accent3" w:themeShade="BF"/>
          <w:sz w:val="22"/>
          <w:szCs w:val="22"/>
          <w:lang w:val="en-GB"/>
        </w:rPr>
        <w:t>by the BVI courts</w:t>
      </w:r>
      <w:r w:rsidR="00D65AB1">
        <w:rPr>
          <w:rFonts w:ascii="Avenir Next" w:hAnsi="Avenir Next" w:cs="Arial"/>
          <w:color w:val="7B7B7B" w:themeColor="accent3" w:themeShade="BF"/>
          <w:sz w:val="22"/>
          <w:szCs w:val="22"/>
          <w:lang w:val="en-GB"/>
        </w:rPr>
        <w:t>, up</w:t>
      </w:r>
      <w:r w:rsidR="0093348F">
        <w:rPr>
          <w:rFonts w:ascii="Avenir Next" w:hAnsi="Avenir Next" w:cs="Arial"/>
          <w:color w:val="7B7B7B" w:themeColor="accent3" w:themeShade="BF"/>
          <w:sz w:val="22"/>
          <w:szCs w:val="22"/>
          <w:lang w:val="en-GB"/>
        </w:rPr>
        <w:t>on application</w:t>
      </w:r>
      <w:r w:rsidR="0093348F">
        <w:rPr>
          <w:rStyle w:val="FootnoteReference"/>
          <w:rFonts w:ascii="Avenir Next" w:hAnsi="Avenir Next" w:cs="Arial"/>
          <w:color w:val="7B7B7B" w:themeColor="accent3" w:themeShade="BF"/>
          <w:sz w:val="22"/>
          <w:szCs w:val="22"/>
          <w:lang w:val="en-GB"/>
        </w:rPr>
        <w:footnoteReference w:id="50"/>
      </w:r>
      <w:r w:rsidR="0093348F">
        <w:rPr>
          <w:rFonts w:ascii="Avenir Next" w:hAnsi="Avenir Next" w:cs="Arial"/>
          <w:color w:val="7B7B7B" w:themeColor="accent3" w:themeShade="BF"/>
          <w:sz w:val="22"/>
          <w:szCs w:val="22"/>
          <w:lang w:val="en-GB"/>
        </w:rPr>
        <w:t>,</w:t>
      </w:r>
      <w:r w:rsidR="007B77FB">
        <w:rPr>
          <w:rFonts w:ascii="Avenir Next" w:hAnsi="Avenir Next" w:cs="Arial"/>
          <w:color w:val="7B7B7B" w:themeColor="accent3" w:themeShade="BF"/>
          <w:sz w:val="22"/>
          <w:szCs w:val="22"/>
          <w:lang w:val="en-GB"/>
        </w:rPr>
        <w:t xml:space="preserve"> and upon that </w:t>
      </w:r>
      <w:r w:rsidR="00102CC5">
        <w:rPr>
          <w:rFonts w:ascii="Avenir Next" w:hAnsi="Avenir Next" w:cs="Arial"/>
          <w:color w:val="7B7B7B" w:themeColor="accent3" w:themeShade="BF"/>
          <w:sz w:val="22"/>
          <w:szCs w:val="22"/>
          <w:lang w:val="en-GB"/>
        </w:rPr>
        <w:t>date it will be given the same effect as if it were a local judgment.</w:t>
      </w:r>
      <w:r w:rsidR="00696E64">
        <w:rPr>
          <w:rFonts w:ascii="Avenir Next" w:hAnsi="Avenir Next" w:cs="Arial"/>
          <w:color w:val="7B7B7B" w:themeColor="accent3" w:themeShade="BF"/>
          <w:sz w:val="22"/>
          <w:szCs w:val="22"/>
          <w:lang w:val="en-GB"/>
        </w:rPr>
        <w:t xml:space="preserve"> </w:t>
      </w:r>
      <w:r w:rsidR="00640049">
        <w:rPr>
          <w:rFonts w:ascii="Avenir Next" w:hAnsi="Avenir Next" w:cs="Arial"/>
          <w:color w:val="7B7B7B" w:themeColor="accent3" w:themeShade="BF"/>
          <w:sz w:val="22"/>
          <w:szCs w:val="22"/>
          <w:lang w:val="en-GB"/>
        </w:rPr>
        <w:t>However,</w:t>
      </w:r>
      <w:r w:rsidR="00BA5D6B">
        <w:rPr>
          <w:rFonts w:ascii="Avenir Next" w:hAnsi="Avenir Next" w:cs="Arial"/>
          <w:color w:val="7B7B7B" w:themeColor="accent3" w:themeShade="BF"/>
          <w:sz w:val="22"/>
          <w:szCs w:val="22"/>
          <w:lang w:val="en-GB"/>
        </w:rPr>
        <w:t xml:space="preserve"> it is of note that the judgment w</w:t>
      </w:r>
      <w:r w:rsidR="00DC3D4B">
        <w:rPr>
          <w:rFonts w:ascii="Avenir Next" w:hAnsi="Avenir Next" w:cs="Arial"/>
          <w:color w:val="7B7B7B" w:themeColor="accent3" w:themeShade="BF"/>
          <w:sz w:val="22"/>
          <w:szCs w:val="22"/>
          <w:lang w:val="en-GB"/>
        </w:rPr>
        <w:t xml:space="preserve">as made in April 2022 and it is currently July 2023 and </w:t>
      </w:r>
      <w:r w:rsidR="00855449">
        <w:rPr>
          <w:rFonts w:ascii="Avenir Next" w:hAnsi="Avenir Next" w:cs="Arial"/>
          <w:color w:val="7B7B7B" w:themeColor="accent3" w:themeShade="BF"/>
          <w:sz w:val="22"/>
          <w:szCs w:val="22"/>
          <w:lang w:val="en-GB"/>
        </w:rPr>
        <w:t>a</w:t>
      </w:r>
      <w:r w:rsidR="00C66CA6">
        <w:rPr>
          <w:rFonts w:ascii="Avenir Next" w:hAnsi="Avenir Next" w:cs="Arial"/>
          <w:color w:val="7B7B7B" w:themeColor="accent3" w:themeShade="BF"/>
          <w:sz w:val="22"/>
          <w:szCs w:val="22"/>
          <w:lang w:val="en-GB"/>
        </w:rPr>
        <w:t xml:space="preserve"> judgment is </w:t>
      </w:r>
      <w:r w:rsidR="008C6322">
        <w:rPr>
          <w:rFonts w:ascii="Avenir Next" w:hAnsi="Avenir Next" w:cs="Arial"/>
          <w:color w:val="7B7B7B" w:themeColor="accent3" w:themeShade="BF"/>
          <w:sz w:val="22"/>
          <w:szCs w:val="22"/>
          <w:lang w:val="en-GB"/>
        </w:rPr>
        <w:t>required be</w:t>
      </w:r>
      <w:r w:rsidR="00855449">
        <w:rPr>
          <w:rFonts w:ascii="Avenir Next" w:hAnsi="Avenir Next" w:cs="Arial"/>
          <w:color w:val="7B7B7B" w:themeColor="accent3" w:themeShade="BF"/>
          <w:sz w:val="22"/>
          <w:szCs w:val="22"/>
          <w:lang w:val="en-GB"/>
        </w:rPr>
        <w:t xml:space="preserve"> registered within 12 months of the date of the judg</w:t>
      </w:r>
      <w:r w:rsidR="00561E2F">
        <w:rPr>
          <w:rFonts w:ascii="Avenir Next" w:hAnsi="Avenir Next" w:cs="Arial"/>
          <w:color w:val="7B7B7B" w:themeColor="accent3" w:themeShade="BF"/>
          <w:sz w:val="22"/>
          <w:szCs w:val="22"/>
          <w:lang w:val="en-GB"/>
        </w:rPr>
        <w:t>ment. ABC is currently out of time but they can seek the court</w:t>
      </w:r>
      <w:r w:rsidR="00413346">
        <w:rPr>
          <w:rFonts w:ascii="Avenir Next" w:hAnsi="Avenir Next" w:cs="Arial"/>
          <w:color w:val="7B7B7B" w:themeColor="accent3" w:themeShade="BF"/>
          <w:sz w:val="22"/>
          <w:szCs w:val="22"/>
          <w:lang w:val="en-GB"/>
        </w:rPr>
        <w:t>’s consent to grant an extension to that 12 months</w:t>
      </w:r>
      <w:r w:rsidR="00413346">
        <w:rPr>
          <w:rStyle w:val="FootnoteReference"/>
          <w:rFonts w:ascii="Avenir Next" w:hAnsi="Avenir Next" w:cs="Arial"/>
          <w:color w:val="7B7B7B" w:themeColor="accent3" w:themeShade="BF"/>
          <w:sz w:val="22"/>
          <w:szCs w:val="22"/>
          <w:lang w:val="en-GB"/>
        </w:rPr>
        <w:footnoteReference w:id="51"/>
      </w:r>
      <w:r w:rsidR="00411AEC">
        <w:rPr>
          <w:rFonts w:ascii="Avenir Next" w:hAnsi="Avenir Next" w:cs="Arial"/>
          <w:color w:val="7B7B7B" w:themeColor="accent3" w:themeShade="BF"/>
          <w:sz w:val="22"/>
          <w:szCs w:val="22"/>
          <w:lang w:val="en-GB"/>
        </w:rPr>
        <w:t xml:space="preserve"> and this would either need to be done first or potentially at the same time as applying for the registration.</w:t>
      </w:r>
      <w:r w:rsidR="00FA65CC">
        <w:rPr>
          <w:rFonts w:ascii="Avenir Next" w:hAnsi="Avenir Next" w:cs="Arial"/>
          <w:color w:val="7B7B7B" w:themeColor="accent3" w:themeShade="BF"/>
          <w:sz w:val="22"/>
          <w:szCs w:val="22"/>
          <w:lang w:val="en-GB"/>
        </w:rPr>
        <w:t xml:space="preserve"> </w:t>
      </w:r>
      <w:r w:rsidR="00500BD1">
        <w:rPr>
          <w:rFonts w:ascii="Avenir Next" w:hAnsi="Avenir Next" w:cs="Arial"/>
          <w:color w:val="7B7B7B" w:themeColor="accent3" w:themeShade="BF"/>
          <w:sz w:val="22"/>
          <w:szCs w:val="22"/>
          <w:lang w:val="en-GB"/>
        </w:rPr>
        <w:t>There are a number of aspects which, if appa</w:t>
      </w:r>
      <w:r w:rsidR="009E1E10">
        <w:rPr>
          <w:rFonts w:ascii="Avenir Next" w:hAnsi="Avenir Next" w:cs="Arial"/>
          <w:color w:val="7B7B7B" w:themeColor="accent3" w:themeShade="BF"/>
          <w:sz w:val="22"/>
          <w:szCs w:val="22"/>
          <w:lang w:val="en-GB"/>
        </w:rPr>
        <w:t>rent to the BVI, will mean that the application for registration will be unsuccessful</w:t>
      </w:r>
      <w:r w:rsidR="006B63E0">
        <w:rPr>
          <w:rFonts w:ascii="Avenir Next" w:hAnsi="Avenir Next" w:cs="Arial"/>
          <w:color w:val="7B7B7B" w:themeColor="accent3" w:themeShade="BF"/>
          <w:sz w:val="22"/>
          <w:szCs w:val="22"/>
          <w:lang w:val="en-GB"/>
        </w:rPr>
        <w:t xml:space="preserve"> which relate to judgment</w:t>
      </w:r>
      <w:r w:rsidR="006B63E0">
        <w:rPr>
          <w:rStyle w:val="FootnoteReference"/>
          <w:rFonts w:ascii="Avenir Next" w:hAnsi="Avenir Next" w:cs="Arial"/>
          <w:color w:val="7B7B7B" w:themeColor="accent3" w:themeShade="BF"/>
          <w:sz w:val="22"/>
          <w:szCs w:val="22"/>
          <w:lang w:val="en-GB"/>
        </w:rPr>
        <w:footnoteReference w:id="52"/>
      </w:r>
      <w:r w:rsidR="006B63E0">
        <w:rPr>
          <w:rFonts w:ascii="Avenir Next" w:hAnsi="Avenir Next" w:cs="Arial"/>
          <w:color w:val="7B7B7B" w:themeColor="accent3" w:themeShade="BF"/>
          <w:sz w:val="22"/>
          <w:szCs w:val="22"/>
          <w:lang w:val="en-GB"/>
        </w:rPr>
        <w:t>.</w:t>
      </w:r>
      <w:r w:rsidR="00411AEC">
        <w:rPr>
          <w:rFonts w:ascii="Avenir Next" w:hAnsi="Avenir Next" w:cs="Arial"/>
          <w:color w:val="7B7B7B" w:themeColor="accent3" w:themeShade="BF"/>
          <w:sz w:val="22"/>
          <w:szCs w:val="22"/>
          <w:lang w:val="en-GB"/>
        </w:rPr>
        <w:t xml:space="preserve"> </w:t>
      </w:r>
      <w:r w:rsidR="00FF0843">
        <w:rPr>
          <w:rFonts w:ascii="Avenir Next" w:hAnsi="Avenir Next" w:cs="Arial"/>
          <w:color w:val="7B7B7B" w:themeColor="accent3" w:themeShade="BF"/>
          <w:sz w:val="22"/>
          <w:szCs w:val="22"/>
          <w:lang w:val="en-GB"/>
        </w:rPr>
        <w:t xml:space="preserve">Once granted </w:t>
      </w:r>
      <w:r w:rsidR="00696E64">
        <w:rPr>
          <w:rFonts w:ascii="Avenir Next" w:hAnsi="Avenir Next" w:cs="Arial"/>
          <w:color w:val="7B7B7B" w:themeColor="accent3" w:themeShade="BF"/>
          <w:sz w:val="22"/>
          <w:szCs w:val="22"/>
          <w:lang w:val="en-GB"/>
        </w:rPr>
        <w:t>local enforcement mechanisms include</w:t>
      </w:r>
      <w:r w:rsidR="009D5C4E">
        <w:rPr>
          <w:rStyle w:val="FootnoteReference"/>
          <w:rFonts w:ascii="Avenir Next" w:hAnsi="Avenir Next" w:cs="Arial"/>
          <w:color w:val="7B7B7B" w:themeColor="accent3" w:themeShade="BF"/>
          <w:sz w:val="22"/>
          <w:szCs w:val="22"/>
          <w:lang w:val="en-GB"/>
        </w:rPr>
        <w:footnoteReference w:id="53"/>
      </w:r>
      <w:r w:rsidR="00696E64">
        <w:rPr>
          <w:rFonts w:ascii="Avenir Next" w:hAnsi="Avenir Next" w:cs="Arial"/>
          <w:color w:val="7B7B7B" w:themeColor="accent3" w:themeShade="BF"/>
          <w:sz w:val="22"/>
          <w:szCs w:val="22"/>
          <w:lang w:val="en-GB"/>
        </w:rPr>
        <w:t>: a chargin</w:t>
      </w:r>
      <w:r w:rsidR="00B336F8">
        <w:rPr>
          <w:rFonts w:ascii="Avenir Next" w:hAnsi="Avenir Next" w:cs="Arial"/>
          <w:color w:val="7B7B7B" w:themeColor="accent3" w:themeShade="BF"/>
          <w:sz w:val="22"/>
          <w:szCs w:val="22"/>
          <w:lang w:val="en-GB"/>
        </w:rPr>
        <w:t>g order; garnishee order; a judgment summons; an order for seizure and sale of goods an</w:t>
      </w:r>
      <w:r w:rsidR="009D5C4E">
        <w:rPr>
          <w:rFonts w:ascii="Avenir Next" w:hAnsi="Avenir Next" w:cs="Arial"/>
          <w:color w:val="7B7B7B" w:themeColor="accent3" w:themeShade="BF"/>
          <w:sz w:val="22"/>
          <w:szCs w:val="22"/>
          <w:lang w:val="en-GB"/>
        </w:rPr>
        <w:t>d appointing a receiver.</w:t>
      </w:r>
    </w:p>
    <w:p w14:paraId="182942DA" w14:textId="77777777" w:rsidR="00200325" w:rsidRDefault="00200325" w:rsidP="008065CE">
      <w:pPr>
        <w:autoSpaceDE w:val="0"/>
        <w:autoSpaceDN w:val="0"/>
        <w:adjustRightInd w:val="0"/>
        <w:jc w:val="both"/>
        <w:rPr>
          <w:rFonts w:ascii="Avenir Next" w:hAnsi="Avenir Next" w:cs="Arial"/>
          <w:color w:val="7B7B7B" w:themeColor="accent3" w:themeShade="BF"/>
          <w:sz w:val="22"/>
          <w:szCs w:val="22"/>
          <w:lang w:val="en-GB"/>
        </w:rPr>
      </w:pPr>
    </w:p>
    <w:p w14:paraId="0938A950" w14:textId="7A5235FA" w:rsidR="00200325" w:rsidRDefault="00C018C7"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Ordinarily, the next step would be to make an</w:t>
      </w:r>
      <w:r w:rsidR="00FF0843">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w:t>
      </w:r>
      <w:r w:rsidR="00200325">
        <w:rPr>
          <w:rFonts w:ascii="Avenir Next" w:hAnsi="Avenir Next" w:cs="Arial"/>
          <w:color w:val="7B7B7B" w:themeColor="accent3" w:themeShade="BF"/>
          <w:sz w:val="22"/>
          <w:szCs w:val="22"/>
          <w:lang w:val="en-GB"/>
        </w:rPr>
        <w:t xml:space="preserve">pplication to reinstate </w:t>
      </w:r>
      <w:r w:rsidR="007F7B48">
        <w:rPr>
          <w:rFonts w:ascii="Avenir Next" w:hAnsi="Avenir Next" w:cs="Arial"/>
          <w:color w:val="7B7B7B" w:themeColor="accent3" w:themeShade="BF"/>
          <w:sz w:val="22"/>
          <w:szCs w:val="22"/>
          <w:lang w:val="en-GB"/>
        </w:rPr>
        <w:t>XYZ</w:t>
      </w:r>
      <w:r w:rsidR="00200325">
        <w:rPr>
          <w:rFonts w:ascii="Avenir Next" w:hAnsi="Avenir Next" w:cs="Arial"/>
          <w:color w:val="7B7B7B" w:themeColor="accent3" w:themeShade="BF"/>
          <w:sz w:val="22"/>
          <w:szCs w:val="22"/>
          <w:lang w:val="en-GB"/>
        </w:rPr>
        <w:t xml:space="preserve"> </w:t>
      </w:r>
      <w:r w:rsidR="008D1E68">
        <w:rPr>
          <w:rFonts w:ascii="Avenir Next" w:hAnsi="Avenir Next" w:cs="Arial"/>
          <w:color w:val="7B7B7B" w:themeColor="accent3" w:themeShade="BF"/>
          <w:sz w:val="22"/>
          <w:szCs w:val="22"/>
          <w:lang w:val="en-GB"/>
        </w:rPr>
        <w:t>but this can only be done once the company is dissolved</w:t>
      </w:r>
      <w:r w:rsidR="00180765">
        <w:rPr>
          <w:rFonts w:ascii="Avenir Next" w:hAnsi="Avenir Next" w:cs="Arial"/>
          <w:color w:val="7B7B7B" w:themeColor="accent3" w:themeShade="BF"/>
          <w:sz w:val="22"/>
          <w:szCs w:val="22"/>
          <w:lang w:val="en-GB"/>
        </w:rPr>
        <w:t>. A</w:t>
      </w:r>
      <w:r w:rsidR="00FD6A7A">
        <w:rPr>
          <w:rFonts w:ascii="Avenir Next" w:hAnsi="Avenir Next" w:cs="Arial"/>
          <w:color w:val="7B7B7B" w:themeColor="accent3" w:themeShade="BF"/>
          <w:sz w:val="22"/>
          <w:szCs w:val="22"/>
          <w:lang w:val="en-GB"/>
        </w:rPr>
        <w:t xml:space="preserve">s of 1 January 2023 </w:t>
      </w:r>
      <w:r w:rsidR="00877472">
        <w:rPr>
          <w:rFonts w:ascii="Avenir Next" w:hAnsi="Avenir Next" w:cs="Arial"/>
          <w:color w:val="7B7B7B" w:themeColor="accent3" w:themeShade="BF"/>
          <w:sz w:val="22"/>
          <w:szCs w:val="22"/>
          <w:lang w:val="en-GB"/>
        </w:rPr>
        <w:t>the BVI Business Companies (Amendment) Act 2022 and BVI business Companie</w:t>
      </w:r>
      <w:r w:rsidR="00A061B5">
        <w:rPr>
          <w:rFonts w:ascii="Avenir Next" w:hAnsi="Avenir Next" w:cs="Arial"/>
          <w:color w:val="7B7B7B" w:themeColor="accent3" w:themeShade="BF"/>
          <w:sz w:val="22"/>
          <w:szCs w:val="22"/>
          <w:lang w:val="en-GB"/>
        </w:rPr>
        <w:t>s (Amendment) regulations 2022 which amend s.216 of the BCA</w:t>
      </w:r>
      <w:r w:rsidR="006879E6">
        <w:rPr>
          <w:rFonts w:ascii="Avenir Next" w:hAnsi="Avenir Next" w:cs="Arial"/>
          <w:color w:val="7B7B7B" w:themeColor="accent3" w:themeShade="BF"/>
          <w:sz w:val="22"/>
          <w:szCs w:val="22"/>
          <w:lang w:val="en-GB"/>
        </w:rPr>
        <w:t xml:space="preserve"> ensures that when a company is struck off</w:t>
      </w:r>
      <w:r w:rsidR="00AE79C6">
        <w:rPr>
          <w:rFonts w:ascii="Avenir Next" w:hAnsi="Avenir Next" w:cs="Arial"/>
          <w:color w:val="7B7B7B" w:themeColor="accent3" w:themeShade="BF"/>
          <w:sz w:val="22"/>
          <w:szCs w:val="22"/>
          <w:lang w:val="en-GB"/>
        </w:rPr>
        <w:t xml:space="preserve"> under </w:t>
      </w:r>
      <w:r w:rsidR="000931C2">
        <w:rPr>
          <w:rFonts w:ascii="Avenir Next" w:hAnsi="Avenir Next" w:cs="Arial"/>
          <w:color w:val="7B7B7B" w:themeColor="accent3" w:themeShade="BF"/>
          <w:sz w:val="22"/>
          <w:szCs w:val="22"/>
          <w:lang w:val="en-GB"/>
        </w:rPr>
        <w:t>s.213(4) of BCA</w:t>
      </w:r>
      <w:r w:rsidR="006879E6">
        <w:rPr>
          <w:rFonts w:ascii="Avenir Next" w:hAnsi="Avenir Next" w:cs="Arial"/>
          <w:color w:val="7B7B7B" w:themeColor="accent3" w:themeShade="BF"/>
          <w:sz w:val="22"/>
          <w:szCs w:val="22"/>
          <w:lang w:val="en-GB"/>
        </w:rPr>
        <w:t xml:space="preserve"> it is deemed to be dissolved as well</w:t>
      </w:r>
      <w:r w:rsidR="00C31F60">
        <w:rPr>
          <w:rFonts w:ascii="Avenir Next" w:hAnsi="Avenir Next" w:cs="Arial"/>
          <w:color w:val="7B7B7B" w:themeColor="accent3" w:themeShade="BF"/>
          <w:sz w:val="22"/>
          <w:szCs w:val="22"/>
          <w:lang w:val="en-GB"/>
        </w:rPr>
        <w:t xml:space="preserve"> once the Registrar publishes notice</w:t>
      </w:r>
      <w:r w:rsidR="00B14A88">
        <w:rPr>
          <w:rStyle w:val="FootnoteReference"/>
          <w:rFonts w:ascii="Avenir Next" w:hAnsi="Avenir Next" w:cs="Arial"/>
          <w:color w:val="7B7B7B" w:themeColor="accent3" w:themeShade="BF"/>
          <w:sz w:val="22"/>
          <w:szCs w:val="22"/>
          <w:lang w:val="en-GB"/>
        </w:rPr>
        <w:footnoteReference w:id="54"/>
      </w:r>
      <w:r w:rsidR="006879E6">
        <w:rPr>
          <w:rFonts w:ascii="Avenir Next" w:hAnsi="Avenir Next" w:cs="Arial"/>
          <w:color w:val="7B7B7B" w:themeColor="accent3" w:themeShade="BF"/>
          <w:sz w:val="22"/>
          <w:szCs w:val="22"/>
          <w:lang w:val="en-GB"/>
        </w:rPr>
        <w:t xml:space="preserve">. </w:t>
      </w:r>
      <w:r w:rsidR="00E841C9">
        <w:rPr>
          <w:rFonts w:ascii="Avenir Next" w:hAnsi="Avenir Next" w:cs="Arial"/>
          <w:color w:val="7B7B7B" w:themeColor="accent3" w:themeShade="BF"/>
          <w:sz w:val="22"/>
          <w:szCs w:val="22"/>
          <w:lang w:val="en-GB"/>
        </w:rPr>
        <w:t>Therefor</w:t>
      </w:r>
      <w:r w:rsidR="006F19E6">
        <w:rPr>
          <w:rFonts w:ascii="Avenir Next" w:hAnsi="Avenir Next" w:cs="Arial"/>
          <w:color w:val="7B7B7B" w:themeColor="accent3" w:themeShade="BF"/>
          <w:sz w:val="22"/>
          <w:szCs w:val="22"/>
          <w:lang w:val="en-GB"/>
        </w:rPr>
        <w:t>e</w:t>
      </w:r>
      <w:r w:rsidR="008C6322">
        <w:rPr>
          <w:rFonts w:ascii="Avenir Next" w:hAnsi="Avenir Next" w:cs="Arial"/>
          <w:color w:val="7B7B7B" w:themeColor="accent3" w:themeShade="BF"/>
          <w:sz w:val="22"/>
          <w:szCs w:val="22"/>
          <w:lang w:val="en-GB"/>
        </w:rPr>
        <w:t xml:space="preserve">, </w:t>
      </w:r>
      <w:r w:rsidR="00E841C9">
        <w:rPr>
          <w:rFonts w:ascii="Avenir Next" w:hAnsi="Avenir Next" w:cs="Arial"/>
          <w:color w:val="7B7B7B" w:themeColor="accent3" w:themeShade="BF"/>
          <w:sz w:val="22"/>
          <w:szCs w:val="22"/>
          <w:lang w:val="en-GB"/>
        </w:rPr>
        <w:t xml:space="preserve">the introduction of this new law appears to assist. </w:t>
      </w:r>
      <w:r w:rsidR="00FA029A">
        <w:rPr>
          <w:rFonts w:ascii="Avenir Next" w:hAnsi="Avenir Next" w:cs="Arial"/>
          <w:color w:val="7B7B7B" w:themeColor="accent3" w:themeShade="BF"/>
          <w:sz w:val="22"/>
          <w:szCs w:val="22"/>
          <w:lang w:val="en-GB"/>
        </w:rPr>
        <w:t>The application can be done without or without notice to DEF.</w:t>
      </w:r>
      <w:r w:rsidR="00076DCF">
        <w:rPr>
          <w:rFonts w:ascii="Avenir Next" w:hAnsi="Avenir Next" w:cs="Arial"/>
          <w:color w:val="7B7B7B" w:themeColor="accent3" w:themeShade="BF"/>
          <w:sz w:val="22"/>
          <w:szCs w:val="22"/>
          <w:lang w:val="en-GB"/>
        </w:rPr>
        <w:t xml:space="preserve"> One must also </w:t>
      </w:r>
      <w:r w:rsidR="008F1DEF">
        <w:rPr>
          <w:rFonts w:ascii="Avenir Next" w:hAnsi="Avenir Next" w:cs="Arial"/>
          <w:color w:val="7B7B7B" w:themeColor="accent3" w:themeShade="BF"/>
          <w:sz w:val="22"/>
          <w:szCs w:val="22"/>
          <w:lang w:val="en-GB"/>
        </w:rPr>
        <w:t>consider that there may be a security for costs order made by the court</w:t>
      </w:r>
      <w:r w:rsidR="003F2898">
        <w:rPr>
          <w:rFonts w:ascii="Avenir Next" w:hAnsi="Avenir Next" w:cs="Arial"/>
          <w:color w:val="7B7B7B" w:themeColor="accent3" w:themeShade="BF"/>
          <w:sz w:val="22"/>
          <w:szCs w:val="22"/>
          <w:lang w:val="en-GB"/>
        </w:rPr>
        <w:t>.</w:t>
      </w:r>
    </w:p>
    <w:p w14:paraId="59DF1233" w14:textId="77777777" w:rsidR="003B53F8" w:rsidRDefault="003B53F8" w:rsidP="008065CE">
      <w:pPr>
        <w:autoSpaceDE w:val="0"/>
        <w:autoSpaceDN w:val="0"/>
        <w:adjustRightInd w:val="0"/>
        <w:jc w:val="both"/>
        <w:rPr>
          <w:rFonts w:ascii="Avenir Next" w:hAnsi="Avenir Next" w:cs="Arial"/>
          <w:color w:val="7B7B7B" w:themeColor="accent3" w:themeShade="BF"/>
          <w:sz w:val="22"/>
          <w:szCs w:val="22"/>
          <w:lang w:val="en-GB"/>
        </w:rPr>
      </w:pPr>
    </w:p>
    <w:p w14:paraId="72FF2E52" w14:textId="406A1041" w:rsidR="0058384E" w:rsidRPr="00222D3D" w:rsidRDefault="005300A0"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At common law</w:t>
      </w:r>
      <w:r w:rsidR="00674DDE">
        <w:rPr>
          <w:rFonts w:ascii="Avenir Next" w:hAnsi="Avenir Next" w:cs="Arial"/>
          <w:color w:val="7B7B7B" w:themeColor="accent3" w:themeShade="BF"/>
          <w:sz w:val="22"/>
          <w:szCs w:val="22"/>
          <w:lang w:val="en-GB"/>
        </w:rPr>
        <w:t xml:space="preserve">, a money judgment </w:t>
      </w:r>
      <w:r w:rsidR="00C27830">
        <w:rPr>
          <w:rFonts w:ascii="Avenir Next" w:hAnsi="Avenir Next" w:cs="Arial"/>
          <w:color w:val="7B7B7B" w:themeColor="accent3" w:themeShade="BF"/>
          <w:sz w:val="22"/>
          <w:szCs w:val="22"/>
          <w:lang w:val="en-GB"/>
        </w:rPr>
        <w:t>in BVI is a cause of action independently and AB</w:t>
      </w:r>
      <w:r w:rsidR="006F0B68">
        <w:rPr>
          <w:rFonts w:ascii="Avenir Next" w:hAnsi="Avenir Next" w:cs="Arial"/>
          <w:color w:val="7B7B7B" w:themeColor="accent3" w:themeShade="BF"/>
          <w:sz w:val="22"/>
          <w:szCs w:val="22"/>
          <w:lang w:val="en-GB"/>
        </w:rPr>
        <w:t>C  would have to prove the judgment is final for a specified amount</w:t>
      </w:r>
      <w:r w:rsidR="00A15E29">
        <w:rPr>
          <w:rFonts w:ascii="Avenir Next" w:hAnsi="Avenir Next" w:cs="Arial"/>
          <w:color w:val="7B7B7B" w:themeColor="accent3" w:themeShade="BF"/>
          <w:sz w:val="22"/>
          <w:szCs w:val="22"/>
          <w:lang w:val="en-GB"/>
        </w:rPr>
        <w:t xml:space="preserve"> and if the court is satisfied then summary judgment can be applied for under the CPR.</w:t>
      </w:r>
      <w:r w:rsidR="00F915A9">
        <w:rPr>
          <w:rFonts w:ascii="Avenir Next" w:hAnsi="Avenir Next" w:cs="Arial"/>
          <w:color w:val="7B7B7B" w:themeColor="accent3" w:themeShade="BF"/>
          <w:sz w:val="22"/>
          <w:szCs w:val="22"/>
          <w:lang w:val="en-GB"/>
        </w:rPr>
        <w:t xml:space="preserve"> ABC does not necessarily have to follow the above procedures </w:t>
      </w:r>
      <w:r w:rsidR="00235705">
        <w:rPr>
          <w:rFonts w:ascii="Avenir Next" w:hAnsi="Avenir Next" w:cs="Arial"/>
          <w:color w:val="7B7B7B" w:themeColor="accent3" w:themeShade="BF"/>
          <w:sz w:val="22"/>
          <w:szCs w:val="22"/>
          <w:lang w:val="en-GB"/>
        </w:rPr>
        <w:t>to enforce their foreign judgment or other proc</w:t>
      </w:r>
      <w:r w:rsidR="00BF4284">
        <w:rPr>
          <w:rFonts w:ascii="Avenir Next" w:hAnsi="Avenir Next" w:cs="Arial"/>
          <w:color w:val="7B7B7B" w:themeColor="accent3" w:themeShade="BF"/>
          <w:sz w:val="22"/>
          <w:szCs w:val="22"/>
          <w:lang w:val="en-GB"/>
        </w:rPr>
        <w:t xml:space="preserve">edures. </w:t>
      </w:r>
      <w:r w:rsidR="00A15E29">
        <w:rPr>
          <w:rFonts w:ascii="Avenir Next" w:hAnsi="Avenir Next" w:cs="Arial"/>
          <w:color w:val="7B7B7B" w:themeColor="accent3" w:themeShade="BF"/>
          <w:sz w:val="22"/>
          <w:szCs w:val="22"/>
          <w:lang w:val="en-GB"/>
        </w:rPr>
        <w:t xml:space="preserve"> </w:t>
      </w:r>
    </w:p>
    <w:bookmarkEnd w:id="0"/>
    <w:p w14:paraId="12934F08" w14:textId="77777777" w:rsidR="0077498C" w:rsidRPr="005965BF" w:rsidRDefault="0077498C" w:rsidP="008065CE">
      <w:pPr>
        <w:jc w:val="both"/>
        <w:rPr>
          <w:rFonts w:ascii="Avenir Next" w:hAnsi="Avenir Next" w:cs="Arial"/>
          <w:color w:val="000000" w:themeColor="text1"/>
          <w:sz w:val="22"/>
          <w:szCs w:val="22"/>
          <w:lang w:val="en-GB"/>
        </w:rPr>
      </w:pP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266B" w14:textId="77777777" w:rsidR="00577F73" w:rsidRDefault="00577F73" w:rsidP="00241B44">
      <w:r>
        <w:separator/>
      </w:r>
    </w:p>
  </w:endnote>
  <w:endnote w:type="continuationSeparator" w:id="0">
    <w:p w14:paraId="4C785459" w14:textId="77777777" w:rsidR="00577F73" w:rsidRDefault="00577F73" w:rsidP="00241B44">
      <w:r>
        <w:continuationSeparator/>
      </w:r>
    </w:p>
  </w:endnote>
  <w:endnote w:type="continuationNotice" w:id="1">
    <w:p w14:paraId="668D671D" w14:textId="77777777" w:rsidR="00577F73" w:rsidRDefault="00577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0ABE5DA4" w:rsidR="00241FA3" w:rsidRPr="00B24DB4" w:rsidRDefault="00F21B63" w:rsidP="009B4976">
    <w:pPr>
      <w:pStyle w:val="Footer"/>
      <w:ind w:right="360"/>
      <w:rPr>
        <w:rFonts w:ascii="Avenir Next" w:hAnsi="Avenir Next" w:cs="Arial"/>
        <w:sz w:val="22"/>
        <w:szCs w:val="22"/>
        <w:lang w:val="en-GB"/>
      </w:rPr>
    </w:pPr>
    <w:r>
      <w:rPr>
        <w:rFonts w:ascii="Avenir Next" w:hAnsi="Avenir Next" w:cs="Arial"/>
        <w:sz w:val="22"/>
        <w:szCs w:val="22"/>
        <w:lang w:val="en-GB"/>
      </w:rPr>
      <w:t>202122-445</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146C" w14:textId="77777777" w:rsidR="00577F73" w:rsidRDefault="00577F73" w:rsidP="00241B44">
      <w:r>
        <w:separator/>
      </w:r>
    </w:p>
  </w:footnote>
  <w:footnote w:type="continuationSeparator" w:id="0">
    <w:p w14:paraId="5ABF5F2D" w14:textId="77777777" w:rsidR="00577F73" w:rsidRDefault="00577F73" w:rsidP="00241B44">
      <w:r>
        <w:continuationSeparator/>
      </w:r>
    </w:p>
  </w:footnote>
  <w:footnote w:type="continuationNotice" w:id="1">
    <w:p w14:paraId="46153BDE" w14:textId="77777777" w:rsidR="00577F73" w:rsidRDefault="00577F73"/>
  </w:footnote>
  <w:footnote w:id="2">
    <w:p w14:paraId="0DECFEC5" w14:textId="458069E2" w:rsidR="007542CC" w:rsidRPr="007542CC" w:rsidRDefault="007542CC">
      <w:pPr>
        <w:pStyle w:val="FootnoteText"/>
        <w:rPr>
          <w:lang w:val="en-GB"/>
        </w:rPr>
      </w:pPr>
      <w:r>
        <w:rPr>
          <w:rStyle w:val="FootnoteReference"/>
        </w:rPr>
        <w:footnoteRef/>
      </w:r>
      <w:r>
        <w:t xml:space="preserve"> </w:t>
      </w:r>
      <w:r w:rsidR="006F1654">
        <w:rPr>
          <w:lang w:val="en-GB"/>
        </w:rPr>
        <w:t>Insolvency</w:t>
      </w:r>
      <w:r>
        <w:rPr>
          <w:lang w:val="en-GB"/>
        </w:rPr>
        <w:t xml:space="preserve"> Act</w:t>
      </w:r>
      <w:r w:rsidR="00490791">
        <w:rPr>
          <w:lang w:val="en-GB"/>
        </w:rPr>
        <w:t xml:space="preserve"> 2003</w:t>
      </w:r>
      <w:r w:rsidR="006F1654">
        <w:rPr>
          <w:lang w:val="en-GB"/>
        </w:rPr>
        <w:t>, s.175(2)</w:t>
      </w:r>
    </w:p>
  </w:footnote>
  <w:footnote w:id="3">
    <w:p w14:paraId="429E91B5" w14:textId="2AC5D808" w:rsidR="00AD713F" w:rsidRPr="00AD713F" w:rsidRDefault="00AD713F">
      <w:pPr>
        <w:pStyle w:val="FootnoteText"/>
        <w:rPr>
          <w:lang w:val="en-GB"/>
        </w:rPr>
      </w:pPr>
      <w:r>
        <w:rPr>
          <w:rStyle w:val="FootnoteReference"/>
        </w:rPr>
        <w:footnoteRef/>
      </w:r>
      <w:r>
        <w:t xml:space="preserve"> </w:t>
      </w:r>
      <w:r>
        <w:rPr>
          <w:lang w:val="en-GB"/>
        </w:rPr>
        <w:t>Ibid, s.422</w:t>
      </w:r>
    </w:p>
  </w:footnote>
  <w:footnote w:id="4">
    <w:p w14:paraId="2EE45FCC" w14:textId="180C047E" w:rsidR="009B2474" w:rsidRPr="009B2474" w:rsidRDefault="009B2474">
      <w:pPr>
        <w:pStyle w:val="FootnoteText"/>
        <w:rPr>
          <w:lang w:val="en-GB"/>
        </w:rPr>
      </w:pPr>
      <w:r>
        <w:rPr>
          <w:rStyle w:val="FootnoteReference"/>
        </w:rPr>
        <w:footnoteRef/>
      </w:r>
      <w:r>
        <w:t xml:space="preserve"> </w:t>
      </w:r>
      <w:r>
        <w:rPr>
          <w:lang w:val="en-GB"/>
        </w:rPr>
        <w:t>Ibid, s.</w:t>
      </w:r>
      <w:r w:rsidR="003E60F6">
        <w:rPr>
          <w:lang w:val="en-GB"/>
        </w:rPr>
        <w:t>467(3)</w:t>
      </w:r>
    </w:p>
  </w:footnote>
  <w:footnote w:id="5">
    <w:p w14:paraId="5723C5E4" w14:textId="18B5F1CF" w:rsidR="00C944C1" w:rsidRPr="00C944C1" w:rsidRDefault="00C944C1">
      <w:pPr>
        <w:pStyle w:val="FootnoteText"/>
        <w:rPr>
          <w:lang w:val="en-GB"/>
        </w:rPr>
      </w:pPr>
      <w:r>
        <w:rPr>
          <w:rStyle w:val="FootnoteReference"/>
        </w:rPr>
        <w:footnoteRef/>
      </w:r>
      <w:r>
        <w:t xml:space="preserve"> </w:t>
      </w:r>
      <w:r>
        <w:rPr>
          <w:lang w:val="en-GB"/>
        </w:rPr>
        <w:t>Ibid, s.468</w:t>
      </w:r>
    </w:p>
  </w:footnote>
  <w:footnote w:id="6">
    <w:p w14:paraId="0AA11A3D" w14:textId="68296BF2" w:rsidR="00E16C3A" w:rsidRPr="00E16C3A" w:rsidRDefault="00E16C3A">
      <w:pPr>
        <w:pStyle w:val="FootnoteText"/>
        <w:rPr>
          <w:lang w:val="en-GB"/>
        </w:rPr>
      </w:pPr>
      <w:r>
        <w:rPr>
          <w:rStyle w:val="FootnoteReference"/>
        </w:rPr>
        <w:footnoteRef/>
      </w:r>
      <w:r>
        <w:t xml:space="preserve"> </w:t>
      </w:r>
      <w:r w:rsidRPr="002D7B73">
        <w:rPr>
          <w:i/>
          <w:iCs/>
          <w:lang w:val="en-GB"/>
        </w:rPr>
        <w:t>Corn hill In</w:t>
      </w:r>
      <w:r w:rsidR="00967F07" w:rsidRPr="002D7B73">
        <w:rPr>
          <w:i/>
          <w:iCs/>
          <w:lang w:val="en-GB"/>
        </w:rPr>
        <w:t>surance Plc v Improvement Services Limited</w:t>
      </w:r>
      <w:r w:rsidR="00967F07">
        <w:rPr>
          <w:lang w:val="en-GB"/>
        </w:rPr>
        <w:t xml:space="preserve"> [1986] 1 WLR 114</w:t>
      </w:r>
    </w:p>
  </w:footnote>
  <w:footnote w:id="7">
    <w:p w14:paraId="519A092D" w14:textId="4B1E8026" w:rsidR="00C5075B" w:rsidRPr="00C5075B" w:rsidRDefault="00C5075B">
      <w:pPr>
        <w:pStyle w:val="FootnoteText"/>
        <w:rPr>
          <w:lang w:val="en-GB"/>
        </w:rPr>
      </w:pPr>
      <w:r>
        <w:rPr>
          <w:rStyle w:val="FootnoteReference"/>
        </w:rPr>
        <w:footnoteRef/>
      </w:r>
      <w:r>
        <w:t xml:space="preserve"> </w:t>
      </w:r>
      <w:r w:rsidR="004A1480">
        <w:rPr>
          <w:lang w:val="en-GB"/>
        </w:rPr>
        <w:t>Insolvency Act, s.8(1)(c)(</w:t>
      </w:r>
      <w:r w:rsidR="0087216B">
        <w:rPr>
          <w:lang w:val="en-GB"/>
        </w:rPr>
        <w:t>i</w:t>
      </w:r>
      <w:r w:rsidR="004A1480">
        <w:rPr>
          <w:lang w:val="en-GB"/>
        </w:rPr>
        <w:t>)</w:t>
      </w:r>
    </w:p>
  </w:footnote>
  <w:footnote w:id="8">
    <w:p w14:paraId="17C2037B" w14:textId="0A09EA9C" w:rsidR="00FB4F49" w:rsidRPr="00FB4F49" w:rsidRDefault="00FB4F49">
      <w:pPr>
        <w:pStyle w:val="FootnoteText"/>
        <w:rPr>
          <w:lang w:val="en-GB"/>
        </w:rPr>
      </w:pPr>
      <w:r>
        <w:rPr>
          <w:rStyle w:val="FootnoteReference"/>
        </w:rPr>
        <w:footnoteRef/>
      </w:r>
      <w:r>
        <w:t xml:space="preserve"> </w:t>
      </w:r>
      <w:r>
        <w:rPr>
          <w:lang w:val="en-GB"/>
        </w:rPr>
        <w:t>Insolvency Act, s.</w:t>
      </w:r>
      <w:r w:rsidR="00D97D98">
        <w:rPr>
          <w:lang w:val="en-GB"/>
        </w:rPr>
        <w:t>10(1), (2)</w:t>
      </w:r>
    </w:p>
  </w:footnote>
  <w:footnote w:id="9">
    <w:p w14:paraId="4E363D40" w14:textId="1A6F01B4" w:rsidR="001F6823" w:rsidRPr="001F6823" w:rsidRDefault="001F6823">
      <w:pPr>
        <w:pStyle w:val="FootnoteText"/>
        <w:rPr>
          <w:lang w:val="en-GB"/>
        </w:rPr>
      </w:pPr>
      <w:r>
        <w:rPr>
          <w:rStyle w:val="FootnoteReference"/>
        </w:rPr>
        <w:footnoteRef/>
      </w:r>
      <w:r>
        <w:t xml:space="preserve"> </w:t>
      </w:r>
      <w:r w:rsidR="006D25EE" w:rsidRPr="00CD2A22">
        <w:rPr>
          <w:i/>
          <w:iCs/>
          <w:lang w:val="en-GB"/>
        </w:rPr>
        <w:t xml:space="preserve">Trade and Commerce </w:t>
      </w:r>
      <w:r w:rsidR="00AB7DB3" w:rsidRPr="00CD2A22">
        <w:rPr>
          <w:i/>
          <w:iCs/>
          <w:lang w:val="en-GB"/>
        </w:rPr>
        <w:t xml:space="preserve">Bank </w:t>
      </w:r>
      <w:r w:rsidR="006D25EE" w:rsidRPr="00CD2A22">
        <w:rPr>
          <w:i/>
          <w:iCs/>
          <w:lang w:val="en-GB"/>
        </w:rPr>
        <w:t xml:space="preserve">v Island </w:t>
      </w:r>
      <w:r w:rsidR="00AB7DB3" w:rsidRPr="00CD2A22">
        <w:rPr>
          <w:i/>
          <w:iCs/>
          <w:lang w:val="en-GB"/>
        </w:rPr>
        <w:t xml:space="preserve">Point </w:t>
      </w:r>
      <w:r w:rsidR="006D25EE" w:rsidRPr="00CD2A22">
        <w:rPr>
          <w:i/>
          <w:iCs/>
          <w:lang w:val="en-GB"/>
        </w:rPr>
        <w:t>P</w:t>
      </w:r>
      <w:r w:rsidR="00674167" w:rsidRPr="00CD2A22">
        <w:rPr>
          <w:i/>
          <w:iCs/>
          <w:lang w:val="en-GB"/>
        </w:rPr>
        <w:t>roperties</w:t>
      </w:r>
      <w:r w:rsidR="000B6F7B">
        <w:rPr>
          <w:lang w:val="en-GB"/>
        </w:rPr>
        <w:t xml:space="preserve"> S</w:t>
      </w:r>
      <w:r w:rsidR="00FE67DC">
        <w:rPr>
          <w:lang w:val="en-GB"/>
        </w:rPr>
        <w:t>A</w:t>
      </w:r>
      <w:r w:rsidR="000B6F7B">
        <w:rPr>
          <w:lang w:val="en-GB"/>
        </w:rPr>
        <w:t xml:space="preserve"> BVICA</w:t>
      </w:r>
      <w:r w:rsidR="00FE67DC">
        <w:rPr>
          <w:lang w:val="en-GB"/>
        </w:rPr>
        <w:t xml:space="preserve"> 2009/0012</w:t>
      </w:r>
      <w:r w:rsidR="00674167">
        <w:rPr>
          <w:lang w:val="en-GB"/>
        </w:rPr>
        <w:t xml:space="preserve"> </w:t>
      </w:r>
    </w:p>
  </w:footnote>
  <w:footnote w:id="10">
    <w:p w14:paraId="7A9DCCC9" w14:textId="71E1D732" w:rsidR="00CD5531" w:rsidRPr="00CD5531" w:rsidRDefault="00CD5531">
      <w:pPr>
        <w:pStyle w:val="FootnoteText"/>
        <w:rPr>
          <w:lang w:val="en-GB"/>
        </w:rPr>
      </w:pPr>
      <w:r>
        <w:rPr>
          <w:rStyle w:val="FootnoteReference"/>
        </w:rPr>
        <w:footnoteRef/>
      </w:r>
      <w:r>
        <w:t xml:space="preserve"> </w:t>
      </w:r>
      <w:r>
        <w:rPr>
          <w:lang w:val="en-GB"/>
        </w:rPr>
        <w:t>Ibid, s.156</w:t>
      </w:r>
    </w:p>
  </w:footnote>
  <w:footnote w:id="11">
    <w:p w14:paraId="58A2D131" w14:textId="6F39F75B" w:rsidR="00AC262D" w:rsidRPr="00AC262D" w:rsidRDefault="00AC262D">
      <w:pPr>
        <w:pStyle w:val="FootnoteText"/>
        <w:rPr>
          <w:lang w:val="en-GB"/>
        </w:rPr>
      </w:pPr>
      <w:r>
        <w:rPr>
          <w:rStyle w:val="FootnoteReference"/>
        </w:rPr>
        <w:footnoteRef/>
      </w:r>
      <w:r>
        <w:t xml:space="preserve"> </w:t>
      </w:r>
      <w:r w:rsidR="00C9100B">
        <w:rPr>
          <w:lang w:val="en-GB"/>
        </w:rPr>
        <w:t>BVI Business Companies (Amendment) Regulations 2022</w:t>
      </w:r>
    </w:p>
  </w:footnote>
  <w:footnote w:id="12">
    <w:p w14:paraId="21E1A12D" w14:textId="1DCB12BD" w:rsidR="00651E64" w:rsidRPr="00651E64" w:rsidRDefault="00651E64">
      <w:pPr>
        <w:pStyle w:val="FootnoteText"/>
        <w:rPr>
          <w:lang w:val="en-GB"/>
        </w:rPr>
      </w:pPr>
      <w:r>
        <w:rPr>
          <w:rStyle w:val="FootnoteReference"/>
        </w:rPr>
        <w:footnoteRef/>
      </w:r>
      <w:r>
        <w:t xml:space="preserve"> </w:t>
      </w:r>
      <w:r>
        <w:rPr>
          <w:lang w:val="en-GB"/>
        </w:rPr>
        <w:t>2004</w:t>
      </w:r>
    </w:p>
  </w:footnote>
  <w:footnote w:id="13">
    <w:p w14:paraId="5BC4C7C7" w14:textId="56FFC318" w:rsidR="00A0707B" w:rsidRPr="00A0707B" w:rsidRDefault="00A0707B">
      <w:pPr>
        <w:pStyle w:val="FootnoteText"/>
        <w:rPr>
          <w:lang w:val="en-GB"/>
        </w:rPr>
      </w:pPr>
      <w:r>
        <w:rPr>
          <w:rStyle w:val="FootnoteReference"/>
        </w:rPr>
        <w:footnoteRef/>
      </w:r>
      <w:r>
        <w:t xml:space="preserve"> </w:t>
      </w:r>
      <w:r>
        <w:rPr>
          <w:lang w:val="en-GB"/>
        </w:rPr>
        <w:t>BCA, s.213(4)</w:t>
      </w:r>
    </w:p>
  </w:footnote>
  <w:footnote w:id="14">
    <w:p w14:paraId="51BCE50A" w14:textId="6CD76E2D" w:rsidR="00475A1D" w:rsidRPr="00475A1D" w:rsidRDefault="00475A1D">
      <w:pPr>
        <w:pStyle w:val="FootnoteText"/>
        <w:rPr>
          <w:lang w:val="en-GB"/>
        </w:rPr>
      </w:pPr>
      <w:r>
        <w:rPr>
          <w:rStyle w:val="FootnoteReference"/>
        </w:rPr>
        <w:footnoteRef/>
      </w:r>
      <w:r>
        <w:t xml:space="preserve"> </w:t>
      </w:r>
      <w:r>
        <w:rPr>
          <w:lang w:val="en-GB"/>
        </w:rPr>
        <w:t xml:space="preserve">Ibid, </w:t>
      </w:r>
      <w:r>
        <w:rPr>
          <w:lang w:val="en-GB"/>
        </w:rPr>
        <w:t>ss(5)</w:t>
      </w:r>
    </w:p>
  </w:footnote>
  <w:footnote w:id="15">
    <w:p w14:paraId="633EB8FE" w14:textId="764EB61E" w:rsidR="002F400F" w:rsidRPr="002F400F" w:rsidRDefault="002F400F">
      <w:pPr>
        <w:pStyle w:val="FootnoteText"/>
        <w:rPr>
          <w:lang w:val="en-GB"/>
        </w:rPr>
      </w:pPr>
      <w:r>
        <w:rPr>
          <w:rStyle w:val="FootnoteReference"/>
        </w:rPr>
        <w:footnoteRef/>
      </w:r>
      <w:r>
        <w:t xml:space="preserve"> </w:t>
      </w:r>
      <w:r w:rsidR="0047520B">
        <w:rPr>
          <w:lang w:val="en-GB"/>
        </w:rPr>
        <w:t>As required under BCA, s.90</w:t>
      </w:r>
      <w:r w:rsidR="00D936AB">
        <w:rPr>
          <w:lang w:val="en-GB"/>
        </w:rPr>
        <w:t>(1)</w:t>
      </w:r>
    </w:p>
  </w:footnote>
  <w:footnote w:id="16">
    <w:p w14:paraId="126261EA" w14:textId="238D1091" w:rsidR="00A2643A" w:rsidRPr="00022AE3" w:rsidRDefault="00A2643A">
      <w:pPr>
        <w:pStyle w:val="FootnoteText"/>
      </w:pPr>
      <w:r>
        <w:rPr>
          <w:rStyle w:val="FootnoteReference"/>
        </w:rPr>
        <w:footnoteRef/>
      </w:r>
      <w:r w:rsidR="00A51F89">
        <w:t xml:space="preserve"> </w:t>
      </w:r>
      <w:r w:rsidR="00022AE3">
        <w:t xml:space="preserve">BVI Business Companies (Amendment) Act 2022, s.199 and </w:t>
      </w:r>
      <w:r w:rsidR="0015385E">
        <w:t xml:space="preserve">BVI </w:t>
      </w:r>
      <w:r w:rsidR="002D545D">
        <w:rPr>
          <w:lang w:val="en-GB"/>
        </w:rPr>
        <w:t>Business Companies (Amendment) Regulations 2022, 6</w:t>
      </w:r>
    </w:p>
  </w:footnote>
  <w:footnote w:id="17">
    <w:p w14:paraId="0ED3B902" w14:textId="778F43C3" w:rsidR="002806CE" w:rsidRPr="002806CE" w:rsidRDefault="002806CE">
      <w:pPr>
        <w:pStyle w:val="FootnoteText"/>
        <w:rPr>
          <w:lang w:val="en-GB"/>
        </w:rPr>
      </w:pPr>
      <w:r>
        <w:rPr>
          <w:rStyle w:val="FootnoteReference"/>
        </w:rPr>
        <w:footnoteRef/>
      </w:r>
      <w:r>
        <w:t xml:space="preserve"> </w:t>
      </w:r>
      <w:r>
        <w:rPr>
          <w:lang w:val="en-GB"/>
        </w:rPr>
        <w:t xml:space="preserve">Business Companies (Amendment) Regulations 2022, </w:t>
      </w:r>
      <w:r w:rsidR="004C322C">
        <w:rPr>
          <w:lang w:val="en-GB"/>
        </w:rPr>
        <w:t>6(a)1A</w:t>
      </w:r>
    </w:p>
  </w:footnote>
  <w:footnote w:id="18">
    <w:p w14:paraId="4864AA62" w14:textId="59E553EE" w:rsidR="009738BE" w:rsidRPr="009738BE" w:rsidRDefault="009738BE">
      <w:pPr>
        <w:pStyle w:val="FootnoteText"/>
        <w:rPr>
          <w:lang w:val="en-GB"/>
        </w:rPr>
      </w:pPr>
      <w:r>
        <w:rPr>
          <w:rStyle w:val="FootnoteReference"/>
        </w:rPr>
        <w:footnoteRef/>
      </w:r>
      <w:r>
        <w:t xml:space="preserve"> </w:t>
      </w:r>
      <w:r w:rsidR="00923B1C">
        <w:rPr>
          <w:lang w:val="en-GB"/>
        </w:rPr>
        <w:t xml:space="preserve">Including Financial </w:t>
      </w:r>
      <w:r w:rsidR="0081721C">
        <w:rPr>
          <w:lang w:val="en-GB"/>
        </w:rPr>
        <w:t xml:space="preserve">Services </w:t>
      </w:r>
      <w:r w:rsidR="00371E18">
        <w:rPr>
          <w:lang w:val="en-GB"/>
        </w:rPr>
        <w:t xml:space="preserve">Commission Act; BVI Business  Companies </w:t>
      </w:r>
      <w:r w:rsidR="001F1824">
        <w:rPr>
          <w:lang w:val="en-GB"/>
        </w:rPr>
        <w:t>Act</w:t>
      </w:r>
    </w:p>
  </w:footnote>
  <w:footnote w:id="19">
    <w:p w14:paraId="19F94B9C" w14:textId="26070395" w:rsidR="00800319" w:rsidRPr="00800319" w:rsidRDefault="00800319">
      <w:pPr>
        <w:pStyle w:val="FootnoteText"/>
        <w:rPr>
          <w:lang w:val="en-GB"/>
        </w:rPr>
      </w:pPr>
      <w:r>
        <w:rPr>
          <w:rStyle w:val="FootnoteReference"/>
        </w:rPr>
        <w:footnoteRef/>
      </w:r>
      <w:r>
        <w:t xml:space="preserve"> </w:t>
      </w:r>
      <w:r>
        <w:rPr>
          <w:lang w:val="en-GB"/>
        </w:rPr>
        <w:t>Insolvency Act, s.482</w:t>
      </w:r>
    </w:p>
  </w:footnote>
  <w:footnote w:id="20">
    <w:p w14:paraId="2B614446" w14:textId="4F0FB5F5" w:rsidR="00670E4A" w:rsidRPr="00670E4A" w:rsidRDefault="00670E4A">
      <w:pPr>
        <w:pStyle w:val="FootnoteText"/>
        <w:rPr>
          <w:lang w:val="en-GB"/>
        </w:rPr>
      </w:pPr>
      <w:r>
        <w:rPr>
          <w:rStyle w:val="FootnoteReference"/>
        </w:rPr>
        <w:footnoteRef/>
      </w:r>
      <w:r>
        <w:t xml:space="preserve"> </w:t>
      </w:r>
      <w:r w:rsidR="00B91B70">
        <w:rPr>
          <w:lang w:val="en-GB"/>
        </w:rPr>
        <w:t>Insolvency Act, Part XX</w:t>
      </w:r>
    </w:p>
  </w:footnote>
  <w:footnote w:id="21">
    <w:p w14:paraId="4DF86AC7" w14:textId="13D39DBF" w:rsidR="004110C5" w:rsidRPr="004110C5" w:rsidRDefault="004110C5">
      <w:pPr>
        <w:pStyle w:val="FootnoteText"/>
        <w:rPr>
          <w:lang w:val="en-GB"/>
        </w:rPr>
      </w:pPr>
      <w:r>
        <w:rPr>
          <w:rStyle w:val="FootnoteReference"/>
        </w:rPr>
        <w:footnoteRef/>
      </w:r>
      <w:r>
        <w:t xml:space="preserve"> </w:t>
      </w:r>
      <w:r>
        <w:rPr>
          <w:lang w:val="en-GB"/>
        </w:rPr>
        <w:t>Ibid</w:t>
      </w:r>
    </w:p>
  </w:footnote>
  <w:footnote w:id="22">
    <w:p w14:paraId="011C3051" w14:textId="148D30D7" w:rsidR="002B6F2D" w:rsidRPr="002B6F2D" w:rsidRDefault="002B6F2D">
      <w:pPr>
        <w:pStyle w:val="FootnoteText"/>
        <w:rPr>
          <w:lang w:val="en-GB"/>
        </w:rPr>
      </w:pPr>
      <w:r>
        <w:rPr>
          <w:rStyle w:val="FootnoteReference"/>
        </w:rPr>
        <w:footnoteRef/>
      </w:r>
      <w:r>
        <w:t xml:space="preserve"> </w:t>
      </w:r>
      <w:r>
        <w:rPr>
          <w:lang w:val="en-GB"/>
        </w:rPr>
        <w:t>Insolvency Act, s.483</w:t>
      </w:r>
    </w:p>
  </w:footnote>
  <w:footnote w:id="23">
    <w:p w14:paraId="24652FB5" w14:textId="440AB752" w:rsidR="009314E9" w:rsidRPr="009314E9" w:rsidRDefault="009314E9">
      <w:pPr>
        <w:pStyle w:val="FootnoteText"/>
        <w:rPr>
          <w:lang w:val="en-GB"/>
        </w:rPr>
      </w:pPr>
      <w:r>
        <w:rPr>
          <w:rStyle w:val="FootnoteReference"/>
        </w:rPr>
        <w:footnoteRef/>
      </w:r>
      <w:r>
        <w:t xml:space="preserve"> </w:t>
      </w:r>
      <w:r>
        <w:rPr>
          <w:lang w:val="en-GB"/>
        </w:rPr>
        <w:t>Insolvency Act, s.484</w:t>
      </w:r>
    </w:p>
  </w:footnote>
  <w:footnote w:id="24">
    <w:p w14:paraId="27F07B9B" w14:textId="153E72C6" w:rsidR="007F46E2" w:rsidRPr="007F46E2" w:rsidRDefault="007F46E2">
      <w:pPr>
        <w:pStyle w:val="FootnoteText"/>
        <w:rPr>
          <w:lang w:val="en-GB"/>
        </w:rPr>
      </w:pPr>
      <w:r>
        <w:rPr>
          <w:rStyle w:val="FootnoteReference"/>
        </w:rPr>
        <w:footnoteRef/>
      </w:r>
      <w:r>
        <w:t xml:space="preserve"> </w:t>
      </w:r>
      <w:r w:rsidR="002B6F2D">
        <w:t>Ibid</w:t>
      </w:r>
      <w:r w:rsidR="009314E9">
        <w:t>, s</w:t>
      </w:r>
      <w:r w:rsidR="0004533D">
        <w:t>.</w:t>
      </w:r>
      <w:r w:rsidR="009314E9">
        <w:t>483</w:t>
      </w:r>
    </w:p>
  </w:footnote>
  <w:footnote w:id="25">
    <w:p w14:paraId="5502832B" w14:textId="77777777" w:rsidR="00F00A13" w:rsidRPr="00E473F3" w:rsidRDefault="00F00A13">
      <w:pPr>
        <w:pStyle w:val="FootnoteText"/>
        <w:rPr>
          <w:lang w:val="en-GB"/>
        </w:rPr>
      </w:pPr>
      <w:r>
        <w:rPr>
          <w:rStyle w:val="FootnoteReference"/>
        </w:rPr>
        <w:footnoteRef/>
      </w:r>
      <w:r>
        <w:t xml:space="preserve"> BCA, s.197(1)</w:t>
      </w:r>
    </w:p>
  </w:footnote>
  <w:footnote w:id="26">
    <w:p w14:paraId="5C6EF6B0" w14:textId="77777777" w:rsidR="00F00A13" w:rsidRPr="00D32900" w:rsidRDefault="00F00A13">
      <w:pPr>
        <w:pStyle w:val="FootnoteText"/>
        <w:rPr>
          <w:lang w:val="en-GB"/>
        </w:rPr>
      </w:pPr>
      <w:r>
        <w:rPr>
          <w:rStyle w:val="FootnoteReference"/>
        </w:rPr>
        <w:footnoteRef/>
      </w:r>
      <w:r>
        <w:t xml:space="preserve"> </w:t>
      </w:r>
      <w:r>
        <w:rPr>
          <w:lang w:val="en-GB"/>
        </w:rPr>
        <w:t>Ibid, s.198</w:t>
      </w:r>
    </w:p>
  </w:footnote>
  <w:footnote w:id="27">
    <w:p w14:paraId="27FAB79F" w14:textId="77777777" w:rsidR="00F00A13" w:rsidRPr="001A25E9" w:rsidRDefault="00F00A13">
      <w:pPr>
        <w:pStyle w:val="FootnoteText"/>
        <w:rPr>
          <w:lang w:val="en-GB"/>
        </w:rPr>
      </w:pPr>
      <w:r>
        <w:rPr>
          <w:rStyle w:val="FootnoteReference"/>
        </w:rPr>
        <w:footnoteRef/>
      </w:r>
      <w:r>
        <w:t xml:space="preserve"> </w:t>
      </w:r>
      <w:r>
        <w:rPr>
          <w:lang w:val="en-GB"/>
        </w:rPr>
        <w:t>Ibid, s.199</w:t>
      </w:r>
    </w:p>
  </w:footnote>
  <w:footnote w:id="28">
    <w:p w14:paraId="58632800" w14:textId="77777777" w:rsidR="00F00A13" w:rsidRPr="001A0312" w:rsidRDefault="00F00A13">
      <w:pPr>
        <w:pStyle w:val="FootnoteText"/>
        <w:rPr>
          <w:lang w:val="en-GB"/>
        </w:rPr>
      </w:pPr>
      <w:r>
        <w:rPr>
          <w:rStyle w:val="FootnoteReference"/>
        </w:rPr>
        <w:footnoteRef/>
      </w:r>
      <w:r>
        <w:t xml:space="preserve"> BVI Business Companies (Amendment) Act 2022, s.199 and BVI </w:t>
      </w:r>
      <w:r>
        <w:rPr>
          <w:lang w:val="en-GB"/>
        </w:rPr>
        <w:t>Business Companies (Amendment) Regulations 2022, 6</w:t>
      </w:r>
    </w:p>
  </w:footnote>
  <w:footnote w:id="29">
    <w:p w14:paraId="6F026EA6" w14:textId="77777777" w:rsidR="00F00A13" w:rsidRPr="009731F2" w:rsidRDefault="00F00A13">
      <w:pPr>
        <w:pStyle w:val="FootnoteText"/>
        <w:rPr>
          <w:lang w:val="en-GB"/>
        </w:rPr>
      </w:pPr>
      <w:r>
        <w:rPr>
          <w:rStyle w:val="FootnoteReference"/>
        </w:rPr>
        <w:footnoteRef/>
      </w:r>
      <w:r>
        <w:t xml:space="preserve"> </w:t>
      </w:r>
      <w:r>
        <w:rPr>
          <w:lang w:val="en-GB"/>
        </w:rPr>
        <w:t>BCA, s.204</w:t>
      </w:r>
    </w:p>
  </w:footnote>
  <w:footnote w:id="30">
    <w:p w14:paraId="4B5BD0AA" w14:textId="77777777" w:rsidR="00F00A13" w:rsidRPr="007A0E39" w:rsidRDefault="00F00A13">
      <w:pPr>
        <w:pStyle w:val="FootnoteText"/>
        <w:rPr>
          <w:lang w:val="en-GB"/>
        </w:rPr>
      </w:pPr>
      <w:r>
        <w:rPr>
          <w:rStyle w:val="FootnoteReference"/>
        </w:rPr>
        <w:footnoteRef/>
      </w:r>
      <w:r>
        <w:t xml:space="preserve"> </w:t>
      </w:r>
      <w:r>
        <w:rPr>
          <w:lang w:val="en-GB"/>
        </w:rPr>
        <w:t>Insolvency Act, s.8</w:t>
      </w:r>
    </w:p>
  </w:footnote>
  <w:footnote w:id="31">
    <w:p w14:paraId="1C60D510" w14:textId="77777777" w:rsidR="00F00A13" w:rsidRPr="00EE10E7" w:rsidRDefault="00F00A13">
      <w:pPr>
        <w:pStyle w:val="FootnoteText"/>
        <w:rPr>
          <w:lang w:val="en-GB"/>
        </w:rPr>
      </w:pPr>
      <w:r>
        <w:rPr>
          <w:rStyle w:val="FootnoteReference"/>
        </w:rPr>
        <w:footnoteRef/>
      </w:r>
      <w:r>
        <w:t xml:space="preserve"> </w:t>
      </w:r>
      <w:r>
        <w:rPr>
          <w:lang w:val="en-GB"/>
        </w:rPr>
        <w:t>Ibid</w:t>
      </w:r>
    </w:p>
  </w:footnote>
  <w:footnote w:id="32">
    <w:p w14:paraId="49DA8F58" w14:textId="77777777" w:rsidR="00F00A13" w:rsidRPr="00C11468" w:rsidRDefault="00F00A13">
      <w:pPr>
        <w:pStyle w:val="FootnoteText"/>
        <w:rPr>
          <w:lang w:val="en-GB"/>
        </w:rPr>
      </w:pPr>
      <w:r>
        <w:rPr>
          <w:rStyle w:val="FootnoteReference"/>
        </w:rPr>
        <w:footnoteRef/>
      </w:r>
      <w:r>
        <w:t xml:space="preserve"> </w:t>
      </w:r>
      <w:r>
        <w:rPr>
          <w:lang w:val="en-GB"/>
        </w:rPr>
        <w:t>Ibid</w:t>
      </w:r>
    </w:p>
  </w:footnote>
  <w:footnote w:id="33">
    <w:p w14:paraId="748635DC" w14:textId="51C36A36" w:rsidR="00CB4D93" w:rsidRPr="00CB4D93" w:rsidRDefault="00CB4D93">
      <w:pPr>
        <w:pStyle w:val="FootnoteText"/>
        <w:rPr>
          <w:lang w:val="en-GB"/>
        </w:rPr>
      </w:pPr>
      <w:r>
        <w:rPr>
          <w:rStyle w:val="FootnoteReference"/>
        </w:rPr>
        <w:footnoteRef/>
      </w:r>
      <w:r>
        <w:t xml:space="preserve"> </w:t>
      </w:r>
      <w:r w:rsidR="00884EF8">
        <w:rPr>
          <w:lang w:val="en-GB"/>
        </w:rPr>
        <w:t>Ibid, s.159</w:t>
      </w:r>
    </w:p>
  </w:footnote>
  <w:footnote w:id="34">
    <w:p w14:paraId="0DB9E3A5" w14:textId="6A02AA7C" w:rsidR="004F652D" w:rsidRPr="004F652D" w:rsidRDefault="004F652D">
      <w:pPr>
        <w:pStyle w:val="FootnoteText"/>
        <w:rPr>
          <w:lang w:val="en-GB"/>
        </w:rPr>
      </w:pPr>
      <w:r>
        <w:rPr>
          <w:rStyle w:val="FootnoteReference"/>
        </w:rPr>
        <w:footnoteRef/>
      </w:r>
      <w:r>
        <w:t xml:space="preserve"> </w:t>
      </w:r>
      <w:r w:rsidR="00CC1C76">
        <w:rPr>
          <w:lang w:val="en-GB"/>
        </w:rPr>
        <w:t>Ibid, s.159(2)</w:t>
      </w:r>
    </w:p>
  </w:footnote>
  <w:footnote w:id="35">
    <w:p w14:paraId="0AB88166" w14:textId="1E6FF3DD" w:rsidR="00D8090E" w:rsidRPr="00D8090E" w:rsidRDefault="00D8090E">
      <w:pPr>
        <w:pStyle w:val="FootnoteText"/>
        <w:rPr>
          <w:lang w:val="en-GB"/>
        </w:rPr>
      </w:pPr>
      <w:r>
        <w:rPr>
          <w:rStyle w:val="FootnoteReference"/>
        </w:rPr>
        <w:footnoteRef/>
      </w:r>
      <w:r>
        <w:t xml:space="preserve"> </w:t>
      </w:r>
      <w:r>
        <w:rPr>
          <w:lang w:val="en-GB"/>
        </w:rPr>
        <w:t>2</w:t>
      </w:r>
      <w:r w:rsidR="00181B03">
        <w:rPr>
          <w:lang w:val="en-GB"/>
        </w:rPr>
        <w:t>003</w:t>
      </w:r>
    </w:p>
  </w:footnote>
  <w:footnote w:id="36">
    <w:p w14:paraId="752FB8AC" w14:textId="057F8E79" w:rsidR="00886BCE" w:rsidRPr="00886BCE" w:rsidRDefault="00886BCE">
      <w:pPr>
        <w:pStyle w:val="FootnoteText"/>
        <w:rPr>
          <w:lang w:val="en-GB"/>
        </w:rPr>
      </w:pPr>
      <w:r>
        <w:rPr>
          <w:rStyle w:val="FootnoteReference"/>
        </w:rPr>
        <w:footnoteRef/>
      </w:r>
      <w:r>
        <w:t xml:space="preserve"> </w:t>
      </w:r>
      <w:r w:rsidR="00EE3A34">
        <w:rPr>
          <w:lang w:val="en-GB"/>
        </w:rPr>
        <w:t xml:space="preserve">Insolvency Act, </w:t>
      </w:r>
      <w:r w:rsidR="00355AD7">
        <w:rPr>
          <w:lang w:val="en-GB"/>
        </w:rPr>
        <w:t>s. 156 and 157</w:t>
      </w:r>
    </w:p>
  </w:footnote>
  <w:footnote w:id="37">
    <w:p w14:paraId="3EE1C9E3" w14:textId="45F8215C" w:rsidR="00C92206" w:rsidRPr="00C92206" w:rsidRDefault="00C92206">
      <w:pPr>
        <w:pStyle w:val="FootnoteText"/>
        <w:rPr>
          <w:lang w:val="en-GB"/>
        </w:rPr>
      </w:pPr>
      <w:r>
        <w:rPr>
          <w:rStyle w:val="FootnoteReference"/>
        </w:rPr>
        <w:footnoteRef/>
      </w:r>
      <w:r>
        <w:t xml:space="preserve"> </w:t>
      </w:r>
      <w:r>
        <w:rPr>
          <w:lang w:val="en-GB"/>
        </w:rPr>
        <w:t>Ibid, s.162</w:t>
      </w:r>
    </w:p>
  </w:footnote>
  <w:footnote w:id="38">
    <w:p w14:paraId="42A71DD6" w14:textId="50933D50" w:rsidR="009502A4" w:rsidRPr="009502A4" w:rsidRDefault="009502A4">
      <w:pPr>
        <w:pStyle w:val="FootnoteText"/>
        <w:rPr>
          <w:lang w:val="en-GB"/>
        </w:rPr>
      </w:pPr>
      <w:r>
        <w:rPr>
          <w:rStyle w:val="FootnoteReference"/>
        </w:rPr>
        <w:footnoteRef/>
      </w:r>
      <w:r>
        <w:t xml:space="preserve"> </w:t>
      </w:r>
      <w:r w:rsidR="003F32C9">
        <w:rPr>
          <w:lang w:val="en-GB"/>
        </w:rPr>
        <w:t>Ibid, s.168</w:t>
      </w:r>
    </w:p>
  </w:footnote>
  <w:footnote w:id="39">
    <w:p w14:paraId="3804215E" w14:textId="1A28A732" w:rsidR="0086653A" w:rsidRPr="0086653A" w:rsidRDefault="0086653A">
      <w:pPr>
        <w:pStyle w:val="FootnoteText"/>
        <w:rPr>
          <w:lang w:val="en-GB"/>
        </w:rPr>
      </w:pPr>
      <w:r>
        <w:rPr>
          <w:rStyle w:val="FootnoteReference"/>
        </w:rPr>
        <w:footnoteRef/>
      </w:r>
      <w:r>
        <w:t xml:space="preserve"> </w:t>
      </w:r>
      <w:r>
        <w:rPr>
          <w:lang w:val="en-GB"/>
        </w:rPr>
        <w:t>Ibid, s.159(1)</w:t>
      </w:r>
    </w:p>
  </w:footnote>
  <w:footnote w:id="40">
    <w:p w14:paraId="2D5B868F" w14:textId="3838C958" w:rsidR="00E726A0" w:rsidRPr="00E726A0" w:rsidRDefault="00E726A0">
      <w:pPr>
        <w:pStyle w:val="FootnoteText"/>
        <w:rPr>
          <w:lang w:val="en-GB"/>
        </w:rPr>
      </w:pPr>
      <w:r>
        <w:rPr>
          <w:rStyle w:val="FootnoteReference"/>
        </w:rPr>
        <w:footnoteRef/>
      </w:r>
      <w:r>
        <w:t xml:space="preserve"> </w:t>
      </w:r>
      <w:r>
        <w:rPr>
          <w:lang w:val="en-GB"/>
        </w:rPr>
        <w:t>Ibid, s.170</w:t>
      </w:r>
    </w:p>
  </w:footnote>
  <w:footnote w:id="41">
    <w:p w14:paraId="0C800471" w14:textId="4F513FE7" w:rsidR="003B6305" w:rsidRPr="003B6305" w:rsidRDefault="003B6305">
      <w:pPr>
        <w:pStyle w:val="FootnoteText"/>
        <w:rPr>
          <w:lang w:val="en-GB"/>
        </w:rPr>
      </w:pPr>
      <w:r>
        <w:rPr>
          <w:rStyle w:val="FootnoteReference"/>
        </w:rPr>
        <w:footnoteRef/>
      </w:r>
      <w:r>
        <w:t xml:space="preserve"> </w:t>
      </w:r>
      <w:r>
        <w:rPr>
          <w:lang w:val="en-GB"/>
        </w:rPr>
        <w:t>Ibid</w:t>
      </w:r>
    </w:p>
  </w:footnote>
  <w:footnote w:id="42">
    <w:p w14:paraId="4D4550FF" w14:textId="5D08E193" w:rsidR="00820286" w:rsidRPr="00820286" w:rsidRDefault="00820286">
      <w:pPr>
        <w:pStyle w:val="FootnoteText"/>
        <w:rPr>
          <w:lang w:val="en-GB"/>
        </w:rPr>
      </w:pPr>
      <w:r>
        <w:rPr>
          <w:rStyle w:val="FootnoteReference"/>
        </w:rPr>
        <w:footnoteRef/>
      </w:r>
      <w:r>
        <w:t xml:space="preserve"> </w:t>
      </w:r>
      <w:r w:rsidR="00D4373C">
        <w:rPr>
          <w:lang w:val="en-GB"/>
        </w:rPr>
        <w:t>Ibid, s. 116</w:t>
      </w:r>
    </w:p>
  </w:footnote>
  <w:footnote w:id="43">
    <w:p w14:paraId="0C521A56" w14:textId="42DF11DF" w:rsidR="003F4D82" w:rsidRPr="003F4D82" w:rsidRDefault="003F4D82">
      <w:pPr>
        <w:pStyle w:val="FootnoteText"/>
        <w:rPr>
          <w:lang w:val="en-GB"/>
        </w:rPr>
      </w:pPr>
      <w:r>
        <w:rPr>
          <w:rStyle w:val="FootnoteReference"/>
        </w:rPr>
        <w:footnoteRef/>
      </w:r>
      <w:r>
        <w:t xml:space="preserve"> </w:t>
      </w:r>
      <w:r>
        <w:rPr>
          <w:lang w:val="en-GB"/>
        </w:rPr>
        <w:t xml:space="preserve">Ibid, </w:t>
      </w:r>
      <w:r>
        <w:rPr>
          <w:lang w:val="en-GB"/>
        </w:rPr>
        <w:t>ss. 117, 118</w:t>
      </w:r>
      <w:r w:rsidR="0070491A">
        <w:rPr>
          <w:lang w:val="en-GB"/>
        </w:rPr>
        <w:t xml:space="preserve"> and 139</w:t>
      </w:r>
    </w:p>
  </w:footnote>
  <w:footnote w:id="44">
    <w:p w14:paraId="3C7DB467" w14:textId="6F026227" w:rsidR="00A83CD1" w:rsidRPr="00A83CD1" w:rsidRDefault="00A83CD1">
      <w:pPr>
        <w:pStyle w:val="FootnoteText"/>
        <w:rPr>
          <w:lang w:val="en-GB"/>
        </w:rPr>
      </w:pPr>
      <w:r>
        <w:rPr>
          <w:rStyle w:val="FootnoteReference"/>
        </w:rPr>
        <w:footnoteRef/>
      </w:r>
      <w:r>
        <w:t xml:space="preserve"> </w:t>
      </w:r>
      <w:r>
        <w:rPr>
          <w:lang w:val="en-GB"/>
        </w:rPr>
        <w:t>Ibid, s.126</w:t>
      </w:r>
    </w:p>
  </w:footnote>
  <w:footnote w:id="45">
    <w:p w14:paraId="7117D817" w14:textId="2D6C0D00" w:rsidR="00F46947" w:rsidRPr="00F46947" w:rsidRDefault="00F46947">
      <w:pPr>
        <w:pStyle w:val="FootnoteText"/>
        <w:rPr>
          <w:lang w:val="en-GB"/>
        </w:rPr>
      </w:pPr>
      <w:r>
        <w:rPr>
          <w:rStyle w:val="FootnoteReference"/>
        </w:rPr>
        <w:footnoteRef/>
      </w:r>
      <w:r>
        <w:t xml:space="preserve"> </w:t>
      </w:r>
      <w:r>
        <w:rPr>
          <w:lang w:val="en-GB"/>
        </w:rPr>
        <w:t>Ibid, s.142</w:t>
      </w:r>
    </w:p>
  </w:footnote>
  <w:footnote w:id="46">
    <w:p w14:paraId="0D26F5CE" w14:textId="2CEC561C" w:rsidR="00F55F3E" w:rsidRPr="00F55F3E" w:rsidRDefault="00F55F3E">
      <w:pPr>
        <w:pStyle w:val="FootnoteText"/>
        <w:rPr>
          <w:lang w:val="en-GB"/>
        </w:rPr>
      </w:pPr>
      <w:r>
        <w:rPr>
          <w:rStyle w:val="FootnoteReference"/>
        </w:rPr>
        <w:footnoteRef/>
      </w:r>
      <w:r>
        <w:t xml:space="preserve"> </w:t>
      </w:r>
      <w:r>
        <w:rPr>
          <w:lang w:val="en-GB"/>
        </w:rPr>
        <w:t xml:space="preserve">Ibid, </w:t>
      </w:r>
      <w:r>
        <w:rPr>
          <w:lang w:val="en-GB"/>
        </w:rPr>
        <w:t>ss.</w:t>
      </w:r>
      <w:r w:rsidR="009A4EAE">
        <w:rPr>
          <w:lang w:val="en-GB"/>
        </w:rPr>
        <w:t xml:space="preserve"> 466 and 467</w:t>
      </w:r>
    </w:p>
  </w:footnote>
  <w:footnote w:id="47">
    <w:p w14:paraId="1B60D317" w14:textId="535847F3" w:rsidR="00B4749D" w:rsidRPr="00B4749D" w:rsidRDefault="00B4749D">
      <w:pPr>
        <w:pStyle w:val="FootnoteText"/>
        <w:rPr>
          <w:lang w:val="en-GB"/>
        </w:rPr>
      </w:pPr>
      <w:r>
        <w:rPr>
          <w:rStyle w:val="FootnoteReference"/>
        </w:rPr>
        <w:footnoteRef/>
      </w:r>
      <w:r>
        <w:t xml:space="preserve"> </w:t>
      </w:r>
      <w:r>
        <w:rPr>
          <w:lang w:val="en-GB"/>
        </w:rPr>
        <w:t>2021</w:t>
      </w:r>
    </w:p>
  </w:footnote>
  <w:footnote w:id="48">
    <w:p w14:paraId="5DF7260C" w14:textId="59FEC4B8" w:rsidR="00452885" w:rsidRPr="00452885" w:rsidRDefault="00452885">
      <w:pPr>
        <w:pStyle w:val="FootnoteText"/>
        <w:rPr>
          <w:lang w:val="en-GB"/>
        </w:rPr>
      </w:pPr>
      <w:r>
        <w:rPr>
          <w:rStyle w:val="FootnoteReference"/>
        </w:rPr>
        <w:footnoteRef/>
      </w:r>
      <w:r>
        <w:t xml:space="preserve"> </w:t>
      </w:r>
      <w:r w:rsidR="00FF7754" w:rsidRPr="00FF7754">
        <w:t>Reciprocal Enforcement of Judgments Act (CAP)1922</w:t>
      </w:r>
      <w:r w:rsidR="00FF7754">
        <w:t>, s.3(1)</w:t>
      </w:r>
    </w:p>
  </w:footnote>
  <w:footnote w:id="49">
    <w:p w14:paraId="4812EB23" w14:textId="43355A0B" w:rsidR="00A62843" w:rsidRPr="00A62843" w:rsidRDefault="00A62843">
      <w:pPr>
        <w:pStyle w:val="FootnoteText"/>
        <w:rPr>
          <w:lang w:val="en-GB"/>
        </w:rPr>
      </w:pPr>
      <w:r>
        <w:rPr>
          <w:rStyle w:val="FootnoteReference"/>
        </w:rPr>
        <w:footnoteRef/>
      </w:r>
      <w:r>
        <w:t xml:space="preserve"> </w:t>
      </w:r>
      <w:r w:rsidRPr="00A62843">
        <w:t>Reciprocal Enforcement of Judgments Act (CAP)1922</w:t>
      </w:r>
      <w:r w:rsidR="00BA179B">
        <w:t>, s.2(1)</w:t>
      </w:r>
    </w:p>
  </w:footnote>
  <w:footnote w:id="50">
    <w:p w14:paraId="5965A9C8" w14:textId="4DF48531" w:rsidR="0093348F" w:rsidRPr="0093348F" w:rsidRDefault="0093348F">
      <w:pPr>
        <w:pStyle w:val="FootnoteText"/>
        <w:rPr>
          <w:lang w:val="en-GB"/>
        </w:rPr>
      </w:pPr>
      <w:r>
        <w:rPr>
          <w:rStyle w:val="FootnoteReference"/>
        </w:rPr>
        <w:footnoteRef/>
      </w:r>
      <w:r>
        <w:t xml:space="preserve"> </w:t>
      </w:r>
      <w:r w:rsidR="00297A34">
        <w:rPr>
          <w:lang w:val="en-GB"/>
        </w:rPr>
        <w:t xml:space="preserve">Civil Procedure Rules (CPR) </w:t>
      </w:r>
      <w:r w:rsidR="00640049">
        <w:rPr>
          <w:lang w:val="en-GB"/>
        </w:rPr>
        <w:t>72</w:t>
      </w:r>
    </w:p>
  </w:footnote>
  <w:footnote w:id="51">
    <w:p w14:paraId="284EC159" w14:textId="0282CD4F" w:rsidR="00413346" w:rsidRPr="00413346" w:rsidRDefault="00413346">
      <w:pPr>
        <w:pStyle w:val="FootnoteText"/>
        <w:rPr>
          <w:lang w:val="en-GB"/>
        </w:rPr>
      </w:pPr>
      <w:r>
        <w:rPr>
          <w:rStyle w:val="FootnoteReference"/>
        </w:rPr>
        <w:footnoteRef/>
      </w:r>
      <w:r>
        <w:t xml:space="preserve"> </w:t>
      </w:r>
      <w:r w:rsidR="002535CA" w:rsidRPr="00A62843">
        <w:t>Reciprocal Enforcement of Judgments Act (CAP)1922</w:t>
      </w:r>
      <w:r w:rsidR="002535CA">
        <w:t>, s.</w:t>
      </w:r>
      <w:r w:rsidR="00B5427B">
        <w:t>3</w:t>
      </w:r>
      <w:r w:rsidR="002535CA">
        <w:t>(1)</w:t>
      </w:r>
    </w:p>
  </w:footnote>
  <w:footnote w:id="52">
    <w:p w14:paraId="74CCCF28" w14:textId="3DDB2040" w:rsidR="006B63E0" w:rsidRPr="006B63E0" w:rsidRDefault="006B63E0">
      <w:pPr>
        <w:pStyle w:val="FootnoteText"/>
        <w:rPr>
          <w:lang w:val="en-GB"/>
        </w:rPr>
      </w:pPr>
      <w:r>
        <w:rPr>
          <w:rStyle w:val="FootnoteReference"/>
        </w:rPr>
        <w:footnoteRef/>
      </w:r>
      <w:r>
        <w:t xml:space="preserve"> </w:t>
      </w:r>
      <w:r>
        <w:rPr>
          <w:lang w:val="en-GB"/>
        </w:rPr>
        <w:t xml:space="preserve">Ibid, </w:t>
      </w:r>
      <w:r w:rsidR="000A1100">
        <w:rPr>
          <w:lang w:val="en-GB"/>
        </w:rPr>
        <w:t>s,3(2)</w:t>
      </w:r>
    </w:p>
  </w:footnote>
  <w:footnote w:id="53">
    <w:p w14:paraId="730D279C" w14:textId="23585711" w:rsidR="009D5C4E" w:rsidRPr="009D5C4E" w:rsidRDefault="009D5C4E">
      <w:pPr>
        <w:pStyle w:val="FootnoteText"/>
        <w:rPr>
          <w:lang w:val="en-GB"/>
        </w:rPr>
      </w:pPr>
      <w:r>
        <w:rPr>
          <w:rStyle w:val="FootnoteReference"/>
        </w:rPr>
        <w:footnoteRef/>
      </w:r>
      <w:r>
        <w:t xml:space="preserve"> </w:t>
      </w:r>
      <w:r>
        <w:rPr>
          <w:lang w:val="en-GB"/>
        </w:rPr>
        <w:t>C</w:t>
      </w:r>
      <w:r w:rsidR="00E27528">
        <w:rPr>
          <w:lang w:val="en-GB"/>
        </w:rPr>
        <w:t>ivil Procedure Rules (CPR) 45.2</w:t>
      </w:r>
    </w:p>
  </w:footnote>
  <w:footnote w:id="54">
    <w:p w14:paraId="3EEDB972" w14:textId="1E122915" w:rsidR="00B14A88" w:rsidRPr="00B14A88" w:rsidRDefault="00B14A88">
      <w:pPr>
        <w:pStyle w:val="FootnoteText"/>
        <w:rPr>
          <w:lang w:val="en-GB"/>
        </w:rPr>
      </w:pPr>
      <w:r>
        <w:rPr>
          <w:rStyle w:val="FootnoteReference"/>
        </w:rPr>
        <w:footnoteRef/>
      </w:r>
      <w:r>
        <w:t xml:space="preserve"> </w:t>
      </w:r>
      <w:r>
        <w:rPr>
          <w:lang w:val="en-GB"/>
        </w:rPr>
        <w:t>BCA, s.213(5)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A46"/>
    <w:multiLevelType w:val="hybridMultilevel"/>
    <w:tmpl w:val="F6DE24BA"/>
    <w:lvl w:ilvl="0" w:tplc="FFFFFFFF">
      <w:start w:val="1"/>
      <w:numFmt w:val="upp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D25D8"/>
    <w:multiLevelType w:val="hybridMultilevel"/>
    <w:tmpl w:val="D5E07FF4"/>
    <w:lvl w:ilvl="0" w:tplc="FFFFFFFF">
      <w:start w:val="1"/>
      <w:numFmt w:val="bullet"/>
      <w:lvlText w:val="-"/>
      <w:lvlJc w:val="left"/>
      <w:pPr>
        <w:ind w:left="720" w:hanging="360"/>
      </w:pPr>
      <w:rPr>
        <w:rFonts w:ascii="Avenir Next" w:eastAsia="Times New Roman" w:hAnsi="Avenir Next"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76337"/>
    <w:multiLevelType w:val="hybridMultilevel"/>
    <w:tmpl w:val="7AA8FE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C37B7"/>
    <w:multiLevelType w:val="hybridMultilevel"/>
    <w:tmpl w:val="73121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D61E1"/>
    <w:multiLevelType w:val="hybridMultilevel"/>
    <w:tmpl w:val="7F80F8D0"/>
    <w:lvl w:ilvl="0" w:tplc="DDC6A722">
      <w:start w:val="1"/>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FB14C9"/>
    <w:multiLevelType w:val="hybridMultilevel"/>
    <w:tmpl w:val="51663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554DA1"/>
    <w:multiLevelType w:val="hybridMultilevel"/>
    <w:tmpl w:val="7AA8FEC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854342">
    <w:abstractNumId w:val="20"/>
  </w:num>
  <w:num w:numId="2" w16cid:durableId="60714606">
    <w:abstractNumId w:val="27"/>
  </w:num>
  <w:num w:numId="3" w16cid:durableId="1046568777">
    <w:abstractNumId w:val="11"/>
  </w:num>
  <w:num w:numId="4" w16cid:durableId="632836100">
    <w:abstractNumId w:val="15"/>
  </w:num>
  <w:num w:numId="5" w16cid:durableId="1911037087">
    <w:abstractNumId w:val="6"/>
  </w:num>
  <w:num w:numId="6" w16cid:durableId="1533615923">
    <w:abstractNumId w:val="12"/>
  </w:num>
  <w:num w:numId="7" w16cid:durableId="1261984627">
    <w:abstractNumId w:val="16"/>
  </w:num>
  <w:num w:numId="8" w16cid:durableId="1792868411">
    <w:abstractNumId w:val="23"/>
  </w:num>
  <w:num w:numId="9" w16cid:durableId="1444612860">
    <w:abstractNumId w:val="14"/>
  </w:num>
  <w:num w:numId="10" w16cid:durableId="1924214759">
    <w:abstractNumId w:val="13"/>
  </w:num>
  <w:num w:numId="11" w16cid:durableId="185288987">
    <w:abstractNumId w:val="3"/>
  </w:num>
  <w:num w:numId="12" w16cid:durableId="930697005">
    <w:abstractNumId w:val="21"/>
  </w:num>
  <w:num w:numId="13" w16cid:durableId="1044452472">
    <w:abstractNumId w:val="25"/>
  </w:num>
  <w:num w:numId="14" w16cid:durableId="1111165046">
    <w:abstractNumId w:val="8"/>
  </w:num>
  <w:num w:numId="15" w16cid:durableId="571888882">
    <w:abstractNumId w:val="18"/>
  </w:num>
  <w:num w:numId="16" w16cid:durableId="1051806839">
    <w:abstractNumId w:val="7"/>
  </w:num>
  <w:num w:numId="17" w16cid:durableId="290987743">
    <w:abstractNumId w:val="9"/>
  </w:num>
  <w:num w:numId="18" w16cid:durableId="1587566920">
    <w:abstractNumId w:val="22"/>
  </w:num>
  <w:num w:numId="19" w16cid:durableId="1112626581">
    <w:abstractNumId w:val="10"/>
  </w:num>
  <w:num w:numId="20" w16cid:durableId="71583320">
    <w:abstractNumId w:val="17"/>
  </w:num>
  <w:num w:numId="21" w16cid:durableId="816872387">
    <w:abstractNumId w:val="26"/>
  </w:num>
  <w:num w:numId="22" w16cid:durableId="209612353">
    <w:abstractNumId w:val="4"/>
  </w:num>
  <w:num w:numId="23" w16cid:durableId="1537162838">
    <w:abstractNumId w:val="29"/>
  </w:num>
  <w:num w:numId="24" w16cid:durableId="1302228094">
    <w:abstractNumId w:val="19"/>
  </w:num>
  <w:num w:numId="25" w16cid:durableId="1990134336">
    <w:abstractNumId w:val="1"/>
  </w:num>
  <w:num w:numId="26" w16cid:durableId="1063873409">
    <w:abstractNumId w:val="5"/>
  </w:num>
  <w:num w:numId="27" w16cid:durableId="1661843">
    <w:abstractNumId w:val="24"/>
  </w:num>
  <w:num w:numId="28" w16cid:durableId="1176189661">
    <w:abstractNumId w:val="0"/>
  </w:num>
  <w:num w:numId="29" w16cid:durableId="1332560094">
    <w:abstractNumId w:val="28"/>
  </w:num>
  <w:num w:numId="30" w16cid:durableId="199514074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5F5E"/>
    <w:rsid w:val="000167AB"/>
    <w:rsid w:val="00016E59"/>
    <w:rsid w:val="00020557"/>
    <w:rsid w:val="00021FC2"/>
    <w:rsid w:val="00022AE3"/>
    <w:rsid w:val="000250C7"/>
    <w:rsid w:val="000260C8"/>
    <w:rsid w:val="00026F16"/>
    <w:rsid w:val="000346F3"/>
    <w:rsid w:val="00034AF2"/>
    <w:rsid w:val="00037621"/>
    <w:rsid w:val="00044974"/>
    <w:rsid w:val="00044D46"/>
    <w:rsid w:val="00045088"/>
    <w:rsid w:val="0004533D"/>
    <w:rsid w:val="00045717"/>
    <w:rsid w:val="00045904"/>
    <w:rsid w:val="000502FD"/>
    <w:rsid w:val="00053BC1"/>
    <w:rsid w:val="00060B3E"/>
    <w:rsid w:val="00065166"/>
    <w:rsid w:val="000677EF"/>
    <w:rsid w:val="000725C3"/>
    <w:rsid w:val="00074353"/>
    <w:rsid w:val="00076DCF"/>
    <w:rsid w:val="000824D4"/>
    <w:rsid w:val="00082609"/>
    <w:rsid w:val="000851CC"/>
    <w:rsid w:val="000867D0"/>
    <w:rsid w:val="00087F21"/>
    <w:rsid w:val="000931C2"/>
    <w:rsid w:val="00093BE8"/>
    <w:rsid w:val="000A1100"/>
    <w:rsid w:val="000A407B"/>
    <w:rsid w:val="000A68ED"/>
    <w:rsid w:val="000B4961"/>
    <w:rsid w:val="000B5FF1"/>
    <w:rsid w:val="000B609F"/>
    <w:rsid w:val="000B6F7B"/>
    <w:rsid w:val="000C07F7"/>
    <w:rsid w:val="000C11DB"/>
    <w:rsid w:val="000C313A"/>
    <w:rsid w:val="000D110B"/>
    <w:rsid w:val="000D17DF"/>
    <w:rsid w:val="000D1EBF"/>
    <w:rsid w:val="000D47F9"/>
    <w:rsid w:val="000D55A8"/>
    <w:rsid w:val="000E1E96"/>
    <w:rsid w:val="000E4841"/>
    <w:rsid w:val="000F1677"/>
    <w:rsid w:val="000F379F"/>
    <w:rsid w:val="000F3D6C"/>
    <w:rsid w:val="00101707"/>
    <w:rsid w:val="00102CC5"/>
    <w:rsid w:val="00102CC9"/>
    <w:rsid w:val="001032E4"/>
    <w:rsid w:val="001046CE"/>
    <w:rsid w:val="001049F3"/>
    <w:rsid w:val="0010593A"/>
    <w:rsid w:val="00107AF5"/>
    <w:rsid w:val="0011473D"/>
    <w:rsid w:val="00114A24"/>
    <w:rsid w:val="00115C85"/>
    <w:rsid w:val="00120559"/>
    <w:rsid w:val="00123855"/>
    <w:rsid w:val="00126A4D"/>
    <w:rsid w:val="0014171F"/>
    <w:rsid w:val="0014622C"/>
    <w:rsid w:val="00147051"/>
    <w:rsid w:val="00152348"/>
    <w:rsid w:val="0015289B"/>
    <w:rsid w:val="00152EB8"/>
    <w:rsid w:val="0015385E"/>
    <w:rsid w:val="001543AE"/>
    <w:rsid w:val="0015456D"/>
    <w:rsid w:val="00155FA2"/>
    <w:rsid w:val="001605AE"/>
    <w:rsid w:val="001618B3"/>
    <w:rsid w:val="00161F1B"/>
    <w:rsid w:val="00162829"/>
    <w:rsid w:val="001634FE"/>
    <w:rsid w:val="00167872"/>
    <w:rsid w:val="00170636"/>
    <w:rsid w:val="0017088A"/>
    <w:rsid w:val="00170A2D"/>
    <w:rsid w:val="001732B4"/>
    <w:rsid w:val="00180548"/>
    <w:rsid w:val="00180765"/>
    <w:rsid w:val="00180AC4"/>
    <w:rsid w:val="00180CCE"/>
    <w:rsid w:val="001813E4"/>
    <w:rsid w:val="00181B03"/>
    <w:rsid w:val="00181BCA"/>
    <w:rsid w:val="0018267A"/>
    <w:rsid w:val="00182779"/>
    <w:rsid w:val="001830DF"/>
    <w:rsid w:val="00183F26"/>
    <w:rsid w:val="0019564D"/>
    <w:rsid w:val="001966D9"/>
    <w:rsid w:val="001973D9"/>
    <w:rsid w:val="001A007A"/>
    <w:rsid w:val="001A0312"/>
    <w:rsid w:val="001A25E9"/>
    <w:rsid w:val="001A2A22"/>
    <w:rsid w:val="001A7E9A"/>
    <w:rsid w:val="001B0F70"/>
    <w:rsid w:val="001B499B"/>
    <w:rsid w:val="001B5016"/>
    <w:rsid w:val="001B77C3"/>
    <w:rsid w:val="001C129E"/>
    <w:rsid w:val="001C45FC"/>
    <w:rsid w:val="001C56F7"/>
    <w:rsid w:val="001C6CF3"/>
    <w:rsid w:val="001D0469"/>
    <w:rsid w:val="001D12A1"/>
    <w:rsid w:val="001D29C0"/>
    <w:rsid w:val="001D4862"/>
    <w:rsid w:val="001E0E20"/>
    <w:rsid w:val="001E1A4E"/>
    <w:rsid w:val="001E25B9"/>
    <w:rsid w:val="001E49E0"/>
    <w:rsid w:val="001E7B5A"/>
    <w:rsid w:val="001F1824"/>
    <w:rsid w:val="001F2E6D"/>
    <w:rsid w:val="001F6823"/>
    <w:rsid w:val="001F7412"/>
    <w:rsid w:val="00200325"/>
    <w:rsid w:val="0020090A"/>
    <w:rsid w:val="0020287D"/>
    <w:rsid w:val="00202DFE"/>
    <w:rsid w:val="0020725B"/>
    <w:rsid w:val="002110F1"/>
    <w:rsid w:val="00216F2A"/>
    <w:rsid w:val="00220DAE"/>
    <w:rsid w:val="00222D3D"/>
    <w:rsid w:val="00225488"/>
    <w:rsid w:val="00230F65"/>
    <w:rsid w:val="002356EA"/>
    <w:rsid w:val="00235705"/>
    <w:rsid w:val="00236B2C"/>
    <w:rsid w:val="00237342"/>
    <w:rsid w:val="0024116D"/>
    <w:rsid w:val="00241B44"/>
    <w:rsid w:val="00241FA3"/>
    <w:rsid w:val="00245DE8"/>
    <w:rsid w:val="00245EFB"/>
    <w:rsid w:val="002461F3"/>
    <w:rsid w:val="00250A9E"/>
    <w:rsid w:val="002535CA"/>
    <w:rsid w:val="0025386E"/>
    <w:rsid w:val="002627C3"/>
    <w:rsid w:val="0026301C"/>
    <w:rsid w:val="002638B0"/>
    <w:rsid w:val="00263E8B"/>
    <w:rsid w:val="002649C2"/>
    <w:rsid w:val="00265945"/>
    <w:rsid w:val="00265ACC"/>
    <w:rsid w:val="0026647A"/>
    <w:rsid w:val="002668D3"/>
    <w:rsid w:val="0027299F"/>
    <w:rsid w:val="0027374E"/>
    <w:rsid w:val="002806CE"/>
    <w:rsid w:val="00281BB3"/>
    <w:rsid w:val="00284EBE"/>
    <w:rsid w:val="002903A7"/>
    <w:rsid w:val="0029433F"/>
    <w:rsid w:val="00294829"/>
    <w:rsid w:val="0029690F"/>
    <w:rsid w:val="00296BB8"/>
    <w:rsid w:val="00297A34"/>
    <w:rsid w:val="00297C8A"/>
    <w:rsid w:val="002A2A60"/>
    <w:rsid w:val="002A37BB"/>
    <w:rsid w:val="002A74F6"/>
    <w:rsid w:val="002B014D"/>
    <w:rsid w:val="002B01E7"/>
    <w:rsid w:val="002B1C45"/>
    <w:rsid w:val="002B4F08"/>
    <w:rsid w:val="002B6F2D"/>
    <w:rsid w:val="002B7F5D"/>
    <w:rsid w:val="002C0311"/>
    <w:rsid w:val="002C13C8"/>
    <w:rsid w:val="002C18E5"/>
    <w:rsid w:val="002C349A"/>
    <w:rsid w:val="002C3547"/>
    <w:rsid w:val="002C53DE"/>
    <w:rsid w:val="002D0021"/>
    <w:rsid w:val="002D299D"/>
    <w:rsid w:val="002D3473"/>
    <w:rsid w:val="002D40B6"/>
    <w:rsid w:val="002D545D"/>
    <w:rsid w:val="002D5E21"/>
    <w:rsid w:val="002D7B73"/>
    <w:rsid w:val="002E0EEE"/>
    <w:rsid w:val="002F1956"/>
    <w:rsid w:val="002F3440"/>
    <w:rsid w:val="002F400F"/>
    <w:rsid w:val="002F75A3"/>
    <w:rsid w:val="00303C2F"/>
    <w:rsid w:val="00310D8E"/>
    <w:rsid w:val="003125FB"/>
    <w:rsid w:val="003144EF"/>
    <w:rsid w:val="00326292"/>
    <w:rsid w:val="00326415"/>
    <w:rsid w:val="00330937"/>
    <w:rsid w:val="00330F31"/>
    <w:rsid w:val="003310E0"/>
    <w:rsid w:val="00334648"/>
    <w:rsid w:val="003352DF"/>
    <w:rsid w:val="0033768C"/>
    <w:rsid w:val="00337938"/>
    <w:rsid w:val="00340769"/>
    <w:rsid w:val="00341AA6"/>
    <w:rsid w:val="00355AD7"/>
    <w:rsid w:val="00361A0A"/>
    <w:rsid w:val="00362417"/>
    <w:rsid w:val="00364836"/>
    <w:rsid w:val="0036565C"/>
    <w:rsid w:val="0036625E"/>
    <w:rsid w:val="00371E18"/>
    <w:rsid w:val="0037465A"/>
    <w:rsid w:val="003767A4"/>
    <w:rsid w:val="00376E9E"/>
    <w:rsid w:val="0038082F"/>
    <w:rsid w:val="00382C98"/>
    <w:rsid w:val="0038364E"/>
    <w:rsid w:val="0038533C"/>
    <w:rsid w:val="00386568"/>
    <w:rsid w:val="00390B57"/>
    <w:rsid w:val="003948D5"/>
    <w:rsid w:val="003965A4"/>
    <w:rsid w:val="00396821"/>
    <w:rsid w:val="0039788D"/>
    <w:rsid w:val="00397D3A"/>
    <w:rsid w:val="00397EAE"/>
    <w:rsid w:val="003A051E"/>
    <w:rsid w:val="003A1B28"/>
    <w:rsid w:val="003A7FAB"/>
    <w:rsid w:val="003B170F"/>
    <w:rsid w:val="003B3C5F"/>
    <w:rsid w:val="003B5289"/>
    <w:rsid w:val="003B53F8"/>
    <w:rsid w:val="003B6305"/>
    <w:rsid w:val="003C3E0C"/>
    <w:rsid w:val="003C4471"/>
    <w:rsid w:val="003D0A6D"/>
    <w:rsid w:val="003D2A19"/>
    <w:rsid w:val="003D6CDC"/>
    <w:rsid w:val="003E09DE"/>
    <w:rsid w:val="003E0B16"/>
    <w:rsid w:val="003E60F6"/>
    <w:rsid w:val="003E67D1"/>
    <w:rsid w:val="003F2898"/>
    <w:rsid w:val="003F32C9"/>
    <w:rsid w:val="003F4A5C"/>
    <w:rsid w:val="003F4D82"/>
    <w:rsid w:val="004012E8"/>
    <w:rsid w:val="004017BA"/>
    <w:rsid w:val="00403340"/>
    <w:rsid w:val="00404329"/>
    <w:rsid w:val="00404E66"/>
    <w:rsid w:val="00405DC1"/>
    <w:rsid w:val="004110C5"/>
    <w:rsid w:val="00411AEC"/>
    <w:rsid w:val="00413346"/>
    <w:rsid w:val="00415E62"/>
    <w:rsid w:val="00415F1F"/>
    <w:rsid w:val="0041718C"/>
    <w:rsid w:val="0042108F"/>
    <w:rsid w:val="00422C93"/>
    <w:rsid w:val="00430E77"/>
    <w:rsid w:val="00430FED"/>
    <w:rsid w:val="00431F9B"/>
    <w:rsid w:val="00432AC5"/>
    <w:rsid w:val="00434A8C"/>
    <w:rsid w:val="00437297"/>
    <w:rsid w:val="00444284"/>
    <w:rsid w:val="00445CE6"/>
    <w:rsid w:val="00450D3E"/>
    <w:rsid w:val="00452885"/>
    <w:rsid w:val="004534C2"/>
    <w:rsid w:val="0045446F"/>
    <w:rsid w:val="0045683E"/>
    <w:rsid w:val="004623BB"/>
    <w:rsid w:val="00462BBF"/>
    <w:rsid w:val="004677C8"/>
    <w:rsid w:val="00470BAF"/>
    <w:rsid w:val="0047211B"/>
    <w:rsid w:val="0047520B"/>
    <w:rsid w:val="00475A1D"/>
    <w:rsid w:val="00477C72"/>
    <w:rsid w:val="00481E38"/>
    <w:rsid w:val="00490791"/>
    <w:rsid w:val="00491675"/>
    <w:rsid w:val="004920B1"/>
    <w:rsid w:val="00493855"/>
    <w:rsid w:val="00495E79"/>
    <w:rsid w:val="004A1480"/>
    <w:rsid w:val="004A2D83"/>
    <w:rsid w:val="004A57DD"/>
    <w:rsid w:val="004A7B51"/>
    <w:rsid w:val="004A7D71"/>
    <w:rsid w:val="004A7EF3"/>
    <w:rsid w:val="004B11FD"/>
    <w:rsid w:val="004B23A2"/>
    <w:rsid w:val="004B5EB3"/>
    <w:rsid w:val="004B6E88"/>
    <w:rsid w:val="004B6FDF"/>
    <w:rsid w:val="004C24EE"/>
    <w:rsid w:val="004C322C"/>
    <w:rsid w:val="004C4131"/>
    <w:rsid w:val="004C4484"/>
    <w:rsid w:val="004D1A5A"/>
    <w:rsid w:val="004D23CF"/>
    <w:rsid w:val="004D2FFF"/>
    <w:rsid w:val="004D3206"/>
    <w:rsid w:val="004D3721"/>
    <w:rsid w:val="004D47E2"/>
    <w:rsid w:val="004D64F9"/>
    <w:rsid w:val="004E3A6B"/>
    <w:rsid w:val="004E5423"/>
    <w:rsid w:val="004E622C"/>
    <w:rsid w:val="004F2411"/>
    <w:rsid w:val="004F5FDF"/>
    <w:rsid w:val="004F652D"/>
    <w:rsid w:val="004F6DE1"/>
    <w:rsid w:val="004F7504"/>
    <w:rsid w:val="004F7BE0"/>
    <w:rsid w:val="00500BD1"/>
    <w:rsid w:val="00507F4D"/>
    <w:rsid w:val="00511801"/>
    <w:rsid w:val="00511CB4"/>
    <w:rsid w:val="00514108"/>
    <w:rsid w:val="00516777"/>
    <w:rsid w:val="005177FE"/>
    <w:rsid w:val="00521625"/>
    <w:rsid w:val="0052263B"/>
    <w:rsid w:val="00522653"/>
    <w:rsid w:val="00524728"/>
    <w:rsid w:val="005300A0"/>
    <w:rsid w:val="00532663"/>
    <w:rsid w:val="005331CA"/>
    <w:rsid w:val="005376CD"/>
    <w:rsid w:val="00537970"/>
    <w:rsid w:val="00537D64"/>
    <w:rsid w:val="00540E3A"/>
    <w:rsid w:val="00544127"/>
    <w:rsid w:val="005463A9"/>
    <w:rsid w:val="00550F78"/>
    <w:rsid w:val="00553EB2"/>
    <w:rsid w:val="005563EB"/>
    <w:rsid w:val="00560534"/>
    <w:rsid w:val="00561E2F"/>
    <w:rsid w:val="0056391B"/>
    <w:rsid w:val="005650E2"/>
    <w:rsid w:val="00567AD7"/>
    <w:rsid w:val="005707AC"/>
    <w:rsid w:val="00575B2D"/>
    <w:rsid w:val="00577F73"/>
    <w:rsid w:val="005833D0"/>
    <w:rsid w:val="0058384E"/>
    <w:rsid w:val="00583A1A"/>
    <w:rsid w:val="005846F3"/>
    <w:rsid w:val="005851DE"/>
    <w:rsid w:val="0058622F"/>
    <w:rsid w:val="00591450"/>
    <w:rsid w:val="00591B2C"/>
    <w:rsid w:val="00592B74"/>
    <w:rsid w:val="00592F82"/>
    <w:rsid w:val="00594D94"/>
    <w:rsid w:val="005965BF"/>
    <w:rsid w:val="005A0CCA"/>
    <w:rsid w:val="005A6FF2"/>
    <w:rsid w:val="005A726D"/>
    <w:rsid w:val="005B230C"/>
    <w:rsid w:val="005B43DE"/>
    <w:rsid w:val="005B4753"/>
    <w:rsid w:val="005B67AC"/>
    <w:rsid w:val="005B6B57"/>
    <w:rsid w:val="005B79F4"/>
    <w:rsid w:val="005C5BF6"/>
    <w:rsid w:val="005D16DD"/>
    <w:rsid w:val="005D20E0"/>
    <w:rsid w:val="005D3BB4"/>
    <w:rsid w:val="005D43E0"/>
    <w:rsid w:val="005D44E6"/>
    <w:rsid w:val="005D58A3"/>
    <w:rsid w:val="005E1B79"/>
    <w:rsid w:val="005E6076"/>
    <w:rsid w:val="005E7008"/>
    <w:rsid w:val="005F026D"/>
    <w:rsid w:val="005F0775"/>
    <w:rsid w:val="005F2AEA"/>
    <w:rsid w:val="005F2D0B"/>
    <w:rsid w:val="005F4B31"/>
    <w:rsid w:val="00604652"/>
    <w:rsid w:val="00607D19"/>
    <w:rsid w:val="00610388"/>
    <w:rsid w:val="00610AC7"/>
    <w:rsid w:val="00610EEE"/>
    <w:rsid w:val="00612CA5"/>
    <w:rsid w:val="00613636"/>
    <w:rsid w:val="00613B3A"/>
    <w:rsid w:val="006153EC"/>
    <w:rsid w:val="00617A39"/>
    <w:rsid w:val="00621A17"/>
    <w:rsid w:val="0062226A"/>
    <w:rsid w:val="00622936"/>
    <w:rsid w:val="00627CC9"/>
    <w:rsid w:val="00627E7B"/>
    <w:rsid w:val="00630158"/>
    <w:rsid w:val="00630542"/>
    <w:rsid w:val="00631541"/>
    <w:rsid w:val="00632E44"/>
    <w:rsid w:val="00634622"/>
    <w:rsid w:val="00636808"/>
    <w:rsid w:val="00640049"/>
    <w:rsid w:val="006409B6"/>
    <w:rsid w:val="00641515"/>
    <w:rsid w:val="0064164E"/>
    <w:rsid w:val="00647423"/>
    <w:rsid w:val="00651E64"/>
    <w:rsid w:val="00652F22"/>
    <w:rsid w:val="00654C2F"/>
    <w:rsid w:val="00657087"/>
    <w:rsid w:val="006639DB"/>
    <w:rsid w:val="00665098"/>
    <w:rsid w:val="006661EF"/>
    <w:rsid w:val="006665F6"/>
    <w:rsid w:val="00666DF9"/>
    <w:rsid w:val="00670E4A"/>
    <w:rsid w:val="00672CAB"/>
    <w:rsid w:val="00672CB0"/>
    <w:rsid w:val="00674167"/>
    <w:rsid w:val="00674DDE"/>
    <w:rsid w:val="00677AEB"/>
    <w:rsid w:val="00680EF2"/>
    <w:rsid w:val="006879E6"/>
    <w:rsid w:val="00687A1D"/>
    <w:rsid w:val="00690A51"/>
    <w:rsid w:val="00696E64"/>
    <w:rsid w:val="00697EA1"/>
    <w:rsid w:val="006A2646"/>
    <w:rsid w:val="006A6530"/>
    <w:rsid w:val="006A6BCE"/>
    <w:rsid w:val="006B435A"/>
    <w:rsid w:val="006B4C64"/>
    <w:rsid w:val="006B57A4"/>
    <w:rsid w:val="006B63E0"/>
    <w:rsid w:val="006B7012"/>
    <w:rsid w:val="006C0B4D"/>
    <w:rsid w:val="006C36EC"/>
    <w:rsid w:val="006C6E8C"/>
    <w:rsid w:val="006D20D5"/>
    <w:rsid w:val="006D25EE"/>
    <w:rsid w:val="006D6BD5"/>
    <w:rsid w:val="006E481A"/>
    <w:rsid w:val="006E5298"/>
    <w:rsid w:val="006F0B68"/>
    <w:rsid w:val="006F0FAD"/>
    <w:rsid w:val="006F1654"/>
    <w:rsid w:val="006F19E6"/>
    <w:rsid w:val="006F47F6"/>
    <w:rsid w:val="006F4A78"/>
    <w:rsid w:val="006F734A"/>
    <w:rsid w:val="00700D83"/>
    <w:rsid w:val="00704852"/>
    <w:rsid w:val="0070491A"/>
    <w:rsid w:val="00706F3B"/>
    <w:rsid w:val="007074E9"/>
    <w:rsid w:val="00713DA4"/>
    <w:rsid w:val="00714BF1"/>
    <w:rsid w:val="00717595"/>
    <w:rsid w:val="00720D5C"/>
    <w:rsid w:val="00721383"/>
    <w:rsid w:val="007226C6"/>
    <w:rsid w:val="00730F54"/>
    <w:rsid w:val="0073158B"/>
    <w:rsid w:val="007333CC"/>
    <w:rsid w:val="0073399A"/>
    <w:rsid w:val="007377E3"/>
    <w:rsid w:val="00740DAD"/>
    <w:rsid w:val="00747BDD"/>
    <w:rsid w:val="00753C00"/>
    <w:rsid w:val="007542CC"/>
    <w:rsid w:val="007549F8"/>
    <w:rsid w:val="00755234"/>
    <w:rsid w:val="007603F5"/>
    <w:rsid w:val="00764DB0"/>
    <w:rsid w:val="00764EA5"/>
    <w:rsid w:val="00766F06"/>
    <w:rsid w:val="00767275"/>
    <w:rsid w:val="0076764D"/>
    <w:rsid w:val="00773485"/>
    <w:rsid w:val="0077498C"/>
    <w:rsid w:val="007809BC"/>
    <w:rsid w:val="00781916"/>
    <w:rsid w:val="00782915"/>
    <w:rsid w:val="00784128"/>
    <w:rsid w:val="00787BCC"/>
    <w:rsid w:val="00790670"/>
    <w:rsid w:val="00793173"/>
    <w:rsid w:val="007A0E39"/>
    <w:rsid w:val="007A0E4C"/>
    <w:rsid w:val="007A2A33"/>
    <w:rsid w:val="007A6BD4"/>
    <w:rsid w:val="007B17D1"/>
    <w:rsid w:val="007B483F"/>
    <w:rsid w:val="007B5462"/>
    <w:rsid w:val="007B5C89"/>
    <w:rsid w:val="007B77FB"/>
    <w:rsid w:val="007C1FCC"/>
    <w:rsid w:val="007C6201"/>
    <w:rsid w:val="007D2A74"/>
    <w:rsid w:val="007D2C5D"/>
    <w:rsid w:val="007D4213"/>
    <w:rsid w:val="007D7C92"/>
    <w:rsid w:val="007E1154"/>
    <w:rsid w:val="007E175D"/>
    <w:rsid w:val="007E18FF"/>
    <w:rsid w:val="007E6BA4"/>
    <w:rsid w:val="007F41F8"/>
    <w:rsid w:val="007F46E2"/>
    <w:rsid w:val="007F659B"/>
    <w:rsid w:val="007F7B48"/>
    <w:rsid w:val="00800319"/>
    <w:rsid w:val="00802DB8"/>
    <w:rsid w:val="0080454E"/>
    <w:rsid w:val="00804C32"/>
    <w:rsid w:val="00804D12"/>
    <w:rsid w:val="00806302"/>
    <w:rsid w:val="008065CE"/>
    <w:rsid w:val="0080691F"/>
    <w:rsid w:val="00806ABF"/>
    <w:rsid w:val="00807119"/>
    <w:rsid w:val="008126FB"/>
    <w:rsid w:val="0081477B"/>
    <w:rsid w:val="00814B15"/>
    <w:rsid w:val="0081721C"/>
    <w:rsid w:val="00820286"/>
    <w:rsid w:val="0082483F"/>
    <w:rsid w:val="008279C0"/>
    <w:rsid w:val="00841CF0"/>
    <w:rsid w:val="0084228B"/>
    <w:rsid w:val="0084231C"/>
    <w:rsid w:val="00843E87"/>
    <w:rsid w:val="00847A92"/>
    <w:rsid w:val="00855449"/>
    <w:rsid w:val="008655C0"/>
    <w:rsid w:val="0086653A"/>
    <w:rsid w:val="0086752C"/>
    <w:rsid w:val="00867701"/>
    <w:rsid w:val="00870F85"/>
    <w:rsid w:val="0087216B"/>
    <w:rsid w:val="008723F3"/>
    <w:rsid w:val="00876F56"/>
    <w:rsid w:val="00877472"/>
    <w:rsid w:val="00881DE6"/>
    <w:rsid w:val="008837A6"/>
    <w:rsid w:val="00884EF8"/>
    <w:rsid w:val="00886412"/>
    <w:rsid w:val="00886527"/>
    <w:rsid w:val="00886934"/>
    <w:rsid w:val="00886BCE"/>
    <w:rsid w:val="0089145D"/>
    <w:rsid w:val="00891C43"/>
    <w:rsid w:val="00894557"/>
    <w:rsid w:val="008A4DF2"/>
    <w:rsid w:val="008A6CFE"/>
    <w:rsid w:val="008B5333"/>
    <w:rsid w:val="008B6223"/>
    <w:rsid w:val="008B6B10"/>
    <w:rsid w:val="008C0297"/>
    <w:rsid w:val="008C6322"/>
    <w:rsid w:val="008C66E0"/>
    <w:rsid w:val="008D1E68"/>
    <w:rsid w:val="008D4C1A"/>
    <w:rsid w:val="008E1AB2"/>
    <w:rsid w:val="008E3339"/>
    <w:rsid w:val="008E3696"/>
    <w:rsid w:val="008E48CA"/>
    <w:rsid w:val="008E73F9"/>
    <w:rsid w:val="008F0FA4"/>
    <w:rsid w:val="008F1DEF"/>
    <w:rsid w:val="008F20FC"/>
    <w:rsid w:val="008F5FFE"/>
    <w:rsid w:val="008F7401"/>
    <w:rsid w:val="00903504"/>
    <w:rsid w:val="00905A43"/>
    <w:rsid w:val="00912964"/>
    <w:rsid w:val="00912C79"/>
    <w:rsid w:val="00920B23"/>
    <w:rsid w:val="00921B8C"/>
    <w:rsid w:val="00921C96"/>
    <w:rsid w:val="00923B1C"/>
    <w:rsid w:val="009314E9"/>
    <w:rsid w:val="0093348F"/>
    <w:rsid w:val="00936614"/>
    <w:rsid w:val="00941552"/>
    <w:rsid w:val="00942123"/>
    <w:rsid w:val="009443A6"/>
    <w:rsid w:val="00947B6B"/>
    <w:rsid w:val="009502A4"/>
    <w:rsid w:val="0095207B"/>
    <w:rsid w:val="00962045"/>
    <w:rsid w:val="00966035"/>
    <w:rsid w:val="00966568"/>
    <w:rsid w:val="00967709"/>
    <w:rsid w:val="00967985"/>
    <w:rsid w:val="00967F07"/>
    <w:rsid w:val="009731F2"/>
    <w:rsid w:val="009738BE"/>
    <w:rsid w:val="00980E61"/>
    <w:rsid w:val="009842DA"/>
    <w:rsid w:val="009859BA"/>
    <w:rsid w:val="00985BC8"/>
    <w:rsid w:val="0099080D"/>
    <w:rsid w:val="00991428"/>
    <w:rsid w:val="00992676"/>
    <w:rsid w:val="009937B8"/>
    <w:rsid w:val="00994D06"/>
    <w:rsid w:val="009954B2"/>
    <w:rsid w:val="00996691"/>
    <w:rsid w:val="009A2A29"/>
    <w:rsid w:val="009A361D"/>
    <w:rsid w:val="009A3AB7"/>
    <w:rsid w:val="009A4EAE"/>
    <w:rsid w:val="009A5CE4"/>
    <w:rsid w:val="009A6BB0"/>
    <w:rsid w:val="009B0723"/>
    <w:rsid w:val="009B07AD"/>
    <w:rsid w:val="009B0883"/>
    <w:rsid w:val="009B15E2"/>
    <w:rsid w:val="009B2474"/>
    <w:rsid w:val="009B4976"/>
    <w:rsid w:val="009C0B8E"/>
    <w:rsid w:val="009C1BC8"/>
    <w:rsid w:val="009C2442"/>
    <w:rsid w:val="009C2D45"/>
    <w:rsid w:val="009C6F16"/>
    <w:rsid w:val="009C74A4"/>
    <w:rsid w:val="009D0811"/>
    <w:rsid w:val="009D0EE1"/>
    <w:rsid w:val="009D13F5"/>
    <w:rsid w:val="009D1E73"/>
    <w:rsid w:val="009D5C4E"/>
    <w:rsid w:val="009E132C"/>
    <w:rsid w:val="009E1E10"/>
    <w:rsid w:val="009E2AEB"/>
    <w:rsid w:val="009E2E27"/>
    <w:rsid w:val="009E2F51"/>
    <w:rsid w:val="009E45DF"/>
    <w:rsid w:val="009E4DE3"/>
    <w:rsid w:val="009F1889"/>
    <w:rsid w:val="009F275E"/>
    <w:rsid w:val="00A024A1"/>
    <w:rsid w:val="00A0469D"/>
    <w:rsid w:val="00A047EE"/>
    <w:rsid w:val="00A05C41"/>
    <w:rsid w:val="00A061B5"/>
    <w:rsid w:val="00A06D61"/>
    <w:rsid w:val="00A0707B"/>
    <w:rsid w:val="00A07CC0"/>
    <w:rsid w:val="00A10AFA"/>
    <w:rsid w:val="00A120D0"/>
    <w:rsid w:val="00A15E29"/>
    <w:rsid w:val="00A205BF"/>
    <w:rsid w:val="00A20FE8"/>
    <w:rsid w:val="00A2274A"/>
    <w:rsid w:val="00A235B7"/>
    <w:rsid w:val="00A25CA5"/>
    <w:rsid w:val="00A2643A"/>
    <w:rsid w:val="00A27A7A"/>
    <w:rsid w:val="00A3309F"/>
    <w:rsid w:val="00A339C4"/>
    <w:rsid w:val="00A34ABE"/>
    <w:rsid w:val="00A407EF"/>
    <w:rsid w:val="00A41C65"/>
    <w:rsid w:val="00A44876"/>
    <w:rsid w:val="00A46B4C"/>
    <w:rsid w:val="00A5117B"/>
    <w:rsid w:val="00A5162B"/>
    <w:rsid w:val="00A51F89"/>
    <w:rsid w:val="00A52262"/>
    <w:rsid w:val="00A56D34"/>
    <w:rsid w:val="00A60074"/>
    <w:rsid w:val="00A62843"/>
    <w:rsid w:val="00A6627C"/>
    <w:rsid w:val="00A70935"/>
    <w:rsid w:val="00A71019"/>
    <w:rsid w:val="00A719B3"/>
    <w:rsid w:val="00A8014D"/>
    <w:rsid w:val="00A8044E"/>
    <w:rsid w:val="00A81029"/>
    <w:rsid w:val="00A81C52"/>
    <w:rsid w:val="00A83CD1"/>
    <w:rsid w:val="00A845F5"/>
    <w:rsid w:val="00A87C3D"/>
    <w:rsid w:val="00A96489"/>
    <w:rsid w:val="00AB2425"/>
    <w:rsid w:val="00AB685C"/>
    <w:rsid w:val="00AB6C2D"/>
    <w:rsid w:val="00AB7DB3"/>
    <w:rsid w:val="00AC08F7"/>
    <w:rsid w:val="00AC262D"/>
    <w:rsid w:val="00AC3839"/>
    <w:rsid w:val="00AC7082"/>
    <w:rsid w:val="00AD11ED"/>
    <w:rsid w:val="00AD288B"/>
    <w:rsid w:val="00AD2DAB"/>
    <w:rsid w:val="00AD3252"/>
    <w:rsid w:val="00AD4BE8"/>
    <w:rsid w:val="00AD6B0B"/>
    <w:rsid w:val="00AD713F"/>
    <w:rsid w:val="00AE09A1"/>
    <w:rsid w:val="00AE1138"/>
    <w:rsid w:val="00AE79C6"/>
    <w:rsid w:val="00AF228E"/>
    <w:rsid w:val="00AF2D54"/>
    <w:rsid w:val="00AF69E4"/>
    <w:rsid w:val="00AF6B3A"/>
    <w:rsid w:val="00AF79E5"/>
    <w:rsid w:val="00B00B9E"/>
    <w:rsid w:val="00B016A8"/>
    <w:rsid w:val="00B14819"/>
    <w:rsid w:val="00B14A76"/>
    <w:rsid w:val="00B14A88"/>
    <w:rsid w:val="00B15E2F"/>
    <w:rsid w:val="00B17AA9"/>
    <w:rsid w:val="00B22593"/>
    <w:rsid w:val="00B24DB4"/>
    <w:rsid w:val="00B306D4"/>
    <w:rsid w:val="00B336F8"/>
    <w:rsid w:val="00B359DF"/>
    <w:rsid w:val="00B3758C"/>
    <w:rsid w:val="00B40A71"/>
    <w:rsid w:val="00B41DE8"/>
    <w:rsid w:val="00B44713"/>
    <w:rsid w:val="00B4749D"/>
    <w:rsid w:val="00B50615"/>
    <w:rsid w:val="00B51B95"/>
    <w:rsid w:val="00B5427B"/>
    <w:rsid w:val="00B54DB9"/>
    <w:rsid w:val="00B56103"/>
    <w:rsid w:val="00B63843"/>
    <w:rsid w:val="00B64929"/>
    <w:rsid w:val="00B649E2"/>
    <w:rsid w:val="00B668EC"/>
    <w:rsid w:val="00B70B55"/>
    <w:rsid w:val="00B736DF"/>
    <w:rsid w:val="00B74105"/>
    <w:rsid w:val="00B743D6"/>
    <w:rsid w:val="00B74FBD"/>
    <w:rsid w:val="00B769EA"/>
    <w:rsid w:val="00B77F46"/>
    <w:rsid w:val="00B806A8"/>
    <w:rsid w:val="00B82586"/>
    <w:rsid w:val="00B829A3"/>
    <w:rsid w:val="00B86DB1"/>
    <w:rsid w:val="00B87869"/>
    <w:rsid w:val="00B91B70"/>
    <w:rsid w:val="00B94CC4"/>
    <w:rsid w:val="00B9639B"/>
    <w:rsid w:val="00BA179B"/>
    <w:rsid w:val="00BA1DB6"/>
    <w:rsid w:val="00BA4849"/>
    <w:rsid w:val="00BA5A30"/>
    <w:rsid w:val="00BA5D6B"/>
    <w:rsid w:val="00BA6646"/>
    <w:rsid w:val="00BB0F2B"/>
    <w:rsid w:val="00BB55E6"/>
    <w:rsid w:val="00BC2D8E"/>
    <w:rsid w:val="00BD547F"/>
    <w:rsid w:val="00BE325E"/>
    <w:rsid w:val="00BE4FF3"/>
    <w:rsid w:val="00BE77A5"/>
    <w:rsid w:val="00BF4284"/>
    <w:rsid w:val="00BF50F7"/>
    <w:rsid w:val="00BF5403"/>
    <w:rsid w:val="00C018C7"/>
    <w:rsid w:val="00C02F29"/>
    <w:rsid w:val="00C11468"/>
    <w:rsid w:val="00C119D3"/>
    <w:rsid w:val="00C124AD"/>
    <w:rsid w:val="00C14CC6"/>
    <w:rsid w:val="00C15B48"/>
    <w:rsid w:val="00C17718"/>
    <w:rsid w:val="00C20AFE"/>
    <w:rsid w:val="00C22A25"/>
    <w:rsid w:val="00C23529"/>
    <w:rsid w:val="00C26BB2"/>
    <w:rsid w:val="00C27830"/>
    <w:rsid w:val="00C31F60"/>
    <w:rsid w:val="00C35671"/>
    <w:rsid w:val="00C35B77"/>
    <w:rsid w:val="00C376EB"/>
    <w:rsid w:val="00C46A92"/>
    <w:rsid w:val="00C46EC1"/>
    <w:rsid w:val="00C5075B"/>
    <w:rsid w:val="00C523DF"/>
    <w:rsid w:val="00C52796"/>
    <w:rsid w:val="00C52D20"/>
    <w:rsid w:val="00C53DEB"/>
    <w:rsid w:val="00C53E2C"/>
    <w:rsid w:val="00C550C8"/>
    <w:rsid w:val="00C55824"/>
    <w:rsid w:val="00C56B61"/>
    <w:rsid w:val="00C56ECF"/>
    <w:rsid w:val="00C606C3"/>
    <w:rsid w:val="00C620F4"/>
    <w:rsid w:val="00C622F4"/>
    <w:rsid w:val="00C649CE"/>
    <w:rsid w:val="00C66CA6"/>
    <w:rsid w:val="00C72848"/>
    <w:rsid w:val="00C7736C"/>
    <w:rsid w:val="00C77B6D"/>
    <w:rsid w:val="00C82D87"/>
    <w:rsid w:val="00C85003"/>
    <w:rsid w:val="00C8712A"/>
    <w:rsid w:val="00C902C8"/>
    <w:rsid w:val="00C9100B"/>
    <w:rsid w:val="00C919D1"/>
    <w:rsid w:val="00C92206"/>
    <w:rsid w:val="00C941AF"/>
    <w:rsid w:val="00C944C1"/>
    <w:rsid w:val="00C963D3"/>
    <w:rsid w:val="00CA1AE8"/>
    <w:rsid w:val="00CA2F67"/>
    <w:rsid w:val="00CA76DF"/>
    <w:rsid w:val="00CB1983"/>
    <w:rsid w:val="00CB2CBB"/>
    <w:rsid w:val="00CB4D93"/>
    <w:rsid w:val="00CB7CAC"/>
    <w:rsid w:val="00CC1C76"/>
    <w:rsid w:val="00CC5335"/>
    <w:rsid w:val="00CC5BA4"/>
    <w:rsid w:val="00CD2A22"/>
    <w:rsid w:val="00CD37F1"/>
    <w:rsid w:val="00CD4174"/>
    <w:rsid w:val="00CD4998"/>
    <w:rsid w:val="00CD5531"/>
    <w:rsid w:val="00CD5681"/>
    <w:rsid w:val="00CE1035"/>
    <w:rsid w:val="00CE46C6"/>
    <w:rsid w:val="00CE5535"/>
    <w:rsid w:val="00CE5B0B"/>
    <w:rsid w:val="00CE5BB2"/>
    <w:rsid w:val="00CE62E7"/>
    <w:rsid w:val="00CE6E50"/>
    <w:rsid w:val="00CF1F01"/>
    <w:rsid w:val="00CF2819"/>
    <w:rsid w:val="00CF4F9D"/>
    <w:rsid w:val="00CF70DC"/>
    <w:rsid w:val="00D008AF"/>
    <w:rsid w:val="00D048D5"/>
    <w:rsid w:val="00D148DC"/>
    <w:rsid w:val="00D17FDC"/>
    <w:rsid w:val="00D21D8C"/>
    <w:rsid w:val="00D26E97"/>
    <w:rsid w:val="00D32900"/>
    <w:rsid w:val="00D35830"/>
    <w:rsid w:val="00D4373C"/>
    <w:rsid w:val="00D443B2"/>
    <w:rsid w:val="00D52412"/>
    <w:rsid w:val="00D5259E"/>
    <w:rsid w:val="00D53719"/>
    <w:rsid w:val="00D537E5"/>
    <w:rsid w:val="00D56BDA"/>
    <w:rsid w:val="00D61985"/>
    <w:rsid w:val="00D63EFD"/>
    <w:rsid w:val="00D657A7"/>
    <w:rsid w:val="00D65AB1"/>
    <w:rsid w:val="00D7001E"/>
    <w:rsid w:val="00D75E05"/>
    <w:rsid w:val="00D8090E"/>
    <w:rsid w:val="00D84752"/>
    <w:rsid w:val="00D86B3B"/>
    <w:rsid w:val="00D8748A"/>
    <w:rsid w:val="00D93196"/>
    <w:rsid w:val="00D936AB"/>
    <w:rsid w:val="00D96A9B"/>
    <w:rsid w:val="00D97D98"/>
    <w:rsid w:val="00DA07FD"/>
    <w:rsid w:val="00DA0DC0"/>
    <w:rsid w:val="00DA41CD"/>
    <w:rsid w:val="00DA4487"/>
    <w:rsid w:val="00DA786B"/>
    <w:rsid w:val="00DB243C"/>
    <w:rsid w:val="00DB4053"/>
    <w:rsid w:val="00DB482A"/>
    <w:rsid w:val="00DB4E8C"/>
    <w:rsid w:val="00DB50FB"/>
    <w:rsid w:val="00DB5673"/>
    <w:rsid w:val="00DB56F2"/>
    <w:rsid w:val="00DB6EF5"/>
    <w:rsid w:val="00DC3089"/>
    <w:rsid w:val="00DC3D4B"/>
    <w:rsid w:val="00DC4420"/>
    <w:rsid w:val="00DC501C"/>
    <w:rsid w:val="00DC5C3E"/>
    <w:rsid w:val="00DD0379"/>
    <w:rsid w:val="00DD0802"/>
    <w:rsid w:val="00DD0CBB"/>
    <w:rsid w:val="00DD2E11"/>
    <w:rsid w:val="00DE004E"/>
    <w:rsid w:val="00DE03AF"/>
    <w:rsid w:val="00DE121C"/>
    <w:rsid w:val="00DE6633"/>
    <w:rsid w:val="00DF0B59"/>
    <w:rsid w:val="00DF305A"/>
    <w:rsid w:val="00DF43CA"/>
    <w:rsid w:val="00DF75F8"/>
    <w:rsid w:val="00DF7A3A"/>
    <w:rsid w:val="00E00C00"/>
    <w:rsid w:val="00E06F53"/>
    <w:rsid w:val="00E07C5A"/>
    <w:rsid w:val="00E106D1"/>
    <w:rsid w:val="00E136E9"/>
    <w:rsid w:val="00E15BA9"/>
    <w:rsid w:val="00E16C3A"/>
    <w:rsid w:val="00E20E16"/>
    <w:rsid w:val="00E264A2"/>
    <w:rsid w:val="00E26E19"/>
    <w:rsid w:val="00E27528"/>
    <w:rsid w:val="00E31DF3"/>
    <w:rsid w:val="00E33B4B"/>
    <w:rsid w:val="00E450A4"/>
    <w:rsid w:val="00E45821"/>
    <w:rsid w:val="00E45902"/>
    <w:rsid w:val="00E462AE"/>
    <w:rsid w:val="00E473F3"/>
    <w:rsid w:val="00E506BE"/>
    <w:rsid w:val="00E5333B"/>
    <w:rsid w:val="00E55547"/>
    <w:rsid w:val="00E555C6"/>
    <w:rsid w:val="00E6302B"/>
    <w:rsid w:val="00E64140"/>
    <w:rsid w:val="00E6452F"/>
    <w:rsid w:val="00E64F45"/>
    <w:rsid w:val="00E6742D"/>
    <w:rsid w:val="00E71CB0"/>
    <w:rsid w:val="00E726A0"/>
    <w:rsid w:val="00E75563"/>
    <w:rsid w:val="00E75F06"/>
    <w:rsid w:val="00E77C3D"/>
    <w:rsid w:val="00E841C9"/>
    <w:rsid w:val="00E87B1B"/>
    <w:rsid w:val="00E9008E"/>
    <w:rsid w:val="00E90698"/>
    <w:rsid w:val="00E90991"/>
    <w:rsid w:val="00E909F0"/>
    <w:rsid w:val="00E90D47"/>
    <w:rsid w:val="00E93993"/>
    <w:rsid w:val="00E9597C"/>
    <w:rsid w:val="00E974DC"/>
    <w:rsid w:val="00EA0913"/>
    <w:rsid w:val="00EA45D8"/>
    <w:rsid w:val="00EA4F00"/>
    <w:rsid w:val="00EA530C"/>
    <w:rsid w:val="00EA5B00"/>
    <w:rsid w:val="00EB146B"/>
    <w:rsid w:val="00EB1949"/>
    <w:rsid w:val="00EB2082"/>
    <w:rsid w:val="00EB45AC"/>
    <w:rsid w:val="00EB7E20"/>
    <w:rsid w:val="00EC441F"/>
    <w:rsid w:val="00EC4755"/>
    <w:rsid w:val="00ED0BC4"/>
    <w:rsid w:val="00ED2EBA"/>
    <w:rsid w:val="00ED447D"/>
    <w:rsid w:val="00EE10E7"/>
    <w:rsid w:val="00EE3A34"/>
    <w:rsid w:val="00EE47CF"/>
    <w:rsid w:val="00EE4971"/>
    <w:rsid w:val="00EE6CB0"/>
    <w:rsid w:val="00EF090E"/>
    <w:rsid w:val="00EF5572"/>
    <w:rsid w:val="00F00A13"/>
    <w:rsid w:val="00F033DA"/>
    <w:rsid w:val="00F03B2C"/>
    <w:rsid w:val="00F07A01"/>
    <w:rsid w:val="00F13691"/>
    <w:rsid w:val="00F13FB1"/>
    <w:rsid w:val="00F143E2"/>
    <w:rsid w:val="00F2191F"/>
    <w:rsid w:val="00F21B63"/>
    <w:rsid w:val="00F23D70"/>
    <w:rsid w:val="00F2585D"/>
    <w:rsid w:val="00F27CD8"/>
    <w:rsid w:val="00F30351"/>
    <w:rsid w:val="00F3323E"/>
    <w:rsid w:val="00F341F4"/>
    <w:rsid w:val="00F34F9D"/>
    <w:rsid w:val="00F35CCE"/>
    <w:rsid w:val="00F44448"/>
    <w:rsid w:val="00F46947"/>
    <w:rsid w:val="00F5162C"/>
    <w:rsid w:val="00F52709"/>
    <w:rsid w:val="00F5524B"/>
    <w:rsid w:val="00F552FC"/>
    <w:rsid w:val="00F55F3E"/>
    <w:rsid w:val="00F565BB"/>
    <w:rsid w:val="00F60538"/>
    <w:rsid w:val="00F61DD2"/>
    <w:rsid w:val="00F632F7"/>
    <w:rsid w:val="00F63620"/>
    <w:rsid w:val="00F66AFF"/>
    <w:rsid w:val="00F670C0"/>
    <w:rsid w:val="00F71433"/>
    <w:rsid w:val="00F71749"/>
    <w:rsid w:val="00F731A5"/>
    <w:rsid w:val="00F82885"/>
    <w:rsid w:val="00F83300"/>
    <w:rsid w:val="00F86D45"/>
    <w:rsid w:val="00F915A9"/>
    <w:rsid w:val="00F92AD4"/>
    <w:rsid w:val="00F93A9C"/>
    <w:rsid w:val="00F97C5B"/>
    <w:rsid w:val="00FA029A"/>
    <w:rsid w:val="00FA3D50"/>
    <w:rsid w:val="00FA4F28"/>
    <w:rsid w:val="00FA5A4B"/>
    <w:rsid w:val="00FA65CC"/>
    <w:rsid w:val="00FB0443"/>
    <w:rsid w:val="00FB4F49"/>
    <w:rsid w:val="00FB7FBD"/>
    <w:rsid w:val="00FC374A"/>
    <w:rsid w:val="00FC3842"/>
    <w:rsid w:val="00FC4BD0"/>
    <w:rsid w:val="00FC5802"/>
    <w:rsid w:val="00FC74C8"/>
    <w:rsid w:val="00FC7B47"/>
    <w:rsid w:val="00FD035C"/>
    <w:rsid w:val="00FD1A35"/>
    <w:rsid w:val="00FD2EA4"/>
    <w:rsid w:val="00FD36C5"/>
    <w:rsid w:val="00FD6310"/>
    <w:rsid w:val="00FD6A7A"/>
    <w:rsid w:val="00FD7C7B"/>
    <w:rsid w:val="00FE09A6"/>
    <w:rsid w:val="00FE1D12"/>
    <w:rsid w:val="00FE1DE1"/>
    <w:rsid w:val="00FE2122"/>
    <w:rsid w:val="00FE2A86"/>
    <w:rsid w:val="00FE2C88"/>
    <w:rsid w:val="00FE2DE2"/>
    <w:rsid w:val="00FE5AF5"/>
    <w:rsid w:val="00FE67DC"/>
    <w:rsid w:val="00FE7439"/>
    <w:rsid w:val="00FF0843"/>
    <w:rsid w:val="00FF296F"/>
    <w:rsid w:val="00FF391D"/>
    <w:rsid w:val="00FF5E23"/>
    <w:rsid w:val="00FF7578"/>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3468</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Shula Sbarro</cp:lastModifiedBy>
  <cp:revision>2</cp:revision>
  <cp:lastPrinted>2019-08-27T05:42:00Z</cp:lastPrinted>
  <dcterms:created xsi:type="dcterms:W3CDTF">2023-07-31T04:21:00Z</dcterms:created>
  <dcterms:modified xsi:type="dcterms:W3CDTF">2023-07-31T04:21:00Z</dcterms:modified>
</cp:coreProperties>
</file>