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r w:rsidRPr="00906ED4">
        <w:rPr>
          <w:rFonts w:ascii="Avenir Next" w:hAnsi="Avenir Next"/>
          <w:highlight w:val="yellow"/>
        </w:rPr>
        <w:t>All of the above satisfy the minimum requirement for presence in the United States</w:t>
      </w:r>
      <w:r w:rsidRPr="002C4932">
        <w:rPr>
          <w:rFonts w:ascii="Avenir Next" w:hAnsi="Avenir Next"/>
        </w:rPr>
        <w:t>.</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5166AB">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036B68">
        <w:rPr>
          <w:rFonts w:ascii="Avenir Next" w:hAnsi="Avenir Next"/>
          <w:highlight w:val="yellow"/>
        </w:rPr>
        <w:t xml:space="preserve">A </w:t>
      </w:r>
      <w:r w:rsidR="00D06A30" w:rsidRPr="00036B68">
        <w:rPr>
          <w:rFonts w:ascii="Avenir Next" w:hAnsi="Avenir Next"/>
          <w:highlight w:val="yellow"/>
        </w:rPr>
        <w:t>10</w:t>
      </w:r>
      <w:r w:rsidRPr="00036B68">
        <w:rPr>
          <w:rFonts w:ascii="Avenir Next" w:hAnsi="Avenir Next"/>
          <w:highlight w:val="yellow"/>
        </w:rPr>
        <w:t>-year software licensing agreement with XYZ Corp that is three years into performance</w:t>
      </w:r>
      <w:r w:rsidRPr="00B77B19">
        <w:rPr>
          <w:rFonts w:ascii="Avenir Next" w:hAnsi="Avenir Next"/>
        </w:rPr>
        <w:t>.</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383804">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w:t>
      </w:r>
      <w:r w:rsidRPr="00654E30">
        <w:rPr>
          <w:rFonts w:ascii="Avenir Next" w:hAnsi="Avenir Next"/>
          <w:highlight w:val="yellow"/>
        </w:rPr>
        <w: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lastRenderedPageBreak/>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E25477" w:rsidRDefault="00CE0ECD" w:rsidP="00E421C6">
      <w:pPr>
        <w:pStyle w:val="AODocTxt"/>
        <w:numPr>
          <w:ilvl w:val="0"/>
          <w:numId w:val="22"/>
        </w:numPr>
        <w:spacing w:before="0" w:line="240" w:lineRule="auto"/>
        <w:ind w:left="426"/>
        <w:rPr>
          <w:rFonts w:ascii="Avenir Next" w:hAnsi="Avenir Next"/>
          <w:highlight w:val="yellow"/>
        </w:rPr>
      </w:pPr>
      <w:r w:rsidRPr="00E25477">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BE5073" w:rsidRDefault="00CE0ECD" w:rsidP="00E421C6">
      <w:pPr>
        <w:pStyle w:val="AODocTxt"/>
        <w:numPr>
          <w:ilvl w:val="0"/>
          <w:numId w:val="22"/>
        </w:numPr>
        <w:spacing w:before="0" w:line="240" w:lineRule="auto"/>
        <w:ind w:left="426"/>
        <w:rPr>
          <w:rFonts w:ascii="Avenir Next" w:hAnsi="Avenir Next"/>
        </w:rPr>
      </w:pPr>
      <w:r w:rsidRPr="00BE5073">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3E53B3">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1D4883" w:rsidRDefault="00CE0ECD" w:rsidP="004830F8">
      <w:pPr>
        <w:pStyle w:val="AODocTxt"/>
        <w:numPr>
          <w:ilvl w:val="0"/>
          <w:numId w:val="26"/>
        </w:numPr>
        <w:spacing w:before="0" w:line="240" w:lineRule="auto"/>
        <w:ind w:left="426"/>
        <w:rPr>
          <w:rFonts w:ascii="Avenir Next" w:hAnsi="Avenir Next"/>
          <w:highlight w:val="yellow"/>
        </w:rPr>
      </w:pPr>
      <w:r w:rsidRPr="001D4883">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lastRenderedPageBreak/>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C85129">
        <w:rPr>
          <w:rFonts w:ascii="Avenir Next" w:hAnsi="Avenir Next"/>
          <w:highlight w:val="yellow"/>
        </w:rPr>
        <w:t>If a creditor can show it extended credit on the basis of corporate separateness, it has a valid objection to substantive consolidation</w:t>
      </w:r>
      <w:r w:rsidRPr="002C4932">
        <w:rPr>
          <w:rFonts w:ascii="Avenir Next" w:hAnsi="Avenir Next"/>
        </w:rPr>
        <w:t>.</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C4932" w:rsidRDefault="00CE0ECD" w:rsidP="00AA0280">
      <w:pPr>
        <w:pStyle w:val="AODocTxt"/>
        <w:numPr>
          <w:ilvl w:val="0"/>
          <w:numId w:val="30"/>
        </w:numPr>
        <w:spacing w:before="0" w:line="240" w:lineRule="auto"/>
        <w:ind w:left="426"/>
        <w:rPr>
          <w:rFonts w:ascii="Avenir Next" w:hAnsi="Avenir Next"/>
        </w:rPr>
      </w:pPr>
      <w:r w:rsidRPr="00E66871">
        <w:rPr>
          <w:rFonts w:ascii="Avenir Next" w:hAnsi="Avenir Next"/>
          <w:highlight w:val="yellow"/>
        </w:rPr>
        <w:t>All of the above</w:t>
      </w:r>
      <w:r w:rsidRPr="002C4932">
        <w:rPr>
          <w:rFonts w:ascii="Avenir Next" w:hAnsi="Avenir Next"/>
        </w:rPr>
        <w:t>.</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1B04C020" w14:textId="245528B7" w:rsidR="00E41578" w:rsidRDefault="00816107" w:rsidP="007720E5">
      <w:pPr>
        <w:jc w:val="both"/>
        <w:rPr>
          <w:rFonts w:ascii="Avenir Next" w:hAnsi="Avenir Next" w:cs="Arial"/>
          <w:color w:val="7B7B7B" w:themeColor="accent3" w:themeShade="BF"/>
          <w:sz w:val="22"/>
          <w:szCs w:val="22"/>
          <w:lang w:val="en-GB"/>
        </w:rPr>
      </w:pPr>
      <w:r w:rsidRPr="007720E5">
        <w:rPr>
          <w:rFonts w:ascii="Avenir Next" w:hAnsi="Avenir Next" w:cs="Arial"/>
          <w:color w:val="7B7B7B" w:themeColor="accent3" w:themeShade="BF"/>
          <w:sz w:val="22"/>
          <w:szCs w:val="22"/>
          <w:lang w:val="en-GB"/>
        </w:rPr>
        <w:lastRenderedPageBreak/>
        <w:t xml:space="preserve">Setoff is where </w:t>
      </w:r>
      <w:r w:rsidR="00F867C6" w:rsidRPr="007720E5">
        <w:rPr>
          <w:rFonts w:ascii="Avenir Next" w:hAnsi="Avenir Next" w:cs="Arial"/>
          <w:color w:val="7B7B7B" w:themeColor="accent3" w:themeShade="BF"/>
          <w:sz w:val="22"/>
          <w:szCs w:val="22"/>
          <w:lang w:val="en-GB"/>
        </w:rPr>
        <w:t xml:space="preserve">there are cross </w:t>
      </w:r>
      <w:r w:rsidRPr="007720E5">
        <w:rPr>
          <w:rFonts w:ascii="Avenir Next" w:hAnsi="Avenir Next" w:cs="Arial"/>
          <w:color w:val="7B7B7B" w:themeColor="accent3" w:themeShade="BF"/>
          <w:sz w:val="22"/>
          <w:szCs w:val="22"/>
          <w:lang w:val="en-GB"/>
        </w:rPr>
        <w:t xml:space="preserve">obligations </w:t>
      </w:r>
      <w:r w:rsidR="00F867C6" w:rsidRPr="007720E5">
        <w:rPr>
          <w:rFonts w:ascii="Avenir Next" w:hAnsi="Avenir Next" w:cs="Arial"/>
          <w:color w:val="7B7B7B" w:themeColor="accent3" w:themeShade="BF"/>
          <w:sz w:val="22"/>
          <w:szCs w:val="22"/>
          <w:lang w:val="en-GB"/>
        </w:rPr>
        <w:t xml:space="preserve">by both the creditor and debtor </w:t>
      </w:r>
      <w:r w:rsidR="00432AD3" w:rsidRPr="007720E5">
        <w:rPr>
          <w:rFonts w:ascii="Avenir Next" w:hAnsi="Avenir Next" w:cs="Arial"/>
          <w:color w:val="7B7B7B" w:themeColor="accent3" w:themeShade="BF"/>
          <w:sz w:val="22"/>
          <w:szCs w:val="22"/>
          <w:lang w:val="en-GB"/>
        </w:rPr>
        <w:t xml:space="preserve">to pay amounts to each </w:t>
      </w:r>
      <w:r w:rsidR="00CF5079" w:rsidRPr="007720E5">
        <w:rPr>
          <w:rFonts w:ascii="Avenir Next" w:hAnsi="Avenir Next" w:cs="Arial"/>
          <w:color w:val="7B7B7B" w:themeColor="accent3" w:themeShade="BF"/>
          <w:sz w:val="22"/>
          <w:szCs w:val="22"/>
          <w:lang w:val="en-GB"/>
        </w:rPr>
        <w:t>other</w:t>
      </w:r>
      <w:r w:rsidR="00432AD3" w:rsidRPr="007720E5">
        <w:rPr>
          <w:rFonts w:ascii="Avenir Next" w:hAnsi="Avenir Next" w:cs="Arial"/>
          <w:color w:val="7B7B7B" w:themeColor="accent3" w:themeShade="BF"/>
          <w:sz w:val="22"/>
          <w:szCs w:val="22"/>
          <w:lang w:val="en-GB"/>
        </w:rPr>
        <w:t xml:space="preserve"> and a credit</w:t>
      </w:r>
      <w:r w:rsidR="006F6400" w:rsidRPr="007720E5">
        <w:rPr>
          <w:rFonts w:ascii="Avenir Next" w:hAnsi="Avenir Next" w:cs="Arial"/>
          <w:color w:val="7B7B7B" w:themeColor="accent3" w:themeShade="BF"/>
          <w:sz w:val="22"/>
          <w:szCs w:val="22"/>
          <w:lang w:val="en-GB"/>
        </w:rPr>
        <w:t xml:space="preserve">or </w:t>
      </w:r>
      <w:r w:rsidR="0001154B" w:rsidRPr="007720E5">
        <w:rPr>
          <w:rFonts w:ascii="Avenir Next" w:hAnsi="Avenir Next" w:cs="Arial"/>
          <w:color w:val="7B7B7B" w:themeColor="accent3" w:themeShade="BF"/>
          <w:sz w:val="22"/>
          <w:szCs w:val="22"/>
          <w:lang w:val="en-GB"/>
        </w:rPr>
        <w:t>can</w:t>
      </w:r>
      <w:r w:rsidR="006F6400" w:rsidRPr="007720E5">
        <w:rPr>
          <w:rFonts w:ascii="Avenir Next" w:hAnsi="Avenir Next" w:cs="Arial"/>
          <w:color w:val="7B7B7B" w:themeColor="accent3" w:themeShade="BF"/>
          <w:sz w:val="22"/>
          <w:szCs w:val="22"/>
          <w:lang w:val="en-GB"/>
        </w:rPr>
        <w:t xml:space="preserve"> seek to</w:t>
      </w:r>
      <w:r w:rsidR="005775A8" w:rsidRPr="007720E5">
        <w:rPr>
          <w:rFonts w:ascii="Avenir Next" w:hAnsi="Avenir Next" w:cs="Arial"/>
          <w:color w:val="7B7B7B" w:themeColor="accent3" w:themeShade="BF"/>
          <w:sz w:val="22"/>
          <w:szCs w:val="22"/>
          <w:lang w:val="en-GB"/>
        </w:rPr>
        <w:t xml:space="preserve"> have </w:t>
      </w:r>
      <w:r w:rsidR="005D5895" w:rsidRPr="007720E5">
        <w:rPr>
          <w:rFonts w:ascii="Avenir Next" w:hAnsi="Avenir Next" w:cs="Arial"/>
          <w:color w:val="7B7B7B" w:themeColor="accent3" w:themeShade="BF"/>
          <w:sz w:val="22"/>
          <w:szCs w:val="22"/>
          <w:lang w:val="en-GB"/>
        </w:rPr>
        <w:t xml:space="preserve">the amounts cancel each other out ‘setting off’ </w:t>
      </w:r>
      <w:r w:rsidR="00823319" w:rsidRPr="007720E5">
        <w:rPr>
          <w:rFonts w:ascii="Avenir Next" w:hAnsi="Avenir Next" w:cs="Arial"/>
          <w:color w:val="7B7B7B" w:themeColor="accent3" w:themeShade="BF"/>
          <w:sz w:val="22"/>
          <w:szCs w:val="22"/>
          <w:lang w:val="en-GB"/>
        </w:rPr>
        <w:t xml:space="preserve">one amount owed against the other amount owed. </w:t>
      </w:r>
    </w:p>
    <w:p w14:paraId="1E6CCBCF" w14:textId="77777777" w:rsidR="00785BA3" w:rsidRDefault="00785BA3" w:rsidP="007720E5">
      <w:pPr>
        <w:jc w:val="both"/>
        <w:rPr>
          <w:rFonts w:ascii="Avenir Next" w:hAnsi="Avenir Next" w:cs="Arial"/>
          <w:color w:val="7B7B7B" w:themeColor="accent3" w:themeShade="BF"/>
          <w:sz w:val="22"/>
          <w:szCs w:val="22"/>
          <w:lang w:val="en-GB"/>
        </w:rPr>
      </w:pPr>
    </w:p>
    <w:p w14:paraId="1E367B48" w14:textId="5F9A182B" w:rsidR="00863076" w:rsidRPr="00727027" w:rsidRDefault="00CF0871" w:rsidP="0072702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reason that there </w:t>
      </w:r>
      <w:r w:rsidR="00296FCA">
        <w:rPr>
          <w:rFonts w:ascii="Avenir Next" w:hAnsi="Avenir Next" w:cs="Arial"/>
          <w:color w:val="7B7B7B" w:themeColor="accent3" w:themeShade="BF"/>
          <w:sz w:val="22"/>
          <w:szCs w:val="22"/>
          <w:lang w:val="en-GB"/>
        </w:rPr>
        <w:t>are not many circumstances when setoff is permitted is due to the fact that</w:t>
      </w:r>
      <w:r w:rsidR="00942BC3">
        <w:rPr>
          <w:rFonts w:ascii="Avenir Next" w:hAnsi="Avenir Next" w:cs="Arial"/>
          <w:color w:val="7B7B7B" w:themeColor="accent3" w:themeShade="BF"/>
          <w:sz w:val="22"/>
          <w:szCs w:val="22"/>
          <w:lang w:val="en-GB"/>
        </w:rPr>
        <w:t xml:space="preserve">, if permitted, it will </w:t>
      </w:r>
      <w:r w:rsidR="00FF6632">
        <w:rPr>
          <w:rFonts w:ascii="Avenir Next" w:hAnsi="Avenir Next" w:cs="Arial"/>
          <w:color w:val="7B7B7B" w:themeColor="accent3" w:themeShade="BF"/>
          <w:sz w:val="22"/>
          <w:szCs w:val="22"/>
          <w:lang w:val="en-GB"/>
        </w:rPr>
        <w:t xml:space="preserve">place a creditor in a more </w:t>
      </w:r>
      <w:r w:rsidR="0022599B">
        <w:rPr>
          <w:rFonts w:ascii="Avenir Next" w:hAnsi="Avenir Next" w:cs="Arial"/>
          <w:color w:val="7B7B7B" w:themeColor="accent3" w:themeShade="BF"/>
          <w:sz w:val="22"/>
          <w:szCs w:val="22"/>
          <w:lang w:val="en-GB"/>
        </w:rPr>
        <w:t>advantageous position to other unsecured creditors</w:t>
      </w:r>
      <w:r w:rsidR="00754B16">
        <w:rPr>
          <w:rFonts w:ascii="Avenir Next" w:hAnsi="Avenir Next" w:cs="Arial"/>
          <w:color w:val="7B7B7B" w:themeColor="accent3" w:themeShade="BF"/>
          <w:sz w:val="22"/>
          <w:szCs w:val="22"/>
          <w:lang w:val="en-GB"/>
        </w:rPr>
        <w:t xml:space="preserve"> who may not have the</w:t>
      </w:r>
      <w:r w:rsidR="003C21AA">
        <w:rPr>
          <w:rFonts w:ascii="Avenir Next" w:hAnsi="Avenir Next" w:cs="Arial"/>
          <w:color w:val="7B7B7B" w:themeColor="accent3" w:themeShade="BF"/>
          <w:sz w:val="22"/>
          <w:szCs w:val="22"/>
          <w:lang w:val="en-GB"/>
        </w:rPr>
        <w:t xml:space="preserve"> possibility of benefiting from setoff at all.</w:t>
      </w:r>
      <w:r w:rsidR="00D56E6F">
        <w:rPr>
          <w:rFonts w:ascii="Avenir Next" w:hAnsi="Avenir Next" w:cs="Arial"/>
          <w:color w:val="7B7B7B" w:themeColor="accent3" w:themeShade="BF"/>
          <w:sz w:val="22"/>
          <w:szCs w:val="22"/>
          <w:lang w:val="en-GB"/>
        </w:rPr>
        <w:t xml:space="preserve"> Whilst </w:t>
      </w:r>
      <w:r w:rsidR="00517E5A">
        <w:rPr>
          <w:rFonts w:ascii="Avenir Next" w:hAnsi="Avenir Next" w:cs="Arial"/>
          <w:color w:val="7B7B7B" w:themeColor="accent3" w:themeShade="BF"/>
          <w:sz w:val="22"/>
          <w:szCs w:val="22"/>
          <w:lang w:val="en-GB"/>
        </w:rPr>
        <w:t>setoff is permitted in certain circumstance</w:t>
      </w:r>
      <w:r w:rsidR="004D7C33">
        <w:rPr>
          <w:rFonts w:ascii="Avenir Next" w:hAnsi="Avenir Next" w:cs="Arial"/>
          <w:color w:val="7B7B7B" w:themeColor="accent3" w:themeShade="BF"/>
          <w:sz w:val="22"/>
          <w:szCs w:val="22"/>
          <w:lang w:val="en-GB"/>
        </w:rPr>
        <w:t>s</w:t>
      </w:r>
      <w:r w:rsidR="00517E5A">
        <w:rPr>
          <w:rFonts w:ascii="Avenir Next" w:hAnsi="Avenir Next" w:cs="Arial"/>
          <w:color w:val="7B7B7B" w:themeColor="accent3" w:themeShade="BF"/>
          <w:sz w:val="22"/>
          <w:szCs w:val="22"/>
          <w:lang w:val="en-GB"/>
        </w:rPr>
        <w:t xml:space="preserve"> such as in master netting contract</w:t>
      </w:r>
      <w:r w:rsidR="004D7C33">
        <w:rPr>
          <w:rFonts w:ascii="Avenir Next" w:hAnsi="Avenir Next" w:cs="Arial"/>
          <w:color w:val="7B7B7B" w:themeColor="accent3" w:themeShade="BF"/>
          <w:sz w:val="22"/>
          <w:szCs w:val="22"/>
          <w:lang w:val="en-GB"/>
        </w:rPr>
        <w:t xml:space="preserve"> and other</w:t>
      </w:r>
      <w:r w:rsidR="00C8398C">
        <w:rPr>
          <w:rFonts w:ascii="Avenir Next" w:hAnsi="Avenir Next" w:cs="Arial"/>
          <w:color w:val="7B7B7B" w:themeColor="accent3" w:themeShade="BF"/>
          <w:sz w:val="22"/>
          <w:szCs w:val="22"/>
          <w:lang w:val="en-GB"/>
        </w:rPr>
        <w:t>s they are mainly not permitted.</w:t>
      </w:r>
      <w:r w:rsidR="003C21AA">
        <w:rPr>
          <w:rFonts w:ascii="Avenir Next" w:hAnsi="Avenir Next" w:cs="Arial"/>
          <w:color w:val="7B7B7B" w:themeColor="accent3" w:themeShade="BF"/>
          <w:sz w:val="22"/>
          <w:szCs w:val="22"/>
          <w:lang w:val="en-GB"/>
        </w:rPr>
        <w:t xml:space="preserve"> Some exam</w:t>
      </w:r>
      <w:r w:rsidR="00AB017E">
        <w:rPr>
          <w:rFonts w:ascii="Avenir Next" w:hAnsi="Avenir Next" w:cs="Arial"/>
          <w:color w:val="7B7B7B" w:themeColor="accent3" w:themeShade="BF"/>
          <w:sz w:val="22"/>
          <w:szCs w:val="22"/>
          <w:lang w:val="en-GB"/>
        </w:rPr>
        <w:t xml:space="preserve">ples of when setoff is not permitted include, but are not limited to, </w:t>
      </w:r>
      <w:r w:rsidR="007D78A8">
        <w:rPr>
          <w:rFonts w:ascii="Avenir Next" w:hAnsi="Avenir Next" w:cs="Arial"/>
          <w:color w:val="7B7B7B" w:themeColor="accent3" w:themeShade="BF"/>
          <w:sz w:val="22"/>
          <w:szCs w:val="22"/>
          <w:lang w:val="en-GB"/>
        </w:rPr>
        <w:t>when a creditor’s claim against an estate is not allowed</w:t>
      </w:r>
      <w:r w:rsidR="0006031A">
        <w:rPr>
          <w:rFonts w:ascii="Avenir Next" w:hAnsi="Avenir Next" w:cs="Arial"/>
          <w:color w:val="7B7B7B" w:themeColor="accent3" w:themeShade="BF"/>
          <w:sz w:val="22"/>
          <w:szCs w:val="22"/>
          <w:lang w:val="en-GB"/>
        </w:rPr>
        <w:t xml:space="preserve"> or within 90 days of the date of the pe</w:t>
      </w:r>
      <w:r w:rsidR="00727027">
        <w:rPr>
          <w:rFonts w:ascii="Avenir Next" w:hAnsi="Avenir Next" w:cs="Arial"/>
          <w:color w:val="7B7B7B" w:themeColor="accent3" w:themeShade="BF"/>
          <w:sz w:val="22"/>
          <w:szCs w:val="22"/>
          <w:lang w:val="en-GB"/>
        </w:rPr>
        <w:t>tition.</w:t>
      </w:r>
    </w:p>
    <w:p w14:paraId="28C7F262" w14:textId="77777777" w:rsidR="00863076" w:rsidRDefault="00863076" w:rsidP="00323167">
      <w:pPr>
        <w:pStyle w:val="AODocTxt"/>
        <w:spacing w:before="0" w:line="240" w:lineRule="auto"/>
        <w:rPr>
          <w:rFonts w:ascii="Arial" w:hAnsi="Arial" w:cs="Arial"/>
        </w:rPr>
      </w:pPr>
    </w:p>
    <w:p w14:paraId="5D0CD5DE" w14:textId="77777777" w:rsidR="006F6400" w:rsidRPr="00323167" w:rsidRDefault="006F6400"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240D33E7" w:rsidR="00E41578" w:rsidRDefault="00ED3FA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preparing a filing for bankruptcy court the following</w:t>
      </w:r>
      <w:r w:rsidR="00753FDF">
        <w:rPr>
          <w:rFonts w:ascii="Avenir Next" w:hAnsi="Avenir Next" w:cs="Arial"/>
          <w:color w:val="7B7B7B" w:themeColor="accent3" w:themeShade="BF"/>
          <w:sz w:val="22"/>
          <w:szCs w:val="22"/>
          <w:lang w:val="en-GB"/>
        </w:rPr>
        <w:t xml:space="preserve"> rules should be considered:</w:t>
      </w:r>
    </w:p>
    <w:p w14:paraId="0DA5B8AA" w14:textId="77777777" w:rsidR="009E741F" w:rsidRDefault="009E741F" w:rsidP="009E741F">
      <w:pPr>
        <w:jc w:val="both"/>
        <w:rPr>
          <w:rFonts w:ascii="Avenir Next" w:hAnsi="Avenir Next" w:cs="Arial"/>
          <w:color w:val="7B7B7B" w:themeColor="accent3" w:themeShade="BF"/>
          <w:sz w:val="22"/>
          <w:szCs w:val="22"/>
          <w:lang w:val="en-GB"/>
        </w:rPr>
      </w:pPr>
    </w:p>
    <w:p w14:paraId="40445BEE" w14:textId="352B25B4" w:rsidR="00753FDF" w:rsidRDefault="009E741F" w:rsidP="009E741F">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w:t>
      </w:r>
      <w:r w:rsidR="007A3812">
        <w:rPr>
          <w:rFonts w:ascii="Avenir Next" w:hAnsi="Avenir Next" w:cs="Arial"/>
          <w:color w:val="7B7B7B" w:themeColor="accent3" w:themeShade="BF"/>
          <w:sz w:val="22"/>
          <w:szCs w:val="22"/>
          <w:lang w:val="en-GB"/>
        </w:rPr>
        <w:t xml:space="preserve">Rules </w:t>
      </w:r>
    </w:p>
    <w:p w14:paraId="591F7074" w14:textId="39031742" w:rsidR="007A3812" w:rsidRDefault="007A3812" w:rsidP="009E741F">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Federal Rules of Civil procedure </w:t>
      </w:r>
    </w:p>
    <w:p w14:paraId="13485DB1" w14:textId="3886A2EC" w:rsidR="00627A4E" w:rsidRPr="005B6B5F" w:rsidRDefault="007A3812" w:rsidP="005B6B5F">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Local rules of that bankruptcy court </w:t>
      </w:r>
      <w:r w:rsidR="005B6B5F">
        <w:rPr>
          <w:rFonts w:ascii="Avenir Next" w:hAnsi="Avenir Next" w:cs="Arial"/>
          <w:color w:val="7B7B7B" w:themeColor="accent3" w:themeShade="BF"/>
          <w:sz w:val="22"/>
          <w:szCs w:val="22"/>
          <w:lang w:val="en-GB"/>
        </w:rPr>
        <w:t>(as well as the judge’s personal practices</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142735E5" w:rsidR="003A5537" w:rsidRPr="000A65F0" w:rsidRDefault="00961054" w:rsidP="00432FF5">
      <w:pPr>
        <w:jc w:val="both"/>
        <w:rPr>
          <w:rFonts w:ascii="Avenir Next" w:hAnsi="Avenir Next" w:cs="Arial"/>
          <w:color w:val="7B7B7B" w:themeColor="accent3" w:themeShade="BF"/>
          <w:sz w:val="22"/>
          <w:szCs w:val="22"/>
          <w:lang w:val="en-GB"/>
        </w:rPr>
      </w:pPr>
      <w:r w:rsidRPr="00432FF5">
        <w:rPr>
          <w:rFonts w:ascii="Avenir Next" w:hAnsi="Avenir Next" w:cs="Arial"/>
          <w:color w:val="7B7B7B" w:themeColor="accent3" w:themeShade="BF"/>
          <w:sz w:val="22"/>
          <w:szCs w:val="22"/>
          <w:lang w:val="en-GB"/>
        </w:rPr>
        <w:t>This rule</w:t>
      </w:r>
      <w:r w:rsidR="00D7077E">
        <w:rPr>
          <w:rFonts w:ascii="Avenir Next" w:hAnsi="Avenir Next" w:cs="Arial"/>
          <w:color w:val="7B7B7B" w:themeColor="accent3" w:themeShade="BF"/>
          <w:sz w:val="22"/>
          <w:szCs w:val="22"/>
          <w:lang w:val="en-GB"/>
        </w:rPr>
        <w:t xml:space="preserve"> </w:t>
      </w:r>
      <w:r w:rsidR="00A537B4">
        <w:rPr>
          <w:rFonts w:ascii="Avenir Next" w:hAnsi="Avenir Next" w:cs="Arial"/>
          <w:color w:val="7B7B7B" w:themeColor="accent3" w:themeShade="BF"/>
          <w:sz w:val="22"/>
          <w:szCs w:val="22"/>
          <w:lang w:val="en-GB"/>
        </w:rPr>
        <w:t xml:space="preserve">generally applies in both Chapter 7 and Chapter 11 </w:t>
      </w:r>
      <w:r w:rsidR="00A760E5">
        <w:rPr>
          <w:rFonts w:ascii="Avenir Next" w:hAnsi="Avenir Next" w:cs="Arial"/>
          <w:color w:val="7B7B7B" w:themeColor="accent3" w:themeShade="BF"/>
          <w:sz w:val="22"/>
          <w:szCs w:val="22"/>
          <w:lang w:val="en-GB"/>
        </w:rPr>
        <w:t>proceedings.</w:t>
      </w:r>
      <w:r w:rsidR="008A1E89">
        <w:rPr>
          <w:rFonts w:ascii="Avenir Next" w:hAnsi="Avenir Next" w:cs="Arial"/>
          <w:color w:val="7B7B7B" w:themeColor="accent3" w:themeShade="BF"/>
          <w:sz w:val="22"/>
          <w:szCs w:val="22"/>
          <w:lang w:val="en-GB"/>
        </w:rPr>
        <w:t xml:space="preserve"> </w:t>
      </w:r>
      <w:r w:rsidR="0076405E">
        <w:rPr>
          <w:rFonts w:ascii="Avenir Next" w:hAnsi="Avenir Next" w:cs="Arial"/>
          <w:color w:val="7B7B7B" w:themeColor="accent3" w:themeShade="BF"/>
          <w:sz w:val="22"/>
          <w:szCs w:val="22"/>
          <w:lang w:val="en-GB"/>
        </w:rPr>
        <w:t xml:space="preserve">It is </w:t>
      </w:r>
      <w:r w:rsidR="007C78C6">
        <w:rPr>
          <w:rFonts w:ascii="Avenir Next" w:hAnsi="Avenir Next" w:cs="Arial"/>
          <w:color w:val="7B7B7B" w:themeColor="accent3" w:themeShade="BF"/>
          <w:sz w:val="22"/>
          <w:szCs w:val="22"/>
          <w:lang w:val="en-GB"/>
        </w:rPr>
        <w:t xml:space="preserve">designed to ensure that each claim </w:t>
      </w:r>
      <w:r w:rsidR="00476426">
        <w:rPr>
          <w:rFonts w:ascii="Avenir Next" w:hAnsi="Avenir Next" w:cs="Arial"/>
          <w:color w:val="7B7B7B" w:themeColor="accent3" w:themeShade="BF"/>
          <w:sz w:val="22"/>
          <w:szCs w:val="22"/>
          <w:lang w:val="en-GB"/>
        </w:rPr>
        <w:t>starting with the highest ranking gets paid in full b</w:t>
      </w:r>
      <w:r w:rsidR="000A1A3D">
        <w:rPr>
          <w:rFonts w:ascii="Avenir Next" w:hAnsi="Avenir Next" w:cs="Arial"/>
          <w:color w:val="7B7B7B" w:themeColor="accent3" w:themeShade="BF"/>
          <w:sz w:val="22"/>
          <w:szCs w:val="22"/>
          <w:lang w:val="en-GB"/>
        </w:rPr>
        <w:t>efore payments cascade downwards.</w:t>
      </w:r>
      <w:r w:rsidR="00A760E5">
        <w:rPr>
          <w:rFonts w:ascii="Avenir Next" w:hAnsi="Avenir Next" w:cs="Arial"/>
          <w:color w:val="7B7B7B" w:themeColor="accent3" w:themeShade="BF"/>
          <w:sz w:val="22"/>
          <w:szCs w:val="22"/>
          <w:lang w:val="en-GB"/>
        </w:rPr>
        <w:t xml:space="preserve"> </w:t>
      </w:r>
      <w:r w:rsidR="0015256E">
        <w:rPr>
          <w:rFonts w:ascii="Avenir Next" w:hAnsi="Avenir Next" w:cs="Arial"/>
          <w:color w:val="7B7B7B" w:themeColor="accent3" w:themeShade="BF"/>
          <w:sz w:val="22"/>
          <w:szCs w:val="22"/>
          <w:lang w:val="en-GB"/>
        </w:rPr>
        <w:t>In the former it ensures that no creditor is disadva</w:t>
      </w:r>
      <w:r w:rsidR="00F62368">
        <w:rPr>
          <w:rFonts w:ascii="Avenir Next" w:hAnsi="Avenir Next" w:cs="Arial"/>
          <w:color w:val="7B7B7B" w:themeColor="accent3" w:themeShade="BF"/>
          <w:sz w:val="22"/>
          <w:szCs w:val="22"/>
          <w:lang w:val="en-GB"/>
        </w:rPr>
        <w:t xml:space="preserve">ntaged, receiving less, in a reorganisation </w:t>
      </w:r>
      <w:r w:rsidR="00E42976">
        <w:rPr>
          <w:rFonts w:ascii="Avenir Next" w:hAnsi="Avenir Next" w:cs="Arial"/>
          <w:color w:val="7B7B7B" w:themeColor="accent3" w:themeShade="BF"/>
          <w:sz w:val="22"/>
          <w:szCs w:val="22"/>
          <w:lang w:val="en-GB"/>
        </w:rPr>
        <w:t>than in a Chapter 7</w:t>
      </w:r>
      <w:r w:rsidR="00600599">
        <w:rPr>
          <w:rFonts w:ascii="Avenir Next" w:hAnsi="Avenir Next" w:cs="Arial"/>
          <w:color w:val="7B7B7B" w:themeColor="accent3" w:themeShade="BF"/>
          <w:sz w:val="22"/>
          <w:szCs w:val="22"/>
          <w:lang w:val="en-GB"/>
        </w:rPr>
        <w:t xml:space="preserve"> and deviation is not allowed</w:t>
      </w:r>
      <w:r w:rsidR="00E42976">
        <w:rPr>
          <w:rFonts w:ascii="Avenir Next" w:hAnsi="Avenir Next" w:cs="Arial"/>
          <w:color w:val="7B7B7B" w:themeColor="accent3" w:themeShade="BF"/>
          <w:sz w:val="22"/>
          <w:szCs w:val="22"/>
          <w:lang w:val="en-GB"/>
        </w:rPr>
        <w:t xml:space="preserve">. In relation to the latter, </w:t>
      </w:r>
      <w:r w:rsidR="00F86BA2">
        <w:rPr>
          <w:rFonts w:ascii="Avenir Next" w:hAnsi="Avenir Next" w:cs="Arial"/>
          <w:color w:val="7B7B7B" w:themeColor="accent3" w:themeShade="BF"/>
          <w:sz w:val="22"/>
          <w:szCs w:val="22"/>
          <w:lang w:val="en-GB"/>
        </w:rPr>
        <w:t>there can be deviation. I</w:t>
      </w:r>
      <w:r w:rsidR="00DE71FD">
        <w:rPr>
          <w:rFonts w:ascii="Avenir Next" w:hAnsi="Avenir Next" w:cs="Arial"/>
          <w:color w:val="7B7B7B" w:themeColor="accent3" w:themeShade="BF"/>
          <w:sz w:val="22"/>
          <w:szCs w:val="22"/>
          <w:lang w:val="en-GB"/>
        </w:rPr>
        <w:t>n order to gain approval of other lo</w:t>
      </w:r>
      <w:r w:rsidR="00A42C26">
        <w:rPr>
          <w:rFonts w:ascii="Avenir Next" w:hAnsi="Avenir Next" w:cs="Arial"/>
          <w:color w:val="7B7B7B" w:themeColor="accent3" w:themeShade="BF"/>
          <w:sz w:val="22"/>
          <w:szCs w:val="22"/>
          <w:lang w:val="en-GB"/>
        </w:rPr>
        <w:t xml:space="preserve">wer ranking creditors </w:t>
      </w:r>
      <w:r w:rsidR="00D20C51">
        <w:rPr>
          <w:rFonts w:ascii="Avenir Next" w:hAnsi="Avenir Next" w:cs="Arial"/>
          <w:color w:val="7B7B7B" w:themeColor="accent3" w:themeShade="BF"/>
          <w:sz w:val="22"/>
          <w:szCs w:val="22"/>
          <w:lang w:val="en-GB"/>
        </w:rPr>
        <w:t xml:space="preserve">for a plan to reorganise, </w:t>
      </w:r>
      <w:r w:rsidR="00A42C26">
        <w:rPr>
          <w:rFonts w:ascii="Avenir Next" w:hAnsi="Avenir Next" w:cs="Arial"/>
          <w:color w:val="7B7B7B" w:themeColor="accent3" w:themeShade="BF"/>
          <w:sz w:val="22"/>
          <w:szCs w:val="22"/>
          <w:lang w:val="en-GB"/>
        </w:rPr>
        <w:t>a higher ranking creditor can accept less</w:t>
      </w:r>
      <w:r w:rsidR="00FD6943">
        <w:rPr>
          <w:rFonts w:ascii="Avenir Next" w:hAnsi="Avenir Next" w:cs="Arial"/>
          <w:color w:val="7B7B7B" w:themeColor="accent3" w:themeShade="BF"/>
          <w:sz w:val="22"/>
          <w:szCs w:val="22"/>
          <w:lang w:val="en-GB"/>
        </w:rPr>
        <w:t xml:space="preserve">, if they agree to, </w:t>
      </w:r>
      <w:r w:rsidR="00A42C26">
        <w:rPr>
          <w:rFonts w:ascii="Avenir Next" w:hAnsi="Avenir Next" w:cs="Arial"/>
          <w:color w:val="7B7B7B" w:themeColor="accent3" w:themeShade="BF"/>
          <w:sz w:val="22"/>
          <w:szCs w:val="22"/>
          <w:lang w:val="en-GB"/>
        </w:rPr>
        <w:t xml:space="preserve">than </w:t>
      </w:r>
      <w:r w:rsidR="00D20C51">
        <w:rPr>
          <w:rFonts w:ascii="Avenir Next" w:hAnsi="Avenir Next" w:cs="Arial"/>
          <w:color w:val="7B7B7B" w:themeColor="accent3" w:themeShade="BF"/>
          <w:sz w:val="22"/>
          <w:szCs w:val="22"/>
          <w:lang w:val="en-GB"/>
        </w:rPr>
        <w:t>what would ordinarily</w:t>
      </w:r>
      <w:r w:rsidR="00FD6943">
        <w:rPr>
          <w:rFonts w:ascii="Avenir Next" w:hAnsi="Avenir Next" w:cs="Arial"/>
          <w:color w:val="7B7B7B" w:themeColor="accent3" w:themeShade="BF"/>
          <w:sz w:val="22"/>
          <w:szCs w:val="22"/>
          <w:lang w:val="en-GB"/>
        </w:rPr>
        <w:t xml:space="preserve"> be due if the absolute priority rules was followed</w:t>
      </w:r>
      <w:r w:rsidR="008A1E89">
        <w:rPr>
          <w:rFonts w:ascii="Avenir Next" w:hAnsi="Avenir Next" w:cs="Arial"/>
          <w:color w:val="7B7B7B" w:themeColor="accent3" w:themeShade="BF"/>
          <w:sz w:val="22"/>
          <w:szCs w:val="22"/>
          <w:lang w:val="en-GB"/>
        </w:rPr>
        <w:t xml:space="preserve"> – deviation is </w:t>
      </w:r>
      <w:r w:rsidR="00600599">
        <w:rPr>
          <w:rFonts w:ascii="Avenir Next" w:hAnsi="Avenir Next" w:cs="Arial"/>
          <w:color w:val="7B7B7B" w:themeColor="accent3" w:themeShade="BF"/>
          <w:sz w:val="22"/>
          <w:szCs w:val="22"/>
          <w:lang w:val="en-GB"/>
        </w:rPr>
        <w:t>allowed</w:t>
      </w:r>
      <w:r w:rsidR="00FD6943">
        <w:rPr>
          <w:rFonts w:ascii="Avenir Next" w:hAnsi="Avenir Next" w:cs="Arial"/>
          <w:color w:val="7B7B7B" w:themeColor="accent3" w:themeShade="BF"/>
          <w:sz w:val="22"/>
          <w:szCs w:val="22"/>
          <w:lang w:val="en-GB"/>
        </w:rPr>
        <w:t>.</w:t>
      </w:r>
      <w:r w:rsidR="00D20C51">
        <w:rPr>
          <w:rFonts w:ascii="Avenir Next" w:hAnsi="Avenir Next" w:cs="Arial"/>
          <w:color w:val="7B7B7B" w:themeColor="accent3" w:themeShade="BF"/>
          <w:sz w:val="22"/>
          <w:szCs w:val="22"/>
          <w:lang w:val="en-GB"/>
        </w:rPr>
        <w:t xml:space="preserve"> </w:t>
      </w:r>
      <w:r w:rsidR="00A42C26">
        <w:rPr>
          <w:rFonts w:ascii="Avenir Next" w:hAnsi="Avenir Next" w:cs="Arial"/>
          <w:color w:val="7B7B7B" w:themeColor="accent3" w:themeShade="BF"/>
          <w:sz w:val="22"/>
          <w:szCs w:val="22"/>
          <w:lang w:val="en-GB"/>
        </w:rPr>
        <w:t xml:space="preserve"> </w:t>
      </w:r>
      <w:r w:rsidRPr="00432FF5">
        <w:rPr>
          <w:rFonts w:ascii="Avenir Next" w:hAnsi="Avenir Next" w:cs="Arial"/>
          <w:color w:val="7B7B7B" w:themeColor="accent3" w:themeShade="BF"/>
          <w:sz w:val="22"/>
          <w:szCs w:val="22"/>
          <w:lang w:val="en-GB"/>
        </w:rPr>
        <w:t xml:space="preserve"> </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1874C4DF" w:rsidR="00E41578" w:rsidRDefault="009C40A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w:t>
      </w:r>
      <w:r w:rsidR="00B64560">
        <w:rPr>
          <w:rFonts w:ascii="Avenir Next" w:hAnsi="Avenir Next" w:cs="Arial"/>
          <w:color w:val="7B7B7B" w:themeColor="accent3" w:themeShade="BF"/>
          <w:sz w:val="22"/>
          <w:szCs w:val="22"/>
          <w:lang w:val="en-GB"/>
        </w:rPr>
        <w:t xml:space="preserve">riming lien is </w:t>
      </w:r>
      <w:r w:rsidR="00610535">
        <w:rPr>
          <w:rFonts w:ascii="Avenir Next" w:hAnsi="Avenir Next" w:cs="Arial"/>
          <w:color w:val="7B7B7B" w:themeColor="accent3" w:themeShade="BF"/>
          <w:sz w:val="22"/>
          <w:szCs w:val="22"/>
          <w:lang w:val="en-GB"/>
        </w:rPr>
        <w:t>a l</w:t>
      </w:r>
      <w:r w:rsidR="00C275D4">
        <w:rPr>
          <w:rFonts w:ascii="Avenir Next" w:hAnsi="Avenir Next" w:cs="Arial"/>
          <w:color w:val="7B7B7B" w:themeColor="accent3" w:themeShade="BF"/>
          <w:sz w:val="22"/>
          <w:szCs w:val="22"/>
          <w:lang w:val="en-GB"/>
        </w:rPr>
        <w:t>ien on property which ranks higher or with equal pr</w:t>
      </w:r>
      <w:r w:rsidR="00AA21A9">
        <w:rPr>
          <w:rFonts w:ascii="Avenir Next" w:hAnsi="Avenir Next" w:cs="Arial"/>
          <w:color w:val="7B7B7B" w:themeColor="accent3" w:themeShade="BF"/>
          <w:sz w:val="22"/>
          <w:szCs w:val="22"/>
          <w:lang w:val="en-GB"/>
        </w:rPr>
        <w:t>iority as liens that currently exist.</w:t>
      </w:r>
      <w:r w:rsidR="00834218">
        <w:rPr>
          <w:rFonts w:ascii="Avenir Next" w:hAnsi="Avenir Next" w:cs="Arial"/>
          <w:color w:val="7B7B7B" w:themeColor="accent3" w:themeShade="BF"/>
          <w:sz w:val="22"/>
          <w:szCs w:val="22"/>
          <w:lang w:val="en-GB"/>
        </w:rPr>
        <w:t xml:space="preserve"> </w:t>
      </w:r>
      <w:r w:rsidR="00D70EF9">
        <w:rPr>
          <w:rFonts w:ascii="Avenir Next" w:hAnsi="Avenir Next" w:cs="Arial"/>
          <w:color w:val="7B7B7B" w:themeColor="accent3" w:themeShade="BF"/>
          <w:sz w:val="22"/>
          <w:szCs w:val="22"/>
          <w:lang w:val="en-GB"/>
        </w:rPr>
        <w:t>Du</w:t>
      </w:r>
      <w:r w:rsidR="00B478F1">
        <w:rPr>
          <w:rFonts w:ascii="Avenir Next" w:hAnsi="Avenir Next" w:cs="Arial"/>
          <w:color w:val="7B7B7B" w:themeColor="accent3" w:themeShade="BF"/>
          <w:sz w:val="22"/>
          <w:szCs w:val="22"/>
          <w:lang w:val="en-GB"/>
        </w:rPr>
        <w:t xml:space="preserve">ring Chapter 11 proceedings </w:t>
      </w:r>
      <w:r w:rsidR="00DE527B">
        <w:rPr>
          <w:rFonts w:ascii="Avenir Next" w:hAnsi="Avenir Next" w:cs="Arial"/>
          <w:color w:val="7B7B7B" w:themeColor="accent3" w:themeShade="BF"/>
          <w:sz w:val="22"/>
          <w:szCs w:val="22"/>
          <w:lang w:val="en-GB"/>
        </w:rPr>
        <w:t>creditors</w:t>
      </w:r>
      <w:r w:rsidR="007625AF">
        <w:rPr>
          <w:rFonts w:ascii="Avenir Next" w:hAnsi="Avenir Next" w:cs="Arial"/>
          <w:color w:val="7B7B7B" w:themeColor="accent3" w:themeShade="BF"/>
          <w:sz w:val="22"/>
          <w:szCs w:val="22"/>
          <w:lang w:val="en-GB"/>
        </w:rPr>
        <w:t xml:space="preserve"> may lend to a debtor-in-possession in order to finance, post-petition. </w:t>
      </w:r>
      <w:r w:rsidR="00A32348">
        <w:rPr>
          <w:rFonts w:ascii="Avenir Next" w:hAnsi="Avenir Next" w:cs="Arial"/>
          <w:color w:val="7B7B7B" w:themeColor="accent3" w:themeShade="BF"/>
          <w:sz w:val="22"/>
          <w:szCs w:val="22"/>
          <w:lang w:val="en-GB"/>
        </w:rPr>
        <w:t>Prior to obtaining a priming lien</w:t>
      </w:r>
      <w:r w:rsidR="008579C8">
        <w:rPr>
          <w:rFonts w:ascii="Avenir Next" w:hAnsi="Avenir Next" w:cs="Arial"/>
          <w:color w:val="7B7B7B" w:themeColor="accent3" w:themeShade="BF"/>
          <w:sz w:val="22"/>
          <w:szCs w:val="22"/>
          <w:lang w:val="en-GB"/>
        </w:rPr>
        <w:t xml:space="preserve"> </w:t>
      </w:r>
      <w:r w:rsidR="00EC723C">
        <w:rPr>
          <w:rFonts w:ascii="Avenir Next" w:hAnsi="Avenir Next" w:cs="Arial"/>
          <w:color w:val="7B7B7B" w:themeColor="accent3" w:themeShade="BF"/>
          <w:sz w:val="22"/>
          <w:szCs w:val="22"/>
          <w:lang w:val="en-GB"/>
        </w:rPr>
        <w:t>to secure DIP financing</w:t>
      </w:r>
      <w:r w:rsidR="00A32348">
        <w:rPr>
          <w:rFonts w:ascii="Avenir Next" w:hAnsi="Avenir Next" w:cs="Arial"/>
          <w:color w:val="7B7B7B" w:themeColor="accent3" w:themeShade="BF"/>
          <w:sz w:val="22"/>
          <w:szCs w:val="22"/>
          <w:lang w:val="en-GB"/>
        </w:rPr>
        <w:t>, a</w:t>
      </w:r>
      <w:r w:rsidR="00834218">
        <w:rPr>
          <w:rFonts w:ascii="Avenir Next" w:hAnsi="Avenir Next" w:cs="Arial"/>
          <w:color w:val="7B7B7B" w:themeColor="accent3" w:themeShade="BF"/>
          <w:sz w:val="22"/>
          <w:szCs w:val="22"/>
          <w:lang w:val="en-GB"/>
        </w:rPr>
        <w:t xml:space="preserve"> debto</w:t>
      </w:r>
      <w:r w:rsidR="00A32348">
        <w:rPr>
          <w:rFonts w:ascii="Avenir Next" w:hAnsi="Avenir Next" w:cs="Arial"/>
          <w:color w:val="7B7B7B" w:themeColor="accent3" w:themeShade="BF"/>
          <w:sz w:val="22"/>
          <w:szCs w:val="22"/>
          <w:lang w:val="en-GB"/>
        </w:rPr>
        <w:t>r</w:t>
      </w:r>
      <w:r w:rsidR="00EC723C">
        <w:rPr>
          <w:rFonts w:ascii="Avenir Next" w:hAnsi="Avenir Next" w:cs="Arial"/>
          <w:color w:val="7B7B7B" w:themeColor="accent3" w:themeShade="BF"/>
          <w:sz w:val="22"/>
          <w:szCs w:val="22"/>
          <w:lang w:val="en-GB"/>
        </w:rPr>
        <w:t xml:space="preserve"> must demonstrate that they have been unable to:</w:t>
      </w:r>
    </w:p>
    <w:p w14:paraId="7B458E15" w14:textId="77777777" w:rsidR="00EC723C" w:rsidRDefault="00EC723C" w:rsidP="00E41578">
      <w:pPr>
        <w:jc w:val="both"/>
        <w:rPr>
          <w:rFonts w:ascii="Avenir Next" w:hAnsi="Avenir Next" w:cs="Arial"/>
          <w:color w:val="7B7B7B" w:themeColor="accent3" w:themeShade="BF"/>
          <w:sz w:val="22"/>
          <w:szCs w:val="22"/>
          <w:lang w:val="en-GB"/>
        </w:rPr>
      </w:pPr>
    </w:p>
    <w:p w14:paraId="6A9BD051" w14:textId="154BD29C" w:rsidR="00EC723C" w:rsidRDefault="009F368B" w:rsidP="00EC723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the ordinary course of business get unsecured </w:t>
      </w:r>
      <w:r w:rsidR="00FB2B7D">
        <w:rPr>
          <w:rFonts w:ascii="Avenir Next" w:hAnsi="Avenir Next" w:cs="Arial"/>
          <w:color w:val="7B7B7B" w:themeColor="accent3" w:themeShade="BF"/>
          <w:sz w:val="22"/>
          <w:szCs w:val="22"/>
          <w:lang w:val="en-GB"/>
        </w:rPr>
        <w:t xml:space="preserve">debt or </w:t>
      </w:r>
      <w:r w:rsidR="003A0C77">
        <w:rPr>
          <w:rFonts w:ascii="Avenir Next" w:hAnsi="Avenir Next" w:cs="Arial"/>
          <w:color w:val="7B7B7B" w:themeColor="accent3" w:themeShade="BF"/>
          <w:sz w:val="22"/>
          <w:szCs w:val="22"/>
          <w:lang w:val="en-GB"/>
        </w:rPr>
        <w:t>credit</w:t>
      </w:r>
      <w:r w:rsidR="009A2113">
        <w:rPr>
          <w:rFonts w:ascii="Avenir Next" w:hAnsi="Avenir Next" w:cs="Arial"/>
          <w:color w:val="7B7B7B" w:themeColor="accent3" w:themeShade="BF"/>
          <w:sz w:val="22"/>
          <w:szCs w:val="22"/>
          <w:lang w:val="en-GB"/>
        </w:rPr>
        <w:t xml:space="preserve"> (payment of </w:t>
      </w:r>
      <w:r w:rsidR="006517DD">
        <w:rPr>
          <w:rFonts w:ascii="Avenir Next" w:hAnsi="Avenir Next" w:cs="Arial"/>
          <w:color w:val="7B7B7B" w:themeColor="accent3" w:themeShade="BF"/>
          <w:sz w:val="22"/>
          <w:szCs w:val="22"/>
          <w:lang w:val="en-GB"/>
        </w:rPr>
        <w:t>the former</w:t>
      </w:r>
      <w:r w:rsidR="009A2113">
        <w:rPr>
          <w:rFonts w:ascii="Avenir Next" w:hAnsi="Avenir Next" w:cs="Arial"/>
          <w:color w:val="7B7B7B" w:themeColor="accent3" w:themeShade="BF"/>
          <w:sz w:val="22"/>
          <w:szCs w:val="22"/>
          <w:lang w:val="en-GB"/>
        </w:rPr>
        <w:t xml:space="preserve"> ranking higher than </w:t>
      </w:r>
      <w:r w:rsidR="00C73BCF">
        <w:rPr>
          <w:rFonts w:ascii="Avenir Next" w:hAnsi="Avenir Next" w:cs="Arial"/>
          <w:color w:val="7B7B7B" w:themeColor="accent3" w:themeShade="BF"/>
          <w:sz w:val="22"/>
          <w:szCs w:val="22"/>
          <w:lang w:val="en-GB"/>
        </w:rPr>
        <w:t>administrative expenses)</w:t>
      </w:r>
      <w:r w:rsidR="00FB7569">
        <w:rPr>
          <w:rFonts w:ascii="Avenir Next" w:hAnsi="Avenir Next" w:cs="Arial"/>
          <w:color w:val="7B7B7B" w:themeColor="accent3" w:themeShade="BF"/>
          <w:sz w:val="22"/>
          <w:szCs w:val="22"/>
          <w:lang w:val="en-GB"/>
        </w:rPr>
        <w:t>;</w:t>
      </w:r>
    </w:p>
    <w:p w14:paraId="38DA67DB" w14:textId="5F8891BC" w:rsidR="00274755" w:rsidRDefault="008A28E5" w:rsidP="0027475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w:t>
      </w:r>
      <w:r w:rsidR="00357873">
        <w:rPr>
          <w:rFonts w:ascii="Avenir Next" w:hAnsi="Avenir Next" w:cs="Arial"/>
          <w:color w:val="7B7B7B" w:themeColor="accent3" w:themeShade="BF"/>
          <w:sz w:val="22"/>
          <w:szCs w:val="22"/>
          <w:lang w:val="en-GB"/>
        </w:rPr>
        <w:t xml:space="preserve">terior to the ordinary court of business and with the approval of the court, get unsecured </w:t>
      </w:r>
      <w:r w:rsidR="006517DD">
        <w:rPr>
          <w:rFonts w:ascii="Avenir Next" w:hAnsi="Avenir Next" w:cs="Arial"/>
          <w:color w:val="7B7B7B" w:themeColor="accent3" w:themeShade="BF"/>
          <w:sz w:val="22"/>
          <w:szCs w:val="22"/>
          <w:lang w:val="en-GB"/>
        </w:rPr>
        <w:t>debt or credi</w:t>
      </w:r>
      <w:r w:rsidR="0082546D">
        <w:rPr>
          <w:rFonts w:ascii="Avenir Next" w:hAnsi="Avenir Next" w:cs="Arial"/>
          <w:color w:val="7B7B7B" w:themeColor="accent3" w:themeShade="BF"/>
          <w:sz w:val="22"/>
          <w:szCs w:val="22"/>
          <w:lang w:val="en-GB"/>
        </w:rPr>
        <w:t xml:space="preserve">tor </w:t>
      </w:r>
      <w:r w:rsidR="00274755">
        <w:rPr>
          <w:rFonts w:ascii="Avenir Next" w:hAnsi="Avenir Next" w:cs="Arial"/>
          <w:color w:val="7B7B7B" w:themeColor="accent3" w:themeShade="BF"/>
          <w:sz w:val="22"/>
          <w:szCs w:val="22"/>
          <w:lang w:val="en-GB"/>
        </w:rPr>
        <w:t>(payment of the former ranking higher than administrative expenses)</w:t>
      </w:r>
      <w:r w:rsidR="00FB7569">
        <w:rPr>
          <w:rFonts w:ascii="Avenir Next" w:hAnsi="Avenir Next" w:cs="Arial"/>
          <w:color w:val="7B7B7B" w:themeColor="accent3" w:themeShade="BF"/>
          <w:sz w:val="22"/>
          <w:szCs w:val="22"/>
          <w:lang w:val="en-GB"/>
        </w:rPr>
        <w:t>;</w:t>
      </w:r>
    </w:p>
    <w:p w14:paraId="23825072" w14:textId="61178CFC" w:rsidR="007162FA" w:rsidRDefault="009D6A35" w:rsidP="007162FA">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Failing the above, </w:t>
      </w:r>
      <w:r w:rsidR="002F52D7">
        <w:rPr>
          <w:rFonts w:ascii="Avenir Next" w:hAnsi="Avenir Next" w:cs="Arial"/>
          <w:color w:val="7B7B7B" w:themeColor="accent3" w:themeShade="BF"/>
          <w:sz w:val="22"/>
          <w:szCs w:val="22"/>
          <w:lang w:val="en-GB"/>
        </w:rPr>
        <w:t xml:space="preserve">a court can grant any of the following i) </w:t>
      </w:r>
      <w:r w:rsidR="0088219F">
        <w:rPr>
          <w:rFonts w:ascii="Avenir Next" w:hAnsi="Avenir Next" w:cs="Arial"/>
          <w:color w:val="7B7B7B" w:themeColor="accent3" w:themeShade="BF"/>
          <w:sz w:val="22"/>
          <w:szCs w:val="22"/>
          <w:lang w:val="en-GB"/>
        </w:rPr>
        <w:t>unsec</w:t>
      </w:r>
      <w:r w:rsidR="003738A1">
        <w:rPr>
          <w:rFonts w:ascii="Avenir Next" w:hAnsi="Avenir Next" w:cs="Arial"/>
          <w:color w:val="7B7B7B" w:themeColor="accent3" w:themeShade="BF"/>
          <w:sz w:val="22"/>
          <w:szCs w:val="22"/>
          <w:lang w:val="en-GB"/>
        </w:rPr>
        <w:t>ured debt enjoying the ranking already mentioned in the first two options ii) secured</w:t>
      </w:r>
      <w:r w:rsidR="00ED16E8">
        <w:rPr>
          <w:rFonts w:ascii="Avenir Next" w:hAnsi="Avenir Next" w:cs="Arial"/>
          <w:color w:val="7B7B7B" w:themeColor="accent3" w:themeShade="BF"/>
          <w:sz w:val="22"/>
          <w:szCs w:val="22"/>
          <w:lang w:val="en-GB"/>
        </w:rPr>
        <w:t xml:space="preserve"> debt on property which has </w:t>
      </w:r>
      <w:r w:rsidR="007162FA">
        <w:rPr>
          <w:rFonts w:ascii="Avenir Next" w:hAnsi="Avenir Next" w:cs="Arial"/>
          <w:color w:val="7B7B7B" w:themeColor="accent3" w:themeShade="BF"/>
          <w:sz w:val="22"/>
          <w:szCs w:val="22"/>
          <w:lang w:val="en-GB"/>
        </w:rPr>
        <w:t>no other burden iii)</w:t>
      </w:r>
      <w:r w:rsidR="00F02A23">
        <w:rPr>
          <w:rFonts w:ascii="Avenir Next" w:hAnsi="Avenir Next" w:cs="Arial"/>
          <w:color w:val="7B7B7B" w:themeColor="accent3" w:themeShade="BF"/>
          <w:sz w:val="22"/>
          <w:szCs w:val="22"/>
          <w:lang w:val="en-GB"/>
        </w:rPr>
        <w:t xml:space="preserve"> secured debt on already burdened </w:t>
      </w:r>
      <w:r w:rsidR="00FB7569">
        <w:rPr>
          <w:rFonts w:ascii="Avenir Next" w:hAnsi="Avenir Next" w:cs="Arial"/>
          <w:color w:val="7B7B7B" w:themeColor="accent3" w:themeShade="BF"/>
          <w:sz w:val="22"/>
          <w:szCs w:val="22"/>
          <w:lang w:val="en-GB"/>
        </w:rPr>
        <w:t>property.</w:t>
      </w:r>
    </w:p>
    <w:p w14:paraId="635F49F6" w14:textId="77777777" w:rsidR="00A04A0B" w:rsidRDefault="00A04A0B" w:rsidP="00A04A0B">
      <w:pPr>
        <w:jc w:val="both"/>
        <w:rPr>
          <w:rFonts w:ascii="Avenir Next" w:hAnsi="Avenir Next" w:cs="Arial"/>
          <w:color w:val="7B7B7B" w:themeColor="accent3" w:themeShade="BF"/>
          <w:sz w:val="22"/>
          <w:szCs w:val="22"/>
          <w:lang w:val="en-GB"/>
        </w:rPr>
      </w:pPr>
    </w:p>
    <w:p w14:paraId="3B82BAA0" w14:textId="5760AB38" w:rsidR="003A5537" w:rsidRPr="00F02A23" w:rsidRDefault="00A04A0B" w:rsidP="00F02A2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Only once the above prove unavailable or not viable options will the court </w:t>
      </w:r>
      <w:r w:rsidR="00F02A23">
        <w:rPr>
          <w:rFonts w:ascii="Avenir Next" w:hAnsi="Avenir Next" w:cs="Arial"/>
          <w:color w:val="7B7B7B" w:themeColor="accent3" w:themeShade="BF"/>
          <w:sz w:val="22"/>
          <w:szCs w:val="22"/>
          <w:lang w:val="en-GB"/>
        </w:rPr>
        <w:t>grant a priming lien.</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3FD796D6" w:rsidR="00E41578" w:rsidRDefault="00B7579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5A0AFC">
        <w:rPr>
          <w:rFonts w:ascii="Avenir Next" w:hAnsi="Avenir Next" w:cs="Arial"/>
          <w:color w:val="7B7B7B" w:themeColor="accent3" w:themeShade="BF"/>
          <w:sz w:val="22"/>
          <w:szCs w:val="22"/>
          <w:lang w:val="en-GB"/>
        </w:rPr>
        <w:t>preference is where a transfer</w:t>
      </w:r>
      <w:r w:rsidR="006D24AA">
        <w:rPr>
          <w:rFonts w:ascii="Avenir Next" w:hAnsi="Avenir Next" w:cs="Arial"/>
          <w:color w:val="7B7B7B" w:themeColor="accent3" w:themeShade="BF"/>
          <w:sz w:val="22"/>
          <w:szCs w:val="22"/>
          <w:lang w:val="en-GB"/>
        </w:rPr>
        <w:t xml:space="preserve"> of some </w:t>
      </w:r>
      <w:r w:rsidR="006A10B4">
        <w:rPr>
          <w:rFonts w:ascii="Avenir Next" w:hAnsi="Avenir Next" w:cs="Arial"/>
          <w:color w:val="7B7B7B" w:themeColor="accent3" w:themeShade="BF"/>
          <w:sz w:val="22"/>
          <w:szCs w:val="22"/>
          <w:lang w:val="en-GB"/>
        </w:rPr>
        <w:t>form of property</w:t>
      </w:r>
      <w:r w:rsidR="005A0AFC">
        <w:rPr>
          <w:rFonts w:ascii="Avenir Next" w:hAnsi="Avenir Next" w:cs="Arial"/>
          <w:color w:val="7B7B7B" w:themeColor="accent3" w:themeShade="BF"/>
          <w:sz w:val="22"/>
          <w:szCs w:val="22"/>
          <w:lang w:val="en-GB"/>
        </w:rPr>
        <w:t xml:space="preserve"> has been made </w:t>
      </w:r>
      <w:r w:rsidR="006A10B4">
        <w:rPr>
          <w:rFonts w:ascii="Avenir Next" w:hAnsi="Avenir Next" w:cs="Arial"/>
          <w:color w:val="7B7B7B" w:themeColor="accent3" w:themeShade="BF"/>
          <w:sz w:val="22"/>
          <w:szCs w:val="22"/>
          <w:lang w:val="en-GB"/>
        </w:rPr>
        <w:t xml:space="preserve">from the debtor to another, </w:t>
      </w:r>
      <w:r w:rsidR="005A0AFC">
        <w:rPr>
          <w:rFonts w:ascii="Avenir Next" w:hAnsi="Avenir Next" w:cs="Arial"/>
          <w:color w:val="7B7B7B" w:themeColor="accent3" w:themeShade="BF"/>
          <w:sz w:val="22"/>
          <w:szCs w:val="22"/>
          <w:lang w:val="en-GB"/>
        </w:rPr>
        <w:t xml:space="preserve">prior to </w:t>
      </w:r>
      <w:r w:rsidR="00AF6CE0">
        <w:rPr>
          <w:rFonts w:ascii="Avenir Next" w:hAnsi="Avenir Next" w:cs="Arial"/>
          <w:color w:val="7B7B7B" w:themeColor="accent3" w:themeShade="BF"/>
          <w:sz w:val="22"/>
          <w:szCs w:val="22"/>
          <w:lang w:val="en-GB"/>
        </w:rPr>
        <w:t xml:space="preserve">when </w:t>
      </w:r>
      <w:r w:rsidR="005A0AFC">
        <w:rPr>
          <w:rFonts w:ascii="Avenir Next" w:hAnsi="Avenir Next" w:cs="Arial"/>
          <w:color w:val="7B7B7B" w:themeColor="accent3" w:themeShade="BF"/>
          <w:sz w:val="22"/>
          <w:szCs w:val="22"/>
          <w:lang w:val="en-GB"/>
        </w:rPr>
        <w:t xml:space="preserve">a petition is </w:t>
      </w:r>
      <w:r w:rsidR="00AF6CE0">
        <w:rPr>
          <w:rFonts w:ascii="Avenir Next" w:hAnsi="Avenir Next" w:cs="Arial"/>
          <w:color w:val="7B7B7B" w:themeColor="accent3" w:themeShade="BF"/>
          <w:sz w:val="22"/>
          <w:szCs w:val="22"/>
          <w:lang w:val="en-GB"/>
        </w:rPr>
        <w:t>commenced</w:t>
      </w:r>
      <w:r w:rsidR="007402BC">
        <w:rPr>
          <w:rFonts w:ascii="Avenir Next" w:hAnsi="Avenir Next" w:cs="Arial"/>
          <w:color w:val="7B7B7B" w:themeColor="accent3" w:themeShade="BF"/>
          <w:sz w:val="22"/>
          <w:szCs w:val="22"/>
          <w:lang w:val="en-GB"/>
        </w:rPr>
        <w:t>.</w:t>
      </w:r>
      <w:r w:rsidR="00553543">
        <w:rPr>
          <w:rFonts w:ascii="Avenir Next" w:hAnsi="Avenir Next" w:cs="Arial"/>
          <w:color w:val="7B7B7B" w:themeColor="accent3" w:themeShade="BF"/>
          <w:sz w:val="22"/>
          <w:szCs w:val="22"/>
          <w:lang w:val="en-GB"/>
        </w:rPr>
        <w:t xml:space="preserve"> T</w:t>
      </w:r>
      <w:r w:rsidR="00CB6186">
        <w:rPr>
          <w:rFonts w:ascii="Avenir Next" w:hAnsi="Avenir Next" w:cs="Arial"/>
          <w:color w:val="7B7B7B" w:themeColor="accent3" w:themeShade="BF"/>
          <w:sz w:val="22"/>
          <w:szCs w:val="22"/>
          <w:lang w:val="en-GB"/>
        </w:rPr>
        <w:t xml:space="preserve">he </w:t>
      </w:r>
      <w:r w:rsidR="00EF2AB4">
        <w:rPr>
          <w:rFonts w:ascii="Avenir Next" w:hAnsi="Avenir Next" w:cs="Arial"/>
          <w:color w:val="7B7B7B" w:themeColor="accent3" w:themeShade="BF"/>
          <w:sz w:val="22"/>
          <w:szCs w:val="22"/>
          <w:lang w:val="en-GB"/>
        </w:rPr>
        <w:t xml:space="preserve">elements to be proved include, that the </w:t>
      </w:r>
      <w:r w:rsidR="00FB5D95">
        <w:rPr>
          <w:rFonts w:ascii="Avenir Next" w:hAnsi="Avenir Next" w:cs="Arial"/>
          <w:color w:val="7B7B7B" w:themeColor="accent3" w:themeShade="BF"/>
          <w:sz w:val="22"/>
          <w:szCs w:val="22"/>
          <w:lang w:val="en-GB"/>
        </w:rPr>
        <w:t>transfer took place, to/for benefit of the creditor</w:t>
      </w:r>
      <w:r w:rsidR="00D13006">
        <w:rPr>
          <w:rFonts w:ascii="Avenir Next" w:hAnsi="Avenir Next" w:cs="Arial"/>
          <w:color w:val="7B7B7B" w:themeColor="accent3" w:themeShade="BF"/>
          <w:sz w:val="22"/>
          <w:szCs w:val="22"/>
          <w:lang w:val="en-GB"/>
        </w:rPr>
        <w:t xml:space="preserve"> for a</w:t>
      </w:r>
      <w:r w:rsidR="00541E56">
        <w:rPr>
          <w:rFonts w:ascii="Avenir Next" w:hAnsi="Avenir Next" w:cs="Arial"/>
          <w:color w:val="7B7B7B" w:themeColor="accent3" w:themeShade="BF"/>
          <w:sz w:val="22"/>
          <w:szCs w:val="22"/>
          <w:lang w:val="en-GB"/>
        </w:rPr>
        <w:t>n e</w:t>
      </w:r>
      <w:r w:rsidR="00563DE8">
        <w:rPr>
          <w:rFonts w:ascii="Avenir Next" w:hAnsi="Avenir Next" w:cs="Arial"/>
          <w:color w:val="7B7B7B" w:themeColor="accent3" w:themeShade="BF"/>
          <w:sz w:val="22"/>
          <w:szCs w:val="22"/>
          <w:lang w:val="en-GB"/>
        </w:rPr>
        <w:t>xisting</w:t>
      </w:r>
      <w:r w:rsidR="00D13006">
        <w:rPr>
          <w:rFonts w:ascii="Avenir Next" w:hAnsi="Avenir Next" w:cs="Arial"/>
          <w:color w:val="7B7B7B" w:themeColor="accent3" w:themeShade="BF"/>
          <w:sz w:val="22"/>
          <w:szCs w:val="22"/>
          <w:lang w:val="en-GB"/>
        </w:rPr>
        <w:t xml:space="preserve"> debt owed while the company was </w:t>
      </w:r>
      <w:r w:rsidR="00541E56">
        <w:rPr>
          <w:rFonts w:ascii="Avenir Next" w:hAnsi="Avenir Next" w:cs="Arial"/>
          <w:color w:val="7B7B7B" w:themeColor="accent3" w:themeShade="BF"/>
          <w:sz w:val="22"/>
          <w:szCs w:val="22"/>
          <w:lang w:val="en-GB"/>
        </w:rPr>
        <w:t>in</w:t>
      </w:r>
      <w:r w:rsidR="00D13006">
        <w:rPr>
          <w:rFonts w:ascii="Avenir Next" w:hAnsi="Avenir Next" w:cs="Arial"/>
          <w:color w:val="7B7B7B" w:themeColor="accent3" w:themeShade="BF"/>
          <w:sz w:val="22"/>
          <w:szCs w:val="22"/>
          <w:lang w:val="en-GB"/>
        </w:rPr>
        <w:t>solven</w:t>
      </w:r>
      <w:r w:rsidR="00541E56">
        <w:rPr>
          <w:rFonts w:ascii="Avenir Next" w:hAnsi="Avenir Next" w:cs="Arial"/>
          <w:color w:val="7B7B7B" w:themeColor="accent3" w:themeShade="BF"/>
          <w:sz w:val="22"/>
          <w:szCs w:val="22"/>
          <w:lang w:val="en-GB"/>
        </w:rPr>
        <w:t>t</w:t>
      </w:r>
      <w:r w:rsidR="00FD074A">
        <w:rPr>
          <w:rStyle w:val="FootnoteReference"/>
          <w:rFonts w:ascii="Avenir Next" w:hAnsi="Avenir Next" w:cs="Arial"/>
          <w:color w:val="7B7B7B" w:themeColor="accent3" w:themeShade="BF"/>
          <w:sz w:val="22"/>
          <w:szCs w:val="22"/>
          <w:lang w:val="en-GB"/>
        </w:rPr>
        <w:footnoteReference w:id="2"/>
      </w:r>
      <w:r w:rsidR="00541E56">
        <w:rPr>
          <w:rFonts w:ascii="Avenir Next" w:hAnsi="Avenir Next" w:cs="Arial"/>
          <w:color w:val="7B7B7B" w:themeColor="accent3" w:themeShade="BF"/>
          <w:sz w:val="22"/>
          <w:szCs w:val="22"/>
          <w:lang w:val="en-GB"/>
        </w:rPr>
        <w:t>.</w:t>
      </w:r>
      <w:r w:rsidR="007402BC">
        <w:rPr>
          <w:rFonts w:ascii="Avenir Next" w:hAnsi="Avenir Next" w:cs="Arial"/>
          <w:color w:val="7B7B7B" w:themeColor="accent3" w:themeShade="BF"/>
          <w:sz w:val="22"/>
          <w:szCs w:val="22"/>
          <w:lang w:val="en-GB"/>
        </w:rPr>
        <w:t xml:space="preserve"> </w:t>
      </w:r>
      <w:r w:rsidR="005012E7">
        <w:rPr>
          <w:rFonts w:ascii="Avenir Next" w:hAnsi="Avenir Next" w:cs="Arial"/>
          <w:color w:val="7B7B7B" w:themeColor="accent3" w:themeShade="BF"/>
          <w:sz w:val="22"/>
          <w:szCs w:val="22"/>
          <w:lang w:val="en-GB"/>
        </w:rPr>
        <w:t>I</w:t>
      </w:r>
      <w:r w:rsidR="00636309">
        <w:rPr>
          <w:rFonts w:ascii="Avenir Next" w:hAnsi="Avenir Next" w:cs="Arial"/>
          <w:color w:val="7B7B7B" w:themeColor="accent3" w:themeShade="BF"/>
          <w:sz w:val="22"/>
          <w:szCs w:val="22"/>
          <w:lang w:val="en-GB"/>
        </w:rPr>
        <w:t>f the amount is more than what they would have been able to receive in chapter 7 proceedings</w:t>
      </w:r>
      <w:r w:rsidR="007276E6">
        <w:rPr>
          <w:rStyle w:val="FootnoteReference"/>
          <w:rFonts w:ascii="Avenir Next" w:hAnsi="Avenir Next" w:cs="Arial"/>
          <w:color w:val="7B7B7B" w:themeColor="accent3" w:themeShade="BF"/>
          <w:sz w:val="22"/>
          <w:szCs w:val="22"/>
          <w:lang w:val="en-GB"/>
        </w:rPr>
        <w:footnoteReference w:id="3"/>
      </w:r>
      <w:r w:rsidR="00636309">
        <w:rPr>
          <w:rFonts w:ascii="Avenir Next" w:hAnsi="Avenir Next" w:cs="Arial"/>
          <w:color w:val="7B7B7B" w:themeColor="accent3" w:themeShade="BF"/>
          <w:sz w:val="22"/>
          <w:szCs w:val="22"/>
          <w:lang w:val="en-GB"/>
        </w:rPr>
        <w:t xml:space="preserve"> </w:t>
      </w:r>
      <w:r w:rsidR="00D65B9E">
        <w:rPr>
          <w:rFonts w:ascii="Avenir Next" w:hAnsi="Avenir Next" w:cs="Arial"/>
          <w:color w:val="7B7B7B" w:themeColor="accent3" w:themeShade="BF"/>
          <w:sz w:val="22"/>
          <w:szCs w:val="22"/>
          <w:lang w:val="en-GB"/>
        </w:rPr>
        <w:t>then it must be returned</w:t>
      </w:r>
      <w:r w:rsidR="00561000">
        <w:rPr>
          <w:rFonts w:ascii="Avenir Next" w:hAnsi="Avenir Next" w:cs="Arial"/>
          <w:color w:val="7B7B7B" w:themeColor="accent3" w:themeShade="BF"/>
          <w:sz w:val="22"/>
          <w:szCs w:val="22"/>
          <w:lang w:val="en-GB"/>
        </w:rPr>
        <w:t xml:space="preserve"> in or</w:t>
      </w:r>
      <w:r w:rsidR="0037599F">
        <w:rPr>
          <w:rFonts w:ascii="Avenir Next" w:hAnsi="Avenir Next" w:cs="Arial"/>
          <w:color w:val="7B7B7B" w:themeColor="accent3" w:themeShade="BF"/>
          <w:sz w:val="22"/>
          <w:szCs w:val="22"/>
          <w:lang w:val="en-GB"/>
        </w:rPr>
        <w:t xml:space="preserve">der to </w:t>
      </w:r>
      <w:r w:rsidR="00F23103">
        <w:rPr>
          <w:rFonts w:ascii="Avenir Next" w:hAnsi="Avenir Next" w:cs="Arial"/>
          <w:color w:val="7B7B7B" w:themeColor="accent3" w:themeShade="BF"/>
          <w:sz w:val="22"/>
          <w:szCs w:val="22"/>
          <w:lang w:val="en-GB"/>
        </w:rPr>
        <w:t xml:space="preserve">preserve the </w:t>
      </w:r>
      <w:r w:rsidR="00230C51">
        <w:rPr>
          <w:rFonts w:ascii="Avenir Next" w:hAnsi="Avenir Next" w:cs="Arial"/>
          <w:color w:val="7B7B7B" w:themeColor="accent3" w:themeShade="BF"/>
          <w:sz w:val="22"/>
          <w:szCs w:val="22"/>
          <w:lang w:val="en-GB"/>
        </w:rPr>
        <w:t>equaliser dealings as between creditors</w:t>
      </w:r>
      <w:r w:rsidR="005103B0">
        <w:rPr>
          <w:rFonts w:ascii="Avenir Next" w:hAnsi="Avenir Next" w:cs="Arial"/>
          <w:color w:val="7B7B7B" w:themeColor="accent3" w:themeShade="BF"/>
          <w:sz w:val="22"/>
          <w:szCs w:val="22"/>
          <w:lang w:val="en-GB"/>
        </w:rPr>
        <w:t>.</w:t>
      </w:r>
      <w:r w:rsidR="009F1421">
        <w:rPr>
          <w:rFonts w:ascii="Avenir Next" w:hAnsi="Avenir Next" w:cs="Arial"/>
          <w:color w:val="7B7B7B" w:themeColor="accent3" w:themeShade="BF"/>
          <w:sz w:val="22"/>
          <w:szCs w:val="22"/>
          <w:lang w:val="en-GB"/>
        </w:rPr>
        <w:t xml:space="preserve"> A finding of fault is not a requirement</w:t>
      </w:r>
      <w:r w:rsidR="004A1095">
        <w:rPr>
          <w:rFonts w:ascii="Avenir Next" w:hAnsi="Avenir Next" w:cs="Arial"/>
          <w:color w:val="7B7B7B" w:themeColor="accent3" w:themeShade="BF"/>
          <w:sz w:val="22"/>
          <w:szCs w:val="22"/>
          <w:lang w:val="en-GB"/>
        </w:rPr>
        <w:t>, only that the transfer occurred.</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A9A77E" w14:textId="6409E230" w:rsidR="00F86C51" w:rsidRDefault="00250C0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312190">
        <w:rPr>
          <w:rFonts w:ascii="Avenir Next" w:hAnsi="Avenir Next" w:cs="Arial"/>
          <w:color w:val="7B7B7B" w:themeColor="accent3" w:themeShade="BF"/>
          <w:sz w:val="22"/>
          <w:szCs w:val="22"/>
          <w:lang w:val="en-GB"/>
        </w:rPr>
        <w:t>bankruptcy court</w:t>
      </w:r>
      <w:r w:rsidR="00680ABA">
        <w:rPr>
          <w:rStyle w:val="FootnoteReference"/>
          <w:rFonts w:ascii="Avenir Next" w:hAnsi="Avenir Next" w:cs="Arial"/>
          <w:color w:val="7B7B7B" w:themeColor="accent3" w:themeShade="BF"/>
          <w:sz w:val="22"/>
          <w:szCs w:val="22"/>
          <w:lang w:val="en-GB"/>
        </w:rPr>
        <w:footnoteReference w:id="4"/>
      </w:r>
      <w:r w:rsidR="00EA2D6E">
        <w:rPr>
          <w:rFonts w:ascii="Avenir Next" w:hAnsi="Avenir Next" w:cs="Arial"/>
          <w:color w:val="7B7B7B" w:themeColor="accent3" w:themeShade="BF"/>
          <w:sz w:val="22"/>
          <w:szCs w:val="22"/>
          <w:lang w:val="en-GB"/>
        </w:rPr>
        <w:t>, which is a special federal court,</w:t>
      </w:r>
      <w:r w:rsidR="00AA71C2">
        <w:rPr>
          <w:rFonts w:ascii="Avenir Next" w:hAnsi="Avenir Next" w:cs="Arial"/>
          <w:color w:val="7B7B7B" w:themeColor="accent3" w:themeShade="BF"/>
          <w:sz w:val="22"/>
          <w:szCs w:val="22"/>
          <w:lang w:val="en-GB"/>
        </w:rPr>
        <w:t xml:space="preserve"> has limited ability to </w:t>
      </w:r>
      <w:r w:rsidR="00D17978">
        <w:rPr>
          <w:rFonts w:ascii="Avenir Next" w:hAnsi="Avenir Next" w:cs="Arial"/>
          <w:color w:val="7B7B7B" w:themeColor="accent3" w:themeShade="BF"/>
          <w:sz w:val="22"/>
          <w:szCs w:val="22"/>
          <w:lang w:val="en-GB"/>
        </w:rPr>
        <w:t>mak</w:t>
      </w:r>
      <w:r w:rsidR="00AA3D7D">
        <w:rPr>
          <w:rFonts w:ascii="Avenir Next" w:hAnsi="Avenir Next" w:cs="Arial"/>
          <w:color w:val="7B7B7B" w:themeColor="accent3" w:themeShade="BF"/>
          <w:sz w:val="22"/>
          <w:szCs w:val="22"/>
          <w:lang w:val="en-GB"/>
        </w:rPr>
        <w:t>e final orders as these are mainly confined to core bankruptcy matters</w:t>
      </w:r>
      <w:r w:rsidR="00040416">
        <w:rPr>
          <w:rFonts w:ascii="Avenir Next" w:hAnsi="Avenir Next" w:cs="Arial"/>
          <w:color w:val="7B7B7B" w:themeColor="accent3" w:themeShade="BF"/>
          <w:sz w:val="22"/>
          <w:szCs w:val="22"/>
          <w:lang w:val="en-GB"/>
        </w:rPr>
        <w:t xml:space="preserve"> as opposed to non-core matters</w:t>
      </w:r>
      <w:r w:rsidR="00CB3A31">
        <w:rPr>
          <w:rStyle w:val="FootnoteReference"/>
          <w:rFonts w:ascii="Avenir Next" w:hAnsi="Avenir Next" w:cs="Arial"/>
          <w:color w:val="7B7B7B" w:themeColor="accent3" w:themeShade="BF"/>
          <w:sz w:val="22"/>
          <w:szCs w:val="22"/>
          <w:lang w:val="en-GB"/>
        </w:rPr>
        <w:footnoteReference w:id="5"/>
      </w:r>
      <w:r w:rsidR="00F777CE">
        <w:rPr>
          <w:rFonts w:ascii="Avenir Next" w:hAnsi="Avenir Next" w:cs="Arial"/>
          <w:color w:val="7B7B7B" w:themeColor="accent3" w:themeShade="BF"/>
          <w:sz w:val="22"/>
          <w:szCs w:val="22"/>
          <w:lang w:val="en-GB"/>
        </w:rPr>
        <w:t xml:space="preserve"> </w:t>
      </w:r>
      <w:r w:rsidR="00C8641F">
        <w:rPr>
          <w:rFonts w:ascii="Avenir Next" w:hAnsi="Avenir Next" w:cs="Arial"/>
          <w:color w:val="7B7B7B" w:themeColor="accent3" w:themeShade="BF"/>
          <w:sz w:val="22"/>
          <w:szCs w:val="22"/>
          <w:lang w:val="en-GB"/>
        </w:rPr>
        <w:t>in relation to whic</w:t>
      </w:r>
      <w:r w:rsidR="00117D29">
        <w:rPr>
          <w:rFonts w:ascii="Avenir Next" w:hAnsi="Avenir Next" w:cs="Arial"/>
          <w:color w:val="7B7B7B" w:themeColor="accent3" w:themeShade="BF"/>
          <w:sz w:val="22"/>
          <w:szCs w:val="22"/>
          <w:lang w:val="en-GB"/>
        </w:rPr>
        <w:t>h</w:t>
      </w:r>
      <w:r w:rsidR="00F777CE">
        <w:rPr>
          <w:rFonts w:ascii="Avenir Next" w:hAnsi="Avenir Next" w:cs="Arial"/>
          <w:color w:val="7B7B7B" w:themeColor="accent3" w:themeShade="BF"/>
          <w:sz w:val="22"/>
          <w:szCs w:val="22"/>
          <w:lang w:val="en-GB"/>
        </w:rPr>
        <w:t xml:space="preserve"> final orders cannot generally be made</w:t>
      </w:r>
      <w:r w:rsidR="00254211">
        <w:rPr>
          <w:rFonts w:ascii="Avenir Next" w:hAnsi="Avenir Next" w:cs="Arial"/>
          <w:color w:val="7B7B7B" w:themeColor="accent3" w:themeShade="BF"/>
          <w:sz w:val="22"/>
          <w:szCs w:val="22"/>
          <w:lang w:val="en-GB"/>
        </w:rPr>
        <w:t>.</w:t>
      </w:r>
      <w:r w:rsidR="007E4B3C">
        <w:rPr>
          <w:rFonts w:ascii="Avenir Next" w:hAnsi="Avenir Next" w:cs="Arial"/>
          <w:color w:val="7B7B7B" w:themeColor="accent3" w:themeShade="BF"/>
          <w:sz w:val="22"/>
          <w:szCs w:val="22"/>
          <w:lang w:val="en-GB"/>
        </w:rPr>
        <w:t xml:space="preserve"> Core matters</w:t>
      </w:r>
      <w:r w:rsidR="001F16D9">
        <w:rPr>
          <w:rStyle w:val="FootnoteReference"/>
          <w:rFonts w:ascii="Avenir Next" w:hAnsi="Avenir Next" w:cs="Arial"/>
          <w:color w:val="7B7B7B" w:themeColor="accent3" w:themeShade="BF"/>
          <w:sz w:val="22"/>
          <w:szCs w:val="22"/>
          <w:lang w:val="en-GB"/>
        </w:rPr>
        <w:footnoteReference w:id="6"/>
      </w:r>
      <w:r w:rsidR="00577395">
        <w:rPr>
          <w:rFonts w:ascii="Avenir Next" w:hAnsi="Avenir Next" w:cs="Arial"/>
          <w:color w:val="7B7B7B" w:themeColor="accent3" w:themeShade="BF"/>
          <w:sz w:val="22"/>
          <w:szCs w:val="22"/>
          <w:lang w:val="en-GB"/>
        </w:rPr>
        <w:t xml:space="preserve"> are detailed in the statute and </w:t>
      </w:r>
      <w:r w:rsidR="003637E8">
        <w:rPr>
          <w:rFonts w:ascii="Avenir Next" w:hAnsi="Avenir Next" w:cs="Arial"/>
          <w:color w:val="7B7B7B" w:themeColor="accent3" w:themeShade="BF"/>
          <w:sz w:val="22"/>
          <w:szCs w:val="22"/>
          <w:lang w:val="en-GB"/>
        </w:rPr>
        <w:t>are non-exhaustiv</w:t>
      </w:r>
      <w:r w:rsidR="00117D29">
        <w:rPr>
          <w:rFonts w:ascii="Avenir Next" w:hAnsi="Avenir Next" w:cs="Arial"/>
          <w:color w:val="7B7B7B" w:themeColor="accent3" w:themeShade="BF"/>
          <w:sz w:val="22"/>
          <w:szCs w:val="22"/>
          <w:lang w:val="en-GB"/>
        </w:rPr>
        <w:t xml:space="preserve">e. However, </w:t>
      </w:r>
      <w:r w:rsidR="00070092">
        <w:rPr>
          <w:rFonts w:ascii="Avenir Next" w:hAnsi="Avenir Next" w:cs="Arial"/>
          <w:color w:val="7B7B7B" w:themeColor="accent3" w:themeShade="BF"/>
          <w:sz w:val="22"/>
          <w:szCs w:val="22"/>
          <w:lang w:val="en-GB"/>
        </w:rPr>
        <w:t xml:space="preserve">in </w:t>
      </w:r>
      <w:r w:rsidR="00BE7FCD">
        <w:rPr>
          <w:rFonts w:ascii="Avenir Next" w:hAnsi="Avenir Next" w:cs="Arial"/>
          <w:color w:val="7B7B7B" w:themeColor="accent3" w:themeShade="BF"/>
          <w:sz w:val="22"/>
          <w:szCs w:val="22"/>
          <w:lang w:val="en-GB"/>
        </w:rPr>
        <w:t>more recent times the Supreme Court has confi</w:t>
      </w:r>
      <w:r w:rsidR="000D2900">
        <w:rPr>
          <w:rFonts w:ascii="Avenir Next" w:hAnsi="Avenir Next" w:cs="Arial"/>
          <w:color w:val="7B7B7B" w:themeColor="accent3" w:themeShade="BF"/>
          <w:sz w:val="22"/>
          <w:szCs w:val="22"/>
          <w:lang w:val="en-GB"/>
        </w:rPr>
        <w:t>n</w:t>
      </w:r>
      <w:r w:rsidR="00BE7FCD">
        <w:rPr>
          <w:rFonts w:ascii="Avenir Next" w:hAnsi="Avenir Next" w:cs="Arial"/>
          <w:color w:val="7B7B7B" w:themeColor="accent3" w:themeShade="BF"/>
          <w:sz w:val="22"/>
          <w:szCs w:val="22"/>
          <w:lang w:val="en-GB"/>
        </w:rPr>
        <w:t xml:space="preserve">ed the bankruptcy </w:t>
      </w:r>
      <w:r w:rsidR="001D58B5">
        <w:rPr>
          <w:rFonts w:ascii="Avenir Next" w:hAnsi="Avenir Next" w:cs="Arial"/>
          <w:color w:val="7B7B7B" w:themeColor="accent3" w:themeShade="BF"/>
          <w:sz w:val="22"/>
          <w:szCs w:val="22"/>
          <w:lang w:val="en-GB"/>
        </w:rPr>
        <w:t>court’s powers</w:t>
      </w:r>
      <w:r w:rsidR="007F0A02">
        <w:rPr>
          <w:rFonts w:ascii="Avenir Next" w:hAnsi="Avenir Next" w:cs="Arial"/>
          <w:color w:val="7B7B7B" w:themeColor="accent3" w:themeShade="BF"/>
          <w:sz w:val="22"/>
          <w:szCs w:val="22"/>
          <w:lang w:val="en-GB"/>
        </w:rPr>
        <w:t xml:space="preserve"> to presenting their finding in the form of a report within which </w:t>
      </w:r>
      <w:r w:rsidR="00F83C6C">
        <w:rPr>
          <w:rFonts w:ascii="Avenir Next" w:hAnsi="Avenir Next" w:cs="Arial"/>
          <w:color w:val="7B7B7B" w:themeColor="accent3" w:themeShade="BF"/>
          <w:sz w:val="22"/>
          <w:szCs w:val="22"/>
          <w:lang w:val="en-GB"/>
        </w:rPr>
        <w:t>a recommendation is made which a district court can review</w:t>
      </w:r>
      <w:r w:rsidR="00F83C6C">
        <w:rPr>
          <w:rStyle w:val="FootnoteReference"/>
          <w:rFonts w:ascii="Avenir Next" w:hAnsi="Avenir Next" w:cs="Arial"/>
          <w:color w:val="7B7B7B" w:themeColor="accent3" w:themeShade="BF"/>
          <w:sz w:val="22"/>
          <w:szCs w:val="22"/>
          <w:lang w:val="en-GB"/>
        </w:rPr>
        <w:footnoteReference w:id="7"/>
      </w:r>
      <w:r w:rsidR="0011375B">
        <w:rPr>
          <w:rFonts w:ascii="Avenir Next" w:hAnsi="Avenir Next" w:cs="Arial"/>
          <w:color w:val="7B7B7B" w:themeColor="accent3" w:themeShade="BF"/>
          <w:sz w:val="22"/>
          <w:szCs w:val="22"/>
          <w:lang w:val="en-GB"/>
        </w:rPr>
        <w:t xml:space="preserve">. </w:t>
      </w:r>
      <w:r w:rsidR="00F522D8">
        <w:rPr>
          <w:rFonts w:ascii="Avenir Next" w:hAnsi="Avenir Next" w:cs="Arial"/>
          <w:color w:val="7B7B7B" w:themeColor="accent3" w:themeShade="BF"/>
          <w:sz w:val="22"/>
          <w:szCs w:val="22"/>
          <w:lang w:val="en-GB"/>
        </w:rPr>
        <w:t>Pa</w:t>
      </w:r>
      <w:r w:rsidR="00336913">
        <w:rPr>
          <w:rFonts w:ascii="Avenir Next" w:hAnsi="Avenir Next" w:cs="Arial"/>
          <w:color w:val="7B7B7B" w:themeColor="accent3" w:themeShade="BF"/>
          <w:sz w:val="22"/>
          <w:szCs w:val="22"/>
          <w:lang w:val="en-GB"/>
        </w:rPr>
        <w:t>rties can also consent to the bankruptcy court issuing a final order</w:t>
      </w:r>
      <w:r w:rsidR="00336913">
        <w:rPr>
          <w:rStyle w:val="FootnoteReference"/>
          <w:rFonts w:ascii="Avenir Next" w:hAnsi="Avenir Next" w:cs="Arial"/>
          <w:color w:val="7B7B7B" w:themeColor="accent3" w:themeShade="BF"/>
          <w:sz w:val="22"/>
          <w:szCs w:val="22"/>
          <w:lang w:val="en-GB"/>
        </w:rPr>
        <w:footnoteReference w:id="8"/>
      </w:r>
      <w:r w:rsidR="00336913">
        <w:rPr>
          <w:rFonts w:ascii="Avenir Next" w:hAnsi="Avenir Next" w:cs="Arial"/>
          <w:color w:val="7B7B7B" w:themeColor="accent3" w:themeShade="BF"/>
          <w:sz w:val="22"/>
          <w:szCs w:val="22"/>
          <w:lang w:val="en-GB"/>
        </w:rPr>
        <w:t>.</w:t>
      </w:r>
      <w:r w:rsidR="001D58B5">
        <w:rPr>
          <w:rFonts w:ascii="Avenir Next" w:hAnsi="Avenir Next" w:cs="Arial"/>
          <w:color w:val="7B7B7B" w:themeColor="accent3" w:themeShade="BF"/>
          <w:sz w:val="22"/>
          <w:szCs w:val="22"/>
          <w:lang w:val="en-GB"/>
        </w:rPr>
        <w:t xml:space="preserve"> </w:t>
      </w:r>
      <w:r w:rsidR="00117D29">
        <w:rPr>
          <w:rFonts w:ascii="Avenir Next" w:hAnsi="Avenir Next" w:cs="Arial"/>
          <w:color w:val="7B7B7B" w:themeColor="accent3" w:themeShade="BF"/>
          <w:sz w:val="22"/>
          <w:szCs w:val="22"/>
          <w:lang w:val="en-GB"/>
        </w:rPr>
        <w:t xml:space="preserve"> </w:t>
      </w:r>
    </w:p>
    <w:p w14:paraId="5DAD00C2" w14:textId="3E2A32DA" w:rsidR="001B7DFA" w:rsidRDefault="00C0457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There is a difference between a final order regarding a appeal and that </w:t>
      </w:r>
      <w:r w:rsidR="00541F8C">
        <w:rPr>
          <w:rFonts w:ascii="Avenir Next" w:hAnsi="Avenir Next" w:cs="Arial"/>
          <w:color w:val="7B7B7B" w:themeColor="accent3" w:themeShade="BF"/>
          <w:sz w:val="22"/>
          <w:szCs w:val="22"/>
          <w:lang w:val="en-GB"/>
        </w:rPr>
        <w:t xml:space="preserve">of a final order derived from constitutional authority. </w:t>
      </w:r>
    </w:p>
    <w:p w14:paraId="6E6AC09D" w14:textId="77777777" w:rsidR="008A149A" w:rsidRDefault="008A149A" w:rsidP="00E41578">
      <w:pPr>
        <w:jc w:val="both"/>
        <w:rPr>
          <w:rFonts w:ascii="Avenir Next" w:hAnsi="Avenir Next" w:cs="Arial"/>
          <w:color w:val="7B7B7B" w:themeColor="accent3" w:themeShade="BF"/>
          <w:sz w:val="22"/>
          <w:szCs w:val="22"/>
          <w:lang w:val="en-GB"/>
        </w:rPr>
      </w:pPr>
    </w:p>
    <w:p w14:paraId="20FC2EB1" w14:textId="4930B03F" w:rsidR="008A149A" w:rsidRDefault="00A754A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Review</w:t>
      </w:r>
      <w:r w:rsidR="00033149">
        <w:rPr>
          <w:rFonts w:ascii="Avenir Next" w:hAnsi="Avenir Next" w:cs="Arial"/>
          <w:color w:val="7B7B7B" w:themeColor="accent3" w:themeShade="BF"/>
          <w:sz w:val="22"/>
          <w:szCs w:val="22"/>
          <w:lang w:val="en-GB"/>
        </w:rPr>
        <w:t xml:space="preserve"> of</w:t>
      </w:r>
      <w:r>
        <w:rPr>
          <w:rFonts w:ascii="Avenir Next" w:hAnsi="Avenir Next" w:cs="Arial"/>
          <w:color w:val="7B7B7B" w:themeColor="accent3" w:themeShade="BF"/>
          <w:sz w:val="22"/>
          <w:szCs w:val="22"/>
          <w:lang w:val="en-GB"/>
        </w:rPr>
        <w:t xml:space="preserve"> appeals from the bankruptcy court</w:t>
      </w:r>
      <w:r w:rsidR="00033149">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t>
      </w:r>
      <w:r w:rsidR="00FA03B6">
        <w:rPr>
          <w:rFonts w:ascii="Avenir Next" w:hAnsi="Avenir Next" w:cs="Arial"/>
          <w:color w:val="7B7B7B" w:themeColor="accent3" w:themeShade="BF"/>
          <w:sz w:val="22"/>
          <w:szCs w:val="22"/>
          <w:lang w:val="en-GB"/>
        </w:rPr>
        <w:t>final orders is done by a district court</w:t>
      </w:r>
      <w:r w:rsidR="00EF626E">
        <w:rPr>
          <w:rFonts w:ascii="Avenir Next" w:hAnsi="Avenir Next" w:cs="Arial"/>
          <w:color w:val="7B7B7B" w:themeColor="accent3" w:themeShade="BF"/>
          <w:sz w:val="22"/>
          <w:szCs w:val="22"/>
          <w:lang w:val="en-GB"/>
        </w:rPr>
        <w:t xml:space="preserve"> (</w:t>
      </w:r>
      <w:r w:rsidR="003A23F8">
        <w:rPr>
          <w:rFonts w:ascii="Avenir Next" w:hAnsi="Avenir Next" w:cs="Arial"/>
          <w:color w:val="7B7B7B" w:themeColor="accent3" w:themeShade="BF"/>
          <w:sz w:val="22"/>
          <w:szCs w:val="22"/>
          <w:lang w:val="en-GB"/>
        </w:rPr>
        <w:t>or bankruptcy appe</w:t>
      </w:r>
      <w:r w:rsidR="00D72AF2">
        <w:rPr>
          <w:rFonts w:ascii="Avenir Next" w:hAnsi="Avenir Next" w:cs="Arial"/>
          <w:color w:val="7B7B7B" w:themeColor="accent3" w:themeShade="BF"/>
          <w:sz w:val="22"/>
          <w:szCs w:val="22"/>
          <w:lang w:val="en-GB"/>
        </w:rPr>
        <w:t>llate panel)</w:t>
      </w:r>
      <w:r w:rsidR="00FA03B6">
        <w:rPr>
          <w:rFonts w:ascii="Avenir Next" w:hAnsi="Avenir Next" w:cs="Arial"/>
          <w:color w:val="7B7B7B" w:themeColor="accent3" w:themeShade="BF"/>
          <w:sz w:val="22"/>
          <w:szCs w:val="22"/>
          <w:lang w:val="en-GB"/>
        </w:rPr>
        <w:t xml:space="preserve"> and court of appeals, who both undertake the same review. </w:t>
      </w:r>
      <w:r w:rsidR="00C07EBB">
        <w:rPr>
          <w:rFonts w:ascii="Avenir Next" w:hAnsi="Avenir Next" w:cs="Arial"/>
          <w:color w:val="7B7B7B" w:themeColor="accent3" w:themeShade="BF"/>
          <w:sz w:val="22"/>
          <w:szCs w:val="22"/>
          <w:lang w:val="en-GB"/>
        </w:rPr>
        <w:t xml:space="preserve">Although </w:t>
      </w:r>
      <w:r w:rsidR="00224933">
        <w:rPr>
          <w:rFonts w:ascii="Avenir Next" w:hAnsi="Avenir Next" w:cs="Arial"/>
          <w:color w:val="7B7B7B" w:themeColor="accent3" w:themeShade="BF"/>
          <w:sz w:val="22"/>
          <w:szCs w:val="22"/>
          <w:lang w:val="en-GB"/>
        </w:rPr>
        <w:t xml:space="preserve">this process </w:t>
      </w:r>
      <w:r w:rsidR="000B52B9">
        <w:rPr>
          <w:rFonts w:ascii="Avenir Next" w:hAnsi="Avenir Next" w:cs="Arial"/>
          <w:color w:val="7B7B7B" w:themeColor="accent3" w:themeShade="BF"/>
          <w:sz w:val="22"/>
          <w:szCs w:val="22"/>
          <w:lang w:val="en-GB"/>
        </w:rPr>
        <w:t>protracts</w:t>
      </w:r>
      <w:r w:rsidR="00224933">
        <w:rPr>
          <w:rFonts w:ascii="Avenir Next" w:hAnsi="Avenir Next" w:cs="Arial"/>
          <w:color w:val="7B7B7B" w:themeColor="accent3" w:themeShade="BF"/>
          <w:sz w:val="22"/>
          <w:szCs w:val="22"/>
          <w:lang w:val="en-GB"/>
        </w:rPr>
        <w:t xml:space="preserve"> the appeals process </w:t>
      </w:r>
      <w:r w:rsidR="000B52B9">
        <w:rPr>
          <w:rFonts w:ascii="Avenir Next" w:hAnsi="Avenir Next" w:cs="Arial"/>
          <w:color w:val="7B7B7B" w:themeColor="accent3" w:themeShade="BF"/>
          <w:sz w:val="22"/>
          <w:szCs w:val="22"/>
          <w:lang w:val="en-GB"/>
        </w:rPr>
        <w:t xml:space="preserve">it enables the appeal court </w:t>
      </w:r>
      <w:r w:rsidR="001C4640">
        <w:rPr>
          <w:rFonts w:ascii="Avenir Next" w:hAnsi="Avenir Next" w:cs="Arial"/>
          <w:color w:val="7B7B7B" w:themeColor="accent3" w:themeShade="BF"/>
          <w:sz w:val="22"/>
          <w:szCs w:val="22"/>
          <w:lang w:val="en-GB"/>
        </w:rPr>
        <w:t xml:space="preserve">to ensure that district courts are used where possible before </w:t>
      </w:r>
      <w:r w:rsidR="007D7088">
        <w:rPr>
          <w:rFonts w:ascii="Avenir Next" w:hAnsi="Avenir Next" w:cs="Arial"/>
          <w:color w:val="7B7B7B" w:themeColor="accent3" w:themeShade="BF"/>
          <w:sz w:val="22"/>
          <w:szCs w:val="22"/>
          <w:lang w:val="en-GB"/>
        </w:rPr>
        <w:t>the matter is elevated to the court of appeal.</w:t>
      </w:r>
    </w:p>
    <w:p w14:paraId="425752D0" w14:textId="77777777" w:rsidR="00A754A4" w:rsidRDefault="00A754A4" w:rsidP="00E41578">
      <w:pPr>
        <w:jc w:val="both"/>
        <w:rPr>
          <w:rFonts w:ascii="Avenir Next" w:hAnsi="Avenir Next" w:cs="Arial"/>
          <w:color w:val="7B7B7B" w:themeColor="accent3" w:themeShade="BF"/>
          <w:sz w:val="22"/>
          <w:szCs w:val="22"/>
          <w:lang w:val="en-GB"/>
        </w:rPr>
      </w:pPr>
    </w:p>
    <w:p w14:paraId="3FDD297C" w14:textId="3123D80A" w:rsidR="00A754A4" w:rsidRPr="00E41578" w:rsidRDefault="00A754A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w:t>
      </w:r>
      <w:r w:rsidR="00B11F25">
        <w:rPr>
          <w:rFonts w:ascii="Avenir Next" w:hAnsi="Avenir Next" w:cs="Arial"/>
          <w:color w:val="7B7B7B" w:themeColor="accent3" w:themeShade="BF"/>
          <w:sz w:val="22"/>
          <w:szCs w:val="22"/>
          <w:lang w:val="en-GB"/>
        </w:rPr>
        <w:t xml:space="preserve">final </w:t>
      </w:r>
      <w:r w:rsidR="00922192">
        <w:rPr>
          <w:rFonts w:ascii="Avenir Next" w:hAnsi="Avenir Next" w:cs="Arial"/>
          <w:color w:val="7B7B7B" w:themeColor="accent3" w:themeShade="BF"/>
          <w:sz w:val="22"/>
          <w:szCs w:val="22"/>
          <w:lang w:val="en-GB"/>
        </w:rPr>
        <w:t xml:space="preserve">or interlocutors </w:t>
      </w:r>
      <w:r w:rsidR="00B11F25">
        <w:rPr>
          <w:rFonts w:ascii="Avenir Next" w:hAnsi="Avenir Next" w:cs="Arial"/>
          <w:color w:val="7B7B7B" w:themeColor="accent3" w:themeShade="BF"/>
          <w:sz w:val="22"/>
          <w:szCs w:val="22"/>
          <w:lang w:val="en-GB"/>
        </w:rPr>
        <w:t>orders are reviewed by</w:t>
      </w:r>
      <w:r w:rsidR="0015765A">
        <w:rPr>
          <w:rFonts w:ascii="Avenir Next" w:hAnsi="Avenir Next" w:cs="Arial"/>
          <w:color w:val="7B7B7B" w:themeColor="accent3" w:themeShade="BF"/>
          <w:sz w:val="22"/>
          <w:szCs w:val="22"/>
          <w:lang w:val="en-GB"/>
        </w:rPr>
        <w:t xml:space="preserve"> the appeal </w:t>
      </w:r>
      <w:r w:rsidR="00922192">
        <w:rPr>
          <w:rFonts w:ascii="Avenir Next" w:hAnsi="Avenir Next" w:cs="Arial"/>
          <w:color w:val="7B7B7B" w:themeColor="accent3" w:themeShade="BF"/>
          <w:sz w:val="22"/>
          <w:szCs w:val="22"/>
          <w:lang w:val="en-GB"/>
        </w:rPr>
        <w:t xml:space="preserve">court only as they cannot be appealed as of right. </w:t>
      </w:r>
      <w:r w:rsidR="00227F00">
        <w:rPr>
          <w:rFonts w:ascii="Avenir Next" w:hAnsi="Avenir Next" w:cs="Arial"/>
          <w:color w:val="7B7B7B" w:themeColor="accent3" w:themeShade="BF"/>
          <w:sz w:val="22"/>
          <w:szCs w:val="22"/>
          <w:lang w:val="en-GB"/>
        </w:rPr>
        <w:t>It has been determined by the Supr</w:t>
      </w:r>
      <w:r w:rsidR="00631BFF">
        <w:rPr>
          <w:rFonts w:ascii="Avenir Next" w:hAnsi="Avenir Next" w:cs="Arial"/>
          <w:color w:val="7B7B7B" w:themeColor="accent3" w:themeShade="BF"/>
          <w:sz w:val="22"/>
          <w:szCs w:val="22"/>
          <w:lang w:val="en-GB"/>
        </w:rPr>
        <w:t>eme</w:t>
      </w:r>
      <w:r w:rsidR="00227F00">
        <w:rPr>
          <w:rFonts w:ascii="Avenir Next" w:hAnsi="Avenir Next" w:cs="Arial"/>
          <w:color w:val="7B7B7B" w:themeColor="accent3" w:themeShade="BF"/>
          <w:sz w:val="22"/>
          <w:szCs w:val="22"/>
          <w:lang w:val="en-GB"/>
        </w:rPr>
        <w:t xml:space="preserve"> Court</w:t>
      </w:r>
      <w:r w:rsidR="00631BFF">
        <w:rPr>
          <w:rFonts w:ascii="Avenir Next" w:hAnsi="Avenir Next" w:cs="Arial"/>
          <w:color w:val="7B7B7B" w:themeColor="accent3" w:themeShade="BF"/>
          <w:sz w:val="22"/>
          <w:szCs w:val="22"/>
          <w:lang w:val="en-GB"/>
        </w:rPr>
        <w:t xml:space="preserve"> that</w:t>
      </w:r>
      <w:r w:rsidR="00E759B1">
        <w:rPr>
          <w:rFonts w:ascii="Avenir Next" w:hAnsi="Avenir Next" w:cs="Arial"/>
          <w:color w:val="7B7B7B" w:themeColor="accent3" w:themeShade="BF"/>
          <w:sz w:val="22"/>
          <w:szCs w:val="22"/>
          <w:lang w:val="en-GB"/>
        </w:rPr>
        <w:t xml:space="preserve"> </w:t>
      </w:r>
      <w:r w:rsidR="00FD6797">
        <w:rPr>
          <w:rFonts w:ascii="Avenir Next" w:hAnsi="Avenir Next" w:cs="Arial"/>
          <w:color w:val="7B7B7B" w:themeColor="accent3" w:themeShade="BF"/>
          <w:sz w:val="22"/>
          <w:szCs w:val="22"/>
          <w:lang w:val="en-GB"/>
        </w:rPr>
        <w:t xml:space="preserve">where there has been a dispute on a discrete aspect </w:t>
      </w:r>
      <w:r w:rsidR="00D649CC">
        <w:rPr>
          <w:rFonts w:ascii="Avenir Next" w:hAnsi="Avenir Next" w:cs="Arial"/>
          <w:color w:val="7B7B7B" w:themeColor="accent3" w:themeShade="BF"/>
          <w:sz w:val="22"/>
          <w:szCs w:val="22"/>
          <w:lang w:val="en-GB"/>
        </w:rPr>
        <w:t>in the bankruptcy court that this would be a final order in relation to the appeals process</w:t>
      </w:r>
      <w:r w:rsidR="00D649CC">
        <w:rPr>
          <w:rStyle w:val="FootnoteReference"/>
          <w:rFonts w:ascii="Avenir Next" w:hAnsi="Avenir Next" w:cs="Arial"/>
          <w:color w:val="7B7B7B" w:themeColor="accent3" w:themeShade="BF"/>
          <w:sz w:val="22"/>
          <w:szCs w:val="22"/>
          <w:lang w:val="en-GB"/>
        </w:rPr>
        <w:footnoteReference w:id="9"/>
      </w:r>
      <w:r w:rsidR="00D649CC">
        <w:rPr>
          <w:rFonts w:ascii="Avenir Next" w:hAnsi="Avenir Next" w:cs="Arial"/>
          <w:color w:val="7B7B7B" w:themeColor="accent3" w:themeShade="BF"/>
          <w:sz w:val="22"/>
          <w:szCs w:val="22"/>
          <w:lang w:val="en-GB"/>
        </w:rPr>
        <w:t>.</w:t>
      </w:r>
      <w:r w:rsidR="00631BFF">
        <w:rPr>
          <w:rFonts w:ascii="Avenir Next" w:hAnsi="Avenir Next" w:cs="Arial"/>
          <w:color w:val="7B7B7B" w:themeColor="accent3" w:themeShade="BF"/>
          <w:sz w:val="22"/>
          <w:szCs w:val="22"/>
          <w:lang w:val="en-GB"/>
        </w:rPr>
        <w:t xml:space="preserve"> </w:t>
      </w:r>
      <w:r w:rsidR="002F3D17">
        <w:rPr>
          <w:rFonts w:ascii="Avenir Next" w:hAnsi="Avenir Next" w:cs="Arial"/>
          <w:color w:val="7B7B7B" w:themeColor="accent3" w:themeShade="BF"/>
          <w:sz w:val="22"/>
          <w:szCs w:val="22"/>
          <w:lang w:val="en-GB"/>
        </w:rPr>
        <w:t xml:space="preserve">If however </w:t>
      </w:r>
      <w:r w:rsidR="00142EE2">
        <w:rPr>
          <w:rFonts w:ascii="Avenir Next" w:hAnsi="Avenir Next" w:cs="Arial"/>
          <w:color w:val="7B7B7B" w:themeColor="accent3" w:themeShade="BF"/>
          <w:sz w:val="22"/>
          <w:szCs w:val="22"/>
          <w:lang w:val="en-GB"/>
        </w:rPr>
        <w:t xml:space="preserve">from a </w:t>
      </w:r>
      <w:r w:rsidR="00EF3ADB">
        <w:rPr>
          <w:rFonts w:ascii="Avenir Next" w:hAnsi="Avenir Next" w:cs="Arial"/>
          <w:color w:val="7B7B7B" w:themeColor="accent3" w:themeShade="BF"/>
          <w:sz w:val="22"/>
          <w:szCs w:val="22"/>
          <w:lang w:val="en-GB"/>
        </w:rPr>
        <w:t>constitutional</w:t>
      </w:r>
      <w:r w:rsidR="00142EE2">
        <w:rPr>
          <w:rFonts w:ascii="Avenir Next" w:hAnsi="Avenir Next" w:cs="Arial"/>
          <w:color w:val="7B7B7B" w:themeColor="accent3" w:themeShade="BF"/>
          <w:sz w:val="22"/>
          <w:szCs w:val="22"/>
          <w:lang w:val="en-GB"/>
        </w:rPr>
        <w:t xml:space="preserve"> p</w:t>
      </w:r>
      <w:r w:rsidR="00EF3ADB">
        <w:rPr>
          <w:rFonts w:ascii="Avenir Next" w:hAnsi="Avenir Next" w:cs="Arial"/>
          <w:color w:val="7B7B7B" w:themeColor="accent3" w:themeShade="BF"/>
          <w:sz w:val="22"/>
          <w:szCs w:val="22"/>
          <w:lang w:val="en-GB"/>
        </w:rPr>
        <w:t xml:space="preserve">erspective </w:t>
      </w:r>
      <w:r w:rsidR="00813DB6">
        <w:rPr>
          <w:rFonts w:ascii="Avenir Next" w:hAnsi="Avenir Next" w:cs="Arial"/>
          <w:color w:val="7B7B7B" w:themeColor="accent3" w:themeShade="BF"/>
          <w:sz w:val="22"/>
          <w:szCs w:val="22"/>
          <w:lang w:val="en-GB"/>
        </w:rPr>
        <w:t xml:space="preserve">the order was considered to be a final order </w:t>
      </w:r>
      <w:r w:rsidR="00326C6F">
        <w:rPr>
          <w:rFonts w:ascii="Avenir Next" w:hAnsi="Avenir Next" w:cs="Arial"/>
          <w:color w:val="7B7B7B" w:themeColor="accent3" w:themeShade="BF"/>
          <w:sz w:val="22"/>
          <w:szCs w:val="22"/>
          <w:lang w:val="en-GB"/>
        </w:rPr>
        <w:t>it does not follow that it is also deemed to be final for the purpose of appeal – the rev</w:t>
      </w:r>
      <w:r w:rsidR="00EF224C">
        <w:rPr>
          <w:rFonts w:ascii="Avenir Next" w:hAnsi="Avenir Next" w:cs="Arial"/>
          <w:color w:val="7B7B7B" w:themeColor="accent3" w:themeShade="BF"/>
          <w:sz w:val="22"/>
          <w:szCs w:val="22"/>
          <w:lang w:val="en-GB"/>
        </w:rPr>
        <w:t xml:space="preserve">erse is also true. </w:t>
      </w:r>
      <w:r w:rsidR="00EF3ADB">
        <w:rPr>
          <w:rFonts w:ascii="Avenir Next" w:hAnsi="Avenir Next" w:cs="Arial"/>
          <w:color w:val="7B7B7B" w:themeColor="accent3" w:themeShade="BF"/>
          <w:sz w:val="22"/>
          <w:szCs w:val="22"/>
          <w:lang w:val="en-GB"/>
        </w:rPr>
        <w:t xml:space="preserve">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1EAF4CCA" w:rsidR="00E41578" w:rsidRDefault="00C15BF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provisions of the Bankrupt</w:t>
      </w:r>
      <w:r w:rsidR="007A3544">
        <w:rPr>
          <w:rFonts w:ascii="Avenir Next" w:hAnsi="Avenir Next" w:cs="Arial"/>
          <w:color w:val="7B7B7B" w:themeColor="accent3" w:themeShade="BF"/>
          <w:sz w:val="22"/>
          <w:szCs w:val="22"/>
          <w:lang w:val="en-GB"/>
        </w:rPr>
        <w:t xml:space="preserve">cy Code which apply automatically when there has been recognition of foreign </w:t>
      </w:r>
      <w:r w:rsidR="00002AB8">
        <w:rPr>
          <w:rFonts w:ascii="Avenir Next" w:hAnsi="Avenir Next" w:cs="Arial"/>
          <w:color w:val="7B7B7B" w:themeColor="accent3" w:themeShade="BF"/>
          <w:sz w:val="22"/>
          <w:szCs w:val="22"/>
          <w:lang w:val="en-GB"/>
        </w:rPr>
        <w:t>main proceedings</w:t>
      </w:r>
      <w:r w:rsidR="000C7B77">
        <w:rPr>
          <w:rStyle w:val="FootnoteReference"/>
          <w:rFonts w:ascii="Avenir Next" w:hAnsi="Avenir Next" w:cs="Arial"/>
          <w:color w:val="7B7B7B" w:themeColor="accent3" w:themeShade="BF"/>
          <w:sz w:val="22"/>
          <w:szCs w:val="22"/>
          <w:lang w:val="en-GB"/>
        </w:rPr>
        <w:footnoteReference w:id="10"/>
      </w:r>
      <w:r w:rsidR="00002AB8">
        <w:rPr>
          <w:rFonts w:ascii="Avenir Next" w:hAnsi="Avenir Next" w:cs="Arial"/>
          <w:color w:val="7B7B7B" w:themeColor="accent3" w:themeShade="BF"/>
          <w:sz w:val="22"/>
          <w:szCs w:val="22"/>
          <w:lang w:val="en-GB"/>
        </w:rPr>
        <w:t xml:space="preserve"> include, </w:t>
      </w:r>
      <w:r w:rsidR="005443DF">
        <w:rPr>
          <w:rFonts w:ascii="Avenir Next" w:hAnsi="Avenir Next" w:cs="Arial"/>
          <w:color w:val="7B7B7B" w:themeColor="accent3" w:themeShade="BF"/>
          <w:sz w:val="22"/>
          <w:szCs w:val="22"/>
          <w:lang w:val="en-GB"/>
        </w:rPr>
        <w:t>an automatic</w:t>
      </w:r>
      <w:r w:rsidR="00FD24DF">
        <w:rPr>
          <w:rFonts w:ascii="Avenir Next" w:hAnsi="Avenir Next" w:cs="Arial"/>
          <w:color w:val="7B7B7B" w:themeColor="accent3" w:themeShade="BF"/>
          <w:sz w:val="22"/>
          <w:szCs w:val="22"/>
          <w:lang w:val="en-GB"/>
        </w:rPr>
        <w:t xml:space="preserve"> </w:t>
      </w:r>
      <w:r w:rsidR="005443DF">
        <w:rPr>
          <w:rFonts w:ascii="Avenir Next" w:hAnsi="Avenir Next" w:cs="Arial"/>
          <w:color w:val="7B7B7B" w:themeColor="accent3" w:themeShade="BF"/>
          <w:sz w:val="22"/>
          <w:szCs w:val="22"/>
          <w:lang w:val="en-GB"/>
        </w:rPr>
        <w:t>stay</w:t>
      </w:r>
      <w:r w:rsidR="00FD24DF">
        <w:rPr>
          <w:rFonts w:ascii="Avenir Next" w:hAnsi="Avenir Next" w:cs="Arial"/>
          <w:color w:val="7B7B7B" w:themeColor="accent3" w:themeShade="BF"/>
          <w:sz w:val="22"/>
          <w:szCs w:val="22"/>
          <w:lang w:val="en-GB"/>
        </w:rPr>
        <w:t xml:space="preserve">, </w:t>
      </w:r>
      <w:r w:rsidR="002B00F7">
        <w:rPr>
          <w:rFonts w:ascii="Avenir Next" w:hAnsi="Avenir Next" w:cs="Arial"/>
          <w:color w:val="7B7B7B" w:themeColor="accent3" w:themeShade="BF"/>
          <w:sz w:val="22"/>
          <w:szCs w:val="22"/>
          <w:lang w:val="en-GB"/>
        </w:rPr>
        <w:t xml:space="preserve">the foreign representative </w:t>
      </w:r>
      <w:r w:rsidR="00DF726E">
        <w:rPr>
          <w:rFonts w:ascii="Avenir Next" w:hAnsi="Avenir Next" w:cs="Arial"/>
          <w:color w:val="7B7B7B" w:themeColor="accent3" w:themeShade="BF"/>
          <w:sz w:val="22"/>
          <w:szCs w:val="22"/>
          <w:lang w:val="en-GB"/>
        </w:rPr>
        <w:t>has the right to intervene where the debtor is involved in other proceedings in the US</w:t>
      </w:r>
      <w:r w:rsidR="00DF726E">
        <w:rPr>
          <w:rStyle w:val="FootnoteReference"/>
          <w:rFonts w:ascii="Avenir Next" w:hAnsi="Avenir Next" w:cs="Arial"/>
          <w:color w:val="7B7B7B" w:themeColor="accent3" w:themeShade="BF"/>
          <w:sz w:val="22"/>
          <w:szCs w:val="22"/>
          <w:lang w:val="en-GB"/>
        </w:rPr>
        <w:footnoteReference w:id="11"/>
      </w:r>
      <w:r w:rsidR="0087241D">
        <w:rPr>
          <w:rFonts w:ascii="Avenir Next" w:hAnsi="Avenir Next" w:cs="Arial"/>
          <w:color w:val="7B7B7B" w:themeColor="accent3" w:themeShade="BF"/>
          <w:sz w:val="22"/>
          <w:szCs w:val="22"/>
          <w:lang w:val="en-GB"/>
        </w:rPr>
        <w:t xml:space="preserve">, </w:t>
      </w:r>
      <w:r w:rsidR="006D1CC0">
        <w:rPr>
          <w:rFonts w:ascii="Avenir Next" w:hAnsi="Avenir Next" w:cs="Arial"/>
          <w:color w:val="7B7B7B" w:themeColor="accent3" w:themeShade="BF"/>
          <w:sz w:val="22"/>
          <w:szCs w:val="22"/>
          <w:lang w:val="en-GB"/>
        </w:rPr>
        <w:t xml:space="preserve">the foreign representative can continue </w:t>
      </w:r>
      <w:r w:rsidR="00B70875">
        <w:rPr>
          <w:rFonts w:ascii="Avenir Next" w:hAnsi="Avenir Next" w:cs="Arial"/>
          <w:color w:val="7B7B7B" w:themeColor="accent3" w:themeShade="BF"/>
          <w:sz w:val="22"/>
          <w:szCs w:val="22"/>
          <w:lang w:val="en-GB"/>
        </w:rPr>
        <w:t xml:space="preserve">the debtor’s ordinary business affairs, there can be a sale, transfer or use of property </w:t>
      </w:r>
      <w:r w:rsidR="004A78B0">
        <w:rPr>
          <w:rFonts w:ascii="Avenir Next" w:hAnsi="Avenir Next" w:cs="Arial"/>
          <w:color w:val="7B7B7B" w:themeColor="accent3" w:themeShade="BF"/>
          <w:sz w:val="22"/>
          <w:szCs w:val="22"/>
          <w:lang w:val="en-GB"/>
        </w:rPr>
        <w:t>outside the ordinary business affairs</w:t>
      </w:r>
      <w:r w:rsidR="00B960AE">
        <w:rPr>
          <w:rFonts w:ascii="Avenir Next" w:hAnsi="Avenir Next" w:cs="Arial"/>
          <w:color w:val="7B7B7B" w:themeColor="accent3" w:themeShade="BF"/>
          <w:sz w:val="22"/>
          <w:szCs w:val="22"/>
          <w:lang w:val="en-GB"/>
        </w:rPr>
        <w:t xml:space="preserve"> (including in 363 sales</w:t>
      </w:r>
      <w:r w:rsidR="00862A15">
        <w:rPr>
          <w:rStyle w:val="FootnoteReference"/>
          <w:rFonts w:ascii="Avenir Next" w:hAnsi="Avenir Next" w:cs="Arial"/>
          <w:color w:val="7B7B7B" w:themeColor="accent3" w:themeShade="BF"/>
          <w:sz w:val="22"/>
          <w:szCs w:val="22"/>
          <w:lang w:val="en-GB"/>
        </w:rPr>
        <w:footnoteReference w:id="12"/>
      </w:r>
      <w:r w:rsidR="00B960AE">
        <w:rPr>
          <w:rFonts w:ascii="Avenir Next" w:hAnsi="Avenir Next" w:cs="Arial"/>
          <w:color w:val="7B7B7B" w:themeColor="accent3" w:themeShade="BF"/>
          <w:sz w:val="22"/>
          <w:szCs w:val="22"/>
          <w:lang w:val="en-GB"/>
        </w:rPr>
        <w:t>)</w:t>
      </w:r>
      <w:r w:rsidR="004A78B0">
        <w:rPr>
          <w:rFonts w:ascii="Avenir Next" w:hAnsi="Avenir Next" w:cs="Arial"/>
          <w:color w:val="7B7B7B" w:themeColor="accent3" w:themeShade="BF"/>
          <w:sz w:val="22"/>
          <w:szCs w:val="22"/>
          <w:lang w:val="en-GB"/>
        </w:rPr>
        <w:t xml:space="preserve"> and </w:t>
      </w:r>
      <w:r w:rsidR="007920BF">
        <w:rPr>
          <w:rFonts w:ascii="Avenir Next" w:hAnsi="Avenir Next" w:cs="Arial"/>
          <w:color w:val="7B7B7B" w:themeColor="accent3" w:themeShade="BF"/>
          <w:sz w:val="22"/>
          <w:szCs w:val="22"/>
          <w:lang w:val="en-GB"/>
        </w:rPr>
        <w:t xml:space="preserve">avoidance of </w:t>
      </w:r>
      <w:r w:rsidR="009578EB">
        <w:rPr>
          <w:rFonts w:ascii="Avenir Next" w:hAnsi="Avenir Next" w:cs="Arial"/>
          <w:color w:val="7B7B7B" w:themeColor="accent3" w:themeShade="BF"/>
          <w:sz w:val="22"/>
          <w:szCs w:val="22"/>
          <w:lang w:val="en-GB"/>
        </w:rPr>
        <w:t xml:space="preserve">post petition </w:t>
      </w:r>
      <w:r w:rsidR="00501283">
        <w:rPr>
          <w:rFonts w:ascii="Avenir Next" w:hAnsi="Avenir Next" w:cs="Arial"/>
          <w:color w:val="7B7B7B" w:themeColor="accent3" w:themeShade="BF"/>
          <w:sz w:val="22"/>
          <w:szCs w:val="22"/>
          <w:lang w:val="en-GB"/>
        </w:rPr>
        <w:t>transfers and perfection of security measures</w:t>
      </w:r>
      <w:r w:rsidR="00CA5F8E">
        <w:rPr>
          <w:rFonts w:ascii="Avenir Next" w:hAnsi="Avenir Next" w:cs="Arial"/>
          <w:color w:val="7B7B7B" w:themeColor="accent3" w:themeShade="BF"/>
          <w:sz w:val="22"/>
          <w:szCs w:val="22"/>
          <w:lang w:val="en-GB"/>
        </w:rPr>
        <w:t>.</w:t>
      </w:r>
      <w:r w:rsidR="00D00BA5">
        <w:rPr>
          <w:rFonts w:ascii="Avenir Next" w:hAnsi="Avenir Next" w:cs="Arial"/>
          <w:color w:val="7B7B7B" w:themeColor="accent3" w:themeShade="BF"/>
          <w:sz w:val="22"/>
          <w:szCs w:val="22"/>
          <w:lang w:val="en-GB"/>
        </w:rPr>
        <w:t xml:space="preserve"> In relation to non-main proceedings </w:t>
      </w:r>
      <w:r w:rsidR="00B65867">
        <w:rPr>
          <w:rFonts w:ascii="Avenir Next" w:hAnsi="Avenir Next" w:cs="Arial"/>
          <w:color w:val="7B7B7B" w:themeColor="accent3" w:themeShade="BF"/>
          <w:sz w:val="22"/>
          <w:szCs w:val="22"/>
          <w:lang w:val="en-GB"/>
        </w:rPr>
        <w:t>the aforementioned can be</w:t>
      </w:r>
      <w:r w:rsidR="003F6900">
        <w:rPr>
          <w:rFonts w:ascii="Avenir Next" w:hAnsi="Avenir Next" w:cs="Arial"/>
          <w:color w:val="7B7B7B" w:themeColor="accent3" w:themeShade="BF"/>
          <w:sz w:val="22"/>
          <w:szCs w:val="22"/>
          <w:lang w:val="en-GB"/>
        </w:rPr>
        <w:t xml:space="preserve"> granted upon the court exercising its desertion as appropriate. </w:t>
      </w:r>
    </w:p>
    <w:p w14:paraId="3465D4F2" w14:textId="77777777" w:rsidR="00002AB8" w:rsidRDefault="00002AB8" w:rsidP="00E41578">
      <w:pPr>
        <w:jc w:val="both"/>
        <w:rPr>
          <w:rFonts w:ascii="Avenir Next" w:hAnsi="Avenir Next" w:cs="Arial"/>
          <w:color w:val="7B7B7B" w:themeColor="accent3" w:themeShade="BF"/>
          <w:sz w:val="22"/>
          <w:szCs w:val="22"/>
          <w:lang w:val="en-GB"/>
        </w:rPr>
      </w:pPr>
    </w:p>
    <w:p w14:paraId="44259684" w14:textId="31D5D0B7" w:rsidR="00002AB8" w:rsidRDefault="00002AB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0373DE">
        <w:rPr>
          <w:rFonts w:ascii="Avenir Next" w:hAnsi="Avenir Next" w:cs="Arial"/>
          <w:color w:val="7B7B7B" w:themeColor="accent3" w:themeShade="BF"/>
          <w:sz w:val="22"/>
          <w:szCs w:val="22"/>
          <w:lang w:val="en-GB"/>
        </w:rPr>
        <w:t>he relief that can be granted for foreign main</w:t>
      </w:r>
      <w:r w:rsidR="00FD0F1C">
        <w:rPr>
          <w:rFonts w:ascii="Avenir Next" w:hAnsi="Avenir Next" w:cs="Arial"/>
          <w:color w:val="7B7B7B" w:themeColor="accent3" w:themeShade="BF"/>
          <w:sz w:val="22"/>
          <w:szCs w:val="22"/>
          <w:lang w:val="en-GB"/>
        </w:rPr>
        <w:t xml:space="preserve"> and foreign non-main proceedings, on a discretionary basis</w:t>
      </w:r>
      <w:r w:rsidR="00FA68E7">
        <w:rPr>
          <w:rStyle w:val="FootnoteReference"/>
          <w:rFonts w:ascii="Avenir Next" w:hAnsi="Avenir Next" w:cs="Arial"/>
          <w:color w:val="7B7B7B" w:themeColor="accent3" w:themeShade="BF"/>
          <w:sz w:val="22"/>
          <w:szCs w:val="22"/>
          <w:lang w:val="en-GB"/>
        </w:rPr>
        <w:footnoteReference w:id="13"/>
      </w:r>
      <w:r w:rsidR="00FD0F1C">
        <w:rPr>
          <w:rFonts w:ascii="Avenir Next" w:hAnsi="Avenir Next" w:cs="Arial"/>
          <w:color w:val="7B7B7B" w:themeColor="accent3" w:themeShade="BF"/>
          <w:sz w:val="22"/>
          <w:szCs w:val="22"/>
          <w:lang w:val="en-GB"/>
        </w:rPr>
        <w:t xml:space="preserve"> incl</w:t>
      </w:r>
      <w:r w:rsidR="00487B7C">
        <w:rPr>
          <w:rFonts w:ascii="Avenir Next" w:hAnsi="Avenir Next" w:cs="Arial"/>
          <w:color w:val="7B7B7B" w:themeColor="accent3" w:themeShade="BF"/>
          <w:sz w:val="22"/>
          <w:szCs w:val="22"/>
          <w:lang w:val="en-GB"/>
        </w:rPr>
        <w:t>ude the followin</w:t>
      </w:r>
      <w:r w:rsidR="00E530DA">
        <w:rPr>
          <w:rFonts w:ascii="Avenir Next" w:hAnsi="Avenir Next" w:cs="Arial"/>
          <w:color w:val="7B7B7B" w:themeColor="accent3" w:themeShade="BF"/>
          <w:sz w:val="22"/>
          <w:szCs w:val="22"/>
          <w:lang w:val="en-GB"/>
        </w:rPr>
        <w:t>g</w:t>
      </w:r>
      <w:r w:rsidR="00842532">
        <w:rPr>
          <w:rFonts w:ascii="Avenir Next" w:hAnsi="Avenir Next" w:cs="Arial"/>
          <w:color w:val="7B7B7B" w:themeColor="accent3" w:themeShade="BF"/>
          <w:sz w:val="22"/>
          <w:szCs w:val="22"/>
          <w:lang w:val="en-GB"/>
        </w:rPr>
        <w:t xml:space="preserve">, </w:t>
      </w:r>
      <w:r w:rsidR="00175120">
        <w:rPr>
          <w:rFonts w:ascii="Avenir Next" w:hAnsi="Avenir Next" w:cs="Arial"/>
          <w:color w:val="7B7B7B" w:themeColor="accent3" w:themeShade="BF"/>
          <w:sz w:val="22"/>
          <w:szCs w:val="22"/>
          <w:lang w:val="en-GB"/>
        </w:rPr>
        <w:t xml:space="preserve">discovery relating to the debtors assets and affairs, </w:t>
      </w:r>
      <w:r w:rsidR="00E04BD2">
        <w:rPr>
          <w:rFonts w:ascii="Avenir Next" w:hAnsi="Avenir Next" w:cs="Arial"/>
          <w:color w:val="7B7B7B" w:themeColor="accent3" w:themeShade="BF"/>
          <w:sz w:val="22"/>
          <w:szCs w:val="22"/>
          <w:lang w:val="en-GB"/>
        </w:rPr>
        <w:t xml:space="preserve">granting the foreign representative </w:t>
      </w:r>
      <w:r w:rsidR="003D5E50">
        <w:rPr>
          <w:rFonts w:ascii="Avenir Next" w:hAnsi="Avenir Next" w:cs="Arial"/>
          <w:color w:val="7B7B7B" w:themeColor="accent3" w:themeShade="BF"/>
          <w:sz w:val="22"/>
          <w:szCs w:val="22"/>
          <w:lang w:val="en-GB"/>
        </w:rPr>
        <w:t xml:space="preserve">administrative powers over the debtor’s assets, </w:t>
      </w:r>
      <w:r w:rsidR="00AA1BA0">
        <w:rPr>
          <w:rFonts w:ascii="Avenir Next" w:hAnsi="Avenir Next" w:cs="Arial"/>
          <w:color w:val="7B7B7B" w:themeColor="accent3" w:themeShade="BF"/>
          <w:sz w:val="22"/>
          <w:szCs w:val="22"/>
          <w:lang w:val="en-GB"/>
        </w:rPr>
        <w:t xml:space="preserve">provisional relief can be extended and any other protective relief which may </w:t>
      </w:r>
      <w:r w:rsidR="00400E7E">
        <w:rPr>
          <w:rFonts w:ascii="Avenir Next" w:hAnsi="Avenir Next" w:cs="Arial"/>
          <w:color w:val="7B7B7B" w:themeColor="accent3" w:themeShade="BF"/>
          <w:sz w:val="22"/>
          <w:szCs w:val="22"/>
          <w:lang w:val="en-GB"/>
        </w:rPr>
        <w:t>be necessary to protect assets of the debtor or interest of the creditors</w:t>
      </w:r>
      <w:r w:rsidR="00400E7E">
        <w:rPr>
          <w:rStyle w:val="FootnoteReference"/>
          <w:rFonts w:ascii="Avenir Next" w:hAnsi="Avenir Next" w:cs="Arial"/>
          <w:color w:val="7B7B7B" w:themeColor="accent3" w:themeShade="BF"/>
          <w:sz w:val="22"/>
          <w:szCs w:val="22"/>
          <w:lang w:val="en-GB"/>
        </w:rPr>
        <w:footnoteReference w:id="14"/>
      </w:r>
      <w:r w:rsidR="002C396C">
        <w:rPr>
          <w:rFonts w:ascii="Avenir Next" w:hAnsi="Avenir Next" w:cs="Arial"/>
          <w:color w:val="7B7B7B" w:themeColor="accent3" w:themeShade="BF"/>
          <w:sz w:val="22"/>
          <w:szCs w:val="22"/>
          <w:lang w:val="en-GB"/>
        </w:rPr>
        <w:t>. Further relief may also be granted where appropriate or demonstrated as necessary</w:t>
      </w:r>
      <w:r w:rsidR="00621A53">
        <w:rPr>
          <w:rFonts w:ascii="Avenir Next" w:hAnsi="Avenir Next" w:cs="Arial"/>
          <w:color w:val="7B7B7B" w:themeColor="accent3" w:themeShade="BF"/>
          <w:sz w:val="22"/>
          <w:szCs w:val="22"/>
          <w:lang w:val="en-GB"/>
        </w:rPr>
        <w:t xml:space="preserve">, however, there are limits in </w:t>
      </w:r>
      <w:r w:rsidR="00621A53">
        <w:rPr>
          <w:rFonts w:ascii="Avenir Next" w:hAnsi="Avenir Next" w:cs="Arial"/>
          <w:color w:val="7B7B7B" w:themeColor="accent3" w:themeShade="BF"/>
          <w:sz w:val="22"/>
          <w:szCs w:val="22"/>
          <w:lang w:val="en-GB"/>
        </w:rPr>
        <w:lastRenderedPageBreak/>
        <w:t>relation to for example use of avoidance</w:t>
      </w:r>
      <w:r w:rsidR="00805802">
        <w:rPr>
          <w:rFonts w:ascii="Avenir Next" w:hAnsi="Avenir Next" w:cs="Arial"/>
          <w:color w:val="7B7B7B" w:themeColor="accent3" w:themeShade="BF"/>
          <w:sz w:val="22"/>
          <w:szCs w:val="22"/>
          <w:lang w:val="en-GB"/>
        </w:rPr>
        <w:t xml:space="preserve"> </w:t>
      </w:r>
      <w:r w:rsidR="000B285B">
        <w:rPr>
          <w:rFonts w:ascii="Avenir Next" w:hAnsi="Avenir Next" w:cs="Arial"/>
          <w:color w:val="7B7B7B" w:themeColor="accent3" w:themeShade="BF"/>
          <w:sz w:val="22"/>
          <w:szCs w:val="22"/>
          <w:lang w:val="en-GB"/>
        </w:rPr>
        <w:t>powers</w:t>
      </w:r>
      <w:r w:rsidR="000B285B">
        <w:rPr>
          <w:rStyle w:val="FootnoteReference"/>
          <w:rFonts w:ascii="Avenir Next" w:hAnsi="Avenir Next" w:cs="Arial"/>
          <w:color w:val="7B7B7B" w:themeColor="accent3" w:themeShade="BF"/>
          <w:sz w:val="22"/>
          <w:szCs w:val="22"/>
          <w:lang w:val="en-GB"/>
        </w:rPr>
        <w:footnoteReference w:id="15"/>
      </w:r>
      <w:r w:rsidR="006A7816">
        <w:rPr>
          <w:rFonts w:ascii="Avenir Next" w:hAnsi="Avenir Next" w:cs="Arial"/>
          <w:color w:val="7B7B7B" w:themeColor="accent3" w:themeShade="BF"/>
          <w:sz w:val="22"/>
          <w:szCs w:val="22"/>
          <w:lang w:val="en-GB"/>
        </w:rPr>
        <w:t xml:space="preserve">. Although the application of this limitation may not </w:t>
      </w:r>
      <w:r w:rsidR="00802A91">
        <w:rPr>
          <w:rFonts w:ascii="Avenir Next" w:hAnsi="Avenir Next" w:cs="Arial"/>
          <w:color w:val="7B7B7B" w:themeColor="accent3" w:themeShade="BF"/>
          <w:sz w:val="22"/>
          <w:szCs w:val="22"/>
          <w:lang w:val="en-GB"/>
        </w:rPr>
        <w:t>be completely restrictive</w:t>
      </w:r>
      <w:r w:rsidR="00802A91">
        <w:rPr>
          <w:rStyle w:val="FootnoteReference"/>
          <w:rFonts w:ascii="Avenir Next" w:hAnsi="Avenir Next" w:cs="Arial"/>
          <w:color w:val="7B7B7B" w:themeColor="accent3" w:themeShade="BF"/>
          <w:sz w:val="22"/>
          <w:szCs w:val="22"/>
          <w:lang w:val="en-GB"/>
        </w:rPr>
        <w:footnoteReference w:id="16"/>
      </w:r>
      <w:r w:rsidR="00A0068F">
        <w:rPr>
          <w:rFonts w:ascii="Avenir Next" w:hAnsi="Avenir Next" w:cs="Arial"/>
          <w:color w:val="7B7B7B" w:themeColor="accent3" w:themeShade="BF"/>
          <w:sz w:val="22"/>
          <w:szCs w:val="22"/>
          <w:lang w:val="en-GB"/>
        </w:rPr>
        <w:t xml:space="preserve"> and if a foreign representative brings plenary proceedings</w:t>
      </w:r>
      <w:r w:rsidR="00456AE8">
        <w:rPr>
          <w:rFonts w:ascii="Avenir Next" w:hAnsi="Avenir Next" w:cs="Arial"/>
          <w:color w:val="7B7B7B" w:themeColor="accent3" w:themeShade="BF"/>
          <w:sz w:val="22"/>
          <w:szCs w:val="22"/>
          <w:lang w:val="en-GB"/>
        </w:rPr>
        <w:t xml:space="preserve">, in the form of Chapter 7 or 11, then </w:t>
      </w:r>
      <w:r w:rsidR="00BC2EE4">
        <w:rPr>
          <w:rFonts w:ascii="Avenir Next" w:hAnsi="Avenir Next" w:cs="Arial"/>
          <w:color w:val="7B7B7B" w:themeColor="accent3" w:themeShade="BF"/>
          <w:sz w:val="22"/>
          <w:szCs w:val="22"/>
          <w:lang w:val="en-GB"/>
        </w:rPr>
        <w:t xml:space="preserve">the avoidance powers may be </w:t>
      </w:r>
      <w:r w:rsidR="00A30E85">
        <w:rPr>
          <w:rFonts w:ascii="Avenir Next" w:hAnsi="Avenir Next" w:cs="Arial"/>
          <w:color w:val="7B7B7B" w:themeColor="accent3" w:themeShade="BF"/>
          <w:sz w:val="22"/>
          <w:szCs w:val="22"/>
          <w:lang w:val="en-GB"/>
        </w:rPr>
        <w:t>possible to</w:t>
      </w:r>
      <w:r w:rsidR="00BC2EE4">
        <w:rPr>
          <w:rFonts w:ascii="Avenir Next" w:hAnsi="Avenir Next" w:cs="Arial"/>
          <w:color w:val="7B7B7B" w:themeColor="accent3" w:themeShade="BF"/>
          <w:sz w:val="22"/>
          <w:szCs w:val="22"/>
          <w:lang w:val="en-GB"/>
        </w:rPr>
        <w:t xml:space="preserve"> engage. </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33F27D2F" w:rsidR="00E41578" w:rsidRDefault="00A133B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7B603B">
        <w:rPr>
          <w:rFonts w:ascii="Avenir Next" w:hAnsi="Avenir Next" w:cs="Arial"/>
          <w:color w:val="7B7B7B" w:themeColor="accent3" w:themeShade="BF"/>
          <w:sz w:val="22"/>
          <w:szCs w:val="22"/>
          <w:lang w:val="en-GB"/>
        </w:rPr>
        <w:t xml:space="preserve">liabilities of directors </w:t>
      </w:r>
      <w:r w:rsidR="0071280E">
        <w:rPr>
          <w:rFonts w:ascii="Avenir Next" w:hAnsi="Avenir Next" w:cs="Arial"/>
          <w:color w:val="7B7B7B" w:themeColor="accent3" w:themeShade="BF"/>
          <w:sz w:val="22"/>
          <w:szCs w:val="22"/>
          <w:lang w:val="en-GB"/>
        </w:rPr>
        <w:t>depend</w:t>
      </w:r>
      <w:r w:rsidR="007B603B">
        <w:rPr>
          <w:rFonts w:ascii="Avenir Next" w:hAnsi="Avenir Next" w:cs="Arial"/>
          <w:color w:val="7B7B7B" w:themeColor="accent3" w:themeShade="BF"/>
          <w:sz w:val="22"/>
          <w:szCs w:val="22"/>
          <w:lang w:val="en-GB"/>
        </w:rPr>
        <w:t xml:space="preserve"> on the state law where a company is incorporated. </w:t>
      </w:r>
      <w:r w:rsidR="00E07FD8">
        <w:rPr>
          <w:rFonts w:ascii="Avenir Next" w:hAnsi="Avenir Next" w:cs="Arial"/>
          <w:color w:val="7B7B7B" w:themeColor="accent3" w:themeShade="BF"/>
          <w:sz w:val="22"/>
          <w:szCs w:val="22"/>
          <w:lang w:val="en-GB"/>
        </w:rPr>
        <w:t xml:space="preserve">Directors to a Delaware corporation owe the following duties </w:t>
      </w:r>
      <w:r w:rsidR="00AE5698">
        <w:rPr>
          <w:rFonts w:ascii="Avenir Next" w:hAnsi="Avenir Next" w:cs="Arial"/>
          <w:color w:val="7B7B7B" w:themeColor="accent3" w:themeShade="BF"/>
          <w:sz w:val="22"/>
          <w:szCs w:val="22"/>
          <w:lang w:val="en-GB"/>
        </w:rPr>
        <w:t>to it in the ordinary course of busines</w:t>
      </w:r>
      <w:r w:rsidR="00D13F5D">
        <w:rPr>
          <w:rFonts w:ascii="Avenir Next" w:hAnsi="Avenir Next" w:cs="Arial"/>
          <w:color w:val="7B7B7B" w:themeColor="accent3" w:themeShade="BF"/>
          <w:sz w:val="22"/>
          <w:szCs w:val="22"/>
          <w:lang w:val="en-GB"/>
        </w:rPr>
        <w:t>s</w:t>
      </w:r>
      <w:r w:rsidR="00583423">
        <w:rPr>
          <w:rFonts w:ascii="Avenir Next" w:hAnsi="Avenir Next" w:cs="Arial"/>
          <w:color w:val="7B7B7B" w:themeColor="accent3" w:themeShade="BF"/>
          <w:sz w:val="22"/>
          <w:szCs w:val="22"/>
          <w:lang w:val="en-GB"/>
        </w:rPr>
        <w:t>:</w:t>
      </w:r>
    </w:p>
    <w:p w14:paraId="76E387B4" w14:textId="77777777" w:rsidR="00583423" w:rsidRDefault="00583423" w:rsidP="00E41578">
      <w:pPr>
        <w:jc w:val="both"/>
        <w:rPr>
          <w:rFonts w:ascii="Avenir Next" w:hAnsi="Avenir Next" w:cs="Arial"/>
          <w:color w:val="7B7B7B" w:themeColor="accent3" w:themeShade="BF"/>
          <w:sz w:val="22"/>
          <w:szCs w:val="22"/>
          <w:lang w:val="en-GB"/>
        </w:rPr>
      </w:pPr>
    </w:p>
    <w:p w14:paraId="73D24E42" w14:textId="55309024" w:rsidR="00583423" w:rsidRDefault="008043F2" w:rsidP="00583423">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Fiduciary duty of </w:t>
      </w:r>
      <w:r w:rsidR="00E13EBD">
        <w:rPr>
          <w:rFonts w:ascii="Avenir Next" w:hAnsi="Avenir Next" w:cs="Arial"/>
          <w:color w:val="7B7B7B" w:themeColor="accent3" w:themeShade="BF"/>
          <w:sz w:val="22"/>
          <w:szCs w:val="22"/>
          <w:lang w:val="en-GB"/>
        </w:rPr>
        <w:t>loyalty to</w:t>
      </w:r>
      <w:r>
        <w:rPr>
          <w:rFonts w:ascii="Avenir Next" w:hAnsi="Avenir Next" w:cs="Arial"/>
          <w:color w:val="7B7B7B" w:themeColor="accent3" w:themeShade="BF"/>
          <w:sz w:val="22"/>
          <w:szCs w:val="22"/>
          <w:lang w:val="en-GB"/>
        </w:rPr>
        <w:t xml:space="preserve"> the company</w:t>
      </w:r>
      <w:r w:rsidR="000F7698">
        <w:rPr>
          <w:rFonts w:ascii="Avenir Next" w:hAnsi="Avenir Next" w:cs="Arial"/>
          <w:color w:val="7B7B7B" w:themeColor="accent3" w:themeShade="BF"/>
          <w:sz w:val="22"/>
          <w:szCs w:val="22"/>
          <w:lang w:val="en-GB"/>
        </w:rPr>
        <w:t xml:space="preserve">, which includes </w:t>
      </w:r>
      <w:r w:rsidR="008A274E">
        <w:rPr>
          <w:rFonts w:ascii="Avenir Next" w:hAnsi="Avenir Next" w:cs="Arial"/>
          <w:color w:val="7B7B7B" w:themeColor="accent3" w:themeShade="BF"/>
          <w:sz w:val="22"/>
          <w:szCs w:val="22"/>
          <w:lang w:val="en-GB"/>
        </w:rPr>
        <w:t>acting in good faith</w:t>
      </w:r>
    </w:p>
    <w:p w14:paraId="3856F633" w14:textId="2E2C454E" w:rsidR="00512A3E" w:rsidRPr="004C79CD" w:rsidRDefault="00E13EBD" w:rsidP="00512A3E">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Duty of care in making well informed decisions</w:t>
      </w:r>
    </w:p>
    <w:p w14:paraId="2D5AE174" w14:textId="77777777" w:rsidR="00860F7D" w:rsidRDefault="00860F7D" w:rsidP="00E41578">
      <w:pPr>
        <w:jc w:val="both"/>
        <w:rPr>
          <w:rFonts w:ascii="Avenir Next" w:hAnsi="Avenir Next" w:cs="Arial"/>
          <w:color w:val="7B7B7B" w:themeColor="accent3" w:themeShade="BF"/>
          <w:sz w:val="22"/>
          <w:szCs w:val="22"/>
          <w:lang w:val="en-GB"/>
        </w:rPr>
      </w:pPr>
    </w:p>
    <w:p w14:paraId="5E3B2922" w14:textId="360AE7C8" w:rsidR="00D13F5D" w:rsidRPr="007C351C" w:rsidRDefault="006F7828" w:rsidP="007C351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 director makes an error in </w:t>
      </w:r>
      <w:r w:rsidR="008A21CA">
        <w:rPr>
          <w:rFonts w:ascii="Avenir Next" w:hAnsi="Avenir Next" w:cs="Arial"/>
          <w:color w:val="7B7B7B" w:themeColor="accent3" w:themeShade="BF"/>
          <w:sz w:val="22"/>
          <w:szCs w:val="22"/>
          <w:lang w:val="en-GB"/>
        </w:rPr>
        <w:t>judgment,</w:t>
      </w:r>
      <w:r>
        <w:rPr>
          <w:rFonts w:ascii="Avenir Next" w:hAnsi="Avenir Next" w:cs="Arial"/>
          <w:color w:val="7B7B7B" w:themeColor="accent3" w:themeShade="BF"/>
          <w:sz w:val="22"/>
          <w:szCs w:val="22"/>
          <w:lang w:val="en-GB"/>
        </w:rPr>
        <w:t xml:space="preserve"> then they may be afforded some protection</w:t>
      </w:r>
      <w:r w:rsidR="008A21CA">
        <w:rPr>
          <w:rFonts w:ascii="Avenir Next" w:hAnsi="Avenir Next" w:cs="Arial"/>
          <w:color w:val="7B7B7B" w:themeColor="accent3" w:themeShade="BF"/>
          <w:sz w:val="22"/>
          <w:szCs w:val="22"/>
          <w:lang w:val="en-GB"/>
        </w:rPr>
        <w:t xml:space="preserve">. </w:t>
      </w:r>
      <w:r w:rsidR="00825CAF" w:rsidRPr="007C351C">
        <w:rPr>
          <w:rFonts w:ascii="Avenir Next" w:hAnsi="Avenir Next" w:cs="Arial"/>
          <w:color w:val="7B7B7B" w:themeColor="accent3" w:themeShade="BF"/>
          <w:sz w:val="22"/>
          <w:szCs w:val="22"/>
          <w:lang w:val="en-GB"/>
        </w:rPr>
        <w:t xml:space="preserve">The business judgment rules </w:t>
      </w:r>
      <w:r w:rsidR="001E4FB2" w:rsidRPr="007C351C">
        <w:rPr>
          <w:rFonts w:ascii="Avenir Next" w:hAnsi="Avenir Next" w:cs="Arial"/>
          <w:color w:val="7B7B7B" w:themeColor="accent3" w:themeShade="BF"/>
          <w:sz w:val="22"/>
          <w:szCs w:val="22"/>
          <w:lang w:val="en-GB"/>
        </w:rPr>
        <w:t>afford</w:t>
      </w:r>
      <w:r w:rsidR="00473CCB" w:rsidRPr="007C351C">
        <w:rPr>
          <w:rFonts w:ascii="Avenir Next" w:hAnsi="Avenir Next" w:cs="Arial"/>
          <w:color w:val="7B7B7B" w:themeColor="accent3" w:themeShade="BF"/>
          <w:sz w:val="22"/>
          <w:szCs w:val="22"/>
          <w:lang w:val="en-GB"/>
        </w:rPr>
        <w:t xml:space="preserve"> </w:t>
      </w:r>
      <w:r w:rsidR="002E73FA" w:rsidRPr="007C351C">
        <w:rPr>
          <w:rFonts w:ascii="Avenir Next" w:hAnsi="Avenir Next" w:cs="Arial"/>
          <w:color w:val="7B7B7B" w:themeColor="accent3" w:themeShade="BF"/>
          <w:sz w:val="22"/>
          <w:szCs w:val="22"/>
          <w:lang w:val="en-GB"/>
        </w:rPr>
        <w:t xml:space="preserve">directors </w:t>
      </w:r>
      <w:r w:rsidR="00AD4BE3" w:rsidRPr="007C351C">
        <w:rPr>
          <w:rFonts w:ascii="Avenir Next" w:hAnsi="Avenir Next" w:cs="Arial"/>
          <w:color w:val="7B7B7B" w:themeColor="accent3" w:themeShade="BF"/>
          <w:sz w:val="22"/>
          <w:szCs w:val="22"/>
          <w:lang w:val="en-GB"/>
        </w:rPr>
        <w:t>protection where they have made an error in judgment. There is a presumption that the board of directors have acted in good faith</w:t>
      </w:r>
      <w:r w:rsidR="00DF7963" w:rsidRPr="007C351C">
        <w:rPr>
          <w:rFonts w:ascii="Avenir Next" w:hAnsi="Avenir Next" w:cs="Arial"/>
          <w:color w:val="7B7B7B" w:themeColor="accent3" w:themeShade="BF"/>
          <w:sz w:val="22"/>
          <w:szCs w:val="22"/>
          <w:lang w:val="en-GB"/>
        </w:rPr>
        <w:t xml:space="preserve">, </w:t>
      </w:r>
      <w:r w:rsidR="001702E3" w:rsidRPr="007C351C">
        <w:rPr>
          <w:rFonts w:ascii="Avenir Next" w:hAnsi="Avenir Next" w:cs="Arial"/>
          <w:color w:val="7B7B7B" w:themeColor="accent3" w:themeShade="BF"/>
          <w:sz w:val="22"/>
          <w:szCs w:val="22"/>
          <w:lang w:val="en-GB"/>
        </w:rPr>
        <w:t>which can be rebutte</w:t>
      </w:r>
      <w:r w:rsidR="00DF7963" w:rsidRPr="007C351C">
        <w:rPr>
          <w:rFonts w:ascii="Avenir Next" w:hAnsi="Avenir Next" w:cs="Arial"/>
          <w:color w:val="7B7B7B" w:themeColor="accent3" w:themeShade="BF"/>
          <w:sz w:val="22"/>
          <w:szCs w:val="22"/>
          <w:lang w:val="en-GB"/>
        </w:rPr>
        <w:t xml:space="preserve">d – if it cannot then </w:t>
      </w:r>
      <w:r w:rsidR="004C3BE0" w:rsidRPr="007C351C">
        <w:rPr>
          <w:rFonts w:ascii="Avenir Next" w:hAnsi="Avenir Next" w:cs="Arial"/>
          <w:color w:val="7B7B7B" w:themeColor="accent3" w:themeShade="BF"/>
          <w:sz w:val="22"/>
          <w:szCs w:val="22"/>
          <w:lang w:val="en-GB"/>
        </w:rPr>
        <w:t>the directors will escape liability under this rule.</w:t>
      </w:r>
      <w:r w:rsidR="009E66DE" w:rsidRPr="007C351C">
        <w:rPr>
          <w:rFonts w:ascii="Avenir Next" w:hAnsi="Avenir Next" w:cs="Arial"/>
          <w:color w:val="7B7B7B" w:themeColor="accent3" w:themeShade="BF"/>
          <w:sz w:val="22"/>
          <w:szCs w:val="22"/>
          <w:lang w:val="en-GB"/>
        </w:rPr>
        <w:t xml:space="preserve"> </w:t>
      </w:r>
      <w:r w:rsidR="002C251A" w:rsidRPr="007C351C">
        <w:rPr>
          <w:rFonts w:ascii="Avenir Next" w:hAnsi="Avenir Next" w:cs="Arial"/>
          <w:color w:val="7B7B7B" w:themeColor="accent3" w:themeShade="BF"/>
          <w:sz w:val="22"/>
          <w:szCs w:val="22"/>
          <w:lang w:val="en-GB"/>
        </w:rPr>
        <w:t>This rule</w:t>
      </w:r>
      <w:r w:rsidR="009E66DE" w:rsidRPr="007C351C">
        <w:rPr>
          <w:rFonts w:ascii="Avenir Next" w:hAnsi="Avenir Next" w:cs="Arial"/>
          <w:color w:val="7B7B7B" w:themeColor="accent3" w:themeShade="BF"/>
          <w:sz w:val="22"/>
          <w:szCs w:val="22"/>
          <w:lang w:val="en-GB"/>
        </w:rPr>
        <w:t xml:space="preserve"> does not apply</w:t>
      </w:r>
      <w:r w:rsidR="000428EC" w:rsidRPr="007C351C">
        <w:rPr>
          <w:rFonts w:ascii="Avenir Next" w:hAnsi="Avenir Next" w:cs="Arial"/>
          <w:color w:val="7B7B7B" w:themeColor="accent3" w:themeShade="BF"/>
          <w:sz w:val="22"/>
          <w:szCs w:val="22"/>
          <w:lang w:val="en-GB"/>
        </w:rPr>
        <w:t xml:space="preserve"> where a board is considered</w:t>
      </w:r>
      <w:r w:rsidR="002C251A" w:rsidRPr="007C351C">
        <w:rPr>
          <w:rFonts w:ascii="Avenir Next" w:hAnsi="Avenir Next" w:cs="Arial"/>
          <w:color w:val="7B7B7B" w:themeColor="accent3" w:themeShade="BF"/>
          <w:sz w:val="22"/>
          <w:szCs w:val="22"/>
          <w:lang w:val="en-GB"/>
        </w:rPr>
        <w:t xml:space="preserve"> far from independent or has some personal </w:t>
      </w:r>
      <w:r w:rsidR="00C458C6" w:rsidRPr="007C351C">
        <w:rPr>
          <w:rFonts w:ascii="Avenir Next" w:hAnsi="Avenir Next" w:cs="Arial"/>
          <w:color w:val="7B7B7B" w:themeColor="accent3" w:themeShade="BF"/>
          <w:sz w:val="22"/>
          <w:szCs w:val="22"/>
          <w:lang w:val="en-GB"/>
        </w:rPr>
        <w:t>interest</w:t>
      </w:r>
      <w:r w:rsidR="002C251A" w:rsidRPr="007C351C">
        <w:rPr>
          <w:rFonts w:ascii="Avenir Next" w:hAnsi="Avenir Next" w:cs="Arial"/>
          <w:color w:val="7B7B7B" w:themeColor="accent3" w:themeShade="BF"/>
          <w:sz w:val="22"/>
          <w:szCs w:val="22"/>
          <w:lang w:val="en-GB"/>
        </w:rPr>
        <w:t>.</w:t>
      </w:r>
      <w:r w:rsidR="009E66DE" w:rsidRPr="007C351C">
        <w:rPr>
          <w:rFonts w:ascii="Avenir Next" w:hAnsi="Avenir Next" w:cs="Arial"/>
          <w:color w:val="7B7B7B" w:themeColor="accent3" w:themeShade="BF"/>
          <w:sz w:val="22"/>
          <w:szCs w:val="22"/>
          <w:lang w:val="en-GB"/>
        </w:rPr>
        <w:t xml:space="preserve"> </w:t>
      </w:r>
    </w:p>
    <w:p w14:paraId="713D04F9" w14:textId="77777777" w:rsidR="00AE5698" w:rsidRDefault="00AE5698" w:rsidP="00E41578">
      <w:pPr>
        <w:jc w:val="both"/>
        <w:rPr>
          <w:rFonts w:ascii="Avenir Next" w:hAnsi="Avenir Next" w:cs="Arial"/>
          <w:color w:val="7B7B7B" w:themeColor="accent3" w:themeShade="BF"/>
          <w:sz w:val="22"/>
          <w:szCs w:val="22"/>
          <w:lang w:val="en-GB"/>
        </w:rPr>
      </w:pPr>
    </w:p>
    <w:p w14:paraId="48C536D2" w14:textId="531BC2CE" w:rsidR="00F12F58" w:rsidRPr="00E41578" w:rsidRDefault="00AE569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duties are owed to</w:t>
      </w:r>
      <w:r w:rsidR="00271F55">
        <w:rPr>
          <w:rFonts w:ascii="Avenir Next" w:hAnsi="Avenir Next" w:cs="Arial"/>
          <w:color w:val="7B7B7B" w:themeColor="accent3" w:themeShade="BF"/>
          <w:sz w:val="22"/>
          <w:szCs w:val="22"/>
          <w:lang w:val="en-GB"/>
        </w:rPr>
        <w:t xml:space="preserve"> the corporation and shareholders</w:t>
      </w:r>
      <w:r w:rsidR="0044305A">
        <w:rPr>
          <w:rFonts w:ascii="Avenir Next" w:hAnsi="Avenir Next" w:cs="Arial"/>
          <w:color w:val="7B7B7B" w:themeColor="accent3" w:themeShade="BF"/>
          <w:sz w:val="22"/>
          <w:szCs w:val="22"/>
          <w:lang w:val="en-GB"/>
        </w:rPr>
        <w:t xml:space="preserve"> </w:t>
      </w:r>
      <w:r w:rsidR="004A4B8D">
        <w:rPr>
          <w:rFonts w:ascii="Avenir Next" w:hAnsi="Avenir Next" w:cs="Arial"/>
          <w:color w:val="7B7B7B" w:themeColor="accent3" w:themeShade="BF"/>
          <w:sz w:val="22"/>
          <w:szCs w:val="22"/>
          <w:lang w:val="en-GB"/>
        </w:rPr>
        <w:t>when the corporation is potentially or actually insolvent</w:t>
      </w:r>
      <w:r w:rsidR="001962FE">
        <w:rPr>
          <w:rStyle w:val="FootnoteReference"/>
          <w:rFonts w:ascii="Avenir Next" w:hAnsi="Avenir Next" w:cs="Arial"/>
          <w:color w:val="7B7B7B" w:themeColor="accent3" w:themeShade="BF"/>
          <w:sz w:val="22"/>
          <w:szCs w:val="22"/>
          <w:lang w:val="en-GB"/>
        </w:rPr>
        <w:footnoteReference w:id="17"/>
      </w:r>
      <w:r w:rsidR="0044305A">
        <w:rPr>
          <w:rFonts w:ascii="Avenir Next" w:hAnsi="Avenir Next" w:cs="Arial"/>
          <w:color w:val="7B7B7B" w:themeColor="accent3" w:themeShade="BF"/>
          <w:sz w:val="22"/>
          <w:szCs w:val="22"/>
          <w:lang w:val="en-GB"/>
        </w:rPr>
        <w:t>. Other jurisdictions outside of the US</w:t>
      </w:r>
      <w:r w:rsidR="00817236">
        <w:rPr>
          <w:rFonts w:ascii="Avenir Next" w:hAnsi="Avenir Next" w:cs="Arial"/>
          <w:color w:val="7B7B7B" w:themeColor="accent3" w:themeShade="BF"/>
          <w:sz w:val="22"/>
          <w:szCs w:val="22"/>
          <w:lang w:val="en-GB"/>
        </w:rPr>
        <w:t xml:space="preserve"> do not take the same approach</w:t>
      </w:r>
      <w:r w:rsidR="00817236">
        <w:rPr>
          <w:rStyle w:val="FootnoteReference"/>
          <w:rFonts w:ascii="Avenir Next" w:hAnsi="Avenir Next" w:cs="Arial"/>
          <w:color w:val="7B7B7B" w:themeColor="accent3" w:themeShade="BF"/>
          <w:sz w:val="22"/>
          <w:szCs w:val="22"/>
          <w:lang w:val="en-GB"/>
        </w:rPr>
        <w:footnoteReference w:id="18"/>
      </w:r>
      <w:r w:rsidR="00684415">
        <w:rPr>
          <w:rFonts w:ascii="Avenir Next" w:hAnsi="Avenir Next" w:cs="Arial"/>
          <w:color w:val="7B7B7B" w:themeColor="accent3" w:themeShade="BF"/>
          <w:sz w:val="22"/>
          <w:szCs w:val="22"/>
          <w:lang w:val="en-GB"/>
        </w:rPr>
        <w:t>.</w:t>
      </w:r>
      <w:r w:rsidR="0044305A">
        <w:rPr>
          <w:rFonts w:ascii="Avenir Next" w:hAnsi="Avenir Next" w:cs="Arial"/>
          <w:color w:val="7B7B7B" w:themeColor="accent3" w:themeShade="BF"/>
          <w:sz w:val="22"/>
          <w:szCs w:val="22"/>
          <w:lang w:val="en-GB"/>
        </w:rPr>
        <w:t xml:space="preserve"> </w:t>
      </w:r>
      <w:r w:rsidR="00A71C32">
        <w:rPr>
          <w:rFonts w:ascii="Avenir Next" w:hAnsi="Avenir Next" w:cs="Arial"/>
          <w:color w:val="7B7B7B" w:themeColor="accent3" w:themeShade="BF"/>
          <w:sz w:val="22"/>
          <w:szCs w:val="22"/>
          <w:lang w:val="en-GB"/>
        </w:rPr>
        <w:t xml:space="preserve">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788F1CEE" w14:textId="6A2A55C3" w:rsidR="008C25BA" w:rsidRDefault="00F21AB5" w:rsidP="00372F3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Generally,</w:t>
      </w:r>
      <w:r w:rsidR="00283A29">
        <w:rPr>
          <w:rFonts w:ascii="Avenir Next" w:hAnsi="Avenir Next" w:cs="Arial"/>
          <w:color w:val="7B7B7B" w:themeColor="accent3" w:themeShade="BF"/>
          <w:sz w:val="22"/>
          <w:szCs w:val="22"/>
          <w:lang w:val="en-GB"/>
        </w:rPr>
        <w:t xml:space="preserve"> Chapters 7 and 11 are open to a creditor who is looking to com</w:t>
      </w:r>
      <w:r w:rsidR="00F613C2">
        <w:rPr>
          <w:rFonts w:ascii="Avenir Next" w:hAnsi="Avenir Next" w:cs="Arial"/>
          <w:color w:val="7B7B7B" w:themeColor="accent3" w:themeShade="BF"/>
          <w:sz w:val="22"/>
          <w:szCs w:val="22"/>
          <w:lang w:val="en-GB"/>
        </w:rPr>
        <w:t>mence involuntary proceedings</w:t>
      </w:r>
      <w:r w:rsidR="00AC7AEF">
        <w:rPr>
          <w:rFonts w:ascii="Avenir Next" w:hAnsi="Avenir Next" w:cs="Arial"/>
          <w:color w:val="7B7B7B" w:themeColor="accent3" w:themeShade="BF"/>
          <w:sz w:val="22"/>
          <w:szCs w:val="22"/>
          <w:lang w:val="en-GB"/>
        </w:rPr>
        <w:t xml:space="preserve"> (including a foreign representative of an estate)</w:t>
      </w:r>
      <w:r w:rsidR="00F458CD">
        <w:rPr>
          <w:rStyle w:val="FootnoteReference"/>
          <w:rFonts w:ascii="Avenir Next" w:hAnsi="Avenir Next" w:cs="Arial"/>
          <w:color w:val="7B7B7B" w:themeColor="accent3" w:themeShade="BF"/>
          <w:sz w:val="22"/>
          <w:szCs w:val="22"/>
          <w:lang w:val="en-GB"/>
        </w:rPr>
        <w:footnoteReference w:id="19"/>
      </w:r>
      <w:r w:rsidR="00756FB4">
        <w:rPr>
          <w:rFonts w:ascii="Avenir Next" w:hAnsi="Avenir Next" w:cs="Arial"/>
          <w:color w:val="7B7B7B" w:themeColor="accent3" w:themeShade="BF"/>
          <w:sz w:val="22"/>
          <w:szCs w:val="22"/>
          <w:lang w:val="en-GB"/>
        </w:rPr>
        <w:t xml:space="preserve">. </w:t>
      </w:r>
      <w:r w:rsidR="002C7D82">
        <w:rPr>
          <w:rFonts w:ascii="Avenir Next" w:hAnsi="Avenir Next" w:cs="Arial"/>
          <w:color w:val="7B7B7B" w:themeColor="accent3" w:themeShade="BF"/>
          <w:sz w:val="22"/>
          <w:szCs w:val="22"/>
          <w:lang w:val="en-GB"/>
        </w:rPr>
        <w:t>In an involuntary</w:t>
      </w:r>
      <w:r w:rsidR="005C3493">
        <w:rPr>
          <w:rFonts w:ascii="Avenir Next" w:hAnsi="Avenir Next" w:cs="Arial"/>
          <w:color w:val="7B7B7B" w:themeColor="accent3" w:themeShade="BF"/>
          <w:sz w:val="22"/>
          <w:szCs w:val="22"/>
          <w:lang w:val="en-GB"/>
        </w:rPr>
        <w:t xml:space="preserve"> </w:t>
      </w:r>
      <w:r w:rsidR="002C481B">
        <w:rPr>
          <w:rFonts w:ascii="Avenir Next" w:hAnsi="Avenir Next" w:cs="Arial"/>
          <w:color w:val="7B7B7B" w:themeColor="accent3" w:themeShade="BF"/>
          <w:sz w:val="22"/>
          <w:szCs w:val="22"/>
          <w:lang w:val="en-GB"/>
        </w:rPr>
        <w:t>proceedings</w:t>
      </w:r>
      <w:r w:rsidR="002C7D82">
        <w:rPr>
          <w:rFonts w:ascii="Avenir Next" w:hAnsi="Avenir Next" w:cs="Arial"/>
          <w:color w:val="7B7B7B" w:themeColor="accent3" w:themeShade="BF"/>
          <w:sz w:val="22"/>
          <w:szCs w:val="22"/>
          <w:lang w:val="en-GB"/>
        </w:rPr>
        <w:t xml:space="preserve"> context</w:t>
      </w:r>
      <w:r w:rsidR="002C481B">
        <w:rPr>
          <w:rFonts w:ascii="Avenir Next" w:hAnsi="Avenir Next" w:cs="Arial"/>
          <w:color w:val="7B7B7B" w:themeColor="accent3" w:themeShade="BF"/>
          <w:sz w:val="22"/>
          <w:szCs w:val="22"/>
          <w:lang w:val="en-GB"/>
        </w:rPr>
        <w:t>,</w:t>
      </w:r>
      <w:r w:rsidR="003E1A2A">
        <w:rPr>
          <w:rFonts w:ascii="Avenir Next" w:hAnsi="Avenir Next" w:cs="Arial"/>
          <w:color w:val="7B7B7B" w:themeColor="accent3" w:themeShade="BF"/>
          <w:sz w:val="22"/>
          <w:szCs w:val="22"/>
          <w:lang w:val="en-GB"/>
        </w:rPr>
        <w:t xml:space="preserve"> in order for a petitioning creditor </w:t>
      </w:r>
      <w:r w:rsidR="002C481B">
        <w:rPr>
          <w:rFonts w:ascii="Avenir Next" w:hAnsi="Avenir Next" w:cs="Arial"/>
          <w:color w:val="7B7B7B" w:themeColor="accent3" w:themeShade="BF"/>
          <w:sz w:val="22"/>
          <w:szCs w:val="22"/>
          <w:lang w:val="en-GB"/>
        </w:rPr>
        <w:t xml:space="preserve">to qualify as such </w:t>
      </w:r>
      <w:r w:rsidR="00372F3A">
        <w:rPr>
          <w:rFonts w:ascii="Avenir Next" w:hAnsi="Avenir Next" w:cs="Arial"/>
          <w:color w:val="7B7B7B" w:themeColor="accent3" w:themeShade="BF"/>
          <w:sz w:val="22"/>
          <w:szCs w:val="22"/>
          <w:lang w:val="en-GB"/>
        </w:rPr>
        <w:t>certain</w:t>
      </w:r>
      <w:r w:rsidR="002C481B">
        <w:rPr>
          <w:rFonts w:ascii="Avenir Next" w:hAnsi="Avenir Next" w:cs="Arial"/>
          <w:color w:val="7B7B7B" w:themeColor="accent3" w:themeShade="BF"/>
          <w:sz w:val="22"/>
          <w:szCs w:val="22"/>
          <w:lang w:val="en-GB"/>
        </w:rPr>
        <w:t xml:space="preserve"> requiremen</w:t>
      </w:r>
      <w:r w:rsidR="00372F3A">
        <w:rPr>
          <w:rFonts w:ascii="Avenir Next" w:hAnsi="Avenir Next" w:cs="Arial"/>
          <w:color w:val="7B7B7B" w:themeColor="accent3" w:themeShade="BF"/>
          <w:sz w:val="22"/>
          <w:szCs w:val="22"/>
          <w:lang w:val="en-GB"/>
        </w:rPr>
        <w:t xml:space="preserve">ts must be </w:t>
      </w:r>
      <w:r w:rsidR="00FC48A9">
        <w:rPr>
          <w:rFonts w:ascii="Avenir Next" w:hAnsi="Avenir Next" w:cs="Arial"/>
          <w:color w:val="7B7B7B" w:themeColor="accent3" w:themeShade="BF"/>
          <w:sz w:val="22"/>
          <w:szCs w:val="22"/>
          <w:lang w:val="en-GB"/>
        </w:rPr>
        <w:t xml:space="preserve">satisfied. </w:t>
      </w:r>
    </w:p>
    <w:p w14:paraId="67F0F6C0" w14:textId="77777777" w:rsidR="008C25BA" w:rsidRDefault="008C25BA" w:rsidP="00372F3A">
      <w:pPr>
        <w:jc w:val="both"/>
        <w:rPr>
          <w:rFonts w:ascii="Avenir Next" w:hAnsi="Avenir Next" w:cs="Arial"/>
          <w:color w:val="7B7B7B" w:themeColor="accent3" w:themeShade="BF"/>
          <w:sz w:val="22"/>
          <w:szCs w:val="22"/>
          <w:lang w:val="en-GB"/>
        </w:rPr>
      </w:pPr>
    </w:p>
    <w:p w14:paraId="340CFE5D" w14:textId="77777777" w:rsidR="00D26F36" w:rsidRDefault="008C25BA" w:rsidP="00372F3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If there are less and 12 creditors</w:t>
      </w:r>
      <w:r w:rsidR="007142CD">
        <w:rPr>
          <w:rFonts w:ascii="Avenir Next" w:hAnsi="Avenir Next" w:cs="Arial"/>
          <w:color w:val="7B7B7B" w:themeColor="accent3" w:themeShade="BF"/>
          <w:sz w:val="22"/>
          <w:szCs w:val="22"/>
          <w:lang w:val="en-GB"/>
        </w:rPr>
        <w:t xml:space="preserve"> (not contingent and not insider</w:t>
      </w:r>
      <w:r w:rsidR="00392295">
        <w:rPr>
          <w:rFonts w:ascii="Avenir Next" w:hAnsi="Avenir Next" w:cs="Arial"/>
          <w:color w:val="7B7B7B" w:themeColor="accent3" w:themeShade="BF"/>
          <w:sz w:val="22"/>
          <w:szCs w:val="22"/>
          <w:lang w:val="en-GB"/>
        </w:rPr>
        <w:t xml:space="preserve"> creditors)</w:t>
      </w:r>
      <w:r>
        <w:rPr>
          <w:rFonts w:ascii="Avenir Next" w:hAnsi="Avenir Next" w:cs="Arial"/>
          <w:color w:val="7B7B7B" w:themeColor="accent3" w:themeShade="BF"/>
          <w:sz w:val="22"/>
          <w:szCs w:val="22"/>
          <w:lang w:val="en-GB"/>
        </w:rPr>
        <w:t xml:space="preserve"> then only one creditor is needed to bring a petition. If there are more than 12 creditors </w:t>
      </w:r>
      <w:r w:rsidR="00392295">
        <w:rPr>
          <w:rFonts w:ascii="Avenir Next" w:hAnsi="Avenir Next" w:cs="Arial"/>
          <w:color w:val="7B7B7B" w:themeColor="accent3" w:themeShade="BF"/>
          <w:sz w:val="22"/>
          <w:szCs w:val="22"/>
          <w:lang w:val="en-GB"/>
        </w:rPr>
        <w:t>(not contingent and not insider creditors)</w:t>
      </w:r>
      <w:r w:rsidR="00817FCE">
        <w:rPr>
          <w:rFonts w:ascii="Avenir Next" w:hAnsi="Avenir Next" w:cs="Arial"/>
          <w:color w:val="7B7B7B" w:themeColor="accent3" w:themeShade="BF"/>
          <w:sz w:val="22"/>
          <w:szCs w:val="22"/>
          <w:lang w:val="en-GB"/>
        </w:rPr>
        <w:t xml:space="preserve"> then there needs to a at least 3 creditors bringing the petition. </w:t>
      </w:r>
    </w:p>
    <w:p w14:paraId="65E5197E" w14:textId="77777777" w:rsidR="00D26F36" w:rsidRDefault="00D26F36" w:rsidP="00372F3A">
      <w:pPr>
        <w:jc w:val="both"/>
        <w:rPr>
          <w:rFonts w:ascii="Avenir Next" w:hAnsi="Avenir Next" w:cs="Arial"/>
          <w:color w:val="7B7B7B" w:themeColor="accent3" w:themeShade="BF"/>
          <w:sz w:val="22"/>
          <w:szCs w:val="22"/>
          <w:lang w:val="en-GB"/>
        </w:rPr>
      </w:pPr>
    </w:p>
    <w:p w14:paraId="63D8747F" w14:textId="425EA7B6" w:rsidR="008010C5" w:rsidRDefault="004460C3" w:rsidP="00372F3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6F0178">
        <w:rPr>
          <w:rFonts w:ascii="Avenir Next" w:hAnsi="Avenir Next" w:cs="Arial"/>
          <w:color w:val="7B7B7B" w:themeColor="accent3" w:themeShade="BF"/>
          <w:sz w:val="22"/>
          <w:szCs w:val="22"/>
          <w:lang w:val="en-GB"/>
        </w:rPr>
        <w:t xml:space="preserve">he claim </w:t>
      </w:r>
      <w:r w:rsidR="004C4C86">
        <w:rPr>
          <w:rFonts w:ascii="Avenir Next" w:hAnsi="Avenir Next" w:cs="Arial"/>
          <w:color w:val="7B7B7B" w:themeColor="accent3" w:themeShade="BF"/>
          <w:sz w:val="22"/>
          <w:szCs w:val="22"/>
          <w:lang w:val="en-GB"/>
        </w:rPr>
        <w:t xml:space="preserve">by </w:t>
      </w:r>
      <w:r w:rsidR="006F0178">
        <w:rPr>
          <w:rFonts w:ascii="Avenir Next" w:hAnsi="Avenir Next" w:cs="Arial"/>
          <w:color w:val="7B7B7B" w:themeColor="accent3" w:themeShade="BF"/>
          <w:sz w:val="22"/>
          <w:szCs w:val="22"/>
          <w:lang w:val="en-GB"/>
        </w:rPr>
        <w:t>a petitioning creditor has mu</w:t>
      </w:r>
      <w:r w:rsidR="008409C9">
        <w:rPr>
          <w:rFonts w:ascii="Avenir Next" w:hAnsi="Avenir Next" w:cs="Arial"/>
          <w:color w:val="7B7B7B" w:themeColor="accent3" w:themeShade="BF"/>
          <w:sz w:val="22"/>
          <w:szCs w:val="22"/>
          <w:lang w:val="en-GB"/>
        </w:rPr>
        <w:t>st be non-contingent against the debtor</w:t>
      </w:r>
      <w:r w:rsidR="0052767A">
        <w:rPr>
          <w:rFonts w:ascii="Avenir Next" w:hAnsi="Avenir Next" w:cs="Arial"/>
          <w:color w:val="7B7B7B" w:themeColor="accent3" w:themeShade="BF"/>
          <w:sz w:val="22"/>
          <w:szCs w:val="22"/>
          <w:lang w:val="en-GB"/>
        </w:rPr>
        <w:t>. An example of a contingent</w:t>
      </w:r>
      <w:r w:rsidR="00AA538A">
        <w:rPr>
          <w:rFonts w:ascii="Avenir Next" w:hAnsi="Avenir Next" w:cs="Arial"/>
          <w:color w:val="7B7B7B" w:themeColor="accent3" w:themeShade="BF"/>
          <w:sz w:val="22"/>
          <w:szCs w:val="22"/>
          <w:lang w:val="en-GB"/>
        </w:rPr>
        <w:t xml:space="preserve"> claim</w:t>
      </w:r>
      <w:r w:rsidR="00375AE4">
        <w:rPr>
          <w:rFonts w:ascii="Avenir Next" w:hAnsi="Avenir Next" w:cs="Arial"/>
          <w:color w:val="7B7B7B" w:themeColor="accent3" w:themeShade="BF"/>
          <w:sz w:val="22"/>
          <w:szCs w:val="22"/>
          <w:lang w:val="en-GB"/>
        </w:rPr>
        <w:t xml:space="preserve"> would be in </w:t>
      </w:r>
      <w:r w:rsidR="00007BA0">
        <w:rPr>
          <w:rFonts w:ascii="Avenir Next" w:hAnsi="Avenir Next" w:cs="Arial"/>
          <w:color w:val="7B7B7B" w:themeColor="accent3" w:themeShade="BF"/>
          <w:sz w:val="22"/>
          <w:szCs w:val="22"/>
          <w:lang w:val="en-GB"/>
        </w:rPr>
        <w:t>relation to</w:t>
      </w:r>
      <w:r w:rsidR="00AA538A">
        <w:rPr>
          <w:rFonts w:ascii="Avenir Next" w:hAnsi="Avenir Next" w:cs="Arial"/>
          <w:color w:val="7B7B7B" w:themeColor="accent3" w:themeShade="BF"/>
          <w:sz w:val="22"/>
          <w:szCs w:val="22"/>
          <w:lang w:val="en-GB"/>
        </w:rPr>
        <w:t xml:space="preserve"> a guarantee is contingent on a further default occurring</w:t>
      </w:r>
      <w:r w:rsidR="00375AE4">
        <w:rPr>
          <w:rFonts w:ascii="Avenir Next" w:hAnsi="Avenir Next" w:cs="Arial"/>
          <w:color w:val="7B7B7B" w:themeColor="accent3" w:themeShade="BF"/>
          <w:sz w:val="22"/>
          <w:szCs w:val="22"/>
          <w:lang w:val="en-GB"/>
        </w:rPr>
        <w:t xml:space="preserve">. </w:t>
      </w:r>
    </w:p>
    <w:p w14:paraId="335C9A95" w14:textId="77777777" w:rsidR="00375AE4" w:rsidRDefault="00375AE4" w:rsidP="00372F3A">
      <w:pPr>
        <w:jc w:val="both"/>
        <w:rPr>
          <w:rFonts w:ascii="Avenir Next" w:hAnsi="Avenir Next" w:cs="Arial"/>
          <w:color w:val="7B7B7B" w:themeColor="accent3" w:themeShade="BF"/>
          <w:sz w:val="22"/>
          <w:szCs w:val="22"/>
          <w:lang w:val="en-GB"/>
        </w:rPr>
      </w:pPr>
    </w:p>
    <w:p w14:paraId="30BF7B74" w14:textId="3C6ADE31" w:rsidR="008010C5" w:rsidRDefault="00FC144C" w:rsidP="005435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w:t>
      </w:r>
      <w:r w:rsidR="00832989">
        <w:rPr>
          <w:rFonts w:ascii="Avenir Next" w:hAnsi="Avenir Next" w:cs="Arial"/>
          <w:color w:val="7B7B7B" w:themeColor="accent3" w:themeShade="BF"/>
          <w:sz w:val="22"/>
          <w:szCs w:val="22"/>
          <w:lang w:val="en-GB"/>
        </w:rPr>
        <w:t>against</w:t>
      </w:r>
      <w:r>
        <w:rPr>
          <w:rFonts w:ascii="Avenir Next" w:hAnsi="Avenir Next" w:cs="Arial"/>
          <w:color w:val="7B7B7B" w:themeColor="accent3" w:themeShade="BF"/>
          <w:sz w:val="22"/>
          <w:szCs w:val="22"/>
          <w:lang w:val="en-GB"/>
        </w:rPr>
        <w:t xml:space="preserve"> the debtor must not be </w:t>
      </w:r>
      <w:r w:rsidR="00045B6C">
        <w:rPr>
          <w:rFonts w:ascii="Avenir Next" w:hAnsi="Avenir Next" w:cs="Arial"/>
          <w:color w:val="7B7B7B" w:themeColor="accent3" w:themeShade="BF"/>
          <w:sz w:val="22"/>
          <w:szCs w:val="22"/>
          <w:lang w:val="en-GB"/>
        </w:rPr>
        <w:t>subject to a dispute regarding liability or quantum</w:t>
      </w:r>
      <w:r w:rsidR="00243FB1">
        <w:rPr>
          <w:rFonts w:ascii="Avenir Next" w:hAnsi="Avenir Next" w:cs="Arial"/>
          <w:color w:val="7B7B7B" w:themeColor="accent3" w:themeShade="BF"/>
          <w:sz w:val="22"/>
          <w:szCs w:val="22"/>
          <w:lang w:val="en-GB"/>
        </w:rPr>
        <w:t xml:space="preserve"> (fact or law)</w:t>
      </w:r>
      <w:r w:rsidR="005C5EAB">
        <w:rPr>
          <w:rFonts w:ascii="Avenir Next" w:hAnsi="Avenir Next" w:cs="Arial"/>
          <w:color w:val="7B7B7B" w:themeColor="accent3" w:themeShade="BF"/>
          <w:sz w:val="22"/>
          <w:szCs w:val="22"/>
          <w:lang w:val="en-GB"/>
        </w:rPr>
        <w:t xml:space="preserve">. If </w:t>
      </w:r>
      <w:r w:rsidR="00AB7D13">
        <w:rPr>
          <w:rFonts w:ascii="Avenir Next" w:hAnsi="Avenir Next" w:cs="Arial"/>
          <w:color w:val="7B7B7B" w:themeColor="accent3" w:themeShade="BF"/>
          <w:sz w:val="22"/>
          <w:szCs w:val="22"/>
          <w:lang w:val="en-GB"/>
        </w:rPr>
        <w:t xml:space="preserve">the claim </w:t>
      </w:r>
      <w:r w:rsidR="005C5EAB">
        <w:rPr>
          <w:rFonts w:ascii="Avenir Next" w:hAnsi="Avenir Next" w:cs="Arial"/>
          <w:color w:val="7B7B7B" w:themeColor="accent3" w:themeShade="BF"/>
          <w:sz w:val="22"/>
          <w:szCs w:val="22"/>
          <w:lang w:val="en-GB"/>
        </w:rPr>
        <w:t>is partial</w:t>
      </w:r>
      <w:r w:rsidR="00AB7D13">
        <w:rPr>
          <w:rFonts w:ascii="Avenir Next" w:hAnsi="Avenir Next" w:cs="Arial"/>
          <w:color w:val="7B7B7B" w:themeColor="accent3" w:themeShade="BF"/>
          <w:sz w:val="22"/>
          <w:szCs w:val="22"/>
          <w:lang w:val="en-GB"/>
        </w:rPr>
        <w:t xml:space="preserve">ly admitted and therefore undisputed this part </w:t>
      </w:r>
      <w:r w:rsidR="002D7F33">
        <w:rPr>
          <w:rFonts w:ascii="Avenir Next" w:hAnsi="Avenir Next" w:cs="Arial"/>
          <w:color w:val="7B7B7B" w:themeColor="accent3" w:themeShade="BF"/>
          <w:sz w:val="22"/>
          <w:szCs w:val="22"/>
          <w:lang w:val="en-GB"/>
        </w:rPr>
        <w:t>can be</w:t>
      </w:r>
      <w:r w:rsidR="00E46CC5">
        <w:rPr>
          <w:rFonts w:ascii="Avenir Next" w:hAnsi="Avenir Next" w:cs="Arial"/>
          <w:color w:val="7B7B7B" w:themeColor="accent3" w:themeShade="BF"/>
          <w:sz w:val="22"/>
          <w:szCs w:val="22"/>
          <w:lang w:val="en-GB"/>
        </w:rPr>
        <w:t xml:space="preserve"> </w:t>
      </w:r>
      <w:r w:rsidR="00054D84">
        <w:rPr>
          <w:rFonts w:ascii="Avenir Next" w:hAnsi="Avenir Next" w:cs="Arial"/>
          <w:color w:val="7B7B7B" w:themeColor="accent3" w:themeShade="BF"/>
          <w:sz w:val="22"/>
          <w:szCs w:val="22"/>
          <w:lang w:val="en-GB"/>
        </w:rPr>
        <w:t>used</w:t>
      </w:r>
      <w:r w:rsidR="00543553">
        <w:rPr>
          <w:rFonts w:ascii="Avenir Next" w:hAnsi="Avenir Next" w:cs="Arial"/>
          <w:color w:val="7B7B7B" w:themeColor="accent3" w:themeShade="BF"/>
          <w:sz w:val="22"/>
          <w:szCs w:val="22"/>
          <w:lang w:val="en-GB"/>
        </w:rPr>
        <w:t xml:space="preserve">. </w:t>
      </w:r>
    </w:p>
    <w:p w14:paraId="68B7BE70" w14:textId="77777777" w:rsidR="00543553" w:rsidRDefault="00543553" w:rsidP="00543553">
      <w:pPr>
        <w:jc w:val="both"/>
        <w:rPr>
          <w:rFonts w:ascii="Avenir Next" w:hAnsi="Avenir Next" w:cs="Arial"/>
          <w:color w:val="7B7B7B" w:themeColor="accent3" w:themeShade="BF"/>
          <w:sz w:val="22"/>
          <w:szCs w:val="22"/>
          <w:lang w:val="en-GB"/>
        </w:rPr>
      </w:pPr>
    </w:p>
    <w:p w14:paraId="5E70C57C" w14:textId="759359B5" w:rsidR="00CB184E" w:rsidRDefault="00CB184E" w:rsidP="005435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total the creditors claims must exceed USD 16,750</w:t>
      </w:r>
      <w:r w:rsidR="00C72254">
        <w:rPr>
          <w:rFonts w:ascii="Avenir Next" w:hAnsi="Avenir Next" w:cs="Arial"/>
          <w:color w:val="7B7B7B" w:themeColor="accent3" w:themeShade="BF"/>
          <w:sz w:val="22"/>
          <w:szCs w:val="22"/>
          <w:lang w:val="en-GB"/>
        </w:rPr>
        <w:t xml:space="preserve"> and</w:t>
      </w:r>
      <w:r w:rsidR="00752487">
        <w:rPr>
          <w:rFonts w:ascii="Avenir Next" w:hAnsi="Avenir Next" w:cs="Arial"/>
          <w:color w:val="7B7B7B" w:themeColor="accent3" w:themeShade="BF"/>
          <w:sz w:val="22"/>
          <w:szCs w:val="22"/>
          <w:lang w:val="en-GB"/>
        </w:rPr>
        <w:t xml:space="preserve"> the creditors allege that the debts owed to them are not paid as they are due</w:t>
      </w:r>
      <w:r w:rsidR="00F97371">
        <w:rPr>
          <w:rStyle w:val="FootnoteReference"/>
          <w:rFonts w:ascii="Avenir Next" w:hAnsi="Avenir Next" w:cs="Arial"/>
          <w:color w:val="7B7B7B" w:themeColor="accent3" w:themeShade="BF"/>
          <w:sz w:val="22"/>
          <w:szCs w:val="22"/>
          <w:lang w:val="en-GB"/>
        </w:rPr>
        <w:footnoteReference w:id="20"/>
      </w:r>
      <w:r w:rsidR="008A5FC7">
        <w:rPr>
          <w:rFonts w:ascii="Avenir Next" w:hAnsi="Avenir Next" w:cs="Arial"/>
          <w:color w:val="7B7B7B" w:themeColor="accent3" w:themeShade="BF"/>
          <w:sz w:val="22"/>
          <w:szCs w:val="22"/>
          <w:lang w:val="en-GB"/>
        </w:rPr>
        <w:t>.</w:t>
      </w:r>
    </w:p>
    <w:p w14:paraId="7F43F4A3" w14:textId="77777777" w:rsidR="00543553" w:rsidRPr="00543553" w:rsidRDefault="00543553" w:rsidP="00543553">
      <w:pPr>
        <w:jc w:val="both"/>
        <w:rPr>
          <w:rFonts w:ascii="Avenir Next" w:hAnsi="Avenir Next" w:cs="Arial"/>
          <w:color w:val="7B7B7B" w:themeColor="accent3" w:themeShade="BF"/>
          <w:sz w:val="22"/>
          <w:szCs w:val="22"/>
          <w:lang w:val="en-GB"/>
        </w:rPr>
      </w:pP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7B2BB544" w14:textId="6706DF59" w:rsidR="00470569" w:rsidRDefault="00B650A2" w:rsidP="00A97951">
      <w:pPr>
        <w:jc w:val="both"/>
        <w:rPr>
          <w:rFonts w:ascii="Avenir Next" w:hAnsi="Avenir Next" w:cs="Arial"/>
          <w:color w:val="7B7B7B" w:themeColor="accent3" w:themeShade="BF"/>
          <w:sz w:val="22"/>
          <w:szCs w:val="22"/>
          <w:lang w:val="en-GB"/>
        </w:rPr>
      </w:pPr>
      <w:r w:rsidRPr="001A08A2">
        <w:rPr>
          <w:rFonts w:ascii="Avenir Next" w:hAnsi="Avenir Next" w:cs="Arial"/>
          <w:color w:val="7B7B7B" w:themeColor="accent3" w:themeShade="BF"/>
          <w:sz w:val="22"/>
          <w:szCs w:val="22"/>
          <w:lang w:val="en-GB"/>
        </w:rPr>
        <w:t>The effect of Chapter 11 proceedings being filed</w:t>
      </w:r>
      <w:r w:rsidR="00DA1999" w:rsidRPr="001A08A2">
        <w:rPr>
          <w:rFonts w:ascii="Avenir Next" w:hAnsi="Avenir Next" w:cs="Arial"/>
          <w:color w:val="7B7B7B" w:themeColor="accent3" w:themeShade="BF"/>
          <w:sz w:val="22"/>
          <w:szCs w:val="22"/>
          <w:lang w:val="en-GB"/>
        </w:rPr>
        <w:t xml:space="preserve"> </w:t>
      </w:r>
      <w:r w:rsidR="005B1546">
        <w:rPr>
          <w:rFonts w:ascii="Avenir Next" w:hAnsi="Avenir Next" w:cs="Arial"/>
          <w:color w:val="7B7B7B" w:themeColor="accent3" w:themeShade="BF"/>
          <w:sz w:val="22"/>
          <w:szCs w:val="22"/>
          <w:lang w:val="en-GB"/>
        </w:rPr>
        <w:t>by S</w:t>
      </w:r>
      <w:r w:rsidR="004B4C92">
        <w:rPr>
          <w:rFonts w:ascii="Avenir Next" w:hAnsi="Avenir Next" w:cs="Arial"/>
          <w:color w:val="7B7B7B" w:themeColor="accent3" w:themeShade="BF"/>
          <w:sz w:val="22"/>
          <w:szCs w:val="22"/>
          <w:lang w:val="en-GB"/>
        </w:rPr>
        <w:t>peculation Inc</w:t>
      </w:r>
      <w:r w:rsidR="00E37294">
        <w:rPr>
          <w:rFonts w:ascii="Avenir Next" w:hAnsi="Avenir Next" w:cs="Arial"/>
          <w:color w:val="7B7B7B" w:themeColor="accent3" w:themeShade="BF"/>
          <w:sz w:val="22"/>
          <w:szCs w:val="22"/>
          <w:lang w:val="en-GB"/>
        </w:rPr>
        <w:t xml:space="preserve"> (“</w:t>
      </w:r>
      <w:proofErr w:type="spellStart"/>
      <w:r w:rsidR="00E37294">
        <w:rPr>
          <w:rFonts w:ascii="Avenir Next" w:hAnsi="Avenir Next" w:cs="Arial"/>
          <w:color w:val="7B7B7B" w:themeColor="accent3" w:themeShade="BF"/>
          <w:sz w:val="22"/>
          <w:szCs w:val="22"/>
          <w:lang w:val="en-GB"/>
        </w:rPr>
        <w:t>SI</w:t>
      </w:r>
      <w:proofErr w:type="spellEnd"/>
      <w:r w:rsidR="00E37294">
        <w:rPr>
          <w:rFonts w:ascii="Avenir Next" w:hAnsi="Avenir Next" w:cs="Arial"/>
          <w:color w:val="7B7B7B" w:themeColor="accent3" w:themeShade="BF"/>
          <w:sz w:val="22"/>
          <w:szCs w:val="22"/>
          <w:lang w:val="en-GB"/>
        </w:rPr>
        <w:t>”)</w:t>
      </w:r>
      <w:r w:rsidR="004B4C92">
        <w:rPr>
          <w:rFonts w:ascii="Avenir Next" w:hAnsi="Avenir Next" w:cs="Arial"/>
          <w:color w:val="7B7B7B" w:themeColor="accent3" w:themeShade="BF"/>
          <w:sz w:val="22"/>
          <w:szCs w:val="22"/>
          <w:lang w:val="en-GB"/>
        </w:rPr>
        <w:t xml:space="preserve"> </w:t>
      </w:r>
      <w:r w:rsidR="00DA1999" w:rsidRPr="001A08A2">
        <w:rPr>
          <w:rFonts w:ascii="Avenir Next" w:hAnsi="Avenir Next" w:cs="Arial"/>
          <w:color w:val="7B7B7B" w:themeColor="accent3" w:themeShade="BF"/>
          <w:sz w:val="22"/>
          <w:szCs w:val="22"/>
          <w:lang w:val="en-GB"/>
        </w:rPr>
        <w:t>on</w:t>
      </w:r>
      <w:r w:rsidR="00DC2D08">
        <w:rPr>
          <w:rFonts w:ascii="Avenir Next" w:hAnsi="Avenir Next" w:cs="Arial"/>
          <w:color w:val="7B7B7B" w:themeColor="accent3" w:themeShade="BF"/>
          <w:sz w:val="22"/>
          <w:szCs w:val="22"/>
          <w:lang w:val="en-GB"/>
        </w:rPr>
        <w:t xml:space="preserve"> each of t</w:t>
      </w:r>
      <w:r w:rsidR="00FC5A8A">
        <w:rPr>
          <w:rFonts w:ascii="Avenir Next" w:hAnsi="Avenir Next" w:cs="Arial"/>
          <w:color w:val="7B7B7B" w:themeColor="accent3" w:themeShade="BF"/>
          <w:sz w:val="22"/>
          <w:szCs w:val="22"/>
          <w:lang w:val="en-GB"/>
        </w:rPr>
        <w:t>he below would be as follows.</w:t>
      </w:r>
      <w:r w:rsidR="00656CD8">
        <w:rPr>
          <w:rFonts w:ascii="Avenir Next" w:hAnsi="Avenir Next" w:cs="Arial"/>
          <w:color w:val="7B7B7B" w:themeColor="accent3" w:themeShade="BF"/>
          <w:sz w:val="22"/>
          <w:szCs w:val="22"/>
          <w:lang w:val="en-GB"/>
        </w:rPr>
        <w:t xml:space="preserve"> </w:t>
      </w:r>
      <w:r w:rsidR="0065379A">
        <w:rPr>
          <w:rFonts w:ascii="Avenir Next" w:hAnsi="Avenir Next" w:cs="Arial"/>
          <w:color w:val="7B7B7B" w:themeColor="accent3" w:themeShade="BF"/>
          <w:sz w:val="22"/>
          <w:szCs w:val="22"/>
          <w:lang w:val="en-GB"/>
        </w:rPr>
        <w:t xml:space="preserve">One main advantage that </w:t>
      </w:r>
      <w:proofErr w:type="spellStart"/>
      <w:r w:rsidR="0065379A">
        <w:rPr>
          <w:rFonts w:ascii="Avenir Next" w:hAnsi="Avenir Next" w:cs="Arial"/>
          <w:color w:val="7B7B7B" w:themeColor="accent3" w:themeShade="BF"/>
          <w:sz w:val="22"/>
          <w:szCs w:val="22"/>
          <w:lang w:val="en-GB"/>
        </w:rPr>
        <w:t>SI</w:t>
      </w:r>
      <w:proofErr w:type="spellEnd"/>
      <w:r w:rsidR="0065379A">
        <w:rPr>
          <w:rFonts w:ascii="Avenir Next" w:hAnsi="Avenir Next" w:cs="Arial"/>
          <w:color w:val="7B7B7B" w:themeColor="accent3" w:themeShade="BF"/>
          <w:sz w:val="22"/>
          <w:szCs w:val="22"/>
          <w:lang w:val="en-GB"/>
        </w:rPr>
        <w:t xml:space="preserve"> would have is that of the automatics stay protection.</w:t>
      </w:r>
    </w:p>
    <w:p w14:paraId="0554B95A" w14:textId="77777777" w:rsidR="00DC2D08" w:rsidRDefault="00DC2D08" w:rsidP="00A97951">
      <w:pPr>
        <w:jc w:val="both"/>
        <w:rPr>
          <w:rFonts w:ascii="Avenir Next" w:hAnsi="Avenir Next" w:cs="Arial"/>
          <w:color w:val="7B7B7B" w:themeColor="accent3" w:themeShade="BF"/>
          <w:sz w:val="22"/>
          <w:szCs w:val="22"/>
          <w:lang w:val="en-GB"/>
        </w:rPr>
      </w:pPr>
    </w:p>
    <w:p w14:paraId="5CD8AEB4" w14:textId="1D942E45" w:rsidR="00470569" w:rsidRPr="00EC0BEA" w:rsidRDefault="00470569" w:rsidP="00A97951">
      <w:pPr>
        <w:jc w:val="both"/>
        <w:rPr>
          <w:rFonts w:ascii="Avenir Next" w:hAnsi="Avenir Next" w:cs="Arial"/>
          <w:color w:val="7B7B7B" w:themeColor="accent3" w:themeShade="BF"/>
          <w:sz w:val="22"/>
          <w:szCs w:val="22"/>
          <w:u w:val="single"/>
          <w:lang w:val="en-GB"/>
        </w:rPr>
      </w:pPr>
      <w:r w:rsidRPr="00EC0BEA">
        <w:rPr>
          <w:rFonts w:ascii="Avenir Next" w:hAnsi="Avenir Next" w:cs="Arial"/>
          <w:color w:val="7B7B7B" w:themeColor="accent3" w:themeShade="BF"/>
          <w:sz w:val="22"/>
          <w:szCs w:val="22"/>
          <w:u w:val="single"/>
          <w:lang w:val="en-GB"/>
        </w:rPr>
        <w:t>DOJ Investigation</w:t>
      </w:r>
    </w:p>
    <w:p w14:paraId="11C975DE" w14:textId="70A9D9C2" w:rsidR="00470569" w:rsidRDefault="002C5209" w:rsidP="00A979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Department of Justice (“DOJ”) </w:t>
      </w:r>
      <w:r w:rsidR="00742E51">
        <w:rPr>
          <w:rFonts w:ascii="Avenir Next" w:hAnsi="Avenir Next" w:cs="Arial"/>
          <w:color w:val="7B7B7B" w:themeColor="accent3" w:themeShade="BF"/>
          <w:sz w:val="22"/>
          <w:szCs w:val="22"/>
          <w:lang w:val="en-GB"/>
        </w:rPr>
        <w:t xml:space="preserve">has a program which is the US Trustee program. </w:t>
      </w:r>
      <w:r w:rsidR="005D4C79">
        <w:rPr>
          <w:rFonts w:ascii="Avenir Next" w:hAnsi="Avenir Next" w:cs="Arial"/>
          <w:color w:val="7B7B7B" w:themeColor="accent3" w:themeShade="BF"/>
          <w:sz w:val="22"/>
          <w:szCs w:val="22"/>
          <w:lang w:val="en-GB"/>
        </w:rPr>
        <w:t xml:space="preserve">This allows the DOJ to appoint trustees </w:t>
      </w:r>
      <w:r w:rsidR="00356B70">
        <w:rPr>
          <w:rFonts w:ascii="Avenir Next" w:hAnsi="Avenir Next" w:cs="Arial"/>
          <w:color w:val="7B7B7B" w:themeColor="accent3" w:themeShade="BF"/>
          <w:sz w:val="22"/>
          <w:szCs w:val="22"/>
          <w:lang w:val="en-GB"/>
        </w:rPr>
        <w:t>to ensure there is oversight of bankruptcy cases</w:t>
      </w:r>
      <w:r w:rsidR="00047180">
        <w:rPr>
          <w:rFonts w:ascii="Avenir Next" w:hAnsi="Avenir Next" w:cs="Arial"/>
          <w:color w:val="7B7B7B" w:themeColor="accent3" w:themeShade="BF"/>
          <w:sz w:val="22"/>
          <w:szCs w:val="22"/>
          <w:lang w:val="en-GB"/>
        </w:rPr>
        <w:t xml:space="preserve"> giving them a right to inject or comments on bankruptcy filings</w:t>
      </w:r>
      <w:r w:rsidR="007D5730">
        <w:rPr>
          <w:rFonts w:ascii="Avenir Next" w:hAnsi="Avenir Next" w:cs="Arial"/>
          <w:color w:val="7B7B7B" w:themeColor="accent3" w:themeShade="BF"/>
          <w:sz w:val="22"/>
          <w:szCs w:val="22"/>
          <w:lang w:val="en-GB"/>
        </w:rPr>
        <w:t xml:space="preserve">. However, in Chapter 11 proceedings </w:t>
      </w:r>
      <w:r w:rsidR="00D558F4">
        <w:rPr>
          <w:rFonts w:ascii="Avenir Next" w:hAnsi="Avenir Next" w:cs="Arial"/>
          <w:color w:val="7B7B7B" w:themeColor="accent3" w:themeShade="BF"/>
          <w:sz w:val="22"/>
          <w:szCs w:val="22"/>
          <w:lang w:val="en-GB"/>
        </w:rPr>
        <w:t>no trustee is generally appointed as this mechanism is a debtor-in-possession process</w:t>
      </w:r>
      <w:r w:rsidR="00346899">
        <w:rPr>
          <w:rFonts w:ascii="Avenir Next" w:hAnsi="Avenir Next" w:cs="Arial"/>
          <w:color w:val="7B7B7B" w:themeColor="accent3" w:themeShade="BF"/>
          <w:sz w:val="22"/>
          <w:szCs w:val="22"/>
          <w:lang w:val="en-GB"/>
        </w:rPr>
        <w:t xml:space="preserve"> and any powers under the </w:t>
      </w:r>
      <w:r w:rsidR="00AD0BD1">
        <w:rPr>
          <w:rFonts w:ascii="Avenir Next" w:hAnsi="Avenir Next" w:cs="Arial"/>
          <w:color w:val="7B7B7B" w:themeColor="accent3" w:themeShade="BF"/>
          <w:sz w:val="22"/>
          <w:szCs w:val="22"/>
          <w:lang w:val="en-GB"/>
        </w:rPr>
        <w:t>Bankruptcy</w:t>
      </w:r>
      <w:r w:rsidR="00346899">
        <w:rPr>
          <w:rFonts w:ascii="Avenir Next" w:hAnsi="Avenir Next" w:cs="Arial"/>
          <w:color w:val="7B7B7B" w:themeColor="accent3" w:themeShade="BF"/>
          <w:sz w:val="22"/>
          <w:szCs w:val="22"/>
          <w:lang w:val="en-GB"/>
        </w:rPr>
        <w:t xml:space="preserve"> Code is</w:t>
      </w:r>
      <w:r w:rsidR="00AD0BD1">
        <w:rPr>
          <w:rFonts w:ascii="Avenir Next" w:hAnsi="Avenir Next" w:cs="Arial"/>
          <w:color w:val="7B7B7B" w:themeColor="accent3" w:themeShade="BF"/>
          <w:sz w:val="22"/>
          <w:szCs w:val="22"/>
          <w:lang w:val="en-GB"/>
        </w:rPr>
        <w:t xml:space="preserve"> utilised by the debtor</w:t>
      </w:r>
      <w:r w:rsidR="00AD0BD1">
        <w:rPr>
          <w:rStyle w:val="FootnoteReference"/>
          <w:rFonts w:ascii="Avenir Next" w:hAnsi="Avenir Next" w:cs="Arial"/>
          <w:color w:val="7B7B7B" w:themeColor="accent3" w:themeShade="BF"/>
          <w:sz w:val="22"/>
          <w:szCs w:val="22"/>
          <w:lang w:val="en-GB"/>
        </w:rPr>
        <w:footnoteReference w:id="21"/>
      </w:r>
      <w:r w:rsidR="00862DD0">
        <w:rPr>
          <w:rFonts w:ascii="Avenir Next" w:hAnsi="Avenir Next" w:cs="Arial"/>
          <w:color w:val="7B7B7B" w:themeColor="accent3" w:themeShade="BF"/>
          <w:sz w:val="22"/>
          <w:szCs w:val="22"/>
          <w:lang w:val="en-GB"/>
        </w:rPr>
        <w:t xml:space="preserve">. </w:t>
      </w:r>
      <w:r w:rsidR="00E939F4">
        <w:rPr>
          <w:rFonts w:ascii="Avenir Next" w:hAnsi="Avenir Next" w:cs="Arial"/>
          <w:color w:val="7B7B7B" w:themeColor="accent3" w:themeShade="BF"/>
          <w:sz w:val="22"/>
          <w:szCs w:val="22"/>
          <w:lang w:val="en-GB"/>
        </w:rPr>
        <w:t xml:space="preserve">Although under sub chapter </w:t>
      </w:r>
      <w:r w:rsidR="003969E4">
        <w:rPr>
          <w:rFonts w:ascii="Avenir Next" w:hAnsi="Avenir Next" w:cs="Arial"/>
          <w:color w:val="7B7B7B" w:themeColor="accent3" w:themeShade="BF"/>
          <w:sz w:val="22"/>
          <w:szCs w:val="22"/>
          <w:lang w:val="en-GB"/>
        </w:rPr>
        <w:t xml:space="preserve">V of the Bankruptcy Code a trustee can be appointed over a small </w:t>
      </w:r>
      <w:r w:rsidR="00F6023C">
        <w:rPr>
          <w:rFonts w:ascii="Avenir Next" w:hAnsi="Avenir Next" w:cs="Arial"/>
          <w:color w:val="7B7B7B" w:themeColor="accent3" w:themeShade="BF"/>
          <w:sz w:val="22"/>
          <w:szCs w:val="22"/>
          <w:lang w:val="en-GB"/>
        </w:rPr>
        <w:lastRenderedPageBreak/>
        <w:t>business debtor reorganisation</w:t>
      </w:r>
      <w:r w:rsidR="00C50C4F">
        <w:rPr>
          <w:rFonts w:ascii="Avenir Next" w:hAnsi="Avenir Next" w:cs="Arial"/>
          <w:color w:val="7B7B7B" w:themeColor="accent3" w:themeShade="BF"/>
          <w:sz w:val="22"/>
          <w:szCs w:val="22"/>
          <w:lang w:val="en-GB"/>
        </w:rPr>
        <w:t xml:space="preserve"> and </w:t>
      </w:r>
      <w:proofErr w:type="spellStart"/>
      <w:r w:rsidR="00C50C4F">
        <w:rPr>
          <w:rFonts w:ascii="Avenir Next" w:hAnsi="Avenir Next" w:cs="Arial"/>
          <w:color w:val="7B7B7B" w:themeColor="accent3" w:themeShade="BF"/>
          <w:sz w:val="22"/>
          <w:szCs w:val="22"/>
          <w:lang w:val="en-GB"/>
        </w:rPr>
        <w:t>SI</w:t>
      </w:r>
      <w:proofErr w:type="spellEnd"/>
      <w:r w:rsidR="00C50C4F">
        <w:rPr>
          <w:rFonts w:ascii="Avenir Next" w:hAnsi="Avenir Next" w:cs="Arial"/>
          <w:color w:val="7B7B7B" w:themeColor="accent3" w:themeShade="BF"/>
          <w:sz w:val="22"/>
          <w:szCs w:val="22"/>
          <w:lang w:val="en-GB"/>
        </w:rPr>
        <w:t xml:space="preserve"> may fall within this bracket</w:t>
      </w:r>
      <w:r w:rsidR="006F61EE">
        <w:rPr>
          <w:rFonts w:ascii="Avenir Next" w:hAnsi="Avenir Next" w:cs="Arial"/>
          <w:color w:val="7B7B7B" w:themeColor="accent3" w:themeShade="BF"/>
          <w:sz w:val="22"/>
          <w:szCs w:val="22"/>
          <w:lang w:val="en-GB"/>
        </w:rPr>
        <w:t xml:space="preserve">. </w:t>
      </w:r>
      <w:r w:rsidR="00E07DF8">
        <w:rPr>
          <w:rFonts w:ascii="Avenir Next" w:hAnsi="Avenir Next" w:cs="Arial"/>
          <w:color w:val="7B7B7B" w:themeColor="accent3" w:themeShade="BF"/>
          <w:sz w:val="22"/>
          <w:szCs w:val="22"/>
          <w:lang w:val="en-GB"/>
        </w:rPr>
        <w:t xml:space="preserve">If the DOJ wanted to </w:t>
      </w:r>
      <w:r w:rsidR="00A01439">
        <w:rPr>
          <w:rFonts w:ascii="Avenir Next" w:hAnsi="Avenir Next" w:cs="Arial"/>
          <w:color w:val="7B7B7B" w:themeColor="accent3" w:themeShade="BF"/>
          <w:sz w:val="22"/>
          <w:szCs w:val="22"/>
          <w:lang w:val="en-GB"/>
        </w:rPr>
        <w:t>displace the debtor-in-possession then it would have to meet a high threshold to show good cause for doing so.</w:t>
      </w:r>
    </w:p>
    <w:p w14:paraId="4DA0B596" w14:textId="77777777" w:rsidR="00470569" w:rsidRDefault="00470569" w:rsidP="00A97951">
      <w:pPr>
        <w:jc w:val="both"/>
        <w:rPr>
          <w:rFonts w:ascii="Avenir Next" w:hAnsi="Avenir Next" w:cs="Arial"/>
          <w:color w:val="7B7B7B" w:themeColor="accent3" w:themeShade="BF"/>
          <w:sz w:val="22"/>
          <w:szCs w:val="22"/>
          <w:lang w:val="en-GB"/>
        </w:rPr>
      </w:pPr>
    </w:p>
    <w:p w14:paraId="402B82F6" w14:textId="472E3232" w:rsidR="00470569" w:rsidRPr="00741656" w:rsidRDefault="00741656" w:rsidP="00A97951">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Default on m</w:t>
      </w:r>
      <w:r w:rsidR="00470569" w:rsidRPr="00741656">
        <w:rPr>
          <w:rFonts w:ascii="Avenir Next" w:hAnsi="Avenir Next" w:cs="Arial"/>
          <w:color w:val="7B7B7B" w:themeColor="accent3" w:themeShade="BF"/>
          <w:sz w:val="22"/>
          <w:szCs w:val="22"/>
          <w:u w:val="single"/>
          <w:lang w:val="en-GB"/>
        </w:rPr>
        <w:t>argin loan</w:t>
      </w:r>
    </w:p>
    <w:p w14:paraId="5B30FFED" w14:textId="77777777" w:rsidR="003A767A" w:rsidRDefault="00102BFC" w:rsidP="00A979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11 is </w:t>
      </w:r>
      <w:r w:rsidR="00F52464">
        <w:rPr>
          <w:rFonts w:ascii="Avenir Next" w:hAnsi="Avenir Next" w:cs="Arial"/>
          <w:color w:val="7B7B7B" w:themeColor="accent3" w:themeShade="BF"/>
          <w:sz w:val="22"/>
          <w:szCs w:val="22"/>
          <w:lang w:val="en-GB"/>
        </w:rPr>
        <w:t xml:space="preserve">a mechanism to afford debtors the ability to </w:t>
      </w:r>
      <w:r w:rsidR="00C25736">
        <w:rPr>
          <w:rFonts w:ascii="Avenir Next" w:hAnsi="Avenir Next" w:cs="Arial"/>
          <w:color w:val="7B7B7B" w:themeColor="accent3" w:themeShade="BF"/>
          <w:sz w:val="22"/>
          <w:szCs w:val="22"/>
          <w:lang w:val="en-GB"/>
        </w:rPr>
        <w:t xml:space="preserve">save the company. </w:t>
      </w:r>
      <w:r w:rsidR="00243380">
        <w:rPr>
          <w:rFonts w:ascii="Avenir Next" w:hAnsi="Avenir Next" w:cs="Arial"/>
          <w:color w:val="7B7B7B" w:themeColor="accent3" w:themeShade="BF"/>
          <w:sz w:val="22"/>
          <w:szCs w:val="22"/>
          <w:lang w:val="en-GB"/>
        </w:rPr>
        <w:t xml:space="preserve">The debtor remains in possession </w:t>
      </w:r>
      <w:r w:rsidR="00EF6A5A">
        <w:rPr>
          <w:rFonts w:ascii="Avenir Next" w:hAnsi="Avenir Next" w:cs="Arial"/>
          <w:color w:val="7B7B7B" w:themeColor="accent3" w:themeShade="BF"/>
          <w:sz w:val="22"/>
          <w:szCs w:val="22"/>
          <w:lang w:val="en-GB"/>
        </w:rPr>
        <w:t xml:space="preserve">in order to continue with daily operations. </w:t>
      </w:r>
      <w:r w:rsidR="00254D93">
        <w:rPr>
          <w:rFonts w:ascii="Avenir Next" w:hAnsi="Avenir Next" w:cs="Arial"/>
          <w:color w:val="7B7B7B" w:themeColor="accent3" w:themeShade="BF"/>
          <w:sz w:val="22"/>
          <w:szCs w:val="22"/>
          <w:lang w:val="en-GB"/>
        </w:rPr>
        <w:t xml:space="preserve">The broker would become a creditor </w:t>
      </w:r>
      <w:r w:rsidR="003B1703">
        <w:rPr>
          <w:rFonts w:ascii="Avenir Next" w:hAnsi="Avenir Next" w:cs="Arial"/>
          <w:color w:val="7B7B7B" w:themeColor="accent3" w:themeShade="BF"/>
          <w:sz w:val="22"/>
          <w:szCs w:val="22"/>
          <w:lang w:val="en-GB"/>
        </w:rPr>
        <w:t>as the holder of collateral over the share</w:t>
      </w:r>
      <w:r w:rsidR="00615A7C">
        <w:rPr>
          <w:rFonts w:ascii="Avenir Next" w:hAnsi="Avenir Next" w:cs="Arial"/>
          <w:color w:val="7B7B7B" w:themeColor="accent3" w:themeShade="BF"/>
          <w:sz w:val="22"/>
          <w:szCs w:val="22"/>
          <w:lang w:val="en-GB"/>
        </w:rPr>
        <w:t>s</w:t>
      </w:r>
      <w:r w:rsidR="003B1703">
        <w:rPr>
          <w:rFonts w:ascii="Avenir Next" w:hAnsi="Avenir Next" w:cs="Arial"/>
          <w:color w:val="7B7B7B" w:themeColor="accent3" w:themeShade="BF"/>
          <w:sz w:val="22"/>
          <w:szCs w:val="22"/>
          <w:lang w:val="en-GB"/>
        </w:rPr>
        <w:t xml:space="preserve"> bought by </w:t>
      </w:r>
      <w:proofErr w:type="spellStart"/>
      <w:r w:rsidR="003B1703">
        <w:rPr>
          <w:rFonts w:ascii="Avenir Next" w:hAnsi="Avenir Next" w:cs="Arial"/>
          <w:color w:val="7B7B7B" w:themeColor="accent3" w:themeShade="BF"/>
          <w:sz w:val="22"/>
          <w:szCs w:val="22"/>
          <w:lang w:val="en-GB"/>
        </w:rPr>
        <w:t>SI</w:t>
      </w:r>
      <w:proofErr w:type="spellEnd"/>
      <w:r w:rsidR="003B1703">
        <w:rPr>
          <w:rFonts w:ascii="Avenir Next" w:hAnsi="Avenir Next" w:cs="Arial"/>
          <w:color w:val="7B7B7B" w:themeColor="accent3" w:themeShade="BF"/>
          <w:sz w:val="22"/>
          <w:szCs w:val="22"/>
          <w:lang w:val="en-GB"/>
        </w:rPr>
        <w:t xml:space="preserve"> </w:t>
      </w:r>
      <w:r w:rsidR="00615A7C">
        <w:rPr>
          <w:rFonts w:ascii="Avenir Next" w:hAnsi="Avenir Next" w:cs="Arial"/>
          <w:color w:val="7B7B7B" w:themeColor="accent3" w:themeShade="BF"/>
          <w:sz w:val="22"/>
          <w:szCs w:val="22"/>
          <w:lang w:val="en-GB"/>
        </w:rPr>
        <w:t xml:space="preserve">with the marginal loan. </w:t>
      </w:r>
      <w:r w:rsidR="001D6105">
        <w:rPr>
          <w:rFonts w:ascii="Avenir Next" w:hAnsi="Avenir Next" w:cs="Arial"/>
          <w:color w:val="7B7B7B" w:themeColor="accent3" w:themeShade="BF"/>
          <w:sz w:val="22"/>
          <w:szCs w:val="22"/>
          <w:lang w:val="en-GB"/>
        </w:rPr>
        <w:t>The b</w:t>
      </w:r>
      <w:r w:rsidR="00B70AF7">
        <w:rPr>
          <w:rFonts w:ascii="Avenir Next" w:hAnsi="Avenir Next" w:cs="Arial"/>
          <w:color w:val="7B7B7B" w:themeColor="accent3" w:themeShade="BF"/>
          <w:sz w:val="22"/>
          <w:szCs w:val="22"/>
          <w:lang w:val="en-GB"/>
        </w:rPr>
        <w:t>ro</w:t>
      </w:r>
      <w:r w:rsidR="001D6105">
        <w:rPr>
          <w:rFonts w:ascii="Avenir Next" w:hAnsi="Avenir Next" w:cs="Arial"/>
          <w:color w:val="7B7B7B" w:themeColor="accent3" w:themeShade="BF"/>
          <w:sz w:val="22"/>
          <w:szCs w:val="22"/>
          <w:lang w:val="en-GB"/>
        </w:rPr>
        <w:t>ker may seek to</w:t>
      </w:r>
      <w:r w:rsidR="00B70AF7">
        <w:rPr>
          <w:rFonts w:ascii="Avenir Next" w:hAnsi="Avenir Next" w:cs="Arial"/>
          <w:color w:val="7B7B7B" w:themeColor="accent3" w:themeShade="BF"/>
          <w:sz w:val="22"/>
          <w:szCs w:val="22"/>
          <w:lang w:val="en-GB"/>
        </w:rPr>
        <w:t xml:space="preserve"> get a valuation</w:t>
      </w:r>
      <w:r w:rsidR="00F701CD">
        <w:rPr>
          <w:rStyle w:val="FootnoteReference"/>
          <w:rFonts w:ascii="Avenir Next" w:hAnsi="Avenir Next" w:cs="Arial"/>
          <w:color w:val="7B7B7B" w:themeColor="accent3" w:themeShade="BF"/>
          <w:sz w:val="22"/>
          <w:szCs w:val="22"/>
          <w:lang w:val="en-GB"/>
        </w:rPr>
        <w:footnoteReference w:id="22"/>
      </w:r>
      <w:r w:rsidR="00945D9F">
        <w:rPr>
          <w:rFonts w:ascii="Avenir Next" w:hAnsi="Avenir Next" w:cs="Arial"/>
          <w:color w:val="7B7B7B" w:themeColor="accent3" w:themeShade="BF"/>
          <w:sz w:val="22"/>
          <w:szCs w:val="22"/>
          <w:lang w:val="en-GB"/>
        </w:rPr>
        <w:t>, which the court would likely be involved in,</w:t>
      </w:r>
      <w:r w:rsidR="00B70AF7">
        <w:rPr>
          <w:rFonts w:ascii="Avenir Next" w:hAnsi="Avenir Next" w:cs="Arial"/>
          <w:color w:val="7B7B7B" w:themeColor="accent3" w:themeShade="BF"/>
          <w:sz w:val="22"/>
          <w:szCs w:val="22"/>
          <w:lang w:val="en-GB"/>
        </w:rPr>
        <w:t xml:space="preserve"> of the shares </w:t>
      </w:r>
      <w:r w:rsidR="00450BFE">
        <w:rPr>
          <w:rFonts w:ascii="Avenir Next" w:hAnsi="Avenir Next" w:cs="Arial"/>
          <w:color w:val="7B7B7B" w:themeColor="accent3" w:themeShade="BF"/>
          <w:sz w:val="22"/>
          <w:szCs w:val="22"/>
          <w:lang w:val="en-GB"/>
        </w:rPr>
        <w:t>in order to determine whether they are fully secured for the loan amounts</w:t>
      </w:r>
      <w:r w:rsidR="003372BA">
        <w:rPr>
          <w:rFonts w:ascii="Avenir Next" w:hAnsi="Avenir Next" w:cs="Arial"/>
          <w:color w:val="7B7B7B" w:themeColor="accent3" w:themeShade="BF"/>
          <w:sz w:val="22"/>
          <w:szCs w:val="22"/>
          <w:lang w:val="en-GB"/>
        </w:rPr>
        <w:t xml:space="preserve"> and </w:t>
      </w:r>
      <w:r w:rsidR="003A767A">
        <w:rPr>
          <w:rFonts w:ascii="Avenir Next" w:hAnsi="Avenir Next" w:cs="Arial"/>
          <w:color w:val="7B7B7B" w:themeColor="accent3" w:themeShade="BF"/>
          <w:sz w:val="22"/>
          <w:szCs w:val="22"/>
          <w:lang w:val="en-GB"/>
        </w:rPr>
        <w:t>/or whether there will be an attachment of a lien.</w:t>
      </w:r>
    </w:p>
    <w:p w14:paraId="3177522F" w14:textId="0FA47FB8" w:rsidR="00470569" w:rsidRDefault="00A73B2B" w:rsidP="00A979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unclear from the fact</w:t>
      </w:r>
      <w:r w:rsidR="00AA40F5">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about whether there could be </w:t>
      </w:r>
      <w:proofErr w:type="spellStart"/>
      <w:r w:rsidR="00876CA1">
        <w:rPr>
          <w:rFonts w:ascii="Avenir Next" w:hAnsi="Avenir Next" w:cs="Arial"/>
          <w:color w:val="7B7B7B" w:themeColor="accent3" w:themeShade="BF"/>
          <w:sz w:val="22"/>
          <w:szCs w:val="22"/>
          <w:lang w:val="en-GB"/>
        </w:rPr>
        <w:t>recharacterized</w:t>
      </w:r>
      <w:proofErr w:type="spellEnd"/>
      <w:r w:rsidR="00AA40F5">
        <w:rPr>
          <w:rFonts w:ascii="Avenir Next" w:hAnsi="Avenir Next" w:cs="Arial"/>
          <w:color w:val="7B7B7B" w:themeColor="accent3" w:themeShade="BF"/>
          <w:sz w:val="22"/>
          <w:szCs w:val="22"/>
          <w:lang w:val="en-GB"/>
        </w:rPr>
        <w:t xml:space="preserve"> </w:t>
      </w:r>
      <w:r w:rsidR="00212F4C">
        <w:rPr>
          <w:rFonts w:ascii="Avenir Next" w:hAnsi="Avenir Next" w:cs="Arial"/>
          <w:color w:val="7B7B7B" w:themeColor="accent3" w:themeShade="BF"/>
          <w:sz w:val="22"/>
          <w:szCs w:val="22"/>
          <w:lang w:val="en-GB"/>
        </w:rPr>
        <w:t xml:space="preserve">due to the loan being made by the broker as a capital contribution </w:t>
      </w:r>
      <w:r w:rsidR="00B65B7F">
        <w:rPr>
          <w:rFonts w:ascii="Avenir Next" w:hAnsi="Avenir Next" w:cs="Arial"/>
          <w:color w:val="7B7B7B" w:themeColor="accent3" w:themeShade="BF"/>
          <w:sz w:val="22"/>
          <w:szCs w:val="22"/>
          <w:lang w:val="en-GB"/>
        </w:rPr>
        <w:t>earning the status of equity interests.</w:t>
      </w:r>
    </w:p>
    <w:p w14:paraId="7E72FB98" w14:textId="77777777" w:rsidR="00470569" w:rsidRDefault="00470569" w:rsidP="00A97951">
      <w:pPr>
        <w:jc w:val="both"/>
        <w:rPr>
          <w:rFonts w:ascii="Avenir Next" w:hAnsi="Avenir Next" w:cs="Arial"/>
          <w:color w:val="7B7B7B" w:themeColor="accent3" w:themeShade="BF"/>
          <w:sz w:val="22"/>
          <w:szCs w:val="22"/>
          <w:lang w:val="en-GB"/>
        </w:rPr>
      </w:pPr>
    </w:p>
    <w:p w14:paraId="1ADFAFC5" w14:textId="77777777" w:rsidR="00785D9F" w:rsidRPr="00054667" w:rsidRDefault="00470569" w:rsidP="00A97951">
      <w:pPr>
        <w:jc w:val="both"/>
        <w:rPr>
          <w:rFonts w:ascii="Avenir Next" w:hAnsi="Avenir Next" w:cs="Arial"/>
          <w:color w:val="7B7B7B" w:themeColor="accent3" w:themeShade="BF"/>
          <w:sz w:val="22"/>
          <w:szCs w:val="22"/>
          <w:u w:val="single"/>
          <w:lang w:val="en-GB"/>
        </w:rPr>
      </w:pPr>
      <w:r w:rsidRPr="00054667">
        <w:rPr>
          <w:rFonts w:ascii="Avenir Next" w:hAnsi="Avenir Next" w:cs="Arial"/>
          <w:color w:val="7B7B7B" w:themeColor="accent3" w:themeShade="BF"/>
          <w:sz w:val="22"/>
          <w:szCs w:val="22"/>
          <w:u w:val="single"/>
          <w:lang w:val="en-GB"/>
        </w:rPr>
        <w:t xml:space="preserve">Delinquent </w:t>
      </w:r>
      <w:r w:rsidR="00785D9F" w:rsidRPr="00054667">
        <w:rPr>
          <w:rFonts w:ascii="Avenir Next" w:hAnsi="Avenir Next" w:cs="Arial"/>
          <w:color w:val="7B7B7B" w:themeColor="accent3" w:themeShade="BF"/>
          <w:sz w:val="22"/>
          <w:szCs w:val="22"/>
          <w:u w:val="single"/>
          <w:lang w:val="en-GB"/>
        </w:rPr>
        <w:t xml:space="preserve">lease </w:t>
      </w:r>
    </w:p>
    <w:p w14:paraId="331F4E94" w14:textId="4F566688" w:rsidR="00785D9F" w:rsidRDefault="00D04364" w:rsidP="00A979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w:t>
      </w:r>
      <w:r w:rsidR="00587631">
        <w:rPr>
          <w:rFonts w:ascii="Avenir Next" w:hAnsi="Avenir Next" w:cs="Arial"/>
          <w:color w:val="7B7B7B" w:themeColor="accent3" w:themeShade="BF"/>
          <w:sz w:val="22"/>
          <w:szCs w:val="22"/>
          <w:lang w:val="en-GB"/>
        </w:rPr>
        <w:t xml:space="preserve">pon the filing of </w:t>
      </w:r>
      <w:r w:rsidR="009E5FA8">
        <w:rPr>
          <w:rFonts w:ascii="Avenir Next" w:hAnsi="Avenir Next" w:cs="Arial"/>
          <w:color w:val="7B7B7B" w:themeColor="accent3" w:themeShade="BF"/>
          <w:sz w:val="22"/>
          <w:szCs w:val="22"/>
          <w:lang w:val="en-GB"/>
        </w:rPr>
        <w:t>a</w:t>
      </w:r>
      <w:r w:rsidR="00587631">
        <w:rPr>
          <w:rFonts w:ascii="Avenir Next" w:hAnsi="Avenir Next" w:cs="Arial"/>
          <w:color w:val="7B7B7B" w:themeColor="accent3" w:themeShade="BF"/>
          <w:sz w:val="22"/>
          <w:szCs w:val="22"/>
          <w:lang w:val="en-GB"/>
        </w:rPr>
        <w:t xml:space="preserve"> plenary </w:t>
      </w:r>
      <w:r w:rsidR="0094708A">
        <w:rPr>
          <w:rFonts w:ascii="Avenir Next" w:hAnsi="Avenir Next" w:cs="Arial"/>
          <w:color w:val="7B7B7B" w:themeColor="accent3" w:themeShade="BF"/>
          <w:sz w:val="22"/>
          <w:szCs w:val="22"/>
          <w:lang w:val="en-GB"/>
        </w:rPr>
        <w:t xml:space="preserve">petition an automatic stay comes into effect </w:t>
      </w:r>
      <w:r w:rsidR="003C5D43">
        <w:rPr>
          <w:rFonts w:ascii="Avenir Next" w:hAnsi="Avenir Next" w:cs="Arial"/>
          <w:color w:val="7B7B7B" w:themeColor="accent3" w:themeShade="BF"/>
          <w:sz w:val="22"/>
          <w:szCs w:val="22"/>
          <w:lang w:val="en-GB"/>
        </w:rPr>
        <w:t xml:space="preserve">which is designed to be debtor friendly providing room for </w:t>
      </w:r>
      <w:r w:rsidR="00494994">
        <w:rPr>
          <w:rFonts w:ascii="Avenir Next" w:hAnsi="Avenir Next" w:cs="Arial"/>
          <w:color w:val="7B7B7B" w:themeColor="accent3" w:themeShade="BF"/>
          <w:sz w:val="22"/>
          <w:szCs w:val="22"/>
          <w:lang w:val="en-GB"/>
        </w:rPr>
        <w:t xml:space="preserve">restructuring. </w:t>
      </w:r>
      <w:r w:rsidR="00667202">
        <w:rPr>
          <w:rFonts w:ascii="Avenir Next" w:hAnsi="Avenir Next" w:cs="Arial"/>
          <w:color w:val="7B7B7B" w:themeColor="accent3" w:themeShade="BF"/>
          <w:sz w:val="22"/>
          <w:szCs w:val="22"/>
          <w:lang w:val="en-GB"/>
        </w:rPr>
        <w:t xml:space="preserve">The stay will in this case prevent the landlord of </w:t>
      </w:r>
      <w:proofErr w:type="spellStart"/>
      <w:r w:rsidR="00667202">
        <w:rPr>
          <w:rFonts w:ascii="Avenir Next" w:hAnsi="Avenir Next" w:cs="Arial"/>
          <w:color w:val="7B7B7B" w:themeColor="accent3" w:themeShade="BF"/>
          <w:sz w:val="22"/>
          <w:szCs w:val="22"/>
          <w:lang w:val="en-GB"/>
        </w:rPr>
        <w:t>SI</w:t>
      </w:r>
      <w:proofErr w:type="spellEnd"/>
      <w:r w:rsidR="00667202">
        <w:rPr>
          <w:rFonts w:ascii="Avenir Next" w:hAnsi="Avenir Next" w:cs="Arial"/>
          <w:color w:val="7B7B7B" w:themeColor="accent3" w:themeShade="BF"/>
          <w:sz w:val="22"/>
          <w:szCs w:val="22"/>
          <w:lang w:val="en-GB"/>
        </w:rPr>
        <w:t xml:space="preserve"> bringing a claim for</w:t>
      </w:r>
      <w:r w:rsidR="00157A2F">
        <w:rPr>
          <w:rFonts w:ascii="Avenir Next" w:hAnsi="Avenir Next" w:cs="Arial"/>
          <w:color w:val="7B7B7B" w:themeColor="accent3" w:themeShade="BF"/>
          <w:sz w:val="22"/>
          <w:szCs w:val="22"/>
          <w:lang w:val="en-GB"/>
        </w:rPr>
        <w:t xml:space="preserve"> </w:t>
      </w:r>
      <w:r w:rsidR="00CD6EE5">
        <w:rPr>
          <w:rFonts w:ascii="Avenir Next" w:hAnsi="Avenir Next" w:cs="Arial"/>
          <w:color w:val="7B7B7B" w:themeColor="accent3" w:themeShade="BF"/>
          <w:sz w:val="22"/>
          <w:szCs w:val="22"/>
          <w:lang w:val="en-GB"/>
        </w:rPr>
        <w:t xml:space="preserve">debts outstanding from </w:t>
      </w:r>
      <w:proofErr w:type="spellStart"/>
      <w:r w:rsidR="000D471A">
        <w:rPr>
          <w:rFonts w:ascii="Avenir Next" w:hAnsi="Avenir Next" w:cs="Arial"/>
          <w:color w:val="7B7B7B" w:themeColor="accent3" w:themeShade="BF"/>
          <w:sz w:val="22"/>
          <w:szCs w:val="22"/>
          <w:lang w:val="en-GB"/>
        </w:rPr>
        <w:t>SI</w:t>
      </w:r>
      <w:proofErr w:type="spellEnd"/>
      <w:r w:rsidR="000D471A">
        <w:rPr>
          <w:rFonts w:ascii="Avenir Next" w:hAnsi="Avenir Next" w:cs="Arial"/>
          <w:color w:val="7B7B7B" w:themeColor="accent3" w:themeShade="BF"/>
          <w:sz w:val="22"/>
          <w:szCs w:val="22"/>
          <w:lang w:val="en-GB"/>
        </w:rPr>
        <w:t xml:space="preserve"> for non-payment of rent. The landlord may be able to </w:t>
      </w:r>
      <w:r w:rsidR="009852B0">
        <w:rPr>
          <w:rFonts w:ascii="Avenir Next" w:hAnsi="Avenir Next" w:cs="Arial"/>
          <w:color w:val="7B7B7B" w:themeColor="accent3" w:themeShade="BF"/>
          <w:sz w:val="22"/>
          <w:szCs w:val="22"/>
          <w:lang w:val="en-GB"/>
        </w:rPr>
        <w:t xml:space="preserve">explore on of the statutory exceptions to the automatic stay in order to take back possession of the property </w:t>
      </w:r>
      <w:r w:rsidR="00D66804">
        <w:rPr>
          <w:rFonts w:ascii="Avenir Next" w:hAnsi="Avenir Next" w:cs="Arial"/>
          <w:color w:val="7B7B7B" w:themeColor="accent3" w:themeShade="BF"/>
          <w:sz w:val="22"/>
          <w:szCs w:val="22"/>
          <w:lang w:val="en-GB"/>
        </w:rPr>
        <w:t>if the lease has expired</w:t>
      </w:r>
      <w:r w:rsidR="00D66804">
        <w:rPr>
          <w:rStyle w:val="FootnoteReference"/>
          <w:rFonts w:ascii="Avenir Next" w:hAnsi="Avenir Next" w:cs="Arial"/>
          <w:color w:val="7B7B7B" w:themeColor="accent3" w:themeShade="BF"/>
          <w:sz w:val="22"/>
          <w:szCs w:val="22"/>
          <w:lang w:val="en-GB"/>
        </w:rPr>
        <w:footnoteReference w:id="23"/>
      </w:r>
    </w:p>
    <w:p w14:paraId="18FB588C" w14:textId="77777777" w:rsidR="00785D9F" w:rsidRDefault="00785D9F" w:rsidP="00A97951">
      <w:pPr>
        <w:jc w:val="both"/>
        <w:rPr>
          <w:rFonts w:ascii="Avenir Next" w:hAnsi="Avenir Next" w:cs="Arial"/>
          <w:color w:val="7B7B7B" w:themeColor="accent3" w:themeShade="BF"/>
          <w:sz w:val="22"/>
          <w:szCs w:val="22"/>
          <w:lang w:val="en-GB"/>
        </w:rPr>
      </w:pPr>
    </w:p>
    <w:p w14:paraId="25823AD9" w14:textId="77777777" w:rsidR="005267CC" w:rsidRPr="004E6F4F" w:rsidRDefault="00785D9F" w:rsidP="00A97951">
      <w:pPr>
        <w:jc w:val="both"/>
        <w:rPr>
          <w:rFonts w:ascii="Avenir Next" w:hAnsi="Avenir Next" w:cs="Arial"/>
          <w:color w:val="7B7B7B" w:themeColor="accent3" w:themeShade="BF"/>
          <w:sz w:val="22"/>
          <w:szCs w:val="22"/>
          <w:lang w:val="en-GB"/>
        </w:rPr>
      </w:pPr>
      <w:r w:rsidRPr="005267CC">
        <w:rPr>
          <w:rFonts w:ascii="Avenir Next" w:hAnsi="Avenir Next" w:cs="Arial"/>
          <w:color w:val="7B7B7B" w:themeColor="accent3" w:themeShade="BF"/>
          <w:sz w:val="22"/>
          <w:szCs w:val="22"/>
          <w:u w:val="single"/>
          <w:lang w:val="en-GB"/>
        </w:rPr>
        <w:t>Employment discrimination lawsuit</w:t>
      </w:r>
    </w:p>
    <w:p w14:paraId="22436327" w14:textId="0C1DD934" w:rsidR="00865F3E" w:rsidRPr="004E6F4F" w:rsidRDefault="005267CC" w:rsidP="00A97951">
      <w:pPr>
        <w:jc w:val="both"/>
        <w:rPr>
          <w:rFonts w:ascii="Avenir Next" w:hAnsi="Avenir Next" w:cs="Arial"/>
          <w:color w:val="7B7B7B" w:themeColor="accent3" w:themeShade="BF"/>
          <w:sz w:val="22"/>
          <w:szCs w:val="22"/>
          <w:lang w:val="en-GB"/>
        </w:rPr>
      </w:pPr>
      <w:r w:rsidRPr="004E6F4F">
        <w:rPr>
          <w:rFonts w:ascii="Avenir Next" w:hAnsi="Avenir Next" w:cs="Arial"/>
          <w:color w:val="7B7B7B" w:themeColor="accent3" w:themeShade="BF"/>
          <w:sz w:val="22"/>
          <w:szCs w:val="22"/>
          <w:lang w:val="en-GB"/>
        </w:rPr>
        <w:t xml:space="preserve">In relation to the </w:t>
      </w:r>
      <w:r w:rsidR="00397B4E" w:rsidRPr="004E6F4F">
        <w:rPr>
          <w:rFonts w:ascii="Avenir Next" w:hAnsi="Avenir Next" w:cs="Arial"/>
          <w:color w:val="7B7B7B" w:themeColor="accent3" w:themeShade="BF"/>
          <w:sz w:val="22"/>
          <w:szCs w:val="22"/>
          <w:lang w:val="en-GB"/>
        </w:rPr>
        <w:t>discrimination dispute</w:t>
      </w:r>
      <w:r w:rsidR="00424F46" w:rsidRPr="004E6F4F">
        <w:rPr>
          <w:rFonts w:ascii="Avenir Next" w:hAnsi="Avenir Next" w:cs="Arial"/>
          <w:color w:val="7B7B7B" w:themeColor="accent3" w:themeShade="BF"/>
          <w:sz w:val="22"/>
          <w:szCs w:val="22"/>
          <w:lang w:val="en-GB"/>
        </w:rPr>
        <w:t xml:space="preserve"> by </w:t>
      </w:r>
      <w:r w:rsidR="00397B4E" w:rsidRPr="004E6F4F">
        <w:rPr>
          <w:rFonts w:ascii="Avenir Next" w:hAnsi="Avenir Next" w:cs="Arial"/>
          <w:color w:val="7B7B7B" w:themeColor="accent3" w:themeShade="BF"/>
          <w:sz w:val="22"/>
          <w:szCs w:val="22"/>
          <w:lang w:val="en-GB"/>
        </w:rPr>
        <w:t>the former employee</w:t>
      </w:r>
      <w:r w:rsidR="00424F46" w:rsidRPr="004E6F4F">
        <w:rPr>
          <w:rFonts w:ascii="Avenir Next" w:hAnsi="Avenir Next" w:cs="Arial"/>
          <w:color w:val="7B7B7B" w:themeColor="accent3" w:themeShade="BF"/>
          <w:sz w:val="22"/>
          <w:szCs w:val="22"/>
          <w:lang w:val="en-GB"/>
        </w:rPr>
        <w:t xml:space="preserve">, the contract is no executory as all obligations </w:t>
      </w:r>
      <w:r w:rsidR="004E6F4F" w:rsidRPr="004E6F4F">
        <w:rPr>
          <w:rFonts w:ascii="Avenir Next" w:hAnsi="Avenir Next" w:cs="Arial"/>
          <w:color w:val="7B7B7B" w:themeColor="accent3" w:themeShade="BF"/>
          <w:sz w:val="22"/>
          <w:szCs w:val="22"/>
          <w:lang w:val="en-GB"/>
        </w:rPr>
        <w:t>were completed upon termination of the contract</w:t>
      </w:r>
      <w:r w:rsidR="004E6F4F">
        <w:rPr>
          <w:rFonts w:ascii="Avenir Next" w:hAnsi="Avenir Next" w:cs="Arial"/>
          <w:color w:val="7B7B7B" w:themeColor="accent3" w:themeShade="BF"/>
          <w:sz w:val="22"/>
          <w:szCs w:val="22"/>
          <w:lang w:val="en-GB"/>
        </w:rPr>
        <w:t>.</w:t>
      </w:r>
      <w:r w:rsidR="0022785E">
        <w:rPr>
          <w:rFonts w:ascii="Avenir Next" w:hAnsi="Avenir Next" w:cs="Arial"/>
          <w:color w:val="7B7B7B" w:themeColor="accent3" w:themeShade="BF"/>
          <w:sz w:val="22"/>
          <w:szCs w:val="22"/>
          <w:lang w:val="en-GB"/>
        </w:rPr>
        <w:t xml:space="preserve">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589D7039" w14:textId="0065490A" w:rsidR="002C1522"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1F84ADD3" w14:textId="77777777" w:rsidR="002C1522" w:rsidRDefault="002C1522" w:rsidP="00F03051">
      <w:pPr>
        <w:jc w:val="both"/>
        <w:rPr>
          <w:rFonts w:ascii="Avenir Next" w:hAnsi="Avenir Next" w:cs="Arial"/>
          <w:color w:val="7B7B7B" w:themeColor="accent3" w:themeShade="BF"/>
          <w:sz w:val="22"/>
          <w:szCs w:val="22"/>
          <w:lang w:val="en-GB"/>
        </w:rPr>
      </w:pPr>
    </w:p>
    <w:p w14:paraId="55AEFA0B" w14:textId="77777777" w:rsidR="00047F5A" w:rsidRDefault="00B8081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Chapter 15</w:t>
      </w:r>
      <w:r w:rsidR="00B83665">
        <w:rPr>
          <w:rFonts w:ascii="Avenir Next" w:hAnsi="Avenir Next" w:cs="Arial"/>
          <w:color w:val="7B7B7B" w:themeColor="accent3" w:themeShade="BF"/>
          <w:sz w:val="22"/>
          <w:szCs w:val="22"/>
          <w:lang w:val="en-GB"/>
        </w:rPr>
        <w:t xml:space="preserve"> of the Bankruptcy Code</w:t>
      </w:r>
      <w:r w:rsidR="001144EA">
        <w:rPr>
          <w:rStyle w:val="FootnoteReference"/>
          <w:rFonts w:ascii="Avenir Next" w:hAnsi="Avenir Next" w:cs="Arial"/>
          <w:color w:val="7B7B7B" w:themeColor="accent3" w:themeShade="BF"/>
          <w:sz w:val="22"/>
          <w:szCs w:val="22"/>
          <w:lang w:val="en-GB"/>
        </w:rPr>
        <w:footnoteReference w:id="24"/>
      </w:r>
      <w:r w:rsidR="00B83665">
        <w:rPr>
          <w:rFonts w:ascii="Avenir Next" w:hAnsi="Avenir Next" w:cs="Arial"/>
          <w:color w:val="7B7B7B" w:themeColor="accent3" w:themeShade="BF"/>
          <w:sz w:val="22"/>
          <w:szCs w:val="22"/>
          <w:lang w:val="en-GB"/>
        </w:rPr>
        <w:t>, which is modelled on the UN</w:t>
      </w:r>
      <w:r w:rsidR="00614F61">
        <w:rPr>
          <w:rFonts w:ascii="Avenir Next" w:hAnsi="Avenir Next" w:cs="Arial"/>
          <w:color w:val="7B7B7B" w:themeColor="accent3" w:themeShade="BF"/>
          <w:sz w:val="22"/>
          <w:szCs w:val="22"/>
          <w:lang w:val="en-GB"/>
        </w:rPr>
        <w:t>C</w:t>
      </w:r>
      <w:r w:rsidR="00B83665">
        <w:rPr>
          <w:rFonts w:ascii="Avenir Next" w:hAnsi="Avenir Next" w:cs="Arial"/>
          <w:color w:val="7B7B7B" w:themeColor="accent3" w:themeShade="BF"/>
          <w:sz w:val="22"/>
          <w:szCs w:val="22"/>
          <w:lang w:val="en-GB"/>
        </w:rPr>
        <w:t>ITRAL Model law</w:t>
      </w:r>
      <w:r w:rsidR="0038576F">
        <w:rPr>
          <w:rStyle w:val="FootnoteReference"/>
          <w:rFonts w:ascii="Avenir Next" w:hAnsi="Avenir Next" w:cs="Arial"/>
          <w:color w:val="7B7B7B" w:themeColor="accent3" w:themeShade="BF"/>
          <w:sz w:val="22"/>
          <w:szCs w:val="22"/>
          <w:lang w:val="en-GB"/>
        </w:rPr>
        <w:footnoteReference w:id="25"/>
      </w:r>
      <w:r w:rsidR="00676423">
        <w:rPr>
          <w:rFonts w:ascii="Avenir Next" w:hAnsi="Avenir Next" w:cs="Arial"/>
          <w:color w:val="7B7B7B" w:themeColor="accent3" w:themeShade="BF"/>
          <w:sz w:val="22"/>
          <w:szCs w:val="22"/>
          <w:lang w:val="en-GB"/>
        </w:rPr>
        <w:t xml:space="preserve"> (“Model Law”)</w:t>
      </w:r>
      <w:r w:rsidR="00B83665">
        <w:rPr>
          <w:rFonts w:ascii="Avenir Next" w:hAnsi="Avenir Next" w:cs="Arial"/>
          <w:color w:val="7B7B7B" w:themeColor="accent3" w:themeShade="BF"/>
          <w:sz w:val="22"/>
          <w:szCs w:val="22"/>
          <w:lang w:val="en-GB"/>
        </w:rPr>
        <w:t xml:space="preserve">, </w:t>
      </w:r>
      <w:r w:rsidR="00676423">
        <w:rPr>
          <w:rFonts w:ascii="Avenir Next" w:hAnsi="Avenir Next" w:cs="Arial"/>
          <w:color w:val="7B7B7B" w:themeColor="accent3" w:themeShade="BF"/>
          <w:sz w:val="22"/>
          <w:szCs w:val="22"/>
          <w:lang w:val="en-GB"/>
        </w:rPr>
        <w:t>provides a mechanism for the recognition of</w:t>
      </w:r>
      <w:r w:rsidR="00663FAF">
        <w:rPr>
          <w:rFonts w:ascii="Avenir Next" w:hAnsi="Avenir Next" w:cs="Arial"/>
          <w:color w:val="7B7B7B" w:themeColor="accent3" w:themeShade="BF"/>
          <w:sz w:val="22"/>
          <w:szCs w:val="22"/>
          <w:lang w:val="en-GB"/>
        </w:rPr>
        <w:t xml:space="preserve"> foreign proceedings</w:t>
      </w:r>
      <w:r w:rsidR="005D008E">
        <w:rPr>
          <w:rFonts w:ascii="Avenir Next" w:hAnsi="Avenir Next" w:cs="Arial"/>
          <w:color w:val="7B7B7B" w:themeColor="accent3" w:themeShade="BF"/>
          <w:sz w:val="22"/>
          <w:szCs w:val="22"/>
          <w:lang w:val="en-GB"/>
        </w:rPr>
        <w:t xml:space="preserve"> and enables the coordination of both foreign and any US proceedings. </w:t>
      </w:r>
      <w:r w:rsidR="00B16328">
        <w:rPr>
          <w:rFonts w:ascii="Avenir Next" w:hAnsi="Avenir Next" w:cs="Arial"/>
          <w:color w:val="7B7B7B" w:themeColor="accent3" w:themeShade="BF"/>
          <w:sz w:val="22"/>
          <w:szCs w:val="22"/>
          <w:lang w:val="en-GB"/>
        </w:rPr>
        <w:t xml:space="preserve">No estate is formed under the Chapter 15 proceedings </w:t>
      </w:r>
      <w:r w:rsidR="001541A5">
        <w:rPr>
          <w:rFonts w:ascii="Avenir Next" w:hAnsi="Avenir Next" w:cs="Arial"/>
          <w:color w:val="7B7B7B" w:themeColor="accent3" w:themeShade="BF"/>
          <w:sz w:val="22"/>
          <w:szCs w:val="22"/>
          <w:lang w:val="en-GB"/>
        </w:rPr>
        <w:t>which is designed to provide assistance</w:t>
      </w:r>
      <w:r w:rsidR="001442FD">
        <w:rPr>
          <w:rFonts w:ascii="Avenir Next" w:hAnsi="Avenir Next" w:cs="Arial"/>
          <w:color w:val="7B7B7B" w:themeColor="accent3" w:themeShade="BF"/>
          <w:sz w:val="22"/>
          <w:szCs w:val="22"/>
          <w:lang w:val="en-GB"/>
        </w:rPr>
        <w:t xml:space="preserve">. </w:t>
      </w:r>
    </w:p>
    <w:p w14:paraId="2B76DD03" w14:textId="0F9A31AB" w:rsidR="00676423" w:rsidRDefault="00047F5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For </w:t>
      </w:r>
      <w:r w:rsidR="001442FD">
        <w:rPr>
          <w:rFonts w:ascii="Avenir Next" w:hAnsi="Avenir Next" w:cs="Arial"/>
          <w:color w:val="7B7B7B" w:themeColor="accent3" w:themeShade="BF"/>
          <w:sz w:val="22"/>
          <w:szCs w:val="22"/>
          <w:lang w:val="en-GB"/>
        </w:rPr>
        <w:t xml:space="preserve">recognition </w:t>
      </w:r>
      <w:r>
        <w:rPr>
          <w:rFonts w:ascii="Avenir Next" w:hAnsi="Avenir Next" w:cs="Arial"/>
          <w:color w:val="7B7B7B" w:themeColor="accent3" w:themeShade="BF"/>
          <w:sz w:val="22"/>
          <w:szCs w:val="22"/>
          <w:lang w:val="en-GB"/>
        </w:rPr>
        <w:t xml:space="preserve">any foreign </w:t>
      </w:r>
      <w:r w:rsidR="00483ED9">
        <w:rPr>
          <w:rFonts w:ascii="Avenir Next" w:hAnsi="Avenir Next" w:cs="Arial"/>
          <w:color w:val="7B7B7B" w:themeColor="accent3" w:themeShade="BF"/>
          <w:sz w:val="22"/>
          <w:szCs w:val="22"/>
          <w:lang w:val="en-GB"/>
        </w:rPr>
        <w:t xml:space="preserve">representative would have to show that the English </w:t>
      </w:r>
      <w:r w:rsidR="00A372AA">
        <w:rPr>
          <w:rFonts w:ascii="Avenir Next" w:hAnsi="Avenir Next" w:cs="Arial"/>
          <w:color w:val="7B7B7B" w:themeColor="accent3" w:themeShade="BF"/>
          <w:sz w:val="22"/>
          <w:szCs w:val="22"/>
          <w:lang w:val="en-GB"/>
        </w:rPr>
        <w:t xml:space="preserve">court regarding the debtor is pending and that they have power to </w:t>
      </w:r>
      <w:r w:rsidR="007C79DB">
        <w:rPr>
          <w:rFonts w:ascii="Avenir Next" w:hAnsi="Avenir Next" w:cs="Arial"/>
          <w:color w:val="7B7B7B" w:themeColor="accent3" w:themeShade="BF"/>
          <w:sz w:val="22"/>
          <w:szCs w:val="22"/>
          <w:lang w:val="en-GB"/>
        </w:rPr>
        <w:t xml:space="preserve">act under those English proceedings. </w:t>
      </w:r>
      <w:r w:rsidR="00A22E0A">
        <w:rPr>
          <w:rFonts w:ascii="Avenir Next" w:hAnsi="Avenir Next" w:cs="Arial"/>
          <w:color w:val="7B7B7B" w:themeColor="accent3" w:themeShade="BF"/>
          <w:sz w:val="22"/>
          <w:szCs w:val="22"/>
          <w:lang w:val="en-GB"/>
        </w:rPr>
        <w:t xml:space="preserve">The US Bankruptcy Code requires that the </w:t>
      </w:r>
      <w:r w:rsidR="00A8043A">
        <w:rPr>
          <w:rFonts w:ascii="Avenir Next" w:hAnsi="Avenir Next" w:cs="Arial"/>
          <w:color w:val="7B7B7B" w:themeColor="accent3" w:themeShade="BF"/>
          <w:sz w:val="22"/>
          <w:szCs w:val="22"/>
          <w:lang w:val="en-GB"/>
        </w:rPr>
        <w:t>foreign proceedings be collectively judicial or administrative</w:t>
      </w:r>
      <w:r w:rsidR="00DE0A19">
        <w:rPr>
          <w:rFonts w:ascii="Avenir Next" w:hAnsi="Avenir Next" w:cs="Arial"/>
          <w:color w:val="7B7B7B" w:themeColor="accent3" w:themeShade="BF"/>
          <w:sz w:val="22"/>
          <w:szCs w:val="22"/>
          <w:lang w:val="en-GB"/>
        </w:rPr>
        <w:t xml:space="preserve"> and under the supervision of the foreign court in order to reorganise or </w:t>
      </w:r>
      <w:r w:rsidR="008A0721">
        <w:rPr>
          <w:rFonts w:ascii="Avenir Next" w:hAnsi="Avenir Next" w:cs="Arial"/>
          <w:color w:val="7B7B7B" w:themeColor="accent3" w:themeShade="BF"/>
          <w:sz w:val="22"/>
          <w:szCs w:val="22"/>
          <w:lang w:val="en-GB"/>
        </w:rPr>
        <w:t>liquidate</w:t>
      </w:r>
      <w:r w:rsidR="008A0721">
        <w:rPr>
          <w:rStyle w:val="FootnoteReference"/>
          <w:rFonts w:ascii="Avenir Next" w:hAnsi="Avenir Next" w:cs="Arial"/>
          <w:color w:val="7B7B7B" w:themeColor="accent3" w:themeShade="BF"/>
          <w:sz w:val="22"/>
          <w:szCs w:val="22"/>
          <w:lang w:val="en-GB"/>
        </w:rPr>
        <w:footnoteReference w:id="26"/>
      </w:r>
      <w:r w:rsidR="008A0721">
        <w:rPr>
          <w:rFonts w:ascii="Avenir Next" w:hAnsi="Avenir Next" w:cs="Arial"/>
          <w:color w:val="7B7B7B" w:themeColor="accent3" w:themeShade="BF"/>
          <w:sz w:val="22"/>
          <w:szCs w:val="22"/>
          <w:lang w:val="en-GB"/>
        </w:rPr>
        <w:t>.</w:t>
      </w:r>
      <w:r w:rsidR="00091CC4">
        <w:rPr>
          <w:rFonts w:ascii="Avenir Next" w:hAnsi="Avenir Next" w:cs="Arial"/>
          <w:color w:val="7B7B7B" w:themeColor="accent3" w:themeShade="BF"/>
          <w:sz w:val="22"/>
          <w:szCs w:val="22"/>
          <w:lang w:val="en-GB"/>
        </w:rPr>
        <w:t xml:space="preserve"> English Schemes of Arrangement </w:t>
      </w:r>
      <w:r w:rsidR="009E767D">
        <w:rPr>
          <w:rFonts w:ascii="Avenir Next" w:hAnsi="Avenir Next" w:cs="Arial"/>
          <w:color w:val="7B7B7B" w:themeColor="accent3" w:themeShade="BF"/>
          <w:sz w:val="22"/>
          <w:szCs w:val="22"/>
          <w:lang w:val="en-GB"/>
        </w:rPr>
        <w:t>fall within this ambit</w:t>
      </w:r>
      <w:r w:rsidR="00AF0942">
        <w:rPr>
          <w:rFonts w:ascii="Avenir Next" w:hAnsi="Avenir Next" w:cs="Arial"/>
          <w:color w:val="7B7B7B" w:themeColor="accent3" w:themeShade="BF"/>
          <w:sz w:val="22"/>
          <w:szCs w:val="22"/>
          <w:lang w:val="en-GB"/>
        </w:rPr>
        <w:t xml:space="preserve"> for the purpose of recognition. </w:t>
      </w:r>
    </w:p>
    <w:p w14:paraId="4E1819D2" w14:textId="77777777" w:rsidR="00AF0942" w:rsidRDefault="00AF0942" w:rsidP="00F03051">
      <w:pPr>
        <w:jc w:val="both"/>
        <w:rPr>
          <w:rFonts w:ascii="Avenir Next" w:hAnsi="Avenir Next" w:cs="Arial"/>
          <w:color w:val="7B7B7B" w:themeColor="accent3" w:themeShade="BF"/>
          <w:sz w:val="22"/>
          <w:szCs w:val="22"/>
          <w:lang w:val="en-GB"/>
        </w:rPr>
      </w:pPr>
    </w:p>
    <w:p w14:paraId="53758F1B" w14:textId="5A966640" w:rsidR="00AF0942" w:rsidRDefault="000A463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At the recognition stage the issue of whether the proceedings are in fact foreign main or </w:t>
      </w:r>
      <w:r w:rsidR="009F5931">
        <w:rPr>
          <w:rFonts w:ascii="Avenir Next" w:hAnsi="Avenir Next" w:cs="Arial"/>
          <w:color w:val="7B7B7B" w:themeColor="accent3" w:themeShade="BF"/>
          <w:sz w:val="22"/>
          <w:szCs w:val="22"/>
          <w:lang w:val="en-GB"/>
        </w:rPr>
        <w:t xml:space="preserve">foreign non-main proceedings is dealt with, which become important later in relation to relief sought. </w:t>
      </w:r>
    </w:p>
    <w:p w14:paraId="0494C6DA" w14:textId="77777777" w:rsidR="005D2B07" w:rsidRDefault="005D2B07" w:rsidP="00F03051">
      <w:pPr>
        <w:jc w:val="both"/>
        <w:rPr>
          <w:rFonts w:ascii="Avenir Next" w:hAnsi="Avenir Next" w:cs="Arial"/>
          <w:color w:val="7B7B7B" w:themeColor="accent3" w:themeShade="BF"/>
          <w:sz w:val="22"/>
          <w:szCs w:val="22"/>
          <w:lang w:val="en-GB"/>
        </w:rPr>
      </w:pPr>
    </w:p>
    <w:p w14:paraId="43BFF80C" w14:textId="31802663" w:rsidR="00E025B3" w:rsidRDefault="005D2B0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centre of main interest (“COMI”) </w:t>
      </w:r>
      <w:r w:rsidR="00681A76">
        <w:rPr>
          <w:rFonts w:ascii="Avenir Next" w:hAnsi="Avenir Next" w:cs="Arial"/>
          <w:color w:val="7B7B7B" w:themeColor="accent3" w:themeShade="BF"/>
          <w:sz w:val="22"/>
          <w:szCs w:val="22"/>
          <w:lang w:val="en-GB"/>
        </w:rPr>
        <w:t xml:space="preserve">of the debtor is </w:t>
      </w:r>
      <w:r w:rsidR="001771A6">
        <w:rPr>
          <w:rFonts w:ascii="Avenir Next" w:hAnsi="Avenir Next" w:cs="Arial"/>
          <w:color w:val="7B7B7B" w:themeColor="accent3" w:themeShade="BF"/>
          <w:sz w:val="22"/>
          <w:szCs w:val="22"/>
          <w:lang w:val="en-GB"/>
        </w:rPr>
        <w:t xml:space="preserve">generally presumed to be where it is incorporated. In </w:t>
      </w:r>
      <w:r w:rsidR="00E269BF">
        <w:rPr>
          <w:rFonts w:ascii="Avenir Next" w:hAnsi="Avenir Next" w:cs="Arial"/>
          <w:color w:val="7B7B7B" w:themeColor="accent3" w:themeShade="BF"/>
          <w:sz w:val="22"/>
          <w:szCs w:val="22"/>
          <w:lang w:val="en-GB"/>
        </w:rPr>
        <w:t xml:space="preserve">this case </w:t>
      </w:r>
      <w:r w:rsidR="00D8577D">
        <w:rPr>
          <w:rFonts w:ascii="Avenir Next" w:hAnsi="Avenir Next" w:cs="Arial"/>
          <w:color w:val="7B7B7B" w:themeColor="accent3" w:themeShade="BF"/>
          <w:sz w:val="22"/>
          <w:szCs w:val="22"/>
          <w:lang w:val="en-GB"/>
        </w:rPr>
        <w:t>France if the place of incorporation</w:t>
      </w:r>
      <w:r w:rsidR="00C0534A">
        <w:rPr>
          <w:rFonts w:ascii="Avenir Next" w:hAnsi="Avenir Next" w:cs="Arial"/>
          <w:color w:val="7B7B7B" w:themeColor="accent3" w:themeShade="BF"/>
          <w:sz w:val="22"/>
          <w:szCs w:val="22"/>
          <w:lang w:val="en-GB"/>
        </w:rPr>
        <w:t xml:space="preserve"> but this is </w:t>
      </w:r>
      <w:r w:rsidR="00126A28">
        <w:rPr>
          <w:rFonts w:ascii="Avenir Next" w:hAnsi="Avenir Next" w:cs="Arial"/>
          <w:color w:val="7B7B7B" w:themeColor="accent3" w:themeShade="BF"/>
          <w:sz w:val="22"/>
          <w:szCs w:val="22"/>
          <w:lang w:val="en-GB"/>
        </w:rPr>
        <w:t xml:space="preserve">a </w:t>
      </w:r>
      <w:r w:rsidR="00C0534A">
        <w:rPr>
          <w:rFonts w:ascii="Avenir Next" w:hAnsi="Avenir Next" w:cs="Arial"/>
          <w:color w:val="7B7B7B" w:themeColor="accent3" w:themeShade="BF"/>
          <w:sz w:val="22"/>
          <w:szCs w:val="22"/>
          <w:lang w:val="en-GB"/>
        </w:rPr>
        <w:t>rebuttable</w:t>
      </w:r>
      <w:r w:rsidR="00126A28">
        <w:rPr>
          <w:rFonts w:ascii="Avenir Next" w:hAnsi="Avenir Next" w:cs="Arial"/>
          <w:color w:val="7B7B7B" w:themeColor="accent3" w:themeShade="BF"/>
          <w:sz w:val="22"/>
          <w:szCs w:val="22"/>
          <w:lang w:val="en-GB"/>
        </w:rPr>
        <w:t xml:space="preserve"> presumption</w:t>
      </w:r>
      <w:r w:rsidR="00126A28">
        <w:rPr>
          <w:rStyle w:val="FootnoteReference"/>
          <w:rFonts w:ascii="Avenir Next" w:hAnsi="Avenir Next" w:cs="Arial"/>
          <w:color w:val="7B7B7B" w:themeColor="accent3" w:themeShade="BF"/>
          <w:sz w:val="22"/>
          <w:szCs w:val="22"/>
          <w:lang w:val="en-GB"/>
        </w:rPr>
        <w:footnoteReference w:id="27"/>
      </w:r>
      <w:r w:rsidR="00FF5732">
        <w:rPr>
          <w:rFonts w:ascii="Avenir Next" w:hAnsi="Avenir Next" w:cs="Arial"/>
          <w:color w:val="7B7B7B" w:themeColor="accent3" w:themeShade="BF"/>
          <w:sz w:val="22"/>
          <w:szCs w:val="22"/>
          <w:lang w:val="en-GB"/>
        </w:rPr>
        <w:t>. Other factors</w:t>
      </w:r>
      <w:r w:rsidR="006D1B69">
        <w:rPr>
          <w:rStyle w:val="FootnoteReference"/>
          <w:rFonts w:ascii="Avenir Next" w:hAnsi="Avenir Next" w:cs="Arial"/>
          <w:color w:val="7B7B7B" w:themeColor="accent3" w:themeShade="BF"/>
          <w:sz w:val="22"/>
          <w:szCs w:val="22"/>
          <w:lang w:val="en-GB"/>
        </w:rPr>
        <w:footnoteReference w:id="28"/>
      </w:r>
      <w:r w:rsidR="00FF5732">
        <w:rPr>
          <w:rFonts w:ascii="Avenir Next" w:hAnsi="Avenir Next" w:cs="Arial"/>
          <w:color w:val="7B7B7B" w:themeColor="accent3" w:themeShade="BF"/>
          <w:sz w:val="22"/>
          <w:szCs w:val="22"/>
          <w:lang w:val="en-GB"/>
        </w:rPr>
        <w:t xml:space="preserve"> can be considered such as </w:t>
      </w:r>
      <w:r w:rsidR="00923B66">
        <w:rPr>
          <w:rFonts w:ascii="Avenir Next" w:hAnsi="Avenir Next" w:cs="Arial"/>
          <w:color w:val="7B7B7B" w:themeColor="accent3" w:themeShade="BF"/>
          <w:sz w:val="22"/>
          <w:szCs w:val="22"/>
          <w:lang w:val="en-GB"/>
        </w:rPr>
        <w:t>the location of the headquarters</w:t>
      </w:r>
      <w:r w:rsidR="00534E6F">
        <w:rPr>
          <w:rFonts w:ascii="Avenir Next" w:hAnsi="Avenir Next" w:cs="Arial"/>
          <w:color w:val="7B7B7B" w:themeColor="accent3" w:themeShade="BF"/>
          <w:sz w:val="22"/>
          <w:szCs w:val="22"/>
          <w:lang w:val="en-GB"/>
        </w:rPr>
        <w:t xml:space="preserve"> - </w:t>
      </w:r>
      <w:r w:rsidR="00923B66">
        <w:rPr>
          <w:rFonts w:ascii="Avenir Next" w:hAnsi="Avenir Next" w:cs="Arial"/>
          <w:color w:val="7B7B7B" w:themeColor="accent3" w:themeShade="BF"/>
          <w:sz w:val="22"/>
          <w:szCs w:val="22"/>
          <w:lang w:val="en-GB"/>
        </w:rPr>
        <w:t>which are in France</w:t>
      </w:r>
      <w:r w:rsidR="006E6FB3">
        <w:rPr>
          <w:rFonts w:ascii="Avenir Next" w:hAnsi="Avenir Next" w:cs="Arial"/>
          <w:color w:val="7B7B7B" w:themeColor="accent3" w:themeShade="BF"/>
          <w:sz w:val="22"/>
          <w:szCs w:val="22"/>
          <w:lang w:val="en-GB"/>
        </w:rPr>
        <w:t>, the lo</w:t>
      </w:r>
      <w:r w:rsidR="00800CD1">
        <w:rPr>
          <w:rFonts w:ascii="Avenir Next" w:hAnsi="Avenir Next" w:cs="Arial"/>
          <w:color w:val="7B7B7B" w:themeColor="accent3" w:themeShade="BF"/>
          <w:sz w:val="22"/>
          <w:szCs w:val="22"/>
          <w:lang w:val="en-GB"/>
        </w:rPr>
        <w:t xml:space="preserve">cation of assets </w:t>
      </w:r>
      <w:r w:rsidR="00534E6F">
        <w:rPr>
          <w:rFonts w:ascii="Avenir Next" w:hAnsi="Avenir Next" w:cs="Arial"/>
          <w:color w:val="7B7B7B" w:themeColor="accent3" w:themeShade="BF"/>
          <w:sz w:val="22"/>
          <w:szCs w:val="22"/>
          <w:lang w:val="en-GB"/>
        </w:rPr>
        <w:t xml:space="preserve">- </w:t>
      </w:r>
      <w:r w:rsidR="00800CD1">
        <w:rPr>
          <w:rFonts w:ascii="Avenir Next" w:hAnsi="Avenir Next" w:cs="Arial"/>
          <w:color w:val="7B7B7B" w:themeColor="accent3" w:themeShade="BF"/>
          <w:sz w:val="22"/>
          <w:szCs w:val="22"/>
          <w:lang w:val="en-GB"/>
        </w:rPr>
        <w:t>which are in Italy</w:t>
      </w:r>
      <w:r w:rsidR="00534E6F">
        <w:rPr>
          <w:rFonts w:ascii="Avenir Next" w:hAnsi="Avenir Next" w:cs="Arial"/>
          <w:color w:val="7B7B7B" w:themeColor="accent3" w:themeShade="BF"/>
          <w:sz w:val="22"/>
          <w:szCs w:val="22"/>
          <w:lang w:val="en-GB"/>
        </w:rPr>
        <w:t xml:space="preserve">, the location of management – which appear to be </w:t>
      </w:r>
      <w:r w:rsidR="001B6D74">
        <w:rPr>
          <w:rFonts w:ascii="Avenir Next" w:hAnsi="Avenir Next" w:cs="Arial"/>
          <w:color w:val="7B7B7B" w:themeColor="accent3" w:themeShade="BF"/>
          <w:sz w:val="22"/>
          <w:szCs w:val="22"/>
          <w:lang w:val="en-GB"/>
        </w:rPr>
        <w:t>France</w:t>
      </w:r>
      <w:r w:rsidR="00B941C8">
        <w:rPr>
          <w:rFonts w:ascii="Avenir Next" w:hAnsi="Avenir Next" w:cs="Arial"/>
          <w:color w:val="7B7B7B" w:themeColor="accent3" w:themeShade="BF"/>
          <w:sz w:val="22"/>
          <w:szCs w:val="22"/>
          <w:lang w:val="en-GB"/>
        </w:rPr>
        <w:t xml:space="preserve">, location of creditors – this is not apparent from the fact  and </w:t>
      </w:r>
      <w:r w:rsidR="00343E1E">
        <w:rPr>
          <w:rFonts w:ascii="Avenir Next" w:hAnsi="Avenir Next" w:cs="Arial"/>
          <w:color w:val="7B7B7B" w:themeColor="accent3" w:themeShade="BF"/>
          <w:sz w:val="22"/>
          <w:szCs w:val="22"/>
          <w:lang w:val="en-GB"/>
        </w:rPr>
        <w:t>the law applicable – which appears to be English as regard</w:t>
      </w:r>
      <w:r w:rsidR="009B69AD">
        <w:rPr>
          <w:rFonts w:ascii="Avenir Next" w:hAnsi="Avenir Next" w:cs="Arial"/>
          <w:color w:val="7B7B7B" w:themeColor="accent3" w:themeShade="BF"/>
          <w:sz w:val="22"/>
          <w:szCs w:val="22"/>
          <w:lang w:val="en-GB"/>
        </w:rPr>
        <w:t>s</w:t>
      </w:r>
      <w:r w:rsidR="00343E1E">
        <w:rPr>
          <w:rFonts w:ascii="Avenir Next" w:hAnsi="Avenir Next" w:cs="Arial"/>
          <w:color w:val="7B7B7B" w:themeColor="accent3" w:themeShade="BF"/>
          <w:sz w:val="22"/>
          <w:szCs w:val="22"/>
          <w:lang w:val="en-GB"/>
        </w:rPr>
        <w:t xml:space="preserve"> funding sources. </w:t>
      </w:r>
      <w:r w:rsidR="0079224A">
        <w:rPr>
          <w:rFonts w:ascii="Avenir Next" w:hAnsi="Avenir Next" w:cs="Arial"/>
          <w:color w:val="7B7B7B" w:themeColor="accent3" w:themeShade="BF"/>
          <w:sz w:val="22"/>
          <w:szCs w:val="22"/>
          <w:lang w:val="en-GB"/>
        </w:rPr>
        <w:t xml:space="preserve">In this context merely having the financial contracts governed by </w:t>
      </w:r>
      <w:r w:rsidR="00070FAE">
        <w:rPr>
          <w:rFonts w:ascii="Avenir Next" w:hAnsi="Avenir Next" w:cs="Arial"/>
          <w:color w:val="7B7B7B" w:themeColor="accent3" w:themeShade="BF"/>
          <w:sz w:val="22"/>
          <w:szCs w:val="22"/>
          <w:lang w:val="en-GB"/>
        </w:rPr>
        <w:t xml:space="preserve">English law may not be sufficient to establish </w:t>
      </w:r>
      <w:r w:rsidR="003E72D9">
        <w:rPr>
          <w:rFonts w:ascii="Avenir Next" w:hAnsi="Avenir Next" w:cs="Arial"/>
          <w:color w:val="7B7B7B" w:themeColor="accent3" w:themeShade="BF"/>
          <w:sz w:val="22"/>
          <w:szCs w:val="22"/>
          <w:lang w:val="en-GB"/>
        </w:rPr>
        <w:t>any English Scheme of Arrangement as foreign main proceedings</w:t>
      </w:r>
      <w:r w:rsidR="00083196">
        <w:rPr>
          <w:rFonts w:ascii="Avenir Next" w:hAnsi="Avenir Next" w:cs="Arial"/>
          <w:color w:val="7B7B7B" w:themeColor="accent3" w:themeShade="BF"/>
          <w:sz w:val="22"/>
          <w:szCs w:val="22"/>
          <w:lang w:val="en-GB"/>
        </w:rPr>
        <w:t xml:space="preserve"> in the US. </w:t>
      </w:r>
      <w:r w:rsidR="00654FD0">
        <w:rPr>
          <w:rFonts w:ascii="Avenir Next" w:hAnsi="Avenir Next" w:cs="Arial"/>
          <w:color w:val="7B7B7B" w:themeColor="accent3" w:themeShade="BF"/>
          <w:sz w:val="22"/>
          <w:szCs w:val="22"/>
          <w:lang w:val="en-GB"/>
        </w:rPr>
        <w:t>France may appear to be the more likely place of COMI</w:t>
      </w:r>
      <w:r w:rsidR="00774D07">
        <w:rPr>
          <w:rFonts w:ascii="Avenir Next" w:hAnsi="Avenir Next" w:cs="Arial"/>
          <w:color w:val="7B7B7B" w:themeColor="accent3" w:themeShade="BF"/>
          <w:sz w:val="22"/>
          <w:szCs w:val="22"/>
          <w:lang w:val="en-GB"/>
        </w:rPr>
        <w:t xml:space="preserve"> given the headquarters, likely the </w:t>
      </w:r>
      <w:r w:rsidR="00DF58AE">
        <w:rPr>
          <w:rFonts w:ascii="Avenir Next" w:hAnsi="Avenir Next" w:cs="Arial"/>
          <w:color w:val="7B7B7B" w:themeColor="accent3" w:themeShade="BF"/>
          <w:sz w:val="22"/>
          <w:szCs w:val="22"/>
          <w:lang w:val="en-GB"/>
        </w:rPr>
        <w:t>management</w:t>
      </w:r>
      <w:r w:rsidR="00774D07">
        <w:rPr>
          <w:rFonts w:ascii="Avenir Next" w:hAnsi="Avenir Next" w:cs="Arial"/>
          <w:color w:val="7B7B7B" w:themeColor="accent3" w:themeShade="BF"/>
          <w:sz w:val="22"/>
          <w:szCs w:val="22"/>
          <w:lang w:val="en-GB"/>
        </w:rPr>
        <w:t>,</w:t>
      </w:r>
      <w:r w:rsidR="00DF58AE">
        <w:rPr>
          <w:rFonts w:ascii="Avenir Next" w:hAnsi="Avenir Next" w:cs="Arial"/>
          <w:color w:val="7B7B7B" w:themeColor="accent3" w:themeShade="BF"/>
          <w:sz w:val="22"/>
          <w:szCs w:val="22"/>
          <w:lang w:val="en-GB"/>
        </w:rPr>
        <w:t xml:space="preserve"> potentially some creditors</w:t>
      </w:r>
      <w:r w:rsidR="005936DF">
        <w:rPr>
          <w:rFonts w:ascii="Avenir Next" w:hAnsi="Avenir Next" w:cs="Arial"/>
          <w:color w:val="7B7B7B" w:themeColor="accent3" w:themeShade="BF"/>
          <w:sz w:val="22"/>
          <w:szCs w:val="22"/>
          <w:lang w:val="en-GB"/>
        </w:rPr>
        <w:t xml:space="preserve"> and possibly some assets are all in France. </w:t>
      </w:r>
    </w:p>
    <w:p w14:paraId="10C83199" w14:textId="77777777" w:rsidR="00E025B3" w:rsidRDefault="00E025B3" w:rsidP="00F03051">
      <w:pPr>
        <w:jc w:val="both"/>
        <w:rPr>
          <w:rFonts w:ascii="Avenir Next" w:hAnsi="Avenir Next" w:cs="Arial"/>
          <w:color w:val="7B7B7B" w:themeColor="accent3" w:themeShade="BF"/>
          <w:sz w:val="22"/>
          <w:szCs w:val="22"/>
          <w:lang w:val="en-GB"/>
        </w:rPr>
      </w:pPr>
    </w:p>
    <w:p w14:paraId="7B0EC044" w14:textId="1C7F4551" w:rsidR="000D7F1E" w:rsidRDefault="00E025B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above assumption are borne out than there is still potential that the English </w:t>
      </w:r>
      <w:r w:rsidR="009E4710">
        <w:rPr>
          <w:rFonts w:ascii="Avenir Next" w:hAnsi="Avenir Next" w:cs="Arial"/>
          <w:color w:val="7B7B7B" w:themeColor="accent3" w:themeShade="BF"/>
          <w:sz w:val="22"/>
          <w:szCs w:val="22"/>
          <w:lang w:val="en-GB"/>
        </w:rPr>
        <w:t xml:space="preserve">Scheme of Arrangement may still be classed as foreign non-main proceedings. The foreign representative would need to demonstrate that the </w:t>
      </w:r>
      <w:r w:rsidR="000D7F1E">
        <w:rPr>
          <w:rFonts w:ascii="Avenir Next" w:hAnsi="Avenir Next" w:cs="Arial"/>
          <w:color w:val="7B7B7B" w:themeColor="accent3" w:themeShade="BF"/>
          <w:sz w:val="22"/>
          <w:szCs w:val="22"/>
          <w:lang w:val="en-GB"/>
        </w:rPr>
        <w:t>debtor has an establishment</w:t>
      </w:r>
      <w:r w:rsidR="00B3175E">
        <w:rPr>
          <w:rStyle w:val="FootnoteReference"/>
          <w:rFonts w:ascii="Avenir Next" w:hAnsi="Avenir Next" w:cs="Arial"/>
          <w:color w:val="7B7B7B" w:themeColor="accent3" w:themeShade="BF"/>
          <w:sz w:val="22"/>
          <w:szCs w:val="22"/>
          <w:lang w:val="en-GB"/>
        </w:rPr>
        <w:footnoteReference w:id="29"/>
      </w:r>
      <w:r w:rsidR="000D7F1E">
        <w:rPr>
          <w:rFonts w:ascii="Avenir Next" w:hAnsi="Avenir Next" w:cs="Arial"/>
          <w:color w:val="7B7B7B" w:themeColor="accent3" w:themeShade="BF"/>
          <w:sz w:val="22"/>
          <w:szCs w:val="22"/>
          <w:lang w:val="en-GB"/>
        </w:rPr>
        <w:t xml:space="preserve"> in England and at this point that is unclear. </w:t>
      </w:r>
    </w:p>
    <w:p w14:paraId="5A207D88" w14:textId="77777777" w:rsidR="00AB0586" w:rsidRPr="00F00D8B" w:rsidRDefault="00AB0586" w:rsidP="00F00D8B">
      <w:pPr>
        <w:jc w:val="both"/>
        <w:rPr>
          <w:rFonts w:ascii="Avenir Next" w:hAnsi="Avenir Next" w:cs="Arial"/>
          <w:color w:val="7B7B7B" w:themeColor="accent3" w:themeShade="BF"/>
          <w:sz w:val="22"/>
          <w:szCs w:val="22"/>
          <w:lang w:val="en-GB"/>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535385F" w:rsidR="00F03051" w:rsidRDefault="0059783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Considering the</w:t>
      </w:r>
      <w:r w:rsidR="00760881" w:rsidRPr="00760881">
        <w:rPr>
          <w:rFonts w:ascii="Avenir Next" w:hAnsi="Avenir Next" w:cs="Arial"/>
          <w:color w:val="7B7B7B" w:themeColor="accent3" w:themeShade="BF"/>
          <w:sz w:val="22"/>
          <w:szCs w:val="22"/>
          <w:lang w:val="en-GB"/>
        </w:rPr>
        <w:t xml:space="preserve"> most common test about whether a contract is executory</w:t>
      </w:r>
      <w:r w:rsidR="00760881" w:rsidRPr="00760881">
        <w:rPr>
          <w:rFonts w:ascii="Avenir Next" w:hAnsi="Avenir Next" w:cs="Arial"/>
          <w:color w:val="7B7B7B" w:themeColor="accent3" w:themeShade="BF"/>
          <w:sz w:val="22"/>
          <w:szCs w:val="22"/>
          <w:vertAlign w:val="superscript"/>
          <w:lang w:val="en-GB"/>
        </w:rPr>
        <w:footnoteReference w:id="30"/>
      </w:r>
      <w:r>
        <w:rPr>
          <w:rFonts w:ascii="Avenir Next" w:hAnsi="Avenir Next" w:cs="Arial"/>
          <w:color w:val="7B7B7B" w:themeColor="accent3" w:themeShade="BF"/>
          <w:sz w:val="22"/>
          <w:szCs w:val="22"/>
          <w:lang w:val="en-GB"/>
        </w:rPr>
        <w:t>, t</w:t>
      </w:r>
      <w:r w:rsidR="008C5660">
        <w:rPr>
          <w:rFonts w:ascii="Avenir Next" w:hAnsi="Avenir Next" w:cs="Arial"/>
          <w:color w:val="7B7B7B" w:themeColor="accent3" w:themeShade="BF"/>
          <w:sz w:val="22"/>
          <w:szCs w:val="22"/>
          <w:lang w:val="en-GB"/>
        </w:rPr>
        <w:t xml:space="preserve">he license to manufacture </w:t>
      </w:r>
      <w:proofErr w:type="spellStart"/>
      <w:r w:rsidR="008C5660">
        <w:rPr>
          <w:rFonts w:ascii="Avenir Next" w:hAnsi="Avenir Next" w:cs="Arial"/>
          <w:color w:val="7B7B7B" w:themeColor="accent3" w:themeShade="BF"/>
          <w:sz w:val="22"/>
          <w:szCs w:val="22"/>
          <w:lang w:val="en-GB"/>
        </w:rPr>
        <w:t>Xblox</w:t>
      </w:r>
      <w:proofErr w:type="spellEnd"/>
      <w:r w:rsidR="008C5660">
        <w:rPr>
          <w:rFonts w:ascii="Avenir Next" w:hAnsi="Avenir Next" w:cs="Arial"/>
          <w:color w:val="7B7B7B" w:themeColor="accent3" w:themeShade="BF"/>
          <w:sz w:val="22"/>
          <w:szCs w:val="22"/>
          <w:lang w:val="en-GB"/>
        </w:rPr>
        <w:t xml:space="preserve"> i</w:t>
      </w:r>
      <w:r w:rsidR="002F3AD5">
        <w:rPr>
          <w:rFonts w:ascii="Avenir Next" w:hAnsi="Avenir Next" w:cs="Arial"/>
          <w:color w:val="7B7B7B" w:themeColor="accent3" w:themeShade="BF"/>
          <w:sz w:val="22"/>
          <w:szCs w:val="22"/>
          <w:lang w:val="en-GB"/>
        </w:rPr>
        <w:t xml:space="preserve">s </w:t>
      </w:r>
      <w:r w:rsidR="00BF4A0C">
        <w:rPr>
          <w:rFonts w:ascii="Avenir Next" w:hAnsi="Avenir Next" w:cs="Arial"/>
          <w:color w:val="7B7B7B" w:themeColor="accent3" w:themeShade="BF"/>
          <w:sz w:val="22"/>
          <w:szCs w:val="22"/>
          <w:lang w:val="en-GB"/>
        </w:rPr>
        <w:t>likely to be an</w:t>
      </w:r>
      <w:r w:rsidR="002F3AD5">
        <w:rPr>
          <w:rFonts w:ascii="Avenir Next" w:hAnsi="Avenir Next" w:cs="Arial"/>
          <w:color w:val="7B7B7B" w:themeColor="accent3" w:themeShade="BF"/>
          <w:sz w:val="22"/>
          <w:szCs w:val="22"/>
          <w:lang w:val="en-GB"/>
        </w:rPr>
        <w:t xml:space="preserve"> executory contract</w:t>
      </w:r>
      <w:r w:rsidR="00BF4A0C">
        <w:rPr>
          <w:rFonts w:ascii="Avenir Next" w:hAnsi="Avenir Next" w:cs="Arial"/>
          <w:color w:val="7B7B7B" w:themeColor="accent3" w:themeShade="BF"/>
          <w:sz w:val="22"/>
          <w:szCs w:val="22"/>
          <w:lang w:val="en-GB"/>
        </w:rPr>
        <w:t xml:space="preserve"> if it can</w:t>
      </w:r>
      <w:r w:rsidR="00FD3E28">
        <w:rPr>
          <w:rFonts w:ascii="Avenir Next" w:hAnsi="Avenir Next" w:cs="Arial"/>
          <w:color w:val="7B7B7B" w:themeColor="accent3" w:themeShade="BF"/>
          <w:sz w:val="22"/>
          <w:szCs w:val="22"/>
          <w:lang w:val="en-GB"/>
        </w:rPr>
        <w:t xml:space="preserve"> be shown that there are unperformed obligations </w:t>
      </w:r>
      <w:r w:rsidR="00F87493">
        <w:rPr>
          <w:rFonts w:ascii="Avenir Next" w:hAnsi="Avenir Next" w:cs="Arial"/>
          <w:color w:val="7B7B7B" w:themeColor="accent3" w:themeShade="BF"/>
          <w:sz w:val="22"/>
          <w:szCs w:val="22"/>
          <w:lang w:val="en-GB"/>
        </w:rPr>
        <w:t>on the side of ToyCo and GameArt Inc</w:t>
      </w:r>
      <w:r w:rsidR="00D92360">
        <w:rPr>
          <w:rFonts w:ascii="Avenir Next" w:hAnsi="Avenir Next" w:cs="Arial"/>
          <w:color w:val="7B7B7B" w:themeColor="accent3" w:themeShade="BF"/>
          <w:sz w:val="22"/>
          <w:szCs w:val="22"/>
          <w:lang w:val="en-GB"/>
        </w:rPr>
        <w:t xml:space="preserve">. If the licence is for a period of 10 years </w:t>
      </w:r>
      <w:r w:rsidR="008F0BE0">
        <w:rPr>
          <w:rFonts w:ascii="Avenir Next" w:hAnsi="Avenir Next" w:cs="Arial"/>
          <w:color w:val="7B7B7B" w:themeColor="accent3" w:themeShade="BF"/>
          <w:sz w:val="22"/>
          <w:szCs w:val="22"/>
          <w:lang w:val="en-GB"/>
        </w:rPr>
        <w:t xml:space="preserve">and </w:t>
      </w:r>
      <w:r w:rsidR="00546695">
        <w:rPr>
          <w:rFonts w:ascii="Avenir Next" w:hAnsi="Avenir Next" w:cs="Arial"/>
          <w:color w:val="7B7B7B" w:themeColor="accent3" w:themeShade="BF"/>
          <w:sz w:val="22"/>
          <w:szCs w:val="22"/>
          <w:lang w:val="en-GB"/>
        </w:rPr>
        <w:t xml:space="preserve">GameMart </w:t>
      </w:r>
      <w:r w:rsidR="008F0BE0">
        <w:rPr>
          <w:rFonts w:ascii="Avenir Next" w:hAnsi="Avenir Next" w:cs="Arial"/>
          <w:color w:val="7B7B7B" w:themeColor="accent3" w:themeShade="BF"/>
          <w:sz w:val="22"/>
          <w:szCs w:val="22"/>
          <w:lang w:val="en-GB"/>
        </w:rPr>
        <w:t xml:space="preserve">continues to pay monthly royalties to </w:t>
      </w:r>
      <w:r w:rsidR="00546695">
        <w:rPr>
          <w:rFonts w:ascii="Avenir Next" w:hAnsi="Avenir Next" w:cs="Arial"/>
          <w:color w:val="7B7B7B" w:themeColor="accent3" w:themeShade="BF"/>
          <w:sz w:val="22"/>
          <w:szCs w:val="22"/>
          <w:lang w:val="en-GB"/>
        </w:rPr>
        <w:t xml:space="preserve">ToyCo </w:t>
      </w:r>
      <w:r w:rsidR="004906A7">
        <w:rPr>
          <w:rFonts w:ascii="Avenir Next" w:hAnsi="Avenir Next" w:cs="Arial"/>
          <w:color w:val="7B7B7B" w:themeColor="accent3" w:themeShade="BF"/>
          <w:sz w:val="22"/>
          <w:szCs w:val="22"/>
          <w:lang w:val="en-GB"/>
        </w:rPr>
        <w:t xml:space="preserve">and there are further unperformed </w:t>
      </w:r>
      <w:r w:rsidR="00111F10">
        <w:rPr>
          <w:rFonts w:ascii="Avenir Next" w:hAnsi="Avenir Next" w:cs="Arial"/>
          <w:color w:val="7B7B7B" w:themeColor="accent3" w:themeShade="BF"/>
          <w:sz w:val="22"/>
          <w:szCs w:val="22"/>
          <w:lang w:val="en-GB"/>
        </w:rPr>
        <w:t xml:space="preserve">obligations </w:t>
      </w:r>
      <w:r w:rsidR="004906A7">
        <w:rPr>
          <w:rFonts w:ascii="Avenir Next" w:hAnsi="Avenir Next" w:cs="Arial"/>
          <w:color w:val="7B7B7B" w:themeColor="accent3" w:themeShade="BF"/>
          <w:sz w:val="22"/>
          <w:szCs w:val="22"/>
          <w:lang w:val="en-GB"/>
        </w:rPr>
        <w:t xml:space="preserve">then it is likely to be considered an executory contract.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19975321" w:rsidR="00F03051" w:rsidRPr="00E41578" w:rsidRDefault="006A3C5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w:t>
      </w:r>
      <w:r w:rsidR="005573ED">
        <w:rPr>
          <w:rFonts w:ascii="Avenir Next" w:hAnsi="Avenir Next" w:cs="Arial"/>
          <w:color w:val="7B7B7B" w:themeColor="accent3" w:themeShade="BF"/>
          <w:sz w:val="22"/>
          <w:szCs w:val="22"/>
          <w:lang w:val="en-GB"/>
        </w:rPr>
        <w:t xml:space="preserve"> they cannot transfer without the consent of</w:t>
      </w:r>
      <w:r w:rsidR="00DD005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ToyCo </w:t>
      </w:r>
      <w:r w:rsidR="002801BE">
        <w:rPr>
          <w:rFonts w:ascii="Avenir Next" w:hAnsi="Avenir Next" w:cs="Arial"/>
          <w:color w:val="7B7B7B" w:themeColor="accent3" w:themeShade="BF"/>
          <w:sz w:val="22"/>
          <w:szCs w:val="22"/>
          <w:lang w:val="en-GB"/>
        </w:rPr>
        <w:t xml:space="preserve">in the context of a Chapter 11 proceeding </w:t>
      </w:r>
      <w:r>
        <w:rPr>
          <w:rFonts w:ascii="Avenir Next" w:hAnsi="Avenir Next" w:cs="Arial"/>
          <w:color w:val="7B7B7B" w:themeColor="accent3" w:themeShade="BF"/>
          <w:sz w:val="22"/>
          <w:szCs w:val="22"/>
          <w:lang w:val="en-GB"/>
        </w:rPr>
        <w:t>because</w:t>
      </w:r>
      <w:r w:rsidR="00B63E21">
        <w:rPr>
          <w:rFonts w:ascii="Avenir Next" w:hAnsi="Avenir Next" w:cs="Arial"/>
          <w:color w:val="7B7B7B" w:themeColor="accent3" w:themeShade="BF"/>
          <w:sz w:val="22"/>
          <w:szCs w:val="22"/>
          <w:lang w:val="en-GB"/>
        </w:rPr>
        <w:t>, although the Bank</w:t>
      </w:r>
      <w:r w:rsidR="00BC50BF">
        <w:rPr>
          <w:rFonts w:ascii="Avenir Next" w:hAnsi="Avenir Next" w:cs="Arial"/>
          <w:color w:val="7B7B7B" w:themeColor="accent3" w:themeShade="BF"/>
          <w:sz w:val="22"/>
          <w:szCs w:val="22"/>
          <w:lang w:val="en-GB"/>
        </w:rPr>
        <w:t xml:space="preserve">ruptcy Code allows for abrogation of </w:t>
      </w:r>
      <w:r w:rsidR="00BD0279">
        <w:rPr>
          <w:rFonts w:ascii="Avenir Next" w:hAnsi="Avenir Next" w:cs="Arial"/>
          <w:color w:val="7B7B7B" w:themeColor="accent3" w:themeShade="BF"/>
          <w:sz w:val="22"/>
          <w:szCs w:val="22"/>
          <w:lang w:val="en-GB"/>
        </w:rPr>
        <w:t>restrictions</w:t>
      </w:r>
      <w:r w:rsidR="00214EE4">
        <w:rPr>
          <w:rFonts w:ascii="Avenir Next" w:hAnsi="Avenir Next" w:cs="Arial"/>
          <w:color w:val="7B7B7B" w:themeColor="accent3" w:themeShade="BF"/>
          <w:sz w:val="22"/>
          <w:szCs w:val="22"/>
          <w:lang w:val="en-GB"/>
        </w:rPr>
        <w:t xml:space="preserve"> regarding assignment</w:t>
      </w:r>
      <w:r w:rsidR="00BC50BF">
        <w:rPr>
          <w:rFonts w:ascii="Avenir Next" w:hAnsi="Avenir Next" w:cs="Arial"/>
          <w:color w:val="7B7B7B" w:themeColor="accent3" w:themeShade="BF"/>
          <w:sz w:val="22"/>
          <w:szCs w:val="22"/>
          <w:lang w:val="en-GB"/>
        </w:rPr>
        <w:t xml:space="preserve"> within contract that </w:t>
      </w:r>
      <w:r w:rsidR="00FD163E">
        <w:rPr>
          <w:rFonts w:ascii="Avenir Next" w:hAnsi="Avenir Next" w:cs="Arial"/>
          <w:color w:val="7B7B7B" w:themeColor="accent3" w:themeShade="BF"/>
          <w:sz w:val="22"/>
          <w:szCs w:val="22"/>
          <w:lang w:val="en-GB"/>
        </w:rPr>
        <w:t>allows compulsion of</w:t>
      </w:r>
      <w:r w:rsidR="00372A21">
        <w:rPr>
          <w:rFonts w:ascii="Avenir Next" w:hAnsi="Avenir Next" w:cs="Arial"/>
          <w:color w:val="7B7B7B" w:themeColor="accent3" w:themeShade="BF"/>
          <w:sz w:val="22"/>
          <w:szCs w:val="22"/>
          <w:lang w:val="en-GB"/>
        </w:rPr>
        <w:t xml:space="preserve">, for example, </w:t>
      </w:r>
      <w:r w:rsidR="006F089C">
        <w:rPr>
          <w:rFonts w:ascii="Avenir Next" w:hAnsi="Avenir Next" w:cs="Arial"/>
          <w:color w:val="7B7B7B" w:themeColor="accent3" w:themeShade="BF"/>
          <w:sz w:val="22"/>
          <w:szCs w:val="22"/>
          <w:lang w:val="en-GB"/>
        </w:rPr>
        <w:t xml:space="preserve">a transfer of performance </w:t>
      </w:r>
      <w:r w:rsidR="00BD0279">
        <w:rPr>
          <w:rFonts w:ascii="Avenir Next" w:hAnsi="Avenir Next" w:cs="Arial"/>
          <w:color w:val="7B7B7B" w:themeColor="accent3" w:themeShade="BF"/>
          <w:sz w:val="22"/>
          <w:szCs w:val="22"/>
          <w:lang w:val="en-GB"/>
        </w:rPr>
        <w:t>of a contract</w:t>
      </w:r>
      <w:r w:rsidR="00372A21">
        <w:rPr>
          <w:rFonts w:ascii="Avenir Next" w:hAnsi="Avenir Next" w:cs="Arial"/>
          <w:color w:val="7B7B7B" w:themeColor="accent3" w:themeShade="BF"/>
          <w:sz w:val="22"/>
          <w:szCs w:val="22"/>
          <w:lang w:val="en-GB"/>
        </w:rPr>
        <w:t xml:space="preserve">, </w:t>
      </w:r>
      <w:r w:rsidR="00710FBA">
        <w:rPr>
          <w:rFonts w:ascii="Avenir Next" w:hAnsi="Avenir Next" w:cs="Arial"/>
          <w:color w:val="7B7B7B" w:themeColor="accent3" w:themeShade="BF"/>
          <w:sz w:val="22"/>
          <w:szCs w:val="22"/>
          <w:lang w:val="en-GB"/>
        </w:rPr>
        <w:t>in certain types of contracts consent is</w:t>
      </w:r>
      <w:r w:rsidR="00D9412B">
        <w:rPr>
          <w:rFonts w:ascii="Avenir Next" w:hAnsi="Avenir Next" w:cs="Arial"/>
          <w:color w:val="7B7B7B" w:themeColor="accent3" w:themeShade="BF"/>
          <w:sz w:val="22"/>
          <w:szCs w:val="22"/>
          <w:lang w:val="en-GB"/>
        </w:rPr>
        <w:t xml:space="preserve"> still</w:t>
      </w:r>
      <w:r w:rsidR="00710FBA">
        <w:rPr>
          <w:rFonts w:ascii="Avenir Next" w:hAnsi="Avenir Next" w:cs="Arial"/>
          <w:color w:val="7B7B7B" w:themeColor="accent3" w:themeShade="BF"/>
          <w:sz w:val="22"/>
          <w:szCs w:val="22"/>
          <w:lang w:val="en-GB"/>
        </w:rPr>
        <w:t xml:space="preserve"> required</w:t>
      </w:r>
      <w:r w:rsidR="00D9412B">
        <w:rPr>
          <w:rFonts w:ascii="Avenir Next" w:hAnsi="Avenir Next" w:cs="Arial"/>
          <w:color w:val="7B7B7B" w:themeColor="accent3" w:themeShade="BF"/>
          <w:sz w:val="22"/>
          <w:szCs w:val="22"/>
          <w:lang w:val="en-GB"/>
        </w:rPr>
        <w:t xml:space="preserve">. Intellectual property licensing law is one </w:t>
      </w:r>
      <w:r w:rsidR="004322BD">
        <w:rPr>
          <w:rFonts w:ascii="Avenir Next" w:hAnsi="Avenir Next" w:cs="Arial"/>
          <w:color w:val="7B7B7B" w:themeColor="accent3" w:themeShade="BF"/>
          <w:sz w:val="22"/>
          <w:szCs w:val="22"/>
          <w:lang w:val="en-GB"/>
        </w:rPr>
        <w:t xml:space="preserve">of </w:t>
      </w:r>
      <w:r w:rsidR="00D9412B">
        <w:rPr>
          <w:rFonts w:ascii="Avenir Next" w:hAnsi="Avenir Next" w:cs="Arial"/>
          <w:color w:val="7B7B7B" w:themeColor="accent3" w:themeShade="BF"/>
          <w:sz w:val="22"/>
          <w:szCs w:val="22"/>
          <w:lang w:val="en-GB"/>
        </w:rPr>
        <w:t xml:space="preserve">these areas </w:t>
      </w:r>
      <w:r w:rsidR="004322BD">
        <w:rPr>
          <w:rFonts w:ascii="Avenir Next" w:hAnsi="Avenir Next" w:cs="Arial"/>
          <w:color w:val="7B7B7B" w:themeColor="accent3" w:themeShade="BF"/>
          <w:sz w:val="22"/>
          <w:szCs w:val="22"/>
          <w:lang w:val="en-GB"/>
        </w:rPr>
        <w:t>where consent is required</w:t>
      </w:r>
      <w:r w:rsidR="0068323A">
        <w:rPr>
          <w:rStyle w:val="FootnoteReference"/>
          <w:rFonts w:ascii="Avenir Next" w:hAnsi="Avenir Next" w:cs="Arial"/>
          <w:color w:val="7B7B7B" w:themeColor="accent3" w:themeShade="BF"/>
          <w:sz w:val="22"/>
          <w:szCs w:val="22"/>
          <w:lang w:val="en-GB"/>
        </w:rPr>
        <w:footnoteReference w:id="31"/>
      </w:r>
      <w:r w:rsidR="000D0A6F">
        <w:rPr>
          <w:rFonts w:ascii="Avenir Next" w:hAnsi="Avenir Next" w:cs="Arial"/>
          <w:color w:val="7B7B7B" w:themeColor="accent3" w:themeShade="BF"/>
          <w:sz w:val="22"/>
          <w:szCs w:val="22"/>
          <w:lang w:val="en-GB"/>
        </w:rPr>
        <w: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52140694" w:rsidR="00F03051" w:rsidRPr="00E41578" w:rsidRDefault="006D1AA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GameMart can transfer </w:t>
      </w:r>
      <w:r w:rsidR="00EC5ECA">
        <w:rPr>
          <w:rFonts w:ascii="Avenir Next" w:hAnsi="Avenir Next" w:cs="Arial"/>
          <w:color w:val="7B7B7B" w:themeColor="accent3" w:themeShade="BF"/>
          <w:sz w:val="22"/>
          <w:szCs w:val="22"/>
          <w:lang w:val="en-GB"/>
        </w:rPr>
        <w:t>the lease as part of the 363 sale without permission from the landlord</w:t>
      </w:r>
      <w:r w:rsidR="00AE442F">
        <w:rPr>
          <w:rFonts w:ascii="Avenir Next" w:hAnsi="Avenir Next" w:cs="Arial"/>
          <w:color w:val="7B7B7B" w:themeColor="accent3" w:themeShade="BF"/>
          <w:sz w:val="22"/>
          <w:szCs w:val="22"/>
          <w:lang w:val="en-GB"/>
        </w:rPr>
        <w:t xml:space="preserve">, as it will likely be deemed to be one of the contracts required to operate the company. </w:t>
      </w:r>
      <w:r w:rsidR="00096076">
        <w:rPr>
          <w:rFonts w:ascii="Avenir Next" w:hAnsi="Avenir Next" w:cs="Arial"/>
          <w:color w:val="7B7B7B" w:themeColor="accent3" w:themeShade="BF"/>
          <w:sz w:val="22"/>
          <w:szCs w:val="22"/>
          <w:lang w:val="en-GB"/>
        </w:rPr>
        <w:t xml:space="preserve">Under Chapter 11 </w:t>
      </w:r>
      <w:r w:rsidR="00381627">
        <w:rPr>
          <w:rFonts w:ascii="Avenir Next" w:hAnsi="Avenir Next" w:cs="Arial"/>
          <w:color w:val="7B7B7B" w:themeColor="accent3" w:themeShade="BF"/>
          <w:sz w:val="22"/>
          <w:szCs w:val="22"/>
          <w:lang w:val="en-GB"/>
        </w:rPr>
        <w:t xml:space="preserve">the debtor-in-possession must make a decision about </w:t>
      </w:r>
      <w:r w:rsidR="00AB4B82">
        <w:rPr>
          <w:rFonts w:ascii="Avenir Next" w:hAnsi="Avenir Next" w:cs="Arial"/>
          <w:color w:val="7B7B7B" w:themeColor="accent3" w:themeShade="BF"/>
          <w:sz w:val="22"/>
          <w:szCs w:val="22"/>
          <w:lang w:val="en-GB"/>
        </w:rPr>
        <w:t xml:space="preserve">assumption and assignment or rejection </w:t>
      </w:r>
      <w:r w:rsidR="000508AF">
        <w:rPr>
          <w:rFonts w:ascii="Avenir Next" w:hAnsi="Avenir Next" w:cs="Arial"/>
          <w:color w:val="7B7B7B" w:themeColor="accent3" w:themeShade="BF"/>
          <w:sz w:val="22"/>
          <w:szCs w:val="22"/>
          <w:lang w:val="en-GB"/>
        </w:rPr>
        <w:t>of the executory contract</w:t>
      </w:r>
      <w:r w:rsidR="001B5039">
        <w:rPr>
          <w:rFonts w:ascii="Avenir Next" w:hAnsi="Avenir Next" w:cs="Arial"/>
          <w:color w:val="7B7B7B" w:themeColor="accent3" w:themeShade="BF"/>
          <w:sz w:val="22"/>
          <w:szCs w:val="22"/>
          <w:lang w:val="en-GB"/>
        </w:rPr>
        <w:t xml:space="preserve"> by the ti</w:t>
      </w:r>
      <w:r w:rsidR="009A740A">
        <w:rPr>
          <w:rFonts w:ascii="Avenir Next" w:hAnsi="Avenir Next" w:cs="Arial"/>
          <w:color w:val="7B7B7B" w:themeColor="accent3" w:themeShade="BF"/>
          <w:sz w:val="22"/>
          <w:szCs w:val="22"/>
          <w:lang w:val="en-GB"/>
        </w:rPr>
        <w:t>m</w:t>
      </w:r>
      <w:r w:rsidR="001B5039">
        <w:rPr>
          <w:rFonts w:ascii="Avenir Next" w:hAnsi="Avenir Next" w:cs="Arial"/>
          <w:color w:val="7B7B7B" w:themeColor="accent3" w:themeShade="BF"/>
          <w:sz w:val="22"/>
          <w:szCs w:val="22"/>
          <w:lang w:val="en-GB"/>
        </w:rPr>
        <w:t>e confirmation of the reorganisation is made</w:t>
      </w:r>
      <w:r w:rsidR="00D54E0A">
        <w:rPr>
          <w:rFonts w:ascii="Avenir Next" w:hAnsi="Avenir Next" w:cs="Arial"/>
          <w:color w:val="7B7B7B" w:themeColor="accent3" w:themeShade="BF"/>
          <w:sz w:val="22"/>
          <w:szCs w:val="22"/>
          <w:lang w:val="en-GB"/>
        </w:rPr>
        <w:t>, unless</w:t>
      </w:r>
      <w:r w:rsidR="007B02A2">
        <w:rPr>
          <w:rFonts w:ascii="Avenir Next" w:hAnsi="Avenir Next" w:cs="Arial"/>
          <w:color w:val="7B7B7B" w:themeColor="accent3" w:themeShade="BF"/>
          <w:sz w:val="22"/>
          <w:szCs w:val="22"/>
          <w:lang w:val="en-GB"/>
        </w:rPr>
        <w:t xml:space="preserve"> a counter party</w:t>
      </w:r>
      <w:r w:rsidR="00D54E0A">
        <w:rPr>
          <w:rFonts w:ascii="Avenir Next" w:hAnsi="Avenir Next" w:cs="Arial"/>
          <w:color w:val="7B7B7B" w:themeColor="accent3" w:themeShade="BF"/>
          <w:sz w:val="22"/>
          <w:szCs w:val="22"/>
          <w:lang w:val="en-GB"/>
        </w:rPr>
        <w:t xml:space="preserve"> request</w:t>
      </w:r>
      <w:r w:rsidR="007B02A2">
        <w:rPr>
          <w:rFonts w:ascii="Avenir Next" w:hAnsi="Avenir Next" w:cs="Arial"/>
          <w:color w:val="7B7B7B" w:themeColor="accent3" w:themeShade="BF"/>
          <w:sz w:val="22"/>
          <w:szCs w:val="22"/>
          <w:lang w:val="en-GB"/>
        </w:rPr>
        <w:t>s</w:t>
      </w:r>
      <w:r w:rsidR="00D54E0A">
        <w:rPr>
          <w:rFonts w:ascii="Avenir Next" w:hAnsi="Avenir Next" w:cs="Arial"/>
          <w:color w:val="7B7B7B" w:themeColor="accent3" w:themeShade="BF"/>
          <w:sz w:val="22"/>
          <w:szCs w:val="22"/>
          <w:lang w:val="en-GB"/>
        </w:rPr>
        <w:t xml:space="preserve"> </w:t>
      </w:r>
      <w:r w:rsidR="00292EB7">
        <w:rPr>
          <w:rFonts w:ascii="Avenir Next" w:hAnsi="Avenir Next" w:cs="Arial"/>
          <w:color w:val="7B7B7B" w:themeColor="accent3" w:themeShade="BF"/>
          <w:sz w:val="22"/>
          <w:szCs w:val="22"/>
          <w:lang w:val="en-GB"/>
        </w:rPr>
        <w:t>a sooner deadline</w:t>
      </w:r>
      <w:r w:rsidR="009A740A">
        <w:rPr>
          <w:rFonts w:ascii="Avenir Next" w:hAnsi="Avenir Next" w:cs="Arial"/>
          <w:color w:val="7B7B7B" w:themeColor="accent3" w:themeShade="BF"/>
          <w:sz w:val="22"/>
          <w:szCs w:val="22"/>
          <w:lang w:val="en-GB"/>
        </w:rPr>
        <w:t xml:space="preserve">. </w:t>
      </w:r>
      <w:r w:rsidR="007B02A2">
        <w:rPr>
          <w:rFonts w:ascii="Avenir Next" w:hAnsi="Avenir Next" w:cs="Arial"/>
          <w:color w:val="7B7B7B" w:themeColor="accent3" w:themeShade="BF"/>
          <w:sz w:val="22"/>
          <w:szCs w:val="22"/>
          <w:lang w:val="en-GB"/>
        </w:rPr>
        <w:t xml:space="preserve">However, in particular, in relation to </w:t>
      </w:r>
      <w:r w:rsidR="00141939">
        <w:rPr>
          <w:rFonts w:ascii="Avenir Next" w:hAnsi="Avenir Next" w:cs="Arial"/>
          <w:color w:val="7B7B7B" w:themeColor="accent3" w:themeShade="BF"/>
          <w:sz w:val="22"/>
          <w:szCs w:val="22"/>
          <w:lang w:val="en-GB"/>
        </w:rPr>
        <w:t xml:space="preserve">pre-existing leases </w:t>
      </w:r>
      <w:r w:rsidR="0000610B">
        <w:rPr>
          <w:rFonts w:ascii="Avenir Next" w:hAnsi="Avenir Next" w:cs="Arial"/>
          <w:color w:val="7B7B7B" w:themeColor="accent3" w:themeShade="BF"/>
          <w:sz w:val="22"/>
          <w:szCs w:val="22"/>
          <w:lang w:val="en-GB"/>
        </w:rPr>
        <w:t>of commercial property a decision is required to be made within 120 days of the order for relief</w:t>
      </w:r>
      <w:r w:rsidR="0000610B">
        <w:rPr>
          <w:rStyle w:val="FootnoteReference"/>
          <w:rFonts w:ascii="Avenir Next" w:hAnsi="Avenir Next" w:cs="Arial"/>
          <w:color w:val="7B7B7B" w:themeColor="accent3" w:themeShade="BF"/>
          <w:sz w:val="22"/>
          <w:szCs w:val="22"/>
          <w:lang w:val="en-GB"/>
        </w:rPr>
        <w:footnoteReference w:id="32"/>
      </w:r>
      <w:r w:rsidR="0000610B">
        <w:rPr>
          <w:rFonts w:ascii="Avenir Next" w:hAnsi="Avenir Next" w:cs="Arial"/>
          <w:color w:val="7B7B7B" w:themeColor="accent3" w:themeShade="BF"/>
          <w:sz w:val="22"/>
          <w:szCs w:val="22"/>
          <w:lang w:val="en-GB"/>
        </w:rPr>
        <w:t>.</w:t>
      </w:r>
      <w:r w:rsidR="00DF66F0">
        <w:rPr>
          <w:rFonts w:ascii="Avenir Next" w:hAnsi="Avenir Next" w:cs="Arial"/>
          <w:color w:val="7B7B7B" w:themeColor="accent3" w:themeShade="BF"/>
          <w:sz w:val="22"/>
          <w:szCs w:val="22"/>
          <w:lang w:val="en-GB"/>
        </w:rPr>
        <w:t xml:space="preserve"> This imposes a time period which should be closely watched to ensure </w:t>
      </w:r>
      <w:r w:rsidR="002E4B7A">
        <w:rPr>
          <w:rFonts w:ascii="Avenir Next" w:hAnsi="Avenir Next" w:cs="Arial"/>
          <w:color w:val="7B7B7B" w:themeColor="accent3" w:themeShade="BF"/>
          <w:sz w:val="22"/>
          <w:szCs w:val="22"/>
          <w:lang w:val="en-GB"/>
        </w:rPr>
        <w:t xml:space="preserve">the deadline is not missed.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DCA4" w14:textId="77777777" w:rsidR="00F026D9" w:rsidRDefault="00F026D9" w:rsidP="00241B44">
      <w:r>
        <w:separator/>
      </w:r>
    </w:p>
  </w:endnote>
  <w:endnote w:type="continuationSeparator" w:id="0">
    <w:p w14:paraId="27372E74" w14:textId="77777777" w:rsidR="00F026D9" w:rsidRDefault="00F026D9" w:rsidP="00241B44">
      <w:r>
        <w:continuationSeparator/>
      </w:r>
    </w:p>
  </w:endnote>
  <w:endnote w:type="continuationNotice" w:id="1">
    <w:p w14:paraId="4947B23B" w14:textId="77777777" w:rsidR="00F026D9" w:rsidRDefault="00F02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D58EA6D" w:rsidR="00241FA3" w:rsidRPr="00494B81" w:rsidRDefault="00B87E53" w:rsidP="009B4976">
    <w:pPr>
      <w:pStyle w:val="Footer"/>
      <w:ind w:right="360"/>
      <w:rPr>
        <w:rFonts w:ascii="Avenir Next" w:hAnsi="Avenir Next" w:cs="Arial"/>
        <w:sz w:val="22"/>
        <w:szCs w:val="22"/>
        <w:lang w:val="en-GB"/>
      </w:rPr>
    </w:pPr>
    <w:r>
      <w:rPr>
        <w:rFonts w:ascii="Avenir Next" w:hAnsi="Avenir Next" w:cs="Arial"/>
        <w:sz w:val="22"/>
        <w:szCs w:val="22"/>
        <w:lang w:val="en-GB"/>
      </w:rPr>
      <w:t>202122-445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422E" w14:textId="77777777" w:rsidR="00F026D9" w:rsidRDefault="00F026D9" w:rsidP="00241B44">
      <w:r>
        <w:separator/>
      </w:r>
    </w:p>
  </w:footnote>
  <w:footnote w:type="continuationSeparator" w:id="0">
    <w:p w14:paraId="7A221290" w14:textId="77777777" w:rsidR="00F026D9" w:rsidRDefault="00F026D9" w:rsidP="00241B44">
      <w:r>
        <w:continuationSeparator/>
      </w:r>
    </w:p>
  </w:footnote>
  <w:footnote w:type="continuationNotice" w:id="1">
    <w:p w14:paraId="1081F8D9" w14:textId="77777777" w:rsidR="00F026D9" w:rsidRDefault="00F026D9"/>
  </w:footnote>
  <w:footnote w:id="2">
    <w:p w14:paraId="4CC2549A" w14:textId="7E25D556" w:rsidR="00FD074A" w:rsidRPr="00FD074A" w:rsidRDefault="00FD074A">
      <w:pPr>
        <w:pStyle w:val="FootnoteText"/>
        <w:rPr>
          <w:lang w:val="en-GB"/>
        </w:rPr>
      </w:pPr>
      <w:r>
        <w:rPr>
          <w:rStyle w:val="FootnoteReference"/>
        </w:rPr>
        <w:footnoteRef/>
      </w:r>
      <w:r>
        <w:t xml:space="preserve"> </w:t>
      </w:r>
      <w:r>
        <w:rPr>
          <w:lang w:val="en-GB"/>
        </w:rPr>
        <w:t>1</w:t>
      </w:r>
      <w:r w:rsidR="00755748">
        <w:rPr>
          <w:lang w:val="en-GB"/>
        </w:rPr>
        <w:t xml:space="preserve">1 USC, </w:t>
      </w:r>
      <w:r w:rsidR="00755748">
        <w:rPr>
          <w:i/>
          <w:iCs/>
          <w:color w:val="212121"/>
          <w:shd w:val="clear" w:color="auto" w:fill="FAFAFA"/>
        </w:rPr>
        <w:t xml:space="preserve">§ 547(f) </w:t>
      </w:r>
      <w:r w:rsidR="00755748" w:rsidRPr="001A574D">
        <w:rPr>
          <w:color w:val="212121"/>
          <w:shd w:val="clear" w:color="auto" w:fill="FAFAFA"/>
        </w:rPr>
        <w:t>presumed inso</w:t>
      </w:r>
      <w:r w:rsidR="009B67F4" w:rsidRPr="001A574D">
        <w:rPr>
          <w:color w:val="212121"/>
          <w:shd w:val="clear" w:color="auto" w:fill="FAFAFA"/>
        </w:rPr>
        <w:t>lvent 90days prior to the date of the petition</w:t>
      </w:r>
    </w:p>
  </w:footnote>
  <w:footnote w:id="3">
    <w:p w14:paraId="7F15935A" w14:textId="38269642" w:rsidR="007276E6" w:rsidRPr="007276E6" w:rsidRDefault="007276E6">
      <w:pPr>
        <w:pStyle w:val="FootnoteText"/>
        <w:rPr>
          <w:lang w:val="en-GB"/>
        </w:rPr>
      </w:pPr>
      <w:r>
        <w:rPr>
          <w:rStyle w:val="FootnoteReference"/>
        </w:rPr>
        <w:footnoteRef/>
      </w:r>
      <w:r>
        <w:t xml:space="preserve"> </w:t>
      </w:r>
      <w:r w:rsidR="00793F19">
        <w:rPr>
          <w:lang w:val="en-GB"/>
        </w:rPr>
        <w:t xml:space="preserve">11 USC, </w:t>
      </w:r>
      <w:r w:rsidR="00035C2B">
        <w:rPr>
          <w:i/>
          <w:iCs/>
          <w:color w:val="212121"/>
          <w:shd w:val="clear" w:color="auto" w:fill="FAFAFA"/>
        </w:rPr>
        <w:t>§</w:t>
      </w:r>
      <w:r w:rsidR="002D271F">
        <w:rPr>
          <w:lang w:val="en-GB"/>
        </w:rPr>
        <w:t xml:space="preserve"> </w:t>
      </w:r>
      <w:r w:rsidR="00035C2B">
        <w:rPr>
          <w:lang w:val="en-GB"/>
        </w:rPr>
        <w:t>547</w:t>
      </w:r>
    </w:p>
  </w:footnote>
  <w:footnote w:id="4">
    <w:p w14:paraId="5EA63F71" w14:textId="7271093E" w:rsidR="00680ABA" w:rsidRPr="00680ABA" w:rsidRDefault="00680ABA">
      <w:pPr>
        <w:pStyle w:val="FootnoteText"/>
        <w:rPr>
          <w:lang w:val="en-GB"/>
        </w:rPr>
      </w:pPr>
      <w:r>
        <w:rPr>
          <w:rStyle w:val="FootnoteReference"/>
        </w:rPr>
        <w:footnoteRef/>
      </w:r>
      <w:r>
        <w:t xml:space="preserve"> </w:t>
      </w:r>
      <w:r w:rsidR="003E1980">
        <w:rPr>
          <w:lang w:val="en-GB"/>
        </w:rPr>
        <w:t xml:space="preserve">Formed </w:t>
      </w:r>
      <w:r w:rsidR="00B44354">
        <w:rPr>
          <w:lang w:val="en-GB"/>
        </w:rPr>
        <w:t>under the Bankruptcy Code 1978</w:t>
      </w:r>
    </w:p>
  </w:footnote>
  <w:footnote w:id="5">
    <w:p w14:paraId="0454D92D" w14:textId="452F06BB" w:rsidR="00CB3A31" w:rsidRPr="00CB3A31" w:rsidRDefault="00CB3A31">
      <w:pPr>
        <w:pStyle w:val="FootnoteText"/>
        <w:rPr>
          <w:lang w:val="en-GB"/>
        </w:rPr>
      </w:pPr>
      <w:r>
        <w:rPr>
          <w:rStyle w:val="FootnoteReference"/>
        </w:rPr>
        <w:footnoteRef/>
      </w:r>
      <w:r>
        <w:t xml:space="preserve"> </w:t>
      </w:r>
      <w:r>
        <w:rPr>
          <w:lang w:val="en-GB"/>
        </w:rPr>
        <w:t>A</w:t>
      </w:r>
      <w:r w:rsidR="00027FB4">
        <w:rPr>
          <w:lang w:val="en-GB"/>
        </w:rPr>
        <w:t>lthough non-core proceedings may be heard by the bankruptcy court if the a ‘</w:t>
      </w:r>
      <w:r w:rsidR="009D74F0">
        <w:rPr>
          <w:lang w:val="en-GB"/>
        </w:rPr>
        <w:t>sufficiently</w:t>
      </w:r>
      <w:r w:rsidR="0085406D">
        <w:rPr>
          <w:lang w:val="en-GB"/>
        </w:rPr>
        <w:t xml:space="preserve"> related to the bank</w:t>
      </w:r>
      <w:r w:rsidR="009D74F0">
        <w:rPr>
          <w:lang w:val="en-GB"/>
        </w:rPr>
        <w:t xml:space="preserve">ruptcy proceedings’ </w:t>
      </w:r>
      <w:r w:rsidR="00472CD1">
        <w:rPr>
          <w:lang w:val="en-GB"/>
        </w:rPr>
        <w:t>if th</w:t>
      </w:r>
      <w:r w:rsidR="00E36A9F">
        <w:rPr>
          <w:lang w:val="en-GB"/>
        </w:rPr>
        <w:t>ey are not then state court will hear the matter</w:t>
      </w:r>
      <w:r w:rsidR="009D74F0">
        <w:rPr>
          <w:lang w:val="en-GB"/>
        </w:rPr>
        <w:t xml:space="preserve"> </w:t>
      </w:r>
    </w:p>
  </w:footnote>
  <w:footnote w:id="6">
    <w:p w14:paraId="5D8DD20D" w14:textId="4B240171" w:rsidR="001F16D9" w:rsidRPr="001F16D9" w:rsidRDefault="001F16D9">
      <w:pPr>
        <w:pStyle w:val="FootnoteText"/>
        <w:rPr>
          <w:lang w:val="en-GB"/>
        </w:rPr>
      </w:pPr>
      <w:r>
        <w:rPr>
          <w:rStyle w:val="FootnoteReference"/>
        </w:rPr>
        <w:footnoteRef/>
      </w:r>
      <w:r>
        <w:t xml:space="preserve"> </w:t>
      </w:r>
      <w:r w:rsidR="000C6C07">
        <w:rPr>
          <w:lang w:val="en-GB"/>
        </w:rPr>
        <w:t xml:space="preserve">28 USC, </w:t>
      </w:r>
      <w:r w:rsidR="005E2A8C">
        <w:rPr>
          <w:i/>
          <w:iCs/>
          <w:color w:val="212121"/>
          <w:shd w:val="clear" w:color="auto" w:fill="FAFAFA"/>
        </w:rPr>
        <w:t>§</w:t>
      </w:r>
      <w:r w:rsidR="005E2A8C">
        <w:rPr>
          <w:lang w:val="en-GB"/>
        </w:rPr>
        <w:t xml:space="preserve"> </w:t>
      </w:r>
      <w:r w:rsidR="00BB6EDA">
        <w:rPr>
          <w:lang w:val="en-GB"/>
        </w:rPr>
        <w:t>157</w:t>
      </w:r>
    </w:p>
  </w:footnote>
  <w:footnote w:id="7">
    <w:p w14:paraId="6FACF713" w14:textId="061B164E" w:rsidR="00F83C6C" w:rsidRPr="00F83C6C" w:rsidRDefault="00F83C6C">
      <w:pPr>
        <w:pStyle w:val="FootnoteText"/>
        <w:rPr>
          <w:lang w:val="en-GB"/>
        </w:rPr>
      </w:pPr>
      <w:r>
        <w:rPr>
          <w:rStyle w:val="FootnoteReference"/>
        </w:rPr>
        <w:footnoteRef/>
      </w:r>
      <w:r>
        <w:t xml:space="preserve"> </w:t>
      </w:r>
      <w:r w:rsidRPr="000047F2">
        <w:rPr>
          <w:i/>
          <w:iCs/>
          <w:lang w:val="en-GB"/>
        </w:rPr>
        <w:t>E</w:t>
      </w:r>
      <w:r w:rsidR="0096003B" w:rsidRPr="000047F2">
        <w:rPr>
          <w:i/>
          <w:iCs/>
          <w:lang w:val="en-GB"/>
        </w:rPr>
        <w:t xml:space="preserve">xecutive Benefits Ins Agency v </w:t>
      </w:r>
      <w:r w:rsidR="000047F2" w:rsidRPr="000047F2">
        <w:rPr>
          <w:i/>
          <w:iCs/>
          <w:lang w:val="en-GB"/>
        </w:rPr>
        <w:t>Atkinson</w:t>
      </w:r>
      <w:r w:rsidR="000047F2">
        <w:rPr>
          <w:lang w:val="en-GB"/>
        </w:rPr>
        <w:t xml:space="preserve"> 134 S. Ct.2165 (2014)</w:t>
      </w:r>
    </w:p>
  </w:footnote>
  <w:footnote w:id="8">
    <w:p w14:paraId="6A3726EC" w14:textId="02974FDD" w:rsidR="00336913" w:rsidRPr="00336913" w:rsidRDefault="00336913">
      <w:pPr>
        <w:pStyle w:val="FootnoteText"/>
        <w:rPr>
          <w:lang w:val="en-GB"/>
        </w:rPr>
      </w:pPr>
      <w:r>
        <w:rPr>
          <w:rStyle w:val="FootnoteReference"/>
        </w:rPr>
        <w:footnoteRef/>
      </w:r>
      <w:r>
        <w:t xml:space="preserve"> </w:t>
      </w:r>
      <w:r>
        <w:rPr>
          <w:lang w:val="en-GB"/>
        </w:rPr>
        <w:t>Fe</w:t>
      </w:r>
      <w:r w:rsidR="00750EC9">
        <w:rPr>
          <w:lang w:val="en-GB"/>
        </w:rPr>
        <w:t xml:space="preserve">d R </w:t>
      </w:r>
      <w:r w:rsidR="00750EC9">
        <w:rPr>
          <w:lang w:val="en-GB"/>
        </w:rPr>
        <w:t>Bankr P 7008; example, Delaware Bankruptcy L</w:t>
      </w:r>
      <w:r w:rsidR="00652389">
        <w:rPr>
          <w:lang w:val="en-GB"/>
        </w:rPr>
        <w:t>ocal Rule 7008-1</w:t>
      </w:r>
    </w:p>
  </w:footnote>
  <w:footnote w:id="9">
    <w:p w14:paraId="690990CF" w14:textId="728F5C06" w:rsidR="00D649CC" w:rsidRPr="00D649CC" w:rsidRDefault="00D649CC">
      <w:pPr>
        <w:pStyle w:val="FootnoteText"/>
        <w:rPr>
          <w:lang w:val="en-GB"/>
        </w:rPr>
      </w:pPr>
      <w:r>
        <w:rPr>
          <w:rStyle w:val="FootnoteReference"/>
        </w:rPr>
        <w:footnoteRef/>
      </w:r>
      <w:r>
        <w:t xml:space="preserve"> </w:t>
      </w:r>
      <w:r w:rsidRPr="00767A23">
        <w:rPr>
          <w:i/>
          <w:iCs/>
          <w:lang w:val="en-GB"/>
        </w:rPr>
        <w:t>B</w:t>
      </w:r>
      <w:r w:rsidR="00E12F54" w:rsidRPr="00767A23">
        <w:rPr>
          <w:i/>
          <w:iCs/>
          <w:lang w:val="en-GB"/>
        </w:rPr>
        <w:t>ullard v Blue Hills Bank</w:t>
      </w:r>
      <w:r w:rsidR="00E12F54">
        <w:rPr>
          <w:lang w:val="en-GB"/>
        </w:rPr>
        <w:t xml:space="preserve">, 135 </w:t>
      </w:r>
      <w:r w:rsidR="00767A23">
        <w:rPr>
          <w:lang w:val="en-GB"/>
        </w:rPr>
        <w:t>S Ct 1686 (2015)</w:t>
      </w:r>
    </w:p>
  </w:footnote>
  <w:footnote w:id="10">
    <w:p w14:paraId="36F0F873" w14:textId="28E15C68" w:rsidR="000C7B77" w:rsidRPr="000C7B77" w:rsidRDefault="000C7B77">
      <w:pPr>
        <w:pStyle w:val="FootnoteText"/>
        <w:rPr>
          <w:lang w:val="en-GB"/>
        </w:rPr>
      </w:pPr>
      <w:r>
        <w:rPr>
          <w:rStyle w:val="FootnoteReference"/>
        </w:rPr>
        <w:footnoteRef/>
      </w:r>
      <w:r>
        <w:t xml:space="preserve"> </w:t>
      </w:r>
      <w:r w:rsidR="0072130F">
        <w:rPr>
          <w:lang w:val="en-GB"/>
        </w:rPr>
        <w:t>11</w:t>
      </w:r>
      <w:r w:rsidR="008672A7">
        <w:rPr>
          <w:lang w:val="en-GB"/>
        </w:rPr>
        <w:t xml:space="preserve"> </w:t>
      </w:r>
      <w:r w:rsidR="0072130F">
        <w:rPr>
          <w:lang w:val="en-GB"/>
        </w:rPr>
        <w:t xml:space="preserve">USC, </w:t>
      </w:r>
      <w:r w:rsidR="008672A7">
        <w:rPr>
          <w:i/>
          <w:iCs/>
          <w:color w:val="212121"/>
          <w:shd w:val="clear" w:color="auto" w:fill="FAFAFA"/>
        </w:rPr>
        <w:t>§</w:t>
      </w:r>
      <w:r w:rsidR="008672A7">
        <w:rPr>
          <w:lang w:val="en-GB"/>
        </w:rPr>
        <w:t xml:space="preserve"> 1520</w:t>
      </w:r>
    </w:p>
  </w:footnote>
  <w:footnote w:id="11">
    <w:p w14:paraId="2CF2AD3C" w14:textId="31F3BFDD" w:rsidR="00DF726E" w:rsidRPr="00DF726E" w:rsidRDefault="00DF726E">
      <w:pPr>
        <w:pStyle w:val="FootnoteText"/>
        <w:rPr>
          <w:lang w:val="en-GB"/>
        </w:rPr>
      </w:pPr>
      <w:r>
        <w:rPr>
          <w:rStyle w:val="FootnoteReference"/>
        </w:rPr>
        <w:footnoteRef/>
      </w:r>
      <w:r>
        <w:t xml:space="preserve"> </w:t>
      </w:r>
      <w:r w:rsidR="00D05982">
        <w:t xml:space="preserve">11 USC, </w:t>
      </w:r>
      <w:r w:rsidR="00D05982">
        <w:rPr>
          <w:i/>
          <w:iCs/>
          <w:color w:val="212121"/>
          <w:shd w:val="clear" w:color="auto" w:fill="FAFAFA"/>
        </w:rPr>
        <w:t>§</w:t>
      </w:r>
      <w:r w:rsidR="00D05982">
        <w:rPr>
          <w:lang w:val="en-GB"/>
        </w:rPr>
        <w:t xml:space="preserve"> 1524</w:t>
      </w:r>
    </w:p>
  </w:footnote>
  <w:footnote w:id="12">
    <w:p w14:paraId="4621AF4F" w14:textId="0C425D5D" w:rsidR="00862A15" w:rsidRPr="00862A15" w:rsidRDefault="00862A15">
      <w:pPr>
        <w:pStyle w:val="FootnoteText"/>
        <w:rPr>
          <w:lang w:val="en-GB"/>
        </w:rPr>
      </w:pPr>
      <w:r>
        <w:rPr>
          <w:rStyle w:val="FootnoteReference"/>
        </w:rPr>
        <w:footnoteRef/>
      </w:r>
      <w:r>
        <w:t xml:space="preserve"> </w:t>
      </w:r>
      <w:r>
        <w:rPr>
          <w:lang w:val="en-GB"/>
        </w:rPr>
        <w:t>Chapter 15</w:t>
      </w:r>
    </w:p>
  </w:footnote>
  <w:footnote w:id="13">
    <w:p w14:paraId="3D2DD5CA" w14:textId="0D81E491" w:rsidR="00FA68E7" w:rsidRPr="00FA68E7" w:rsidRDefault="00FA68E7">
      <w:pPr>
        <w:pStyle w:val="FootnoteText"/>
        <w:rPr>
          <w:lang w:val="en-GB"/>
        </w:rPr>
      </w:pPr>
      <w:r>
        <w:rPr>
          <w:rStyle w:val="FootnoteReference"/>
        </w:rPr>
        <w:footnoteRef/>
      </w:r>
      <w:r>
        <w:t xml:space="preserve"> 11 USC, </w:t>
      </w:r>
      <w:r>
        <w:rPr>
          <w:i/>
          <w:iCs/>
          <w:color w:val="212121"/>
          <w:shd w:val="clear" w:color="auto" w:fill="FAFAFA"/>
        </w:rPr>
        <w:t>§</w:t>
      </w:r>
      <w:r>
        <w:rPr>
          <w:lang w:val="en-GB"/>
        </w:rPr>
        <w:t xml:space="preserve"> 152</w:t>
      </w:r>
      <w:r w:rsidR="00842532">
        <w:rPr>
          <w:lang w:val="en-GB"/>
        </w:rPr>
        <w:t>1</w:t>
      </w:r>
    </w:p>
  </w:footnote>
  <w:footnote w:id="14">
    <w:p w14:paraId="71EF9E0C" w14:textId="20A43406" w:rsidR="00400E7E" w:rsidRPr="00400E7E" w:rsidRDefault="00400E7E">
      <w:pPr>
        <w:pStyle w:val="FootnoteText"/>
        <w:rPr>
          <w:lang w:val="en-GB"/>
        </w:rPr>
      </w:pPr>
      <w:r>
        <w:rPr>
          <w:rStyle w:val="FootnoteReference"/>
        </w:rPr>
        <w:footnoteRef/>
      </w:r>
      <w:r>
        <w:t xml:space="preserve"> </w:t>
      </w:r>
      <w:r w:rsidR="001F6562">
        <w:t xml:space="preserve">11 USC, </w:t>
      </w:r>
      <w:r w:rsidR="001F6562">
        <w:rPr>
          <w:i/>
          <w:iCs/>
          <w:color w:val="212121"/>
          <w:shd w:val="clear" w:color="auto" w:fill="FAFAFA"/>
        </w:rPr>
        <w:t>§</w:t>
      </w:r>
      <w:r w:rsidR="001F6562">
        <w:rPr>
          <w:lang w:val="en-GB"/>
        </w:rPr>
        <w:t xml:space="preserve"> 1521(a)</w:t>
      </w:r>
    </w:p>
  </w:footnote>
  <w:footnote w:id="15">
    <w:p w14:paraId="54BFFBF1" w14:textId="579FCB43" w:rsidR="000B285B" w:rsidRPr="000B285B" w:rsidRDefault="000B285B">
      <w:pPr>
        <w:pStyle w:val="FootnoteText"/>
        <w:rPr>
          <w:lang w:val="en-GB"/>
        </w:rPr>
      </w:pPr>
      <w:r>
        <w:rPr>
          <w:rStyle w:val="FootnoteReference"/>
        </w:rPr>
        <w:footnoteRef/>
      </w:r>
      <w:r>
        <w:t xml:space="preserve"> </w:t>
      </w:r>
      <w:r w:rsidR="00757BAF">
        <w:t xml:space="preserve">11 USC, </w:t>
      </w:r>
      <w:r w:rsidR="00757BAF">
        <w:rPr>
          <w:i/>
          <w:iCs/>
          <w:color w:val="212121"/>
          <w:shd w:val="clear" w:color="auto" w:fill="FAFAFA"/>
        </w:rPr>
        <w:t>§</w:t>
      </w:r>
      <w:r w:rsidR="00757BAF">
        <w:rPr>
          <w:lang w:val="en-GB"/>
        </w:rPr>
        <w:t xml:space="preserve"> 1521(a)(7)</w:t>
      </w:r>
    </w:p>
  </w:footnote>
  <w:footnote w:id="16">
    <w:p w14:paraId="0D27C7CC" w14:textId="59AA0118" w:rsidR="00802A91" w:rsidRPr="00802A91" w:rsidRDefault="00802A91">
      <w:pPr>
        <w:pStyle w:val="FootnoteText"/>
        <w:rPr>
          <w:lang w:val="en-GB"/>
        </w:rPr>
      </w:pPr>
      <w:r>
        <w:rPr>
          <w:rStyle w:val="FootnoteReference"/>
        </w:rPr>
        <w:footnoteRef/>
      </w:r>
      <w:r>
        <w:t xml:space="preserve"> </w:t>
      </w:r>
      <w:r w:rsidR="00732029" w:rsidRPr="00B26864">
        <w:rPr>
          <w:i/>
          <w:iCs/>
        </w:rPr>
        <w:t>In re Condor Ins Ltd</w:t>
      </w:r>
      <w:r w:rsidR="00732029">
        <w:t>, 601 F3b 319, 329 (5</w:t>
      </w:r>
      <w:r w:rsidR="00732029" w:rsidRPr="00732029">
        <w:rPr>
          <w:vertAlign w:val="superscript"/>
        </w:rPr>
        <w:t>th</w:t>
      </w:r>
      <w:r w:rsidR="00732029">
        <w:t xml:space="preserve"> Cir 2010)</w:t>
      </w:r>
    </w:p>
  </w:footnote>
  <w:footnote w:id="17">
    <w:p w14:paraId="2DAB02CA" w14:textId="1D1CE87F" w:rsidR="001962FE" w:rsidRPr="001962FE" w:rsidRDefault="001962FE">
      <w:pPr>
        <w:pStyle w:val="FootnoteText"/>
        <w:rPr>
          <w:lang w:val="en-GB"/>
        </w:rPr>
      </w:pPr>
      <w:r>
        <w:rPr>
          <w:rStyle w:val="FootnoteReference"/>
        </w:rPr>
        <w:footnoteRef/>
      </w:r>
      <w:r>
        <w:t xml:space="preserve"> </w:t>
      </w:r>
      <w:r w:rsidRPr="00EE53DD">
        <w:rPr>
          <w:i/>
          <w:iCs/>
          <w:lang w:val="en-GB"/>
        </w:rPr>
        <w:t xml:space="preserve">North Am Catholic Educational Programming Foundation, Inc v </w:t>
      </w:r>
      <w:r w:rsidRPr="00EE53DD">
        <w:rPr>
          <w:i/>
          <w:iCs/>
          <w:lang w:val="en-GB"/>
        </w:rPr>
        <w:t>Gheewalla,</w:t>
      </w:r>
      <w:r>
        <w:rPr>
          <w:lang w:val="en-GB"/>
        </w:rPr>
        <w:t xml:space="preserve"> 930 A.2d 92, 103</w:t>
      </w:r>
      <w:r w:rsidR="0015348B">
        <w:rPr>
          <w:lang w:val="en-GB"/>
        </w:rPr>
        <w:t xml:space="preserve"> (Del 2007)</w:t>
      </w:r>
    </w:p>
  </w:footnote>
  <w:footnote w:id="18">
    <w:p w14:paraId="1A66EF71" w14:textId="471F7CEC" w:rsidR="00817236" w:rsidRPr="00817236" w:rsidRDefault="00817236">
      <w:pPr>
        <w:pStyle w:val="FootnoteText"/>
        <w:rPr>
          <w:lang w:val="en-GB"/>
        </w:rPr>
      </w:pPr>
      <w:r>
        <w:rPr>
          <w:rStyle w:val="FootnoteReference"/>
        </w:rPr>
        <w:footnoteRef/>
      </w:r>
      <w:r>
        <w:t xml:space="preserve"> </w:t>
      </w:r>
      <w:r w:rsidR="00996C00">
        <w:t xml:space="preserve">UK Supreme Court in </w:t>
      </w:r>
      <w:r w:rsidR="00B26864" w:rsidRPr="00996C00">
        <w:rPr>
          <w:i/>
          <w:iCs/>
          <w:lang w:val="en-GB"/>
        </w:rPr>
        <w:t xml:space="preserve">BTI 2014 LLC v </w:t>
      </w:r>
      <w:r w:rsidR="005221A4" w:rsidRPr="00996C00">
        <w:rPr>
          <w:i/>
          <w:iCs/>
          <w:lang w:val="en-GB"/>
        </w:rPr>
        <w:t>Sequana SA and others</w:t>
      </w:r>
      <w:r w:rsidR="005221A4">
        <w:rPr>
          <w:lang w:val="en-GB"/>
        </w:rPr>
        <w:t xml:space="preserve"> </w:t>
      </w:r>
      <w:r w:rsidR="00996C00">
        <w:rPr>
          <w:lang w:val="en-GB"/>
        </w:rPr>
        <w:t>[</w:t>
      </w:r>
      <w:r w:rsidR="005221A4">
        <w:rPr>
          <w:lang w:val="en-GB"/>
        </w:rPr>
        <w:t>2022 UKSC 25]</w:t>
      </w:r>
      <w:r w:rsidR="006E5B57">
        <w:rPr>
          <w:lang w:val="en-GB"/>
        </w:rPr>
        <w:t xml:space="preserve"> </w:t>
      </w:r>
    </w:p>
  </w:footnote>
  <w:footnote w:id="19">
    <w:p w14:paraId="094F42D3" w14:textId="44992FA6" w:rsidR="00F458CD" w:rsidRPr="00F458CD" w:rsidRDefault="00F458CD">
      <w:pPr>
        <w:pStyle w:val="FootnoteText"/>
        <w:rPr>
          <w:lang w:val="en-GB"/>
        </w:rPr>
      </w:pPr>
      <w:r>
        <w:rPr>
          <w:rStyle w:val="FootnoteReference"/>
        </w:rPr>
        <w:footnoteRef/>
      </w:r>
      <w:r>
        <w:t xml:space="preserve"> </w:t>
      </w:r>
      <w:r w:rsidR="001118FC">
        <w:t xml:space="preserve">11 USC, </w:t>
      </w:r>
      <w:r w:rsidR="001118FC">
        <w:rPr>
          <w:i/>
          <w:iCs/>
          <w:color w:val="212121"/>
          <w:shd w:val="clear" w:color="auto" w:fill="FAFAFA"/>
        </w:rPr>
        <w:t>§</w:t>
      </w:r>
      <w:r w:rsidR="001118FC">
        <w:rPr>
          <w:lang w:val="en-GB"/>
        </w:rPr>
        <w:t xml:space="preserve"> 303</w:t>
      </w:r>
    </w:p>
  </w:footnote>
  <w:footnote w:id="20">
    <w:p w14:paraId="30E56F43" w14:textId="7F170BD7" w:rsidR="00F97371" w:rsidRPr="00F97371" w:rsidRDefault="00F97371">
      <w:pPr>
        <w:pStyle w:val="FootnoteText"/>
        <w:rPr>
          <w:lang w:val="en-GB"/>
        </w:rPr>
      </w:pPr>
      <w:r>
        <w:rPr>
          <w:rStyle w:val="FootnoteReference"/>
        </w:rPr>
        <w:footnoteRef/>
      </w:r>
      <w:r>
        <w:t xml:space="preserve"> </w:t>
      </w:r>
      <w:r>
        <w:rPr>
          <w:lang w:val="en-GB"/>
        </w:rPr>
        <w:t>Form B205 at 2</w:t>
      </w:r>
    </w:p>
  </w:footnote>
  <w:footnote w:id="21">
    <w:p w14:paraId="435F654E" w14:textId="6660AAC4" w:rsidR="00AD0BD1" w:rsidRPr="00AD0BD1" w:rsidRDefault="00AD0BD1">
      <w:pPr>
        <w:pStyle w:val="FootnoteText"/>
        <w:rPr>
          <w:lang w:val="en-GB"/>
        </w:rPr>
      </w:pPr>
      <w:r>
        <w:rPr>
          <w:rStyle w:val="FootnoteReference"/>
        </w:rPr>
        <w:footnoteRef/>
      </w:r>
      <w:r>
        <w:t xml:space="preserve"> </w:t>
      </w:r>
      <w:r w:rsidR="00F37608">
        <w:t xml:space="preserve">11 USC, </w:t>
      </w:r>
      <w:r w:rsidR="00F37608">
        <w:rPr>
          <w:i/>
          <w:iCs/>
          <w:color w:val="212121"/>
          <w:shd w:val="clear" w:color="auto" w:fill="FAFAFA"/>
        </w:rPr>
        <w:t>§</w:t>
      </w:r>
      <w:r w:rsidR="00F37608">
        <w:rPr>
          <w:lang w:val="en-GB"/>
        </w:rPr>
        <w:t xml:space="preserve"> 1107</w:t>
      </w:r>
    </w:p>
  </w:footnote>
  <w:footnote w:id="22">
    <w:p w14:paraId="5C0F54FA" w14:textId="78CACC81" w:rsidR="00F701CD" w:rsidRPr="00F701CD" w:rsidRDefault="00F701CD">
      <w:pPr>
        <w:pStyle w:val="FootnoteText"/>
        <w:rPr>
          <w:lang w:val="en-GB"/>
        </w:rPr>
      </w:pPr>
      <w:r>
        <w:rPr>
          <w:rStyle w:val="FootnoteReference"/>
        </w:rPr>
        <w:footnoteRef/>
      </w:r>
      <w:r>
        <w:t xml:space="preserve"> </w:t>
      </w:r>
      <w:r w:rsidR="00F37DB4">
        <w:t xml:space="preserve">11 USC, </w:t>
      </w:r>
      <w:r w:rsidR="00F37DB4">
        <w:rPr>
          <w:i/>
          <w:iCs/>
          <w:color w:val="212121"/>
          <w:shd w:val="clear" w:color="auto" w:fill="FAFAFA"/>
        </w:rPr>
        <w:t>§</w:t>
      </w:r>
      <w:r w:rsidR="00F37DB4">
        <w:rPr>
          <w:lang w:val="en-GB"/>
        </w:rPr>
        <w:t xml:space="preserve"> 506(a)(1)</w:t>
      </w:r>
    </w:p>
  </w:footnote>
  <w:footnote w:id="23">
    <w:p w14:paraId="4264046B" w14:textId="7C69C653" w:rsidR="00D66804" w:rsidRPr="00D66804" w:rsidRDefault="00D66804">
      <w:pPr>
        <w:pStyle w:val="FootnoteText"/>
        <w:rPr>
          <w:lang w:val="en-GB"/>
        </w:rPr>
      </w:pPr>
      <w:r>
        <w:rPr>
          <w:rStyle w:val="FootnoteReference"/>
        </w:rPr>
        <w:footnoteRef/>
      </w:r>
      <w:r>
        <w:t xml:space="preserve"> </w:t>
      </w:r>
      <w:r w:rsidR="00F04ACD">
        <w:t xml:space="preserve">11 USC, </w:t>
      </w:r>
      <w:r w:rsidR="00F04ACD">
        <w:rPr>
          <w:i/>
          <w:iCs/>
          <w:color w:val="212121"/>
          <w:shd w:val="clear" w:color="auto" w:fill="FAFAFA"/>
        </w:rPr>
        <w:t>§</w:t>
      </w:r>
      <w:r w:rsidR="00F04ACD">
        <w:rPr>
          <w:lang w:val="en-GB"/>
        </w:rPr>
        <w:t xml:space="preserve"> 362</w:t>
      </w:r>
    </w:p>
  </w:footnote>
  <w:footnote w:id="24">
    <w:p w14:paraId="27BBEDC0" w14:textId="588372F5" w:rsidR="001144EA" w:rsidRPr="001144EA" w:rsidRDefault="001144EA">
      <w:pPr>
        <w:pStyle w:val="FootnoteText"/>
        <w:rPr>
          <w:lang w:val="en-GB"/>
        </w:rPr>
      </w:pPr>
      <w:r>
        <w:rPr>
          <w:rStyle w:val="FootnoteReference"/>
        </w:rPr>
        <w:footnoteRef/>
      </w:r>
      <w:r>
        <w:t xml:space="preserve"> </w:t>
      </w:r>
      <w:r w:rsidR="00EE47BE">
        <w:t xml:space="preserve">11 USC, </w:t>
      </w:r>
      <w:r w:rsidR="00EE47BE">
        <w:rPr>
          <w:i/>
          <w:iCs/>
          <w:color w:val="212121"/>
          <w:shd w:val="clear" w:color="auto" w:fill="FAFAFA"/>
        </w:rPr>
        <w:t>§</w:t>
      </w:r>
      <w:r w:rsidR="00EE47BE">
        <w:rPr>
          <w:lang w:val="en-GB"/>
        </w:rPr>
        <w:t xml:space="preserve"> 1501</w:t>
      </w:r>
    </w:p>
  </w:footnote>
  <w:footnote w:id="25">
    <w:p w14:paraId="2DB44E37" w14:textId="5C1ADA38" w:rsidR="0038576F" w:rsidRPr="0038576F" w:rsidRDefault="00676423">
      <w:pPr>
        <w:pStyle w:val="FootnoteText"/>
        <w:rPr>
          <w:lang w:val="en-GB"/>
        </w:rPr>
      </w:pPr>
      <w:r>
        <w:t xml:space="preserve"> </w:t>
      </w:r>
      <w:r w:rsidR="0038576F">
        <w:rPr>
          <w:rStyle w:val="FootnoteReference"/>
        </w:rPr>
        <w:footnoteRef/>
      </w:r>
      <w:r w:rsidR="0038576F">
        <w:t xml:space="preserve"> </w:t>
      </w:r>
      <w:r w:rsidR="0038576F">
        <w:rPr>
          <w:lang w:val="en-GB"/>
        </w:rPr>
        <w:t>On Cross-Border Insol</w:t>
      </w:r>
      <w:r w:rsidR="00DF34F5">
        <w:rPr>
          <w:lang w:val="en-GB"/>
        </w:rPr>
        <w:t>vency in a near identical manner</w:t>
      </w:r>
    </w:p>
  </w:footnote>
  <w:footnote w:id="26">
    <w:p w14:paraId="5490F23F" w14:textId="01106DF5" w:rsidR="008A0721" w:rsidRPr="008A0721" w:rsidRDefault="008A0721">
      <w:pPr>
        <w:pStyle w:val="FootnoteText"/>
        <w:rPr>
          <w:lang w:val="en-GB"/>
        </w:rPr>
      </w:pPr>
      <w:r>
        <w:rPr>
          <w:rStyle w:val="FootnoteReference"/>
        </w:rPr>
        <w:footnoteRef/>
      </w:r>
      <w:r>
        <w:t xml:space="preserve"> 11 USC, </w:t>
      </w:r>
      <w:r>
        <w:rPr>
          <w:i/>
          <w:iCs/>
          <w:color w:val="212121"/>
          <w:shd w:val="clear" w:color="auto" w:fill="FAFAFA"/>
        </w:rPr>
        <w:t>§</w:t>
      </w:r>
      <w:r>
        <w:rPr>
          <w:lang w:val="en-GB"/>
        </w:rPr>
        <w:t xml:space="preserve"> 101(23)</w:t>
      </w:r>
    </w:p>
  </w:footnote>
  <w:footnote w:id="27">
    <w:p w14:paraId="1E9A148D" w14:textId="14297950" w:rsidR="00126A28" w:rsidRPr="00126A28" w:rsidRDefault="00126A28">
      <w:pPr>
        <w:pStyle w:val="FootnoteText"/>
        <w:rPr>
          <w:lang w:val="en-GB"/>
        </w:rPr>
      </w:pPr>
      <w:r>
        <w:rPr>
          <w:rStyle w:val="FootnoteReference"/>
        </w:rPr>
        <w:footnoteRef/>
      </w:r>
      <w:r>
        <w:t xml:space="preserve"> 11 USC, </w:t>
      </w:r>
      <w:r>
        <w:rPr>
          <w:i/>
          <w:iCs/>
          <w:color w:val="212121"/>
          <w:shd w:val="clear" w:color="auto" w:fill="FAFAFA"/>
        </w:rPr>
        <w:t>§</w:t>
      </w:r>
      <w:r>
        <w:rPr>
          <w:lang w:val="en-GB"/>
        </w:rPr>
        <w:t xml:space="preserve"> 151</w:t>
      </w:r>
      <w:r w:rsidR="00165B89">
        <w:rPr>
          <w:lang w:val="en-GB"/>
        </w:rPr>
        <w:t>6</w:t>
      </w:r>
      <w:r w:rsidR="008E4B3E">
        <w:rPr>
          <w:lang w:val="en-GB"/>
        </w:rPr>
        <w:t>(c)</w:t>
      </w:r>
    </w:p>
  </w:footnote>
  <w:footnote w:id="28">
    <w:p w14:paraId="1C4D72DE" w14:textId="76E133C5" w:rsidR="006D1B69" w:rsidRPr="006D1B69" w:rsidRDefault="006D1B69">
      <w:pPr>
        <w:pStyle w:val="FootnoteText"/>
        <w:rPr>
          <w:lang w:val="en-GB"/>
        </w:rPr>
      </w:pPr>
      <w:r>
        <w:rPr>
          <w:rStyle w:val="FootnoteReference"/>
        </w:rPr>
        <w:footnoteRef/>
      </w:r>
      <w:r>
        <w:t xml:space="preserve"> </w:t>
      </w:r>
      <w:r w:rsidR="00BF3B0E">
        <w:t xml:space="preserve">In </w:t>
      </w:r>
      <w:r w:rsidR="00BF3B0E">
        <w:rPr>
          <w:lang w:val="en-GB"/>
        </w:rPr>
        <w:t xml:space="preserve">SPinx, Ltd 351 BR </w:t>
      </w:r>
      <w:r w:rsidR="0020689B">
        <w:rPr>
          <w:lang w:val="en-GB"/>
        </w:rPr>
        <w:t>103 (Bankr SDNY 2006) which detailed factors to be considered regarding COMI</w:t>
      </w:r>
      <w:r w:rsidR="00BF3B0E">
        <w:rPr>
          <w:lang w:val="en-GB"/>
        </w:rPr>
        <w:t xml:space="preserve"> </w:t>
      </w:r>
    </w:p>
  </w:footnote>
  <w:footnote w:id="29">
    <w:p w14:paraId="5992EB0C" w14:textId="076DA8D0" w:rsidR="00B3175E" w:rsidRPr="00B3175E" w:rsidRDefault="00B3175E">
      <w:pPr>
        <w:pStyle w:val="FootnoteText"/>
        <w:rPr>
          <w:lang w:val="en-GB"/>
        </w:rPr>
      </w:pPr>
      <w:r>
        <w:rPr>
          <w:rStyle w:val="FootnoteReference"/>
        </w:rPr>
        <w:footnoteRef/>
      </w:r>
      <w:r>
        <w:t xml:space="preserve"> 11 USC, </w:t>
      </w:r>
      <w:r>
        <w:rPr>
          <w:i/>
          <w:iCs/>
          <w:color w:val="212121"/>
          <w:shd w:val="clear" w:color="auto" w:fill="FAFAFA"/>
        </w:rPr>
        <w:t>§</w:t>
      </w:r>
      <w:r>
        <w:rPr>
          <w:lang w:val="en-GB"/>
        </w:rPr>
        <w:t xml:space="preserve"> 1502(2)</w:t>
      </w:r>
    </w:p>
  </w:footnote>
  <w:footnote w:id="30">
    <w:p w14:paraId="5BE9F544" w14:textId="77777777" w:rsidR="00760881" w:rsidRPr="000C6544" w:rsidRDefault="00760881">
      <w:pPr>
        <w:pStyle w:val="FootnoteText"/>
        <w:rPr>
          <w:lang w:val="en-GB"/>
        </w:rPr>
      </w:pPr>
      <w:r>
        <w:rPr>
          <w:rStyle w:val="FootnoteReference"/>
        </w:rPr>
        <w:footnoteRef/>
      </w:r>
      <w:r>
        <w:t xml:space="preserve"> </w:t>
      </w:r>
      <w:r>
        <w:rPr>
          <w:lang w:val="en-GB"/>
        </w:rPr>
        <w:t>Countryman test</w:t>
      </w:r>
    </w:p>
  </w:footnote>
  <w:footnote w:id="31">
    <w:p w14:paraId="58983C01" w14:textId="52077104" w:rsidR="0068323A" w:rsidRPr="0068323A" w:rsidRDefault="0068323A">
      <w:pPr>
        <w:pStyle w:val="FootnoteText"/>
        <w:rPr>
          <w:lang w:val="en-GB"/>
        </w:rPr>
      </w:pPr>
      <w:r>
        <w:rPr>
          <w:rStyle w:val="FootnoteReference"/>
        </w:rPr>
        <w:footnoteRef/>
      </w:r>
      <w:r>
        <w:t xml:space="preserve"> 11 USC, </w:t>
      </w:r>
      <w:r>
        <w:rPr>
          <w:i/>
          <w:iCs/>
          <w:color w:val="212121"/>
          <w:shd w:val="clear" w:color="auto" w:fill="FAFAFA"/>
        </w:rPr>
        <w:t>§</w:t>
      </w:r>
      <w:r>
        <w:rPr>
          <w:lang w:val="en-GB"/>
        </w:rPr>
        <w:t xml:space="preserve"> </w:t>
      </w:r>
      <w:r w:rsidR="001C3274">
        <w:rPr>
          <w:lang w:val="en-GB"/>
        </w:rPr>
        <w:t>365(c)</w:t>
      </w:r>
      <w:r w:rsidR="00D977A6">
        <w:rPr>
          <w:lang w:val="en-GB"/>
        </w:rPr>
        <w:t>(n)</w:t>
      </w:r>
    </w:p>
  </w:footnote>
  <w:footnote w:id="32">
    <w:p w14:paraId="23BCDA43" w14:textId="655318A4" w:rsidR="0000610B" w:rsidRPr="0000610B" w:rsidRDefault="0000610B">
      <w:pPr>
        <w:pStyle w:val="FootnoteText"/>
        <w:rPr>
          <w:lang w:val="en-GB"/>
        </w:rPr>
      </w:pPr>
      <w:r>
        <w:rPr>
          <w:rStyle w:val="FootnoteReference"/>
        </w:rPr>
        <w:footnoteRef/>
      </w:r>
      <w:r>
        <w:t xml:space="preserve"> </w:t>
      </w:r>
      <w:r w:rsidR="00604EFB">
        <w:t xml:space="preserve">11 USC, </w:t>
      </w:r>
      <w:r w:rsidR="00604EFB">
        <w:rPr>
          <w:i/>
          <w:iCs/>
          <w:color w:val="212121"/>
          <w:shd w:val="clear" w:color="auto" w:fill="FAFAFA"/>
        </w:rPr>
        <w:t>§</w:t>
      </w:r>
      <w:r w:rsidR="00604EFB">
        <w:rPr>
          <w:lang w:val="en-GB"/>
        </w:rPr>
        <w:t xml:space="preserve"> 365(d)(4)</w:t>
      </w:r>
      <w:r w:rsidR="00DF66F0">
        <w:rPr>
          <w:lang w:val="en-GB"/>
        </w:rPr>
        <w:t xml:space="preserve"> – this can be extended by 90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02612"/>
    <w:multiLevelType w:val="hybridMultilevel"/>
    <w:tmpl w:val="FEF810BA"/>
    <w:lvl w:ilvl="0" w:tplc="FFFFFFFF">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017B52"/>
    <w:multiLevelType w:val="hybridMultilevel"/>
    <w:tmpl w:val="F0A2149C"/>
    <w:lvl w:ilvl="0" w:tplc="FFFFFFFF">
      <w:numFmt w:val="bullet"/>
      <w:lvlText w:val="-"/>
      <w:lvlJc w:val="left"/>
      <w:pPr>
        <w:ind w:left="420" w:hanging="360"/>
      </w:pPr>
      <w:rPr>
        <w:rFonts w:ascii="Avenir Next" w:eastAsia="Times New Roman" w:hAnsi="Avenir Nex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8895801">
    <w:abstractNumId w:val="22"/>
  </w:num>
  <w:num w:numId="2" w16cid:durableId="712116759">
    <w:abstractNumId w:val="25"/>
  </w:num>
  <w:num w:numId="3" w16cid:durableId="154499573">
    <w:abstractNumId w:val="4"/>
  </w:num>
  <w:num w:numId="4" w16cid:durableId="742794732">
    <w:abstractNumId w:val="8"/>
  </w:num>
  <w:num w:numId="5" w16cid:durableId="969630825">
    <w:abstractNumId w:val="10"/>
  </w:num>
  <w:num w:numId="6" w16cid:durableId="534126507">
    <w:abstractNumId w:val="29"/>
  </w:num>
  <w:num w:numId="7" w16cid:durableId="1761218754">
    <w:abstractNumId w:val="5"/>
  </w:num>
  <w:num w:numId="8" w16cid:durableId="907619396">
    <w:abstractNumId w:val="31"/>
  </w:num>
  <w:num w:numId="9" w16cid:durableId="863711553">
    <w:abstractNumId w:val="11"/>
  </w:num>
  <w:num w:numId="10" w16cid:durableId="2123069690">
    <w:abstractNumId w:val="24"/>
  </w:num>
  <w:num w:numId="11" w16cid:durableId="1035035924">
    <w:abstractNumId w:val="13"/>
  </w:num>
  <w:num w:numId="12" w16cid:durableId="2067142846">
    <w:abstractNumId w:val="21"/>
  </w:num>
  <w:num w:numId="13" w16cid:durableId="1066800736">
    <w:abstractNumId w:val="0"/>
  </w:num>
  <w:num w:numId="14" w16cid:durableId="1322461162">
    <w:abstractNumId w:val="9"/>
  </w:num>
  <w:num w:numId="15" w16cid:durableId="1581911475">
    <w:abstractNumId w:val="17"/>
  </w:num>
  <w:num w:numId="16" w16cid:durableId="1648434361">
    <w:abstractNumId w:val="7"/>
  </w:num>
  <w:num w:numId="17" w16cid:durableId="1161896037">
    <w:abstractNumId w:val="3"/>
  </w:num>
  <w:num w:numId="18" w16cid:durableId="134765980">
    <w:abstractNumId w:val="2"/>
  </w:num>
  <w:num w:numId="19" w16cid:durableId="887376415">
    <w:abstractNumId w:val="26"/>
  </w:num>
  <w:num w:numId="20" w16cid:durableId="238174448">
    <w:abstractNumId w:val="6"/>
  </w:num>
  <w:num w:numId="21" w16cid:durableId="892808375">
    <w:abstractNumId w:val="23"/>
  </w:num>
  <w:num w:numId="22" w16cid:durableId="1833450863">
    <w:abstractNumId w:val="32"/>
  </w:num>
  <w:num w:numId="23" w16cid:durableId="124080575">
    <w:abstractNumId w:val="12"/>
  </w:num>
  <w:num w:numId="24" w16cid:durableId="1241987189">
    <w:abstractNumId w:val="27"/>
  </w:num>
  <w:num w:numId="25" w16cid:durableId="1250608">
    <w:abstractNumId w:val="18"/>
  </w:num>
  <w:num w:numId="26" w16cid:durableId="1577275957">
    <w:abstractNumId w:val="19"/>
  </w:num>
  <w:num w:numId="27" w16cid:durableId="1516073389">
    <w:abstractNumId w:val="14"/>
  </w:num>
  <w:num w:numId="28" w16cid:durableId="1953433903">
    <w:abstractNumId w:val="30"/>
  </w:num>
  <w:num w:numId="29" w16cid:durableId="289744310">
    <w:abstractNumId w:val="1"/>
  </w:num>
  <w:num w:numId="30" w16cid:durableId="1642270072">
    <w:abstractNumId w:val="16"/>
  </w:num>
  <w:num w:numId="31" w16cid:durableId="1838155274">
    <w:abstractNumId w:val="20"/>
  </w:num>
  <w:num w:numId="32" w16cid:durableId="1486817823">
    <w:abstractNumId w:val="28"/>
  </w:num>
  <w:num w:numId="33" w16cid:durableId="116662548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AB8"/>
    <w:rsid w:val="000047F2"/>
    <w:rsid w:val="0000610B"/>
    <w:rsid w:val="00007BA0"/>
    <w:rsid w:val="00010BA0"/>
    <w:rsid w:val="0001154B"/>
    <w:rsid w:val="00020557"/>
    <w:rsid w:val="000218FD"/>
    <w:rsid w:val="00021FC2"/>
    <w:rsid w:val="00022E00"/>
    <w:rsid w:val="000250C7"/>
    <w:rsid w:val="00026F16"/>
    <w:rsid w:val="00027FB4"/>
    <w:rsid w:val="00033149"/>
    <w:rsid w:val="000346E7"/>
    <w:rsid w:val="00035C2B"/>
    <w:rsid w:val="00036B68"/>
    <w:rsid w:val="000373DE"/>
    <w:rsid w:val="00037621"/>
    <w:rsid w:val="00037671"/>
    <w:rsid w:val="00040416"/>
    <w:rsid w:val="000428EC"/>
    <w:rsid w:val="00042C87"/>
    <w:rsid w:val="00044D46"/>
    <w:rsid w:val="00045088"/>
    <w:rsid w:val="00045904"/>
    <w:rsid w:val="00045B6C"/>
    <w:rsid w:val="00047180"/>
    <w:rsid w:val="00047F5A"/>
    <w:rsid w:val="000502FD"/>
    <w:rsid w:val="000508AF"/>
    <w:rsid w:val="00054667"/>
    <w:rsid w:val="00054D84"/>
    <w:rsid w:val="0006031A"/>
    <w:rsid w:val="00065166"/>
    <w:rsid w:val="00070092"/>
    <w:rsid w:val="00070FAE"/>
    <w:rsid w:val="000778B1"/>
    <w:rsid w:val="00082609"/>
    <w:rsid w:val="00083196"/>
    <w:rsid w:val="000851CC"/>
    <w:rsid w:val="00091CC4"/>
    <w:rsid w:val="00093BE8"/>
    <w:rsid w:val="00096076"/>
    <w:rsid w:val="00097B45"/>
    <w:rsid w:val="00097D56"/>
    <w:rsid w:val="000A1A3D"/>
    <w:rsid w:val="000A407B"/>
    <w:rsid w:val="000A4631"/>
    <w:rsid w:val="000A636A"/>
    <w:rsid w:val="000A65F0"/>
    <w:rsid w:val="000A68ED"/>
    <w:rsid w:val="000A7A3D"/>
    <w:rsid w:val="000B285B"/>
    <w:rsid w:val="000B52B9"/>
    <w:rsid w:val="000B5FF1"/>
    <w:rsid w:val="000B609F"/>
    <w:rsid w:val="000C4C5B"/>
    <w:rsid w:val="000C6544"/>
    <w:rsid w:val="000C6C07"/>
    <w:rsid w:val="000C7B77"/>
    <w:rsid w:val="000D0A6F"/>
    <w:rsid w:val="000D2204"/>
    <w:rsid w:val="000D2900"/>
    <w:rsid w:val="000D471A"/>
    <w:rsid w:val="000D55A8"/>
    <w:rsid w:val="000D7F1E"/>
    <w:rsid w:val="000E4841"/>
    <w:rsid w:val="000F1677"/>
    <w:rsid w:val="000F3D6C"/>
    <w:rsid w:val="000F7698"/>
    <w:rsid w:val="000F7FC2"/>
    <w:rsid w:val="00101707"/>
    <w:rsid w:val="00102BFC"/>
    <w:rsid w:val="00102CC9"/>
    <w:rsid w:val="00103249"/>
    <w:rsid w:val="001118FC"/>
    <w:rsid w:val="00111F10"/>
    <w:rsid w:val="0011375B"/>
    <w:rsid w:val="00114055"/>
    <w:rsid w:val="001144EA"/>
    <w:rsid w:val="0011473D"/>
    <w:rsid w:val="00115C85"/>
    <w:rsid w:val="00117D29"/>
    <w:rsid w:val="0012224B"/>
    <w:rsid w:val="00123855"/>
    <w:rsid w:val="00126A28"/>
    <w:rsid w:val="00126A4D"/>
    <w:rsid w:val="0014171F"/>
    <w:rsid w:val="00141939"/>
    <w:rsid w:val="00142EE2"/>
    <w:rsid w:val="001442FD"/>
    <w:rsid w:val="0014622C"/>
    <w:rsid w:val="00152348"/>
    <w:rsid w:val="0015256E"/>
    <w:rsid w:val="0015348B"/>
    <w:rsid w:val="001541A5"/>
    <w:rsid w:val="0015456D"/>
    <w:rsid w:val="00155FA2"/>
    <w:rsid w:val="0015765A"/>
    <w:rsid w:val="001579CA"/>
    <w:rsid w:val="00157A2F"/>
    <w:rsid w:val="00160679"/>
    <w:rsid w:val="00161F1B"/>
    <w:rsid w:val="00162829"/>
    <w:rsid w:val="00165B89"/>
    <w:rsid w:val="00167EAD"/>
    <w:rsid w:val="001702E3"/>
    <w:rsid w:val="00175120"/>
    <w:rsid w:val="001771A6"/>
    <w:rsid w:val="00180548"/>
    <w:rsid w:val="00180AC4"/>
    <w:rsid w:val="00180CCE"/>
    <w:rsid w:val="0018267A"/>
    <w:rsid w:val="00182779"/>
    <w:rsid w:val="001830DF"/>
    <w:rsid w:val="0018655C"/>
    <w:rsid w:val="001962FE"/>
    <w:rsid w:val="001966D9"/>
    <w:rsid w:val="00197E4B"/>
    <w:rsid w:val="001A08A2"/>
    <w:rsid w:val="001A574D"/>
    <w:rsid w:val="001A7E9A"/>
    <w:rsid w:val="001B0F70"/>
    <w:rsid w:val="001B37A6"/>
    <w:rsid w:val="001B5016"/>
    <w:rsid w:val="001B5039"/>
    <w:rsid w:val="001B6D74"/>
    <w:rsid w:val="001B7DFA"/>
    <w:rsid w:val="001C1007"/>
    <w:rsid w:val="001C3274"/>
    <w:rsid w:val="001C45FC"/>
    <w:rsid w:val="001C4640"/>
    <w:rsid w:val="001D0469"/>
    <w:rsid w:val="001D4862"/>
    <w:rsid w:val="001D4883"/>
    <w:rsid w:val="001D58B5"/>
    <w:rsid w:val="001D6105"/>
    <w:rsid w:val="001E25B9"/>
    <w:rsid w:val="001E49E0"/>
    <w:rsid w:val="001E4FB2"/>
    <w:rsid w:val="001E7B5A"/>
    <w:rsid w:val="001F16D9"/>
    <w:rsid w:val="001F6562"/>
    <w:rsid w:val="001F7412"/>
    <w:rsid w:val="00202DFE"/>
    <w:rsid w:val="0020689B"/>
    <w:rsid w:val="0020725B"/>
    <w:rsid w:val="002110F1"/>
    <w:rsid w:val="00212225"/>
    <w:rsid w:val="00212F4C"/>
    <w:rsid w:val="00214EE4"/>
    <w:rsid w:val="00223917"/>
    <w:rsid w:val="00224933"/>
    <w:rsid w:val="0022599B"/>
    <w:rsid w:val="0022785E"/>
    <w:rsid w:val="00227B1E"/>
    <w:rsid w:val="00227F00"/>
    <w:rsid w:val="00230C51"/>
    <w:rsid w:val="0024116D"/>
    <w:rsid w:val="00241B44"/>
    <w:rsid w:val="00241FA3"/>
    <w:rsid w:val="00243380"/>
    <w:rsid w:val="00243FB1"/>
    <w:rsid w:val="00245EFB"/>
    <w:rsid w:val="00250C08"/>
    <w:rsid w:val="0025386E"/>
    <w:rsid w:val="00254211"/>
    <w:rsid w:val="00254D93"/>
    <w:rsid w:val="00256B74"/>
    <w:rsid w:val="002638B0"/>
    <w:rsid w:val="0026647A"/>
    <w:rsid w:val="002668D3"/>
    <w:rsid w:val="00271F55"/>
    <w:rsid w:val="0027299F"/>
    <w:rsid w:val="00274755"/>
    <w:rsid w:val="002801BE"/>
    <w:rsid w:val="00283A29"/>
    <w:rsid w:val="00284EBE"/>
    <w:rsid w:val="002903A7"/>
    <w:rsid w:val="00290CEA"/>
    <w:rsid w:val="00292EB7"/>
    <w:rsid w:val="0029433F"/>
    <w:rsid w:val="00294829"/>
    <w:rsid w:val="0029690F"/>
    <w:rsid w:val="00296FCA"/>
    <w:rsid w:val="00297C8A"/>
    <w:rsid w:val="002A2A60"/>
    <w:rsid w:val="002A37BB"/>
    <w:rsid w:val="002A47BB"/>
    <w:rsid w:val="002A5915"/>
    <w:rsid w:val="002B00F7"/>
    <w:rsid w:val="002B1C45"/>
    <w:rsid w:val="002B5D64"/>
    <w:rsid w:val="002C13C8"/>
    <w:rsid w:val="002C1522"/>
    <w:rsid w:val="002C251A"/>
    <w:rsid w:val="002C3547"/>
    <w:rsid w:val="002C396C"/>
    <w:rsid w:val="002C481B"/>
    <w:rsid w:val="002C4932"/>
    <w:rsid w:val="002C5209"/>
    <w:rsid w:val="002C7D82"/>
    <w:rsid w:val="002D0021"/>
    <w:rsid w:val="002D271F"/>
    <w:rsid w:val="002D299D"/>
    <w:rsid w:val="002D3473"/>
    <w:rsid w:val="002D541D"/>
    <w:rsid w:val="002D6789"/>
    <w:rsid w:val="002D78C5"/>
    <w:rsid w:val="002D7F33"/>
    <w:rsid w:val="002E177A"/>
    <w:rsid w:val="002E4B7A"/>
    <w:rsid w:val="002E73FA"/>
    <w:rsid w:val="002F1956"/>
    <w:rsid w:val="002F3440"/>
    <w:rsid w:val="002F3AD5"/>
    <w:rsid w:val="002F3D17"/>
    <w:rsid w:val="002F52D7"/>
    <w:rsid w:val="002F75A3"/>
    <w:rsid w:val="00301D2B"/>
    <w:rsid w:val="00303C2F"/>
    <w:rsid w:val="00312190"/>
    <w:rsid w:val="003144EF"/>
    <w:rsid w:val="00323167"/>
    <w:rsid w:val="00325A8F"/>
    <w:rsid w:val="00325E73"/>
    <w:rsid w:val="00326292"/>
    <w:rsid w:val="00326415"/>
    <w:rsid w:val="00326C6F"/>
    <w:rsid w:val="00330937"/>
    <w:rsid w:val="00330F31"/>
    <w:rsid w:val="00334648"/>
    <w:rsid w:val="00336913"/>
    <w:rsid w:val="003372BA"/>
    <w:rsid w:val="0033768C"/>
    <w:rsid w:val="00337938"/>
    <w:rsid w:val="00340769"/>
    <w:rsid w:val="00341AA6"/>
    <w:rsid w:val="00343E1E"/>
    <w:rsid w:val="00346899"/>
    <w:rsid w:val="003502EB"/>
    <w:rsid w:val="00356B70"/>
    <w:rsid w:val="00357873"/>
    <w:rsid w:val="00361A0A"/>
    <w:rsid w:val="00362D82"/>
    <w:rsid w:val="00362E41"/>
    <w:rsid w:val="003637E8"/>
    <w:rsid w:val="00364836"/>
    <w:rsid w:val="0036565C"/>
    <w:rsid w:val="0036625E"/>
    <w:rsid w:val="00372A21"/>
    <w:rsid w:val="00372F3A"/>
    <w:rsid w:val="003738A1"/>
    <w:rsid w:val="0037465A"/>
    <w:rsid w:val="0037599F"/>
    <w:rsid w:val="00375AE4"/>
    <w:rsid w:val="00375FF6"/>
    <w:rsid w:val="00380803"/>
    <w:rsid w:val="00381627"/>
    <w:rsid w:val="00382C98"/>
    <w:rsid w:val="00383804"/>
    <w:rsid w:val="0038411A"/>
    <w:rsid w:val="0038533C"/>
    <w:rsid w:val="0038576F"/>
    <w:rsid w:val="00386568"/>
    <w:rsid w:val="00390B57"/>
    <w:rsid w:val="00392295"/>
    <w:rsid w:val="003948D5"/>
    <w:rsid w:val="00396821"/>
    <w:rsid w:val="003969E4"/>
    <w:rsid w:val="00397B4E"/>
    <w:rsid w:val="00397D3A"/>
    <w:rsid w:val="003A051E"/>
    <w:rsid w:val="003A0C77"/>
    <w:rsid w:val="003A23F8"/>
    <w:rsid w:val="003A5537"/>
    <w:rsid w:val="003A75F4"/>
    <w:rsid w:val="003A767A"/>
    <w:rsid w:val="003B1703"/>
    <w:rsid w:val="003B170F"/>
    <w:rsid w:val="003B3C5F"/>
    <w:rsid w:val="003B7184"/>
    <w:rsid w:val="003C21AA"/>
    <w:rsid w:val="003C3388"/>
    <w:rsid w:val="003C4471"/>
    <w:rsid w:val="003C53FE"/>
    <w:rsid w:val="003C5D43"/>
    <w:rsid w:val="003D0A6D"/>
    <w:rsid w:val="003D5E50"/>
    <w:rsid w:val="003E0B16"/>
    <w:rsid w:val="003E1980"/>
    <w:rsid w:val="003E1A2A"/>
    <w:rsid w:val="003E53B3"/>
    <w:rsid w:val="003E67D1"/>
    <w:rsid w:val="003E72D9"/>
    <w:rsid w:val="003F6900"/>
    <w:rsid w:val="00400E7E"/>
    <w:rsid w:val="00404329"/>
    <w:rsid w:val="00405DC1"/>
    <w:rsid w:val="004070B7"/>
    <w:rsid w:val="0040735D"/>
    <w:rsid w:val="00410AE6"/>
    <w:rsid w:val="00415F1F"/>
    <w:rsid w:val="00416ECB"/>
    <w:rsid w:val="0042108F"/>
    <w:rsid w:val="004248F6"/>
    <w:rsid w:val="00424F46"/>
    <w:rsid w:val="004273B0"/>
    <w:rsid w:val="00430FED"/>
    <w:rsid w:val="00431FF2"/>
    <w:rsid w:val="004322BD"/>
    <w:rsid w:val="00432AD3"/>
    <w:rsid w:val="00432FF5"/>
    <w:rsid w:val="00434A8C"/>
    <w:rsid w:val="00437297"/>
    <w:rsid w:val="0044305A"/>
    <w:rsid w:val="00444284"/>
    <w:rsid w:val="00445CE6"/>
    <w:rsid w:val="004460C3"/>
    <w:rsid w:val="00450BFE"/>
    <w:rsid w:val="004534C2"/>
    <w:rsid w:val="0045446F"/>
    <w:rsid w:val="00455018"/>
    <w:rsid w:val="0045683E"/>
    <w:rsid w:val="00456AE8"/>
    <w:rsid w:val="00470569"/>
    <w:rsid w:val="00472CD1"/>
    <w:rsid w:val="00473CCB"/>
    <w:rsid w:val="00476426"/>
    <w:rsid w:val="00477C72"/>
    <w:rsid w:val="004830F8"/>
    <w:rsid w:val="00483ED9"/>
    <w:rsid w:val="00484B73"/>
    <w:rsid w:val="00487B7C"/>
    <w:rsid w:val="004906A7"/>
    <w:rsid w:val="00491675"/>
    <w:rsid w:val="00493855"/>
    <w:rsid w:val="00494994"/>
    <w:rsid w:val="00494B81"/>
    <w:rsid w:val="00495E79"/>
    <w:rsid w:val="00496BAB"/>
    <w:rsid w:val="004A1095"/>
    <w:rsid w:val="004A4A1D"/>
    <w:rsid w:val="004A4B8D"/>
    <w:rsid w:val="004A57DD"/>
    <w:rsid w:val="004A78B0"/>
    <w:rsid w:val="004A7B51"/>
    <w:rsid w:val="004A7D71"/>
    <w:rsid w:val="004A7EF3"/>
    <w:rsid w:val="004B11FD"/>
    <w:rsid w:val="004B23A2"/>
    <w:rsid w:val="004B4C92"/>
    <w:rsid w:val="004C3BE0"/>
    <w:rsid w:val="004C4C86"/>
    <w:rsid w:val="004C6BD0"/>
    <w:rsid w:val="004C79CD"/>
    <w:rsid w:val="004D1403"/>
    <w:rsid w:val="004D1A5A"/>
    <w:rsid w:val="004D2FFF"/>
    <w:rsid w:val="004D3721"/>
    <w:rsid w:val="004D4255"/>
    <w:rsid w:val="004D64F9"/>
    <w:rsid w:val="004D7C33"/>
    <w:rsid w:val="004E3A6B"/>
    <w:rsid w:val="004E5AF5"/>
    <w:rsid w:val="004E622C"/>
    <w:rsid w:val="004E6F4F"/>
    <w:rsid w:val="004F49B5"/>
    <w:rsid w:val="004F5FDF"/>
    <w:rsid w:val="004F7B99"/>
    <w:rsid w:val="00501283"/>
    <w:rsid w:val="005012E7"/>
    <w:rsid w:val="005103B0"/>
    <w:rsid w:val="00512A3E"/>
    <w:rsid w:val="00515810"/>
    <w:rsid w:val="005166AB"/>
    <w:rsid w:val="005177FE"/>
    <w:rsid w:val="00517E5A"/>
    <w:rsid w:val="005221A4"/>
    <w:rsid w:val="0052263B"/>
    <w:rsid w:val="00524728"/>
    <w:rsid w:val="005267CC"/>
    <w:rsid w:val="0052767A"/>
    <w:rsid w:val="005331CA"/>
    <w:rsid w:val="00534E6F"/>
    <w:rsid w:val="00537424"/>
    <w:rsid w:val="00537970"/>
    <w:rsid w:val="00540E3A"/>
    <w:rsid w:val="00541E56"/>
    <w:rsid w:val="00541F8C"/>
    <w:rsid w:val="00543553"/>
    <w:rsid w:val="00544127"/>
    <w:rsid w:val="005443DF"/>
    <w:rsid w:val="005463A9"/>
    <w:rsid w:val="00546695"/>
    <w:rsid w:val="00553543"/>
    <w:rsid w:val="00553EB2"/>
    <w:rsid w:val="005573ED"/>
    <w:rsid w:val="00560534"/>
    <w:rsid w:val="00561000"/>
    <w:rsid w:val="0056391B"/>
    <w:rsid w:val="00563DE8"/>
    <w:rsid w:val="005650E2"/>
    <w:rsid w:val="00567AD7"/>
    <w:rsid w:val="00571504"/>
    <w:rsid w:val="00575B2D"/>
    <w:rsid w:val="00577395"/>
    <w:rsid w:val="005775A8"/>
    <w:rsid w:val="005833D0"/>
    <w:rsid w:val="00583423"/>
    <w:rsid w:val="00583D8E"/>
    <w:rsid w:val="005846F3"/>
    <w:rsid w:val="0058622F"/>
    <w:rsid w:val="00587019"/>
    <w:rsid w:val="00587631"/>
    <w:rsid w:val="005920CB"/>
    <w:rsid w:val="00592F82"/>
    <w:rsid w:val="005936DF"/>
    <w:rsid w:val="00597833"/>
    <w:rsid w:val="005A0AFC"/>
    <w:rsid w:val="005A0CCA"/>
    <w:rsid w:val="005A6FF2"/>
    <w:rsid w:val="005A726D"/>
    <w:rsid w:val="005B1546"/>
    <w:rsid w:val="005B67AC"/>
    <w:rsid w:val="005B6B5F"/>
    <w:rsid w:val="005B79F4"/>
    <w:rsid w:val="005C3493"/>
    <w:rsid w:val="005C5EAB"/>
    <w:rsid w:val="005D008E"/>
    <w:rsid w:val="005D1293"/>
    <w:rsid w:val="005D2B07"/>
    <w:rsid w:val="005D43E0"/>
    <w:rsid w:val="005D4C79"/>
    <w:rsid w:val="005D5895"/>
    <w:rsid w:val="005D58A3"/>
    <w:rsid w:val="005D6387"/>
    <w:rsid w:val="005D6642"/>
    <w:rsid w:val="005D68C5"/>
    <w:rsid w:val="005E1B79"/>
    <w:rsid w:val="005E2A8C"/>
    <w:rsid w:val="005E6076"/>
    <w:rsid w:val="005E7008"/>
    <w:rsid w:val="005F026D"/>
    <w:rsid w:val="005F2AEA"/>
    <w:rsid w:val="005F2D0B"/>
    <w:rsid w:val="005F4B31"/>
    <w:rsid w:val="005F5EF6"/>
    <w:rsid w:val="00600599"/>
    <w:rsid w:val="00604EFB"/>
    <w:rsid w:val="00610388"/>
    <w:rsid w:val="00610535"/>
    <w:rsid w:val="00610AC7"/>
    <w:rsid w:val="00611786"/>
    <w:rsid w:val="0061188A"/>
    <w:rsid w:val="00612534"/>
    <w:rsid w:val="00612CA5"/>
    <w:rsid w:val="00614F61"/>
    <w:rsid w:val="006153EC"/>
    <w:rsid w:val="00615A7C"/>
    <w:rsid w:val="00621A17"/>
    <w:rsid w:val="00621A53"/>
    <w:rsid w:val="00622C36"/>
    <w:rsid w:val="006245E3"/>
    <w:rsid w:val="00627A4E"/>
    <w:rsid w:val="00627CC9"/>
    <w:rsid w:val="00627E7B"/>
    <w:rsid w:val="00630542"/>
    <w:rsid w:val="00631BFF"/>
    <w:rsid w:val="00632E44"/>
    <w:rsid w:val="00634622"/>
    <w:rsid w:val="00635ACC"/>
    <w:rsid w:val="00636309"/>
    <w:rsid w:val="00636808"/>
    <w:rsid w:val="00641515"/>
    <w:rsid w:val="006517DD"/>
    <w:rsid w:val="00652389"/>
    <w:rsid w:val="00653042"/>
    <w:rsid w:val="0065379A"/>
    <w:rsid w:val="00654C2F"/>
    <w:rsid w:val="00654E30"/>
    <w:rsid w:val="00654FD0"/>
    <w:rsid w:val="00656CD8"/>
    <w:rsid w:val="00657087"/>
    <w:rsid w:val="006639DB"/>
    <w:rsid w:val="00663FAF"/>
    <w:rsid w:val="00664ADC"/>
    <w:rsid w:val="006661EF"/>
    <w:rsid w:val="00667202"/>
    <w:rsid w:val="00676423"/>
    <w:rsid w:val="00677AEB"/>
    <w:rsid w:val="00680ABA"/>
    <w:rsid w:val="00680EF2"/>
    <w:rsid w:val="00681A76"/>
    <w:rsid w:val="0068323A"/>
    <w:rsid w:val="00684415"/>
    <w:rsid w:val="00687A1D"/>
    <w:rsid w:val="006965E9"/>
    <w:rsid w:val="00697EA1"/>
    <w:rsid w:val="006A10B4"/>
    <w:rsid w:val="006A2646"/>
    <w:rsid w:val="006A3C5D"/>
    <w:rsid w:val="006A6530"/>
    <w:rsid w:val="006A7816"/>
    <w:rsid w:val="006B3571"/>
    <w:rsid w:val="006B435A"/>
    <w:rsid w:val="006B4C64"/>
    <w:rsid w:val="006C65F4"/>
    <w:rsid w:val="006D1AA1"/>
    <w:rsid w:val="006D1B69"/>
    <w:rsid w:val="006D1CC0"/>
    <w:rsid w:val="006D24AA"/>
    <w:rsid w:val="006D6BD5"/>
    <w:rsid w:val="006E481A"/>
    <w:rsid w:val="006E5298"/>
    <w:rsid w:val="006E5B22"/>
    <w:rsid w:val="006E5B57"/>
    <w:rsid w:val="006E6FB3"/>
    <w:rsid w:val="006F0178"/>
    <w:rsid w:val="006F089C"/>
    <w:rsid w:val="006F4A78"/>
    <w:rsid w:val="006F61EE"/>
    <w:rsid w:val="006F6400"/>
    <w:rsid w:val="006F734A"/>
    <w:rsid w:val="006F7828"/>
    <w:rsid w:val="00700D83"/>
    <w:rsid w:val="00704852"/>
    <w:rsid w:val="007074E9"/>
    <w:rsid w:val="00710FBA"/>
    <w:rsid w:val="0071280E"/>
    <w:rsid w:val="00713125"/>
    <w:rsid w:val="00713DA4"/>
    <w:rsid w:val="007142CD"/>
    <w:rsid w:val="00714BF1"/>
    <w:rsid w:val="007162FA"/>
    <w:rsid w:val="00717C2C"/>
    <w:rsid w:val="0072130F"/>
    <w:rsid w:val="00721383"/>
    <w:rsid w:val="00727027"/>
    <w:rsid w:val="007276E6"/>
    <w:rsid w:val="0073158B"/>
    <w:rsid w:val="00732029"/>
    <w:rsid w:val="007333CC"/>
    <w:rsid w:val="0073399A"/>
    <w:rsid w:val="007402BC"/>
    <w:rsid w:val="00741656"/>
    <w:rsid w:val="00742E51"/>
    <w:rsid w:val="00750EC9"/>
    <w:rsid w:val="00752487"/>
    <w:rsid w:val="00753FDF"/>
    <w:rsid w:val="00754B16"/>
    <w:rsid w:val="00755748"/>
    <w:rsid w:val="00756FB4"/>
    <w:rsid w:val="00757BAF"/>
    <w:rsid w:val="007603F5"/>
    <w:rsid w:val="00760881"/>
    <w:rsid w:val="007625AF"/>
    <w:rsid w:val="0076405E"/>
    <w:rsid w:val="00764DB0"/>
    <w:rsid w:val="0076764D"/>
    <w:rsid w:val="00767A23"/>
    <w:rsid w:val="007720E5"/>
    <w:rsid w:val="0077498C"/>
    <w:rsid w:val="00774D07"/>
    <w:rsid w:val="00777C53"/>
    <w:rsid w:val="007809BC"/>
    <w:rsid w:val="00782463"/>
    <w:rsid w:val="00784128"/>
    <w:rsid w:val="00785BA3"/>
    <w:rsid w:val="00785D9F"/>
    <w:rsid w:val="00787BCC"/>
    <w:rsid w:val="007920BF"/>
    <w:rsid w:val="0079224A"/>
    <w:rsid w:val="00793173"/>
    <w:rsid w:val="00793F19"/>
    <w:rsid w:val="007A2A33"/>
    <w:rsid w:val="007A3544"/>
    <w:rsid w:val="007A3812"/>
    <w:rsid w:val="007B02A2"/>
    <w:rsid w:val="007B0422"/>
    <w:rsid w:val="007B0809"/>
    <w:rsid w:val="007B5C89"/>
    <w:rsid w:val="007B603B"/>
    <w:rsid w:val="007B6106"/>
    <w:rsid w:val="007C1FCC"/>
    <w:rsid w:val="007C351C"/>
    <w:rsid w:val="007C6201"/>
    <w:rsid w:val="007C78C6"/>
    <w:rsid w:val="007C79DB"/>
    <w:rsid w:val="007D0192"/>
    <w:rsid w:val="007D5730"/>
    <w:rsid w:val="007D7088"/>
    <w:rsid w:val="007D78A8"/>
    <w:rsid w:val="007D7C92"/>
    <w:rsid w:val="007E1154"/>
    <w:rsid w:val="007E4B3C"/>
    <w:rsid w:val="007E6BA4"/>
    <w:rsid w:val="007F0A02"/>
    <w:rsid w:val="007F12AB"/>
    <w:rsid w:val="007F41F8"/>
    <w:rsid w:val="007F659B"/>
    <w:rsid w:val="007F754D"/>
    <w:rsid w:val="00800CD1"/>
    <w:rsid w:val="008010C5"/>
    <w:rsid w:val="00802A91"/>
    <w:rsid w:val="008043F2"/>
    <w:rsid w:val="0080454E"/>
    <w:rsid w:val="00804C32"/>
    <w:rsid w:val="00805305"/>
    <w:rsid w:val="00805802"/>
    <w:rsid w:val="00806302"/>
    <w:rsid w:val="00807119"/>
    <w:rsid w:val="00813DB6"/>
    <w:rsid w:val="00816107"/>
    <w:rsid w:val="00817236"/>
    <w:rsid w:val="00817FCE"/>
    <w:rsid w:val="00821146"/>
    <w:rsid w:val="00822E85"/>
    <w:rsid w:val="00823319"/>
    <w:rsid w:val="0082483F"/>
    <w:rsid w:val="0082546D"/>
    <w:rsid w:val="00825CAF"/>
    <w:rsid w:val="008279C0"/>
    <w:rsid w:val="008307F3"/>
    <w:rsid w:val="00832989"/>
    <w:rsid w:val="00834218"/>
    <w:rsid w:val="00834F92"/>
    <w:rsid w:val="008351DC"/>
    <w:rsid w:val="008409C9"/>
    <w:rsid w:val="00842532"/>
    <w:rsid w:val="0085406D"/>
    <w:rsid w:val="008579C8"/>
    <w:rsid w:val="00860F7D"/>
    <w:rsid w:val="00862A15"/>
    <w:rsid w:val="00862DD0"/>
    <w:rsid w:val="00863076"/>
    <w:rsid w:val="00865F3E"/>
    <w:rsid w:val="008672A7"/>
    <w:rsid w:val="008723F3"/>
    <w:rsid w:val="0087241D"/>
    <w:rsid w:val="00876CA1"/>
    <w:rsid w:val="00881DE6"/>
    <w:rsid w:val="0088219F"/>
    <w:rsid w:val="008837A6"/>
    <w:rsid w:val="0089145D"/>
    <w:rsid w:val="00895EF1"/>
    <w:rsid w:val="008A0721"/>
    <w:rsid w:val="008A149A"/>
    <w:rsid w:val="008A1E89"/>
    <w:rsid w:val="008A21CA"/>
    <w:rsid w:val="008A274E"/>
    <w:rsid w:val="008A28E5"/>
    <w:rsid w:val="008A4DF2"/>
    <w:rsid w:val="008A5FC7"/>
    <w:rsid w:val="008A6CFE"/>
    <w:rsid w:val="008A771D"/>
    <w:rsid w:val="008B4F15"/>
    <w:rsid w:val="008B5333"/>
    <w:rsid w:val="008B5CF7"/>
    <w:rsid w:val="008B6223"/>
    <w:rsid w:val="008C25BA"/>
    <w:rsid w:val="008C5660"/>
    <w:rsid w:val="008C66E0"/>
    <w:rsid w:val="008E3339"/>
    <w:rsid w:val="008E4B3E"/>
    <w:rsid w:val="008F0BE0"/>
    <w:rsid w:val="008F20FC"/>
    <w:rsid w:val="008F5FFE"/>
    <w:rsid w:val="00902FA7"/>
    <w:rsid w:val="00905A43"/>
    <w:rsid w:val="00906ED4"/>
    <w:rsid w:val="00912C79"/>
    <w:rsid w:val="00914C2C"/>
    <w:rsid w:val="00921B8C"/>
    <w:rsid w:val="00922192"/>
    <w:rsid w:val="00923B66"/>
    <w:rsid w:val="0092565E"/>
    <w:rsid w:val="0093467C"/>
    <w:rsid w:val="00942123"/>
    <w:rsid w:val="00942BC3"/>
    <w:rsid w:val="00945D9F"/>
    <w:rsid w:val="0094708A"/>
    <w:rsid w:val="009515F6"/>
    <w:rsid w:val="0095207B"/>
    <w:rsid w:val="009578EB"/>
    <w:rsid w:val="0096003B"/>
    <w:rsid w:val="00961054"/>
    <w:rsid w:val="00962045"/>
    <w:rsid w:val="00973873"/>
    <w:rsid w:val="00980E61"/>
    <w:rsid w:val="009852B0"/>
    <w:rsid w:val="00991428"/>
    <w:rsid w:val="00992676"/>
    <w:rsid w:val="009954B2"/>
    <w:rsid w:val="00996691"/>
    <w:rsid w:val="00996C00"/>
    <w:rsid w:val="009A2113"/>
    <w:rsid w:val="009A740A"/>
    <w:rsid w:val="009A7AE4"/>
    <w:rsid w:val="009B0723"/>
    <w:rsid w:val="009B07AD"/>
    <w:rsid w:val="009B0883"/>
    <w:rsid w:val="009B15E2"/>
    <w:rsid w:val="009B366C"/>
    <w:rsid w:val="009B4976"/>
    <w:rsid w:val="009B67F4"/>
    <w:rsid w:val="009B69AD"/>
    <w:rsid w:val="009C0B8E"/>
    <w:rsid w:val="009C1BC8"/>
    <w:rsid w:val="009C2442"/>
    <w:rsid w:val="009C40AF"/>
    <w:rsid w:val="009D0811"/>
    <w:rsid w:val="009D0EE1"/>
    <w:rsid w:val="009D5B73"/>
    <w:rsid w:val="009D6A35"/>
    <w:rsid w:val="009D74F0"/>
    <w:rsid w:val="009D78DE"/>
    <w:rsid w:val="009E2AEB"/>
    <w:rsid w:val="009E2E27"/>
    <w:rsid w:val="009E45DF"/>
    <w:rsid w:val="009E4710"/>
    <w:rsid w:val="009E4DE3"/>
    <w:rsid w:val="009E5FA8"/>
    <w:rsid w:val="009E66DE"/>
    <w:rsid w:val="009E741F"/>
    <w:rsid w:val="009E767D"/>
    <w:rsid w:val="009E7A2A"/>
    <w:rsid w:val="009F1421"/>
    <w:rsid w:val="009F275E"/>
    <w:rsid w:val="009F368B"/>
    <w:rsid w:val="009F5931"/>
    <w:rsid w:val="00A0068F"/>
    <w:rsid w:val="00A01439"/>
    <w:rsid w:val="00A024E7"/>
    <w:rsid w:val="00A047EE"/>
    <w:rsid w:val="00A04A0B"/>
    <w:rsid w:val="00A04D79"/>
    <w:rsid w:val="00A133B9"/>
    <w:rsid w:val="00A2274A"/>
    <w:rsid w:val="00A22E0A"/>
    <w:rsid w:val="00A235B7"/>
    <w:rsid w:val="00A27A7A"/>
    <w:rsid w:val="00A3060F"/>
    <w:rsid w:val="00A30E85"/>
    <w:rsid w:val="00A3165E"/>
    <w:rsid w:val="00A32348"/>
    <w:rsid w:val="00A34ABE"/>
    <w:rsid w:val="00A35B57"/>
    <w:rsid w:val="00A372AA"/>
    <w:rsid w:val="00A407EF"/>
    <w:rsid w:val="00A42C26"/>
    <w:rsid w:val="00A46B4C"/>
    <w:rsid w:val="00A5117B"/>
    <w:rsid w:val="00A537B4"/>
    <w:rsid w:val="00A56D34"/>
    <w:rsid w:val="00A60074"/>
    <w:rsid w:val="00A6627C"/>
    <w:rsid w:val="00A71019"/>
    <w:rsid w:val="00A71C32"/>
    <w:rsid w:val="00A73B2B"/>
    <w:rsid w:val="00A754A4"/>
    <w:rsid w:val="00A760E5"/>
    <w:rsid w:val="00A8043A"/>
    <w:rsid w:val="00A81029"/>
    <w:rsid w:val="00A82B32"/>
    <w:rsid w:val="00A94F58"/>
    <w:rsid w:val="00A95463"/>
    <w:rsid w:val="00A96489"/>
    <w:rsid w:val="00A97951"/>
    <w:rsid w:val="00AA0280"/>
    <w:rsid w:val="00AA1BA0"/>
    <w:rsid w:val="00AA21A9"/>
    <w:rsid w:val="00AA3D7D"/>
    <w:rsid w:val="00AA40F5"/>
    <w:rsid w:val="00AA538A"/>
    <w:rsid w:val="00AA71C2"/>
    <w:rsid w:val="00AA7BE3"/>
    <w:rsid w:val="00AB017E"/>
    <w:rsid w:val="00AB0586"/>
    <w:rsid w:val="00AB1192"/>
    <w:rsid w:val="00AB1B65"/>
    <w:rsid w:val="00AB2425"/>
    <w:rsid w:val="00AB4B82"/>
    <w:rsid w:val="00AB685C"/>
    <w:rsid w:val="00AB6C2D"/>
    <w:rsid w:val="00AB7D13"/>
    <w:rsid w:val="00AC08F7"/>
    <w:rsid w:val="00AC3839"/>
    <w:rsid w:val="00AC7082"/>
    <w:rsid w:val="00AC7AEF"/>
    <w:rsid w:val="00AD0BD1"/>
    <w:rsid w:val="00AD28C7"/>
    <w:rsid w:val="00AD4BE3"/>
    <w:rsid w:val="00AD4BE8"/>
    <w:rsid w:val="00AE442F"/>
    <w:rsid w:val="00AE5698"/>
    <w:rsid w:val="00AF0942"/>
    <w:rsid w:val="00AF228E"/>
    <w:rsid w:val="00AF6CE0"/>
    <w:rsid w:val="00B016A8"/>
    <w:rsid w:val="00B01E81"/>
    <w:rsid w:val="00B10961"/>
    <w:rsid w:val="00B11F25"/>
    <w:rsid w:val="00B13396"/>
    <w:rsid w:val="00B14819"/>
    <w:rsid w:val="00B15E2F"/>
    <w:rsid w:val="00B16328"/>
    <w:rsid w:val="00B17AA9"/>
    <w:rsid w:val="00B26864"/>
    <w:rsid w:val="00B27E6E"/>
    <w:rsid w:val="00B3175E"/>
    <w:rsid w:val="00B44354"/>
    <w:rsid w:val="00B44713"/>
    <w:rsid w:val="00B4715A"/>
    <w:rsid w:val="00B478F1"/>
    <w:rsid w:val="00B56103"/>
    <w:rsid w:val="00B63E21"/>
    <w:rsid w:val="00B64560"/>
    <w:rsid w:val="00B64929"/>
    <w:rsid w:val="00B650A2"/>
    <w:rsid w:val="00B65722"/>
    <w:rsid w:val="00B65867"/>
    <w:rsid w:val="00B65B7F"/>
    <w:rsid w:val="00B70875"/>
    <w:rsid w:val="00B70AF7"/>
    <w:rsid w:val="00B736DF"/>
    <w:rsid w:val="00B743D6"/>
    <w:rsid w:val="00B74FBD"/>
    <w:rsid w:val="00B75796"/>
    <w:rsid w:val="00B77207"/>
    <w:rsid w:val="00B77B19"/>
    <w:rsid w:val="00B77F46"/>
    <w:rsid w:val="00B80810"/>
    <w:rsid w:val="00B82586"/>
    <w:rsid w:val="00B829A3"/>
    <w:rsid w:val="00B83665"/>
    <w:rsid w:val="00B86DB1"/>
    <w:rsid w:val="00B87869"/>
    <w:rsid w:val="00B87E53"/>
    <w:rsid w:val="00B941C8"/>
    <w:rsid w:val="00B95B5A"/>
    <w:rsid w:val="00B960AE"/>
    <w:rsid w:val="00B9639B"/>
    <w:rsid w:val="00BA3950"/>
    <w:rsid w:val="00BB0F2B"/>
    <w:rsid w:val="00BB6EDA"/>
    <w:rsid w:val="00BC2EE4"/>
    <w:rsid w:val="00BC50BF"/>
    <w:rsid w:val="00BD0279"/>
    <w:rsid w:val="00BD4A58"/>
    <w:rsid w:val="00BD7337"/>
    <w:rsid w:val="00BE4FF3"/>
    <w:rsid w:val="00BE5073"/>
    <w:rsid w:val="00BE7FCD"/>
    <w:rsid w:val="00BF3B0E"/>
    <w:rsid w:val="00BF4A0C"/>
    <w:rsid w:val="00BF50F7"/>
    <w:rsid w:val="00BF71CA"/>
    <w:rsid w:val="00C021B3"/>
    <w:rsid w:val="00C02F29"/>
    <w:rsid w:val="00C0457A"/>
    <w:rsid w:val="00C0534A"/>
    <w:rsid w:val="00C05A9F"/>
    <w:rsid w:val="00C07EBB"/>
    <w:rsid w:val="00C15BF9"/>
    <w:rsid w:val="00C20AFE"/>
    <w:rsid w:val="00C22A25"/>
    <w:rsid w:val="00C25736"/>
    <w:rsid w:val="00C275D4"/>
    <w:rsid w:val="00C35671"/>
    <w:rsid w:val="00C35B77"/>
    <w:rsid w:val="00C362AA"/>
    <w:rsid w:val="00C376EB"/>
    <w:rsid w:val="00C452BC"/>
    <w:rsid w:val="00C458C6"/>
    <w:rsid w:val="00C46A92"/>
    <w:rsid w:val="00C46EC1"/>
    <w:rsid w:val="00C472BF"/>
    <w:rsid w:val="00C50C4F"/>
    <w:rsid w:val="00C51EA5"/>
    <w:rsid w:val="00C52796"/>
    <w:rsid w:val="00C53E2C"/>
    <w:rsid w:val="00C550C8"/>
    <w:rsid w:val="00C56B61"/>
    <w:rsid w:val="00C606C3"/>
    <w:rsid w:val="00C620F4"/>
    <w:rsid w:val="00C65100"/>
    <w:rsid w:val="00C651D6"/>
    <w:rsid w:val="00C65FB7"/>
    <w:rsid w:val="00C66D7C"/>
    <w:rsid w:val="00C72254"/>
    <w:rsid w:val="00C72848"/>
    <w:rsid w:val="00C73BCF"/>
    <w:rsid w:val="00C7736C"/>
    <w:rsid w:val="00C82D87"/>
    <w:rsid w:val="00C8398C"/>
    <w:rsid w:val="00C85129"/>
    <w:rsid w:val="00C8641F"/>
    <w:rsid w:val="00C8712A"/>
    <w:rsid w:val="00C87E0A"/>
    <w:rsid w:val="00C902C8"/>
    <w:rsid w:val="00C919D1"/>
    <w:rsid w:val="00C963D3"/>
    <w:rsid w:val="00CA5F8E"/>
    <w:rsid w:val="00CB184E"/>
    <w:rsid w:val="00CB1983"/>
    <w:rsid w:val="00CB2CBB"/>
    <w:rsid w:val="00CB3A31"/>
    <w:rsid w:val="00CB4192"/>
    <w:rsid w:val="00CB6186"/>
    <w:rsid w:val="00CB6578"/>
    <w:rsid w:val="00CB7927"/>
    <w:rsid w:val="00CB7CAC"/>
    <w:rsid w:val="00CC4818"/>
    <w:rsid w:val="00CC5335"/>
    <w:rsid w:val="00CC5BA4"/>
    <w:rsid w:val="00CD4998"/>
    <w:rsid w:val="00CD6EE5"/>
    <w:rsid w:val="00CE0ECD"/>
    <w:rsid w:val="00CE1035"/>
    <w:rsid w:val="00CE6E50"/>
    <w:rsid w:val="00CF0871"/>
    <w:rsid w:val="00CF2819"/>
    <w:rsid w:val="00CF4F9D"/>
    <w:rsid w:val="00CF5079"/>
    <w:rsid w:val="00CF70DC"/>
    <w:rsid w:val="00D00BA5"/>
    <w:rsid w:val="00D041E0"/>
    <w:rsid w:val="00D04364"/>
    <w:rsid w:val="00D04AFE"/>
    <w:rsid w:val="00D05982"/>
    <w:rsid w:val="00D06A30"/>
    <w:rsid w:val="00D13006"/>
    <w:rsid w:val="00D13F5D"/>
    <w:rsid w:val="00D14336"/>
    <w:rsid w:val="00D148DC"/>
    <w:rsid w:val="00D17978"/>
    <w:rsid w:val="00D17FDC"/>
    <w:rsid w:val="00D20C51"/>
    <w:rsid w:val="00D21021"/>
    <w:rsid w:val="00D21D8C"/>
    <w:rsid w:val="00D26F36"/>
    <w:rsid w:val="00D316F2"/>
    <w:rsid w:val="00D34584"/>
    <w:rsid w:val="00D53719"/>
    <w:rsid w:val="00D54E0A"/>
    <w:rsid w:val="00D558F4"/>
    <w:rsid w:val="00D56E6F"/>
    <w:rsid w:val="00D61CC1"/>
    <w:rsid w:val="00D63EFD"/>
    <w:rsid w:val="00D649CC"/>
    <w:rsid w:val="00D65B9E"/>
    <w:rsid w:val="00D66804"/>
    <w:rsid w:val="00D7077E"/>
    <w:rsid w:val="00D70EF9"/>
    <w:rsid w:val="00D72AF2"/>
    <w:rsid w:val="00D84752"/>
    <w:rsid w:val="00D8575E"/>
    <w:rsid w:val="00D8577D"/>
    <w:rsid w:val="00D85E59"/>
    <w:rsid w:val="00D86B3B"/>
    <w:rsid w:val="00D8748A"/>
    <w:rsid w:val="00D92360"/>
    <w:rsid w:val="00D93196"/>
    <w:rsid w:val="00D9412B"/>
    <w:rsid w:val="00D9565D"/>
    <w:rsid w:val="00D977A6"/>
    <w:rsid w:val="00DA0DC0"/>
    <w:rsid w:val="00DA1999"/>
    <w:rsid w:val="00DA1C87"/>
    <w:rsid w:val="00DA1D45"/>
    <w:rsid w:val="00DA32B0"/>
    <w:rsid w:val="00DB243C"/>
    <w:rsid w:val="00DB482A"/>
    <w:rsid w:val="00DB50FB"/>
    <w:rsid w:val="00DB56F2"/>
    <w:rsid w:val="00DB6EF5"/>
    <w:rsid w:val="00DC2D08"/>
    <w:rsid w:val="00DC3089"/>
    <w:rsid w:val="00DC359F"/>
    <w:rsid w:val="00DC4420"/>
    <w:rsid w:val="00DD0054"/>
    <w:rsid w:val="00DD0802"/>
    <w:rsid w:val="00DD2E11"/>
    <w:rsid w:val="00DE03AF"/>
    <w:rsid w:val="00DE0A19"/>
    <w:rsid w:val="00DE121C"/>
    <w:rsid w:val="00DE527B"/>
    <w:rsid w:val="00DE5357"/>
    <w:rsid w:val="00DE6633"/>
    <w:rsid w:val="00DE71FD"/>
    <w:rsid w:val="00DE7E9B"/>
    <w:rsid w:val="00DF158F"/>
    <w:rsid w:val="00DF34F5"/>
    <w:rsid w:val="00DF58AE"/>
    <w:rsid w:val="00DF66F0"/>
    <w:rsid w:val="00DF726E"/>
    <w:rsid w:val="00DF75F8"/>
    <w:rsid w:val="00DF7963"/>
    <w:rsid w:val="00DF7A3A"/>
    <w:rsid w:val="00E00C00"/>
    <w:rsid w:val="00E01803"/>
    <w:rsid w:val="00E025B3"/>
    <w:rsid w:val="00E04BD2"/>
    <w:rsid w:val="00E07C5A"/>
    <w:rsid w:val="00E07DF8"/>
    <w:rsid w:val="00E07FD8"/>
    <w:rsid w:val="00E12F54"/>
    <w:rsid w:val="00E13EBD"/>
    <w:rsid w:val="00E15BA9"/>
    <w:rsid w:val="00E25477"/>
    <w:rsid w:val="00E269BF"/>
    <w:rsid w:val="00E26E10"/>
    <w:rsid w:val="00E26E19"/>
    <w:rsid w:val="00E30E60"/>
    <w:rsid w:val="00E31DF3"/>
    <w:rsid w:val="00E36A9F"/>
    <w:rsid w:val="00E37294"/>
    <w:rsid w:val="00E40362"/>
    <w:rsid w:val="00E41578"/>
    <w:rsid w:val="00E421C6"/>
    <w:rsid w:val="00E42976"/>
    <w:rsid w:val="00E450A4"/>
    <w:rsid w:val="00E46CC5"/>
    <w:rsid w:val="00E506BE"/>
    <w:rsid w:val="00E530DA"/>
    <w:rsid w:val="00E55547"/>
    <w:rsid w:val="00E561A5"/>
    <w:rsid w:val="00E6302B"/>
    <w:rsid w:val="00E6452F"/>
    <w:rsid w:val="00E6474A"/>
    <w:rsid w:val="00E64F45"/>
    <w:rsid w:val="00E66871"/>
    <w:rsid w:val="00E6742D"/>
    <w:rsid w:val="00E71CB0"/>
    <w:rsid w:val="00E759B1"/>
    <w:rsid w:val="00E77C3D"/>
    <w:rsid w:val="00E82473"/>
    <w:rsid w:val="00E90991"/>
    <w:rsid w:val="00E909F0"/>
    <w:rsid w:val="00E90D47"/>
    <w:rsid w:val="00E93993"/>
    <w:rsid w:val="00E939F4"/>
    <w:rsid w:val="00E9597C"/>
    <w:rsid w:val="00EA0913"/>
    <w:rsid w:val="00EA0A28"/>
    <w:rsid w:val="00EA2D6E"/>
    <w:rsid w:val="00EA5B00"/>
    <w:rsid w:val="00EA78AC"/>
    <w:rsid w:val="00EB146B"/>
    <w:rsid w:val="00EB45AC"/>
    <w:rsid w:val="00EC0BEA"/>
    <w:rsid w:val="00EC3B45"/>
    <w:rsid w:val="00EC441F"/>
    <w:rsid w:val="00EC4755"/>
    <w:rsid w:val="00EC5ECA"/>
    <w:rsid w:val="00EC723C"/>
    <w:rsid w:val="00ED0BC4"/>
    <w:rsid w:val="00ED16E8"/>
    <w:rsid w:val="00ED3FA5"/>
    <w:rsid w:val="00ED447D"/>
    <w:rsid w:val="00ED62B9"/>
    <w:rsid w:val="00ED738F"/>
    <w:rsid w:val="00ED74BC"/>
    <w:rsid w:val="00EE47BE"/>
    <w:rsid w:val="00EE4971"/>
    <w:rsid w:val="00EE53DD"/>
    <w:rsid w:val="00EF090E"/>
    <w:rsid w:val="00EF224C"/>
    <w:rsid w:val="00EF2AB4"/>
    <w:rsid w:val="00EF2BB1"/>
    <w:rsid w:val="00EF3ADB"/>
    <w:rsid w:val="00EF5572"/>
    <w:rsid w:val="00EF626E"/>
    <w:rsid w:val="00EF6A5A"/>
    <w:rsid w:val="00F00D8B"/>
    <w:rsid w:val="00F026D9"/>
    <w:rsid w:val="00F02A23"/>
    <w:rsid w:val="00F03051"/>
    <w:rsid w:val="00F033DA"/>
    <w:rsid w:val="00F04A7F"/>
    <w:rsid w:val="00F04ACD"/>
    <w:rsid w:val="00F0706B"/>
    <w:rsid w:val="00F12F58"/>
    <w:rsid w:val="00F13691"/>
    <w:rsid w:val="00F13FB1"/>
    <w:rsid w:val="00F21AB5"/>
    <w:rsid w:val="00F23103"/>
    <w:rsid w:val="00F27CD8"/>
    <w:rsid w:val="00F30351"/>
    <w:rsid w:val="00F3288D"/>
    <w:rsid w:val="00F3323E"/>
    <w:rsid w:val="00F33746"/>
    <w:rsid w:val="00F341F4"/>
    <w:rsid w:val="00F34F9D"/>
    <w:rsid w:val="00F35CCE"/>
    <w:rsid w:val="00F37608"/>
    <w:rsid w:val="00F37DB4"/>
    <w:rsid w:val="00F458CD"/>
    <w:rsid w:val="00F522D8"/>
    <w:rsid w:val="00F52464"/>
    <w:rsid w:val="00F5524B"/>
    <w:rsid w:val="00F6023C"/>
    <w:rsid w:val="00F60538"/>
    <w:rsid w:val="00F613C2"/>
    <w:rsid w:val="00F61DD2"/>
    <w:rsid w:val="00F62368"/>
    <w:rsid w:val="00F66AFF"/>
    <w:rsid w:val="00F701CD"/>
    <w:rsid w:val="00F71433"/>
    <w:rsid w:val="00F777CE"/>
    <w:rsid w:val="00F83C6C"/>
    <w:rsid w:val="00F84270"/>
    <w:rsid w:val="00F867C6"/>
    <w:rsid w:val="00F86BA2"/>
    <w:rsid w:val="00F86C51"/>
    <w:rsid w:val="00F87493"/>
    <w:rsid w:val="00F92140"/>
    <w:rsid w:val="00F97371"/>
    <w:rsid w:val="00F97C5B"/>
    <w:rsid w:val="00FA03B6"/>
    <w:rsid w:val="00FA3D50"/>
    <w:rsid w:val="00FA68E7"/>
    <w:rsid w:val="00FB2B7D"/>
    <w:rsid w:val="00FB5D95"/>
    <w:rsid w:val="00FB7569"/>
    <w:rsid w:val="00FB7FBD"/>
    <w:rsid w:val="00FC0F32"/>
    <w:rsid w:val="00FC144C"/>
    <w:rsid w:val="00FC374A"/>
    <w:rsid w:val="00FC43EC"/>
    <w:rsid w:val="00FC48A9"/>
    <w:rsid w:val="00FC5A8A"/>
    <w:rsid w:val="00FC5C80"/>
    <w:rsid w:val="00FC7295"/>
    <w:rsid w:val="00FC7AC7"/>
    <w:rsid w:val="00FC7B47"/>
    <w:rsid w:val="00FD035C"/>
    <w:rsid w:val="00FD074A"/>
    <w:rsid w:val="00FD0F1C"/>
    <w:rsid w:val="00FD163E"/>
    <w:rsid w:val="00FD1A35"/>
    <w:rsid w:val="00FD24DF"/>
    <w:rsid w:val="00FD2EA4"/>
    <w:rsid w:val="00FD36C5"/>
    <w:rsid w:val="00FD3E28"/>
    <w:rsid w:val="00FD6310"/>
    <w:rsid w:val="00FD6797"/>
    <w:rsid w:val="00FD6943"/>
    <w:rsid w:val="00FD7C7B"/>
    <w:rsid w:val="00FE1D12"/>
    <w:rsid w:val="00FE2122"/>
    <w:rsid w:val="00FE2A86"/>
    <w:rsid w:val="00FE2DE2"/>
    <w:rsid w:val="00FE45A4"/>
    <w:rsid w:val="00FE5DB8"/>
    <w:rsid w:val="00FF0C06"/>
    <w:rsid w:val="00FF296F"/>
    <w:rsid w:val="00FF4863"/>
    <w:rsid w:val="00FF5732"/>
    <w:rsid w:val="00FF5E23"/>
    <w:rsid w:val="00FF6632"/>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PlaceholderText">
    <w:name w:val="Placeholder Text"/>
    <w:basedOn w:val="DefaultParagraphFont"/>
    <w:uiPriority w:val="99"/>
    <w:semiHidden/>
    <w:rsid w:val="00793F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Shula Sbarro</cp:lastModifiedBy>
  <cp:revision>2</cp:revision>
  <cp:lastPrinted>2019-08-27T05:42:00Z</cp:lastPrinted>
  <dcterms:created xsi:type="dcterms:W3CDTF">2023-07-31T04:20:00Z</dcterms:created>
  <dcterms:modified xsi:type="dcterms:W3CDTF">2023-07-31T04:20:00Z</dcterms:modified>
</cp:coreProperties>
</file>