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Pargrafoda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PargrafodaLista"/>
        <w:ind w:left="426"/>
        <w:jc w:val="both"/>
        <w:rPr>
          <w:rFonts w:ascii="Avenir Next" w:hAnsi="Avenir Next" w:cs="Arial"/>
          <w:sz w:val="22"/>
          <w:szCs w:val="22"/>
          <w:lang w:val="en-GB"/>
        </w:rPr>
      </w:pPr>
    </w:p>
    <w:p w14:paraId="327576EE" w14:textId="4AC8B157" w:rsidR="00D66F96" w:rsidRPr="008E3C96" w:rsidRDefault="00D66F96" w:rsidP="005B7C95">
      <w:pPr>
        <w:pStyle w:val="Pargrafoda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PargrafodaLista"/>
        <w:ind w:left="426"/>
        <w:jc w:val="both"/>
        <w:rPr>
          <w:rFonts w:ascii="Avenir Next" w:hAnsi="Avenir Next" w:cs="Arial"/>
          <w:sz w:val="22"/>
          <w:szCs w:val="22"/>
          <w:lang w:val="en-GB"/>
        </w:rPr>
      </w:pPr>
    </w:p>
    <w:p w14:paraId="5F606333" w14:textId="3F76D48E" w:rsidR="00D66F96" w:rsidRPr="00135781" w:rsidRDefault="00D66F96" w:rsidP="005B7C95">
      <w:pPr>
        <w:pStyle w:val="PargrafodaLista"/>
        <w:numPr>
          <w:ilvl w:val="0"/>
          <w:numId w:val="26"/>
        </w:numPr>
        <w:ind w:left="426"/>
        <w:jc w:val="both"/>
        <w:rPr>
          <w:rFonts w:ascii="Avenir Next" w:hAnsi="Avenir Next" w:cs="Arial"/>
          <w:sz w:val="22"/>
          <w:szCs w:val="22"/>
          <w:highlight w:val="yellow"/>
          <w:lang w:val="en-GB"/>
        </w:rPr>
      </w:pPr>
      <w:r w:rsidRPr="00135781">
        <w:rPr>
          <w:rFonts w:ascii="Avenir Next" w:hAnsi="Avenir Next" w:cs="Arial"/>
          <w:sz w:val="22"/>
          <w:szCs w:val="22"/>
          <w:highlight w:val="yellow"/>
          <w:lang w:val="en-GB"/>
        </w:rPr>
        <w:t>False, an EU Directive regulating insolvency law at EU level existed before the EIR 2000.</w:t>
      </w:r>
    </w:p>
    <w:p w14:paraId="4CC53130" w14:textId="77777777" w:rsidR="00D66F96" w:rsidRPr="008E3C96" w:rsidRDefault="00D66F96" w:rsidP="005B7C95">
      <w:pPr>
        <w:pStyle w:val="PargrafodaLista"/>
        <w:ind w:left="426"/>
        <w:jc w:val="both"/>
        <w:rPr>
          <w:rFonts w:ascii="Avenir Next" w:hAnsi="Avenir Next" w:cs="Arial"/>
          <w:sz w:val="22"/>
          <w:szCs w:val="22"/>
          <w:lang w:val="en-GB"/>
        </w:rPr>
      </w:pPr>
    </w:p>
    <w:p w14:paraId="0FCA7419" w14:textId="77777777" w:rsidR="00D66F96" w:rsidRPr="008E3C96" w:rsidRDefault="00D66F96" w:rsidP="005B7C95">
      <w:pPr>
        <w:pStyle w:val="Pargrafoda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0653B6" w:rsidRDefault="00A26868" w:rsidP="003922EE">
      <w:pPr>
        <w:pStyle w:val="PargrafodaLista"/>
        <w:numPr>
          <w:ilvl w:val="0"/>
          <w:numId w:val="3"/>
        </w:numPr>
        <w:ind w:left="426"/>
        <w:jc w:val="both"/>
        <w:rPr>
          <w:rFonts w:ascii="Avenir Next" w:hAnsi="Avenir Next" w:cs="Arial"/>
          <w:iCs/>
          <w:sz w:val="22"/>
          <w:szCs w:val="22"/>
          <w:highlight w:val="yellow"/>
          <w:lang w:val="en-GB"/>
        </w:rPr>
      </w:pPr>
      <w:r w:rsidRPr="000653B6">
        <w:rPr>
          <w:rFonts w:ascii="Avenir Next" w:hAnsi="Avenir Next" w:cs="Arial"/>
          <w:iCs/>
          <w:sz w:val="22"/>
          <w:szCs w:val="22"/>
          <w:highlight w:val="yellow"/>
          <w:lang w:val="en-GB"/>
        </w:rPr>
        <w:t>t</w:t>
      </w:r>
      <w:r w:rsidR="00302D76" w:rsidRPr="000653B6">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PargrafodaLista"/>
        <w:ind w:left="426"/>
        <w:jc w:val="both"/>
        <w:rPr>
          <w:rFonts w:ascii="Avenir Next" w:hAnsi="Avenir Next" w:cs="Arial"/>
          <w:iCs/>
          <w:sz w:val="22"/>
          <w:szCs w:val="22"/>
          <w:lang w:val="en-GB"/>
        </w:rPr>
      </w:pPr>
    </w:p>
    <w:p w14:paraId="74C0E9B6" w14:textId="32988A54" w:rsidR="005B79F4" w:rsidRPr="008E3C96" w:rsidRDefault="00A26868" w:rsidP="00D21F62">
      <w:pPr>
        <w:pStyle w:val="PargrafodaLista"/>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PargrafodaLista"/>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PargrafodaLista"/>
        <w:ind w:left="426"/>
        <w:jc w:val="both"/>
        <w:rPr>
          <w:rFonts w:ascii="Avenir Next" w:hAnsi="Avenir Next" w:cs="Arial"/>
          <w:iCs/>
          <w:sz w:val="22"/>
          <w:szCs w:val="22"/>
          <w:lang w:val="en-GB"/>
        </w:rPr>
      </w:pPr>
    </w:p>
    <w:p w14:paraId="5447959C" w14:textId="5271DBEE" w:rsidR="00302D76" w:rsidRPr="008E3C96" w:rsidRDefault="00A26868" w:rsidP="00302D76">
      <w:pPr>
        <w:pStyle w:val="PargrafodaLista"/>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PargrafodaLista"/>
        <w:ind w:left="426"/>
        <w:jc w:val="both"/>
        <w:rPr>
          <w:rFonts w:ascii="Avenir Next" w:hAnsi="Avenir Next" w:cs="Arial"/>
          <w:iCs/>
          <w:sz w:val="22"/>
          <w:szCs w:val="22"/>
          <w:lang w:val="en-GB"/>
        </w:rPr>
      </w:pPr>
    </w:p>
    <w:p w14:paraId="788B3207" w14:textId="77777777" w:rsidR="00E9597C" w:rsidRPr="00226154" w:rsidRDefault="00E9597C" w:rsidP="002A37BB">
      <w:pPr>
        <w:jc w:val="both"/>
        <w:rPr>
          <w:rFonts w:ascii="Avenir Next Demi Bold" w:hAnsi="Avenir Next Demi Bold" w:cs="Arial"/>
          <w:b/>
          <w:bCs/>
          <w:sz w:val="22"/>
          <w:szCs w:val="22"/>
        </w:rPr>
      </w:pPr>
      <w:r w:rsidRPr="00226154">
        <w:rPr>
          <w:rFonts w:ascii="Avenir Next Demi Bold" w:hAnsi="Avenir Next Demi Bold" w:cs="Arial"/>
          <w:b/>
          <w:bCs/>
          <w:sz w:val="22"/>
          <w:szCs w:val="22"/>
        </w:rPr>
        <w:t>Question 1.3</w:t>
      </w:r>
    </w:p>
    <w:p w14:paraId="3CB02A2A" w14:textId="77777777" w:rsidR="00E9597C" w:rsidRPr="00EA2FB1" w:rsidRDefault="00E9597C" w:rsidP="002A37BB">
      <w:pPr>
        <w:jc w:val="both"/>
        <w:rPr>
          <w:rFonts w:ascii="Avenir Next" w:hAnsi="Avenir Next" w:cs="Arial"/>
          <w:sz w:val="22"/>
          <w:szCs w:val="22"/>
          <w:highlight w:val="cyan"/>
        </w:rPr>
      </w:pPr>
    </w:p>
    <w:p w14:paraId="46CE2304" w14:textId="19C0F6E3" w:rsidR="00302D76" w:rsidRPr="00315A64" w:rsidRDefault="00302D76" w:rsidP="00302D76">
      <w:pPr>
        <w:jc w:val="both"/>
        <w:rPr>
          <w:rFonts w:ascii="Avenir Next" w:hAnsi="Avenir Next" w:cs="Arial"/>
          <w:sz w:val="22"/>
          <w:szCs w:val="22"/>
          <w:lang w:val="en-GB"/>
        </w:rPr>
      </w:pPr>
      <w:r w:rsidRPr="00315A64">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315A64" w:rsidRDefault="00302D76" w:rsidP="00302D76">
      <w:pPr>
        <w:jc w:val="both"/>
        <w:rPr>
          <w:rFonts w:ascii="Avenir Next" w:hAnsi="Avenir Next" w:cs="Arial"/>
          <w:sz w:val="22"/>
          <w:szCs w:val="22"/>
          <w:lang w:val="en-GB"/>
        </w:rPr>
      </w:pPr>
    </w:p>
    <w:p w14:paraId="6D222EB6" w14:textId="181D9D68" w:rsidR="00302D76" w:rsidRPr="00315A64" w:rsidRDefault="00302D76" w:rsidP="005B7C95">
      <w:pPr>
        <w:pStyle w:val="PargrafodaLista"/>
        <w:numPr>
          <w:ilvl w:val="0"/>
          <w:numId w:val="27"/>
        </w:numPr>
        <w:ind w:left="426"/>
        <w:jc w:val="both"/>
        <w:rPr>
          <w:rFonts w:ascii="Avenir Next" w:hAnsi="Avenir Next" w:cs="Arial"/>
          <w:iCs/>
          <w:sz w:val="22"/>
          <w:szCs w:val="22"/>
          <w:lang w:val="en-GB"/>
        </w:rPr>
      </w:pPr>
      <w:r w:rsidRPr="00315A64">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315A64" w:rsidRDefault="005B7C95" w:rsidP="005B7C95">
      <w:pPr>
        <w:ind w:left="66"/>
        <w:jc w:val="both"/>
        <w:rPr>
          <w:rFonts w:ascii="Avenir Next" w:hAnsi="Avenir Next" w:cs="Arial"/>
          <w:iCs/>
          <w:sz w:val="22"/>
          <w:szCs w:val="22"/>
          <w:lang w:val="en-GB"/>
        </w:rPr>
      </w:pPr>
    </w:p>
    <w:p w14:paraId="5366E949" w14:textId="223912D0" w:rsidR="00302D76" w:rsidRPr="00101ED0" w:rsidRDefault="00302D76" w:rsidP="005B7C95">
      <w:pPr>
        <w:pStyle w:val="PargrafodaLista"/>
        <w:numPr>
          <w:ilvl w:val="0"/>
          <w:numId w:val="27"/>
        </w:numPr>
        <w:ind w:left="426"/>
        <w:jc w:val="both"/>
        <w:rPr>
          <w:rFonts w:ascii="Avenir Next" w:hAnsi="Avenir Next" w:cs="Arial"/>
          <w:iCs/>
          <w:sz w:val="22"/>
          <w:szCs w:val="22"/>
          <w:highlight w:val="yellow"/>
          <w:lang w:val="en-GB"/>
        </w:rPr>
      </w:pPr>
      <w:r w:rsidRPr="00101ED0">
        <w:rPr>
          <w:rFonts w:ascii="Avenir Next" w:hAnsi="Avenir Next"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315A64" w:rsidRDefault="00302D76" w:rsidP="005B7C95">
      <w:pPr>
        <w:pStyle w:val="PargrafodaLista"/>
        <w:ind w:left="426"/>
        <w:jc w:val="both"/>
        <w:rPr>
          <w:rFonts w:ascii="Avenir Next" w:hAnsi="Avenir Next" w:cs="Arial"/>
          <w:iCs/>
          <w:sz w:val="22"/>
          <w:szCs w:val="22"/>
          <w:lang w:val="en-GB"/>
        </w:rPr>
      </w:pPr>
    </w:p>
    <w:p w14:paraId="2E108863" w14:textId="6CFAAD40" w:rsidR="00302D76" w:rsidRPr="00315A64" w:rsidRDefault="00302D76" w:rsidP="005B7C95">
      <w:pPr>
        <w:pStyle w:val="PargrafodaLista"/>
        <w:numPr>
          <w:ilvl w:val="0"/>
          <w:numId w:val="27"/>
        </w:numPr>
        <w:ind w:left="426"/>
        <w:jc w:val="both"/>
        <w:rPr>
          <w:rFonts w:ascii="Avenir Next" w:hAnsi="Avenir Next" w:cs="Arial"/>
          <w:iCs/>
          <w:sz w:val="22"/>
          <w:szCs w:val="22"/>
          <w:lang w:val="en-GB"/>
        </w:rPr>
      </w:pPr>
      <w:r w:rsidRPr="00315A64">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315A64" w:rsidRDefault="00302D76" w:rsidP="005B7C95">
      <w:pPr>
        <w:pStyle w:val="PargrafodaLista"/>
        <w:ind w:left="426"/>
        <w:jc w:val="both"/>
        <w:rPr>
          <w:rFonts w:ascii="Avenir Next" w:hAnsi="Avenir Next" w:cs="Arial"/>
          <w:iCs/>
          <w:sz w:val="22"/>
          <w:szCs w:val="22"/>
          <w:lang w:val="en-GB"/>
        </w:rPr>
      </w:pPr>
    </w:p>
    <w:p w14:paraId="4B4D02E6" w14:textId="77777777" w:rsidR="00302D76" w:rsidRPr="00315A64" w:rsidRDefault="00302D76" w:rsidP="005B7C95">
      <w:pPr>
        <w:pStyle w:val="PargrafodaLista"/>
        <w:numPr>
          <w:ilvl w:val="0"/>
          <w:numId w:val="27"/>
        </w:numPr>
        <w:ind w:left="426"/>
        <w:jc w:val="both"/>
        <w:rPr>
          <w:rFonts w:ascii="Avenir Next" w:hAnsi="Avenir Next" w:cs="Arial"/>
          <w:iCs/>
          <w:sz w:val="22"/>
          <w:szCs w:val="22"/>
          <w:lang w:val="en-GB"/>
        </w:rPr>
      </w:pPr>
      <w:r w:rsidRPr="00315A64">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PargrafodaLista"/>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966B11" w:rsidRDefault="00971896" w:rsidP="003C4BCB">
      <w:pPr>
        <w:pStyle w:val="PargrafodaLista"/>
        <w:numPr>
          <w:ilvl w:val="0"/>
          <w:numId w:val="5"/>
        </w:numPr>
        <w:ind w:left="426"/>
        <w:jc w:val="both"/>
        <w:rPr>
          <w:rFonts w:ascii="Avenir Next" w:hAnsi="Avenir Next" w:cs="Arial"/>
          <w:sz w:val="22"/>
          <w:szCs w:val="22"/>
          <w:highlight w:val="yellow"/>
          <w:lang w:val="en-GB"/>
        </w:rPr>
      </w:pPr>
      <w:r w:rsidRPr="00966B11">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966B11">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PargrafodaLista"/>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PargrafodaLista"/>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PargrafodaLista"/>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PargrafodaLista"/>
        <w:ind w:left="426"/>
        <w:jc w:val="both"/>
        <w:rPr>
          <w:rFonts w:ascii="Avenir Next" w:hAnsi="Avenir Next" w:cs="Arial"/>
          <w:sz w:val="22"/>
          <w:szCs w:val="22"/>
          <w:lang w:val="en-GB"/>
        </w:rPr>
      </w:pPr>
    </w:p>
    <w:p w14:paraId="26A80627" w14:textId="6CEDA8AC" w:rsidR="00302D76" w:rsidRPr="008E3C96" w:rsidRDefault="00302D76" w:rsidP="008E3C96">
      <w:pPr>
        <w:pStyle w:val="PargrafodaLista"/>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PargrafodaLista"/>
        <w:ind w:left="426"/>
        <w:jc w:val="both"/>
        <w:rPr>
          <w:rFonts w:ascii="Avenir Next" w:hAnsi="Avenir Next" w:cs="Arial"/>
          <w:sz w:val="22"/>
          <w:szCs w:val="22"/>
          <w:lang w:val="en-GB"/>
        </w:rPr>
      </w:pPr>
    </w:p>
    <w:p w14:paraId="1700C230" w14:textId="7924230F" w:rsidR="00302D76" w:rsidRPr="008E3C96" w:rsidRDefault="00302D76" w:rsidP="008E3C96">
      <w:pPr>
        <w:pStyle w:val="PargrafodaLista"/>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(“Applicable law”).</w:t>
      </w:r>
    </w:p>
    <w:p w14:paraId="7A61DDFF" w14:textId="77777777" w:rsidR="00CA7069" w:rsidRPr="008E3C96" w:rsidRDefault="00CA7069" w:rsidP="008E3C96">
      <w:pPr>
        <w:pStyle w:val="PargrafodaLista"/>
        <w:ind w:left="426"/>
        <w:jc w:val="both"/>
        <w:rPr>
          <w:rFonts w:ascii="Avenir Next" w:hAnsi="Avenir Next" w:cs="Arial"/>
          <w:sz w:val="22"/>
          <w:szCs w:val="22"/>
          <w:lang w:val="en-GB"/>
        </w:rPr>
      </w:pPr>
    </w:p>
    <w:p w14:paraId="448D3B2E" w14:textId="77777777" w:rsidR="00CA7069" w:rsidRPr="004508F6" w:rsidRDefault="00CA7069" w:rsidP="008E3C96">
      <w:pPr>
        <w:pStyle w:val="PargrafodaLista"/>
        <w:numPr>
          <w:ilvl w:val="0"/>
          <w:numId w:val="28"/>
        </w:numPr>
        <w:ind w:left="426"/>
        <w:jc w:val="both"/>
        <w:rPr>
          <w:rFonts w:ascii="Avenir Next" w:hAnsi="Avenir Next" w:cs="Arial"/>
          <w:sz w:val="22"/>
          <w:szCs w:val="22"/>
          <w:highlight w:val="yellow"/>
          <w:lang w:val="en-GB"/>
        </w:rPr>
      </w:pPr>
      <w:r w:rsidRPr="004508F6">
        <w:rPr>
          <w:rFonts w:ascii="Avenir Next" w:hAnsi="Avenir Next" w:cs="Arial"/>
          <w:sz w:val="22"/>
          <w:szCs w:val="22"/>
          <w:highlight w:val="yellow"/>
          <w:lang w:val="en-GB"/>
        </w:rPr>
        <w:t>Article 31 EIR Recast (“</w:t>
      </w:r>
      <w:r w:rsidRPr="004508F6">
        <w:rPr>
          <w:rFonts w:ascii="Avenir Next" w:hAnsi="Avenir Next" w:cs="Arial"/>
          <w:bCs/>
          <w:sz w:val="22"/>
          <w:szCs w:val="22"/>
          <w:highlight w:val="yellow"/>
          <w:lang w:val="en-GB"/>
        </w:rPr>
        <w:t>Honouring of an obligation to a debtor”</w:t>
      </w:r>
      <w:r w:rsidRPr="004508F6">
        <w:rPr>
          <w:rFonts w:ascii="Avenir Next" w:hAnsi="Avenir Next" w:cs="Arial"/>
          <w:sz w:val="22"/>
          <w:szCs w:val="22"/>
          <w:highlight w:val="yellow"/>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Pargrafoda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PargrafodaLista"/>
        <w:ind w:left="426"/>
        <w:jc w:val="both"/>
        <w:rPr>
          <w:rFonts w:ascii="Avenir Next" w:hAnsi="Avenir Next" w:cs="Arial"/>
          <w:sz w:val="22"/>
          <w:szCs w:val="22"/>
          <w:lang w:val="en-GB"/>
        </w:rPr>
      </w:pPr>
    </w:p>
    <w:p w14:paraId="59E5541F" w14:textId="24AE7A7F" w:rsidR="00113E29" w:rsidRPr="008E3C96" w:rsidRDefault="00CA7069" w:rsidP="00CA7069">
      <w:pPr>
        <w:pStyle w:val="Pargrafoda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445F33" w:rsidRDefault="00CA7069" w:rsidP="003C4BCB">
      <w:pPr>
        <w:pStyle w:val="PargrafodaLista"/>
        <w:numPr>
          <w:ilvl w:val="0"/>
          <w:numId w:val="7"/>
        </w:numPr>
        <w:ind w:left="426"/>
        <w:jc w:val="both"/>
        <w:rPr>
          <w:rFonts w:ascii="Avenir Next" w:hAnsi="Avenir Next" w:cs="Arial"/>
          <w:sz w:val="22"/>
          <w:szCs w:val="22"/>
          <w:highlight w:val="yellow"/>
          <w:lang w:val="en-GB"/>
        </w:rPr>
      </w:pPr>
      <w:r w:rsidRPr="00445F33">
        <w:rPr>
          <w:rFonts w:ascii="Avenir Next" w:hAnsi="Avenir Next" w:cs="Arial"/>
          <w:sz w:val="22"/>
          <w:szCs w:val="22"/>
          <w:highlight w:val="yellow"/>
          <w:lang w:val="en-GB"/>
        </w:rPr>
        <w:t xml:space="preserve">Each Member State will define </w:t>
      </w:r>
      <w:r w:rsidR="001A68CC" w:rsidRPr="00445F33">
        <w:rPr>
          <w:rFonts w:ascii="Avenir Next" w:hAnsi="Avenir Next" w:cs="Arial"/>
          <w:sz w:val="22"/>
          <w:szCs w:val="22"/>
          <w:highlight w:val="yellow"/>
          <w:lang w:val="en-GB"/>
        </w:rPr>
        <w:t>“</w:t>
      </w:r>
      <w:r w:rsidRPr="00445F33">
        <w:rPr>
          <w:rFonts w:ascii="Avenir Next" w:hAnsi="Avenir Next" w:cs="Arial"/>
          <w:sz w:val="22"/>
          <w:szCs w:val="22"/>
          <w:highlight w:val="yellow"/>
          <w:lang w:val="en-GB"/>
        </w:rPr>
        <w:t>insolvency</w:t>
      </w:r>
      <w:r w:rsidR="001A68CC" w:rsidRPr="00445F33">
        <w:rPr>
          <w:rFonts w:ascii="Avenir Next" w:hAnsi="Avenir Next" w:cs="Arial"/>
          <w:sz w:val="22"/>
          <w:szCs w:val="22"/>
          <w:highlight w:val="yellow"/>
          <w:lang w:val="en-GB"/>
        </w:rPr>
        <w:t>”</w:t>
      </w:r>
      <w:r w:rsidRPr="00445F33">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Pargrafoda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B23CF1" w:rsidRDefault="00CA7069" w:rsidP="00CA7069">
      <w:pPr>
        <w:pStyle w:val="PargrafodaLista"/>
        <w:numPr>
          <w:ilvl w:val="0"/>
          <w:numId w:val="8"/>
        </w:numPr>
        <w:ind w:left="426"/>
        <w:jc w:val="both"/>
        <w:rPr>
          <w:rFonts w:ascii="Avenir Next" w:hAnsi="Avenir Next" w:cs="Arial"/>
          <w:sz w:val="22"/>
          <w:szCs w:val="22"/>
          <w:highlight w:val="yellow"/>
          <w:lang w:val="en-GB"/>
        </w:rPr>
      </w:pPr>
      <w:r w:rsidRPr="00B23CF1">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PargrafodaLista"/>
        <w:ind w:left="426"/>
        <w:jc w:val="both"/>
        <w:rPr>
          <w:rFonts w:ascii="Avenir Next" w:hAnsi="Avenir Next" w:cs="Arial"/>
          <w:sz w:val="22"/>
          <w:szCs w:val="22"/>
          <w:lang w:val="en-GB"/>
        </w:rPr>
      </w:pPr>
    </w:p>
    <w:p w14:paraId="757169A8" w14:textId="47F05D2D" w:rsidR="00113E29" w:rsidRPr="008E3C96" w:rsidRDefault="0034705B" w:rsidP="003C4BCB">
      <w:pPr>
        <w:pStyle w:val="PargrafodaLista"/>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PargrafodaLista"/>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PargrafodaLista"/>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PargrafodaLista"/>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PargrafodaLista"/>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PargrafodaLista"/>
        <w:ind w:left="426"/>
        <w:jc w:val="both"/>
        <w:rPr>
          <w:rFonts w:ascii="Avenir Next" w:hAnsi="Avenir Next" w:cs="Arial"/>
          <w:sz w:val="22"/>
          <w:szCs w:val="22"/>
          <w:lang w:val="en-GB"/>
        </w:rPr>
      </w:pPr>
    </w:p>
    <w:p w14:paraId="02DEF131" w14:textId="169791F5" w:rsidR="00C15FA2" w:rsidRPr="00BF2BDB" w:rsidRDefault="00C15FA2" w:rsidP="008E3C96">
      <w:pPr>
        <w:pStyle w:val="PargrafodaLista"/>
        <w:numPr>
          <w:ilvl w:val="0"/>
          <w:numId w:val="29"/>
        </w:numPr>
        <w:ind w:left="426"/>
        <w:jc w:val="both"/>
        <w:rPr>
          <w:rFonts w:ascii="Avenir Next" w:hAnsi="Avenir Next" w:cs="Arial"/>
          <w:sz w:val="22"/>
          <w:szCs w:val="22"/>
          <w:highlight w:val="yellow"/>
          <w:lang w:val="en-GB"/>
        </w:rPr>
      </w:pPr>
      <w:r w:rsidRPr="00BF2BDB">
        <w:rPr>
          <w:rFonts w:ascii="Avenir Next" w:hAnsi="Avenir Next" w:cs="Arial"/>
          <w:sz w:val="22"/>
          <w:szCs w:val="22"/>
          <w:highlight w:val="yellow"/>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PargrafodaLista"/>
        <w:ind w:left="426"/>
        <w:jc w:val="both"/>
        <w:rPr>
          <w:rFonts w:ascii="Avenir Next" w:hAnsi="Avenir Next" w:cs="Arial"/>
          <w:sz w:val="22"/>
          <w:szCs w:val="22"/>
          <w:lang w:val="en-GB"/>
        </w:rPr>
      </w:pPr>
    </w:p>
    <w:p w14:paraId="3DD7A10B" w14:textId="18EC073B" w:rsidR="00C15FA2" w:rsidRPr="008E3C96" w:rsidRDefault="00C15FA2" w:rsidP="008E3C96">
      <w:pPr>
        <w:pStyle w:val="PargrafodaLista"/>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PargrafodaLista"/>
        <w:ind w:left="426"/>
        <w:jc w:val="both"/>
        <w:rPr>
          <w:rFonts w:ascii="Avenir Next" w:hAnsi="Avenir Next" w:cs="Arial"/>
          <w:sz w:val="22"/>
          <w:szCs w:val="22"/>
          <w:lang w:val="en-GB"/>
        </w:rPr>
      </w:pPr>
    </w:p>
    <w:p w14:paraId="1449FE57" w14:textId="77777777" w:rsidR="00C15FA2" w:rsidRPr="008E3C96" w:rsidRDefault="00C15FA2" w:rsidP="008E3C96">
      <w:pPr>
        <w:pStyle w:val="PargrafodaLista"/>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EB49AD" w:rsidRDefault="00EC242E" w:rsidP="008E3C96">
      <w:pPr>
        <w:pStyle w:val="PargrafodaLista"/>
        <w:numPr>
          <w:ilvl w:val="0"/>
          <w:numId w:val="30"/>
        </w:numPr>
        <w:ind w:left="426"/>
        <w:jc w:val="both"/>
        <w:rPr>
          <w:rFonts w:ascii="Avenir Next" w:hAnsi="Avenir Next" w:cs="Arial"/>
          <w:sz w:val="22"/>
          <w:szCs w:val="22"/>
          <w:highlight w:val="yellow"/>
          <w:lang w:val="en-GB"/>
        </w:rPr>
      </w:pPr>
      <w:r w:rsidRPr="00EB49AD">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PargrafodaLista"/>
        <w:ind w:left="426"/>
        <w:jc w:val="both"/>
        <w:rPr>
          <w:rFonts w:ascii="Avenir Next" w:hAnsi="Avenir Next" w:cs="Arial"/>
          <w:sz w:val="22"/>
          <w:szCs w:val="22"/>
          <w:lang w:val="en-GB"/>
        </w:rPr>
      </w:pPr>
    </w:p>
    <w:p w14:paraId="145983AE" w14:textId="77777777" w:rsidR="00EC242E" w:rsidRPr="008E3C96" w:rsidRDefault="00EC242E" w:rsidP="008E3C96">
      <w:pPr>
        <w:pStyle w:val="PargrafodaLista"/>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PargrafodaLista"/>
        <w:ind w:left="426"/>
        <w:jc w:val="both"/>
        <w:rPr>
          <w:rFonts w:ascii="Avenir Next" w:hAnsi="Avenir Next" w:cs="Arial"/>
          <w:sz w:val="22"/>
          <w:szCs w:val="22"/>
          <w:lang w:val="en-GB"/>
        </w:rPr>
      </w:pPr>
    </w:p>
    <w:p w14:paraId="0701B637" w14:textId="77777777" w:rsidR="00EC242E" w:rsidRPr="008E3C96" w:rsidRDefault="00EC242E" w:rsidP="008E3C96">
      <w:pPr>
        <w:pStyle w:val="PargrafodaLista"/>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PargrafodaLista"/>
        <w:ind w:left="426"/>
        <w:jc w:val="both"/>
        <w:rPr>
          <w:rFonts w:ascii="Avenir Next" w:hAnsi="Avenir Next" w:cs="Arial"/>
          <w:sz w:val="22"/>
          <w:szCs w:val="22"/>
          <w:lang w:val="en-GB"/>
        </w:rPr>
      </w:pPr>
    </w:p>
    <w:p w14:paraId="1D2436EF" w14:textId="2009EE5E" w:rsidR="00EC242E" w:rsidRPr="008E3C96" w:rsidRDefault="00EC242E" w:rsidP="008E3C96">
      <w:pPr>
        <w:pStyle w:val="PargrafodaLista"/>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Canetier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Canetier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Canetier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PargrafodaLista"/>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5B6583" w:rsidRDefault="00EC242E" w:rsidP="00EC242E">
      <w:pPr>
        <w:pStyle w:val="PargrafodaLista"/>
        <w:numPr>
          <w:ilvl w:val="0"/>
          <w:numId w:val="9"/>
        </w:numPr>
        <w:ind w:left="426"/>
        <w:jc w:val="both"/>
        <w:rPr>
          <w:rFonts w:ascii="Avenir Next" w:hAnsi="Avenir Next" w:cs="Arial"/>
          <w:sz w:val="22"/>
          <w:szCs w:val="22"/>
          <w:highlight w:val="yellow"/>
          <w:lang w:val="en-GB"/>
        </w:rPr>
      </w:pPr>
      <w:r w:rsidRPr="005B6583">
        <w:rPr>
          <w:rFonts w:ascii="Avenir Next" w:hAnsi="Avenir Next" w:cs="Arial"/>
          <w:sz w:val="22"/>
          <w:szCs w:val="22"/>
          <w:highlight w:val="yellow"/>
          <w:lang w:val="en-GB"/>
        </w:rPr>
        <w:t xml:space="preserve">The contested transactions cannot be avoided if Canetier SARL can prove that the </w:t>
      </w:r>
      <w:r w:rsidRPr="005B6583">
        <w:rPr>
          <w:rFonts w:ascii="Avenir Next" w:hAnsi="Avenir Next" w:cs="Arial"/>
          <w:i/>
          <w:sz w:val="22"/>
          <w:szCs w:val="22"/>
          <w:highlight w:val="yellow"/>
          <w:lang w:val="en-GB"/>
        </w:rPr>
        <w:t>lex causae</w:t>
      </w:r>
      <w:r w:rsidRPr="005B6583">
        <w:rPr>
          <w:rFonts w:ascii="Avenir Next" w:hAnsi="Avenir Next"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PargrafodaLista"/>
        <w:ind w:left="426"/>
        <w:jc w:val="both"/>
        <w:rPr>
          <w:rFonts w:ascii="Avenir Next" w:hAnsi="Avenir Next" w:cs="Arial"/>
          <w:sz w:val="22"/>
          <w:szCs w:val="22"/>
          <w:lang w:val="en-GB"/>
        </w:rPr>
      </w:pPr>
    </w:p>
    <w:p w14:paraId="22DD9FEF" w14:textId="18795AB2" w:rsidR="00054E15" w:rsidRPr="008E3C96" w:rsidRDefault="00054E15" w:rsidP="00054E15">
      <w:pPr>
        <w:pStyle w:val="PargrafodaLista"/>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payments </w:t>
      </w:r>
      <w:r w:rsidR="00FC235E">
        <w:rPr>
          <w:rFonts w:ascii="Avenir Next" w:hAnsi="Avenir Next" w:cs="Arial"/>
          <w:sz w:val="22"/>
          <w:szCs w:val="22"/>
          <w:lang w:val="en-GB"/>
        </w:rPr>
        <w:t>will</w:t>
      </w:r>
      <w:r w:rsidRPr="008E3C96">
        <w:rPr>
          <w:rFonts w:ascii="Avenir Next" w:hAnsi="Avenir Next" w:cs="Arial"/>
          <w:sz w:val="22"/>
          <w:szCs w:val="22"/>
          <w:lang w:val="en-GB"/>
        </w:rPr>
        <w:t xml:space="preserve"> not be avoided if Canetier SARL proves that such transactions cannot be challenged on the basis of the insolvency provisions of Italian law (Article 16 EIR Recast).</w:t>
      </w:r>
    </w:p>
    <w:p w14:paraId="53AE8D5A" w14:textId="77777777" w:rsidR="00054E15" w:rsidRPr="008E3C96" w:rsidRDefault="00054E15" w:rsidP="00183ED8">
      <w:pPr>
        <w:pStyle w:val="PargrafodaLista"/>
        <w:ind w:left="426"/>
        <w:jc w:val="both"/>
        <w:rPr>
          <w:rFonts w:ascii="Avenir Next" w:hAnsi="Avenir Next" w:cs="Arial"/>
          <w:sz w:val="22"/>
          <w:szCs w:val="22"/>
          <w:lang w:val="en-GB"/>
        </w:rPr>
      </w:pPr>
    </w:p>
    <w:p w14:paraId="2DD3E669" w14:textId="77777777" w:rsidR="00EC242E" w:rsidRPr="008E3C96" w:rsidRDefault="00EC242E" w:rsidP="00EC242E">
      <w:pPr>
        <w:pStyle w:val="PargrafodaLista"/>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Canetier SARL can rely solely, in a purely abstract manner, on the unchallengeable character of the payments at issue on the basis of a provision of the </w:t>
      </w:r>
      <w:r w:rsidRPr="008E3C96">
        <w:rPr>
          <w:rFonts w:ascii="Avenir Next" w:hAnsi="Avenir Next" w:cs="Arial"/>
          <w:i/>
          <w:sz w:val="22"/>
          <w:szCs w:val="22"/>
          <w:lang w:val="en-GB"/>
        </w:rPr>
        <w:t>lex causae</w:t>
      </w:r>
      <w:r w:rsidRPr="008E3C96">
        <w:rPr>
          <w:rFonts w:ascii="Avenir Next" w:hAnsi="Avenir Next" w:cs="Arial"/>
          <w:sz w:val="22"/>
          <w:szCs w:val="22"/>
          <w:lang w:val="en-GB"/>
        </w:rPr>
        <w:t>.</w:t>
      </w:r>
    </w:p>
    <w:p w14:paraId="353B21D0" w14:textId="77777777" w:rsidR="00EC242E" w:rsidRPr="008E3C96" w:rsidRDefault="00EC242E" w:rsidP="00EC242E">
      <w:pPr>
        <w:pStyle w:val="PargrafodaLista"/>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5C7DD9F3" w14:textId="3B2A8518" w:rsidR="00636C15" w:rsidRDefault="000F2424" w:rsidP="00181D6D">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Statement 1:</w:t>
      </w:r>
      <w:r w:rsidR="003B4B5C">
        <w:rPr>
          <w:rFonts w:ascii="Avenir Next" w:hAnsi="Avenir Next" w:cs="Arial"/>
          <w:color w:val="7B7B7B" w:themeColor="accent3" w:themeShade="BF"/>
          <w:sz w:val="22"/>
          <w:szCs w:val="22"/>
        </w:rPr>
        <w:t xml:space="preserve"> </w:t>
      </w:r>
      <w:r w:rsidR="00C8401E">
        <w:rPr>
          <w:rFonts w:ascii="Avenir Next" w:hAnsi="Avenir Next" w:cs="Arial"/>
          <w:color w:val="7B7B7B" w:themeColor="accent3" w:themeShade="BF"/>
          <w:sz w:val="22"/>
          <w:szCs w:val="22"/>
        </w:rPr>
        <w:t xml:space="preserve">According to article 3(1) of the EIR 2015, </w:t>
      </w:r>
      <w:r w:rsidR="00181D6D">
        <w:rPr>
          <w:rFonts w:ascii="Avenir Next" w:hAnsi="Avenir Next" w:cs="Arial"/>
          <w:color w:val="7B7B7B" w:themeColor="accent3" w:themeShade="BF"/>
          <w:sz w:val="22"/>
          <w:szCs w:val="22"/>
        </w:rPr>
        <w:t>there</w:t>
      </w:r>
      <w:r w:rsidR="00624F52">
        <w:rPr>
          <w:rFonts w:ascii="Avenir Next" w:hAnsi="Avenir Next" w:cs="Arial"/>
          <w:color w:val="7B7B7B" w:themeColor="accent3" w:themeShade="BF"/>
          <w:sz w:val="22"/>
          <w:szCs w:val="22"/>
        </w:rPr>
        <w:t xml:space="preserve"> is a presumption </w:t>
      </w:r>
      <w:r w:rsidR="00181D6D">
        <w:rPr>
          <w:rFonts w:ascii="Avenir Next" w:hAnsi="Avenir Next" w:cs="Arial"/>
          <w:color w:val="7B7B7B" w:themeColor="accent3" w:themeShade="BF"/>
          <w:sz w:val="22"/>
          <w:szCs w:val="22"/>
        </w:rPr>
        <w:t>that</w:t>
      </w:r>
      <w:r w:rsidR="00624F52">
        <w:rPr>
          <w:rFonts w:ascii="Avenir Next" w:hAnsi="Avenir Next" w:cs="Arial"/>
          <w:color w:val="7B7B7B" w:themeColor="accent3" w:themeShade="BF"/>
          <w:sz w:val="22"/>
          <w:szCs w:val="22"/>
        </w:rPr>
        <w:t xml:space="preserve"> the COMI of a</w:t>
      </w:r>
      <w:r w:rsidR="00181D6D">
        <w:rPr>
          <w:rFonts w:ascii="Avenir Next" w:hAnsi="Avenir Next" w:cs="Arial"/>
          <w:color w:val="7B7B7B" w:themeColor="accent3" w:themeShade="BF"/>
          <w:sz w:val="22"/>
          <w:szCs w:val="22"/>
        </w:rPr>
        <w:t xml:space="preserve"> </w:t>
      </w:r>
      <w:r w:rsidR="00624F52">
        <w:rPr>
          <w:rFonts w:ascii="Avenir Next" w:hAnsi="Avenir Next" w:cs="Arial"/>
          <w:color w:val="7B7B7B" w:themeColor="accent3" w:themeShade="BF"/>
          <w:sz w:val="22"/>
          <w:szCs w:val="22"/>
        </w:rPr>
        <w:t xml:space="preserve">debtor </w:t>
      </w:r>
      <w:r w:rsidR="00A24461">
        <w:rPr>
          <w:rFonts w:ascii="Avenir Next" w:hAnsi="Avenir Next" w:cs="Arial"/>
          <w:color w:val="7B7B7B" w:themeColor="accent3" w:themeShade="BF"/>
          <w:sz w:val="22"/>
          <w:szCs w:val="22"/>
        </w:rPr>
        <w:t>is in</w:t>
      </w:r>
      <w:r w:rsidR="00181D6D">
        <w:rPr>
          <w:rFonts w:ascii="Avenir Next" w:hAnsi="Avenir Next" w:cs="Arial"/>
          <w:color w:val="7B7B7B" w:themeColor="accent3" w:themeShade="BF"/>
          <w:sz w:val="22"/>
          <w:szCs w:val="22"/>
        </w:rPr>
        <w:t xml:space="preserve"> the place of its registered office</w:t>
      </w:r>
      <w:r w:rsidR="009177FB">
        <w:rPr>
          <w:rFonts w:ascii="Avenir Next" w:hAnsi="Avenir Next" w:cs="Arial"/>
          <w:color w:val="7B7B7B" w:themeColor="accent3" w:themeShade="BF"/>
          <w:sz w:val="22"/>
          <w:szCs w:val="22"/>
        </w:rPr>
        <w:t xml:space="preserve"> or </w:t>
      </w:r>
      <w:r w:rsidR="009177FB" w:rsidRPr="009177FB">
        <w:rPr>
          <w:rFonts w:ascii="Avenir Next" w:hAnsi="Avenir Next" w:cs="Arial"/>
          <w:color w:val="7B7B7B" w:themeColor="accent3" w:themeShade="BF"/>
          <w:sz w:val="22"/>
          <w:szCs w:val="22"/>
        </w:rPr>
        <w:t>habitual residence</w:t>
      </w:r>
      <w:r w:rsidR="00181D6D">
        <w:rPr>
          <w:rFonts w:ascii="Avenir Next" w:hAnsi="Avenir Next" w:cs="Arial"/>
          <w:color w:val="7B7B7B" w:themeColor="accent3" w:themeShade="BF"/>
          <w:sz w:val="22"/>
          <w:szCs w:val="22"/>
        </w:rPr>
        <w:t xml:space="preserve">. </w:t>
      </w:r>
      <w:r w:rsidR="00182DCA">
        <w:rPr>
          <w:rFonts w:ascii="Avenir Next" w:hAnsi="Avenir Next" w:cs="Arial"/>
          <w:color w:val="7B7B7B" w:themeColor="accent3" w:themeShade="BF"/>
          <w:sz w:val="22"/>
          <w:szCs w:val="22"/>
        </w:rPr>
        <w:t xml:space="preserve">This presumption, however, </w:t>
      </w:r>
      <w:r w:rsidR="00FF3C57">
        <w:rPr>
          <w:rFonts w:ascii="Avenir Next" w:hAnsi="Avenir Next" w:cs="Arial"/>
          <w:color w:val="7B7B7B" w:themeColor="accent3" w:themeShade="BF"/>
          <w:sz w:val="22"/>
          <w:szCs w:val="22"/>
        </w:rPr>
        <w:t xml:space="preserve">as indicted in the guide text, </w:t>
      </w:r>
      <w:r w:rsidR="00182DCA">
        <w:rPr>
          <w:rFonts w:ascii="Avenir Next" w:hAnsi="Avenir Next" w:cs="Arial"/>
          <w:color w:val="7B7B7B" w:themeColor="accent3" w:themeShade="BF"/>
          <w:sz w:val="22"/>
          <w:szCs w:val="22"/>
        </w:rPr>
        <w:t xml:space="preserve">(i) </w:t>
      </w:r>
      <w:r w:rsidR="00604161">
        <w:rPr>
          <w:rFonts w:ascii="Avenir Next" w:hAnsi="Avenir Next" w:cs="Arial"/>
          <w:color w:val="7B7B7B" w:themeColor="accent3" w:themeShade="BF"/>
          <w:sz w:val="22"/>
          <w:szCs w:val="22"/>
        </w:rPr>
        <w:t xml:space="preserve"> </w:t>
      </w:r>
      <w:r w:rsidR="00A24461">
        <w:rPr>
          <w:rFonts w:ascii="Avenir Next" w:hAnsi="Avenir Next" w:cs="Arial"/>
          <w:color w:val="7B7B7B" w:themeColor="accent3" w:themeShade="BF"/>
          <w:sz w:val="22"/>
          <w:szCs w:val="22"/>
        </w:rPr>
        <w:t xml:space="preserve">shall only apply if the registered office has not been moved to another Member State within 3 (three) months </w:t>
      </w:r>
      <w:r w:rsidR="00144B28">
        <w:rPr>
          <w:rFonts w:ascii="Avenir Next" w:hAnsi="Avenir Next" w:cs="Arial"/>
          <w:color w:val="7B7B7B" w:themeColor="accent3" w:themeShade="BF"/>
          <w:sz w:val="22"/>
          <w:szCs w:val="22"/>
        </w:rPr>
        <w:t xml:space="preserve">period prior to the request for opening of insolvency proceeding; and (ii) </w:t>
      </w:r>
      <w:r w:rsidR="0096104F">
        <w:rPr>
          <w:rFonts w:ascii="Avenir Next" w:hAnsi="Avenir Next" w:cs="Arial"/>
          <w:color w:val="7B7B7B" w:themeColor="accent3" w:themeShade="BF"/>
          <w:sz w:val="22"/>
          <w:szCs w:val="22"/>
        </w:rPr>
        <w:t>might be rebutted in court.</w:t>
      </w:r>
    </w:p>
    <w:p w14:paraId="3E71FCFD" w14:textId="36033EBE" w:rsidR="0096104F" w:rsidRDefault="0096104F" w:rsidP="00181D6D">
      <w:pPr>
        <w:jc w:val="both"/>
        <w:rPr>
          <w:rFonts w:ascii="Avenir Next" w:hAnsi="Avenir Next" w:cs="Arial"/>
          <w:color w:val="7B7B7B" w:themeColor="accent3" w:themeShade="BF"/>
          <w:sz w:val="22"/>
          <w:szCs w:val="22"/>
        </w:rPr>
      </w:pPr>
    </w:p>
    <w:p w14:paraId="358AC7C8" w14:textId="52FDC581" w:rsidR="0096104F" w:rsidRPr="008E3C96" w:rsidRDefault="0096104F" w:rsidP="00181D6D">
      <w:pPr>
        <w:jc w:val="both"/>
        <w:rPr>
          <w:rFonts w:ascii="Avenir Next" w:hAnsi="Avenir Next" w:cs="Arial"/>
          <w:sz w:val="22"/>
          <w:szCs w:val="22"/>
        </w:rPr>
      </w:pPr>
      <w:r>
        <w:rPr>
          <w:rFonts w:ascii="Avenir Next" w:hAnsi="Avenir Next" w:cs="Arial"/>
          <w:color w:val="7B7B7B" w:themeColor="accent3" w:themeShade="BF"/>
          <w:sz w:val="22"/>
          <w:szCs w:val="22"/>
        </w:rPr>
        <w:t xml:space="preserve">Statement 2: </w:t>
      </w:r>
      <w:r w:rsidR="000264FB">
        <w:rPr>
          <w:rFonts w:ascii="Avenir Next" w:hAnsi="Avenir Next" w:cs="Arial"/>
          <w:color w:val="7B7B7B" w:themeColor="accent3" w:themeShade="BF"/>
          <w:sz w:val="22"/>
          <w:szCs w:val="22"/>
        </w:rPr>
        <w:t xml:space="preserve">Article 1 of the EIR 2015 </w:t>
      </w:r>
      <w:r w:rsidR="00DF50E9">
        <w:rPr>
          <w:rFonts w:ascii="Avenir Next" w:hAnsi="Avenir Next" w:cs="Arial"/>
          <w:color w:val="7B7B7B" w:themeColor="accent3" w:themeShade="BF"/>
          <w:sz w:val="22"/>
          <w:szCs w:val="22"/>
        </w:rPr>
        <w:t>extends not only to “tradi</w:t>
      </w:r>
      <w:r w:rsidR="009158C5">
        <w:rPr>
          <w:rFonts w:ascii="Avenir Next" w:hAnsi="Avenir Next" w:cs="Arial"/>
          <w:color w:val="7B7B7B" w:themeColor="accent3" w:themeShade="BF"/>
          <w:sz w:val="22"/>
          <w:szCs w:val="22"/>
        </w:rPr>
        <w:t>ti</w:t>
      </w:r>
      <w:r w:rsidR="00DF50E9">
        <w:rPr>
          <w:rFonts w:ascii="Avenir Next" w:hAnsi="Avenir Next" w:cs="Arial"/>
          <w:color w:val="7B7B7B" w:themeColor="accent3" w:themeShade="BF"/>
          <w:sz w:val="22"/>
          <w:szCs w:val="22"/>
        </w:rPr>
        <w:t xml:space="preserve">onal” liquidation-oriented procedures, but also to proceedings </w:t>
      </w:r>
      <w:r w:rsidR="0000306E">
        <w:rPr>
          <w:rFonts w:ascii="Avenir Next" w:hAnsi="Avenir Next" w:cs="Arial"/>
          <w:color w:val="7B7B7B" w:themeColor="accent3" w:themeShade="BF"/>
          <w:sz w:val="22"/>
          <w:szCs w:val="22"/>
        </w:rPr>
        <w:t>seeking to promote the rescue of economically viable but financ</w:t>
      </w:r>
      <w:r w:rsidR="009158C5">
        <w:rPr>
          <w:rFonts w:ascii="Avenir Next" w:hAnsi="Avenir Next" w:cs="Arial"/>
          <w:color w:val="7B7B7B" w:themeColor="accent3" w:themeShade="BF"/>
          <w:sz w:val="22"/>
          <w:szCs w:val="22"/>
        </w:rPr>
        <w:t>ially distressed business</w:t>
      </w:r>
      <w:r w:rsidR="007751F5">
        <w:rPr>
          <w:rFonts w:ascii="Avenir Next" w:hAnsi="Avenir Next" w:cs="Arial"/>
          <w:color w:val="7B7B7B" w:themeColor="accent3" w:themeShade="BF"/>
          <w:sz w:val="22"/>
          <w:szCs w:val="22"/>
        </w:rPr>
        <w:t xml:space="preserve">. </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16675D5F" w14:textId="4B7E4CF7" w:rsidR="00636C15" w:rsidRPr="008E3C96" w:rsidRDefault="00A54225" w:rsidP="00435D99">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As indicated in the guide text, a</w:t>
      </w:r>
      <w:r w:rsidR="001D4E11">
        <w:rPr>
          <w:rFonts w:ascii="Avenir Next" w:hAnsi="Avenir Next" w:cs="Arial"/>
          <w:color w:val="7B7B7B" w:themeColor="accent3" w:themeShade="BF"/>
          <w:sz w:val="22"/>
          <w:szCs w:val="22"/>
          <w:lang w:val="en-GB"/>
        </w:rPr>
        <w:t>rticle 3(1) of the EIR Recast provides that the courts of the Member Stat</w:t>
      </w:r>
      <w:r w:rsidR="00E454D0">
        <w:rPr>
          <w:rFonts w:ascii="Avenir Next" w:hAnsi="Avenir Next" w:cs="Arial"/>
          <w:color w:val="7B7B7B" w:themeColor="accent3" w:themeShade="BF"/>
          <w:sz w:val="22"/>
          <w:szCs w:val="22"/>
          <w:lang w:val="en-GB"/>
        </w:rPr>
        <w:t xml:space="preserve">e within the territory of which the debtor’s COMI is situated shall have the jurisdiction </w:t>
      </w:r>
      <w:r w:rsidR="00435D99">
        <w:rPr>
          <w:rFonts w:ascii="Avenir Next" w:hAnsi="Avenir Next" w:cs="Arial"/>
          <w:color w:val="7B7B7B" w:themeColor="accent3" w:themeShade="BF"/>
          <w:sz w:val="22"/>
          <w:szCs w:val="22"/>
          <w:lang w:val="en-GB"/>
        </w:rPr>
        <w:t>to open insolvency proceedings.</w:t>
      </w:r>
      <w:r w:rsidR="00C66D49">
        <w:rPr>
          <w:rFonts w:ascii="Avenir Next" w:hAnsi="Avenir Next" w:cs="Arial"/>
          <w:color w:val="7B7B7B" w:themeColor="accent3" w:themeShade="BF"/>
          <w:sz w:val="22"/>
          <w:szCs w:val="22"/>
          <w:lang w:val="en-GB"/>
        </w:rPr>
        <w:t xml:space="preserve"> This will be the main insolvency proceeding</w:t>
      </w:r>
      <w:r w:rsidR="008C38C4">
        <w:rPr>
          <w:rFonts w:ascii="Avenir Next" w:hAnsi="Avenir Next" w:cs="Arial"/>
          <w:color w:val="7B7B7B" w:themeColor="accent3" w:themeShade="BF"/>
          <w:sz w:val="22"/>
          <w:szCs w:val="22"/>
          <w:lang w:val="en-GB"/>
        </w:rPr>
        <w:t xml:space="preserve">, which will result in the extra-territorial application of the law </w:t>
      </w:r>
      <w:r w:rsidR="006D1A29">
        <w:rPr>
          <w:rFonts w:ascii="Avenir Next" w:hAnsi="Avenir Next" w:cs="Arial"/>
          <w:color w:val="7B7B7B" w:themeColor="accent3" w:themeShade="BF"/>
          <w:sz w:val="22"/>
          <w:szCs w:val="22"/>
          <w:lang w:val="en-GB"/>
        </w:rPr>
        <w:t>of the member State where such proceeding has been opened</w:t>
      </w:r>
      <w:r w:rsidR="00A5455B">
        <w:rPr>
          <w:rFonts w:ascii="Avenir Next" w:hAnsi="Avenir Next" w:cs="Arial"/>
          <w:color w:val="7B7B7B" w:themeColor="accent3" w:themeShade="BF"/>
          <w:sz w:val="22"/>
          <w:szCs w:val="22"/>
          <w:lang w:val="en-GB"/>
        </w:rPr>
        <w:t xml:space="preserve"> (lex concursus)</w:t>
      </w:r>
      <w:r w:rsidR="006D1A29">
        <w:rPr>
          <w:rFonts w:ascii="Avenir Next" w:hAnsi="Avenir Next" w:cs="Arial"/>
          <w:color w:val="7B7B7B" w:themeColor="accent3" w:themeShade="BF"/>
          <w:sz w:val="22"/>
          <w:szCs w:val="22"/>
          <w:lang w:val="en-GB"/>
        </w:rPr>
        <w:t>.</w:t>
      </w:r>
      <w:r w:rsidR="0086478E">
        <w:rPr>
          <w:rFonts w:ascii="Avenir Next" w:hAnsi="Avenir Next" w:cs="Arial"/>
          <w:color w:val="7B7B7B" w:themeColor="accent3" w:themeShade="BF"/>
          <w:sz w:val="22"/>
          <w:szCs w:val="22"/>
          <w:lang w:val="en-GB"/>
        </w:rPr>
        <w:t xml:space="preserve"> </w:t>
      </w:r>
      <w:r w:rsidR="00744579">
        <w:rPr>
          <w:rFonts w:ascii="Avenir Next" w:hAnsi="Avenir Next" w:cs="Arial"/>
          <w:color w:val="7B7B7B" w:themeColor="accent3" w:themeShade="BF"/>
          <w:sz w:val="22"/>
          <w:szCs w:val="22"/>
          <w:lang w:val="en-GB"/>
        </w:rPr>
        <w:t>The EIR Recast</w:t>
      </w:r>
      <w:r w:rsidR="0086478E">
        <w:rPr>
          <w:rFonts w:ascii="Avenir Next" w:hAnsi="Avenir Next" w:cs="Arial"/>
          <w:color w:val="7B7B7B" w:themeColor="accent3" w:themeShade="BF"/>
          <w:sz w:val="22"/>
          <w:szCs w:val="22"/>
          <w:lang w:val="en-GB"/>
        </w:rPr>
        <w:t xml:space="preserve"> also provide</w:t>
      </w:r>
      <w:r w:rsidR="002352B9">
        <w:rPr>
          <w:rFonts w:ascii="Avenir Next" w:hAnsi="Avenir Next" w:cs="Arial"/>
          <w:color w:val="7B7B7B" w:themeColor="accent3" w:themeShade="BF"/>
          <w:sz w:val="22"/>
          <w:szCs w:val="22"/>
          <w:lang w:val="en-GB"/>
        </w:rPr>
        <w:t>s</w:t>
      </w:r>
      <w:r w:rsidR="0086478E">
        <w:rPr>
          <w:rFonts w:ascii="Avenir Next" w:hAnsi="Avenir Next" w:cs="Arial"/>
          <w:color w:val="7B7B7B" w:themeColor="accent3" w:themeShade="BF"/>
          <w:sz w:val="22"/>
          <w:szCs w:val="22"/>
          <w:lang w:val="en-GB"/>
        </w:rPr>
        <w:t xml:space="preserve"> the opening of secondary proceedings, which will produce </w:t>
      </w:r>
      <w:r w:rsidR="00744579">
        <w:rPr>
          <w:rFonts w:ascii="Avenir Next" w:hAnsi="Avenir Next" w:cs="Arial"/>
          <w:color w:val="7B7B7B" w:themeColor="accent3" w:themeShade="BF"/>
          <w:sz w:val="22"/>
          <w:szCs w:val="22"/>
          <w:lang w:val="en-GB"/>
        </w:rPr>
        <w:t xml:space="preserve">effects only on assets situated </w:t>
      </w:r>
      <w:r w:rsidR="008C4398">
        <w:rPr>
          <w:rFonts w:ascii="Avenir Next" w:hAnsi="Avenir Next" w:cs="Arial"/>
          <w:color w:val="7B7B7B" w:themeColor="accent3" w:themeShade="BF"/>
          <w:sz w:val="22"/>
          <w:szCs w:val="22"/>
          <w:lang w:val="en-GB"/>
        </w:rPr>
        <w:t>within</w:t>
      </w:r>
      <w:r w:rsidR="00744579">
        <w:rPr>
          <w:rFonts w:ascii="Avenir Next" w:hAnsi="Avenir Next" w:cs="Arial"/>
          <w:color w:val="7B7B7B" w:themeColor="accent3" w:themeShade="BF"/>
          <w:sz w:val="22"/>
          <w:szCs w:val="22"/>
          <w:lang w:val="en-GB"/>
        </w:rPr>
        <w:t xml:space="preserve"> a state of secondary proceedings (Recital 23).</w:t>
      </w:r>
      <w:r w:rsidR="00685D7B">
        <w:rPr>
          <w:rFonts w:ascii="Avenir Next" w:hAnsi="Avenir Next" w:cs="Arial"/>
          <w:color w:val="7B7B7B" w:themeColor="accent3" w:themeShade="BF"/>
          <w:sz w:val="22"/>
          <w:szCs w:val="22"/>
          <w:lang w:val="en-GB"/>
        </w:rPr>
        <w:t xml:space="preserve"> There might be </w:t>
      </w:r>
      <w:r w:rsidR="00A8397F">
        <w:rPr>
          <w:rFonts w:ascii="Avenir Next" w:hAnsi="Avenir Next" w:cs="Arial"/>
          <w:color w:val="7B7B7B" w:themeColor="accent3" w:themeShade="BF"/>
          <w:sz w:val="22"/>
          <w:szCs w:val="22"/>
          <w:lang w:val="en-GB"/>
        </w:rPr>
        <w:t>only one main insolvency proceeding (which will be in the debtor’s COMI), but as many secondary proceedings</w:t>
      </w:r>
      <w:r w:rsidR="000E75E7">
        <w:rPr>
          <w:rFonts w:ascii="Avenir Next" w:hAnsi="Avenir Next" w:cs="Arial"/>
          <w:color w:val="7B7B7B" w:themeColor="accent3" w:themeShade="BF"/>
          <w:sz w:val="22"/>
          <w:szCs w:val="22"/>
          <w:lang w:val="en-GB"/>
        </w:rPr>
        <w:t xml:space="preserve"> as there are </w:t>
      </w:r>
      <w:r w:rsidR="00A5455B">
        <w:rPr>
          <w:rFonts w:ascii="Avenir Next" w:hAnsi="Avenir Next" w:cs="Arial"/>
          <w:color w:val="7B7B7B" w:themeColor="accent3" w:themeShade="BF"/>
          <w:sz w:val="22"/>
          <w:szCs w:val="22"/>
          <w:lang w:val="en-GB"/>
        </w:rPr>
        <w:t>establishments</w:t>
      </w:r>
      <w:r w:rsidR="000E75E7">
        <w:rPr>
          <w:rFonts w:ascii="Avenir Next" w:hAnsi="Avenir Next" w:cs="Arial"/>
          <w:color w:val="7B7B7B" w:themeColor="accent3" w:themeShade="BF"/>
          <w:sz w:val="22"/>
          <w:szCs w:val="22"/>
          <w:lang w:val="en-GB"/>
        </w:rPr>
        <w:t xml:space="preserve"> of the debtors across Member States</w:t>
      </w:r>
      <w:r w:rsidR="00897F4C">
        <w:rPr>
          <w:rFonts w:ascii="Avenir Next" w:hAnsi="Avenir Next" w:cs="Arial"/>
          <w:color w:val="7B7B7B" w:themeColor="accent3" w:themeShade="BF"/>
          <w:sz w:val="22"/>
          <w:szCs w:val="22"/>
          <w:lang w:val="en-GB"/>
        </w:rPr>
        <w:t xml:space="preserve"> (article 3(2) of the EIR Recast)</w:t>
      </w:r>
      <w:r w:rsidR="000E75E7">
        <w:rPr>
          <w:rFonts w:ascii="Avenir Next" w:hAnsi="Avenir Next" w:cs="Arial"/>
          <w:color w:val="7B7B7B" w:themeColor="accent3" w:themeShade="BF"/>
          <w:sz w:val="22"/>
          <w:szCs w:val="22"/>
          <w:lang w:val="en-GB"/>
        </w:rPr>
        <w:t>.</w:t>
      </w:r>
      <w:r w:rsidR="00A5455B">
        <w:rPr>
          <w:rFonts w:ascii="Avenir Next" w:hAnsi="Avenir Next" w:cs="Arial"/>
          <w:color w:val="7B7B7B" w:themeColor="accent3" w:themeShade="BF"/>
          <w:sz w:val="22"/>
          <w:szCs w:val="22"/>
          <w:lang w:val="en-GB"/>
        </w:rPr>
        <w:t xml:space="preserve"> The opening of secondary proceedings leds to the creation of a separate insolvency estate </w:t>
      </w:r>
      <w:r w:rsidR="00CE10E7">
        <w:rPr>
          <w:rFonts w:ascii="Avenir Next" w:hAnsi="Avenir Next" w:cs="Arial"/>
          <w:color w:val="7B7B7B" w:themeColor="accent3" w:themeShade="BF"/>
          <w:sz w:val="22"/>
          <w:szCs w:val="22"/>
          <w:lang w:val="en-GB"/>
        </w:rPr>
        <w:t>and the application of s separate lex concursus, namely the law of the Member State where the establishment is located (lex concurs</w:t>
      </w:r>
      <w:r w:rsidR="00D86D08">
        <w:rPr>
          <w:rFonts w:ascii="Avenir Next" w:hAnsi="Avenir Next" w:cs="Arial"/>
          <w:color w:val="7B7B7B" w:themeColor="accent3" w:themeShade="BF"/>
          <w:sz w:val="22"/>
          <w:szCs w:val="22"/>
          <w:lang w:val="en-GB"/>
        </w:rPr>
        <w:t>us secundarii)</w:t>
      </w:r>
      <w:r w:rsidR="00CE10E7">
        <w:rPr>
          <w:rFonts w:ascii="Avenir Next" w:hAnsi="Avenir Next" w:cs="Arial"/>
          <w:color w:val="7B7B7B" w:themeColor="accent3" w:themeShade="BF"/>
          <w:sz w:val="22"/>
          <w:szCs w:val="22"/>
          <w:lang w:val="en-GB"/>
        </w:rPr>
        <w:t>.</w:t>
      </w: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78DB9FD8" w14:textId="479116B4" w:rsidR="00C72848" w:rsidRPr="008E3C96" w:rsidRDefault="00553DCD" w:rsidP="00CA138C">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According to the Guide text, the articles are: </w:t>
      </w:r>
      <w:r w:rsidR="00581234">
        <w:rPr>
          <w:rFonts w:ascii="Avenir Next" w:hAnsi="Avenir Next" w:cs="Arial"/>
          <w:color w:val="7B7B7B" w:themeColor="accent3" w:themeShade="BF"/>
          <w:sz w:val="22"/>
          <w:szCs w:val="22"/>
          <w:lang w:val="en-GB"/>
        </w:rPr>
        <w:t>Articles 41</w:t>
      </w:r>
      <w:r w:rsidR="00AC5F7D">
        <w:rPr>
          <w:rFonts w:ascii="Avenir Next" w:hAnsi="Avenir Next" w:cs="Arial"/>
          <w:color w:val="7B7B7B" w:themeColor="accent3" w:themeShade="BF"/>
          <w:sz w:val="22"/>
          <w:szCs w:val="22"/>
          <w:lang w:val="en-GB"/>
        </w:rPr>
        <w:t xml:space="preserve">, which provides rules on cooperation and communication between insolvency </w:t>
      </w:r>
      <w:r w:rsidR="0003122B">
        <w:rPr>
          <w:rFonts w:ascii="Avenir Next" w:hAnsi="Avenir Next" w:cs="Arial"/>
          <w:color w:val="7B7B7B" w:themeColor="accent3" w:themeShade="BF"/>
          <w:sz w:val="22"/>
          <w:szCs w:val="22"/>
          <w:lang w:val="en-GB"/>
        </w:rPr>
        <w:t>practitioners</w:t>
      </w:r>
      <w:r w:rsidR="00AC5F7D">
        <w:rPr>
          <w:rFonts w:ascii="Avenir Next" w:hAnsi="Avenir Next" w:cs="Arial"/>
          <w:color w:val="7B7B7B" w:themeColor="accent3" w:themeShade="BF"/>
          <w:sz w:val="22"/>
          <w:szCs w:val="22"/>
          <w:lang w:val="en-GB"/>
        </w:rPr>
        <w:t xml:space="preserve">; </w:t>
      </w:r>
      <w:r w:rsidR="0003122B">
        <w:rPr>
          <w:rFonts w:ascii="Avenir Next" w:hAnsi="Avenir Next" w:cs="Arial"/>
          <w:color w:val="7B7B7B" w:themeColor="accent3" w:themeShade="BF"/>
          <w:sz w:val="22"/>
          <w:szCs w:val="22"/>
          <w:lang w:val="en-GB"/>
        </w:rPr>
        <w:t xml:space="preserve">Article 42, which provides rules on cooperation and communication between courts; and article 43, which provides rules on cooperation and communication between </w:t>
      </w:r>
      <w:r w:rsidR="00CA138C">
        <w:rPr>
          <w:rFonts w:ascii="Avenir Next" w:hAnsi="Avenir Next" w:cs="Arial"/>
          <w:color w:val="7B7B7B" w:themeColor="accent3" w:themeShade="BF"/>
          <w:sz w:val="22"/>
          <w:szCs w:val="22"/>
          <w:lang w:val="en-GB"/>
        </w:rPr>
        <w:t xml:space="preserve">insolvency practitioners and </w:t>
      </w:r>
      <w:r w:rsidR="0003122B">
        <w:rPr>
          <w:rFonts w:ascii="Avenir Next" w:hAnsi="Avenir Next" w:cs="Arial"/>
          <w:color w:val="7B7B7B" w:themeColor="accent3" w:themeShade="BF"/>
          <w:sz w:val="22"/>
          <w:szCs w:val="22"/>
          <w:lang w:val="en-GB"/>
        </w:rPr>
        <w:t>courts</w:t>
      </w:r>
      <w:r w:rsidR="00821F38">
        <w:rPr>
          <w:rFonts w:ascii="Avenir Next" w:hAnsi="Avenir Next" w:cs="Arial"/>
          <w:color w:val="7B7B7B" w:themeColor="accent3" w:themeShade="BF"/>
          <w:sz w:val="22"/>
          <w:szCs w:val="22"/>
          <w:lang w:val="en-GB"/>
        </w:rPr>
        <w:t>.</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w:t>
      </w:r>
      <w:r w:rsidRPr="008E3C96">
        <w:rPr>
          <w:rFonts w:ascii="Avenir Next" w:hAnsi="Avenir Next" w:cs="Arial"/>
          <w:sz w:val="22"/>
          <w:szCs w:val="22"/>
          <w:lang w:val="en-GB"/>
        </w:rPr>
        <w:lastRenderedPageBreak/>
        <w:t xml:space="preserve">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296A8396" w14:textId="62DCDF12" w:rsidR="009954B2" w:rsidRDefault="00553DCD" w:rsidP="0053728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described in the guide text, t</w:t>
      </w:r>
      <w:r w:rsidR="00777147">
        <w:rPr>
          <w:rFonts w:ascii="Avenir Next" w:hAnsi="Avenir Next" w:cs="Arial"/>
          <w:color w:val="7B7B7B" w:themeColor="accent3" w:themeShade="BF"/>
          <w:sz w:val="22"/>
          <w:szCs w:val="22"/>
          <w:lang w:val="en-GB"/>
        </w:rPr>
        <w:t>he EIR</w:t>
      </w:r>
      <w:r w:rsidR="00805EEE">
        <w:rPr>
          <w:rFonts w:ascii="Avenir Next" w:hAnsi="Avenir Next" w:cs="Arial"/>
          <w:color w:val="7B7B7B" w:themeColor="accent3" w:themeShade="BF"/>
          <w:sz w:val="22"/>
          <w:szCs w:val="22"/>
          <w:lang w:val="en-GB"/>
        </w:rPr>
        <w:t xml:space="preserve"> Recast provides for the possibility for the court to </w:t>
      </w:r>
      <w:r w:rsidR="0073071E">
        <w:rPr>
          <w:rFonts w:ascii="Avenir Next" w:hAnsi="Avenir Next" w:cs="Arial"/>
          <w:color w:val="7B7B7B" w:themeColor="accent3" w:themeShade="BF"/>
          <w:sz w:val="22"/>
          <w:szCs w:val="22"/>
          <w:lang w:val="en-GB"/>
        </w:rPr>
        <w:t>temporarily</w:t>
      </w:r>
      <w:r w:rsidR="00805EEE">
        <w:rPr>
          <w:rFonts w:ascii="Avenir Next" w:hAnsi="Avenir Next" w:cs="Arial"/>
          <w:color w:val="7B7B7B" w:themeColor="accent3" w:themeShade="BF"/>
          <w:sz w:val="22"/>
          <w:szCs w:val="22"/>
          <w:lang w:val="en-GB"/>
        </w:rPr>
        <w:t xml:space="preserve"> stay the opening </w:t>
      </w:r>
      <w:r w:rsidR="0073071E">
        <w:rPr>
          <w:rFonts w:ascii="Avenir Next" w:hAnsi="Avenir Next" w:cs="Arial"/>
          <w:color w:val="7B7B7B" w:themeColor="accent3" w:themeShade="BF"/>
          <w:sz w:val="22"/>
          <w:szCs w:val="22"/>
          <w:lang w:val="en-GB"/>
        </w:rPr>
        <w:t>of</w:t>
      </w:r>
      <w:r w:rsidR="00805EEE">
        <w:rPr>
          <w:rFonts w:ascii="Avenir Next" w:hAnsi="Avenir Next" w:cs="Arial"/>
          <w:color w:val="7B7B7B" w:themeColor="accent3" w:themeShade="BF"/>
          <w:sz w:val="22"/>
          <w:szCs w:val="22"/>
          <w:lang w:val="en-GB"/>
        </w:rPr>
        <w:t xml:space="preserve"> secondary insolvency proceedings when a temporary </w:t>
      </w:r>
      <w:r w:rsidR="00223E77">
        <w:rPr>
          <w:rFonts w:ascii="Avenir Next" w:hAnsi="Avenir Next" w:cs="Arial"/>
          <w:color w:val="7B7B7B" w:themeColor="accent3" w:themeShade="BF"/>
          <w:sz w:val="22"/>
          <w:szCs w:val="22"/>
          <w:lang w:val="en-GB"/>
        </w:rPr>
        <w:t>stay of individual enforcement proceedings has been granted in the main insolvency proceedings</w:t>
      </w:r>
      <w:r w:rsidR="00537288">
        <w:rPr>
          <w:rFonts w:ascii="Avenir Next" w:hAnsi="Avenir Next" w:cs="Arial"/>
          <w:color w:val="7B7B7B" w:themeColor="accent3" w:themeShade="BF"/>
          <w:sz w:val="22"/>
          <w:szCs w:val="22"/>
          <w:lang w:val="en-GB"/>
        </w:rPr>
        <w:t xml:space="preserve"> (recital 45 EIR Recast)</w:t>
      </w:r>
      <w:r w:rsidR="00223E77">
        <w:rPr>
          <w:rFonts w:ascii="Avenir Next" w:hAnsi="Avenir Next" w:cs="Arial"/>
          <w:color w:val="7B7B7B" w:themeColor="accent3" w:themeShade="BF"/>
          <w:sz w:val="22"/>
          <w:szCs w:val="22"/>
          <w:lang w:val="en-GB"/>
        </w:rPr>
        <w:t>.</w:t>
      </w:r>
    </w:p>
    <w:p w14:paraId="079A7075" w14:textId="36661CD4" w:rsidR="00537288" w:rsidRPr="008E3C96" w:rsidRDefault="00537288" w:rsidP="00537288">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Article 38(2) provides that </w:t>
      </w:r>
      <w:r w:rsidR="002C79F5">
        <w:rPr>
          <w:rFonts w:ascii="Avenir Next" w:hAnsi="Avenir Next" w:cs="Arial"/>
          <w:color w:val="7B7B7B" w:themeColor="accent3" w:themeShade="BF"/>
          <w:sz w:val="22"/>
          <w:szCs w:val="22"/>
          <w:lang w:val="en-GB"/>
        </w:rPr>
        <w:t xml:space="preserve">where the insolvency </w:t>
      </w:r>
      <w:r w:rsidR="0073071E">
        <w:rPr>
          <w:rFonts w:ascii="Avenir Next" w:hAnsi="Avenir Next" w:cs="Arial"/>
          <w:color w:val="7B7B7B" w:themeColor="accent3" w:themeShade="BF"/>
          <w:sz w:val="22"/>
          <w:szCs w:val="22"/>
          <w:lang w:val="en-GB"/>
        </w:rPr>
        <w:t>practitioner</w:t>
      </w:r>
      <w:r w:rsidR="002C79F5">
        <w:rPr>
          <w:rFonts w:ascii="Avenir Next" w:hAnsi="Avenir Next" w:cs="Arial"/>
          <w:color w:val="7B7B7B" w:themeColor="accent3" w:themeShade="BF"/>
          <w:sz w:val="22"/>
          <w:szCs w:val="22"/>
          <w:lang w:val="en-GB"/>
        </w:rPr>
        <w:t xml:space="preserve"> in the main insolvency proceedings has given as undertaking in accordance with article 36, the court asked to open secondary proceedings should not</w:t>
      </w:r>
      <w:r w:rsidR="00E52DE8">
        <w:rPr>
          <w:rFonts w:ascii="Avenir Next" w:hAnsi="Avenir Next" w:cs="Arial"/>
          <w:color w:val="7B7B7B" w:themeColor="accent3" w:themeShade="BF"/>
          <w:sz w:val="22"/>
          <w:szCs w:val="22"/>
          <w:lang w:val="en-GB"/>
        </w:rPr>
        <w:t xml:space="preserve">, at the request of the insolvency practitioner, open them if it </w:t>
      </w:r>
      <w:r w:rsidR="007F02CD">
        <w:rPr>
          <w:rFonts w:ascii="Avenir Next" w:hAnsi="Avenir Next" w:cs="Arial"/>
          <w:color w:val="7B7B7B" w:themeColor="accent3" w:themeShade="BF"/>
          <w:sz w:val="22"/>
          <w:szCs w:val="22"/>
          <w:lang w:val="en-GB"/>
        </w:rPr>
        <w:t xml:space="preserve">is satisfied that the undertaking adequately protects the general interests </w:t>
      </w:r>
      <w:r w:rsidR="0073071E">
        <w:rPr>
          <w:rFonts w:ascii="Avenir Next" w:hAnsi="Avenir Next" w:cs="Arial"/>
          <w:color w:val="7B7B7B" w:themeColor="accent3" w:themeShade="BF"/>
          <w:sz w:val="22"/>
          <w:szCs w:val="22"/>
          <w:lang w:val="en-GB"/>
        </w:rPr>
        <w:t>of local creditors.</w:t>
      </w: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4024A332" w14:textId="33068195" w:rsidR="00544127" w:rsidRPr="008E3C96" w:rsidRDefault="00183FE9" w:rsidP="002A37BB">
      <w:pPr>
        <w:jc w:val="both"/>
        <w:rPr>
          <w:rFonts w:ascii="Avenir Next" w:hAnsi="Avenir Next" w:cs="Arial"/>
          <w:sz w:val="22"/>
          <w:szCs w:val="22"/>
        </w:rPr>
      </w:pPr>
      <w:r>
        <w:rPr>
          <w:rFonts w:ascii="Avenir Next" w:hAnsi="Avenir Next" w:cs="Arial"/>
          <w:color w:val="7B7B7B" w:themeColor="accent3" w:themeShade="BF"/>
          <w:sz w:val="22"/>
          <w:szCs w:val="22"/>
          <w:lang w:val="en-GB"/>
        </w:rPr>
        <w:t>In general, the main elements identified were related to</w:t>
      </w:r>
      <w:r w:rsidR="00BD2BAF">
        <w:rPr>
          <w:rFonts w:ascii="Avenir Next" w:hAnsi="Avenir Next" w:cs="Arial"/>
          <w:color w:val="7B7B7B" w:themeColor="accent3" w:themeShade="BF"/>
          <w:sz w:val="22"/>
          <w:szCs w:val="22"/>
          <w:lang w:val="en-GB"/>
        </w:rPr>
        <w:t xml:space="preserve"> cross-border matters, for example,</w:t>
      </w:r>
      <w:r w:rsidR="00070B39">
        <w:rPr>
          <w:rFonts w:ascii="Avenir Next" w:hAnsi="Avenir Next" w:cs="Arial"/>
          <w:color w:val="7B7B7B" w:themeColor="accent3" w:themeShade="BF"/>
          <w:sz w:val="22"/>
          <w:szCs w:val="22"/>
          <w:lang w:val="en-GB"/>
        </w:rPr>
        <w:t xml:space="preserve"> establishment of unified rules on international jurisdiction, </w:t>
      </w:r>
      <w:r w:rsidR="001247F8">
        <w:rPr>
          <w:rFonts w:ascii="Avenir Next" w:hAnsi="Avenir Next" w:cs="Arial"/>
          <w:color w:val="7B7B7B" w:themeColor="accent3" w:themeShade="BF"/>
          <w:sz w:val="22"/>
          <w:szCs w:val="22"/>
          <w:lang w:val="en-GB"/>
        </w:rPr>
        <w:t xml:space="preserve">recognition/enforcement of foreign insolvency decisions, </w:t>
      </w:r>
      <w:r w:rsidR="0033239A">
        <w:rPr>
          <w:rFonts w:ascii="Avenir Next" w:hAnsi="Avenir Next" w:cs="Arial"/>
          <w:color w:val="7B7B7B" w:themeColor="accent3" w:themeShade="BF"/>
          <w:sz w:val="22"/>
          <w:szCs w:val="22"/>
          <w:lang w:val="en-GB"/>
        </w:rPr>
        <w:t>efficiency/effectiveness of cross-border proceedings</w:t>
      </w:r>
      <w:r w:rsidR="0043080E">
        <w:rPr>
          <w:rFonts w:ascii="Avenir Next" w:hAnsi="Avenir Next" w:cs="Arial"/>
          <w:color w:val="7B7B7B" w:themeColor="accent3" w:themeShade="BF"/>
          <w:sz w:val="22"/>
          <w:szCs w:val="22"/>
          <w:lang w:val="en-GB"/>
        </w:rPr>
        <w:t>,</w:t>
      </w:r>
      <w:r w:rsidR="0033239A">
        <w:rPr>
          <w:rFonts w:ascii="Avenir Next" w:hAnsi="Avenir Next" w:cs="Arial"/>
          <w:color w:val="7B7B7B" w:themeColor="accent3" w:themeShade="BF"/>
          <w:sz w:val="22"/>
          <w:szCs w:val="22"/>
          <w:lang w:val="en-GB"/>
        </w:rPr>
        <w:t xml:space="preserve"> equal treatment of creditors</w:t>
      </w:r>
      <w:r w:rsidR="0043080E">
        <w:rPr>
          <w:rFonts w:ascii="Avenir Next" w:hAnsi="Avenir Next" w:cs="Arial"/>
          <w:color w:val="7B7B7B" w:themeColor="accent3" w:themeShade="BF"/>
          <w:sz w:val="22"/>
          <w:szCs w:val="22"/>
          <w:lang w:val="en-GB"/>
        </w:rPr>
        <w:t xml:space="preserve">, </w:t>
      </w:r>
      <w:r w:rsidR="00251EFD">
        <w:rPr>
          <w:rFonts w:ascii="Avenir Next" w:hAnsi="Avenir Next" w:cs="Arial"/>
          <w:color w:val="7B7B7B" w:themeColor="accent3" w:themeShade="BF"/>
          <w:sz w:val="22"/>
          <w:szCs w:val="22"/>
          <w:lang w:val="en-GB"/>
        </w:rPr>
        <w:t>protect</w:t>
      </w:r>
      <w:r w:rsidR="0043080E">
        <w:rPr>
          <w:rFonts w:ascii="Avenir Next" w:hAnsi="Avenir Next" w:cs="Arial"/>
          <w:color w:val="7B7B7B" w:themeColor="accent3" w:themeShade="BF"/>
          <w:sz w:val="22"/>
          <w:szCs w:val="22"/>
          <w:lang w:val="en-GB"/>
        </w:rPr>
        <w:t>ion of</w:t>
      </w:r>
      <w:r w:rsidR="00251EFD">
        <w:rPr>
          <w:rFonts w:ascii="Avenir Next" w:hAnsi="Avenir Next" w:cs="Arial"/>
          <w:color w:val="7B7B7B" w:themeColor="accent3" w:themeShade="BF"/>
          <w:sz w:val="22"/>
          <w:szCs w:val="22"/>
          <w:lang w:val="en-GB"/>
        </w:rPr>
        <w:t xml:space="preserve"> </w:t>
      </w:r>
      <w:r w:rsidR="002E27D8">
        <w:rPr>
          <w:rFonts w:ascii="Avenir Next" w:hAnsi="Avenir Next" w:cs="Arial"/>
          <w:color w:val="7B7B7B" w:themeColor="accent3" w:themeShade="BF"/>
          <w:sz w:val="22"/>
          <w:szCs w:val="22"/>
          <w:lang w:val="en-GB"/>
        </w:rPr>
        <w:t>legitimate expectations and transactions</w:t>
      </w:r>
      <w:r w:rsidR="0043080E">
        <w:rPr>
          <w:rFonts w:ascii="Avenir Next" w:hAnsi="Avenir Next" w:cs="Arial"/>
          <w:color w:val="7B7B7B" w:themeColor="accent3" w:themeShade="BF"/>
          <w:sz w:val="22"/>
          <w:szCs w:val="22"/>
          <w:lang w:val="en-GB"/>
        </w:rPr>
        <w:t xml:space="preserve">, </w:t>
      </w:r>
      <w:r w:rsidR="009B76CD">
        <w:rPr>
          <w:rFonts w:ascii="Avenir Next" w:hAnsi="Avenir Next" w:cs="Arial"/>
          <w:color w:val="7B7B7B" w:themeColor="accent3" w:themeShade="BF"/>
          <w:sz w:val="22"/>
          <w:szCs w:val="22"/>
          <w:lang w:val="en-GB"/>
        </w:rPr>
        <w:t xml:space="preserve">communication between insolvency courts and insolvency </w:t>
      </w:r>
      <w:r w:rsidR="00BC14D4">
        <w:rPr>
          <w:rFonts w:ascii="Avenir Next" w:hAnsi="Avenir Next" w:cs="Arial"/>
          <w:color w:val="7B7B7B" w:themeColor="accent3" w:themeShade="BF"/>
          <w:sz w:val="22"/>
          <w:szCs w:val="22"/>
          <w:lang w:val="en-GB"/>
        </w:rPr>
        <w:t>practitioners</w:t>
      </w:r>
      <w:r w:rsidR="002E27D8">
        <w:rPr>
          <w:rFonts w:ascii="Avenir Next" w:hAnsi="Avenir Next" w:cs="Arial"/>
          <w:color w:val="7B7B7B" w:themeColor="accent3" w:themeShade="BF"/>
          <w:sz w:val="22"/>
          <w:szCs w:val="22"/>
          <w:lang w:val="en-GB"/>
        </w:rPr>
        <w:t xml:space="preserve">. </w:t>
      </w:r>
      <w:r w:rsidR="0056430D">
        <w:rPr>
          <w:rFonts w:ascii="Avenir Next" w:hAnsi="Avenir Next" w:cs="Arial"/>
          <w:color w:val="7B7B7B" w:themeColor="accent3" w:themeShade="BF"/>
          <w:sz w:val="22"/>
          <w:szCs w:val="22"/>
          <w:lang w:val="en-GB"/>
        </w:rPr>
        <w:t xml:space="preserve">These </w:t>
      </w:r>
      <w:r w:rsidR="00435040">
        <w:rPr>
          <w:rFonts w:ascii="Avenir Next" w:hAnsi="Avenir Next" w:cs="Arial"/>
          <w:color w:val="7B7B7B" w:themeColor="accent3" w:themeShade="BF"/>
          <w:sz w:val="22"/>
          <w:szCs w:val="22"/>
          <w:lang w:val="en-GB"/>
        </w:rPr>
        <w:t xml:space="preserve">issues were mainly adopted by the EIR Recast, which brought </w:t>
      </w:r>
      <w:r w:rsidR="00BC14D4">
        <w:rPr>
          <w:rFonts w:ascii="Avenir Next" w:hAnsi="Avenir Next" w:cs="Arial"/>
          <w:color w:val="7B7B7B" w:themeColor="accent3" w:themeShade="BF"/>
          <w:sz w:val="22"/>
          <w:szCs w:val="22"/>
          <w:lang w:val="en-GB"/>
        </w:rPr>
        <w:t xml:space="preserve">new / modern rules seeking to improve these issues of the </w:t>
      </w:r>
      <w:r w:rsidR="006E157D">
        <w:rPr>
          <w:rFonts w:ascii="Avenir Next" w:hAnsi="Avenir Next" w:cs="Arial"/>
          <w:color w:val="7B7B7B" w:themeColor="accent3" w:themeShade="BF"/>
          <w:sz w:val="22"/>
          <w:szCs w:val="22"/>
          <w:lang w:val="en-GB"/>
        </w:rPr>
        <w:t>EIR 2000.</w:t>
      </w: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7940D274" w14:textId="32B8D3B7" w:rsidR="00DF75F8" w:rsidRPr="008E3C96" w:rsidRDefault="00C11E78"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short, </w:t>
      </w:r>
      <w:r w:rsidR="00F33230">
        <w:rPr>
          <w:rFonts w:ascii="Avenir Next" w:hAnsi="Avenir Next" w:cs="Arial"/>
          <w:color w:val="7B7B7B" w:themeColor="accent3" w:themeShade="BF"/>
          <w:sz w:val="22"/>
          <w:szCs w:val="22"/>
          <w:lang w:val="en-GB"/>
        </w:rPr>
        <w:t xml:space="preserve">some stakeholders state that the EIR Recast failed to promote </w:t>
      </w:r>
      <w:r w:rsidR="00DE3ADC">
        <w:rPr>
          <w:rFonts w:ascii="Avenir Next" w:hAnsi="Avenir Next" w:cs="Arial"/>
          <w:color w:val="7B7B7B" w:themeColor="accent3" w:themeShade="BF"/>
          <w:sz w:val="22"/>
          <w:szCs w:val="22"/>
          <w:lang w:val="en-GB"/>
        </w:rPr>
        <w:t xml:space="preserve">some important insolvency issues. For example, reducing the </w:t>
      </w:r>
      <w:r w:rsidR="00854066">
        <w:rPr>
          <w:rFonts w:ascii="Avenir Next" w:hAnsi="Avenir Next" w:cs="Arial"/>
          <w:color w:val="7B7B7B" w:themeColor="accent3" w:themeShade="BF"/>
          <w:sz w:val="22"/>
          <w:szCs w:val="22"/>
          <w:lang w:val="en-GB"/>
        </w:rPr>
        <w:t>formalities</w:t>
      </w:r>
      <w:r w:rsidR="00DE3ADC">
        <w:rPr>
          <w:rFonts w:ascii="Avenir Next" w:hAnsi="Avenir Next" w:cs="Arial"/>
          <w:color w:val="7B7B7B" w:themeColor="accent3" w:themeShade="BF"/>
          <w:sz w:val="22"/>
          <w:szCs w:val="22"/>
          <w:lang w:val="en-GB"/>
        </w:rPr>
        <w:t xml:space="preserve"> </w:t>
      </w:r>
      <w:r w:rsidR="00854066">
        <w:rPr>
          <w:rFonts w:ascii="Avenir Next" w:hAnsi="Avenir Next" w:cs="Arial"/>
          <w:color w:val="7B7B7B" w:themeColor="accent3" w:themeShade="BF"/>
          <w:sz w:val="22"/>
          <w:szCs w:val="22"/>
          <w:lang w:val="en-GB"/>
        </w:rPr>
        <w:t>and improving flexibility in national preventive restruct</w:t>
      </w:r>
      <w:r w:rsidR="00765F84">
        <w:rPr>
          <w:rFonts w:ascii="Avenir Next" w:hAnsi="Avenir Next" w:cs="Arial"/>
          <w:color w:val="7B7B7B" w:themeColor="accent3" w:themeShade="BF"/>
          <w:sz w:val="22"/>
          <w:szCs w:val="22"/>
          <w:lang w:val="en-GB"/>
        </w:rPr>
        <w:t xml:space="preserve">uring procedures; and </w:t>
      </w:r>
      <w:r w:rsidR="005F7B77">
        <w:rPr>
          <w:rFonts w:ascii="Avenir Next" w:hAnsi="Avenir Next" w:cs="Arial"/>
          <w:color w:val="7B7B7B" w:themeColor="accent3" w:themeShade="BF"/>
          <w:sz w:val="22"/>
          <w:szCs w:val="22"/>
          <w:lang w:val="en-GB"/>
        </w:rPr>
        <w:t xml:space="preserve">to protect the interests of dissenting creditors. Although, in my opinion the EIR Recast tried to </w:t>
      </w:r>
      <w:r w:rsidR="00D22B00">
        <w:rPr>
          <w:rFonts w:ascii="Avenir Next" w:hAnsi="Avenir Next" w:cs="Arial"/>
          <w:color w:val="7B7B7B" w:themeColor="accent3" w:themeShade="BF"/>
          <w:sz w:val="22"/>
          <w:szCs w:val="22"/>
          <w:lang w:val="en-GB"/>
        </w:rPr>
        <w:t xml:space="preserve">improve and regulate </w:t>
      </w:r>
      <w:r w:rsidR="007D507F">
        <w:rPr>
          <w:rFonts w:ascii="Avenir Next" w:hAnsi="Avenir Next" w:cs="Arial"/>
          <w:color w:val="7B7B7B" w:themeColor="accent3" w:themeShade="BF"/>
          <w:sz w:val="22"/>
          <w:szCs w:val="22"/>
          <w:lang w:val="en-GB"/>
        </w:rPr>
        <w:t>these issues</w:t>
      </w:r>
      <w:r w:rsidR="00D22B00">
        <w:rPr>
          <w:rFonts w:ascii="Avenir Next" w:hAnsi="Avenir Next" w:cs="Arial"/>
          <w:color w:val="7B7B7B" w:themeColor="accent3" w:themeShade="BF"/>
          <w:sz w:val="22"/>
          <w:szCs w:val="22"/>
          <w:lang w:val="en-GB"/>
        </w:rPr>
        <w:t xml:space="preserve">, I believe that indeed some stronger and clear rule on these matters were necessary. That would improve the legal safety of parties involved, and, therefore reduce the number of litigations concerning the </w:t>
      </w:r>
      <w:r w:rsidR="007D507F">
        <w:rPr>
          <w:rFonts w:ascii="Avenir Next" w:hAnsi="Avenir Next" w:cs="Arial"/>
          <w:color w:val="7B7B7B" w:themeColor="accent3" w:themeShade="BF"/>
          <w:sz w:val="22"/>
          <w:szCs w:val="22"/>
          <w:lang w:val="en-GB"/>
        </w:rPr>
        <w:t>lack of an unified interpretation of the insolvency law.</w:t>
      </w: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4E83D7AF" w14:textId="37FB0F9D" w:rsidR="00DF75F8" w:rsidRPr="008E3C96" w:rsidRDefault="00DF75F8" w:rsidP="002A37BB">
      <w:pPr>
        <w:jc w:val="both"/>
        <w:rPr>
          <w:rFonts w:ascii="Avenir Next" w:hAnsi="Avenir Next" w:cs="Arial"/>
          <w:sz w:val="22"/>
          <w:szCs w:val="22"/>
          <w:lang w:val="en-GB"/>
        </w:rPr>
      </w:pPr>
      <w:r w:rsidRPr="008E3C96">
        <w:rPr>
          <w:rFonts w:ascii="Avenir Next" w:hAnsi="Avenir Next" w:cs="Arial"/>
          <w:color w:val="7B7B7B" w:themeColor="accent3" w:themeShade="BF"/>
          <w:sz w:val="22"/>
          <w:szCs w:val="22"/>
          <w:lang w:val="en-GB"/>
        </w:rPr>
        <w:t>[Type your answer here]</w:t>
      </w: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0D37BBBB" w14:textId="5DBAB385" w:rsidR="002F75A3" w:rsidRDefault="007225BA"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did not contain a definition of COMI. </w:t>
      </w:r>
      <w:r w:rsidR="00600D38">
        <w:rPr>
          <w:rFonts w:ascii="Avenir Next" w:hAnsi="Avenir Next" w:cs="Arial"/>
          <w:color w:val="7B7B7B" w:themeColor="accent3" w:themeShade="BF"/>
          <w:sz w:val="22"/>
          <w:szCs w:val="22"/>
          <w:lang w:val="en-GB"/>
        </w:rPr>
        <w:t xml:space="preserve">Recital 13, however, provided some </w:t>
      </w:r>
      <w:r w:rsidR="00955BD0">
        <w:rPr>
          <w:rFonts w:ascii="Avenir Next" w:hAnsi="Avenir Next" w:cs="Arial"/>
          <w:color w:val="7B7B7B" w:themeColor="accent3" w:themeShade="BF"/>
          <w:sz w:val="22"/>
          <w:szCs w:val="22"/>
          <w:lang w:val="en-GB"/>
        </w:rPr>
        <w:t xml:space="preserve">guidance on this matter, establishing that </w:t>
      </w:r>
      <w:r w:rsidR="00A6433D">
        <w:rPr>
          <w:rFonts w:ascii="Avenir Next" w:hAnsi="Avenir Next" w:cs="Arial"/>
          <w:color w:val="7B7B7B" w:themeColor="accent3" w:themeShade="BF"/>
          <w:sz w:val="22"/>
          <w:szCs w:val="22"/>
          <w:lang w:val="en-GB"/>
        </w:rPr>
        <w:t xml:space="preserve">the COMI shall be the place where the debtor </w:t>
      </w:r>
      <w:r w:rsidR="009336F9">
        <w:rPr>
          <w:rFonts w:ascii="Avenir Next" w:hAnsi="Avenir Next" w:cs="Arial"/>
          <w:color w:val="7B7B7B" w:themeColor="accent3" w:themeShade="BF"/>
          <w:sz w:val="22"/>
          <w:szCs w:val="22"/>
          <w:lang w:val="en-GB"/>
        </w:rPr>
        <w:t>conducts</w:t>
      </w:r>
      <w:r w:rsidR="00A6433D">
        <w:rPr>
          <w:rFonts w:ascii="Avenir Next" w:hAnsi="Avenir Next" w:cs="Arial"/>
          <w:color w:val="7B7B7B" w:themeColor="accent3" w:themeShade="BF"/>
          <w:sz w:val="22"/>
          <w:szCs w:val="22"/>
          <w:lang w:val="en-GB"/>
        </w:rPr>
        <w:t xml:space="preserve"> the administration of its </w:t>
      </w:r>
      <w:r w:rsidR="00797386">
        <w:rPr>
          <w:rFonts w:ascii="Avenir Next" w:hAnsi="Avenir Next" w:cs="Arial"/>
          <w:color w:val="7B7B7B" w:themeColor="accent3" w:themeShade="BF"/>
          <w:sz w:val="22"/>
          <w:szCs w:val="22"/>
          <w:lang w:val="en-GB"/>
        </w:rPr>
        <w:t xml:space="preserve">interests on a regular basis and which is ascertainable by third parties. </w:t>
      </w:r>
      <w:r w:rsidR="0056040B">
        <w:rPr>
          <w:rFonts w:ascii="Avenir Next" w:hAnsi="Avenir Next" w:cs="Arial"/>
          <w:color w:val="7B7B7B" w:themeColor="accent3" w:themeShade="BF"/>
          <w:sz w:val="22"/>
          <w:szCs w:val="22"/>
          <w:lang w:val="en-GB"/>
        </w:rPr>
        <w:t xml:space="preserve">The most </w:t>
      </w:r>
      <w:r w:rsidR="00961CA2">
        <w:rPr>
          <w:rFonts w:ascii="Avenir Next" w:hAnsi="Avenir Next" w:cs="Arial"/>
          <w:color w:val="7B7B7B" w:themeColor="accent3" w:themeShade="BF"/>
          <w:sz w:val="22"/>
          <w:szCs w:val="22"/>
          <w:lang w:val="en-GB"/>
        </w:rPr>
        <w:t>important</w:t>
      </w:r>
      <w:r w:rsidR="0056040B">
        <w:rPr>
          <w:rFonts w:ascii="Avenir Next" w:hAnsi="Avenir Next" w:cs="Arial"/>
          <w:color w:val="7B7B7B" w:themeColor="accent3" w:themeShade="BF"/>
          <w:sz w:val="22"/>
          <w:szCs w:val="22"/>
          <w:lang w:val="en-GB"/>
        </w:rPr>
        <w:t xml:space="preserve"> case precedent regarding this matter</w:t>
      </w:r>
      <w:r w:rsidR="00961CA2">
        <w:rPr>
          <w:rFonts w:ascii="Avenir Next" w:hAnsi="Avenir Next" w:cs="Arial"/>
          <w:color w:val="7B7B7B" w:themeColor="accent3" w:themeShade="BF"/>
          <w:sz w:val="22"/>
          <w:szCs w:val="22"/>
          <w:lang w:val="en-GB"/>
        </w:rPr>
        <w:t xml:space="preserve">, involving Eurofood IFSC Ltd, the Court stressed the the concept of </w:t>
      </w:r>
      <w:r w:rsidR="00A73E9B">
        <w:rPr>
          <w:rFonts w:ascii="Avenir Next" w:hAnsi="Avenir Next" w:cs="Arial"/>
          <w:color w:val="7B7B7B" w:themeColor="accent3" w:themeShade="BF"/>
          <w:sz w:val="22"/>
          <w:szCs w:val="22"/>
          <w:lang w:val="en-GB"/>
        </w:rPr>
        <w:t xml:space="preserve">COMI has an autonomous meaning and must therefore be interpreted in </w:t>
      </w:r>
      <w:r w:rsidR="008D3E9B">
        <w:rPr>
          <w:rFonts w:ascii="Avenir Next" w:hAnsi="Avenir Next" w:cs="Arial"/>
          <w:color w:val="7B7B7B" w:themeColor="accent3" w:themeShade="BF"/>
          <w:sz w:val="22"/>
          <w:szCs w:val="22"/>
          <w:lang w:val="en-GB"/>
        </w:rPr>
        <w:t>a</w:t>
      </w:r>
      <w:r w:rsidR="00A73E9B">
        <w:rPr>
          <w:rFonts w:ascii="Avenir Next" w:hAnsi="Avenir Next" w:cs="Arial"/>
          <w:color w:val="7B7B7B" w:themeColor="accent3" w:themeShade="BF"/>
          <w:sz w:val="22"/>
          <w:szCs w:val="22"/>
          <w:lang w:val="en-GB"/>
        </w:rPr>
        <w:t xml:space="preserve"> uniform way. </w:t>
      </w:r>
      <w:r w:rsidR="008D3E9B">
        <w:rPr>
          <w:rFonts w:ascii="Avenir Next" w:hAnsi="Avenir Next" w:cs="Arial"/>
          <w:color w:val="7B7B7B" w:themeColor="accent3" w:themeShade="BF"/>
          <w:sz w:val="22"/>
          <w:szCs w:val="22"/>
          <w:lang w:val="en-GB"/>
        </w:rPr>
        <w:t xml:space="preserve">This </w:t>
      </w:r>
      <w:r w:rsidR="00CE273B">
        <w:rPr>
          <w:rFonts w:ascii="Avenir Next" w:hAnsi="Avenir Next" w:cs="Arial"/>
          <w:color w:val="7B7B7B" w:themeColor="accent3" w:themeShade="BF"/>
          <w:sz w:val="22"/>
          <w:szCs w:val="22"/>
          <w:lang w:val="en-GB"/>
        </w:rPr>
        <w:t>understanding was also reinforced by the CJEU.</w:t>
      </w:r>
    </w:p>
    <w:p w14:paraId="4DFEA7FD" w14:textId="72695BA9" w:rsidR="00CE273B" w:rsidRPr="008E3C96" w:rsidRDefault="00CE273B"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Due to the above, </w:t>
      </w:r>
      <w:r w:rsidR="001E0FA4">
        <w:rPr>
          <w:rFonts w:ascii="Avenir Next" w:hAnsi="Avenir Next" w:cs="Arial"/>
          <w:color w:val="7B7B7B" w:themeColor="accent3" w:themeShade="BF"/>
          <w:sz w:val="22"/>
          <w:szCs w:val="22"/>
          <w:lang w:val="en-GB"/>
        </w:rPr>
        <w:t xml:space="preserve">since EIR 2000 did not provide a clear </w:t>
      </w:r>
      <w:r w:rsidR="0087296A">
        <w:rPr>
          <w:rFonts w:ascii="Avenir Next" w:hAnsi="Avenir Next" w:cs="Arial"/>
          <w:color w:val="7B7B7B" w:themeColor="accent3" w:themeShade="BF"/>
          <w:sz w:val="22"/>
          <w:szCs w:val="22"/>
          <w:lang w:val="en-GB"/>
        </w:rPr>
        <w:t>concept of COMI, although Bella SARL was registered in France, parti</w:t>
      </w:r>
      <w:r w:rsidR="006C4198">
        <w:rPr>
          <w:rFonts w:ascii="Avenir Next" w:hAnsi="Avenir Next" w:cs="Arial"/>
          <w:color w:val="7B7B7B" w:themeColor="accent3" w:themeShade="BF"/>
          <w:sz w:val="22"/>
          <w:szCs w:val="22"/>
          <w:lang w:val="en-GB"/>
        </w:rPr>
        <w:t>e</w:t>
      </w:r>
      <w:r w:rsidR="0087296A">
        <w:rPr>
          <w:rFonts w:ascii="Avenir Next" w:hAnsi="Avenir Next" w:cs="Arial"/>
          <w:color w:val="7B7B7B" w:themeColor="accent3" w:themeShade="BF"/>
          <w:sz w:val="22"/>
          <w:szCs w:val="22"/>
          <w:lang w:val="en-GB"/>
        </w:rPr>
        <w:t xml:space="preserve">s might argue that is COMI is actually </w:t>
      </w:r>
      <w:r w:rsidR="006C4198">
        <w:rPr>
          <w:rFonts w:ascii="Avenir Next" w:hAnsi="Avenir Next" w:cs="Arial"/>
          <w:color w:val="7B7B7B" w:themeColor="accent3" w:themeShade="BF"/>
          <w:sz w:val="22"/>
          <w:szCs w:val="22"/>
          <w:lang w:val="en-GB"/>
        </w:rPr>
        <w:t xml:space="preserve">in Ireland. </w:t>
      </w:r>
      <w:r w:rsidR="00F12E4D">
        <w:rPr>
          <w:rFonts w:ascii="Avenir Next" w:hAnsi="Avenir Next" w:cs="Arial"/>
          <w:color w:val="7B7B7B" w:themeColor="accent3" w:themeShade="BF"/>
          <w:sz w:val="22"/>
          <w:szCs w:val="22"/>
          <w:lang w:val="en-GB"/>
        </w:rPr>
        <w:t xml:space="preserve">Notwithstanding, if Bella SARL evidences that it conduct its administration from France,  then </w:t>
      </w:r>
      <w:r w:rsidR="00870BB9">
        <w:rPr>
          <w:rFonts w:ascii="Avenir Next" w:hAnsi="Avenir Next" w:cs="Arial"/>
          <w:color w:val="7B7B7B" w:themeColor="accent3" w:themeShade="BF"/>
          <w:sz w:val="22"/>
          <w:szCs w:val="22"/>
          <w:lang w:val="en-GB"/>
        </w:rPr>
        <w:t>the Strasburg High Court might have jurisdiction to open the requested safeguard.</w:t>
      </w: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626FA5C6" w14:textId="7D47A6D2" w:rsidR="002D3473" w:rsidRPr="008E3C96" w:rsidRDefault="00016342" w:rsidP="002A37BB">
      <w:p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Provisions of the EIR Recast apply </w:t>
      </w:r>
      <w:r w:rsidR="00EF7FB7">
        <w:rPr>
          <w:rFonts w:ascii="Avenir Next" w:hAnsi="Avenir Next" w:cs="Arial"/>
          <w:color w:val="7B7B7B" w:themeColor="accent3" w:themeShade="BF"/>
          <w:sz w:val="22"/>
          <w:szCs w:val="22"/>
          <w:lang w:val="en-GB"/>
        </w:rPr>
        <w:t>only to insolvency proceedings opened after June 26, 2017</w:t>
      </w:r>
      <w:r w:rsidR="00FE008C">
        <w:rPr>
          <w:rFonts w:ascii="Avenir Next" w:hAnsi="Avenir Next" w:cs="Arial"/>
          <w:color w:val="7B7B7B" w:themeColor="accent3" w:themeShade="BF"/>
          <w:sz w:val="22"/>
          <w:szCs w:val="22"/>
          <w:lang w:val="en-GB"/>
        </w:rPr>
        <w:t xml:space="preserve"> (article 84(1) EIR Recast). Proceedings opened before this date must be governed by the EIR 2000. Due to this above</w:t>
      </w:r>
      <w:r w:rsidR="005105EC">
        <w:rPr>
          <w:rFonts w:ascii="Avenir Next" w:hAnsi="Avenir Next" w:cs="Arial"/>
          <w:color w:val="7B7B7B" w:themeColor="accent3" w:themeShade="BF"/>
          <w:sz w:val="22"/>
          <w:szCs w:val="22"/>
          <w:lang w:val="en-GB"/>
        </w:rPr>
        <w:t>, the EIR Recast will not regulate the proceeding of Bella SARL.</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77CE8695" w14:textId="3FDDD0D5" w:rsidR="0077498C" w:rsidRPr="008E3C96" w:rsidRDefault="00F87FA4" w:rsidP="002A37BB">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 xml:space="preserve">Secondary proceedings might be opened in every place where the debtor has an establishment. </w:t>
      </w:r>
      <w:r w:rsidR="00CE2964">
        <w:rPr>
          <w:rFonts w:ascii="Avenir Next" w:hAnsi="Avenir Next" w:cs="Arial"/>
          <w:color w:val="7B7B7B" w:themeColor="accent3" w:themeShade="BF"/>
          <w:sz w:val="22"/>
          <w:szCs w:val="22"/>
          <w:lang w:val="en-GB"/>
        </w:rPr>
        <w:t xml:space="preserve"> This secondary proceeding will </w:t>
      </w:r>
      <w:r w:rsidR="00254CD0">
        <w:rPr>
          <w:rFonts w:ascii="Avenir Next" w:hAnsi="Avenir Next" w:cs="Arial"/>
          <w:color w:val="7B7B7B" w:themeColor="accent3" w:themeShade="BF"/>
          <w:sz w:val="22"/>
          <w:szCs w:val="22"/>
          <w:lang w:val="en-GB"/>
        </w:rPr>
        <w:t xml:space="preserve">cover only the assets located in this place. Therefore, as a rule, </w:t>
      </w:r>
      <w:r w:rsidR="002212B6">
        <w:rPr>
          <w:rFonts w:ascii="Avenir Next" w:hAnsi="Avenir Next" w:cs="Arial"/>
          <w:color w:val="7B7B7B" w:themeColor="accent3" w:themeShade="BF"/>
          <w:sz w:val="22"/>
          <w:szCs w:val="22"/>
          <w:lang w:val="en-GB"/>
        </w:rPr>
        <w:t xml:space="preserve">the Italian Bank might request the opening of this proceeding </w:t>
      </w:r>
      <w:r w:rsidR="00D056BD">
        <w:rPr>
          <w:rFonts w:ascii="Avenir Next" w:hAnsi="Avenir Next" w:cs="Arial"/>
          <w:color w:val="7B7B7B" w:themeColor="accent3" w:themeShade="BF"/>
          <w:sz w:val="22"/>
          <w:szCs w:val="22"/>
          <w:lang w:val="en-GB"/>
        </w:rPr>
        <w:t xml:space="preserve">in Italy, since Bella SARL has an warehouse located in this country. Notwithstanding, </w:t>
      </w:r>
      <w:r w:rsidR="008241F7">
        <w:rPr>
          <w:rFonts w:ascii="Avenir Next" w:hAnsi="Avenir Next" w:cs="Arial"/>
          <w:color w:val="7B7B7B" w:themeColor="accent3" w:themeShade="BF"/>
          <w:sz w:val="22"/>
          <w:szCs w:val="22"/>
          <w:lang w:val="en-GB"/>
        </w:rPr>
        <w:t>the EIR Recast provides some limitations for the opening of this proceedings</w:t>
      </w:r>
      <w:r w:rsidR="00F62AE6">
        <w:rPr>
          <w:rFonts w:ascii="Avenir Next" w:hAnsi="Avenir Next" w:cs="Arial"/>
          <w:color w:val="7B7B7B" w:themeColor="accent3" w:themeShade="BF"/>
          <w:sz w:val="22"/>
          <w:szCs w:val="22"/>
          <w:lang w:val="en-GB"/>
        </w:rPr>
        <w:t xml:space="preserve"> (e.g.,  </w:t>
      </w:r>
      <w:r w:rsidR="0023437E">
        <w:rPr>
          <w:rFonts w:ascii="Avenir Next" w:hAnsi="Avenir Next" w:cs="Arial"/>
          <w:color w:val="7B7B7B" w:themeColor="accent3" w:themeShade="BF"/>
          <w:sz w:val="22"/>
          <w:szCs w:val="22"/>
          <w:lang w:val="en-GB"/>
        </w:rPr>
        <w:t xml:space="preserve">right to give an undertaking and </w:t>
      </w:r>
      <w:r w:rsidR="006B53A2">
        <w:rPr>
          <w:rFonts w:ascii="Avenir Next" w:hAnsi="Avenir Next" w:cs="Arial"/>
          <w:color w:val="7B7B7B" w:themeColor="accent3" w:themeShade="BF"/>
          <w:sz w:val="22"/>
          <w:szCs w:val="22"/>
          <w:lang w:val="en-GB"/>
        </w:rPr>
        <w:t>stay of the opening of this proceeding)</w:t>
      </w:r>
      <w:r w:rsidR="008241F7">
        <w:rPr>
          <w:rFonts w:ascii="Avenir Next" w:hAnsi="Avenir Next" w:cs="Arial"/>
          <w:color w:val="7B7B7B" w:themeColor="accent3" w:themeShade="BF"/>
          <w:sz w:val="22"/>
          <w:szCs w:val="22"/>
          <w:lang w:val="en-GB"/>
        </w:rPr>
        <w:t xml:space="preserve">, and so the Italian Bank must verify whether </w:t>
      </w:r>
      <w:r w:rsidR="00F62AE6">
        <w:rPr>
          <w:rFonts w:ascii="Avenir Next" w:hAnsi="Avenir Next" w:cs="Arial"/>
          <w:color w:val="7B7B7B" w:themeColor="accent3" w:themeShade="BF"/>
          <w:sz w:val="22"/>
          <w:szCs w:val="22"/>
          <w:lang w:val="en-GB"/>
        </w:rPr>
        <w:t xml:space="preserve">any of this limitations are present in the current case. </w:t>
      </w:r>
      <w:r w:rsidR="00D056BD">
        <w:rPr>
          <w:rFonts w:ascii="Avenir Next" w:hAnsi="Avenir Next" w:cs="Arial"/>
          <w:color w:val="7B7B7B" w:themeColor="accent3" w:themeShade="BF"/>
          <w:sz w:val="22"/>
          <w:szCs w:val="22"/>
          <w:lang w:val="en-GB"/>
        </w:rPr>
        <w:t xml:space="preserve"> </w:t>
      </w: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25DB" w14:textId="77777777" w:rsidR="00C62AEB" w:rsidRDefault="00C62AEB" w:rsidP="00241B44">
      <w:r>
        <w:separator/>
      </w:r>
    </w:p>
  </w:endnote>
  <w:endnote w:type="continuationSeparator" w:id="0">
    <w:p w14:paraId="7B6F979E" w14:textId="77777777" w:rsidR="00C62AEB" w:rsidRDefault="00C62AE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D509A5" w:rsidRPr="00FC7B47" w:rsidRDefault="00D509A5"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D509A5" w:rsidRPr="00FC7B47" w:rsidRDefault="00D509A5" w:rsidP="00FC7B47">
    <w:pPr>
      <w:pStyle w:val="Rodap"/>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rFonts w:ascii="Arial" w:hAnsi="Arial"/>
        <w:sz w:val="18"/>
        <w:szCs w:val="18"/>
      </w:rPr>
    </w:sdtEndPr>
    <w:sdtContent>
      <w:p w14:paraId="0A05F8FD" w14:textId="25250B7C" w:rsidR="00D509A5" w:rsidRPr="009B4976" w:rsidRDefault="00D509A5" w:rsidP="00D509A5">
        <w:pPr>
          <w:pStyle w:val="Rodap"/>
          <w:framePr w:wrap="none" w:vAnchor="text" w:hAnchor="margin" w:xAlign="right" w:y="1"/>
          <w:rPr>
            <w:rStyle w:val="Nmerodepgina"/>
            <w:rFonts w:ascii="Arial" w:hAnsi="Arial" w:cs="Arial"/>
            <w:sz w:val="18"/>
            <w:szCs w:val="18"/>
          </w:rPr>
        </w:pPr>
        <w:r w:rsidRPr="00E36039">
          <w:rPr>
            <w:rStyle w:val="Nmerodepgina"/>
            <w:rFonts w:ascii="Avenir Next" w:hAnsi="Avenir Next" w:cs="Arial"/>
            <w:sz w:val="22"/>
            <w:szCs w:val="22"/>
          </w:rPr>
          <w:t xml:space="preserve">Page </w:t>
        </w:r>
        <w:r w:rsidRPr="00E36039">
          <w:rPr>
            <w:rStyle w:val="Nmerodepgina"/>
            <w:rFonts w:ascii="Avenir Next" w:hAnsi="Avenir Next" w:cs="Arial"/>
            <w:sz w:val="22"/>
            <w:szCs w:val="22"/>
          </w:rPr>
          <w:fldChar w:fldCharType="begin"/>
        </w:r>
        <w:r w:rsidRPr="00E36039">
          <w:rPr>
            <w:rStyle w:val="Nmerodepgina"/>
            <w:rFonts w:ascii="Avenir Next" w:hAnsi="Avenir Next" w:cs="Arial"/>
            <w:sz w:val="22"/>
            <w:szCs w:val="22"/>
          </w:rPr>
          <w:instrText xml:space="preserve"> PAGE </w:instrText>
        </w:r>
        <w:r w:rsidRPr="00E36039">
          <w:rPr>
            <w:rStyle w:val="Nmerodepgina"/>
            <w:rFonts w:ascii="Avenir Next" w:hAnsi="Avenir Next" w:cs="Arial"/>
            <w:sz w:val="22"/>
            <w:szCs w:val="22"/>
          </w:rPr>
          <w:fldChar w:fldCharType="separate"/>
        </w:r>
        <w:r w:rsidR="00BA543A" w:rsidRPr="00E36039">
          <w:rPr>
            <w:rStyle w:val="Nmerodepgina"/>
            <w:rFonts w:ascii="Avenir Next" w:hAnsi="Avenir Next" w:cs="Arial"/>
            <w:noProof/>
            <w:sz w:val="22"/>
            <w:szCs w:val="22"/>
          </w:rPr>
          <w:t>9</w:t>
        </w:r>
        <w:r w:rsidRPr="00E36039">
          <w:rPr>
            <w:rStyle w:val="Nmerodepgina"/>
            <w:rFonts w:ascii="Avenir Next" w:hAnsi="Avenir Next" w:cs="Arial"/>
            <w:sz w:val="22"/>
            <w:szCs w:val="22"/>
          </w:rPr>
          <w:fldChar w:fldCharType="end"/>
        </w:r>
      </w:p>
    </w:sdtContent>
  </w:sdt>
  <w:p w14:paraId="30F05E79" w14:textId="43A0EE68" w:rsidR="00D509A5" w:rsidRPr="00E36039" w:rsidRDefault="003C01C4" w:rsidP="009B4976">
    <w:pPr>
      <w:pStyle w:val="Rodap"/>
      <w:ind w:right="360"/>
      <w:rPr>
        <w:rFonts w:ascii="Avenir Next" w:hAnsi="Avenir Next" w:cs="Arial"/>
        <w:sz w:val="22"/>
        <w:szCs w:val="22"/>
        <w:lang w:val="en-GB"/>
      </w:rPr>
    </w:pPr>
    <w:r>
      <w:rPr>
        <w:rFonts w:ascii="Avenir Next" w:hAnsi="Avenir Next" w:cs="Arial"/>
        <w:sz w:val="22"/>
        <w:szCs w:val="22"/>
      </w:rPr>
      <w:t>202223-756</w:t>
    </w:r>
    <w:r w:rsidR="00D509A5" w:rsidRPr="00E36039">
      <w:rPr>
        <w:rFonts w:ascii="Avenir Next" w:hAnsi="Avenir Next" w:cs="Arial"/>
        <w:sz w:val="22"/>
        <w:szCs w:val="22"/>
        <w:lang w:val="en-GB"/>
      </w:rPr>
      <w:t>.assessment2B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28C8" w14:textId="77777777" w:rsidR="003C01C4" w:rsidRDefault="003C01C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43D5" w14:textId="77777777" w:rsidR="00C62AEB" w:rsidRDefault="00C62AEB" w:rsidP="00241B44">
      <w:r>
        <w:separator/>
      </w:r>
    </w:p>
  </w:footnote>
  <w:footnote w:type="continuationSeparator" w:id="0">
    <w:p w14:paraId="256723D4" w14:textId="77777777" w:rsidR="00C62AEB" w:rsidRDefault="00C62AEB"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59CA" w14:textId="77777777" w:rsidR="003C01C4" w:rsidRDefault="003C01C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9003" w14:textId="77777777" w:rsidR="003C01C4" w:rsidRDefault="003C01C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348C" w14:textId="77777777" w:rsidR="003C01C4" w:rsidRDefault="003C01C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71763211">
    <w:abstractNumId w:val="12"/>
  </w:num>
  <w:num w:numId="2" w16cid:durableId="2108378525">
    <w:abstractNumId w:val="21"/>
  </w:num>
  <w:num w:numId="3" w16cid:durableId="529612215">
    <w:abstractNumId w:val="15"/>
  </w:num>
  <w:num w:numId="4" w16cid:durableId="1330211640">
    <w:abstractNumId w:val="26"/>
  </w:num>
  <w:num w:numId="5" w16cid:durableId="1556236891">
    <w:abstractNumId w:val="20"/>
  </w:num>
  <w:num w:numId="6" w16cid:durableId="2021737452">
    <w:abstractNumId w:val="23"/>
  </w:num>
  <w:num w:numId="7" w16cid:durableId="1639610725">
    <w:abstractNumId w:val="6"/>
  </w:num>
  <w:num w:numId="8" w16cid:durableId="363755653">
    <w:abstractNumId w:val="18"/>
  </w:num>
  <w:num w:numId="9" w16cid:durableId="190344583">
    <w:abstractNumId w:val="17"/>
  </w:num>
  <w:num w:numId="10" w16cid:durableId="1425345237">
    <w:abstractNumId w:val="13"/>
  </w:num>
  <w:num w:numId="11" w16cid:durableId="1172111567">
    <w:abstractNumId w:val="19"/>
  </w:num>
  <w:num w:numId="12" w16cid:durableId="1000502117">
    <w:abstractNumId w:val="2"/>
  </w:num>
  <w:num w:numId="13" w16cid:durableId="1295988535">
    <w:abstractNumId w:val="10"/>
  </w:num>
  <w:num w:numId="14" w16cid:durableId="1475683640">
    <w:abstractNumId w:val="16"/>
  </w:num>
  <w:num w:numId="15" w16cid:durableId="1320303168">
    <w:abstractNumId w:val="14"/>
  </w:num>
  <w:num w:numId="16" w16cid:durableId="890728691">
    <w:abstractNumId w:val="9"/>
  </w:num>
  <w:num w:numId="17" w16cid:durableId="908617213">
    <w:abstractNumId w:val="12"/>
  </w:num>
  <w:num w:numId="18" w16cid:durableId="952905825">
    <w:abstractNumId w:val="3"/>
  </w:num>
  <w:num w:numId="19" w16cid:durableId="19674590">
    <w:abstractNumId w:val="0"/>
  </w:num>
  <w:num w:numId="20" w16cid:durableId="1146166652">
    <w:abstractNumId w:val="5"/>
  </w:num>
  <w:num w:numId="21" w16cid:durableId="1025255404">
    <w:abstractNumId w:val="0"/>
  </w:num>
  <w:num w:numId="22" w16cid:durableId="195968751">
    <w:abstractNumId w:val="7"/>
  </w:num>
  <w:num w:numId="23" w16cid:durableId="1682855446">
    <w:abstractNumId w:val="22"/>
  </w:num>
  <w:num w:numId="24" w16cid:durableId="1366638005">
    <w:abstractNumId w:val="24"/>
  </w:num>
  <w:num w:numId="25" w16cid:durableId="1982802451">
    <w:abstractNumId w:val="4"/>
  </w:num>
  <w:num w:numId="26" w16cid:durableId="1663699472">
    <w:abstractNumId w:val="27"/>
  </w:num>
  <w:num w:numId="27" w16cid:durableId="1568030675">
    <w:abstractNumId w:val="8"/>
  </w:num>
  <w:num w:numId="28" w16cid:durableId="877005987">
    <w:abstractNumId w:val="1"/>
  </w:num>
  <w:num w:numId="29" w16cid:durableId="1298024643">
    <w:abstractNumId w:val="11"/>
  </w:num>
  <w:num w:numId="30" w16cid:durableId="42357129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06E"/>
    <w:rsid w:val="00007146"/>
    <w:rsid w:val="00010BA0"/>
    <w:rsid w:val="0001344B"/>
    <w:rsid w:val="00016162"/>
    <w:rsid w:val="00016342"/>
    <w:rsid w:val="00020557"/>
    <w:rsid w:val="000250C7"/>
    <w:rsid w:val="000264FB"/>
    <w:rsid w:val="00026F16"/>
    <w:rsid w:val="0003122B"/>
    <w:rsid w:val="00037621"/>
    <w:rsid w:val="00041B32"/>
    <w:rsid w:val="00044D46"/>
    <w:rsid w:val="00045088"/>
    <w:rsid w:val="00045904"/>
    <w:rsid w:val="00054E15"/>
    <w:rsid w:val="00065166"/>
    <w:rsid w:val="000653B6"/>
    <w:rsid w:val="00070B39"/>
    <w:rsid w:val="00082609"/>
    <w:rsid w:val="000851CC"/>
    <w:rsid w:val="00087CD6"/>
    <w:rsid w:val="00093BE8"/>
    <w:rsid w:val="000A68ED"/>
    <w:rsid w:val="000A7BF9"/>
    <w:rsid w:val="000B5FF1"/>
    <w:rsid w:val="000B609F"/>
    <w:rsid w:val="000C6BB5"/>
    <w:rsid w:val="000D55A8"/>
    <w:rsid w:val="000E4841"/>
    <w:rsid w:val="000E75E7"/>
    <w:rsid w:val="000F1677"/>
    <w:rsid w:val="000F2424"/>
    <w:rsid w:val="000F3D6C"/>
    <w:rsid w:val="000F4A14"/>
    <w:rsid w:val="00101707"/>
    <w:rsid w:val="00101ED0"/>
    <w:rsid w:val="00113E29"/>
    <w:rsid w:val="0011473D"/>
    <w:rsid w:val="0011548B"/>
    <w:rsid w:val="00115C85"/>
    <w:rsid w:val="00123855"/>
    <w:rsid w:val="001247F8"/>
    <w:rsid w:val="00126A4D"/>
    <w:rsid w:val="00135781"/>
    <w:rsid w:val="0014171F"/>
    <w:rsid w:val="00144B28"/>
    <w:rsid w:val="0014622C"/>
    <w:rsid w:val="00152348"/>
    <w:rsid w:val="0015456D"/>
    <w:rsid w:val="00155FA2"/>
    <w:rsid w:val="00161F1B"/>
    <w:rsid w:val="00162829"/>
    <w:rsid w:val="00174DC4"/>
    <w:rsid w:val="00175A7D"/>
    <w:rsid w:val="00180548"/>
    <w:rsid w:val="00180AC4"/>
    <w:rsid w:val="00180CCE"/>
    <w:rsid w:val="00181D6D"/>
    <w:rsid w:val="0018267A"/>
    <w:rsid w:val="00182779"/>
    <w:rsid w:val="00182DCA"/>
    <w:rsid w:val="001830DF"/>
    <w:rsid w:val="00183ED8"/>
    <w:rsid w:val="00183FE9"/>
    <w:rsid w:val="00187A34"/>
    <w:rsid w:val="001966D9"/>
    <w:rsid w:val="001A68CC"/>
    <w:rsid w:val="001A7E9A"/>
    <w:rsid w:val="001B0F70"/>
    <w:rsid w:val="001B5016"/>
    <w:rsid w:val="001B6DDC"/>
    <w:rsid w:val="001C45FC"/>
    <w:rsid w:val="001D0469"/>
    <w:rsid w:val="001D4862"/>
    <w:rsid w:val="001D4E11"/>
    <w:rsid w:val="001D6E1C"/>
    <w:rsid w:val="001E0FA4"/>
    <w:rsid w:val="001E25B9"/>
    <w:rsid w:val="001E49E0"/>
    <w:rsid w:val="001E5F8A"/>
    <w:rsid w:val="001E7B5A"/>
    <w:rsid w:val="001F7412"/>
    <w:rsid w:val="00202DFE"/>
    <w:rsid w:val="00203720"/>
    <w:rsid w:val="0020725B"/>
    <w:rsid w:val="002110F1"/>
    <w:rsid w:val="002212B6"/>
    <w:rsid w:val="00222FB5"/>
    <w:rsid w:val="00223E77"/>
    <w:rsid w:val="00226154"/>
    <w:rsid w:val="0023437E"/>
    <w:rsid w:val="002352B9"/>
    <w:rsid w:val="0024116D"/>
    <w:rsid w:val="00241B44"/>
    <w:rsid w:val="00241FA3"/>
    <w:rsid w:val="00244C44"/>
    <w:rsid w:val="00245EFB"/>
    <w:rsid w:val="00251EFD"/>
    <w:rsid w:val="0025386E"/>
    <w:rsid w:val="00254CD0"/>
    <w:rsid w:val="002638B0"/>
    <w:rsid w:val="0026647A"/>
    <w:rsid w:val="002668D3"/>
    <w:rsid w:val="0027299F"/>
    <w:rsid w:val="002729AB"/>
    <w:rsid w:val="00284EBE"/>
    <w:rsid w:val="0029433F"/>
    <w:rsid w:val="00294829"/>
    <w:rsid w:val="0029690F"/>
    <w:rsid w:val="00297C8A"/>
    <w:rsid w:val="002A10A2"/>
    <w:rsid w:val="002A2A60"/>
    <w:rsid w:val="002A37BB"/>
    <w:rsid w:val="002B1C45"/>
    <w:rsid w:val="002C13C8"/>
    <w:rsid w:val="002C3547"/>
    <w:rsid w:val="002C79F5"/>
    <w:rsid w:val="002D0021"/>
    <w:rsid w:val="002D3473"/>
    <w:rsid w:val="002E27D8"/>
    <w:rsid w:val="002E4CF1"/>
    <w:rsid w:val="002F1956"/>
    <w:rsid w:val="002F3440"/>
    <w:rsid w:val="002F75A3"/>
    <w:rsid w:val="00302D76"/>
    <w:rsid w:val="00303C2F"/>
    <w:rsid w:val="00311E42"/>
    <w:rsid w:val="003144EF"/>
    <w:rsid w:val="00315A64"/>
    <w:rsid w:val="003252C2"/>
    <w:rsid w:val="00326292"/>
    <w:rsid w:val="00326415"/>
    <w:rsid w:val="00330937"/>
    <w:rsid w:val="00330F31"/>
    <w:rsid w:val="00331480"/>
    <w:rsid w:val="0033239A"/>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B4B5C"/>
    <w:rsid w:val="003C01C4"/>
    <w:rsid w:val="003C4342"/>
    <w:rsid w:val="003C4471"/>
    <w:rsid w:val="003C4BCB"/>
    <w:rsid w:val="003D0A6D"/>
    <w:rsid w:val="003D17A2"/>
    <w:rsid w:val="003D1974"/>
    <w:rsid w:val="003D4A79"/>
    <w:rsid w:val="003E0B16"/>
    <w:rsid w:val="003E4DB0"/>
    <w:rsid w:val="003E67D1"/>
    <w:rsid w:val="00404329"/>
    <w:rsid w:val="00405DC1"/>
    <w:rsid w:val="00415F1F"/>
    <w:rsid w:val="004202D2"/>
    <w:rsid w:val="0042108F"/>
    <w:rsid w:val="0043080E"/>
    <w:rsid w:val="00430FED"/>
    <w:rsid w:val="00434A8C"/>
    <w:rsid w:val="00435040"/>
    <w:rsid w:val="00435D99"/>
    <w:rsid w:val="00437297"/>
    <w:rsid w:val="00444284"/>
    <w:rsid w:val="0044574C"/>
    <w:rsid w:val="00445CE6"/>
    <w:rsid w:val="00445F33"/>
    <w:rsid w:val="004508F6"/>
    <w:rsid w:val="004534C2"/>
    <w:rsid w:val="0045446F"/>
    <w:rsid w:val="0045683E"/>
    <w:rsid w:val="00457CA3"/>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105EC"/>
    <w:rsid w:val="005177FE"/>
    <w:rsid w:val="0052263B"/>
    <w:rsid w:val="00524728"/>
    <w:rsid w:val="005331CA"/>
    <w:rsid w:val="00537288"/>
    <w:rsid w:val="00537970"/>
    <w:rsid w:val="00540E3A"/>
    <w:rsid w:val="005421D5"/>
    <w:rsid w:val="00544127"/>
    <w:rsid w:val="00544F6E"/>
    <w:rsid w:val="005463A9"/>
    <w:rsid w:val="00553DCD"/>
    <w:rsid w:val="00553EB2"/>
    <w:rsid w:val="0056040B"/>
    <w:rsid w:val="00560534"/>
    <w:rsid w:val="0056391B"/>
    <w:rsid w:val="0056430D"/>
    <w:rsid w:val="005650E2"/>
    <w:rsid w:val="00567AD7"/>
    <w:rsid w:val="00575B2D"/>
    <w:rsid w:val="00581234"/>
    <w:rsid w:val="005831F5"/>
    <w:rsid w:val="005833D0"/>
    <w:rsid w:val="005846F3"/>
    <w:rsid w:val="0058622F"/>
    <w:rsid w:val="00591280"/>
    <w:rsid w:val="00592F82"/>
    <w:rsid w:val="005A0CCA"/>
    <w:rsid w:val="005A726D"/>
    <w:rsid w:val="005B6583"/>
    <w:rsid w:val="005B67AC"/>
    <w:rsid w:val="005B79F4"/>
    <w:rsid w:val="005B7C95"/>
    <w:rsid w:val="005D2CD6"/>
    <w:rsid w:val="005D43E0"/>
    <w:rsid w:val="005D58A3"/>
    <w:rsid w:val="005E1B79"/>
    <w:rsid w:val="005E7008"/>
    <w:rsid w:val="005E784A"/>
    <w:rsid w:val="005F026D"/>
    <w:rsid w:val="005F19C3"/>
    <w:rsid w:val="005F2AEA"/>
    <w:rsid w:val="005F2D0B"/>
    <w:rsid w:val="005F4B31"/>
    <w:rsid w:val="005F7B77"/>
    <w:rsid w:val="00600D38"/>
    <w:rsid w:val="00604161"/>
    <w:rsid w:val="006048C0"/>
    <w:rsid w:val="00610388"/>
    <w:rsid w:val="00611DE6"/>
    <w:rsid w:val="00612CA5"/>
    <w:rsid w:val="006153EC"/>
    <w:rsid w:val="00621A17"/>
    <w:rsid w:val="00624F52"/>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61EF"/>
    <w:rsid w:val="006723E9"/>
    <w:rsid w:val="00677AEB"/>
    <w:rsid w:val="00680EF2"/>
    <w:rsid w:val="00685D7B"/>
    <w:rsid w:val="00687A1D"/>
    <w:rsid w:val="00696ED8"/>
    <w:rsid w:val="00697EA1"/>
    <w:rsid w:val="006A2646"/>
    <w:rsid w:val="006A6530"/>
    <w:rsid w:val="006B435A"/>
    <w:rsid w:val="006B4C64"/>
    <w:rsid w:val="006B53A2"/>
    <w:rsid w:val="006C4198"/>
    <w:rsid w:val="006C4FAA"/>
    <w:rsid w:val="006D1A29"/>
    <w:rsid w:val="006D217A"/>
    <w:rsid w:val="006D6BD5"/>
    <w:rsid w:val="006E157D"/>
    <w:rsid w:val="006E481A"/>
    <w:rsid w:val="006E5287"/>
    <w:rsid w:val="006E5298"/>
    <w:rsid w:val="006F0106"/>
    <w:rsid w:val="006F2B12"/>
    <w:rsid w:val="006F4A78"/>
    <w:rsid w:val="006F734A"/>
    <w:rsid w:val="00700D83"/>
    <w:rsid w:val="00704852"/>
    <w:rsid w:val="007074E9"/>
    <w:rsid w:val="00713DA4"/>
    <w:rsid w:val="00714BF1"/>
    <w:rsid w:val="00717DC3"/>
    <w:rsid w:val="00721383"/>
    <w:rsid w:val="007225BA"/>
    <w:rsid w:val="0073071E"/>
    <w:rsid w:val="0073158B"/>
    <w:rsid w:val="007333CC"/>
    <w:rsid w:val="0073399A"/>
    <w:rsid w:val="00744579"/>
    <w:rsid w:val="00745D6F"/>
    <w:rsid w:val="007603F5"/>
    <w:rsid w:val="00764DB0"/>
    <w:rsid w:val="00765F84"/>
    <w:rsid w:val="0076764D"/>
    <w:rsid w:val="0077498C"/>
    <w:rsid w:val="007751F5"/>
    <w:rsid w:val="00777147"/>
    <w:rsid w:val="007772BD"/>
    <w:rsid w:val="007809BC"/>
    <w:rsid w:val="00782DF0"/>
    <w:rsid w:val="00782EE1"/>
    <w:rsid w:val="00784128"/>
    <w:rsid w:val="00793173"/>
    <w:rsid w:val="00797386"/>
    <w:rsid w:val="007A107A"/>
    <w:rsid w:val="007A2A33"/>
    <w:rsid w:val="007A6B8D"/>
    <w:rsid w:val="007A7B20"/>
    <w:rsid w:val="007C1FCC"/>
    <w:rsid w:val="007C50AA"/>
    <w:rsid w:val="007C6201"/>
    <w:rsid w:val="007D507F"/>
    <w:rsid w:val="007D7C92"/>
    <w:rsid w:val="007E1154"/>
    <w:rsid w:val="007E39B3"/>
    <w:rsid w:val="007E44C4"/>
    <w:rsid w:val="007E6BA4"/>
    <w:rsid w:val="007F02CD"/>
    <w:rsid w:val="007F41F8"/>
    <w:rsid w:val="007F6A57"/>
    <w:rsid w:val="00800B1B"/>
    <w:rsid w:val="00800B76"/>
    <w:rsid w:val="008017F0"/>
    <w:rsid w:val="0080454E"/>
    <w:rsid w:val="00804C32"/>
    <w:rsid w:val="00804DA6"/>
    <w:rsid w:val="00805EEE"/>
    <w:rsid w:val="00806302"/>
    <w:rsid w:val="00807119"/>
    <w:rsid w:val="00821F38"/>
    <w:rsid w:val="008241F7"/>
    <w:rsid w:val="0082424D"/>
    <w:rsid w:val="0082483F"/>
    <w:rsid w:val="008279C0"/>
    <w:rsid w:val="00835422"/>
    <w:rsid w:val="00841051"/>
    <w:rsid w:val="008500BD"/>
    <w:rsid w:val="00854066"/>
    <w:rsid w:val="00857862"/>
    <w:rsid w:val="00860723"/>
    <w:rsid w:val="00864593"/>
    <w:rsid w:val="0086478E"/>
    <w:rsid w:val="0086548F"/>
    <w:rsid w:val="00870BB9"/>
    <w:rsid w:val="008723F3"/>
    <w:rsid w:val="0087296A"/>
    <w:rsid w:val="00874240"/>
    <w:rsid w:val="00881DE6"/>
    <w:rsid w:val="008837A6"/>
    <w:rsid w:val="00886DD6"/>
    <w:rsid w:val="0089145D"/>
    <w:rsid w:val="0089362E"/>
    <w:rsid w:val="00894C1D"/>
    <w:rsid w:val="00897A78"/>
    <w:rsid w:val="00897F4C"/>
    <w:rsid w:val="008A4DF2"/>
    <w:rsid w:val="008A6CFE"/>
    <w:rsid w:val="008B5333"/>
    <w:rsid w:val="008B6223"/>
    <w:rsid w:val="008C385B"/>
    <w:rsid w:val="008C38C4"/>
    <w:rsid w:val="008C4398"/>
    <w:rsid w:val="008C4AC6"/>
    <w:rsid w:val="008C66E0"/>
    <w:rsid w:val="008D3E9B"/>
    <w:rsid w:val="008D6048"/>
    <w:rsid w:val="008D62F7"/>
    <w:rsid w:val="008D70EB"/>
    <w:rsid w:val="008E0EC8"/>
    <w:rsid w:val="008E3339"/>
    <w:rsid w:val="008E3C96"/>
    <w:rsid w:val="008E7371"/>
    <w:rsid w:val="008F20FC"/>
    <w:rsid w:val="008F5FFE"/>
    <w:rsid w:val="00905A43"/>
    <w:rsid w:val="00912C79"/>
    <w:rsid w:val="00914A23"/>
    <w:rsid w:val="009158C5"/>
    <w:rsid w:val="009177FB"/>
    <w:rsid w:val="009336F9"/>
    <w:rsid w:val="00935A21"/>
    <w:rsid w:val="00942123"/>
    <w:rsid w:val="0095207B"/>
    <w:rsid w:val="00955BD0"/>
    <w:rsid w:val="0096104F"/>
    <w:rsid w:val="00961CA2"/>
    <w:rsid w:val="00962045"/>
    <w:rsid w:val="00966B11"/>
    <w:rsid w:val="00967219"/>
    <w:rsid w:val="00971896"/>
    <w:rsid w:val="00980E61"/>
    <w:rsid w:val="00991428"/>
    <w:rsid w:val="00992676"/>
    <w:rsid w:val="009954B2"/>
    <w:rsid w:val="00996691"/>
    <w:rsid w:val="009B0723"/>
    <w:rsid w:val="009B07AD"/>
    <w:rsid w:val="009B0883"/>
    <w:rsid w:val="009B15E2"/>
    <w:rsid w:val="009B4976"/>
    <w:rsid w:val="009B76CD"/>
    <w:rsid w:val="009C0B8E"/>
    <w:rsid w:val="009C1BC8"/>
    <w:rsid w:val="009C2442"/>
    <w:rsid w:val="009C5E52"/>
    <w:rsid w:val="009D0811"/>
    <w:rsid w:val="009D0EE1"/>
    <w:rsid w:val="009E2AEB"/>
    <w:rsid w:val="009E2E27"/>
    <w:rsid w:val="009E39B2"/>
    <w:rsid w:val="009E4DE3"/>
    <w:rsid w:val="009F275E"/>
    <w:rsid w:val="00A047EE"/>
    <w:rsid w:val="00A07E6F"/>
    <w:rsid w:val="00A11E80"/>
    <w:rsid w:val="00A16616"/>
    <w:rsid w:val="00A17858"/>
    <w:rsid w:val="00A22655"/>
    <w:rsid w:val="00A2274A"/>
    <w:rsid w:val="00A235B7"/>
    <w:rsid w:val="00A24461"/>
    <w:rsid w:val="00A26868"/>
    <w:rsid w:val="00A27A7A"/>
    <w:rsid w:val="00A33FA6"/>
    <w:rsid w:val="00A407EF"/>
    <w:rsid w:val="00A46B4C"/>
    <w:rsid w:val="00A50055"/>
    <w:rsid w:val="00A5117B"/>
    <w:rsid w:val="00A54225"/>
    <w:rsid w:val="00A5455B"/>
    <w:rsid w:val="00A54CB5"/>
    <w:rsid w:val="00A60074"/>
    <w:rsid w:val="00A620A6"/>
    <w:rsid w:val="00A62FDA"/>
    <w:rsid w:val="00A6433D"/>
    <w:rsid w:val="00A6627C"/>
    <w:rsid w:val="00A71019"/>
    <w:rsid w:val="00A73E9B"/>
    <w:rsid w:val="00A7758E"/>
    <w:rsid w:val="00A81029"/>
    <w:rsid w:val="00A8397F"/>
    <w:rsid w:val="00A83E9F"/>
    <w:rsid w:val="00A96489"/>
    <w:rsid w:val="00AA55B5"/>
    <w:rsid w:val="00AB685C"/>
    <w:rsid w:val="00AB6C2D"/>
    <w:rsid w:val="00AC08F7"/>
    <w:rsid w:val="00AC3839"/>
    <w:rsid w:val="00AC4C4F"/>
    <w:rsid w:val="00AC5F7D"/>
    <w:rsid w:val="00AC7082"/>
    <w:rsid w:val="00AD2931"/>
    <w:rsid w:val="00AD513F"/>
    <w:rsid w:val="00AD6870"/>
    <w:rsid w:val="00AE2316"/>
    <w:rsid w:val="00AE74BA"/>
    <w:rsid w:val="00AF228E"/>
    <w:rsid w:val="00B016A8"/>
    <w:rsid w:val="00B070D2"/>
    <w:rsid w:val="00B12499"/>
    <w:rsid w:val="00B12EF7"/>
    <w:rsid w:val="00B14819"/>
    <w:rsid w:val="00B15E2F"/>
    <w:rsid w:val="00B17AA9"/>
    <w:rsid w:val="00B23CF1"/>
    <w:rsid w:val="00B30D9A"/>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C14D4"/>
    <w:rsid w:val="00BD2BAF"/>
    <w:rsid w:val="00BD73DA"/>
    <w:rsid w:val="00BE4FF3"/>
    <w:rsid w:val="00BF2BDB"/>
    <w:rsid w:val="00BF50F7"/>
    <w:rsid w:val="00C00B20"/>
    <w:rsid w:val="00C00E77"/>
    <w:rsid w:val="00C02F29"/>
    <w:rsid w:val="00C11E78"/>
    <w:rsid w:val="00C15FA2"/>
    <w:rsid w:val="00C20AFE"/>
    <w:rsid w:val="00C22A25"/>
    <w:rsid w:val="00C24088"/>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2AEB"/>
    <w:rsid w:val="00C63E03"/>
    <w:rsid w:val="00C66D49"/>
    <w:rsid w:val="00C72848"/>
    <w:rsid w:val="00C7729F"/>
    <w:rsid w:val="00C7736C"/>
    <w:rsid w:val="00C7781E"/>
    <w:rsid w:val="00C82D87"/>
    <w:rsid w:val="00C8401E"/>
    <w:rsid w:val="00C8712A"/>
    <w:rsid w:val="00C963D3"/>
    <w:rsid w:val="00CA138C"/>
    <w:rsid w:val="00CA7069"/>
    <w:rsid w:val="00CB1983"/>
    <w:rsid w:val="00CB2CBB"/>
    <w:rsid w:val="00CB7CAC"/>
    <w:rsid w:val="00CC5335"/>
    <w:rsid w:val="00CC5BA4"/>
    <w:rsid w:val="00CD4998"/>
    <w:rsid w:val="00CE1035"/>
    <w:rsid w:val="00CE10E7"/>
    <w:rsid w:val="00CE273B"/>
    <w:rsid w:val="00CE2964"/>
    <w:rsid w:val="00CE4206"/>
    <w:rsid w:val="00CE6E50"/>
    <w:rsid w:val="00CF2819"/>
    <w:rsid w:val="00CF4F9D"/>
    <w:rsid w:val="00CF70DC"/>
    <w:rsid w:val="00D056BD"/>
    <w:rsid w:val="00D148DC"/>
    <w:rsid w:val="00D17FDC"/>
    <w:rsid w:val="00D21F62"/>
    <w:rsid w:val="00D22B00"/>
    <w:rsid w:val="00D26E26"/>
    <w:rsid w:val="00D43B3A"/>
    <w:rsid w:val="00D509A5"/>
    <w:rsid w:val="00D56B4E"/>
    <w:rsid w:val="00D608A4"/>
    <w:rsid w:val="00D60E46"/>
    <w:rsid w:val="00D63EFD"/>
    <w:rsid w:val="00D651FD"/>
    <w:rsid w:val="00D66F96"/>
    <w:rsid w:val="00D75351"/>
    <w:rsid w:val="00D84752"/>
    <w:rsid w:val="00D86B3B"/>
    <w:rsid w:val="00D86D08"/>
    <w:rsid w:val="00D8748A"/>
    <w:rsid w:val="00D9187D"/>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3ADC"/>
    <w:rsid w:val="00DE6633"/>
    <w:rsid w:val="00DE6769"/>
    <w:rsid w:val="00DF0864"/>
    <w:rsid w:val="00DF50E9"/>
    <w:rsid w:val="00DF75F8"/>
    <w:rsid w:val="00DF7A3A"/>
    <w:rsid w:val="00E00C00"/>
    <w:rsid w:val="00E03AF0"/>
    <w:rsid w:val="00E07C5A"/>
    <w:rsid w:val="00E15BA9"/>
    <w:rsid w:val="00E26E19"/>
    <w:rsid w:val="00E30C8A"/>
    <w:rsid w:val="00E31DF3"/>
    <w:rsid w:val="00E36039"/>
    <w:rsid w:val="00E450A4"/>
    <w:rsid w:val="00E454D0"/>
    <w:rsid w:val="00E506BE"/>
    <w:rsid w:val="00E52DE8"/>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2C72"/>
    <w:rsid w:val="00EA2FB1"/>
    <w:rsid w:val="00EA5B00"/>
    <w:rsid w:val="00EB146B"/>
    <w:rsid w:val="00EB45AC"/>
    <w:rsid w:val="00EB49AD"/>
    <w:rsid w:val="00EB5CA4"/>
    <w:rsid w:val="00EC00F9"/>
    <w:rsid w:val="00EC242E"/>
    <w:rsid w:val="00ED0BC4"/>
    <w:rsid w:val="00ED20E8"/>
    <w:rsid w:val="00ED3E96"/>
    <w:rsid w:val="00ED472A"/>
    <w:rsid w:val="00ED54B6"/>
    <w:rsid w:val="00EE4971"/>
    <w:rsid w:val="00EF090E"/>
    <w:rsid w:val="00EF7FB7"/>
    <w:rsid w:val="00F033DA"/>
    <w:rsid w:val="00F12E4D"/>
    <w:rsid w:val="00F13FB1"/>
    <w:rsid w:val="00F27CD8"/>
    <w:rsid w:val="00F30351"/>
    <w:rsid w:val="00F33230"/>
    <w:rsid w:val="00F3323E"/>
    <w:rsid w:val="00F341F4"/>
    <w:rsid w:val="00F34F9D"/>
    <w:rsid w:val="00F35CCE"/>
    <w:rsid w:val="00F5524B"/>
    <w:rsid w:val="00F578A9"/>
    <w:rsid w:val="00F60538"/>
    <w:rsid w:val="00F61DD2"/>
    <w:rsid w:val="00F62AE6"/>
    <w:rsid w:val="00F66AFF"/>
    <w:rsid w:val="00F71433"/>
    <w:rsid w:val="00F76CD4"/>
    <w:rsid w:val="00F814B4"/>
    <w:rsid w:val="00F83464"/>
    <w:rsid w:val="00F87FA4"/>
    <w:rsid w:val="00F93BE7"/>
    <w:rsid w:val="00F97C5B"/>
    <w:rsid w:val="00FA3D50"/>
    <w:rsid w:val="00FB6122"/>
    <w:rsid w:val="00FB7FBD"/>
    <w:rsid w:val="00FC235E"/>
    <w:rsid w:val="00FC374A"/>
    <w:rsid w:val="00FC48D8"/>
    <w:rsid w:val="00FC7B47"/>
    <w:rsid w:val="00FD035C"/>
    <w:rsid w:val="00FD1A35"/>
    <w:rsid w:val="00FD36C5"/>
    <w:rsid w:val="00FD6310"/>
    <w:rsid w:val="00FD7C7B"/>
    <w:rsid w:val="00FE008C"/>
    <w:rsid w:val="00FE1D12"/>
    <w:rsid w:val="00FE2122"/>
    <w:rsid w:val="00FE2A86"/>
    <w:rsid w:val="00FE2DE2"/>
    <w:rsid w:val="00FF296F"/>
    <w:rsid w:val="00FF3C57"/>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10</Pages>
  <Words>3806</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Pinheiro Neto Advogados</cp:lastModifiedBy>
  <cp:revision>125</cp:revision>
  <cp:lastPrinted>2019-08-27T05:42:00Z</cp:lastPrinted>
  <dcterms:created xsi:type="dcterms:W3CDTF">2023-02-03T14:44:00Z</dcterms:created>
  <dcterms:modified xsi:type="dcterms:W3CDTF">2023-07-30T18:25:00Z</dcterms:modified>
</cp:coreProperties>
</file>