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lastRenderedPageBreak/>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317F82" w:rsidRDefault="002460B1" w:rsidP="00841D99">
      <w:pPr>
        <w:pStyle w:val="ListParagraph"/>
        <w:numPr>
          <w:ilvl w:val="0"/>
          <w:numId w:val="10"/>
        </w:numPr>
        <w:ind w:left="426"/>
        <w:jc w:val="both"/>
        <w:rPr>
          <w:rFonts w:ascii="Avenir Next" w:hAnsi="Avenir Next" w:cs="Arial"/>
          <w:sz w:val="22"/>
          <w:szCs w:val="22"/>
          <w:highlight w:val="yellow"/>
        </w:rPr>
      </w:pPr>
      <w:r w:rsidRPr="00317F82">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317F82" w:rsidRDefault="00A37300" w:rsidP="00BA7E39">
      <w:pPr>
        <w:pStyle w:val="ListParagraph"/>
        <w:numPr>
          <w:ilvl w:val="0"/>
          <w:numId w:val="11"/>
        </w:numPr>
        <w:ind w:left="426"/>
        <w:jc w:val="both"/>
        <w:rPr>
          <w:rFonts w:ascii="Avenir Next" w:hAnsi="Avenir Next" w:cs="Arial"/>
          <w:sz w:val="22"/>
          <w:szCs w:val="22"/>
          <w:highlight w:val="yellow"/>
        </w:rPr>
      </w:pPr>
      <w:r w:rsidRPr="00317F82">
        <w:rPr>
          <w:rFonts w:ascii="Avenir Next" w:hAnsi="Avenir Next" w:cs="Arial"/>
          <w:sz w:val="22"/>
          <w:szCs w:val="22"/>
          <w:highlight w:val="yellow"/>
        </w:rPr>
        <w:t xml:space="preserve">Creditors’ interests are of paramount </w:t>
      </w:r>
      <w:proofErr w:type="gramStart"/>
      <w:r w:rsidRPr="00317F82">
        <w:rPr>
          <w:rFonts w:ascii="Avenir Next" w:hAnsi="Avenir Next" w:cs="Arial"/>
          <w:sz w:val="22"/>
          <w:szCs w:val="22"/>
          <w:highlight w:val="yellow"/>
        </w:rPr>
        <w:t>importance,</w:t>
      </w:r>
      <w:proofErr w:type="gramEnd"/>
      <w:r w:rsidRPr="00317F82">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lastRenderedPageBreak/>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w:t>
      </w:r>
      <w:r w:rsidRPr="00317F82">
        <w:rPr>
          <w:rFonts w:ascii="Avenir Next" w:hAnsi="Avenir Next" w:cs="Arial"/>
          <w:sz w:val="22"/>
          <w:szCs w:val="22"/>
          <w:highlight w:val="yellow"/>
        </w:rPr>
        <w:t>a)</w:t>
      </w:r>
      <w:r w:rsidRPr="00317F82">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E7621">
        <w:rPr>
          <w:rFonts w:ascii="Avenir Next" w:hAnsi="Avenir Next" w:cs="Arial"/>
          <w:sz w:val="22"/>
          <w:szCs w:val="22"/>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317F82">
        <w:rPr>
          <w:rFonts w:ascii="Avenir Next" w:hAnsi="Avenir Next" w:cs="Arial"/>
          <w:sz w:val="22"/>
          <w:szCs w:val="22"/>
          <w:highlight w:val="yellow"/>
        </w:rPr>
        <w:t>(b)</w:t>
      </w:r>
      <w:r w:rsidRPr="00317F82">
        <w:rPr>
          <w:rFonts w:ascii="Avenir Next" w:hAnsi="Avenir Next" w:cs="Arial"/>
          <w:sz w:val="22"/>
          <w:szCs w:val="22"/>
          <w:highlight w:val="yellow"/>
        </w:rPr>
        <w:tab/>
        <w:t>False</w:t>
      </w:r>
    </w:p>
    <w:p w14:paraId="3CBBFB4F" w14:textId="77777777" w:rsidR="00097ABD" w:rsidRDefault="00097ABD" w:rsidP="00C55824">
      <w:pPr>
        <w:jc w:val="both"/>
        <w:rPr>
          <w:rFonts w:ascii="Avenir Next" w:hAnsi="Avenir Next" w:cs="Arial"/>
          <w:sz w:val="22"/>
          <w:szCs w:val="22"/>
        </w:rPr>
      </w:pPr>
    </w:p>
    <w:p w14:paraId="6488182F" w14:textId="61729699" w:rsidR="00317F82" w:rsidRPr="00317F82" w:rsidRDefault="00317F82" w:rsidP="00C55824">
      <w:pPr>
        <w:jc w:val="both"/>
        <w:rPr>
          <w:rFonts w:ascii="Avenir Next" w:hAnsi="Avenir Next" w:cs="Arial"/>
          <w:sz w:val="22"/>
          <w:szCs w:val="22"/>
        </w:rPr>
      </w:pPr>
      <w:r>
        <w:rPr>
          <w:rFonts w:ascii="Avenir Next" w:hAnsi="Avenir Next" w:cs="Arial"/>
          <w:sz w:val="22"/>
          <w:szCs w:val="22"/>
        </w:rPr>
        <w:t xml:space="preserve">Note: An officer of the Court recognizes the importance of </w:t>
      </w:r>
      <w:r w:rsidRPr="00317F82">
        <w:rPr>
          <w:rFonts w:ascii="Avenir Next" w:hAnsi="Avenir Next" w:cs="Arial"/>
          <w:i/>
          <w:iCs/>
          <w:sz w:val="22"/>
          <w:szCs w:val="22"/>
          <w:u w:val="single"/>
        </w:rPr>
        <w:t>honesty</w:t>
      </w:r>
      <w:r>
        <w:rPr>
          <w:rFonts w:ascii="Avenir Next" w:hAnsi="Avenir Next" w:cs="Arial"/>
          <w:i/>
          <w:iCs/>
          <w:sz w:val="22"/>
          <w:szCs w:val="22"/>
          <w:u w:val="single"/>
        </w:rPr>
        <w:t xml:space="preserve"> </w:t>
      </w:r>
      <w:r w:rsidRPr="00317F82">
        <w:rPr>
          <w:rFonts w:ascii="Avenir Next" w:hAnsi="Avenir Next" w:cs="Arial"/>
          <w:sz w:val="22"/>
          <w:szCs w:val="22"/>
        </w:rPr>
        <w:t>in the judicial system</w:t>
      </w:r>
    </w:p>
    <w:p w14:paraId="22B1BA95" w14:textId="77777777" w:rsidR="00317F82" w:rsidRPr="002E7621" w:rsidRDefault="00317F82"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Pr="00317F82"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317F82">
        <w:rPr>
          <w:rFonts w:ascii="Avenir Next" w:hAnsi="Avenir Next" w:cs="Arial"/>
          <w:sz w:val="22"/>
          <w:szCs w:val="22"/>
          <w:highlight w:val="yellow"/>
        </w:rPr>
        <w:t>s</w:t>
      </w:r>
      <w:r w:rsidR="00B501A0" w:rsidRPr="00317F82">
        <w:rPr>
          <w:rFonts w:ascii="Avenir Next" w:hAnsi="Avenir Next" w:cs="Arial"/>
          <w:sz w:val="22"/>
          <w:szCs w:val="22"/>
          <w:highlight w:val="yellow"/>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a</w:t>
      </w:r>
      <w:r w:rsidR="00B501A0" w:rsidRPr="002E7621">
        <w:rPr>
          <w:rFonts w:ascii="Avenir Next" w:hAnsi="Avenir Next" w:cs="Arial"/>
          <w:sz w:val="22"/>
          <w:szCs w:val="22"/>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lastRenderedPageBreak/>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6F74BB" w:rsidRDefault="002E7621" w:rsidP="002E7621">
      <w:pPr>
        <w:pStyle w:val="ListParagraph"/>
        <w:numPr>
          <w:ilvl w:val="0"/>
          <w:numId w:val="28"/>
        </w:numPr>
        <w:ind w:left="426"/>
        <w:jc w:val="both"/>
        <w:rPr>
          <w:rFonts w:ascii="Avenir Next" w:hAnsi="Avenir Next" w:cs="Arial"/>
          <w:sz w:val="22"/>
          <w:szCs w:val="22"/>
          <w:highlight w:val="yellow"/>
        </w:rPr>
      </w:pPr>
      <w:r w:rsidRPr="006F74BB">
        <w:rPr>
          <w:rFonts w:ascii="Avenir Next" w:hAnsi="Avenir Next" w:cs="Arial"/>
          <w:sz w:val="22"/>
          <w:szCs w:val="22"/>
          <w:highlight w:val="yellow"/>
        </w:rPr>
        <w:t>f</w:t>
      </w:r>
      <w:r w:rsidR="00693A37" w:rsidRPr="006F74BB">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 xml:space="preserve">will have the ability to give </w:t>
      </w:r>
      <w:proofErr w:type="gramStart"/>
      <w:r w:rsidR="00391384" w:rsidRPr="002E7621">
        <w:rPr>
          <w:rFonts w:ascii="Avenir Next" w:eastAsiaTheme="minorHAnsi" w:hAnsi="Avenir Next" w:cs="Arial"/>
          <w:sz w:val="22"/>
          <w:szCs w:val="22"/>
          <w:lang w:val="en-GB"/>
        </w:rPr>
        <w:t>all of</w:t>
      </w:r>
      <w:proofErr w:type="gramEnd"/>
      <w:r w:rsidR="00391384" w:rsidRPr="002E7621">
        <w:rPr>
          <w:rFonts w:ascii="Avenir Next" w:eastAsiaTheme="minorHAnsi" w:hAnsi="Avenir Next" w:cs="Arial"/>
          <w:sz w:val="22"/>
          <w:szCs w:val="22"/>
          <w:lang w:val="en-GB"/>
        </w:rPr>
        <w:t xml:space="preserve">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6F74BB"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6F74BB">
        <w:rPr>
          <w:rFonts w:ascii="Avenir Next" w:eastAsiaTheme="minorHAnsi" w:hAnsi="Avenir Next" w:cs="Arial"/>
          <w:sz w:val="22"/>
          <w:szCs w:val="22"/>
          <w:highlight w:val="yellow"/>
          <w:lang w:val="en-GB"/>
        </w:rPr>
        <w:t xml:space="preserve">Refuse the appointment as she will not be able to give </w:t>
      </w:r>
      <w:proofErr w:type="gramStart"/>
      <w:r w:rsidRPr="006F74BB">
        <w:rPr>
          <w:rFonts w:ascii="Avenir Next" w:eastAsiaTheme="minorHAnsi" w:hAnsi="Avenir Next" w:cs="Arial"/>
          <w:sz w:val="22"/>
          <w:szCs w:val="22"/>
          <w:highlight w:val="yellow"/>
          <w:lang w:val="en-GB"/>
        </w:rPr>
        <w:t>all of</w:t>
      </w:r>
      <w:proofErr w:type="gramEnd"/>
      <w:r w:rsidRPr="006F74BB">
        <w:rPr>
          <w:rFonts w:ascii="Avenir Next" w:eastAsiaTheme="minorHAnsi" w:hAnsi="Avenir Next" w:cs="Arial"/>
          <w:sz w:val="22"/>
          <w:szCs w:val="22"/>
          <w:highlight w:val="yellow"/>
          <w:lang w:val="en-GB"/>
        </w:rPr>
        <w:t xml:space="preserve">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6F74BB"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6F74BB">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6F74BB" w:rsidRDefault="000E55FD" w:rsidP="002E7621">
      <w:pPr>
        <w:pStyle w:val="ListParagraph"/>
        <w:numPr>
          <w:ilvl w:val="0"/>
          <w:numId w:val="29"/>
        </w:numPr>
        <w:ind w:left="426"/>
        <w:jc w:val="both"/>
        <w:rPr>
          <w:rFonts w:ascii="Avenir Next" w:hAnsi="Avenir Next" w:cs="Arial"/>
          <w:sz w:val="22"/>
          <w:szCs w:val="22"/>
          <w:highlight w:val="yellow"/>
        </w:rPr>
      </w:pPr>
      <w:r w:rsidRPr="006F74BB">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lastRenderedPageBreak/>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6F74BB" w:rsidRDefault="0089154C" w:rsidP="002E7621">
      <w:pPr>
        <w:pStyle w:val="ListParagraph"/>
        <w:numPr>
          <w:ilvl w:val="0"/>
          <w:numId w:val="31"/>
        </w:numPr>
        <w:ind w:left="426"/>
        <w:jc w:val="both"/>
        <w:rPr>
          <w:rFonts w:ascii="Avenir Next" w:hAnsi="Avenir Next" w:cs="Arial"/>
          <w:sz w:val="22"/>
          <w:szCs w:val="22"/>
          <w:highlight w:val="yellow"/>
        </w:rPr>
      </w:pPr>
      <w:r w:rsidRPr="006F74BB">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38FFAA06" w14:textId="4D67D5A7" w:rsidR="00987AA8" w:rsidRDefault="00987AA8" w:rsidP="00987A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t is important to note that a “fiduciary” is not a single class of relationships to which a fixed definition can be applied; different rules will govern different classes of fiduciary relationships. </w:t>
      </w:r>
      <w:r w:rsidR="006F74BB">
        <w:rPr>
          <w:rFonts w:ascii="Avenir Next" w:hAnsi="Avenir Next" w:cs="Arial"/>
          <w:color w:val="7B7B7B" w:themeColor="accent3" w:themeShade="BF"/>
          <w:sz w:val="22"/>
          <w:szCs w:val="22"/>
          <w:lang w:val="en-GB"/>
        </w:rPr>
        <w:t xml:space="preserve">Generally speaking, </w:t>
      </w:r>
      <w:r>
        <w:rPr>
          <w:rFonts w:ascii="Avenir Next" w:hAnsi="Avenir Next" w:cs="Arial"/>
          <w:color w:val="7B7B7B" w:themeColor="accent3" w:themeShade="BF"/>
          <w:sz w:val="22"/>
          <w:szCs w:val="22"/>
          <w:lang w:val="en-GB"/>
        </w:rPr>
        <w:t xml:space="preserve">however, </w:t>
      </w:r>
      <w:r w:rsidR="006F74BB">
        <w:rPr>
          <w:rFonts w:ascii="Avenir Next" w:hAnsi="Avenir Next" w:cs="Arial"/>
          <w:color w:val="7B7B7B" w:themeColor="accent3" w:themeShade="BF"/>
          <w:sz w:val="22"/>
          <w:szCs w:val="22"/>
          <w:lang w:val="en-GB"/>
        </w:rPr>
        <w:t xml:space="preserve">a fiduciary is someone </w:t>
      </w:r>
      <w:proofErr w:type="gramStart"/>
      <w:r w:rsidR="006F74BB">
        <w:rPr>
          <w:rFonts w:ascii="Avenir Next" w:hAnsi="Avenir Next" w:cs="Arial"/>
          <w:color w:val="7B7B7B" w:themeColor="accent3" w:themeShade="BF"/>
          <w:sz w:val="22"/>
          <w:szCs w:val="22"/>
          <w:lang w:val="en-GB"/>
        </w:rPr>
        <w:t>who</w:t>
      </w:r>
      <w:proofErr w:type="gramEnd"/>
      <w:r w:rsidR="006F74BB">
        <w:rPr>
          <w:rFonts w:ascii="Avenir Next" w:hAnsi="Avenir Next" w:cs="Arial"/>
          <w:color w:val="7B7B7B" w:themeColor="accent3" w:themeShade="BF"/>
          <w:sz w:val="22"/>
          <w:szCs w:val="22"/>
          <w:lang w:val="en-GB"/>
        </w:rPr>
        <w:t xml:space="preserve"> </w:t>
      </w:r>
    </w:p>
    <w:p w14:paraId="1B7CB0BA" w14:textId="77777777" w:rsidR="00987AA8" w:rsidRDefault="006F74BB" w:rsidP="00987AA8">
      <w:pPr>
        <w:pStyle w:val="ListParagraph"/>
        <w:numPr>
          <w:ilvl w:val="0"/>
          <w:numId w:val="34"/>
        </w:numPr>
        <w:jc w:val="both"/>
        <w:rPr>
          <w:rFonts w:ascii="Avenir Next" w:hAnsi="Avenir Next" w:cs="Arial"/>
          <w:color w:val="7B7B7B" w:themeColor="accent3" w:themeShade="BF"/>
          <w:sz w:val="22"/>
          <w:szCs w:val="22"/>
          <w:lang w:val="en-GB"/>
        </w:rPr>
      </w:pPr>
      <w:r w:rsidRPr="00987AA8">
        <w:rPr>
          <w:rFonts w:ascii="Avenir Next" w:hAnsi="Avenir Next" w:cs="Arial"/>
          <w:color w:val="7B7B7B" w:themeColor="accent3" w:themeShade="BF"/>
          <w:sz w:val="22"/>
          <w:szCs w:val="22"/>
          <w:lang w:val="en-GB"/>
        </w:rPr>
        <w:t xml:space="preserve">undertakes to act on another person’s </w:t>
      </w:r>
      <w:proofErr w:type="gramStart"/>
      <w:r w:rsidRPr="00987AA8">
        <w:rPr>
          <w:rFonts w:ascii="Avenir Next" w:hAnsi="Avenir Next" w:cs="Arial"/>
          <w:color w:val="7B7B7B" w:themeColor="accent3" w:themeShade="BF"/>
          <w:sz w:val="22"/>
          <w:szCs w:val="22"/>
          <w:lang w:val="en-GB"/>
        </w:rPr>
        <w:t>behalf</w:t>
      </w:r>
      <w:proofErr w:type="gramEnd"/>
    </w:p>
    <w:p w14:paraId="380F0B8B" w14:textId="04DF20AF" w:rsidR="00987AA8" w:rsidRPr="00987AA8" w:rsidRDefault="006F74BB" w:rsidP="00987AA8">
      <w:pPr>
        <w:pStyle w:val="ListParagraph"/>
        <w:numPr>
          <w:ilvl w:val="0"/>
          <w:numId w:val="34"/>
        </w:numPr>
        <w:jc w:val="both"/>
        <w:rPr>
          <w:rFonts w:ascii="Avenir Next" w:hAnsi="Avenir Next" w:cs="Arial"/>
          <w:color w:val="7B7B7B" w:themeColor="accent3" w:themeShade="BF"/>
          <w:sz w:val="22"/>
          <w:szCs w:val="22"/>
          <w:lang w:val="en-GB"/>
        </w:rPr>
      </w:pPr>
      <w:r w:rsidRPr="00987AA8">
        <w:rPr>
          <w:rFonts w:ascii="Avenir Next" w:hAnsi="Avenir Next" w:cs="Arial"/>
          <w:color w:val="7B7B7B" w:themeColor="accent3" w:themeShade="BF"/>
          <w:sz w:val="22"/>
          <w:szCs w:val="22"/>
          <w:lang w:val="en-GB"/>
        </w:rPr>
        <w:t xml:space="preserve">has discretion and exercises power over the other persons </w:t>
      </w:r>
      <w:proofErr w:type="gramStart"/>
      <w:r w:rsidRPr="00987AA8">
        <w:rPr>
          <w:rFonts w:ascii="Avenir Next" w:hAnsi="Avenir Next" w:cs="Arial"/>
          <w:color w:val="7B7B7B" w:themeColor="accent3" w:themeShade="BF"/>
          <w:sz w:val="22"/>
          <w:szCs w:val="22"/>
          <w:lang w:val="en-GB"/>
        </w:rPr>
        <w:t>interests</w:t>
      </w:r>
      <w:proofErr w:type="gramEnd"/>
      <w:r w:rsidRPr="00987AA8">
        <w:rPr>
          <w:rFonts w:ascii="Avenir Next" w:hAnsi="Avenir Next" w:cs="Arial"/>
          <w:color w:val="7B7B7B" w:themeColor="accent3" w:themeShade="BF"/>
          <w:sz w:val="22"/>
          <w:szCs w:val="22"/>
          <w:lang w:val="en-GB"/>
        </w:rPr>
        <w:t xml:space="preserve"> </w:t>
      </w:r>
    </w:p>
    <w:p w14:paraId="4D11FA1E" w14:textId="7AEFCAF0" w:rsidR="00A21E9A" w:rsidRPr="00987AA8" w:rsidRDefault="00987AA8" w:rsidP="00987A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6F74BB" w:rsidRPr="00987AA8">
        <w:rPr>
          <w:rFonts w:ascii="Avenir Next" w:hAnsi="Avenir Next" w:cs="Arial"/>
          <w:color w:val="7B7B7B" w:themeColor="accent3" w:themeShade="BF"/>
          <w:sz w:val="22"/>
          <w:szCs w:val="22"/>
          <w:lang w:val="en-GB"/>
        </w:rPr>
        <w:t xml:space="preserve">t is sometimes said that the element of vulnerability indicates the existence of a fiduciary relationship. </w:t>
      </w:r>
      <w:r w:rsidR="00A21E9A">
        <w:rPr>
          <w:rFonts w:ascii="Avenir Next" w:hAnsi="Avenir Next" w:cs="Arial"/>
          <w:color w:val="7B7B7B" w:themeColor="accent3" w:themeShade="BF"/>
          <w:sz w:val="22"/>
          <w:szCs w:val="22"/>
          <w:lang w:val="en-GB"/>
        </w:rPr>
        <w:t xml:space="preserve">Vulnerability in this context has </w:t>
      </w:r>
      <w:proofErr w:type="gramStart"/>
      <w:r w:rsidR="00A21E9A">
        <w:rPr>
          <w:rFonts w:ascii="Avenir Next" w:hAnsi="Avenir Next" w:cs="Arial"/>
          <w:color w:val="7B7B7B" w:themeColor="accent3" w:themeShade="BF"/>
          <w:sz w:val="22"/>
          <w:szCs w:val="22"/>
          <w:lang w:val="en-GB"/>
        </w:rPr>
        <w:t>been described as being</w:t>
      </w:r>
      <w:proofErr w:type="gramEnd"/>
      <w:r w:rsidR="00A21E9A">
        <w:rPr>
          <w:rFonts w:ascii="Avenir Next" w:hAnsi="Avenir Next" w:cs="Arial"/>
          <w:color w:val="7B7B7B" w:themeColor="accent3" w:themeShade="BF"/>
          <w:sz w:val="22"/>
          <w:szCs w:val="22"/>
          <w:lang w:val="en-GB"/>
        </w:rPr>
        <w:t xml:space="preserve"> “at the mercy of another party’s discretion” (F Cassi et al, Contemporary Company Law (2</w:t>
      </w:r>
      <w:r w:rsidR="00A21E9A" w:rsidRPr="00A21E9A">
        <w:rPr>
          <w:rFonts w:ascii="Avenir Next" w:hAnsi="Avenir Next" w:cs="Arial"/>
          <w:color w:val="7B7B7B" w:themeColor="accent3" w:themeShade="BF"/>
          <w:sz w:val="22"/>
          <w:szCs w:val="22"/>
          <w:vertAlign w:val="superscript"/>
          <w:lang w:val="en-GB"/>
        </w:rPr>
        <w:t>nd</w:t>
      </w:r>
      <w:r w:rsidR="00A21E9A">
        <w:rPr>
          <w:rFonts w:ascii="Avenir Next" w:hAnsi="Avenir Next" w:cs="Arial"/>
          <w:color w:val="7B7B7B" w:themeColor="accent3" w:themeShade="BF"/>
          <w:sz w:val="22"/>
          <w:szCs w:val="22"/>
          <w:lang w:val="en-GB"/>
        </w:rPr>
        <w:t xml:space="preserve"> </w:t>
      </w:r>
      <w:proofErr w:type="spellStart"/>
      <w:r w:rsidR="00A21E9A">
        <w:rPr>
          <w:rFonts w:ascii="Avenir Next" w:hAnsi="Avenir Next" w:cs="Arial"/>
          <w:color w:val="7B7B7B" w:themeColor="accent3" w:themeShade="BF"/>
          <w:sz w:val="22"/>
          <w:szCs w:val="22"/>
          <w:lang w:val="en-GB"/>
        </w:rPr>
        <w:t>edn</w:t>
      </w:r>
      <w:proofErr w:type="spellEnd"/>
      <w:r w:rsidR="00A21E9A">
        <w:rPr>
          <w:rFonts w:ascii="Avenir Next" w:hAnsi="Avenir Next" w:cs="Arial"/>
          <w:color w:val="7B7B7B" w:themeColor="accent3" w:themeShade="BF"/>
          <w:sz w:val="22"/>
          <w:szCs w:val="22"/>
          <w:lang w:val="en-GB"/>
        </w:rPr>
        <w:t xml:space="preserve">., Juta 2012) 512). </w:t>
      </w:r>
    </w:p>
    <w:p w14:paraId="1EA0E168" w14:textId="1CF41CD0" w:rsidR="002E7621" w:rsidRDefault="002E7621"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lastRenderedPageBreak/>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003F820C" w:rsidR="009B07AD" w:rsidRPr="002E7621" w:rsidRDefault="006F74BB" w:rsidP="002A37BB">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 xml:space="preserve">There are two aspects of the duty to act with independence and impartiality: (1) Being independent as a fact, </w:t>
      </w:r>
      <w:proofErr w:type="gramStart"/>
      <w:r>
        <w:rPr>
          <w:rFonts w:ascii="Avenir Next" w:hAnsi="Avenir Next" w:cs="Arial"/>
          <w:color w:val="7B7B7B" w:themeColor="accent3" w:themeShade="BF"/>
          <w:sz w:val="22"/>
          <w:szCs w:val="22"/>
        </w:rPr>
        <w:t>i.e.</w:t>
      </w:r>
      <w:proofErr w:type="gramEnd"/>
      <w:r>
        <w:rPr>
          <w:rFonts w:ascii="Avenir Next" w:hAnsi="Avenir Next" w:cs="Arial"/>
          <w:color w:val="7B7B7B" w:themeColor="accent3" w:themeShade="BF"/>
          <w:sz w:val="22"/>
          <w:szCs w:val="22"/>
        </w:rPr>
        <w:t xml:space="preserve"> subjectively, and (2) Being perceived to be independent, i.e. objectively. </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3FE21A96" w:rsidR="00FE2DE2" w:rsidRPr="00987AA8" w:rsidRDefault="006F74BB" w:rsidP="006F74BB">
      <w:pPr>
        <w:ind w:left="720" w:hanging="720"/>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t xml:space="preserve">As for (1), the IP must be free from factors which might adversely influence, </w:t>
      </w:r>
      <w:proofErr w:type="gramStart"/>
      <w:r w:rsidRPr="00987AA8">
        <w:rPr>
          <w:rFonts w:ascii="Avenir Next" w:hAnsi="Avenir Next" w:cs="Arial"/>
          <w:color w:val="767171" w:themeColor="background2" w:themeShade="80"/>
          <w:sz w:val="22"/>
          <w:szCs w:val="22"/>
          <w:lang w:val="en-GB"/>
        </w:rPr>
        <w:t>impair</w:t>
      </w:r>
      <w:proofErr w:type="gramEnd"/>
      <w:r w:rsidRPr="00987AA8">
        <w:rPr>
          <w:rFonts w:ascii="Avenir Next" w:hAnsi="Avenir Next" w:cs="Arial"/>
          <w:color w:val="767171" w:themeColor="background2" w:themeShade="80"/>
          <w:sz w:val="22"/>
          <w:szCs w:val="22"/>
          <w:lang w:val="en-GB"/>
        </w:rPr>
        <w:t xml:space="preserve"> or threaten </w:t>
      </w:r>
      <w:r w:rsidR="0051498E" w:rsidRPr="00987AA8">
        <w:rPr>
          <w:rFonts w:ascii="Avenir Next" w:hAnsi="Avenir Next" w:cs="Arial"/>
          <w:color w:val="767171" w:themeColor="background2" w:themeShade="80"/>
          <w:sz w:val="22"/>
          <w:szCs w:val="22"/>
          <w:lang w:val="en-GB"/>
        </w:rPr>
        <w:t>their</w:t>
      </w:r>
      <w:r w:rsidRPr="00987AA8">
        <w:rPr>
          <w:rFonts w:ascii="Avenir Next" w:hAnsi="Avenir Next" w:cs="Arial"/>
          <w:color w:val="767171" w:themeColor="background2" w:themeShade="80"/>
          <w:sz w:val="22"/>
          <w:szCs w:val="22"/>
          <w:lang w:val="en-GB"/>
        </w:rPr>
        <w:t xml:space="preserve"> integrity, decision-making ability or otherwise compromise </w:t>
      </w:r>
      <w:r w:rsidR="0051498E" w:rsidRPr="00987AA8">
        <w:rPr>
          <w:rFonts w:ascii="Avenir Next" w:hAnsi="Avenir Next" w:cs="Arial"/>
          <w:color w:val="767171" w:themeColor="background2" w:themeShade="80"/>
          <w:sz w:val="22"/>
          <w:szCs w:val="22"/>
          <w:lang w:val="en-GB"/>
        </w:rPr>
        <w:t>their</w:t>
      </w:r>
      <w:r w:rsidRPr="00987AA8">
        <w:rPr>
          <w:rFonts w:ascii="Avenir Next" w:hAnsi="Avenir Next" w:cs="Arial"/>
          <w:color w:val="767171" w:themeColor="background2" w:themeShade="80"/>
          <w:sz w:val="22"/>
          <w:szCs w:val="22"/>
          <w:lang w:val="en-GB"/>
        </w:rPr>
        <w:t xml:space="preserve"> judgement. </w:t>
      </w:r>
    </w:p>
    <w:p w14:paraId="269875A5" w14:textId="77777777" w:rsidR="006F74BB" w:rsidRPr="00987AA8" w:rsidRDefault="006F74BB" w:rsidP="002A37BB">
      <w:pPr>
        <w:ind w:left="720" w:hanging="720"/>
        <w:jc w:val="both"/>
        <w:rPr>
          <w:rFonts w:ascii="Avenir Next" w:hAnsi="Avenir Next" w:cs="Arial"/>
          <w:color w:val="767171" w:themeColor="background2" w:themeShade="80"/>
          <w:sz w:val="22"/>
          <w:szCs w:val="22"/>
          <w:lang w:val="en-GB"/>
        </w:rPr>
      </w:pPr>
    </w:p>
    <w:p w14:paraId="08F91B9B" w14:textId="599680A9" w:rsidR="006F74BB" w:rsidRPr="00987AA8" w:rsidRDefault="006F74BB" w:rsidP="002A37BB">
      <w:pPr>
        <w:ind w:left="720" w:hanging="720"/>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t xml:space="preserve">As for (2), the IP must avoid situations which would lead a reasonably informed third party to perceive that </w:t>
      </w:r>
      <w:r w:rsidR="0051498E" w:rsidRPr="00987AA8">
        <w:rPr>
          <w:rFonts w:ascii="Avenir Next" w:hAnsi="Avenir Next" w:cs="Arial"/>
          <w:color w:val="767171" w:themeColor="background2" w:themeShade="80"/>
          <w:sz w:val="22"/>
          <w:szCs w:val="22"/>
          <w:lang w:val="en-GB"/>
        </w:rPr>
        <w:t>their</w:t>
      </w:r>
      <w:r w:rsidRPr="00987AA8">
        <w:rPr>
          <w:rFonts w:ascii="Avenir Next" w:hAnsi="Avenir Next" w:cs="Arial"/>
          <w:color w:val="767171" w:themeColor="background2" w:themeShade="80"/>
          <w:sz w:val="22"/>
          <w:szCs w:val="22"/>
          <w:lang w:val="en-GB"/>
        </w:rPr>
        <w:t xml:space="preserve"> independence and/or integrity has been compromised, even if this is not, in fact, the case. </w:t>
      </w:r>
    </w:p>
    <w:p w14:paraId="65EB3CB0" w14:textId="77777777" w:rsidR="006F74BB" w:rsidRPr="002E7621" w:rsidRDefault="006F74BB"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44A0E9CF" w:rsidR="00C72848" w:rsidRDefault="006F74BB"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Professional insurance insures the IP against the risk of stakeholders commencing proceedings against </w:t>
      </w:r>
      <w:r w:rsidR="0051498E">
        <w:rPr>
          <w:rFonts w:ascii="Avenir Next" w:hAnsi="Avenir Next" w:cs="Arial"/>
          <w:color w:val="7B7B7B" w:themeColor="accent3" w:themeShade="BF"/>
          <w:sz w:val="22"/>
          <w:szCs w:val="22"/>
          <w:lang w:val="en-GB"/>
        </w:rPr>
        <w:t>the</w:t>
      </w:r>
      <w:r w:rsidR="00987AA8">
        <w:rPr>
          <w:rFonts w:ascii="Avenir Next" w:hAnsi="Avenir Next" w:cs="Arial"/>
          <w:color w:val="7B7B7B" w:themeColor="accent3" w:themeShade="BF"/>
          <w:sz w:val="22"/>
          <w:szCs w:val="22"/>
          <w:lang w:val="en-GB"/>
        </w:rPr>
        <w:t xml:space="preserve"> IP </w:t>
      </w:r>
      <w:r>
        <w:rPr>
          <w:rFonts w:ascii="Avenir Next" w:hAnsi="Avenir Next" w:cs="Arial"/>
          <w:color w:val="7B7B7B" w:themeColor="accent3" w:themeShade="BF"/>
          <w:sz w:val="22"/>
          <w:szCs w:val="22"/>
          <w:lang w:val="en-GB"/>
        </w:rPr>
        <w:t xml:space="preserve">for acting negligently or without reasonable care. </w:t>
      </w:r>
    </w:p>
    <w:p w14:paraId="406F47F6" w14:textId="18B0BD64" w:rsidR="006F74BB" w:rsidRDefault="006F74BB" w:rsidP="006F74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Fidelity insurance </w:t>
      </w:r>
      <w:proofErr w:type="gramStart"/>
      <w:r>
        <w:rPr>
          <w:rFonts w:ascii="Avenir Next" w:hAnsi="Avenir Next" w:cs="Arial"/>
          <w:color w:val="7B7B7B" w:themeColor="accent3" w:themeShade="BF"/>
          <w:sz w:val="22"/>
          <w:szCs w:val="22"/>
          <w:lang w:val="en-GB"/>
        </w:rPr>
        <w:t>insures</w:t>
      </w:r>
      <w:proofErr w:type="gramEnd"/>
      <w:r>
        <w:rPr>
          <w:rFonts w:ascii="Avenir Next" w:hAnsi="Avenir Next" w:cs="Arial"/>
          <w:color w:val="7B7B7B" w:themeColor="accent3" w:themeShade="BF"/>
          <w:sz w:val="22"/>
          <w:szCs w:val="22"/>
          <w:lang w:val="en-GB"/>
        </w:rPr>
        <w:t xml:space="preserve"> the IP and protects stakeholders in the event of the IP, or someone employed by or working for </w:t>
      </w:r>
      <w:r w:rsidR="0051498E">
        <w:rPr>
          <w:rFonts w:ascii="Avenir Next" w:hAnsi="Avenir Next" w:cs="Arial"/>
          <w:color w:val="7B7B7B" w:themeColor="accent3" w:themeShade="BF"/>
          <w:sz w:val="22"/>
          <w:szCs w:val="22"/>
          <w:lang w:val="en-GB"/>
        </w:rPr>
        <w:t>them</w:t>
      </w:r>
      <w:r>
        <w:rPr>
          <w:rFonts w:ascii="Avenir Next" w:hAnsi="Avenir Next" w:cs="Arial"/>
          <w:color w:val="7B7B7B" w:themeColor="accent3" w:themeShade="BF"/>
          <w:sz w:val="22"/>
          <w:szCs w:val="22"/>
          <w:lang w:val="en-GB"/>
        </w:rPr>
        <w:t xml:space="preserve">, acting dishonestly or defrauding the estate. </w:t>
      </w:r>
    </w:p>
    <w:p w14:paraId="66772BB6" w14:textId="6C367E1E" w:rsidR="006F74BB" w:rsidRPr="002E7621" w:rsidRDefault="006F74BB"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reason why it is important for IPs to obtain both types of insurance is to protect </w:t>
      </w:r>
      <w:r w:rsidR="0051498E">
        <w:rPr>
          <w:rFonts w:ascii="Avenir Next" w:hAnsi="Avenir Next" w:cs="Arial"/>
          <w:color w:val="7B7B7B" w:themeColor="accent3" w:themeShade="BF"/>
          <w:sz w:val="22"/>
          <w:szCs w:val="22"/>
          <w:lang w:val="en-GB"/>
        </w:rPr>
        <w:t>themselves</w:t>
      </w:r>
      <w:r>
        <w:rPr>
          <w:rFonts w:ascii="Avenir Next" w:hAnsi="Avenir Next" w:cs="Arial"/>
          <w:color w:val="7B7B7B" w:themeColor="accent3" w:themeShade="BF"/>
          <w:sz w:val="22"/>
          <w:szCs w:val="22"/>
          <w:lang w:val="en-GB"/>
        </w:rPr>
        <w:t xml:space="preserve"> as well as the stakeholders in the estate from both categories of loss, whether arising from negligence or dishonesty and/or fraud. Whilst an IP may not think that </w:t>
      </w:r>
      <w:r w:rsidR="0051498E">
        <w:rPr>
          <w:rFonts w:ascii="Avenir Next" w:hAnsi="Avenir Next" w:cs="Arial"/>
          <w:color w:val="7B7B7B" w:themeColor="accent3" w:themeShade="BF"/>
          <w:sz w:val="22"/>
          <w:szCs w:val="22"/>
          <w:lang w:val="en-GB"/>
        </w:rPr>
        <w:t>they</w:t>
      </w:r>
      <w:r>
        <w:rPr>
          <w:rFonts w:ascii="Avenir Next" w:hAnsi="Avenir Next" w:cs="Arial"/>
          <w:color w:val="7B7B7B" w:themeColor="accent3" w:themeShade="BF"/>
          <w:sz w:val="22"/>
          <w:szCs w:val="22"/>
          <w:lang w:val="en-GB"/>
        </w:rPr>
        <w:t xml:space="preserve"> require fidelity insurance, the duties owed by IPs are wide and sometimes complex and claim against the IP could cover inadvertent breaches.</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Default="00BA1E4F" w:rsidP="002A37BB">
      <w:pPr>
        <w:jc w:val="both"/>
        <w:rPr>
          <w:rFonts w:ascii="Avenir Next" w:hAnsi="Avenir Next" w:cs="Arial"/>
          <w:sz w:val="22"/>
          <w:szCs w:val="22"/>
        </w:rPr>
      </w:pPr>
    </w:p>
    <w:p w14:paraId="4024A332" w14:textId="5DA223D7" w:rsidR="00544127" w:rsidRDefault="0051498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concepts of moral and ethical standards are linked but have some key differences.</w:t>
      </w:r>
    </w:p>
    <w:p w14:paraId="2DED22E8" w14:textId="77777777" w:rsidR="0051498E" w:rsidRDefault="0051498E" w:rsidP="002A37BB">
      <w:pPr>
        <w:jc w:val="both"/>
        <w:rPr>
          <w:rFonts w:ascii="Avenir Next" w:hAnsi="Avenir Next" w:cs="Arial"/>
          <w:color w:val="7B7B7B" w:themeColor="accent3" w:themeShade="BF"/>
          <w:sz w:val="22"/>
          <w:szCs w:val="22"/>
          <w:lang w:val="en-GB"/>
        </w:rPr>
      </w:pPr>
    </w:p>
    <w:p w14:paraId="24BA0C5C" w14:textId="49391526" w:rsidR="0051498E" w:rsidRDefault="0051498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Morals are beliefs about what is right and wrong. They are influenced by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factors that are particular to the individual concerned, including but of course not limited to, their </w:t>
      </w:r>
      <w:r>
        <w:rPr>
          <w:rFonts w:ascii="Avenir Next" w:hAnsi="Avenir Next" w:cs="Arial"/>
          <w:color w:val="7B7B7B" w:themeColor="accent3" w:themeShade="BF"/>
          <w:sz w:val="22"/>
          <w:szCs w:val="22"/>
          <w:lang w:val="en-GB"/>
        </w:rPr>
        <w:lastRenderedPageBreak/>
        <w:t xml:space="preserve">upbringing, education, culture and religion. </w:t>
      </w:r>
      <w:proofErr w:type="gramStart"/>
      <w:r>
        <w:rPr>
          <w:rFonts w:ascii="Avenir Next" w:hAnsi="Avenir Next" w:cs="Arial"/>
          <w:color w:val="7B7B7B" w:themeColor="accent3" w:themeShade="BF"/>
          <w:sz w:val="22"/>
          <w:szCs w:val="22"/>
          <w:lang w:val="en-GB"/>
        </w:rPr>
        <w:t>On the whole</w:t>
      </w:r>
      <w:proofErr w:type="gramEnd"/>
      <w:r>
        <w:rPr>
          <w:rFonts w:ascii="Avenir Next" w:hAnsi="Avenir Next" w:cs="Arial"/>
          <w:color w:val="7B7B7B" w:themeColor="accent3" w:themeShade="BF"/>
          <w:sz w:val="22"/>
          <w:szCs w:val="22"/>
          <w:lang w:val="en-GB"/>
        </w:rPr>
        <w:t xml:space="preserve">, morals are considered to be subjective.  </w:t>
      </w:r>
    </w:p>
    <w:p w14:paraId="075BA5A4" w14:textId="77777777" w:rsidR="0051498E" w:rsidRDefault="0051498E" w:rsidP="002A37BB">
      <w:pPr>
        <w:jc w:val="both"/>
        <w:rPr>
          <w:rFonts w:ascii="Avenir Next" w:hAnsi="Avenir Next" w:cs="Arial"/>
          <w:color w:val="7B7B7B" w:themeColor="accent3" w:themeShade="BF"/>
          <w:sz w:val="22"/>
          <w:szCs w:val="22"/>
          <w:lang w:val="en-GB"/>
        </w:rPr>
      </w:pPr>
    </w:p>
    <w:p w14:paraId="0B9A57AF" w14:textId="0CBE307C" w:rsidR="0051498E" w:rsidRDefault="0051498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Ethics are specific rules and behaviours that are, objectively speaking, considered to be acceptable standards of conduct. </w:t>
      </w:r>
    </w:p>
    <w:p w14:paraId="594E5C82" w14:textId="77777777" w:rsidR="0051498E" w:rsidRDefault="0051498E" w:rsidP="0051498E">
      <w:pPr>
        <w:jc w:val="both"/>
        <w:rPr>
          <w:rFonts w:ascii="Avenir Next" w:hAnsi="Avenir Next" w:cs="Arial"/>
          <w:color w:val="7B7B7B" w:themeColor="accent3" w:themeShade="BF"/>
          <w:sz w:val="22"/>
          <w:szCs w:val="22"/>
          <w:lang w:val="en-GB"/>
        </w:rPr>
      </w:pPr>
    </w:p>
    <w:p w14:paraId="245C833C" w14:textId="7F682487" w:rsidR="0051498E" w:rsidRDefault="0051498E" w:rsidP="0051498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Moral standards are not necessarily ethical standards, particularly when considering a particular group such as IPs. An example might be an IP who considers a particular creditor more ‘worthy’ than others because they share the same values or are considered needy in accordance with the IPs moral beliefs. However, making a decision that favours that creditor in priority to others on the grounds of that moral belief is unethical and does not adhere to ethical standards of conduct.  </w:t>
      </w:r>
    </w:p>
    <w:p w14:paraId="0D857DCC" w14:textId="77777777" w:rsidR="0051498E" w:rsidRDefault="0051498E" w:rsidP="0051498E">
      <w:pPr>
        <w:jc w:val="both"/>
        <w:rPr>
          <w:rFonts w:ascii="Avenir Next" w:hAnsi="Avenir Next" w:cs="Arial"/>
          <w:color w:val="7B7B7B" w:themeColor="accent3" w:themeShade="BF"/>
          <w:sz w:val="22"/>
          <w:szCs w:val="22"/>
          <w:lang w:val="en-GB"/>
        </w:rPr>
      </w:pPr>
    </w:p>
    <w:p w14:paraId="53BBA777" w14:textId="6711FC37" w:rsidR="0051498E" w:rsidRDefault="0051498E" w:rsidP="0051498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Moral standards may instruct the development of ethical standards in various jurisdictions. For example, an understanding of moral standards in a jurisdiction might affect how a third party, who is not subject to the same ethical standards as the IP, might perceive the conduct of that IP.  </w:t>
      </w:r>
    </w:p>
    <w:p w14:paraId="7DEFD0BC" w14:textId="77777777" w:rsidR="0051498E" w:rsidRDefault="0051498E" w:rsidP="002A37BB">
      <w:pPr>
        <w:jc w:val="both"/>
        <w:rPr>
          <w:rFonts w:ascii="Avenir Next" w:hAnsi="Avenir Next" w:cs="Arial"/>
          <w:color w:val="7B7B7B" w:themeColor="accent3" w:themeShade="BF"/>
          <w:sz w:val="22"/>
          <w:szCs w:val="22"/>
          <w:lang w:val="en-GB"/>
        </w:rPr>
      </w:pPr>
    </w:p>
    <w:p w14:paraId="301E2C94" w14:textId="10A85A01" w:rsidR="00A21E9A" w:rsidRDefault="0051498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overlap between the two principles can be beneficial for other reasons. For example, morals can provide the foundation for ethical conduct. It is one thing to conduct oneself ethically because those are standard that is considered appropriate by others. However,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ensure that IPs are consistently and unimpeachably ethical, it is desirable that they believe that ethical conduct is the right way to behave. </w:t>
      </w:r>
      <w:r w:rsidR="00A21E9A">
        <w:rPr>
          <w:rFonts w:ascii="Avenir Next" w:hAnsi="Avenir Next" w:cs="Arial"/>
          <w:color w:val="7B7B7B" w:themeColor="accent3" w:themeShade="BF"/>
          <w:sz w:val="22"/>
          <w:szCs w:val="22"/>
          <w:lang w:val="en-GB"/>
        </w:rPr>
        <w:t xml:space="preserve">Even though </w:t>
      </w:r>
      <w:proofErr w:type="gramStart"/>
      <w:r w:rsidR="00A21E9A">
        <w:rPr>
          <w:rFonts w:ascii="Avenir Next" w:hAnsi="Avenir Next" w:cs="Arial"/>
          <w:color w:val="7B7B7B" w:themeColor="accent3" w:themeShade="BF"/>
          <w:sz w:val="22"/>
          <w:szCs w:val="22"/>
          <w:lang w:val="en-GB"/>
        </w:rPr>
        <w:t>it is clear that professional</w:t>
      </w:r>
      <w:proofErr w:type="gramEnd"/>
      <w:r w:rsidR="00A21E9A">
        <w:rPr>
          <w:rFonts w:ascii="Avenir Next" w:hAnsi="Avenir Next" w:cs="Arial"/>
          <w:color w:val="7B7B7B" w:themeColor="accent3" w:themeShade="BF"/>
          <w:sz w:val="22"/>
          <w:szCs w:val="22"/>
          <w:lang w:val="en-GB"/>
        </w:rPr>
        <w:t xml:space="preserve"> ethical standards take priority over an IP’s personal beliefs, it might be said that a person is more easily motivated to conduct themselves in accordance with standards they believe in, rather than a set of rules by which their conduct might be judged.  </w:t>
      </w:r>
    </w:p>
    <w:p w14:paraId="0B0BAEE2" w14:textId="77777777" w:rsidR="00A21E9A" w:rsidRDefault="00A21E9A" w:rsidP="002A37BB">
      <w:pPr>
        <w:jc w:val="both"/>
        <w:rPr>
          <w:rFonts w:ascii="Avenir Next" w:hAnsi="Avenir Next" w:cs="Arial"/>
          <w:color w:val="7B7B7B" w:themeColor="accent3" w:themeShade="BF"/>
          <w:sz w:val="22"/>
          <w:szCs w:val="22"/>
          <w:lang w:val="en-GB"/>
        </w:rPr>
      </w:pPr>
    </w:p>
    <w:p w14:paraId="70CE711D" w14:textId="10A0FCB7" w:rsidR="0051498E" w:rsidRDefault="0051498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example, an IP may know that it is contrary to ethical standards to discuss confidential information on a train. If the IP does not believe that it is wrong to do so, they may consider that it would not be an egregious breach to do, particularly if they are relatively confident that their conversation would not be overheard. However, if is their personal belief that it would be wrong to risk their conversation being overheard, for example because they are motivated by unfairness to stakeholders should confidential information be divulged to a third party, then it might be said that the IP would be less likely to take that risk. </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1203E99D" w14:textId="77777777" w:rsidR="000E3DF7" w:rsidRDefault="000F3F1C" w:rsidP="000F3F1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unusual for an IP to have been involved in consultations with a company or its stakeholders prior to the commencement of insolvency proceedings, for example providing advice as to alternatives to a formal insolvency process or reviewing the company’s financial position, prior to being appointed by the board of directors or </w:t>
      </w:r>
      <w:r>
        <w:rPr>
          <w:rFonts w:ascii="Avenir Next" w:hAnsi="Avenir Next" w:cs="Arial"/>
          <w:color w:val="7B7B7B" w:themeColor="accent3" w:themeShade="BF"/>
          <w:sz w:val="22"/>
          <w:szCs w:val="22"/>
          <w:lang w:val="en-GB"/>
        </w:rPr>
        <w:lastRenderedPageBreak/>
        <w:t xml:space="preserve">stakeholders in subsequent insolvency proceedings. However, in those cases, IPs need to be aware of the actual or perceived threat to their independence upon being appointed. One such area of concern is if an IP is appointed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achieve a particular objective.  </w:t>
      </w:r>
    </w:p>
    <w:p w14:paraId="36419EAB" w14:textId="77777777" w:rsidR="000E3DF7" w:rsidRDefault="000E3DF7" w:rsidP="000E3DF7">
      <w:pPr>
        <w:pStyle w:val="ListParagraph"/>
        <w:jc w:val="both"/>
        <w:rPr>
          <w:rFonts w:ascii="Avenir Next" w:hAnsi="Avenir Next" w:cs="Arial"/>
          <w:color w:val="7B7B7B" w:themeColor="accent3" w:themeShade="BF"/>
          <w:sz w:val="22"/>
          <w:szCs w:val="22"/>
          <w:lang w:val="en-GB"/>
        </w:rPr>
      </w:pPr>
    </w:p>
    <w:p w14:paraId="2DBD4C12" w14:textId="3B25DAA4" w:rsidR="000F3F1C" w:rsidRPr="000F3F1C" w:rsidRDefault="000F3F1C" w:rsidP="000E3DF7">
      <w:pPr>
        <w:pStyle w:val="ListParagraph"/>
        <w:jc w:val="both"/>
        <w:rPr>
          <w:rFonts w:ascii="Avenir Next" w:hAnsi="Avenir Next" w:cs="Arial"/>
          <w:color w:val="7B7B7B" w:themeColor="accent3" w:themeShade="BF"/>
          <w:sz w:val="22"/>
          <w:szCs w:val="22"/>
          <w:lang w:val="en-GB"/>
        </w:rPr>
      </w:pPr>
      <w:r w:rsidRPr="000F3F1C">
        <w:rPr>
          <w:rFonts w:ascii="Avenir Next" w:hAnsi="Avenir Next" w:cs="Arial"/>
          <w:color w:val="7B7B7B" w:themeColor="accent3" w:themeShade="BF"/>
          <w:sz w:val="22"/>
          <w:szCs w:val="22"/>
          <w:lang w:val="en-GB"/>
        </w:rPr>
        <w:t xml:space="preserve">In </w:t>
      </w:r>
      <w:r w:rsidRPr="00987AA8">
        <w:rPr>
          <w:rFonts w:ascii="Avenir Next" w:hAnsi="Avenir Next" w:cs="Arial"/>
          <w:b/>
          <w:bCs/>
          <w:i/>
          <w:iCs/>
          <w:color w:val="7B7B7B" w:themeColor="accent3" w:themeShade="BF"/>
          <w:sz w:val="22"/>
          <w:szCs w:val="22"/>
          <w:u w:val="single"/>
          <w:lang w:val="en-GB"/>
        </w:rPr>
        <w:t>Re One Blackfriars Limited (in liquidation)</w:t>
      </w:r>
      <w:r w:rsidRPr="000F3F1C">
        <w:rPr>
          <w:rFonts w:ascii="Avenir Next" w:hAnsi="Avenir Next" w:cs="Arial"/>
          <w:color w:val="7B7B7B" w:themeColor="accent3" w:themeShade="BF"/>
          <w:sz w:val="22"/>
          <w:szCs w:val="22"/>
          <w:lang w:val="en-GB"/>
        </w:rPr>
        <w:t xml:space="preserve"> [2021] EWHC 684(Ch), John Kimbell QC noted the decision of Rimer LJ in </w:t>
      </w:r>
      <w:r w:rsidRPr="00987AA8">
        <w:rPr>
          <w:rFonts w:ascii="Avenir Next" w:hAnsi="Avenir Next" w:cs="Arial"/>
          <w:b/>
          <w:bCs/>
          <w:i/>
          <w:iCs/>
          <w:color w:val="7B7B7B" w:themeColor="accent3" w:themeShade="BF"/>
          <w:sz w:val="22"/>
          <w:szCs w:val="22"/>
          <w:u w:val="single"/>
          <w:lang w:val="en-GB"/>
        </w:rPr>
        <w:t xml:space="preserve">Key2Law (Surrey) LLP v Gaynor </w:t>
      </w:r>
      <w:proofErr w:type="spellStart"/>
      <w:r w:rsidRPr="00987AA8">
        <w:rPr>
          <w:rFonts w:ascii="Avenir Next" w:hAnsi="Avenir Next" w:cs="Arial"/>
          <w:b/>
          <w:bCs/>
          <w:i/>
          <w:iCs/>
          <w:color w:val="7B7B7B" w:themeColor="accent3" w:themeShade="BF"/>
          <w:sz w:val="22"/>
          <w:szCs w:val="22"/>
          <w:u w:val="single"/>
          <w:lang w:val="en-GB"/>
        </w:rPr>
        <w:t>De’Antiquis</w:t>
      </w:r>
      <w:proofErr w:type="spellEnd"/>
      <w:r w:rsidRPr="000F3F1C">
        <w:rPr>
          <w:rFonts w:ascii="Avenir Next" w:hAnsi="Avenir Next" w:cs="Arial"/>
          <w:color w:val="7B7B7B" w:themeColor="accent3" w:themeShade="BF"/>
          <w:sz w:val="22"/>
          <w:szCs w:val="22"/>
          <w:lang w:val="en-GB"/>
        </w:rPr>
        <w:t xml:space="preserve"> [2011] EWCA Civ 1567 that, “I regard it as in principle anyway wrong to identify the purpose of an appointment of administrators </w:t>
      </w:r>
      <w:r>
        <w:rPr>
          <w:rFonts w:ascii="Avenir Next" w:hAnsi="Avenir Next" w:cs="Arial"/>
          <w:color w:val="7B7B7B" w:themeColor="accent3" w:themeShade="BF"/>
          <w:sz w:val="22"/>
          <w:szCs w:val="22"/>
          <w:lang w:val="en-GB"/>
        </w:rPr>
        <w:t xml:space="preserve">by reference to pre-appointment considerations as to the particular objective or objectives that it is foreseen that an appointment is reasonably likely to achieve.” John Kimbell QC emphasised that “the decision as to which objective is reasonably and practicably achievable in a matter for the judgement of the administrator.” It is, therefore, inconsistent with the duty to act independently to accept an appointment </w:t>
      </w:r>
      <w:proofErr w:type="gramStart"/>
      <w:r>
        <w:rPr>
          <w:rFonts w:ascii="Avenir Next" w:hAnsi="Avenir Next" w:cs="Arial"/>
          <w:color w:val="7B7B7B" w:themeColor="accent3" w:themeShade="BF"/>
          <w:sz w:val="22"/>
          <w:szCs w:val="22"/>
          <w:lang w:val="en-GB"/>
        </w:rPr>
        <w:t>on the basis of</w:t>
      </w:r>
      <w:proofErr w:type="gramEnd"/>
      <w:r>
        <w:rPr>
          <w:rFonts w:ascii="Avenir Next" w:hAnsi="Avenir Next" w:cs="Arial"/>
          <w:color w:val="7B7B7B" w:themeColor="accent3" w:themeShade="BF"/>
          <w:sz w:val="22"/>
          <w:szCs w:val="22"/>
          <w:lang w:val="en-GB"/>
        </w:rPr>
        <w:t xml:space="preserve"> a particular outcome. It should be noted, however, that in Re One Blackfriars, the Court held that the administrator was not in breach of duty as the agreement related to a mere “assumption” that the administration was to be “light touch”, and not that the administrators were to be under the control of the appointing creditors (para.278).  </w:t>
      </w:r>
    </w:p>
    <w:p w14:paraId="55D8AAF4" w14:textId="15CFFC9B" w:rsidR="000F3F1C" w:rsidRDefault="000F3F1C" w:rsidP="000F3F1C">
      <w:pPr>
        <w:pStyle w:val="ListParagraph"/>
        <w:jc w:val="both"/>
        <w:rPr>
          <w:rFonts w:ascii="Avenir Next" w:hAnsi="Avenir Next" w:cs="Arial"/>
          <w:color w:val="7B7B7B" w:themeColor="accent3" w:themeShade="BF"/>
          <w:sz w:val="22"/>
          <w:szCs w:val="22"/>
          <w:lang w:val="en-GB"/>
        </w:rPr>
      </w:pPr>
    </w:p>
    <w:p w14:paraId="212C291C" w14:textId="24D1F314" w:rsidR="000F3F1C" w:rsidRDefault="000F3F1C" w:rsidP="000F3F1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also not uncommon for the same IP to be appointed to act in different insolvency capacities in relation to the same company, for example if a practitioner </w:t>
      </w:r>
      <w:r w:rsidR="00987AA8">
        <w:rPr>
          <w:rFonts w:ascii="Avenir Next" w:hAnsi="Avenir Next" w:cs="Arial"/>
          <w:color w:val="7B7B7B" w:themeColor="accent3" w:themeShade="BF"/>
          <w:sz w:val="22"/>
          <w:szCs w:val="22"/>
          <w:lang w:val="en-GB"/>
        </w:rPr>
        <w:t xml:space="preserve">acts </w:t>
      </w:r>
      <w:r>
        <w:rPr>
          <w:rFonts w:ascii="Avenir Next" w:hAnsi="Avenir Next" w:cs="Arial"/>
          <w:color w:val="7B7B7B" w:themeColor="accent3" w:themeShade="BF"/>
          <w:sz w:val="22"/>
          <w:szCs w:val="22"/>
          <w:lang w:val="en-GB"/>
        </w:rPr>
        <w:t>as administrator and, when the administration fails, is appointed as liquidator. This scenario is recognised by the Institute of Chartered Accountants of England and Wales as a self-review threat. This is the case even if the IP or their firm was not formally engaged pre-appointment or even if they were not paid for their work (at 2311.2 A3); the ICAEW code of practice provides that, having identified the threat, the IP must consider taking action to reduce the threat to an acceptable level depending on the nature of the work carried out. Examples of threats which could arise, or be perceived to arise, include a practitioner involved in rescue proceedings taking insufficient steps to encourage the success of the rescue in the knowledge that they will be appointed as liquidator, the threat of double recovery in respect of fees carried out in pre- and post-appointment and being influenced by the recovery of outstanding fees or time costs incurred in the pre-appointment role.</w:t>
      </w:r>
    </w:p>
    <w:p w14:paraId="3631E71F" w14:textId="77777777" w:rsidR="000F3F1C" w:rsidRPr="000F3F1C" w:rsidRDefault="000F3F1C" w:rsidP="000F3F1C">
      <w:pPr>
        <w:pStyle w:val="ListParagraph"/>
        <w:rPr>
          <w:rFonts w:ascii="Avenir Next" w:hAnsi="Avenir Next" w:cs="Arial"/>
          <w:color w:val="7B7B7B" w:themeColor="accent3" w:themeShade="BF"/>
          <w:sz w:val="22"/>
          <w:szCs w:val="22"/>
          <w:lang w:val="en-GB"/>
        </w:rPr>
      </w:pPr>
    </w:p>
    <w:p w14:paraId="0725757C" w14:textId="659FE365" w:rsidR="000F3F1C" w:rsidRPr="000F3F1C" w:rsidRDefault="000F3F1C" w:rsidP="000F3F1C">
      <w:pPr>
        <w:jc w:val="both"/>
        <w:rPr>
          <w:rFonts w:ascii="Avenir Next" w:hAnsi="Avenir Next" w:cs="Arial"/>
          <w:color w:val="7B7B7B" w:themeColor="accent3" w:themeShade="BF"/>
          <w:sz w:val="22"/>
          <w:szCs w:val="22"/>
          <w:lang w:val="en-GB"/>
        </w:rPr>
      </w:pPr>
      <w:r w:rsidRPr="000F3F1C">
        <w:rPr>
          <w:rFonts w:ascii="Avenir Next" w:hAnsi="Avenir Next" w:cs="Arial"/>
          <w:color w:val="7B7B7B" w:themeColor="accent3" w:themeShade="BF"/>
          <w:sz w:val="22"/>
          <w:szCs w:val="22"/>
          <w:lang w:val="en-GB"/>
        </w:rPr>
        <w:t xml:space="preserve">  </w:t>
      </w:r>
    </w:p>
    <w:p w14:paraId="7940D274" w14:textId="654DE0B3" w:rsidR="00DF75F8" w:rsidRDefault="000F3F1C" w:rsidP="000F3F1C">
      <w:pPr>
        <w:pStyle w:val="ListParagraph"/>
        <w:numPr>
          <w:ilvl w:val="0"/>
          <w:numId w:val="32"/>
        </w:numPr>
        <w:jc w:val="both"/>
        <w:rPr>
          <w:rFonts w:ascii="Avenir Next" w:hAnsi="Avenir Next" w:cs="Arial"/>
          <w:color w:val="7B7B7B" w:themeColor="accent3" w:themeShade="BF"/>
          <w:sz w:val="22"/>
          <w:szCs w:val="22"/>
          <w:lang w:val="en-GB"/>
        </w:rPr>
      </w:pPr>
      <w:r w:rsidRPr="000F3F1C">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ontingent fee arrangements are an area that give rise to potential threats to independence. These are arrangements whereby a fee is payable to the IP contingent upon a specific outcome. The concern is that, instead of adopting a holistic approach to the insolvency process, the IP will be distracted or otherwise focus their energy on achieving the outcome which gives rise to their fee becoming payable. This type of fee arrangement is deemed a self -interest threat in the Insolvency Practitioners of Singapore Code of Professional Conduct and Ethics at para.7.4, which sets out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helpful examples of safeguards at paras.7.9 to 7.15.  </w:t>
      </w:r>
    </w:p>
    <w:p w14:paraId="6665B5B0" w14:textId="77777777" w:rsidR="000F3F1C" w:rsidRPr="000F3F1C" w:rsidRDefault="000F3F1C" w:rsidP="000F3F1C">
      <w:pPr>
        <w:jc w:val="both"/>
        <w:rPr>
          <w:rFonts w:ascii="Avenir Next" w:hAnsi="Avenir Next" w:cs="Arial"/>
          <w:color w:val="7B7B7B" w:themeColor="accent3" w:themeShade="BF"/>
          <w:sz w:val="22"/>
          <w:szCs w:val="22"/>
          <w:lang w:val="en-GB"/>
        </w:rPr>
      </w:pPr>
    </w:p>
    <w:p w14:paraId="3A4EAAC1" w14:textId="53B70504" w:rsidR="000F3F1C" w:rsidRPr="00987AA8" w:rsidRDefault="000F3F1C" w:rsidP="000F3F1C">
      <w:pPr>
        <w:pStyle w:val="ListParagraph"/>
        <w:numPr>
          <w:ilvl w:val="0"/>
          <w:numId w:val="32"/>
        </w:numPr>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lastRenderedPageBreak/>
        <w:t xml:space="preserve">A threat may arise if a practitioner or someone closely connected to the practitioner purchases an asset of the company which is under the control of the practitioner </w:t>
      </w:r>
      <w:proofErr w:type="gramStart"/>
      <w:r w:rsidRPr="00987AA8">
        <w:rPr>
          <w:rFonts w:ascii="Avenir Next" w:hAnsi="Avenir Next" w:cs="Arial"/>
          <w:color w:val="767171" w:themeColor="background2" w:themeShade="80"/>
          <w:sz w:val="22"/>
          <w:szCs w:val="22"/>
          <w:lang w:val="en-GB"/>
        </w:rPr>
        <w:t>in the course of</w:t>
      </w:r>
      <w:proofErr w:type="gramEnd"/>
      <w:r w:rsidRPr="00987AA8">
        <w:rPr>
          <w:rFonts w:ascii="Avenir Next" w:hAnsi="Avenir Next" w:cs="Arial"/>
          <w:color w:val="767171" w:themeColor="background2" w:themeShade="80"/>
          <w:sz w:val="22"/>
          <w:szCs w:val="22"/>
          <w:lang w:val="en-GB"/>
        </w:rPr>
        <w:t xml:space="preserve"> the insolvency proceedings for the obvious reason that it is likely to fall within the practitioner’s discretion to set the price of the asset or to accept an offer. It would, therefore, be open to a practitioner to obtain a personal advantage from the sale of the company asset to the detriment of the beneficiaries of the estate. The connection between the practitioner and the purchaser may not be obvious to the stakeholders and so it is even more important that a practitioner obtains the consent of the stakeholders and provides full disclosure in every circumstance in which there is an actual or perceived conflict between their professional role and personal interests. </w:t>
      </w:r>
    </w:p>
    <w:p w14:paraId="43F6F6D3" w14:textId="77777777" w:rsidR="000F3F1C" w:rsidRPr="00987AA8" w:rsidRDefault="000F3F1C" w:rsidP="000F3F1C">
      <w:pPr>
        <w:jc w:val="both"/>
        <w:rPr>
          <w:rFonts w:ascii="Avenir Next" w:hAnsi="Avenir Next" w:cs="Arial"/>
          <w:color w:val="767171" w:themeColor="background2" w:themeShade="80"/>
          <w:sz w:val="22"/>
          <w:szCs w:val="22"/>
          <w:lang w:val="en-GB"/>
        </w:rPr>
      </w:pPr>
    </w:p>
    <w:p w14:paraId="39066EA4" w14:textId="7D63F9B6" w:rsidR="000F3F1C" w:rsidRPr="00987AA8" w:rsidRDefault="000F3F1C" w:rsidP="000F3F1C">
      <w:pPr>
        <w:pStyle w:val="ListParagraph"/>
        <w:numPr>
          <w:ilvl w:val="0"/>
          <w:numId w:val="32"/>
        </w:numPr>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t xml:space="preserve">It is also possible that a practitioner with control over the company’s assets and financial information might be </w:t>
      </w:r>
      <w:proofErr w:type="gramStart"/>
      <w:r w:rsidRPr="00987AA8">
        <w:rPr>
          <w:rFonts w:ascii="Avenir Next" w:hAnsi="Avenir Next" w:cs="Arial"/>
          <w:color w:val="767171" w:themeColor="background2" w:themeShade="80"/>
          <w:sz w:val="22"/>
          <w:szCs w:val="22"/>
          <w:lang w:val="en-GB"/>
        </w:rPr>
        <w:t>in a position</w:t>
      </w:r>
      <w:proofErr w:type="gramEnd"/>
      <w:r w:rsidRPr="00987AA8">
        <w:rPr>
          <w:rFonts w:ascii="Avenir Next" w:hAnsi="Avenir Next" w:cs="Arial"/>
          <w:color w:val="767171" w:themeColor="background2" w:themeShade="80"/>
          <w:sz w:val="22"/>
          <w:szCs w:val="22"/>
          <w:lang w:val="en-GB"/>
        </w:rPr>
        <w:t xml:space="preserve"> to obtain secret profits from the sale of assets from third parties not otherwise connected to the practitioner. It is anticipated that this type of breach of the no-profit rule would be difficult to discover and is obviously a serious breach of the IPs duties to the beneficiaries of the estate. </w:t>
      </w:r>
    </w:p>
    <w:p w14:paraId="47741044" w14:textId="77777777" w:rsidR="000F3F1C" w:rsidRPr="00987AA8" w:rsidRDefault="000F3F1C" w:rsidP="000F3F1C">
      <w:pPr>
        <w:jc w:val="both"/>
        <w:rPr>
          <w:rFonts w:ascii="Avenir Next" w:hAnsi="Avenir Next" w:cs="Arial"/>
          <w:color w:val="767171" w:themeColor="background2" w:themeShade="80"/>
          <w:sz w:val="22"/>
          <w:szCs w:val="22"/>
          <w:lang w:val="en-GB"/>
        </w:rPr>
      </w:pPr>
    </w:p>
    <w:p w14:paraId="159CEA09" w14:textId="77777777" w:rsidR="000F3F1C" w:rsidRPr="00987AA8" w:rsidRDefault="000F3F1C" w:rsidP="000F3F1C">
      <w:pPr>
        <w:pStyle w:val="ListParagraph"/>
        <w:numPr>
          <w:ilvl w:val="0"/>
          <w:numId w:val="32"/>
        </w:numPr>
        <w:jc w:val="both"/>
        <w:rPr>
          <w:rFonts w:ascii="Avenir Next" w:hAnsi="Avenir Next" w:cs="Arial"/>
          <w:color w:val="767171" w:themeColor="background2" w:themeShade="80"/>
          <w:sz w:val="22"/>
          <w:szCs w:val="22"/>
          <w:shd w:val="clear" w:color="auto" w:fill="FFFFFF"/>
        </w:rPr>
      </w:pPr>
      <w:r w:rsidRPr="00987AA8">
        <w:rPr>
          <w:rFonts w:ascii="Avenir Next" w:hAnsi="Avenir Next" w:cs="Arial"/>
          <w:color w:val="767171" w:themeColor="background2" w:themeShade="80"/>
          <w:sz w:val="22"/>
          <w:szCs w:val="22"/>
          <w:shd w:val="clear" w:color="auto" w:fill="FFFFFF"/>
        </w:rPr>
        <w:t xml:space="preserve">It is easy to imagine that a practitioner might be appointed by a director or board of directors with whom they have a personal relationship. As a result of the appointment, the practitioner would have to consider whether that person is in breach of any of their duties to the company and is liable to repay any sum to the estate. Similarly, if appointed by a stakeholder, the practitioner would be required to investigate any antecedent transactions between the company and the stakeholder which might be capable of being overturned for the benefit of the beneficiaries of the </w:t>
      </w:r>
      <w:proofErr w:type="gramStart"/>
      <w:r w:rsidRPr="00987AA8">
        <w:rPr>
          <w:rFonts w:ascii="Avenir Next" w:hAnsi="Avenir Next" w:cs="Arial"/>
          <w:color w:val="767171" w:themeColor="background2" w:themeShade="80"/>
          <w:sz w:val="22"/>
          <w:szCs w:val="22"/>
          <w:shd w:val="clear" w:color="auto" w:fill="FFFFFF"/>
        </w:rPr>
        <w:t>estate as a whole</w:t>
      </w:r>
      <w:proofErr w:type="gramEnd"/>
      <w:r w:rsidRPr="00987AA8">
        <w:rPr>
          <w:rFonts w:ascii="Avenir Next" w:hAnsi="Avenir Next" w:cs="Arial"/>
          <w:color w:val="767171" w:themeColor="background2" w:themeShade="80"/>
          <w:sz w:val="22"/>
          <w:szCs w:val="22"/>
          <w:shd w:val="clear" w:color="auto" w:fill="FFFFFF"/>
        </w:rPr>
        <w:t xml:space="preserve">. An IP with a personal relationship with a party in that category would have to be careful to avoid the perception of, or actual, conflict in the exercise of their duties. </w:t>
      </w:r>
    </w:p>
    <w:p w14:paraId="3FCB16B0" w14:textId="77777777" w:rsidR="000F3F1C" w:rsidRPr="00987AA8" w:rsidRDefault="000F3F1C" w:rsidP="000F3F1C">
      <w:pPr>
        <w:pStyle w:val="ListParagraph"/>
        <w:rPr>
          <w:rFonts w:ascii="Avenir Next" w:hAnsi="Avenir Next" w:cs="Arial"/>
          <w:color w:val="767171" w:themeColor="background2" w:themeShade="80"/>
          <w:sz w:val="22"/>
          <w:szCs w:val="22"/>
          <w:shd w:val="clear" w:color="auto" w:fill="FFFFFF"/>
        </w:rPr>
      </w:pPr>
    </w:p>
    <w:p w14:paraId="0AC81636" w14:textId="6BA89165" w:rsidR="00132584" w:rsidRPr="00987AA8" w:rsidRDefault="000F3F1C" w:rsidP="000F3F1C">
      <w:pPr>
        <w:pStyle w:val="ListParagraph"/>
        <w:jc w:val="both"/>
        <w:rPr>
          <w:rFonts w:ascii="Avenir Next" w:hAnsi="Avenir Next" w:cs="Arial"/>
          <w:color w:val="767171" w:themeColor="background2" w:themeShade="80"/>
          <w:sz w:val="22"/>
          <w:szCs w:val="22"/>
          <w:shd w:val="clear" w:color="auto" w:fill="FFFFFF"/>
        </w:rPr>
      </w:pPr>
      <w:r w:rsidRPr="00987AA8">
        <w:rPr>
          <w:rFonts w:ascii="Avenir Next" w:hAnsi="Avenir Next" w:cs="Arial"/>
          <w:color w:val="767171" w:themeColor="background2" w:themeShade="80"/>
          <w:sz w:val="22"/>
          <w:szCs w:val="22"/>
          <w:shd w:val="clear" w:color="auto" w:fill="FFFFFF"/>
        </w:rPr>
        <w:t xml:space="preserve">A more complex example of this was considered in </w:t>
      </w:r>
      <w:r w:rsidRPr="00987AA8">
        <w:rPr>
          <w:rFonts w:ascii="Avenir Next" w:hAnsi="Avenir Next" w:cs="Arial"/>
          <w:b/>
          <w:bCs/>
          <w:i/>
          <w:iCs/>
          <w:color w:val="767171" w:themeColor="background2" w:themeShade="80"/>
          <w:sz w:val="22"/>
          <w:szCs w:val="22"/>
          <w:u w:val="single"/>
          <w:shd w:val="clear" w:color="auto" w:fill="FFFFFF"/>
        </w:rPr>
        <w:t>Ventra Investments Ltd v Bank of Scotland PLC</w:t>
      </w:r>
      <w:r w:rsidRPr="00987AA8">
        <w:rPr>
          <w:rFonts w:ascii="Avenir Next" w:hAnsi="Avenir Next" w:cs="Arial"/>
          <w:color w:val="767171" w:themeColor="background2" w:themeShade="80"/>
          <w:sz w:val="22"/>
          <w:szCs w:val="22"/>
          <w:shd w:val="clear" w:color="auto" w:fill="FFFFFF"/>
        </w:rPr>
        <w:t xml:space="preserve"> [2019] EWHC 2058. BDO was on Lloyds “insolvency panel”, which granted the former preferred status in relation to insolvency work for Lloyds and its subsidiaries. In the </w:t>
      </w:r>
      <w:proofErr w:type="spellStart"/>
      <w:r w:rsidRPr="00987AA8">
        <w:rPr>
          <w:rFonts w:ascii="Avenir Next" w:hAnsi="Avenir Next" w:cs="Arial"/>
          <w:color w:val="767171" w:themeColor="background2" w:themeShade="80"/>
          <w:sz w:val="22"/>
          <w:szCs w:val="22"/>
          <w:shd w:val="clear" w:color="auto" w:fill="FFFFFF"/>
        </w:rPr>
        <w:t>couse</w:t>
      </w:r>
      <w:proofErr w:type="spellEnd"/>
      <w:r w:rsidRPr="00987AA8">
        <w:rPr>
          <w:rFonts w:ascii="Avenir Next" w:hAnsi="Avenir Next" w:cs="Arial"/>
          <w:color w:val="767171" w:themeColor="background2" w:themeShade="80"/>
          <w:sz w:val="22"/>
          <w:szCs w:val="22"/>
          <w:shd w:val="clear" w:color="auto" w:fill="FFFFFF"/>
        </w:rPr>
        <w:t xml:space="preserve"> of a claim brought by Lloyds’ subsidiary, Bank of Scotland, against a debtor company, Ventra Investments (in liquidation) (VIL), in respect of a transaction at an undervalue, the liquidators of VIL challenged the independence of BDO </w:t>
      </w:r>
      <w:proofErr w:type="gramStart"/>
      <w:r w:rsidRPr="00987AA8">
        <w:rPr>
          <w:rFonts w:ascii="Avenir Next" w:hAnsi="Avenir Next" w:cs="Arial"/>
          <w:color w:val="767171" w:themeColor="background2" w:themeShade="80"/>
          <w:sz w:val="22"/>
          <w:szCs w:val="22"/>
          <w:shd w:val="clear" w:color="auto" w:fill="FFFFFF"/>
        </w:rPr>
        <w:t>as a result of</w:t>
      </w:r>
      <w:proofErr w:type="gramEnd"/>
      <w:r w:rsidRPr="00987AA8">
        <w:rPr>
          <w:rFonts w:ascii="Avenir Next" w:hAnsi="Avenir Next" w:cs="Arial"/>
          <w:color w:val="767171" w:themeColor="background2" w:themeShade="80"/>
          <w:sz w:val="22"/>
          <w:szCs w:val="22"/>
          <w:shd w:val="clear" w:color="auto" w:fill="FFFFFF"/>
        </w:rPr>
        <w:t xml:space="preserve"> being on the panel. This was particularly controversial given that BDO had commented in relation to other proceedings, “If it came to a case where litigation is appropriate, we would have to decline to act given our panel status with all major banks and thus our perceived or actual conflict of interest.” (</w:t>
      </w:r>
      <w:hyperlink r:id="rId9" w:history="1">
        <w:r w:rsidRPr="00987AA8">
          <w:rPr>
            <w:rStyle w:val="Hyperlink"/>
            <w:rFonts w:ascii="Avenir Next" w:hAnsi="Avenir Next" w:cs="Arial"/>
            <w:color w:val="767171" w:themeColor="background2" w:themeShade="80"/>
            <w:sz w:val="22"/>
            <w:szCs w:val="22"/>
            <w:shd w:val="clear" w:color="auto" w:fill="FFFFFF"/>
          </w:rPr>
          <w:t>https://bmmagazine.co.uk/news/lloyds-banking-group-ordered-to-explain-relationship-with-insolvency-firms/</w:t>
        </w:r>
      </w:hyperlink>
      <w:r w:rsidRPr="00987AA8">
        <w:rPr>
          <w:rFonts w:ascii="Avenir Next" w:hAnsi="Avenir Next" w:cs="Arial"/>
          <w:color w:val="767171" w:themeColor="background2" w:themeShade="80"/>
          <w:sz w:val="22"/>
          <w:szCs w:val="22"/>
          <w:shd w:val="clear" w:color="auto" w:fill="FFFFFF"/>
        </w:rPr>
        <w:t xml:space="preserve">)  The case appears to have settled out of Court, however, BDO’s perceived conflict of interest was widely reported as a result of VIL’s applications for disclosure arising from the connection between BOS and Bank of Scotland, which VIL said impacted BDO’s ability to assess the claims against VIL impartially.  </w:t>
      </w:r>
    </w:p>
    <w:p w14:paraId="1C7D9551" w14:textId="77777777" w:rsidR="004F7AAE" w:rsidRPr="00987AA8" w:rsidRDefault="004F7AAE" w:rsidP="002A37BB">
      <w:pPr>
        <w:jc w:val="both"/>
        <w:rPr>
          <w:rFonts w:ascii="Avenir Next" w:hAnsi="Avenir Next" w:cs="Arial"/>
          <w:color w:val="767171" w:themeColor="background2" w:themeShade="80"/>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766FC0" w:rsidRDefault="00132584" w:rsidP="00087F21">
      <w:pPr>
        <w:jc w:val="both"/>
        <w:rPr>
          <w:rFonts w:ascii="Avenir Next" w:hAnsi="Avenir Next" w:cs="Arial"/>
          <w:sz w:val="22"/>
          <w:szCs w:val="22"/>
          <w:lang w:val="en-GB"/>
        </w:rPr>
      </w:pPr>
      <w:proofErr w:type="spellStart"/>
      <w:r w:rsidRPr="00766FC0">
        <w:rPr>
          <w:rFonts w:ascii="Avenir Next" w:hAnsi="Avenir Next" w:cs="Arial"/>
          <w:sz w:val="22"/>
          <w:szCs w:val="22"/>
          <w:lang w:val="en-GB"/>
        </w:rPr>
        <w:t>WeBuild</w:t>
      </w:r>
      <w:proofErr w:type="spellEnd"/>
      <w:r w:rsidRPr="00766FC0">
        <w:rPr>
          <w:rFonts w:ascii="Avenir Next" w:hAnsi="Avenir Next" w:cs="Arial"/>
          <w:sz w:val="22"/>
          <w:szCs w:val="22"/>
          <w:lang w:val="en-GB"/>
        </w:rPr>
        <w:t xml:space="preserve"> Ltd is a private company registered in </w:t>
      </w:r>
      <w:proofErr w:type="spellStart"/>
      <w:r w:rsidRPr="00766FC0">
        <w:rPr>
          <w:rFonts w:ascii="Avenir Next" w:hAnsi="Avenir Next" w:cs="Arial"/>
          <w:sz w:val="22"/>
          <w:szCs w:val="22"/>
          <w:lang w:val="en-GB"/>
        </w:rPr>
        <w:t>Eurafriclia</w:t>
      </w:r>
      <w:proofErr w:type="spellEnd"/>
      <w:r w:rsidRPr="00766FC0">
        <w:rPr>
          <w:rFonts w:ascii="Avenir Next" w:hAnsi="Avenir Next" w:cs="Arial"/>
          <w:sz w:val="22"/>
          <w:szCs w:val="22"/>
          <w:lang w:val="en-GB"/>
        </w:rPr>
        <w:t xml:space="preserve">. The company specialises in construction and property development and is well known in the area </w:t>
      </w:r>
      <w:r w:rsidR="004807F1" w:rsidRPr="00766FC0">
        <w:rPr>
          <w:rFonts w:ascii="Avenir Next" w:hAnsi="Avenir Next" w:cs="Arial"/>
          <w:sz w:val="22"/>
          <w:szCs w:val="22"/>
          <w:lang w:val="en-GB"/>
        </w:rPr>
        <w:t>where</w:t>
      </w:r>
      <w:r w:rsidRPr="00766FC0">
        <w:rPr>
          <w:rFonts w:ascii="Avenir Next" w:hAnsi="Avenir Next" w:cs="Arial"/>
          <w:sz w:val="22"/>
          <w:szCs w:val="22"/>
          <w:lang w:val="en-GB"/>
        </w:rPr>
        <w:t xml:space="preserve"> it conducts </w:t>
      </w:r>
      <w:r w:rsidR="004F7AAE" w:rsidRPr="00766FC0">
        <w:rPr>
          <w:rFonts w:ascii="Avenir Next" w:hAnsi="Avenir Next" w:cs="Arial"/>
          <w:sz w:val="22"/>
          <w:szCs w:val="22"/>
          <w:lang w:val="en-GB"/>
        </w:rPr>
        <w:t xml:space="preserve">its </w:t>
      </w:r>
      <w:r w:rsidRPr="00766FC0">
        <w:rPr>
          <w:rFonts w:ascii="Avenir Next" w:hAnsi="Avenir Next" w:cs="Arial"/>
          <w:sz w:val="22"/>
          <w:szCs w:val="22"/>
          <w:lang w:val="en-GB"/>
        </w:rPr>
        <w:t xml:space="preserve">business. Mr B </w:t>
      </w:r>
      <w:proofErr w:type="spellStart"/>
      <w:r w:rsidRPr="00766FC0">
        <w:rPr>
          <w:rFonts w:ascii="Avenir Next" w:hAnsi="Avenir Next" w:cs="Arial"/>
          <w:sz w:val="22"/>
          <w:szCs w:val="22"/>
          <w:lang w:val="en-GB"/>
        </w:rPr>
        <w:t>Inlaw</w:t>
      </w:r>
      <w:proofErr w:type="spellEnd"/>
      <w:r w:rsidRPr="00766FC0">
        <w:rPr>
          <w:rFonts w:ascii="Avenir Next" w:hAnsi="Avenir Next" w:cs="Arial"/>
          <w:sz w:val="22"/>
          <w:szCs w:val="22"/>
          <w:lang w:val="en-GB"/>
        </w:rPr>
        <w:t xml:space="preserve">, Dr I </w:t>
      </w:r>
      <w:proofErr w:type="spellStart"/>
      <w:r w:rsidRPr="00766FC0">
        <w:rPr>
          <w:rFonts w:ascii="Avenir Next" w:hAnsi="Avenir Next" w:cs="Arial"/>
          <w:sz w:val="22"/>
          <w:szCs w:val="22"/>
          <w:lang w:val="en-GB"/>
        </w:rPr>
        <w:t>Dontcare</w:t>
      </w:r>
      <w:proofErr w:type="spellEnd"/>
      <w:r w:rsidRPr="00766FC0">
        <w:rPr>
          <w:rFonts w:ascii="Avenir Next" w:hAnsi="Avenir Next" w:cs="Arial"/>
          <w:sz w:val="22"/>
          <w:szCs w:val="22"/>
          <w:lang w:val="en-GB"/>
        </w:rPr>
        <w:t xml:space="preserve"> and Mrs I Relevant are the directors of the company. The company has ten shareholders</w:t>
      </w:r>
      <w:r w:rsidR="004807F1" w:rsidRPr="00766FC0">
        <w:rPr>
          <w:rFonts w:ascii="Avenir Next" w:hAnsi="Avenir Next" w:cs="Arial"/>
          <w:sz w:val="22"/>
          <w:szCs w:val="22"/>
          <w:lang w:val="en-GB"/>
        </w:rPr>
        <w:t>,</w:t>
      </w:r>
      <w:r w:rsidRPr="00766FC0">
        <w:rPr>
          <w:rFonts w:ascii="Avenir Next" w:hAnsi="Avenir Next" w:cs="Arial"/>
          <w:sz w:val="22"/>
          <w:szCs w:val="22"/>
          <w:lang w:val="en-GB"/>
        </w:rPr>
        <w:t xml:space="preserve"> with Mr B </w:t>
      </w:r>
      <w:proofErr w:type="spellStart"/>
      <w:r w:rsidRPr="00766FC0">
        <w:rPr>
          <w:rFonts w:ascii="Avenir Next" w:hAnsi="Avenir Next" w:cs="Arial"/>
          <w:sz w:val="22"/>
          <w:szCs w:val="22"/>
          <w:lang w:val="en-GB"/>
        </w:rPr>
        <w:t>Inlaw</w:t>
      </w:r>
      <w:proofErr w:type="spellEnd"/>
      <w:r w:rsidRPr="00766FC0">
        <w:rPr>
          <w:rFonts w:ascii="Avenir Next" w:hAnsi="Avenir Next" w:cs="Arial"/>
          <w:sz w:val="22"/>
          <w:szCs w:val="22"/>
          <w:lang w:val="en-GB"/>
        </w:rPr>
        <w:t xml:space="preserve"> and Dr I </w:t>
      </w:r>
      <w:proofErr w:type="spellStart"/>
      <w:r w:rsidRPr="00766FC0">
        <w:rPr>
          <w:rFonts w:ascii="Avenir Next" w:hAnsi="Avenir Next" w:cs="Arial"/>
          <w:sz w:val="22"/>
          <w:szCs w:val="22"/>
          <w:lang w:val="en-GB"/>
        </w:rPr>
        <w:t>Dontcare</w:t>
      </w:r>
      <w:proofErr w:type="spellEnd"/>
      <w:r w:rsidRPr="00766FC0">
        <w:rPr>
          <w:rFonts w:ascii="Avenir Next" w:hAnsi="Avenir Next" w:cs="Arial"/>
          <w:sz w:val="22"/>
          <w:szCs w:val="22"/>
          <w:lang w:val="en-GB"/>
        </w:rPr>
        <w:t xml:space="preserve"> also holding shares in the company. </w:t>
      </w:r>
    </w:p>
    <w:p w14:paraId="12B4F8DA" w14:textId="77777777" w:rsidR="00132584" w:rsidRPr="00766FC0" w:rsidRDefault="00132584" w:rsidP="00087F21">
      <w:pPr>
        <w:jc w:val="both"/>
        <w:rPr>
          <w:rFonts w:ascii="Avenir Next" w:hAnsi="Avenir Next" w:cs="Arial"/>
          <w:sz w:val="22"/>
          <w:szCs w:val="22"/>
          <w:lang w:val="en-GB"/>
        </w:rPr>
      </w:pPr>
    </w:p>
    <w:p w14:paraId="5FC122CD" w14:textId="7867E2F0" w:rsidR="00C10B1A" w:rsidRPr="00766FC0" w:rsidRDefault="00132584" w:rsidP="00087F21">
      <w:pPr>
        <w:jc w:val="both"/>
        <w:rPr>
          <w:rFonts w:ascii="Avenir Next" w:hAnsi="Avenir Next" w:cs="Arial"/>
          <w:sz w:val="22"/>
          <w:szCs w:val="22"/>
          <w:lang w:val="en-GB"/>
        </w:rPr>
      </w:pPr>
      <w:r w:rsidRPr="00766FC0">
        <w:rPr>
          <w:rFonts w:ascii="Avenir Next" w:hAnsi="Avenir Next" w:cs="Arial"/>
          <w:sz w:val="22"/>
          <w:szCs w:val="22"/>
          <w:lang w:val="en-GB"/>
        </w:rPr>
        <w:t>The company traded profitably for the last 10 years but recently started to experience financial difficult</w:t>
      </w:r>
      <w:r w:rsidR="004807F1" w:rsidRPr="00766FC0">
        <w:rPr>
          <w:rFonts w:ascii="Avenir Next" w:hAnsi="Avenir Next" w:cs="Arial"/>
          <w:sz w:val="22"/>
          <w:szCs w:val="22"/>
          <w:lang w:val="en-GB"/>
        </w:rPr>
        <w:t>ies</w:t>
      </w:r>
      <w:r w:rsidRPr="00766FC0">
        <w:rPr>
          <w:rFonts w:ascii="Avenir Next" w:hAnsi="Avenir Next" w:cs="Arial"/>
          <w:sz w:val="22"/>
          <w:szCs w:val="22"/>
          <w:lang w:val="en-GB"/>
        </w:rPr>
        <w:t xml:space="preserve">. One of the main reasons for the </w:t>
      </w:r>
      <w:r w:rsidR="004F7AAE" w:rsidRPr="00766FC0">
        <w:rPr>
          <w:rFonts w:ascii="Avenir Next" w:hAnsi="Avenir Next" w:cs="Arial"/>
          <w:sz w:val="22"/>
          <w:szCs w:val="22"/>
          <w:lang w:val="en-GB"/>
        </w:rPr>
        <w:t xml:space="preserve">financial </w:t>
      </w:r>
      <w:r w:rsidRPr="00766FC0">
        <w:rPr>
          <w:rFonts w:ascii="Avenir Next" w:hAnsi="Avenir Next" w:cs="Arial"/>
          <w:sz w:val="22"/>
          <w:szCs w:val="22"/>
          <w:lang w:val="en-GB"/>
        </w:rPr>
        <w:t xml:space="preserve">decline is the fact that several of the company’s employees have instituted a class action claim against </w:t>
      </w:r>
      <w:proofErr w:type="spellStart"/>
      <w:r w:rsidRPr="00766FC0">
        <w:rPr>
          <w:rFonts w:ascii="Avenir Next" w:hAnsi="Avenir Next" w:cs="Arial"/>
          <w:sz w:val="22"/>
          <w:szCs w:val="22"/>
          <w:lang w:val="en-GB"/>
        </w:rPr>
        <w:t>WeBuild</w:t>
      </w:r>
      <w:proofErr w:type="spellEnd"/>
      <w:r w:rsidRPr="00766FC0">
        <w:rPr>
          <w:rFonts w:ascii="Avenir Next" w:hAnsi="Avenir Next" w:cs="Arial"/>
          <w:sz w:val="22"/>
          <w:szCs w:val="22"/>
          <w:lang w:val="en-GB"/>
        </w:rPr>
        <w:t xml:space="preserve"> for workplace</w:t>
      </w:r>
      <w:r w:rsidR="004F7AAE" w:rsidRPr="00766FC0">
        <w:rPr>
          <w:rFonts w:ascii="Avenir Next" w:hAnsi="Avenir Next" w:cs="Arial"/>
          <w:sz w:val="22"/>
          <w:szCs w:val="22"/>
          <w:lang w:val="en-GB"/>
        </w:rPr>
        <w:t>-</w:t>
      </w:r>
      <w:r w:rsidRPr="00766FC0">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766FC0">
        <w:rPr>
          <w:rFonts w:ascii="Avenir Next" w:hAnsi="Avenir Next" w:cs="Arial"/>
          <w:sz w:val="22"/>
          <w:szCs w:val="22"/>
          <w:lang w:val="en-GB"/>
        </w:rPr>
        <w:t>ing</w:t>
      </w:r>
      <w:r w:rsidRPr="00766FC0">
        <w:rPr>
          <w:rFonts w:ascii="Avenir Next" w:hAnsi="Avenir Next" w:cs="Arial"/>
          <w:sz w:val="22"/>
          <w:szCs w:val="22"/>
          <w:lang w:val="en-GB"/>
        </w:rPr>
        <w:t xml:space="preserve"> to the </w:t>
      </w:r>
      <w:proofErr w:type="gramStart"/>
      <w:r w:rsidRPr="00766FC0">
        <w:rPr>
          <w:rFonts w:ascii="Avenir Next" w:hAnsi="Avenir Next" w:cs="Arial"/>
          <w:sz w:val="22"/>
          <w:szCs w:val="22"/>
          <w:lang w:val="en-GB"/>
        </w:rPr>
        <w:t>machinery</w:t>
      </w:r>
      <w:r w:rsidR="008555F6" w:rsidRPr="00766FC0">
        <w:rPr>
          <w:rFonts w:ascii="Avenir Next" w:hAnsi="Avenir Next" w:cs="Arial"/>
          <w:sz w:val="22"/>
          <w:szCs w:val="22"/>
          <w:lang w:val="en-GB"/>
        </w:rPr>
        <w:t>,</w:t>
      </w:r>
      <w:r w:rsidRPr="00766FC0">
        <w:rPr>
          <w:rFonts w:ascii="Avenir Next" w:hAnsi="Avenir Next" w:cs="Arial"/>
          <w:sz w:val="22"/>
          <w:szCs w:val="22"/>
          <w:lang w:val="en-GB"/>
        </w:rPr>
        <w:t xml:space="preserve"> but</w:t>
      </w:r>
      <w:proofErr w:type="gramEnd"/>
      <w:r w:rsidRPr="00766FC0">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766FC0" w:rsidRDefault="00C10B1A" w:rsidP="00087F21">
      <w:pPr>
        <w:jc w:val="both"/>
        <w:rPr>
          <w:rFonts w:ascii="Avenir Next" w:hAnsi="Avenir Next" w:cs="Arial"/>
          <w:sz w:val="22"/>
          <w:szCs w:val="22"/>
          <w:lang w:val="en-GB"/>
        </w:rPr>
      </w:pPr>
    </w:p>
    <w:p w14:paraId="57A9B3BE" w14:textId="7DF278C1" w:rsidR="00C10B1A" w:rsidRPr="00766FC0" w:rsidRDefault="00132584" w:rsidP="00087F21">
      <w:pPr>
        <w:jc w:val="both"/>
        <w:rPr>
          <w:rFonts w:ascii="Avenir Next" w:hAnsi="Avenir Next" w:cs="Arial"/>
          <w:sz w:val="22"/>
          <w:szCs w:val="22"/>
          <w:lang w:val="en-GB"/>
        </w:rPr>
      </w:pPr>
      <w:r w:rsidRPr="00766FC0">
        <w:rPr>
          <w:rFonts w:ascii="Avenir Next" w:hAnsi="Avenir Next" w:cs="Arial"/>
          <w:sz w:val="22"/>
          <w:szCs w:val="22"/>
          <w:lang w:val="en-GB"/>
        </w:rPr>
        <w:t>Present at this meeting were the shareholders, the directors and Mr Relation, a lawyer</w:t>
      </w:r>
      <w:r w:rsidR="00651652" w:rsidRPr="00766FC0">
        <w:rPr>
          <w:rFonts w:ascii="Avenir Next" w:hAnsi="Avenir Next" w:cs="Arial"/>
          <w:sz w:val="22"/>
          <w:szCs w:val="22"/>
          <w:lang w:val="en-GB"/>
        </w:rPr>
        <w:t xml:space="preserve"> and </w:t>
      </w:r>
      <w:r w:rsidR="006F450E" w:rsidRPr="00766FC0">
        <w:rPr>
          <w:rFonts w:ascii="Avenir Next" w:hAnsi="Avenir Next" w:cs="Arial"/>
          <w:sz w:val="22"/>
          <w:szCs w:val="22"/>
          <w:lang w:val="en-GB"/>
        </w:rPr>
        <w:t>licensed insolvency practitioner</w:t>
      </w:r>
      <w:r w:rsidRPr="00766FC0">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766FC0">
        <w:rPr>
          <w:rFonts w:ascii="Avenir Next" w:hAnsi="Avenir Next" w:cs="Arial"/>
          <w:sz w:val="22"/>
          <w:szCs w:val="22"/>
          <w:lang w:val="en-GB"/>
        </w:rPr>
        <w:t>Inlaw’s</w:t>
      </w:r>
      <w:proofErr w:type="spellEnd"/>
      <w:r w:rsidRPr="00766FC0">
        <w:rPr>
          <w:rFonts w:ascii="Avenir Next" w:hAnsi="Avenir Next" w:cs="Arial"/>
          <w:sz w:val="22"/>
          <w:szCs w:val="22"/>
          <w:lang w:val="en-GB"/>
        </w:rPr>
        <w:t xml:space="preserve"> brother</w:t>
      </w:r>
      <w:r w:rsidR="006164E5" w:rsidRPr="00766FC0">
        <w:rPr>
          <w:rFonts w:ascii="Avenir Next" w:hAnsi="Avenir Next" w:cs="Arial"/>
          <w:sz w:val="22"/>
          <w:szCs w:val="22"/>
          <w:lang w:val="en-GB"/>
        </w:rPr>
        <w:t>-</w:t>
      </w:r>
      <w:r w:rsidRPr="00766FC0">
        <w:rPr>
          <w:rFonts w:ascii="Avenir Next" w:hAnsi="Avenir Next" w:cs="Arial"/>
          <w:sz w:val="22"/>
          <w:szCs w:val="22"/>
          <w:lang w:val="en-GB"/>
        </w:rPr>
        <w:t>in</w:t>
      </w:r>
      <w:r w:rsidR="006164E5" w:rsidRPr="00766FC0">
        <w:rPr>
          <w:rFonts w:ascii="Avenir Next" w:hAnsi="Avenir Next" w:cs="Arial"/>
          <w:sz w:val="22"/>
          <w:szCs w:val="22"/>
          <w:lang w:val="en-GB"/>
        </w:rPr>
        <w:t>-</w:t>
      </w:r>
      <w:r w:rsidRPr="00766FC0">
        <w:rPr>
          <w:rFonts w:ascii="Avenir Next" w:hAnsi="Avenir Next" w:cs="Arial"/>
          <w:sz w:val="22"/>
          <w:szCs w:val="22"/>
          <w:lang w:val="en-GB"/>
        </w:rPr>
        <w:t>law and godfather to his daughter. During the meeting</w:t>
      </w:r>
      <w:r w:rsidR="006164E5" w:rsidRPr="00766FC0">
        <w:rPr>
          <w:rFonts w:ascii="Avenir Next" w:hAnsi="Avenir Next" w:cs="Arial"/>
          <w:sz w:val="22"/>
          <w:szCs w:val="22"/>
          <w:lang w:val="en-GB"/>
        </w:rPr>
        <w:t>,</w:t>
      </w:r>
      <w:r w:rsidRPr="00766FC0">
        <w:rPr>
          <w:rFonts w:ascii="Avenir Next" w:hAnsi="Avenir Next" w:cs="Arial"/>
          <w:sz w:val="22"/>
          <w:szCs w:val="22"/>
          <w:lang w:val="en-GB"/>
        </w:rPr>
        <w:t xml:space="preserve"> Mr Relation suggests that the company </w:t>
      </w:r>
      <w:proofErr w:type="gramStart"/>
      <w:r w:rsidRPr="00766FC0">
        <w:rPr>
          <w:rFonts w:ascii="Avenir Next" w:hAnsi="Avenir Next" w:cs="Arial"/>
          <w:sz w:val="22"/>
          <w:szCs w:val="22"/>
          <w:lang w:val="en-GB"/>
        </w:rPr>
        <w:t>enter into</w:t>
      </w:r>
      <w:proofErr w:type="gramEnd"/>
      <w:r w:rsidRPr="00766FC0">
        <w:rPr>
          <w:rFonts w:ascii="Avenir Next" w:hAnsi="Avenir Next" w:cs="Arial"/>
          <w:sz w:val="22"/>
          <w:szCs w:val="22"/>
          <w:lang w:val="en-GB"/>
        </w:rPr>
        <w:t xml:space="preserve"> a voluntary administration procedure. Mr B </w:t>
      </w:r>
      <w:proofErr w:type="spellStart"/>
      <w:r w:rsidRPr="00766FC0">
        <w:rPr>
          <w:rFonts w:ascii="Avenir Next" w:hAnsi="Avenir Next" w:cs="Arial"/>
          <w:sz w:val="22"/>
          <w:szCs w:val="22"/>
          <w:lang w:val="en-GB"/>
        </w:rPr>
        <w:t>Inlaw</w:t>
      </w:r>
      <w:proofErr w:type="spellEnd"/>
      <w:r w:rsidRPr="00766FC0">
        <w:rPr>
          <w:rFonts w:ascii="Avenir Next" w:hAnsi="Avenir Next" w:cs="Arial"/>
          <w:sz w:val="22"/>
          <w:szCs w:val="22"/>
          <w:lang w:val="en-GB"/>
        </w:rPr>
        <w:t xml:space="preserve"> suggests that the company appoi</w:t>
      </w:r>
      <w:r w:rsidR="004D2C62" w:rsidRPr="00766FC0">
        <w:rPr>
          <w:rFonts w:ascii="Avenir Next" w:hAnsi="Avenir Next" w:cs="Arial"/>
          <w:sz w:val="22"/>
          <w:szCs w:val="22"/>
          <w:lang w:val="en-GB"/>
        </w:rPr>
        <w:t>nt Mr Relation as administrator</w:t>
      </w:r>
      <w:r w:rsidRPr="00766FC0">
        <w:rPr>
          <w:rFonts w:ascii="Avenir Next" w:hAnsi="Avenir Next" w:cs="Arial"/>
          <w:sz w:val="22"/>
          <w:szCs w:val="22"/>
          <w:lang w:val="en-GB"/>
        </w:rPr>
        <w:t>. He accepts the appointment</w:t>
      </w:r>
      <w:r w:rsidR="000A46AA" w:rsidRPr="00766FC0">
        <w:rPr>
          <w:rFonts w:ascii="Avenir Next" w:hAnsi="Avenir Next" w:cs="Arial"/>
          <w:sz w:val="22"/>
          <w:szCs w:val="22"/>
          <w:lang w:val="en-GB"/>
        </w:rPr>
        <w:t>,</w:t>
      </w:r>
      <w:r w:rsidRPr="00766FC0">
        <w:rPr>
          <w:rFonts w:ascii="Avenir Next" w:hAnsi="Avenir Next" w:cs="Arial"/>
          <w:sz w:val="22"/>
          <w:szCs w:val="22"/>
          <w:lang w:val="en-GB"/>
        </w:rPr>
        <w:t xml:space="preserve"> </w:t>
      </w:r>
      <w:r w:rsidR="000A46AA" w:rsidRPr="00766FC0">
        <w:rPr>
          <w:rFonts w:ascii="Avenir Next" w:hAnsi="Avenir Next" w:cs="Arial"/>
          <w:sz w:val="22"/>
          <w:szCs w:val="22"/>
          <w:lang w:val="en-GB"/>
        </w:rPr>
        <w:t>ensuring that he d</w:t>
      </w:r>
      <w:r w:rsidRPr="00766FC0">
        <w:rPr>
          <w:rFonts w:ascii="Avenir Next" w:hAnsi="Avenir Next" w:cs="Arial"/>
          <w:sz w:val="22"/>
          <w:szCs w:val="22"/>
          <w:lang w:val="en-GB"/>
        </w:rPr>
        <w:t>isclose</w:t>
      </w:r>
      <w:r w:rsidR="000A46AA" w:rsidRPr="00766FC0">
        <w:rPr>
          <w:rFonts w:ascii="Avenir Next" w:hAnsi="Avenir Next" w:cs="Arial"/>
          <w:sz w:val="22"/>
          <w:szCs w:val="22"/>
          <w:lang w:val="en-GB"/>
        </w:rPr>
        <w:t>s</w:t>
      </w:r>
      <w:r w:rsidRPr="00766FC0">
        <w:rPr>
          <w:rFonts w:ascii="Avenir Next" w:hAnsi="Avenir Next" w:cs="Arial"/>
          <w:sz w:val="22"/>
          <w:szCs w:val="22"/>
          <w:lang w:val="en-GB"/>
        </w:rPr>
        <w:t xml:space="preserve"> his relationship with Mr B </w:t>
      </w:r>
      <w:proofErr w:type="spellStart"/>
      <w:r w:rsidRPr="00766FC0">
        <w:rPr>
          <w:rFonts w:ascii="Avenir Next" w:hAnsi="Avenir Next" w:cs="Arial"/>
          <w:sz w:val="22"/>
          <w:szCs w:val="22"/>
          <w:lang w:val="en-GB"/>
        </w:rPr>
        <w:t>Inlaw</w:t>
      </w:r>
      <w:proofErr w:type="spellEnd"/>
      <w:r w:rsidRPr="00766FC0">
        <w:rPr>
          <w:rFonts w:ascii="Avenir Next" w:hAnsi="Avenir Next" w:cs="Arial"/>
          <w:sz w:val="22"/>
          <w:szCs w:val="22"/>
          <w:lang w:val="en-GB"/>
        </w:rPr>
        <w:t xml:space="preserve"> and </w:t>
      </w:r>
      <w:r w:rsidR="00A37300" w:rsidRPr="00766FC0">
        <w:rPr>
          <w:rFonts w:ascii="Avenir Next" w:hAnsi="Avenir Next" w:cs="Arial"/>
          <w:sz w:val="22"/>
          <w:szCs w:val="22"/>
          <w:lang w:val="en-GB"/>
        </w:rPr>
        <w:t>says that he will declare</w:t>
      </w:r>
      <w:r w:rsidRPr="00766FC0">
        <w:rPr>
          <w:rFonts w:ascii="Avenir Next" w:hAnsi="Avenir Next" w:cs="Arial"/>
          <w:sz w:val="22"/>
          <w:szCs w:val="22"/>
          <w:lang w:val="en-GB"/>
        </w:rPr>
        <w:t xml:space="preserve"> that he believes that he will still be able to act with the required independence and impartiality. </w:t>
      </w:r>
      <w:r w:rsidR="00795762" w:rsidRPr="00766FC0">
        <w:rPr>
          <w:rFonts w:ascii="Avenir Next" w:hAnsi="Avenir Next" w:cs="Arial"/>
          <w:sz w:val="22"/>
          <w:szCs w:val="22"/>
          <w:lang w:val="en-GB"/>
        </w:rPr>
        <w:t xml:space="preserve">An undertaking that he </w:t>
      </w:r>
      <w:r w:rsidR="00002FCA" w:rsidRPr="00766FC0">
        <w:rPr>
          <w:rFonts w:ascii="Avenir Next" w:hAnsi="Avenir Next" w:cs="Arial"/>
          <w:sz w:val="22"/>
          <w:szCs w:val="22"/>
          <w:lang w:val="en-GB"/>
        </w:rPr>
        <w:t>complies with by subsequently issuing a written declaration of independence.</w:t>
      </w:r>
    </w:p>
    <w:p w14:paraId="79986A92" w14:textId="77777777" w:rsidR="00C10B1A" w:rsidRPr="00766FC0" w:rsidRDefault="00C10B1A" w:rsidP="00087F21">
      <w:pPr>
        <w:jc w:val="both"/>
        <w:rPr>
          <w:rFonts w:ascii="Avenir Next" w:hAnsi="Avenir Next" w:cs="Arial"/>
          <w:sz w:val="22"/>
          <w:szCs w:val="22"/>
          <w:lang w:val="en-GB"/>
        </w:rPr>
      </w:pPr>
    </w:p>
    <w:p w14:paraId="7516C386" w14:textId="4373ADB1" w:rsidR="00132584" w:rsidRPr="00766FC0" w:rsidRDefault="00132584" w:rsidP="00087F21">
      <w:pPr>
        <w:jc w:val="both"/>
        <w:rPr>
          <w:rFonts w:ascii="Avenir Next" w:hAnsi="Avenir Next" w:cs="Arial"/>
          <w:sz w:val="22"/>
          <w:szCs w:val="22"/>
          <w:lang w:val="en-GB"/>
        </w:rPr>
      </w:pPr>
      <w:r w:rsidRPr="00766FC0">
        <w:rPr>
          <w:rFonts w:ascii="Avenir Next" w:hAnsi="Avenir Next" w:cs="Arial"/>
          <w:sz w:val="22"/>
          <w:szCs w:val="22"/>
          <w:lang w:val="en-GB"/>
        </w:rPr>
        <w:t>After the meeting adjourn</w:t>
      </w:r>
      <w:r w:rsidR="000A46AA" w:rsidRPr="00766FC0">
        <w:rPr>
          <w:rFonts w:ascii="Avenir Next" w:hAnsi="Avenir Next" w:cs="Arial"/>
          <w:sz w:val="22"/>
          <w:szCs w:val="22"/>
          <w:lang w:val="en-GB"/>
        </w:rPr>
        <w:t>s,</w:t>
      </w:r>
      <w:r w:rsidRPr="00766FC0">
        <w:rPr>
          <w:rFonts w:ascii="Avenir Next" w:hAnsi="Avenir Next" w:cs="Arial"/>
          <w:sz w:val="22"/>
          <w:szCs w:val="22"/>
          <w:lang w:val="en-GB"/>
        </w:rPr>
        <w:t xml:space="preserve"> Mr B </w:t>
      </w:r>
      <w:proofErr w:type="spellStart"/>
      <w:r w:rsidRPr="00766FC0">
        <w:rPr>
          <w:rFonts w:ascii="Avenir Next" w:hAnsi="Avenir Next" w:cs="Arial"/>
          <w:sz w:val="22"/>
          <w:szCs w:val="22"/>
          <w:lang w:val="en-GB"/>
        </w:rPr>
        <w:t>Inlaw</w:t>
      </w:r>
      <w:proofErr w:type="spellEnd"/>
      <w:r w:rsidRPr="00766FC0">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766FC0">
        <w:rPr>
          <w:rFonts w:ascii="Avenir Next" w:hAnsi="Avenir Next" w:cs="Arial"/>
          <w:sz w:val="22"/>
          <w:szCs w:val="22"/>
          <w:lang w:val="en-GB"/>
        </w:rPr>
        <w:t>cus will not be on them but on trying to rescue the company.</w:t>
      </w:r>
    </w:p>
    <w:p w14:paraId="79EE3315" w14:textId="0DA6CFD7" w:rsidR="004D2C62" w:rsidRPr="00766FC0" w:rsidRDefault="004D2C62" w:rsidP="00087F21">
      <w:pPr>
        <w:jc w:val="both"/>
        <w:rPr>
          <w:rFonts w:ascii="Avenir Next" w:hAnsi="Avenir Next" w:cs="Arial"/>
          <w:sz w:val="22"/>
          <w:szCs w:val="22"/>
          <w:lang w:val="en-GB"/>
        </w:rPr>
      </w:pPr>
    </w:p>
    <w:p w14:paraId="538031E9" w14:textId="0E85B08C" w:rsidR="004D2C62" w:rsidRPr="00766FC0" w:rsidRDefault="004D2C62" w:rsidP="00087F21">
      <w:pPr>
        <w:jc w:val="both"/>
        <w:rPr>
          <w:rFonts w:ascii="Avenir Next" w:hAnsi="Avenir Next" w:cs="Arial"/>
          <w:sz w:val="22"/>
          <w:szCs w:val="22"/>
          <w:lang w:val="en-GB"/>
        </w:rPr>
      </w:pPr>
      <w:r w:rsidRPr="00766FC0">
        <w:rPr>
          <w:rFonts w:ascii="Avenir Next" w:hAnsi="Avenir Next" w:cs="Arial"/>
          <w:sz w:val="22"/>
          <w:szCs w:val="22"/>
          <w:lang w:val="en-GB"/>
        </w:rPr>
        <w:t xml:space="preserve">In the weeks </w:t>
      </w:r>
      <w:r w:rsidR="000A46AA" w:rsidRPr="00766FC0">
        <w:rPr>
          <w:rFonts w:ascii="Avenir Next" w:hAnsi="Avenir Next" w:cs="Arial"/>
          <w:sz w:val="22"/>
          <w:szCs w:val="22"/>
          <w:lang w:val="en-GB"/>
        </w:rPr>
        <w:t>that</w:t>
      </w:r>
      <w:r w:rsidRPr="00766FC0">
        <w:rPr>
          <w:rFonts w:ascii="Avenir Next" w:hAnsi="Avenir Next" w:cs="Arial"/>
          <w:sz w:val="22"/>
          <w:szCs w:val="22"/>
          <w:lang w:val="en-GB"/>
        </w:rPr>
        <w:t xml:space="preserve"> follow</w:t>
      </w:r>
      <w:r w:rsidR="004F50CD" w:rsidRPr="00766FC0">
        <w:rPr>
          <w:rFonts w:ascii="Avenir Next" w:hAnsi="Avenir Next" w:cs="Arial"/>
          <w:sz w:val="22"/>
          <w:szCs w:val="22"/>
          <w:lang w:val="en-GB"/>
        </w:rPr>
        <w:t>,</w:t>
      </w:r>
      <w:r w:rsidRPr="00766FC0">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766FC0">
        <w:rPr>
          <w:rFonts w:ascii="Avenir Next" w:hAnsi="Avenir Next" w:cs="Arial"/>
          <w:sz w:val="22"/>
          <w:szCs w:val="22"/>
          <w:lang w:val="en-GB"/>
        </w:rPr>
        <w:t>ies</w:t>
      </w:r>
      <w:r w:rsidRPr="00766FC0">
        <w:rPr>
          <w:rFonts w:ascii="Avenir Next" w:hAnsi="Avenir Next" w:cs="Arial"/>
          <w:sz w:val="22"/>
          <w:szCs w:val="22"/>
          <w:lang w:val="en-GB"/>
        </w:rPr>
        <w:t xml:space="preserve"> of the company. He relies on </w:t>
      </w:r>
      <w:r w:rsidR="001E172D" w:rsidRPr="00766FC0">
        <w:rPr>
          <w:rFonts w:ascii="Avenir Next" w:hAnsi="Avenir Next" w:cs="Arial"/>
          <w:sz w:val="22"/>
          <w:szCs w:val="22"/>
          <w:lang w:val="en-GB"/>
        </w:rPr>
        <w:t xml:space="preserve">detailed </w:t>
      </w:r>
      <w:r w:rsidRPr="00766FC0">
        <w:rPr>
          <w:rFonts w:ascii="Avenir Next" w:hAnsi="Avenir Next" w:cs="Arial"/>
          <w:sz w:val="22"/>
          <w:szCs w:val="22"/>
          <w:lang w:val="en-GB"/>
        </w:rPr>
        <w:t xml:space="preserve">reports drafted by Mr B </w:t>
      </w:r>
      <w:proofErr w:type="spellStart"/>
      <w:r w:rsidRPr="00766FC0">
        <w:rPr>
          <w:rFonts w:ascii="Avenir Next" w:hAnsi="Avenir Next" w:cs="Arial"/>
          <w:sz w:val="22"/>
          <w:szCs w:val="22"/>
          <w:lang w:val="en-GB"/>
        </w:rPr>
        <w:t>Inlaw</w:t>
      </w:r>
      <w:proofErr w:type="spellEnd"/>
      <w:r w:rsidRPr="00766FC0">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766FC0" w:rsidRDefault="004D2C62" w:rsidP="00087F21">
      <w:pPr>
        <w:jc w:val="both"/>
        <w:rPr>
          <w:rFonts w:ascii="Avenir Next" w:hAnsi="Avenir Next" w:cs="Arial"/>
          <w:sz w:val="22"/>
          <w:szCs w:val="22"/>
          <w:lang w:val="en-GB"/>
        </w:rPr>
      </w:pPr>
    </w:p>
    <w:p w14:paraId="2DA50E85" w14:textId="17432F8F" w:rsidR="004D2C62" w:rsidRPr="00766FC0" w:rsidRDefault="004D2C62" w:rsidP="00087F21">
      <w:pPr>
        <w:jc w:val="both"/>
        <w:rPr>
          <w:rFonts w:ascii="Avenir Next" w:hAnsi="Avenir Next" w:cs="Arial"/>
          <w:sz w:val="22"/>
          <w:szCs w:val="22"/>
          <w:lang w:val="en-GB"/>
        </w:rPr>
      </w:pPr>
      <w:r w:rsidRPr="00766FC0">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766FC0">
        <w:rPr>
          <w:rFonts w:ascii="Avenir Next" w:hAnsi="Avenir Next" w:cs="Arial"/>
          <w:sz w:val="22"/>
          <w:szCs w:val="22"/>
          <w:lang w:val="en-GB"/>
        </w:rPr>
        <w:t>Keeneye</w:t>
      </w:r>
      <w:proofErr w:type="spellEnd"/>
      <w:r w:rsidRPr="00766FC0">
        <w:rPr>
          <w:rFonts w:ascii="Avenir Next" w:hAnsi="Avenir Next" w:cs="Arial"/>
          <w:sz w:val="22"/>
          <w:szCs w:val="22"/>
          <w:lang w:val="en-GB"/>
        </w:rPr>
        <w:t>, a lawyer attending the meeting on behalf of ABC B</w:t>
      </w:r>
      <w:r w:rsidR="001E172D" w:rsidRPr="00766FC0">
        <w:rPr>
          <w:rFonts w:ascii="Avenir Next" w:hAnsi="Avenir Next" w:cs="Arial"/>
          <w:sz w:val="22"/>
          <w:szCs w:val="22"/>
          <w:lang w:val="en-GB"/>
        </w:rPr>
        <w:t xml:space="preserve">ank, the major secured </w:t>
      </w:r>
      <w:r w:rsidR="001E172D" w:rsidRPr="00766FC0">
        <w:rPr>
          <w:rFonts w:ascii="Avenir Next" w:hAnsi="Avenir Next" w:cs="Arial"/>
          <w:sz w:val="22"/>
          <w:szCs w:val="22"/>
          <w:lang w:val="en-GB"/>
        </w:rPr>
        <w:lastRenderedPageBreak/>
        <w:t>creditor, recognises Mr Relation</w:t>
      </w:r>
      <w:r w:rsidR="00DC7F76" w:rsidRPr="00766FC0">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766FC0" w:rsidRDefault="00DC7F76" w:rsidP="00087F21">
      <w:pPr>
        <w:jc w:val="both"/>
        <w:rPr>
          <w:rFonts w:ascii="Avenir Next" w:hAnsi="Avenir Next" w:cs="Arial"/>
          <w:sz w:val="22"/>
          <w:szCs w:val="22"/>
          <w:lang w:val="en-GB"/>
        </w:rPr>
      </w:pPr>
    </w:p>
    <w:p w14:paraId="2AE300EB" w14:textId="74E007C9" w:rsidR="00DC7F76" w:rsidRPr="00766FC0" w:rsidRDefault="00DC7F76" w:rsidP="00087F21">
      <w:pPr>
        <w:jc w:val="both"/>
        <w:rPr>
          <w:rFonts w:ascii="Avenir Next" w:hAnsi="Avenir Next" w:cs="Arial"/>
          <w:sz w:val="22"/>
          <w:szCs w:val="22"/>
          <w:lang w:val="en-GB"/>
        </w:rPr>
      </w:pPr>
      <w:r w:rsidRPr="00766FC0">
        <w:rPr>
          <w:rFonts w:ascii="Avenir Next" w:hAnsi="Avenir Next" w:cs="Arial"/>
          <w:sz w:val="22"/>
          <w:szCs w:val="22"/>
          <w:lang w:val="en-GB"/>
        </w:rPr>
        <w:t>Several months later the administration fails due to</w:t>
      </w:r>
      <w:r w:rsidR="00AC2807" w:rsidRPr="00766FC0">
        <w:rPr>
          <w:rFonts w:ascii="Avenir Next" w:hAnsi="Avenir Next" w:cs="Arial"/>
          <w:sz w:val="22"/>
          <w:szCs w:val="22"/>
          <w:lang w:val="en-GB"/>
        </w:rPr>
        <w:t xml:space="preserve"> a</w:t>
      </w:r>
      <w:r w:rsidRPr="00766FC0">
        <w:rPr>
          <w:rFonts w:ascii="Avenir Next" w:hAnsi="Avenir Next" w:cs="Arial"/>
          <w:sz w:val="22"/>
          <w:szCs w:val="22"/>
          <w:lang w:val="en-GB"/>
        </w:rPr>
        <w:t xml:space="preserve"> “lack of funding”</w:t>
      </w:r>
      <w:r w:rsidR="0042466C" w:rsidRPr="00766FC0">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766FC0"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766FC0">
        <w:rPr>
          <w:rFonts w:ascii="Avenir Next" w:hAnsi="Avenir Next" w:cs="Arial"/>
          <w:sz w:val="22"/>
          <w:szCs w:val="22"/>
          <w:lang w:val="en-GB"/>
        </w:rPr>
        <w:t>Mr Relation’s firm has been implementing a work</w:t>
      </w:r>
      <w:r w:rsidR="00C045CE" w:rsidRPr="00766FC0">
        <w:rPr>
          <w:rFonts w:ascii="Avenir Next" w:hAnsi="Avenir Next" w:cs="Arial"/>
          <w:sz w:val="22"/>
          <w:szCs w:val="22"/>
          <w:lang w:val="en-GB"/>
        </w:rPr>
        <w:t>-</w:t>
      </w:r>
      <w:r w:rsidRPr="00766FC0">
        <w:rPr>
          <w:rFonts w:ascii="Avenir Next" w:hAnsi="Avenir Next" w:cs="Arial"/>
          <w:sz w:val="22"/>
          <w:szCs w:val="22"/>
          <w:lang w:val="en-GB"/>
        </w:rPr>
        <w:t>from</w:t>
      </w:r>
      <w:r w:rsidR="00C045CE" w:rsidRPr="00766FC0">
        <w:rPr>
          <w:rFonts w:ascii="Avenir Next" w:hAnsi="Avenir Next" w:cs="Arial"/>
          <w:sz w:val="22"/>
          <w:szCs w:val="22"/>
          <w:lang w:val="en-GB"/>
        </w:rPr>
        <w:t>-</w:t>
      </w:r>
      <w:r w:rsidRPr="00766FC0">
        <w:rPr>
          <w:rFonts w:ascii="Avenir Next" w:hAnsi="Avenir Next" w:cs="Arial"/>
          <w:sz w:val="22"/>
          <w:szCs w:val="22"/>
          <w:lang w:val="en-GB"/>
        </w:rPr>
        <w:t>home arrangement for employees</w:t>
      </w:r>
      <w:r w:rsidR="00C045CE" w:rsidRPr="00766FC0">
        <w:rPr>
          <w:rFonts w:ascii="Avenir Next" w:hAnsi="Avenir Next" w:cs="Arial"/>
          <w:sz w:val="22"/>
          <w:szCs w:val="22"/>
          <w:lang w:val="en-GB"/>
        </w:rPr>
        <w:t>,</w:t>
      </w:r>
      <w:r w:rsidRPr="00766FC0">
        <w:rPr>
          <w:rFonts w:ascii="Avenir Next" w:hAnsi="Avenir Next" w:cs="Arial"/>
          <w:sz w:val="22"/>
          <w:szCs w:val="22"/>
          <w:lang w:val="en-GB"/>
        </w:rPr>
        <w:t xml:space="preserve"> and </w:t>
      </w:r>
      <w:r w:rsidR="005327A3" w:rsidRPr="00766FC0">
        <w:rPr>
          <w:rFonts w:ascii="Avenir Next" w:hAnsi="Avenir Next" w:cs="Arial"/>
          <w:sz w:val="22"/>
          <w:szCs w:val="22"/>
          <w:lang w:val="en-GB"/>
        </w:rPr>
        <w:t>his secretary and associate ha</w:t>
      </w:r>
      <w:r w:rsidR="00C045CE" w:rsidRPr="00766FC0">
        <w:rPr>
          <w:rFonts w:ascii="Avenir Next" w:hAnsi="Avenir Next" w:cs="Arial"/>
          <w:sz w:val="22"/>
          <w:szCs w:val="22"/>
          <w:lang w:val="en-GB"/>
        </w:rPr>
        <w:t>ve</w:t>
      </w:r>
      <w:r w:rsidR="005327A3" w:rsidRPr="00766FC0">
        <w:rPr>
          <w:rFonts w:ascii="Avenir Next" w:hAnsi="Avenir Next" w:cs="Arial"/>
          <w:sz w:val="22"/>
          <w:szCs w:val="22"/>
          <w:lang w:val="en-GB"/>
        </w:rPr>
        <w:t xml:space="preserve"> several sensitive documents</w:t>
      </w:r>
      <w:r w:rsidR="00C87E9E" w:rsidRPr="00766FC0">
        <w:rPr>
          <w:rFonts w:ascii="Avenir Next" w:hAnsi="Avenir Next" w:cs="Arial"/>
          <w:sz w:val="22"/>
          <w:szCs w:val="22"/>
          <w:lang w:val="en-GB"/>
        </w:rPr>
        <w:t xml:space="preserve"> pertaining to </w:t>
      </w:r>
      <w:proofErr w:type="spellStart"/>
      <w:r w:rsidR="00C87E9E" w:rsidRPr="00766FC0">
        <w:rPr>
          <w:rFonts w:ascii="Avenir Next" w:hAnsi="Avenir Next" w:cs="Arial"/>
          <w:sz w:val="22"/>
          <w:szCs w:val="22"/>
          <w:lang w:val="en-GB"/>
        </w:rPr>
        <w:t>WeBuild</w:t>
      </w:r>
      <w:proofErr w:type="spellEnd"/>
      <w:r w:rsidR="00C87E9E" w:rsidRPr="00766FC0">
        <w:rPr>
          <w:rFonts w:ascii="Avenir Next" w:hAnsi="Avenir Next" w:cs="Arial"/>
          <w:sz w:val="22"/>
          <w:szCs w:val="22"/>
          <w:lang w:val="en-GB"/>
        </w:rPr>
        <w:t xml:space="preserve"> Ltd</w:t>
      </w:r>
      <w:r w:rsidR="005327A3" w:rsidRPr="00766FC0">
        <w:rPr>
          <w:rFonts w:ascii="Avenir Next" w:hAnsi="Avenir Next" w:cs="Arial"/>
          <w:sz w:val="22"/>
          <w:szCs w:val="22"/>
          <w:lang w:val="en-GB"/>
        </w:rPr>
        <w:t xml:space="preserve"> in their possession and on their personal computers </w:t>
      </w:r>
      <w:r w:rsidR="00C87E9E" w:rsidRPr="00766FC0">
        <w:rPr>
          <w:rFonts w:ascii="Avenir Next" w:hAnsi="Avenir Next" w:cs="Arial"/>
          <w:sz w:val="22"/>
          <w:szCs w:val="22"/>
          <w:lang w:val="en-GB"/>
        </w:rPr>
        <w:t>at home</w:t>
      </w:r>
      <w:r w:rsidR="00795762" w:rsidRPr="00766FC0">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t>
      </w:r>
      <w:r w:rsidR="00DC7F76" w:rsidRPr="000E3DF7">
        <w:rPr>
          <w:rFonts w:ascii="Avenir Next Demi Bold" w:hAnsi="Avenir Next Demi Bold" w:cs="Arial"/>
          <w:b/>
          <w:bCs/>
          <w:sz w:val="22"/>
          <w:szCs w:val="22"/>
          <w:highlight w:val="yellow"/>
          <w:lang w:val="en-GB"/>
        </w:rPr>
        <w:t>why they are in fact</w:t>
      </w:r>
      <w:r w:rsidR="00DC7F76" w:rsidRPr="002E7621">
        <w:rPr>
          <w:rFonts w:ascii="Avenir Next Demi Bold" w:hAnsi="Avenir Next Demi Bold" w:cs="Arial"/>
          <w:b/>
          <w:bCs/>
          <w:sz w:val="22"/>
          <w:szCs w:val="22"/>
          <w:lang w:val="en-GB"/>
        </w:rPr>
        <w:t xml:space="preserve"> ethical issues.</w:t>
      </w:r>
      <w:r w:rsidR="000756F8" w:rsidRPr="002E7621">
        <w:rPr>
          <w:rFonts w:ascii="Avenir Next Demi Bold" w:hAnsi="Avenir Next Demi Bold" w:cs="Arial"/>
          <w:b/>
          <w:bCs/>
          <w:sz w:val="22"/>
          <w:szCs w:val="22"/>
          <w:lang w:val="en-GB"/>
        </w:rPr>
        <w:t xml:space="preserve"> Your answer should include reference </w:t>
      </w:r>
      <w:r w:rsidR="000756F8" w:rsidRPr="000E3DF7">
        <w:rPr>
          <w:rFonts w:ascii="Avenir Next Demi Bold" w:hAnsi="Avenir Next Demi Bold" w:cs="Arial"/>
          <w:b/>
          <w:bCs/>
          <w:sz w:val="22"/>
          <w:szCs w:val="22"/>
          <w:highlight w:val="yellow"/>
          <w:lang w:val="en-GB"/>
        </w:rPr>
        <w:t>to the ethical principles</w:t>
      </w:r>
      <w:r w:rsidR="000756F8" w:rsidRPr="002E7621">
        <w:rPr>
          <w:rFonts w:ascii="Avenir Next Demi Bold" w:hAnsi="Avenir Next Demi Bold" w:cs="Arial"/>
          <w:b/>
          <w:bCs/>
          <w:sz w:val="22"/>
          <w:szCs w:val="22"/>
          <w:lang w:val="en-GB"/>
        </w:rPr>
        <w:t xml:space="preserve"> and </w:t>
      </w:r>
      <w:r w:rsidR="005A6496" w:rsidRPr="002E7621">
        <w:rPr>
          <w:rFonts w:ascii="Avenir Next Demi Bold" w:hAnsi="Avenir Next Demi Bold" w:cs="Arial"/>
          <w:b/>
          <w:bCs/>
          <w:sz w:val="22"/>
          <w:szCs w:val="22"/>
          <w:lang w:val="en-GB"/>
        </w:rPr>
        <w:t xml:space="preserve">the </w:t>
      </w:r>
      <w:r w:rsidR="000756F8" w:rsidRPr="000E3DF7">
        <w:rPr>
          <w:rFonts w:ascii="Avenir Next Demi Bold" w:hAnsi="Avenir Next Demi Bold" w:cs="Arial"/>
          <w:b/>
          <w:bCs/>
          <w:sz w:val="22"/>
          <w:szCs w:val="22"/>
          <w:highlight w:val="yellow"/>
          <w:lang w:val="en-GB"/>
        </w:rPr>
        <w:t>commentar</w:t>
      </w:r>
      <w:r w:rsidR="0042466C" w:rsidRPr="000E3DF7">
        <w:rPr>
          <w:rFonts w:ascii="Avenir Next Demi Bold" w:hAnsi="Avenir Next Demi Bold" w:cs="Arial"/>
          <w:b/>
          <w:bCs/>
          <w:sz w:val="22"/>
          <w:szCs w:val="22"/>
          <w:highlight w:val="yellow"/>
          <w:lang w:val="en-GB"/>
        </w:rPr>
        <w:t>y</w:t>
      </w:r>
      <w:r w:rsidR="00AC2807" w:rsidRPr="000E3DF7">
        <w:rPr>
          <w:rFonts w:ascii="Avenir Next Demi Bold" w:hAnsi="Avenir Next Demi Bold" w:cs="Arial"/>
          <w:b/>
          <w:bCs/>
          <w:sz w:val="22"/>
          <w:szCs w:val="22"/>
          <w:highlight w:val="yellow"/>
          <w:lang w:val="en-GB"/>
        </w:rPr>
        <w:t xml:space="preserve"> thereon</w:t>
      </w:r>
      <w:r w:rsidR="00AC2807" w:rsidRPr="002E7621">
        <w:rPr>
          <w:rFonts w:ascii="Avenir Next Demi Bold" w:hAnsi="Avenir Next Demi Bold" w:cs="Arial"/>
          <w:b/>
          <w:bCs/>
          <w:sz w:val="22"/>
          <w:szCs w:val="22"/>
          <w:lang w:val="en-GB"/>
        </w:rPr>
        <w:t>.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w:t>
      </w:r>
      <w:r w:rsidR="00AC2807" w:rsidRPr="000E3DF7">
        <w:rPr>
          <w:rFonts w:ascii="Avenir Next Demi Bold" w:hAnsi="Avenir Next Demi Bold" w:cs="Arial"/>
          <w:b/>
          <w:bCs/>
          <w:sz w:val="22"/>
          <w:szCs w:val="22"/>
          <w:highlight w:val="yellow"/>
          <w:lang w:val="en-GB"/>
        </w:rPr>
        <w:t>on possible remedies or</w:t>
      </w:r>
      <w:r w:rsidR="00AC2807" w:rsidRPr="002E7621">
        <w:rPr>
          <w:rFonts w:ascii="Avenir Next Demi Bold" w:hAnsi="Avenir Next Demi Bold" w:cs="Arial"/>
          <w:b/>
          <w:bCs/>
          <w:sz w:val="22"/>
          <w:szCs w:val="22"/>
          <w:lang w:val="en-GB"/>
        </w:rPr>
        <w:t xml:space="preserve"> </w:t>
      </w:r>
      <w:r w:rsidR="00AC2807" w:rsidRPr="000E3DF7">
        <w:rPr>
          <w:rFonts w:ascii="Avenir Next Demi Bold" w:hAnsi="Avenir Next Demi Bold" w:cs="Arial"/>
          <w:b/>
          <w:bCs/>
          <w:sz w:val="22"/>
          <w:szCs w:val="22"/>
          <w:highlight w:val="yellow"/>
          <w:lang w:val="en-GB"/>
        </w:rPr>
        <w:t>safeguarding mechanisms to</w:t>
      </w:r>
      <w:r w:rsidR="00AC2807" w:rsidRPr="002E7621">
        <w:rPr>
          <w:rFonts w:ascii="Avenir Next Demi Bold" w:hAnsi="Avenir Next Demi Bold" w:cs="Arial"/>
          <w:b/>
          <w:bCs/>
          <w:sz w:val="22"/>
          <w:szCs w:val="22"/>
          <w:lang w:val="en-GB"/>
        </w:rPr>
        <w:t xml:space="preserve">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741BF665" w14:textId="2AE62B84" w:rsidR="004227D5" w:rsidRDefault="000D51BA" w:rsidP="000D51BA">
      <w:pPr>
        <w:pStyle w:val="ListParagraph"/>
        <w:numPr>
          <w:ilvl w:val="0"/>
          <w:numId w:val="33"/>
        </w:numPr>
        <w:autoSpaceDE w:val="0"/>
        <w:autoSpaceDN w:val="0"/>
        <w:adjustRightInd w:val="0"/>
        <w:jc w:val="both"/>
        <w:rPr>
          <w:rFonts w:ascii="Avenir Next" w:hAnsi="Avenir Next" w:cs="Arial"/>
          <w:color w:val="808080" w:themeColor="background1" w:themeShade="80"/>
          <w:sz w:val="22"/>
          <w:szCs w:val="22"/>
          <w:lang w:val="en-GB"/>
        </w:rPr>
      </w:pPr>
      <w:r w:rsidRPr="004227D5">
        <w:rPr>
          <w:rFonts w:ascii="Avenir Next" w:hAnsi="Avenir Next" w:cs="Arial"/>
          <w:color w:val="808080" w:themeColor="background1" w:themeShade="80"/>
          <w:sz w:val="22"/>
          <w:szCs w:val="22"/>
          <w:lang w:val="en-GB"/>
        </w:rPr>
        <w:t xml:space="preserve">Mr Relation is initially appointed by the company to act as administrator. One of the directors, Mr </w:t>
      </w:r>
      <w:proofErr w:type="spellStart"/>
      <w:r w:rsidRPr="004227D5">
        <w:rPr>
          <w:rFonts w:ascii="Avenir Next" w:hAnsi="Avenir Next" w:cs="Arial"/>
          <w:color w:val="808080" w:themeColor="background1" w:themeShade="80"/>
          <w:sz w:val="22"/>
          <w:szCs w:val="22"/>
          <w:lang w:val="en-GB"/>
        </w:rPr>
        <w:t>Inlaw</w:t>
      </w:r>
      <w:proofErr w:type="spellEnd"/>
      <w:r w:rsidRPr="004227D5">
        <w:rPr>
          <w:rFonts w:ascii="Avenir Next" w:hAnsi="Avenir Next" w:cs="Arial"/>
          <w:color w:val="808080" w:themeColor="background1" w:themeShade="80"/>
          <w:sz w:val="22"/>
          <w:szCs w:val="22"/>
          <w:lang w:val="en-GB"/>
        </w:rPr>
        <w:t xml:space="preserve"> is Mr Relation’s </w:t>
      </w:r>
      <w:r w:rsidR="00987AA8" w:rsidRPr="004227D5">
        <w:rPr>
          <w:rFonts w:ascii="Avenir Next" w:hAnsi="Avenir Next" w:cs="Arial"/>
          <w:color w:val="808080" w:themeColor="background1" w:themeShade="80"/>
          <w:sz w:val="22"/>
          <w:szCs w:val="22"/>
          <w:lang w:val="en-GB"/>
        </w:rPr>
        <w:t>brother-in-law</w:t>
      </w:r>
      <w:r w:rsidRPr="004227D5">
        <w:rPr>
          <w:rFonts w:ascii="Avenir Next" w:hAnsi="Avenir Next" w:cs="Arial"/>
          <w:color w:val="808080" w:themeColor="background1" w:themeShade="80"/>
          <w:sz w:val="22"/>
          <w:szCs w:val="22"/>
          <w:lang w:val="en-GB"/>
        </w:rPr>
        <w:t xml:space="preserve"> and Mr Relation is the godfather to Mr </w:t>
      </w:r>
      <w:proofErr w:type="spellStart"/>
      <w:r w:rsidRPr="004227D5">
        <w:rPr>
          <w:rFonts w:ascii="Avenir Next" w:hAnsi="Avenir Next" w:cs="Arial"/>
          <w:color w:val="808080" w:themeColor="background1" w:themeShade="80"/>
          <w:sz w:val="22"/>
          <w:szCs w:val="22"/>
          <w:lang w:val="en-GB"/>
        </w:rPr>
        <w:t>Inlaw’s</w:t>
      </w:r>
      <w:proofErr w:type="spellEnd"/>
      <w:r w:rsidRPr="004227D5">
        <w:rPr>
          <w:rFonts w:ascii="Avenir Next" w:hAnsi="Avenir Next" w:cs="Arial"/>
          <w:color w:val="808080" w:themeColor="background1" w:themeShade="80"/>
          <w:sz w:val="22"/>
          <w:szCs w:val="22"/>
          <w:lang w:val="en-GB"/>
        </w:rPr>
        <w:t xml:space="preserve"> daughter. </w:t>
      </w:r>
      <w:r w:rsidR="004227D5">
        <w:rPr>
          <w:rFonts w:ascii="Avenir Next" w:hAnsi="Avenir Next" w:cs="Arial"/>
          <w:color w:val="808080" w:themeColor="background1" w:themeShade="80"/>
          <w:sz w:val="22"/>
          <w:szCs w:val="22"/>
          <w:lang w:val="en-GB"/>
        </w:rPr>
        <w:t>This is an extreme example of a familiarity threat to Mr Relation’s independence and impartiality.</w:t>
      </w:r>
    </w:p>
    <w:p w14:paraId="7B223635" w14:textId="77777777" w:rsidR="004227D5" w:rsidRDefault="004227D5" w:rsidP="004227D5">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1B16E05B" w14:textId="77777777" w:rsidR="004227D5" w:rsidRDefault="004227D5" w:rsidP="004227D5">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4227D5">
        <w:rPr>
          <w:rFonts w:ascii="Avenir Next" w:hAnsi="Avenir Next" w:cs="Arial"/>
          <w:color w:val="808080" w:themeColor="background1" w:themeShade="80"/>
          <w:sz w:val="22"/>
          <w:szCs w:val="22"/>
          <w:lang w:val="en-GB"/>
        </w:rPr>
        <w:t xml:space="preserve">In accordance with INSOL International’s Ethical </w:t>
      </w:r>
      <w:proofErr w:type="spellStart"/>
      <w:r w:rsidRPr="004227D5">
        <w:rPr>
          <w:rFonts w:ascii="Avenir Next" w:hAnsi="Avenir Next" w:cs="Arial"/>
          <w:color w:val="808080" w:themeColor="background1" w:themeShade="80"/>
          <w:sz w:val="22"/>
          <w:szCs w:val="22"/>
          <w:lang w:val="en-GB"/>
        </w:rPr>
        <w:t>Principals</w:t>
      </w:r>
      <w:proofErr w:type="spellEnd"/>
      <w:r w:rsidRPr="004227D5">
        <w:rPr>
          <w:rFonts w:ascii="Avenir Next" w:hAnsi="Avenir Next" w:cs="Arial"/>
          <w:color w:val="808080" w:themeColor="background1" w:themeShade="80"/>
          <w:sz w:val="22"/>
          <w:szCs w:val="22"/>
          <w:lang w:val="en-GB"/>
        </w:rPr>
        <w:t xml:space="preserve"> for Insolvency Professionals, </w:t>
      </w:r>
      <w:r w:rsidR="000D51BA" w:rsidRPr="004227D5">
        <w:rPr>
          <w:rFonts w:ascii="Avenir Next" w:hAnsi="Avenir Next" w:cs="Arial"/>
          <w:color w:val="808080" w:themeColor="background1" w:themeShade="80"/>
          <w:sz w:val="22"/>
          <w:szCs w:val="22"/>
          <w:lang w:val="en-GB"/>
        </w:rPr>
        <w:t xml:space="preserve">Mr Relation has a duty to </w:t>
      </w:r>
      <w:r w:rsidRPr="004227D5">
        <w:rPr>
          <w:rFonts w:ascii="Avenir Next" w:hAnsi="Avenir Next" w:cs="Arial"/>
          <w:color w:val="808080" w:themeColor="background1" w:themeShade="80"/>
          <w:sz w:val="22"/>
          <w:szCs w:val="22"/>
          <w:lang w:val="en-GB"/>
        </w:rPr>
        <w:t xml:space="preserve">exhibit the highest standards of objectivity, </w:t>
      </w:r>
      <w:proofErr w:type="gramStart"/>
      <w:r w:rsidRPr="004227D5">
        <w:rPr>
          <w:rFonts w:ascii="Avenir Next" w:hAnsi="Avenir Next" w:cs="Arial"/>
          <w:color w:val="808080" w:themeColor="background1" w:themeShade="80"/>
          <w:sz w:val="22"/>
          <w:szCs w:val="22"/>
          <w:lang w:val="en-GB"/>
        </w:rPr>
        <w:t>independence</w:t>
      </w:r>
      <w:proofErr w:type="gramEnd"/>
      <w:r w:rsidRPr="004227D5">
        <w:rPr>
          <w:rFonts w:ascii="Avenir Next" w:hAnsi="Avenir Next" w:cs="Arial"/>
          <w:color w:val="808080" w:themeColor="background1" w:themeShade="80"/>
          <w:sz w:val="22"/>
          <w:szCs w:val="22"/>
          <w:lang w:val="en-GB"/>
        </w:rPr>
        <w:t xml:space="preserve"> and impartiality in the exercise of his powers and duties </w:t>
      </w:r>
      <w:r w:rsidR="000D51BA" w:rsidRPr="004227D5">
        <w:rPr>
          <w:rFonts w:ascii="Avenir Next" w:hAnsi="Avenir Next" w:cs="Arial"/>
          <w:color w:val="808080" w:themeColor="background1" w:themeShade="80"/>
          <w:sz w:val="22"/>
          <w:szCs w:val="22"/>
          <w:lang w:val="en-GB"/>
        </w:rPr>
        <w:t>as administrator</w:t>
      </w:r>
      <w:r w:rsidRPr="004227D5">
        <w:rPr>
          <w:rFonts w:ascii="Avenir Next" w:hAnsi="Avenir Next" w:cs="Arial"/>
          <w:color w:val="808080" w:themeColor="background1" w:themeShade="80"/>
          <w:sz w:val="22"/>
          <w:szCs w:val="22"/>
          <w:lang w:val="en-GB"/>
        </w:rPr>
        <w:t xml:space="preserve"> of the company</w:t>
      </w:r>
      <w:r w:rsidR="000D51BA" w:rsidRPr="004227D5">
        <w:rPr>
          <w:rFonts w:ascii="Avenir Next" w:hAnsi="Avenir Next" w:cs="Arial"/>
          <w:color w:val="808080" w:themeColor="background1" w:themeShade="80"/>
          <w:sz w:val="22"/>
          <w:szCs w:val="22"/>
          <w:lang w:val="en-GB"/>
        </w:rPr>
        <w:t>.</w:t>
      </w:r>
      <w:r w:rsidRPr="004227D5">
        <w:rPr>
          <w:rFonts w:ascii="Avenir Next" w:hAnsi="Avenir Next" w:cs="Arial"/>
          <w:color w:val="808080" w:themeColor="background1" w:themeShade="80"/>
          <w:sz w:val="22"/>
          <w:szCs w:val="22"/>
          <w:lang w:val="en-GB"/>
        </w:rPr>
        <w:t xml:space="preserve"> That duty applies broadly in all jurisdictions and holds a key importance in many jurisdictions; the actual or perceived failure to act with independence and impartiality can have devastating effects on the success of an insolvency process and can impact public trust and confidence in insolvency professionals generally. </w:t>
      </w:r>
    </w:p>
    <w:p w14:paraId="25DAAB49" w14:textId="77777777" w:rsidR="004227D5" w:rsidRDefault="004227D5" w:rsidP="004227D5">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7775FB4F" w14:textId="16CEAADD" w:rsidR="004227D5" w:rsidRDefault="004227D5" w:rsidP="004227D5">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reasonably informed observer would naturally assume that Mr Relation is at serious risk of namely being influenced by his relationship with Mr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in his professional role, whether intentionally or unconsciously. The assumption is that Mr Relation would actively take steps to benefit Mr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or avoid taking steps which might harm Mr </w:t>
      </w:r>
      <w:proofErr w:type="spellStart"/>
      <w:r>
        <w:rPr>
          <w:rFonts w:ascii="Avenir Next" w:hAnsi="Avenir Next" w:cs="Arial"/>
          <w:color w:val="808080" w:themeColor="background1" w:themeShade="80"/>
          <w:sz w:val="22"/>
          <w:szCs w:val="22"/>
          <w:lang w:val="en-GB"/>
        </w:rPr>
        <w:t>Inlaw’s</w:t>
      </w:r>
      <w:proofErr w:type="spellEnd"/>
      <w:r>
        <w:rPr>
          <w:rFonts w:ascii="Avenir Next" w:hAnsi="Avenir Next" w:cs="Arial"/>
          <w:color w:val="808080" w:themeColor="background1" w:themeShade="80"/>
          <w:sz w:val="22"/>
          <w:szCs w:val="22"/>
          <w:lang w:val="en-GB"/>
        </w:rPr>
        <w:t xml:space="preserve"> interests. Therefore, in breach of the duty of independence, Mr Relation’s independence is perceived to have been compromised. The scenario </w:t>
      </w:r>
      <w:r>
        <w:rPr>
          <w:rFonts w:ascii="Avenir Next" w:hAnsi="Avenir Next" w:cs="Arial"/>
          <w:color w:val="808080" w:themeColor="background1" w:themeShade="80"/>
          <w:sz w:val="22"/>
          <w:szCs w:val="22"/>
          <w:lang w:val="en-GB"/>
        </w:rPr>
        <w:lastRenderedPageBreak/>
        <w:t xml:space="preserve">indicates that Mr Relation’s independence has in fact been compromised by that relationship given that he assures Mr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and the other directors without the presence of the other stakeholders that “his focus will not be on them.”</w:t>
      </w:r>
    </w:p>
    <w:p w14:paraId="512DD9F5" w14:textId="77777777" w:rsid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p>
    <w:p w14:paraId="0C6C5A17" w14:textId="5B203F24" w:rsidR="004227D5" w:rsidRDefault="004227D5" w:rsidP="004227D5">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 Relation does adopt some limited safeguard</w:t>
      </w:r>
      <w:r w:rsidR="001341D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He</w:t>
      </w:r>
      <w:r w:rsidR="000D51BA">
        <w:rPr>
          <w:rFonts w:ascii="Avenir Next" w:hAnsi="Avenir Next" w:cs="Arial"/>
          <w:color w:val="808080" w:themeColor="background1" w:themeShade="80"/>
          <w:sz w:val="22"/>
          <w:szCs w:val="22"/>
          <w:lang w:val="en-GB"/>
        </w:rPr>
        <w:t xml:space="preserve"> declares his relationship with Mr </w:t>
      </w:r>
      <w:proofErr w:type="spellStart"/>
      <w:r w:rsidR="000D51BA">
        <w:rPr>
          <w:rFonts w:ascii="Avenir Next" w:hAnsi="Avenir Next" w:cs="Arial"/>
          <w:color w:val="808080" w:themeColor="background1" w:themeShade="80"/>
          <w:sz w:val="22"/>
          <w:szCs w:val="22"/>
          <w:lang w:val="en-GB"/>
        </w:rPr>
        <w:t>Inlaw</w:t>
      </w:r>
      <w:proofErr w:type="spellEnd"/>
      <w:r w:rsidR="000D51BA">
        <w:rPr>
          <w:rFonts w:ascii="Avenir Next" w:hAnsi="Avenir Next" w:cs="Arial"/>
          <w:color w:val="808080" w:themeColor="background1" w:themeShade="80"/>
          <w:sz w:val="22"/>
          <w:szCs w:val="22"/>
          <w:lang w:val="en-GB"/>
        </w:rPr>
        <w:t xml:space="preserve"> (and presumably also his daughter)</w:t>
      </w:r>
      <w:r>
        <w:rPr>
          <w:rFonts w:ascii="Avenir Next" w:hAnsi="Avenir Next" w:cs="Arial"/>
          <w:color w:val="808080" w:themeColor="background1" w:themeShade="80"/>
          <w:sz w:val="22"/>
          <w:szCs w:val="22"/>
          <w:lang w:val="en-GB"/>
        </w:rPr>
        <w:t>; this has very little impact on the threat as the stakeholders already knew about the relationship. Mr Relation signs a</w:t>
      </w:r>
      <w:r w:rsidR="000D51BA">
        <w:rPr>
          <w:rFonts w:ascii="Avenir Next" w:hAnsi="Avenir Next" w:cs="Arial"/>
          <w:color w:val="808080" w:themeColor="background1" w:themeShade="80"/>
          <w:sz w:val="22"/>
          <w:szCs w:val="22"/>
          <w:lang w:val="en-GB"/>
        </w:rPr>
        <w:t xml:space="preserve"> “declaration of independence.” </w:t>
      </w:r>
      <w:r>
        <w:rPr>
          <w:rFonts w:ascii="Avenir Next" w:hAnsi="Avenir Next" w:cs="Arial"/>
          <w:color w:val="808080" w:themeColor="background1" w:themeShade="80"/>
          <w:sz w:val="22"/>
          <w:szCs w:val="22"/>
          <w:lang w:val="en-GB"/>
        </w:rPr>
        <w:t xml:space="preserve">This type of document, accompanied by a statement that the practitioner can perform their functions independently and impartially notwithstanding the relationship, is a requirement of some jurisdictions where there is a threat to the same. However, that is not to say that the declaration is sufficient to cure the threat. In this case, it </w:t>
      </w:r>
      <w:r w:rsidR="000D51BA" w:rsidRPr="004227D5">
        <w:rPr>
          <w:rFonts w:ascii="Avenir Next" w:hAnsi="Avenir Next" w:cs="Arial"/>
          <w:color w:val="808080" w:themeColor="background1" w:themeShade="80"/>
          <w:sz w:val="22"/>
          <w:szCs w:val="22"/>
          <w:lang w:val="en-GB"/>
        </w:rPr>
        <w:t>does not go nearly far enough to cure the lack of independence caused by the close relationship</w:t>
      </w:r>
      <w:r>
        <w:rPr>
          <w:rFonts w:ascii="Avenir Next" w:hAnsi="Avenir Next" w:cs="Arial"/>
          <w:color w:val="808080" w:themeColor="background1" w:themeShade="80"/>
          <w:sz w:val="22"/>
          <w:szCs w:val="22"/>
          <w:lang w:val="en-GB"/>
        </w:rPr>
        <w:t xml:space="preserve">; a fair-minded observer would be unlikely to conclude that the document would protect Mr Relation from preferring Mr </w:t>
      </w:r>
      <w:proofErr w:type="spellStart"/>
      <w:r>
        <w:rPr>
          <w:rFonts w:ascii="Avenir Next" w:hAnsi="Avenir Next" w:cs="Arial"/>
          <w:color w:val="808080" w:themeColor="background1" w:themeShade="80"/>
          <w:sz w:val="22"/>
          <w:szCs w:val="22"/>
          <w:lang w:val="en-GB"/>
        </w:rPr>
        <w:t>Inlaw’s</w:t>
      </w:r>
      <w:proofErr w:type="spellEnd"/>
      <w:r>
        <w:rPr>
          <w:rFonts w:ascii="Avenir Next" w:hAnsi="Avenir Next" w:cs="Arial"/>
          <w:color w:val="808080" w:themeColor="background1" w:themeShade="80"/>
          <w:sz w:val="22"/>
          <w:szCs w:val="22"/>
          <w:lang w:val="en-GB"/>
        </w:rPr>
        <w:t xml:space="preserve"> interests to those of the other creditors</w:t>
      </w:r>
      <w:r w:rsidR="001341D0">
        <w:rPr>
          <w:rFonts w:ascii="Avenir Next" w:hAnsi="Avenir Next" w:cs="Arial"/>
          <w:color w:val="808080" w:themeColor="background1" w:themeShade="80"/>
          <w:sz w:val="22"/>
          <w:szCs w:val="22"/>
          <w:lang w:val="en-GB"/>
        </w:rPr>
        <w:t>.</w:t>
      </w:r>
    </w:p>
    <w:p w14:paraId="3C4909D3" w14:textId="77777777" w:rsidR="004227D5" w:rsidRDefault="004227D5" w:rsidP="004227D5">
      <w:pPr>
        <w:autoSpaceDE w:val="0"/>
        <w:autoSpaceDN w:val="0"/>
        <w:adjustRightInd w:val="0"/>
        <w:ind w:left="720"/>
        <w:jc w:val="both"/>
        <w:rPr>
          <w:rFonts w:ascii="Avenir Next" w:hAnsi="Avenir Next" w:cs="Arial"/>
          <w:color w:val="808080" w:themeColor="background1" w:themeShade="80"/>
          <w:sz w:val="22"/>
          <w:szCs w:val="22"/>
          <w:lang w:val="en-GB"/>
        </w:rPr>
      </w:pPr>
    </w:p>
    <w:p w14:paraId="0D115111" w14:textId="77777777" w:rsidR="004227D5" w:rsidRDefault="004227D5" w:rsidP="004227D5">
      <w:pPr>
        <w:autoSpaceDE w:val="0"/>
        <w:autoSpaceDN w:val="0"/>
        <w:adjustRightInd w:val="0"/>
        <w:ind w:left="720"/>
        <w:jc w:val="both"/>
        <w:rPr>
          <w:rFonts w:ascii="Avenir Next" w:hAnsi="Avenir Next" w:cs="Arial"/>
          <w:color w:val="808080" w:themeColor="background1" w:themeShade="80"/>
          <w:sz w:val="22"/>
          <w:szCs w:val="22"/>
          <w:lang w:val="en-GB"/>
        </w:rPr>
      </w:pPr>
    </w:p>
    <w:p w14:paraId="072D55FC" w14:textId="7F234042" w:rsidR="004227D5" w:rsidRDefault="004227D5" w:rsidP="004227D5">
      <w:pPr>
        <w:autoSpaceDE w:val="0"/>
        <w:autoSpaceDN w:val="0"/>
        <w:adjustRightInd w:val="0"/>
        <w:ind w:left="720"/>
        <w:jc w:val="both"/>
        <w:rPr>
          <w:rFonts w:ascii="Avenir Next" w:hAnsi="Avenir Next" w:cs="Arial"/>
          <w:color w:val="808080" w:themeColor="background1" w:themeShade="80"/>
          <w:sz w:val="22"/>
          <w:szCs w:val="22"/>
          <w:lang w:val="en-GB"/>
        </w:rPr>
      </w:pPr>
      <w:r w:rsidRPr="004227D5">
        <w:rPr>
          <w:rFonts w:ascii="Avenir Next" w:hAnsi="Avenir Next" w:cs="Arial"/>
          <w:color w:val="808080" w:themeColor="background1" w:themeShade="80"/>
          <w:sz w:val="22"/>
          <w:szCs w:val="22"/>
          <w:lang w:val="en-GB"/>
        </w:rPr>
        <w:t xml:space="preserve">Mr Relation could </w:t>
      </w:r>
      <w:r>
        <w:rPr>
          <w:rFonts w:ascii="Avenir Next" w:hAnsi="Avenir Next" w:cs="Arial"/>
          <w:color w:val="808080" w:themeColor="background1" w:themeShade="80"/>
          <w:sz w:val="22"/>
          <w:szCs w:val="22"/>
          <w:lang w:val="en-GB"/>
        </w:rPr>
        <w:t>have taken</w:t>
      </w:r>
      <w:r w:rsidRPr="004227D5">
        <w:rPr>
          <w:rFonts w:ascii="Avenir Next" w:hAnsi="Avenir Next" w:cs="Arial"/>
          <w:color w:val="808080" w:themeColor="background1" w:themeShade="80"/>
          <w:sz w:val="22"/>
          <w:szCs w:val="22"/>
          <w:lang w:val="en-GB"/>
        </w:rPr>
        <w:t xml:space="preserve"> a joint appointment with another </w:t>
      </w:r>
      <w:proofErr w:type="gramStart"/>
      <w:r w:rsidRPr="004227D5">
        <w:rPr>
          <w:rFonts w:ascii="Avenir Next" w:hAnsi="Avenir Next" w:cs="Arial"/>
          <w:color w:val="808080" w:themeColor="background1" w:themeShade="80"/>
          <w:sz w:val="22"/>
          <w:szCs w:val="22"/>
          <w:lang w:val="en-GB"/>
        </w:rPr>
        <w:t>practitioner,</w:t>
      </w:r>
      <w:proofErr w:type="gramEnd"/>
      <w:r w:rsidRPr="004227D5">
        <w:rPr>
          <w:rFonts w:ascii="Avenir Next" w:hAnsi="Avenir Next" w:cs="Arial"/>
          <w:color w:val="808080" w:themeColor="background1" w:themeShade="80"/>
          <w:sz w:val="22"/>
          <w:szCs w:val="22"/>
          <w:lang w:val="en-GB"/>
        </w:rPr>
        <w:t xml:space="preserve"> however this </w:t>
      </w:r>
      <w:r w:rsidR="001341D0">
        <w:rPr>
          <w:rFonts w:ascii="Avenir Next" w:hAnsi="Avenir Next" w:cs="Arial"/>
          <w:color w:val="808080" w:themeColor="background1" w:themeShade="80"/>
          <w:sz w:val="22"/>
          <w:szCs w:val="22"/>
          <w:lang w:val="en-GB"/>
        </w:rPr>
        <w:t>still would</w:t>
      </w:r>
      <w:r w:rsidRPr="004227D5">
        <w:rPr>
          <w:rFonts w:ascii="Avenir Next" w:hAnsi="Avenir Next" w:cs="Arial"/>
          <w:color w:val="808080" w:themeColor="background1" w:themeShade="80"/>
          <w:sz w:val="22"/>
          <w:szCs w:val="22"/>
          <w:lang w:val="en-GB"/>
        </w:rPr>
        <w:t xml:space="preserve"> not cure the defect; it </w:t>
      </w:r>
      <w:r>
        <w:rPr>
          <w:rFonts w:ascii="Avenir Next" w:hAnsi="Avenir Next" w:cs="Arial"/>
          <w:color w:val="808080" w:themeColor="background1" w:themeShade="80"/>
          <w:sz w:val="22"/>
          <w:szCs w:val="22"/>
          <w:lang w:val="en-GB"/>
        </w:rPr>
        <w:t>might</w:t>
      </w:r>
      <w:r w:rsidRPr="004227D5">
        <w:rPr>
          <w:rFonts w:ascii="Avenir Next" w:hAnsi="Avenir Next" w:cs="Arial"/>
          <w:color w:val="808080" w:themeColor="background1" w:themeShade="80"/>
          <w:sz w:val="22"/>
          <w:szCs w:val="22"/>
          <w:lang w:val="en-GB"/>
        </w:rPr>
        <w:t xml:space="preserve"> be possible for Mr Relation either to influence the joint office-holder or take steps without their knowledge. </w:t>
      </w:r>
    </w:p>
    <w:p w14:paraId="35A6D10C" w14:textId="77777777" w:rsidR="004227D5" w:rsidRDefault="004227D5" w:rsidP="004227D5">
      <w:pPr>
        <w:autoSpaceDE w:val="0"/>
        <w:autoSpaceDN w:val="0"/>
        <w:adjustRightInd w:val="0"/>
        <w:ind w:left="720"/>
        <w:jc w:val="both"/>
        <w:rPr>
          <w:rFonts w:ascii="Avenir Next" w:hAnsi="Avenir Next" w:cs="Arial"/>
          <w:color w:val="808080" w:themeColor="background1" w:themeShade="80"/>
          <w:sz w:val="22"/>
          <w:szCs w:val="22"/>
          <w:lang w:val="en-GB"/>
        </w:rPr>
      </w:pPr>
    </w:p>
    <w:p w14:paraId="526627CE" w14:textId="21077ECD" w:rsidR="004227D5" w:rsidRPr="004227D5" w:rsidRDefault="004227D5" w:rsidP="004227D5">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 might consult an independent third party where he has concerns about whether the decisions that he is taking are, or might be seen to be, impartial. He could employ an associate who is not otherwise working on the case to review his work if he can be sure that they are not similarly at risk of a conflict of interest.</w:t>
      </w:r>
    </w:p>
    <w:p w14:paraId="16557A2C" w14:textId="77777777" w:rsid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p>
    <w:p w14:paraId="683CB669" w14:textId="43F588EC" w:rsidR="004227D5" w:rsidRDefault="004227D5" w:rsidP="004227D5">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risk of a conflict of interest is so strong in this case that Mr Relation should not have taken this appointment. Even very stringent safeguards, complete disclosure of any threat to his independence and a detailed explanation of the safeguards Mr Relation will assume to avoid any conflict would not be enough to remedy this threat. </w:t>
      </w:r>
    </w:p>
    <w:p w14:paraId="229AF6B0" w14:textId="0B27F101" w:rsidR="000E3DF7" w:rsidRP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r w:rsidRPr="004227D5">
        <w:rPr>
          <w:rFonts w:ascii="Avenir Next" w:hAnsi="Avenir Next" w:cs="Arial"/>
          <w:color w:val="808080" w:themeColor="background1" w:themeShade="80"/>
          <w:sz w:val="22"/>
          <w:szCs w:val="22"/>
          <w:lang w:val="en-GB"/>
        </w:rPr>
        <w:t xml:space="preserve"> </w:t>
      </w:r>
    </w:p>
    <w:p w14:paraId="7E2822FB" w14:textId="77777777" w:rsidR="000D51BA" w:rsidRPr="000E3DF7" w:rsidRDefault="000D51BA" w:rsidP="000D51BA">
      <w:pPr>
        <w:pStyle w:val="ListParagraph"/>
        <w:autoSpaceDE w:val="0"/>
        <w:autoSpaceDN w:val="0"/>
        <w:adjustRightInd w:val="0"/>
        <w:ind w:left="1440"/>
        <w:jc w:val="both"/>
        <w:rPr>
          <w:rFonts w:ascii="Avenir Next" w:hAnsi="Avenir Next" w:cs="Arial"/>
          <w:color w:val="808080" w:themeColor="background1" w:themeShade="80"/>
          <w:sz w:val="22"/>
          <w:szCs w:val="22"/>
          <w:lang w:val="en-GB"/>
        </w:rPr>
      </w:pPr>
    </w:p>
    <w:p w14:paraId="784F4A80" w14:textId="77777777" w:rsidR="004227D5" w:rsidRDefault="004227D5" w:rsidP="000D51BA">
      <w:pPr>
        <w:pStyle w:val="ListParagraph"/>
        <w:numPr>
          <w:ilvl w:val="0"/>
          <w:numId w:val="33"/>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weeks following his appointment, Mr Relation conducts only a superficial investigation into the company’s affairs and circumstances leading to its financial difficulties. In this case, there was a direct link between the class action in respect of faulty machinery and the impact on the company’s contracts. On any view, it was not appropriate for Mr Relation to conduct a superficial investigation. Further Mr Relation relies on reports created by Mr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in exercising his duties. </w:t>
      </w:r>
    </w:p>
    <w:p w14:paraId="7156494E" w14:textId="77777777" w:rsidR="004227D5" w:rsidRDefault="004227D5" w:rsidP="004227D5">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7C2E1458" w14:textId="62590DDE" w:rsidR="004227D5" w:rsidRDefault="004227D5" w:rsidP="004227D5">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an example of a failure to act with objectivity, as Mr Relation is not exerting his independence in his decision-making or carrying out his own independent investigation. Mr Relation permits himself to be led by the reports of Mr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who obviously has a significant self-interest in presenting the report in a manner which is beneficial to him. </w:t>
      </w:r>
    </w:p>
    <w:p w14:paraId="7CD00877" w14:textId="77777777" w:rsid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p>
    <w:p w14:paraId="28239675" w14:textId="066531AB" w:rsid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This is also an example of a failure to maintain an acceptable level of professional competence. This is linked to the duty to act with reasonable care, </w:t>
      </w:r>
      <w:proofErr w:type="gramStart"/>
      <w:r>
        <w:rPr>
          <w:rFonts w:ascii="Avenir Next" w:hAnsi="Avenir Next" w:cs="Arial"/>
          <w:color w:val="808080" w:themeColor="background1" w:themeShade="80"/>
          <w:sz w:val="22"/>
          <w:szCs w:val="22"/>
          <w:lang w:val="en-GB"/>
        </w:rPr>
        <w:t>skill</w:t>
      </w:r>
      <w:proofErr w:type="gramEnd"/>
      <w:r>
        <w:rPr>
          <w:rFonts w:ascii="Avenir Next" w:hAnsi="Avenir Next" w:cs="Arial"/>
          <w:color w:val="808080" w:themeColor="background1" w:themeShade="80"/>
          <w:sz w:val="22"/>
          <w:szCs w:val="22"/>
          <w:lang w:val="en-GB"/>
        </w:rPr>
        <w:t xml:space="preserve"> and diligence. His poor investigation into the company’s financial affairs puts the interests of other stakeholders at risk and creates a serious risk that the other stakeholders lose their confidence in Mr Relation and the insolvency process more generally. </w:t>
      </w:r>
    </w:p>
    <w:p w14:paraId="0272DC35" w14:textId="77777777" w:rsid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p>
    <w:p w14:paraId="58CB658F" w14:textId="56394B15" w:rsid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poor investigation and reliance on Mr </w:t>
      </w:r>
      <w:proofErr w:type="spellStart"/>
      <w:r>
        <w:rPr>
          <w:rFonts w:ascii="Avenir Next" w:hAnsi="Avenir Next" w:cs="Arial"/>
          <w:color w:val="808080" w:themeColor="background1" w:themeShade="80"/>
          <w:sz w:val="22"/>
          <w:szCs w:val="22"/>
          <w:lang w:val="en-GB"/>
        </w:rPr>
        <w:t>Inlaw’s</w:t>
      </w:r>
      <w:proofErr w:type="spellEnd"/>
      <w:r>
        <w:rPr>
          <w:rFonts w:ascii="Avenir Next" w:hAnsi="Avenir Next" w:cs="Arial"/>
          <w:color w:val="808080" w:themeColor="background1" w:themeShade="80"/>
          <w:sz w:val="22"/>
          <w:szCs w:val="22"/>
          <w:lang w:val="en-GB"/>
        </w:rPr>
        <w:t xml:space="preserve"> report leads Mr Relation to conclude that “he has found no evidence of any wrongdoing or maladministration”. In considering whether this conclusion falls below the standard expected of him, Mr Relation will not be judged by the standard of “the most meticulous and conscientious member of his profession but by those of an ordinary, skilled practitioner.” (</w:t>
      </w:r>
      <w:r w:rsidRPr="00987AA8">
        <w:rPr>
          <w:rFonts w:ascii="Avenir Next" w:hAnsi="Avenir Next" w:cs="Arial"/>
          <w:b/>
          <w:bCs/>
          <w:i/>
          <w:iCs/>
          <w:color w:val="808080" w:themeColor="background1" w:themeShade="80"/>
          <w:sz w:val="22"/>
          <w:szCs w:val="22"/>
          <w:u w:val="single"/>
          <w:lang w:val="en-GB"/>
        </w:rPr>
        <w:t>Re One Blackfriars</w:t>
      </w:r>
      <w:r>
        <w:rPr>
          <w:rFonts w:ascii="Avenir Next" w:hAnsi="Avenir Next" w:cs="Arial"/>
          <w:color w:val="808080" w:themeColor="background1" w:themeShade="80"/>
          <w:sz w:val="22"/>
          <w:szCs w:val="22"/>
          <w:lang w:val="en-GB"/>
        </w:rPr>
        <w:t xml:space="preserve"> and </w:t>
      </w:r>
      <w:r w:rsidRPr="00987AA8">
        <w:rPr>
          <w:rFonts w:ascii="Avenir Next" w:hAnsi="Avenir Next" w:cs="Arial"/>
          <w:b/>
          <w:bCs/>
          <w:i/>
          <w:iCs/>
          <w:color w:val="808080" w:themeColor="background1" w:themeShade="80"/>
          <w:sz w:val="22"/>
          <w:szCs w:val="22"/>
          <w:u w:val="single"/>
          <w:lang w:val="en-GB"/>
        </w:rPr>
        <w:t>Re Charnley Davies Ltd</w:t>
      </w:r>
      <w:r>
        <w:rPr>
          <w:rFonts w:ascii="Avenir Next" w:hAnsi="Avenir Next" w:cs="Arial"/>
          <w:color w:val="808080" w:themeColor="background1" w:themeShade="80"/>
          <w:sz w:val="22"/>
          <w:szCs w:val="22"/>
          <w:lang w:val="en-GB"/>
        </w:rPr>
        <w:t xml:space="preserve"> 1990 BCC 605 at 618.). The failure to carry out an independent investigation into the company’s affairs was “an error that a reasonably skilled and careful insolvency practitioner would not have made” (</w:t>
      </w:r>
      <w:r w:rsidR="00987AA8">
        <w:rPr>
          <w:rFonts w:ascii="Avenir Next" w:hAnsi="Avenir Next" w:cs="Arial"/>
          <w:i/>
          <w:iCs/>
          <w:color w:val="808080" w:themeColor="background1" w:themeShade="80"/>
          <w:sz w:val="22"/>
          <w:szCs w:val="22"/>
          <w:lang w:val="en-GB"/>
        </w:rPr>
        <w:t>Ibid.</w:t>
      </w:r>
      <w:r>
        <w:rPr>
          <w:rFonts w:ascii="Avenir Next" w:hAnsi="Avenir Next" w:cs="Arial"/>
          <w:color w:val="808080" w:themeColor="background1" w:themeShade="80"/>
          <w:sz w:val="22"/>
          <w:szCs w:val="22"/>
          <w:lang w:val="en-GB"/>
        </w:rPr>
        <w:t xml:space="preserve">). The duty may be slightly more specific regarding his conclusion that there was no evidence of wrongdoing or maladministration: Mr Relation is a lawyer so, arguably, the test as to whether his conclusion fell below an appropriate level of competence is whether a reasonably skilled and careful insolvency practitioner who has a special knowledge of the law (albeit the scenario does not specify whether Mr Relation is an insolvency lawyer.) </w:t>
      </w:r>
    </w:p>
    <w:p w14:paraId="60B78F4B" w14:textId="4A814FF6" w:rsidR="004227D5" w:rsidRP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208C85A" w14:textId="149AA3E0" w:rsid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 Relation does not appear to have adopted any safeguards in respect of the duty to act competently in the exercise of his duties. He would need to have a high level of introspection to ascertain that he was not suitably qualified to take this appointment. Mr Relation must ensure that he is up to date with his continued professional development and educates himself on areas of insolvency practice, including</w:t>
      </w:r>
      <w:proofErr w:type="gramStart"/>
      <w:r w:rsidR="001341D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particular</w:t>
      </w:r>
      <w:r w:rsidR="001341D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antecedent</w:t>
      </w:r>
      <w:proofErr w:type="gramEnd"/>
      <w:r>
        <w:rPr>
          <w:rFonts w:ascii="Avenir Next" w:hAnsi="Avenir Next" w:cs="Arial"/>
          <w:color w:val="808080" w:themeColor="background1" w:themeShade="80"/>
          <w:sz w:val="22"/>
          <w:szCs w:val="22"/>
          <w:lang w:val="en-GB"/>
        </w:rPr>
        <w:t xml:space="preserve"> transactions. If Mr Relation was not sufficiently qualified to deal with this appointment, he should have disclosed this to the stakeholders before he was appointed. </w:t>
      </w:r>
    </w:p>
    <w:p w14:paraId="48E60A17" w14:textId="77777777" w:rsidR="004227D5" w:rsidRDefault="004227D5" w:rsidP="004227D5">
      <w:pPr>
        <w:autoSpaceDE w:val="0"/>
        <w:autoSpaceDN w:val="0"/>
        <w:adjustRightInd w:val="0"/>
        <w:jc w:val="both"/>
        <w:rPr>
          <w:rFonts w:ascii="Avenir Next" w:hAnsi="Avenir Next" w:cs="Arial"/>
          <w:color w:val="808080" w:themeColor="background1" w:themeShade="80"/>
          <w:sz w:val="22"/>
          <w:szCs w:val="22"/>
          <w:lang w:val="en-GB"/>
        </w:rPr>
      </w:pPr>
    </w:p>
    <w:p w14:paraId="60C3E2CE" w14:textId="082EB49C" w:rsidR="004227D5" w:rsidRPr="00987AA8" w:rsidRDefault="004227D5" w:rsidP="004227D5">
      <w:pPr>
        <w:autoSpaceDE w:val="0"/>
        <w:autoSpaceDN w:val="0"/>
        <w:adjustRightInd w:val="0"/>
        <w:jc w:val="both"/>
        <w:rPr>
          <w:rFonts w:ascii="Avenir Next" w:hAnsi="Avenir Next" w:cs="Arial"/>
          <w:color w:val="767171" w:themeColor="background2" w:themeShade="80"/>
          <w:sz w:val="22"/>
          <w:szCs w:val="22"/>
          <w:lang w:val="en-GB"/>
        </w:rPr>
      </w:pPr>
      <w:r>
        <w:rPr>
          <w:rFonts w:ascii="Avenir Next" w:hAnsi="Avenir Next" w:cs="Arial"/>
          <w:color w:val="808080" w:themeColor="background1" w:themeShade="80"/>
          <w:sz w:val="22"/>
          <w:szCs w:val="22"/>
          <w:lang w:val="en-GB"/>
        </w:rPr>
        <w:t xml:space="preserve">In respect of the failure to exercise objectivity, the safeguards set out in respect of para.1 above could apply, including seeking the advice of an independent third party or </w:t>
      </w:r>
      <w:r w:rsidRPr="00987AA8">
        <w:rPr>
          <w:rFonts w:ascii="Avenir Next" w:hAnsi="Avenir Next" w:cs="Arial"/>
          <w:color w:val="767171" w:themeColor="background2" w:themeShade="80"/>
          <w:sz w:val="22"/>
          <w:szCs w:val="22"/>
          <w:lang w:val="en-GB"/>
        </w:rPr>
        <w:t xml:space="preserve">instructing an associate to review Mr Relation’s work. However, given that the reliance on Mr </w:t>
      </w:r>
      <w:proofErr w:type="spellStart"/>
      <w:r w:rsidRPr="00987AA8">
        <w:rPr>
          <w:rFonts w:ascii="Avenir Next" w:hAnsi="Avenir Next" w:cs="Arial"/>
          <w:color w:val="767171" w:themeColor="background2" w:themeShade="80"/>
          <w:sz w:val="22"/>
          <w:szCs w:val="22"/>
          <w:lang w:val="en-GB"/>
        </w:rPr>
        <w:t>Inlaw’s</w:t>
      </w:r>
      <w:proofErr w:type="spellEnd"/>
      <w:r w:rsidRPr="00987AA8">
        <w:rPr>
          <w:rFonts w:ascii="Avenir Next" w:hAnsi="Avenir Next" w:cs="Arial"/>
          <w:color w:val="767171" w:themeColor="background2" w:themeShade="80"/>
          <w:sz w:val="22"/>
          <w:szCs w:val="22"/>
          <w:lang w:val="en-GB"/>
        </w:rPr>
        <w:t xml:space="preserve"> report is a serious failure to act competently, these safeguards would not cure the defect. Mr Relation should not have taken this appointment. </w:t>
      </w:r>
    </w:p>
    <w:p w14:paraId="263C3A20" w14:textId="77777777" w:rsidR="004227D5" w:rsidRPr="00987AA8" w:rsidRDefault="004227D5" w:rsidP="004227D5">
      <w:pPr>
        <w:pStyle w:val="ListParagraph"/>
        <w:autoSpaceDE w:val="0"/>
        <w:autoSpaceDN w:val="0"/>
        <w:adjustRightInd w:val="0"/>
        <w:jc w:val="both"/>
        <w:rPr>
          <w:rFonts w:ascii="Avenir Next" w:hAnsi="Avenir Next" w:cs="Arial"/>
          <w:color w:val="767171" w:themeColor="background2" w:themeShade="80"/>
          <w:sz w:val="22"/>
          <w:szCs w:val="22"/>
          <w:lang w:val="en-GB"/>
        </w:rPr>
      </w:pPr>
    </w:p>
    <w:p w14:paraId="28A2F744" w14:textId="77777777" w:rsidR="000D51BA" w:rsidRPr="00987AA8" w:rsidRDefault="000D51BA" w:rsidP="000D51BA">
      <w:pPr>
        <w:pStyle w:val="ListParagraph"/>
        <w:autoSpaceDE w:val="0"/>
        <w:autoSpaceDN w:val="0"/>
        <w:adjustRightInd w:val="0"/>
        <w:jc w:val="both"/>
        <w:rPr>
          <w:rFonts w:ascii="Avenir Next" w:hAnsi="Avenir Next" w:cs="Arial"/>
          <w:color w:val="767171" w:themeColor="background2" w:themeShade="80"/>
          <w:sz w:val="22"/>
          <w:szCs w:val="22"/>
          <w:lang w:val="en-GB"/>
        </w:rPr>
      </w:pPr>
    </w:p>
    <w:p w14:paraId="7EA11F26" w14:textId="5C0809FA" w:rsidR="000E3DF7" w:rsidRPr="00987AA8" w:rsidRDefault="004227D5" w:rsidP="000D51BA">
      <w:pPr>
        <w:pStyle w:val="ListParagraph"/>
        <w:numPr>
          <w:ilvl w:val="0"/>
          <w:numId w:val="33"/>
        </w:numPr>
        <w:autoSpaceDE w:val="0"/>
        <w:autoSpaceDN w:val="0"/>
        <w:adjustRightInd w:val="0"/>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t xml:space="preserve">Mr Relation, his </w:t>
      </w:r>
      <w:proofErr w:type="gramStart"/>
      <w:r w:rsidRPr="00987AA8">
        <w:rPr>
          <w:rFonts w:ascii="Avenir Next" w:hAnsi="Avenir Next" w:cs="Arial"/>
          <w:color w:val="767171" w:themeColor="background2" w:themeShade="80"/>
          <w:sz w:val="22"/>
          <w:szCs w:val="22"/>
          <w:lang w:val="en-GB"/>
        </w:rPr>
        <w:t>secretary</w:t>
      </w:r>
      <w:proofErr w:type="gramEnd"/>
      <w:r w:rsidRPr="00987AA8">
        <w:rPr>
          <w:rFonts w:ascii="Avenir Next" w:hAnsi="Avenir Next" w:cs="Arial"/>
          <w:color w:val="767171" w:themeColor="background2" w:themeShade="80"/>
          <w:sz w:val="22"/>
          <w:szCs w:val="22"/>
          <w:lang w:val="en-GB"/>
        </w:rPr>
        <w:t xml:space="preserve"> and associates all have confidential information relating to the company on their computers at home. </w:t>
      </w:r>
    </w:p>
    <w:p w14:paraId="710C88AA" w14:textId="77777777" w:rsidR="000E3DF7" w:rsidRPr="00987AA8" w:rsidRDefault="000E3DF7" w:rsidP="00087F21">
      <w:pPr>
        <w:autoSpaceDE w:val="0"/>
        <w:autoSpaceDN w:val="0"/>
        <w:adjustRightInd w:val="0"/>
        <w:jc w:val="both"/>
        <w:rPr>
          <w:rFonts w:ascii="Avenir Next" w:hAnsi="Avenir Next" w:cs="Arial"/>
          <w:color w:val="767171" w:themeColor="background2" w:themeShade="80"/>
          <w:sz w:val="22"/>
          <w:szCs w:val="22"/>
          <w:lang w:val="en-GB"/>
        </w:rPr>
      </w:pPr>
    </w:p>
    <w:p w14:paraId="1B5E2F08" w14:textId="052AB7F2" w:rsidR="002D3473" w:rsidRPr="00987AA8" w:rsidRDefault="001341D0" w:rsidP="00087F21">
      <w:pPr>
        <w:autoSpaceDE w:val="0"/>
        <w:autoSpaceDN w:val="0"/>
        <w:adjustRightInd w:val="0"/>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t xml:space="preserve">Mr Relation and his associates are subject to the principle of professional behaviour. This principle </w:t>
      </w:r>
      <w:proofErr w:type="gramStart"/>
      <w:r w:rsidRPr="00987AA8">
        <w:rPr>
          <w:rFonts w:ascii="Avenir Next" w:hAnsi="Avenir Next" w:cs="Arial"/>
          <w:color w:val="767171" w:themeColor="background2" w:themeShade="80"/>
          <w:sz w:val="22"/>
          <w:szCs w:val="22"/>
          <w:lang w:val="en-GB"/>
        </w:rPr>
        <w:t>include</w:t>
      </w:r>
      <w:proofErr w:type="gramEnd"/>
      <w:r w:rsidRPr="00987AA8">
        <w:rPr>
          <w:rFonts w:ascii="Avenir Next" w:hAnsi="Avenir Next" w:cs="Arial"/>
          <w:color w:val="767171" w:themeColor="background2" w:themeShade="80"/>
          <w:sz w:val="22"/>
          <w:szCs w:val="22"/>
          <w:lang w:val="en-GB"/>
        </w:rPr>
        <w:t xml:space="preserve"> managing confidential information carefully and with due regard to the interests of the stakeholders. Due to the importance of this principle, most jurisdictions will place a heavy emphasis on the duty of confidentiality.</w:t>
      </w:r>
    </w:p>
    <w:p w14:paraId="70C6A8B6" w14:textId="1748160C" w:rsidR="00126A4D" w:rsidRPr="00987AA8" w:rsidRDefault="00126A4D" w:rsidP="00087F21">
      <w:pPr>
        <w:autoSpaceDE w:val="0"/>
        <w:autoSpaceDN w:val="0"/>
        <w:adjustRightInd w:val="0"/>
        <w:jc w:val="both"/>
        <w:rPr>
          <w:rFonts w:ascii="Avenir Next" w:hAnsi="Avenir Next" w:cs="Arial"/>
          <w:color w:val="767171" w:themeColor="background2" w:themeShade="80"/>
          <w:sz w:val="22"/>
          <w:szCs w:val="22"/>
          <w:lang w:val="en-GB"/>
        </w:rPr>
      </w:pPr>
    </w:p>
    <w:p w14:paraId="0333091D" w14:textId="62E54C35" w:rsidR="001341D0" w:rsidRPr="00987AA8" w:rsidRDefault="001341D0" w:rsidP="00087F21">
      <w:pPr>
        <w:autoSpaceDE w:val="0"/>
        <w:autoSpaceDN w:val="0"/>
        <w:adjustRightInd w:val="0"/>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t xml:space="preserve">The nature of Mr Relation’s appointment means that he has in his control a vast amount of confidential information, which can be highly valuable to third parties. Deliberately or inadvertently disclosing confidential information, for example trade secrets, financial </w:t>
      </w:r>
      <w:r w:rsidRPr="00987AA8">
        <w:rPr>
          <w:rFonts w:ascii="Avenir Next" w:hAnsi="Avenir Next" w:cs="Arial"/>
          <w:color w:val="767171" w:themeColor="background2" w:themeShade="80"/>
          <w:sz w:val="22"/>
          <w:szCs w:val="22"/>
          <w:lang w:val="en-GB"/>
        </w:rPr>
        <w:lastRenderedPageBreak/>
        <w:t xml:space="preserve">information, or technical product information, could be highly damaging to the value of the estate and its goodwill. </w:t>
      </w:r>
    </w:p>
    <w:p w14:paraId="493A94E6" w14:textId="105E2A2D" w:rsidR="001341D0" w:rsidRPr="00987AA8" w:rsidRDefault="001341D0" w:rsidP="00087F21">
      <w:pPr>
        <w:autoSpaceDE w:val="0"/>
        <w:autoSpaceDN w:val="0"/>
        <w:adjustRightInd w:val="0"/>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br/>
        <w:t>Mr Relation’s secretary, not an insolvency practitioner, is not subject to the same rigorous ethical principles. It is crucial that Mr Relation understands not only how important it is that he keeps the information directly under his control confidential, but also that under the control of his support staff. As such, Mr Relation must ensure that his support staff understand and respect his duties of confidentiality and would be well-advised to ensure that any support staff have a corresponding duty written into the terms of their employment contracts.</w:t>
      </w:r>
    </w:p>
    <w:p w14:paraId="088A8C0C" w14:textId="77777777" w:rsidR="001341D0" w:rsidRPr="00987AA8" w:rsidRDefault="001341D0" w:rsidP="00087F21">
      <w:pPr>
        <w:autoSpaceDE w:val="0"/>
        <w:autoSpaceDN w:val="0"/>
        <w:adjustRightInd w:val="0"/>
        <w:jc w:val="both"/>
        <w:rPr>
          <w:rFonts w:ascii="Avenir Next" w:hAnsi="Avenir Next" w:cs="Arial"/>
          <w:color w:val="767171" w:themeColor="background2" w:themeShade="80"/>
          <w:sz w:val="22"/>
          <w:szCs w:val="22"/>
          <w:lang w:val="en-GB"/>
        </w:rPr>
      </w:pPr>
    </w:p>
    <w:p w14:paraId="381EE306" w14:textId="77777777" w:rsidR="001341D0" w:rsidRPr="00987AA8" w:rsidRDefault="001341D0" w:rsidP="00087F21">
      <w:pPr>
        <w:autoSpaceDE w:val="0"/>
        <w:autoSpaceDN w:val="0"/>
        <w:adjustRightInd w:val="0"/>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t xml:space="preserve">Mr Relation must consider the possibility that his support staff are not aware of the significance of the information under their control. Ideally, the same principles of confidentiality must attach to all information under the control of Mr Relation’s support staff so that no confusion arises as to whether the staff member is permitted to disclose the information or whether certain information is subject to more stringent confidentiality requirements than others. </w:t>
      </w:r>
    </w:p>
    <w:p w14:paraId="31D14A1B" w14:textId="77777777" w:rsidR="001341D0" w:rsidRPr="00987AA8" w:rsidRDefault="001341D0" w:rsidP="00087F21">
      <w:pPr>
        <w:autoSpaceDE w:val="0"/>
        <w:autoSpaceDN w:val="0"/>
        <w:adjustRightInd w:val="0"/>
        <w:jc w:val="both"/>
        <w:rPr>
          <w:rFonts w:ascii="Avenir Next" w:hAnsi="Avenir Next" w:cs="Arial"/>
          <w:color w:val="767171" w:themeColor="background2" w:themeShade="80"/>
          <w:sz w:val="22"/>
          <w:szCs w:val="22"/>
          <w:lang w:val="en-GB"/>
        </w:rPr>
      </w:pPr>
    </w:p>
    <w:p w14:paraId="647ACFA5" w14:textId="31D469C3" w:rsidR="001341D0" w:rsidRPr="00987AA8" w:rsidRDefault="001341D0" w:rsidP="00087F21">
      <w:pPr>
        <w:autoSpaceDE w:val="0"/>
        <w:autoSpaceDN w:val="0"/>
        <w:adjustRightInd w:val="0"/>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t xml:space="preserve">Mr Relation must fully understand the limited circumstances in which he is permitted to disclose confidential information. He should be aware of any legal requirements to disclose confidential information, for example if </w:t>
      </w:r>
      <w:proofErr w:type="gramStart"/>
      <w:r w:rsidRPr="00987AA8">
        <w:rPr>
          <w:rFonts w:ascii="Avenir Next" w:hAnsi="Avenir Next" w:cs="Arial"/>
          <w:color w:val="767171" w:themeColor="background2" w:themeShade="80"/>
          <w:sz w:val="22"/>
          <w:szCs w:val="22"/>
          <w:lang w:val="en-GB"/>
        </w:rPr>
        <w:t>so</w:t>
      </w:r>
      <w:proofErr w:type="gramEnd"/>
      <w:r w:rsidRPr="00987AA8">
        <w:rPr>
          <w:rFonts w:ascii="Avenir Next" w:hAnsi="Avenir Next" w:cs="Arial"/>
          <w:color w:val="767171" w:themeColor="background2" w:themeShade="80"/>
          <w:sz w:val="22"/>
          <w:szCs w:val="22"/>
          <w:lang w:val="en-GB"/>
        </w:rPr>
        <w:t xml:space="preserve"> ordered by a court of competent jurisdiction. He should ensure that any consent from the company and/or stakeholder is clear and unambiguous. Upon evaluating whether to disclose confidential information, Mr Relation should seek the advice of appropriately trained organisations, such as INSOL, ensuring that the relevant information is not inadvertently disclosed when seeking such advice. If it is possible to maintain confidentiality, Mr Relation could seek the advice of his colleagues more generally about circumstances in which confidential information may be disclosed. </w:t>
      </w:r>
    </w:p>
    <w:p w14:paraId="0E275E35" w14:textId="77777777" w:rsidR="001341D0" w:rsidRPr="00987AA8" w:rsidRDefault="001341D0" w:rsidP="00087F21">
      <w:pPr>
        <w:autoSpaceDE w:val="0"/>
        <w:autoSpaceDN w:val="0"/>
        <w:adjustRightInd w:val="0"/>
        <w:jc w:val="both"/>
        <w:rPr>
          <w:rFonts w:ascii="Avenir Next" w:hAnsi="Avenir Next" w:cs="Arial"/>
          <w:color w:val="767171" w:themeColor="background2" w:themeShade="80"/>
          <w:sz w:val="22"/>
          <w:szCs w:val="22"/>
          <w:lang w:val="en-GB"/>
        </w:rPr>
      </w:pPr>
    </w:p>
    <w:p w14:paraId="06EA6D46" w14:textId="529F65FC" w:rsidR="001341D0" w:rsidRPr="00987AA8" w:rsidRDefault="001341D0" w:rsidP="00087F21">
      <w:pPr>
        <w:autoSpaceDE w:val="0"/>
        <w:autoSpaceDN w:val="0"/>
        <w:adjustRightInd w:val="0"/>
        <w:jc w:val="both"/>
        <w:rPr>
          <w:rFonts w:ascii="Avenir Next" w:hAnsi="Avenir Next" w:cs="Arial"/>
          <w:color w:val="767171" w:themeColor="background2" w:themeShade="80"/>
          <w:sz w:val="22"/>
          <w:szCs w:val="22"/>
          <w:lang w:val="en-GB"/>
        </w:rPr>
      </w:pPr>
      <w:r w:rsidRPr="00987AA8">
        <w:rPr>
          <w:rFonts w:ascii="Avenir Next" w:hAnsi="Avenir Next" w:cs="Arial"/>
          <w:color w:val="767171" w:themeColor="background2" w:themeShade="80"/>
          <w:sz w:val="22"/>
          <w:szCs w:val="22"/>
          <w:lang w:val="en-GB"/>
        </w:rPr>
        <w:t xml:space="preserve">Mr Relation and/or his firm must carry out a risk assessment in relation to its practice of permitting home working. This must specifically </w:t>
      </w:r>
      <w:proofErr w:type="gramStart"/>
      <w:r w:rsidRPr="00987AA8">
        <w:rPr>
          <w:rFonts w:ascii="Avenir Next" w:hAnsi="Avenir Next" w:cs="Arial"/>
          <w:color w:val="767171" w:themeColor="background2" w:themeShade="80"/>
          <w:sz w:val="22"/>
          <w:szCs w:val="22"/>
          <w:lang w:val="en-GB"/>
        </w:rPr>
        <w:t>take into account</w:t>
      </w:r>
      <w:proofErr w:type="gramEnd"/>
      <w:r w:rsidRPr="00987AA8">
        <w:rPr>
          <w:rFonts w:ascii="Avenir Next" w:hAnsi="Avenir Next" w:cs="Arial"/>
          <w:color w:val="767171" w:themeColor="background2" w:themeShade="80"/>
          <w:sz w:val="22"/>
          <w:szCs w:val="22"/>
          <w:lang w:val="en-GB"/>
        </w:rPr>
        <w:t xml:space="preserve"> the risk that confidential information might be divulged or leaked to third parties, including the practitioners’ families or third parties. It must include requirements extending to all staff and practitioners in the firm relating to the security of their computers and their home working environment to protect against any malicious attempt to obtain confidential information under their control. </w:t>
      </w: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11A3" w14:textId="77777777" w:rsidR="00EF5478" w:rsidRDefault="00EF5478" w:rsidP="00241B44">
      <w:r>
        <w:separator/>
      </w:r>
    </w:p>
  </w:endnote>
  <w:endnote w:type="continuationSeparator" w:id="0">
    <w:p w14:paraId="2315014F" w14:textId="77777777" w:rsidR="00EF5478" w:rsidRDefault="00EF54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62A6FAAF" w:rsidR="00241FA3" w:rsidRPr="009B4976" w:rsidRDefault="00317F82" w:rsidP="009B4976">
    <w:pPr>
      <w:pStyle w:val="Footer"/>
      <w:ind w:right="360"/>
      <w:rPr>
        <w:rFonts w:ascii="Arial" w:hAnsi="Arial" w:cs="Arial"/>
        <w:sz w:val="18"/>
        <w:szCs w:val="18"/>
        <w:lang w:val="en-GB"/>
      </w:rPr>
    </w:pPr>
    <w:r>
      <w:rPr>
        <w:rFonts w:ascii="Arial" w:hAnsi="Arial" w:cs="Arial"/>
        <w:sz w:val="18"/>
        <w:szCs w:val="18"/>
        <w:lang w:val="en-GB"/>
      </w:rPr>
      <w:t>202223-963</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9F44" w14:textId="77777777" w:rsidR="00EF5478" w:rsidRDefault="00EF5478" w:rsidP="00241B44">
      <w:r>
        <w:separator/>
      </w:r>
    </w:p>
  </w:footnote>
  <w:footnote w:type="continuationSeparator" w:id="0">
    <w:p w14:paraId="44E7A2CA" w14:textId="77777777" w:rsidR="00EF5478" w:rsidRDefault="00EF547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156E9"/>
    <w:multiLevelType w:val="hybridMultilevel"/>
    <w:tmpl w:val="6EB22920"/>
    <w:lvl w:ilvl="0" w:tplc="D1568FC8">
      <w:start w:val="4500"/>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395AF1"/>
    <w:multiLevelType w:val="hybridMultilevel"/>
    <w:tmpl w:val="288C0D2E"/>
    <w:lvl w:ilvl="0" w:tplc="6B8C6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956B0"/>
    <w:multiLevelType w:val="hybridMultilevel"/>
    <w:tmpl w:val="55FE5778"/>
    <w:lvl w:ilvl="0" w:tplc="CE44B6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4840850">
    <w:abstractNumId w:val="14"/>
  </w:num>
  <w:num w:numId="2" w16cid:durableId="42367523">
    <w:abstractNumId w:val="10"/>
  </w:num>
  <w:num w:numId="3" w16cid:durableId="1021013732">
    <w:abstractNumId w:val="21"/>
  </w:num>
  <w:num w:numId="4" w16cid:durableId="1649280306">
    <w:abstractNumId w:val="18"/>
  </w:num>
  <w:num w:numId="5" w16cid:durableId="379205457">
    <w:abstractNumId w:val="31"/>
  </w:num>
  <w:num w:numId="6" w16cid:durableId="423303617">
    <w:abstractNumId w:val="32"/>
  </w:num>
  <w:num w:numId="7" w16cid:durableId="691960897">
    <w:abstractNumId w:val="33"/>
  </w:num>
  <w:num w:numId="8" w16cid:durableId="1253704560">
    <w:abstractNumId w:val="29"/>
  </w:num>
  <w:num w:numId="9" w16cid:durableId="1404910093">
    <w:abstractNumId w:val="22"/>
  </w:num>
  <w:num w:numId="10" w16cid:durableId="593051014">
    <w:abstractNumId w:val="4"/>
  </w:num>
  <w:num w:numId="11" w16cid:durableId="134686187">
    <w:abstractNumId w:val="13"/>
  </w:num>
  <w:num w:numId="12" w16cid:durableId="776872877">
    <w:abstractNumId w:val="11"/>
  </w:num>
  <w:num w:numId="13" w16cid:durableId="1197811152">
    <w:abstractNumId w:val="28"/>
  </w:num>
  <w:num w:numId="14" w16cid:durableId="2003463283">
    <w:abstractNumId w:val="3"/>
  </w:num>
  <w:num w:numId="15" w16cid:durableId="23290949">
    <w:abstractNumId w:val="17"/>
  </w:num>
  <w:num w:numId="16" w16cid:durableId="626593610">
    <w:abstractNumId w:val="24"/>
  </w:num>
  <w:num w:numId="17" w16cid:durableId="1702246491">
    <w:abstractNumId w:val="0"/>
  </w:num>
  <w:num w:numId="18" w16cid:durableId="159736176">
    <w:abstractNumId w:val="30"/>
  </w:num>
  <w:num w:numId="19" w16cid:durableId="273948045">
    <w:abstractNumId w:val="23"/>
  </w:num>
  <w:num w:numId="20" w16cid:durableId="8072042">
    <w:abstractNumId w:val="2"/>
  </w:num>
  <w:num w:numId="21" w16cid:durableId="2056390596">
    <w:abstractNumId w:val="8"/>
  </w:num>
  <w:num w:numId="22" w16cid:durableId="2027900409">
    <w:abstractNumId w:val="5"/>
  </w:num>
  <w:num w:numId="23" w16cid:durableId="1463114327">
    <w:abstractNumId w:val="7"/>
  </w:num>
  <w:num w:numId="24" w16cid:durableId="981814758">
    <w:abstractNumId w:val="16"/>
  </w:num>
  <w:num w:numId="25" w16cid:durableId="1915040953">
    <w:abstractNumId w:val="12"/>
  </w:num>
  <w:num w:numId="26" w16cid:durableId="2143770038">
    <w:abstractNumId w:val="6"/>
  </w:num>
  <w:num w:numId="27" w16cid:durableId="1254047795">
    <w:abstractNumId w:val="15"/>
  </w:num>
  <w:num w:numId="28" w16cid:durableId="1870727543">
    <w:abstractNumId w:val="26"/>
  </w:num>
  <w:num w:numId="29" w16cid:durableId="1884706047">
    <w:abstractNumId w:val="27"/>
  </w:num>
  <w:num w:numId="30" w16cid:durableId="1756320603">
    <w:abstractNumId w:val="9"/>
  </w:num>
  <w:num w:numId="31" w16cid:durableId="1827475386">
    <w:abstractNumId w:val="25"/>
  </w:num>
  <w:num w:numId="32" w16cid:durableId="1855917060">
    <w:abstractNumId w:val="19"/>
  </w:num>
  <w:num w:numId="33" w16cid:durableId="1299261851">
    <w:abstractNumId w:val="20"/>
  </w:num>
  <w:num w:numId="34" w16cid:durableId="15772058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1BA"/>
    <w:rsid w:val="000D55A8"/>
    <w:rsid w:val="000E3DF7"/>
    <w:rsid w:val="000E4841"/>
    <w:rsid w:val="000E55FD"/>
    <w:rsid w:val="000F1677"/>
    <w:rsid w:val="000F3D6C"/>
    <w:rsid w:val="000F3F1C"/>
    <w:rsid w:val="000F4603"/>
    <w:rsid w:val="00101707"/>
    <w:rsid w:val="00102CC9"/>
    <w:rsid w:val="0010593A"/>
    <w:rsid w:val="0011473D"/>
    <w:rsid w:val="00115C85"/>
    <w:rsid w:val="00123855"/>
    <w:rsid w:val="00126A4D"/>
    <w:rsid w:val="00132584"/>
    <w:rsid w:val="001341D0"/>
    <w:rsid w:val="0014171F"/>
    <w:rsid w:val="00143008"/>
    <w:rsid w:val="00144669"/>
    <w:rsid w:val="0014622C"/>
    <w:rsid w:val="001478F8"/>
    <w:rsid w:val="00152348"/>
    <w:rsid w:val="0015456D"/>
    <w:rsid w:val="00155FA2"/>
    <w:rsid w:val="00161F1B"/>
    <w:rsid w:val="00162829"/>
    <w:rsid w:val="001769B0"/>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3C2F"/>
    <w:rsid w:val="003144EF"/>
    <w:rsid w:val="00317F82"/>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27D5"/>
    <w:rsid w:val="0042466C"/>
    <w:rsid w:val="00430FED"/>
    <w:rsid w:val="00434A8C"/>
    <w:rsid w:val="00437297"/>
    <w:rsid w:val="00444284"/>
    <w:rsid w:val="00445CE6"/>
    <w:rsid w:val="00452C6A"/>
    <w:rsid w:val="004534C2"/>
    <w:rsid w:val="0045446F"/>
    <w:rsid w:val="0045683E"/>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498E"/>
    <w:rsid w:val="005177FE"/>
    <w:rsid w:val="0052263B"/>
    <w:rsid w:val="00524728"/>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528"/>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1652"/>
    <w:rsid w:val="00654C2F"/>
    <w:rsid w:val="00657087"/>
    <w:rsid w:val="006639DB"/>
    <w:rsid w:val="006661EF"/>
    <w:rsid w:val="00677AEB"/>
    <w:rsid w:val="00680EF2"/>
    <w:rsid w:val="00687A1D"/>
    <w:rsid w:val="00693A37"/>
    <w:rsid w:val="00697EA1"/>
    <w:rsid w:val="006A1258"/>
    <w:rsid w:val="006A2646"/>
    <w:rsid w:val="006A6530"/>
    <w:rsid w:val="006B435A"/>
    <w:rsid w:val="006B4C64"/>
    <w:rsid w:val="006D6BD5"/>
    <w:rsid w:val="006E481A"/>
    <w:rsid w:val="006E5298"/>
    <w:rsid w:val="006E5663"/>
    <w:rsid w:val="006F450E"/>
    <w:rsid w:val="006F4A78"/>
    <w:rsid w:val="006F734A"/>
    <w:rsid w:val="006F74BB"/>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6FC0"/>
    <w:rsid w:val="0076764D"/>
    <w:rsid w:val="0077498C"/>
    <w:rsid w:val="007809BC"/>
    <w:rsid w:val="00784128"/>
    <w:rsid w:val="00787BCC"/>
    <w:rsid w:val="00793173"/>
    <w:rsid w:val="00794A92"/>
    <w:rsid w:val="00795762"/>
    <w:rsid w:val="007A2A33"/>
    <w:rsid w:val="007B5C89"/>
    <w:rsid w:val="007C1FCC"/>
    <w:rsid w:val="007C6201"/>
    <w:rsid w:val="007C7D7E"/>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555F6"/>
    <w:rsid w:val="00867701"/>
    <w:rsid w:val="008723F3"/>
    <w:rsid w:val="00876F56"/>
    <w:rsid w:val="00881DE6"/>
    <w:rsid w:val="008837A6"/>
    <w:rsid w:val="0089145D"/>
    <w:rsid w:val="0089154C"/>
    <w:rsid w:val="00896196"/>
    <w:rsid w:val="008A4DF2"/>
    <w:rsid w:val="008A6CFE"/>
    <w:rsid w:val="008B2B0F"/>
    <w:rsid w:val="008B5333"/>
    <w:rsid w:val="008B6223"/>
    <w:rsid w:val="008C4CD6"/>
    <w:rsid w:val="008C66E0"/>
    <w:rsid w:val="008C6825"/>
    <w:rsid w:val="008E1511"/>
    <w:rsid w:val="008E3339"/>
    <w:rsid w:val="008E7E16"/>
    <w:rsid w:val="008F20FC"/>
    <w:rsid w:val="008F5FFE"/>
    <w:rsid w:val="00905A43"/>
    <w:rsid w:val="00912C79"/>
    <w:rsid w:val="00920BED"/>
    <w:rsid w:val="00921B8C"/>
    <w:rsid w:val="00942123"/>
    <w:rsid w:val="0095207B"/>
    <w:rsid w:val="00962045"/>
    <w:rsid w:val="00980E61"/>
    <w:rsid w:val="00980FFC"/>
    <w:rsid w:val="00987AA8"/>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51AB"/>
    <w:rsid w:val="00A21E9A"/>
    <w:rsid w:val="00A2274A"/>
    <w:rsid w:val="00A235B7"/>
    <w:rsid w:val="00A27A7A"/>
    <w:rsid w:val="00A34ABE"/>
    <w:rsid w:val="00A37300"/>
    <w:rsid w:val="00A407EF"/>
    <w:rsid w:val="00A40CCE"/>
    <w:rsid w:val="00A46B4C"/>
    <w:rsid w:val="00A5117B"/>
    <w:rsid w:val="00A56D34"/>
    <w:rsid w:val="00A60074"/>
    <w:rsid w:val="00A6627C"/>
    <w:rsid w:val="00A67F08"/>
    <w:rsid w:val="00A71019"/>
    <w:rsid w:val="00A81029"/>
    <w:rsid w:val="00A845F5"/>
    <w:rsid w:val="00A96489"/>
    <w:rsid w:val="00AB2425"/>
    <w:rsid w:val="00AB685C"/>
    <w:rsid w:val="00AB6C2D"/>
    <w:rsid w:val="00AC08F7"/>
    <w:rsid w:val="00AC2807"/>
    <w:rsid w:val="00AC3839"/>
    <w:rsid w:val="00AC7082"/>
    <w:rsid w:val="00AD4BE8"/>
    <w:rsid w:val="00AE1A93"/>
    <w:rsid w:val="00AF228E"/>
    <w:rsid w:val="00B016A8"/>
    <w:rsid w:val="00B03DBE"/>
    <w:rsid w:val="00B14819"/>
    <w:rsid w:val="00B15E2F"/>
    <w:rsid w:val="00B17AA9"/>
    <w:rsid w:val="00B27B6F"/>
    <w:rsid w:val="00B44713"/>
    <w:rsid w:val="00B501A0"/>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045CE"/>
    <w:rsid w:val="00C10B1A"/>
    <w:rsid w:val="00C17718"/>
    <w:rsid w:val="00C20AFE"/>
    <w:rsid w:val="00C216AA"/>
    <w:rsid w:val="00C22A25"/>
    <w:rsid w:val="00C27FAA"/>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1C6D"/>
    <w:rsid w:val="00D63EFD"/>
    <w:rsid w:val="00D84752"/>
    <w:rsid w:val="00D86B3B"/>
    <w:rsid w:val="00D8714D"/>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CB0"/>
    <w:rsid w:val="00EF090E"/>
    <w:rsid w:val="00EF5478"/>
    <w:rsid w:val="00EF5572"/>
    <w:rsid w:val="00F01639"/>
    <w:rsid w:val="00F033DA"/>
    <w:rsid w:val="00F13691"/>
    <w:rsid w:val="00F13FB1"/>
    <w:rsid w:val="00F27CD8"/>
    <w:rsid w:val="00F302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0F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mmagazine.co.uk/news/lloyds-banking-group-ordered-to-explain-relationship-with-insolvency-fi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16</Pages>
  <Words>6599</Words>
  <Characters>32006</Characters>
  <Application>Microsoft Office Word</Application>
  <DocSecurity>0</DocSecurity>
  <Lines>889</Lines>
  <Paragraphs>622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GC</cp:lastModifiedBy>
  <cp:revision>13</cp:revision>
  <cp:lastPrinted>2019-08-27T05:42:00Z</cp:lastPrinted>
  <dcterms:created xsi:type="dcterms:W3CDTF">2023-06-12T12:13:00Z</dcterms:created>
  <dcterms:modified xsi:type="dcterms:W3CDTF">2023-07-30T15:19:00Z</dcterms:modified>
</cp:coreProperties>
</file>