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D8254A" w:rsidRDefault="002460B1" w:rsidP="00841D99">
      <w:pPr>
        <w:pStyle w:val="ListParagraph"/>
        <w:numPr>
          <w:ilvl w:val="0"/>
          <w:numId w:val="10"/>
        </w:numPr>
        <w:ind w:left="426"/>
        <w:jc w:val="both"/>
        <w:rPr>
          <w:rFonts w:ascii="Avenir Next" w:hAnsi="Avenir Next" w:cs="Arial"/>
          <w:sz w:val="22"/>
          <w:szCs w:val="22"/>
          <w:highlight w:val="yellow"/>
        </w:rPr>
      </w:pPr>
      <w:r w:rsidRPr="00D8254A">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D8254A" w:rsidRDefault="00A37300" w:rsidP="00BA7E39">
      <w:pPr>
        <w:pStyle w:val="ListParagraph"/>
        <w:numPr>
          <w:ilvl w:val="0"/>
          <w:numId w:val="11"/>
        </w:numPr>
        <w:ind w:left="426"/>
        <w:jc w:val="both"/>
        <w:rPr>
          <w:rFonts w:ascii="Avenir Next" w:hAnsi="Avenir Next" w:cs="Arial"/>
          <w:sz w:val="22"/>
          <w:szCs w:val="22"/>
          <w:highlight w:val="yellow"/>
        </w:rPr>
      </w:pPr>
      <w:r w:rsidRPr="00D8254A">
        <w:rPr>
          <w:rFonts w:ascii="Avenir Next" w:hAnsi="Avenir Next"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Unethical behaviour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D8254A">
        <w:rPr>
          <w:rFonts w:ascii="Avenir Next" w:hAnsi="Avenir Next" w:cs="Arial"/>
          <w:sz w:val="22"/>
          <w:szCs w:val="22"/>
          <w:highlight w:val="yellow"/>
        </w:rPr>
        <w:t>(a)</w:t>
      </w:r>
      <w:r w:rsidRPr="00D8254A">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Being an officer of the court requires a person to act with integrity and to not mislead the court in acting on behalf of a client. An officer of the court recognises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2E7621">
        <w:rPr>
          <w:rFonts w:ascii="Avenir Next" w:hAnsi="Avenir Next" w:cs="Arial"/>
          <w:sz w:val="22"/>
          <w:szCs w:val="22"/>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D8254A">
        <w:rPr>
          <w:rFonts w:ascii="Avenir Next" w:hAnsi="Avenir Next" w:cs="Arial"/>
          <w:sz w:val="22"/>
          <w:szCs w:val="22"/>
          <w:highlight w:val="yellow"/>
        </w:rPr>
        <w:t>(b)</w:t>
      </w:r>
      <w:r w:rsidRPr="00D8254A">
        <w:rPr>
          <w:rFonts w:ascii="Avenir Next" w:hAnsi="Avenir Next" w:cs="Arial"/>
          <w:sz w:val="22"/>
          <w:szCs w:val="22"/>
          <w:highlight w:val="yellow"/>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Pr="00897AA5"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897AA5">
        <w:rPr>
          <w:rFonts w:ascii="Avenir Next" w:hAnsi="Avenir Next" w:cs="Arial"/>
          <w:sz w:val="22"/>
          <w:szCs w:val="22"/>
          <w:highlight w:val="yellow"/>
        </w:rPr>
        <w:t>a</w:t>
      </w:r>
      <w:r w:rsidR="00B501A0" w:rsidRPr="00897AA5">
        <w:rPr>
          <w:rFonts w:ascii="Avenir Next" w:hAnsi="Avenir Next" w:cs="Arial"/>
          <w:sz w:val="22"/>
          <w:szCs w:val="22"/>
          <w:highlight w:val="yellow"/>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John was appointed as the liquidator of DebtCO. One of DebtCO’s suppliers and major unsecured creditors, S. Panesar, is very friendly towards John. Mr Panesar has heard in passing that John enjoys sport and managed to procure tickets to several events in the recent Tokyo 2020 Olympic Games, which John accepted. John realises that this will be deemed questionable behaviour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F044E3" w:rsidRDefault="002E7621" w:rsidP="002E7621">
      <w:pPr>
        <w:pStyle w:val="ListParagraph"/>
        <w:numPr>
          <w:ilvl w:val="0"/>
          <w:numId w:val="28"/>
        </w:numPr>
        <w:ind w:left="426"/>
        <w:jc w:val="both"/>
        <w:rPr>
          <w:rFonts w:ascii="Avenir Next" w:hAnsi="Avenir Next" w:cs="Arial"/>
          <w:sz w:val="22"/>
          <w:szCs w:val="22"/>
          <w:highlight w:val="yellow"/>
        </w:rPr>
      </w:pPr>
      <w:r w:rsidRPr="00F044E3">
        <w:rPr>
          <w:rFonts w:ascii="Avenir Next" w:hAnsi="Avenir Next" w:cs="Arial"/>
          <w:sz w:val="22"/>
          <w:szCs w:val="22"/>
          <w:highlight w:val="yellow"/>
        </w:rPr>
        <w:t>f</w:t>
      </w:r>
      <w:r w:rsidR="00693A37" w:rsidRPr="00F044E3">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lastRenderedPageBreak/>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E7621">
        <w:rPr>
          <w:rFonts w:ascii="Avenir Next" w:eastAsiaTheme="minorHAnsi" w:hAnsi="Avenir Next" w:cs="Arial"/>
          <w:i/>
          <w:iCs/>
          <w:sz w:val="22"/>
          <w:szCs w:val="22"/>
          <w:lang w:val="en-GB"/>
        </w:rPr>
        <w:t>curriculum vitae</w:t>
      </w:r>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965BC5"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965BC5">
        <w:rPr>
          <w:rFonts w:ascii="Avenir Next" w:eastAsiaTheme="minorHAnsi" w:hAnsi="Avenir Next" w:cs="Arial"/>
          <w:sz w:val="22"/>
          <w:szCs w:val="22"/>
          <w:highlight w:val="yellow"/>
          <w:lang w:val="en-GB"/>
        </w:rPr>
        <w:t>Refuse the appointment as she will not be able to give all of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A32BB9"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A32BB9">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lastRenderedPageBreak/>
        <w:t>Please choose the most correct answer.</w:t>
      </w:r>
    </w:p>
    <w:p w14:paraId="21C79085" w14:textId="5087A5DD" w:rsidR="000E55FD" w:rsidRPr="00A70E1E" w:rsidRDefault="000E55FD" w:rsidP="002E7621">
      <w:pPr>
        <w:pStyle w:val="ListParagraph"/>
        <w:numPr>
          <w:ilvl w:val="0"/>
          <w:numId w:val="29"/>
        </w:numPr>
        <w:ind w:left="426"/>
        <w:jc w:val="both"/>
        <w:rPr>
          <w:rFonts w:ascii="Avenir Next" w:hAnsi="Avenir Next" w:cs="Arial"/>
          <w:sz w:val="22"/>
          <w:szCs w:val="22"/>
          <w:highlight w:val="yellow"/>
        </w:rPr>
      </w:pPr>
      <w:r w:rsidRPr="00A70E1E">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866F29" w:rsidRDefault="0089154C" w:rsidP="002E7621">
      <w:pPr>
        <w:pStyle w:val="ListParagraph"/>
        <w:numPr>
          <w:ilvl w:val="0"/>
          <w:numId w:val="31"/>
        </w:numPr>
        <w:ind w:left="426"/>
        <w:jc w:val="both"/>
        <w:rPr>
          <w:rFonts w:ascii="Avenir Next" w:hAnsi="Avenir Next" w:cs="Arial"/>
          <w:sz w:val="22"/>
          <w:szCs w:val="22"/>
          <w:highlight w:val="yellow"/>
        </w:rPr>
      </w:pPr>
      <w:r w:rsidRPr="00866F29">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lastRenderedPageBreak/>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2131C12D" w14:textId="397BDB53" w:rsidR="00133160" w:rsidRDefault="00133160" w:rsidP="00133160">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fiduciary relationship exists where:</w:t>
      </w:r>
    </w:p>
    <w:p w14:paraId="22757973" w14:textId="64D45BFB" w:rsidR="00133160" w:rsidRPr="00133160" w:rsidRDefault="00133160" w:rsidP="00133160">
      <w:pPr>
        <w:pStyle w:val="ListParagraph"/>
        <w:numPr>
          <w:ilvl w:val="0"/>
          <w:numId w:val="32"/>
        </w:numPr>
        <w:jc w:val="both"/>
        <w:rPr>
          <w:rFonts w:ascii="Avenir Next" w:hAnsi="Avenir Next" w:cs="Arial"/>
          <w:color w:val="7B7B7B" w:themeColor="accent3" w:themeShade="BF"/>
          <w:sz w:val="22"/>
          <w:szCs w:val="22"/>
          <w:lang w:val="en-GB"/>
        </w:rPr>
      </w:pPr>
      <w:r w:rsidRPr="00133160">
        <w:rPr>
          <w:rFonts w:ascii="Avenir Next" w:hAnsi="Avenir Next" w:cs="Arial"/>
          <w:color w:val="7B7B7B" w:themeColor="accent3" w:themeShade="BF"/>
          <w:sz w:val="22"/>
          <w:szCs w:val="22"/>
          <w:lang w:val="en-GB"/>
        </w:rPr>
        <w:t xml:space="preserve">A person undertakes to act on behalf of another; </w:t>
      </w:r>
      <w:r>
        <w:rPr>
          <w:rFonts w:ascii="Avenir Next" w:hAnsi="Avenir Next" w:cs="Arial"/>
          <w:color w:val="7B7B7B" w:themeColor="accent3" w:themeShade="BF"/>
          <w:sz w:val="22"/>
          <w:szCs w:val="22"/>
          <w:lang w:val="en-GB"/>
        </w:rPr>
        <w:t>and</w:t>
      </w:r>
    </w:p>
    <w:p w14:paraId="6D94B76D" w14:textId="3C9CAF6C" w:rsidR="00133160" w:rsidRDefault="00133160" w:rsidP="00133160">
      <w:pPr>
        <w:pStyle w:val="ListParagraph"/>
        <w:numPr>
          <w:ilvl w:val="0"/>
          <w:numId w:val="32"/>
        </w:numPr>
        <w:jc w:val="both"/>
        <w:rPr>
          <w:rFonts w:ascii="Avenir Next" w:hAnsi="Avenir Next" w:cs="Arial"/>
          <w:color w:val="7B7B7B" w:themeColor="accent3" w:themeShade="BF"/>
          <w:sz w:val="22"/>
          <w:szCs w:val="22"/>
          <w:lang w:val="en-GB"/>
        </w:rPr>
      </w:pPr>
      <w:r w:rsidRPr="00133160">
        <w:rPr>
          <w:rFonts w:ascii="Avenir Next" w:hAnsi="Avenir Next" w:cs="Arial"/>
          <w:color w:val="7B7B7B" w:themeColor="accent3" w:themeShade="BF"/>
          <w:sz w:val="22"/>
          <w:szCs w:val="22"/>
          <w:lang w:val="en-GB"/>
        </w:rPr>
        <w:t>A person has discretion and power over the interest of the other</w:t>
      </w:r>
      <w:r>
        <w:rPr>
          <w:rFonts w:ascii="Avenir Next" w:hAnsi="Avenir Next" w:cs="Arial"/>
          <w:color w:val="7B7B7B" w:themeColor="accent3" w:themeShade="BF"/>
          <w:sz w:val="22"/>
          <w:szCs w:val="22"/>
          <w:lang w:val="en-GB"/>
        </w:rPr>
        <w:t>.</w:t>
      </w:r>
    </w:p>
    <w:p w14:paraId="1587007B" w14:textId="77777777" w:rsidR="00133160" w:rsidRDefault="00133160" w:rsidP="00133160">
      <w:pPr>
        <w:jc w:val="both"/>
        <w:rPr>
          <w:rFonts w:ascii="Avenir Next" w:hAnsi="Avenir Next" w:cs="Arial"/>
          <w:color w:val="7B7B7B" w:themeColor="accent3" w:themeShade="BF"/>
          <w:sz w:val="22"/>
          <w:szCs w:val="22"/>
          <w:lang w:val="en-GB"/>
        </w:rPr>
      </w:pPr>
    </w:p>
    <w:p w14:paraId="7F671DE0" w14:textId="17F52F00" w:rsidR="00133160" w:rsidRPr="00133160" w:rsidRDefault="00133160" w:rsidP="0013316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Vulnerability is sometimes added as an indicator for the existence of a fiduciary relationship.</w:t>
      </w:r>
    </w:p>
    <w:p w14:paraId="22C610C9" w14:textId="16EF6256" w:rsidR="00DE03AF" w:rsidRPr="002E7621" w:rsidRDefault="00DE03AF" w:rsidP="002A37BB">
      <w:pPr>
        <w:jc w:val="both"/>
        <w:rPr>
          <w:rFonts w:ascii="Avenir Next" w:hAnsi="Avenir Next" w:cs="Arial"/>
          <w:sz w:val="22"/>
          <w:szCs w:val="22"/>
        </w:rPr>
      </w:pPr>
    </w:p>
    <w:p w14:paraId="789C3223" w14:textId="303DD51B" w:rsidR="00020557" w:rsidRDefault="00020557" w:rsidP="002A37BB">
      <w:pPr>
        <w:jc w:val="both"/>
        <w:rPr>
          <w:rFonts w:ascii="Avenir Next" w:hAnsi="Avenir Next" w:cs="Arial"/>
          <w:sz w:val="22"/>
          <w:szCs w:val="22"/>
        </w:rPr>
      </w:pP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2F57801B" w14:textId="2FC1CAC6" w:rsidR="009B07AD" w:rsidRPr="002E7621" w:rsidRDefault="00EA7560" w:rsidP="00EA7560">
      <w:pPr>
        <w:jc w:val="both"/>
        <w:rPr>
          <w:rFonts w:ascii="Avenir Next" w:hAnsi="Avenir Next" w:cs="Arial"/>
          <w:sz w:val="22"/>
          <w:szCs w:val="22"/>
        </w:rPr>
      </w:pPr>
      <w:r>
        <w:rPr>
          <w:rFonts w:ascii="Avenir Next" w:hAnsi="Avenir Next" w:cs="Arial"/>
          <w:color w:val="7B7B7B" w:themeColor="accent3" w:themeShade="BF"/>
          <w:sz w:val="22"/>
          <w:szCs w:val="22"/>
        </w:rPr>
        <w:t>I</w:t>
      </w:r>
      <w:r w:rsidR="00135554">
        <w:rPr>
          <w:rFonts w:ascii="Avenir Next" w:hAnsi="Avenir Next" w:cs="Arial"/>
          <w:color w:val="7B7B7B" w:themeColor="accent3" w:themeShade="BF"/>
          <w:sz w:val="22"/>
          <w:szCs w:val="22"/>
        </w:rPr>
        <w:t>P</w:t>
      </w:r>
      <w:r>
        <w:rPr>
          <w:rFonts w:ascii="Avenir Next" w:hAnsi="Avenir Next" w:cs="Arial"/>
          <w:color w:val="7B7B7B" w:themeColor="accent3" w:themeShade="BF"/>
          <w:sz w:val="22"/>
          <w:szCs w:val="22"/>
        </w:rPr>
        <w:t>s must be independent in fact and also be seen or perceived to be independent and impartial. Independence in fact requires that the IP be factually free from any influences that could compromise his judgment. As such IPs must avoid all personal and professional relationships and direct or indirect interests that will adversely affect, impair or threaten their integrity and ability to make decisions. On the other hand, independence in perception includes the avoidance of circumstances that would lead a reasonable informed third party to conclude that the IP’s integrity, independence and impartiality have been compromised.</w:t>
      </w:r>
      <w:r w:rsidR="00080A6C">
        <w:rPr>
          <w:rFonts w:ascii="Avenir Next" w:hAnsi="Avenir Next" w:cs="Arial"/>
          <w:color w:val="7B7B7B" w:themeColor="accent3" w:themeShade="BF"/>
          <w:sz w:val="22"/>
          <w:szCs w:val="22"/>
        </w:rPr>
        <w:t xml:space="preserve"> It is important to be seen or perceived as independent and impartial in the context of insolvency. In this regard, in the event stakeholders that are involved in the proceedings do perceive the IP as biased, or to lack independence, it would negate the trust and reliance that has been placed in him.</w:t>
      </w: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20DD93A5" w14:textId="160AE4F9" w:rsidR="007C7D7E" w:rsidRPr="005A3298" w:rsidRDefault="005A3298" w:rsidP="007205B5">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Indemnity or professional insurance covers against the risk of stakeholders instituting action against the IP for acting negligently without reasonable care. On the other hand, fidelity insurance protects stakeholders in the event of the IP, or someone who works for him, acted dishonestly or defrauded the estate.</w:t>
      </w:r>
      <w:r w:rsidR="00746EEE">
        <w:rPr>
          <w:rFonts w:ascii="Avenir Next" w:hAnsi="Avenir Next" w:cs="Arial"/>
          <w:color w:val="7B7B7B" w:themeColor="accent3" w:themeShade="BF"/>
          <w:sz w:val="22"/>
          <w:szCs w:val="22"/>
          <w:lang w:val="en-GB"/>
        </w:rPr>
        <w:t xml:space="preserve"> Due to the extensive duties owed by Ips, it would be sensible for IPs to obtain professional fidelity insurance to protect themselves as well as the stakeholders of the estate.</w:t>
      </w: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4024A332" w14:textId="3A7011EA" w:rsidR="00544127" w:rsidRPr="002E7621" w:rsidRDefault="00E4161F"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t>While morality and ethics are closely related, they are not the same. In this regard, morality refers to a person’s personal beliefs vis-à-vis what is right or wrong and as such, is usually influenced by one’s upbringing, education, culture as well as religious beliefs. Essentially, moral values tend to be subjective. However, morals also form the foundation of ethics</w:t>
      </w:r>
      <w:bookmarkStart w:id="0" w:name="_Hlk141646615"/>
      <w:r>
        <w:rPr>
          <w:rFonts w:ascii="Avenir Next" w:hAnsi="Avenir Next" w:cs="Arial"/>
          <w:color w:val="7B7B7B" w:themeColor="accent3" w:themeShade="BF"/>
          <w:sz w:val="22"/>
          <w:szCs w:val="22"/>
          <w:lang w:val="en-GB"/>
        </w:rPr>
        <w:t xml:space="preserve">. Ethics refer to the specific rules and actions that are regarded as correct behaviours and often relate to a specific </w:t>
      </w:r>
      <w:r w:rsidR="0064017A">
        <w:rPr>
          <w:rFonts w:ascii="Avenir Next" w:hAnsi="Avenir Next" w:cs="Arial"/>
          <w:color w:val="7B7B7B" w:themeColor="accent3" w:themeShade="BF"/>
          <w:sz w:val="22"/>
          <w:szCs w:val="22"/>
          <w:lang w:val="en-GB"/>
        </w:rPr>
        <w:t xml:space="preserve">group of people whose </w:t>
      </w:r>
      <w:r w:rsidR="0064017A">
        <w:rPr>
          <w:rFonts w:ascii="Avenir Next" w:hAnsi="Avenir Next" w:cs="Arial"/>
          <w:color w:val="7B7B7B" w:themeColor="accent3" w:themeShade="BF"/>
          <w:sz w:val="22"/>
          <w:szCs w:val="22"/>
          <w:lang w:val="en-GB"/>
        </w:rPr>
        <w:lastRenderedPageBreak/>
        <w:t>function in similar circumstances</w:t>
      </w:r>
      <w:bookmarkEnd w:id="0"/>
      <w:r w:rsidR="0064017A">
        <w:rPr>
          <w:rFonts w:ascii="Avenir Next" w:hAnsi="Avenir Next" w:cs="Arial"/>
          <w:color w:val="7B7B7B" w:themeColor="accent3" w:themeShade="BF"/>
          <w:sz w:val="22"/>
          <w:szCs w:val="22"/>
          <w:lang w:val="en-GB"/>
        </w:rPr>
        <w:t>. As such, even though morals form the basis of ethics, ethics do not concern a set of beliefs regarding what is right or wrong, but rather what would be the acceptable standards of conduct. This is the reason why INSOL Principle requires both principles – morality and ethics. IPs should have personal sets of beliefs to guide their actions but should also comply with the ethical values of the group they belong to. In the event of conflict between their personal beliefs and that of the profession, the professional standards should trump personal opinions.</w:t>
      </w:r>
      <w:r w:rsidR="0028692A">
        <w:rPr>
          <w:rFonts w:ascii="Avenir Next" w:hAnsi="Avenir Next" w:cs="Arial"/>
          <w:color w:val="7B7B7B" w:themeColor="accent3" w:themeShade="BF"/>
          <w:sz w:val="22"/>
          <w:szCs w:val="22"/>
          <w:lang w:val="en-GB"/>
        </w:rPr>
        <w:t xml:space="preserve"> The reason for this is because a moral action can still be unethical. An example if where an IP, due  to his personal beliefs and a moral desire to be open and honest with the stakeholders, divulges information which should have been kept confidential in accordance with ethical guidance.</w:t>
      </w:r>
    </w:p>
    <w:p w14:paraId="6399DC3B" w14:textId="536003FE" w:rsidR="004F7AAE" w:rsidRPr="002E7621" w:rsidRDefault="004F7AAE" w:rsidP="001769B0">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7940D274" w14:textId="0E220E55" w:rsidR="00DF75F8" w:rsidRDefault="00C40D1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Elements of insolvency proceedings that are prone to create or give rise to threats to independence and impartiality are as follows:</w:t>
      </w:r>
    </w:p>
    <w:p w14:paraId="6AEB2D21" w14:textId="77777777" w:rsidR="00C40D10" w:rsidRPr="009577CF" w:rsidRDefault="00C40D10" w:rsidP="002A37BB">
      <w:pPr>
        <w:jc w:val="both"/>
        <w:rPr>
          <w:rFonts w:ascii="Avenir Next" w:hAnsi="Avenir Next" w:cs="Arial"/>
          <w:color w:val="7B7B7B" w:themeColor="accent3" w:themeShade="BF"/>
          <w:sz w:val="22"/>
          <w:szCs w:val="22"/>
          <w:u w:val="single"/>
          <w:lang w:val="en-GB"/>
        </w:rPr>
      </w:pPr>
    </w:p>
    <w:p w14:paraId="40AC453D" w14:textId="4186ECE9" w:rsidR="00C40D10" w:rsidRDefault="00C40D10" w:rsidP="00C40D10">
      <w:pPr>
        <w:pStyle w:val="ListParagraph"/>
        <w:numPr>
          <w:ilvl w:val="0"/>
          <w:numId w:val="33"/>
        </w:numPr>
        <w:jc w:val="both"/>
        <w:rPr>
          <w:rFonts w:ascii="Avenir Next" w:hAnsi="Avenir Next" w:cs="Arial"/>
          <w:color w:val="7B7B7B" w:themeColor="accent3" w:themeShade="BF"/>
          <w:sz w:val="22"/>
          <w:szCs w:val="22"/>
          <w:u w:val="single"/>
          <w:lang w:val="en-GB"/>
        </w:rPr>
      </w:pPr>
      <w:r w:rsidRPr="009577CF">
        <w:rPr>
          <w:rFonts w:ascii="Avenir Next" w:hAnsi="Avenir Next" w:cs="Arial"/>
          <w:color w:val="7B7B7B" w:themeColor="accent3" w:themeShade="BF"/>
          <w:sz w:val="22"/>
          <w:szCs w:val="22"/>
          <w:u w:val="single"/>
          <w:lang w:val="en-GB"/>
        </w:rPr>
        <w:t>Pre-commencement/appointment involvement</w:t>
      </w:r>
    </w:p>
    <w:p w14:paraId="4C15A737" w14:textId="77777777" w:rsidR="009577CF" w:rsidRDefault="009577CF" w:rsidP="009577CF">
      <w:pPr>
        <w:pStyle w:val="ListParagraph"/>
        <w:ind w:left="1080"/>
        <w:jc w:val="both"/>
        <w:rPr>
          <w:rFonts w:ascii="Avenir Next" w:hAnsi="Avenir Next" w:cs="Arial"/>
          <w:color w:val="7B7B7B" w:themeColor="accent3" w:themeShade="BF"/>
          <w:sz w:val="22"/>
          <w:szCs w:val="22"/>
          <w:u w:val="single"/>
          <w:lang w:val="en-GB"/>
        </w:rPr>
      </w:pPr>
    </w:p>
    <w:p w14:paraId="6614BDC0" w14:textId="2FE5436A" w:rsidR="009577CF" w:rsidRDefault="009577CF" w:rsidP="009577CF">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Prior consultations often takes place between the CIP and the company or stakeholders. Prior consultations often create the impression of a lack of independence and impartiality on the part of the CIP. Be that as it may, pre-commencement/appointment involvement need not always result in the disqualification of the said person as practitioners. In fact, prior consultatio</w:t>
      </w:r>
      <w:r w:rsidR="00FB0F00">
        <w:rPr>
          <w:rFonts w:ascii="Avenir Next" w:hAnsi="Avenir Next" w:cs="Arial"/>
          <w:color w:val="7B7B7B" w:themeColor="accent3" w:themeShade="BF"/>
          <w:sz w:val="22"/>
          <w:szCs w:val="22"/>
          <w:lang w:val="en-GB"/>
        </w:rPr>
        <w:t>n may constitute a crucial part of the insolvency process. However, there should be limits to what would be deemed acceptable engagement during such consultations. For example, if the consultation involve material engagement by any of the stakeholder parties, the CIP would no longer be considered independent and should not be appointed as practitioner. Advice rendered by practitioners in the pre-</w:t>
      </w:r>
      <w:r w:rsidR="00DB6BD6">
        <w:rPr>
          <w:rFonts w:ascii="Avenir Next" w:hAnsi="Avenir Next" w:cs="Arial"/>
          <w:color w:val="7B7B7B" w:themeColor="accent3" w:themeShade="BF"/>
          <w:sz w:val="22"/>
          <w:szCs w:val="22"/>
          <w:lang w:val="en-GB"/>
        </w:rPr>
        <w:t>commencement</w:t>
      </w:r>
      <w:r w:rsidR="00FB0F00">
        <w:rPr>
          <w:rFonts w:ascii="Avenir Next" w:hAnsi="Avenir Next" w:cs="Arial"/>
          <w:color w:val="7B7B7B" w:themeColor="accent3" w:themeShade="BF"/>
          <w:sz w:val="22"/>
          <w:szCs w:val="22"/>
          <w:lang w:val="en-GB"/>
        </w:rPr>
        <w:t>/appointment stage should be limited to the company’s financial position</w:t>
      </w:r>
      <w:r w:rsidR="00DB6BD6">
        <w:rPr>
          <w:rFonts w:ascii="Avenir Next" w:hAnsi="Avenir Next" w:cs="Arial"/>
          <w:color w:val="7B7B7B" w:themeColor="accent3" w:themeShade="BF"/>
          <w:sz w:val="22"/>
          <w:szCs w:val="22"/>
          <w:lang w:val="en-GB"/>
        </w:rPr>
        <w:t>, the company’s solvency, the effects of potential insolvency and any alternatives to insolvency.</w:t>
      </w:r>
    </w:p>
    <w:p w14:paraId="10810AD0" w14:textId="77777777" w:rsidR="00DB6BD6" w:rsidRDefault="00DB6BD6" w:rsidP="009577CF">
      <w:pPr>
        <w:pStyle w:val="ListParagraph"/>
        <w:ind w:left="1080"/>
        <w:jc w:val="both"/>
        <w:rPr>
          <w:rFonts w:ascii="Avenir Next" w:hAnsi="Avenir Next" w:cs="Arial"/>
          <w:color w:val="7B7B7B" w:themeColor="accent3" w:themeShade="BF"/>
          <w:sz w:val="22"/>
          <w:szCs w:val="22"/>
          <w:lang w:val="en-GB"/>
        </w:rPr>
      </w:pPr>
    </w:p>
    <w:p w14:paraId="2D46C8BF" w14:textId="1A0F7CE9" w:rsidR="00DB6BD6" w:rsidRDefault="00DB6BD6" w:rsidP="009577CF">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case of Re Korda, Ten Network Holdings Ltd (Admn Apptd) (Recs and Mgrs Apptd) [2017] FCA 914, the administrators’ firm had been involved in reviewing the company’s financial position for several months prior to their appointment. The issue fore the court was whether they should still be allowed to continue to act as administrators given their “long-term”, substantial </w:t>
      </w:r>
      <w:r w:rsidR="003F110B">
        <w:rPr>
          <w:rFonts w:ascii="Avenir Next" w:hAnsi="Avenir Next" w:cs="Arial"/>
          <w:color w:val="7B7B7B" w:themeColor="accent3" w:themeShade="BF"/>
          <w:sz w:val="22"/>
          <w:szCs w:val="22"/>
          <w:lang w:val="en-GB"/>
        </w:rPr>
        <w:t>and remunerative involvement” with the company.</w:t>
      </w:r>
    </w:p>
    <w:p w14:paraId="75BFB658" w14:textId="77777777" w:rsidR="003F110B" w:rsidRDefault="003F110B" w:rsidP="009577CF">
      <w:pPr>
        <w:pStyle w:val="ListParagraph"/>
        <w:ind w:left="1080"/>
        <w:jc w:val="both"/>
        <w:rPr>
          <w:rFonts w:ascii="Avenir Next" w:hAnsi="Avenir Next" w:cs="Arial"/>
          <w:color w:val="7B7B7B" w:themeColor="accent3" w:themeShade="BF"/>
          <w:sz w:val="22"/>
          <w:szCs w:val="22"/>
          <w:lang w:val="en-GB"/>
        </w:rPr>
      </w:pPr>
    </w:p>
    <w:p w14:paraId="1CAF0A57" w14:textId="77EB723D" w:rsidR="003F110B" w:rsidRPr="009577CF" w:rsidRDefault="003F110B" w:rsidP="009577CF">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court accepted that the administrators’ firm did not provide advice to the board of directors, the creditors or any other stakeholders. The nature of the work done by the firm was limited to deposing the management in order to understand the company’s operations, financial position, legal and contractual obligation</w:t>
      </w:r>
      <w:r w:rsidR="00ED5B3C">
        <w:rPr>
          <w:rFonts w:ascii="Avenir Next" w:hAnsi="Avenir Next" w:cs="Arial"/>
          <w:color w:val="7B7B7B" w:themeColor="accent3" w:themeShade="BF"/>
          <w:sz w:val="22"/>
          <w:szCs w:val="22"/>
          <w:lang w:val="en-GB"/>
        </w:rPr>
        <w:t xml:space="preserve"> and cash flow. The Court was of the view there was no actual or apprehended bias or conflict as the administrators work was limited to certain aspects and the engagement did not involve any advice to the company or its directors.</w:t>
      </w:r>
    </w:p>
    <w:p w14:paraId="1D0401F9" w14:textId="77777777" w:rsidR="009577CF" w:rsidRPr="00C40D10" w:rsidRDefault="009577CF" w:rsidP="009577CF">
      <w:pPr>
        <w:pStyle w:val="ListParagraph"/>
        <w:ind w:left="1080"/>
        <w:jc w:val="both"/>
        <w:rPr>
          <w:rFonts w:ascii="Avenir Next" w:hAnsi="Avenir Next" w:cs="Arial"/>
          <w:color w:val="7B7B7B" w:themeColor="accent3" w:themeShade="BF"/>
          <w:sz w:val="22"/>
          <w:szCs w:val="22"/>
          <w:lang w:val="en-GB"/>
        </w:rPr>
      </w:pPr>
    </w:p>
    <w:p w14:paraId="333BE38F" w14:textId="38C6DDB8" w:rsidR="00C40D10" w:rsidRDefault="00C40D10" w:rsidP="00C40D10">
      <w:pPr>
        <w:pStyle w:val="ListParagraph"/>
        <w:numPr>
          <w:ilvl w:val="0"/>
          <w:numId w:val="33"/>
        </w:numPr>
        <w:jc w:val="both"/>
        <w:rPr>
          <w:rFonts w:ascii="Avenir Next" w:hAnsi="Avenir Next" w:cs="Arial"/>
          <w:color w:val="7B7B7B" w:themeColor="accent3" w:themeShade="BF"/>
          <w:sz w:val="22"/>
          <w:szCs w:val="22"/>
          <w:u w:val="single"/>
          <w:lang w:val="en-GB"/>
        </w:rPr>
      </w:pPr>
      <w:r w:rsidRPr="009577CF">
        <w:rPr>
          <w:rFonts w:ascii="Avenir Next" w:hAnsi="Avenir Next" w:cs="Arial"/>
          <w:color w:val="7B7B7B" w:themeColor="accent3" w:themeShade="BF"/>
          <w:sz w:val="22"/>
          <w:szCs w:val="22"/>
          <w:u w:val="single"/>
          <w:lang w:val="en-GB"/>
        </w:rPr>
        <w:t>Appointment</w:t>
      </w:r>
    </w:p>
    <w:p w14:paraId="489642D8" w14:textId="77777777" w:rsidR="00ED5B3C" w:rsidRDefault="00ED5B3C" w:rsidP="00ED5B3C">
      <w:pPr>
        <w:pStyle w:val="ListParagraph"/>
        <w:ind w:left="1080"/>
        <w:jc w:val="both"/>
        <w:rPr>
          <w:rFonts w:ascii="Avenir Next" w:hAnsi="Avenir Next" w:cs="Arial"/>
          <w:color w:val="7B7B7B" w:themeColor="accent3" w:themeShade="BF"/>
          <w:sz w:val="22"/>
          <w:szCs w:val="22"/>
          <w:u w:val="single"/>
          <w:lang w:val="en-GB"/>
        </w:rPr>
      </w:pPr>
    </w:p>
    <w:p w14:paraId="5CF40213" w14:textId="10685DB4" w:rsidR="00ED5B3C" w:rsidRPr="00ED5B3C" w:rsidRDefault="00ED5B3C" w:rsidP="00ED5B3C">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In many jurisdictions, the CIP can be appointed by either the board of directors or a stakeholder. This often leads the appointee to expect that the practitioner appointed by them would prioritise their interests, or that they could influence the practitioner. Practitioners should be aware of his responsibilities. </w:t>
      </w:r>
      <w:r w:rsidR="008B261C">
        <w:rPr>
          <w:rFonts w:ascii="Avenir Next" w:hAnsi="Avenir Next" w:cs="Arial"/>
          <w:color w:val="7B7B7B" w:themeColor="accent3" w:themeShade="BF"/>
          <w:sz w:val="22"/>
          <w:szCs w:val="22"/>
          <w:lang w:val="en-GB"/>
        </w:rPr>
        <w:t>The practitioner should</w:t>
      </w:r>
      <w:r w:rsidR="002668B4">
        <w:rPr>
          <w:rFonts w:ascii="Avenir Next" w:hAnsi="Avenir Next" w:cs="Arial"/>
          <w:color w:val="7B7B7B" w:themeColor="accent3" w:themeShade="BF"/>
          <w:sz w:val="22"/>
          <w:szCs w:val="22"/>
          <w:lang w:val="en-GB"/>
        </w:rPr>
        <w:t xml:space="preserve"> not make any promises to the </w:t>
      </w:r>
      <w:r w:rsidR="004175C5">
        <w:rPr>
          <w:rFonts w:ascii="Avenir Next" w:hAnsi="Avenir Next" w:cs="Arial"/>
          <w:color w:val="7B7B7B" w:themeColor="accent3" w:themeShade="BF"/>
          <w:sz w:val="22"/>
          <w:szCs w:val="22"/>
          <w:lang w:val="en-GB"/>
        </w:rPr>
        <w:t>person appointing him and should make it clear that he will act in the interests of all the beneficiaries. The practitioner should also scrutinise each given situation before accepting an appointment.</w:t>
      </w:r>
    </w:p>
    <w:p w14:paraId="786C7FD1" w14:textId="77777777" w:rsidR="009577CF" w:rsidRDefault="009577CF" w:rsidP="00ED5B3C">
      <w:pPr>
        <w:ind w:left="1080"/>
        <w:jc w:val="both"/>
        <w:rPr>
          <w:rFonts w:ascii="Avenir Next" w:hAnsi="Avenir Next" w:cs="Arial"/>
          <w:color w:val="7B7B7B" w:themeColor="accent3" w:themeShade="BF"/>
          <w:sz w:val="22"/>
          <w:szCs w:val="22"/>
          <w:u w:val="single"/>
          <w:lang w:val="en-GB"/>
        </w:rPr>
      </w:pPr>
    </w:p>
    <w:p w14:paraId="41625B8A" w14:textId="77777777" w:rsidR="00ED5B3C" w:rsidRPr="009577CF" w:rsidRDefault="00ED5B3C" w:rsidP="00ED5B3C">
      <w:pPr>
        <w:ind w:left="1080"/>
        <w:jc w:val="both"/>
        <w:rPr>
          <w:rFonts w:ascii="Avenir Next" w:hAnsi="Avenir Next" w:cs="Arial"/>
          <w:color w:val="7B7B7B" w:themeColor="accent3" w:themeShade="BF"/>
          <w:sz w:val="22"/>
          <w:szCs w:val="22"/>
          <w:u w:val="single"/>
          <w:lang w:val="en-GB"/>
        </w:rPr>
      </w:pPr>
    </w:p>
    <w:p w14:paraId="30D2F3A1" w14:textId="7369084E" w:rsidR="004175C5" w:rsidRDefault="00C40D10" w:rsidP="004175C5">
      <w:pPr>
        <w:pStyle w:val="ListParagraph"/>
        <w:numPr>
          <w:ilvl w:val="0"/>
          <w:numId w:val="33"/>
        </w:numPr>
        <w:jc w:val="both"/>
        <w:rPr>
          <w:rFonts w:ascii="Avenir Next" w:hAnsi="Avenir Next" w:cs="Arial"/>
          <w:color w:val="7B7B7B" w:themeColor="accent3" w:themeShade="BF"/>
          <w:sz w:val="22"/>
          <w:szCs w:val="22"/>
          <w:u w:val="single"/>
          <w:lang w:val="en-GB"/>
        </w:rPr>
      </w:pPr>
      <w:r w:rsidRPr="009577CF">
        <w:rPr>
          <w:rFonts w:ascii="Avenir Next" w:hAnsi="Avenir Next" w:cs="Arial"/>
          <w:color w:val="7B7B7B" w:themeColor="accent3" w:themeShade="BF"/>
          <w:sz w:val="22"/>
          <w:szCs w:val="22"/>
          <w:u w:val="single"/>
          <w:lang w:val="en-GB"/>
        </w:rPr>
        <w:t>Subsequent appointments</w:t>
      </w:r>
    </w:p>
    <w:p w14:paraId="3B8AAF79" w14:textId="77777777" w:rsidR="004175C5" w:rsidRDefault="004175C5" w:rsidP="004175C5">
      <w:pPr>
        <w:pStyle w:val="ListParagraph"/>
        <w:ind w:left="1080"/>
        <w:jc w:val="both"/>
        <w:rPr>
          <w:rFonts w:ascii="Avenir Next" w:hAnsi="Avenir Next" w:cs="Arial"/>
          <w:color w:val="7B7B7B" w:themeColor="accent3" w:themeShade="BF"/>
          <w:sz w:val="22"/>
          <w:szCs w:val="22"/>
          <w:u w:val="single"/>
          <w:lang w:val="en-GB"/>
        </w:rPr>
      </w:pPr>
    </w:p>
    <w:p w14:paraId="40BCB131" w14:textId="4E0EF9FB" w:rsidR="004175C5" w:rsidRDefault="004175C5" w:rsidP="004175C5">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is a scenario where the same practitioner is allowed to act in different insolvency capacities vis-à-vis the same debtor company. In jurisdictions such as England and Wales as well as Singapore, such appointments are allowed. Subsequent appointments give rise to problems relating to independence and impartiality due to the self-review and self-interest threat it creates. The Insolvency Code of Ethics of the Institute of Chartered Accountants of England and Wales recognises the potential conflict of interests in such situations and utilised the scenario “sequential insolvency appointments” as an example of circumstances that might lead to a self-review threat being created. </w:t>
      </w:r>
    </w:p>
    <w:p w14:paraId="25EC864F" w14:textId="77777777" w:rsidR="00976D3C" w:rsidRDefault="00976D3C" w:rsidP="004175C5">
      <w:pPr>
        <w:pStyle w:val="ListParagraph"/>
        <w:ind w:left="1080"/>
        <w:jc w:val="both"/>
        <w:rPr>
          <w:rFonts w:ascii="Avenir Next" w:hAnsi="Avenir Next" w:cs="Arial"/>
          <w:color w:val="7B7B7B" w:themeColor="accent3" w:themeShade="BF"/>
          <w:sz w:val="22"/>
          <w:szCs w:val="22"/>
          <w:lang w:val="en-GB"/>
        </w:rPr>
      </w:pPr>
    </w:p>
    <w:p w14:paraId="785919CA" w14:textId="16C89C08" w:rsidR="00976D3C" w:rsidRDefault="00976D3C" w:rsidP="004175C5">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self-review threat refers to a situation where because a practitioner was previously involved in a decision making, and is therefore unable to appropriately evaluate the results of previous judgments made or services rendered.</w:t>
      </w:r>
    </w:p>
    <w:p w14:paraId="249D5E5F" w14:textId="77777777" w:rsidR="00976D3C" w:rsidRDefault="00976D3C" w:rsidP="004175C5">
      <w:pPr>
        <w:pStyle w:val="ListParagraph"/>
        <w:ind w:left="1080"/>
        <w:jc w:val="both"/>
        <w:rPr>
          <w:rFonts w:ascii="Avenir Next" w:hAnsi="Avenir Next" w:cs="Arial"/>
          <w:color w:val="7B7B7B" w:themeColor="accent3" w:themeShade="BF"/>
          <w:sz w:val="22"/>
          <w:szCs w:val="22"/>
          <w:lang w:val="en-GB"/>
        </w:rPr>
      </w:pPr>
    </w:p>
    <w:p w14:paraId="06447BBD" w14:textId="0200820F" w:rsidR="00976D3C" w:rsidRPr="00976D3C" w:rsidRDefault="00976D3C" w:rsidP="00976D3C">
      <w:pPr>
        <w:ind w:left="1080"/>
        <w:jc w:val="both"/>
        <w:rPr>
          <w:rFonts w:ascii="Avenir Next" w:hAnsi="Avenir Next" w:cs="Arial"/>
          <w:color w:val="7B7B7B" w:themeColor="accent3" w:themeShade="BF"/>
          <w:sz w:val="22"/>
          <w:szCs w:val="22"/>
          <w:lang w:val="en-GB"/>
        </w:rPr>
      </w:pPr>
      <w:r w:rsidRPr="00976D3C">
        <w:rPr>
          <w:rFonts w:ascii="Avenir Next" w:hAnsi="Avenir Next" w:cs="Arial"/>
          <w:color w:val="7B7B7B" w:themeColor="accent3" w:themeShade="BF"/>
          <w:sz w:val="22"/>
          <w:szCs w:val="22"/>
          <w:lang w:val="en-GB"/>
        </w:rPr>
        <w:t xml:space="preserve">As for self-interest threat, it relates to the </w:t>
      </w:r>
      <w:r>
        <w:rPr>
          <w:rFonts w:ascii="Avenir Next" w:hAnsi="Avenir Next" w:cs="Arial"/>
          <w:color w:val="7B7B7B" w:themeColor="accent3" w:themeShade="BF"/>
          <w:sz w:val="22"/>
          <w:szCs w:val="22"/>
          <w:lang w:val="en-GB"/>
        </w:rPr>
        <w:t>issue of remuneration of the practitioner.  It refers to a situation where the interests (including financial interests) of the practitioner might inappropriately influence his judgment or behaviour. An example is where a rescue or turnaround practitioner might not put his best effort into saving the debtor compan</w:t>
      </w:r>
      <w:r w:rsidR="00B9511D">
        <w:rPr>
          <w:rFonts w:ascii="Avenir Next" w:hAnsi="Avenir Next" w:cs="Arial"/>
          <w:color w:val="7B7B7B" w:themeColor="accent3" w:themeShade="BF"/>
          <w:sz w:val="22"/>
          <w:szCs w:val="22"/>
          <w:lang w:val="en-GB"/>
        </w:rPr>
        <w:t>y from liquidation due to the fact that the knows he would subsequently be appointed as the liquidator and be paid again.</w:t>
      </w:r>
    </w:p>
    <w:p w14:paraId="6AB56F89" w14:textId="77777777" w:rsidR="009577CF" w:rsidRPr="009577CF" w:rsidRDefault="009577CF" w:rsidP="009577CF">
      <w:pPr>
        <w:jc w:val="both"/>
        <w:rPr>
          <w:rFonts w:ascii="Avenir Next" w:hAnsi="Avenir Next" w:cs="Arial"/>
          <w:color w:val="7B7B7B" w:themeColor="accent3" w:themeShade="BF"/>
          <w:sz w:val="22"/>
          <w:szCs w:val="22"/>
          <w:u w:val="single"/>
          <w:lang w:val="en-GB"/>
        </w:rPr>
      </w:pPr>
    </w:p>
    <w:p w14:paraId="1844E3D0" w14:textId="4DB11BB6" w:rsidR="00C40D10" w:rsidRPr="009577CF" w:rsidRDefault="00C40D10" w:rsidP="00C40D10">
      <w:pPr>
        <w:pStyle w:val="ListParagraph"/>
        <w:numPr>
          <w:ilvl w:val="0"/>
          <w:numId w:val="33"/>
        </w:numPr>
        <w:jc w:val="both"/>
        <w:rPr>
          <w:rFonts w:ascii="Avenir Next" w:hAnsi="Avenir Next" w:cs="Arial"/>
          <w:color w:val="7B7B7B" w:themeColor="accent3" w:themeShade="BF"/>
          <w:sz w:val="22"/>
          <w:szCs w:val="22"/>
          <w:u w:val="single"/>
          <w:lang w:val="en-GB"/>
        </w:rPr>
      </w:pPr>
      <w:r w:rsidRPr="009577CF">
        <w:rPr>
          <w:rFonts w:ascii="Avenir Next" w:hAnsi="Avenir Next" w:cs="Arial"/>
          <w:color w:val="7B7B7B" w:themeColor="accent3" w:themeShade="BF"/>
          <w:sz w:val="22"/>
          <w:szCs w:val="22"/>
          <w:u w:val="single"/>
          <w:lang w:val="en-GB"/>
        </w:rPr>
        <w:t>Secret monies and personal transactions with the company</w:t>
      </w:r>
    </w:p>
    <w:p w14:paraId="0AC81636" w14:textId="20A2B16E" w:rsidR="00132584" w:rsidRPr="002E7621" w:rsidRDefault="00132584" w:rsidP="002A37BB">
      <w:pPr>
        <w:jc w:val="both"/>
        <w:rPr>
          <w:rFonts w:ascii="Avenir Next" w:hAnsi="Avenir Next" w:cs="Arial"/>
          <w:sz w:val="22"/>
          <w:szCs w:val="22"/>
          <w:shd w:val="clear" w:color="auto" w:fill="FFFFFF"/>
        </w:rPr>
      </w:pPr>
    </w:p>
    <w:p w14:paraId="1C7D9551" w14:textId="1AC604C6" w:rsidR="004F7AAE" w:rsidRDefault="00814FB5" w:rsidP="00872DA6">
      <w:p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CIP stands as a fiduciary and as a fiduciary</w:t>
      </w:r>
      <w:r w:rsidR="00D55BD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he is not allowed to make a secret profit at the expenses of the beneficiaries, or place himself in a position where his personal interest or that of parties related to him, conflict with his duties.  Such situations may arise for example in cases where </w:t>
      </w:r>
      <w:r w:rsidR="007B2124">
        <w:rPr>
          <w:rFonts w:ascii="Avenir Next" w:hAnsi="Avenir Next" w:cs="Arial"/>
          <w:color w:val="7B7B7B" w:themeColor="accent3" w:themeShade="BF"/>
          <w:sz w:val="22"/>
          <w:szCs w:val="22"/>
          <w:lang w:val="en-GB"/>
        </w:rPr>
        <w:t xml:space="preserve"> the CIP or a friend or family wish to purchase assets belonging to the company. This would place the CIP on both sides of the contract, which may in return cause a strong suspicion that the practitioner is serving his own interests as opposed to that of the beneficiaries. </w:t>
      </w:r>
      <w:r w:rsidR="003C4443">
        <w:rPr>
          <w:rFonts w:ascii="Avenir Next" w:hAnsi="Avenir Next" w:cs="Arial"/>
          <w:color w:val="7B7B7B" w:themeColor="accent3" w:themeShade="BF"/>
          <w:sz w:val="22"/>
          <w:szCs w:val="22"/>
          <w:lang w:val="en-GB"/>
        </w:rPr>
        <w:t>As such, it is important for the practitioner to follow the procedural steps in respect of disclose and obtain the necessary informed consent where a jurisdiction allows transactions between the practitioner and the company.</w:t>
      </w:r>
    </w:p>
    <w:p w14:paraId="1B9D306D" w14:textId="77777777" w:rsidR="0084335F" w:rsidRDefault="0084335F" w:rsidP="00872DA6">
      <w:pPr>
        <w:ind w:left="1080"/>
        <w:jc w:val="both"/>
        <w:rPr>
          <w:rFonts w:ascii="Avenir Next" w:hAnsi="Avenir Next" w:cs="Arial"/>
          <w:color w:val="7B7B7B" w:themeColor="accent3" w:themeShade="BF"/>
          <w:sz w:val="22"/>
          <w:szCs w:val="22"/>
          <w:lang w:val="en-GB"/>
        </w:rPr>
      </w:pPr>
    </w:p>
    <w:p w14:paraId="4EEC3E27" w14:textId="638DA0DA" w:rsidR="0084335F" w:rsidRDefault="0084335F" w:rsidP="00872DA6">
      <w:p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case of Commonwealth Bank of Australia </w:t>
      </w:r>
      <w:r w:rsidR="00D744E1">
        <w:rPr>
          <w:rFonts w:ascii="Avenir Next" w:hAnsi="Avenir Next" w:cs="Arial"/>
          <w:color w:val="7B7B7B" w:themeColor="accent3" w:themeShade="BF"/>
          <w:sz w:val="22"/>
          <w:szCs w:val="22"/>
          <w:lang w:val="en-GB"/>
        </w:rPr>
        <w:t xml:space="preserve">v Irving [1996] 65 FCR 291, illustrates that even without actual bias, the existence of personal relationships with stakeholders can result in a perception of lack of independence. </w:t>
      </w:r>
      <w:bookmarkStart w:id="1" w:name="_Hlk141645019"/>
      <w:r w:rsidR="00D744E1">
        <w:rPr>
          <w:rFonts w:ascii="Avenir Next" w:hAnsi="Avenir Next" w:cs="Arial"/>
          <w:color w:val="7B7B7B" w:themeColor="accent3" w:themeShade="BF"/>
          <w:sz w:val="22"/>
          <w:szCs w:val="22"/>
          <w:lang w:val="en-GB"/>
        </w:rPr>
        <w:t xml:space="preserve">In this case the CIP (Mr Iriving) who was appointed as the administrator of the debtor company had known one of the former directors (Mr Townsend) of the debtor company for 16 years. Mr Tonwsend who is also a legal practitioner, had at numerous times acted as legal adviser to Mr Irving in his practice as a chartered accountant. Two of the company’s creditors sought to remove Mr Iriving as administrator due to lack of independence. This is despite the fact that Mr Irving had </w:t>
      </w:r>
      <w:r w:rsidR="00D744E1">
        <w:rPr>
          <w:rFonts w:ascii="Avenir Next" w:hAnsi="Avenir Next" w:cs="Arial"/>
          <w:color w:val="7B7B7B" w:themeColor="accent3" w:themeShade="BF"/>
          <w:sz w:val="22"/>
          <w:szCs w:val="22"/>
          <w:lang w:val="en-GB"/>
        </w:rPr>
        <w:lastRenderedPageBreak/>
        <w:t>disclosed his relationship with the directors and the company before taking the appointment and had stated that he believed that he would still be able to act in an independent manner.</w:t>
      </w:r>
      <w:r w:rsidR="000E7CB4">
        <w:rPr>
          <w:rFonts w:ascii="Avenir Next" w:hAnsi="Avenir Next" w:cs="Arial"/>
          <w:color w:val="7B7B7B" w:themeColor="accent3" w:themeShade="BF"/>
          <w:sz w:val="22"/>
          <w:szCs w:val="22"/>
          <w:lang w:val="en-GB"/>
        </w:rPr>
        <w:t xml:space="preserve"> </w:t>
      </w:r>
    </w:p>
    <w:p w14:paraId="252042ED" w14:textId="77777777" w:rsidR="000E7CB4" w:rsidRDefault="000E7CB4" w:rsidP="00872DA6">
      <w:pPr>
        <w:ind w:left="1080"/>
        <w:jc w:val="both"/>
        <w:rPr>
          <w:rFonts w:ascii="Avenir Next" w:hAnsi="Avenir Next" w:cs="Arial"/>
          <w:color w:val="7B7B7B" w:themeColor="accent3" w:themeShade="BF"/>
          <w:sz w:val="22"/>
          <w:szCs w:val="22"/>
          <w:lang w:val="en-GB"/>
        </w:rPr>
      </w:pPr>
    </w:p>
    <w:p w14:paraId="56FB4CAE" w14:textId="5A237776" w:rsidR="000E7CB4" w:rsidRDefault="000E7CB4" w:rsidP="00872DA6">
      <w:p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court noted that even though nobody had made any allegations against the propriety of Mr Irving’s conduct, the mere fact that he had a longstanding friendly relationship and professional relationship with Mr Townsend would create doubt with a fair-minded person that he would be able to perform hid duties in an independent manner. As such, the Court was of the view that Mr Irving should not continue to act as the administrator of the company.</w:t>
      </w:r>
    </w:p>
    <w:p w14:paraId="505D7453" w14:textId="77777777" w:rsidR="003C4443" w:rsidRPr="00872DA6" w:rsidRDefault="003C4443" w:rsidP="00872DA6">
      <w:pPr>
        <w:ind w:left="1080"/>
        <w:jc w:val="both"/>
        <w:rPr>
          <w:rFonts w:ascii="Avenir Next" w:hAnsi="Avenir Next" w:cs="Arial"/>
          <w:color w:val="7B7B7B" w:themeColor="accent3" w:themeShade="BF"/>
          <w:sz w:val="22"/>
          <w:szCs w:val="22"/>
          <w:lang w:val="en-GB"/>
        </w:rPr>
      </w:pPr>
    </w:p>
    <w:bookmarkEnd w:id="1"/>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WeBuild Ltd is a private company registered in Eurafriclia.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business. Mr B Inlaw, Dr I Dontcare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Inlaw and Dr I Dontcare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decline is the fact that several of the company’s employees have instituted a class action claim against WeBuild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to provide them with information and advice in relation to their options. Some of the shareholders recognised Mr Relation as Mr B Inlaw’s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Inlaw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 xml:space="preserve">ensuring that </w:t>
      </w:r>
      <w:bookmarkStart w:id="2" w:name="_Hlk141645438"/>
      <w:r w:rsidR="000A46AA" w:rsidRPr="002E7621">
        <w:rPr>
          <w:rFonts w:ascii="Avenir Next" w:hAnsi="Avenir Next" w:cs="Arial"/>
          <w:sz w:val="22"/>
          <w:szCs w:val="22"/>
          <w:lang w:val="en-GB"/>
        </w:rPr>
        <w:t>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Inlaw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bookmarkEnd w:id="2"/>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w:t>
      </w:r>
      <w:bookmarkStart w:id="3" w:name="_Hlk141645273"/>
      <w:r w:rsidRPr="002E7621">
        <w:rPr>
          <w:rFonts w:ascii="Avenir Next" w:hAnsi="Avenir Next" w:cs="Arial"/>
          <w:sz w:val="22"/>
          <w:szCs w:val="22"/>
          <w:lang w:val="en-GB"/>
        </w:rPr>
        <w:t>Mr Relation assures them that his fo</w:t>
      </w:r>
      <w:r w:rsidR="004D2C62" w:rsidRPr="002E7621">
        <w:rPr>
          <w:rFonts w:ascii="Avenir Next" w:hAnsi="Avenir Next" w:cs="Arial"/>
          <w:sz w:val="22"/>
          <w:szCs w:val="22"/>
          <w:lang w:val="en-GB"/>
        </w:rPr>
        <w:t>cus will not be on them but on trying to rescue the company.</w:t>
      </w:r>
    </w:p>
    <w:bookmarkEnd w:id="3"/>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w:t>
      </w:r>
      <w:bookmarkStart w:id="4" w:name="_Hlk141645332"/>
      <w:r w:rsidRPr="002E7621">
        <w:rPr>
          <w:rFonts w:ascii="Avenir Next" w:hAnsi="Avenir Next" w:cs="Arial"/>
          <w:sz w:val="22"/>
          <w:szCs w:val="22"/>
          <w:lang w:val="en-GB"/>
        </w:rPr>
        <w:t>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Inlaw regarding the company’s business and drafts a strategic plan for recovery based on his investigation and the reports he received. </w:t>
      </w:r>
    </w:p>
    <w:bookmarkEnd w:id="4"/>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lastRenderedPageBreak/>
        <w:t xml:space="preserve">At a meeting of creditors to consider the plan, Mr Relation states that he has found no evidence of any wrongdoing or maladministration by the company’s directors. </w:t>
      </w:r>
      <w:bookmarkStart w:id="5" w:name="_Hlk141645799"/>
      <w:r w:rsidRPr="002E7621">
        <w:rPr>
          <w:rFonts w:ascii="Avenir Next" w:hAnsi="Avenir Next" w:cs="Arial"/>
          <w:sz w:val="22"/>
          <w:szCs w:val="22"/>
          <w:lang w:val="en-GB"/>
        </w:rPr>
        <w:t>Mrs Keeneye,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bookmarkEnd w:id="5"/>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bookmarkStart w:id="6" w:name="_Hlk141646442"/>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WeBuild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bookmarkEnd w:id="6"/>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7" w:name="_Hlk17745211"/>
    </w:p>
    <w:p w14:paraId="776EC6F8" w14:textId="4FBD3D5E" w:rsidR="00F06972" w:rsidRDefault="00411FA3" w:rsidP="00F06972">
      <w:pPr>
        <w:jc w:val="both"/>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 xml:space="preserve">Firstly, there is </w:t>
      </w:r>
      <w:r w:rsidR="000331E3">
        <w:rPr>
          <w:rFonts w:ascii="Avenir Next" w:hAnsi="Avenir Next" w:cs="Arial"/>
          <w:color w:val="808080" w:themeColor="background1" w:themeShade="80"/>
          <w:sz w:val="22"/>
          <w:szCs w:val="22"/>
          <w:lang w:val="en-GB"/>
        </w:rPr>
        <w:t xml:space="preserve">a familiarity threat due to the </w:t>
      </w:r>
      <w:r w:rsidR="003D64C3">
        <w:rPr>
          <w:rFonts w:ascii="Avenir Next" w:hAnsi="Avenir Next" w:cs="Arial"/>
          <w:color w:val="808080" w:themeColor="background1" w:themeShade="80"/>
          <w:sz w:val="22"/>
          <w:szCs w:val="22"/>
          <w:lang w:val="en-GB"/>
        </w:rPr>
        <w:t xml:space="preserve">relationship </w:t>
      </w:r>
      <w:r w:rsidR="000331E3">
        <w:rPr>
          <w:rFonts w:ascii="Avenir Next" w:hAnsi="Avenir Next" w:cs="Arial"/>
          <w:color w:val="808080" w:themeColor="background1" w:themeShade="80"/>
          <w:sz w:val="22"/>
          <w:szCs w:val="22"/>
          <w:lang w:val="en-GB"/>
        </w:rPr>
        <w:t>between Mr Relation and</w:t>
      </w:r>
      <w:r w:rsidR="003D64C3">
        <w:rPr>
          <w:rFonts w:ascii="Avenir Next" w:hAnsi="Avenir Next" w:cs="Arial"/>
          <w:color w:val="808080" w:themeColor="background1" w:themeShade="80"/>
          <w:sz w:val="22"/>
          <w:szCs w:val="22"/>
          <w:lang w:val="en-GB"/>
        </w:rPr>
        <w:t xml:space="preserve"> MrB in Law. As the administrator Mr Relation should not allow himself to be placed in a position where the interest of parties related to him, here, Mr B in Law, conflict with his duties. This is similar to the case of Commonwealth Bank of Australia v Irving [1996] 65 FCR 291</w:t>
      </w:r>
      <w:r w:rsidR="00F06972">
        <w:rPr>
          <w:rFonts w:ascii="Avenir Next" w:hAnsi="Avenir Next" w:cs="Arial"/>
          <w:color w:val="808080" w:themeColor="background1" w:themeShade="80"/>
          <w:sz w:val="22"/>
          <w:szCs w:val="22"/>
          <w:lang w:val="en-GB"/>
        </w:rPr>
        <w:t xml:space="preserve"> which illustrates that even without any actual bias shown, personal relationships with stakeholders can result in a lack of independence due to the perception created thereby.</w:t>
      </w:r>
      <w:r w:rsidR="00F06972" w:rsidRPr="00F06972">
        <w:rPr>
          <w:rFonts w:ascii="Avenir Next" w:hAnsi="Avenir Next" w:cs="Arial"/>
          <w:color w:val="7B7B7B" w:themeColor="accent3" w:themeShade="BF"/>
          <w:sz w:val="22"/>
          <w:szCs w:val="22"/>
          <w:lang w:val="en-GB"/>
        </w:rPr>
        <w:t xml:space="preserve"> </w:t>
      </w:r>
      <w:r w:rsidR="00F06972">
        <w:rPr>
          <w:rFonts w:ascii="Avenir Next" w:hAnsi="Avenir Next" w:cs="Arial"/>
          <w:color w:val="7B7B7B" w:themeColor="accent3" w:themeShade="BF"/>
          <w:sz w:val="22"/>
          <w:szCs w:val="22"/>
          <w:lang w:val="en-GB"/>
        </w:rPr>
        <w:t xml:space="preserve">In this case the CIP (Mr Iriving) who was appointed as the administrator of the debtor company had known one of the former directors (Mr Townsend) of the debtor company for 16 years. Mr Tonwsend who is also a legal practitioner, had at numerous times acted as legal adviser to Mr Irving in his practice as a chartered accountant. Two of the company’s creditors sought to remove Mr Iriving as administrator due to lack of independence. This is </w:t>
      </w:r>
      <w:r w:rsidR="00F06972">
        <w:rPr>
          <w:rFonts w:ascii="Avenir Next" w:hAnsi="Avenir Next" w:cs="Arial"/>
          <w:color w:val="7B7B7B" w:themeColor="accent3" w:themeShade="BF"/>
          <w:sz w:val="22"/>
          <w:szCs w:val="22"/>
          <w:lang w:val="en-GB"/>
        </w:rPr>
        <w:t>notwithstanding the following facts:</w:t>
      </w:r>
    </w:p>
    <w:p w14:paraId="69DE7101" w14:textId="77777777" w:rsidR="00F06972" w:rsidRDefault="00F06972" w:rsidP="00F06972">
      <w:pPr>
        <w:jc w:val="both"/>
        <w:rPr>
          <w:rFonts w:ascii="Avenir Next" w:hAnsi="Avenir Next" w:cs="Arial"/>
          <w:color w:val="7B7B7B" w:themeColor="accent3" w:themeShade="BF"/>
          <w:sz w:val="22"/>
          <w:szCs w:val="22"/>
          <w:lang w:val="en-GB"/>
        </w:rPr>
      </w:pPr>
    </w:p>
    <w:p w14:paraId="63A46FED" w14:textId="018DD0E9" w:rsidR="00F06972" w:rsidRDefault="00F06972" w:rsidP="00F06972">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Mr Irving had </w:t>
      </w:r>
      <w:r w:rsidRPr="00F06972">
        <w:rPr>
          <w:rFonts w:ascii="Avenir Next" w:hAnsi="Avenir Next" w:cs="Arial"/>
          <w:color w:val="7B7B7B" w:themeColor="accent3" w:themeShade="BF"/>
          <w:sz w:val="22"/>
          <w:szCs w:val="22"/>
          <w:lang w:val="en-GB"/>
        </w:rPr>
        <w:t>disclosed his relationship with the directors and the company before taking the appointment</w:t>
      </w:r>
      <w:r>
        <w:rPr>
          <w:rFonts w:ascii="Avenir Next" w:hAnsi="Avenir Next" w:cs="Arial"/>
          <w:color w:val="7B7B7B" w:themeColor="accent3" w:themeShade="BF"/>
          <w:sz w:val="22"/>
          <w:szCs w:val="22"/>
          <w:lang w:val="en-GB"/>
        </w:rPr>
        <w:t xml:space="preserve"> and </w:t>
      </w:r>
      <w:r w:rsidRPr="00F06972">
        <w:rPr>
          <w:rFonts w:ascii="Avenir Next" w:hAnsi="Avenir Next" w:cs="Arial"/>
          <w:color w:val="7B7B7B" w:themeColor="accent3" w:themeShade="BF"/>
          <w:sz w:val="22"/>
          <w:szCs w:val="22"/>
          <w:lang w:val="en-GB"/>
        </w:rPr>
        <w:t>had stated that he believed that he would still be able to act in an independent manner</w:t>
      </w:r>
      <w:r>
        <w:rPr>
          <w:rFonts w:ascii="Avenir Next" w:hAnsi="Avenir Next" w:cs="Arial"/>
          <w:color w:val="7B7B7B" w:themeColor="accent3" w:themeShade="BF"/>
          <w:sz w:val="22"/>
          <w:szCs w:val="22"/>
          <w:lang w:val="en-GB"/>
        </w:rPr>
        <w:t>; and</w:t>
      </w:r>
    </w:p>
    <w:p w14:paraId="2165CD71" w14:textId="3EDCB76F" w:rsidR="00F06972" w:rsidRPr="00F06972" w:rsidRDefault="00F06972" w:rsidP="00F06972">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was no factual evidence of any impropriety by Mr Irving as administrator and no party had suggested anything to the contrary.</w:t>
      </w:r>
    </w:p>
    <w:p w14:paraId="3666C325" w14:textId="77777777" w:rsidR="00F06972" w:rsidRDefault="00F06972" w:rsidP="00F06972">
      <w:pPr>
        <w:ind w:left="1080"/>
        <w:jc w:val="both"/>
        <w:rPr>
          <w:rFonts w:ascii="Avenir Next" w:hAnsi="Avenir Next" w:cs="Arial"/>
          <w:color w:val="7B7B7B" w:themeColor="accent3" w:themeShade="BF"/>
          <w:sz w:val="22"/>
          <w:szCs w:val="22"/>
          <w:lang w:val="en-GB"/>
        </w:rPr>
      </w:pPr>
    </w:p>
    <w:p w14:paraId="1F59396F" w14:textId="77777777" w:rsidR="00F06972" w:rsidRDefault="00F06972" w:rsidP="00F0697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court noted that even though nobody had made any allegations against the propriety of Mr Irving’s conduct, the mere fact that he had a longstanding friendly relationship and professional relationship with Mr Townsend would create doubt with a fair-minded person that he would be able to perform hid duties in an independent manner. As such, the Court was of the view that Mr Irving should not continue to act as the administrator of the company.</w:t>
      </w:r>
    </w:p>
    <w:p w14:paraId="2B16A943" w14:textId="77777777" w:rsidR="00F06972" w:rsidRDefault="00F06972" w:rsidP="00F06972">
      <w:pPr>
        <w:jc w:val="both"/>
        <w:rPr>
          <w:rFonts w:ascii="Avenir Next" w:hAnsi="Avenir Next" w:cs="Arial"/>
          <w:color w:val="7B7B7B" w:themeColor="accent3" w:themeShade="BF"/>
          <w:sz w:val="22"/>
          <w:szCs w:val="22"/>
          <w:lang w:val="en-GB"/>
        </w:rPr>
      </w:pPr>
    </w:p>
    <w:p w14:paraId="7B3FE43F" w14:textId="680EB3A4" w:rsidR="00F06972" w:rsidRDefault="00F06972" w:rsidP="00F0697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It is worse in the present case as there is factual biasness</w:t>
      </w:r>
      <w:r w:rsidR="00135554">
        <w:rPr>
          <w:rFonts w:ascii="Avenir Next" w:hAnsi="Avenir Next" w:cs="Arial"/>
          <w:color w:val="7B7B7B" w:themeColor="accent3" w:themeShade="BF"/>
          <w:sz w:val="22"/>
          <w:szCs w:val="22"/>
          <w:lang w:val="en-GB"/>
        </w:rPr>
        <w:t xml:space="preserve"> due to the following:</w:t>
      </w:r>
    </w:p>
    <w:p w14:paraId="25F8C078" w14:textId="77777777" w:rsidR="00135554" w:rsidRDefault="00135554" w:rsidP="00F06972">
      <w:pPr>
        <w:jc w:val="both"/>
        <w:rPr>
          <w:rFonts w:ascii="Avenir Next" w:hAnsi="Avenir Next" w:cs="Arial"/>
          <w:color w:val="7B7B7B" w:themeColor="accent3" w:themeShade="BF"/>
          <w:sz w:val="22"/>
          <w:szCs w:val="22"/>
          <w:lang w:val="en-GB"/>
        </w:rPr>
      </w:pPr>
    </w:p>
    <w:p w14:paraId="56850494" w14:textId="23C62711" w:rsidR="00135554" w:rsidRDefault="00135554" w:rsidP="00135554">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Mr Relation had </w:t>
      </w:r>
      <w:r w:rsidRPr="00135554">
        <w:rPr>
          <w:rFonts w:ascii="Avenir Next" w:hAnsi="Avenir Next" w:cs="Arial"/>
          <w:color w:val="7B7B7B" w:themeColor="accent3" w:themeShade="BF"/>
          <w:sz w:val="22"/>
          <w:szCs w:val="22"/>
          <w:lang w:val="en-GB"/>
        </w:rPr>
        <w:t>Mr Relation assure</w:t>
      </w:r>
      <w:r>
        <w:rPr>
          <w:rFonts w:ascii="Avenir Next" w:hAnsi="Avenir Next" w:cs="Arial"/>
          <w:color w:val="7B7B7B" w:themeColor="accent3" w:themeShade="BF"/>
          <w:sz w:val="22"/>
          <w:szCs w:val="22"/>
          <w:lang w:val="en-GB"/>
        </w:rPr>
        <w:t>d</w:t>
      </w:r>
      <w:r w:rsidRPr="00135554">
        <w:rPr>
          <w:rFonts w:ascii="Avenir Next" w:hAnsi="Avenir Next" w:cs="Arial"/>
          <w:color w:val="7B7B7B" w:themeColor="accent3" w:themeShade="BF"/>
          <w:sz w:val="22"/>
          <w:szCs w:val="22"/>
          <w:lang w:val="en-GB"/>
        </w:rPr>
        <w:t xml:space="preserve"> th</w:t>
      </w:r>
      <w:r>
        <w:rPr>
          <w:rFonts w:ascii="Avenir Next" w:hAnsi="Avenir Next" w:cs="Arial"/>
          <w:color w:val="7B7B7B" w:themeColor="accent3" w:themeShade="BF"/>
          <w:sz w:val="22"/>
          <w:szCs w:val="22"/>
          <w:lang w:val="en-GB"/>
        </w:rPr>
        <w:t>e directors, including Mr B in Law,</w:t>
      </w:r>
      <w:r w:rsidRPr="00135554">
        <w:rPr>
          <w:rFonts w:ascii="Avenir Next" w:hAnsi="Avenir Next" w:cs="Arial"/>
          <w:color w:val="7B7B7B" w:themeColor="accent3" w:themeShade="BF"/>
          <w:sz w:val="22"/>
          <w:szCs w:val="22"/>
          <w:lang w:val="en-GB"/>
        </w:rPr>
        <w:t xml:space="preserve"> that his focus will not be on the</w:t>
      </w:r>
      <w:r>
        <w:rPr>
          <w:rFonts w:ascii="Avenir Next" w:hAnsi="Avenir Next" w:cs="Arial"/>
          <w:color w:val="7B7B7B" w:themeColor="accent3" w:themeShade="BF"/>
          <w:sz w:val="22"/>
          <w:szCs w:val="22"/>
          <w:lang w:val="en-GB"/>
        </w:rPr>
        <w:t xml:space="preserve"> directors, </w:t>
      </w:r>
      <w:r w:rsidRPr="00135554">
        <w:rPr>
          <w:rFonts w:ascii="Avenir Next" w:hAnsi="Avenir Next" w:cs="Arial"/>
          <w:color w:val="7B7B7B" w:themeColor="accent3" w:themeShade="BF"/>
          <w:sz w:val="22"/>
          <w:szCs w:val="22"/>
          <w:lang w:val="en-GB"/>
        </w:rPr>
        <w:t>but on trying to rescue the company.</w:t>
      </w:r>
    </w:p>
    <w:p w14:paraId="1127493E" w14:textId="77777777" w:rsidR="00135554" w:rsidRPr="00135554" w:rsidRDefault="00135554" w:rsidP="00135554">
      <w:pPr>
        <w:pStyle w:val="ListParagraph"/>
        <w:ind w:left="1080"/>
        <w:jc w:val="both"/>
        <w:rPr>
          <w:rFonts w:ascii="Avenir Next" w:hAnsi="Avenir Next" w:cs="Arial"/>
          <w:color w:val="7B7B7B" w:themeColor="accent3" w:themeShade="BF"/>
          <w:sz w:val="22"/>
          <w:szCs w:val="22"/>
          <w:lang w:val="en-GB"/>
        </w:rPr>
      </w:pPr>
    </w:p>
    <w:p w14:paraId="298F322E" w14:textId="258F3A97" w:rsidR="00135554" w:rsidRPr="00135554" w:rsidRDefault="00135554" w:rsidP="00135554">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to protect Mr B in Law, </w:t>
      </w:r>
      <w:r w:rsidRPr="00135554">
        <w:rPr>
          <w:rFonts w:ascii="Avenir Next" w:hAnsi="Avenir Next" w:cs="Arial"/>
          <w:color w:val="7B7B7B" w:themeColor="accent3" w:themeShade="BF"/>
          <w:sz w:val="22"/>
          <w:szCs w:val="22"/>
          <w:lang w:val="en-GB"/>
        </w:rPr>
        <w:t>Mr Relation conduct</w:t>
      </w:r>
      <w:r>
        <w:rPr>
          <w:rFonts w:ascii="Avenir Next" w:hAnsi="Avenir Next" w:cs="Arial"/>
          <w:color w:val="7B7B7B" w:themeColor="accent3" w:themeShade="BF"/>
          <w:sz w:val="22"/>
          <w:szCs w:val="22"/>
          <w:lang w:val="en-GB"/>
        </w:rPr>
        <w:t>ed</w:t>
      </w:r>
      <w:r w:rsidRPr="00135554">
        <w:rPr>
          <w:rFonts w:ascii="Avenir Next" w:hAnsi="Avenir Next" w:cs="Arial"/>
          <w:color w:val="7B7B7B" w:themeColor="accent3" w:themeShade="BF"/>
          <w:sz w:val="22"/>
          <w:szCs w:val="22"/>
          <w:lang w:val="en-GB"/>
        </w:rPr>
        <w:t xml:space="preserve"> a superficial investigation into the affairs of the company and the circumstances leading to the financial difficulties of the company. He relies on detailed reports drafted by Mr B Inlaw regarding the company’s business and drafts a strategic plan for recovery based on his investigation and the reports he received</w:t>
      </w:r>
      <w:r>
        <w:rPr>
          <w:rFonts w:ascii="Avenir Next" w:hAnsi="Avenir Next" w:cs="Arial"/>
          <w:color w:val="7B7B7B" w:themeColor="accent3" w:themeShade="BF"/>
          <w:sz w:val="22"/>
          <w:szCs w:val="22"/>
          <w:lang w:val="en-GB"/>
        </w:rPr>
        <w:t>, without exercising any independence.</w:t>
      </w:r>
    </w:p>
    <w:p w14:paraId="3BB07B05" w14:textId="480D8738" w:rsidR="00135554" w:rsidRPr="00135554" w:rsidRDefault="00135554" w:rsidP="00135554">
      <w:pPr>
        <w:pStyle w:val="ListParagraph"/>
        <w:ind w:left="1080"/>
        <w:rPr>
          <w:rFonts w:ascii="Avenir Next" w:hAnsi="Avenir Next" w:cs="Arial"/>
          <w:color w:val="7B7B7B" w:themeColor="accent3" w:themeShade="BF"/>
          <w:sz w:val="22"/>
          <w:szCs w:val="22"/>
          <w:lang w:val="en-GB"/>
        </w:rPr>
      </w:pPr>
    </w:p>
    <w:p w14:paraId="2C5E06AA" w14:textId="0FD37FAB" w:rsidR="00135554" w:rsidRDefault="00135554" w:rsidP="001355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Based on the case of </w:t>
      </w:r>
      <w:r>
        <w:rPr>
          <w:rFonts w:ascii="Avenir Next" w:hAnsi="Avenir Next" w:cs="Arial"/>
          <w:color w:val="808080" w:themeColor="background1" w:themeShade="80"/>
          <w:sz w:val="22"/>
          <w:szCs w:val="22"/>
          <w:lang w:val="en-GB"/>
        </w:rPr>
        <w:t>Commonwealth Bank of Australia v Irving [1996] 65 FCR 291</w:t>
      </w:r>
      <w:r>
        <w:rPr>
          <w:rFonts w:ascii="Avenir Next" w:hAnsi="Avenir Next" w:cs="Arial"/>
          <w:color w:val="808080" w:themeColor="background1" w:themeShade="80"/>
          <w:sz w:val="22"/>
          <w:szCs w:val="22"/>
          <w:lang w:val="en-GB"/>
        </w:rPr>
        <w:t xml:space="preserve">, it would appear that </w:t>
      </w:r>
      <w:r>
        <w:rPr>
          <w:rFonts w:ascii="Avenir Next" w:hAnsi="Avenir Next" w:cs="Arial"/>
          <w:color w:val="7B7B7B" w:themeColor="accent3" w:themeShade="BF"/>
          <w:sz w:val="22"/>
          <w:szCs w:val="22"/>
          <w:lang w:val="en-GB"/>
        </w:rPr>
        <w:t>the fact that Mr Relation will disclose</w:t>
      </w:r>
      <w:r w:rsidRPr="00135554">
        <w:rPr>
          <w:rFonts w:ascii="Avenir Next" w:hAnsi="Avenir Next" w:cs="Arial"/>
          <w:color w:val="7B7B7B" w:themeColor="accent3" w:themeShade="BF"/>
          <w:sz w:val="22"/>
          <w:szCs w:val="22"/>
          <w:lang w:val="en-GB"/>
        </w:rPr>
        <w:t xml:space="preserve"> his relationship with Mr B Inlaw and says that he will declare that he believes that he will still be able to act with the required independence and impartiality</w:t>
      </w:r>
      <w:r>
        <w:rPr>
          <w:rFonts w:ascii="Avenir Next" w:hAnsi="Avenir Next" w:cs="Arial"/>
          <w:color w:val="7B7B7B" w:themeColor="accent3" w:themeShade="BF"/>
          <w:sz w:val="22"/>
          <w:szCs w:val="22"/>
          <w:lang w:val="en-GB"/>
        </w:rPr>
        <w:t xml:space="preserve"> would not be sufficient. He is not fit to be an administrator of the company.</w:t>
      </w:r>
    </w:p>
    <w:p w14:paraId="3DA1F13C" w14:textId="77777777" w:rsidR="001B0D45" w:rsidRDefault="001B0D45" w:rsidP="00135554">
      <w:pPr>
        <w:jc w:val="both"/>
        <w:rPr>
          <w:rFonts w:ascii="Avenir Next" w:hAnsi="Avenir Next" w:cs="Arial"/>
          <w:color w:val="7B7B7B" w:themeColor="accent3" w:themeShade="BF"/>
          <w:sz w:val="22"/>
          <w:szCs w:val="22"/>
          <w:lang w:val="en-GB"/>
        </w:rPr>
      </w:pPr>
    </w:p>
    <w:p w14:paraId="40D93B92" w14:textId="77777777" w:rsidR="00A23812" w:rsidRDefault="001B0D45" w:rsidP="001B0D4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Secondly, there is the ethical issue of threat of advocacy. Threat of advocacy occurs in a situation in which a practitioner promotes a position or opinion to the point that subsequent objectivity may be compromised. For example, when the practitioner has acted on behalf of a significant creditor to advance such creditor’s position. In the present case, </w:t>
      </w:r>
      <w:r w:rsidR="00A23812">
        <w:rPr>
          <w:rFonts w:ascii="Avenir Next" w:hAnsi="Avenir Next" w:cs="Arial"/>
          <w:color w:val="7B7B7B" w:themeColor="accent3" w:themeShade="BF"/>
          <w:sz w:val="22"/>
          <w:szCs w:val="22"/>
          <w:lang w:val="en-GB"/>
        </w:rPr>
        <w:t xml:space="preserve">Mr Relation had previously </w:t>
      </w:r>
      <w:r w:rsidR="00A23812" w:rsidRPr="001B0D45">
        <w:rPr>
          <w:rFonts w:ascii="Avenir Next" w:hAnsi="Avenir Next" w:cs="Arial"/>
          <w:color w:val="7B7B7B" w:themeColor="accent3" w:themeShade="BF"/>
          <w:sz w:val="22"/>
          <w:szCs w:val="22"/>
          <w:lang w:val="en-GB"/>
        </w:rPr>
        <w:t>expressed the opinion that banks should be more accommodating in restructuring proceedings and that he thinks that the interests of lower ranking creditors should sometimes outweigh “big money”</w:t>
      </w:r>
      <w:r w:rsidR="00A23812">
        <w:rPr>
          <w:rFonts w:ascii="Avenir Next" w:hAnsi="Avenir Next" w:cs="Arial"/>
          <w:color w:val="7B7B7B" w:themeColor="accent3" w:themeShade="BF"/>
          <w:sz w:val="22"/>
          <w:szCs w:val="22"/>
          <w:lang w:val="en-GB"/>
        </w:rPr>
        <w:t xml:space="preserve"> such as financial institutions, in a television interview. Mr Relation has in fact promoted the interests of financial institutions and this suggests that his objectivity may be compromised. </w:t>
      </w:r>
    </w:p>
    <w:p w14:paraId="7071F84B" w14:textId="77777777" w:rsidR="00A23812" w:rsidRDefault="00A23812" w:rsidP="001B0D45">
      <w:pPr>
        <w:jc w:val="both"/>
        <w:rPr>
          <w:rFonts w:ascii="Avenir Next" w:hAnsi="Avenir Next" w:cs="Arial"/>
          <w:color w:val="7B7B7B" w:themeColor="accent3" w:themeShade="BF"/>
          <w:sz w:val="22"/>
          <w:szCs w:val="22"/>
          <w:lang w:val="en-GB"/>
        </w:rPr>
      </w:pPr>
    </w:p>
    <w:p w14:paraId="24D0879A" w14:textId="1AC2A356" w:rsidR="00120501" w:rsidRDefault="00A23812" w:rsidP="0012050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Third, </w:t>
      </w:r>
      <w:r w:rsidR="00120501">
        <w:rPr>
          <w:rFonts w:ascii="Avenir Next" w:hAnsi="Avenir Next" w:cs="Arial"/>
          <w:color w:val="7B7B7B" w:themeColor="accent3" w:themeShade="BF"/>
          <w:sz w:val="22"/>
          <w:szCs w:val="22"/>
          <w:lang w:val="en-GB"/>
        </w:rPr>
        <w:t xml:space="preserve">there is also the issue of confidentiality. An insolvency practitioner must maintain confidentiality, including in a social environment, being alert to the possibility of inadvertent disclosure, particularly to a close business associate or a close or immediate family member. In this case, </w:t>
      </w:r>
      <w:r w:rsidR="001B0D45" w:rsidRPr="001B0D45">
        <w:rPr>
          <w:rFonts w:ascii="Avenir Next" w:hAnsi="Avenir Next" w:cs="Arial"/>
          <w:color w:val="7B7B7B" w:themeColor="accent3" w:themeShade="BF"/>
          <w:sz w:val="22"/>
          <w:szCs w:val="22"/>
          <w:lang w:val="en-GB"/>
        </w:rPr>
        <w:t xml:space="preserve"> </w:t>
      </w:r>
      <w:r w:rsidR="00120501" w:rsidRPr="00120501">
        <w:rPr>
          <w:rFonts w:ascii="Avenir Next" w:hAnsi="Avenir Next" w:cs="Arial"/>
          <w:color w:val="7B7B7B" w:themeColor="accent3" w:themeShade="BF"/>
          <w:sz w:val="22"/>
          <w:szCs w:val="22"/>
          <w:lang w:val="en-GB"/>
        </w:rPr>
        <w:t>Mr Relation’s firm has been implementing a work-from-home arrangement for employees, and his secretary and associate have several sensitive documents pertaining to WeBuild Ltd in their possession and on their personal computers at home.</w:t>
      </w:r>
      <w:r w:rsidR="00120501">
        <w:rPr>
          <w:rFonts w:ascii="Avenir Next" w:hAnsi="Avenir Next" w:cs="Arial"/>
          <w:color w:val="7B7B7B" w:themeColor="accent3" w:themeShade="BF"/>
          <w:sz w:val="22"/>
          <w:szCs w:val="22"/>
          <w:lang w:val="en-GB"/>
        </w:rPr>
        <w:t xml:space="preserve"> It is imperative that Mr Relation and/or his firm take steps to ensure that their compliance with the duty in relation to confidentiality remains intact and that their rick management procedures in this regard remain robust.</w:t>
      </w:r>
    </w:p>
    <w:p w14:paraId="12D787E1" w14:textId="77777777" w:rsidR="00F2583D" w:rsidRDefault="00F2583D" w:rsidP="00120501">
      <w:pPr>
        <w:jc w:val="both"/>
        <w:rPr>
          <w:rFonts w:ascii="Avenir Next" w:hAnsi="Avenir Next" w:cs="Arial"/>
          <w:color w:val="7B7B7B" w:themeColor="accent3" w:themeShade="BF"/>
          <w:sz w:val="22"/>
          <w:szCs w:val="22"/>
          <w:lang w:val="en-GB"/>
        </w:rPr>
      </w:pPr>
    </w:p>
    <w:p w14:paraId="01F44AF1" w14:textId="1F3DB908" w:rsidR="00F2583D" w:rsidRPr="00120501" w:rsidRDefault="00F2583D" w:rsidP="0012050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issues highlighted above are all ethical issues as they relate to rules </w:t>
      </w:r>
      <w:r>
        <w:rPr>
          <w:rFonts w:ascii="Avenir Next" w:hAnsi="Avenir Next" w:cs="Arial"/>
          <w:color w:val="7B7B7B" w:themeColor="accent3" w:themeShade="BF"/>
          <w:sz w:val="22"/>
          <w:szCs w:val="22"/>
          <w:lang w:val="en-GB"/>
        </w:rPr>
        <w:t xml:space="preserve"> that are regarded as correct behaviours </w:t>
      </w:r>
      <w:r>
        <w:rPr>
          <w:rFonts w:ascii="Avenir Next" w:hAnsi="Avenir Next" w:cs="Arial"/>
          <w:color w:val="7B7B7B" w:themeColor="accent3" w:themeShade="BF"/>
          <w:sz w:val="22"/>
          <w:szCs w:val="22"/>
          <w:lang w:val="en-GB"/>
        </w:rPr>
        <w:t>of all insolvency practitioners as opposed to subjective moral values.</w:t>
      </w:r>
    </w:p>
    <w:p w14:paraId="1318D809" w14:textId="6EEEDD0F" w:rsidR="001B0D45" w:rsidRPr="001B0D45" w:rsidRDefault="001B0D45" w:rsidP="001B0D45">
      <w:pPr>
        <w:jc w:val="both"/>
        <w:rPr>
          <w:rFonts w:ascii="Avenir Next" w:hAnsi="Avenir Next" w:cs="Arial"/>
          <w:color w:val="7B7B7B" w:themeColor="accent3" w:themeShade="BF"/>
          <w:sz w:val="22"/>
          <w:szCs w:val="22"/>
          <w:lang w:val="en-GB"/>
        </w:rPr>
      </w:pPr>
    </w:p>
    <w:p w14:paraId="729E6C8C" w14:textId="3B248A71" w:rsidR="001B0D45" w:rsidRPr="00135554" w:rsidRDefault="001B0D45" w:rsidP="00135554">
      <w:pPr>
        <w:jc w:val="both"/>
        <w:rPr>
          <w:rFonts w:ascii="Avenir Next" w:hAnsi="Avenir Next" w:cs="Arial"/>
          <w:color w:val="7B7B7B" w:themeColor="accent3" w:themeShade="BF"/>
          <w:sz w:val="22"/>
          <w:szCs w:val="22"/>
          <w:lang w:val="en-GB"/>
        </w:rPr>
      </w:pPr>
    </w:p>
    <w:p w14:paraId="3CFD2CBE" w14:textId="2E328246" w:rsidR="00F06972" w:rsidRPr="00872DA6" w:rsidRDefault="00F06972" w:rsidP="00135554">
      <w:pPr>
        <w:jc w:val="both"/>
        <w:rPr>
          <w:rFonts w:ascii="Avenir Next" w:hAnsi="Avenir Next" w:cs="Arial"/>
          <w:color w:val="7B7B7B" w:themeColor="accent3" w:themeShade="BF"/>
          <w:sz w:val="22"/>
          <w:szCs w:val="22"/>
          <w:lang w:val="en-GB"/>
        </w:rPr>
      </w:pPr>
    </w:p>
    <w:p w14:paraId="626FA5C6" w14:textId="57AA518F" w:rsidR="002D3473" w:rsidRPr="002E7621" w:rsidRDefault="002D3473" w:rsidP="00087F21">
      <w:pPr>
        <w:autoSpaceDE w:val="0"/>
        <w:autoSpaceDN w:val="0"/>
        <w:adjustRightInd w:val="0"/>
        <w:jc w:val="both"/>
        <w:rPr>
          <w:rFonts w:ascii="Avenir Next" w:hAnsi="Avenir Next" w:cs="Arial"/>
          <w:color w:val="808080" w:themeColor="background1" w:themeShade="80"/>
          <w:sz w:val="22"/>
          <w:szCs w:val="22"/>
          <w:lang w:val="en-GB"/>
        </w:rPr>
      </w:pPr>
    </w:p>
    <w:p w14:paraId="1B5E2F08" w14:textId="43AA2127" w:rsidR="002D3473" w:rsidRPr="002E7621" w:rsidRDefault="002D3473" w:rsidP="00087F21">
      <w:pPr>
        <w:autoSpaceDE w:val="0"/>
        <w:autoSpaceDN w:val="0"/>
        <w:adjustRightInd w:val="0"/>
        <w:jc w:val="both"/>
        <w:rPr>
          <w:rFonts w:ascii="Avenir Next" w:hAnsi="Avenir Next" w:cs="Arial"/>
          <w:sz w:val="22"/>
          <w:szCs w:val="22"/>
          <w:lang w:val="en-GB"/>
        </w:rPr>
      </w:pPr>
    </w:p>
    <w:p w14:paraId="70C6A8B6" w14:textId="1261BD9D" w:rsidR="00126A4D" w:rsidRPr="002E7621" w:rsidRDefault="00126A4D" w:rsidP="00087F21">
      <w:pPr>
        <w:autoSpaceDE w:val="0"/>
        <w:autoSpaceDN w:val="0"/>
        <w:adjustRightInd w:val="0"/>
        <w:jc w:val="both"/>
        <w:rPr>
          <w:rFonts w:ascii="Avenir Next" w:hAnsi="Avenir Next" w:cs="Arial"/>
          <w:sz w:val="22"/>
          <w:szCs w:val="22"/>
          <w:lang w:val="en-GB"/>
        </w:rPr>
      </w:pPr>
    </w:p>
    <w:bookmarkEnd w:id="7"/>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8C37" w14:textId="77777777" w:rsidR="00A67F08" w:rsidRDefault="00A67F08" w:rsidP="00241B44">
      <w:r>
        <w:separator/>
      </w:r>
    </w:p>
  </w:endnote>
  <w:endnote w:type="continuationSeparator" w:id="0">
    <w:p w14:paraId="6726B52C" w14:textId="77777777" w:rsidR="00A67F08" w:rsidRDefault="00A67F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828E345" w:rsidR="00241FA3" w:rsidRPr="009B4976" w:rsidRDefault="002525C4" w:rsidP="009B4976">
    <w:pPr>
      <w:pStyle w:val="Footer"/>
      <w:ind w:right="360"/>
      <w:rPr>
        <w:rFonts w:ascii="Arial" w:hAnsi="Arial" w:cs="Arial"/>
        <w:sz w:val="18"/>
        <w:szCs w:val="18"/>
        <w:lang w:val="en-GB"/>
      </w:rPr>
    </w:pPr>
    <w:r w:rsidRPr="002525C4">
      <w:rPr>
        <w:rFonts w:ascii="Arial" w:hAnsi="Arial" w:cs="Arial"/>
        <w:sz w:val="18"/>
        <w:szCs w:val="18"/>
        <w:lang w:val="en-GB"/>
      </w:rPr>
      <w:t>202223-932</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6CB4" w14:textId="77777777" w:rsidR="00A67F08" w:rsidRDefault="00A67F08" w:rsidP="00241B44">
      <w:r>
        <w:separator/>
      </w:r>
    </w:p>
  </w:footnote>
  <w:footnote w:type="continuationSeparator" w:id="0">
    <w:p w14:paraId="1F0BD164" w14:textId="77777777" w:rsidR="00A67F08" w:rsidRDefault="00A67F0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90226"/>
    <w:multiLevelType w:val="hybridMultilevel"/>
    <w:tmpl w:val="49245A3E"/>
    <w:lvl w:ilvl="0" w:tplc="C5029B74">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3"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562B43"/>
    <w:multiLevelType w:val="hybridMultilevel"/>
    <w:tmpl w:val="41E42138"/>
    <w:lvl w:ilvl="0" w:tplc="47005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0074A9"/>
    <w:multiLevelType w:val="hybridMultilevel"/>
    <w:tmpl w:val="36CC880C"/>
    <w:lvl w:ilvl="0" w:tplc="E06C2F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6"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3F7AB5"/>
    <w:multiLevelType w:val="hybridMultilevel"/>
    <w:tmpl w:val="6D6AF360"/>
    <w:lvl w:ilvl="0" w:tplc="2FBEDDAA">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5638734">
    <w:abstractNumId w:val="14"/>
  </w:num>
  <w:num w:numId="2" w16cid:durableId="1415317057">
    <w:abstractNumId w:val="10"/>
  </w:num>
  <w:num w:numId="3" w16cid:durableId="610280220">
    <w:abstractNumId w:val="20"/>
  </w:num>
  <w:num w:numId="4" w16cid:durableId="151676548">
    <w:abstractNumId w:val="18"/>
  </w:num>
  <w:num w:numId="5" w16cid:durableId="332758564">
    <w:abstractNumId w:val="32"/>
  </w:num>
  <w:num w:numId="6" w16cid:durableId="1595284072">
    <w:abstractNumId w:val="33"/>
  </w:num>
  <w:num w:numId="7" w16cid:durableId="679965497">
    <w:abstractNumId w:val="34"/>
  </w:num>
  <w:num w:numId="8" w16cid:durableId="320084717">
    <w:abstractNumId w:val="29"/>
  </w:num>
  <w:num w:numId="9" w16cid:durableId="1366446633">
    <w:abstractNumId w:val="21"/>
  </w:num>
  <w:num w:numId="10" w16cid:durableId="1023820424">
    <w:abstractNumId w:val="3"/>
  </w:num>
  <w:num w:numId="11" w16cid:durableId="506333586">
    <w:abstractNumId w:val="13"/>
  </w:num>
  <w:num w:numId="12" w16cid:durableId="1594435174">
    <w:abstractNumId w:val="11"/>
  </w:num>
  <w:num w:numId="13" w16cid:durableId="1954899746">
    <w:abstractNumId w:val="28"/>
  </w:num>
  <w:num w:numId="14" w16cid:durableId="1301156257">
    <w:abstractNumId w:val="2"/>
  </w:num>
  <w:num w:numId="15" w16cid:durableId="681588927">
    <w:abstractNumId w:val="17"/>
  </w:num>
  <w:num w:numId="16" w16cid:durableId="669523848">
    <w:abstractNumId w:val="24"/>
  </w:num>
  <w:num w:numId="17" w16cid:durableId="230240291">
    <w:abstractNumId w:val="0"/>
  </w:num>
  <w:num w:numId="18" w16cid:durableId="1528518202">
    <w:abstractNumId w:val="30"/>
  </w:num>
  <w:num w:numId="19" w16cid:durableId="130252361">
    <w:abstractNumId w:val="22"/>
  </w:num>
  <w:num w:numId="20" w16cid:durableId="800152768">
    <w:abstractNumId w:val="1"/>
  </w:num>
  <w:num w:numId="21" w16cid:durableId="367729254">
    <w:abstractNumId w:val="8"/>
  </w:num>
  <w:num w:numId="22" w16cid:durableId="2072726948">
    <w:abstractNumId w:val="4"/>
  </w:num>
  <w:num w:numId="23" w16cid:durableId="729302221">
    <w:abstractNumId w:val="6"/>
  </w:num>
  <w:num w:numId="24" w16cid:durableId="749931358">
    <w:abstractNumId w:val="16"/>
  </w:num>
  <w:num w:numId="25" w16cid:durableId="1512909369">
    <w:abstractNumId w:val="12"/>
  </w:num>
  <w:num w:numId="26" w16cid:durableId="1722707821">
    <w:abstractNumId w:val="5"/>
  </w:num>
  <w:num w:numId="27" w16cid:durableId="679283500">
    <w:abstractNumId w:val="15"/>
  </w:num>
  <w:num w:numId="28" w16cid:durableId="1623683473">
    <w:abstractNumId w:val="26"/>
  </w:num>
  <w:num w:numId="29" w16cid:durableId="1131093103">
    <w:abstractNumId w:val="27"/>
  </w:num>
  <w:num w:numId="30" w16cid:durableId="1520854230">
    <w:abstractNumId w:val="9"/>
  </w:num>
  <w:num w:numId="31" w16cid:durableId="2074346504">
    <w:abstractNumId w:val="25"/>
  </w:num>
  <w:num w:numId="32" w16cid:durableId="1902983397">
    <w:abstractNumId w:val="7"/>
  </w:num>
  <w:num w:numId="33" w16cid:durableId="285545570">
    <w:abstractNumId w:val="31"/>
  </w:num>
  <w:num w:numId="34" w16cid:durableId="1651515253">
    <w:abstractNumId w:val="23"/>
  </w:num>
  <w:num w:numId="35" w16cid:durableId="236914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086"/>
    <w:rsid w:val="00002FCA"/>
    <w:rsid w:val="00007BF3"/>
    <w:rsid w:val="00010BA0"/>
    <w:rsid w:val="00011067"/>
    <w:rsid w:val="0001695C"/>
    <w:rsid w:val="00020557"/>
    <w:rsid w:val="00021FC2"/>
    <w:rsid w:val="000250C7"/>
    <w:rsid w:val="00026B8E"/>
    <w:rsid w:val="00026F16"/>
    <w:rsid w:val="000331E3"/>
    <w:rsid w:val="00037621"/>
    <w:rsid w:val="00044D46"/>
    <w:rsid w:val="00045088"/>
    <w:rsid w:val="00045904"/>
    <w:rsid w:val="00047A13"/>
    <w:rsid w:val="000502FD"/>
    <w:rsid w:val="00065166"/>
    <w:rsid w:val="000756F8"/>
    <w:rsid w:val="00076A9F"/>
    <w:rsid w:val="00080A6C"/>
    <w:rsid w:val="00081EC8"/>
    <w:rsid w:val="00082609"/>
    <w:rsid w:val="000851CC"/>
    <w:rsid w:val="00087F21"/>
    <w:rsid w:val="00093BE8"/>
    <w:rsid w:val="00097ABD"/>
    <w:rsid w:val="000A407B"/>
    <w:rsid w:val="000A46AA"/>
    <w:rsid w:val="000A68ED"/>
    <w:rsid w:val="000B14BB"/>
    <w:rsid w:val="000B5FF1"/>
    <w:rsid w:val="000B609F"/>
    <w:rsid w:val="000D55A8"/>
    <w:rsid w:val="000E4841"/>
    <w:rsid w:val="000E55FD"/>
    <w:rsid w:val="000E7CB4"/>
    <w:rsid w:val="000F1677"/>
    <w:rsid w:val="000F3D6C"/>
    <w:rsid w:val="000F4603"/>
    <w:rsid w:val="00101707"/>
    <w:rsid w:val="00102CC9"/>
    <w:rsid w:val="0010593A"/>
    <w:rsid w:val="0011473D"/>
    <w:rsid w:val="00115C85"/>
    <w:rsid w:val="00120501"/>
    <w:rsid w:val="00123855"/>
    <w:rsid w:val="00126A4D"/>
    <w:rsid w:val="00132584"/>
    <w:rsid w:val="00133160"/>
    <w:rsid w:val="00135554"/>
    <w:rsid w:val="0014171F"/>
    <w:rsid w:val="00143008"/>
    <w:rsid w:val="00144669"/>
    <w:rsid w:val="0014622C"/>
    <w:rsid w:val="001478F8"/>
    <w:rsid w:val="00152348"/>
    <w:rsid w:val="0015456D"/>
    <w:rsid w:val="00155FA2"/>
    <w:rsid w:val="00161F1B"/>
    <w:rsid w:val="00162829"/>
    <w:rsid w:val="001769B0"/>
    <w:rsid w:val="00180548"/>
    <w:rsid w:val="00180AC4"/>
    <w:rsid w:val="00180CCE"/>
    <w:rsid w:val="0018267A"/>
    <w:rsid w:val="00182779"/>
    <w:rsid w:val="001830DF"/>
    <w:rsid w:val="001966D9"/>
    <w:rsid w:val="001A007A"/>
    <w:rsid w:val="001A7E9A"/>
    <w:rsid w:val="001B0D45"/>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141AF"/>
    <w:rsid w:val="0022120D"/>
    <w:rsid w:val="002356EA"/>
    <w:rsid w:val="0024116D"/>
    <w:rsid w:val="00241B44"/>
    <w:rsid w:val="00241FA3"/>
    <w:rsid w:val="00245EFB"/>
    <w:rsid w:val="002460B1"/>
    <w:rsid w:val="002525C4"/>
    <w:rsid w:val="0025386E"/>
    <w:rsid w:val="002577C4"/>
    <w:rsid w:val="002638B0"/>
    <w:rsid w:val="0026647A"/>
    <w:rsid w:val="002668B4"/>
    <w:rsid w:val="002668D3"/>
    <w:rsid w:val="0027299F"/>
    <w:rsid w:val="00284EBE"/>
    <w:rsid w:val="0028692A"/>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E5175"/>
    <w:rsid w:val="002E7621"/>
    <w:rsid w:val="002E762B"/>
    <w:rsid w:val="002F1956"/>
    <w:rsid w:val="002F3440"/>
    <w:rsid w:val="002F75A3"/>
    <w:rsid w:val="00303C2F"/>
    <w:rsid w:val="00307854"/>
    <w:rsid w:val="003144EF"/>
    <w:rsid w:val="00326292"/>
    <w:rsid w:val="00326415"/>
    <w:rsid w:val="00326FDE"/>
    <w:rsid w:val="00330937"/>
    <w:rsid w:val="00330F31"/>
    <w:rsid w:val="00334648"/>
    <w:rsid w:val="0033768C"/>
    <w:rsid w:val="00337938"/>
    <w:rsid w:val="00337D3E"/>
    <w:rsid w:val="00340769"/>
    <w:rsid w:val="00341AA6"/>
    <w:rsid w:val="00361A0A"/>
    <w:rsid w:val="00364836"/>
    <w:rsid w:val="0036565C"/>
    <w:rsid w:val="0036625E"/>
    <w:rsid w:val="0037465A"/>
    <w:rsid w:val="00382C98"/>
    <w:rsid w:val="0038533C"/>
    <w:rsid w:val="00386568"/>
    <w:rsid w:val="00390B57"/>
    <w:rsid w:val="00391384"/>
    <w:rsid w:val="00393D37"/>
    <w:rsid w:val="003948D5"/>
    <w:rsid w:val="00396821"/>
    <w:rsid w:val="00397D3A"/>
    <w:rsid w:val="003A051E"/>
    <w:rsid w:val="003A29B7"/>
    <w:rsid w:val="003B170F"/>
    <w:rsid w:val="003B3C5F"/>
    <w:rsid w:val="003C4443"/>
    <w:rsid w:val="003C4471"/>
    <w:rsid w:val="003D0A6D"/>
    <w:rsid w:val="003D64C3"/>
    <w:rsid w:val="003E0B16"/>
    <w:rsid w:val="003E67D1"/>
    <w:rsid w:val="003F110B"/>
    <w:rsid w:val="00403FEE"/>
    <w:rsid w:val="00404329"/>
    <w:rsid w:val="00405DC1"/>
    <w:rsid w:val="00411FA3"/>
    <w:rsid w:val="00415F1F"/>
    <w:rsid w:val="004175C5"/>
    <w:rsid w:val="0042108F"/>
    <w:rsid w:val="0042466C"/>
    <w:rsid w:val="00430FED"/>
    <w:rsid w:val="00434A8C"/>
    <w:rsid w:val="00437297"/>
    <w:rsid w:val="00444284"/>
    <w:rsid w:val="00445CE6"/>
    <w:rsid w:val="00452C6A"/>
    <w:rsid w:val="004534C2"/>
    <w:rsid w:val="0045446F"/>
    <w:rsid w:val="0045683E"/>
    <w:rsid w:val="00476D8C"/>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E79E2"/>
    <w:rsid w:val="004F070C"/>
    <w:rsid w:val="004F50CD"/>
    <w:rsid w:val="004F5FDF"/>
    <w:rsid w:val="004F7AAE"/>
    <w:rsid w:val="00501270"/>
    <w:rsid w:val="005177FE"/>
    <w:rsid w:val="0052263B"/>
    <w:rsid w:val="00524728"/>
    <w:rsid w:val="005327A3"/>
    <w:rsid w:val="005331CA"/>
    <w:rsid w:val="00537970"/>
    <w:rsid w:val="00540E3A"/>
    <w:rsid w:val="00544127"/>
    <w:rsid w:val="005463A9"/>
    <w:rsid w:val="00553EB2"/>
    <w:rsid w:val="00560534"/>
    <w:rsid w:val="00562E8E"/>
    <w:rsid w:val="0056391B"/>
    <w:rsid w:val="005650E2"/>
    <w:rsid w:val="00567AD7"/>
    <w:rsid w:val="00575B2D"/>
    <w:rsid w:val="005833D0"/>
    <w:rsid w:val="005846F3"/>
    <w:rsid w:val="0058622F"/>
    <w:rsid w:val="00590B0C"/>
    <w:rsid w:val="00592F82"/>
    <w:rsid w:val="005A0CCA"/>
    <w:rsid w:val="005A3298"/>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017A"/>
    <w:rsid w:val="00641515"/>
    <w:rsid w:val="00651652"/>
    <w:rsid w:val="00654C2F"/>
    <w:rsid w:val="00657087"/>
    <w:rsid w:val="006639DB"/>
    <w:rsid w:val="006661EF"/>
    <w:rsid w:val="00677AEB"/>
    <w:rsid w:val="00680EF2"/>
    <w:rsid w:val="00687A1D"/>
    <w:rsid w:val="00693A37"/>
    <w:rsid w:val="00697EA1"/>
    <w:rsid w:val="006A1258"/>
    <w:rsid w:val="006A2646"/>
    <w:rsid w:val="006A6530"/>
    <w:rsid w:val="006B435A"/>
    <w:rsid w:val="006B4C64"/>
    <w:rsid w:val="006D6BD5"/>
    <w:rsid w:val="006E481A"/>
    <w:rsid w:val="006E5298"/>
    <w:rsid w:val="006E5663"/>
    <w:rsid w:val="006F450E"/>
    <w:rsid w:val="006F4A78"/>
    <w:rsid w:val="006F734A"/>
    <w:rsid w:val="00700D83"/>
    <w:rsid w:val="00701CCC"/>
    <w:rsid w:val="00704852"/>
    <w:rsid w:val="007074E9"/>
    <w:rsid w:val="00713DA4"/>
    <w:rsid w:val="00714BF1"/>
    <w:rsid w:val="007205B5"/>
    <w:rsid w:val="00721383"/>
    <w:rsid w:val="0073158B"/>
    <w:rsid w:val="007333CC"/>
    <w:rsid w:val="0073399A"/>
    <w:rsid w:val="00740DAD"/>
    <w:rsid w:val="007425B0"/>
    <w:rsid w:val="00746EEE"/>
    <w:rsid w:val="007603F5"/>
    <w:rsid w:val="00764DB0"/>
    <w:rsid w:val="0076764D"/>
    <w:rsid w:val="0077498C"/>
    <w:rsid w:val="007809BC"/>
    <w:rsid w:val="00784128"/>
    <w:rsid w:val="00787BCC"/>
    <w:rsid w:val="00793173"/>
    <w:rsid w:val="00794A92"/>
    <w:rsid w:val="00795762"/>
    <w:rsid w:val="007A2A33"/>
    <w:rsid w:val="007B2124"/>
    <w:rsid w:val="007B5C89"/>
    <w:rsid w:val="007C1FCC"/>
    <w:rsid w:val="007C3E7F"/>
    <w:rsid w:val="007C6201"/>
    <w:rsid w:val="007C7D7E"/>
    <w:rsid w:val="007D7C92"/>
    <w:rsid w:val="007E1154"/>
    <w:rsid w:val="007E6BA4"/>
    <w:rsid w:val="007F41F8"/>
    <w:rsid w:val="007F659B"/>
    <w:rsid w:val="0080454E"/>
    <w:rsid w:val="00804C32"/>
    <w:rsid w:val="00806302"/>
    <w:rsid w:val="008063DF"/>
    <w:rsid w:val="00807119"/>
    <w:rsid w:val="00814FB5"/>
    <w:rsid w:val="00815328"/>
    <w:rsid w:val="0082483F"/>
    <w:rsid w:val="008279C0"/>
    <w:rsid w:val="00841D99"/>
    <w:rsid w:val="0084335F"/>
    <w:rsid w:val="008555F6"/>
    <w:rsid w:val="00866F29"/>
    <w:rsid w:val="00867701"/>
    <w:rsid w:val="008723F3"/>
    <w:rsid w:val="00872DA6"/>
    <w:rsid w:val="00876F56"/>
    <w:rsid w:val="00881DE6"/>
    <w:rsid w:val="008837A6"/>
    <w:rsid w:val="0089145D"/>
    <w:rsid w:val="0089154C"/>
    <w:rsid w:val="00896196"/>
    <w:rsid w:val="00897AA5"/>
    <w:rsid w:val="008A4DF2"/>
    <w:rsid w:val="008A6CFE"/>
    <w:rsid w:val="008B261C"/>
    <w:rsid w:val="008B2B0F"/>
    <w:rsid w:val="008B5333"/>
    <w:rsid w:val="008B6223"/>
    <w:rsid w:val="008C4CD6"/>
    <w:rsid w:val="008C66E0"/>
    <w:rsid w:val="008C6825"/>
    <w:rsid w:val="008E1511"/>
    <w:rsid w:val="008E3339"/>
    <w:rsid w:val="008E7E16"/>
    <w:rsid w:val="008F20FC"/>
    <w:rsid w:val="008F5FFE"/>
    <w:rsid w:val="00905A43"/>
    <w:rsid w:val="00912C79"/>
    <w:rsid w:val="00920BED"/>
    <w:rsid w:val="00921B8C"/>
    <w:rsid w:val="00942123"/>
    <w:rsid w:val="0095207B"/>
    <w:rsid w:val="009577CF"/>
    <w:rsid w:val="00962045"/>
    <w:rsid w:val="00965BC5"/>
    <w:rsid w:val="00976D3C"/>
    <w:rsid w:val="00980E61"/>
    <w:rsid w:val="00980FFC"/>
    <w:rsid w:val="00991428"/>
    <w:rsid w:val="00992676"/>
    <w:rsid w:val="009954B2"/>
    <w:rsid w:val="00995961"/>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151AB"/>
    <w:rsid w:val="00A2274A"/>
    <w:rsid w:val="00A235B7"/>
    <w:rsid w:val="00A23812"/>
    <w:rsid w:val="00A27A7A"/>
    <w:rsid w:val="00A32BB9"/>
    <w:rsid w:val="00A34ABE"/>
    <w:rsid w:val="00A37300"/>
    <w:rsid w:val="00A407EF"/>
    <w:rsid w:val="00A40CCE"/>
    <w:rsid w:val="00A46B4C"/>
    <w:rsid w:val="00A5117B"/>
    <w:rsid w:val="00A56D34"/>
    <w:rsid w:val="00A60074"/>
    <w:rsid w:val="00A6627C"/>
    <w:rsid w:val="00A67F08"/>
    <w:rsid w:val="00A70E1E"/>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7B6F"/>
    <w:rsid w:val="00B44713"/>
    <w:rsid w:val="00B501A0"/>
    <w:rsid w:val="00B51B95"/>
    <w:rsid w:val="00B56103"/>
    <w:rsid w:val="00B64929"/>
    <w:rsid w:val="00B736DF"/>
    <w:rsid w:val="00B743D6"/>
    <w:rsid w:val="00B74FBD"/>
    <w:rsid w:val="00B77F46"/>
    <w:rsid w:val="00B82586"/>
    <w:rsid w:val="00B829A3"/>
    <w:rsid w:val="00B86DB1"/>
    <w:rsid w:val="00B87869"/>
    <w:rsid w:val="00B9511D"/>
    <w:rsid w:val="00B9639B"/>
    <w:rsid w:val="00BA1E4F"/>
    <w:rsid w:val="00BA7E39"/>
    <w:rsid w:val="00BB0F2B"/>
    <w:rsid w:val="00BC285B"/>
    <w:rsid w:val="00BC675D"/>
    <w:rsid w:val="00BE4FF3"/>
    <w:rsid w:val="00BF50F7"/>
    <w:rsid w:val="00C02F29"/>
    <w:rsid w:val="00C045CE"/>
    <w:rsid w:val="00C10B1A"/>
    <w:rsid w:val="00C17718"/>
    <w:rsid w:val="00C20AFE"/>
    <w:rsid w:val="00C216AA"/>
    <w:rsid w:val="00C22A25"/>
    <w:rsid w:val="00C27FAA"/>
    <w:rsid w:val="00C35671"/>
    <w:rsid w:val="00C35B77"/>
    <w:rsid w:val="00C376EB"/>
    <w:rsid w:val="00C40D10"/>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87E9E"/>
    <w:rsid w:val="00C902C8"/>
    <w:rsid w:val="00C919D1"/>
    <w:rsid w:val="00C963D3"/>
    <w:rsid w:val="00CA74F9"/>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719"/>
    <w:rsid w:val="00D55BDB"/>
    <w:rsid w:val="00D61C6D"/>
    <w:rsid w:val="00D63EFD"/>
    <w:rsid w:val="00D744E1"/>
    <w:rsid w:val="00D8254A"/>
    <w:rsid w:val="00D84752"/>
    <w:rsid w:val="00D86B3B"/>
    <w:rsid w:val="00D8714D"/>
    <w:rsid w:val="00D8748A"/>
    <w:rsid w:val="00D93196"/>
    <w:rsid w:val="00DA0DC0"/>
    <w:rsid w:val="00DB243C"/>
    <w:rsid w:val="00DB482A"/>
    <w:rsid w:val="00DB50FB"/>
    <w:rsid w:val="00DB56F2"/>
    <w:rsid w:val="00DB6BD6"/>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1924"/>
    <w:rsid w:val="00E15BA9"/>
    <w:rsid w:val="00E26E19"/>
    <w:rsid w:val="00E31DF3"/>
    <w:rsid w:val="00E4161F"/>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5F27"/>
    <w:rsid w:val="00EA7560"/>
    <w:rsid w:val="00EB146B"/>
    <w:rsid w:val="00EB45AC"/>
    <w:rsid w:val="00EB6801"/>
    <w:rsid w:val="00EC441F"/>
    <w:rsid w:val="00EC4755"/>
    <w:rsid w:val="00ED0BC4"/>
    <w:rsid w:val="00ED447D"/>
    <w:rsid w:val="00ED5B3C"/>
    <w:rsid w:val="00EE4971"/>
    <w:rsid w:val="00EE6CB0"/>
    <w:rsid w:val="00EF090E"/>
    <w:rsid w:val="00EF5572"/>
    <w:rsid w:val="00F01639"/>
    <w:rsid w:val="00F033DA"/>
    <w:rsid w:val="00F044E3"/>
    <w:rsid w:val="00F06972"/>
    <w:rsid w:val="00F13691"/>
    <w:rsid w:val="00F13FB1"/>
    <w:rsid w:val="00F2583D"/>
    <w:rsid w:val="00F27CD8"/>
    <w:rsid w:val="00F302D8"/>
    <w:rsid w:val="00F30351"/>
    <w:rsid w:val="00F3323E"/>
    <w:rsid w:val="00F341F4"/>
    <w:rsid w:val="00F34F9D"/>
    <w:rsid w:val="00F35CCE"/>
    <w:rsid w:val="00F5524B"/>
    <w:rsid w:val="00F60538"/>
    <w:rsid w:val="00F61DD2"/>
    <w:rsid w:val="00F66AFF"/>
    <w:rsid w:val="00F71433"/>
    <w:rsid w:val="00F83703"/>
    <w:rsid w:val="00F97C5B"/>
    <w:rsid w:val="00FA3D50"/>
    <w:rsid w:val="00FB0F0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cp:lastModifiedBy>
  <cp:revision>33</cp:revision>
  <cp:lastPrinted>2019-08-27T05:42:00Z</cp:lastPrinted>
  <dcterms:created xsi:type="dcterms:W3CDTF">2023-07-30T03:02:00Z</dcterms:created>
  <dcterms:modified xsi:type="dcterms:W3CDTF">2023-07-30T13:57:00Z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&lt;#1753313&gt;&lt;JAN&gt;&lt;JANICE.OOI&gt;&lt;JANICE.OOI&gt;</vt:lpwstr>
  </property>
</Properties>
</file>