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DF7ED2">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r w:rsidRPr="00107FCD">
        <w:rPr>
          <w:rFonts w:ascii="Avenir Next" w:hAnsi="Avenir Next" w:cs="Arial"/>
          <w:sz w:val="22"/>
          <w:szCs w:val="22"/>
          <w:lang w:val="en-GB"/>
        </w:rPr>
        <w: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DF7ED2" w:rsidRDefault="00BB00A2" w:rsidP="00BB00A2">
      <w:pPr>
        <w:pStyle w:val="ListParagraph"/>
        <w:numPr>
          <w:ilvl w:val="0"/>
          <w:numId w:val="35"/>
        </w:numPr>
        <w:ind w:left="426"/>
        <w:jc w:val="both"/>
        <w:rPr>
          <w:rFonts w:ascii="Avenir Next" w:hAnsi="Avenir Next" w:cs="Arial"/>
          <w:sz w:val="22"/>
          <w:szCs w:val="22"/>
          <w:highlight w:val="yellow"/>
        </w:rPr>
      </w:pPr>
      <w:r w:rsidRPr="00DF7ED2">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lastRenderedPageBreak/>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906988" w:rsidRDefault="00060747" w:rsidP="00EA55A7">
      <w:pPr>
        <w:pStyle w:val="ListParagraph"/>
        <w:numPr>
          <w:ilvl w:val="0"/>
          <w:numId w:val="22"/>
        </w:numPr>
        <w:ind w:left="426"/>
        <w:jc w:val="both"/>
        <w:rPr>
          <w:rFonts w:ascii="Avenir Next" w:hAnsi="Avenir Next" w:cs="Arial"/>
          <w:sz w:val="22"/>
          <w:szCs w:val="22"/>
          <w:lang w:val="en-GB"/>
        </w:rPr>
      </w:pPr>
      <w:r w:rsidRPr="00906988">
        <w:rPr>
          <w:rFonts w:ascii="Avenir Next" w:hAnsi="Avenir Next" w:cs="Arial"/>
          <w:sz w:val="22"/>
          <w:szCs w:val="22"/>
        </w:rPr>
        <w:t>Order</w:t>
      </w:r>
      <w:r w:rsidR="00246EB8" w:rsidRPr="00906988">
        <w:rPr>
          <w:rFonts w:ascii="Avenir Next" w:hAnsi="Avenir Next" w:cs="Arial"/>
          <w:sz w:val="22"/>
          <w:szCs w:val="22"/>
        </w:rPr>
        <w:t xml:space="preserve"> (ii</w:t>
      </w:r>
      <w:r w:rsidR="00EA55A7" w:rsidRPr="00906988">
        <w:rPr>
          <w:rFonts w:ascii="Avenir Next" w:hAnsi="Avenir Next" w:cs="Arial"/>
          <w:sz w:val="22"/>
          <w:szCs w:val="22"/>
        </w:rPr>
        <w:t>i</w:t>
      </w:r>
      <w:r w:rsidR="00246EB8" w:rsidRPr="00906988">
        <w:rPr>
          <w:rFonts w:ascii="Avenir Next" w:hAnsi="Avenir Next" w:cs="Arial"/>
          <w:sz w:val="22"/>
          <w:szCs w:val="22"/>
        </w:rPr>
        <w:t>)</w:t>
      </w:r>
      <w:r w:rsidR="00EA55A7" w:rsidRPr="00906988">
        <w:rPr>
          <w:rFonts w:ascii="Avenir Next" w:hAnsi="Avenir Next" w:cs="Arial"/>
          <w:sz w:val="22"/>
          <w:szCs w:val="22"/>
        </w:rPr>
        <w:t>, (iv), (</w:t>
      </w:r>
      <w:proofErr w:type="spellStart"/>
      <w:r w:rsidR="00EA55A7" w:rsidRPr="00906988">
        <w:rPr>
          <w:rFonts w:ascii="Avenir Next" w:hAnsi="Avenir Next" w:cs="Arial"/>
          <w:sz w:val="22"/>
          <w:szCs w:val="22"/>
        </w:rPr>
        <w:t>i</w:t>
      </w:r>
      <w:proofErr w:type="spellEnd"/>
      <w:r w:rsidR="00EA55A7" w:rsidRPr="00906988">
        <w:rPr>
          <w:rFonts w:ascii="Avenir Next" w:hAnsi="Avenir Next" w:cs="Arial"/>
          <w:sz w:val="22"/>
          <w:szCs w:val="22"/>
        </w:rPr>
        <w:t>)</w:t>
      </w:r>
      <w:r w:rsidR="00246EB8" w:rsidRPr="00906988">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906988" w:rsidRDefault="00726C03" w:rsidP="00591FC4">
      <w:pPr>
        <w:pStyle w:val="ListParagraph"/>
        <w:numPr>
          <w:ilvl w:val="0"/>
          <w:numId w:val="22"/>
        </w:numPr>
        <w:ind w:left="426"/>
        <w:jc w:val="both"/>
        <w:rPr>
          <w:rFonts w:ascii="Avenir Next" w:hAnsi="Avenir Next" w:cs="Arial"/>
          <w:sz w:val="22"/>
          <w:szCs w:val="22"/>
          <w:highlight w:val="yellow"/>
          <w:lang w:val="en-GB"/>
        </w:rPr>
      </w:pPr>
      <w:r w:rsidRPr="00906988">
        <w:rPr>
          <w:rFonts w:ascii="Avenir Next" w:hAnsi="Avenir Next" w:cs="Arial"/>
          <w:sz w:val="22"/>
          <w:szCs w:val="22"/>
          <w:highlight w:val="yellow"/>
        </w:rPr>
        <w:t>Order</w:t>
      </w:r>
      <w:r w:rsidR="00246EB8" w:rsidRPr="00906988">
        <w:rPr>
          <w:rFonts w:ascii="Avenir Next" w:hAnsi="Avenir Next" w:cs="Arial"/>
          <w:sz w:val="22"/>
          <w:szCs w:val="22"/>
          <w:highlight w:val="yellow"/>
        </w:rPr>
        <w:t xml:space="preserve"> (</w:t>
      </w:r>
      <w:r w:rsidR="00591FC4" w:rsidRPr="00906988">
        <w:rPr>
          <w:rFonts w:ascii="Avenir Next" w:hAnsi="Avenir Next" w:cs="Arial"/>
          <w:sz w:val="22"/>
          <w:szCs w:val="22"/>
          <w:highlight w:val="yellow"/>
        </w:rPr>
        <w:t>ii</w:t>
      </w:r>
      <w:r w:rsidR="00246EB8" w:rsidRPr="00906988">
        <w:rPr>
          <w:rFonts w:ascii="Avenir Next" w:hAnsi="Avenir Next" w:cs="Arial"/>
          <w:sz w:val="22"/>
          <w:szCs w:val="22"/>
          <w:highlight w:val="yellow"/>
        </w:rPr>
        <w:t>i), (</w:t>
      </w:r>
      <w:proofErr w:type="spellStart"/>
      <w:r w:rsidR="00246EB8" w:rsidRPr="00906988">
        <w:rPr>
          <w:rFonts w:ascii="Avenir Next" w:hAnsi="Avenir Next" w:cs="Arial"/>
          <w:sz w:val="22"/>
          <w:szCs w:val="22"/>
          <w:highlight w:val="yellow"/>
        </w:rPr>
        <w:t>i</w:t>
      </w:r>
      <w:proofErr w:type="spellEnd"/>
      <w:r w:rsidR="00246EB8" w:rsidRPr="00906988">
        <w:rPr>
          <w:rFonts w:ascii="Avenir Next" w:hAnsi="Avenir Next" w:cs="Arial"/>
          <w:sz w:val="22"/>
          <w:szCs w:val="22"/>
          <w:highlight w:val="yellow"/>
        </w:rPr>
        <w:t>)</w:t>
      </w:r>
      <w:r w:rsidR="00591FC4" w:rsidRPr="00906988">
        <w:rPr>
          <w:rFonts w:ascii="Avenir Next" w:hAnsi="Avenir Next" w:cs="Arial"/>
          <w:sz w:val="22"/>
          <w:szCs w:val="22"/>
          <w:highlight w:val="yellow"/>
        </w:rPr>
        <w:t>, (iv)</w:t>
      </w:r>
      <w:r w:rsidR="00246EB8" w:rsidRPr="00906988">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202B14" w:rsidRDefault="00063A60" w:rsidP="00063A60">
      <w:pPr>
        <w:pStyle w:val="ListParagraph"/>
        <w:numPr>
          <w:ilvl w:val="0"/>
          <w:numId w:val="39"/>
        </w:numPr>
        <w:ind w:left="426"/>
        <w:jc w:val="both"/>
        <w:rPr>
          <w:rFonts w:ascii="Avenir Next" w:hAnsi="Avenir Next" w:cs="Arial"/>
          <w:sz w:val="22"/>
          <w:szCs w:val="22"/>
          <w:highlight w:val="yellow"/>
        </w:rPr>
      </w:pPr>
      <w:r w:rsidRPr="00202B14">
        <w:rPr>
          <w:rFonts w:ascii="Avenir Next" w:hAnsi="Avenir Next" w:cs="Arial"/>
          <w:sz w:val="22"/>
          <w:szCs w:val="22"/>
          <w:highlight w:val="yellow"/>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DF7ED2"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DF7ED2">
        <w:rPr>
          <w:rFonts w:ascii="Avenir Next" w:hAnsi="Avenir Next" w:cs="Arial"/>
          <w:sz w:val="22"/>
          <w:szCs w:val="22"/>
          <w:highlight w:val="yellow"/>
          <w:lang w:val="en-GB"/>
        </w:rPr>
        <w:t>Six</w:t>
      </w:r>
      <w:r w:rsidR="00FA06F5" w:rsidRPr="00DF7ED2">
        <w:rPr>
          <w:rFonts w:ascii="Avenir Next" w:hAnsi="Avenir Next" w:cs="Arial"/>
          <w:sz w:val="22"/>
          <w:szCs w:val="22"/>
          <w:highlight w:val="yellow"/>
          <w:lang w:val="en-GB"/>
        </w:rPr>
        <w:t xml:space="preserve"> </w:t>
      </w:r>
      <w:r w:rsidRPr="00DF7ED2">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lastRenderedPageBreak/>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DF7ED2" w:rsidRDefault="00F32C3B" w:rsidP="00F32C3B">
      <w:pPr>
        <w:pStyle w:val="ListParagraph"/>
        <w:numPr>
          <w:ilvl w:val="0"/>
          <w:numId w:val="41"/>
        </w:numPr>
        <w:ind w:left="426"/>
        <w:jc w:val="both"/>
        <w:rPr>
          <w:rFonts w:ascii="Avenir Next" w:hAnsi="Avenir Next" w:cs="Arial"/>
          <w:sz w:val="22"/>
          <w:szCs w:val="22"/>
          <w:highlight w:val="yellow"/>
          <w:lang w:val="en-GB"/>
        </w:rPr>
      </w:pPr>
      <w:r w:rsidRPr="00DF7ED2">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77236D">
        <w:rPr>
          <w:rFonts w:ascii="Avenir Next" w:hAnsi="Avenir Next" w:cs="Arial"/>
          <w:iCs/>
          <w:sz w:val="22"/>
          <w:szCs w:val="22"/>
          <w:highlight w:val="yellow"/>
          <w:lang w:val="en-GB"/>
        </w:rPr>
        <w:t>At least 10 or more owning policies of an aggregate value of not less than BMD 50,000</w:t>
      </w:r>
      <w:r w:rsidRPr="00241895">
        <w:rPr>
          <w:rFonts w:ascii="Avenir Next" w:hAnsi="Avenir Next" w:cs="Arial"/>
          <w:iCs/>
          <w:sz w:val="22"/>
          <w:szCs w:val="22"/>
          <w:lang w:val="en-GB"/>
        </w:rPr>
        <w:t>.</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202B14" w:rsidRDefault="00D83BCE" w:rsidP="00D83BCE">
      <w:pPr>
        <w:pStyle w:val="ListParagraph"/>
        <w:numPr>
          <w:ilvl w:val="0"/>
          <w:numId w:val="43"/>
        </w:numPr>
        <w:ind w:left="426"/>
        <w:jc w:val="both"/>
        <w:rPr>
          <w:rFonts w:ascii="Avenir Next" w:hAnsi="Avenir Next" w:cs="Arial"/>
          <w:sz w:val="22"/>
          <w:szCs w:val="22"/>
          <w:highlight w:val="yellow"/>
          <w:lang w:val="en-GB"/>
        </w:rPr>
      </w:pPr>
      <w:r w:rsidRPr="00202B14">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202B14">
        <w:rPr>
          <w:rFonts w:ascii="Avenir Next" w:hAnsi="Avenir Next" w:cs="Arial"/>
          <w:sz w:val="22"/>
          <w:szCs w:val="22"/>
          <w:highlight w:val="yellow"/>
          <w:lang w:val="en-GB"/>
        </w:rPr>
        <w:t>Section 247 of the Companies Act 1981</w:t>
      </w:r>
      <w:r w:rsidRPr="00E121D3">
        <w:rPr>
          <w:rFonts w:ascii="Avenir Next" w:hAnsi="Avenir Next" w:cs="Arial"/>
          <w:sz w:val="22"/>
          <w:szCs w:val="22"/>
          <w:lang w:val="en-GB"/>
        </w:rPr>
        <w:t>.</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202B14" w:rsidRDefault="00FD06A4" w:rsidP="008019D3">
      <w:pPr>
        <w:pStyle w:val="ListParagraph"/>
        <w:numPr>
          <w:ilvl w:val="0"/>
          <w:numId w:val="45"/>
        </w:numPr>
        <w:ind w:left="426"/>
        <w:jc w:val="both"/>
        <w:rPr>
          <w:rFonts w:ascii="Avenir Next" w:hAnsi="Avenir Next" w:cs="Arial"/>
          <w:sz w:val="22"/>
          <w:szCs w:val="22"/>
          <w:highlight w:val="yellow"/>
          <w:lang w:val="en-GB"/>
        </w:rPr>
      </w:pPr>
      <w:r w:rsidRPr="00202B14">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6888FC70" w14:textId="27F03D70" w:rsidR="001E441E" w:rsidRDefault="00202B14"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 170(2) of the Companies Act 1981, the court may appoint a provisional liquidator between the presentation of a winding-up petition and its final hearing</w:t>
      </w:r>
      <w:r w:rsidR="00290FEE">
        <w:rPr>
          <w:rFonts w:ascii="Avenir Next" w:hAnsi="Avenir Next" w:cs="Arial"/>
          <w:color w:val="808080" w:themeColor="background1" w:themeShade="80"/>
          <w:sz w:val="22"/>
          <w:szCs w:val="22"/>
          <w:lang w:val="en-GB"/>
        </w:rPr>
        <w:t xml:space="preserve">. </w:t>
      </w:r>
      <w:r w:rsidR="001E441E">
        <w:rPr>
          <w:rFonts w:ascii="Avenir Next" w:hAnsi="Avenir Next" w:cs="Arial"/>
          <w:color w:val="808080" w:themeColor="background1" w:themeShade="80"/>
          <w:sz w:val="22"/>
          <w:szCs w:val="22"/>
          <w:lang w:val="en-GB"/>
        </w:rPr>
        <w:t>The relevant test is that the applicant must “at least make out a good prima facie case that a winding-up order will be made” (</w:t>
      </w:r>
      <w:r w:rsidR="001E441E">
        <w:rPr>
          <w:rFonts w:ascii="Avenir Next" w:hAnsi="Avenir Next" w:cs="Arial"/>
          <w:i/>
          <w:iCs/>
          <w:color w:val="808080" w:themeColor="background1" w:themeShade="80"/>
          <w:sz w:val="22"/>
          <w:szCs w:val="22"/>
          <w:lang w:val="en-GB"/>
        </w:rPr>
        <w:t xml:space="preserve">Re Stewardship Credit </w:t>
      </w:r>
      <w:proofErr w:type="spellStart"/>
      <w:r w:rsidR="001E441E">
        <w:rPr>
          <w:rFonts w:ascii="Avenir Next" w:hAnsi="Avenir Next" w:cs="Arial"/>
          <w:i/>
          <w:iCs/>
          <w:color w:val="808080" w:themeColor="background1" w:themeShade="80"/>
          <w:sz w:val="22"/>
          <w:szCs w:val="22"/>
          <w:lang w:val="en-GB"/>
        </w:rPr>
        <w:t>Arbitratge</w:t>
      </w:r>
      <w:proofErr w:type="spellEnd"/>
      <w:r w:rsidR="001E441E">
        <w:rPr>
          <w:rFonts w:ascii="Avenir Next" w:hAnsi="Avenir Next" w:cs="Arial"/>
          <w:i/>
          <w:iCs/>
          <w:color w:val="808080" w:themeColor="background1" w:themeShade="80"/>
          <w:sz w:val="22"/>
          <w:szCs w:val="22"/>
          <w:lang w:val="en-GB"/>
        </w:rPr>
        <w:t xml:space="preserve"> Fund Ltd </w:t>
      </w:r>
      <w:r w:rsidR="001E441E">
        <w:rPr>
          <w:rFonts w:ascii="Avenir Next" w:hAnsi="Avenir Next" w:cs="Arial"/>
          <w:color w:val="808080" w:themeColor="background1" w:themeShade="80"/>
          <w:sz w:val="22"/>
          <w:szCs w:val="22"/>
          <w:lang w:val="en-GB"/>
        </w:rPr>
        <w:t xml:space="preserve">[2008] </w:t>
      </w:r>
      <w:proofErr w:type="spellStart"/>
      <w:r w:rsidR="001E441E">
        <w:rPr>
          <w:rFonts w:ascii="Avenir Next" w:hAnsi="Avenir Next" w:cs="Arial"/>
          <w:color w:val="808080" w:themeColor="background1" w:themeShade="80"/>
          <w:sz w:val="22"/>
          <w:szCs w:val="22"/>
          <w:lang w:val="en-GB"/>
        </w:rPr>
        <w:t>Bda</w:t>
      </w:r>
      <w:proofErr w:type="spellEnd"/>
      <w:r w:rsidR="001E441E">
        <w:rPr>
          <w:rFonts w:ascii="Avenir Next" w:hAnsi="Avenir Next" w:cs="Arial"/>
          <w:color w:val="808080" w:themeColor="background1" w:themeShade="80"/>
          <w:sz w:val="22"/>
          <w:szCs w:val="22"/>
          <w:lang w:val="en-GB"/>
        </w:rPr>
        <w:t xml:space="preserve"> LR 67 </w:t>
      </w:r>
      <w:r w:rsidR="001E441E">
        <w:rPr>
          <w:rFonts w:ascii="Avenir Next" w:hAnsi="Avenir Next" w:cs="Arial"/>
          <w:color w:val="808080" w:themeColor="background1" w:themeShade="80"/>
          <w:sz w:val="22"/>
          <w:szCs w:val="22"/>
          <w:lang w:val="en-GB"/>
        </w:rPr>
        <w:t>(“</w:t>
      </w:r>
      <w:r w:rsidR="001E441E">
        <w:rPr>
          <w:rFonts w:ascii="Avenir Next" w:hAnsi="Avenir Next" w:cs="Arial"/>
          <w:i/>
          <w:iCs/>
          <w:color w:val="808080" w:themeColor="background1" w:themeShade="80"/>
          <w:sz w:val="22"/>
          <w:szCs w:val="22"/>
          <w:lang w:val="en-GB"/>
        </w:rPr>
        <w:t>SCAF</w:t>
      </w:r>
      <w:r w:rsidR="001E441E">
        <w:rPr>
          <w:rFonts w:ascii="Avenir Next" w:hAnsi="Avenir Next" w:cs="Arial"/>
          <w:color w:val="808080" w:themeColor="background1" w:themeShade="80"/>
          <w:sz w:val="22"/>
          <w:szCs w:val="22"/>
          <w:lang w:val="en-GB"/>
        </w:rPr>
        <w:t xml:space="preserve">”) </w:t>
      </w:r>
      <w:r w:rsidR="001E441E">
        <w:rPr>
          <w:rFonts w:ascii="Avenir Next" w:hAnsi="Avenir Next" w:cs="Arial"/>
          <w:color w:val="808080" w:themeColor="background1" w:themeShade="80"/>
          <w:sz w:val="22"/>
          <w:szCs w:val="22"/>
          <w:lang w:val="en-GB"/>
        </w:rPr>
        <w:t>at [3</w:t>
      </w:r>
      <w:r w:rsidR="001E441E">
        <w:rPr>
          <w:rFonts w:ascii="Avenir Next" w:hAnsi="Avenir Next" w:cs="Arial"/>
          <w:color w:val="808080" w:themeColor="background1" w:themeShade="80"/>
          <w:sz w:val="22"/>
          <w:szCs w:val="22"/>
          <w:lang w:val="en-GB"/>
        </w:rPr>
        <w:t>6</w:t>
      </w:r>
      <w:r w:rsidR="001E441E">
        <w:rPr>
          <w:rFonts w:ascii="Avenir Next" w:hAnsi="Avenir Next" w:cs="Arial"/>
          <w:color w:val="808080" w:themeColor="background1" w:themeShade="80"/>
          <w:sz w:val="22"/>
          <w:szCs w:val="22"/>
          <w:lang w:val="en-GB"/>
        </w:rPr>
        <w:t>]</w:t>
      </w:r>
      <w:r w:rsidR="00290FEE">
        <w:rPr>
          <w:rFonts w:ascii="Avenir Next" w:hAnsi="Avenir Next" w:cs="Arial"/>
          <w:color w:val="808080" w:themeColor="background1" w:themeShade="80"/>
          <w:sz w:val="22"/>
          <w:szCs w:val="22"/>
          <w:lang w:val="en-GB"/>
        </w:rPr>
        <w:t>)</w:t>
      </w:r>
      <w:r w:rsidR="001E441E">
        <w:rPr>
          <w:rFonts w:ascii="Avenir Next" w:hAnsi="Avenir Next" w:cs="Arial"/>
          <w:color w:val="808080" w:themeColor="background1" w:themeShade="80"/>
          <w:sz w:val="22"/>
          <w:szCs w:val="22"/>
          <w:lang w:val="en-GB"/>
        </w:rPr>
        <w:t>.</w:t>
      </w:r>
      <w:r w:rsidR="00290FEE">
        <w:rPr>
          <w:rFonts w:ascii="Avenir Next" w:hAnsi="Avenir Next" w:cs="Arial"/>
          <w:color w:val="808080" w:themeColor="background1" w:themeShade="80"/>
          <w:sz w:val="22"/>
          <w:szCs w:val="22"/>
          <w:lang w:val="en-GB"/>
        </w:rPr>
        <w:t xml:space="preserve"> The Court then considers whether, in the circumstances of the case, it is “right” that a provisional liquidator should be appointed (</w:t>
      </w:r>
      <w:r w:rsidR="00290FEE">
        <w:rPr>
          <w:rFonts w:ascii="Avenir Next" w:hAnsi="Avenir Next" w:cs="Arial"/>
          <w:i/>
          <w:iCs/>
          <w:color w:val="808080" w:themeColor="background1" w:themeShade="80"/>
          <w:sz w:val="22"/>
          <w:szCs w:val="22"/>
          <w:lang w:val="en-GB"/>
        </w:rPr>
        <w:t xml:space="preserve">SCAF </w:t>
      </w:r>
      <w:r w:rsidR="00290FEE">
        <w:rPr>
          <w:rFonts w:ascii="Avenir Next" w:hAnsi="Avenir Next" w:cs="Arial"/>
          <w:color w:val="808080" w:themeColor="background1" w:themeShade="80"/>
          <w:sz w:val="22"/>
          <w:szCs w:val="22"/>
          <w:lang w:val="en-GB"/>
        </w:rPr>
        <w:t>at [36]).</w:t>
      </w:r>
      <w:r w:rsidR="001E441E">
        <w:rPr>
          <w:rFonts w:ascii="Avenir Next" w:hAnsi="Avenir Next" w:cs="Arial"/>
          <w:color w:val="808080" w:themeColor="background1" w:themeShade="80"/>
          <w:sz w:val="22"/>
          <w:szCs w:val="22"/>
          <w:lang w:val="en-GB"/>
        </w:rPr>
        <w:t xml:space="preserve"> </w:t>
      </w:r>
    </w:p>
    <w:p w14:paraId="1570B85F" w14:textId="77777777" w:rsidR="001E441E" w:rsidRDefault="001E441E" w:rsidP="008E79A7">
      <w:pPr>
        <w:jc w:val="both"/>
        <w:rPr>
          <w:rFonts w:ascii="Avenir Next" w:hAnsi="Avenir Next" w:cs="Arial"/>
          <w:color w:val="808080" w:themeColor="background1" w:themeShade="80"/>
          <w:sz w:val="22"/>
          <w:szCs w:val="22"/>
          <w:lang w:val="en-GB"/>
        </w:rPr>
      </w:pPr>
    </w:p>
    <w:p w14:paraId="14DD1AB9" w14:textId="339755ED" w:rsidR="00E459CA" w:rsidRPr="00B04D09" w:rsidRDefault="00E459CA"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66D04">
        <w:rPr>
          <w:rFonts w:ascii="Avenir Next" w:hAnsi="Avenir Next" w:cs="Arial"/>
          <w:color w:val="808080" w:themeColor="background1" w:themeShade="80"/>
          <w:sz w:val="22"/>
          <w:szCs w:val="22"/>
          <w:lang w:val="en-GB"/>
        </w:rPr>
        <w:t xml:space="preserve">position </w:t>
      </w:r>
      <w:r w:rsidR="00B04D09">
        <w:rPr>
          <w:rFonts w:ascii="Avenir Next" w:hAnsi="Avenir Next" w:cs="Arial"/>
          <w:color w:val="808080" w:themeColor="background1" w:themeShade="80"/>
          <w:sz w:val="22"/>
          <w:szCs w:val="22"/>
          <w:lang w:val="en-GB"/>
        </w:rPr>
        <w:t>in Bermuda is effectively identical to the position in England (</w:t>
      </w:r>
      <w:r w:rsidR="00B04D09">
        <w:rPr>
          <w:rFonts w:ascii="Avenir Next" w:hAnsi="Avenir Next" w:cs="Arial"/>
          <w:i/>
          <w:iCs/>
          <w:color w:val="808080" w:themeColor="background1" w:themeShade="80"/>
          <w:sz w:val="22"/>
          <w:szCs w:val="22"/>
          <w:lang w:val="en-GB"/>
        </w:rPr>
        <w:t xml:space="preserve">Discovery Reinsurance Company v PEG Reinsurance Co Ltd </w:t>
      </w:r>
      <w:r w:rsidR="00B04D09">
        <w:rPr>
          <w:rFonts w:ascii="Avenir Next" w:hAnsi="Avenir Next" w:cs="Arial"/>
          <w:color w:val="808080" w:themeColor="background1" w:themeShade="80"/>
          <w:sz w:val="22"/>
          <w:szCs w:val="22"/>
          <w:lang w:val="en-GB"/>
        </w:rPr>
        <w:t xml:space="preserve">[2006] </w:t>
      </w:r>
      <w:proofErr w:type="spellStart"/>
      <w:r w:rsidR="00B04D09">
        <w:rPr>
          <w:rFonts w:ascii="Avenir Next" w:hAnsi="Avenir Next" w:cs="Arial"/>
          <w:color w:val="808080" w:themeColor="background1" w:themeShade="80"/>
          <w:sz w:val="22"/>
          <w:szCs w:val="22"/>
          <w:lang w:val="en-GB"/>
        </w:rPr>
        <w:t>Bda</w:t>
      </w:r>
      <w:proofErr w:type="spellEnd"/>
      <w:r w:rsidR="00B04D09">
        <w:rPr>
          <w:rFonts w:ascii="Avenir Next" w:hAnsi="Avenir Next" w:cs="Arial"/>
          <w:color w:val="808080" w:themeColor="background1" w:themeShade="80"/>
          <w:sz w:val="22"/>
          <w:szCs w:val="22"/>
          <w:lang w:val="en-GB"/>
        </w:rPr>
        <w:t xml:space="preserve"> LR 88 at [17)], where the following dictum of Sir Robert </w:t>
      </w:r>
      <w:proofErr w:type="spellStart"/>
      <w:r w:rsidR="00B04D09">
        <w:rPr>
          <w:rFonts w:ascii="Avenir Next" w:hAnsi="Avenir Next" w:cs="Arial"/>
          <w:color w:val="808080" w:themeColor="background1" w:themeShade="80"/>
          <w:sz w:val="22"/>
          <w:szCs w:val="22"/>
          <w:lang w:val="en-GB"/>
        </w:rPr>
        <w:t>Megarry</w:t>
      </w:r>
      <w:proofErr w:type="spellEnd"/>
      <w:r w:rsidR="00B04D09">
        <w:rPr>
          <w:rFonts w:ascii="Avenir Next" w:hAnsi="Avenir Next" w:cs="Arial"/>
          <w:color w:val="808080" w:themeColor="background1" w:themeShade="80"/>
          <w:sz w:val="22"/>
          <w:szCs w:val="22"/>
          <w:lang w:val="en-GB"/>
        </w:rPr>
        <w:t xml:space="preserve"> (VC) in </w:t>
      </w:r>
      <w:r w:rsidR="00B04D09">
        <w:rPr>
          <w:rFonts w:ascii="Avenir Next" w:hAnsi="Avenir Next" w:cs="Arial"/>
          <w:i/>
          <w:iCs/>
          <w:color w:val="808080" w:themeColor="background1" w:themeShade="80"/>
          <w:sz w:val="22"/>
          <w:szCs w:val="22"/>
          <w:lang w:val="en-GB"/>
        </w:rPr>
        <w:t xml:space="preserve">Re </w:t>
      </w:r>
      <w:proofErr w:type="spellStart"/>
      <w:r w:rsidR="00B04D09">
        <w:rPr>
          <w:rFonts w:ascii="Avenir Next" w:hAnsi="Avenir Next" w:cs="Arial"/>
          <w:i/>
          <w:iCs/>
          <w:color w:val="808080" w:themeColor="background1" w:themeShade="80"/>
          <w:sz w:val="22"/>
          <w:szCs w:val="22"/>
          <w:lang w:val="en-GB"/>
        </w:rPr>
        <w:t>Highfiled</w:t>
      </w:r>
      <w:proofErr w:type="spellEnd"/>
      <w:r w:rsidR="00B04D09">
        <w:rPr>
          <w:rFonts w:ascii="Avenir Next" w:hAnsi="Avenir Next" w:cs="Arial"/>
          <w:i/>
          <w:iCs/>
          <w:color w:val="808080" w:themeColor="background1" w:themeShade="80"/>
          <w:sz w:val="22"/>
          <w:szCs w:val="22"/>
          <w:lang w:val="en-GB"/>
        </w:rPr>
        <w:t xml:space="preserve"> Commodities Ltd </w:t>
      </w:r>
      <w:r w:rsidR="00B04D09">
        <w:rPr>
          <w:rFonts w:ascii="Avenir Next" w:hAnsi="Avenir Next" w:cs="Arial"/>
          <w:color w:val="808080" w:themeColor="background1" w:themeShade="80"/>
          <w:sz w:val="22"/>
          <w:szCs w:val="22"/>
          <w:lang w:val="en-GB"/>
        </w:rPr>
        <w:t xml:space="preserve">[1984] 3 All ER 884 at 892-893 was affirmed (see also </w:t>
      </w:r>
      <w:r w:rsidR="00B04D09">
        <w:rPr>
          <w:rFonts w:ascii="Avenir Next" w:hAnsi="Avenir Next" w:cs="Arial"/>
          <w:i/>
          <w:iCs/>
          <w:color w:val="808080" w:themeColor="background1" w:themeShade="80"/>
          <w:sz w:val="22"/>
          <w:szCs w:val="22"/>
          <w:lang w:val="en-GB"/>
        </w:rPr>
        <w:t xml:space="preserve">SCAF </w:t>
      </w:r>
      <w:r w:rsidR="00B04D09">
        <w:rPr>
          <w:rFonts w:ascii="Avenir Next" w:hAnsi="Avenir Next" w:cs="Arial"/>
          <w:color w:val="808080" w:themeColor="background1" w:themeShade="80"/>
          <w:sz w:val="22"/>
          <w:szCs w:val="22"/>
          <w:lang w:val="en-GB"/>
        </w:rPr>
        <w:t>at [35]):</w:t>
      </w:r>
    </w:p>
    <w:p w14:paraId="7B95BDA8" w14:textId="77777777" w:rsidR="00E459CA" w:rsidRDefault="00E459CA" w:rsidP="008E79A7">
      <w:pPr>
        <w:jc w:val="both"/>
        <w:rPr>
          <w:rFonts w:ascii="Avenir Next" w:hAnsi="Avenir Next" w:cs="Arial"/>
          <w:color w:val="808080" w:themeColor="background1" w:themeShade="80"/>
          <w:sz w:val="22"/>
          <w:szCs w:val="22"/>
          <w:lang w:val="en-GB"/>
        </w:rPr>
      </w:pPr>
    </w:p>
    <w:p w14:paraId="72CE248B" w14:textId="1FD44A40" w:rsidR="008C7BAC" w:rsidRDefault="008C7BAC" w:rsidP="008C7BAC">
      <w:pPr>
        <w:ind w:lef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sidRPr="008C7BAC">
        <w:rPr>
          <w:rFonts w:ascii="Avenir Next" w:hAnsi="Avenir Next" w:cs="Arial"/>
          <w:color w:val="808080" w:themeColor="background1" w:themeShade="80"/>
          <w:sz w:val="22"/>
          <w:szCs w:val="22"/>
        </w:rPr>
        <w:t>No doubt a provisional liquidator can properly be appointed if the company is obviously insolvent or the assets are in jeopardy but I do not think that the cases show that in no other case can a provisional liquidator be appointed over the company’s objection. As the judge said, s 238</w:t>
      </w:r>
      <w:r w:rsidR="00A24557">
        <w:rPr>
          <w:rFonts w:ascii="Avenir Next" w:hAnsi="Avenir Next" w:cs="Arial"/>
          <w:color w:val="808080" w:themeColor="background1" w:themeShade="80"/>
          <w:sz w:val="22"/>
          <w:szCs w:val="22"/>
        </w:rPr>
        <w:t xml:space="preserve"> [of the English Companies Act 1948, which is the statutory equivalent of s 170(2) of the Companies Act 1981,]</w:t>
      </w:r>
      <w:r w:rsidRPr="008C7BAC">
        <w:rPr>
          <w:rFonts w:ascii="Avenir Next" w:hAnsi="Avenir Next" w:cs="Arial"/>
          <w:color w:val="808080" w:themeColor="background1" w:themeShade="80"/>
          <w:sz w:val="22"/>
          <w:szCs w:val="22"/>
        </w:rPr>
        <w:t xml:space="preserve"> is in quite general terms. </w:t>
      </w:r>
      <w:r w:rsidRPr="00A24557">
        <w:rPr>
          <w:rFonts w:ascii="Avenir Next" w:hAnsi="Avenir Next" w:cs="Arial"/>
          <w:color w:val="808080" w:themeColor="background1" w:themeShade="80"/>
          <w:sz w:val="22"/>
          <w:szCs w:val="22"/>
          <w:u w:val="single"/>
        </w:rPr>
        <w:t>I can see no hint in it that it is to be restricted to certain categories of cases</w:t>
      </w:r>
      <w:r w:rsidRPr="008C7BAC">
        <w:rPr>
          <w:rFonts w:ascii="Avenir Next" w:hAnsi="Avenir Next" w:cs="Arial"/>
          <w:color w:val="808080" w:themeColor="background1" w:themeShade="80"/>
          <w:sz w:val="22"/>
          <w:szCs w:val="22"/>
        </w:rPr>
        <w:t xml:space="preserve">. The section confers on the court a discretionary power, and that power must obviously be exercised in a proper judicial manner. The exercise of that power may have serious consequences for the company, and so a need for </w:t>
      </w:r>
      <w:r w:rsidRPr="00A24557">
        <w:rPr>
          <w:rFonts w:ascii="Avenir Next" w:hAnsi="Avenir Next" w:cs="Arial"/>
          <w:color w:val="808080" w:themeColor="background1" w:themeShade="80"/>
          <w:sz w:val="22"/>
          <w:szCs w:val="22"/>
          <w:u w:val="single"/>
        </w:rPr>
        <w:t>the exercise of the power must overtop those consequences</w:t>
      </w:r>
      <w:r w:rsidRPr="008C7BAC">
        <w:rPr>
          <w:rFonts w:ascii="Avenir Next" w:hAnsi="Avenir Next" w:cs="Arial"/>
          <w:color w:val="808080" w:themeColor="background1" w:themeShade="80"/>
          <w:sz w:val="22"/>
          <w:szCs w:val="22"/>
        </w:rPr>
        <w:t>.”</w:t>
      </w:r>
      <w:r w:rsidR="00A24557">
        <w:rPr>
          <w:rFonts w:ascii="Avenir Next" w:hAnsi="Avenir Next" w:cs="Arial"/>
          <w:color w:val="808080" w:themeColor="background1" w:themeShade="80"/>
          <w:sz w:val="22"/>
          <w:szCs w:val="22"/>
        </w:rPr>
        <w:t xml:space="preserve"> [emphasis added]</w:t>
      </w:r>
    </w:p>
    <w:p w14:paraId="2CFEA546" w14:textId="77777777" w:rsidR="008C7BAC" w:rsidRDefault="008C7BAC" w:rsidP="008E79A7">
      <w:pPr>
        <w:jc w:val="both"/>
        <w:rPr>
          <w:rFonts w:ascii="Avenir Next" w:hAnsi="Avenir Next" w:cs="Arial"/>
          <w:color w:val="808080" w:themeColor="background1" w:themeShade="80"/>
          <w:sz w:val="22"/>
          <w:szCs w:val="22"/>
          <w:lang w:val="en-GB"/>
        </w:rPr>
      </w:pPr>
    </w:p>
    <w:p w14:paraId="220A7363" w14:textId="77777777" w:rsidR="00A24557" w:rsidRDefault="00A24557" w:rsidP="008E79A7">
      <w:pPr>
        <w:jc w:val="both"/>
        <w:rPr>
          <w:rFonts w:ascii="Avenir Next" w:hAnsi="Avenir Next" w:cs="Arial"/>
          <w:color w:val="808080" w:themeColor="background1" w:themeShade="80"/>
          <w:sz w:val="22"/>
          <w:szCs w:val="22"/>
          <w:lang w:val="en-GB"/>
        </w:rPr>
      </w:pPr>
    </w:p>
    <w:p w14:paraId="5559DE72" w14:textId="77777777" w:rsidR="009E66A1" w:rsidRDefault="00A24557"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general rule, therefore, is that there are no strict categories of cases where the power to appoint provisional liquidators should be exercised,</w:t>
      </w:r>
      <w:r w:rsidR="00D8141E">
        <w:rPr>
          <w:rFonts w:ascii="Avenir Next" w:hAnsi="Avenir Next" w:cs="Arial"/>
          <w:color w:val="808080" w:themeColor="background1" w:themeShade="80"/>
          <w:sz w:val="22"/>
          <w:szCs w:val="22"/>
          <w:lang w:val="en-GB"/>
        </w:rPr>
        <w:t xml:space="preserve"> and the discretion remains broad. </w:t>
      </w:r>
    </w:p>
    <w:p w14:paraId="638CBFCD" w14:textId="77777777" w:rsidR="009E66A1" w:rsidRDefault="009E66A1" w:rsidP="008E79A7">
      <w:pPr>
        <w:jc w:val="both"/>
        <w:rPr>
          <w:rFonts w:ascii="Avenir Next" w:hAnsi="Avenir Next" w:cs="Arial"/>
          <w:color w:val="808080" w:themeColor="background1" w:themeShade="80"/>
          <w:sz w:val="22"/>
          <w:szCs w:val="22"/>
          <w:lang w:val="en-GB"/>
        </w:rPr>
      </w:pPr>
    </w:p>
    <w:p w14:paraId="3ED5149E" w14:textId="73B78C42" w:rsidR="00202B14" w:rsidRPr="00367059" w:rsidRDefault="00D8141E"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Nonetheless, s</w:t>
      </w:r>
      <w:r w:rsidR="00202B14">
        <w:rPr>
          <w:rFonts w:ascii="Avenir Next" w:hAnsi="Avenir Next" w:cs="Arial"/>
          <w:color w:val="808080" w:themeColor="background1" w:themeShade="80"/>
          <w:sz w:val="22"/>
          <w:szCs w:val="22"/>
          <w:lang w:val="en-GB"/>
        </w:rPr>
        <w:t>ome circumstances where a provisional liquidator may</w:t>
      </w:r>
      <w:r>
        <w:rPr>
          <w:rFonts w:ascii="Avenir Next" w:hAnsi="Avenir Next" w:cs="Arial"/>
          <w:color w:val="808080" w:themeColor="background1" w:themeShade="80"/>
          <w:sz w:val="22"/>
          <w:szCs w:val="22"/>
          <w:lang w:val="en-GB"/>
        </w:rPr>
        <w:t xml:space="preserve"> (and have been)</w:t>
      </w:r>
      <w:r w:rsidR="00202B14">
        <w:rPr>
          <w:rFonts w:ascii="Avenir Next" w:hAnsi="Avenir Next" w:cs="Arial"/>
          <w:color w:val="808080" w:themeColor="background1" w:themeShade="80"/>
          <w:sz w:val="22"/>
          <w:szCs w:val="22"/>
          <w:lang w:val="en-GB"/>
        </w:rPr>
        <w:t xml:space="preserve"> be appointed include where there is a risk of dissipation of assets (in which case, an urgent application may be made), or the need for independent supervision and control. </w:t>
      </w:r>
      <w:r w:rsidR="009E66A1">
        <w:rPr>
          <w:rFonts w:ascii="Avenir Next" w:hAnsi="Avenir Next" w:cs="Arial"/>
          <w:color w:val="808080" w:themeColor="background1" w:themeShade="80"/>
          <w:sz w:val="22"/>
          <w:szCs w:val="22"/>
          <w:lang w:val="en-GB"/>
        </w:rPr>
        <w:t>For instance, t</w:t>
      </w:r>
      <w:r w:rsidR="00367059">
        <w:rPr>
          <w:rFonts w:ascii="Avenir Next" w:hAnsi="Avenir Next" w:cs="Arial"/>
          <w:color w:val="808080" w:themeColor="background1" w:themeShade="80"/>
          <w:sz w:val="22"/>
          <w:szCs w:val="22"/>
          <w:lang w:val="en-GB"/>
        </w:rPr>
        <w:t xml:space="preserve">he court in </w:t>
      </w:r>
      <w:r w:rsidR="00367059">
        <w:rPr>
          <w:rFonts w:ascii="Avenir Next" w:hAnsi="Avenir Next" w:cs="Arial"/>
          <w:i/>
          <w:iCs/>
          <w:color w:val="808080" w:themeColor="background1" w:themeShade="80"/>
          <w:sz w:val="22"/>
          <w:szCs w:val="22"/>
          <w:lang w:val="en-GB"/>
        </w:rPr>
        <w:t>SCAF</w:t>
      </w:r>
      <w:r w:rsidR="00367059">
        <w:rPr>
          <w:rFonts w:ascii="Avenir Next" w:hAnsi="Avenir Next" w:cs="Arial"/>
          <w:color w:val="808080" w:themeColor="background1" w:themeShade="80"/>
          <w:sz w:val="22"/>
          <w:szCs w:val="22"/>
          <w:lang w:val="en-GB"/>
        </w:rPr>
        <w:t xml:space="preserve"> appointed provisional liquidators arising from the latter circumstance. Having found that there was a good prima facie case for the winding up order to be made against the subject, it noted at [80] that the company in question did not “[act] as one might expect a company in its position to act”. This included failures to communicate a “highly critical development” to key investors in the company (at [80]), and having made poor decisions such as to “favour its own continued existence rather than the discharge of its obligations” to said key investors (at [84]). For this, and other reasons</w:t>
      </w:r>
      <w:r w:rsidR="009E66A1">
        <w:rPr>
          <w:rFonts w:ascii="Avenir Next" w:hAnsi="Avenir Next" w:cs="Arial"/>
          <w:color w:val="808080" w:themeColor="background1" w:themeShade="80"/>
          <w:sz w:val="22"/>
          <w:szCs w:val="22"/>
          <w:lang w:val="en-GB"/>
        </w:rPr>
        <w:t>, Geoffrey Bell (acting as Puisne Judge) held at [86] that the company “</w:t>
      </w:r>
      <w:r w:rsidR="009E66A1">
        <w:rPr>
          <w:rFonts w:ascii="Avenir Next" w:hAnsi="Avenir Next" w:cs="Arial"/>
          <w:color w:val="808080" w:themeColor="background1" w:themeShade="80"/>
          <w:sz w:val="22"/>
          <w:szCs w:val="22"/>
        </w:rPr>
        <w:t>need[ed]</w:t>
      </w:r>
      <w:r w:rsidR="009E66A1" w:rsidRPr="009E66A1">
        <w:rPr>
          <w:rFonts w:ascii="Avenir Next" w:hAnsi="Avenir Next" w:cs="Arial"/>
          <w:color w:val="808080" w:themeColor="background1" w:themeShade="80"/>
          <w:sz w:val="22"/>
          <w:szCs w:val="22"/>
        </w:rPr>
        <w:t xml:space="preserve"> to be under the control of joint provisional liquidators who are officers of the Court, rather than under the control of the present board of directors.</w:t>
      </w:r>
      <w:r w:rsidR="009E66A1">
        <w:rPr>
          <w:rFonts w:ascii="Avenir Next" w:hAnsi="Avenir Next" w:cs="Arial"/>
          <w:color w:val="808080" w:themeColor="background1" w:themeShade="80"/>
          <w:sz w:val="22"/>
          <w:szCs w:val="22"/>
          <w:lang w:val="en-GB"/>
        </w:rPr>
        <w:t xml:space="preserve">” </w:t>
      </w:r>
    </w:p>
    <w:p w14:paraId="634ED961" w14:textId="77CBA702" w:rsidR="00B1461F" w:rsidRDefault="00B1461F" w:rsidP="008E79A7">
      <w:pPr>
        <w:ind w:right="851"/>
        <w:rPr>
          <w:rFonts w:ascii="Avenir Next" w:hAnsi="Avenir Next" w:cs="Arial"/>
          <w:color w:val="808080" w:themeColor="background1" w:themeShade="80"/>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78CD2B1D" w14:textId="32585796" w:rsidR="00BA7A7E" w:rsidRDefault="00BA7A7E" w:rsidP="00BA7A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37 of the Bankruptcy Act 1989 provides for mandatory set-offs in the event of a liquidation in Bermuda. However, set-off can only be exercised after the commencement of liquidation if (a) the debts giving rise to the set-off were incurred prior to the commencement of liquidation and have crystallized as monetary payment liabilities; (b) the transaction giving rise to the debts was not a fraudulent preference or a fraudulent conveyance; or (c) the dealings between the parties were mutual (Guidance Text at p 11).</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0E0B3635" w:rsidR="00514451" w:rsidRDefault="008A240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the exact nature and manner in which security is taken </w:t>
      </w:r>
      <w:r>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subject to the terms of the relevant security documents</w:t>
      </w:r>
      <w:r>
        <w:rPr>
          <w:rFonts w:ascii="Avenir Next" w:hAnsi="Avenir Next" w:cs="Arial"/>
          <w:color w:val="808080" w:themeColor="background1" w:themeShade="80"/>
          <w:sz w:val="22"/>
          <w:szCs w:val="22"/>
          <w:lang w:val="en-GB"/>
        </w:rPr>
        <w:t>; the nature of the property, and the nature of the debtor’s interest. To name three forms of security (amongst others), s</w:t>
      </w:r>
      <w:r w:rsidR="00E57D9D">
        <w:rPr>
          <w:rFonts w:ascii="Avenir Next" w:hAnsi="Avenir Next" w:cs="Arial"/>
          <w:color w:val="808080" w:themeColor="background1" w:themeShade="80"/>
          <w:sz w:val="22"/>
          <w:szCs w:val="22"/>
          <w:lang w:val="en-GB"/>
        </w:rPr>
        <w:t>ecurity over assets may be taken by way of (a) legal mortgage; (b) equitable mortgage; and (c) fixed charges</w:t>
      </w:r>
      <w:r>
        <w:rPr>
          <w:rFonts w:ascii="Avenir Next" w:hAnsi="Avenir Next" w:cs="Arial"/>
          <w:color w:val="808080" w:themeColor="background1" w:themeShade="80"/>
          <w:sz w:val="22"/>
          <w:szCs w:val="22"/>
          <w:lang w:val="en-GB"/>
        </w:rPr>
        <w:t>.</w:t>
      </w:r>
    </w:p>
    <w:p w14:paraId="61103B92" w14:textId="77777777" w:rsidR="00E57D9D" w:rsidRDefault="00E57D9D" w:rsidP="00514451">
      <w:pPr>
        <w:jc w:val="both"/>
        <w:rPr>
          <w:rFonts w:ascii="Avenir Next" w:hAnsi="Avenir Next" w:cs="Arial"/>
          <w:color w:val="808080" w:themeColor="background1" w:themeShade="80"/>
          <w:sz w:val="22"/>
          <w:szCs w:val="22"/>
          <w:lang w:val="en-GB"/>
        </w:rPr>
      </w:pPr>
    </w:p>
    <w:p w14:paraId="583091C8" w14:textId="68C3FA1D" w:rsidR="00E57D9D" w:rsidRDefault="00E57D9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may take security over property by way of legal mortgage through the transfer of legal title of the debtor’s property to the creditor as security for a debt. While the debtor remains in possession of the property, legal title will only be reconveyed to the debtor upon payment and satisfaction of the debt to the creditor.</w:t>
      </w:r>
    </w:p>
    <w:p w14:paraId="7B11452A" w14:textId="77777777" w:rsidR="00E57D9D" w:rsidRDefault="00E57D9D" w:rsidP="00514451">
      <w:pPr>
        <w:jc w:val="both"/>
        <w:rPr>
          <w:rFonts w:ascii="Avenir Next" w:hAnsi="Avenir Next" w:cs="Arial"/>
          <w:color w:val="808080" w:themeColor="background1" w:themeShade="80"/>
          <w:sz w:val="22"/>
          <w:szCs w:val="22"/>
          <w:lang w:val="en-GB"/>
        </w:rPr>
      </w:pPr>
    </w:p>
    <w:p w14:paraId="67610092" w14:textId="3201F7EB" w:rsidR="00E57D9D" w:rsidRDefault="00E57D9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Where an equitable mortgage is concerned, the debtor retains legal title to and possession of the property, but transfers the beneficial interest in the property to the creditor. </w:t>
      </w:r>
      <w:proofErr w:type="gramStart"/>
      <w:r>
        <w:rPr>
          <w:rFonts w:ascii="Avenir Next" w:hAnsi="Avenir Next" w:cs="Arial"/>
          <w:color w:val="808080" w:themeColor="background1" w:themeShade="80"/>
          <w:sz w:val="22"/>
          <w:szCs w:val="22"/>
          <w:lang w:val="en-GB"/>
        </w:rPr>
        <w:t>Notably,  an</w:t>
      </w:r>
      <w:proofErr w:type="gramEnd"/>
      <w:r>
        <w:rPr>
          <w:rFonts w:ascii="Avenir Next" w:hAnsi="Avenir Next" w:cs="Arial"/>
          <w:color w:val="808080" w:themeColor="background1" w:themeShade="80"/>
          <w:sz w:val="22"/>
          <w:szCs w:val="22"/>
          <w:lang w:val="en-GB"/>
        </w:rPr>
        <w:t xml:space="preserve"> equitable mortgage does not take priority over third party who acquires, without notice of the creditor’s beneficial interest, legal title to the property in good faith and for value.</w:t>
      </w:r>
    </w:p>
    <w:p w14:paraId="19793906" w14:textId="77777777" w:rsidR="00E57D9D" w:rsidRDefault="00E57D9D" w:rsidP="00514451">
      <w:pPr>
        <w:jc w:val="both"/>
        <w:rPr>
          <w:rFonts w:ascii="Avenir Next" w:hAnsi="Avenir Next" w:cs="Arial"/>
          <w:color w:val="808080" w:themeColor="background1" w:themeShade="80"/>
          <w:sz w:val="22"/>
          <w:szCs w:val="22"/>
          <w:lang w:val="en-GB"/>
        </w:rPr>
      </w:pPr>
    </w:p>
    <w:p w14:paraId="79D0178C" w14:textId="79720678" w:rsidR="00E57D9D" w:rsidRDefault="00E57D9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charges give creditors the right to take possession of the property with a right of sale in the event of a default by the debtor. They do not result in the transfer of legal or beneficial ownership. Upon sale, the proceeds of sale may be applied by the creditor towards payment of the debt in priority to and without reference to other unsecured creditors. </w:t>
      </w:r>
      <w:r w:rsidR="00BB1088">
        <w:rPr>
          <w:rFonts w:ascii="Avenir Next" w:hAnsi="Avenir Next" w:cs="Arial"/>
          <w:color w:val="808080" w:themeColor="background1" w:themeShade="80"/>
          <w:sz w:val="22"/>
          <w:szCs w:val="22"/>
          <w:lang w:val="en-GB"/>
        </w:rPr>
        <w:t xml:space="preserve">Depending on the precise terms </w:t>
      </w:r>
      <w:r w:rsidR="008578F5">
        <w:rPr>
          <w:rFonts w:ascii="Avenir Next" w:hAnsi="Avenir Next" w:cs="Arial"/>
          <w:color w:val="808080" w:themeColor="background1" w:themeShade="80"/>
          <w:sz w:val="22"/>
          <w:szCs w:val="22"/>
          <w:lang w:val="en-GB"/>
        </w:rPr>
        <w:t>of</w:t>
      </w:r>
      <w:r w:rsidR="00BB1088">
        <w:rPr>
          <w:rFonts w:ascii="Avenir Next" w:hAnsi="Avenir Next" w:cs="Arial"/>
          <w:color w:val="808080" w:themeColor="background1" w:themeShade="80"/>
          <w:sz w:val="22"/>
          <w:szCs w:val="22"/>
          <w:lang w:val="en-GB"/>
        </w:rPr>
        <w:t xml:space="preserve"> the parties’ agreement, t</w:t>
      </w:r>
      <w:r>
        <w:rPr>
          <w:rFonts w:ascii="Avenir Next" w:hAnsi="Avenir Next" w:cs="Arial"/>
          <w:color w:val="808080" w:themeColor="background1" w:themeShade="80"/>
          <w:sz w:val="22"/>
          <w:szCs w:val="22"/>
          <w:lang w:val="en-GB"/>
        </w:rPr>
        <w:t>he debtor generally may not deal with any property subject to a fixed charge without the creditor’s consent.</w:t>
      </w:r>
      <w:r w:rsidR="00BB1088">
        <w:rPr>
          <w:rFonts w:ascii="Avenir Next" w:hAnsi="Avenir Next" w:cs="Arial"/>
          <w:color w:val="808080" w:themeColor="background1" w:themeShade="80"/>
          <w:sz w:val="22"/>
          <w:szCs w:val="22"/>
          <w:lang w:val="en-GB"/>
        </w:rPr>
        <w:t xml:space="preserve"> </w:t>
      </w:r>
    </w:p>
    <w:p w14:paraId="205166E7" w14:textId="77777777" w:rsidR="00A06BD4" w:rsidRDefault="00A06BD4" w:rsidP="00514451">
      <w:pPr>
        <w:jc w:val="both"/>
        <w:rPr>
          <w:rFonts w:ascii="Avenir Next" w:hAnsi="Avenir Next" w:cs="Arial"/>
          <w:color w:val="808080" w:themeColor="background1" w:themeShade="80"/>
          <w:sz w:val="22"/>
          <w:szCs w:val="22"/>
          <w:lang w:val="en-GB"/>
        </w:rPr>
      </w:pPr>
    </w:p>
    <w:p w14:paraId="13D713E0" w14:textId="735595D5" w:rsidR="00A06BD4" w:rsidRPr="00E57D9D" w:rsidRDefault="008A240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A06BD4">
        <w:rPr>
          <w:rFonts w:ascii="Avenir Next" w:hAnsi="Avenir Next" w:cs="Arial"/>
          <w:color w:val="808080" w:themeColor="background1" w:themeShade="80"/>
          <w:sz w:val="22"/>
          <w:szCs w:val="22"/>
          <w:lang w:val="en-GB"/>
        </w:rPr>
        <w:t xml:space="preserve">he creditor should also file details of the security (as well as either an original or certified copy of the security document) with the Registrar of Companies in Bermuda. The effect of registration is that these secured assets will have priority over any security interests which are not registered or which are subsequently registered in the Register of Charges. Further (and this is relevant in the case of equitable mortgages), registration in this manner provides constructive notice of the existence of the security to third parties. </w:t>
      </w:r>
    </w:p>
    <w:p w14:paraId="3D22B102" w14:textId="736326E4"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4E5C9671" w14:textId="5CEA718C" w:rsidR="0001050B" w:rsidRDefault="0001050B" w:rsidP="0001050B">
      <w:pPr>
        <w:jc w:val="both"/>
        <w:rPr>
          <w:rFonts w:ascii="Avenir Next" w:hAnsi="Avenir Next" w:cs="Arial"/>
          <w:color w:val="808080" w:themeColor="background1" w:themeShade="80"/>
          <w:sz w:val="22"/>
          <w:szCs w:val="22"/>
          <w:lang w:val="en-GB"/>
        </w:rPr>
      </w:pPr>
    </w:p>
    <w:p w14:paraId="3CD45EA1" w14:textId="40C3B60F" w:rsidR="00B71260" w:rsidRPr="00696EB0" w:rsidRDefault="00EF43CB"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695984">
        <w:rPr>
          <w:rFonts w:ascii="Avenir Next" w:hAnsi="Avenir Next" w:cs="Arial"/>
          <w:color w:val="808080" w:themeColor="background1" w:themeShade="80"/>
          <w:sz w:val="22"/>
          <w:szCs w:val="22"/>
          <w:lang w:val="en-GB"/>
        </w:rPr>
        <w:t xml:space="preserve">he recognition and assistance of foreign liquidators </w:t>
      </w:r>
      <w:r w:rsidR="009A0321">
        <w:rPr>
          <w:rFonts w:ascii="Avenir Next" w:hAnsi="Avenir Next" w:cs="Arial"/>
          <w:color w:val="808080" w:themeColor="background1" w:themeShade="80"/>
          <w:sz w:val="22"/>
          <w:szCs w:val="22"/>
          <w:lang w:val="en-GB"/>
        </w:rPr>
        <w:t>take</w:t>
      </w:r>
      <w:r w:rsidR="00695984">
        <w:rPr>
          <w:rFonts w:ascii="Avenir Next" w:hAnsi="Avenir Next" w:cs="Arial"/>
          <w:color w:val="808080" w:themeColor="background1" w:themeShade="80"/>
          <w:sz w:val="22"/>
          <w:szCs w:val="22"/>
          <w:lang w:val="en-GB"/>
        </w:rPr>
        <w:t xml:space="preserve"> place under</w:t>
      </w:r>
      <w:r>
        <w:rPr>
          <w:rFonts w:ascii="Avenir Next" w:hAnsi="Avenir Next" w:cs="Arial"/>
          <w:color w:val="808080" w:themeColor="background1" w:themeShade="80"/>
          <w:sz w:val="22"/>
          <w:szCs w:val="22"/>
          <w:lang w:val="en-GB"/>
        </w:rPr>
        <w:t xml:space="preserve"> the</w:t>
      </w:r>
      <w:r w:rsidR="00695984">
        <w:rPr>
          <w:rFonts w:ascii="Avenir Next" w:hAnsi="Avenir Next" w:cs="Arial"/>
          <w:color w:val="808080" w:themeColor="background1" w:themeShade="80"/>
          <w:sz w:val="22"/>
          <w:szCs w:val="22"/>
          <w:lang w:val="en-GB"/>
        </w:rPr>
        <w:t xml:space="preserve"> common law in </w:t>
      </w:r>
      <w:r w:rsidR="00B71260">
        <w:rPr>
          <w:rFonts w:ascii="Avenir Next" w:hAnsi="Avenir Next" w:cs="Arial"/>
          <w:color w:val="808080" w:themeColor="background1" w:themeShade="80"/>
          <w:sz w:val="22"/>
          <w:szCs w:val="22"/>
          <w:lang w:val="en-GB"/>
        </w:rPr>
        <w:t>Bermuda</w:t>
      </w:r>
      <w:r w:rsidR="00F63F19">
        <w:rPr>
          <w:rFonts w:ascii="Avenir Next" w:hAnsi="Avenir Next" w:cs="Arial"/>
          <w:color w:val="808080" w:themeColor="background1" w:themeShade="80"/>
          <w:sz w:val="22"/>
          <w:szCs w:val="22"/>
          <w:lang w:val="en-GB"/>
        </w:rPr>
        <w:t xml:space="preserve">. </w:t>
      </w:r>
      <w:r w:rsidR="002D053A">
        <w:rPr>
          <w:rFonts w:ascii="Avenir Next" w:hAnsi="Avenir Next" w:cs="Arial"/>
          <w:color w:val="808080" w:themeColor="background1" w:themeShade="80"/>
          <w:sz w:val="22"/>
          <w:szCs w:val="22"/>
          <w:lang w:val="en-GB"/>
        </w:rPr>
        <w:t xml:space="preserve">Unlike </w:t>
      </w:r>
      <w:r w:rsidR="00D57220">
        <w:rPr>
          <w:rFonts w:ascii="Avenir Next" w:hAnsi="Avenir Next" w:cs="Arial"/>
          <w:color w:val="808080" w:themeColor="background1" w:themeShade="80"/>
          <w:sz w:val="22"/>
          <w:szCs w:val="22"/>
          <w:lang w:val="en-GB"/>
        </w:rPr>
        <w:t xml:space="preserve">other jurisdictions such as the UK, </w:t>
      </w:r>
      <w:r w:rsidR="00F63F19">
        <w:rPr>
          <w:rFonts w:ascii="Avenir Next" w:hAnsi="Avenir Next" w:cs="Arial"/>
          <w:color w:val="808080" w:themeColor="background1" w:themeShade="80"/>
          <w:sz w:val="22"/>
          <w:szCs w:val="22"/>
          <w:lang w:val="en-GB"/>
        </w:rPr>
        <w:t>Bermuda</w:t>
      </w:r>
      <w:r w:rsidR="00B71260">
        <w:rPr>
          <w:rFonts w:ascii="Avenir Next" w:hAnsi="Avenir Next" w:cs="Arial"/>
          <w:color w:val="808080" w:themeColor="background1" w:themeShade="80"/>
          <w:sz w:val="22"/>
          <w:szCs w:val="22"/>
          <w:lang w:val="en-GB"/>
        </w:rPr>
        <w:t xml:space="preserve"> has not enacted local legislation incorporating the centre of main interest test set out in the UNCITRAL Model Law on Cross Border Insolvency</w:t>
      </w:r>
      <w:r w:rsidR="00F63F19">
        <w:rPr>
          <w:rFonts w:ascii="Avenir Next" w:hAnsi="Avenir Next" w:cs="Arial"/>
          <w:color w:val="808080" w:themeColor="background1" w:themeShade="80"/>
          <w:sz w:val="22"/>
          <w:szCs w:val="22"/>
          <w:lang w:val="en-GB"/>
        </w:rPr>
        <w:t xml:space="preserve">, nor does Bermuda have any statutory </w:t>
      </w:r>
      <w:r w:rsidR="009A0321">
        <w:rPr>
          <w:rFonts w:ascii="Avenir Next" w:hAnsi="Avenir Next" w:cs="Arial"/>
          <w:color w:val="808080" w:themeColor="background1" w:themeShade="80"/>
          <w:sz w:val="22"/>
          <w:szCs w:val="22"/>
          <w:lang w:val="en-GB"/>
        </w:rPr>
        <w:t>analogue</w:t>
      </w:r>
      <w:r w:rsidR="00F63F19">
        <w:rPr>
          <w:rFonts w:ascii="Avenir Next" w:hAnsi="Avenir Next" w:cs="Arial"/>
          <w:color w:val="808080" w:themeColor="background1" w:themeShade="80"/>
          <w:sz w:val="22"/>
          <w:szCs w:val="22"/>
          <w:lang w:val="en-GB"/>
        </w:rPr>
        <w:t xml:space="preserve"> to Chapter 15 of the US’s Bankruptcy Code, or the UK’s Cross-Border Insolvency Regulations 2006.</w:t>
      </w:r>
      <w:r w:rsidR="009A0321">
        <w:rPr>
          <w:rFonts w:ascii="Avenir Next" w:hAnsi="Avenir Next" w:cs="Arial"/>
          <w:color w:val="808080" w:themeColor="background1" w:themeShade="80"/>
          <w:sz w:val="22"/>
          <w:szCs w:val="22"/>
          <w:lang w:val="en-GB"/>
        </w:rPr>
        <w:t xml:space="preserve"> Notwithstanding this, the court has indicated its willingness to take into account all the circumstances of the case (</w:t>
      </w:r>
      <w:r w:rsidR="009A0321">
        <w:rPr>
          <w:rFonts w:ascii="Avenir Next" w:hAnsi="Avenir Next" w:cs="Arial"/>
          <w:i/>
          <w:iCs/>
          <w:color w:val="808080" w:themeColor="background1" w:themeShade="80"/>
          <w:sz w:val="22"/>
          <w:szCs w:val="22"/>
          <w:lang w:val="en-GB"/>
        </w:rPr>
        <w:t xml:space="preserve">including </w:t>
      </w:r>
      <w:r w:rsidR="009A0321">
        <w:rPr>
          <w:rFonts w:ascii="Avenir Next" w:hAnsi="Avenir Next" w:cs="Arial"/>
          <w:color w:val="808080" w:themeColor="background1" w:themeShade="80"/>
          <w:sz w:val="22"/>
          <w:szCs w:val="22"/>
          <w:lang w:val="en-GB"/>
        </w:rPr>
        <w:t>concepts such the company’s COMI) in addressing the question (</w:t>
      </w:r>
      <w:r w:rsidR="009A0321">
        <w:rPr>
          <w:rFonts w:ascii="Avenir Next" w:hAnsi="Avenir Next" w:cs="Arial"/>
          <w:i/>
          <w:iCs/>
          <w:color w:val="808080" w:themeColor="background1" w:themeShade="80"/>
          <w:sz w:val="22"/>
          <w:szCs w:val="22"/>
          <w:lang w:val="en-GB"/>
        </w:rPr>
        <w:t xml:space="preserve">Re C&amp;J Energy Services Ltd </w:t>
      </w:r>
      <w:r w:rsidR="009A0321">
        <w:rPr>
          <w:rFonts w:ascii="Avenir Next" w:hAnsi="Avenir Next" w:cs="Arial"/>
          <w:color w:val="808080" w:themeColor="background1" w:themeShade="80"/>
          <w:sz w:val="22"/>
          <w:szCs w:val="22"/>
          <w:lang w:val="en-GB"/>
        </w:rPr>
        <w:t xml:space="preserve">[2017] </w:t>
      </w:r>
      <w:proofErr w:type="spellStart"/>
      <w:r w:rsidR="009A0321">
        <w:rPr>
          <w:rFonts w:ascii="Avenir Next" w:hAnsi="Avenir Next" w:cs="Arial"/>
          <w:color w:val="808080" w:themeColor="background1" w:themeShade="80"/>
          <w:sz w:val="22"/>
          <w:szCs w:val="22"/>
          <w:lang w:val="en-GB"/>
        </w:rPr>
        <w:t>Bda</w:t>
      </w:r>
      <w:proofErr w:type="spellEnd"/>
      <w:r w:rsidR="009A0321">
        <w:rPr>
          <w:rFonts w:ascii="Avenir Next" w:hAnsi="Avenir Next" w:cs="Arial"/>
          <w:color w:val="808080" w:themeColor="background1" w:themeShade="80"/>
          <w:sz w:val="22"/>
          <w:szCs w:val="22"/>
          <w:lang w:val="en-GB"/>
        </w:rPr>
        <w:t xml:space="preserve"> LR 22.</w:t>
      </w:r>
      <w:r w:rsidR="00696EB0">
        <w:rPr>
          <w:rFonts w:ascii="Avenir Next" w:hAnsi="Avenir Next" w:cs="Arial"/>
          <w:color w:val="808080" w:themeColor="background1" w:themeShade="80"/>
          <w:sz w:val="22"/>
          <w:szCs w:val="22"/>
          <w:lang w:val="en-GB"/>
        </w:rPr>
        <w:t xml:space="preserve"> Similarly,, following the Privy Council decision </w:t>
      </w:r>
      <w:r w:rsidR="00696EB0">
        <w:rPr>
          <w:rFonts w:ascii="Avenir Next" w:hAnsi="Avenir Next" w:cs="Arial"/>
          <w:i/>
          <w:iCs/>
          <w:color w:val="808080" w:themeColor="background1" w:themeShade="80"/>
          <w:sz w:val="22"/>
          <w:szCs w:val="22"/>
          <w:lang w:val="en-GB"/>
        </w:rPr>
        <w:t>Cambridge Gas Transportation Corp v Navigator Holdings plc</w:t>
      </w:r>
      <w:r w:rsidR="00696EB0">
        <w:rPr>
          <w:rFonts w:ascii="Avenir Next" w:hAnsi="Avenir Next" w:cs="Arial"/>
          <w:color w:val="808080" w:themeColor="background1" w:themeShade="80"/>
          <w:sz w:val="22"/>
          <w:szCs w:val="22"/>
          <w:lang w:val="en-GB"/>
        </w:rPr>
        <w:t xml:space="preserve"> [2007]1 AC 508, it has been held that as a matter of common law, the Supreme Court of Bermuda may recognise liquidators appointed by the court of the company’s domicile and the effects of a winding up order made by that court, and has a discretion pursuant to such recognition to assist the primary liquidation court by doing </w:t>
      </w:r>
      <w:proofErr w:type="spellStart"/>
      <w:r w:rsidR="00696EB0">
        <w:rPr>
          <w:rFonts w:ascii="Avenir Next" w:hAnsi="Avenir Next" w:cs="Arial"/>
          <w:color w:val="808080" w:themeColor="background1" w:themeShade="80"/>
          <w:sz w:val="22"/>
          <w:szCs w:val="22"/>
          <w:lang w:val="en-GB"/>
        </w:rPr>
        <w:t>what ever</w:t>
      </w:r>
      <w:proofErr w:type="spellEnd"/>
      <w:r w:rsidR="00696EB0">
        <w:rPr>
          <w:rFonts w:ascii="Avenir Next" w:hAnsi="Avenir Next" w:cs="Arial"/>
          <w:color w:val="808080" w:themeColor="background1" w:themeShade="80"/>
          <w:sz w:val="22"/>
          <w:szCs w:val="22"/>
          <w:lang w:val="en-GB"/>
        </w:rPr>
        <w:t xml:space="preserve"> it could have done in the case of a domestic insolvency.</w:t>
      </w:r>
    </w:p>
    <w:p w14:paraId="3D3C82ED" w14:textId="77777777" w:rsidR="009A0321" w:rsidRDefault="009A0321" w:rsidP="0001050B">
      <w:pPr>
        <w:jc w:val="both"/>
        <w:rPr>
          <w:rFonts w:ascii="Avenir Next" w:hAnsi="Avenir Next" w:cs="Arial"/>
          <w:color w:val="808080" w:themeColor="background1" w:themeShade="80"/>
          <w:sz w:val="22"/>
          <w:szCs w:val="22"/>
          <w:lang w:val="en-GB"/>
        </w:rPr>
      </w:pPr>
    </w:p>
    <w:p w14:paraId="58EA4FB3" w14:textId="20F638FB" w:rsidR="0005117C" w:rsidRDefault="0005117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 Court is likely to recognise the winding-up orders of foreign courts </w:t>
      </w:r>
      <w:r w:rsidR="00495B39">
        <w:rPr>
          <w:rFonts w:ascii="Avenir Next" w:hAnsi="Avenir Next" w:cs="Arial"/>
          <w:color w:val="808080" w:themeColor="background1" w:themeShade="80"/>
          <w:sz w:val="22"/>
          <w:szCs w:val="22"/>
          <w:lang w:val="en-GB"/>
        </w:rPr>
        <w:t>and to assist foreign liquidators to the fullest extent in circumstances where:</w:t>
      </w:r>
    </w:p>
    <w:p w14:paraId="671C345D" w14:textId="77777777" w:rsidR="00495B39" w:rsidRDefault="00495B39" w:rsidP="0001050B">
      <w:pPr>
        <w:jc w:val="both"/>
        <w:rPr>
          <w:rFonts w:ascii="Avenir Next" w:hAnsi="Avenir Next" w:cs="Arial"/>
          <w:color w:val="808080" w:themeColor="background1" w:themeShade="80"/>
          <w:sz w:val="22"/>
          <w:szCs w:val="22"/>
          <w:lang w:val="en-GB"/>
        </w:rPr>
      </w:pPr>
    </w:p>
    <w:p w14:paraId="03F365A2" w14:textId="1CABBF61" w:rsidR="00495B39" w:rsidRDefault="00495B39" w:rsidP="00495B39">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“sufficient connection” between the foreign court’s jurisdiction and the foreign company making it the most appropriate, or </w:t>
      </w:r>
      <w:proofErr w:type="gramStart"/>
      <w:r>
        <w:rPr>
          <w:rFonts w:ascii="Avenir Next" w:hAnsi="Avenir Next" w:cs="Arial"/>
          <w:color w:val="808080" w:themeColor="background1" w:themeShade="80"/>
          <w:sz w:val="22"/>
          <w:szCs w:val="22"/>
          <w:lang w:val="en-GB"/>
        </w:rPr>
        <w:t>the ”most</w:t>
      </w:r>
      <w:proofErr w:type="gramEnd"/>
      <w:r>
        <w:rPr>
          <w:rFonts w:ascii="Avenir Next" w:hAnsi="Avenir Next" w:cs="Arial"/>
          <w:color w:val="808080" w:themeColor="background1" w:themeShade="80"/>
          <w:sz w:val="22"/>
          <w:szCs w:val="22"/>
          <w:lang w:val="en-GB"/>
        </w:rPr>
        <w:t xml:space="preserve"> convenient” jurisdiction to have made an order for the winding-up of the company and appointment of foreign liquidators;</w:t>
      </w:r>
    </w:p>
    <w:p w14:paraId="5736203F" w14:textId="62820658" w:rsidR="00495B39" w:rsidRDefault="00495B39" w:rsidP="00495B39">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documents, assets, or liabilities of the foreign company within the jurisdiction of Bermuda; the foreign company has conducted business or operations within, or from, the jurisdiction of Bermuda, whether directly or by agents or by branches; the foreign company has former directors, officers, managers within the jurisdiction of Bermuda; and /or the foreign company properly needs to be involved in litigation or arbitration within the jurisdiction of Bermuda; and</w:t>
      </w:r>
    </w:p>
    <w:p w14:paraId="06CCC86A" w14:textId="0BB25337" w:rsidR="00495B39" w:rsidRPr="00495B39" w:rsidRDefault="00495B39" w:rsidP="00495B39">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public policy reason under Bermudian law to the contrary such as unfairness or prejudice to local Bermudian creditors.</w:t>
      </w:r>
    </w:p>
    <w:p w14:paraId="650766A5" w14:textId="77777777" w:rsidR="009A0321" w:rsidRDefault="009A0321" w:rsidP="0001050B">
      <w:pPr>
        <w:jc w:val="both"/>
        <w:rPr>
          <w:rFonts w:ascii="Avenir Next" w:hAnsi="Avenir Next" w:cs="Arial"/>
          <w:color w:val="808080" w:themeColor="background1" w:themeShade="80"/>
          <w:sz w:val="22"/>
          <w:szCs w:val="22"/>
          <w:lang w:val="en-GB"/>
        </w:rPr>
      </w:pPr>
    </w:p>
    <w:p w14:paraId="1A3224B9" w14:textId="19F06B37" w:rsidR="0005117C" w:rsidRDefault="0005117C"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liquidators should also pay heed to the Practice Directions issued by the Supreme Court of Bermuda, which have set out guidelines applicable to court-to-court communications in cross-border cases. </w:t>
      </w:r>
      <w:r w:rsidR="00D57220">
        <w:rPr>
          <w:rFonts w:ascii="Avenir Next" w:hAnsi="Avenir Next" w:cs="Arial"/>
          <w:color w:val="808080" w:themeColor="background1" w:themeShade="80"/>
          <w:sz w:val="22"/>
          <w:szCs w:val="22"/>
          <w:lang w:val="en-GB"/>
        </w:rPr>
        <w:t xml:space="preserve">This is because court-to-court cooperation is necessary in the event of parallel liquidations, which is oft the case </w:t>
      </w:r>
      <w:r w:rsidR="00413EB9">
        <w:rPr>
          <w:rFonts w:ascii="Avenir Next" w:hAnsi="Avenir Next" w:cs="Arial"/>
          <w:color w:val="808080" w:themeColor="background1" w:themeShade="80"/>
          <w:sz w:val="22"/>
          <w:szCs w:val="22"/>
          <w:lang w:val="en-GB"/>
        </w:rPr>
        <w:t>with</w:t>
      </w:r>
      <w:r w:rsidR="00D57220">
        <w:rPr>
          <w:rFonts w:ascii="Avenir Next" w:hAnsi="Avenir Next" w:cs="Arial"/>
          <w:color w:val="808080" w:themeColor="background1" w:themeShade="80"/>
          <w:sz w:val="22"/>
          <w:szCs w:val="22"/>
          <w:lang w:val="en-GB"/>
        </w:rPr>
        <w:t xml:space="preserve"> </w:t>
      </w:r>
      <w:r w:rsidR="00413EB9">
        <w:rPr>
          <w:rFonts w:ascii="Avenir Next" w:hAnsi="Avenir Next" w:cs="Arial"/>
          <w:color w:val="808080" w:themeColor="background1" w:themeShade="80"/>
          <w:sz w:val="22"/>
          <w:szCs w:val="22"/>
          <w:lang w:val="en-GB"/>
        </w:rPr>
        <w:t>companies incorporated in Bermuda that engage in business activities in foreign jurisdictions.</w:t>
      </w:r>
    </w:p>
    <w:p w14:paraId="17A4D139" w14:textId="77777777" w:rsidR="00033E82" w:rsidRDefault="00033E82" w:rsidP="0001050B">
      <w:pPr>
        <w:jc w:val="both"/>
        <w:rPr>
          <w:rFonts w:ascii="Avenir Next" w:hAnsi="Avenir Next" w:cs="Arial"/>
          <w:color w:val="808080" w:themeColor="background1" w:themeShade="80"/>
          <w:sz w:val="22"/>
          <w:szCs w:val="22"/>
          <w:lang w:val="en-GB"/>
        </w:rPr>
      </w:pPr>
    </w:p>
    <w:p w14:paraId="47A03124" w14:textId="770831A9" w:rsidR="00033E82" w:rsidRPr="009A0321" w:rsidRDefault="00ED7B47"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the extent of the power of assistance by the Bermudan court, the general position is that the court is limited to granting assistance to the extent that such assistance is both available from the Bermuda court and the foreign Court, and consistent with public policy (</w:t>
      </w:r>
      <w:r>
        <w:rPr>
          <w:rFonts w:ascii="Avenir Next" w:hAnsi="Avenir Next" w:cs="Arial"/>
          <w:i/>
          <w:iCs/>
          <w:color w:val="808080" w:themeColor="background1" w:themeShade="80"/>
          <w:sz w:val="22"/>
          <w:szCs w:val="22"/>
          <w:lang w:val="en-GB"/>
        </w:rPr>
        <w:t>PwC v Saad</w:t>
      </w:r>
      <w:r w:rsidR="002A7BAD">
        <w:rPr>
          <w:rFonts w:ascii="Avenir Next" w:hAnsi="Avenir Next" w:cs="Arial"/>
          <w:i/>
          <w:iCs/>
          <w:color w:val="808080" w:themeColor="background1" w:themeShade="80"/>
          <w:sz w:val="22"/>
          <w:szCs w:val="22"/>
          <w:lang w:val="en-GB"/>
        </w:rPr>
        <w:t xml:space="preserve"> </w:t>
      </w:r>
      <w:r w:rsidR="002A7BAD">
        <w:rPr>
          <w:rFonts w:ascii="Avenir Next" w:hAnsi="Avenir Next" w:cs="Arial"/>
          <w:color w:val="808080" w:themeColor="background1" w:themeShade="80"/>
          <w:sz w:val="22"/>
          <w:szCs w:val="22"/>
          <w:lang w:val="en-GB"/>
        </w:rPr>
        <w:t>[2014] UKPC 35</w:t>
      </w:r>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Singularis</w:t>
      </w:r>
      <w:proofErr w:type="spellEnd"/>
      <w:r w:rsidR="00696EB0">
        <w:rPr>
          <w:rFonts w:ascii="Avenir Next" w:hAnsi="Avenir Next" w:cs="Arial"/>
          <w:i/>
          <w:iCs/>
          <w:color w:val="808080" w:themeColor="background1" w:themeShade="80"/>
          <w:sz w:val="22"/>
          <w:szCs w:val="22"/>
          <w:lang w:val="en-GB"/>
        </w:rPr>
        <w:t xml:space="preserve"> v PwC </w:t>
      </w:r>
      <w:r w:rsidR="00696EB0">
        <w:rPr>
          <w:rFonts w:ascii="Avenir Next" w:hAnsi="Avenir Next" w:cs="Arial"/>
          <w:color w:val="808080" w:themeColor="background1" w:themeShade="80"/>
          <w:sz w:val="22"/>
          <w:szCs w:val="22"/>
          <w:lang w:val="en-GB"/>
        </w:rPr>
        <w:t>[2014] UKPC 36</w:t>
      </w:r>
      <w:r>
        <w:rPr>
          <w:rFonts w:ascii="Avenir Next" w:hAnsi="Avenir Next" w:cs="Arial"/>
          <w:color w:val="808080" w:themeColor="background1" w:themeShade="80"/>
          <w:sz w:val="22"/>
          <w:szCs w:val="22"/>
          <w:lang w:val="en-GB"/>
        </w:rPr>
        <w:t>).</w:t>
      </w:r>
    </w:p>
    <w:p w14:paraId="58F1D0C7" w14:textId="77777777" w:rsidR="009A0321" w:rsidRDefault="009A0321" w:rsidP="0001050B">
      <w:pPr>
        <w:jc w:val="both"/>
        <w:rPr>
          <w:rFonts w:ascii="Avenir Next" w:hAnsi="Avenir Next" w:cs="Arial"/>
          <w:color w:val="808080" w:themeColor="background1" w:themeShade="80"/>
          <w:sz w:val="22"/>
          <w:szCs w:val="22"/>
          <w:lang w:val="en-GB"/>
        </w:rPr>
      </w:pPr>
    </w:p>
    <w:p w14:paraId="5F7A8880" w14:textId="77777777" w:rsidR="009A0321" w:rsidRDefault="009A0321"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FCFACCE" w14:textId="2F146C77" w:rsidR="00A12F26" w:rsidRDefault="00103831"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starting point is to consider that the judgment of a foreign court has no direct legal effect in Bermuda (</w:t>
      </w:r>
      <w:r>
        <w:rPr>
          <w:rFonts w:ascii="Avenir Next" w:hAnsi="Avenir Next" w:cs="Arial"/>
          <w:i/>
          <w:iCs/>
          <w:color w:val="808080" w:themeColor="background1" w:themeShade="80"/>
          <w:sz w:val="22"/>
          <w:szCs w:val="22"/>
          <w:lang w:val="en-GB"/>
        </w:rPr>
        <w:t xml:space="preserve">Holborn Oil Company Ltd v </w:t>
      </w:r>
      <w:proofErr w:type="spellStart"/>
      <w:r>
        <w:rPr>
          <w:rFonts w:ascii="Avenir Next" w:hAnsi="Avenir Next" w:cs="Arial"/>
          <w:i/>
          <w:iCs/>
          <w:color w:val="808080" w:themeColor="background1" w:themeShade="80"/>
          <w:sz w:val="22"/>
          <w:szCs w:val="22"/>
          <w:lang w:val="en-GB"/>
        </w:rPr>
        <w:t>Tesora</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Pretroleum</w:t>
      </w:r>
      <w:proofErr w:type="spellEnd"/>
      <w:r>
        <w:rPr>
          <w:rFonts w:ascii="Avenir Next" w:hAnsi="Avenir Next" w:cs="Arial"/>
          <w:i/>
          <w:iCs/>
          <w:color w:val="808080" w:themeColor="background1" w:themeShade="80"/>
          <w:sz w:val="22"/>
          <w:szCs w:val="22"/>
          <w:lang w:val="en-GB"/>
        </w:rPr>
        <w:t xml:space="preserve"> Corporation, </w:t>
      </w:r>
      <w:r>
        <w:rPr>
          <w:rFonts w:ascii="Avenir Next" w:hAnsi="Avenir Next" w:cs="Arial"/>
          <w:color w:val="808080" w:themeColor="background1" w:themeShade="80"/>
          <w:sz w:val="22"/>
          <w:szCs w:val="22"/>
          <w:lang w:val="en-GB"/>
        </w:rPr>
        <w:t xml:space="preserve">Civil Jurisdiction 1990: No 273, 20 August 1990). Instead, foreign judgments may be recognised in Bermuda pursuant to various statutory </w:t>
      </w:r>
      <w:r w:rsidR="009802AF">
        <w:rPr>
          <w:rFonts w:ascii="Avenir Next" w:hAnsi="Avenir Next" w:cs="Arial"/>
          <w:color w:val="808080" w:themeColor="background1" w:themeShade="80"/>
          <w:sz w:val="22"/>
          <w:szCs w:val="22"/>
          <w:lang w:val="en-GB"/>
        </w:rPr>
        <w:t>or common law rules.</w:t>
      </w:r>
      <w:r w:rsidR="004E105F">
        <w:rPr>
          <w:rFonts w:ascii="Avenir Next" w:hAnsi="Avenir Next" w:cs="Arial"/>
          <w:color w:val="808080" w:themeColor="background1" w:themeShade="80"/>
          <w:sz w:val="22"/>
          <w:szCs w:val="22"/>
          <w:lang w:val="en-GB"/>
        </w:rPr>
        <w:t xml:space="preserve"> </w:t>
      </w:r>
      <w:r w:rsidR="004E105F" w:rsidRPr="004E105F">
        <w:rPr>
          <w:rFonts w:ascii="Avenir Next" w:hAnsi="Avenir Next" w:cs="Arial"/>
          <w:color w:val="808080" w:themeColor="background1" w:themeShade="80"/>
          <w:sz w:val="22"/>
          <w:szCs w:val="22"/>
          <w:u w:val="single"/>
          <w:lang w:val="en-GB"/>
        </w:rPr>
        <w:t>It would follow that</w:t>
      </w:r>
      <w:r w:rsidR="004E105F">
        <w:rPr>
          <w:rFonts w:ascii="Avenir Next" w:hAnsi="Avenir Next" w:cs="Arial"/>
          <w:color w:val="808080" w:themeColor="background1" w:themeShade="80"/>
          <w:sz w:val="22"/>
          <w:szCs w:val="22"/>
          <w:u w:val="single"/>
          <w:lang w:val="en-GB"/>
        </w:rPr>
        <w:t>, generally speaking,</w:t>
      </w:r>
      <w:r w:rsidR="004E105F" w:rsidRPr="004E105F">
        <w:rPr>
          <w:rFonts w:ascii="Avenir Next" w:hAnsi="Avenir Next" w:cs="Arial"/>
          <w:color w:val="808080" w:themeColor="background1" w:themeShade="80"/>
          <w:sz w:val="22"/>
          <w:szCs w:val="22"/>
          <w:u w:val="single"/>
          <w:lang w:val="en-GB"/>
        </w:rPr>
        <w:t xml:space="preserve"> failure to apply the relevant rules</w:t>
      </w:r>
      <w:r w:rsidR="004E105F">
        <w:rPr>
          <w:rFonts w:ascii="Avenir Next" w:hAnsi="Avenir Next" w:cs="Arial"/>
          <w:color w:val="808080" w:themeColor="background1" w:themeShade="80"/>
          <w:sz w:val="22"/>
          <w:szCs w:val="22"/>
          <w:u w:val="single"/>
          <w:lang w:val="en-GB"/>
        </w:rPr>
        <w:t xml:space="preserve"> would </w:t>
      </w:r>
      <w:r w:rsidR="004262DA">
        <w:rPr>
          <w:rFonts w:ascii="Avenir Next" w:hAnsi="Avenir Next" w:cs="Arial"/>
          <w:color w:val="808080" w:themeColor="background1" w:themeShade="80"/>
          <w:sz w:val="22"/>
          <w:szCs w:val="22"/>
          <w:u w:val="single"/>
          <w:lang w:val="en-GB"/>
        </w:rPr>
        <w:t>be one circumstance in which foreign court judgments would not be registered nor enforced.</w:t>
      </w:r>
      <w:r w:rsidR="009802AF">
        <w:rPr>
          <w:rFonts w:ascii="Avenir Next" w:hAnsi="Avenir Next" w:cs="Arial"/>
          <w:color w:val="808080" w:themeColor="background1" w:themeShade="80"/>
          <w:sz w:val="22"/>
          <w:szCs w:val="22"/>
          <w:lang w:val="en-GB"/>
        </w:rPr>
        <w:t xml:space="preserve"> The applicable rules</w:t>
      </w:r>
      <w:r w:rsidR="008248DB">
        <w:rPr>
          <w:rFonts w:ascii="Avenir Next" w:hAnsi="Avenir Next" w:cs="Arial"/>
          <w:color w:val="808080" w:themeColor="background1" w:themeShade="80"/>
          <w:sz w:val="22"/>
          <w:szCs w:val="22"/>
          <w:lang w:val="en-GB"/>
        </w:rPr>
        <w:t xml:space="preserve"> (which stem either from statue or common law)</w:t>
      </w:r>
      <w:r w:rsidR="009802AF">
        <w:rPr>
          <w:rFonts w:ascii="Avenir Next" w:hAnsi="Avenir Next" w:cs="Arial"/>
          <w:color w:val="808080" w:themeColor="background1" w:themeShade="80"/>
          <w:sz w:val="22"/>
          <w:szCs w:val="22"/>
          <w:lang w:val="en-GB"/>
        </w:rPr>
        <w:t xml:space="preserve"> depend on the nature of the foreign judgment. For instance</w:t>
      </w:r>
      <w:r w:rsidR="00E84FC6">
        <w:rPr>
          <w:rFonts w:ascii="Avenir Next" w:hAnsi="Avenir Next" w:cs="Arial"/>
          <w:color w:val="808080" w:themeColor="background1" w:themeShade="80"/>
          <w:sz w:val="22"/>
          <w:szCs w:val="22"/>
          <w:lang w:val="en-GB"/>
        </w:rPr>
        <w:t>:</w:t>
      </w:r>
    </w:p>
    <w:p w14:paraId="029A0688" w14:textId="77777777" w:rsidR="00E84FC6" w:rsidRDefault="00E84FC6" w:rsidP="00A12F26">
      <w:pPr>
        <w:jc w:val="both"/>
        <w:rPr>
          <w:rFonts w:ascii="Avenir Next" w:hAnsi="Avenir Next" w:cs="Arial"/>
          <w:color w:val="808080" w:themeColor="background1" w:themeShade="80"/>
          <w:sz w:val="22"/>
          <w:szCs w:val="22"/>
          <w:lang w:val="en-GB"/>
        </w:rPr>
      </w:pPr>
    </w:p>
    <w:p w14:paraId="049B8C3C" w14:textId="3F52474F" w:rsidR="009802AF" w:rsidRDefault="009802AF" w:rsidP="009802AF">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Judgments (Reciprocal Enforcement) Act 1958</w:t>
      </w:r>
      <w:r w:rsidR="00E84FC6">
        <w:rPr>
          <w:rFonts w:ascii="Avenir Next" w:hAnsi="Avenir Next" w:cs="Arial"/>
          <w:color w:val="808080" w:themeColor="background1" w:themeShade="80"/>
          <w:sz w:val="22"/>
          <w:szCs w:val="22"/>
          <w:lang w:val="en-GB"/>
        </w:rPr>
        <w:t xml:space="preserve"> (the “1958 Act”)</w:t>
      </w:r>
      <w:r>
        <w:rPr>
          <w:rFonts w:ascii="Avenir Next" w:hAnsi="Avenir Next" w:cs="Arial"/>
          <w:color w:val="808080" w:themeColor="background1" w:themeShade="80"/>
          <w:sz w:val="22"/>
          <w:szCs w:val="22"/>
          <w:lang w:val="en-GB"/>
        </w:rPr>
        <w:t xml:space="preserve"> (and the regulations made thereunder) govern the registration and enforcement of final </w:t>
      </w:r>
      <w:r>
        <w:rPr>
          <w:rFonts w:ascii="Avenir Next" w:hAnsi="Avenir Next" w:cs="Arial"/>
          <w:color w:val="808080" w:themeColor="background1" w:themeShade="80"/>
          <w:sz w:val="22"/>
          <w:szCs w:val="22"/>
          <w:lang w:val="en-GB"/>
        </w:rPr>
        <w:lastRenderedPageBreak/>
        <w:t>money judgments of superior courts in the UK and certain Commonwealth countries</w:t>
      </w:r>
      <w:r w:rsidR="00E84FC6">
        <w:rPr>
          <w:rFonts w:ascii="Avenir Next" w:hAnsi="Avenir Next" w:cs="Arial"/>
          <w:color w:val="808080" w:themeColor="background1" w:themeShade="80"/>
          <w:sz w:val="22"/>
          <w:szCs w:val="22"/>
          <w:lang w:val="en-GB"/>
        </w:rPr>
        <w:t xml:space="preserve">. Under the 1958 Act, a judgment rendered in the superior courts of the UK (and the commonwealth countries listed in Appendix II of the act) may be registered in Bermuda and given effect upon registration as though it were a judgment entered in Bermuda. </w:t>
      </w:r>
      <w:r w:rsidR="002A7BAD">
        <w:rPr>
          <w:rFonts w:ascii="Avenir Next" w:hAnsi="Avenir Next" w:cs="Arial"/>
          <w:color w:val="808080" w:themeColor="background1" w:themeShade="80"/>
          <w:sz w:val="22"/>
          <w:szCs w:val="22"/>
          <w:lang w:val="en-GB"/>
        </w:rPr>
        <w:t xml:space="preserve">Judgments of </w:t>
      </w:r>
      <w:r w:rsidR="002A7BAD">
        <w:rPr>
          <w:rFonts w:ascii="Avenir Next" w:hAnsi="Avenir Next" w:cs="Arial"/>
          <w:color w:val="808080" w:themeColor="background1" w:themeShade="80"/>
          <w:sz w:val="22"/>
          <w:szCs w:val="22"/>
          <w:u w:val="single"/>
          <w:lang w:val="en-GB"/>
        </w:rPr>
        <w:t xml:space="preserve">inferior courts cannot be registered or enforced under the 1958 </w:t>
      </w:r>
      <w:r w:rsidR="002A7BAD" w:rsidRPr="002A7BAD">
        <w:rPr>
          <w:rFonts w:ascii="Avenir Next" w:hAnsi="Avenir Next" w:cs="Arial"/>
          <w:color w:val="808080" w:themeColor="background1" w:themeShade="80"/>
          <w:sz w:val="22"/>
          <w:szCs w:val="22"/>
          <w:u w:val="single"/>
          <w:lang w:val="en-GB"/>
        </w:rPr>
        <w:t>Act</w:t>
      </w:r>
      <w:r w:rsidR="002A7BAD">
        <w:rPr>
          <w:rFonts w:ascii="Avenir Next" w:hAnsi="Avenir Next" w:cs="Arial"/>
          <w:color w:val="808080" w:themeColor="background1" w:themeShade="80"/>
          <w:sz w:val="22"/>
          <w:szCs w:val="22"/>
          <w:lang w:val="en-GB"/>
        </w:rPr>
        <w:t xml:space="preserve">, </w:t>
      </w:r>
      <w:r w:rsidR="002A7BAD">
        <w:rPr>
          <w:rFonts w:ascii="Avenir Next" w:hAnsi="Avenir Next" w:cs="Arial"/>
          <w:color w:val="808080" w:themeColor="background1" w:themeShade="80"/>
          <w:sz w:val="22"/>
          <w:szCs w:val="22"/>
          <w:u w:val="single"/>
          <w:lang w:val="en-GB"/>
        </w:rPr>
        <w:t>even if they have been transferred to the relevant superior court (</w:t>
      </w:r>
      <w:proofErr w:type="spellStart"/>
      <w:r w:rsidR="002A7BAD">
        <w:rPr>
          <w:rFonts w:ascii="Avenir Next" w:hAnsi="Avenir Next" w:cs="Arial"/>
          <w:i/>
          <w:iCs/>
          <w:color w:val="808080" w:themeColor="background1" w:themeShade="80"/>
          <w:sz w:val="22"/>
          <w:szCs w:val="22"/>
          <w:u w:val="single"/>
          <w:lang w:val="en-GB"/>
        </w:rPr>
        <w:t>Crossborder</w:t>
      </w:r>
      <w:proofErr w:type="spellEnd"/>
      <w:r w:rsidR="002A7BAD">
        <w:rPr>
          <w:rFonts w:ascii="Avenir Next" w:hAnsi="Avenir Next" w:cs="Arial"/>
          <w:i/>
          <w:iCs/>
          <w:color w:val="808080" w:themeColor="background1" w:themeShade="80"/>
          <w:sz w:val="22"/>
          <w:szCs w:val="22"/>
          <w:u w:val="single"/>
          <w:lang w:val="en-GB"/>
        </w:rPr>
        <w:t xml:space="preserve"> Capital Ltd v Overseas Partners Re Ltd </w:t>
      </w:r>
      <w:r w:rsidR="002A7BAD">
        <w:rPr>
          <w:rFonts w:ascii="Avenir Next" w:hAnsi="Avenir Next" w:cs="Arial"/>
          <w:color w:val="808080" w:themeColor="background1" w:themeShade="80"/>
          <w:sz w:val="22"/>
          <w:szCs w:val="22"/>
          <w:u w:val="single"/>
          <w:lang w:val="en-GB"/>
        </w:rPr>
        <w:t xml:space="preserve">2[004] </w:t>
      </w:r>
      <w:proofErr w:type="spellStart"/>
      <w:r w:rsidR="002A7BAD">
        <w:rPr>
          <w:rFonts w:ascii="Avenir Next" w:hAnsi="Avenir Next" w:cs="Arial"/>
          <w:color w:val="808080" w:themeColor="background1" w:themeShade="80"/>
          <w:sz w:val="22"/>
          <w:szCs w:val="22"/>
          <w:u w:val="single"/>
          <w:lang w:val="en-GB"/>
        </w:rPr>
        <w:t>Bda</w:t>
      </w:r>
      <w:proofErr w:type="spellEnd"/>
      <w:r w:rsidR="002A7BAD">
        <w:rPr>
          <w:rFonts w:ascii="Avenir Next" w:hAnsi="Avenir Next" w:cs="Arial"/>
          <w:color w:val="808080" w:themeColor="background1" w:themeShade="80"/>
          <w:sz w:val="22"/>
          <w:szCs w:val="22"/>
          <w:u w:val="single"/>
          <w:lang w:val="en-GB"/>
        </w:rPr>
        <w:t xml:space="preserve"> LR 17).</w:t>
      </w:r>
      <w:r w:rsidR="002A7BAD">
        <w:rPr>
          <w:rFonts w:ascii="Avenir Next" w:hAnsi="Avenir Next" w:cs="Arial"/>
          <w:color w:val="808080" w:themeColor="background1" w:themeShade="80"/>
          <w:sz w:val="22"/>
          <w:szCs w:val="22"/>
          <w:lang w:val="en-GB"/>
        </w:rPr>
        <w:t xml:space="preserve"> </w:t>
      </w:r>
      <w:r w:rsidR="002A7BAD" w:rsidRPr="002A7BAD">
        <w:rPr>
          <w:rFonts w:ascii="Avenir Next" w:hAnsi="Avenir Next" w:cs="Arial"/>
          <w:color w:val="808080" w:themeColor="background1" w:themeShade="80"/>
          <w:sz w:val="22"/>
          <w:szCs w:val="22"/>
          <w:lang w:val="en-GB"/>
        </w:rPr>
        <w:t>Further</w:t>
      </w:r>
      <w:r w:rsidR="00E84FC6">
        <w:rPr>
          <w:rFonts w:ascii="Avenir Next" w:hAnsi="Avenir Next" w:cs="Arial"/>
          <w:color w:val="808080" w:themeColor="background1" w:themeShade="80"/>
          <w:sz w:val="22"/>
          <w:szCs w:val="22"/>
          <w:lang w:val="en-GB"/>
        </w:rPr>
        <w:t xml:space="preserve">, the 1958 Act excludes the bringing of an action at common law upon a judgment capable of registration (see s 6 of the 1958 Act; </w:t>
      </w:r>
      <w:r w:rsidR="00E84FC6">
        <w:rPr>
          <w:rFonts w:ascii="Avenir Next" w:hAnsi="Avenir Next" w:cs="Arial"/>
          <w:i/>
          <w:iCs/>
          <w:color w:val="808080" w:themeColor="background1" w:themeShade="80"/>
          <w:sz w:val="22"/>
          <w:szCs w:val="22"/>
          <w:lang w:val="en-GB"/>
        </w:rPr>
        <w:t xml:space="preserve">Young et al v GNI Fund Management (Bermuda) Limited </w:t>
      </w:r>
      <w:r w:rsidR="00E84FC6">
        <w:rPr>
          <w:rFonts w:ascii="Avenir Next" w:hAnsi="Avenir Next" w:cs="Arial"/>
          <w:color w:val="808080" w:themeColor="background1" w:themeShade="80"/>
          <w:sz w:val="22"/>
          <w:szCs w:val="22"/>
          <w:lang w:val="en-GB"/>
        </w:rPr>
        <w:t xml:space="preserve">[2001] </w:t>
      </w:r>
      <w:proofErr w:type="spellStart"/>
      <w:r w:rsidR="00E84FC6">
        <w:rPr>
          <w:rFonts w:ascii="Avenir Next" w:hAnsi="Avenir Next" w:cs="Arial"/>
          <w:color w:val="808080" w:themeColor="background1" w:themeShade="80"/>
          <w:sz w:val="22"/>
          <w:szCs w:val="22"/>
          <w:lang w:val="en-GB"/>
        </w:rPr>
        <w:t>Bda</w:t>
      </w:r>
      <w:proofErr w:type="spellEnd"/>
      <w:r w:rsidR="00E84FC6">
        <w:rPr>
          <w:rFonts w:ascii="Avenir Next" w:hAnsi="Avenir Next" w:cs="Arial"/>
          <w:color w:val="808080" w:themeColor="background1" w:themeShade="80"/>
          <w:sz w:val="22"/>
          <w:szCs w:val="22"/>
          <w:lang w:val="en-GB"/>
        </w:rPr>
        <w:t xml:space="preserve"> LR 70 (“</w:t>
      </w:r>
      <w:r w:rsidR="00E84FC6">
        <w:rPr>
          <w:rFonts w:ascii="Avenir Next" w:hAnsi="Avenir Next" w:cs="Arial"/>
          <w:i/>
          <w:iCs/>
          <w:color w:val="808080" w:themeColor="background1" w:themeShade="80"/>
          <w:sz w:val="22"/>
          <w:szCs w:val="22"/>
          <w:lang w:val="en-GB"/>
        </w:rPr>
        <w:t>Young</w:t>
      </w:r>
      <w:r w:rsidR="00E84FC6">
        <w:rPr>
          <w:rFonts w:ascii="Avenir Next" w:hAnsi="Avenir Next" w:cs="Arial"/>
          <w:color w:val="808080" w:themeColor="background1" w:themeShade="80"/>
          <w:sz w:val="22"/>
          <w:szCs w:val="22"/>
          <w:lang w:val="en-GB"/>
        </w:rPr>
        <w:t xml:space="preserve">”); and the bullet point below). As such, </w:t>
      </w:r>
      <w:r w:rsidR="00E84FC6">
        <w:rPr>
          <w:rFonts w:ascii="Avenir Next" w:hAnsi="Avenir Next" w:cs="Arial"/>
          <w:color w:val="808080" w:themeColor="background1" w:themeShade="80"/>
          <w:sz w:val="22"/>
          <w:szCs w:val="22"/>
          <w:u w:val="single"/>
          <w:lang w:val="en-GB"/>
        </w:rPr>
        <w:t xml:space="preserve">one circumstance by which a foreign judgment will not be enforced may be where an application that could have been made under the 1958 Act was brought at common law (see the </w:t>
      </w:r>
      <w:proofErr w:type="gramStart"/>
      <w:r w:rsidR="00E84FC6">
        <w:rPr>
          <w:rFonts w:ascii="Avenir Next" w:hAnsi="Avenir Next" w:cs="Arial"/>
          <w:i/>
          <w:iCs/>
          <w:color w:val="808080" w:themeColor="background1" w:themeShade="80"/>
          <w:sz w:val="22"/>
          <w:szCs w:val="22"/>
          <w:u w:val="single"/>
          <w:lang w:val="en-GB"/>
        </w:rPr>
        <w:t>Young</w:t>
      </w:r>
      <w:proofErr w:type="gramEnd"/>
      <w:r w:rsidR="00E84FC6">
        <w:rPr>
          <w:rFonts w:ascii="Avenir Next" w:hAnsi="Avenir Next" w:cs="Arial"/>
          <w:i/>
          <w:iCs/>
          <w:color w:val="808080" w:themeColor="background1" w:themeShade="80"/>
          <w:sz w:val="22"/>
          <w:szCs w:val="22"/>
          <w:u w:val="single"/>
          <w:lang w:val="en-GB"/>
        </w:rPr>
        <w:t xml:space="preserve"> </w:t>
      </w:r>
      <w:r w:rsidR="00E84FC6">
        <w:rPr>
          <w:rFonts w:ascii="Avenir Next" w:hAnsi="Avenir Next" w:cs="Arial"/>
          <w:color w:val="808080" w:themeColor="background1" w:themeShade="80"/>
          <w:sz w:val="22"/>
          <w:szCs w:val="22"/>
          <w:u w:val="single"/>
          <w:lang w:val="en-GB"/>
        </w:rPr>
        <w:t>case).</w:t>
      </w:r>
    </w:p>
    <w:p w14:paraId="7ACD0FEA" w14:textId="4A59B3C1" w:rsidR="009802AF" w:rsidRDefault="009802AF" w:rsidP="009802AF">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supplemented by common law rules which are applicable to the enforcement of final money judgments of foreign courts in the rest of the world</w:t>
      </w:r>
      <w:r w:rsidR="00435B5E">
        <w:rPr>
          <w:rFonts w:ascii="Avenir Next" w:hAnsi="Avenir Next" w:cs="Arial"/>
          <w:color w:val="808080" w:themeColor="background1" w:themeShade="80"/>
          <w:sz w:val="22"/>
          <w:szCs w:val="22"/>
          <w:lang w:val="en-GB"/>
        </w:rPr>
        <w:t xml:space="preserve">. These judgments may be enforced by way of a separate action on the basis that the foreign judgment is treated as </w:t>
      </w:r>
      <w:r w:rsidR="00435B5E">
        <w:rPr>
          <w:rFonts w:ascii="Avenir Next" w:hAnsi="Avenir Next" w:cs="Arial"/>
          <w:i/>
          <w:iCs/>
          <w:color w:val="808080" w:themeColor="background1" w:themeShade="80"/>
          <w:sz w:val="22"/>
          <w:szCs w:val="22"/>
          <w:lang w:val="en-GB"/>
        </w:rPr>
        <w:t>evidence</w:t>
      </w:r>
      <w:r w:rsidR="00435B5E">
        <w:rPr>
          <w:rFonts w:ascii="Avenir Next" w:hAnsi="Avenir Next" w:cs="Arial"/>
          <w:color w:val="808080" w:themeColor="background1" w:themeShade="80"/>
          <w:sz w:val="22"/>
          <w:szCs w:val="22"/>
          <w:lang w:val="en-GB"/>
        </w:rPr>
        <w:t xml:space="preserve"> of debt</w:t>
      </w:r>
      <w:r>
        <w:rPr>
          <w:rFonts w:ascii="Avenir Next" w:hAnsi="Avenir Next" w:cs="Arial"/>
          <w:color w:val="808080" w:themeColor="background1" w:themeShade="80"/>
          <w:sz w:val="22"/>
          <w:szCs w:val="22"/>
          <w:lang w:val="en-GB"/>
        </w:rPr>
        <w:t>;</w:t>
      </w:r>
    </w:p>
    <w:p w14:paraId="4F8D3211" w14:textId="239CC07A" w:rsidR="009802AF" w:rsidRDefault="009802AF" w:rsidP="009802AF">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Maintenance Orders (Reciprocal Enforcement) Act 1974 (and the regulations made thereunder) govern the registration and enforcement of maintenance orders made by foreign courts of reciprocating countries; </w:t>
      </w:r>
    </w:p>
    <w:p w14:paraId="0B9AFEDC" w14:textId="3774C33A" w:rsidR="009802AF" w:rsidRDefault="009802AF" w:rsidP="009802AF">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Statutory and common law rules applicable to the recognition of foreign judgments, either as a defence to a claim or as conclusive of an issue in the Bermuda proceedings</w:t>
      </w:r>
      <w:r w:rsidR="00E84FC6">
        <w:rPr>
          <w:rFonts w:ascii="Avenir Next" w:hAnsi="Avenir Next" w:cs="Arial"/>
          <w:color w:val="808080" w:themeColor="background1" w:themeShade="80"/>
          <w:sz w:val="22"/>
          <w:szCs w:val="22"/>
          <w:lang w:val="en-GB"/>
        </w:rPr>
        <w:t>;</w:t>
      </w:r>
    </w:p>
    <w:p w14:paraId="44EF18F1" w14:textId="30E42AE7" w:rsidR="009802AF" w:rsidRDefault="009802AF" w:rsidP="009802AF">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of Divorces and Legal Separations Act, which apply to the recognition of divorces and legal separations</w:t>
      </w:r>
      <w:r w:rsidR="00E84FC6">
        <w:rPr>
          <w:rFonts w:ascii="Avenir Next" w:hAnsi="Avenir Next" w:cs="Arial"/>
          <w:color w:val="808080" w:themeColor="background1" w:themeShade="80"/>
          <w:sz w:val="22"/>
          <w:szCs w:val="22"/>
          <w:lang w:val="en-GB"/>
        </w:rPr>
        <w:t>; and</w:t>
      </w:r>
    </w:p>
    <w:p w14:paraId="32EE5C83" w14:textId="27853A15" w:rsidR="00E84FC6" w:rsidRDefault="00E84FC6" w:rsidP="009802AF">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Various other statutory and common law rules that apply to foreign arbitration awards, etc.</w:t>
      </w:r>
    </w:p>
    <w:p w14:paraId="7754EFDC" w14:textId="77777777" w:rsidR="00E84FC6" w:rsidRPr="00E84FC6" w:rsidRDefault="00E84FC6" w:rsidP="00E84FC6">
      <w:pPr>
        <w:jc w:val="both"/>
        <w:rPr>
          <w:rFonts w:ascii="Avenir Next" w:hAnsi="Avenir Next" w:cs="Arial"/>
          <w:color w:val="808080" w:themeColor="background1" w:themeShade="80"/>
          <w:sz w:val="22"/>
          <w:szCs w:val="22"/>
          <w:lang w:val="en-GB"/>
        </w:rPr>
      </w:pPr>
    </w:p>
    <w:p w14:paraId="2DB46A9F" w14:textId="6838AE3F" w:rsidR="009802AF" w:rsidRDefault="00FA6B7D" w:rsidP="009802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elaborate on the 1958 Act</w:t>
      </w:r>
      <w:r w:rsidR="00435B5E">
        <w:rPr>
          <w:rFonts w:ascii="Avenir Next" w:hAnsi="Avenir Next" w:cs="Arial"/>
          <w:color w:val="808080" w:themeColor="background1" w:themeShade="80"/>
          <w:sz w:val="22"/>
          <w:szCs w:val="22"/>
          <w:lang w:val="en-GB"/>
        </w:rPr>
        <w:t xml:space="preserve"> (per bullet point 1)</w:t>
      </w:r>
      <w:r>
        <w:rPr>
          <w:rFonts w:ascii="Avenir Next" w:hAnsi="Avenir Next" w:cs="Arial"/>
          <w:color w:val="808080" w:themeColor="background1" w:themeShade="80"/>
          <w:sz w:val="22"/>
          <w:szCs w:val="22"/>
          <w:lang w:val="en-GB"/>
        </w:rPr>
        <w:t xml:space="preserve">, another circumstance where foreign judgments would not be registered or enforced (in a final sense) would be where an opponent successfully sets the registered judgment. A foreign judgment registered under the 1958 Act can be set aside on an application of the party against which judgment may be enforced. The grounds </w:t>
      </w:r>
      <w:r w:rsidR="00435B5E">
        <w:rPr>
          <w:rFonts w:ascii="Avenir Next" w:hAnsi="Avenir Next" w:cs="Arial"/>
          <w:color w:val="808080" w:themeColor="background1" w:themeShade="80"/>
          <w:sz w:val="22"/>
          <w:szCs w:val="22"/>
          <w:lang w:val="en-GB"/>
        </w:rPr>
        <w:t>under which the Supreme Court must set the registration order</w:t>
      </w:r>
      <w:r>
        <w:rPr>
          <w:rFonts w:ascii="Avenir Next" w:hAnsi="Avenir Next" w:cs="Arial"/>
          <w:color w:val="808080" w:themeColor="background1" w:themeShade="80"/>
          <w:sz w:val="22"/>
          <w:szCs w:val="22"/>
          <w:lang w:val="en-GB"/>
        </w:rPr>
        <w:t xml:space="preserve"> aside are:</w:t>
      </w:r>
    </w:p>
    <w:p w14:paraId="56788A01" w14:textId="672785C8" w:rsidR="00FA6B7D" w:rsidRDefault="00FA6B7D" w:rsidP="00FA6B7D">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judgment was registered in contravention of the 1958 Act, or if it does not fall within the ambit of the act;</w:t>
      </w:r>
    </w:p>
    <w:p w14:paraId="4039F573" w14:textId="4F04DE45" w:rsidR="00FA6B7D" w:rsidRDefault="00FA6B7D" w:rsidP="00FA6B7D">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foreign court had no jurisdiction in the </w:t>
      </w:r>
      <w:proofErr w:type="spellStart"/>
      <w:r>
        <w:rPr>
          <w:rFonts w:ascii="Avenir Next" w:hAnsi="Avenir Next" w:cs="Arial"/>
          <w:color w:val="808080" w:themeColor="background1" w:themeShade="80"/>
          <w:sz w:val="22"/>
          <w:szCs w:val="22"/>
          <w:lang w:val="en-GB"/>
        </w:rPr>
        <w:t>circumstances</w:t>
      </w:r>
      <w:proofErr w:type="spellEnd"/>
      <w:r>
        <w:rPr>
          <w:rFonts w:ascii="Avenir Next" w:hAnsi="Avenir Next" w:cs="Arial"/>
          <w:color w:val="808080" w:themeColor="background1" w:themeShade="80"/>
          <w:sz w:val="22"/>
          <w:szCs w:val="22"/>
          <w:lang w:val="en-GB"/>
        </w:rPr>
        <w:t>;</w:t>
      </w:r>
    </w:p>
    <w:p w14:paraId="267D4A96" w14:textId="0219D0BF" w:rsidR="00FA6B7D" w:rsidRDefault="00FA6B7D" w:rsidP="00FA6B7D">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defendant did not receive notice of the proceedings in the foreign jurisdiction in sufficient time to enable him to defend proceedings and did not appear;</w:t>
      </w:r>
    </w:p>
    <w:p w14:paraId="7F73527E" w14:textId="084EAC21" w:rsidR="00FA6B7D" w:rsidRPr="008248DB" w:rsidRDefault="00FA6B7D" w:rsidP="008248D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was obtained by fraud; </w:t>
      </w:r>
      <w:r w:rsidRPr="008248DB">
        <w:rPr>
          <w:rFonts w:ascii="Avenir Next" w:hAnsi="Avenir Next" w:cs="Arial"/>
          <w:color w:val="808080" w:themeColor="background1" w:themeShade="80"/>
          <w:sz w:val="22"/>
          <w:szCs w:val="22"/>
          <w:lang w:val="en-GB"/>
        </w:rPr>
        <w:t>and</w:t>
      </w:r>
    </w:p>
    <w:p w14:paraId="6A5A8E57" w14:textId="31D144DD" w:rsidR="00FA6B7D" w:rsidRDefault="00FA6B7D" w:rsidP="00FA6B7D">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it are not vested in the person by whom the application for registration was made.</w:t>
      </w:r>
    </w:p>
    <w:p w14:paraId="3DDCDA0B" w14:textId="77777777" w:rsidR="00435B5E" w:rsidRDefault="00435B5E" w:rsidP="00435B5E">
      <w:pPr>
        <w:jc w:val="both"/>
        <w:rPr>
          <w:rFonts w:ascii="Avenir Next" w:hAnsi="Avenir Next" w:cs="Arial"/>
          <w:color w:val="808080" w:themeColor="background1" w:themeShade="80"/>
          <w:sz w:val="22"/>
          <w:szCs w:val="22"/>
          <w:lang w:val="en-GB"/>
        </w:rPr>
      </w:pPr>
    </w:p>
    <w:p w14:paraId="6ACDD9D7" w14:textId="73BA518E" w:rsidR="00435B5E" w:rsidRDefault="00435B5E" w:rsidP="00435B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set the order aside if it is satisfied that the matter in dispute in the proceedings giving rise to the registered judgment had, prior to the date of judgment, </w:t>
      </w:r>
      <w:r>
        <w:rPr>
          <w:rFonts w:ascii="Avenir Next" w:hAnsi="Avenir Next" w:cs="Arial"/>
          <w:color w:val="808080" w:themeColor="background1" w:themeShade="80"/>
          <w:sz w:val="22"/>
          <w:szCs w:val="22"/>
          <w:lang w:val="en-GB"/>
        </w:rPr>
        <w:lastRenderedPageBreak/>
        <w:t>been the subject of a final and conclusive judgment by a court having jurisdiction of the matter. However, the Court is not entitled to set aside the registration of a foreign judgment merely on the grounds that it is not “just or convenient” to enforce the foreign judgment, or on public policy grounds (</w:t>
      </w:r>
      <w:proofErr w:type="spellStart"/>
      <w:r>
        <w:rPr>
          <w:rFonts w:ascii="Avenir Next" w:hAnsi="Avenir Next" w:cs="Arial"/>
          <w:i/>
          <w:iCs/>
          <w:color w:val="808080" w:themeColor="background1" w:themeShade="80"/>
          <w:sz w:val="22"/>
          <w:szCs w:val="22"/>
          <w:lang w:val="en-GB"/>
        </w:rPr>
        <w:t>Masri</w:t>
      </w:r>
      <w:proofErr w:type="spellEnd"/>
      <w:r>
        <w:rPr>
          <w:rFonts w:ascii="Avenir Next" w:hAnsi="Avenir Next" w:cs="Arial"/>
          <w:i/>
          <w:iCs/>
          <w:color w:val="808080" w:themeColor="background1" w:themeShade="80"/>
          <w:sz w:val="22"/>
          <w:szCs w:val="22"/>
          <w:lang w:val="en-GB"/>
        </w:rPr>
        <w:t xml:space="preserve"> v Consolidated Contractors International Company </w:t>
      </w:r>
      <w:r>
        <w:rPr>
          <w:rFonts w:ascii="Avenir Next" w:hAnsi="Avenir Next" w:cs="Arial"/>
          <w:color w:val="808080" w:themeColor="background1" w:themeShade="80"/>
          <w:sz w:val="22"/>
          <w:szCs w:val="22"/>
          <w:lang w:val="en-GB"/>
        </w:rPr>
        <w:t xml:space="preserve">[2009]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12; despite the wording of rule 12 of the Judgments (Reciprocal Enforcement) Rules 1976).</w:t>
      </w:r>
    </w:p>
    <w:p w14:paraId="65B2E3E7" w14:textId="77777777" w:rsidR="00435B5E" w:rsidRDefault="00435B5E" w:rsidP="00435B5E">
      <w:pPr>
        <w:jc w:val="both"/>
        <w:rPr>
          <w:rFonts w:ascii="Avenir Next" w:hAnsi="Avenir Next" w:cs="Arial"/>
          <w:color w:val="808080" w:themeColor="background1" w:themeShade="80"/>
          <w:sz w:val="22"/>
          <w:szCs w:val="22"/>
          <w:lang w:val="en-GB"/>
        </w:rPr>
      </w:pPr>
    </w:p>
    <w:p w14:paraId="526D53FF" w14:textId="28351FBF" w:rsidR="00435B5E" w:rsidRDefault="00435B5E" w:rsidP="00435B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elaborate on the applicable common law rules (per bullet point 2), foreign money judgments will be recognised and enforced as a debt against the judgment debtor where:</w:t>
      </w:r>
    </w:p>
    <w:p w14:paraId="08425673" w14:textId="167E59D1" w:rsidR="00435B5E" w:rsidRDefault="00435B5E" w:rsidP="00435B5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is final and conclusive in the foreign court;</w:t>
      </w:r>
    </w:p>
    <w:p w14:paraId="5ECBC488" w14:textId="0568A457" w:rsidR="00435B5E" w:rsidRDefault="00435B5E" w:rsidP="00435B5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was obtained in a court of law which had jurisdiction </w:t>
      </w:r>
      <w:r w:rsidR="008D5BC1">
        <w:rPr>
          <w:rFonts w:ascii="Avenir Next" w:hAnsi="Avenir Next" w:cs="Arial"/>
          <w:color w:val="808080" w:themeColor="background1" w:themeShade="80"/>
          <w:sz w:val="22"/>
          <w:szCs w:val="22"/>
          <w:lang w:val="en-GB"/>
        </w:rPr>
        <w:t>over the</w:t>
      </w:r>
      <w:r>
        <w:rPr>
          <w:rFonts w:ascii="Avenir Next" w:hAnsi="Avenir Next" w:cs="Arial"/>
          <w:color w:val="808080" w:themeColor="background1" w:themeShade="80"/>
          <w:sz w:val="22"/>
          <w:szCs w:val="22"/>
          <w:lang w:val="en-GB"/>
        </w:rPr>
        <w:t xml:space="preserve"> judgment debtor;</w:t>
      </w:r>
    </w:p>
    <w:p w14:paraId="5C2A901E" w14:textId="52A9C09D" w:rsidR="00435B5E" w:rsidRDefault="00435B5E" w:rsidP="00435B5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was not obtained by fraud;</w:t>
      </w:r>
    </w:p>
    <w:p w14:paraId="5B9DF5A7" w14:textId="179D71DE" w:rsidR="00435B5E" w:rsidRDefault="00435B5E" w:rsidP="00435B5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was not in respect of taxes, fines or penalties;</w:t>
      </w:r>
    </w:p>
    <w:p w14:paraId="66E9A867" w14:textId="3BCF1E2C" w:rsidR="00435B5E" w:rsidRDefault="00435B5E" w:rsidP="00435B5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enforcement of the judgment would not contravene the public policy of Bermuda</w:t>
      </w:r>
      <w:r w:rsidR="008248DB">
        <w:rPr>
          <w:rFonts w:ascii="Avenir Next" w:hAnsi="Avenir Next" w:cs="Arial"/>
          <w:color w:val="808080" w:themeColor="background1" w:themeShade="80"/>
          <w:sz w:val="22"/>
          <w:szCs w:val="22"/>
          <w:lang w:val="en-GB"/>
        </w:rPr>
        <w:t xml:space="preserve"> (save for in the case of the 1958 Act per </w:t>
      </w:r>
      <w:proofErr w:type="spellStart"/>
      <w:r w:rsidR="008248DB">
        <w:rPr>
          <w:rFonts w:ascii="Avenir Next" w:hAnsi="Avenir Next" w:cs="Arial"/>
          <w:i/>
          <w:iCs/>
          <w:color w:val="808080" w:themeColor="background1" w:themeShade="80"/>
          <w:sz w:val="22"/>
          <w:szCs w:val="22"/>
          <w:lang w:val="en-GB"/>
        </w:rPr>
        <w:t>Masri</w:t>
      </w:r>
      <w:proofErr w:type="spellEnd"/>
      <w:r w:rsidR="008248D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w:t>
      </w:r>
    </w:p>
    <w:p w14:paraId="1270E409" w14:textId="1E8C677D" w:rsidR="00435B5E" w:rsidRDefault="00435B5E" w:rsidP="00435B5E">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rules of natural justice were observed in the foreign proceedings.</w:t>
      </w:r>
    </w:p>
    <w:p w14:paraId="064B0E02" w14:textId="77777777" w:rsidR="008D5BC1" w:rsidRDefault="008D5BC1" w:rsidP="008D5BC1">
      <w:pPr>
        <w:jc w:val="both"/>
        <w:rPr>
          <w:rFonts w:ascii="Avenir Next" w:hAnsi="Avenir Next" w:cs="Arial"/>
          <w:color w:val="808080" w:themeColor="background1" w:themeShade="80"/>
          <w:sz w:val="22"/>
          <w:szCs w:val="22"/>
          <w:lang w:val="en-GB"/>
        </w:rPr>
      </w:pPr>
    </w:p>
    <w:p w14:paraId="11DA2030" w14:textId="1C97485B" w:rsidR="00C619D3" w:rsidRDefault="008D5BC1" w:rsidP="0001050B">
      <w:pPr>
        <w:jc w:val="both"/>
        <w:rPr>
          <w:rFonts w:ascii="Avenir Next" w:hAnsi="Avenir Next" w:cs="Arial"/>
          <w:color w:val="808080" w:themeColor="background1" w:themeShade="80"/>
          <w:sz w:val="22"/>
          <w:szCs w:val="22"/>
          <w:lang w:val="en-GB"/>
        </w:rPr>
      </w:pPr>
      <w:r w:rsidRPr="00ED7B47">
        <w:rPr>
          <w:rFonts w:ascii="Avenir Next" w:hAnsi="Avenir Next" w:cs="Arial"/>
          <w:color w:val="808080" w:themeColor="background1" w:themeShade="80"/>
          <w:sz w:val="22"/>
          <w:szCs w:val="22"/>
          <w:u w:val="single"/>
          <w:lang w:val="en-GB"/>
        </w:rPr>
        <w:t xml:space="preserve">Conversely, where the above rules are not met, </w:t>
      </w:r>
      <w:r w:rsidR="00DB7CC8" w:rsidRPr="00ED7B47">
        <w:rPr>
          <w:rFonts w:ascii="Avenir Next" w:hAnsi="Avenir Next" w:cs="Arial"/>
          <w:color w:val="808080" w:themeColor="background1" w:themeShade="80"/>
          <w:sz w:val="22"/>
          <w:szCs w:val="22"/>
          <w:u w:val="single"/>
          <w:lang w:val="en-GB"/>
        </w:rPr>
        <w:t>the foreign judgment may not be recognised</w:t>
      </w:r>
      <w:r w:rsidR="00DB7CC8">
        <w:rPr>
          <w:rFonts w:ascii="Avenir Next" w:hAnsi="Avenir Next" w:cs="Arial"/>
          <w:color w:val="808080" w:themeColor="background1" w:themeShade="80"/>
          <w:sz w:val="22"/>
          <w:szCs w:val="22"/>
          <w:lang w:val="en-GB"/>
        </w:rPr>
        <w:t xml:space="preserve">. For instance, in </w:t>
      </w:r>
      <w:proofErr w:type="spellStart"/>
      <w:r w:rsidR="00DB7CC8">
        <w:rPr>
          <w:rFonts w:ascii="Avenir Next" w:hAnsi="Avenir Next" w:cs="Arial"/>
          <w:i/>
          <w:iCs/>
          <w:color w:val="808080" w:themeColor="background1" w:themeShade="80"/>
          <w:sz w:val="22"/>
          <w:szCs w:val="22"/>
          <w:lang w:val="en-GB"/>
        </w:rPr>
        <w:t>Laep</w:t>
      </w:r>
      <w:proofErr w:type="spellEnd"/>
      <w:r w:rsidR="00DB7CC8">
        <w:rPr>
          <w:rFonts w:ascii="Avenir Next" w:hAnsi="Avenir Next" w:cs="Arial"/>
          <w:i/>
          <w:iCs/>
          <w:color w:val="808080" w:themeColor="background1" w:themeShade="80"/>
          <w:sz w:val="22"/>
          <w:szCs w:val="22"/>
          <w:lang w:val="en-GB"/>
        </w:rPr>
        <w:t xml:space="preserve"> </w:t>
      </w:r>
      <w:proofErr w:type="spellStart"/>
      <w:r w:rsidR="00DB7CC8">
        <w:rPr>
          <w:rFonts w:ascii="Avenir Next" w:hAnsi="Avenir Next" w:cs="Arial"/>
          <w:i/>
          <w:iCs/>
          <w:color w:val="808080" w:themeColor="background1" w:themeShade="80"/>
          <w:sz w:val="22"/>
          <w:szCs w:val="22"/>
          <w:lang w:val="en-GB"/>
        </w:rPr>
        <w:t>Investements</w:t>
      </w:r>
      <w:proofErr w:type="spellEnd"/>
      <w:r w:rsidR="00DB7CC8">
        <w:rPr>
          <w:rFonts w:ascii="Avenir Next" w:hAnsi="Avenir Next" w:cs="Arial"/>
          <w:i/>
          <w:iCs/>
          <w:color w:val="808080" w:themeColor="background1" w:themeShade="80"/>
          <w:sz w:val="22"/>
          <w:szCs w:val="22"/>
          <w:lang w:val="en-GB"/>
        </w:rPr>
        <w:t xml:space="preserve"> Ltd v Emerging Markets Special Situations 3 Ltd </w:t>
      </w:r>
      <w:r w:rsidR="00DB7CC8">
        <w:rPr>
          <w:rFonts w:ascii="Avenir Next" w:hAnsi="Avenir Next" w:cs="Arial"/>
          <w:color w:val="808080" w:themeColor="background1" w:themeShade="80"/>
          <w:sz w:val="22"/>
          <w:szCs w:val="22"/>
          <w:lang w:val="en-GB"/>
        </w:rPr>
        <w:t xml:space="preserve">[2015] CA (BDA) 10 </w:t>
      </w:r>
      <w:proofErr w:type="spellStart"/>
      <w:r w:rsidR="00DB7CC8">
        <w:rPr>
          <w:rFonts w:ascii="Avenir Next" w:hAnsi="Avenir Next" w:cs="Arial"/>
          <w:color w:val="808080" w:themeColor="background1" w:themeShade="80"/>
          <w:sz w:val="22"/>
          <w:szCs w:val="22"/>
          <w:lang w:val="en-GB"/>
        </w:rPr>
        <w:t>Civ</w:t>
      </w:r>
      <w:proofErr w:type="spellEnd"/>
      <w:r w:rsidR="00DB7CC8">
        <w:rPr>
          <w:rFonts w:ascii="Avenir Next" w:hAnsi="Avenir Next" w:cs="Arial"/>
          <w:color w:val="808080" w:themeColor="background1" w:themeShade="80"/>
          <w:sz w:val="22"/>
          <w:szCs w:val="22"/>
          <w:lang w:val="en-GB"/>
        </w:rPr>
        <w:t xml:space="preserve"> (</w:t>
      </w:r>
      <w:proofErr w:type="spellStart"/>
      <w:r w:rsidR="00DB7CC8">
        <w:rPr>
          <w:rFonts w:ascii="Avenir Next" w:hAnsi="Avenir Next" w:cs="Arial"/>
          <w:color w:val="808080" w:themeColor="background1" w:themeShade="80"/>
          <w:sz w:val="22"/>
          <w:szCs w:val="22"/>
          <w:lang w:val="en-GB"/>
        </w:rPr>
        <w:t>Laep</w:t>
      </w:r>
      <w:proofErr w:type="spellEnd"/>
      <w:r w:rsidR="00DB7CC8">
        <w:rPr>
          <w:rFonts w:ascii="Avenir Next" w:hAnsi="Avenir Next" w:cs="Arial"/>
          <w:color w:val="808080" w:themeColor="background1" w:themeShade="80"/>
          <w:sz w:val="22"/>
          <w:szCs w:val="22"/>
          <w:lang w:val="en-GB"/>
        </w:rPr>
        <w:t>), the Bermuda Court of Appeal held that a stay order issued by the Brazilian courts meant that a Brazilian arbitration award was not final and conclusive for enforcements purposes, thus refusing to recognise the award.</w:t>
      </w:r>
    </w:p>
    <w:p w14:paraId="35A11DD7" w14:textId="77777777" w:rsidR="004B4566" w:rsidRDefault="004B4566" w:rsidP="0001050B">
      <w:pPr>
        <w:jc w:val="both"/>
        <w:rPr>
          <w:rFonts w:ascii="Avenir Next" w:hAnsi="Avenir Next" w:cs="Arial"/>
          <w:color w:val="808080" w:themeColor="background1" w:themeShade="80"/>
          <w:sz w:val="22"/>
          <w:szCs w:val="22"/>
          <w:lang w:val="en-GB"/>
        </w:rPr>
      </w:pPr>
    </w:p>
    <w:p w14:paraId="6B9C051F" w14:textId="76FC1022" w:rsidR="004B4566" w:rsidRPr="004B4566" w:rsidRDefault="004B4566" w:rsidP="0001050B">
      <w:pPr>
        <w:jc w:val="both"/>
        <w:rPr>
          <w:rFonts w:ascii="Avenir Next" w:hAnsi="Avenir Next" w:cs="Arial"/>
          <w:color w:val="808080" w:themeColor="background1" w:themeShade="80"/>
          <w:sz w:val="22"/>
          <w:szCs w:val="22"/>
          <w:u w:val="single"/>
          <w:lang w:val="en-GB"/>
        </w:rPr>
      </w:pPr>
      <w:r w:rsidRPr="004B4566">
        <w:rPr>
          <w:rFonts w:ascii="Avenir Next" w:hAnsi="Avenir Next" w:cs="Arial"/>
          <w:i/>
          <w:iCs/>
          <w:color w:val="808080" w:themeColor="background1" w:themeShade="80"/>
          <w:sz w:val="22"/>
          <w:szCs w:val="22"/>
          <w:u w:val="single"/>
          <w:lang w:val="en-GB"/>
        </w:rPr>
        <w:t>Foreign Court-Sanctioned Scheme</w:t>
      </w:r>
    </w:p>
    <w:p w14:paraId="39B07C71" w14:textId="1283225A" w:rsidR="004B4566" w:rsidRPr="00D01441" w:rsidRDefault="00207311"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w:t>
      </w:r>
      <w:r w:rsidR="00534DA8">
        <w:rPr>
          <w:rFonts w:ascii="Avenir Next" w:hAnsi="Avenir Next" w:cs="Arial"/>
          <w:color w:val="808080" w:themeColor="background1" w:themeShade="80"/>
          <w:sz w:val="22"/>
          <w:szCs w:val="22"/>
          <w:lang w:val="en-GB"/>
        </w:rPr>
        <w:t>whether a foreign scheme</w:t>
      </w:r>
      <w:r w:rsidR="003E7C53">
        <w:rPr>
          <w:rFonts w:ascii="Avenir Next" w:hAnsi="Avenir Next" w:cs="Arial"/>
          <w:color w:val="808080" w:themeColor="background1" w:themeShade="80"/>
          <w:sz w:val="22"/>
          <w:szCs w:val="22"/>
          <w:lang w:val="en-GB"/>
        </w:rPr>
        <w:t xml:space="preserve"> of arrangement may be recognised and enforced in Bermuda under the common law, the position is still uncertain</w:t>
      </w:r>
      <w:r w:rsidR="00D01441">
        <w:rPr>
          <w:rFonts w:ascii="Avenir Next" w:hAnsi="Avenir Next" w:cs="Arial"/>
          <w:color w:val="808080" w:themeColor="background1" w:themeShade="80"/>
          <w:sz w:val="22"/>
          <w:szCs w:val="22"/>
          <w:lang w:val="en-GB"/>
        </w:rPr>
        <w:t xml:space="preserve">, though it is noted that there have been examples where the Bermuda Courts have been willing to recognise the scheme of arrangement order (see the </w:t>
      </w:r>
      <w:r w:rsidR="00D01441">
        <w:rPr>
          <w:rFonts w:ascii="Avenir Next" w:hAnsi="Avenir Next" w:cs="Arial"/>
          <w:i/>
          <w:iCs/>
          <w:color w:val="808080" w:themeColor="background1" w:themeShade="80"/>
          <w:sz w:val="22"/>
          <w:szCs w:val="22"/>
          <w:lang w:val="en-GB"/>
        </w:rPr>
        <w:t>MPF Limited</w:t>
      </w:r>
      <w:r w:rsidR="00D01441">
        <w:rPr>
          <w:rFonts w:ascii="Avenir Next" w:hAnsi="Avenir Next" w:cs="Arial"/>
          <w:color w:val="808080" w:themeColor="background1" w:themeShade="80"/>
          <w:sz w:val="22"/>
          <w:szCs w:val="22"/>
          <w:lang w:val="en-GB"/>
        </w:rPr>
        <w:t xml:space="preserve"> case; Guidance Text at p 46).</w:t>
      </w:r>
    </w:p>
    <w:p w14:paraId="23E20B37" w14:textId="77777777" w:rsidR="008D5BC1" w:rsidRDefault="008D5BC1"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w:t>
      </w:r>
      <w:r w:rsidRPr="008578F5">
        <w:rPr>
          <w:rFonts w:ascii="Avenir Next" w:eastAsia="Calibri" w:hAnsi="Avenir Next" w:cs="Arial"/>
          <w:sz w:val="22"/>
          <w:szCs w:val="22"/>
          <w:highlight w:val="yellow"/>
          <w:lang w:val="en-GB"/>
        </w:rPr>
        <w:t>exempt</w:t>
      </w:r>
      <w:r w:rsidRPr="00EF2C8E">
        <w:rPr>
          <w:rFonts w:ascii="Avenir Next" w:eastAsia="Calibri" w:hAnsi="Avenir Next" w:cs="Arial"/>
          <w:sz w:val="22"/>
          <w:szCs w:val="22"/>
          <w:lang w:val="en-GB"/>
        </w:rPr>
        <w:t xml:space="preserve">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w:t>
      </w:r>
      <w:r w:rsidRPr="008578F5">
        <w:rPr>
          <w:rFonts w:ascii="Avenir Next" w:eastAsia="Calibri" w:hAnsi="Avenir Next" w:cs="Arial"/>
          <w:sz w:val="22"/>
          <w:szCs w:val="22"/>
          <w:highlight w:val="yellow"/>
          <w:lang w:val="en-GB"/>
        </w:rPr>
        <w:t>parent company</w:t>
      </w:r>
      <w:r w:rsidRPr="00EF2C8E">
        <w:rPr>
          <w:rFonts w:ascii="Avenir Next" w:eastAsia="Calibri" w:hAnsi="Avenir Next" w:cs="Arial"/>
          <w:sz w:val="22"/>
          <w:szCs w:val="22"/>
          <w:lang w:val="en-GB"/>
        </w:rPr>
        <w:t xml:space="preserve">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w:t>
      </w:r>
      <w:r w:rsidRPr="008578F5">
        <w:rPr>
          <w:rFonts w:ascii="Avenir Next" w:eastAsia="Calibri" w:hAnsi="Avenir Next" w:cs="Arial"/>
          <w:sz w:val="22"/>
          <w:szCs w:val="22"/>
          <w:highlight w:val="yellow"/>
          <w:lang w:val="en-GB"/>
        </w:rPr>
        <w:t>Company’s directors subsequently borrowed an additional USD</w:t>
      </w:r>
      <w:r w:rsidR="003E4860" w:rsidRPr="008578F5">
        <w:rPr>
          <w:rFonts w:ascii="Avenir Next" w:eastAsia="Calibri" w:hAnsi="Avenir Next" w:cs="Arial"/>
          <w:sz w:val="22"/>
          <w:szCs w:val="22"/>
          <w:highlight w:val="yellow"/>
          <w:lang w:val="en-GB"/>
        </w:rPr>
        <w:t> </w:t>
      </w:r>
      <w:r w:rsidRPr="008578F5">
        <w:rPr>
          <w:rFonts w:ascii="Avenir Next" w:eastAsia="Calibri" w:hAnsi="Avenir Next" w:cs="Arial"/>
          <w:sz w:val="22"/>
          <w:szCs w:val="22"/>
          <w:highlight w:val="yellow"/>
          <w:lang w:val="en-GB"/>
        </w:rPr>
        <w:t xml:space="preserve">50 million from its bank, </w:t>
      </w:r>
      <w:proofErr w:type="spellStart"/>
      <w:r w:rsidR="00144A9A" w:rsidRPr="008578F5">
        <w:rPr>
          <w:rFonts w:ascii="Avenir Next" w:eastAsia="Calibri" w:hAnsi="Avenir Next" w:cs="Arial"/>
          <w:sz w:val="22"/>
          <w:szCs w:val="22"/>
          <w:highlight w:val="yellow"/>
          <w:lang w:val="en-GB"/>
        </w:rPr>
        <w:t>Lendbank</w:t>
      </w:r>
      <w:proofErr w:type="spellEnd"/>
      <w:r w:rsidRPr="008578F5">
        <w:rPr>
          <w:rFonts w:ascii="Avenir Next" w:eastAsia="Calibri" w:hAnsi="Avenir Next" w:cs="Arial"/>
          <w:sz w:val="22"/>
          <w:szCs w:val="22"/>
          <w:highlight w:val="yellow"/>
          <w:lang w:val="en-GB"/>
        </w:rPr>
        <w:t xml:space="preserve">, </w:t>
      </w:r>
      <w:r w:rsidR="00144A9A" w:rsidRPr="008578F5">
        <w:rPr>
          <w:rFonts w:ascii="Avenir Next" w:eastAsia="Calibri" w:hAnsi="Avenir Next" w:cs="Arial"/>
          <w:sz w:val="22"/>
          <w:szCs w:val="22"/>
          <w:highlight w:val="yellow"/>
          <w:lang w:val="en-GB"/>
        </w:rPr>
        <w:t xml:space="preserve">which loan is </w:t>
      </w:r>
      <w:r w:rsidRPr="008578F5">
        <w:rPr>
          <w:rFonts w:ascii="Avenir Next" w:eastAsia="Calibri" w:hAnsi="Avenir Next" w:cs="Arial"/>
          <w:sz w:val="22"/>
          <w:szCs w:val="22"/>
          <w:highlight w:val="yellow"/>
          <w:lang w:val="en-GB"/>
        </w:rPr>
        <w:t xml:space="preserve">secured by way of a floating charge against all of </w:t>
      </w:r>
      <w:r w:rsidR="00B015BA" w:rsidRPr="008578F5">
        <w:rPr>
          <w:rFonts w:ascii="Avenir Next" w:eastAsia="Calibri" w:hAnsi="Avenir Next" w:cs="Arial"/>
          <w:sz w:val="22"/>
          <w:szCs w:val="22"/>
          <w:highlight w:val="yellow"/>
          <w:lang w:val="en-GB"/>
        </w:rPr>
        <w:t>the Company’s</w:t>
      </w:r>
      <w:r w:rsidRPr="008578F5">
        <w:rPr>
          <w:rFonts w:ascii="Avenir Next" w:eastAsia="Calibri" w:hAnsi="Avenir Next" w:cs="Arial"/>
          <w:sz w:val="22"/>
          <w:szCs w:val="22"/>
          <w:highlight w:val="yellow"/>
          <w:lang w:val="en-GB"/>
        </w:rPr>
        <w:t xml:space="preserve"> shares and the assets of its subsidiaries</w:t>
      </w:r>
      <w:r w:rsidRPr="00EF2C8E">
        <w:rPr>
          <w:rFonts w:ascii="Avenir Next" w:eastAsia="Calibri" w:hAnsi="Avenir Next" w:cs="Arial"/>
          <w:sz w:val="22"/>
          <w:szCs w:val="22"/>
          <w:lang w:val="en-GB"/>
        </w:rPr>
        <w:t>.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 xml:space="preserve">directors </w:t>
      </w:r>
      <w:r w:rsidRPr="008578F5">
        <w:rPr>
          <w:rFonts w:ascii="Avenir Next" w:eastAsia="Calibri" w:hAnsi="Avenir Next" w:cs="Arial"/>
          <w:sz w:val="22"/>
          <w:szCs w:val="22"/>
          <w:highlight w:val="yellow"/>
          <w:lang w:val="en-GB"/>
        </w:rPr>
        <w:t>immediately paid themselves a bonus of USD</w:t>
      </w:r>
      <w:r w:rsidR="00095F12" w:rsidRPr="008578F5">
        <w:rPr>
          <w:rFonts w:ascii="Avenir Next" w:eastAsia="Calibri" w:hAnsi="Avenir Next" w:cs="Arial"/>
          <w:sz w:val="22"/>
          <w:szCs w:val="22"/>
          <w:highlight w:val="yellow"/>
          <w:lang w:val="en-GB"/>
        </w:rPr>
        <w:t> </w:t>
      </w:r>
      <w:r w:rsidRPr="008578F5">
        <w:rPr>
          <w:rFonts w:ascii="Avenir Next" w:eastAsia="Calibri" w:hAnsi="Avenir Next" w:cs="Arial"/>
          <w:sz w:val="22"/>
          <w:szCs w:val="22"/>
          <w:highlight w:val="yellow"/>
          <w:lang w:val="en-GB"/>
        </w:rPr>
        <w:t>20 million and they also paid a dividend to the Company’s shareholders in the sum of USD</w:t>
      </w:r>
      <w:r w:rsidR="00095F12" w:rsidRPr="008578F5">
        <w:rPr>
          <w:rFonts w:ascii="Avenir Next" w:eastAsia="Calibri" w:hAnsi="Avenir Next" w:cs="Arial"/>
          <w:sz w:val="22"/>
          <w:szCs w:val="22"/>
          <w:highlight w:val="yellow"/>
          <w:lang w:val="en-GB"/>
        </w:rPr>
        <w:t> </w:t>
      </w:r>
      <w:r w:rsidRPr="008578F5">
        <w:rPr>
          <w:rFonts w:ascii="Avenir Next" w:eastAsia="Calibri" w:hAnsi="Avenir Next" w:cs="Arial"/>
          <w:sz w:val="22"/>
          <w:szCs w:val="22"/>
          <w:highlight w:val="yellow"/>
          <w:lang w:val="en-GB"/>
        </w:rPr>
        <w:t>30 million.</w:t>
      </w:r>
      <w:r w:rsidRPr="00EF2C8E">
        <w:rPr>
          <w:rFonts w:ascii="Avenir Next" w:eastAsia="Calibri" w:hAnsi="Avenir Next" w:cs="Arial"/>
          <w:sz w:val="22"/>
          <w:szCs w:val="22"/>
          <w:lang w:val="en-GB"/>
        </w:rPr>
        <w:t xml:space="preserve">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w:t>
      </w:r>
      <w:r w:rsidRPr="008578F5">
        <w:rPr>
          <w:rFonts w:ascii="Avenir Next" w:eastAsia="Calibri" w:hAnsi="Avenir Next" w:cs="Arial"/>
          <w:sz w:val="22"/>
          <w:szCs w:val="22"/>
          <w:highlight w:val="yellow"/>
          <w:lang w:val="en-GB"/>
        </w:rPr>
        <w:t>two weeks later</w:t>
      </w:r>
      <w:r w:rsidRPr="00EF2C8E">
        <w:rPr>
          <w:rFonts w:ascii="Avenir Next" w:eastAsia="Calibri" w:hAnsi="Avenir Next" w:cs="Arial"/>
          <w:sz w:val="22"/>
          <w:szCs w:val="22"/>
          <w:lang w:val="en-GB"/>
        </w:rPr>
        <w:t xml:space="preserve">,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24B073CC" w14:textId="77777777" w:rsidR="00FA3C10" w:rsidRDefault="00FA3C10" w:rsidP="00A52B25">
      <w:pPr>
        <w:jc w:val="both"/>
        <w:rPr>
          <w:rFonts w:ascii="Avenir Next" w:hAnsi="Avenir Next" w:cs="Arial"/>
          <w:color w:val="808080" w:themeColor="background1" w:themeShade="80"/>
          <w:sz w:val="22"/>
          <w:szCs w:val="22"/>
          <w:lang w:val="en-GB"/>
        </w:rPr>
      </w:pPr>
    </w:p>
    <w:p w14:paraId="522ADEE9" w14:textId="19024829" w:rsidR="001B0FEB" w:rsidRPr="00AF59F0" w:rsidRDefault="001B0FEB" w:rsidP="00A52B25">
      <w:pPr>
        <w:jc w:val="both"/>
        <w:rPr>
          <w:rFonts w:ascii="Avenir Next" w:hAnsi="Avenir Next" w:cs="Arial"/>
          <w:b/>
          <w:bCs/>
          <w:color w:val="808080" w:themeColor="background1" w:themeShade="80"/>
          <w:sz w:val="22"/>
          <w:szCs w:val="22"/>
          <w:lang w:val="en-GB"/>
        </w:rPr>
      </w:pPr>
      <w:r w:rsidRPr="00AF59F0">
        <w:rPr>
          <w:rFonts w:ascii="Avenir Next" w:hAnsi="Avenir Next" w:cs="Arial"/>
          <w:b/>
          <w:bCs/>
          <w:i/>
          <w:iCs/>
          <w:color w:val="808080" w:themeColor="background1" w:themeShade="80"/>
          <w:sz w:val="22"/>
          <w:szCs w:val="22"/>
          <w:u w:val="single"/>
          <w:lang w:val="en-GB"/>
        </w:rPr>
        <w:t>Jurisdictions in which action could be taken</w:t>
      </w:r>
    </w:p>
    <w:p w14:paraId="4757C9C9" w14:textId="77777777" w:rsidR="001B0FEB" w:rsidRDefault="001B0FEB" w:rsidP="00A52B25">
      <w:pPr>
        <w:jc w:val="both"/>
        <w:rPr>
          <w:rFonts w:ascii="Avenir Next" w:hAnsi="Avenir Next" w:cs="Arial"/>
          <w:color w:val="808080" w:themeColor="background1" w:themeShade="80"/>
          <w:sz w:val="22"/>
          <w:szCs w:val="22"/>
          <w:lang w:val="en-GB"/>
        </w:rPr>
      </w:pPr>
    </w:p>
    <w:p w14:paraId="26DA1C5A" w14:textId="40BA75B9" w:rsidR="001B0FEB" w:rsidRPr="006C40A8" w:rsidRDefault="001B0FEB"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a Bermuda exempt company and carries international business. As such, it is not only subject to the winding-up jurisdiction of the Supreme Court of Bermuda, but also the courts of the foreign jurisdictions it operates in (through its various subsidiaries in </w:t>
      </w:r>
      <w:r w:rsidR="0040368D">
        <w:rPr>
          <w:rFonts w:ascii="Avenir Next" w:hAnsi="Avenir Next" w:cs="Arial"/>
          <w:color w:val="808080" w:themeColor="background1" w:themeShade="80"/>
          <w:sz w:val="22"/>
          <w:szCs w:val="22"/>
          <w:lang w:val="en-GB"/>
        </w:rPr>
        <w:t>the PRC</w:t>
      </w:r>
      <w:r>
        <w:rPr>
          <w:rFonts w:ascii="Avenir Next" w:hAnsi="Avenir Next" w:cs="Arial"/>
          <w:color w:val="808080" w:themeColor="background1" w:themeShade="80"/>
          <w:sz w:val="22"/>
          <w:szCs w:val="22"/>
          <w:lang w:val="en-GB"/>
        </w:rPr>
        <w:t xml:space="preserve"> and </w:t>
      </w:r>
      <w:r w:rsidR="0040368D">
        <w:rPr>
          <w:rFonts w:ascii="Avenir Next" w:hAnsi="Avenir Next" w:cs="Arial"/>
          <w:color w:val="808080" w:themeColor="background1" w:themeShade="80"/>
          <w:sz w:val="22"/>
          <w:szCs w:val="22"/>
          <w:lang w:val="en-GB"/>
        </w:rPr>
        <w:t xml:space="preserve">its substantial </w:t>
      </w:r>
      <w:r>
        <w:rPr>
          <w:rFonts w:ascii="Avenir Next" w:hAnsi="Avenir Next" w:cs="Arial"/>
          <w:color w:val="808080" w:themeColor="background1" w:themeShade="80"/>
          <w:sz w:val="22"/>
          <w:szCs w:val="22"/>
          <w:lang w:val="en-GB"/>
        </w:rPr>
        <w:t xml:space="preserve">operations in HK). </w:t>
      </w:r>
      <w:r w:rsidR="0040368D">
        <w:rPr>
          <w:rFonts w:ascii="Avenir Next" w:hAnsi="Avenir Next" w:cs="Arial"/>
          <w:color w:val="808080" w:themeColor="background1" w:themeShade="80"/>
          <w:sz w:val="22"/>
          <w:szCs w:val="22"/>
          <w:lang w:val="en-GB"/>
        </w:rPr>
        <w:t>As a result, t</w:t>
      </w:r>
      <w:r w:rsidR="0040368D" w:rsidRPr="0040368D">
        <w:rPr>
          <w:rFonts w:ascii="Avenir Next" w:hAnsi="Avenir Next" w:cs="Arial"/>
          <w:color w:val="808080" w:themeColor="background1" w:themeShade="80"/>
          <w:sz w:val="22"/>
          <w:szCs w:val="22"/>
          <w:lang w:val="en-GB"/>
        </w:rPr>
        <w:t xml:space="preserve">he bondholders could take </w:t>
      </w:r>
      <w:r w:rsidR="0040368D">
        <w:rPr>
          <w:rFonts w:ascii="Avenir Next" w:hAnsi="Avenir Next" w:cs="Arial"/>
          <w:color w:val="808080" w:themeColor="background1" w:themeShade="80"/>
          <w:sz w:val="22"/>
          <w:szCs w:val="22"/>
          <w:lang w:val="en-GB"/>
        </w:rPr>
        <w:t xml:space="preserve">(a) </w:t>
      </w:r>
      <w:r w:rsidR="0040368D" w:rsidRPr="0040368D">
        <w:rPr>
          <w:rFonts w:ascii="Avenir Next" w:hAnsi="Avenir Next" w:cs="Arial"/>
          <w:color w:val="808080" w:themeColor="background1" w:themeShade="80"/>
          <w:sz w:val="22"/>
          <w:szCs w:val="22"/>
          <w:lang w:val="en-GB"/>
        </w:rPr>
        <w:t>action against the Company’s indirect trading subsidiaries in the PRC</w:t>
      </w:r>
      <w:r w:rsidR="0040368D">
        <w:rPr>
          <w:rFonts w:ascii="Avenir Next" w:hAnsi="Avenir Next" w:cs="Arial"/>
          <w:color w:val="808080" w:themeColor="background1" w:themeShade="80"/>
          <w:sz w:val="22"/>
          <w:szCs w:val="22"/>
          <w:lang w:val="en-GB"/>
        </w:rPr>
        <w:t>; (b)</w:t>
      </w:r>
      <w:r w:rsidR="0040368D" w:rsidRPr="0040368D">
        <w:rPr>
          <w:rFonts w:ascii="Avenir Next" w:hAnsi="Avenir Next" w:cs="Arial"/>
          <w:color w:val="808080" w:themeColor="background1" w:themeShade="80"/>
          <w:sz w:val="22"/>
          <w:szCs w:val="22"/>
          <w:lang w:val="en-GB"/>
        </w:rPr>
        <w:t xml:space="preserve"> in Hong Kong where the Company has a substantial business presence</w:t>
      </w:r>
      <w:r w:rsidR="0040368D">
        <w:rPr>
          <w:rFonts w:ascii="Avenir Next" w:hAnsi="Avenir Next" w:cs="Arial"/>
          <w:color w:val="808080" w:themeColor="background1" w:themeShade="80"/>
          <w:sz w:val="22"/>
          <w:szCs w:val="22"/>
          <w:lang w:val="en-GB"/>
        </w:rPr>
        <w:t>; and/or (c)</w:t>
      </w:r>
      <w:r w:rsidR="0040368D" w:rsidRPr="0040368D">
        <w:rPr>
          <w:rFonts w:ascii="Avenir Next" w:hAnsi="Avenir Next" w:cs="Arial"/>
          <w:color w:val="808080" w:themeColor="background1" w:themeShade="80"/>
          <w:sz w:val="22"/>
          <w:szCs w:val="22"/>
          <w:lang w:val="en-GB"/>
        </w:rPr>
        <w:t xml:space="preserve"> action against the Company in Bermuda</w:t>
      </w:r>
      <w:r w:rsidR="0040368D">
        <w:rPr>
          <w:rFonts w:ascii="Avenir Next" w:hAnsi="Avenir Next" w:cs="Arial"/>
          <w:color w:val="808080" w:themeColor="background1" w:themeShade="80"/>
          <w:sz w:val="22"/>
          <w:szCs w:val="22"/>
          <w:lang w:val="en-GB"/>
        </w:rPr>
        <w:t xml:space="preserve">. It should also be noted that such action may also be commenced on a </w:t>
      </w:r>
      <w:r w:rsidR="0040368D" w:rsidRPr="006C40A8">
        <w:rPr>
          <w:rFonts w:ascii="Avenir Next" w:hAnsi="Avenir Next" w:cs="Arial"/>
          <w:i/>
          <w:iCs/>
          <w:color w:val="808080" w:themeColor="background1" w:themeShade="80"/>
          <w:sz w:val="22"/>
          <w:szCs w:val="22"/>
          <w:lang w:val="en-GB"/>
        </w:rPr>
        <w:t xml:space="preserve">simultaneous </w:t>
      </w:r>
      <w:r w:rsidR="0040368D" w:rsidRPr="006C40A8">
        <w:rPr>
          <w:rFonts w:ascii="Avenir Next" w:hAnsi="Avenir Next" w:cs="Arial"/>
          <w:color w:val="808080" w:themeColor="background1" w:themeShade="80"/>
          <w:sz w:val="22"/>
          <w:szCs w:val="22"/>
          <w:lang w:val="en-GB"/>
        </w:rPr>
        <w:t xml:space="preserve">basis, </w:t>
      </w:r>
      <w:proofErr w:type="spellStart"/>
      <w:r w:rsidR="0040368D" w:rsidRPr="006C40A8">
        <w:rPr>
          <w:rFonts w:ascii="Avenir Next" w:hAnsi="Avenir Next" w:cs="Arial"/>
          <w:i/>
          <w:iCs/>
          <w:color w:val="808080" w:themeColor="background1" w:themeShade="80"/>
          <w:sz w:val="22"/>
          <w:szCs w:val="22"/>
          <w:lang w:val="en-GB"/>
        </w:rPr>
        <w:t>ie</w:t>
      </w:r>
      <w:proofErr w:type="spellEnd"/>
      <w:r w:rsidR="0040368D" w:rsidRPr="006C40A8">
        <w:rPr>
          <w:rFonts w:ascii="Avenir Next" w:hAnsi="Avenir Next" w:cs="Arial"/>
          <w:color w:val="808080" w:themeColor="background1" w:themeShade="80"/>
          <w:sz w:val="22"/>
          <w:szCs w:val="22"/>
          <w:lang w:val="en-GB"/>
        </w:rPr>
        <w:t xml:space="preserve">, in one or more jurisdictions simultaneously. In such a situation, one </w:t>
      </w:r>
      <w:r w:rsidR="0040368D" w:rsidRPr="006C40A8">
        <w:rPr>
          <w:rFonts w:ascii="Avenir Next" w:hAnsi="Avenir Next" w:cs="Arial"/>
          <w:color w:val="808080" w:themeColor="background1" w:themeShade="80"/>
          <w:sz w:val="22"/>
          <w:szCs w:val="22"/>
          <w:lang w:val="en-GB"/>
        </w:rPr>
        <w:lastRenderedPageBreak/>
        <w:t>of the courts will be recognised as the primary court, while the others are deemed “ancillary” courts. This will in turn be determined (insofar as the Supreme Court of Bermuda is concerned) by the court’s assessment of</w:t>
      </w:r>
      <w:r w:rsidR="0040368D" w:rsidRPr="006C40A8">
        <w:rPr>
          <w:rFonts w:ascii="Avenir Next" w:hAnsi="Avenir Next" w:cs="Arial"/>
          <w:color w:val="808080" w:themeColor="background1" w:themeShade="80"/>
          <w:sz w:val="22"/>
          <w:szCs w:val="22"/>
          <w:lang w:val="en-GB"/>
        </w:rPr>
        <w:t xml:space="preserve"> all the circumstances of the case (</w:t>
      </w:r>
      <w:r w:rsidR="0040368D" w:rsidRPr="006C40A8">
        <w:rPr>
          <w:rFonts w:ascii="Avenir Next" w:hAnsi="Avenir Next" w:cs="Arial"/>
          <w:i/>
          <w:iCs/>
          <w:color w:val="808080" w:themeColor="background1" w:themeShade="80"/>
          <w:sz w:val="22"/>
          <w:szCs w:val="22"/>
          <w:lang w:val="en-GB"/>
        </w:rPr>
        <w:t xml:space="preserve">including </w:t>
      </w:r>
      <w:r w:rsidR="0040368D" w:rsidRPr="006C40A8">
        <w:rPr>
          <w:rFonts w:ascii="Avenir Next" w:hAnsi="Avenir Next" w:cs="Arial"/>
          <w:color w:val="808080" w:themeColor="background1" w:themeShade="80"/>
          <w:sz w:val="22"/>
          <w:szCs w:val="22"/>
          <w:lang w:val="en-GB"/>
        </w:rPr>
        <w:t xml:space="preserve">concepts such the company’s </w:t>
      </w:r>
      <w:r w:rsidR="0040368D" w:rsidRPr="006C40A8">
        <w:rPr>
          <w:rFonts w:ascii="Avenir Next" w:hAnsi="Avenir Next" w:cs="Arial"/>
          <w:color w:val="808080" w:themeColor="background1" w:themeShade="80"/>
          <w:sz w:val="22"/>
          <w:szCs w:val="22"/>
          <w:lang w:val="en-GB"/>
        </w:rPr>
        <w:t>centre of main interest</w:t>
      </w:r>
      <w:r w:rsidR="0040368D" w:rsidRPr="006C40A8">
        <w:rPr>
          <w:rFonts w:ascii="Avenir Next" w:hAnsi="Avenir Next" w:cs="Arial"/>
          <w:color w:val="808080" w:themeColor="background1" w:themeShade="80"/>
          <w:sz w:val="22"/>
          <w:szCs w:val="22"/>
          <w:lang w:val="en-GB"/>
        </w:rPr>
        <w:t>) (</w:t>
      </w:r>
      <w:r w:rsidR="0040368D" w:rsidRPr="006C40A8">
        <w:rPr>
          <w:rFonts w:ascii="Avenir Next" w:hAnsi="Avenir Next" w:cs="Arial"/>
          <w:i/>
          <w:iCs/>
          <w:color w:val="808080" w:themeColor="background1" w:themeShade="80"/>
          <w:sz w:val="22"/>
          <w:szCs w:val="22"/>
          <w:lang w:val="en-GB"/>
        </w:rPr>
        <w:t xml:space="preserve">Re C&amp;J Energy Services Ltd </w:t>
      </w:r>
      <w:r w:rsidR="0040368D" w:rsidRPr="006C40A8">
        <w:rPr>
          <w:rFonts w:ascii="Avenir Next" w:hAnsi="Avenir Next" w:cs="Arial"/>
          <w:color w:val="808080" w:themeColor="background1" w:themeShade="80"/>
          <w:sz w:val="22"/>
          <w:szCs w:val="22"/>
          <w:lang w:val="en-GB"/>
        </w:rPr>
        <w:t xml:space="preserve">[2017] </w:t>
      </w:r>
      <w:proofErr w:type="spellStart"/>
      <w:r w:rsidR="0040368D" w:rsidRPr="006C40A8">
        <w:rPr>
          <w:rFonts w:ascii="Avenir Next" w:hAnsi="Avenir Next" w:cs="Arial"/>
          <w:color w:val="808080" w:themeColor="background1" w:themeShade="80"/>
          <w:sz w:val="22"/>
          <w:szCs w:val="22"/>
          <w:lang w:val="en-GB"/>
        </w:rPr>
        <w:t>Bda</w:t>
      </w:r>
      <w:proofErr w:type="spellEnd"/>
      <w:r w:rsidR="0040368D" w:rsidRPr="006C40A8">
        <w:rPr>
          <w:rFonts w:ascii="Avenir Next" w:hAnsi="Avenir Next" w:cs="Arial"/>
          <w:color w:val="808080" w:themeColor="background1" w:themeShade="80"/>
          <w:sz w:val="22"/>
          <w:szCs w:val="22"/>
          <w:lang w:val="en-GB"/>
        </w:rPr>
        <w:t xml:space="preserve"> LR 22</w:t>
      </w:r>
      <w:r w:rsidR="0040368D" w:rsidRPr="006C40A8">
        <w:rPr>
          <w:rFonts w:ascii="Avenir Next" w:hAnsi="Avenir Next" w:cs="Arial"/>
          <w:color w:val="808080" w:themeColor="background1" w:themeShade="80"/>
          <w:sz w:val="22"/>
          <w:szCs w:val="22"/>
          <w:lang w:val="en-GB"/>
        </w:rPr>
        <w:t xml:space="preserve">). </w:t>
      </w:r>
    </w:p>
    <w:p w14:paraId="596194F5" w14:textId="77777777" w:rsidR="0034233C" w:rsidRPr="006C40A8" w:rsidRDefault="0034233C" w:rsidP="00A52B25">
      <w:pPr>
        <w:jc w:val="both"/>
        <w:rPr>
          <w:rFonts w:ascii="Avenir Next" w:hAnsi="Avenir Next" w:cs="Arial"/>
          <w:color w:val="808080" w:themeColor="background1" w:themeShade="80"/>
          <w:sz w:val="22"/>
          <w:szCs w:val="22"/>
          <w:lang w:val="en-GB"/>
        </w:rPr>
      </w:pPr>
    </w:p>
    <w:p w14:paraId="7F2A0933" w14:textId="3938A870" w:rsidR="0034233C" w:rsidRPr="006C40A8" w:rsidRDefault="0034233C" w:rsidP="00A52B25">
      <w:pPr>
        <w:jc w:val="both"/>
        <w:rPr>
          <w:rFonts w:ascii="Avenir Next" w:hAnsi="Avenir Next" w:cs="Arial"/>
          <w:b/>
          <w:bCs/>
          <w:color w:val="808080" w:themeColor="background1" w:themeShade="80"/>
          <w:sz w:val="22"/>
          <w:szCs w:val="22"/>
          <w:lang w:val="en-GB"/>
        </w:rPr>
      </w:pPr>
      <w:r w:rsidRPr="006C40A8">
        <w:rPr>
          <w:rFonts w:ascii="Avenir Next" w:hAnsi="Avenir Next" w:cs="Arial"/>
          <w:b/>
          <w:bCs/>
          <w:i/>
          <w:iCs/>
          <w:color w:val="808080" w:themeColor="background1" w:themeShade="80"/>
          <w:sz w:val="22"/>
          <w:szCs w:val="22"/>
          <w:u w:val="single"/>
          <w:lang w:val="en-GB"/>
        </w:rPr>
        <w:t>Defendants</w:t>
      </w:r>
    </w:p>
    <w:p w14:paraId="75B3E05B" w14:textId="77777777" w:rsidR="0034233C" w:rsidRPr="006C40A8" w:rsidRDefault="0034233C" w:rsidP="00A52B25">
      <w:pPr>
        <w:jc w:val="both"/>
        <w:rPr>
          <w:rFonts w:ascii="Avenir Next" w:hAnsi="Avenir Next" w:cs="Arial"/>
          <w:color w:val="808080" w:themeColor="background1" w:themeShade="80"/>
          <w:sz w:val="22"/>
          <w:szCs w:val="22"/>
          <w:lang w:val="en-GB"/>
        </w:rPr>
      </w:pPr>
    </w:p>
    <w:p w14:paraId="3EEFCEBF" w14:textId="146D8A5A" w:rsidR="0034233C" w:rsidRPr="006C40A8" w:rsidRDefault="006F0A06" w:rsidP="00A52B25">
      <w:pPr>
        <w:jc w:val="both"/>
        <w:rPr>
          <w:rFonts w:ascii="Avenir Next" w:hAnsi="Avenir Next" w:cs="Arial"/>
          <w:color w:val="808080" w:themeColor="background1" w:themeShade="80"/>
          <w:sz w:val="22"/>
          <w:szCs w:val="22"/>
          <w:lang w:val="en-GB"/>
        </w:rPr>
      </w:pPr>
      <w:r w:rsidRPr="006C40A8">
        <w:rPr>
          <w:rFonts w:ascii="Avenir Next" w:hAnsi="Avenir Next" w:cs="Arial"/>
          <w:color w:val="808080" w:themeColor="background1" w:themeShade="80"/>
          <w:sz w:val="22"/>
          <w:szCs w:val="22"/>
          <w:lang w:val="en-GB"/>
        </w:rPr>
        <w:t>The bondholders may take action against (a) the Company; (b) its directors; (c) the business entities/subsidiaries the Company has in Hong Kong and (d) in China.</w:t>
      </w:r>
    </w:p>
    <w:p w14:paraId="3688C8EC" w14:textId="77777777" w:rsidR="006F0A06" w:rsidRPr="006C40A8" w:rsidRDefault="006F0A06" w:rsidP="00A52B25">
      <w:pPr>
        <w:jc w:val="both"/>
        <w:rPr>
          <w:rFonts w:ascii="Avenir Next" w:hAnsi="Avenir Next" w:cs="Arial"/>
          <w:color w:val="808080" w:themeColor="background1" w:themeShade="80"/>
          <w:sz w:val="22"/>
          <w:szCs w:val="22"/>
          <w:lang w:val="en-GB"/>
        </w:rPr>
      </w:pPr>
    </w:p>
    <w:p w14:paraId="2948374A" w14:textId="4AC96AD1" w:rsidR="006F0A06" w:rsidRPr="006C40A8" w:rsidRDefault="006F0A06" w:rsidP="00A52B25">
      <w:pPr>
        <w:jc w:val="both"/>
        <w:rPr>
          <w:rFonts w:ascii="Avenir Next" w:hAnsi="Avenir Next" w:cs="Arial"/>
          <w:b/>
          <w:bCs/>
          <w:color w:val="808080" w:themeColor="background1" w:themeShade="80"/>
          <w:sz w:val="22"/>
          <w:szCs w:val="22"/>
          <w:lang w:val="en-GB"/>
        </w:rPr>
      </w:pPr>
      <w:r w:rsidRPr="006C40A8">
        <w:rPr>
          <w:rFonts w:ascii="Avenir Next" w:hAnsi="Avenir Next" w:cs="Arial"/>
          <w:b/>
          <w:bCs/>
          <w:i/>
          <w:iCs/>
          <w:color w:val="808080" w:themeColor="background1" w:themeShade="80"/>
          <w:sz w:val="22"/>
          <w:szCs w:val="22"/>
          <w:u w:val="single"/>
          <w:lang w:val="en-GB"/>
        </w:rPr>
        <w:t>Litigation v Insolvency Proceedings</w:t>
      </w:r>
    </w:p>
    <w:p w14:paraId="0BFAD2FD" w14:textId="77777777" w:rsidR="006F0A06" w:rsidRPr="006C40A8" w:rsidRDefault="006F0A06" w:rsidP="00A52B25">
      <w:pPr>
        <w:jc w:val="both"/>
        <w:rPr>
          <w:rFonts w:ascii="Avenir Next" w:hAnsi="Avenir Next" w:cs="Arial"/>
          <w:color w:val="808080" w:themeColor="background1" w:themeShade="80"/>
          <w:sz w:val="22"/>
          <w:szCs w:val="22"/>
          <w:lang w:val="en-GB"/>
        </w:rPr>
      </w:pPr>
    </w:p>
    <w:p w14:paraId="698D3074" w14:textId="3FA21AFA" w:rsidR="006C40A8" w:rsidRDefault="005C5954" w:rsidP="006C40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 of instituting insolvency proceedings in the present context is that a stay on enforcement of the Company’s debt comes into force upon commencement of those proceedings. This</w:t>
      </w:r>
      <w:r w:rsidR="00AD7199">
        <w:rPr>
          <w:rFonts w:ascii="Avenir Next" w:hAnsi="Avenir Next" w:cs="Arial"/>
          <w:color w:val="808080" w:themeColor="background1" w:themeShade="80"/>
          <w:sz w:val="22"/>
          <w:szCs w:val="22"/>
          <w:lang w:val="en-GB"/>
        </w:rPr>
        <w:t>, together with the claims process that follows and that is facilitated by the relevant insolvency office holder appointed,</w:t>
      </w:r>
      <w:r>
        <w:rPr>
          <w:rFonts w:ascii="Avenir Next" w:hAnsi="Avenir Next" w:cs="Arial"/>
          <w:color w:val="808080" w:themeColor="background1" w:themeShade="80"/>
          <w:sz w:val="22"/>
          <w:szCs w:val="22"/>
          <w:lang w:val="en-GB"/>
        </w:rPr>
        <w:t xml:space="preserve"> allows a more orderly and co-ordinated claim against the Company, as opposed to </w:t>
      </w:r>
      <w:r w:rsidR="00AD7199">
        <w:rPr>
          <w:rFonts w:ascii="Avenir Next" w:hAnsi="Avenir Next" w:cs="Arial"/>
          <w:color w:val="808080" w:themeColor="background1" w:themeShade="80"/>
          <w:sz w:val="22"/>
          <w:szCs w:val="22"/>
          <w:lang w:val="en-GB"/>
        </w:rPr>
        <w:t>each individual creditor taking action against the Company in ‘</w:t>
      </w:r>
      <w:r w:rsidR="00AD7199" w:rsidRPr="00AD7199">
        <w:rPr>
          <w:rFonts w:ascii="Avenir Next" w:hAnsi="Avenir Next" w:cs="Arial"/>
          <w:color w:val="808080" w:themeColor="background1" w:themeShade="80"/>
          <w:sz w:val="22"/>
          <w:szCs w:val="22"/>
        </w:rPr>
        <w:t>a race to the bottom</w:t>
      </w:r>
      <w:r w:rsidR="00AD7199">
        <w:rPr>
          <w:rFonts w:ascii="Avenir Next" w:hAnsi="Avenir Next" w:cs="Arial"/>
          <w:color w:val="808080" w:themeColor="background1" w:themeShade="80"/>
          <w:sz w:val="22"/>
          <w:szCs w:val="22"/>
        </w:rPr>
        <w:t>’</w:t>
      </w:r>
      <w:r w:rsidR="00AD7199" w:rsidRPr="00AD7199">
        <w:rPr>
          <w:rFonts w:ascii="Avenir Next" w:hAnsi="Avenir Next" w:cs="Arial"/>
          <w:color w:val="808080" w:themeColor="background1" w:themeShade="80"/>
          <w:sz w:val="22"/>
          <w:szCs w:val="22"/>
        </w:rPr>
        <w:t xml:space="preserve"> scramble for assets</w:t>
      </w:r>
      <w:r w:rsidR="00AD7199">
        <w:rPr>
          <w:rFonts w:ascii="Avenir Next" w:hAnsi="Avenir Next" w:cs="Arial"/>
          <w:color w:val="808080" w:themeColor="background1" w:themeShade="80"/>
          <w:sz w:val="22"/>
          <w:szCs w:val="22"/>
          <w:lang w:val="en-GB"/>
        </w:rPr>
        <w:t xml:space="preserve">, be it in Bermuda or elsewhere (of course, it could be that all the bondholders are joined as plaintiffs in a single action against the Company). </w:t>
      </w:r>
    </w:p>
    <w:p w14:paraId="3C4D5135" w14:textId="77777777" w:rsidR="00AD7199" w:rsidRDefault="00AD7199" w:rsidP="006C40A8">
      <w:pPr>
        <w:jc w:val="both"/>
        <w:rPr>
          <w:rFonts w:ascii="Avenir Next" w:hAnsi="Avenir Next" w:cs="Arial"/>
          <w:color w:val="808080" w:themeColor="background1" w:themeShade="80"/>
          <w:sz w:val="22"/>
          <w:szCs w:val="22"/>
          <w:lang w:val="en-GB"/>
        </w:rPr>
      </w:pPr>
    </w:p>
    <w:p w14:paraId="63D4874E" w14:textId="36673233" w:rsidR="00AD7199" w:rsidRPr="00C36FBF" w:rsidRDefault="00C36FBF" w:rsidP="006C40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Litigation, however, may have the advantage of being a more ‘direct’ approach to a claim on debt, particularly where there is clear evidence of said debt. From a more self-centred perspective, it could also allow the bondholders to recuperate a larger sum from the Company as judgment debt (rather than to have to share in a </w:t>
      </w:r>
      <w:proofErr w:type="spellStart"/>
      <w:r>
        <w:rPr>
          <w:rFonts w:ascii="Avenir Next" w:hAnsi="Avenir Next" w:cs="Arial"/>
          <w:i/>
          <w:iCs/>
          <w:color w:val="808080" w:themeColor="background1" w:themeShade="80"/>
          <w:sz w:val="22"/>
          <w:szCs w:val="22"/>
          <w:lang w:val="en-GB"/>
        </w:rPr>
        <w:t>pari</w:t>
      </w:r>
      <w:proofErr w:type="spellEnd"/>
      <w:r>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distribution of the remainder of the Company’s estate after the secured/preferential creditors have been satisfied). However, what weighs against this is that the Company would also have to spend money to defend itself in such a claim; in which case the overall value of the estate will be eroded as well. Litigation may also drag on for far longer than envisaged. Instituting insolvency proceedings may thus be the most appropriate solution moving forward.</w:t>
      </w:r>
    </w:p>
    <w:p w14:paraId="0D1C05E7" w14:textId="77777777" w:rsidR="006F0A06" w:rsidRPr="006C40A8" w:rsidRDefault="006F0A06" w:rsidP="00A52B25">
      <w:pPr>
        <w:jc w:val="both"/>
        <w:rPr>
          <w:rFonts w:ascii="Avenir Next" w:hAnsi="Avenir Next" w:cs="Arial"/>
          <w:color w:val="808080" w:themeColor="background1" w:themeShade="80"/>
          <w:sz w:val="22"/>
          <w:szCs w:val="22"/>
          <w:lang w:val="en-GB"/>
        </w:rPr>
      </w:pPr>
    </w:p>
    <w:p w14:paraId="360379E0" w14:textId="118F5B4C" w:rsidR="006F0A06" w:rsidRPr="006C40A8" w:rsidRDefault="006F0A06" w:rsidP="00A52B25">
      <w:pPr>
        <w:jc w:val="both"/>
        <w:rPr>
          <w:rFonts w:ascii="Avenir Next" w:hAnsi="Avenir Next" w:cs="Arial"/>
          <w:b/>
          <w:bCs/>
          <w:color w:val="808080" w:themeColor="background1" w:themeShade="80"/>
          <w:sz w:val="22"/>
          <w:szCs w:val="22"/>
          <w:lang w:val="en-GB"/>
        </w:rPr>
      </w:pPr>
      <w:r w:rsidRPr="006C40A8">
        <w:rPr>
          <w:rFonts w:ascii="Avenir Next" w:hAnsi="Avenir Next" w:cs="Arial"/>
          <w:b/>
          <w:bCs/>
          <w:i/>
          <w:iCs/>
          <w:color w:val="808080" w:themeColor="background1" w:themeShade="80"/>
          <w:sz w:val="22"/>
          <w:szCs w:val="22"/>
          <w:u w:val="single"/>
          <w:lang w:val="en-GB"/>
        </w:rPr>
        <w:t>Causes of Action</w:t>
      </w:r>
    </w:p>
    <w:p w14:paraId="61AC3FDA" w14:textId="77777777" w:rsidR="001B0FEB" w:rsidRPr="006C40A8" w:rsidRDefault="001B0FEB" w:rsidP="00A52B25">
      <w:pPr>
        <w:jc w:val="both"/>
        <w:rPr>
          <w:rFonts w:ascii="Avenir Next" w:hAnsi="Avenir Next" w:cs="Arial"/>
          <w:color w:val="808080" w:themeColor="background1" w:themeShade="80"/>
          <w:sz w:val="22"/>
          <w:szCs w:val="22"/>
          <w:lang w:val="en-GB"/>
        </w:rPr>
      </w:pPr>
    </w:p>
    <w:p w14:paraId="383F5AF1" w14:textId="38D9B32F" w:rsidR="006F0A06" w:rsidRPr="006C40A8" w:rsidRDefault="006F0A06" w:rsidP="00A52B25">
      <w:pPr>
        <w:jc w:val="both"/>
        <w:rPr>
          <w:rFonts w:ascii="Avenir Next" w:hAnsi="Avenir Next" w:cs="Arial"/>
          <w:i/>
          <w:iCs/>
          <w:color w:val="808080" w:themeColor="background1" w:themeShade="80"/>
          <w:sz w:val="22"/>
          <w:szCs w:val="22"/>
          <w:u w:val="single"/>
          <w:lang w:val="en-GB"/>
        </w:rPr>
      </w:pPr>
      <w:r w:rsidRPr="006C40A8">
        <w:rPr>
          <w:rFonts w:ascii="Avenir Next" w:hAnsi="Avenir Next" w:cs="Arial"/>
          <w:i/>
          <w:iCs/>
          <w:color w:val="808080" w:themeColor="background1" w:themeShade="80"/>
          <w:sz w:val="22"/>
          <w:szCs w:val="22"/>
          <w:u w:val="single"/>
          <w:lang w:val="en-GB"/>
        </w:rPr>
        <w:t>Winding-Up Proceedings in Bermuda</w:t>
      </w:r>
    </w:p>
    <w:p w14:paraId="224A9200" w14:textId="77777777" w:rsidR="00D4605E" w:rsidRPr="006C40A8" w:rsidRDefault="00D4605E" w:rsidP="00A52B25">
      <w:pPr>
        <w:jc w:val="both"/>
        <w:rPr>
          <w:rFonts w:ascii="Avenir Next" w:hAnsi="Avenir Next" w:cs="Arial"/>
          <w:i/>
          <w:iCs/>
          <w:color w:val="808080" w:themeColor="background1" w:themeShade="80"/>
          <w:sz w:val="22"/>
          <w:szCs w:val="22"/>
          <w:lang w:val="en-GB"/>
        </w:rPr>
      </w:pPr>
    </w:p>
    <w:p w14:paraId="2734399F" w14:textId="58971CF9" w:rsidR="00172898" w:rsidRPr="006C40A8" w:rsidRDefault="004276F7" w:rsidP="00A52B25">
      <w:pPr>
        <w:jc w:val="both"/>
        <w:rPr>
          <w:rFonts w:ascii="Avenir Next" w:hAnsi="Avenir Next" w:cs="Arial"/>
          <w:color w:val="808080" w:themeColor="background1" w:themeShade="80"/>
          <w:sz w:val="22"/>
          <w:szCs w:val="22"/>
          <w:lang w:val="en-GB"/>
        </w:rPr>
      </w:pPr>
      <w:r w:rsidRPr="006C40A8">
        <w:rPr>
          <w:rFonts w:ascii="Avenir Next" w:hAnsi="Avenir Next" w:cs="Arial"/>
          <w:color w:val="808080" w:themeColor="background1" w:themeShade="80"/>
          <w:sz w:val="22"/>
          <w:szCs w:val="22"/>
          <w:lang w:val="en-GB"/>
        </w:rPr>
        <w:t xml:space="preserve">The US bondholders may apply for </w:t>
      </w:r>
      <w:r w:rsidR="00972B88" w:rsidRPr="006C40A8">
        <w:rPr>
          <w:rFonts w:ascii="Avenir Next" w:hAnsi="Avenir Next" w:cs="Arial"/>
          <w:color w:val="808080" w:themeColor="background1" w:themeShade="80"/>
          <w:sz w:val="22"/>
          <w:szCs w:val="22"/>
          <w:lang w:val="en-GB"/>
        </w:rPr>
        <w:t xml:space="preserve">the Company to be compulsorily wound by the court under s 161(e) of the Companies Act 1981, </w:t>
      </w:r>
      <w:proofErr w:type="spellStart"/>
      <w:r w:rsidR="00972B88" w:rsidRPr="006C40A8">
        <w:rPr>
          <w:rFonts w:ascii="Avenir Next" w:hAnsi="Avenir Next" w:cs="Arial"/>
          <w:i/>
          <w:iCs/>
          <w:color w:val="808080" w:themeColor="background1" w:themeShade="80"/>
          <w:sz w:val="22"/>
          <w:szCs w:val="22"/>
          <w:lang w:val="en-GB"/>
        </w:rPr>
        <w:t>ie</w:t>
      </w:r>
      <w:proofErr w:type="spellEnd"/>
      <w:r w:rsidR="00972B88" w:rsidRPr="006C40A8">
        <w:rPr>
          <w:rFonts w:ascii="Avenir Next" w:hAnsi="Avenir Next" w:cs="Arial"/>
          <w:color w:val="808080" w:themeColor="background1" w:themeShade="80"/>
          <w:sz w:val="22"/>
          <w:szCs w:val="22"/>
          <w:lang w:val="en-GB"/>
        </w:rPr>
        <w:t>, that it is unable to pay its debts. A company is deemed unable to pay its debts pursuant to s 162</w:t>
      </w:r>
      <w:r w:rsidR="00172898" w:rsidRPr="006C40A8">
        <w:rPr>
          <w:rFonts w:ascii="Avenir Next" w:hAnsi="Avenir Next" w:cs="Arial"/>
          <w:color w:val="808080" w:themeColor="background1" w:themeShade="80"/>
          <w:sz w:val="22"/>
          <w:szCs w:val="22"/>
          <w:lang w:val="en-GB"/>
        </w:rPr>
        <w:t>(a)</w:t>
      </w:r>
      <w:r w:rsidR="00972B88" w:rsidRPr="006C40A8">
        <w:rPr>
          <w:rFonts w:ascii="Avenir Next" w:hAnsi="Avenir Next" w:cs="Arial"/>
          <w:color w:val="808080" w:themeColor="background1" w:themeShade="80"/>
          <w:sz w:val="22"/>
          <w:szCs w:val="22"/>
          <w:lang w:val="en-GB"/>
        </w:rPr>
        <w:t xml:space="preserve"> of the Companies Act 1981 if a creditor serves a statutory demand</w:t>
      </w:r>
      <w:r w:rsidR="00172898" w:rsidRPr="006C40A8">
        <w:rPr>
          <w:rFonts w:ascii="Avenir Next" w:hAnsi="Avenir Next" w:cs="Arial"/>
          <w:color w:val="808080" w:themeColor="background1" w:themeShade="80"/>
          <w:sz w:val="22"/>
          <w:szCs w:val="22"/>
          <w:lang w:val="en-GB"/>
        </w:rPr>
        <w:t xml:space="preserve"> (for a sum exceeding five hundred dollars)</w:t>
      </w:r>
      <w:r w:rsidR="00972B88" w:rsidRPr="006C40A8">
        <w:rPr>
          <w:rFonts w:ascii="Avenir Next" w:hAnsi="Avenir Next" w:cs="Arial"/>
          <w:color w:val="808080" w:themeColor="background1" w:themeShade="80"/>
          <w:sz w:val="22"/>
          <w:szCs w:val="22"/>
          <w:lang w:val="en-GB"/>
        </w:rPr>
        <w:t xml:space="preserve"> on the company’s registered office which has been neglected or unsatisfied for a period of three weeks. In the present case, it would appear that this statutory timeline of three weeks would be met within 7 days of the Company’s continued ignorance of the statutory demand.</w:t>
      </w:r>
      <w:r w:rsidR="00172898" w:rsidRPr="006C40A8">
        <w:rPr>
          <w:rFonts w:ascii="Avenir Next" w:hAnsi="Avenir Next" w:cs="Arial"/>
          <w:color w:val="808080" w:themeColor="background1" w:themeShade="80"/>
          <w:sz w:val="22"/>
          <w:szCs w:val="22"/>
          <w:lang w:val="en-GB"/>
        </w:rPr>
        <w:t xml:space="preserve"> The US bondholders could also prove that the Company is unable to pay its debts demonstrating that the “contingent and prospective liabilities” of the Company are so large </w:t>
      </w:r>
      <w:r w:rsidR="00172898" w:rsidRPr="006C40A8">
        <w:rPr>
          <w:rFonts w:ascii="Avenir Next" w:hAnsi="Avenir Next" w:cs="Arial"/>
          <w:color w:val="808080" w:themeColor="background1" w:themeShade="80"/>
          <w:sz w:val="22"/>
          <w:szCs w:val="22"/>
          <w:lang w:val="en-GB"/>
        </w:rPr>
        <w:lastRenderedPageBreak/>
        <w:t xml:space="preserve">that it is fails the cash flow insolvency or balance sheet insolvency tests (s 162(c) of the Companies Act 1981. </w:t>
      </w:r>
    </w:p>
    <w:p w14:paraId="45D02467" w14:textId="77777777" w:rsidR="00172898" w:rsidRPr="006C40A8" w:rsidRDefault="00172898" w:rsidP="00A52B25">
      <w:pPr>
        <w:jc w:val="both"/>
        <w:rPr>
          <w:rFonts w:ascii="Avenir Next" w:hAnsi="Avenir Next" w:cs="Arial"/>
          <w:color w:val="808080" w:themeColor="background1" w:themeShade="80"/>
          <w:sz w:val="22"/>
          <w:szCs w:val="22"/>
          <w:lang w:val="en-GB"/>
        </w:rPr>
      </w:pPr>
    </w:p>
    <w:p w14:paraId="313B52BC" w14:textId="19935FD5" w:rsidR="00972B88" w:rsidRPr="006C40A8" w:rsidRDefault="00172898" w:rsidP="00A52B25">
      <w:pPr>
        <w:jc w:val="both"/>
        <w:rPr>
          <w:rFonts w:ascii="Avenir Next" w:hAnsi="Avenir Next" w:cs="Arial"/>
          <w:color w:val="808080" w:themeColor="background1" w:themeShade="80"/>
          <w:sz w:val="22"/>
          <w:szCs w:val="22"/>
          <w:lang w:val="en-GB"/>
        </w:rPr>
      </w:pPr>
      <w:r w:rsidRPr="006C40A8">
        <w:rPr>
          <w:rFonts w:ascii="Avenir Next" w:hAnsi="Avenir Next" w:cs="Arial"/>
          <w:color w:val="808080" w:themeColor="background1" w:themeShade="80"/>
          <w:sz w:val="22"/>
          <w:szCs w:val="22"/>
          <w:lang w:val="en-GB"/>
        </w:rPr>
        <w:t xml:space="preserve">Alternatively, the US bondholders may also make an application under s 161(g) of the Companies Act 1981, which provides that the court may wind up a company if the court is of the opinion that it would be “just and equitable” to do so. Examples of such circumstances would be where there is a “lack of probity on the part of the company’s directors” (Guidance Text at p 17), which the US bondholders may arguably succeed in proving given the board’s election to ignore the statutory demand for a substantial sum, and its decision to incur </w:t>
      </w:r>
      <w:r w:rsidRPr="006C40A8">
        <w:rPr>
          <w:rFonts w:ascii="Avenir Next" w:hAnsi="Avenir Next" w:cs="Arial"/>
          <w:i/>
          <w:iCs/>
          <w:color w:val="808080" w:themeColor="background1" w:themeShade="80"/>
          <w:sz w:val="22"/>
          <w:szCs w:val="22"/>
          <w:lang w:val="en-GB"/>
        </w:rPr>
        <w:t xml:space="preserve">even </w:t>
      </w:r>
      <w:r w:rsidRPr="006C40A8">
        <w:rPr>
          <w:rFonts w:ascii="Avenir Next" w:hAnsi="Avenir Next" w:cs="Arial"/>
          <w:color w:val="808080" w:themeColor="background1" w:themeShade="80"/>
          <w:sz w:val="22"/>
          <w:szCs w:val="22"/>
          <w:lang w:val="en-GB"/>
        </w:rPr>
        <w:t xml:space="preserve">more debt from </w:t>
      </w:r>
      <w:proofErr w:type="spellStart"/>
      <w:r w:rsidRPr="006C40A8">
        <w:rPr>
          <w:rFonts w:ascii="Avenir Next" w:hAnsi="Avenir Next" w:cs="Arial"/>
          <w:color w:val="808080" w:themeColor="background1" w:themeShade="80"/>
          <w:sz w:val="22"/>
          <w:szCs w:val="22"/>
          <w:lang w:val="en-GB"/>
        </w:rPr>
        <w:t>Lendbank</w:t>
      </w:r>
      <w:proofErr w:type="spellEnd"/>
      <w:r w:rsidRPr="006C40A8">
        <w:rPr>
          <w:rFonts w:ascii="Avenir Next" w:hAnsi="Avenir Next" w:cs="Arial"/>
          <w:color w:val="808080" w:themeColor="background1" w:themeShade="80"/>
          <w:sz w:val="22"/>
          <w:szCs w:val="22"/>
          <w:lang w:val="en-GB"/>
        </w:rPr>
        <w:t xml:space="preserve"> and to make personal payments out of that latter sum. </w:t>
      </w:r>
    </w:p>
    <w:p w14:paraId="72C8E435" w14:textId="77777777" w:rsidR="00172898" w:rsidRPr="006C40A8" w:rsidRDefault="00172898" w:rsidP="00A52B25">
      <w:pPr>
        <w:jc w:val="both"/>
        <w:rPr>
          <w:rFonts w:ascii="Avenir Next" w:hAnsi="Avenir Next" w:cs="Arial"/>
          <w:color w:val="808080" w:themeColor="background1" w:themeShade="80"/>
          <w:sz w:val="22"/>
          <w:szCs w:val="22"/>
          <w:lang w:val="en-GB"/>
        </w:rPr>
      </w:pPr>
    </w:p>
    <w:p w14:paraId="1FB95B54" w14:textId="6EB0C73F" w:rsidR="004276F7" w:rsidRPr="006C40A8" w:rsidRDefault="00972B88" w:rsidP="00A52B25">
      <w:pPr>
        <w:jc w:val="both"/>
        <w:rPr>
          <w:rFonts w:ascii="Avenir Next" w:hAnsi="Avenir Next" w:cs="Arial"/>
          <w:color w:val="808080" w:themeColor="background1" w:themeShade="80"/>
          <w:sz w:val="22"/>
          <w:szCs w:val="22"/>
          <w:lang w:val="en-GB"/>
        </w:rPr>
      </w:pPr>
      <w:r w:rsidRPr="006C40A8">
        <w:rPr>
          <w:rFonts w:ascii="Avenir Next" w:hAnsi="Avenir Next" w:cs="Arial"/>
          <w:color w:val="808080" w:themeColor="background1" w:themeShade="80"/>
          <w:sz w:val="22"/>
          <w:szCs w:val="22"/>
          <w:lang w:val="en-GB"/>
        </w:rPr>
        <w:t xml:space="preserve">The making of a winding-up order has the useful effect of bringing about a statutory moratorium on proceedings against the company, though this does not prevent secured creditors from enforcing their security in a self-help manner.  </w:t>
      </w:r>
    </w:p>
    <w:p w14:paraId="4A7E7AA4" w14:textId="77777777" w:rsidR="00FA3C10" w:rsidRPr="006C40A8" w:rsidRDefault="00FA3C10" w:rsidP="00A52B25">
      <w:pPr>
        <w:jc w:val="both"/>
        <w:rPr>
          <w:rFonts w:ascii="Avenir Next" w:hAnsi="Avenir Next" w:cs="Arial"/>
          <w:color w:val="808080" w:themeColor="background1" w:themeShade="80"/>
          <w:sz w:val="22"/>
          <w:szCs w:val="22"/>
          <w:lang w:val="en-GB"/>
        </w:rPr>
      </w:pPr>
    </w:p>
    <w:p w14:paraId="2256A678" w14:textId="3D1E927F" w:rsidR="00D40878" w:rsidRPr="006C40A8" w:rsidRDefault="00D40878" w:rsidP="00A52B25">
      <w:pPr>
        <w:jc w:val="both"/>
        <w:rPr>
          <w:rFonts w:ascii="Avenir Next" w:hAnsi="Avenir Next" w:cs="Arial"/>
          <w:color w:val="808080" w:themeColor="background1" w:themeShade="80"/>
          <w:sz w:val="22"/>
          <w:szCs w:val="22"/>
          <w:lang w:val="en-GB"/>
        </w:rPr>
      </w:pPr>
      <w:r w:rsidRPr="006C40A8">
        <w:rPr>
          <w:rFonts w:ascii="Avenir Next" w:hAnsi="Avenir Next" w:cs="Arial"/>
          <w:color w:val="808080" w:themeColor="background1" w:themeShade="80"/>
          <w:sz w:val="22"/>
          <w:szCs w:val="22"/>
          <w:lang w:val="en-GB"/>
        </w:rPr>
        <w:t>More importantly, however, it allows the US bondholders to ‘reach’ into the entirety of the Company’s assets (</w:t>
      </w:r>
      <w:proofErr w:type="spellStart"/>
      <w:r w:rsidRPr="006C40A8">
        <w:rPr>
          <w:rFonts w:ascii="Avenir Next" w:hAnsi="Avenir Next" w:cs="Arial"/>
          <w:i/>
          <w:iCs/>
          <w:color w:val="808080" w:themeColor="background1" w:themeShade="80"/>
          <w:sz w:val="22"/>
          <w:szCs w:val="22"/>
          <w:lang w:val="en-GB"/>
        </w:rPr>
        <w:t>ie</w:t>
      </w:r>
      <w:proofErr w:type="spellEnd"/>
      <w:r w:rsidRPr="006C40A8">
        <w:rPr>
          <w:rFonts w:ascii="Avenir Next" w:hAnsi="Avenir Next" w:cs="Arial"/>
          <w:color w:val="808080" w:themeColor="background1" w:themeShade="80"/>
          <w:sz w:val="22"/>
          <w:szCs w:val="22"/>
          <w:lang w:val="en-GB"/>
        </w:rPr>
        <w:t xml:space="preserve">, whatever moneys may be in HK or the PRC) </w:t>
      </w:r>
    </w:p>
    <w:p w14:paraId="5E1A3E66" w14:textId="3EB6D3D7" w:rsidR="009344A4" w:rsidRPr="006C40A8" w:rsidRDefault="00D4605E" w:rsidP="00A52B25">
      <w:pPr>
        <w:jc w:val="both"/>
        <w:rPr>
          <w:rFonts w:ascii="Avenir Next" w:hAnsi="Avenir Next" w:cs="Arial"/>
          <w:color w:val="808080" w:themeColor="background1" w:themeShade="80"/>
          <w:sz w:val="22"/>
          <w:szCs w:val="22"/>
          <w:u w:val="single"/>
          <w:lang w:val="en-GB"/>
        </w:rPr>
      </w:pPr>
      <w:r w:rsidRPr="006C40A8">
        <w:rPr>
          <w:rFonts w:ascii="Avenir Next" w:hAnsi="Avenir Next" w:cs="Arial"/>
          <w:i/>
          <w:iCs/>
          <w:color w:val="808080" w:themeColor="background1" w:themeShade="80"/>
          <w:sz w:val="22"/>
          <w:szCs w:val="22"/>
          <w:u w:val="single"/>
          <w:lang w:val="en-GB"/>
        </w:rPr>
        <w:t xml:space="preserve">Discrete causes of </w:t>
      </w:r>
      <w:r w:rsidR="00067BD8" w:rsidRPr="006C40A8">
        <w:rPr>
          <w:rFonts w:ascii="Avenir Next" w:hAnsi="Avenir Next" w:cs="Arial"/>
          <w:i/>
          <w:iCs/>
          <w:color w:val="808080" w:themeColor="background1" w:themeShade="80"/>
          <w:sz w:val="22"/>
          <w:szCs w:val="22"/>
          <w:u w:val="single"/>
          <w:lang w:val="en-GB"/>
        </w:rPr>
        <w:t>a</w:t>
      </w:r>
      <w:r w:rsidRPr="006C40A8">
        <w:rPr>
          <w:rFonts w:ascii="Avenir Next" w:hAnsi="Avenir Next" w:cs="Arial"/>
          <w:i/>
          <w:iCs/>
          <w:color w:val="808080" w:themeColor="background1" w:themeShade="80"/>
          <w:sz w:val="22"/>
          <w:szCs w:val="22"/>
          <w:u w:val="single"/>
          <w:lang w:val="en-GB"/>
        </w:rPr>
        <w:t>ction</w:t>
      </w:r>
    </w:p>
    <w:p w14:paraId="3B6AEE8F" w14:textId="77777777" w:rsidR="00D4605E" w:rsidRDefault="00D4605E" w:rsidP="00A52B25">
      <w:pPr>
        <w:jc w:val="both"/>
        <w:rPr>
          <w:rFonts w:ascii="Avenir Next" w:hAnsi="Avenir Next" w:cs="Arial"/>
          <w:color w:val="808080" w:themeColor="background1" w:themeShade="80"/>
          <w:sz w:val="22"/>
          <w:szCs w:val="22"/>
          <w:lang w:val="en-GB"/>
        </w:rPr>
      </w:pPr>
    </w:p>
    <w:p w14:paraId="4F8EADBD" w14:textId="65F6BC29" w:rsidR="003207B0" w:rsidRPr="003207B0" w:rsidRDefault="003207B0" w:rsidP="003207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Bermuda law, it would be</w:t>
      </w:r>
      <w:r w:rsidR="00D40878">
        <w:rPr>
          <w:rFonts w:ascii="Avenir Next" w:hAnsi="Avenir Next" w:cs="Arial"/>
          <w:color w:val="808080" w:themeColor="background1" w:themeShade="80"/>
          <w:sz w:val="22"/>
          <w:szCs w:val="22"/>
          <w:lang w:val="en-GB"/>
        </w:rPr>
        <w:t xml:space="preserve"> also</w:t>
      </w:r>
      <w:r>
        <w:rPr>
          <w:rFonts w:ascii="Avenir Next" w:hAnsi="Avenir Next" w:cs="Arial"/>
          <w:color w:val="808080" w:themeColor="background1" w:themeShade="80"/>
          <w:sz w:val="22"/>
          <w:szCs w:val="22"/>
          <w:lang w:val="en-GB"/>
        </w:rPr>
        <w:t xml:space="preserve"> possible to ‘attack’ or claw back the transactions entered into by the Company after the statutory demand was served,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the additional 50m loan from </w:t>
      </w:r>
      <w:proofErr w:type="spellStart"/>
      <w:r>
        <w:rPr>
          <w:rFonts w:ascii="Avenir Next" w:hAnsi="Avenir Next" w:cs="Arial"/>
          <w:color w:val="808080" w:themeColor="background1" w:themeShade="80"/>
          <w:sz w:val="22"/>
          <w:szCs w:val="22"/>
          <w:lang w:val="en-GB"/>
        </w:rPr>
        <w:t>Lendbank</w:t>
      </w:r>
      <w:proofErr w:type="spellEnd"/>
      <w:r>
        <w:rPr>
          <w:rFonts w:ascii="Avenir Next" w:hAnsi="Avenir Next" w:cs="Arial"/>
          <w:color w:val="808080" w:themeColor="background1" w:themeShade="80"/>
          <w:sz w:val="22"/>
          <w:szCs w:val="22"/>
          <w:lang w:val="en-GB"/>
        </w:rPr>
        <w:t xml:space="preserve"> (and the payments made from that sum). Under s 239 of the Companies Act 1981, a floating charge on the property of a company (as is the case here) created within 12 months of the commencement of the winding-up shall be invalid, unless it is proved that the company immediately after the creation of the charge was solvent and to the extent </w:t>
      </w:r>
      <w:r w:rsidRPr="003207B0">
        <w:rPr>
          <w:rFonts w:ascii="Avenir Next" w:hAnsi="Avenir Next" w:cs="Arial"/>
          <w:color w:val="808080" w:themeColor="background1" w:themeShade="80"/>
          <w:sz w:val="22"/>
          <w:szCs w:val="22"/>
          <w:lang w:val="en-SG"/>
        </w:rPr>
        <w:t>of any cash paid to the company at the time of or subsequently to the creation of, and in consideration for, the charge</w:t>
      </w:r>
      <w:r>
        <w:rPr>
          <w:rFonts w:ascii="Avenir Next" w:hAnsi="Avenir Next" w:cs="Arial"/>
          <w:color w:val="808080" w:themeColor="background1" w:themeShade="80"/>
          <w:sz w:val="22"/>
          <w:szCs w:val="22"/>
          <w:lang w:val="en-SG"/>
        </w:rPr>
        <w:t xml:space="preserve"> (which, in this case is USD50m). Should the Company’s shares and assets of its subsidiaries (the assets to which the floating charge was declared) exceed 50m, then any further amount may be clawed back under this section for the </w:t>
      </w:r>
      <w:proofErr w:type="spellStart"/>
      <w:r>
        <w:rPr>
          <w:rFonts w:ascii="Avenir Next" w:hAnsi="Avenir Next" w:cs="Arial"/>
          <w:i/>
          <w:iCs/>
          <w:color w:val="808080" w:themeColor="background1" w:themeShade="80"/>
          <w:sz w:val="22"/>
          <w:szCs w:val="22"/>
          <w:lang w:val="en-SG"/>
        </w:rPr>
        <w:t>pari</w:t>
      </w:r>
      <w:proofErr w:type="spellEnd"/>
      <w:r>
        <w:rPr>
          <w:rFonts w:ascii="Avenir Next" w:hAnsi="Avenir Next" w:cs="Arial"/>
          <w:i/>
          <w:iCs/>
          <w:color w:val="808080" w:themeColor="background1" w:themeShade="80"/>
          <w:sz w:val="22"/>
          <w:szCs w:val="22"/>
          <w:lang w:val="en-SG"/>
        </w:rPr>
        <w:t xml:space="preserve"> passu</w:t>
      </w:r>
      <w:r>
        <w:rPr>
          <w:rFonts w:ascii="Avenir Next" w:hAnsi="Avenir Next" w:cs="Arial"/>
          <w:color w:val="808080" w:themeColor="background1" w:themeShade="80"/>
          <w:sz w:val="22"/>
          <w:szCs w:val="22"/>
          <w:lang w:val="en-SG"/>
        </w:rPr>
        <w:t xml:space="preserve"> distribution amongst the bondholders.</w:t>
      </w:r>
    </w:p>
    <w:p w14:paraId="51B3B6B1" w14:textId="77777777" w:rsidR="003207B0" w:rsidRDefault="003207B0" w:rsidP="00A52B25">
      <w:pPr>
        <w:jc w:val="both"/>
        <w:rPr>
          <w:rFonts w:ascii="Avenir Next" w:hAnsi="Avenir Next" w:cs="Arial"/>
          <w:color w:val="808080" w:themeColor="background1" w:themeShade="80"/>
          <w:sz w:val="22"/>
          <w:szCs w:val="22"/>
          <w:lang w:val="en-SG"/>
        </w:rPr>
      </w:pPr>
    </w:p>
    <w:p w14:paraId="6128303B" w14:textId="1B3205F7" w:rsidR="003207B0" w:rsidRDefault="00AF59F0" w:rsidP="00A52B25">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Action may also be taken directly against the directors for breach of their fiduciary or statutory duties, for instance:</w:t>
      </w:r>
    </w:p>
    <w:p w14:paraId="056EA8E7" w14:textId="77777777" w:rsidR="00AF59F0" w:rsidRPr="00AF59F0" w:rsidRDefault="00AF59F0" w:rsidP="00AF59F0">
      <w:pPr>
        <w:pStyle w:val="ListParagraph"/>
        <w:numPr>
          <w:ilvl w:val="0"/>
          <w:numId w:val="51"/>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Under s 247 of the Companies Act, </w:t>
      </w:r>
      <w:r w:rsidRPr="00AF59F0">
        <w:rPr>
          <w:rFonts w:ascii="Avenir Next" w:hAnsi="Avenir Next" w:cs="Arial"/>
          <w:color w:val="808080" w:themeColor="background1" w:themeShade="80"/>
          <w:sz w:val="22"/>
          <w:szCs w:val="22"/>
          <w:lang w:val="en-GB"/>
        </w:rPr>
        <w:t>the directors bear personal liability if they have misapplied or retained, or become liable or accountable for any money or property of the company, or if they have been guilty of any misfeasance or breach of trust in relation to the company</w:t>
      </w:r>
      <w:r>
        <w:rPr>
          <w:rFonts w:ascii="Avenir Next" w:hAnsi="Avenir Next" w:cs="Arial"/>
          <w:color w:val="808080" w:themeColor="background1" w:themeShade="80"/>
          <w:sz w:val="22"/>
          <w:szCs w:val="22"/>
          <w:lang w:val="en-GB"/>
        </w:rPr>
        <w:t>. Here, the board’s decision to make payment to themselves and wilfully ignore the statutory demand may strongly suggest such misfeasance.</w:t>
      </w:r>
    </w:p>
    <w:p w14:paraId="6344A865" w14:textId="7AEB19A9" w:rsidR="00AF59F0" w:rsidRPr="00AF59F0" w:rsidRDefault="00AF59F0" w:rsidP="00AF59F0">
      <w:pPr>
        <w:pStyle w:val="ListParagraph"/>
        <w:numPr>
          <w:ilvl w:val="0"/>
          <w:numId w:val="51"/>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Similarly, liability may arise in terms of the directors’ common law/statutory duties to the Company to exercise reasonable skill and care (see s 97 of the Companies Act).</w:t>
      </w:r>
    </w:p>
    <w:p w14:paraId="3A41C7E1" w14:textId="0CA893DE" w:rsidR="00AF59F0" w:rsidRPr="00AF59F0" w:rsidRDefault="00AF59F0" w:rsidP="00AF59F0">
      <w:pPr>
        <w:pStyle w:val="ListParagraph"/>
        <w:numPr>
          <w:ilvl w:val="0"/>
          <w:numId w:val="51"/>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 xml:space="preserve">Under </w:t>
      </w:r>
      <w:r w:rsidRPr="00AF59F0">
        <w:rPr>
          <w:rFonts w:ascii="Avenir Next" w:hAnsi="Avenir Next" w:cs="Arial"/>
          <w:color w:val="808080" w:themeColor="background1" w:themeShade="80"/>
          <w:sz w:val="22"/>
          <w:szCs w:val="22"/>
          <w:lang w:val="en-GB"/>
        </w:rPr>
        <w:t>s 54 of the Companies Act</w:t>
      </w:r>
      <w:r>
        <w:rPr>
          <w:rFonts w:ascii="Avenir Next" w:hAnsi="Avenir Next" w:cs="Arial"/>
          <w:color w:val="808080" w:themeColor="background1" w:themeShade="80"/>
          <w:sz w:val="22"/>
          <w:szCs w:val="22"/>
          <w:lang w:val="en-GB"/>
        </w:rPr>
        <w:t xml:space="preserve">, </w:t>
      </w:r>
      <w:r w:rsidRPr="00AF59F0">
        <w:rPr>
          <w:rFonts w:ascii="Avenir Next" w:hAnsi="Avenir Next" w:cs="Arial"/>
          <w:color w:val="808080" w:themeColor="background1" w:themeShade="80"/>
          <w:sz w:val="22"/>
          <w:szCs w:val="22"/>
          <w:lang w:val="en-GB"/>
        </w:rPr>
        <w:t>a company shall not declare a dividend if there are reasonable grounds to believe that the company is unable to pay its liabilities.</w:t>
      </w:r>
      <w:r>
        <w:rPr>
          <w:rFonts w:ascii="Avenir Next" w:hAnsi="Avenir Next" w:cs="Arial"/>
          <w:color w:val="808080" w:themeColor="background1" w:themeShade="80"/>
          <w:sz w:val="22"/>
          <w:szCs w:val="22"/>
          <w:lang w:val="en-GB"/>
        </w:rPr>
        <w:t xml:space="preserve"> To this extent, the directors may be liable for having declared the dividend despite clear knowledge of the company’s insolvency.</w:t>
      </w:r>
    </w:p>
    <w:p w14:paraId="78A3D74F" w14:textId="467FE7EF" w:rsidR="003207B0" w:rsidRPr="00AF59F0" w:rsidRDefault="00AF59F0" w:rsidP="00A52B25">
      <w:pPr>
        <w:pStyle w:val="ListParagraph"/>
        <w:numPr>
          <w:ilvl w:val="0"/>
          <w:numId w:val="51"/>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lastRenderedPageBreak/>
        <w:t xml:space="preserve">Finally, to the extent that the mental element can be proven, the directors of the Company may be liable under </w:t>
      </w:r>
      <w:r w:rsidRPr="00AF59F0">
        <w:rPr>
          <w:rFonts w:ascii="Avenir Next" w:hAnsi="Avenir Next" w:cs="Arial"/>
          <w:color w:val="808080" w:themeColor="background1" w:themeShade="80"/>
          <w:sz w:val="22"/>
          <w:szCs w:val="22"/>
          <w:lang w:val="en-GB"/>
        </w:rPr>
        <w:t>s 246 of the Companies Act 1981, which provides that directors who knowingly cause or allow a company to carry on business with the intent to defraud creditors of the company</w:t>
      </w:r>
      <w:r>
        <w:rPr>
          <w:rFonts w:ascii="Avenir Next" w:hAnsi="Avenir Next" w:cs="Arial"/>
          <w:color w:val="808080" w:themeColor="background1" w:themeShade="80"/>
          <w:sz w:val="22"/>
          <w:szCs w:val="22"/>
          <w:lang w:val="en-GB"/>
        </w:rPr>
        <w:t xml:space="preserve"> (which in this case may be the bondholder).</w:t>
      </w:r>
    </w:p>
    <w:p w14:paraId="37B47AFB" w14:textId="77777777" w:rsidR="003207B0" w:rsidRDefault="003207B0" w:rsidP="00A52B25">
      <w:pPr>
        <w:jc w:val="both"/>
        <w:rPr>
          <w:rFonts w:ascii="Avenir Next" w:hAnsi="Avenir Next" w:cs="Arial"/>
          <w:color w:val="808080" w:themeColor="background1" w:themeShade="80"/>
          <w:sz w:val="22"/>
          <w:szCs w:val="22"/>
          <w:lang w:val="en-GB"/>
        </w:rPr>
      </w:pPr>
    </w:p>
    <w:p w14:paraId="7C28CD75" w14:textId="77777777" w:rsidR="003207B0" w:rsidRPr="00A52B25" w:rsidRDefault="003207B0"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2CF2F86A" w14:textId="77777777" w:rsidR="00C95778" w:rsidRDefault="00C95778" w:rsidP="00F5746F">
      <w:pPr>
        <w:jc w:val="both"/>
        <w:rPr>
          <w:rFonts w:ascii="Avenir Next" w:hAnsi="Avenir Next" w:cs="Arial"/>
          <w:color w:val="808080" w:themeColor="background1" w:themeShade="80"/>
          <w:sz w:val="22"/>
          <w:szCs w:val="22"/>
          <w:lang w:val="en-GB"/>
        </w:rPr>
      </w:pPr>
    </w:p>
    <w:p w14:paraId="7AC7C928" w14:textId="1CA6A1BD" w:rsidR="00227A0F" w:rsidRDefault="00227A0F"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could consider the appointment of a provisional liquidator</w:t>
      </w:r>
      <w:r w:rsidR="005C591C">
        <w:rPr>
          <w:rFonts w:ascii="Avenir Next" w:hAnsi="Avenir Next" w:cs="Arial"/>
          <w:color w:val="808080" w:themeColor="background1" w:themeShade="80"/>
          <w:sz w:val="22"/>
          <w:szCs w:val="22"/>
          <w:lang w:val="en-GB"/>
        </w:rPr>
        <w:t xml:space="preserve"> in Bermuda</w:t>
      </w:r>
      <w:r>
        <w:rPr>
          <w:rFonts w:ascii="Avenir Next" w:hAnsi="Avenir Next" w:cs="Arial"/>
          <w:color w:val="808080" w:themeColor="background1" w:themeShade="80"/>
          <w:sz w:val="22"/>
          <w:szCs w:val="22"/>
          <w:lang w:val="en-GB"/>
        </w:rPr>
        <w:t xml:space="preserve">. This would avail the Company the ‘cloak’ of a statutory moratorium on creditor enforcement action, thus shielding the Company from proceedings by creditors and giving it breathing room while it explores restructuring options. Such an approach is known as “soft touch” provisional liquidation.  </w:t>
      </w:r>
      <w:r>
        <w:rPr>
          <w:rFonts w:ascii="Avenir Next" w:hAnsi="Avenir Next" w:cs="Arial"/>
          <w:color w:val="808080" w:themeColor="background1" w:themeShade="80"/>
          <w:sz w:val="22"/>
          <w:szCs w:val="22"/>
          <w:lang w:val="en-GB"/>
        </w:rPr>
        <w:t>Under s 170(2) of the Companies Act 1981, the court may appoint a provisional liquidator between the presentation of a winding-up petition and its final hearing. The relevant test is that the applicant must “at least make out a good prima facie case that a winding-up order will be made” (</w:t>
      </w:r>
      <w:r>
        <w:rPr>
          <w:rFonts w:ascii="Avenir Next" w:hAnsi="Avenir Next" w:cs="Arial"/>
          <w:i/>
          <w:iCs/>
          <w:color w:val="808080" w:themeColor="background1" w:themeShade="80"/>
          <w:sz w:val="22"/>
          <w:szCs w:val="22"/>
          <w:lang w:val="en-GB"/>
        </w:rPr>
        <w:t xml:space="preserve">Re Stewardship Credit </w:t>
      </w:r>
      <w:r w:rsidR="001917F2">
        <w:rPr>
          <w:rFonts w:ascii="Avenir Next" w:hAnsi="Avenir Next" w:cs="Arial"/>
          <w:i/>
          <w:iCs/>
          <w:color w:val="808080" w:themeColor="background1" w:themeShade="80"/>
          <w:sz w:val="22"/>
          <w:szCs w:val="22"/>
          <w:lang w:val="en-GB"/>
        </w:rPr>
        <w:t>Arbitrage</w:t>
      </w:r>
      <w:r>
        <w:rPr>
          <w:rFonts w:ascii="Avenir Next" w:hAnsi="Avenir Next" w:cs="Arial"/>
          <w:i/>
          <w:iCs/>
          <w:color w:val="808080" w:themeColor="background1" w:themeShade="80"/>
          <w:sz w:val="22"/>
          <w:szCs w:val="22"/>
          <w:lang w:val="en-GB"/>
        </w:rPr>
        <w:t xml:space="preserve"> Fund Ltd </w:t>
      </w:r>
      <w:r>
        <w:rPr>
          <w:rFonts w:ascii="Avenir Next" w:hAnsi="Avenir Next" w:cs="Arial"/>
          <w:color w:val="808080" w:themeColor="background1" w:themeShade="80"/>
          <w:sz w:val="22"/>
          <w:szCs w:val="22"/>
          <w:lang w:val="en-GB"/>
        </w:rPr>
        <w:t xml:space="preserve">[2008] </w:t>
      </w:r>
      <w:proofErr w:type="spellStart"/>
      <w:r>
        <w:rPr>
          <w:rFonts w:ascii="Avenir Next" w:hAnsi="Avenir Next" w:cs="Arial"/>
          <w:color w:val="808080" w:themeColor="background1" w:themeShade="80"/>
          <w:sz w:val="22"/>
          <w:szCs w:val="22"/>
          <w:lang w:val="en-GB"/>
        </w:rPr>
        <w:t>Bda LR</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 xml:space="preserve">67 </w:t>
      </w:r>
      <w:proofErr w:type="spellEnd"/>
      <w:r>
        <w:rPr>
          <w:rFonts w:ascii="Avenir Next" w:hAnsi="Avenir Next" w:cs="Arial"/>
          <w:color w:val="808080" w:themeColor="background1" w:themeShade="80"/>
          <w:sz w:val="22"/>
          <w:szCs w:val="22"/>
          <w:lang w:val="en-GB"/>
        </w:rPr>
        <w:t>(“</w:t>
      </w:r>
      <w:r>
        <w:rPr>
          <w:rFonts w:ascii="Avenir Next" w:hAnsi="Avenir Next" w:cs="Arial"/>
          <w:i/>
          <w:iCs/>
          <w:color w:val="808080" w:themeColor="background1" w:themeShade="80"/>
          <w:sz w:val="22"/>
          <w:szCs w:val="22"/>
          <w:lang w:val="en-GB"/>
        </w:rPr>
        <w:t>SCAF</w:t>
      </w:r>
      <w:r>
        <w:rPr>
          <w:rFonts w:ascii="Avenir Next" w:hAnsi="Avenir Next" w:cs="Arial"/>
          <w:color w:val="808080" w:themeColor="background1" w:themeShade="80"/>
          <w:sz w:val="22"/>
          <w:szCs w:val="22"/>
          <w:lang w:val="en-GB"/>
        </w:rPr>
        <w:t>”) at [36]). The Court then considers whether, in the circumstances of the case, it is “right” that a provisional liquidator should be appointed (</w:t>
      </w:r>
      <w:r>
        <w:rPr>
          <w:rFonts w:ascii="Avenir Next" w:hAnsi="Avenir Next" w:cs="Arial"/>
          <w:i/>
          <w:iCs/>
          <w:color w:val="808080" w:themeColor="background1" w:themeShade="80"/>
          <w:sz w:val="22"/>
          <w:szCs w:val="22"/>
          <w:lang w:val="en-GB"/>
        </w:rPr>
        <w:t xml:space="preserve">SCAF </w:t>
      </w:r>
      <w:r>
        <w:rPr>
          <w:rFonts w:ascii="Avenir Next" w:hAnsi="Avenir Next" w:cs="Arial"/>
          <w:color w:val="808080" w:themeColor="background1" w:themeShade="80"/>
          <w:sz w:val="22"/>
          <w:szCs w:val="22"/>
          <w:lang w:val="en-GB"/>
        </w:rPr>
        <w:t>at [36]).</w:t>
      </w:r>
      <w:r w:rsidR="00197683">
        <w:rPr>
          <w:rFonts w:ascii="Avenir Next" w:hAnsi="Avenir Next" w:cs="Arial"/>
          <w:color w:val="808080" w:themeColor="background1" w:themeShade="80"/>
          <w:sz w:val="22"/>
          <w:szCs w:val="22"/>
          <w:lang w:val="en-GB"/>
        </w:rPr>
        <w:t xml:space="preserve"> The Company may therefore present a petition for winding-up, and the provisional liquidator once appointed may then apply for a statutory stay of all proceedings while the work-out process (whether formally or informally) continues with the Board at the helm</w:t>
      </w:r>
      <w:r w:rsidR="00B77FA2">
        <w:rPr>
          <w:rFonts w:ascii="Avenir Next" w:hAnsi="Avenir Next" w:cs="Arial"/>
          <w:color w:val="808080" w:themeColor="background1" w:themeShade="80"/>
          <w:sz w:val="22"/>
          <w:szCs w:val="22"/>
          <w:lang w:val="en-GB"/>
        </w:rPr>
        <w:t xml:space="preserve"> and under the supervision of the provisional liquidator</w:t>
      </w:r>
      <w:r w:rsidR="00197683">
        <w:rPr>
          <w:rFonts w:ascii="Avenir Next" w:hAnsi="Avenir Next" w:cs="Arial"/>
          <w:color w:val="808080" w:themeColor="background1" w:themeShade="80"/>
          <w:sz w:val="22"/>
          <w:szCs w:val="22"/>
          <w:lang w:val="en-GB"/>
        </w:rPr>
        <w:t>. Should the negotiations for restructuring be successful, the winding-up petition may be dismissed.</w:t>
      </w:r>
    </w:p>
    <w:p w14:paraId="74B92912" w14:textId="55812AB4" w:rsidR="00B77FA2" w:rsidRDefault="00B77FA2" w:rsidP="00F5746F">
      <w:pPr>
        <w:jc w:val="both"/>
        <w:rPr>
          <w:rFonts w:ascii="Avenir Next" w:hAnsi="Avenir Next" w:cs="Arial"/>
          <w:color w:val="808080" w:themeColor="background1" w:themeShade="80"/>
          <w:sz w:val="22"/>
          <w:szCs w:val="22"/>
          <w:lang w:val="en-GB"/>
        </w:rPr>
      </w:pPr>
    </w:p>
    <w:p w14:paraId="300F7277" w14:textId="5AEDFD3E" w:rsidR="00B77FA2" w:rsidRPr="00B77FA2" w:rsidRDefault="00B77FA2" w:rsidP="00F5746F">
      <w:pPr>
        <w:jc w:val="both"/>
        <w:rPr>
          <w:rFonts w:ascii="Avenir Next" w:hAnsi="Avenir Next" w:cs="Arial"/>
          <w:i/>
          <w:iCs/>
          <w:color w:val="808080" w:themeColor="background1" w:themeShade="80"/>
          <w:sz w:val="22"/>
          <w:szCs w:val="22"/>
          <w:u w:val="single"/>
          <w:lang w:val="en-GB"/>
        </w:rPr>
      </w:pPr>
      <w:r>
        <w:rPr>
          <w:rFonts w:ascii="Avenir Next" w:hAnsi="Avenir Next" w:cs="Arial"/>
          <w:i/>
          <w:iCs/>
          <w:color w:val="808080" w:themeColor="background1" w:themeShade="80"/>
          <w:sz w:val="22"/>
          <w:szCs w:val="22"/>
          <w:u w:val="single"/>
          <w:lang w:val="en-GB"/>
        </w:rPr>
        <w:t>Restructuring in Bermuda</w:t>
      </w:r>
    </w:p>
    <w:p w14:paraId="257831EB" w14:textId="3F60841D" w:rsidR="00227A0F" w:rsidRDefault="005702C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restructuring </w:t>
      </w:r>
      <w:proofErr w:type="spellStart"/>
      <w:r>
        <w:rPr>
          <w:rFonts w:ascii="Avenir Next" w:hAnsi="Avenir Next" w:cs="Arial"/>
          <w:color w:val="808080" w:themeColor="background1" w:themeShade="80"/>
          <w:sz w:val="22"/>
          <w:szCs w:val="22"/>
          <w:lang w:val="en-GB"/>
        </w:rPr>
        <w:t xml:space="preserve">efforts </w:t>
      </w:r>
      <w:proofErr w:type="spellEnd"/>
      <w:r>
        <w:rPr>
          <w:rFonts w:ascii="Avenir Next" w:hAnsi="Avenir Next" w:cs="Arial"/>
          <w:color w:val="808080" w:themeColor="background1" w:themeShade="80"/>
          <w:sz w:val="22"/>
          <w:szCs w:val="22"/>
          <w:lang w:val="en-GB"/>
        </w:rPr>
        <w:t>proper, the</w:t>
      </w:r>
      <w:r w:rsidR="00BF7650">
        <w:rPr>
          <w:rFonts w:ascii="Avenir Next" w:hAnsi="Avenir Next" w:cs="Arial"/>
          <w:color w:val="808080" w:themeColor="background1" w:themeShade="80"/>
          <w:sz w:val="22"/>
          <w:szCs w:val="22"/>
          <w:lang w:val="en-GB"/>
        </w:rPr>
        <w:t xml:space="preserve"> Company could </w:t>
      </w:r>
      <w:r w:rsidR="00227A0F">
        <w:rPr>
          <w:rFonts w:ascii="Avenir Next" w:hAnsi="Avenir Next" w:cs="Arial"/>
          <w:color w:val="808080" w:themeColor="background1" w:themeShade="80"/>
          <w:sz w:val="22"/>
          <w:szCs w:val="22"/>
          <w:lang w:val="en-GB"/>
        </w:rPr>
        <w:t>commence a scheme of arrangement (“SOA”) under the Companies Act 198</w:t>
      </w:r>
      <w:r w:rsidR="00B77FA2">
        <w:rPr>
          <w:rFonts w:ascii="Avenir Next" w:hAnsi="Avenir Next" w:cs="Arial"/>
          <w:color w:val="808080" w:themeColor="background1" w:themeShade="80"/>
          <w:sz w:val="22"/>
          <w:szCs w:val="22"/>
          <w:lang w:val="en-GB"/>
        </w:rPr>
        <w:t>1</w:t>
      </w:r>
      <w:r w:rsidR="00227A0F">
        <w:rPr>
          <w:rFonts w:ascii="Avenir Next" w:hAnsi="Avenir Next" w:cs="Arial"/>
          <w:color w:val="808080" w:themeColor="background1" w:themeShade="80"/>
          <w:sz w:val="22"/>
          <w:szCs w:val="22"/>
          <w:lang w:val="en-GB"/>
        </w:rPr>
        <w:t>. An SOA is a formal procedure which may be used to restructure its debt obligations with a view to its continued trading.</w:t>
      </w:r>
      <w:r>
        <w:rPr>
          <w:rFonts w:ascii="Avenir Next" w:hAnsi="Avenir Next" w:cs="Arial"/>
          <w:color w:val="808080" w:themeColor="background1" w:themeShade="80"/>
          <w:sz w:val="22"/>
          <w:szCs w:val="22"/>
          <w:lang w:val="en-GB"/>
        </w:rPr>
        <w:t xml:space="preserve"> </w:t>
      </w:r>
      <w:r w:rsidR="00227A0F">
        <w:rPr>
          <w:rFonts w:ascii="Avenir Next" w:hAnsi="Avenir Next" w:cs="Arial"/>
          <w:color w:val="808080" w:themeColor="background1" w:themeShade="80"/>
          <w:sz w:val="22"/>
          <w:szCs w:val="22"/>
          <w:lang w:val="en-GB"/>
        </w:rPr>
        <w:t xml:space="preserve">Under an SOA, all of the Company’s debts (or certain classes of debt) may be adjusted or compromised. SOAs may also be used to implement a debt-for-equity swap. </w:t>
      </w:r>
    </w:p>
    <w:p w14:paraId="46CBAA2F" w14:textId="77777777" w:rsidR="005702C0" w:rsidRDefault="005702C0" w:rsidP="00F5746F">
      <w:pPr>
        <w:jc w:val="both"/>
        <w:rPr>
          <w:rFonts w:ascii="Avenir Next" w:hAnsi="Avenir Next" w:cs="Arial"/>
          <w:color w:val="808080" w:themeColor="background1" w:themeShade="80"/>
          <w:sz w:val="22"/>
          <w:szCs w:val="22"/>
          <w:lang w:val="en-GB"/>
        </w:rPr>
      </w:pPr>
    </w:p>
    <w:p w14:paraId="7D398044" w14:textId="363CEAC1" w:rsidR="007966FA" w:rsidRDefault="005702C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for the SOA to be binding, the approval of a majority within each class of creditors present and voting (including by proxy) at the meeting of that class, representing 75% by value of that class, must vote in favour of the scheme.</w:t>
      </w:r>
      <w:r w:rsidR="007966FA">
        <w:rPr>
          <w:rFonts w:ascii="Avenir Next" w:hAnsi="Avenir Next" w:cs="Arial"/>
          <w:color w:val="808080" w:themeColor="background1" w:themeShade="80"/>
          <w:sz w:val="22"/>
          <w:szCs w:val="22"/>
          <w:lang w:val="en-GB"/>
        </w:rPr>
        <w:t xml:space="preserve"> Upon court approval, the SOA is then binding on all creditors.</w:t>
      </w:r>
      <w:r>
        <w:rPr>
          <w:rFonts w:ascii="Avenir Next" w:hAnsi="Avenir Next" w:cs="Arial"/>
          <w:color w:val="808080" w:themeColor="background1" w:themeShade="80"/>
          <w:sz w:val="22"/>
          <w:szCs w:val="22"/>
          <w:lang w:val="en-GB"/>
        </w:rPr>
        <w:t xml:space="preserve"> </w:t>
      </w:r>
      <w:r w:rsidR="007966FA">
        <w:rPr>
          <w:rFonts w:ascii="Avenir Next" w:hAnsi="Avenir Next" w:cs="Arial"/>
          <w:color w:val="808080" w:themeColor="background1" w:themeShade="80"/>
          <w:sz w:val="22"/>
          <w:szCs w:val="22"/>
          <w:lang w:val="en-GB"/>
        </w:rPr>
        <w:t>A successful SOA may thus involve a cram down of a minority of dissenting creditors.</w:t>
      </w:r>
      <w:r w:rsidR="007966FA">
        <w:rPr>
          <w:rFonts w:ascii="Avenir Next" w:hAnsi="Avenir Next" w:cs="Arial"/>
          <w:color w:val="808080" w:themeColor="background1" w:themeShade="80"/>
          <w:sz w:val="22"/>
          <w:szCs w:val="22"/>
          <w:lang w:val="en-GB"/>
        </w:rPr>
        <w:t xml:space="preserve"> That said, court approval remains a discretionary matter, and the court </w:t>
      </w:r>
      <w:r w:rsidR="007966FA">
        <w:rPr>
          <w:rFonts w:ascii="Avenir Next" w:hAnsi="Avenir Next" w:cs="Arial"/>
          <w:color w:val="808080" w:themeColor="background1" w:themeShade="80"/>
          <w:sz w:val="22"/>
          <w:szCs w:val="22"/>
          <w:lang w:val="en-GB"/>
        </w:rPr>
        <w:lastRenderedPageBreak/>
        <w:t xml:space="preserve">must be satisfied that the statutory requirements have been met (including the holding of requisite class meetings and approval of necessary majorities), that each class was fairly represented at each meeting, and that the SOA is generally fair to creditors and that the majority has not taken unfair advantage of its position (Guidance Text at p 25). Procedurally speaking, the SOA is not effective until a copy of the sanction order </w:t>
      </w:r>
      <w:r w:rsidR="001917F2">
        <w:rPr>
          <w:rFonts w:ascii="Avenir Next" w:hAnsi="Avenir Next" w:cs="Arial"/>
          <w:color w:val="808080" w:themeColor="background1" w:themeShade="80"/>
          <w:sz w:val="22"/>
          <w:szCs w:val="22"/>
          <w:lang w:val="en-GB"/>
        </w:rPr>
        <w:t>from</w:t>
      </w:r>
      <w:r w:rsidR="007966FA">
        <w:rPr>
          <w:rFonts w:ascii="Avenir Next" w:hAnsi="Avenir Next" w:cs="Arial"/>
          <w:color w:val="808080" w:themeColor="background1" w:themeShade="80"/>
          <w:sz w:val="22"/>
          <w:szCs w:val="22"/>
          <w:lang w:val="en-GB"/>
        </w:rPr>
        <w:t xml:space="preserve"> the court is delivered to the Registrar of the Companies.</w:t>
      </w:r>
      <w:r w:rsidR="00B77FA2">
        <w:rPr>
          <w:rFonts w:ascii="Avenir Next" w:hAnsi="Avenir Next" w:cs="Arial"/>
          <w:color w:val="808080" w:themeColor="background1" w:themeShade="80"/>
          <w:sz w:val="22"/>
          <w:szCs w:val="22"/>
          <w:lang w:val="en-GB"/>
        </w:rPr>
        <w:t xml:space="preserve"> </w:t>
      </w:r>
    </w:p>
    <w:p w14:paraId="0E8EA628" w14:textId="77777777" w:rsidR="007966FA" w:rsidRDefault="007966FA" w:rsidP="00F5746F">
      <w:pPr>
        <w:jc w:val="both"/>
        <w:rPr>
          <w:rFonts w:ascii="Avenir Next" w:hAnsi="Avenir Next" w:cs="Arial"/>
          <w:color w:val="808080" w:themeColor="background1" w:themeShade="80"/>
          <w:sz w:val="22"/>
          <w:szCs w:val="22"/>
          <w:lang w:val="en-GB"/>
        </w:rPr>
      </w:pPr>
    </w:p>
    <w:p w14:paraId="4EAD698C" w14:textId="69481D08" w:rsidR="005702C0" w:rsidRDefault="005702C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Those voting at the SOA meetings may even include persons beneficially interested in the company’s debt, as may be the case for the US Bonds (Guidance Text at p 24). </w:t>
      </w:r>
      <w:r w:rsidR="00197683">
        <w:rPr>
          <w:rFonts w:ascii="Avenir Next" w:hAnsi="Avenir Next" w:cs="Arial"/>
          <w:color w:val="808080" w:themeColor="background1" w:themeShade="80"/>
          <w:sz w:val="22"/>
          <w:szCs w:val="22"/>
          <w:lang w:val="en-GB"/>
        </w:rPr>
        <w:t>The meeting may be called for upon the direction of the court, and the creditors summoned by notice.</w:t>
      </w:r>
    </w:p>
    <w:p w14:paraId="2403B3FA" w14:textId="77777777" w:rsidR="00BF7650" w:rsidRDefault="00BF7650" w:rsidP="00F5746F">
      <w:pPr>
        <w:jc w:val="both"/>
        <w:rPr>
          <w:rFonts w:ascii="Avenir Next" w:hAnsi="Avenir Next" w:cs="Arial"/>
          <w:color w:val="808080" w:themeColor="background1" w:themeShade="80"/>
          <w:sz w:val="22"/>
          <w:szCs w:val="22"/>
          <w:lang w:val="en-GB"/>
        </w:rPr>
      </w:pPr>
    </w:p>
    <w:p w14:paraId="477ECC51" w14:textId="720ED451" w:rsidR="00B77FA2" w:rsidRDefault="00B77FA2"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funding the procedures of the SOA, should the Company be unable to use its own assets to facilitate the process, it is possible for the company or its liquidators to enter into funding arrangements with those interested in the outcome of the procedures (such as creditors) if such would be beneficial for the winding-up of the company. Funding liabilities would be expected to be re-paid by the company or by the liquidator prior to the repayment of unsecured creditors. In this vein, it is possible to secure priority treatment for rescue financing (and is a possible option the Company may consider in order to fuel its restructuring effor</w:t>
      </w:r>
      <w:r w:rsidR="00581733">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s</w:t>
      </w:r>
      <w:r w:rsidR="0058173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1DC601A7" w14:textId="77777777" w:rsidR="00B77FA2" w:rsidRDefault="00B77FA2" w:rsidP="00F5746F">
      <w:pPr>
        <w:jc w:val="both"/>
        <w:rPr>
          <w:rFonts w:ascii="Avenir Next" w:hAnsi="Avenir Next" w:cs="Arial"/>
          <w:color w:val="808080" w:themeColor="background1" w:themeShade="80"/>
          <w:sz w:val="22"/>
          <w:szCs w:val="22"/>
          <w:lang w:val="en-GB"/>
        </w:rPr>
      </w:pPr>
    </w:p>
    <w:p w14:paraId="7D822371" w14:textId="618BAE4E" w:rsidR="00BF7650" w:rsidRDefault="005702C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Aside </w:t>
      </w:r>
      <w:r w:rsidR="00197683">
        <w:rPr>
          <w:rFonts w:ascii="Avenir Next" w:hAnsi="Avenir Next" w:cs="Arial"/>
          <w:color w:val="808080" w:themeColor="background1" w:themeShade="80"/>
          <w:sz w:val="22"/>
          <w:szCs w:val="22"/>
          <w:lang w:val="en-GB"/>
        </w:rPr>
        <w:t>from the formal SOA procedure, the Company could also engage in informal ‘work-outs’ with the consent of all relevant creditors; though a cram down of dissenting creditors is not</w:t>
      </w:r>
      <w:r w:rsidR="00197683">
        <w:rPr>
          <w:rFonts w:ascii="Avenir Next" w:hAnsi="Avenir Next" w:cs="Arial"/>
          <w:color w:val="808080" w:themeColor="background1" w:themeShade="80"/>
          <w:sz w:val="22"/>
          <w:szCs w:val="22"/>
          <w:lang w:val="en-GB"/>
        </w:rPr>
        <w:t xml:space="preserve"> an option available in the absence of a formal restructuring process.</w:t>
      </w:r>
    </w:p>
    <w:p w14:paraId="24EDD2B9" w14:textId="77777777" w:rsidR="00B77FA2" w:rsidRDefault="00B77FA2" w:rsidP="00F5746F">
      <w:pPr>
        <w:jc w:val="both"/>
        <w:rPr>
          <w:rFonts w:ascii="Avenir Next" w:hAnsi="Avenir Next" w:cs="Arial"/>
          <w:color w:val="808080" w:themeColor="background1" w:themeShade="80"/>
          <w:sz w:val="22"/>
          <w:szCs w:val="22"/>
          <w:lang w:val="en-GB"/>
        </w:rPr>
      </w:pPr>
    </w:p>
    <w:p w14:paraId="327F79F5" w14:textId="3A1E32C7" w:rsidR="00581733" w:rsidRPr="00581733" w:rsidRDefault="00581733" w:rsidP="00F5746F">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 liquidator may also apply for recognition of the SOA under Chapter 15 of the US Bankruptcy Code (of which there are, notably, successful precedents – see </w:t>
      </w:r>
      <w:proofErr w:type="gramStart"/>
      <w:r w:rsidRPr="00581733">
        <w:rPr>
          <w:rFonts w:ascii="Avenir Next" w:hAnsi="Avenir Next" w:cs="Arial"/>
          <w:i/>
          <w:iCs/>
          <w:color w:val="808080" w:themeColor="background1" w:themeShade="80"/>
          <w:sz w:val="22"/>
          <w:szCs w:val="22"/>
          <w:lang w:val="en-GB"/>
        </w:rPr>
        <w:t>In</w:t>
      </w:r>
      <w:proofErr w:type="gramEnd"/>
      <w:r w:rsidRPr="00581733">
        <w:rPr>
          <w:rFonts w:ascii="Avenir Next" w:hAnsi="Avenir Next" w:cs="Arial"/>
          <w:i/>
          <w:iCs/>
          <w:color w:val="808080" w:themeColor="background1" w:themeShade="80"/>
          <w:sz w:val="22"/>
          <w:szCs w:val="22"/>
          <w:lang w:val="en-GB"/>
        </w:rPr>
        <w:t xml:space="preserve"> re Board of Directors of Hopewell Intl Ins Ltd </w:t>
      </w:r>
      <w:r w:rsidRPr="00581733">
        <w:rPr>
          <w:rFonts w:ascii="Avenir Next" w:hAnsi="Avenir Next" w:cs="Arial"/>
          <w:color w:val="808080" w:themeColor="background1" w:themeShade="80"/>
          <w:sz w:val="22"/>
          <w:szCs w:val="22"/>
          <w:lang w:val="en-GB"/>
        </w:rPr>
        <w:t>275 BR 699 (SDNY 2022)).</w:t>
      </w:r>
    </w:p>
    <w:p w14:paraId="61557D00" w14:textId="77777777" w:rsidR="00581733" w:rsidRDefault="00581733" w:rsidP="00F5746F">
      <w:pPr>
        <w:jc w:val="both"/>
        <w:rPr>
          <w:rFonts w:ascii="Avenir Next" w:hAnsi="Avenir Next" w:cs="Arial"/>
          <w:color w:val="808080" w:themeColor="background1" w:themeShade="80"/>
          <w:sz w:val="22"/>
          <w:szCs w:val="22"/>
          <w:lang w:val="en-GB"/>
        </w:rPr>
      </w:pPr>
    </w:p>
    <w:p w14:paraId="3A09A497" w14:textId="149F69E4" w:rsidR="00B77FA2" w:rsidRDefault="00B77FA2" w:rsidP="00F5746F">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u w:val="single"/>
          <w:lang w:val="en-GB"/>
        </w:rPr>
        <w:t>Restructuring in HK</w:t>
      </w:r>
    </w:p>
    <w:p w14:paraId="44D563C8" w14:textId="77777777" w:rsidR="009A28DC" w:rsidRDefault="00B77FA2"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should also consider engaging in a </w:t>
      </w:r>
      <w:r w:rsidRPr="006D541F">
        <w:rPr>
          <w:rFonts w:ascii="Avenir Next" w:hAnsi="Avenir Next" w:cs="Arial"/>
          <w:color w:val="808080" w:themeColor="background1" w:themeShade="80"/>
          <w:sz w:val="22"/>
          <w:szCs w:val="22"/>
          <w:u w:val="single"/>
          <w:lang w:val="en-GB"/>
        </w:rPr>
        <w:t>parallel SOA in Hong Kong</w:t>
      </w:r>
      <w:r w:rsidR="000272B9">
        <w:rPr>
          <w:rFonts w:ascii="Avenir Next" w:hAnsi="Avenir Next" w:cs="Arial"/>
          <w:color w:val="808080" w:themeColor="background1" w:themeShade="80"/>
          <w:sz w:val="22"/>
          <w:szCs w:val="22"/>
          <w:lang w:val="en-GB"/>
        </w:rPr>
        <w:t xml:space="preserve"> </w:t>
      </w:r>
      <w:r w:rsidR="000272B9">
        <w:rPr>
          <w:rFonts w:ascii="Avenir Next" w:hAnsi="Avenir Next" w:cs="Arial"/>
          <w:color w:val="808080" w:themeColor="background1" w:themeShade="80"/>
          <w:sz w:val="22"/>
          <w:szCs w:val="22"/>
          <w:u w:val="single"/>
          <w:lang w:val="en-GB"/>
        </w:rPr>
        <w:t>at the same time (</w:t>
      </w:r>
      <w:proofErr w:type="spellStart"/>
      <w:r w:rsidR="000272B9">
        <w:rPr>
          <w:rFonts w:ascii="Avenir Next" w:hAnsi="Avenir Next" w:cs="Arial"/>
          <w:i/>
          <w:iCs/>
          <w:color w:val="808080" w:themeColor="background1" w:themeShade="80"/>
          <w:sz w:val="22"/>
          <w:szCs w:val="22"/>
          <w:u w:val="single"/>
          <w:lang w:val="en-GB"/>
        </w:rPr>
        <w:t>ie</w:t>
      </w:r>
      <w:proofErr w:type="spellEnd"/>
      <w:r w:rsidR="000272B9">
        <w:rPr>
          <w:rFonts w:ascii="Avenir Next" w:hAnsi="Avenir Next" w:cs="Arial"/>
          <w:i/>
          <w:iCs/>
          <w:color w:val="808080" w:themeColor="background1" w:themeShade="80"/>
          <w:sz w:val="22"/>
          <w:szCs w:val="22"/>
          <w:u w:val="single"/>
          <w:lang w:val="en-GB"/>
        </w:rPr>
        <w:t>, an application to both HK and Bermuda)</w:t>
      </w:r>
      <w:r>
        <w:rPr>
          <w:rFonts w:ascii="Avenir Next" w:hAnsi="Avenir Next" w:cs="Arial"/>
          <w:color w:val="808080" w:themeColor="background1" w:themeShade="80"/>
          <w:sz w:val="22"/>
          <w:szCs w:val="22"/>
          <w:lang w:val="en-GB"/>
        </w:rPr>
        <w:t xml:space="preserve">. There has been a favourable precedent in this regard in </w:t>
      </w:r>
      <w:r>
        <w:rPr>
          <w:rFonts w:ascii="Avenir Next" w:hAnsi="Avenir Next" w:cs="Arial"/>
          <w:i/>
          <w:iCs/>
          <w:color w:val="808080" w:themeColor="background1" w:themeShade="80"/>
          <w:sz w:val="22"/>
          <w:szCs w:val="22"/>
          <w:lang w:val="en-GB"/>
        </w:rPr>
        <w:t xml:space="preserve">Re Titan Petrochemicals Group </w:t>
      </w:r>
      <w:r>
        <w:rPr>
          <w:rFonts w:ascii="Avenir Next" w:hAnsi="Avenir Next" w:cs="Arial"/>
          <w:color w:val="808080" w:themeColor="background1" w:themeShade="80"/>
          <w:sz w:val="22"/>
          <w:szCs w:val="22"/>
          <w:lang w:val="en-GB"/>
        </w:rPr>
        <w:t xml:space="preserve">[2014]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90, where the Bermudian Court recognised that it frequently approves parallel schemes linking Bermuda and Hong Kong (amongst others). </w:t>
      </w:r>
    </w:p>
    <w:p w14:paraId="44AD3F24" w14:textId="77777777" w:rsidR="009A28DC" w:rsidRDefault="009A28DC" w:rsidP="00F5746F">
      <w:pPr>
        <w:jc w:val="both"/>
        <w:rPr>
          <w:rFonts w:ascii="Avenir Next" w:hAnsi="Avenir Next" w:cs="Arial"/>
          <w:color w:val="808080" w:themeColor="background1" w:themeShade="80"/>
          <w:sz w:val="22"/>
          <w:szCs w:val="22"/>
          <w:lang w:val="en-GB"/>
        </w:rPr>
      </w:pPr>
    </w:p>
    <w:p w14:paraId="1D6F1D6B" w14:textId="1A010635" w:rsidR="00B77FA2" w:rsidRDefault="009A28DC"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would be the safest way of ensuring the control in the overall scheme and the management of creditor action in both jurisdictions, especially since Bermuda does not </w:t>
      </w:r>
      <w:r w:rsidR="00CA4A7A">
        <w:rPr>
          <w:rFonts w:ascii="Avenir Next" w:hAnsi="Avenir Next" w:cs="Arial"/>
          <w:color w:val="808080" w:themeColor="background1" w:themeShade="80"/>
          <w:sz w:val="22"/>
          <w:szCs w:val="22"/>
          <w:lang w:val="en-GB"/>
        </w:rPr>
        <w:t>Bermuda has not enacted local legislation incorporating the centre of main interest test set out in the UNCITRAL Model Law on Cross Border Insolvency, nor does Bermuda have any statutory analogue to Chapter 15 of the US’s Bankruptcy Code, or the UK’s Cross-Border Insolvency Regulations 2006</w:t>
      </w:r>
      <w:r w:rsidR="00480C00">
        <w:rPr>
          <w:rFonts w:ascii="Avenir Next" w:hAnsi="Avenir Next" w:cs="Arial"/>
          <w:color w:val="808080" w:themeColor="background1" w:themeShade="80"/>
          <w:sz w:val="22"/>
          <w:szCs w:val="22"/>
          <w:lang w:val="en-GB"/>
        </w:rPr>
        <w:t>.</w:t>
      </w:r>
    </w:p>
    <w:p w14:paraId="28BE7DE3" w14:textId="77777777" w:rsidR="00B77FA2" w:rsidRDefault="00B77FA2" w:rsidP="00F5746F">
      <w:pPr>
        <w:jc w:val="both"/>
        <w:rPr>
          <w:rFonts w:ascii="Avenir Next" w:hAnsi="Avenir Next" w:cs="Arial"/>
          <w:color w:val="808080" w:themeColor="background1" w:themeShade="80"/>
          <w:sz w:val="22"/>
          <w:szCs w:val="22"/>
          <w:lang w:val="en-GB"/>
        </w:rPr>
      </w:pPr>
    </w:p>
    <w:p w14:paraId="03819C6E" w14:textId="7312E207" w:rsidR="00A958FB" w:rsidRDefault="00B77FA2"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must of course be balance</w:t>
      </w:r>
      <w:r w:rsidR="00480C00">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against the potential costs and expenses, and the advantages and disadvantages of engaging in such parallel schemes. Regard must be had to the rule in </w:t>
      </w:r>
      <w:r>
        <w:rPr>
          <w:rFonts w:ascii="Avenir Next" w:hAnsi="Avenir Next" w:cs="Arial"/>
          <w:i/>
          <w:iCs/>
          <w:color w:val="808080" w:themeColor="background1" w:themeShade="80"/>
          <w:sz w:val="22"/>
          <w:szCs w:val="22"/>
          <w:lang w:val="en-GB"/>
        </w:rPr>
        <w:t xml:space="preserve">Antony Gibbs &amp; Sons v La </w:t>
      </w:r>
      <w:proofErr w:type="spellStart"/>
      <w:r>
        <w:rPr>
          <w:rFonts w:ascii="Avenir Next" w:hAnsi="Avenir Next" w:cs="Arial"/>
          <w:i/>
          <w:iCs/>
          <w:color w:val="808080" w:themeColor="background1" w:themeShade="80"/>
          <w:sz w:val="22"/>
          <w:szCs w:val="22"/>
          <w:lang w:val="en-GB"/>
        </w:rPr>
        <w:t>Societie</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Industrielle</w:t>
      </w:r>
      <w:proofErr w:type="spellEnd"/>
      <w:r>
        <w:rPr>
          <w:rFonts w:ascii="Avenir Next" w:hAnsi="Avenir Next" w:cs="Arial"/>
          <w:i/>
          <w:iCs/>
          <w:color w:val="808080" w:themeColor="background1" w:themeShade="80"/>
          <w:sz w:val="22"/>
          <w:szCs w:val="22"/>
          <w:lang w:val="en-GB"/>
        </w:rPr>
        <w:t xml:space="preserve"> et Commerciale de </w:t>
      </w:r>
      <w:proofErr w:type="spellStart"/>
      <w:r>
        <w:rPr>
          <w:rFonts w:ascii="Avenir Next" w:hAnsi="Avenir Next" w:cs="Arial"/>
          <w:i/>
          <w:iCs/>
          <w:color w:val="808080" w:themeColor="background1" w:themeShade="80"/>
          <w:sz w:val="22"/>
          <w:szCs w:val="22"/>
          <w:lang w:val="en-GB"/>
        </w:rPr>
        <w:t>Metaux</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(1890) </w:t>
      </w:r>
      <w:proofErr w:type="spellStart"/>
      <w:r>
        <w:rPr>
          <w:rFonts w:ascii="Avenir Next" w:hAnsi="Avenir Next" w:cs="Arial"/>
          <w:color w:val="808080" w:themeColor="background1" w:themeShade="80"/>
          <w:sz w:val="22"/>
          <w:szCs w:val="22"/>
          <w:lang w:val="en-GB"/>
        </w:rPr>
        <w:t>lR</w:t>
      </w:r>
      <w:proofErr w:type="spellEnd"/>
      <w:r>
        <w:rPr>
          <w:rFonts w:ascii="Avenir Next" w:hAnsi="Avenir Next" w:cs="Arial"/>
          <w:color w:val="808080" w:themeColor="background1" w:themeShade="80"/>
          <w:sz w:val="22"/>
          <w:szCs w:val="22"/>
          <w:lang w:val="en-GB"/>
        </w:rPr>
        <w:t xml:space="preserve"> 25 QBD 398: a debt can only be validly discharged under the provisions of its </w:t>
      </w:r>
      <w:r>
        <w:rPr>
          <w:rFonts w:ascii="Avenir Next" w:hAnsi="Avenir Next" w:cs="Arial"/>
          <w:color w:val="808080" w:themeColor="background1" w:themeShade="80"/>
          <w:sz w:val="22"/>
          <w:szCs w:val="22"/>
          <w:lang w:val="en-GB"/>
        </w:rPr>
        <w:lastRenderedPageBreak/>
        <w:t xml:space="preserve">governing law unless the relevant creditors </w:t>
      </w:r>
      <w:r w:rsidR="00480C00">
        <w:rPr>
          <w:rFonts w:ascii="Avenir Next" w:hAnsi="Avenir Next" w:cs="Arial"/>
          <w:color w:val="808080" w:themeColor="background1" w:themeShade="80"/>
          <w:sz w:val="22"/>
          <w:szCs w:val="22"/>
          <w:lang w:val="en-GB"/>
        </w:rPr>
        <w:t>submit</w:t>
      </w:r>
      <w:r>
        <w:rPr>
          <w:rFonts w:ascii="Avenir Next" w:hAnsi="Avenir Next" w:cs="Arial"/>
          <w:color w:val="808080" w:themeColor="background1" w:themeShade="80"/>
          <w:sz w:val="22"/>
          <w:szCs w:val="22"/>
          <w:lang w:val="en-GB"/>
        </w:rPr>
        <w:t xml:space="preserve"> to a foreign debt restructuring. This will have implications in the </w:t>
      </w:r>
      <w:r w:rsidR="00480C00">
        <w:rPr>
          <w:rFonts w:ascii="Avenir Next" w:hAnsi="Avenir Next" w:cs="Arial"/>
          <w:color w:val="808080" w:themeColor="background1" w:themeShade="80"/>
          <w:sz w:val="22"/>
          <w:szCs w:val="22"/>
          <w:lang w:val="en-GB"/>
        </w:rPr>
        <w:t xml:space="preserve">context of the </w:t>
      </w:r>
      <w:r>
        <w:rPr>
          <w:rFonts w:ascii="Avenir Next" w:hAnsi="Avenir Next" w:cs="Arial"/>
          <w:color w:val="808080" w:themeColor="background1" w:themeShade="80"/>
          <w:sz w:val="22"/>
          <w:szCs w:val="22"/>
          <w:lang w:val="en-GB"/>
        </w:rPr>
        <w:t>cross-border nature of</w:t>
      </w:r>
      <w:r w:rsidR="00480C00">
        <w:rPr>
          <w:rFonts w:ascii="Avenir Next" w:hAnsi="Avenir Next" w:cs="Arial"/>
          <w:color w:val="808080" w:themeColor="background1" w:themeShade="80"/>
          <w:sz w:val="22"/>
          <w:szCs w:val="22"/>
          <w:lang w:val="en-GB"/>
        </w:rPr>
        <w:t xml:space="preserve"> the proposed</w:t>
      </w:r>
      <w:r>
        <w:rPr>
          <w:rFonts w:ascii="Avenir Next" w:hAnsi="Avenir Next" w:cs="Arial"/>
          <w:color w:val="808080" w:themeColor="background1" w:themeShade="80"/>
          <w:sz w:val="22"/>
          <w:szCs w:val="22"/>
          <w:lang w:val="en-GB"/>
        </w:rPr>
        <w:t xml:space="preserve"> parallel scheme. </w:t>
      </w:r>
    </w:p>
    <w:p w14:paraId="1F6A774D" w14:textId="77777777" w:rsidR="00A958FB" w:rsidRDefault="00A958FB" w:rsidP="00F5746F">
      <w:pPr>
        <w:jc w:val="both"/>
        <w:rPr>
          <w:rFonts w:ascii="Avenir Next" w:hAnsi="Avenir Next" w:cs="Arial"/>
          <w:color w:val="808080" w:themeColor="background1" w:themeShade="80"/>
          <w:sz w:val="22"/>
          <w:szCs w:val="22"/>
          <w:lang w:val="en-GB"/>
        </w:rPr>
      </w:pPr>
    </w:p>
    <w:p w14:paraId="68BB3F5B" w14:textId="36762E2A" w:rsidR="00F5746F" w:rsidRDefault="00A958FB"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regard, another a</w:t>
      </w:r>
      <w:r w:rsidR="00B77FA2">
        <w:rPr>
          <w:rFonts w:ascii="Avenir Next" w:hAnsi="Avenir Next" w:cs="Arial"/>
          <w:color w:val="808080" w:themeColor="background1" w:themeShade="80"/>
          <w:sz w:val="22"/>
          <w:szCs w:val="22"/>
          <w:lang w:val="en-GB"/>
        </w:rPr>
        <w:t xml:space="preserve">lternative </w:t>
      </w:r>
      <w:r>
        <w:rPr>
          <w:rFonts w:ascii="Avenir Next" w:hAnsi="Avenir Next" w:cs="Arial"/>
          <w:color w:val="808080" w:themeColor="background1" w:themeShade="80"/>
          <w:sz w:val="22"/>
          <w:szCs w:val="22"/>
          <w:lang w:val="en-GB"/>
        </w:rPr>
        <w:t xml:space="preserve">(to beginning a parallel </w:t>
      </w:r>
      <w:r w:rsidR="00B77FA2">
        <w:rPr>
          <w:rFonts w:ascii="Avenir Next" w:hAnsi="Avenir Next" w:cs="Arial"/>
          <w:color w:val="808080" w:themeColor="background1" w:themeShade="80"/>
          <w:sz w:val="22"/>
          <w:szCs w:val="22"/>
          <w:lang w:val="en-GB"/>
        </w:rPr>
        <w:t xml:space="preserve">SOA in </w:t>
      </w:r>
      <w:r>
        <w:rPr>
          <w:rFonts w:ascii="Avenir Next" w:hAnsi="Avenir Next" w:cs="Arial"/>
          <w:color w:val="808080" w:themeColor="background1" w:themeShade="80"/>
          <w:sz w:val="22"/>
          <w:szCs w:val="22"/>
          <w:lang w:val="en-GB"/>
        </w:rPr>
        <w:t xml:space="preserve">HK) is to simply apply for the recognition and enforcement of the Bermudian SOA in HK (see </w:t>
      </w:r>
      <w:r>
        <w:rPr>
          <w:rFonts w:ascii="Avenir Next" w:hAnsi="Avenir Next" w:cs="Arial"/>
          <w:i/>
          <w:iCs/>
          <w:color w:val="808080" w:themeColor="background1" w:themeShade="80"/>
          <w:sz w:val="22"/>
          <w:szCs w:val="22"/>
          <w:lang w:val="en-GB"/>
        </w:rPr>
        <w:t xml:space="preserve">Re China Oil </w:t>
      </w:r>
      <w:proofErr w:type="spellStart"/>
      <w:r>
        <w:rPr>
          <w:rFonts w:ascii="Avenir Next" w:hAnsi="Avenir Next" w:cs="Arial"/>
          <w:i/>
          <w:iCs/>
          <w:color w:val="808080" w:themeColor="background1" w:themeShade="80"/>
          <w:sz w:val="22"/>
          <w:szCs w:val="22"/>
          <w:lang w:val="en-GB"/>
        </w:rPr>
        <w:t>Gangran</w:t>
      </w:r>
      <w:proofErr w:type="spellEnd"/>
      <w:r>
        <w:rPr>
          <w:rFonts w:ascii="Avenir Next" w:hAnsi="Avenir Next" w:cs="Arial"/>
          <w:i/>
          <w:iCs/>
          <w:color w:val="808080" w:themeColor="background1" w:themeShade="80"/>
          <w:sz w:val="22"/>
          <w:szCs w:val="22"/>
          <w:lang w:val="en-GB"/>
        </w:rPr>
        <w:t xml:space="preserve"> Energy Group Holdings Limited </w:t>
      </w:r>
      <w:r>
        <w:rPr>
          <w:rFonts w:ascii="Avenir Next" w:hAnsi="Avenir Next" w:cs="Arial"/>
          <w:color w:val="808080" w:themeColor="background1" w:themeShade="80"/>
          <w:sz w:val="22"/>
          <w:szCs w:val="22"/>
          <w:lang w:val="en-GB"/>
        </w:rPr>
        <w:t xml:space="preserve">[2021] HKCFI 1592, where it was observed that </w:t>
      </w:r>
      <w:r w:rsidRPr="00A958FB">
        <w:rPr>
          <w:rFonts w:ascii="Avenir Next" w:hAnsi="Avenir Next" w:cs="Arial"/>
          <w:color w:val="808080" w:themeColor="background1" w:themeShade="80"/>
          <w:sz w:val="22"/>
          <w:szCs w:val="22"/>
        </w:rPr>
        <w:t xml:space="preserve">the fact </w:t>
      </w:r>
      <w:r>
        <w:rPr>
          <w:rFonts w:ascii="Avenir Next" w:hAnsi="Avenir Next" w:cs="Arial"/>
          <w:color w:val="808080" w:themeColor="background1" w:themeShade="80"/>
          <w:sz w:val="22"/>
          <w:szCs w:val="22"/>
        </w:rPr>
        <w:t>a</w:t>
      </w:r>
      <w:r w:rsidRPr="00A958FB">
        <w:rPr>
          <w:rFonts w:ascii="Avenir Next" w:hAnsi="Avenir Next" w:cs="Arial"/>
          <w:color w:val="808080" w:themeColor="background1" w:themeShade="80"/>
          <w:sz w:val="22"/>
          <w:szCs w:val="22"/>
        </w:rPr>
        <w:t xml:space="preserve"> soft-touch liquidation is not permissible in Hong Kong does not prevent the Hong Kong Court from </w:t>
      </w:r>
      <w:proofErr w:type="spellStart"/>
      <w:r w:rsidRPr="00A958FB">
        <w:rPr>
          <w:rFonts w:ascii="Avenir Next" w:hAnsi="Avenir Next" w:cs="Arial"/>
          <w:color w:val="808080" w:themeColor="background1" w:themeShade="80"/>
          <w:sz w:val="22"/>
          <w:szCs w:val="22"/>
        </w:rPr>
        <w:t>recognising</w:t>
      </w:r>
      <w:proofErr w:type="spellEnd"/>
      <w:r w:rsidRPr="00A958FB">
        <w:rPr>
          <w:rFonts w:ascii="Avenir Next" w:hAnsi="Avenir Next" w:cs="Arial"/>
          <w:color w:val="808080" w:themeColor="background1" w:themeShade="80"/>
          <w:sz w:val="22"/>
          <w:szCs w:val="22"/>
        </w:rPr>
        <w:t xml:space="preserve"> foreign soft-touch provisional liquidation</w:t>
      </w:r>
      <w:r>
        <w:rPr>
          <w:rFonts w:ascii="Avenir Next" w:hAnsi="Avenir Next" w:cs="Arial"/>
          <w:color w:val="808080" w:themeColor="background1" w:themeShade="80"/>
          <w:sz w:val="22"/>
          <w:szCs w:val="22"/>
          <w:lang w:val="en-GB"/>
        </w:rPr>
        <w:t>)</w:t>
      </w:r>
      <w:r w:rsidR="00480C00">
        <w:rPr>
          <w:rFonts w:ascii="Avenir Next" w:hAnsi="Avenir Next" w:cs="Arial"/>
          <w:color w:val="808080" w:themeColor="background1" w:themeShade="80"/>
          <w:sz w:val="22"/>
          <w:szCs w:val="22"/>
          <w:lang w:val="en-GB"/>
        </w:rPr>
        <w:t>.</w:t>
      </w:r>
      <w:r w:rsidR="00BA09AB">
        <w:rPr>
          <w:rFonts w:ascii="Avenir Next" w:hAnsi="Avenir Next" w:cs="Arial"/>
          <w:color w:val="808080" w:themeColor="background1" w:themeShade="80"/>
          <w:sz w:val="22"/>
          <w:szCs w:val="22"/>
          <w:lang w:val="en-GB"/>
        </w:rPr>
        <w:t xml:space="preserve"> </w:t>
      </w:r>
    </w:p>
    <w:p w14:paraId="0F23275F" w14:textId="77777777" w:rsidR="008A51F8" w:rsidRPr="008A51F8" w:rsidRDefault="008A51F8" w:rsidP="00F5746F">
      <w:pPr>
        <w:jc w:val="both"/>
        <w:rPr>
          <w:rFonts w:ascii="Avenir Next" w:hAnsi="Avenir Next" w:cs="Arial"/>
          <w:color w:val="808080" w:themeColor="background1" w:themeShade="80"/>
          <w:sz w:val="22"/>
          <w:szCs w:val="22"/>
          <w:lang w:val="en-GB"/>
        </w:rPr>
      </w:pPr>
    </w:p>
    <w:p w14:paraId="2F1DC23B" w14:textId="3EB03635" w:rsidR="00A433CD" w:rsidRDefault="00A433CD" w:rsidP="00F5746F">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u w:val="single"/>
          <w:lang w:val="en-GB"/>
        </w:rPr>
        <w:t>Debt-to-equity Swap</w:t>
      </w:r>
    </w:p>
    <w:p w14:paraId="20B0DE23" w14:textId="06F1F5AE" w:rsidR="00A433CD" w:rsidRDefault="00480C0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debt-to-equity swap were proposed, </w:t>
      </w:r>
      <w:r w:rsidR="00BD5BDE">
        <w:rPr>
          <w:rFonts w:ascii="Avenir Next" w:hAnsi="Avenir Next" w:cs="Arial"/>
          <w:color w:val="808080" w:themeColor="background1" w:themeShade="80"/>
          <w:sz w:val="22"/>
          <w:szCs w:val="22"/>
          <w:lang w:val="en-GB"/>
        </w:rPr>
        <w:t xml:space="preserve">it would be relevant to consider that under Bermuda law, a Bermuda company that is not in liquidation cannot lawfully return capital to its shareholders except by way of an approved reduction of capital or repurchase. It would thus be necessary to engage in a formal </w:t>
      </w:r>
      <w:r w:rsidR="006D541F">
        <w:rPr>
          <w:rFonts w:ascii="Avenir Next" w:hAnsi="Avenir Next" w:cs="Arial"/>
          <w:color w:val="808080" w:themeColor="background1" w:themeShade="80"/>
          <w:sz w:val="22"/>
          <w:szCs w:val="22"/>
          <w:lang w:val="en-GB"/>
        </w:rPr>
        <w:t xml:space="preserve">insolvency </w:t>
      </w:r>
      <w:r w:rsidR="00BD5BDE">
        <w:rPr>
          <w:rFonts w:ascii="Avenir Next" w:hAnsi="Avenir Next" w:cs="Arial"/>
          <w:color w:val="808080" w:themeColor="background1" w:themeShade="80"/>
          <w:sz w:val="22"/>
          <w:szCs w:val="22"/>
          <w:lang w:val="en-GB"/>
        </w:rPr>
        <w:t>procedure (</w:t>
      </w:r>
      <w:proofErr w:type="spellStart"/>
      <w:proofErr w:type="gramStart"/>
      <w:r w:rsidR="00BD5BDE">
        <w:rPr>
          <w:rFonts w:ascii="Avenir Next" w:hAnsi="Avenir Next" w:cs="Arial"/>
          <w:i/>
          <w:iCs/>
          <w:color w:val="808080" w:themeColor="background1" w:themeShade="80"/>
          <w:sz w:val="22"/>
          <w:szCs w:val="22"/>
          <w:lang w:val="en-GB"/>
        </w:rPr>
        <w:t>ie</w:t>
      </w:r>
      <w:proofErr w:type="spellEnd"/>
      <w:proofErr w:type="gramEnd"/>
      <w:r w:rsidR="00BD5BDE">
        <w:rPr>
          <w:rFonts w:ascii="Avenir Next" w:hAnsi="Avenir Next" w:cs="Arial"/>
          <w:color w:val="808080" w:themeColor="background1" w:themeShade="80"/>
          <w:sz w:val="22"/>
          <w:szCs w:val="22"/>
          <w:lang w:val="en-GB"/>
        </w:rPr>
        <w:t xml:space="preserve"> liquidation) and engage in the formal SOA process in Bermuda in order to enact the debt-to-equity swap.</w:t>
      </w:r>
    </w:p>
    <w:p w14:paraId="76BD2626" w14:textId="77777777" w:rsidR="005C76C7" w:rsidRDefault="005C76C7" w:rsidP="00F5746F">
      <w:pPr>
        <w:jc w:val="both"/>
        <w:rPr>
          <w:rFonts w:ascii="Avenir Next" w:hAnsi="Avenir Next" w:cs="Arial"/>
          <w:color w:val="808080" w:themeColor="background1" w:themeShade="80"/>
          <w:sz w:val="22"/>
          <w:szCs w:val="22"/>
          <w:lang w:val="en-GB"/>
        </w:rPr>
      </w:pPr>
    </w:p>
    <w:p w14:paraId="71251AD9" w14:textId="012B1E3C" w:rsidR="005C76C7" w:rsidRPr="005C76C7" w:rsidRDefault="005C76C7"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rule in </w:t>
      </w:r>
      <w:r>
        <w:rPr>
          <w:rFonts w:ascii="Avenir Next" w:hAnsi="Avenir Next" w:cs="Arial"/>
          <w:i/>
          <w:iCs/>
          <w:color w:val="808080" w:themeColor="background1" w:themeShade="80"/>
          <w:sz w:val="22"/>
          <w:szCs w:val="22"/>
          <w:lang w:val="en-GB"/>
        </w:rPr>
        <w:t>Gibbs</w:t>
      </w:r>
      <w:r w:rsidR="000F10CE">
        <w:rPr>
          <w:rFonts w:ascii="Avenir Next" w:hAnsi="Avenir Next" w:cs="Arial"/>
          <w:i/>
          <w:iCs/>
          <w:color w:val="808080" w:themeColor="background1" w:themeShade="80"/>
          <w:sz w:val="22"/>
          <w:szCs w:val="22"/>
          <w:lang w:val="en-GB"/>
        </w:rPr>
        <w:t xml:space="preserve">, </w:t>
      </w:r>
      <w:proofErr w:type="spellStart"/>
      <w:r w:rsidR="000F10CE" w:rsidRPr="000F10CE">
        <w:rPr>
          <w:rFonts w:ascii="Avenir Next" w:hAnsi="Avenir Next" w:cs="Arial"/>
          <w:i/>
          <w:iCs/>
          <w:color w:val="808080" w:themeColor="background1" w:themeShade="80"/>
          <w:sz w:val="22"/>
          <w:szCs w:val="22"/>
          <w:lang w:val="en-GB"/>
        </w:rPr>
        <w:t>ie</w:t>
      </w:r>
      <w:proofErr w:type="spellEnd"/>
      <w:r w:rsidR="000F10C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0F10CE">
        <w:rPr>
          <w:rFonts w:ascii="Avenir Next" w:hAnsi="Avenir Next" w:cs="Arial"/>
          <w:color w:val="808080" w:themeColor="background1" w:themeShade="80"/>
          <w:sz w:val="22"/>
          <w:szCs w:val="22"/>
          <w:lang w:val="en-GB"/>
        </w:rPr>
        <w:t xml:space="preserve">that </w:t>
      </w:r>
      <w:r w:rsidR="000F10CE" w:rsidRPr="000F10CE">
        <w:rPr>
          <w:rFonts w:ascii="Avenir Next" w:hAnsi="Avenir Next" w:cs="Arial"/>
          <w:color w:val="808080" w:themeColor="background1" w:themeShade="80"/>
          <w:sz w:val="22"/>
          <w:szCs w:val="22"/>
        </w:rPr>
        <w:t>a debt is treated as discharged if compromised in accordance with the law of the jurisdiction which governed the instrument giving rise to the debt</w:t>
      </w:r>
      <w:r w:rsidR="000F10C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is also relevant</w:t>
      </w:r>
      <w:r w:rsidR="000F10CE">
        <w:rPr>
          <w:rFonts w:ascii="Avenir Next" w:hAnsi="Avenir Next" w:cs="Arial"/>
          <w:color w:val="808080" w:themeColor="background1" w:themeShade="80"/>
          <w:sz w:val="22"/>
          <w:szCs w:val="22"/>
          <w:lang w:val="en-GB"/>
        </w:rPr>
        <w:t xml:space="preserve"> to the extent it is good law in Bermuda and Hong Kong</w:t>
      </w:r>
      <w:r>
        <w:rPr>
          <w:rFonts w:ascii="Avenir Next" w:hAnsi="Avenir Next" w:cs="Arial"/>
          <w:color w:val="808080" w:themeColor="background1" w:themeShade="80"/>
          <w:sz w:val="22"/>
          <w:szCs w:val="22"/>
          <w:lang w:val="en-GB"/>
        </w:rPr>
        <w:t>.</w:t>
      </w:r>
      <w:r w:rsidR="000F10CE">
        <w:rPr>
          <w:rFonts w:ascii="Avenir Next" w:hAnsi="Avenir Next" w:cs="Arial"/>
          <w:color w:val="808080" w:themeColor="background1" w:themeShade="80"/>
          <w:sz w:val="22"/>
          <w:szCs w:val="22"/>
          <w:lang w:val="en-GB"/>
        </w:rPr>
        <w:t xml:space="preserve"> </w:t>
      </w:r>
      <w:r w:rsidR="004E3629">
        <w:rPr>
          <w:rFonts w:ascii="Avenir Next" w:hAnsi="Avenir Next" w:cs="Arial"/>
          <w:color w:val="808080" w:themeColor="background1" w:themeShade="80"/>
          <w:sz w:val="22"/>
          <w:szCs w:val="22"/>
          <w:lang w:val="en-GB"/>
        </w:rPr>
        <w:t>Here, depending on whether the governing law allows for debt-to-equity swaps, it may be that such an arrangement will not be recognised as a valid discharge of debt in Bermuda/ Hong Kong.</w:t>
      </w:r>
    </w:p>
    <w:p w14:paraId="7CA251F3" w14:textId="77777777" w:rsidR="00A433CD" w:rsidRPr="00A433CD" w:rsidRDefault="00A433CD" w:rsidP="00F5746F">
      <w:pPr>
        <w:jc w:val="both"/>
        <w:rPr>
          <w:rFonts w:ascii="Avenir Next" w:hAnsi="Avenir Next" w:cs="Arial"/>
          <w:color w:val="808080" w:themeColor="background1" w:themeShade="80"/>
          <w:sz w:val="22"/>
          <w:szCs w:val="22"/>
          <w:lang w:val="en-GB"/>
        </w:rPr>
      </w:pPr>
    </w:p>
    <w:p w14:paraId="560C51CE" w14:textId="77777777" w:rsidR="00E90971" w:rsidRDefault="00E90971" w:rsidP="004E3A6B">
      <w:pPr>
        <w:jc w:val="center"/>
        <w:rPr>
          <w:rFonts w:ascii="Avenir Next" w:hAnsi="Avenir Next" w:cs="Arial"/>
          <w:b/>
          <w:bCs/>
          <w:sz w:val="22"/>
          <w:szCs w:val="22"/>
          <w:lang w:val="en-GB"/>
        </w:rPr>
      </w:pPr>
    </w:p>
    <w:p w14:paraId="4539B3F5" w14:textId="77777777" w:rsidR="00A433CD" w:rsidRPr="00B87DBA" w:rsidRDefault="00A433CD"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624" w14:textId="77777777" w:rsidR="001F5633" w:rsidRDefault="001F5633" w:rsidP="00241B44">
      <w:r>
        <w:separator/>
      </w:r>
    </w:p>
  </w:endnote>
  <w:endnote w:type="continuationSeparator" w:id="0">
    <w:p w14:paraId="4CB9F53F" w14:textId="77777777" w:rsidR="001F5633" w:rsidRDefault="001F563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6BE5467" w:rsidR="00241FA3" w:rsidRPr="009B4976" w:rsidRDefault="00BA7A7E" w:rsidP="009B4976">
    <w:pPr>
      <w:pStyle w:val="Footer"/>
      <w:ind w:right="360"/>
      <w:rPr>
        <w:rFonts w:ascii="Arial" w:hAnsi="Arial" w:cs="Arial"/>
        <w:sz w:val="18"/>
        <w:szCs w:val="18"/>
        <w:lang w:val="en-GB"/>
      </w:rPr>
    </w:pPr>
    <w:r>
      <w:rPr>
        <w:rFonts w:ascii="Arial" w:hAnsi="Arial" w:cs="Arial"/>
        <w:sz w:val="18"/>
        <w:szCs w:val="18"/>
        <w:lang w:val="en-GB"/>
      </w:rPr>
      <w:t>202223-990</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637B" w14:textId="77777777" w:rsidR="001F5633" w:rsidRDefault="001F5633" w:rsidP="00241B44">
      <w:r>
        <w:separator/>
      </w:r>
    </w:p>
  </w:footnote>
  <w:footnote w:type="continuationSeparator" w:id="0">
    <w:p w14:paraId="59E47FB9" w14:textId="77777777" w:rsidR="001F5633" w:rsidRDefault="001F563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2D4A90"/>
    <w:multiLevelType w:val="hybridMultilevel"/>
    <w:tmpl w:val="6CE0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553FA1"/>
    <w:multiLevelType w:val="hybridMultilevel"/>
    <w:tmpl w:val="95F445A6"/>
    <w:lvl w:ilvl="0" w:tplc="2FD08E9A">
      <w:start w:val="1"/>
      <w:numFmt w:val="lowerLetter"/>
      <w:lvlText w:val="(%1)"/>
      <w:lvlJc w:val="left"/>
      <w:pPr>
        <w:ind w:left="720" w:hanging="360"/>
      </w:pPr>
      <w:rPr>
        <w:rFonts w:hint="default"/>
      </w:rPr>
    </w:lvl>
    <w:lvl w:ilvl="1" w:tplc="F56A68D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20302A5"/>
    <w:multiLevelType w:val="hybridMultilevel"/>
    <w:tmpl w:val="44CA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F065A"/>
    <w:multiLevelType w:val="hybridMultilevel"/>
    <w:tmpl w:val="D0A277B8"/>
    <w:lvl w:ilvl="0" w:tplc="ACBE6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7"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5D7B6FAF"/>
    <w:multiLevelType w:val="hybridMultilevel"/>
    <w:tmpl w:val="C7D2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9"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F07EBF"/>
    <w:multiLevelType w:val="hybridMultilevel"/>
    <w:tmpl w:val="63D2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400296">
    <w:abstractNumId w:val="8"/>
  </w:num>
  <w:num w:numId="2" w16cid:durableId="2091391261">
    <w:abstractNumId w:val="10"/>
  </w:num>
  <w:num w:numId="3" w16cid:durableId="1332415614">
    <w:abstractNumId w:val="41"/>
  </w:num>
  <w:num w:numId="4" w16cid:durableId="2008287761">
    <w:abstractNumId w:val="34"/>
  </w:num>
  <w:num w:numId="5" w16cid:durableId="313291293">
    <w:abstractNumId w:val="47"/>
  </w:num>
  <w:num w:numId="6" w16cid:durableId="726225821">
    <w:abstractNumId w:val="31"/>
  </w:num>
  <w:num w:numId="7" w16cid:durableId="784350293">
    <w:abstractNumId w:val="38"/>
  </w:num>
  <w:num w:numId="8" w16cid:durableId="1822230682">
    <w:abstractNumId w:val="11"/>
  </w:num>
  <w:num w:numId="9" w16cid:durableId="1044987943">
    <w:abstractNumId w:val="25"/>
  </w:num>
  <w:num w:numId="10" w16cid:durableId="1601255120">
    <w:abstractNumId w:val="6"/>
  </w:num>
  <w:num w:numId="11" w16cid:durableId="1956980172">
    <w:abstractNumId w:val="43"/>
  </w:num>
  <w:num w:numId="12" w16cid:durableId="944070413">
    <w:abstractNumId w:val="42"/>
  </w:num>
  <w:num w:numId="13" w16cid:durableId="1617910121">
    <w:abstractNumId w:val="20"/>
  </w:num>
  <w:num w:numId="14" w16cid:durableId="156657100">
    <w:abstractNumId w:val="0"/>
  </w:num>
  <w:num w:numId="15" w16cid:durableId="634797945">
    <w:abstractNumId w:val="32"/>
  </w:num>
  <w:num w:numId="16" w16cid:durableId="992374880">
    <w:abstractNumId w:val="29"/>
  </w:num>
  <w:num w:numId="17" w16cid:durableId="1465926927">
    <w:abstractNumId w:val="46"/>
  </w:num>
  <w:num w:numId="18" w16cid:durableId="438138833">
    <w:abstractNumId w:val="44"/>
  </w:num>
  <w:num w:numId="19" w16cid:durableId="566762225">
    <w:abstractNumId w:val="24"/>
  </w:num>
  <w:num w:numId="20" w16cid:durableId="500704907">
    <w:abstractNumId w:val="27"/>
  </w:num>
  <w:num w:numId="21" w16cid:durableId="1380670117">
    <w:abstractNumId w:val="4"/>
  </w:num>
  <w:num w:numId="22" w16cid:durableId="1974752778">
    <w:abstractNumId w:val="21"/>
  </w:num>
  <w:num w:numId="23" w16cid:durableId="277882475">
    <w:abstractNumId w:val="33"/>
  </w:num>
  <w:num w:numId="24" w16cid:durableId="517156915">
    <w:abstractNumId w:val="30"/>
  </w:num>
  <w:num w:numId="25" w16cid:durableId="555894897">
    <w:abstractNumId w:val="22"/>
  </w:num>
  <w:num w:numId="26" w16cid:durableId="435298057">
    <w:abstractNumId w:val="37"/>
  </w:num>
  <w:num w:numId="27" w16cid:durableId="517621801">
    <w:abstractNumId w:val="48"/>
  </w:num>
  <w:num w:numId="28" w16cid:durableId="605846399">
    <w:abstractNumId w:val="26"/>
  </w:num>
  <w:num w:numId="29" w16cid:durableId="1173833563">
    <w:abstractNumId w:val="45"/>
  </w:num>
  <w:num w:numId="30" w16cid:durableId="143158042">
    <w:abstractNumId w:val="14"/>
  </w:num>
  <w:num w:numId="31" w16cid:durableId="221454424">
    <w:abstractNumId w:val="18"/>
  </w:num>
  <w:num w:numId="32" w16cid:durableId="57629815">
    <w:abstractNumId w:val="28"/>
  </w:num>
  <w:num w:numId="33" w16cid:durableId="181894444">
    <w:abstractNumId w:val="9"/>
  </w:num>
  <w:num w:numId="34" w16cid:durableId="202599562">
    <w:abstractNumId w:val="16"/>
  </w:num>
  <w:num w:numId="35" w16cid:durableId="1877305280">
    <w:abstractNumId w:val="3"/>
  </w:num>
  <w:num w:numId="36" w16cid:durableId="1794013129">
    <w:abstractNumId w:val="40"/>
  </w:num>
  <w:num w:numId="37" w16cid:durableId="1036395023">
    <w:abstractNumId w:val="36"/>
  </w:num>
  <w:num w:numId="38" w16cid:durableId="495536687">
    <w:abstractNumId w:val="49"/>
  </w:num>
  <w:num w:numId="39" w16cid:durableId="1164514705">
    <w:abstractNumId w:val="2"/>
  </w:num>
  <w:num w:numId="40" w16cid:durableId="384647596">
    <w:abstractNumId w:val="1"/>
  </w:num>
  <w:num w:numId="41" w16cid:durableId="1200824563">
    <w:abstractNumId w:val="7"/>
  </w:num>
  <w:num w:numId="42" w16cid:durableId="556936430">
    <w:abstractNumId w:val="35"/>
  </w:num>
  <w:num w:numId="43" w16cid:durableId="1961108622">
    <w:abstractNumId w:val="19"/>
  </w:num>
  <w:num w:numId="44" w16cid:durableId="1733458593">
    <w:abstractNumId w:val="12"/>
  </w:num>
  <w:num w:numId="45" w16cid:durableId="478426794">
    <w:abstractNumId w:val="17"/>
  </w:num>
  <w:num w:numId="46" w16cid:durableId="400519140">
    <w:abstractNumId w:val="23"/>
  </w:num>
  <w:num w:numId="47" w16cid:durableId="760950352">
    <w:abstractNumId w:val="50"/>
  </w:num>
  <w:num w:numId="48" w16cid:durableId="753822782">
    <w:abstractNumId w:val="39"/>
  </w:num>
  <w:num w:numId="49" w16cid:durableId="309679450">
    <w:abstractNumId w:val="15"/>
  </w:num>
  <w:num w:numId="50" w16cid:durableId="259992590">
    <w:abstractNumId w:val="13"/>
  </w:num>
  <w:num w:numId="51" w16cid:durableId="25310049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272B9"/>
    <w:rsid w:val="000329AF"/>
    <w:rsid w:val="00033E82"/>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17C"/>
    <w:rsid w:val="0005128F"/>
    <w:rsid w:val="00060569"/>
    <w:rsid w:val="00060747"/>
    <w:rsid w:val="000627E0"/>
    <w:rsid w:val="00063A60"/>
    <w:rsid w:val="00065166"/>
    <w:rsid w:val="00067160"/>
    <w:rsid w:val="00067BD8"/>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0CE"/>
    <w:rsid w:val="000F1677"/>
    <w:rsid w:val="000F1FFD"/>
    <w:rsid w:val="000F3D6C"/>
    <w:rsid w:val="000F3F76"/>
    <w:rsid w:val="000F6D62"/>
    <w:rsid w:val="000F708F"/>
    <w:rsid w:val="00101707"/>
    <w:rsid w:val="0010170D"/>
    <w:rsid w:val="00102CC9"/>
    <w:rsid w:val="00103831"/>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7173B"/>
    <w:rsid w:val="00172898"/>
    <w:rsid w:val="00173A3F"/>
    <w:rsid w:val="001749C3"/>
    <w:rsid w:val="00180548"/>
    <w:rsid w:val="00180AC4"/>
    <w:rsid w:val="00180CCE"/>
    <w:rsid w:val="0018267A"/>
    <w:rsid w:val="00182779"/>
    <w:rsid w:val="001830DF"/>
    <w:rsid w:val="001840F5"/>
    <w:rsid w:val="00186F3A"/>
    <w:rsid w:val="00190CF7"/>
    <w:rsid w:val="00191387"/>
    <w:rsid w:val="001917F2"/>
    <w:rsid w:val="00195644"/>
    <w:rsid w:val="001966D9"/>
    <w:rsid w:val="00197683"/>
    <w:rsid w:val="001A007A"/>
    <w:rsid w:val="001A2205"/>
    <w:rsid w:val="001A2441"/>
    <w:rsid w:val="001A7E9A"/>
    <w:rsid w:val="001B0F70"/>
    <w:rsid w:val="001B0FEB"/>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41E"/>
    <w:rsid w:val="001E49E0"/>
    <w:rsid w:val="001E7B5A"/>
    <w:rsid w:val="001F52A0"/>
    <w:rsid w:val="001F5633"/>
    <w:rsid w:val="001F7412"/>
    <w:rsid w:val="0020090A"/>
    <w:rsid w:val="00201840"/>
    <w:rsid w:val="00202B14"/>
    <w:rsid w:val="00202DFE"/>
    <w:rsid w:val="0020537C"/>
    <w:rsid w:val="0020725B"/>
    <w:rsid w:val="00207311"/>
    <w:rsid w:val="00207C3D"/>
    <w:rsid w:val="002110F1"/>
    <w:rsid w:val="002120F5"/>
    <w:rsid w:val="0021407D"/>
    <w:rsid w:val="0022116B"/>
    <w:rsid w:val="00221D20"/>
    <w:rsid w:val="00226CB6"/>
    <w:rsid w:val="00227A0F"/>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0FEE"/>
    <w:rsid w:val="002937F3"/>
    <w:rsid w:val="0029433F"/>
    <w:rsid w:val="00294829"/>
    <w:rsid w:val="0029690F"/>
    <w:rsid w:val="00297C8A"/>
    <w:rsid w:val="002A2A60"/>
    <w:rsid w:val="002A37BB"/>
    <w:rsid w:val="002A5EF5"/>
    <w:rsid w:val="002A7BAD"/>
    <w:rsid w:val="002B1C45"/>
    <w:rsid w:val="002B725E"/>
    <w:rsid w:val="002C13C8"/>
    <w:rsid w:val="002C1EC5"/>
    <w:rsid w:val="002C2B46"/>
    <w:rsid w:val="002C2FDA"/>
    <w:rsid w:val="002C3547"/>
    <w:rsid w:val="002C47C0"/>
    <w:rsid w:val="002C5EF6"/>
    <w:rsid w:val="002C69B4"/>
    <w:rsid w:val="002C7274"/>
    <w:rsid w:val="002D0021"/>
    <w:rsid w:val="002D053A"/>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07B0"/>
    <w:rsid w:val="00326292"/>
    <w:rsid w:val="0032636F"/>
    <w:rsid w:val="00326415"/>
    <w:rsid w:val="00330937"/>
    <w:rsid w:val="00330F31"/>
    <w:rsid w:val="00334648"/>
    <w:rsid w:val="00335B16"/>
    <w:rsid w:val="0033768C"/>
    <w:rsid w:val="00337938"/>
    <w:rsid w:val="00340769"/>
    <w:rsid w:val="00341AA6"/>
    <w:rsid w:val="0034233C"/>
    <w:rsid w:val="003432D5"/>
    <w:rsid w:val="00343808"/>
    <w:rsid w:val="00351246"/>
    <w:rsid w:val="003523A4"/>
    <w:rsid w:val="00361A0A"/>
    <w:rsid w:val="0036358E"/>
    <w:rsid w:val="00364369"/>
    <w:rsid w:val="0036458E"/>
    <w:rsid w:val="00364836"/>
    <w:rsid w:val="0036565C"/>
    <w:rsid w:val="0036625E"/>
    <w:rsid w:val="00366ACE"/>
    <w:rsid w:val="00367059"/>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E7C53"/>
    <w:rsid w:val="003F05EF"/>
    <w:rsid w:val="003F3F38"/>
    <w:rsid w:val="003F4F19"/>
    <w:rsid w:val="004020C0"/>
    <w:rsid w:val="0040332F"/>
    <w:rsid w:val="0040368D"/>
    <w:rsid w:val="00404329"/>
    <w:rsid w:val="00405DC1"/>
    <w:rsid w:val="0041085C"/>
    <w:rsid w:val="00413EB9"/>
    <w:rsid w:val="00415F1F"/>
    <w:rsid w:val="00416FEB"/>
    <w:rsid w:val="0042108F"/>
    <w:rsid w:val="00425377"/>
    <w:rsid w:val="004262DA"/>
    <w:rsid w:val="004264D0"/>
    <w:rsid w:val="004276F7"/>
    <w:rsid w:val="00430FED"/>
    <w:rsid w:val="00434A8C"/>
    <w:rsid w:val="00435B5E"/>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7C72"/>
    <w:rsid w:val="00480C00"/>
    <w:rsid w:val="00481D6B"/>
    <w:rsid w:val="00482465"/>
    <w:rsid w:val="004873F8"/>
    <w:rsid w:val="004909BA"/>
    <w:rsid w:val="00490FDA"/>
    <w:rsid w:val="00491675"/>
    <w:rsid w:val="00491D9F"/>
    <w:rsid w:val="00493855"/>
    <w:rsid w:val="00494C98"/>
    <w:rsid w:val="00495B39"/>
    <w:rsid w:val="00495E79"/>
    <w:rsid w:val="0049714D"/>
    <w:rsid w:val="004A2D83"/>
    <w:rsid w:val="004A57DD"/>
    <w:rsid w:val="004A57FB"/>
    <w:rsid w:val="004A60CB"/>
    <w:rsid w:val="004A7B51"/>
    <w:rsid w:val="004A7D71"/>
    <w:rsid w:val="004A7EF3"/>
    <w:rsid w:val="004B11FD"/>
    <w:rsid w:val="004B23A2"/>
    <w:rsid w:val="004B4566"/>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05F"/>
    <w:rsid w:val="004E1309"/>
    <w:rsid w:val="004E185D"/>
    <w:rsid w:val="004E3629"/>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4DA8"/>
    <w:rsid w:val="005356BF"/>
    <w:rsid w:val="00536399"/>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02C0"/>
    <w:rsid w:val="005739CA"/>
    <w:rsid w:val="00575B2D"/>
    <w:rsid w:val="00576A9C"/>
    <w:rsid w:val="00580EA0"/>
    <w:rsid w:val="00581733"/>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591C"/>
    <w:rsid w:val="005C5954"/>
    <w:rsid w:val="005C6CFB"/>
    <w:rsid w:val="005C764D"/>
    <w:rsid w:val="005C76C7"/>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76B"/>
    <w:rsid w:val="00695984"/>
    <w:rsid w:val="00696EB0"/>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40A8"/>
    <w:rsid w:val="006C6ECF"/>
    <w:rsid w:val="006D2BE7"/>
    <w:rsid w:val="006D541F"/>
    <w:rsid w:val="006D6BD5"/>
    <w:rsid w:val="006E21C4"/>
    <w:rsid w:val="006E481A"/>
    <w:rsid w:val="006E5298"/>
    <w:rsid w:val="006E6C49"/>
    <w:rsid w:val="006F0A06"/>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36D"/>
    <w:rsid w:val="00772CE3"/>
    <w:rsid w:val="0077498C"/>
    <w:rsid w:val="0077781E"/>
    <w:rsid w:val="007809BC"/>
    <w:rsid w:val="00784128"/>
    <w:rsid w:val="00785FE5"/>
    <w:rsid w:val="00787BCC"/>
    <w:rsid w:val="00793173"/>
    <w:rsid w:val="007966FA"/>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48DB"/>
    <w:rsid w:val="00825B36"/>
    <w:rsid w:val="008279C0"/>
    <w:rsid w:val="00830097"/>
    <w:rsid w:val="008307FE"/>
    <w:rsid w:val="00831FFA"/>
    <w:rsid w:val="00832877"/>
    <w:rsid w:val="00841B6D"/>
    <w:rsid w:val="00844321"/>
    <w:rsid w:val="00844879"/>
    <w:rsid w:val="00850D1F"/>
    <w:rsid w:val="00851B6A"/>
    <w:rsid w:val="008578F5"/>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2404"/>
    <w:rsid w:val="008A4DF2"/>
    <w:rsid w:val="008A51F8"/>
    <w:rsid w:val="008A6CFE"/>
    <w:rsid w:val="008B4E45"/>
    <w:rsid w:val="008B5165"/>
    <w:rsid w:val="008B5333"/>
    <w:rsid w:val="008B6223"/>
    <w:rsid w:val="008B6716"/>
    <w:rsid w:val="008C06AD"/>
    <w:rsid w:val="008C0A02"/>
    <w:rsid w:val="008C66E0"/>
    <w:rsid w:val="008C7904"/>
    <w:rsid w:val="008C7BAC"/>
    <w:rsid w:val="008D2B17"/>
    <w:rsid w:val="008D5BC1"/>
    <w:rsid w:val="008D629E"/>
    <w:rsid w:val="008E3339"/>
    <w:rsid w:val="008E79A7"/>
    <w:rsid w:val="008E7AAE"/>
    <w:rsid w:val="008E7F55"/>
    <w:rsid w:val="008F20FC"/>
    <w:rsid w:val="008F4A35"/>
    <w:rsid w:val="008F5FFE"/>
    <w:rsid w:val="008F6C22"/>
    <w:rsid w:val="00903422"/>
    <w:rsid w:val="00905A43"/>
    <w:rsid w:val="00906988"/>
    <w:rsid w:val="0091251C"/>
    <w:rsid w:val="00912C79"/>
    <w:rsid w:val="0091693A"/>
    <w:rsid w:val="00921B8C"/>
    <w:rsid w:val="009230B6"/>
    <w:rsid w:val="00923EAD"/>
    <w:rsid w:val="00924D26"/>
    <w:rsid w:val="009309A0"/>
    <w:rsid w:val="009314AD"/>
    <w:rsid w:val="009344A4"/>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2B88"/>
    <w:rsid w:val="00973BEB"/>
    <w:rsid w:val="00973D65"/>
    <w:rsid w:val="00975CBB"/>
    <w:rsid w:val="00977EDD"/>
    <w:rsid w:val="009802AF"/>
    <w:rsid w:val="00980E61"/>
    <w:rsid w:val="00985BF5"/>
    <w:rsid w:val="009874AD"/>
    <w:rsid w:val="009904EE"/>
    <w:rsid w:val="00991428"/>
    <w:rsid w:val="00992676"/>
    <w:rsid w:val="009954B2"/>
    <w:rsid w:val="00996691"/>
    <w:rsid w:val="009975C1"/>
    <w:rsid w:val="009A0321"/>
    <w:rsid w:val="009A1702"/>
    <w:rsid w:val="009A28DC"/>
    <w:rsid w:val="009A3AB7"/>
    <w:rsid w:val="009A7B9B"/>
    <w:rsid w:val="009B0723"/>
    <w:rsid w:val="009B07AD"/>
    <w:rsid w:val="009B0883"/>
    <w:rsid w:val="009B15E2"/>
    <w:rsid w:val="009B4976"/>
    <w:rsid w:val="009B5E72"/>
    <w:rsid w:val="009C0B8E"/>
    <w:rsid w:val="009C1BC8"/>
    <w:rsid w:val="009C2442"/>
    <w:rsid w:val="009C65F0"/>
    <w:rsid w:val="009D0811"/>
    <w:rsid w:val="009D0EE1"/>
    <w:rsid w:val="009D6501"/>
    <w:rsid w:val="009E2AEB"/>
    <w:rsid w:val="009E2E27"/>
    <w:rsid w:val="009E45DF"/>
    <w:rsid w:val="009E4DE3"/>
    <w:rsid w:val="009E66A1"/>
    <w:rsid w:val="009E6997"/>
    <w:rsid w:val="009E69E8"/>
    <w:rsid w:val="009E77CD"/>
    <w:rsid w:val="009F275E"/>
    <w:rsid w:val="009F384C"/>
    <w:rsid w:val="009F40BB"/>
    <w:rsid w:val="009F5B42"/>
    <w:rsid w:val="009F6604"/>
    <w:rsid w:val="00A039BC"/>
    <w:rsid w:val="00A047EE"/>
    <w:rsid w:val="00A05F35"/>
    <w:rsid w:val="00A06BD4"/>
    <w:rsid w:val="00A06C2B"/>
    <w:rsid w:val="00A12F26"/>
    <w:rsid w:val="00A13100"/>
    <w:rsid w:val="00A14542"/>
    <w:rsid w:val="00A213BC"/>
    <w:rsid w:val="00A21A65"/>
    <w:rsid w:val="00A2274A"/>
    <w:rsid w:val="00A235B7"/>
    <w:rsid w:val="00A24557"/>
    <w:rsid w:val="00A27A7A"/>
    <w:rsid w:val="00A27D47"/>
    <w:rsid w:val="00A3105E"/>
    <w:rsid w:val="00A322F6"/>
    <w:rsid w:val="00A34ABE"/>
    <w:rsid w:val="00A35DA7"/>
    <w:rsid w:val="00A407EF"/>
    <w:rsid w:val="00A41122"/>
    <w:rsid w:val="00A433CD"/>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58FB"/>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199"/>
    <w:rsid w:val="00AE1A12"/>
    <w:rsid w:val="00AE1DA9"/>
    <w:rsid w:val="00AE5EB6"/>
    <w:rsid w:val="00AF195B"/>
    <w:rsid w:val="00AF228E"/>
    <w:rsid w:val="00AF34AF"/>
    <w:rsid w:val="00AF4CE5"/>
    <w:rsid w:val="00AF59F0"/>
    <w:rsid w:val="00AF7153"/>
    <w:rsid w:val="00B015BA"/>
    <w:rsid w:val="00B016A8"/>
    <w:rsid w:val="00B04D09"/>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260"/>
    <w:rsid w:val="00B71885"/>
    <w:rsid w:val="00B736DF"/>
    <w:rsid w:val="00B743D6"/>
    <w:rsid w:val="00B74FBD"/>
    <w:rsid w:val="00B76187"/>
    <w:rsid w:val="00B77F46"/>
    <w:rsid w:val="00B77FA2"/>
    <w:rsid w:val="00B82586"/>
    <w:rsid w:val="00B829A3"/>
    <w:rsid w:val="00B86DB1"/>
    <w:rsid w:val="00B87869"/>
    <w:rsid w:val="00B87A29"/>
    <w:rsid w:val="00B87DBA"/>
    <w:rsid w:val="00B91544"/>
    <w:rsid w:val="00B94841"/>
    <w:rsid w:val="00B960A8"/>
    <w:rsid w:val="00B9639B"/>
    <w:rsid w:val="00B97759"/>
    <w:rsid w:val="00BA09AB"/>
    <w:rsid w:val="00BA20D9"/>
    <w:rsid w:val="00BA3682"/>
    <w:rsid w:val="00BA4CAA"/>
    <w:rsid w:val="00BA4D0F"/>
    <w:rsid w:val="00BA4E28"/>
    <w:rsid w:val="00BA7A7E"/>
    <w:rsid w:val="00BB00A2"/>
    <w:rsid w:val="00BB0E34"/>
    <w:rsid w:val="00BB0E4B"/>
    <w:rsid w:val="00BB0F2B"/>
    <w:rsid w:val="00BB1088"/>
    <w:rsid w:val="00BB244E"/>
    <w:rsid w:val="00BB7DFD"/>
    <w:rsid w:val="00BC24AD"/>
    <w:rsid w:val="00BC56F4"/>
    <w:rsid w:val="00BC79E0"/>
    <w:rsid w:val="00BD4A3D"/>
    <w:rsid w:val="00BD545E"/>
    <w:rsid w:val="00BD5BDE"/>
    <w:rsid w:val="00BD5C7A"/>
    <w:rsid w:val="00BE4005"/>
    <w:rsid w:val="00BE4FF3"/>
    <w:rsid w:val="00BF2335"/>
    <w:rsid w:val="00BF499E"/>
    <w:rsid w:val="00BF50F7"/>
    <w:rsid w:val="00BF7650"/>
    <w:rsid w:val="00C02F29"/>
    <w:rsid w:val="00C03ED0"/>
    <w:rsid w:val="00C100C3"/>
    <w:rsid w:val="00C14675"/>
    <w:rsid w:val="00C17718"/>
    <w:rsid w:val="00C20AFE"/>
    <w:rsid w:val="00C22A25"/>
    <w:rsid w:val="00C24907"/>
    <w:rsid w:val="00C24D9B"/>
    <w:rsid w:val="00C32139"/>
    <w:rsid w:val="00C35671"/>
    <w:rsid w:val="00C35B77"/>
    <w:rsid w:val="00C3600E"/>
    <w:rsid w:val="00C36FBF"/>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712A"/>
    <w:rsid w:val="00C900AB"/>
    <w:rsid w:val="00C902C8"/>
    <w:rsid w:val="00C919D1"/>
    <w:rsid w:val="00C95778"/>
    <w:rsid w:val="00C963D3"/>
    <w:rsid w:val="00CA254C"/>
    <w:rsid w:val="00CA4A7A"/>
    <w:rsid w:val="00CA5CC0"/>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01441"/>
    <w:rsid w:val="00D1025B"/>
    <w:rsid w:val="00D148DC"/>
    <w:rsid w:val="00D1516E"/>
    <w:rsid w:val="00D15890"/>
    <w:rsid w:val="00D16F06"/>
    <w:rsid w:val="00D17FDC"/>
    <w:rsid w:val="00D21D8C"/>
    <w:rsid w:val="00D23C70"/>
    <w:rsid w:val="00D2524E"/>
    <w:rsid w:val="00D40878"/>
    <w:rsid w:val="00D40B41"/>
    <w:rsid w:val="00D41FDB"/>
    <w:rsid w:val="00D42444"/>
    <w:rsid w:val="00D4605E"/>
    <w:rsid w:val="00D522CF"/>
    <w:rsid w:val="00D53719"/>
    <w:rsid w:val="00D57220"/>
    <w:rsid w:val="00D61596"/>
    <w:rsid w:val="00D62306"/>
    <w:rsid w:val="00D63011"/>
    <w:rsid w:val="00D63EFD"/>
    <w:rsid w:val="00D66D04"/>
    <w:rsid w:val="00D71018"/>
    <w:rsid w:val="00D716CF"/>
    <w:rsid w:val="00D735CB"/>
    <w:rsid w:val="00D8141E"/>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B7CC8"/>
    <w:rsid w:val="00DC0163"/>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DF7ED2"/>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59CA"/>
    <w:rsid w:val="00E46C58"/>
    <w:rsid w:val="00E506BE"/>
    <w:rsid w:val="00E55547"/>
    <w:rsid w:val="00E56D74"/>
    <w:rsid w:val="00E57D9D"/>
    <w:rsid w:val="00E62FE8"/>
    <w:rsid w:val="00E6302B"/>
    <w:rsid w:val="00E6452F"/>
    <w:rsid w:val="00E64F45"/>
    <w:rsid w:val="00E6742D"/>
    <w:rsid w:val="00E71CB0"/>
    <w:rsid w:val="00E77C3D"/>
    <w:rsid w:val="00E84FC6"/>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D7B47"/>
    <w:rsid w:val="00EE0481"/>
    <w:rsid w:val="00EE1E8B"/>
    <w:rsid w:val="00EE391F"/>
    <w:rsid w:val="00EE4971"/>
    <w:rsid w:val="00EE5D82"/>
    <w:rsid w:val="00EE6CB0"/>
    <w:rsid w:val="00EE762A"/>
    <w:rsid w:val="00EF0489"/>
    <w:rsid w:val="00EF090E"/>
    <w:rsid w:val="00EF17F4"/>
    <w:rsid w:val="00EF2C8E"/>
    <w:rsid w:val="00EF43CB"/>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1D"/>
    <w:rsid w:val="00F3323E"/>
    <w:rsid w:val="00F33B81"/>
    <w:rsid w:val="00F341F4"/>
    <w:rsid w:val="00F343BB"/>
    <w:rsid w:val="00F34F9D"/>
    <w:rsid w:val="00F35CCE"/>
    <w:rsid w:val="00F43F7A"/>
    <w:rsid w:val="00F51F75"/>
    <w:rsid w:val="00F5524B"/>
    <w:rsid w:val="00F5746F"/>
    <w:rsid w:val="00F60538"/>
    <w:rsid w:val="00F60FDF"/>
    <w:rsid w:val="00F61DD2"/>
    <w:rsid w:val="00F63F19"/>
    <w:rsid w:val="00F66AFF"/>
    <w:rsid w:val="00F67EA8"/>
    <w:rsid w:val="00F71433"/>
    <w:rsid w:val="00F83DBA"/>
    <w:rsid w:val="00F8668C"/>
    <w:rsid w:val="00F90060"/>
    <w:rsid w:val="00F90C34"/>
    <w:rsid w:val="00F93E2A"/>
    <w:rsid w:val="00F95410"/>
    <w:rsid w:val="00F97C5B"/>
    <w:rsid w:val="00FA06F5"/>
    <w:rsid w:val="00FA0C6E"/>
    <w:rsid w:val="00FA3C10"/>
    <w:rsid w:val="00FA3D50"/>
    <w:rsid w:val="00FA4644"/>
    <w:rsid w:val="00FA6B7D"/>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B0"/>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15439371">
      <w:bodyDiv w:val="1"/>
      <w:marLeft w:val="0"/>
      <w:marRight w:val="0"/>
      <w:marTop w:val="0"/>
      <w:marBottom w:val="0"/>
      <w:divBdr>
        <w:top w:val="none" w:sz="0" w:space="0" w:color="auto"/>
        <w:left w:val="none" w:sz="0" w:space="0" w:color="auto"/>
        <w:bottom w:val="none" w:sz="0" w:space="0" w:color="auto"/>
        <w:right w:val="none" w:sz="0" w:space="0" w:color="auto"/>
      </w:divBdr>
      <w:divsChild>
        <w:div w:id="510875668">
          <w:marLeft w:val="0"/>
          <w:marRight w:val="0"/>
          <w:marTop w:val="0"/>
          <w:marBottom w:val="0"/>
          <w:divBdr>
            <w:top w:val="none" w:sz="0" w:space="0" w:color="auto"/>
            <w:left w:val="none" w:sz="0" w:space="0" w:color="auto"/>
            <w:bottom w:val="none" w:sz="0" w:space="0" w:color="auto"/>
            <w:right w:val="none" w:sz="0" w:space="0" w:color="auto"/>
          </w:divBdr>
          <w:divsChild>
            <w:div w:id="1471089382">
              <w:marLeft w:val="0"/>
              <w:marRight w:val="0"/>
              <w:marTop w:val="0"/>
              <w:marBottom w:val="0"/>
              <w:divBdr>
                <w:top w:val="none" w:sz="0" w:space="0" w:color="auto"/>
                <w:left w:val="none" w:sz="0" w:space="0" w:color="auto"/>
                <w:bottom w:val="none" w:sz="0" w:space="0" w:color="auto"/>
                <w:right w:val="none" w:sz="0" w:space="0" w:color="auto"/>
              </w:divBdr>
              <w:divsChild>
                <w:div w:id="656956014">
                  <w:marLeft w:val="0"/>
                  <w:marRight w:val="0"/>
                  <w:marTop w:val="0"/>
                  <w:marBottom w:val="0"/>
                  <w:divBdr>
                    <w:top w:val="none" w:sz="0" w:space="0" w:color="auto"/>
                    <w:left w:val="none" w:sz="0" w:space="0" w:color="auto"/>
                    <w:bottom w:val="none" w:sz="0" w:space="0" w:color="auto"/>
                    <w:right w:val="none" w:sz="0" w:space="0" w:color="auto"/>
                  </w:divBdr>
                  <w:divsChild>
                    <w:div w:id="17491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82083">
      <w:bodyDiv w:val="1"/>
      <w:marLeft w:val="0"/>
      <w:marRight w:val="0"/>
      <w:marTop w:val="0"/>
      <w:marBottom w:val="0"/>
      <w:divBdr>
        <w:top w:val="none" w:sz="0" w:space="0" w:color="auto"/>
        <w:left w:val="none" w:sz="0" w:space="0" w:color="auto"/>
        <w:bottom w:val="none" w:sz="0" w:space="0" w:color="auto"/>
        <w:right w:val="none" w:sz="0" w:space="0" w:color="auto"/>
      </w:divBdr>
      <w:divsChild>
        <w:div w:id="1599562536">
          <w:marLeft w:val="0"/>
          <w:marRight w:val="0"/>
          <w:marTop w:val="0"/>
          <w:marBottom w:val="0"/>
          <w:divBdr>
            <w:top w:val="none" w:sz="0" w:space="0" w:color="auto"/>
            <w:left w:val="none" w:sz="0" w:space="0" w:color="auto"/>
            <w:bottom w:val="none" w:sz="0" w:space="0" w:color="auto"/>
            <w:right w:val="none" w:sz="0" w:space="0" w:color="auto"/>
          </w:divBdr>
          <w:divsChild>
            <w:div w:id="76633440">
              <w:marLeft w:val="0"/>
              <w:marRight w:val="0"/>
              <w:marTop w:val="0"/>
              <w:marBottom w:val="0"/>
              <w:divBdr>
                <w:top w:val="none" w:sz="0" w:space="0" w:color="auto"/>
                <w:left w:val="none" w:sz="0" w:space="0" w:color="auto"/>
                <w:bottom w:val="none" w:sz="0" w:space="0" w:color="auto"/>
                <w:right w:val="none" w:sz="0" w:space="0" w:color="auto"/>
              </w:divBdr>
              <w:divsChild>
                <w:div w:id="21393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476">
      <w:bodyDiv w:val="1"/>
      <w:marLeft w:val="0"/>
      <w:marRight w:val="0"/>
      <w:marTop w:val="0"/>
      <w:marBottom w:val="0"/>
      <w:divBdr>
        <w:top w:val="none" w:sz="0" w:space="0" w:color="auto"/>
        <w:left w:val="none" w:sz="0" w:space="0" w:color="auto"/>
        <w:bottom w:val="none" w:sz="0" w:space="0" w:color="auto"/>
        <w:right w:val="none" w:sz="0" w:space="0" w:color="auto"/>
      </w:divBdr>
      <w:divsChild>
        <w:div w:id="585387638">
          <w:marLeft w:val="0"/>
          <w:marRight w:val="0"/>
          <w:marTop w:val="0"/>
          <w:marBottom w:val="0"/>
          <w:divBdr>
            <w:top w:val="none" w:sz="0" w:space="0" w:color="auto"/>
            <w:left w:val="none" w:sz="0" w:space="0" w:color="auto"/>
            <w:bottom w:val="none" w:sz="0" w:space="0" w:color="auto"/>
            <w:right w:val="none" w:sz="0" w:space="0" w:color="auto"/>
          </w:divBdr>
          <w:divsChild>
            <w:div w:id="1721054556">
              <w:marLeft w:val="0"/>
              <w:marRight w:val="0"/>
              <w:marTop w:val="0"/>
              <w:marBottom w:val="0"/>
              <w:divBdr>
                <w:top w:val="none" w:sz="0" w:space="0" w:color="auto"/>
                <w:left w:val="none" w:sz="0" w:space="0" w:color="auto"/>
                <w:bottom w:val="none" w:sz="0" w:space="0" w:color="auto"/>
                <w:right w:val="none" w:sz="0" w:space="0" w:color="auto"/>
              </w:divBdr>
              <w:divsChild>
                <w:div w:id="1125126171">
                  <w:marLeft w:val="0"/>
                  <w:marRight w:val="0"/>
                  <w:marTop w:val="0"/>
                  <w:marBottom w:val="0"/>
                  <w:divBdr>
                    <w:top w:val="none" w:sz="0" w:space="0" w:color="auto"/>
                    <w:left w:val="none" w:sz="0" w:space="0" w:color="auto"/>
                    <w:bottom w:val="none" w:sz="0" w:space="0" w:color="auto"/>
                    <w:right w:val="none" w:sz="0" w:space="0" w:color="auto"/>
                  </w:divBdr>
                  <w:divsChild>
                    <w:div w:id="4888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9070491">
      <w:bodyDiv w:val="1"/>
      <w:marLeft w:val="0"/>
      <w:marRight w:val="0"/>
      <w:marTop w:val="0"/>
      <w:marBottom w:val="0"/>
      <w:divBdr>
        <w:top w:val="none" w:sz="0" w:space="0" w:color="auto"/>
        <w:left w:val="none" w:sz="0" w:space="0" w:color="auto"/>
        <w:bottom w:val="none" w:sz="0" w:space="0" w:color="auto"/>
        <w:right w:val="none" w:sz="0" w:space="0" w:color="auto"/>
      </w:divBdr>
      <w:divsChild>
        <w:div w:id="1278953155">
          <w:marLeft w:val="0"/>
          <w:marRight w:val="0"/>
          <w:marTop w:val="0"/>
          <w:marBottom w:val="0"/>
          <w:divBdr>
            <w:top w:val="none" w:sz="0" w:space="0" w:color="auto"/>
            <w:left w:val="none" w:sz="0" w:space="0" w:color="auto"/>
            <w:bottom w:val="none" w:sz="0" w:space="0" w:color="auto"/>
            <w:right w:val="none" w:sz="0" w:space="0" w:color="auto"/>
          </w:divBdr>
          <w:divsChild>
            <w:div w:id="823814443">
              <w:marLeft w:val="0"/>
              <w:marRight w:val="0"/>
              <w:marTop w:val="0"/>
              <w:marBottom w:val="0"/>
              <w:divBdr>
                <w:top w:val="none" w:sz="0" w:space="0" w:color="auto"/>
                <w:left w:val="none" w:sz="0" w:space="0" w:color="auto"/>
                <w:bottom w:val="none" w:sz="0" w:space="0" w:color="auto"/>
                <w:right w:val="none" w:sz="0" w:space="0" w:color="auto"/>
              </w:divBdr>
              <w:divsChild>
                <w:div w:id="118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40016994">
      <w:bodyDiv w:val="1"/>
      <w:marLeft w:val="0"/>
      <w:marRight w:val="0"/>
      <w:marTop w:val="0"/>
      <w:marBottom w:val="0"/>
      <w:divBdr>
        <w:top w:val="none" w:sz="0" w:space="0" w:color="auto"/>
        <w:left w:val="none" w:sz="0" w:space="0" w:color="auto"/>
        <w:bottom w:val="none" w:sz="0" w:space="0" w:color="auto"/>
        <w:right w:val="none" w:sz="0" w:space="0" w:color="auto"/>
      </w:divBdr>
      <w:divsChild>
        <w:div w:id="1630041799">
          <w:marLeft w:val="0"/>
          <w:marRight w:val="0"/>
          <w:marTop w:val="0"/>
          <w:marBottom w:val="0"/>
          <w:divBdr>
            <w:top w:val="none" w:sz="0" w:space="0" w:color="auto"/>
            <w:left w:val="none" w:sz="0" w:space="0" w:color="auto"/>
            <w:bottom w:val="none" w:sz="0" w:space="0" w:color="auto"/>
            <w:right w:val="none" w:sz="0" w:space="0" w:color="auto"/>
          </w:divBdr>
          <w:divsChild>
            <w:div w:id="1329869380">
              <w:marLeft w:val="0"/>
              <w:marRight w:val="0"/>
              <w:marTop w:val="0"/>
              <w:marBottom w:val="0"/>
              <w:divBdr>
                <w:top w:val="none" w:sz="0" w:space="0" w:color="auto"/>
                <w:left w:val="none" w:sz="0" w:space="0" w:color="auto"/>
                <w:bottom w:val="none" w:sz="0" w:space="0" w:color="auto"/>
                <w:right w:val="none" w:sz="0" w:space="0" w:color="auto"/>
              </w:divBdr>
              <w:divsChild>
                <w:div w:id="1803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1852">
      <w:bodyDiv w:val="1"/>
      <w:marLeft w:val="0"/>
      <w:marRight w:val="0"/>
      <w:marTop w:val="0"/>
      <w:marBottom w:val="0"/>
      <w:divBdr>
        <w:top w:val="none" w:sz="0" w:space="0" w:color="auto"/>
        <w:left w:val="none" w:sz="0" w:space="0" w:color="auto"/>
        <w:bottom w:val="none" w:sz="0" w:space="0" w:color="auto"/>
        <w:right w:val="none" w:sz="0" w:space="0" w:color="auto"/>
      </w:divBdr>
      <w:divsChild>
        <w:div w:id="1282106801">
          <w:marLeft w:val="0"/>
          <w:marRight w:val="0"/>
          <w:marTop w:val="0"/>
          <w:marBottom w:val="0"/>
          <w:divBdr>
            <w:top w:val="none" w:sz="0" w:space="0" w:color="auto"/>
            <w:left w:val="none" w:sz="0" w:space="0" w:color="auto"/>
            <w:bottom w:val="none" w:sz="0" w:space="0" w:color="auto"/>
            <w:right w:val="none" w:sz="0" w:space="0" w:color="auto"/>
          </w:divBdr>
          <w:divsChild>
            <w:div w:id="1633361844">
              <w:marLeft w:val="0"/>
              <w:marRight w:val="0"/>
              <w:marTop w:val="0"/>
              <w:marBottom w:val="0"/>
              <w:divBdr>
                <w:top w:val="none" w:sz="0" w:space="0" w:color="auto"/>
                <w:left w:val="none" w:sz="0" w:space="0" w:color="auto"/>
                <w:bottom w:val="none" w:sz="0" w:space="0" w:color="auto"/>
                <w:right w:val="none" w:sz="0" w:space="0" w:color="auto"/>
              </w:divBdr>
              <w:divsChild>
                <w:div w:id="15765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04593087">
      <w:bodyDiv w:val="1"/>
      <w:marLeft w:val="0"/>
      <w:marRight w:val="0"/>
      <w:marTop w:val="0"/>
      <w:marBottom w:val="0"/>
      <w:divBdr>
        <w:top w:val="none" w:sz="0" w:space="0" w:color="auto"/>
        <w:left w:val="none" w:sz="0" w:space="0" w:color="auto"/>
        <w:bottom w:val="none" w:sz="0" w:space="0" w:color="auto"/>
        <w:right w:val="none" w:sz="0" w:space="0" w:color="auto"/>
      </w:divBdr>
      <w:divsChild>
        <w:div w:id="651256831">
          <w:marLeft w:val="0"/>
          <w:marRight w:val="0"/>
          <w:marTop w:val="0"/>
          <w:marBottom w:val="0"/>
          <w:divBdr>
            <w:top w:val="none" w:sz="0" w:space="0" w:color="auto"/>
            <w:left w:val="none" w:sz="0" w:space="0" w:color="auto"/>
            <w:bottom w:val="none" w:sz="0" w:space="0" w:color="auto"/>
            <w:right w:val="none" w:sz="0" w:space="0" w:color="auto"/>
          </w:divBdr>
          <w:divsChild>
            <w:div w:id="487744066">
              <w:marLeft w:val="0"/>
              <w:marRight w:val="0"/>
              <w:marTop w:val="0"/>
              <w:marBottom w:val="0"/>
              <w:divBdr>
                <w:top w:val="none" w:sz="0" w:space="0" w:color="auto"/>
                <w:left w:val="none" w:sz="0" w:space="0" w:color="auto"/>
                <w:bottom w:val="none" w:sz="0" w:space="0" w:color="auto"/>
                <w:right w:val="none" w:sz="0" w:space="0" w:color="auto"/>
              </w:divBdr>
              <w:divsChild>
                <w:div w:id="19264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44078555">
      <w:bodyDiv w:val="1"/>
      <w:marLeft w:val="0"/>
      <w:marRight w:val="0"/>
      <w:marTop w:val="0"/>
      <w:marBottom w:val="0"/>
      <w:divBdr>
        <w:top w:val="none" w:sz="0" w:space="0" w:color="auto"/>
        <w:left w:val="none" w:sz="0" w:space="0" w:color="auto"/>
        <w:bottom w:val="none" w:sz="0" w:space="0" w:color="auto"/>
        <w:right w:val="none" w:sz="0" w:space="0" w:color="auto"/>
      </w:divBdr>
      <w:divsChild>
        <w:div w:id="336463688">
          <w:marLeft w:val="0"/>
          <w:marRight w:val="0"/>
          <w:marTop w:val="0"/>
          <w:marBottom w:val="0"/>
          <w:divBdr>
            <w:top w:val="none" w:sz="0" w:space="0" w:color="auto"/>
            <w:left w:val="none" w:sz="0" w:space="0" w:color="auto"/>
            <w:bottom w:val="none" w:sz="0" w:space="0" w:color="auto"/>
            <w:right w:val="none" w:sz="0" w:space="0" w:color="auto"/>
          </w:divBdr>
          <w:divsChild>
            <w:div w:id="1579947977">
              <w:marLeft w:val="0"/>
              <w:marRight w:val="0"/>
              <w:marTop w:val="0"/>
              <w:marBottom w:val="0"/>
              <w:divBdr>
                <w:top w:val="none" w:sz="0" w:space="0" w:color="auto"/>
                <w:left w:val="none" w:sz="0" w:space="0" w:color="auto"/>
                <w:bottom w:val="none" w:sz="0" w:space="0" w:color="auto"/>
                <w:right w:val="none" w:sz="0" w:space="0" w:color="auto"/>
              </w:divBdr>
              <w:divsChild>
                <w:div w:id="2099599569">
                  <w:marLeft w:val="0"/>
                  <w:marRight w:val="0"/>
                  <w:marTop w:val="0"/>
                  <w:marBottom w:val="0"/>
                  <w:divBdr>
                    <w:top w:val="none" w:sz="0" w:space="0" w:color="auto"/>
                    <w:left w:val="none" w:sz="0" w:space="0" w:color="auto"/>
                    <w:bottom w:val="none" w:sz="0" w:space="0" w:color="auto"/>
                    <w:right w:val="none" w:sz="0" w:space="0" w:color="auto"/>
                  </w:divBdr>
                  <w:divsChild>
                    <w:div w:id="725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21685067">
      <w:bodyDiv w:val="1"/>
      <w:marLeft w:val="0"/>
      <w:marRight w:val="0"/>
      <w:marTop w:val="0"/>
      <w:marBottom w:val="0"/>
      <w:divBdr>
        <w:top w:val="none" w:sz="0" w:space="0" w:color="auto"/>
        <w:left w:val="none" w:sz="0" w:space="0" w:color="auto"/>
        <w:bottom w:val="none" w:sz="0" w:space="0" w:color="auto"/>
        <w:right w:val="none" w:sz="0" w:space="0" w:color="auto"/>
      </w:divBdr>
      <w:divsChild>
        <w:div w:id="1796825105">
          <w:marLeft w:val="0"/>
          <w:marRight w:val="0"/>
          <w:marTop w:val="0"/>
          <w:marBottom w:val="0"/>
          <w:divBdr>
            <w:top w:val="none" w:sz="0" w:space="0" w:color="auto"/>
            <w:left w:val="none" w:sz="0" w:space="0" w:color="auto"/>
            <w:bottom w:val="none" w:sz="0" w:space="0" w:color="auto"/>
            <w:right w:val="none" w:sz="0" w:space="0" w:color="auto"/>
          </w:divBdr>
          <w:divsChild>
            <w:div w:id="1916821160">
              <w:marLeft w:val="0"/>
              <w:marRight w:val="0"/>
              <w:marTop w:val="0"/>
              <w:marBottom w:val="0"/>
              <w:divBdr>
                <w:top w:val="none" w:sz="0" w:space="0" w:color="auto"/>
                <w:left w:val="none" w:sz="0" w:space="0" w:color="auto"/>
                <w:bottom w:val="none" w:sz="0" w:space="0" w:color="auto"/>
                <w:right w:val="none" w:sz="0" w:space="0" w:color="auto"/>
              </w:divBdr>
              <w:divsChild>
                <w:div w:id="12687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17</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Lengna tan</cp:lastModifiedBy>
  <cp:revision>90</cp:revision>
  <cp:lastPrinted>2019-08-27T05:42:00Z</cp:lastPrinted>
  <dcterms:created xsi:type="dcterms:W3CDTF">2023-07-07T02:51:00Z</dcterms:created>
  <dcterms:modified xsi:type="dcterms:W3CDTF">2023-07-30T04:50:00Z</dcterms:modified>
</cp:coreProperties>
</file>