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xml:space="preserve">. </w:t>
      </w:r>
      <w:proofErr w:type="gramStart"/>
      <w:r w:rsidRPr="00B2234F">
        <w:rPr>
          <w:rFonts w:ascii="Avenir Next" w:hAnsi="Avenir Next" w:cs="Arial"/>
          <w:bCs/>
          <w:color w:val="767171" w:themeColor="background2" w:themeShade="80"/>
          <w:sz w:val="22"/>
          <w:szCs w:val="22"/>
          <w:lang w:val="en-GB"/>
        </w:rPr>
        <w:t>In order to</w:t>
      </w:r>
      <w:proofErr w:type="gramEnd"/>
      <w:r w:rsidRPr="00B2234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 xml:space="preserve">No limit has been set for the length of your answers to each question. </w:t>
      </w:r>
      <w:proofErr w:type="gramStart"/>
      <w:r w:rsidRPr="00B2234F">
        <w:rPr>
          <w:rFonts w:ascii="Avenir Next" w:hAnsi="Avenir Next" w:cs="Arial"/>
          <w:sz w:val="22"/>
          <w:szCs w:val="22"/>
          <w:lang w:val="en-GB"/>
        </w:rPr>
        <w:t>More often than not</w:t>
      </w:r>
      <w:proofErr w:type="gramEnd"/>
      <w:r w:rsidRPr="00B2234F">
        <w:rPr>
          <w:rFonts w:ascii="Avenir Next" w:hAnsi="Avenir Next"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w:t>
      </w:r>
      <w:proofErr w:type="spellStart"/>
      <w:r w:rsidRPr="00B2234F">
        <w:rPr>
          <w:rFonts w:ascii="Avenir Next" w:hAnsi="Avenir Next" w:cs="Arial"/>
          <w:bCs/>
          <w:sz w:val="22"/>
          <w:szCs w:val="22"/>
          <w:lang w:val="en-GB"/>
        </w:rPr>
        <w:t>student</w:t>
      </w:r>
      <w:r w:rsidR="00265D2D" w:rsidRPr="00B2234F">
        <w:rPr>
          <w:rFonts w:ascii="Avenir Next" w:hAnsi="Avenir Next" w:cs="Arial"/>
          <w:bCs/>
          <w:sz w:val="22"/>
          <w:szCs w:val="22"/>
          <w:lang w:val="en-GB"/>
        </w:rPr>
        <w:t>ID</w:t>
      </w:r>
      <w:proofErr w:type="spellEnd"/>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2234F">
        <w:rPr>
          <w:rFonts w:ascii="Avenir Next" w:hAnsi="Avenir Next" w:cs="Arial"/>
          <w:sz w:val="22"/>
          <w:szCs w:val="22"/>
          <w:lang w:val="en-GB"/>
        </w:rPr>
        <w:t>answer</w:t>
      </w:r>
      <w:proofErr w:type="gramEnd"/>
      <w:r w:rsidRPr="00B2234F">
        <w:rPr>
          <w:rFonts w:ascii="Avenir Next" w:hAnsi="Avenir Next" w:cs="Arial"/>
          <w:sz w:val="22"/>
          <w:szCs w:val="22"/>
          <w:lang w:val="en-GB"/>
        </w:rPr>
        <w:t xml:space="preserve">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ListParagraph"/>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bring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EC243A" w:rsidRDefault="00AD12C7" w:rsidP="00265D2D">
      <w:pPr>
        <w:pStyle w:val="ListParagraph"/>
        <w:numPr>
          <w:ilvl w:val="0"/>
          <w:numId w:val="11"/>
        </w:numPr>
        <w:ind w:left="426"/>
        <w:jc w:val="both"/>
        <w:rPr>
          <w:rFonts w:ascii="Avenir Next" w:hAnsi="Avenir Next"/>
          <w:sz w:val="22"/>
          <w:szCs w:val="22"/>
          <w:highlight w:val="yellow"/>
          <w:lang w:val="en-GB"/>
        </w:rPr>
      </w:pPr>
      <w:r w:rsidRPr="00EC243A">
        <w:rPr>
          <w:rFonts w:ascii="Avenir Next" w:hAnsi="Avenir Next"/>
          <w:sz w:val="22"/>
          <w:szCs w:val="22"/>
          <w:highlight w:val="yellow"/>
          <w:lang w:val="en-GB"/>
        </w:rPr>
        <w:t>apply to the court for the decision to be reversed or varied</w:t>
      </w:r>
      <w:r w:rsidR="005A2E18" w:rsidRPr="00EC243A">
        <w:rPr>
          <w:rFonts w:ascii="Avenir Next" w:hAnsi="Avenir Next"/>
          <w:sz w:val="22"/>
          <w:szCs w:val="22"/>
          <w:highlight w:val="yellow"/>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EC243A" w:rsidRDefault="00B2234F" w:rsidP="00265D2D">
      <w:pPr>
        <w:pStyle w:val="ListParagraph"/>
        <w:numPr>
          <w:ilvl w:val="0"/>
          <w:numId w:val="12"/>
        </w:numPr>
        <w:ind w:left="426"/>
        <w:rPr>
          <w:rFonts w:ascii="Avenir Next" w:hAnsi="Avenir Next" w:cs="Arial"/>
          <w:sz w:val="22"/>
          <w:szCs w:val="22"/>
          <w:highlight w:val="yellow"/>
          <w:lang w:val="en-GB"/>
        </w:rPr>
      </w:pPr>
      <w:r w:rsidRPr="00EC243A">
        <w:rPr>
          <w:rFonts w:ascii="Avenir Next" w:hAnsi="Avenir Next" w:cs="Arial"/>
          <w:sz w:val="22"/>
          <w:szCs w:val="22"/>
          <w:highlight w:val="yellow"/>
          <w:lang w:val="en-GB"/>
        </w:rPr>
        <w:t>S</w:t>
      </w:r>
      <w:r w:rsidR="00422295" w:rsidRPr="00EC243A">
        <w:rPr>
          <w:rFonts w:ascii="Avenir Next" w:hAnsi="Avenir Next" w:cs="Arial"/>
          <w:sz w:val="22"/>
          <w:szCs w:val="22"/>
          <w:highlight w:val="yellow"/>
          <w:lang w:val="en-GB"/>
        </w:rPr>
        <w:t>mall company restructuring</w:t>
      </w:r>
      <w:r w:rsidR="005A2E18" w:rsidRPr="00EC243A">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7990A607" w14:textId="7AA7F658" w:rsidR="005B79F4" w:rsidRDefault="005B79F4" w:rsidP="00C55824">
      <w:pPr>
        <w:ind w:left="66"/>
        <w:jc w:val="both"/>
        <w:rPr>
          <w:rFonts w:ascii="Avenir Next" w:hAnsi="Avenir Next" w:cs="Arial"/>
          <w:iCs/>
          <w:sz w:val="22"/>
          <w:szCs w:val="22"/>
          <w:lang w:val="en-GB"/>
        </w:rPr>
      </w:pPr>
    </w:p>
    <w:p w14:paraId="69D17E51" w14:textId="24E7CA03" w:rsidR="009B01E9" w:rsidRDefault="009B01E9" w:rsidP="00A01922">
      <w:pPr>
        <w:jc w:val="both"/>
        <w:rPr>
          <w:rFonts w:ascii="Avenir Next" w:hAnsi="Avenir Next" w:cs="Arial"/>
          <w:iCs/>
          <w:sz w:val="22"/>
          <w:szCs w:val="22"/>
          <w:lang w:val="en-GB"/>
        </w:rPr>
      </w:pPr>
    </w:p>
    <w:p w14:paraId="6B3D8DBC" w14:textId="77777777" w:rsidR="009B01E9" w:rsidRPr="00B2234F"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A01922" w:rsidRDefault="009B01E9" w:rsidP="00265D2D">
      <w:pPr>
        <w:pStyle w:val="ListParagraph"/>
        <w:numPr>
          <w:ilvl w:val="0"/>
          <w:numId w:val="13"/>
        </w:numPr>
        <w:ind w:left="426"/>
        <w:jc w:val="both"/>
        <w:rPr>
          <w:rFonts w:ascii="Avenir Next" w:hAnsi="Avenir Next" w:cs="Arial"/>
          <w:sz w:val="22"/>
          <w:szCs w:val="22"/>
          <w:highlight w:val="yellow"/>
          <w:lang w:val="en-GB"/>
        </w:rPr>
      </w:pPr>
      <w:r w:rsidRPr="00A01922">
        <w:rPr>
          <w:rFonts w:ascii="Avenir Next" w:hAnsi="Avenir Next" w:cs="Arial"/>
          <w:sz w:val="22"/>
          <w:szCs w:val="22"/>
          <w:highlight w:val="yellow"/>
          <w:lang w:val="en-GB"/>
        </w:rPr>
        <w:t>C</w:t>
      </w:r>
      <w:r w:rsidR="0089536F" w:rsidRPr="00A01922">
        <w:rPr>
          <w:rFonts w:ascii="Avenir Next" w:hAnsi="Avenir Next" w:cs="Arial"/>
          <w:sz w:val="22"/>
          <w:szCs w:val="22"/>
          <w:highlight w:val="yellow"/>
          <w:lang w:val="en-GB"/>
        </w:rPr>
        <w:t>reditors’ scheme of arrangement</w:t>
      </w:r>
      <w:r w:rsidR="00265D2D" w:rsidRPr="00A01922">
        <w:rPr>
          <w:rFonts w:ascii="Avenir Next" w:hAnsi="Avenir Next" w:cs="Arial"/>
          <w:sz w:val="22"/>
          <w:szCs w:val="22"/>
          <w:highlight w:val="yellow"/>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lastRenderedPageBreak/>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2F71CF" w:rsidRDefault="009B01E9" w:rsidP="00265D2D">
      <w:pPr>
        <w:pStyle w:val="ListParagraph"/>
        <w:numPr>
          <w:ilvl w:val="0"/>
          <w:numId w:val="14"/>
        </w:numPr>
        <w:ind w:left="426"/>
        <w:rPr>
          <w:rFonts w:ascii="Avenir Next" w:hAnsi="Avenir Next" w:cs="Arial"/>
          <w:sz w:val="22"/>
          <w:szCs w:val="22"/>
          <w:highlight w:val="yellow"/>
          <w:lang w:val="en-GB"/>
        </w:rPr>
      </w:pPr>
      <w:r w:rsidRPr="002F71CF">
        <w:rPr>
          <w:rFonts w:ascii="Avenir Next" w:hAnsi="Avenir Next" w:cs="Arial"/>
          <w:sz w:val="22"/>
          <w:szCs w:val="22"/>
          <w:highlight w:val="yellow"/>
          <w:lang w:val="en-GB"/>
        </w:rPr>
        <w:t>A</w:t>
      </w:r>
      <w:r w:rsidR="00AE20EB" w:rsidRPr="002F71CF">
        <w:rPr>
          <w:rFonts w:ascii="Avenir Next" w:hAnsi="Avenir Next" w:cs="Arial"/>
          <w:sz w:val="22"/>
          <w:szCs w:val="22"/>
          <w:highlight w:val="yellow"/>
          <w:lang w:val="en-GB"/>
        </w:rPr>
        <w:t xml:space="preserve"> debt agreement under Part IX</w:t>
      </w:r>
      <w:r w:rsidR="00E131DE" w:rsidRPr="002F71CF">
        <w:rPr>
          <w:rFonts w:ascii="Avenir Next" w:hAnsi="Avenir Next" w:cs="Arial"/>
          <w:sz w:val="22"/>
          <w:szCs w:val="22"/>
          <w:highlight w:val="yellow"/>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E131DE" w:rsidRPr="00B2234F">
        <w:rPr>
          <w:rFonts w:ascii="Avenir Next" w:hAnsi="Avenir Next" w:cs="Arial"/>
          <w:sz w:val="22"/>
          <w:szCs w:val="22"/>
          <w:lang w:val="en-GB"/>
        </w:rPr>
        <w:t xml:space="preserve"> small company restructuring</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366A074" w14:textId="4B27B089" w:rsidR="008465BE" w:rsidRPr="002029D1" w:rsidRDefault="008465BE" w:rsidP="002029D1">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37EA55B7" w14:textId="77777777" w:rsidR="008465BE" w:rsidRPr="00B2234F" w:rsidRDefault="008465BE" w:rsidP="00265D2D">
      <w:pPr>
        <w:ind w:left="426"/>
        <w:rPr>
          <w:rFonts w:ascii="Avenir Next" w:hAnsi="Avenir Next" w:cs="Arial"/>
          <w:sz w:val="22"/>
          <w:szCs w:val="22"/>
          <w:lang w:val="en-GB"/>
        </w:rPr>
      </w:pPr>
    </w:p>
    <w:p w14:paraId="29ECBEE4" w14:textId="6C745ADA"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T</w:t>
      </w:r>
      <w:r w:rsidR="00FB4C6B" w:rsidRPr="00B2234F">
        <w:rPr>
          <w:rFonts w:ascii="Avenir Next" w:hAnsi="Avenir Next" w:cs="Arial"/>
          <w:sz w:val="22"/>
          <w:szCs w:val="22"/>
          <w:lang w:val="en-GB"/>
        </w:rPr>
        <w:t>he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2029D1" w:rsidRDefault="008465BE" w:rsidP="00265D2D">
      <w:pPr>
        <w:pStyle w:val="ListParagraph"/>
        <w:numPr>
          <w:ilvl w:val="0"/>
          <w:numId w:val="15"/>
        </w:numPr>
        <w:autoSpaceDE w:val="0"/>
        <w:autoSpaceDN w:val="0"/>
        <w:adjustRightInd w:val="0"/>
        <w:ind w:left="426"/>
        <w:jc w:val="both"/>
        <w:rPr>
          <w:rFonts w:ascii="Avenir Next" w:hAnsi="Avenir Next" w:cs="Arial"/>
          <w:sz w:val="22"/>
          <w:szCs w:val="22"/>
          <w:highlight w:val="yellow"/>
        </w:rPr>
      </w:pPr>
      <w:r w:rsidRPr="002029D1">
        <w:rPr>
          <w:rFonts w:ascii="Avenir Next" w:hAnsi="Avenir Next" w:cs="Arial"/>
          <w:sz w:val="22"/>
          <w:szCs w:val="22"/>
          <w:highlight w:val="yellow"/>
          <w:lang w:val="en-GB"/>
        </w:rPr>
        <w:t>S</w:t>
      </w:r>
      <w:r w:rsidR="00AD12C7" w:rsidRPr="002029D1">
        <w:rPr>
          <w:rFonts w:ascii="Avenir Next" w:hAnsi="Avenir Next" w:cs="Arial"/>
          <w:sz w:val="22"/>
          <w:szCs w:val="22"/>
          <w:highlight w:val="yellow"/>
          <w:lang w:val="en-GB"/>
        </w:rPr>
        <w:t>uperannuation funds</w:t>
      </w:r>
      <w:r w:rsidR="007B3A5E" w:rsidRPr="002029D1">
        <w:rPr>
          <w:rFonts w:ascii="Avenir Next" w:hAnsi="Avenir Next" w:cs="Arial"/>
          <w:sz w:val="22"/>
          <w:szCs w:val="22"/>
          <w:highlight w:val="yellow"/>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2029D1" w:rsidRDefault="008465BE" w:rsidP="00265D2D">
      <w:pPr>
        <w:pStyle w:val="ListParagraph"/>
        <w:numPr>
          <w:ilvl w:val="0"/>
          <w:numId w:val="16"/>
        </w:numPr>
        <w:ind w:left="426"/>
        <w:jc w:val="both"/>
        <w:rPr>
          <w:rFonts w:ascii="Avenir Next" w:hAnsi="Avenir Next" w:cs="Arial"/>
          <w:sz w:val="22"/>
          <w:szCs w:val="22"/>
          <w:highlight w:val="yellow"/>
          <w:lang w:val="en-GB"/>
        </w:rPr>
      </w:pPr>
      <w:r w:rsidRPr="002029D1">
        <w:rPr>
          <w:rFonts w:ascii="Avenir Next" w:hAnsi="Avenir Next" w:cs="Arial"/>
          <w:sz w:val="22"/>
          <w:szCs w:val="22"/>
          <w:highlight w:val="yellow"/>
          <w:lang w:val="en-GB"/>
        </w:rPr>
        <w:t>P</w:t>
      </w:r>
      <w:r w:rsidR="00BF0AFE" w:rsidRPr="002029D1">
        <w:rPr>
          <w:rFonts w:ascii="Avenir Next" w:hAnsi="Avenir Next" w:cs="Arial"/>
          <w:sz w:val="22"/>
          <w:szCs w:val="22"/>
          <w:highlight w:val="yellow"/>
          <w:lang w:val="en-GB"/>
        </w:rPr>
        <w:t xml:space="preserve">enalties or fines imposed by a court in respect of an offence against a </w:t>
      </w:r>
      <w:proofErr w:type="gramStart"/>
      <w:r w:rsidR="00BF0AFE" w:rsidRPr="002029D1">
        <w:rPr>
          <w:rFonts w:ascii="Avenir Next" w:hAnsi="Avenir Next" w:cs="Arial"/>
          <w:sz w:val="22"/>
          <w:szCs w:val="22"/>
          <w:highlight w:val="yellow"/>
          <w:lang w:val="en-GB"/>
        </w:rPr>
        <w:t>law</w:t>
      </w:r>
      <w:proofErr w:type="gramEnd"/>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B2234F" w:rsidRDefault="008465BE" w:rsidP="00BF0AFE">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 xml:space="preserve">laims for damages for personal </w:t>
      </w:r>
      <w:proofErr w:type="gramStart"/>
      <w:r w:rsidR="00BF0AFE" w:rsidRPr="00B2234F">
        <w:rPr>
          <w:rFonts w:ascii="Avenir Next" w:hAnsi="Avenir Next" w:cs="Arial"/>
          <w:sz w:val="22"/>
          <w:szCs w:val="22"/>
          <w:lang w:val="en-GB"/>
        </w:rPr>
        <w:t>injury</w:t>
      </w:r>
      <w:proofErr w:type="gramEnd"/>
    </w:p>
    <w:p w14:paraId="74E62161" w14:textId="3B9B7129" w:rsidR="00265D2D" w:rsidRPr="00B2234F" w:rsidRDefault="00265D2D" w:rsidP="00C55824">
      <w:pPr>
        <w:jc w:val="both"/>
        <w:rPr>
          <w:rFonts w:ascii="Avenir Next" w:hAnsi="Avenir Next" w:cs="Arial"/>
          <w:sz w:val="22"/>
          <w:szCs w:val="22"/>
        </w:rPr>
      </w:pPr>
    </w:p>
    <w:p w14:paraId="03A39085" w14:textId="77777777" w:rsidR="002029D1" w:rsidRDefault="002029D1" w:rsidP="00C55824">
      <w:pPr>
        <w:jc w:val="both"/>
        <w:rPr>
          <w:rFonts w:ascii="Avenir Next Demi Bold" w:hAnsi="Avenir Next Demi Bold" w:cs="Arial"/>
          <w:b/>
          <w:bCs/>
          <w:sz w:val="22"/>
          <w:szCs w:val="22"/>
        </w:rPr>
      </w:pPr>
    </w:p>
    <w:p w14:paraId="5F06B867" w14:textId="23335729"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lastRenderedPageBreak/>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a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906D8C" w:rsidRDefault="0089536F" w:rsidP="00265D2D">
      <w:pPr>
        <w:pStyle w:val="ListParagraph"/>
        <w:numPr>
          <w:ilvl w:val="0"/>
          <w:numId w:val="17"/>
        </w:numPr>
        <w:ind w:left="426"/>
        <w:rPr>
          <w:rFonts w:ascii="Avenir Next" w:hAnsi="Avenir Next" w:cs="Arial"/>
          <w:sz w:val="22"/>
          <w:szCs w:val="22"/>
          <w:highlight w:val="yellow"/>
          <w:lang w:val="en-GB"/>
        </w:rPr>
      </w:pPr>
      <w:r w:rsidRPr="00906D8C">
        <w:rPr>
          <w:rFonts w:ascii="Avenir Next" w:hAnsi="Avenir Next" w:cs="Arial"/>
          <w:sz w:val="22"/>
          <w:szCs w:val="22"/>
          <w:highlight w:val="yellow"/>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984649" w:rsidRDefault="00AD12C7" w:rsidP="00265D2D">
      <w:pPr>
        <w:pStyle w:val="ListParagraph"/>
        <w:numPr>
          <w:ilvl w:val="0"/>
          <w:numId w:val="19"/>
        </w:numPr>
        <w:ind w:left="426"/>
        <w:jc w:val="both"/>
        <w:rPr>
          <w:rFonts w:ascii="Avenir Next" w:hAnsi="Avenir Next" w:cs="Arial"/>
          <w:sz w:val="22"/>
          <w:szCs w:val="22"/>
          <w:highlight w:val="yellow"/>
          <w:lang w:val="en-GB"/>
        </w:rPr>
      </w:pPr>
      <w:r w:rsidRPr="00984649">
        <w:rPr>
          <w:rFonts w:ascii="Avenir Next" w:hAnsi="Avenir Next" w:cs="Arial"/>
          <w:sz w:val="22"/>
          <w:szCs w:val="22"/>
          <w:highlight w:val="yellow"/>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0EB83B28" w14:textId="727CE0E2" w:rsidR="008465BE" w:rsidRPr="00906D8C" w:rsidRDefault="00AD12C7" w:rsidP="00906D8C">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 and not of the secured creditor that appointed the receiver.</w:t>
      </w:r>
    </w:p>
    <w:p w14:paraId="4FAF8D6E" w14:textId="77777777" w:rsidR="008465BE" w:rsidRPr="00B2234F" w:rsidRDefault="008465BE" w:rsidP="00265D2D">
      <w:pPr>
        <w:ind w:left="66"/>
        <w:jc w:val="both"/>
        <w:rPr>
          <w:rFonts w:ascii="Avenir Next" w:hAnsi="Avenir Next" w:cs="Arial"/>
          <w:sz w:val="22"/>
          <w:szCs w:val="22"/>
          <w:lang w:val="en-GB"/>
        </w:rPr>
      </w:pPr>
    </w:p>
    <w:p w14:paraId="556D0871" w14:textId="7905C91D" w:rsidR="00023705"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w:t>
      </w:r>
      <w:r w:rsidR="00796B95" w:rsidRPr="00B2234F">
        <w:rPr>
          <w:rFonts w:ascii="Avenir Next" w:hAnsi="Avenir Next" w:cs="Arial"/>
          <w:sz w:val="22"/>
          <w:szCs w:val="22"/>
          <w:lang w:val="en-GB"/>
        </w:rPr>
        <w:t>,</w:t>
      </w:r>
      <w:r w:rsidRPr="00B2234F">
        <w:rPr>
          <w:rFonts w:ascii="Avenir Next" w:hAnsi="Avenir Next" w:cs="Arial"/>
          <w:sz w:val="22"/>
          <w:szCs w:val="22"/>
          <w:lang w:val="en-GB"/>
        </w:rPr>
        <w:t xml:space="preserve"> until the appointment of a liquidator to </w:t>
      </w:r>
      <w:r w:rsidR="00023705" w:rsidRPr="00B2234F">
        <w:rPr>
          <w:rFonts w:ascii="Avenir Next" w:hAnsi="Avenir Next" w:cs="Arial"/>
          <w:sz w:val="22"/>
          <w:szCs w:val="22"/>
          <w:lang w:val="en-GB"/>
        </w:rPr>
        <w:t xml:space="preserve">the </w:t>
      </w:r>
      <w:r w:rsidRPr="00B2234F">
        <w:rPr>
          <w:rFonts w:ascii="Avenir Next" w:hAnsi="Avenir Next" w:cs="Arial"/>
          <w:sz w:val="22"/>
          <w:szCs w:val="22"/>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8A1A7E" w:rsidRDefault="00E131DE" w:rsidP="00265D2D">
      <w:pPr>
        <w:pStyle w:val="ListParagraph"/>
        <w:numPr>
          <w:ilvl w:val="0"/>
          <w:numId w:val="20"/>
        </w:numPr>
        <w:ind w:left="426"/>
        <w:jc w:val="both"/>
        <w:rPr>
          <w:rFonts w:ascii="Avenir Next" w:hAnsi="Avenir Next" w:cs="Arial"/>
          <w:sz w:val="22"/>
          <w:szCs w:val="22"/>
          <w:highlight w:val="yellow"/>
          <w:lang w:val="en-GB"/>
        </w:rPr>
      </w:pPr>
      <w:r w:rsidRPr="008A1A7E">
        <w:rPr>
          <w:rFonts w:ascii="Avenir Next" w:hAnsi="Avenir Next" w:cs="Arial"/>
          <w:sz w:val="22"/>
          <w:szCs w:val="22"/>
          <w:highlight w:val="yellow"/>
          <w:lang w:val="en-GB"/>
        </w:rPr>
        <w:t>t</w:t>
      </w:r>
      <w:r w:rsidR="002476AF" w:rsidRPr="008A1A7E">
        <w:rPr>
          <w:rFonts w:ascii="Avenir Next" w:hAnsi="Avenir Next" w:cs="Arial"/>
          <w:sz w:val="22"/>
          <w:szCs w:val="22"/>
          <w:highlight w:val="yellow"/>
          <w:lang w:val="en-GB"/>
        </w:rPr>
        <w:t xml:space="preserve">he part dealing with receivers, and other controllers, of property of </w:t>
      </w:r>
      <w:r w:rsidR="00416D2B" w:rsidRPr="008A1A7E">
        <w:rPr>
          <w:rFonts w:ascii="Avenir Next" w:hAnsi="Avenir Next" w:cs="Arial"/>
          <w:sz w:val="22"/>
          <w:szCs w:val="22"/>
          <w:highlight w:val="yellow"/>
          <w:lang w:val="en-GB"/>
        </w:rPr>
        <w:t xml:space="preserve">the </w:t>
      </w:r>
      <w:r w:rsidR="002476AF" w:rsidRPr="008A1A7E">
        <w:rPr>
          <w:rFonts w:ascii="Avenir Next" w:hAnsi="Avenir Next" w:cs="Arial"/>
          <w:sz w:val="22"/>
          <w:szCs w:val="22"/>
          <w:highlight w:val="yellow"/>
          <w:lang w:val="en-GB"/>
        </w:rPr>
        <w:t>corporation</w:t>
      </w:r>
      <w:r w:rsidR="00416D2B" w:rsidRPr="008A1A7E">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2FAC72F7" w14:textId="77777777" w:rsidR="008A1A7E" w:rsidRDefault="008A1A7E" w:rsidP="0020090A">
      <w:pPr>
        <w:keepNext/>
        <w:jc w:val="both"/>
        <w:rPr>
          <w:rFonts w:ascii="Avenir Next Demi Bold" w:hAnsi="Avenir Next Demi Bold" w:cs="Arial"/>
          <w:b/>
          <w:bCs/>
          <w:sz w:val="22"/>
          <w:szCs w:val="22"/>
        </w:rPr>
      </w:pPr>
    </w:p>
    <w:p w14:paraId="1F7999C1" w14:textId="0B50A3E6"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C87721" w:rsidRDefault="008465BE" w:rsidP="00265D2D">
      <w:pPr>
        <w:pStyle w:val="ListParagraph"/>
        <w:numPr>
          <w:ilvl w:val="0"/>
          <w:numId w:val="21"/>
        </w:numPr>
        <w:ind w:left="426"/>
        <w:jc w:val="both"/>
        <w:rPr>
          <w:rFonts w:ascii="Avenir Next" w:hAnsi="Avenir Next" w:cs="Arial"/>
          <w:sz w:val="22"/>
          <w:szCs w:val="22"/>
          <w:highlight w:val="yellow"/>
          <w:lang w:val="en-GB"/>
        </w:rPr>
      </w:pPr>
      <w:r w:rsidRPr="00C87721">
        <w:rPr>
          <w:rFonts w:ascii="Avenir Next" w:hAnsi="Avenir Next" w:cs="Arial"/>
          <w:sz w:val="22"/>
          <w:szCs w:val="22"/>
          <w:highlight w:val="yellow"/>
          <w:lang w:val="en-GB"/>
        </w:rPr>
        <w:t>S</w:t>
      </w:r>
      <w:r w:rsidR="002476AF" w:rsidRPr="00C87721">
        <w:rPr>
          <w:rFonts w:ascii="Avenir Next" w:hAnsi="Avenir Next" w:cs="Arial"/>
          <w:sz w:val="22"/>
          <w:szCs w:val="22"/>
          <w:highlight w:val="yellow"/>
          <w:lang w:val="en-GB"/>
        </w:rPr>
        <w:t xml:space="preserve">implified </w:t>
      </w:r>
      <w:r w:rsidR="008235B7" w:rsidRPr="00C87721">
        <w:rPr>
          <w:rFonts w:ascii="Avenir Next" w:hAnsi="Avenir Next" w:cs="Arial"/>
          <w:sz w:val="22"/>
          <w:szCs w:val="22"/>
          <w:highlight w:val="yellow"/>
          <w:lang w:val="en-GB"/>
        </w:rPr>
        <w:t>restructuring and liquidation regimes for small companies</w:t>
      </w:r>
      <w:r w:rsidR="002476AF" w:rsidRPr="00C87721">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57655F10"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 xml:space="preserve">reversed by a liquidator on application to the </w:t>
      </w:r>
      <w:proofErr w:type="gramStart"/>
      <w:r w:rsidR="00796B95" w:rsidRPr="00B2234F">
        <w:rPr>
          <w:rFonts w:ascii="Avenir Next" w:hAnsi="Avenir Next" w:cs="Arial"/>
          <w:sz w:val="22"/>
          <w:szCs w:val="22"/>
          <w:lang w:val="en-GB"/>
        </w:rPr>
        <w:t>court,</w:t>
      </w:r>
      <w:r w:rsidR="00823B29" w:rsidRPr="00B2234F">
        <w:rPr>
          <w:rFonts w:ascii="Avenir Next" w:hAnsi="Avenir Next" w:cs="Arial"/>
          <w:sz w:val="22"/>
          <w:szCs w:val="22"/>
          <w:lang w:val="en-GB"/>
        </w:rPr>
        <w:t xml:space="preserve"> and</w:t>
      </w:r>
      <w:proofErr w:type="gramEnd"/>
      <w:r w:rsidR="00823B29" w:rsidRPr="00B2234F">
        <w:rPr>
          <w:rFonts w:ascii="Avenir Next" w:hAnsi="Avenir Next" w:cs="Arial"/>
          <w:sz w:val="22"/>
          <w:szCs w:val="22"/>
          <w:lang w:val="en-GB"/>
        </w:rPr>
        <w:t xml:space="preserve">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not aware that the company was insolvent at the time they entered into the transactions.</w:t>
      </w:r>
    </w:p>
    <w:p w14:paraId="7B005E35" w14:textId="77777777" w:rsidR="00B04780" w:rsidRDefault="00B04780" w:rsidP="002476AF">
      <w:pPr>
        <w:jc w:val="both"/>
        <w:rPr>
          <w:rFonts w:ascii="Avenir Next" w:hAnsi="Avenir Next" w:cs="Arial"/>
          <w:color w:val="808080" w:themeColor="background1" w:themeShade="80"/>
          <w:sz w:val="22"/>
          <w:szCs w:val="22"/>
          <w:lang w:val="en-GB"/>
        </w:rPr>
      </w:pPr>
    </w:p>
    <w:p w14:paraId="2E1FE26D" w14:textId="2E65280F" w:rsidR="00602648" w:rsidRPr="009D3A0C" w:rsidRDefault="00AE26F6" w:rsidP="002E3C65">
      <w:pPr>
        <w:jc w:val="both"/>
        <w:rPr>
          <w:rFonts w:ascii="Arial" w:hAnsi="Arial" w:cs="Arial"/>
          <w:sz w:val="22"/>
          <w:szCs w:val="22"/>
          <w:highlight w:val="yellow"/>
          <w:shd w:val="clear" w:color="auto" w:fill="FFFFFF"/>
        </w:rPr>
      </w:pPr>
      <w:r w:rsidRPr="009D3A0C">
        <w:rPr>
          <w:rFonts w:ascii="Arial" w:hAnsi="Arial" w:cs="Arial"/>
          <w:sz w:val="22"/>
          <w:szCs w:val="22"/>
          <w:highlight w:val="yellow"/>
          <w:shd w:val="clear" w:color="auto" w:fill="FFFFFF"/>
        </w:rPr>
        <w:t>Pursuant to Part 5.7 B of the Corporations Act, a liquidator can avoid transactions that have</w:t>
      </w:r>
      <w:r w:rsidR="00602648" w:rsidRPr="009D3A0C">
        <w:rPr>
          <w:rFonts w:ascii="Arial" w:hAnsi="Arial" w:cs="Arial"/>
          <w:sz w:val="22"/>
          <w:szCs w:val="22"/>
          <w:highlight w:val="yellow"/>
          <w:shd w:val="clear" w:color="auto" w:fill="FFFFFF"/>
        </w:rPr>
        <w:t xml:space="preserve"> taken place prior to the appointment of a Liquidator</w:t>
      </w:r>
      <w:r w:rsidRPr="009D3A0C">
        <w:rPr>
          <w:rFonts w:ascii="Arial" w:hAnsi="Arial" w:cs="Arial"/>
          <w:sz w:val="22"/>
          <w:szCs w:val="22"/>
          <w:highlight w:val="yellow"/>
          <w:shd w:val="clear" w:color="auto" w:fill="FFFFFF"/>
        </w:rPr>
        <w:t xml:space="preserve">. </w:t>
      </w:r>
      <w:r w:rsidR="00602648" w:rsidRPr="009D3A0C">
        <w:rPr>
          <w:rFonts w:ascii="Arial" w:hAnsi="Arial" w:cs="Arial"/>
          <w:sz w:val="22"/>
          <w:szCs w:val="22"/>
          <w:highlight w:val="yellow"/>
          <w:shd w:val="clear" w:color="auto" w:fill="FFFFFF"/>
        </w:rPr>
        <w:t xml:space="preserve"> </w:t>
      </w:r>
    </w:p>
    <w:p w14:paraId="23B7775C" w14:textId="77777777" w:rsidR="00602648" w:rsidRPr="009D3A0C" w:rsidRDefault="00602648" w:rsidP="002E3C65">
      <w:pPr>
        <w:jc w:val="both"/>
        <w:rPr>
          <w:rFonts w:ascii="Arial" w:hAnsi="Arial" w:cs="Arial"/>
          <w:sz w:val="22"/>
          <w:szCs w:val="22"/>
          <w:highlight w:val="yellow"/>
          <w:lang w:val="en-GB"/>
        </w:rPr>
      </w:pPr>
    </w:p>
    <w:p w14:paraId="2C0082FE" w14:textId="53FFCC03" w:rsidR="00602648" w:rsidRPr="009D3A0C" w:rsidRDefault="00602648" w:rsidP="002E3C65">
      <w:pPr>
        <w:jc w:val="both"/>
        <w:rPr>
          <w:rFonts w:ascii="Arial" w:hAnsi="Arial" w:cs="Arial"/>
          <w:sz w:val="22"/>
          <w:szCs w:val="22"/>
          <w:highlight w:val="yellow"/>
          <w:lang w:val="en-GB"/>
        </w:rPr>
      </w:pPr>
      <w:r w:rsidRPr="009D3A0C">
        <w:rPr>
          <w:rFonts w:ascii="Arial" w:hAnsi="Arial" w:cs="Arial"/>
          <w:sz w:val="22"/>
          <w:szCs w:val="22"/>
          <w:highlight w:val="yellow"/>
          <w:lang w:val="en-GB"/>
        </w:rPr>
        <w:t xml:space="preserve">The five types of voidable transactions that can be reversed by a liquidator in Australia are: </w:t>
      </w:r>
    </w:p>
    <w:p w14:paraId="66F58A71" w14:textId="6502FECC" w:rsidR="00AE26F6" w:rsidRPr="009D3A0C" w:rsidRDefault="00AE26F6" w:rsidP="002E3C65">
      <w:pPr>
        <w:pStyle w:val="subsection"/>
        <w:numPr>
          <w:ilvl w:val="0"/>
          <w:numId w:val="29"/>
        </w:numPr>
        <w:shd w:val="clear" w:color="auto" w:fill="FFFFFF"/>
        <w:spacing w:before="180" w:beforeAutospacing="0" w:after="0" w:afterAutospacing="0"/>
        <w:jc w:val="both"/>
        <w:rPr>
          <w:rFonts w:ascii="Arial" w:hAnsi="Arial" w:cs="Arial"/>
          <w:sz w:val="22"/>
          <w:szCs w:val="22"/>
          <w:highlight w:val="yellow"/>
          <w:lang w:val="en-GB"/>
        </w:rPr>
      </w:pPr>
      <w:r w:rsidRPr="009D3A0C">
        <w:rPr>
          <w:rFonts w:ascii="Arial" w:hAnsi="Arial" w:cs="Arial"/>
          <w:b/>
          <w:bCs/>
          <w:sz w:val="22"/>
          <w:szCs w:val="22"/>
          <w:highlight w:val="yellow"/>
          <w:lang w:val="en-GB"/>
        </w:rPr>
        <w:t>Unfair preferences-</w:t>
      </w:r>
      <w:r w:rsidR="00B36F0A" w:rsidRPr="009D3A0C">
        <w:rPr>
          <w:rFonts w:ascii="Arial" w:hAnsi="Arial" w:cs="Arial"/>
          <w:sz w:val="22"/>
          <w:szCs w:val="22"/>
          <w:highlight w:val="yellow"/>
          <w:lang w:val="en-GB"/>
        </w:rPr>
        <w:t xml:space="preserve"> Pursuant to section </w:t>
      </w:r>
      <w:bookmarkStart w:id="0" w:name="_Toc140575834"/>
      <w:r w:rsidRPr="009D3A0C">
        <w:rPr>
          <w:rStyle w:val="charsectno"/>
          <w:rFonts w:ascii="Arial" w:hAnsi="Arial" w:cs="Arial"/>
          <w:sz w:val="22"/>
          <w:szCs w:val="22"/>
          <w:highlight w:val="yellow"/>
          <w:shd w:val="clear" w:color="auto" w:fill="FFFFFF"/>
          <w:lang w:val="en-AU"/>
        </w:rPr>
        <w:t>588FA</w:t>
      </w:r>
      <w:r w:rsidRPr="009D3A0C">
        <w:rPr>
          <w:rFonts w:ascii="Arial" w:hAnsi="Arial" w:cs="Arial"/>
          <w:sz w:val="22"/>
          <w:szCs w:val="22"/>
          <w:highlight w:val="yellow"/>
          <w:shd w:val="clear" w:color="auto" w:fill="FFFFFF"/>
          <w:lang w:val="en-AU"/>
        </w:rPr>
        <w:t xml:space="preserve">  </w:t>
      </w:r>
      <w:bookmarkEnd w:id="0"/>
      <w:r w:rsidR="00B36F0A" w:rsidRPr="009D3A0C">
        <w:rPr>
          <w:rFonts w:ascii="Arial" w:hAnsi="Arial" w:cs="Arial"/>
          <w:sz w:val="22"/>
          <w:szCs w:val="22"/>
          <w:highlight w:val="yellow"/>
          <w:shd w:val="clear" w:color="auto" w:fill="FFFFFF"/>
          <w:lang w:val="en-AU"/>
        </w:rPr>
        <w:t>of the Act</w:t>
      </w:r>
      <w:r w:rsidR="00B36F0A" w:rsidRPr="009D3A0C">
        <w:rPr>
          <w:rFonts w:ascii="Arial" w:hAnsi="Arial" w:cs="Arial"/>
          <w:b/>
          <w:bCs/>
          <w:sz w:val="22"/>
          <w:szCs w:val="22"/>
          <w:highlight w:val="yellow"/>
          <w:shd w:val="clear" w:color="auto" w:fill="FFFFFF"/>
          <w:lang w:val="en-AU"/>
        </w:rPr>
        <w:t>, a</w:t>
      </w:r>
      <w:r w:rsidRPr="009D3A0C">
        <w:rPr>
          <w:rFonts w:ascii="Arial" w:hAnsi="Arial" w:cs="Arial"/>
          <w:sz w:val="22"/>
          <w:szCs w:val="22"/>
          <w:highlight w:val="yellow"/>
          <w:lang w:val="en-AU"/>
        </w:rPr>
        <w:t xml:space="preserve"> transaction is an unfair preference given by a company to a creditor of the company if,  the transaction results in the creditor receiving from the company, in respect of an unsecured debt that the company owes to the creditor, more than the creditor would receive from the company in respect of the debt if the transaction were set aside and the creditor were to prove for the debt in a winding up of the company</w:t>
      </w:r>
      <w:r w:rsidR="00B36F0A" w:rsidRPr="009D3A0C">
        <w:rPr>
          <w:rFonts w:ascii="Arial" w:hAnsi="Arial" w:cs="Arial"/>
          <w:sz w:val="22"/>
          <w:szCs w:val="22"/>
          <w:highlight w:val="yellow"/>
          <w:lang w:val="en-AU"/>
        </w:rPr>
        <w:t>.</w:t>
      </w:r>
    </w:p>
    <w:p w14:paraId="07325DD2" w14:textId="040170CC" w:rsidR="00AE26F6" w:rsidRPr="009D3A0C" w:rsidRDefault="00B36F0A" w:rsidP="002E3C65">
      <w:pPr>
        <w:pStyle w:val="acthead5"/>
        <w:numPr>
          <w:ilvl w:val="0"/>
          <w:numId w:val="29"/>
        </w:numPr>
        <w:shd w:val="clear" w:color="auto" w:fill="FFFFFF"/>
        <w:spacing w:before="280" w:beforeAutospacing="0" w:after="0" w:afterAutospacing="0"/>
        <w:jc w:val="both"/>
        <w:rPr>
          <w:rFonts w:ascii="Arial" w:hAnsi="Arial" w:cs="Arial"/>
          <w:b/>
          <w:bCs/>
          <w:color w:val="000000"/>
          <w:sz w:val="22"/>
          <w:szCs w:val="22"/>
          <w:highlight w:val="yellow"/>
        </w:rPr>
      </w:pPr>
      <w:bookmarkStart w:id="1" w:name="_Toc140575835"/>
      <w:r w:rsidRPr="009D3A0C">
        <w:rPr>
          <w:rStyle w:val="charsectno"/>
          <w:rFonts w:ascii="Arial" w:hAnsi="Arial" w:cs="Arial"/>
          <w:b/>
          <w:bCs/>
          <w:sz w:val="22"/>
          <w:szCs w:val="22"/>
          <w:highlight w:val="yellow"/>
          <w:lang w:val="en-AU"/>
        </w:rPr>
        <w:t>Uncommercial transactions</w:t>
      </w:r>
      <w:bookmarkEnd w:id="1"/>
      <w:r w:rsidRPr="009D3A0C">
        <w:rPr>
          <w:rStyle w:val="charsectno"/>
          <w:rFonts w:ascii="Arial" w:hAnsi="Arial" w:cs="Arial"/>
          <w:b/>
          <w:bCs/>
          <w:sz w:val="22"/>
          <w:szCs w:val="22"/>
          <w:highlight w:val="yellow"/>
          <w:lang w:val="en-AU"/>
        </w:rPr>
        <w:t xml:space="preserve">-  </w:t>
      </w:r>
      <w:r w:rsidRPr="009D3A0C">
        <w:rPr>
          <w:rStyle w:val="charsectno"/>
          <w:rFonts w:ascii="Arial" w:hAnsi="Arial" w:cs="Arial"/>
          <w:sz w:val="22"/>
          <w:szCs w:val="22"/>
          <w:highlight w:val="yellow"/>
          <w:lang w:val="en-AU"/>
        </w:rPr>
        <w:t xml:space="preserve">Under section 588 FB a </w:t>
      </w:r>
      <w:r w:rsidR="00AE26F6" w:rsidRPr="009D3A0C">
        <w:rPr>
          <w:rFonts w:ascii="Arial" w:hAnsi="Arial" w:cs="Arial"/>
          <w:sz w:val="22"/>
          <w:szCs w:val="22"/>
          <w:highlight w:val="yellow"/>
          <w:lang w:val="en-AU"/>
        </w:rPr>
        <w:t xml:space="preserve">transaction </w:t>
      </w:r>
      <w:r w:rsidR="00AE26F6" w:rsidRPr="009D3A0C">
        <w:rPr>
          <w:rFonts w:ascii="Arial" w:hAnsi="Arial" w:cs="Arial"/>
          <w:color w:val="000000"/>
          <w:sz w:val="22"/>
          <w:szCs w:val="22"/>
          <w:highlight w:val="yellow"/>
          <w:lang w:val="en-AU"/>
        </w:rPr>
        <w:t>of a company is an uncommercial transaction of the company if, and only if, it may be expected that a reasonable person in the company’s circumstances would not have entered into the transaction, having regard to:(a)  the benefits (if any) to the company of entering into the transaction; and</w:t>
      </w:r>
      <w:r w:rsidRPr="009D3A0C">
        <w:rPr>
          <w:rFonts w:ascii="Arial" w:hAnsi="Arial" w:cs="Arial"/>
          <w:color w:val="000000"/>
          <w:sz w:val="22"/>
          <w:szCs w:val="22"/>
          <w:highlight w:val="yellow"/>
          <w:lang w:val="en-AU"/>
        </w:rPr>
        <w:t xml:space="preserve"> </w:t>
      </w:r>
      <w:r w:rsidR="00AE26F6" w:rsidRPr="009D3A0C">
        <w:rPr>
          <w:rFonts w:ascii="Arial" w:hAnsi="Arial" w:cs="Arial"/>
          <w:color w:val="000000"/>
          <w:sz w:val="22"/>
          <w:szCs w:val="22"/>
          <w:highlight w:val="yellow"/>
          <w:lang w:val="en-AU"/>
        </w:rPr>
        <w:t>(b)  the detriment to the company of entering into the transaction; and</w:t>
      </w:r>
      <w:r w:rsidRPr="009D3A0C">
        <w:rPr>
          <w:rFonts w:ascii="Arial" w:hAnsi="Arial" w:cs="Arial"/>
          <w:color w:val="000000"/>
          <w:sz w:val="22"/>
          <w:szCs w:val="22"/>
          <w:highlight w:val="yellow"/>
          <w:lang w:val="en-AU"/>
        </w:rPr>
        <w:t xml:space="preserve"> </w:t>
      </w:r>
      <w:r w:rsidR="00AE26F6" w:rsidRPr="009D3A0C">
        <w:rPr>
          <w:rFonts w:ascii="Arial" w:hAnsi="Arial" w:cs="Arial"/>
          <w:color w:val="000000"/>
          <w:sz w:val="22"/>
          <w:szCs w:val="22"/>
          <w:highlight w:val="yellow"/>
          <w:lang w:val="en-AU"/>
        </w:rPr>
        <w:t xml:space="preserve">(c)  the respective benefits to other parties to the transaction of entering into it; </w:t>
      </w:r>
      <w:r w:rsidRPr="009D3A0C">
        <w:rPr>
          <w:rFonts w:ascii="Arial" w:hAnsi="Arial" w:cs="Arial"/>
          <w:color w:val="000000"/>
          <w:sz w:val="22"/>
          <w:szCs w:val="22"/>
          <w:highlight w:val="yellow"/>
          <w:lang w:val="en-AU"/>
        </w:rPr>
        <w:t xml:space="preserve">and </w:t>
      </w:r>
      <w:r w:rsidR="00AE26F6" w:rsidRPr="009D3A0C">
        <w:rPr>
          <w:rFonts w:ascii="Arial" w:hAnsi="Arial" w:cs="Arial"/>
          <w:color w:val="000000"/>
          <w:sz w:val="22"/>
          <w:szCs w:val="22"/>
          <w:highlight w:val="yellow"/>
          <w:lang w:val="en-AU"/>
        </w:rPr>
        <w:t>(d)  any other relevant matter.</w:t>
      </w:r>
    </w:p>
    <w:p w14:paraId="5D7C8CB0" w14:textId="4509E918" w:rsidR="00B36F0A" w:rsidRPr="009D3A0C" w:rsidRDefault="00AF64EE" w:rsidP="002E3C65">
      <w:pPr>
        <w:pStyle w:val="acthead5"/>
        <w:numPr>
          <w:ilvl w:val="0"/>
          <w:numId w:val="29"/>
        </w:numPr>
        <w:shd w:val="clear" w:color="auto" w:fill="FFFFFF"/>
        <w:spacing w:before="280" w:beforeAutospacing="0" w:after="0" w:afterAutospacing="0"/>
        <w:jc w:val="both"/>
        <w:rPr>
          <w:rFonts w:ascii="Arial" w:hAnsi="Arial" w:cs="Arial"/>
          <w:b/>
          <w:bCs/>
          <w:color w:val="000000"/>
          <w:sz w:val="22"/>
          <w:szCs w:val="22"/>
          <w:highlight w:val="yellow"/>
        </w:rPr>
      </w:pPr>
      <w:r w:rsidRPr="009D3A0C">
        <w:rPr>
          <w:rStyle w:val="charsectno"/>
          <w:rFonts w:ascii="Arial" w:hAnsi="Arial" w:cs="Arial"/>
          <w:b/>
          <w:bCs/>
          <w:color w:val="000000"/>
          <w:sz w:val="22"/>
          <w:szCs w:val="22"/>
          <w:highlight w:val="yellow"/>
          <w:lang w:val="en-AU"/>
        </w:rPr>
        <w:t xml:space="preserve">Unfair loans to a company- </w:t>
      </w:r>
      <w:r w:rsidRPr="00457159">
        <w:rPr>
          <w:rStyle w:val="charsectno"/>
          <w:rFonts w:ascii="Arial" w:hAnsi="Arial" w:cs="Arial"/>
          <w:color w:val="000000"/>
          <w:sz w:val="22"/>
          <w:szCs w:val="22"/>
          <w:highlight w:val="yellow"/>
          <w:lang w:val="en-AU"/>
        </w:rPr>
        <w:t>Section 588 FD</w:t>
      </w:r>
      <w:r w:rsidRPr="009D3A0C">
        <w:rPr>
          <w:rStyle w:val="charsectno"/>
          <w:rFonts w:ascii="Arial" w:hAnsi="Arial" w:cs="Arial"/>
          <w:b/>
          <w:bCs/>
          <w:color w:val="000000"/>
          <w:sz w:val="22"/>
          <w:szCs w:val="22"/>
          <w:highlight w:val="yellow"/>
          <w:lang w:val="en-AU"/>
        </w:rPr>
        <w:t xml:space="preserve"> </w:t>
      </w:r>
      <w:r w:rsidRPr="009D3A0C">
        <w:rPr>
          <w:rStyle w:val="charsectno"/>
          <w:rFonts w:ascii="Arial" w:hAnsi="Arial" w:cs="Arial"/>
          <w:color w:val="000000"/>
          <w:sz w:val="22"/>
          <w:szCs w:val="22"/>
          <w:highlight w:val="yellow"/>
          <w:lang w:val="en-AU"/>
        </w:rPr>
        <w:t>provides that a</w:t>
      </w:r>
      <w:r w:rsidR="00B36F0A" w:rsidRPr="009D3A0C">
        <w:rPr>
          <w:rFonts w:ascii="Arial" w:hAnsi="Arial" w:cs="Arial"/>
          <w:color w:val="000000"/>
          <w:sz w:val="22"/>
          <w:szCs w:val="22"/>
          <w:highlight w:val="yellow"/>
          <w:lang w:val="en-AU"/>
        </w:rPr>
        <w:t xml:space="preserve"> loan to a company is unfair if, and only if</w:t>
      </w:r>
      <w:r w:rsidR="00A42553" w:rsidRPr="009D3A0C">
        <w:rPr>
          <w:rFonts w:ascii="Arial" w:hAnsi="Arial" w:cs="Arial"/>
          <w:color w:val="000000"/>
          <w:sz w:val="22"/>
          <w:szCs w:val="22"/>
          <w:highlight w:val="yellow"/>
          <w:lang w:val="en-AU"/>
        </w:rPr>
        <w:t xml:space="preserve"> (</w:t>
      </w:r>
      <w:r w:rsidR="00B36F0A" w:rsidRPr="009D3A0C">
        <w:rPr>
          <w:rFonts w:ascii="Arial" w:hAnsi="Arial" w:cs="Arial"/>
          <w:color w:val="000000"/>
          <w:sz w:val="22"/>
          <w:szCs w:val="22"/>
          <w:highlight w:val="yellow"/>
          <w:lang w:val="en-AU"/>
        </w:rPr>
        <w:t>a)  the interest on the loan was extortionate when the loan was made, or has since become extortionate because of a variation; or</w:t>
      </w:r>
      <w:r w:rsidRPr="009D3A0C">
        <w:rPr>
          <w:rFonts w:ascii="Arial" w:hAnsi="Arial" w:cs="Arial"/>
          <w:color w:val="000000"/>
          <w:sz w:val="22"/>
          <w:szCs w:val="22"/>
          <w:highlight w:val="yellow"/>
          <w:lang w:val="en-AU"/>
        </w:rPr>
        <w:t xml:space="preserve"> </w:t>
      </w:r>
      <w:r w:rsidR="00B36F0A" w:rsidRPr="009D3A0C">
        <w:rPr>
          <w:rFonts w:ascii="Arial" w:hAnsi="Arial" w:cs="Arial"/>
          <w:color w:val="000000"/>
          <w:sz w:val="22"/>
          <w:szCs w:val="22"/>
          <w:highlight w:val="yellow"/>
          <w:lang w:val="en-AU"/>
        </w:rPr>
        <w:t>(b)  the charges in relation to the loan were extortionate when the loan was made, or have since become extortionate because of a variation;</w:t>
      </w:r>
      <w:r w:rsidRPr="009D3A0C">
        <w:rPr>
          <w:rFonts w:ascii="Arial" w:hAnsi="Arial" w:cs="Arial"/>
          <w:color w:val="000000"/>
          <w:sz w:val="22"/>
          <w:szCs w:val="22"/>
          <w:highlight w:val="yellow"/>
          <w:lang w:val="en-AU"/>
        </w:rPr>
        <w:t xml:space="preserve"> </w:t>
      </w:r>
      <w:r w:rsidR="00B36F0A" w:rsidRPr="009D3A0C">
        <w:rPr>
          <w:rFonts w:ascii="Arial" w:hAnsi="Arial" w:cs="Arial"/>
          <w:color w:val="000000"/>
          <w:sz w:val="22"/>
          <w:szCs w:val="22"/>
          <w:highlight w:val="yellow"/>
          <w:lang w:val="en-AU"/>
        </w:rPr>
        <w:t>even if the interest is, or the charges are, no longer extortionate.</w:t>
      </w:r>
    </w:p>
    <w:p w14:paraId="2BE3DE64" w14:textId="3F582126" w:rsidR="00B36F0A" w:rsidRPr="009D3A0C" w:rsidRDefault="00B36F0A" w:rsidP="002E3C65">
      <w:pPr>
        <w:pStyle w:val="acthead5"/>
        <w:numPr>
          <w:ilvl w:val="0"/>
          <w:numId w:val="29"/>
        </w:numPr>
        <w:shd w:val="clear" w:color="auto" w:fill="FFFFFF"/>
        <w:spacing w:before="280" w:beforeAutospacing="0" w:after="0" w:afterAutospacing="0"/>
        <w:jc w:val="both"/>
        <w:rPr>
          <w:rFonts w:ascii="Arial" w:hAnsi="Arial" w:cs="Arial"/>
          <w:color w:val="000000"/>
          <w:sz w:val="22"/>
          <w:szCs w:val="22"/>
          <w:highlight w:val="yellow"/>
        </w:rPr>
      </w:pPr>
      <w:bookmarkStart w:id="2" w:name="_Toc140575838"/>
      <w:r w:rsidRPr="009D3A0C">
        <w:rPr>
          <w:rFonts w:ascii="Arial" w:hAnsi="Arial" w:cs="Arial"/>
          <w:color w:val="000000"/>
          <w:sz w:val="22"/>
          <w:szCs w:val="22"/>
          <w:highlight w:val="yellow"/>
          <w:lang w:val="en-AU"/>
        </w:rPr>
        <w:lastRenderedPageBreak/>
        <w:t xml:space="preserve"> </w:t>
      </w:r>
      <w:r w:rsidRPr="009D3A0C">
        <w:rPr>
          <w:rFonts w:ascii="Arial" w:hAnsi="Arial" w:cs="Arial"/>
          <w:b/>
          <w:bCs/>
          <w:color w:val="000000"/>
          <w:sz w:val="22"/>
          <w:szCs w:val="22"/>
          <w:highlight w:val="yellow"/>
          <w:lang w:val="en-AU"/>
        </w:rPr>
        <w:t>Unreasonable director</w:t>
      </w:r>
      <w:r w:rsidRPr="009D3A0C">
        <w:rPr>
          <w:rFonts w:ascii="Arial" w:hAnsi="Arial" w:cs="Arial"/>
          <w:b/>
          <w:bCs/>
          <w:color w:val="000000"/>
          <w:sz w:val="22"/>
          <w:szCs w:val="22"/>
          <w:highlight w:val="yellow"/>
          <w:lang w:val="en-AU"/>
        </w:rPr>
        <w:noBreakHyphen/>
        <w:t>related transactions</w:t>
      </w:r>
      <w:bookmarkEnd w:id="2"/>
      <w:r w:rsidR="00AF64EE" w:rsidRPr="009D3A0C">
        <w:rPr>
          <w:rFonts w:ascii="Arial" w:hAnsi="Arial" w:cs="Arial"/>
          <w:color w:val="000000"/>
          <w:sz w:val="22"/>
          <w:szCs w:val="22"/>
          <w:highlight w:val="yellow"/>
          <w:lang w:val="en-AU"/>
        </w:rPr>
        <w:t>-</w:t>
      </w:r>
      <w:r w:rsidR="00F405FA" w:rsidRPr="009D3A0C">
        <w:rPr>
          <w:rFonts w:ascii="Arial" w:hAnsi="Arial" w:cs="Arial"/>
          <w:color w:val="000000"/>
          <w:sz w:val="22"/>
          <w:szCs w:val="22"/>
          <w:highlight w:val="yellow"/>
          <w:lang w:val="en-AU"/>
        </w:rPr>
        <w:t xml:space="preserve"> According to section </w:t>
      </w:r>
      <w:r w:rsidR="00F405FA" w:rsidRPr="009D3A0C">
        <w:rPr>
          <w:rStyle w:val="charsectno"/>
          <w:rFonts w:ascii="Arial" w:hAnsi="Arial" w:cs="Arial"/>
          <w:sz w:val="22"/>
          <w:szCs w:val="22"/>
          <w:highlight w:val="yellow"/>
          <w:shd w:val="clear" w:color="auto" w:fill="FFFFFF"/>
          <w:lang w:val="en-AU"/>
        </w:rPr>
        <w:t>588FDA</w:t>
      </w:r>
      <w:r w:rsidR="00AF64EE" w:rsidRPr="009D3A0C">
        <w:rPr>
          <w:rFonts w:ascii="Arial" w:hAnsi="Arial" w:cs="Arial"/>
          <w:sz w:val="22"/>
          <w:szCs w:val="22"/>
          <w:highlight w:val="yellow"/>
          <w:lang w:val="en-AU"/>
        </w:rPr>
        <w:t xml:space="preserve"> </w:t>
      </w:r>
      <w:r w:rsidR="00AF64EE" w:rsidRPr="009D3A0C">
        <w:rPr>
          <w:rFonts w:ascii="Arial" w:hAnsi="Arial" w:cs="Arial"/>
          <w:color w:val="000000"/>
          <w:sz w:val="22"/>
          <w:szCs w:val="22"/>
          <w:highlight w:val="yellow"/>
          <w:lang w:val="en-AU"/>
        </w:rPr>
        <w:t xml:space="preserve">An unreasonable director-related transaction </w:t>
      </w:r>
      <w:r w:rsidR="00A42553" w:rsidRPr="009D3A0C">
        <w:rPr>
          <w:rFonts w:ascii="Arial" w:hAnsi="Arial" w:cs="Arial"/>
          <w:color w:val="000000"/>
          <w:sz w:val="22"/>
          <w:szCs w:val="22"/>
          <w:highlight w:val="yellow"/>
          <w:lang w:val="en-AU"/>
        </w:rPr>
        <w:t xml:space="preserve">occurs if the transactions consist of a payment, conveyance, transfer, the issue of securities and </w:t>
      </w:r>
      <w:r w:rsidRPr="009D3A0C">
        <w:rPr>
          <w:rFonts w:ascii="Arial" w:hAnsi="Arial" w:cs="Arial"/>
          <w:color w:val="000000"/>
          <w:sz w:val="22"/>
          <w:szCs w:val="22"/>
          <w:highlight w:val="yellow"/>
          <w:lang w:val="en-AU"/>
        </w:rPr>
        <w:t>an obligation to make such a payment, disposition or issue</w:t>
      </w:r>
      <w:r w:rsidR="00A42553" w:rsidRPr="009D3A0C">
        <w:rPr>
          <w:rFonts w:ascii="Arial" w:hAnsi="Arial" w:cs="Arial"/>
          <w:color w:val="000000"/>
          <w:sz w:val="22"/>
          <w:szCs w:val="22"/>
          <w:highlight w:val="yellow"/>
          <w:lang w:val="en-AU"/>
        </w:rPr>
        <w:t xml:space="preserve"> and </w:t>
      </w:r>
      <w:r w:rsidRPr="009D3A0C">
        <w:rPr>
          <w:rFonts w:ascii="Arial" w:hAnsi="Arial" w:cs="Arial"/>
          <w:color w:val="000000"/>
          <w:sz w:val="22"/>
          <w:szCs w:val="22"/>
          <w:highlight w:val="yellow"/>
          <w:lang w:val="en-AU"/>
        </w:rPr>
        <w:t>the payment, disposition or issue is, or is to be, made to</w:t>
      </w:r>
      <w:r w:rsidR="00A42553" w:rsidRPr="009D3A0C">
        <w:rPr>
          <w:rFonts w:ascii="Arial" w:hAnsi="Arial" w:cs="Arial"/>
          <w:color w:val="000000"/>
          <w:sz w:val="22"/>
          <w:szCs w:val="22"/>
          <w:highlight w:val="yellow"/>
          <w:lang w:val="en-AU"/>
        </w:rPr>
        <w:t xml:space="preserve"> a director or close associate of the company and </w:t>
      </w:r>
      <w:r w:rsidRPr="009D3A0C">
        <w:rPr>
          <w:rFonts w:ascii="Arial" w:hAnsi="Arial" w:cs="Arial"/>
          <w:color w:val="000000"/>
          <w:sz w:val="22"/>
          <w:szCs w:val="22"/>
          <w:highlight w:val="yellow"/>
          <w:lang w:val="en-AU"/>
        </w:rPr>
        <w:t>that a reasonable person in the company’s circumstances would not</w:t>
      </w:r>
      <w:r w:rsidR="00A42553" w:rsidRPr="009D3A0C">
        <w:rPr>
          <w:rFonts w:ascii="Arial" w:hAnsi="Arial" w:cs="Arial"/>
          <w:color w:val="000000"/>
          <w:sz w:val="22"/>
          <w:szCs w:val="22"/>
          <w:highlight w:val="yellow"/>
          <w:lang w:val="en-AU"/>
        </w:rPr>
        <w:t xml:space="preserve"> </w:t>
      </w:r>
      <w:r w:rsidRPr="009D3A0C">
        <w:rPr>
          <w:rFonts w:ascii="Arial" w:hAnsi="Arial" w:cs="Arial"/>
          <w:color w:val="000000"/>
          <w:sz w:val="22"/>
          <w:szCs w:val="22"/>
          <w:highlight w:val="yellow"/>
          <w:lang w:val="en-AU"/>
        </w:rPr>
        <w:t xml:space="preserve">have </w:t>
      </w:r>
      <w:r w:rsidR="00A42553" w:rsidRPr="009D3A0C">
        <w:rPr>
          <w:rFonts w:ascii="Arial" w:hAnsi="Arial" w:cs="Arial"/>
          <w:color w:val="000000"/>
          <w:sz w:val="22"/>
          <w:szCs w:val="22"/>
          <w:highlight w:val="yellow"/>
          <w:lang w:val="en-AU"/>
        </w:rPr>
        <w:t>entered</w:t>
      </w:r>
      <w:r w:rsidRPr="009D3A0C">
        <w:rPr>
          <w:rFonts w:ascii="Arial" w:hAnsi="Arial" w:cs="Arial"/>
          <w:color w:val="000000"/>
          <w:sz w:val="22"/>
          <w:szCs w:val="22"/>
          <w:highlight w:val="yellow"/>
          <w:lang w:val="en-AU"/>
        </w:rPr>
        <w:t xml:space="preserve"> </w:t>
      </w:r>
      <w:r w:rsidR="00A42553" w:rsidRPr="009D3A0C">
        <w:rPr>
          <w:rFonts w:ascii="Arial" w:hAnsi="Arial" w:cs="Arial"/>
          <w:color w:val="000000"/>
          <w:sz w:val="22"/>
          <w:szCs w:val="22"/>
          <w:highlight w:val="yellow"/>
          <w:lang w:val="en-AU"/>
        </w:rPr>
        <w:t xml:space="preserve">into </w:t>
      </w:r>
      <w:r w:rsidRPr="009D3A0C">
        <w:rPr>
          <w:rFonts w:ascii="Arial" w:hAnsi="Arial" w:cs="Arial"/>
          <w:color w:val="000000"/>
          <w:sz w:val="22"/>
          <w:szCs w:val="22"/>
          <w:highlight w:val="yellow"/>
          <w:lang w:val="en-AU"/>
        </w:rPr>
        <w:t>the transaction</w:t>
      </w:r>
      <w:r w:rsidR="00A42553" w:rsidRPr="009D3A0C">
        <w:rPr>
          <w:rFonts w:ascii="Arial" w:hAnsi="Arial" w:cs="Arial"/>
          <w:color w:val="000000"/>
          <w:sz w:val="22"/>
          <w:szCs w:val="22"/>
          <w:highlight w:val="yellow"/>
          <w:lang w:val="en-AU"/>
        </w:rPr>
        <w:t xml:space="preserve">. </w:t>
      </w:r>
    </w:p>
    <w:p w14:paraId="1CD152C7" w14:textId="77777777" w:rsidR="00B36F0A" w:rsidRPr="009D3A0C" w:rsidRDefault="00B36F0A" w:rsidP="002E3C65">
      <w:pPr>
        <w:pStyle w:val="ListParagraph"/>
        <w:jc w:val="both"/>
        <w:rPr>
          <w:rFonts w:ascii="Arial" w:hAnsi="Arial" w:cs="Arial"/>
          <w:sz w:val="22"/>
          <w:szCs w:val="22"/>
          <w:highlight w:val="yellow"/>
          <w:lang w:val="en-GB"/>
        </w:rPr>
      </w:pPr>
    </w:p>
    <w:p w14:paraId="2C267649" w14:textId="74328870" w:rsidR="000771DC" w:rsidRPr="009D3A0C" w:rsidRDefault="00B36F0A" w:rsidP="002E3C65">
      <w:pPr>
        <w:pStyle w:val="subsection"/>
        <w:numPr>
          <w:ilvl w:val="0"/>
          <w:numId w:val="29"/>
        </w:numPr>
        <w:shd w:val="clear" w:color="auto" w:fill="FFFFFF"/>
        <w:spacing w:before="180" w:beforeAutospacing="0" w:after="0" w:afterAutospacing="0"/>
        <w:jc w:val="both"/>
        <w:rPr>
          <w:rFonts w:ascii="Arial" w:hAnsi="Arial" w:cs="Arial"/>
          <w:color w:val="000000"/>
          <w:sz w:val="22"/>
          <w:szCs w:val="22"/>
          <w:highlight w:val="yellow"/>
        </w:rPr>
      </w:pPr>
      <w:bookmarkStart w:id="3" w:name="_Toc140575856"/>
      <w:r w:rsidRPr="009D3A0C">
        <w:rPr>
          <w:rFonts w:ascii="Arial" w:hAnsi="Arial" w:cs="Arial"/>
          <w:b/>
          <w:bCs/>
          <w:sz w:val="22"/>
          <w:szCs w:val="22"/>
          <w:highlight w:val="yellow"/>
          <w:shd w:val="clear" w:color="auto" w:fill="FFFFFF"/>
          <w:lang w:val="en-AU"/>
        </w:rPr>
        <w:t>Circulating security interest</w:t>
      </w:r>
      <w:r w:rsidR="00F405FA" w:rsidRPr="009D3A0C">
        <w:rPr>
          <w:rFonts w:ascii="Arial" w:hAnsi="Arial" w:cs="Arial"/>
          <w:b/>
          <w:bCs/>
          <w:sz w:val="22"/>
          <w:szCs w:val="22"/>
          <w:highlight w:val="yellow"/>
          <w:shd w:val="clear" w:color="auto" w:fill="FFFFFF"/>
          <w:lang w:val="en-AU"/>
        </w:rPr>
        <w:t xml:space="preserve">s- </w:t>
      </w:r>
      <w:bookmarkEnd w:id="3"/>
      <w:r w:rsidR="00F405FA" w:rsidRPr="009D3A0C">
        <w:rPr>
          <w:rFonts w:ascii="Arial" w:hAnsi="Arial" w:cs="Arial"/>
          <w:sz w:val="22"/>
          <w:szCs w:val="22"/>
          <w:highlight w:val="yellow"/>
          <w:shd w:val="clear" w:color="auto" w:fill="FFFFFF"/>
          <w:lang w:val="en-AU"/>
        </w:rPr>
        <w:t xml:space="preserve">A </w:t>
      </w:r>
      <w:r w:rsidRPr="009D3A0C">
        <w:rPr>
          <w:rFonts w:ascii="Arial" w:hAnsi="Arial" w:cs="Arial"/>
          <w:sz w:val="22"/>
          <w:szCs w:val="22"/>
          <w:highlight w:val="yellow"/>
          <w:lang w:val="en-AU"/>
        </w:rPr>
        <w:t xml:space="preserve">circulating security interest is void, </w:t>
      </w:r>
      <w:r w:rsidR="00F405FA" w:rsidRPr="009D3A0C">
        <w:rPr>
          <w:rFonts w:ascii="Arial" w:hAnsi="Arial" w:cs="Arial"/>
          <w:sz w:val="22"/>
          <w:szCs w:val="22"/>
          <w:highlight w:val="yellow"/>
          <w:lang w:val="en-AU"/>
        </w:rPr>
        <w:t xml:space="preserve">if created within six months before the start of liquidation unless the </w:t>
      </w:r>
      <w:r w:rsidR="00EB3B80" w:rsidRPr="009D3A0C">
        <w:rPr>
          <w:rFonts w:ascii="Arial" w:hAnsi="Arial" w:cs="Arial"/>
          <w:sz w:val="22"/>
          <w:szCs w:val="22"/>
          <w:highlight w:val="yellow"/>
          <w:lang w:val="en-AU"/>
        </w:rPr>
        <w:t xml:space="preserve">company was solvent immediately after granting the security. This </w:t>
      </w:r>
      <w:r w:rsidR="00EB3B80" w:rsidRPr="009D3A0C">
        <w:rPr>
          <w:rFonts w:ascii="Arial" w:hAnsi="Arial" w:cs="Arial"/>
          <w:sz w:val="22"/>
          <w:szCs w:val="22"/>
          <w:highlight w:val="yellow"/>
          <w:shd w:val="clear" w:color="auto" w:fill="FFFFFF"/>
        </w:rPr>
        <w:t xml:space="preserve">security interest previously known as a floating charge is held by a secured creditor in circulating assets of a company. </w:t>
      </w:r>
      <w:bookmarkStart w:id="4" w:name="_Toc140575853"/>
      <w:r w:rsidR="000771DC" w:rsidRPr="009D3A0C">
        <w:rPr>
          <w:rFonts w:ascii="Arial" w:hAnsi="Arial" w:cs="Arial"/>
          <w:sz w:val="22"/>
          <w:szCs w:val="22"/>
          <w:highlight w:val="yellow"/>
          <w:shd w:val="clear" w:color="auto" w:fill="FFFFFF"/>
        </w:rPr>
        <w:t xml:space="preserve"> Under section 588 FJ subsection </w:t>
      </w:r>
      <w:r w:rsidR="000771DC" w:rsidRPr="009D3A0C">
        <w:rPr>
          <w:rFonts w:ascii="Arial" w:hAnsi="Arial" w:cs="Arial"/>
          <w:color w:val="000000"/>
          <w:sz w:val="22"/>
          <w:szCs w:val="22"/>
          <w:highlight w:val="yellow"/>
          <w:lang w:val="en-AU"/>
        </w:rPr>
        <w:t>(2)-  The circulating security interest is void, as against the company’s liquidator, except so far as it secures: (a)  an advance paid to the company, or at its direction, at or after that time and as consideration for the circulating security interest; or (b)  interest on such an advance; or (c)  the amount of a liability under a guarantee or other obligation undertaken at or after that time on behalf of, or for the benefit of, the company; or (d)  an amount payable for property or services supplied to the company at or after that time; or (e)  interest on an amount so payable.</w:t>
      </w:r>
    </w:p>
    <w:p w14:paraId="07DEC402" w14:textId="5A94A0A4" w:rsidR="00EB3B80" w:rsidRPr="009D3A0C" w:rsidRDefault="00EB3B80" w:rsidP="002E3C65">
      <w:pPr>
        <w:pStyle w:val="ListParagraph"/>
        <w:jc w:val="both"/>
        <w:rPr>
          <w:rFonts w:ascii="Arial" w:hAnsi="Arial" w:cs="Arial"/>
          <w:sz w:val="22"/>
          <w:szCs w:val="22"/>
          <w:highlight w:val="yellow"/>
          <w:lang w:val="en-GB"/>
        </w:rPr>
      </w:pPr>
    </w:p>
    <w:p w14:paraId="081231CF" w14:textId="77777777" w:rsidR="00EB3B80" w:rsidRPr="009D3A0C" w:rsidRDefault="00EB3B80" w:rsidP="002E3C65">
      <w:pPr>
        <w:pStyle w:val="ListParagraph"/>
        <w:jc w:val="both"/>
        <w:rPr>
          <w:rStyle w:val="charsectno"/>
          <w:rFonts w:ascii="Arial" w:hAnsi="Arial" w:cs="Arial"/>
          <w:b/>
          <w:bCs/>
          <w:color w:val="0D4A88"/>
          <w:sz w:val="22"/>
          <w:szCs w:val="22"/>
          <w:highlight w:val="yellow"/>
          <w:shd w:val="clear" w:color="auto" w:fill="FFFFFF"/>
          <w:lang w:val="en-AU"/>
        </w:rPr>
      </w:pPr>
    </w:p>
    <w:p w14:paraId="06473AF6" w14:textId="101A357F" w:rsidR="00F405FA" w:rsidRPr="009D3A0C" w:rsidRDefault="00F97B47" w:rsidP="002E3C65">
      <w:pPr>
        <w:jc w:val="both"/>
        <w:rPr>
          <w:rFonts w:ascii="Arial" w:hAnsi="Arial" w:cs="Arial"/>
          <w:color w:val="000000"/>
          <w:sz w:val="22"/>
          <w:szCs w:val="22"/>
          <w:highlight w:val="yellow"/>
          <w:shd w:val="clear" w:color="auto" w:fill="FFFFFF"/>
        </w:rPr>
      </w:pPr>
      <w:r w:rsidRPr="009D3A0C">
        <w:rPr>
          <w:rFonts w:ascii="Arial" w:hAnsi="Arial" w:cs="Arial"/>
          <w:sz w:val="22"/>
          <w:szCs w:val="22"/>
          <w:highlight w:val="yellow"/>
          <w:lang w:val="en-GB"/>
        </w:rPr>
        <w:t>Pursuant to section 588 FG (2) it is a defence i</w:t>
      </w:r>
      <w:r w:rsidR="00EB3B80" w:rsidRPr="009D3A0C">
        <w:rPr>
          <w:rFonts w:ascii="Arial" w:hAnsi="Arial" w:cs="Arial"/>
          <w:sz w:val="22"/>
          <w:szCs w:val="22"/>
          <w:highlight w:val="yellow"/>
          <w:lang w:val="en-GB"/>
        </w:rPr>
        <w:t xml:space="preserve">f the defendant proves that they were not aware that the company was insolvent at the time they </w:t>
      </w:r>
      <w:proofErr w:type="gramStart"/>
      <w:r w:rsidR="00EB3B80" w:rsidRPr="009D3A0C">
        <w:rPr>
          <w:rFonts w:ascii="Arial" w:hAnsi="Arial" w:cs="Arial"/>
          <w:sz w:val="22"/>
          <w:szCs w:val="22"/>
          <w:highlight w:val="yellow"/>
          <w:lang w:val="en-GB"/>
        </w:rPr>
        <w:t>entered into</w:t>
      </w:r>
      <w:proofErr w:type="gramEnd"/>
      <w:r w:rsidR="00EB3B80" w:rsidRPr="009D3A0C">
        <w:rPr>
          <w:rFonts w:ascii="Arial" w:hAnsi="Arial" w:cs="Arial"/>
          <w:sz w:val="22"/>
          <w:szCs w:val="22"/>
          <w:highlight w:val="yellow"/>
          <w:lang w:val="en-GB"/>
        </w:rPr>
        <w:t xml:space="preserve"> </w:t>
      </w:r>
      <w:r w:rsidR="000771DC" w:rsidRPr="009D3A0C">
        <w:rPr>
          <w:rFonts w:ascii="Arial" w:hAnsi="Arial" w:cs="Arial"/>
          <w:sz w:val="22"/>
          <w:szCs w:val="22"/>
          <w:highlight w:val="yellow"/>
          <w:lang w:val="en-GB"/>
        </w:rPr>
        <w:t>an unfair preference or uncommercial transaction</w:t>
      </w:r>
      <w:bookmarkEnd w:id="4"/>
      <w:r w:rsidRPr="009D3A0C">
        <w:rPr>
          <w:rFonts w:ascii="Arial" w:hAnsi="Arial" w:cs="Arial"/>
          <w:sz w:val="22"/>
          <w:szCs w:val="22"/>
          <w:highlight w:val="yellow"/>
          <w:lang w:val="en-GB"/>
        </w:rPr>
        <w:t xml:space="preserve">. </w:t>
      </w:r>
      <w:r w:rsidR="005122FF" w:rsidRPr="009D3A0C">
        <w:rPr>
          <w:rFonts w:ascii="Arial" w:hAnsi="Arial" w:cs="Arial"/>
          <w:sz w:val="22"/>
          <w:szCs w:val="22"/>
          <w:highlight w:val="yellow"/>
          <w:lang w:val="en-GB"/>
        </w:rPr>
        <w:t>However,</w:t>
      </w:r>
      <w:r w:rsidRPr="009D3A0C">
        <w:rPr>
          <w:rFonts w:ascii="Arial" w:hAnsi="Arial" w:cs="Arial"/>
          <w:sz w:val="22"/>
          <w:szCs w:val="22"/>
          <w:highlight w:val="yellow"/>
          <w:lang w:val="en-GB"/>
        </w:rPr>
        <w:t xml:space="preserve"> </w:t>
      </w:r>
      <w:proofErr w:type="spellStart"/>
      <w:r w:rsidRPr="009D3A0C">
        <w:rPr>
          <w:rFonts w:ascii="Arial" w:hAnsi="Arial" w:cs="Arial"/>
          <w:sz w:val="22"/>
          <w:szCs w:val="22"/>
          <w:highlight w:val="yellow"/>
          <w:lang w:val="en-GB"/>
        </w:rPr>
        <w:t>i</w:t>
      </w:r>
      <w:proofErr w:type="spellEnd"/>
      <w:r w:rsidRPr="009D3A0C">
        <w:rPr>
          <w:rFonts w:ascii="Arial" w:hAnsi="Arial" w:cs="Arial"/>
          <w:color w:val="000000"/>
          <w:sz w:val="22"/>
          <w:szCs w:val="22"/>
          <w:highlight w:val="yellow"/>
          <w:shd w:val="clear" w:color="auto" w:fill="FFFFFF"/>
        </w:rPr>
        <w:t>f the transaction is an unfair loan to the company, or an unreasonable director</w:t>
      </w:r>
      <w:r w:rsidRPr="009D3A0C">
        <w:rPr>
          <w:rFonts w:ascii="Arial" w:hAnsi="Arial" w:cs="Arial"/>
          <w:color w:val="000000"/>
          <w:sz w:val="22"/>
          <w:szCs w:val="22"/>
          <w:highlight w:val="yellow"/>
          <w:shd w:val="clear" w:color="auto" w:fill="FFFFFF"/>
        </w:rPr>
        <w:noBreakHyphen/>
        <w:t>related transaction of the company</w:t>
      </w:r>
      <w:r w:rsidR="005122FF" w:rsidRPr="009D3A0C">
        <w:rPr>
          <w:rFonts w:ascii="Arial" w:hAnsi="Arial" w:cs="Arial"/>
          <w:color w:val="000000"/>
          <w:sz w:val="22"/>
          <w:szCs w:val="22"/>
          <w:highlight w:val="yellow"/>
          <w:shd w:val="clear" w:color="auto" w:fill="FFFFFF"/>
        </w:rPr>
        <w:t xml:space="preserve"> the </w:t>
      </w:r>
      <w:proofErr w:type="spellStart"/>
      <w:r w:rsidR="005122FF" w:rsidRPr="009D3A0C">
        <w:rPr>
          <w:rFonts w:ascii="Arial" w:hAnsi="Arial" w:cs="Arial"/>
          <w:color w:val="000000"/>
          <w:sz w:val="22"/>
          <w:szCs w:val="22"/>
          <w:highlight w:val="yellow"/>
          <w:shd w:val="clear" w:color="auto" w:fill="FFFFFF"/>
        </w:rPr>
        <w:t>defence</w:t>
      </w:r>
      <w:proofErr w:type="spellEnd"/>
      <w:r w:rsidR="005122FF" w:rsidRPr="009D3A0C">
        <w:rPr>
          <w:rFonts w:ascii="Arial" w:hAnsi="Arial" w:cs="Arial"/>
          <w:color w:val="000000"/>
          <w:sz w:val="22"/>
          <w:szCs w:val="22"/>
          <w:highlight w:val="yellow"/>
          <w:shd w:val="clear" w:color="auto" w:fill="FFFFFF"/>
        </w:rPr>
        <w:t xml:space="preserve"> is not available. </w:t>
      </w:r>
    </w:p>
    <w:p w14:paraId="76EFBD9A" w14:textId="77777777" w:rsidR="00553383" w:rsidRPr="009D3A0C" w:rsidRDefault="00553383" w:rsidP="002E3C65">
      <w:pPr>
        <w:jc w:val="both"/>
        <w:rPr>
          <w:rFonts w:ascii="Arial" w:hAnsi="Arial" w:cs="Arial"/>
          <w:color w:val="000000"/>
          <w:sz w:val="22"/>
          <w:szCs w:val="22"/>
          <w:highlight w:val="yellow"/>
          <w:shd w:val="clear" w:color="auto" w:fill="FFFFFF"/>
        </w:rPr>
      </w:pPr>
    </w:p>
    <w:p w14:paraId="0C06B49A" w14:textId="02369A01" w:rsidR="00553383" w:rsidRPr="009D3A0C" w:rsidRDefault="00553383" w:rsidP="002E3C65">
      <w:pPr>
        <w:jc w:val="both"/>
        <w:rPr>
          <w:rFonts w:ascii="Arial" w:hAnsi="Arial" w:cs="Arial"/>
          <w:color w:val="231F20"/>
          <w:sz w:val="22"/>
          <w:szCs w:val="22"/>
          <w:highlight w:val="yellow"/>
          <w:shd w:val="clear" w:color="auto" w:fill="FFFFFF"/>
        </w:rPr>
      </w:pPr>
      <w:r w:rsidRPr="009D3A0C">
        <w:rPr>
          <w:rFonts w:ascii="Arial" w:hAnsi="Arial" w:cs="Arial"/>
          <w:color w:val="000000"/>
          <w:sz w:val="22"/>
          <w:szCs w:val="22"/>
          <w:highlight w:val="yellow"/>
          <w:shd w:val="clear" w:color="auto" w:fill="FFFFFF"/>
        </w:rPr>
        <w:t>In</w:t>
      </w:r>
      <w:r w:rsidRPr="009D3A0C">
        <w:rPr>
          <w:rFonts w:ascii="Arial" w:hAnsi="Arial" w:cs="Arial"/>
          <w:color w:val="231F20"/>
          <w:sz w:val="22"/>
          <w:szCs w:val="22"/>
          <w:highlight w:val="yellow"/>
          <w:shd w:val="clear" w:color="auto" w:fill="FFFFFF"/>
        </w:rPr>
        <w:t xml:space="preserve"> the Case of </w:t>
      </w:r>
      <w:r w:rsidR="009D3A0C" w:rsidRPr="009D3A0C">
        <w:rPr>
          <w:rFonts w:ascii="Arial" w:hAnsi="Arial" w:cs="Arial"/>
          <w:color w:val="000000"/>
          <w:sz w:val="22"/>
          <w:szCs w:val="22"/>
          <w:highlight w:val="yellow"/>
          <w:shd w:val="clear" w:color="auto" w:fill="FFFFFF"/>
        </w:rPr>
        <w:t xml:space="preserve">Hayden Leigh White in his capacity as joint and several </w:t>
      </w:r>
      <w:proofErr w:type="gramStart"/>
      <w:r w:rsidR="009D3A0C" w:rsidRPr="009D3A0C">
        <w:rPr>
          <w:rFonts w:ascii="Arial" w:hAnsi="Arial" w:cs="Arial"/>
          <w:color w:val="000000"/>
          <w:sz w:val="22"/>
          <w:szCs w:val="22"/>
          <w:highlight w:val="yellow"/>
          <w:shd w:val="clear" w:color="auto" w:fill="FFFFFF"/>
        </w:rPr>
        <w:t>liquidator</w:t>
      </w:r>
      <w:proofErr w:type="gramEnd"/>
      <w:r w:rsidR="009D3A0C" w:rsidRPr="009D3A0C">
        <w:rPr>
          <w:rFonts w:ascii="Arial" w:hAnsi="Arial" w:cs="Arial"/>
          <w:color w:val="000000"/>
          <w:sz w:val="22"/>
          <w:szCs w:val="22"/>
          <w:highlight w:val="yellow"/>
          <w:shd w:val="clear" w:color="auto" w:fill="FFFFFF"/>
        </w:rPr>
        <w:t xml:space="preserve"> of Port Village Accommodation PTY Ltd (IN LIQ) -v- ACN 153 152 731 PTY LTD (IN LIQ) [2018] WASCA 119</w:t>
      </w:r>
      <w:r w:rsidR="009D3A0C" w:rsidRPr="009D3A0C">
        <w:rPr>
          <w:rFonts w:ascii="Arial" w:hAnsi="Arial" w:cs="Arial"/>
          <w:color w:val="231F20"/>
          <w:sz w:val="22"/>
          <w:szCs w:val="22"/>
          <w:highlight w:val="yellow"/>
          <w:shd w:val="clear" w:color="auto" w:fill="FFFFFF"/>
        </w:rPr>
        <w:t>, the court of appeal considered the p</w:t>
      </w:r>
      <w:r w:rsidRPr="009D3A0C">
        <w:rPr>
          <w:rFonts w:ascii="Arial" w:hAnsi="Arial" w:cs="Arial"/>
          <w:color w:val="231F20"/>
          <w:sz w:val="22"/>
          <w:szCs w:val="22"/>
          <w:highlight w:val="yellow"/>
          <w:shd w:val="clear" w:color="auto" w:fill="FFFFFF"/>
        </w:rPr>
        <w:t xml:space="preserve">roper approach that should be taken to the </w:t>
      </w:r>
      <w:proofErr w:type="spellStart"/>
      <w:r w:rsidRPr="009D3A0C">
        <w:rPr>
          <w:rFonts w:ascii="Arial" w:hAnsi="Arial" w:cs="Arial"/>
          <w:color w:val="231F20"/>
          <w:sz w:val="22"/>
          <w:szCs w:val="22"/>
          <w:highlight w:val="yellow"/>
          <w:shd w:val="clear" w:color="auto" w:fill="FFFFFF"/>
        </w:rPr>
        <w:t>defence</w:t>
      </w:r>
      <w:proofErr w:type="spellEnd"/>
      <w:r w:rsidRPr="009D3A0C">
        <w:rPr>
          <w:rFonts w:ascii="Arial" w:hAnsi="Arial" w:cs="Arial"/>
          <w:color w:val="231F20"/>
          <w:sz w:val="22"/>
          <w:szCs w:val="22"/>
          <w:highlight w:val="yellow"/>
          <w:shd w:val="clear" w:color="auto" w:fill="FFFFFF"/>
        </w:rPr>
        <w:t xml:space="preserve"> that the defendant was not aware of the company’s insolvency and </w:t>
      </w:r>
      <w:r w:rsidR="009D3A0C" w:rsidRPr="009D3A0C">
        <w:rPr>
          <w:rFonts w:ascii="Arial" w:hAnsi="Arial" w:cs="Arial"/>
          <w:color w:val="231F20"/>
          <w:sz w:val="22"/>
          <w:szCs w:val="22"/>
          <w:highlight w:val="yellow"/>
          <w:shd w:val="clear" w:color="auto" w:fill="FFFFFF"/>
        </w:rPr>
        <w:t>stated</w:t>
      </w:r>
      <w:r w:rsidRPr="009D3A0C">
        <w:rPr>
          <w:rFonts w:ascii="Arial" w:hAnsi="Arial" w:cs="Arial"/>
          <w:color w:val="231F20"/>
          <w:sz w:val="22"/>
          <w:szCs w:val="22"/>
          <w:highlight w:val="yellow"/>
          <w:shd w:val="clear" w:color="auto" w:fill="FFFFFF"/>
        </w:rPr>
        <w:t xml:space="preserve">: </w:t>
      </w:r>
    </w:p>
    <w:p w14:paraId="2FBA8569" w14:textId="77777777" w:rsidR="009D3A0C" w:rsidRPr="009D3A0C" w:rsidRDefault="009D3A0C" w:rsidP="002E3C65">
      <w:pPr>
        <w:jc w:val="both"/>
        <w:rPr>
          <w:rFonts w:ascii="Arial" w:hAnsi="Arial" w:cs="Arial"/>
          <w:color w:val="000000"/>
          <w:sz w:val="22"/>
          <w:szCs w:val="22"/>
          <w:highlight w:val="yellow"/>
          <w:shd w:val="clear" w:color="auto" w:fill="FFFFFF"/>
        </w:rPr>
      </w:pPr>
    </w:p>
    <w:p w14:paraId="776F4AF7" w14:textId="0E2800FC" w:rsidR="00553383" w:rsidRPr="009D3A0C" w:rsidRDefault="00553383" w:rsidP="009D3A0C">
      <w:pPr>
        <w:ind w:left="720"/>
        <w:jc w:val="both"/>
        <w:rPr>
          <w:rFonts w:ascii="Arial" w:hAnsi="Arial" w:cs="Arial"/>
          <w:color w:val="000000"/>
          <w:sz w:val="22"/>
          <w:szCs w:val="22"/>
          <w:highlight w:val="yellow"/>
          <w:shd w:val="clear" w:color="auto" w:fill="FFFFFF"/>
        </w:rPr>
      </w:pPr>
      <w:r w:rsidRPr="009D3A0C">
        <w:rPr>
          <w:rFonts w:ascii="Arial" w:hAnsi="Arial" w:cs="Arial"/>
          <w:color w:val="000000"/>
          <w:sz w:val="22"/>
          <w:szCs w:val="22"/>
          <w:highlight w:val="yellow"/>
          <w:shd w:val="clear" w:color="auto" w:fill="FFFFFF"/>
        </w:rPr>
        <w:t xml:space="preserve">“… for </w:t>
      </w:r>
      <w:r w:rsidR="005122FF" w:rsidRPr="009D3A0C">
        <w:rPr>
          <w:rFonts w:ascii="Arial" w:hAnsi="Arial" w:cs="Arial"/>
          <w:color w:val="000000"/>
          <w:sz w:val="22"/>
          <w:szCs w:val="22"/>
          <w:highlight w:val="yellow"/>
          <w:shd w:val="clear" w:color="auto" w:fill="FFFFFF"/>
        </w:rPr>
        <w:t>the purposes of applying s </w:t>
      </w:r>
      <w:hyperlink r:id="rId9" w:history="1">
        <w:r w:rsidR="005122FF" w:rsidRPr="009D3A0C">
          <w:rPr>
            <w:rStyle w:val="Hyperlink"/>
            <w:rFonts w:ascii="Arial" w:hAnsi="Arial" w:cs="Arial"/>
            <w:color w:val="auto"/>
            <w:sz w:val="22"/>
            <w:szCs w:val="22"/>
            <w:highlight w:val="yellow"/>
            <w:u w:val="none"/>
            <w:shd w:val="clear" w:color="auto" w:fill="FFFFFF"/>
          </w:rPr>
          <w:t>588FG(2)</w:t>
        </w:r>
      </w:hyperlink>
      <w:r w:rsidR="005122FF" w:rsidRPr="009D3A0C">
        <w:rPr>
          <w:rFonts w:ascii="Arial" w:hAnsi="Arial" w:cs="Arial"/>
          <w:sz w:val="22"/>
          <w:szCs w:val="22"/>
          <w:highlight w:val="yellow"/>
          <w:shd w:val="clear" w:color="auto" w:fill="FFFFFF"/>
        </w:rPr>
        <w:t>, the</w:t>
      </w:r>
      <w:r w:rsidR="005122FF" w:rsidRPr="009D3A0C">
        <w:rPr>
          <w:rFonts w:ascii="Arial" w:hAnsi="Arial" w:cs="Arial"/>
          <w:color w:val="000000"/>
          <w:sz w:val="22"/>
          <w:szCs w:val="22"/>
          <w:highlight w:val="yellow"/>
          <w:shd w:val="clear" w:color="auto" w:fill="FFFFFF"/>
        </w:rPr>
        <w:t xml:space="preserve"> matter is to be considered through the contemporary eyes of the parties in the commercial circumstances then prevailing, and without the benefit of hindsight.</w:t>
      </w:r>
      <w:r w:rsidRPr="009D3A0C">
        <w:rPr>
          <w:rFonts w:ascii="Arial" w:hAnsi="Arial" w:cs="Arial"/>
          <w:color w:val="000000"/>
          <w:sz w:val="22"/>
          <w:szCs w:val="22"/>
          <w:highlight w:val="yellow"/>
          <w:shd w:val="clear" w:color="auto" w:fill="FFFFFF"/>
        </w:rPr>
        <w:t>”</w:t>
      </w:r>
    </w:p>
    <w:p w14:paraId="0C35F194" w14:textId="77777777" w:rsidR="00553383" w:rsidRPr="009D3A0C" w:rsidRDefault="00553383" w:rsidP="002E3C65">
      <w:pPr>
        <w:jc w:val="both"/>
        <w:rPr>
          <w:rFonts w:ascii="Arial" w:hAnsi="Arial" w:cs="Arial"/>
          <w:color w:val="000000"/>
          <w:sz w:val="22"/>
          <w:szCs w:val="22"/>
          <w:highlight w:val="yellow"/>
          <w:shd w:val="clear" w:color="auto" w:fill="FFFFFF"/>
        </w:rPr>
      </w:pPr>
    </w:p>
    <w:p w14:paraId="216E7750" w14:textId="2FCFFECE" w:rsidR="00007BF3" w:rsidRPr="00553383" w:rsidRDefault="00553383" w:rsidP="00553383">
      <w:pPr>
        <w:jc w:val="both"/>
        <w:rPr>
          <w:rFonts w:ascii="Arial" w:hAnsi="Arial" w:cs="Arial"/>
          <w:color w:val="000000"/>
          <w:sz w:val="22"/>
          <w:szCs w:val="22"/>
        </w:rPr>
      </w:pPr>
      <w:r w:rsidRPr="009D3A0C">
        <w:rPr>
          <w:rFonts w:ascii="Arial" w:hAnsi="Arial" w:cs="Arial"/>
          <w:color w:val="000000"/>
          <w:sz w:val="22"/>
          <w:szCs w:val="22"/>
          <w:highlight w:val="yellow"/>
          <w:shd w:val="clear" w:color="auto" w:fill="FFFFFF"/>
        </w:rPr>
        <w:t>Further the court held that t</w:t>
      </w:r>
      <w:r w:rsidR="005122FF" w:rsidRPr="009D3A0C">
        <w:rPr>
          <w:rFonts w:ascii="Arial" w:hAnsi="Arial" w:cs="Arial"/>
          <w:color w:val="000000"/>
          <w:sz w:val="22"/>
          <w:szCs w:val="22"/>
          <w:highlight w:val="yellow"/>
          <w:shd w:val="clear" w:color="auto" w:fill="FFFFFF"/>
        </w:rPr>
        <w:t>he reference to suspicion of insolvency is suspicion of actual insolvency, and not a suspicion (or even belief) that the debtor might be insolvent.</w:t>
      </w:r>
      <w:bookmarkStart w:id="5" w:name="_ftnref121"/>
      <w:r w:rsidRPr="009D3A0C">
        <w:rPr>
          <w:rFonts w:ascii="Arial" w:hAnsi="Arial" w:cs="Arial"/>
          <w:color w:val="000000"/>
          <w:sz w:val="22"/>
          <w:szCs w:val="22"/>
          <w:highlight w:val="yellow"/>
          <w:shd w:val="clear" w:color="auto" w:fill="FFFFFF"/>
        </w:rPr>
        <w:t xml:space="preserve"> </w:t>
      </w:r>
      <w:bookmarkEnd w:id="5"/>
      <w:r w:rsidRPr="009D3A0C">
        <w:rPr>
          <w:rFonts w:ascii="Arial" w:hAnsi="Arial" w:cs="Arial"/>
          <w:color w:val="000000"/>
          <w:sz w:val="22"/>
          <w:szCs w:val="22"/>
          <w:highlight w:val="yellow"/>
          <w:shd w:val="clear" w:color="auto" w:fill="FFFFFF"/>
        </w:rPr>
        <w:t xml:space="preserve">Also, the court would consider what facts and matters the </w:t>
      </w:r>
      <w:r w:rsidR="009D3A0C" w:rsidRPr="009D3A0C">
        <w:rPr>
          <w:rFonts w:ascii="Arial" w:hAnsi="Arial" w:cs="Arial"/>
          <w:color w:val="000000"/>
          <w:sz w:val="22"/>
          <w:szCs w:val="22"/>
          <w:highlight w:val="yellow"/>
          <w:shd w:val="clear" w:color="auto" w:fill="FFFFFF"/>
        </w:rPr>
        <w:t xml:space="preserve">defendant </w:t>
      </w:r>
      <w:r w:rsidRPr="009D3A0C">
        <w:rPr>
          <w:rFonts w:ascii="Arial" w:hAnsi="Arial" w:cs="Arial"/>
          <w:color w:val="000000"/>
          <w:sz w:val="22"/>
          <w:szCs w:val="22"/>
          <w:highlight w:val="yellow"/>
          <w:shd w:val="clear" w:color="auto" w:fill="FFFFFF"/>
        </w:rPr>
        <w:t xml:space="preserve">appreciated, </w:t>
      </w:r>
      <w:r w:rsidR="009D3A0C" w:rsidRPr="009D3A0C">
        <w:rPr>
          <w:rFonts w:ascii="Arial" w:hAnsi="Arial" w:cs="Arial"/>
          <w:color w:val="000000"/>
          <w:sz w:val="22"/>
          <w:szCs w:val="22"/>
          <w:highlight w:val="yellow"/>
          <w:shd w:val="clear" w:color="auto" w:fill="FFFFFF"/>
        </w:rPr>
        <w:t xml:space="preserve">and that </w:t>
      </w:r>
      <w:r w:rsidRPr="009D3A0C">
        <w:rPr>
          <w:rFonts w:ascii="Arial" w:hAnsi="Arial" w:cs="Arial"/>
          <w:color w:val="000000"/>
          <w:sz w:val="22"/>
          <w:szCs w:val="22"/>
          <w:highlight w:val="yellow"/>
          <w:shd w:val="clear" w:color="auto" w:fill="FFFFFF"/>
        </w:rPr>
        <w:t xml:space="preserve">regard would ordinarily be had to the training, </w:t>
      </w:r>
      <w:proofErr w:type="gramStart"/>
      <w:r w:rsidRPr="009D3A0C">
        <w:rPr>
          <w:rFonts w:ascii="Arial" w:hAnsi="Arial" w:cs="Arial"/>
          <w:color w:val="000000"/>
          <w:sz w:val="22"/>
          <w:szCs w:val="22"/>
          <w:highlight w:val="yellow"/>
          <w:shd w:val="clear" w:color="auto" w:fill="FFFFFF"/>
        </w:rPr>
        <w:t>skills</w:t>
      </w:r>
      <w:proofErr w:type="gramEnd"/>
      <w:r w:rsidRPr="009D3A0C">
        <w:rPr>
          <w:rFonts w:ascii="Arial" w:hAnsi="Arial" w:cs="Arial"/>
          <w:color w:val="000000"/>
          <w:sz w:val="22"/>
          <w:szCs w:val="22"/>
          <w:highlight w:val="yellow"/>
          <w:shd w:val="clear" w:color="auto" w:fill="FFFFFF"/>
        </w:rPr>
        <w:t xml:space="preserve"> and experience of 'the person' in question. The Court determined that the </w:t>
      </w:r>
      <w:r w:rsidRPr="009D3A0C">
        <w:rPr>
          <w:rFonts w:ascii="Arial" w:hAnsi="Arial" w:cs="Arial"/>
          <w:color w:val="000000"/>
          <w:sz w:val="22"/>
          <w:szCs w:val="22"/>
          <w:highlight w:val="yellow"/>
        </w:rPr>
        <w:t xml:space="preserve">test is an objective test, and the standard of measurement is that of a hypothetical person who is assumed to have the knowledge and experience of the 'average </w:t>
      </w:r>
      <w:r w:rsidR="009D3A0C" w:rsidRPr="009D3A0C">
        <w:rPr>
          <w:rFonts w:ascii="Arial" w:hAnsi="Arial" w:cs="Arial"/>
          <w:color w:val="000000"/>
          <w:sz w:val="22"/>
          <w:szCs w:val="22"/>
          <w:highlight w:val="yellow"/>
        </w:rPr>
        <w:t>businessperson</w:t>
      </w:r>
      <w:r w:rsidRPr="009D3A0C">
        <w:rPr>
          <w:rFonts w:ascii="Arial" w:hAnsi="Arial" w:cs="Arial"/>
          <w:color w:val="000000"/>
          <w:sz w:val="22"/>
          <w:szCs w:val="22"/>
          <w:highlight w:val="yellow"/>
        </w:rPr>
        <w:t>'.</w:t>
      </w:r>
      <w:r w:rsidRPr="00553383">
        <w:rPr>
          <w:rFonts w:ascii="Arial" w:hAnsi="Arial" w:cs="Arial"/>
          <w:color w:val="000000"/>
          <w:sz w:val="22"/>
          <w:szCs w:val="22"/>
        </w:rPr>
        <w:t xml:space="preserve">  </w:t>
      </w:r>
    </w:p>
    <w:p w14:paraId="75C4EBFD" w14:textId="77777777" w:rsidR="00553383" w:rsidRDefault="00553383" w:rsidP="00553383">
      <w:pPr>
        <w:jc w:val="both"/>
        <w:rPr>
          <w:rFonts w:ascii="Georgia" w:hAnsi="Georgia"/>
          <w:color w:val="000000"/>
          <w:sz w:val="26"/>
          <w:szCs w:val="26"/>
        </w:rPr>
      </w:pPr>
    </w:p>
    <w:p w14:paraId="3AB80014" w14:textId="77777777" w:rsidR="00553383" w:rsidRPr="00B2234F" w:rsidRDefault="00553383" w:rsidP="00553383">
      <w:pPr>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4BA0A341" w14:textId="23D4909C" w:rsidR="00FE1768" w:rsidRPr="007B0228" w:rsidRDefault="002476AF" w:rsidP="007B0228">
      <w:pPr>
        <w:jc w:val="both"/>
        <w:rPr>
          <w:rStyle w:val="charsectno"/>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bookmarkStart w:id="6" w:name="_Toc62473898"/>
    </w:p>
    <w:p w14:paraId="79D57989" w14:textId="77777777" w:rsidR="00781022" w:rsidRDefault="00781022" w:rsidP="00984649">
      <w:pPr>
        <w:pStyle w:val="acthead5"/>
        <w:shd w:val="clear" w:color="auto" w:fill="FFFFFF"/>
        <w:spacing w:before="280" w:beforeAutospacing="0" w:after="0" w:afterAutospacing="0"/>
        <w:ind w:left="1134" w:hanging="1134"/>
        <w:rPr>
          <w:rStyle w:val="charsectno"/>
          <w:rFonts w:ascii="Arial" w:hAnsi="Arial" w:cs="Arial"/>
          <w:color w:val="000000"/>
          <w:sz w:val="22"/>
          <w:szCs w:val="22"/>
          <w:lang w:val="en-AU"/>
        </w:rPr>
      </w:pPr>
    </w:p>
    <w:p w14:paraId="469F947E" w14:textId="27159E4D" w:rsidR="00781022" w:rsidRPr="00756B69" w:rsidRDefault="00781022" w:rsidP="00781022">
      <w:pPr>
        <w:jc w:val="both"/>
        <w:rPr>
          <w:rFonts w:ascii="Arial" w:hAnsi="Arial" w:cs="Arial"/>
          <w:b/>
          <w:bCs/>
          <w:sz w:val="22"/>
          <w:szCs w:val="22"/>
          <w:highlight w:val="yellow"/>
          <w:shd w:val="clear" w:color="auto" w:fill="FFFFFF"/>
        </w:rPr>
      </w:pPr>
      <w:r w:rsidRPr="00756B69">
        <w:rPr>
          <w:rFonts w:ascii="Arial" w:hAnsi="Arial" w:cs="Arial"/>
          <w:sz w:val="22"/>
          <w:szCs w:val="22"/>
          <w:highlight w:val="yellow"/>
          <w:shd w:val="clear" w:color="auto" w:fill="FFFFFF"/>
        </w:rPr>
        <w:t>The </w:t>
      </w:r>
      <w:r w:rsidRPr="00756B69">
        <w:rPr>
          <w:rStyle w:val="Emphasis"/>
          <w:rFonts w:ascii="Arial" w:hAnsi="Arial" w:cs="Arial"/>
          <w:i w:val="0"/>
          <w:iCs w:val="0"/>
          <w:sz w:val="22"/>
          <w:szCs w:val="22"/>
          <w:highlight w:val="yellow"/>
          <w:bdr w:val="none" w:sz="0" w:space="0" w:color="auto" w:frame="1"/>
          <w:shd w:val="clear" w:color="auto" w:fill="FFFFFF"/>
        </w:rPr>
        <w:t>Cros</w:t>
      </w:r>
      <w:r w:rsidR="00344057" w:rsidRPr="00756B69">
        <w:rPr>
          <w:rStyle w:val="Emphasis"/>
          <w:rFonts w:ascii="Arial" w:hAnsi="Arial" w:cs="Arial"/>
          <w:i w:val="0"/>
          <w:iCs w:val="0"/>
          <w:sz w:val="22"/>
          <w:szCs w:val="22"/>
          <w:highlight w:val="yellow"/>
          <w:bdr w:val="none" w:sz="0" w:space="0" w:color="auto" w:frame="1"/>
          <w:shd w:val="clear" w:color="auto" w:fill="FFFFFF"/>
        </w:rPr>
        <w:t>s-B</w:t>
      </w:r>
      <w:r w:rsidRPr="00756B69">
        <w:rPr>
          <w:rStyle w:val="Emphasis"/>
          <w:rFonts w:ascii="Arial" w:hAnsi="Arial" w:cs="Arial"/>
          <w:i w:val="0"/>
          <w:iCs w:val="0"/>
          <w:sz w:val="22"/>
          <w:szCs w:val="22"/>
          <w:highlight w:val="yellow"/>
          <w:bdr w:val="none" w:sz="0" w:space="0" w:color="auto" w:frame="1"/>
          <w:shd w:val="clear" w:color="auto" w:fill="FFFFFF"/>
        </w:rPr>
        <w:t>order Insolvency</w:t>
      </w:r>
      <w:r w:rsidRPr="00756B69">
        <w:rPr>
          <w:rStyle w:val="Emphasis"/>
          <w:rFonts w:ascii="Arial" w:hAnsi="Arial" w:cs="Arial"/>
          <w:sz w:val="22"/>
          <w:szCs w:val="22"/>
          <w:highlight w:val="yellow"/>
          <w:bdr w:val="none" w:sz="0" w:space="0" w:color="auto" w:frame="1"/>
          <w:shd w:val="clear" w:color="auto" w:fill="FFFFFF"/>
        </w:rPr>
        <w:t xml:space="preserve"> </w:t>
      </w:r>
      <w:r w:rsidRPr="00756B69">
        <w:rPr>
          <w:rStyle w:val="Emphasis"/>
          <w:rFonts w:ascii="Arial" w:hAnsi="Arial" w:cs="Arial"/>
          <w:i w:val="0"/>
          <w:iCs w:val="0"/>
          <w:sz w:val="22"/>
          <w:szCs w:val="22"/>
          <w:highlight w:val="yellow"/>
          <w:bdr w:val="none" w:sz="0" w:space="0" w:color="auto" w:frame="1"/>
          <w:shd w:val="clear" w:color="auto" w:fill="FFFFFF"/>
        </w:rPr>
        <w:t>Act 2008</w:t>
      </w:r>
      <w:r w:rsidRPr="00756B69">
        <w:rPr>
          <w:rFonts w:ascii="Arial" w:hAnsi="Arial" w:cs="Arial"/>
          <w:i/>
          <w:iCs/>
          <w:sz w:val="22"/>
          <w:szCs w:val="22"/>
          <w:highlight w:val="yellow"/>
          <w:shd w:val="clear" w:color="auto" w:fill="FFFFFF"/>
        </w:rPr>
        <w:t> </w:t>
      </w:r>
      <w:r w:rsidRPr="00756B69">
        <w:rPr>
          <w:rFonts w:ascii="Arial" w:hAnsi="Arial" w:cs="Arial"/>
          <w:sz w:val="22"/>
          <w:szCs w:val="22"/>
          <w:highlight w:val="yellow"/>
          <w:shd w:val="clear" w:color="auto" w:fill="FFFFFF"/>
        </w:rPr>
        <w:t>(the Act) gives the force of law in Australia</w:t>
      </w:r>
      <w:r w:rsidRPr="00756B69">
        <w:rPr>
          <w:rFonts w:ascii="Arial" w:hAnsi="Arial" w:cs="Arial"/>
          <w:i/>
          <w:iCs/>
          <w:sz w:val="22"/>
          <w:szCs w:val="22"/>
          <w:highlight w:val="yellow"/>
          <w:shd w:val="clear" w:color="auto" w:fill="FFFFFF"/>
        </w:rPr>
        <w:t xml:space="preserve"> </w:t>
      </w:r>
      <w:r w:rsidRPr="00756B69">
        <w:rPr>
          <w:rFonts w:ascii="Arial" w:hAnsi="Arial" w:cs="Arial"/>
          <w:sz w:val="22"/>
          <w:szCs w:val="22"/>
          <w:highlight w:val="yellow"/>
          <w:shd w:val="clear" w:color="auto" w:fill="FFFFFF"/>
        </w:rPr>
        <w:t>to the</w:t>
      </w:r>
      <w:r w:rsidRPr="00756B69">
        <w:rPr>
          <w:rFonts w:ascii="Arial" w:hAnsi="Arial" w:cs="Arial"/>
          <w:i/>
          <w:iCs/>
          <w:sz w:val="22"/>
          <w:szCs w:val="22"/>
          <w:highlight w:val="yellow"/>
          <w:shd w:val="clear" w:color="auto" w:fill="FFFFFF"/>
        </w:rPr>
        <w:t xml:space="preserve"> </w:t>
      </w:r>
      <w:r w:rsidRPr="00756B69">
        <w:rPr>
          <w:rFonts w:ascii="Arial" w:hAnsi="Arial" w:cs="Arial"/>
          <w:sz w:val="22"/>
          <w:szCs w:val="22"/>
          <w:highlight w:val="yellow"/>
          <w:shd w:val="clear" w:color="auto" w:fill="FFFFFF"/>
        </w:rPr>
        <w:t>UNCITRAL</w:t>
      </w:r>
      <w:r w:rsidRPr="00756B69">
        <w:rPr>
          <w:rFonts w:ascii="Arial" w:hAnsi="Arial" w:cs="Arial"/>
          <w:i/>
          <w:iCs/>
          <w:sz w:val="22"/>
          <w:szCs w:val="22"/>
          <w:highlight w:val="yellow"/>
          <w:shd w:val="clear" w:color="auto" w:fill="FFFFFF"/>
        </w:rPr>
        <w:t> </w:t>
      </w:r>
      <w:r w:rsidRPr="00756B69">
        <w:rPr>
          <w:rStyle w:val="Emphasis"/>
          <w:rFonts w:ascii="Arial" w:hAnsi="Arial" w:cs="Arial"/>
          <w:i w:val="0"/>
          <w:iCs w:val="0"/>
          <w:sz w:val="22"/>
          <w:szCs w:val="22"/>
          <w:highlight w:val="yellow"/>
          <w:bdr w:val="none" w:sz="0" w:space="0" w:color="auto" w:frame="1"/>
          <w:shd w:val="clear" w:color="auto" w:fill="FFFFFF"/>
        </w:rPr>
        <w:t>Model Law on Cross-border Insolvency</w:t>
      </w:r>
      <w:r w:rsidRPr="00756B69">
        <w:rPr>
          <w:rStyle w:val="Emphasis"/>
          <w:rFonts w:ascii="Arial" w:hAnsi="Arial" w:cs="Arial"/>
          <w:sz w:val="22"/>
          <w:szCs w:val="22"/>
          <w:highlight w:val="yellow"/>
          <w:bdr w:val="none" w:sz="0" w:space="0" w:color="auto" w:frame="1"/>
          <w:shd w:val="clear" w:color="auto" w:fill="FFFFFF"/>
        </w:rPr>
        <w:t> </w:t>
      </w:r>
      <w:r w:rsidRPr="00756B69">
        <w:rPr>
          <w:rFonts w:ascii="Arial" w:hAnsi="Arial" w:cs="Arial"/>
          <w:b/>
          <w:bCs/>
          <w:sz w:val="22"/>
          <w:szCs w:val="22"/>
          <w:highlight w:val="yellow"/>
          <w:shd w:val="clear" w:color="auto" w:fill="FFFFFF"/>
        </w:rPr>
        <w:t>(</w:t>
      </w:r>
      <w:r w:rsidRPr="00756B69">
        <w:rPr>
          <w:rStyle w:val="Strong"/>
          <w:rFonts w:ascii="Arial" w:hAnsi="Arial" w:cs="Arial"/>
          <w:b w:val="0"/>
          <w:bCs w:val="0"/>
          <w:sz w:val="22"/>
          <w:szCs w:val="22"/>
          <w:highlight w:val="yellow"/>
          <w:bdr w:val="none" w:sz="0" w:space="0" w:color="auto" w:frame="1"/>
          <w:shd w:val="clear" w:color="auto" w:fill="FFFFFF"/>
        </w:rPr>
        <w:t>Model Law</w:t>
      </w:r>
      <w:r w:rsidRPr="00756B69">
        <w:rPr>
          <w:rFonts w:ascii="Arial" w:hAnsi="Arial" w:cs="Arial"/>
          <w:b/>
          <w:bCs/>
          <w:sz w:val="22"/>
          <w:szCs w:val="22"/>
          <w:highlight w:val="yellow"/>
          <w:shd w:val="clear" w:color="auto" w:fill="FFFFFF"/>
        </w:rPr>
        <w:t>). </w:t>
      </w:r>
    </w:p>
    <w:p w14:paraId="73107AD0" w14:textId="77777777" w:rsidR="00781022" w:rsidRPr="00756B69" w:rsidRDefault="00781022" w:rsidP="00781022">
      <w:pPr>
        <w:jc w:val="both"/>
        <w:rPr>
          <w:rFonts w:ascii="Arial" w:hAnsi="Arial" w:cs="Arial"/>
          <w:b/>
          <w:bCs/>
          <w:sz w:val="22"/>
          <w:szCs w:val="22"/>
          <w:highlight w:val="yellow"/>
          <w:shd w:val="clear" w:color="auto" w:fill="FFFFFF"/>
        </w:rPr>
      </w:pPr>
    </w:p>
    <w:p w14:paraId="786144F6" w14:textId="77777777" w:rsidR="00781022" w:rsidRPr="00756B69" w:rsidRDefault="00781022" w:rsidP="00984649">
      <w:pPr>
        <w:pStyle w:val="acthead5"/>
        <w:shd w:val="clear" w:color="auto" w:fill="FFFFFF"/>
        <w:spacing w:before="280" w:beforeAutospacing="0" w:after="0" w:afterAutospacing="0"/>
        <w:ind w:left="1134" w:hanging="1134"/>
        <w:rPr>
          <w:rStyle w:val="charsectno"/>
          <w:rFonts w:ascii="Arial" w:hAnsi="Arial" w:cs="Arial"/>
          <w:sz w:val="22"/>
          <w:szCs w:val="22"/>
          <w:highlight w:val="yellow"/>
          <w:lang w:val="en-AU"/>
        </w:rPr>
      </w:pPr>
    </w:p>
    <w:p w14:paraId="33A8140B" w14:textId="0DA46FCA" w:rsidR="00FE1768" w:rsidRPr="00756B69" w:rsidRDefault="00984649" w:rsidP="00984649">
      <w:pPr>
        <w:pStyle w:val="acthead5"/>
        <w:shd w:val="clear" w:color="auto" w:fill="FFFFFF"/>
        <w:spacing w:before="280" w:beforeAutospacing="0" w:after="0" w:afterAutospacing="0"/>
        <w:ind w:left="1134" w:hanging="1134"/>
        <w:rPr>
          <w:rStyle w:val="charsectno"/>
          <w:rFonts w:ascii="Arial" w:hAnsi="Arial" w:cs="Arial"/>
          <w:sz w:val="22"/>
          <w:szCs w:val="22"/>
          <w:highlight w:val="yellow"/>
          <w:lang w:val="en-AU"/>
        </w:rPr>
      </w:pPr>
      <w:r w:rsidRPr="00756B69">
        <w:rPr>
          <w:rStyle w:val="charsectno"/>
          <w:rFonts w:ascii="Arial" w:hAnsi="Arial" w:cs="Arial"/>
          <w:sz w:val="22"/>
          <w:szCs w:val="22"/>
          <w:highlight w:val="yellow"/>
          <w:lang w:val="en-AU"/>
        </w:rPr>
        <w:t xml:space="preserve">Section 16 </w:t>
      </w:r>
      <w:r w:rsidR="00FE1768" w:rsidRPr="00756B69">
        <w:rPr>
          <w:rStyle w:val="charsectno"/>
          <w:rFonts w:ascii="Arial" w:hAnsi="Arial" w:cs="Arial"/>
          <w:sz w:val="22"/>
          <w:szCs w:val="22"/>
          <w:highlight w:val="yellow"/>
          <w:lang w:val="en-AU"/>
        </w:rPr>
        <w:t>of the Cross Border Insolvency Act 2008</w:t>
      </w:r>
      <w:r w:rsidR="001217B5" w:rsidRPr="00756B69">
        <w:rPr>
          <w:rStyle w:val="charsectno"/>
          <w:rFonts w:ascii="Arial" w:hAnsi="Arial" w:cs="Arial"/>
          <w:sz w:val="22"/>
          <w:szCs w:val="22"/>
          <w:highlight w:val="yellow"/>
          <w:lang w:val="en-AU"/>
        </w:rPr>
        <w:t xml:space="preserve"> (‘The Act”)</w:t>
      </w:r>
      <w:r w:rsidR="00FE1768" w:rsidRPr="00756B69">
        <w:rPr>
          <w:rStyle w:val="charsectno"/>
          <w:rFonts w:ascii="Arial" w:hAnsi="Arial" w:cs="Arial"/>
          <w:sz w:val="22"/>
          <w:szCs w:val="22"/>
          <w:highlight w:val="yellow"/>
          <w:lang w:val="en-AU"/>
        </w:rPr>
        <w:t xml:space="preserve"> states: </w:t>
      </w:r>
    </w:p>
    <w:p w14:paraId="47D22E40" w14:textId="49F43BCD" w:rsidR="00984649" w:rsidRPr="00756B69" w:rsidRDefault="001217B5" w:rsidP="00984649">
      <w:pPr>
        <w:pStyle w:val="acthead5"/>
        <w:shd w:val="clear" w:color="auto" w:fill="FFFFFF"/>
        <w:spacing w:before="280" w:beforeAutospacing="0" w:after="0" w:afterAutospacing="0"/>
        <w:ind w:left="1134" w:hanging="1134"/>
        <w:rPr>
          <w:rFonts w:ascii="Arial" w:hAnsi="Arial" w:cs="Arial"/>
          <w:sz w:val="22"/>
          <w:szCs w:val="22"/>
          <w:highlight w:val="yellow"/>
        </w:rPr>
      </w:pPr>
      <w:r w:rsidRPr="00756B69">
        <w:rPr>
          <w:rFonts w:ascii="Arial" w:hAnsi="Arial" w:cs="Arial"/>
          <w:sz w:val="22"/>
          <w:szCs w:val="22"/>
          <w:highlight w:val="yellow"/>
          <w:lang w:val="en-AU"/>
        </w:rPr>
        <w:t>“Effects</w:t>
      </w:r>
      <w:r w:rsidR="00984649" w:rsidRPr="00756B69">
        <w:rPr>
          <w:rFonts w:ascii="Arial" w:hAnsi="Arial" w:cs="Arial"/>
          <w:sz w:val="22"/>
          <w:szCs w:val="22"/>
          <w:highlight w:val="yellow"/>
          <w:lang w:val="en-AU"/>
        </w:rPr>
        <w:t xml:space="preserve"> of recognition of a foreign main proceeding</w:t>
      </w:r>
      <w:bookmarkEnd w:id="6"/>
      <w:r w:rsidR="00984649" w:rsidRPr="00756B69">
        <w:rPr>
          <w:rFonts w:ascii="Arial" w:hAnsi="Arial" w:cs="Arial"/>
          <w:sz w:val="22"/>
          <w:szCs w:val="22"/>
          <w:highlight w:val="yellow"/>
          <w:lang w:val="en-AU"/>
        </w:rPr>
        <w:t>-</w:t>
      </w:r>
    </w:p>
    <w:p w14:paraId="65453A6B" w14:textId="77777777" w:rsidR="00984649" w:rsidRPr="00756B69" w:rsidRDefault="00984649" w:rsidP="00984649">
      <w:pPr>
        <w:pStyle w:val="subsection"/>
        <w:shd w:val="clear" w:color="auto" w:fill="FFFFFF"/>
        <w:spacing w:before="180" w:beforeAutospacing="0" w:after="0" w:afterAutospacing="0"/>
        <w:ind w:left="1134" w:hanging="1134"/>
        <w:rPr>
          <w:rFonts w:ascii="Arial" w:hAnsi="Arial" w:cs="Arial"/>
          <w:sz w:val="22"/>
          <w:szCs w:val="22"/>
          <w:highlight w:val="yellow"/>
        </w:rPr>
      </w:pPr>
      <w:r w:rsidRPr="00756B69">
        <w:rPr>
          <w:rFonts w:ascii="Arial" w:hAnsi="Arial" w:cs="Arial"/>
          <w:sz w:val="22"/>
          <w:szCs w:val="22"/>
          <w:highlight w:val="yellow"/>
          <w:lang w:val="en-AU"/>
        </w:rPr>
        <w:t>                   For the purposes of paragraph 2 of Article 20 of the Model Law (as it has the force of law in Australia), the scope and the modification or termination of the stay or suspension referred to in paragraph 1 of that Article, are the same as would apply if the stay or suspension arose under:</w:t>
      </w:r>
    </w:p>
    <w:p w14:paraId="2BDF0DAA" w14:textId="77777777" w:rsidR="00984649" w:rsidRPr="00756B69" w:rsidRDefault="00984649" w:rsidP="00984649">
      <w:pPr>
        <w:pStyle w:val="paragraph"/>
        <w:shd w:val="clear" w:color="auto" w:fill="FFFFFF"/>
        <w:spacing w:before="40" w:beforeAutospacing="0" w:after="0" w:afterAutospacing="0"/>
        <w:ind w:left="1644" w:hanging="1644"/>
        <w:rPr>
          <w:rFonts w:ascii="Arial" w:hAnsi="Arial" w:cs="Arial"/>
          <w:sz w:val="22"/>
          <w:szCs w:val="22"/>
          <w:highlight w:val="yellow"/>
        </w:rPr>
      </w:pPr>
      <w:r w:rsidRPr="00756B69">
        <w:rPr>
          <w:rFonts w:ascii="Arial" w:hAnsi="Arial" w:cs="Arial"/>
          <w:sz w:val="22"/>
          <w:szCs w:val="22"/>
          <w:highlight w:val="yellow"/>
          <w:lang w:val="en-AU"/>
        </w:rPr>
        <w:t>                     (a)  the </w:t>
      </w:r>
      <w:r w:rsidRPr="00756B69">
        <w:rPr>
          <w:rFonts w:ascii="Arial" w:hAnsi="Arial" w:cs="Arial"/>
          <w:i/>
          <w:iCs/>
          <w:sz w:val="22"/>
          <w:szCs w:val="22"/>
          <w:highlight w:val="yellow"/>
          <w:lang w:val="en-AU"/>
        </w:rPr>
        <w:t>Bankruptcy Act 1966</w:t>
      </w:r>
      <w:r w:rsidRPr="00756B69">
        <w:rPr>
          <w:rFonts w:ascii="Arial" w:hAnsi="Arial" w:cs="Arial"/>
          <w:sz w:val="22"/>
          <w:szCs w:val="22"/>
          <w:highlight w:val="yellow"/>
          <w:lang w:val="en-AU"/>
        </w:rPr>
        <w:t>; or</w:t>
      </w:r>
    </w:p>
    <w:p w14:paraId="271BF0BA" w14:textId="77777777" w:rsidR="00984649" w:rsidRPr="00756B69" w:rsidRDefault="00984649" w:rsidP="00984649">
      <w:pPr>
        <w:pStyle w:val="paragraph"/>
        <w:shd w:val="clear" w:color="auto" w:fill="FFFFFF"/>
        <w:spacing w:before="40" w:beforeAutospacing="0" w:after="0" w:afterAutospacing="0"/>
        <w:ind w:left="1644" w:hanging="1644"/>
        <w:rPr>
          <w:rFonts w:ascii="Arial" w:hAnsi="Arial" w:cs="Arial"/>
          <w:sz w:val="22"/>
          <w:szCs w:val="22"/>
          <w:highlight w:val="yellow"/>
        </w:rPr>
      </w:pPr>
      <w:r w:rsidRPr="00756B69">
        <w:rPr>
          <w:rFonts w:ascii="Arial" w:hAnsi="Arial" w:cs="Arial"/>
          <w:sz w:val="22"/>
          <w:szCs w:val="22"/>
          <w:highlight w:val="yellow"/>
          <w:lang w:val="en-AU"/>
        </w:rPr>
        <w:t>                     (b)  Chapter 5 (other than Parts 5.2 and 5.4A) of the </w:t>
      </w:r>
      <w:r w:rsidRPr="00756B69">
        <w:rPr>
          <w:rFonts w:ascii="Arial" w:hAnsi="Arial" w:cs="Arial"/>
          <w:i/>
          <w:iCs/>
          <w:sz w:val="22"/>
          <w:szCs w:val="22"/>
          <w:highlight w:val="yellow"/>
          <w:lang w:val="en-AU"/>
        </w:rPr>
        <w:t xml:space="preserve">Corporations Act </w:t>
      </w:r>
      <w:proofErr w:type="gramStart"/>
      <w:r w:rsidRPr="00756B69">
        <w:rPr>
          <w:rFonts w:ascii="Arial" w:hAnsi="Arial" w:cs="Arial"/>
          <w:i/>
          <w:iCs/>
          <w:sz w:val="22"/>
          <w:szCs w:val="22"/>
          <w:highlight w:val="yellow"/>
          <w:lang w:val="en-AU"/>
        </w:rPr>
        <w:t>2001</w:t>
      </w:r>
      <w:r w:rsidRPr="00756B69">
        <w:rPr>
          <w:rFonts w:ascii="Arial" w:hAnsi="Arial" w:cs="Arial"/>
          <w:sz w:val="22"/>
          <w:szCs w:val="22"/>
          <w:highlight w:val="yellow"/>
          <w:lang w:val="en-AU"/>
        </w:rPr>
        <w:t>;</w:t>
      </w:r>
      <w:proofErr w:type="gramEnd"/>
    </w:p>
    <w:p w14:paraId="75EECB5C" w14:textId="1D8F560A" w:rsidR="00984649" w:rsidRPr="00756B69" w:rsidRDefault="00984649" w:rsidP="00984649">
      <w:pPr>
        <w:pStyle w:val="subsection2"/>
        <w:shd w:val="clear" w:color="auto" w:fill="FFFFFF"/>
        <w:spacing w:before="40" w:beforeAutospacing="0" w:after="0" w:afterAutospacing="0"/>
        <w:ind w:left="1134"/>
        <w:rPr>
          <w:rFonts w:ascii="Arial" w:hAnsi="Arial" w:cs="Arial"/>
          <w:sz w:val="22"/>
          <w:szCs w:val="22"/>
          <w:highlight w:val="yellow"/>
          <w:lang w:val="en-AU"/>
        </w:rPr>
      </w:pPr>
      <w:r w:rsidRPr="00756B69">
        <w:rPr>
          <w:rFonts w:ascii="Arial" w:hAnsi="Arial" w:cs="Arial"/>
          <w:sz w:val="22"/>
          <w:szCs w:val="22"/>
          <w:highlight w:val="yellow"/>
          <w:lang w:val="en-AU"/>
        </w:rPr>
        <w:t>as the case requires.</w:t>
      </w:r>
      <w:r w:rsidR="00FE1768" w:rsidRPr="00756B69">
        <w:rPr>
          <w:rFonts w:ascii="Arial" w:hAnsi="Arial" w:cs="Arial"/>
          <w:sz w:val="22"/>
          <w:szCs w:val="22"/>
          <w:highlight w:val="yellow"/>
          <w:lang w:val="en-AU"/>
        </w:rPr>
        <w:t>”</w:t>
      </w:r>
    </w:p>
    <w:p w14:paraId="523136C8" w14:textId="77777777" w:rsidR="001217B5" w:rsidRPr="00756B69" w:rsidRDefault="001217B5" w:rsidP="001217B5">
      <w:pPr>
        <w:pStyle w:val="subsection2"/>
        <w:shd w:val="clear" w:color="auto" w:fill="FFFFFF"/>
        <w:spacing w:before="40" w:beforeAutospacing="0" w:after="0" w:afterAutospacing="0"/>
        <w:rPr>
          <w:rFonts w:ascii="Arial" w:hAnsi="Arial" w:cs="Arial"/>
          <w:sz w:val="22"/>
          <w:szCs w:val="22"/>
          <w:highlight w:val="yellow"/>
          <w:lang w:val="en-AU"/>
        </w:rPr>
      </w:pPr>
    </w:p>
    <w:p w14:paraId="48DD1B04" w14:textId="5325219F" w:rsidR="00B04780" w:rsidRPr="00756B69" w:rsidRDefault="001217B5" w:rsidP="001217B5">
      <w:pPr>
        <w:pStyle w:val="subsection2"/>
        <w:shd w:val="clear" w:color="auto" w:fill="FFFFFF"/>
        <w:spacing w:before="40" w:beforeAutospacing="0" w:after="0" w:afterAutospacing="0"/>
        <w:rPr>
          <w:rFonts w:ascii="Arial" w:hAnsi="Arial" w:cs="Arial"/>
          <w:sz w:val="22"/>
          <w:szCs w:val="22"/>
          <w:highlight w:val="yellow"/>
          <w:lang w:val="en-AU"/>
        </w:rPr>
      </w:pPr>
      <w:r w:rsidRPr="00756B69">
        <w:rPr>
          <w:rFonts w:ascii="Arial" w:hAnsi="Arial" w:cs="Arial"/>
          <w:sz w:val="22"/>
          <w:szCs w:val="22"/>
          <w:highlight w:val="yellow"/>
          <w:lang w:val="en-AU"/>
        </w:rPr>
        <w:t xml:space="preserve">Article 20 in </w:t>
      </w:r>
      <w:r w:rsidR="00781022" w:rsidRPr="00756B69">
        <w:rPr>
          <w:rFonts w:ascii="Arial" w:hAnsi="Arial" w:cs="Arial"/>
          <w:sz w:val="22"/>
          <w:szCs w:val="22"/>
          <w:highlight w:val="yellow"/>
          <w:lang w:val="en-AU"/>
        </w:rPr>
        <w:t xml:space="preserve">the Model Law </w:t>
      </w:r>
      <w:r w:rsidRPr="00756B69">
        <w:rPr>
          <w:rFonts w:ascii="Arial" w:hAnsi="Arial" w:cs="Arial"/>
          <w:sz w:val="22"/>
          <w:szCs w:val="22"/>
          <w:highlight w:val="yellow"/>
          <w:lang w:val="en-AU"/>
        </w:rPr>
        <w:t>provides that:</w:t>
      </w:r>
    </w:p>
    <w:p w14:paraId="65E704EB" w14:textId="77777777" w:rsidR="001217B5" w:rsidRPr="00756B69" w:rsidRDefault="001217B5" w:rsidP="001217B5">
      <w:pPr>
        <w:shd w:val="clear" w:color="auto" w:fill="FFFFFF"/>
        <w:spacing w:after="240" w:line="260" w:lineRule="atLeast"/>
        <w:rPr>
          <w:rFonts w:ascii="Arial" w:hAnsi="Arial" w:cs="Arial"/>
          <w:i/>
          <w:iCs/>
          <w:sz w:val="22"/>
          <w:szCs w:val="22"/>
          <w:highlight w:val="yellow"/>
          <w:lang w:val="en-AU"/>
        </w:rPr>
      </w:pPr>
    </w:p>
    <w:p w14:paraId="5FA3E473" w14:textId="2B709854" w:rsidR="00327917" w:rsidRPr="00756B69" w:rsidRDefault="001217B5" w:rsidP="001217B5">
      <w:pPr>
        <w:shd w:val="clear" w:color="auto" w:fill="FFFFFF"/>
        <w:spacing w:after="240" w:line="260" w:lineRule="atLeast"/>
        <w:rPr>
          <w:rFonts w:ascii="Arial" w:hAnsi="Arial" w:cs="Arial"/>
          <w:sz w:val="22"/>
          <w:szCs w:val="22"/>
          <w:highlight w:val="yellow"/>
        </w:rPr>
      </w:pPr>
      <w:r w:rsidRPr="00756B69">
        <w:rPr>
          <w:rFonts w:ascii="Arial" w:hAnsi="Arial" w:cs="Arial"/>
          <w:i/>
          <w:iCs/>
          <w:sz w:val="22"/>
          <w:szCs w:val="22"/>
          <w:highlight w:val="yellow"/>
          <w:lang w:val="en-AU"/>
        </w:rPr>
        <w:t>“</w:t>
      </w:r>
      <w:r w:rsidR="00327917" w:rsidRPr="00756B69">
        <w:rPr>
          <w:rFonts w:ascii="Arial" w:hAnsi="Arial" w:cs="Arial"/>
          <w:i/>
          <w:iCs/>
          <w:sz w:val="22"/>
          <w:szCs w:val="22"/>
          <w:highlight w:val="yellow"/>
          <w:lang w:val="en-AU"/>
        </w:rPr>
        <w:t>Effects of recognition of a foreign main proceeding</w:t>
      </w:r>
    </w:p>
    <w:p w14:paraId="2D7FF95A" w14:textId="77777777" w:rsidR="00327917" w:rsidRPr="00756B69" w:rsidRDefault="00327917" w:rsidP="001217B5">
      <w:pPr>
        <w:shd w:val="clear" w:color="auto" w:fill="FFFFFF"/>
        <w:spacing w:after="240" w:line="260" w:lineRule="atLeast"/>
        <w:ind w:firstLine="720"/>
        <w:rPr>
          <w:rFonts w:ascii="Arial" w:hAnsi="Arial" w:cs="Arial"/>
          <w:sz w:val="22"/>
          <w:szCs w:val="22"/>
          <w:highlight w:val="yellow"/>
        </w:rPr>
      </w:pPr>
      <w:r w:rsidRPr="00756B69">
        <w:rPr>
          <w:rFonts w:ascii="Arial" w:hAnsi="Arial" w:cs="Arial"/>
          <w:sz w:val="22"/>
          <w:szCs w:val="22"/>
          <w:highlight w:val="yellow"/>
          <w:lang w:val="en-AU"/>
        </w:rPr>
        <w:t>1.         Upon recognition of a foreign proceeding that is a foreign main proceeding:</w:t>
      </w:r>
    </w:p>
    <w:p w14:paraId="218DC8EA" w14:textId="77777777" w:rsidR="00327917" w:rsidRPr="00756B69" w:rsidRDefault="00327917" w:rsidP="001217B5">
      <w:pPr>
        <w:shd w:val="clear" w:color="auto" w:fill="FFFFFF"/>
        <w:spacing w:after="240" w:line="260" w:lineRule="atLeast"/>
        <w:ind w:left="720"/>
        <w:rPr>
          <w:rFonts w:ascii="Arial" w:hAnsi="Arial" w:cs="Arial"/>
          <w:sz w:val="22"/>
          <w:szCs w:val="22"/>
          <w:highlight w:val="yellow"/>
        </w:rPr>
      </w:pPr>
      <w:r w:rsidRPr="00756B69">
        <w:rPr>
          <w:rFonts w:ascii="Arial" w:hAnsi="Arial" w:cs="Arial"/>
          <w:sz w:val="22"/>
          <w:szCs w:val="22"/>
          <w:highlight w:val="yellow"/>
          <w:lang w:val="en-AU"/>
        </w:rPr>
        <w:t>(</w:t>
      </w:r>
      <w:r w:rsidRPr="00756B69">
        <w:rPr>
          <w:rFonts w:ascii="Arial" w:hAnsi="Arial" w:cs="Arial"/>
          <w:i/>
          <w:iCs/>
          <w:sz w:val="22"/>
          <w:szCs w:val="22"/>
          <w:highlight w:val="yellow"/>
          <w:lang w:val="en-AU"/>
        </w:rPr>
        <w:t>a</w:t>
      </w:r>
      <w:r w:rsidRPr="00756B69">
        <w:rPr>
          <w:rFonts w:ascii="Arial" w:hAnsi="Arial" w:cs="Arial"/>
          <w:sz w:val="22"/>
          <w:szCs w:val="22"/>
          <w:highlight w:val="yellow"/>
          <w:lang w:val="en-AU"/>
        </w:rPr>
        <w:t xml:space="preserve">)  Commencement or continuation of individual actions or individual proceedings concerning the debtor’s assets, rights, obligations or liabilities is </w:t>
      </w:r>
      <w:proofErr w:type="gramStart"/>
      <w:r w:rsidRPr="00756B69">
        <w:rPr>
          <w:rFonts w:ascii="Arial" w:hAnsi="Arial" w:cs="Arial"/>
          <w:sz w:val="22"/>
          <w:szCs w:val="22"/>
          <w:highlight w:val="yellow"/>
          <w:lang w:val="en-AU"/>
        </w:rPr>
        <w:t>stayed;</w:t>
      </w:r>
      <w:proofErr w:type="gramEnd"/>
    </w:p>
    <w:p w14:paraId="57617CF7" w14:textId="1990A210" w:rsidR="00327917" w:rsidRPr="00756B69" w:rsidRDefault="00327917" w:rsidP="00327917">
      <w:pPr>
        <w:shd w:val="clear" w:color="auto" w:fill="FFFFFF"/>
        <w:spacing w:line="260" w:lineRule="atLeast"/>
        <w:rPr>
          <w:rFonts w:ascii="Arial" w:hAnsi="Arial" w:cs="Arial"/>
          <w:sz w:val="22"/>
          <w:szCs w:val="22"/>
          <w:highlight w:val="yellow"/>
        </w:rPr>
      </w:pPr>
      <w:r w:rsidRPr="00756B69">
        <w:rPr>
          <w:rFonts w:ascii="Arial" w:hAnsi="Arial" w:cs="Arial"/>
          <w:sz w:val="22"/>
          <w:szCs w:val="22"/>
          <w:highlight w:val="yellow"/>
          <w:lang w:val="en-AU"/>
        </w:rPr>
        <w:t>            (</w:t>
      </w:r>
      <w:r w:rsidRPr="00756B69">
        <w:rPr>
          <w:rFonts w:ascii="Arial" w:hAnsi="Arial" w:cs="Arial"/>
          <w:i/>
          <w:iCs/>
          <w:sz w:val="22"/>
          <w:szCs w:val="22"/>
          <w:highlight w:val="yellow"/>
          <w:lang w:val="en-AU"/>
        </w:rPr>
        <w:t>b</w:t>
      </w:r>
      <w:r w:rsidRPr="00756B69">
        <w:rPr>
          <w:rFonts w:ascii="Arial" w:hAnsi="Arial" w:cs="Arial"/>
          <w:sz w:val="22"/>
          <w:szCs w:val="22"/>
          <w:highlight w:val="yellow"/>
          <w:lang w:val="en-AU"/>
        </w:rPr>
        <w:t>)  Execution against the debtor’s assets is stayed;</w:t>
      </w:r>
      <w:r w:rsidRPr="00756B69">
        <w:rPr>
          <w:rFonts w:ascii="Arial" w:hAnsi="Arial" w:cs="Arial"/>
          <w:sz w:val="22"/>
          <w:szCs w:val="22"/>
          <w:highlight w:val="yellow"/>
          <w:lang w:val="en-AU"/>
        </w:rPr>
        <w:br/>
      </w:r>
    </w:p>
    <w:p w14:paraId="6EA55ABA" w14:textId="0366C1A6" w:rsidR="00327917" w:rsidRPr="00756B69" w:rsidRDefault="00327917" w:rsidP="00344057">
      <w:pPr>
        <w:shd w:val="clear" w:color="auto" w:fill="FFFFFF"/>
        <w:spacing w:line="260" w:lineRule="atLeast"/>
        <w:ind w:left="720"/>
        <w:rPr>
          <w:rFonts w:ascii="Arial" w:hAnsi="Arial" w:cs="Arial"/>
          <w:sz w:val="22"/>
          <w:szCs w:val="22"/>
          <w:highlight w:val="yellow"/>
          <w:lang w:val="en-GB"/>
        </w:rPr>
      </w:pPr>
      <w:r w:rsidRPr="00756B69">
        <w:rPr>
          <w:rFonts w:ascii="Arial" w:hAnsi="Arial" w:cs="Arial"/>
          <w:sz w:val="22"/>
          <w:szCs w:val="22"/>
          <w:highlight w:val="yellow"/>
          <w:lang w:val="en-AU"/>
        </w:rPr>
        <w:t> (</w:t>
      </w:r>
      <w:r w:rsidRPr="00756B69">
        <w:rPr>
          <w:rFonts w:ascii="Arial" w:hAnsi="Arial" w:cs="Arial"/>
          <w:i/>
          <w:iCs/>
          <w:sz w:val="22"/>
          <w:szCs w:val="22"/>
          <w:highlight w:val="yellow"/>
          <w:lang w:val="en-AU"/>
        </w:rPr>
        <w:t>c</w:t>
      </w:r>
      <w:r w:rsidRPr="00756B69">
        <w:rPr>
          <w:rFonts w:ascii="Arial" w:hAnsi="Arial" w:cs="Arial"/>
          <w:sz w:val="22"/>
          <w:szCs w:val="22"/>
          <w:highlight w:val="yellow"/>
          <w:lang w:val="en-AU"/>
        </w:rPr>
        <w:t>)  The right to transfer, encumber or otherwise dispose of any assets of the debtor is suspended</w:t>
      </w:r>
      <w:r w:rsidR="001217B5" w:rsidRPr="00756B69">
        <w:rPr>
          <w:rFonts w:ascii="Arial" w:hAnsi="Arial" w:cs="Arial"/>
          <w:sz w:val="22"/>
          <w:szCs w:val="22"/>
          <w:highlight w:val="yellow"/>
          <w:lang w:val="en-AU"/>
        </w:rPr>
        <w:t>…”</w:t>
      </w:r>
      <w:r w:rsidRPr="00756B69">
        <w:rPr>
          <w:rFonts w:ascii="Arial" w:hAnsi="Arial" w:cs="Arial"/>
          <w:sz w:val="22"/>
          <w:szCs w:val="22"/>
          <w:highlight w:val="yellow"/>
          <w:lang w:val="en-AU"/>
        </w:rPr>
        <w:br/>
      </w:r>
      <w:r w:rsidRPr="00756B69">
        <w:rPr>
          <w:rFonts w:ascii="Arial" w:hAnsi="Arial" w:cs="Arial"/>
          <w:sz w:val="22"/>
          <w:szCs w:val="22"/>
          <w:highlight w:val="yellow"/>
          <w:lang w:val="en-AU"/>
        </w:rPr>
        <w:br/>
      </w:r>
    </w:p>
    <w:p w14:paraId="71F39E8B" w14:textId="4A1D16B3" w:rsidR="00BC6E9C" w:rsidRPr="00457159" w:rsidRDefault="00D04718" w:rsidP="007B0228">
      <w:pPr>
        <w:jc w:val="both"/>
        <w:rPr>
          <w:rFonts w:ascii="Arial" w:hAnsi="Arial" w:cs="Arial"/>
          <w:sz w:val="22"/>
          <w:szCs w:val="22"/>
          <w:highlight w:val="yellow"/>
        </w:rPr>
      </w:pPr>
      <w:r w:rsidRPr="00457159">
        <w:rPr>
          <w:rFonts w:ascii="Arial" w:hAnsi="Arial" w:cs="Arial"/>
          <w:sz w:val="22"/>
          <w:szCs w:val="22"/>
          <w:highlight w:val="yellow"/>
        </w:rPr>
        <w:t xml:space="preserve">In Tai-Soo Suk v Hanjin Shipping Co Ltd [2016] FCA 1404 </w:t>
      </w:r>
      <w:r w:rsidR="00BD3F3D" w:rsidRPr="00457159">
        <w:rPr>
          <w:rFonts w:ascii="Arial" w:hAnsi="Arial" w:cs="Arial"/>
          <w:sz w:val="22"/>
          <w:szCs w:val="22"/>
          <w:highlight w:val="yellow"/>
        </w:rPr>
        <w:t>t</w:t>
      </w:r>
      <w:r w:rsidRPr="00457159">
        <w:rPr>
          <w:rFonts w:ascii="Arial" w:hAnsi="Arial" w:cs="Arial"/>
          <w:sz w:val="22"/>
          <w:szCs w:val="22"/>
          <w:highlight w:val="yellow"/>
        </w:rPr>
        <w:t>he plaintiff sought a declaration that the “scope and the modification or termination of the stay or suspension” arising under article 20(1) of the Model Law as affected by s 16 of the CBIA, “are the same as would apply if the stay and suspension arose under Part 5.3A of the Corporations Act 2001</w:t>
      </w:r>
      <w:r w:rsidR="00BD3F3D" w:rsidRPr="00457159">
        <w:rPr>
          <w:rFonts w:ascii="Arial" w:hAnsi="Arial" w:cs="Arial"/>
          <w:sz w:val="22"/>
          <w:szCs w:val="22"/>
          <w:highlight w:val="yellow"/>
        </w:rPr>
        <w:t xml:space="preserve">.  </w:t>
      </w:r>
      <w:r w:rsidR="00BC6E9C" w:rsidRPr="00457159">
        <w:rPr>
          <w:rFonts w:ascii="Arial" w:hAnsi="Arial" w:cs="Arial"/>
          <w:sz w:val="22"/>
          <w:szCs w:val="22"/>
          <w:highlight w:val="yellow"/>
        </w:rPr>
        <w:t>Chapter 5 of the Corporations Act, to the extent relevant, includes the following Parts: (1) Part 5.1 (scheme of arrangement) – no stay applies. (2) Part 5.3A (voluntary administration) – ss 440A-440JA provide for stays. (3) Part 5.4/Part 5.4B (Court-ordered liquidation) – ss 467, 471B and 471C provide for stays. (4) Part 5.5 (voluntary liquidation) –s 500 provides for a stay.</w:t>
      </w:r>
    </w:p>
    <w:p w14:paraId="2DA966E3" w14:textId="77777777" w:rsidR="00BC6E9C" w:rsidRPr="00457159" w:rsidRDefault="00BC6E9C" w:rsidP="007B0228">
      <w:pPr>
        <w:jc w:val="both"/>
        <w:rPr>
          <w:rFonts w:ascii="Arial" w:hAnsi="Arial" w:cs="Arial"/>
          <w:sz w:val="22"/>
          <w:szCs w:val="22"/>
          <w:highlight w:val="yellow"/>
        </w:rPr>
      </w:pPr>
    </w:p>
    <w:p w14:paraId="7D777226" w14:textId="7C560FE8" w:rsidR="00344057" w:rsidRPr="00457159" w:rsidRDefault="00BD3F3D" w:rsidP="007B0228">
      <w:pPr>
        <w:jc w:val="both"/>
        <w:rPr>
          <w:rFonts w:ascii="Arial" w:hAnsi="Arial" w:cs="Arial"/>
          <w:color w:val="000000"/>
          <w:sz w:val="22"/>
          <w:szCs w:val="22"/>
          <w:highlight w:val="yellow"/>
          <w:shd w:val="clear" w:color="auto" w:fill="FFFFFF"/>
        </w:rPr>
      </w:pPr>
      <w:r w:rsidRPr="00457159">
        <w:rPr>
          <w:rFonts w:ascii="Arial" w:hAnsi="Arial" w:cs="Arial"/>
          <w:sz w:val="22"/>
          <w:szCs w:val="22"/>
          <w:highlight w:val="yellow"/>
        </w:rPr>
        <w:t xml:space="preserve">The court answered the question in the affirmative and held that the stay which “should apply” is the stay the “case requires” which is determined by the nature of the foreign proceedings compared to the nature of proceedings under the relevant Parts of the Corporations Act. </w:t>
      </w:r>
      <w:r w:rsidR="00A82FA7" w:rsidRPr="00457159">
        <w:rPr>
          <w:rFonts w:ascii="Arial" w:hAnsi="Arial" w:cs="Arial"/>
          <w:sz w:val="22"/>
          <w:szCs w:val="22"/>
          <w:highlight w:val="yellow"/>
        </w:rPr>
        <w:t>Further t</w:t>
      </w:r>
      <w:r w:rsidR="00A82FA7" w:rsidRPr="00457159">
        <w:rPr>
          <w:rFonts w:ascii="Arial" w:hAnsi="Arial" w:cs="Arial"/>
          <w:color w:val="000000"/>
          <w:sz w:val="22"/>
          <w:szCs w:val="22"/>
          <w:highlight w:val="yellow"/>
          <w:shd w:val="clear" w:color="auto" w:fill="FFFFFF"/>
        </w:rPr>
        <w:t xml:space="preserve">he Court does not have a discretion regarding the imposition and scope of the automatic stay, which comes into effect pursuant to Article 20 of the Model. </w:t>
      </w:r>
    </w:p>
    <w:p w14:paraId="6E24CB8C" w14:textId="77777777" w:rsidR="00A82FA7" w:rsidRPr="00756B69" w:rsidRDefault="00A82FA7" w:rsidP="007B0228">
      <w:pPr>
        <w:jc w:val="both"/>
        <w:rPr>
          <w:rFonts w:ascii="Georgia" w:hAnsi="Georgia"/>
          <w:color w:val="000000"/>
          <w:sz w:val="26"/>
          <w:szCs w:val="26"/>
          <w:highlight w:val="yellow"/>
          <w:shd w:val="clear" w:color="auto" w:fill="FFFFFF"/>
        </w:rPr>
      </w:pPr>
    </w:p>
    <w:p w14:paraId="27E5FC22" w14:textId="77777777" w:rsidR="004205BB" w:rsidRPr="00756B69" w:rsidRDefault="00A82FA7" w:rsidP="00A82FA7">
      <w:pPr>
        <w:pStyle w:val="NormalWeb"/>
        <w:shd w:val="clear" w:color="auto" w:fill="FFFFFF"/>
        <w:rPr>
          <w:rFonts w:ascii="Arial" w:hAnsi="Arial" w:cs="Arial"/>
          <w:sz w:val="22"/>
          <w:szCs w:val="22"/>
          <w:highlight w:val="yellow"/>
          <w:shd w:val="clear" w:color="auto" w:fill="FFFFFF"/>
        </w:rPr>
      </w:pPr>
      <w:r w:rsidRPr="00756B69">
        <w:rPr>
          <w:rFonts w:ascii="Arial" w:hAnsi="Arial" w:cs="Arial"/>
          <w:sz w:val="22"/>
          <w:szCs w:val="22"/>
          <w:highlight w:val="yellow"/>
        </w:rPr>
        <w:t xml:space="preserve">In </w:t>
      </w:r>
      <w:r w:rsidRPr="00756B69">
        <w:rPr>
          <w:rFonts w:ascii="Arial" w:hAnsi="Arial" w:cs="Arial"/>
          <w:sz w:val="22"/>
          <w:szCs w:val="22"/>
          <w:highlight w:val="yellow"/>
          <w:shd w:val="clear" w:color="auto" w:fill="FFFFFF"/>
        </w:rPr>
        <w:t xml:space="preserve">Borrelli (Liquidator) v Orthogonal Trading Ltd (in </w:t>
      </w:r>
      <w:proofErr w:type="spellStart"/>
      <w:r w:rsidRPr="00756B69">
        <w:rPr>
          <w:rFonts w:ascii="Arial" w:hAnsi="Arial" w:cs="Arial"/>
          <w:sz w:val="22"/>
          <w:szCs w:val="22"/>
          <w:highlight w:val="yellow"/>
          <w:shd w:val="clear" w:color="auto" w:fill="FFFFFF"/>
        </w:rPr>
        <w:t>liq</w:t>
      </w:r>
      <w:proofErr w:type="spellEnd"/>
      <w:r w:rsidRPr="00756B69">
        <w:rPr>
          <w:rFonts w:ascii="Arial" w:hAnsi="Arial" w:cs="Arial"/>
          <w:sz w:val="22"/>
          <w:szCs w:val="22"/>
          <w:highlight w:val="yellow"/>
          <w:shd w:val="clear" w:color="auto" w:fill="FFFFFF"/>
        </w:rPr>
        <w:t>) (a company registered in the British Virgin Islands) [2023] FCA 393</w:t>
      </w:r>
      <w:r w:rsidR="004205BB" w:rsidRPr="00756B69">
        <w:rPr>
          <w:rFonts w:ascii="Arial" w:hAnsi="Arial" w:cs="Arial"/>
          <w:sz w:val="22"/>
          <w:szCs w:val="22"/>
          <w:highlight w:val="yellow"/>
          <w:shd w:val="clear" w:color="auto" w:fill="FFFFFF"/>
        </w:rPr>
        <w:t xml:space="preserve">, the </w:t>
      </w:r>
      <w:r w:rsidRPr="00756B69">
        <w:rPr>
          <w:rFonts w:ascii="Arial" w:hAnsi="Arial" w:cs="Arial"/>
          <w:sz w:val="22"/>
          <w:szCs w:val="22"/>
          <w:highlight w:val="yellow"/>
          <w:shd w:val="clear" w:color="auto" w:fill="FFFFFF"/>
        </w:rPr>
        <w:t xml:space="preserve">Court at paragraph 27 </w:t>
      </w:r>
      <w:proofErr w:type="gramStart"/>
      <w:r w:rsidR="004205BB" w:rsidRPr="00756B69">
        <w:rPr>
          <w:rFonts w:ascii="Arial" w:hAnsi="Arial" w:cs="Arial"/>
          <w:sz w:val="22"/>
          <w:szCs w:val="22"/>
          <w:highlight w:val="yellow"/>
          <w:shd w:val="clear" w:color="auto" w:fill="FFFFFF"/>
        </w:rPr>
        <w:t>stated :</w:t>
      </w:r>
      <w:proofErr w:type="gramEnd"/>
    </w:p>
    <w:p w14:paraId="0DCDEF92" w14:textId="1CB1EF79" w:rsidR="004205BB" w:rsidRPr="00756B69" w:rsidRDefault="00A82FA7" w:rsidP="004205BB">
      <w:pPr>
        <w:pStyle w:val="NormalWeb"/>
        <w:shd w:val="clear" w:color="auto" w:fill="FFFFFF"/>
        <w:ind w:left="720"/>
        <w:rPr>
          <w:rFonts w:ascii="Arial" w:hAnsi="Arial" w:cs="Arial"/>
          <w:sz w:val="22"/>
          <w:szCs w:val="22"/>
          <w:highlight w:val="yellow"/>
        </w:rPr>
      </w:pPr>
      <w:r w:rsidRPr="00756B69">
        <w:rPr>
          <w:rFonts w:ascii="Arial" w:hAnsi="Arial" w:cs="Arial"/>
          <w:b/>
          <w:bCs/>
          <w:sz w:val="22"/>
          <w:szCs w:val="22"/>
          <w:highlight w:val="yellow"/>
          <w:shd w:val="clear" w:color="auto" w:fill="FFFFFF"/>
        </w:rPr>
        <w:t>“</w:t>
      </w:r>
      <w:r w:rsidRPr="00756B69">
        <w:rPr>
          <w:rFonts w:ascii="Arial" w:hAnsi="Arial" w:cs="Arial"/>
          <w:sz w:val="22"/>
          <w:szCs w:val="22"/>
          <w:highlight w:val="yellow"/>
        </w:rPr>
        <w:t xml:space="preserve">The question for the Court in </w:t>
      </w:r>
      <w:proofErr w:type="spellStart"/>
      <w:r w:rsidRPr="00756B69">
        <w:rPr>
          <w:rFonts w:ascii="Arial" w:hAnsi="Arial" w:cs="Arial"/>
          <w:sz w:val="22"/>
          <w:szCs w:val="22"/>
          <w:highlight w:val="yellow"/>
        </w:rPr>
        <w:t>recognising</w:t>
      </w:r>
      <w:proofErr w:type="spellEnd"/>
      <w:r w:rsidRPr="00756B69">
        <w:rPr>
          <w:rFonts w:ascii="Arial" w:hAnsi="Arial" w:cs="Arial"/>
          <w:sz w:val="22"/>
          <w:szCs w:val="22"/>
          <w:highlight w:val="yellow"/>
        </w:rPr>
        <w:t xml:space="preserve"> foreign proceedings in respect of a corporation is whether “the case requires” the stay that would apply in a voluntary administration or the stay that would apply in a liquidation. In answering that question, the Australian Court looks to whether the foreign proceeding is more akin to </w:t>
      </w:r>
      <w:r w:rsidRPr="00756B69">
        <w:rPr>
          <w:rFonts w:ascii="Arial" w:hAnsi="Arial" w:cs="Arial"/>
          <w:sz w:val="22"/>
          <w:szCs w:val="22"/>
          <w:highlight w:val="yellow"/>
        </w:rPr>
        <w:lastRenderedPageBreak/>
        <w:t>a voluntary administration or a liquidation: </w:t>
      </w:r>
      <w:hyperlink r:id="rId10" w:history="1">
        <w:r w:rsidRPr="00756B69">
          <w:rPr>
            <w:rStyle w:val="Hyperlink"/>
            <w:rFonts w:ascii="Arial" w:hAnsi="Arial" w:cs="Arial"/>
            <w:i/>
            <w:iCs/>
            <w:color w:val="auto"/>
            <w:sz w:val="22"/>
            <w:szCs w:val="22"/>
            <w:highlight w:val="yellow"/>
          </w:rPr>
          <w:t>Tai-Soo Suk</w:t>
        </w:r>
      </w:hyperlink>
      <w:r w:rsidRPr="00756B69">
        <w:rPr>
          <w:rFonts w:ascii="Arial" w:hAnsi="Arial" w:cs="Arial"/>
          <w:sz w:val="22"/>
          <w:szCs w:val="22"/>
          <w:highlight w:val="yellow"/>
        </w:rPr>
        <w:t> at </w:t>
      </w:r>
      <w:hyperlink r:id="rId11" w:history="1">
        <w:r w:rsidRPr="00756B69">
          <w:rPr>
            <w:rStyle w:val="Hyperlink"/>
            <w:rFonts w:ascii="Arial" w:hAnsi="Arial" w:cs="Arial"/>
            <w:color w:val="auto"/>
            <w:sz w:val="22"/>
            <w:szCs w:val="22"/>
            <w:highlight w:val="yellow"/>
          </w:rPr>
          <w:t>[37]</w:t>
        </w:r>
      </w:hyperlink>
      <w:r w:rsidRPr="00756B69">
        <w:rPr>
          <w:rFonts w:ascii="Arial" w:hAnsi="Arial" w:cs="Arial"/>
          <w:sz w:val="22"/>
          <w:szCs w:val="22"/>
          <w:highlight w:val="yellow"/>
        </w:rPr>
        <w:t> and </w:t>
      </w:r>
      <w:hyperlink r:id="rId12" w:history="1">
        <w:r w:rsidRPr="00756B69">
          <w:rPr>
            <w:rStyle w:val="Hyperlink"/>
            <w:rFonts w:ascii="Arial" w:hAnsi="Arial" w:cs="Arial"/>
            <w:color w:val="auto"/>
            <w:sz w:val="22"/>
            <w:szCs w:val="22"/>
            <w:highlight w:val="yellow"/>
          </w:rPr>
          <w:t>[51]</w:t>
        </w:r>
      </w:hyperlink>
      <w:r w:rsidRPr="00756B69">
        <w:rPr>
          <w:rFonts w:ascii="Arial" w:hAnsi="Arial" w:cs="Arial"/>
          <w:sz w:val="22"/>
          <w:szCs w:val="22"/>
          <w:highlight w:val="yellow"/>
        </w:rPr>
        <w:t> (</w:t>
      </w:r>
      <w:proofErr w:type="spellStart"/>
      <w:r w:rsidRPr="00756B69">
        <w:rPr>
          <w:rFonts w:ascii="Arial" w:hAnsi="Arial" w:cs="Arial"/>
          <w:sz w:val="22"/>
          <w:szCs w:val="22"/>
          <w:highlight w:val="yellow"/>
        </w:rPr>
        <w:t>Jagot</w:t>
      </w:r>
      <w:proofErr w:type="spellEnd"/>
      <w:r w:rsidRPr="00756B69">
        <w:rPr>
          <w:rFonts w:ascii="Arial" w:hAnsi="Arial" w:cs="Arial"/>
          <w:sz w:val="22"/>
          <w:szCs w:val="22"/>
          <w:highlight w:val="yellow"/>
        </w:rPr>
        <w:t xml:space="preserve"> J). Where the foreign proceeding is clearly a business rescue procedure, the former will be more appropriate. The latter would be more appropriate for foreign proceedings that are, as in this case, more analogous to Australian liquidation.”</w:t>
      </w:r>
    </w:p>
    <w:p w14:paraId="73E9307E" w14:textId="76DFFB2F" w:rsidR="00344057" w:rsidRDefault="004205BB" w:rsidP="007B0228">
      <w:pPr>
        <w:jc w:val="both"/>
        <w:rPr>
          <w:rStyle w:val="charsectno"/>
          <w:rFonts w:ascii="Arial" w:hAnsi="Arial" w:cs="Arial"/>
          <w:sz w:val="22"/>
          <w:szCs w:val="22"/>
          <w:lang w:val="en-GB"/>
        </w:rPr>
      </w:pPr>
      <w:r w:rsidRPr="00756B69">
        <w:rPr>
          <w:rFonts w:ascii="Arial" w:hAnsi="Arial" w:cs="Arial"/>
          <w:sz w:val="22"/>
          <w:szCs w:val="22"/>
          <w:highlight w:val="yellow"/>
        </w:rPr>
        <w:t>In conclusion, the Court in</w:t>
      </w:r>
      <w:r w:rsidRPr="00756B69">
        <w:rPr>
          <w:rFonts w:ascii="Arial" w:hAnsi="Arial" w:cs="Arial"/>
          <w:sz w:val="22"/>
          <w:szCs w:val="22"/>
          <w:highlight w:val="yellow"/>
          <w:lang w:val="en-GB"/>
        </w:rPr>
        <w:t xml:space="preserve"> determining the scope of the stay in relation to a corporate debtor under Australia’s implementation of Article 20 of the Model Law will consider what the case requires as each case turns on its own facts.</w:t>
      </w:r>
    </w:p>
    <w:p w14:paraId="5F6F2718" w14:textId="77777777" w:rsidR="004205BB" w:rsidRPr="004205BB" w:rsidRDefault="004205BB" w:rsidP="007B0228">
      <w:pPr>
        <w:jc w:val="both"/>
        <w:rPr>
          <w:rFonts w:ascii="Arial" w:hAnsi="Arial" w:cs="Arial"/>
          <w:sz w:val="22"/>
          <w:szCs w:val="22"/>
          <w:lang w:val="en-GB"/>
        </w:rPr>
      </w:pPr>
    </w:p>
    <w:p w14:paraId="2CB300F1" w14:textId="77777777" w:rsidR="00327917" w:rsidRDefault="00327917" w:rsidP="002A37BB">
      <w:pPr>
        <w:ind w:left="720" w:hanging="720"/>
        <w:jc w:val="both"/>
      </w:pPr>
    </w:p>
    <w:p w14:paraId="2AFF9470" w14:textId="30CC67B3"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small company liquidations</w:t>
      </w:r>
      <w:r w:rsidR="002476AF" w:rsidRPr="00B2234F">
        <w:rPr>
          <w:rFonts w:ascii="Avenir Next" w:hAnsi="Avenir Next" w:cs="Arial"/>
          <w:sz w:val="22"/>
          <w:szCs w:val="22"/>
          <w:lang w:val="en-GB"/>
        </w:rPr>
        <w:t>?</w:t>
      </w:r>
    </w:p>
    <w:p w14:paraId="3C22A398" w14:textId="01065FE1" w:rsidR="00E62711" w:rsidRPr="00526D2F" w:rsidRDefault="00E62711" w:rsidP="00E62711">
      <w:pPr>
        <w:pStyle w:val="acthead5"/>
        <w:jc w:val="both"/>
        <w:rPr>
          <w:rFonts w:ascii="Arial" w:hAnsi="Arial" w:cs="Arial"/>
          <w:sz w:val="22"/>
          <w:szCs w:val="22"/>
        </w:rPr>
      </w:pPr>
      <w:r w:rsidRPr="00526D2F">
        <w:rPr>
          <w:rFonts w:ascii="Arial" w:hAnsi="Arial" w:cs="Arial"/>
          <w:sz w:val="22"/>
          <w:szCs w:val="22"/>
          <w:highlight w:val="yellow"/>
        </w:rPr>
        <w:t>There are several differences between a liquidation and a small company restructuring. To be eligible for small business restructuring a company must be insolvent or likely to become insolvent. Under a small company liquidation, the total liabilities of the company must not exceed AUD $1 million.</w:t>
      </w:r>
      <w:r w:rsidRPr="00526D2F">
        <w:rPr>
          <w:rFonts w:ascii="Arial" w:hAnsi="Arial" w:cs="Arial"/>
          <w:sz w:val="22"/>
          <w:szCs w:val="22"/>
          <w:highlight w:val="yellow"/>
          <w:shd w:val="clear" w:color="auto" w:fill="FFFFFF"/>
        </w:rPr>
        <w:t xml:space="preserve"> Additionally, the directors remain in control of the insolvent company and do not give control to the restructuring practitioner and can continue to trade.  </w:t>
      </w:r>
      <w:r w:rsidRPr="00526D2F">
        <w:rPr>
          <w:rFonts w:ascii="Arial" w:hAnsi="Arial" w:cs="Arial"/>
          <w:sz w:val="22"/>
          <w:szCs w:val="22"/>
          <w:highlight w:val="yellow"/>
        </w:rPr>
        <w:t xml:space="preserve">The company must also not have previously </w:t>
      </w:r>
      <w:proofErr w:type="spellStart"/>
      <w:r w:rsidRPr="00526D2F">
        <w:rPr>
          <w:rFonts w:ascii="Arial" w:hAnsi="Arial" w:cs="Arial"/>
          <w:sz w:val="22"/>
          <w:szCs w:val="22"/>
          <w:highlight w:val="yellow"/>
        </w:rPr>
        <w:t>utilised</w:t>
      </w:r>
      <w:proofErr w:type="spellEnd"/>
      <w:r w:rsidRPr="00526D2F">
        <w:rPr>
          <w:rFonts w:ascii="Arial" w:hAnsi="Arial" w:cs="Arial"/>
          <w:sz w:val="22"/>
          <w:szCs w:val="22"/>
          <w:highlight w:val="yellow"/>
        </w:rPr>
        <w:t xml:space="preserve"> small business restructuring, or any of its current, or (a former director in the last 12 months) should not have been a director of another company that has been under restructuring or the subject of a simplified liquidation process within the last 7 years. A restructuring practitioner may also be appointed once the board has come to an opinion that the company is insolvent or is likely to be insolvent and that a restructuring practitioner should be appointed in the circumstances. The restructuring practitioner’s role is an advisory one. The r</w:t>
      </w:r>
      <w:bookmarkStart w:id="7" w:name="_Toc59111246"/>
      <w:r w:rsidRPr="00526D2F">
        <w:rPr>
          <w:rFonts w:ascii="Arial" w:hAnsi="Arial" w:cs="Arial"/>
          <w:sz w:val="22"/>
          <w:szCs w:val="22"/>
          <w:highlight w:val="yellow"/>
        </w:rPr>
        <w:t>estructuring practitioner also has a right to inspect books held by other person</w:t>
      </w:r>
      <w:bookmarkEnd w:id="7"/>
      <w:r w:rsidRPr="00526D2F">
        <w:rPr>
          <w:rFonts w:ascii="Arial" w:hAnsi="Arial" w:cs="Arial"/>
          <w:sz w:val="22"/>
          <w:szCs w:val="22"/>
          <w:highlight w:val="yellow"/>
        </w:rPr>
        <w:t xml:space="preserve">s If the books of a company under restructuring are held by a person other than the company. The directors of the company cannot </w:t>
      </w:r>
      <w:proofErr w:type="gramStart"/>
      <w:r w:rsidR="00526D2F" w:rsidRPr="00526D2F">
        <w:rPr>
          <w:rFonts w:ascii="Arial" w:hAnsi="Arial" w:cs="Arial"/>
          <w:sz w:val="22"/>
          <w:szCs w:val="22"/>
          <w:highlight w:val="yellow"/>
        </w:rPr>
        <w:t>enter into</w:t>
      </w:r>
      <w:proofErr w:type="gramEnd"/>
      <w:r w:rsidRPr="00526D2F">
        <w:rPr>
          <w:rFonts w:ascii="Arial" w:hAnsi="Arial" w:cs="Arial"/>
          <w:sz w:val="22"/>
          <w:szCs w:val="22"/>
          <w:highlight w:val="yellow"/>
        </w:rPr>
        <w:t xml:space="preserve"> a contract or deal with company property unless the restructuring officer consents, court order or in the course of the company’s ordinary business. A third party cannot exercise rights in property of the company unless the restructuring practitioner consents. Furthermore, ipso facto clauses in contracts </w:t>
      </w:r>
      <w:r w:rsidR="00526D2F" w:rsidRPr="00526D2F">
        <w:rPr>
          <w:rFonts w:ascii="Arial" w:hAnsi="Arial" w:cs="Arial"/>
          <w:sz w:val="22"/>
          <w:szCs w:val="22"/>
          <w:highlight w:val="yellow"/>
        </w:rPr>
        <w:t>entered</w:t>
      </w:r>
      <w:r w:rsidRPr="00526D2F">
        <w:rPr>
          <w:rFonts w:ascii="Arial" w:hAnsi="Arial" w:cs="Arial"/>
          <w:sz w:val="22"/>
          <w:szCs w:val="22"/>
          <w:highlight w:val="yellow"/>
        </w:rPr>
        <w:t xml:space="preserve"> before the restructuring of the company cannot be enforced until the restructuring is complete. The company may propose the restructuring plan to its creditors with an accompanying proposal statement.</w:t>
      </w:r>
      <w:r w:rsidRPr="00526D2F">
        <w:rPr>
          <w:rFonts w:ascii="Arial" w:hAnsi="Arial" w:cs="Arial"/>
          <w:sz w:val="22"/>
          <w:szCs w:val="22"/>
        </w:rPr>
        <w:t xml:space="preserve">  </w:t>
      </w:r>
    </w:p>
    <w:p w14:paraId="17EAC0D5" w14:textId="77777777" w:rsidR="00E62711" w:rsidRPr="00756B69" w:rsidRDefault="00E62711" w:rsidP="00E62711">
      <w:pPr>
        <w:pStyle w:val="acthead5"/>
        <w:jc w:val="both"/>
        <w:rPr>
          <w:rFonts w:ascii="Arial" w:hAnsi="Arial" w:cs="Arial"/>
          <w:color w:val="333333"/>
          <w:sz w:val="22"/>
          <w:szCs w:val="22"/>
          <w:highlight w:val="yellow"/>
          <w:shd w:val="clear" w:color="auto" w:fill="FFFFFF"/>
        </w:rPr>
      </w:pPr>
      <w:r w:rsidRPr="00756B69">
        <w:rPr>
          <w:rFonts w:ascii="Arial" w:hAnsi="Arial" w:cs="Arial"/>
          <w:sz w:val="22"/>
          <w:szCs w:val="22"/>
          <w:highlight w:val="yellow"/>
        </w:rPr>
        <w:t xml:space="preserve">A company which falls outside the eligibility of using the small company restructuring process can use the creditor voluntary liquidation process. In a creditor voluntary liquidation, a liquidator is appointed instead of a restructuring practitioner. </w:t>
      </w:r>
      <w:r w:rsidRPr="00756B69">
        <w:rPr>
          <w:rFonts w:ascii="Arial" w:hAnsi="Arial" w:cs="Arial"/>
          <w:sz w:val="22"/>
          <w:szCs w:val="22"/>
          <w:highlight w:val="yellow"/>
          <w:shd w:val="clear" w:color="auto" w:fill="FFFFFF"/>
        </w:rPr>
        <w:t xml:space="preserve"> Under a creditors’ voluntary </w:t>
      </w:r>
      <w:proofErr w:type="gramStart"/>
      <w:r w:rsidRPr="00756B69">
        <w:rPr>
          <w:rFonts w:ascii="Arial" w:hAnsi="Arial" w:cs="Arial"/>
          <w:sz w:val="22"/>
          <w:szCs w:val="22"/>
          <w:highlight w:val="yellow"/>
          <w:shd w:val="clear" w:color="auto" w:fill="FFFFFF"/>
        </w:rPr>
        <w:t>liquidation</w:t>
      </w:r>
      <w:proofErr w:type="gramEnd"/>
      <w:r w:rsidRPr="00756B69">
        <w:rPr>
          <w:rFonts w:ascii="Arial" w:hAnsi="Arial" w:cs="Arial"/>
          <w:sz w:val="22"/>
          <w:szCs w:val="22"/>
          <w:highlight w:val="yellow"/>
          <w:shd w:val="clear" w:color="auto" w:fill="FFFFFF"/>
        </w:rPr>
        <w:t xml:space="preserve"> the appointment of the liquidator is made by the creditors if the directors are of the opinion that the company is insolvent.  Once appointed the liquidator must call a meeting of creditors within 10 days. The liquidator takes control of the company upon appointment. The directors’ powers are thereby suspended.  The liquidator has a wide range of responsibilities to the company, </w:t>
      </w:r>
      <w:proofErr w:type="gramStart"/>
      <w:r w:rsidRPr="00756B69">
        <w:rPr>
          <w:rFonts w:ascii="Arial" w:hAnsi="Arial" w:cs="Arial"/>
          <w:sz w:val="22"/>
          <w:szCs w:val="22"/>
          <w:highlight w:val="yellow"/>
          <w:shd w:val="clear" w:color="auto" w:fill="FFFFFF"/>
        </w:rPr>
        <w:t>creditors</w:t>
      </w:r>
      <w:proofErr w:type="gramEnd"/>
      <w:r w:rsidRPr="00756B69">
        <w:rPr>
          <w:rFonts w:ascii="Arial" w:hAnsi="Arial" w:cs="Arial"/>
          <w:sz w:val="22"/>
          <w:szCs w:val="22"/>
          <w:highlight w:val="yellow"/>
          <w:shd w:val="clear" w:color="auto" w:fill="FFFFFF"/>
        </w:rPr>
        <w:t xml:space="preserve"> and employees but the overriding objective is for the liquidator to wind up the affairs of the company. Only a registered liquidator can act in a Company Voluntary Liquidation. Some of the powers of the liquidator include: </w:t>
      </w:r>
    </w:p>
    <w:p w14:paraId="23F47137" w14:textId="77777777" w:rsidR="00E62711" w:rsidRPr="00756B69" w:rsidRDefault="00E62711" w:rsidP="00E62711">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756B69">
        <w:rPr>
          <w:rFonts w:ascii="Arial" w:hAnsi="Arial" w:cs="Arial"/>
          <w:color w:val="000000"/>
          <w:sz w:val="22"/>
          <w:szCs w:val="22"/>
          <w:highlight w:val="yellow"/>
          <w:lang w:val="en-AU"/>
        </w:rPr>
        <w:t>                     (a)  carry on the business of the company so far as is, in the opinion of the liquidator, required for the beneficial disposal or winding up of that business; and</w:t>
      </w:r>
    </w:p>
    <w:p w14:paraId="73A8098B" w14:textId="77777777" w:rsidR="00E62711" w:rsidRPr="00756B69" w:rsidRDefault="00E62711" w:rsidP="00E62711">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756B69">
        <w:rPr>
          <w:rFonts w:ascii="Arial" w:hAnsi="Arial" w:cs="Arial"/>
          <w:color w:val="000000"/>
          <w:sz w:val="22"/>
          <w:szCs w:val="22"/>
          <w:highlight w:val="yellow"/>
          <w:lang w:val="en-AU"/>
        </w:rPr>
        <w:t>                     (b)  subject to the provisions of section 556 of the Corporations Act, pay any class of creditors in full; and</w:t>
      </w:r>
    </w:p>
    <w:p w14:paraId="10830D0A" w14:textId="77777777" w:rsidR="00E62711" w:rsidRPr="00756B69" w:rsidRDefault="00E62711" w:rsidP="00E62711">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756B69">
        <w:rPr>
          <w:rFonts w:ascii="Arial" w:hAnsi="Arial" w:cs="Arial"/>
          <w:color w:val="000000"/>
          <w:sz w:val="22"/>
          <w:szCs w:val="22"/>
          <w:highlight w:val="yellow"/>
          <w:lang w:val="en-AU"/>
        </w:rPr>
        <w:t>                     (c)  make any compromise or arrangement with creditors or persons claiming to be creditors or having or alleging that they have any claim (present or future</w:t>
      </w:r>
      <w:proofErr w:type="gramStart"/>
      <w:r w:rsidRPr="00756B69">
        <w:rPr>
          <w:rFonts w:ascii="Arial" w:hAnsi="Arial" w:cs="Arial"/>
          <w:color w:val="000000"/>
          <w:sz w:val="22"/>
          <w:szCs w:val="22"/>
          <w:highlight w:val="yellow"/>
          <w:lang w:val="en-AU"/>
        </w:rPr>
        <w:t>);</w:t>
      </w:r>
      <w:proofErr w:type="gramEnd"/>
    </w:p>
    <w:p w14:paraId="0E97EFB5" w14:textId="77777777" w:rsidR="00E62711" w:rsidRPr="00756B69" w:rsidRDefault="00E62711" w:rsidP="00E62711">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756B69">
        <w:rPr>
          <w:rFonts w:ascii="Arial" w:hAnsi="Arial" w:cs="Arial"/>
          <w:color w:val="000000"/>
          <w:sz w:val="22"/>
          <w:szCs w:val="22"/>
          <w:highlight w:val="yellow"/>
          <w:lang w:val="en-AU"/>
        </w:rPr>
        <w:lastRenderedPageBreak/>
        <w:t>                     (d)  compromise any calls, liabilities to calls, debts, liabilities capable of resulting in debts and any claims (present or future, certain or contingent, ascertained or sounding only in damages) subsisting or supposed to subsist between the company and a contributory or other debtor or person apprehending liability to the company.</w:t>
      </w:r>
    </w:p>
    <w:p w14:paraId="75D3B9A2" w14:textId="77777777" w:rsidR="00E62711" w:rsidRPr="00756B69" w:rsidRDefault="00E62711" w:rsidP="00E62711">
      <w:pPr>
        <w:pStyle w:val="subsection"/>
        <w:shd w:val="clear" w:color="auto" w:fill="FFFFFF"/>
        <w:spacing w:before="180" w:beforeAutospacing="0" w:after="0" w:afterAutospacing="0"/>
        <w:ind w:left="1134" w:hanging="1134"/>
        <w:jc w:val="both"/>
        <w:rPr>
          <w:rFonts w:ascii="Arial" w:hAnsi="Arial" w:cs="Arial"/>
          <w:color w:val="000000"/>
          <w:sz w:val="22"/>
          <w:szCs w:val="22"/>
          <w:highlight w:val="yellow"/>
        </w:rPr>
      </w:pPr>
      <w:r w:rsidRPr="00756B69">
        <w:rPr>
          <w:rFonts w:ascii="Arial" w:hAnsi="Arial" w:cs="Arial"/>
          <w:color w:val="000000"/>
          <w:sz w:val="22"/>
          <w:szCs w:val="22"/>
          <w:highlight w:val="yellow"/>
          <w:lang w:val="en-AU"/>
        </w:rPr>
        <w:t xml:space="preserve">Further the Corporations Act empowers the liquidator to </w:t>
      </w:r>
    </w:p>
    <w:p w14:paraId="5685759C" w14:textId="77777777" w:rsidR="00E62711" w:rsidRPr="00756B69" w:rsidRDefault="00E62711" w:rsidP="00E62711">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756B69">
        <w:rPr>
          <w:rFonts w:ascii="Arial" w:hAnsi="Arial" w:cs="Arial"/>
          <w:color w:val="000000"/>
          <w:sz w:val="22"/>
          <w:szCs w:val="22"/>
          <w:highlight w:val="yellow"/>
          <w:lang w:val="en-AU"/>
        </w:rPr>
        <w:t>                     (a)  bring or defend any legal proceeding in the name and on behalf of the company; and</w:t>
      </w:r>
    </w:p>
    <w:p w14:paraId="58FDC1F4" w14:textId="77777777" w:rsidR="00E62711" w:rsidRPr="00756B69" w:rsidRDefault="00E62711" w:rsidP="00E62711">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756B69">
        <w:rPr>
          <w:rFonts w:ascii="Arial" w:hAnsi="Arial" w:cs="Arial"/>
          <w:color w:val="000000"/>
          <w:sz w:val="22"/>
          <w:szCs w:val="22"/>
          <w:highlight w:val="yellow"/>
          <w:lang w:val="en-AU"/>
        </w:rPr>
        <w:t>                     (b)  appoint a solicitor to assist him or her in his or her duties; and</w:t>
      </w:r>
    </w:p>
    <w:p w14:paraId="1A069724" w14:textId="77777777" w:rsidR="00E62711" w:rsidRPr="00756B69" w:rsidRDefault="00E62711" w:rsidP="00E62711">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756B69">
        <w:rPr>
          <w:rFonts w:ascii="Arial" w:hAnsi="Arial" w:cs="Arial"/>
          <w:color w:val="000000"/>
          <w:sz w:val="22"/>
          <w:szCs w:val="22"/>
          <w:highlight w:val="yellow"/>
          <w:lang w:val="en-AU"/>
        </w:rPr>
        <w:t>                     (c)  sell or otherwise dispose of, in any manner, all or any part of the property of the company; and</w:t>
      </w:r>
    </w:p>
    <w:p w14:paraId="09E11054" w14:textId="77777777" w:rsidR="00E62711" w:rsidRPr="00756B69" w:rsidRDefault="00E62711" w:rsidP="00E62711">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756B69">
        <w:rPr>
          <w:rFonts w:ascii="Arial" w:hAnsi="Arial" w:cs="Arial"/>
          <w:color w:val="000000"/>
          <w:sz w:val="22"/>
          <w:szCs w:val="22"/>
          <w:highlight w:val="yellow"/>
          <w:lang w:val="en-AU"/>
        </w:rPr>
        <w:t>                    (</w:t>
      </w:r>
      <w:proofErr w:type="gramStart"/>
      <w:r w:rsidRPr="00756B69">
        <w:rPr>
          <w:rFonts w:ascii="Arial" w:hAnsi="Arial" w:cs="Arial"/>
          <w:color w:val="000000"/>
          <w:sz w:val="22"/>
          <w:szCs w:val="22"/>
          <w:highlight w:val="yellow"/>
          <w:lang w:val="en-AU"/>
        </w:rPr>
        <w:t>ca)  exercise</w:t>
      </w:r>
      <w:proofErr w:type="gramEnd"/>
      <w:r w:rsidRPr="00756B69">
        <w:rPr>
          <w:rFonts w:ascii="Arial" w:hAnsi="Arial" w:cs="Arial"/>
          <w:color w:val="000000"/>
          <w:sz w:val="22"/>
          <w:szCs w:val="22"/>
          <w:highlight w:val="yellow"/>
          <w:lang w:val="en-AU"/>
        </w:rPr>
        <w:t xml:space="preserve"> the Court’s powers under subsection 483(3) (except paragraph 483(3)(b)) in relation to calls on contributories; and</w:t>
      </w:r>
    </w:p>
    <w:p w14:paraId="1A3C2E99" w14:textId="77777777" w:rsidR="00E62711" w:rsidRPr="00756B69" w:rsidRDefault="00E62711" w:rsidP="00E62711">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756B69">
        <w:rPr>
          <w:rFonts w:ascii="Arial" w:hAnsi="Arial" w:cs="Arial"/>
          <w:color w:val="000000"/>
          <w:sz w:val="22"/>
          <w:szCs w:val="22"/>
          <w:highlight w:val="yellow"/>
          <w:lang w:val="en-AU"/>
        </w:rPr>
        <w:t xml:space="preserve">                     (d)  do all acts and execute in the name and on behalf of the company all deeds, receipts and other documents and for that purpose use when </w:t>
      </w:r>
      <w:proofErr w:type="gramStart"/>
      <w:r w:rsidRPr="00756B69">
        <w:rPr>
          <w:rFonts w:ascii="Arial" w:hAnsi="Arial" w:cs="Arial"/>
          <w:color w:val="000000"/>
          <w:sz w:val="22"/>
          <w:szCs w:val="22"/>
          <w:highlight w:val="yellow"/>
          <w:lang w:val="en-AU"/>
        </w:rPr>
        <w:t>necessary</w:t>
      </w:r>
      <w:proofErr w:type="gramEnd"/>
      <w:r w:rsidRPr="00756B69">
        <w:rPr>
          <w:rFonts w:ascii="Arial" w:hAnsi="Arial" w:cs="Arial"/>
          <w:color w:val="000000"/>
          <w:sz w:val="22"/>
          <w:szCs w:val="22"/>
          <w:highlight w:val="yellow"/>
          <w:lang w:val="en-AU"/>
        </w:rPr>
        <w:t xml:space="preserve"> a seal of the company; and</w:t>
      </w:r>
    </w:p>
    <w:p w14:paraId="11D47362" w14:textId="77777777" w:rsidR="00E62711" w:rsidRPr="00756B69" w:rsidRDefault="00E62711" w:rsidP="00E62711">
      <w:pPr>
        <w:pStyle w:val="paragraph"/>
        <w:shd w:val="clear" w:color="auto" w:fill="FFFFFF"/>
        <w:spacing w:before="40" w:beforeAutospacing="0" w:after="0" w:afterAutospacing="0"/>
        <w:ind w:left="1305"/>
        <w:jc w:val="both"/>
        <w:rPr>
          <w:rFonts w:ascii="Arial" w:hAnsi="Arial" w:cs="Arial"/>
          <w:color w:val="000000"/>
          <w:sz w:val="22"/>
          <w:szCs w:val="22"/>
          <w:highlight w:val="yellow"/>
          <w:lang w:val="en-AU"/>
        </w:rPr>
      </w:pPr>
      <w:r w:rsidRPr="00756B69">
        <w:rPr>
          <w:rFonts w:ascii="Arial" w:hAnsi="Arial" w:cs="Arial"/>
          <w:color w:val="000000"/>
          <w:sz w:val="22"/>
          <w:szCs w:val="22"/>
          <w:highlight w:val="yellow"/>
          <w:lang w:val="en-AU"/>
        </w:rPr>
        <w:t xml:space="preserve">(h)  take out letters of administration of the estate of a deceased contributory or </w:t>
      </w:r>
      <w:proofErr w:type="gramStart"/>
      <w:r w:rsidRPr="00756B69">
        <w:rPr>
          <w:rFonts w:ascii="Arial" w:hAnsi="Arial" w:cs="Arial"/>
          <w:color w:val="000000"/>
          <w:sz w:val="22"/>
          <w:szCs w:val="22"/>
          <w:highlight w:val="yellow"/>
          <w:lang w:val="en-AU"/>
        </w:rPr>
        <w:t>debtor, and</w:t>
      </w:r>
      <w:proofErr w:type="gramEnd"/>
      <w:r w:rsidRPr="00756B69">
        <w:rPr>
          <w:rFonts w:ascii="Arial" w:hAnsi="Arial" w:cs="Arial"/>
          <w:color w:val="000000"/>
          <w:sz w:val="22"/>
          <w:szCs w:val="22"/>
          <w:highlight w:val="yellow"/>
          <w:lang w:val="en-AU"/>
        </w:rPr>
        <w:t xml:space="preserve"> do any other act necessary for obtaining payment of any money due from a contributory or debtor, or his or her estate, that cannot be conveniently done in the name of the company.</w:t>
      </w:r>
    </w:p>
    <w:p w14:paraId="1E5B3B3D" w14:textId="77777777" w:rsidR="00E62711" w:rsidRPr="00756B69" w:rsidRDefault="00E62711" w:rsidP="00E62711">
      <w:pPr>
        <w:pStyle w:val="paragraph"/>
        <w:shd w:val="clear" w:color="auto" w:fill="FFFFFF"/>
        <w:spacing w:before="40" w:beforeAutospacing="0" w:after="0" w:afterAutospacing="0"/>
        <w:jc w:val="both"/>
        <w:rPr>
          <w:rFonts w:ascii="Arial" w:hAnsi="Arial" w:cs="Arial"/>
          <w:color w:val="000000"/>
          <w:sz w:val="22"/>
          <w:szCs w:val="22"/>
          <w:highlight w:val="yellow"/>
          <w:lang w:val="en-AU"/>
        </w:rPr>
      </w:pPr>
    </w:p>
    <w:p w14:paraId="2CFC5553" w14:textId="55B40FF5" w:rsidR="00E62711" w:rsidRPr="00E35BD1" w:rsidRDefault="00E62711" w:rsidP="00E62711">
      <w:pPr>
        <w:pStyle w:val="paragraph"/>
        <w:shd w:val="clear" w:color="auto" w:fill="FFFFFF"/>
        <w:spacing w:before="40" w:beforeAutospacing="0" w:after="0" w:afterAutospacing="0"/>
        <w:jc w:val="both"/>
        <w:rPr>
          <w:rFonts w:ascii="Arial" w:hAnsi="Arial" w:cs="Arial"/>
          <w:color w:val="000000"/>
          <w:sz w:val="22"/>
          <w:szCs w:val="22"/>
        </w:rPr>
      </w:pPr>
      <w:r w:rsidRPr="00756B69">
        <w:rPr>
          <w:rFonts w:ascii="Arial" w:hAnsi="Arial" w:cs="Arial"/>
          <w:color w:val="000000"/>
          <w:sz w:val="22"/>
          <w:szCs w:val="22"/>
          <w:highlight w:val="yellow"/>
          <w:lang w:val="en-AU"/>
        </w:rPr>
        <w:t>Therefore, there are some fundamental differences in the powers of the liquidator contrasted to that of the restructuring practitioner and the type of company which can use the small company restructuring process.</w:t>
      </w:r>
      <w:r>
        <w:rPr>
          <w:rFonts w:ascii="Arial" w:hAnsi="Arial" w:cs="Arial"/>
          <w:color w:val="000000"/>
          <w:sz w:val="22"/>
          <w:szCs w:val="22"/>
          <w:lang w:val="en-AU"/>
        </w:rPr>
        <w:t xml:space="preserve"> </w:t>
      </w:r>
    </w:p>
    <w:p w14:paraId="6AB84C4E" w14:textId="77D4FBD3" w:rsidR="008420F8" w:rsidRPr="00E62711" w:rsidRDefault="00E62711" w:rsidP="00E62711">
      <w:pPr>
        <w:pStyle w:val="paragraph"/>
        <w:shd w:val="clear" w:color="auto" w:fill="FFFFFF"/>
        <w:spacing w:before="40" w:beforeAutospacing="0" w:after="0" w:afterAutospacing="0"/>
        <w:ind w:left="1644" w:hanging="1644"/>
        <w:jc w:val="both"/>
        <w:rPr>
          <w:rFonts w:ascii="Arial" w:hAnsi="Arial" w:cs="Arial"/>
          <w:color w:val="000000"/>
          <w:sz w:val="22"/>
          <w:szCs w:val="22"/>
        </w:rPr>
      </w:pPr>
      <w:r w:rsidRPr="00E35BD1">
        <w:rPr>
          <w:rFonts w:ascii="Arial" w:hAnsi="Arial" w:cs="Arial"/>
          <w:color w:val="000000"/>
          <w:sz w:val="22"/>
          <w:szCs w:val="22"/>
          <w:lang w:val="en-AU"/>
        </w:rPr>
        <w:t>            </w:t>
      </w:r>
    </w:p>
    <w:p w14:paraId="6035801B" w14:textId="201AD05F" w:rsidR="002476AF" w:rsidRPr="00B2234F" w:rsidRDefault="002476AF" w:rsidP="002476AF">
      <w:pPr>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3F9EC9AB" w:rsidR="002476AF" w:rsidRPr="00B2234F" w:rsidRDefault="00FA18CF" w:rsidP="00B659B9">
      <w:pPr>
        <w:jc w:val="both"/>
        <w:rPr>
          <w:rFonts w:ascii="Avenir Next" w:hAnsi="Avenir Next" w:cs="Arial"/>
          <w:sz w:val="22"/>
          <w:szCs w:val="22"/>
          <w:lang w:val="en-GB"/>
        </w:rPr>
      </w:pPr>
      <w:bookmarkStart w:id="8" w:name="_Hlk141173936"/>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proofErr w:type="gramStart"/>
      <w:r w:rsidR="0089536F" w:rsidRPr="00B2234F">
        <w:rPr>
          <w:rFonts w:ascii="Avenir Next" w:hAnsi="Avenir Next" w:cs="Arial"/>
          <w:sz w:val="22"/>
          <w:szCs w:val="22"/>
          <w:lang w:val="en-GB"/>
        </w:rPr>
        <w:t>creditor-friendly</w:t>
      </w:r>
      <w:proofErr w:type="gramEnd"/>
      <w:r w:rsidR="0089536F" w:rsidRPr="00B2234F">
        <w:rPr>
          <w:rFonts w:ascii="Avenir Next" w:hAnsi="Avenir Next" w:cs="Arial"/>
          <w:sz w:val="22"/>
          <w:szCs w:val="22"/>
          <w:lang w:val="en-GB"/>
        </w:rPr>
        <w:t xml:space="preserve">.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 xml:space="preserve">a debtor-friendly </w:t>
      </w:r>
      <w:proofErr w:type="gramStart"/>
      <w:r w:rsidR="0089536F" w:rsidRPr="00B2234F">
        <w:rPr>
          <w:rFonts w:ascii="Avenir Next" w:hAnsi="Avenir Next" w:cs="Arial"/>
          <w:sz w:val="22"/>
          <w:szCs w:val="22"/>
          <w:lang w:val="en-GB"/>
        </w:rPr>
        <w:t>jurisdiction.“</w:t>
      </w:r>
      <w:proofErr w:type="gramEnd"/>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bookmarkEnd w:id="8"/>
    <w:p w14:paraId="751818C2" w14:textId="387AB866" w:rsidR="008420F8" w:rsidRDefault="008420F8" w:rsidP="002476AF">
      <w:pPr>
        <w:jc w:val="both"/>
        <w:rPr>
          <w:rFonts w:ascii="Avenir Next" w:hAnsi="Avenir Next" w:cs="Arial"/>
          <w:sz w:val="22"/>
          <w:szCs w:val="22"/>
          <w:lang w:val="en-GB"/>
        </w:rPr>
      </w:pPr>
    </w:p>
    <w:p w14:paraId="5AA424E4" w14:textId="77777777" w:rsidR="00750BC7" w:rsidRPr="005F7A1F" w:rsidRDefault="00750BC7" w:rsidP="00750BC7">
      <w:pPr>
        <w:jc w:val="both"/>
        <w:rPr>
          <w:rFonts w:ascii="Arial" w:hAnsi="Arial" w:cs="Arial"/>
          <w:sz w:val="22"/>
          <w:szCs w:val="22"/>
          <w:lang w:val="en-GB"/>
        </w:rPr>
      </w:pPr>
      <w:r w:rsidRPr="005F7A1F">
        <w:rPr>
          <w:rFonts w:ascii="Arial" w:hAnsi="Arial" w:cs="Arial"/>
          <w:sz w:val="22"/>
          <w:szCs w:val="22"/>
          <w:lang w:val="en-GB"/>
        </w:rPr>
        <w:t xml:space="preserve">“Australia’s insolvency and restructuring options have in the past been very </w:t>
      </w:r>
      <w:proofErr w:type="gramStart"/>
      <w:r w:rsidRPr="005F7A1F">
        <w:rPr>
          <w:rFonts w:ascii="Arial" w:hAnsi="Arial" w:cs="Arial"/>
          <w:sz w:val="22"/>
          <w:szCs w:val="22"/>
          <w:lang w:val="en-GB"/>
        </w:rPr>
        <w:t>creditor-friendly</w:t>
      </w:r>
      <w:proofErr w:type="gramEnd"/>
      <w:r w:rsidRPr="005F7A1F">
        <w:rPr>
          <w:rFonts w:ascii="Arial" w:hAnsi="Arial" w:cs="Arial"/>
          <w:sz w:val="22"/>
          <w:szCs w:val="22"/>
          <w:lang w:val="en-GB"/>
        </w:rPr>
        <w:t xml:space="preserve">. However, recent reforms have made Australia more of a debtor-friendly </w:t>
      </w:r>
      <w:proofErr w:type="gramStart"/>
      <w:r w:rsidRPr="005F7A1F">
        <w:rPr>
          <w:rFonts w:ascii="Arial" w:hAnsi="Arial" w:cs="Arial"/>
          <w:sz w:val="22"/>
          <w:szCs w:val="22"/>
          <w:lang w:val="en-GB"/>
        </w:rPr>
        <w:t>jurisdiction.“</w:t>
      </w:r>
      <w:proofErr w:type="gramEnd"/>
    </w:p>
    <w:p w14:paraId="66282BC6" w14:textId="77777777" w:rsidR="00750BC7" w:rsidRPr="005F7A1F" w:rsidRDefault="00750BC7" w:rsidP="00750BC7">
      <w:pPr>
        <w:jc w:val="both"/>
        <w:rPr>
          <w:rFonts w:ascii="Arial" w:hAnsi="Arial" w:cs="Arial"/>
          <w:sz w:val="22"/>
          <w:szCs w:val="22"/>
          <w:lang w:val="en-GB"/>
        </w:rPr>
      </w:pPr>
    </w:p>
    <w:p w14:paraId="2E2428D1" w14:textId="77777777" w:rsidR="00750BC7" w:rsidRDefault="00750BC7" w:rsidP="00750BC7">
      <w:pPr>
        <w:jc w:val="both"/>
        <w:rPr>
          <w:rFonts w:ascii="Arial" w:hAnsi="Arial" w:cs="Arial"/>
          <w:sz w:val="22"/>
          <w:szCs w:val="22"/>
          <w:lang w:val="en-GB"/>
        </w:rPr>
      </w:pPr>
      <w:r w:rsidRPr="005F7A1F">
        <w:rPr>
          <w:rFonts w:ascii="Arial" w:hAnsi="Arial" w:cs="Arial"/>
          <w:sz w:val="22"/>
          <w:szCs w:val="22"/>
          <w:lang w:val="en-GB"/>
        </w:rPr>
        <w:t>Critically discuss this statement and indicate whether you agree or disagree with it, providing reasons for your answer.</w:t>
      </w:r>
    </w:p>
    <w:p w14:paraId="1A1ED679" w14:textId="77777777" w:rsidR="00A25FDF" w:rsidRPr="005F7A1F" w:rsidRDefault="00A25FDF" w:rsidP="00750BC7">
      <w:pPr>
        <w:jc w:val="both"/>
        <w:rPr>
          <w:rFonts w:ascii="Arial" w:hAnsi="Arial" w:cs="Arial"/>
          <w:sz w:val="22"/>
          <w:szCs w:val="22"/>
          <w:lang w:val="en-GB"/>
        </w:rPr>
      </w:pPr>
    </w:p>
    <w:p w14:paraId="3C3EA441" w14:textId="77777777" w:rsidR="00750BC7" w:rsidRPr="00A25FDF" w:rsidRDefault="00750BC7" w:rsidP="00A25FDF">
      <w:pPr>
        <w:spacing w:after="360"/>
        <w:jc w:val="both"/>
        <w:rPr>
          <w:rFonts w:ascii="Arial" w:hAnsi="Arial" w:cs="Arial"/>
          <w:sz w:val="22"/>
          <w:szCs w:val="22"/>
          <w:highlight w:val="yellow"/>
        </w:rPr>
      </w:pPr>
      <w:r w:rsidRPr="00A25FDF">
        <w:rPr>
          <w:rFonts w:ascii="Arial" w:hAnsi="Arial" w:cs="Arial"/>
          <w:sz w:val="22"/>
          <w:szCs w:val="22"/>
          <w:highlight w:val="yellow"/>
        </w:rPr>
        <w:t xml:space="preserve">The statement that Australia's insolvency and restructuring options have in the past been very creditor-friendly is generally accurate. Historically, the Australian insolvency system has placed a strong emphasis on the rights of creditors. For example, court proceedings can be brought by an unsecured creditor seeking to enforce debts. The creditor must file the claim based on the amount owed. A small claim is filed in the magistrates’ court; medium claims brought can be brought in the county or district court whilst larger claims from (AUD 1 million and over in most states) are brought in the Supreme Court of the relevant state or territory. A claim which also includes a statutory claim under federal legislation, or which relates to bankruptcy or corporate insolvency can be filed in the Federal Court or federal Circuit Court. </w:t>
      </w:r>
    </w:p>
    <w:p w14:paraId="4A3032A5" w14:textId="77777777" w:rsidR="00750BC7" w:rsidRPr="00A25FDF" w:rsidRDefault="00750BC7" w:rsidP="00A25FDF">
      <w:pPr>
        <w:spacing w:after="360"/>
        <w:jc w:val="both"/>
        <w:rPr>
          <w:rFonts w:ascii="Arial" w:hAnsi="Arial" w:cs="Arial"/>
          <w:sz w:val="22"/>
          <w:szCs w:val="22"/>
          <w:highlight w:val="yellow"/>
        </w:rPr>
      </w:pPr>
      <w:r w:rsidRPr="00A25FDF">
        <w:rPr>
          <w:rFonts w:ascii="Arial" w:hAnsi="Arial" w:cs="Arial"/>
          <w:sz w:val="22"/>
          <w:szCs w:val="22"/>
          <w:highlight w:val="yellow"/>
        </w:rPr>
        <w:t xml:space="preserve">With respect to secured creditors in Australia, they are not subject to a stay once a company enters liquidation or if an individual is made bankrupt. Secured creditors are paid first and </w:t>
      </w:r>
      <w:r w:rsidRPr="00A25FDF">
        <w:rPr>
          <w:rFonts w:ascii="Arial" w:hAnsi="Arial" w:cs="Arial"/>
          <w:sz w:val="22"/>
          <w:szCs w:val="22"/>
          <w:highlight w:val="yellow"/>
        </w:rPr>
        <w:lastRenderedPageBreak/>
        <w:t xml:space="preserve">above employee and tax claims outside the insolvency process and when they hold non circulating security interests in a liquidation or bankruptcy. Where a secured creditor holds circulating security interests over a company’s assets payment is made after employer claims but before tax and other claims. Additionally, a secured creditor with rights under a security interest in the assets of a company may choose to appoint a receiver to </w:t>
      </w:r>
      <w:proofErr w:type="spellStart"/>
      <w:r w:rsidRPr="00A25FDF">
        <w:rPr>
          <w:rFonts w:ascii="Arial" w:hAnsi="Arial" w:cs="Arial"/>
          <w:sz w:val="22"/>
          <w:szCs w:val="22"/>
          <w:highlight w:val="yellow"/>
        </w:rPr>
        <w:t>realise</w:t>
      </w:r>
      <w:proofErr w:type="spellEnd"/>
      <w:r w:rsidRPr="00A25FDF">
        <w:rPr>
          <w:rFonts w:ascii="Arial" w:hAnsi="Arial" w:cs="Arial"/>
          <w:sz w:val="22"/>
          <w:szCs w:val="22"/>
          <w:highlight w:val="yellow"/>
        </w:rPr>
        <w:t xml:space="preserve"> its security.</w:t>
      </w:r>
    </w:p>
    <w:p w14:paraId="3613C666" w14:textId="77777777" w:rsidR="00750BC7" w:rsidRPr="00A25FDF" w:rsidRDefault="00750BC7" w:rsidP="00A25FDF">
      <w:pPr>
        <w:spacing w:after="360"/>
        <w:jc w:val="both"/>
        <w:rPr>
          <w:rFonts w:ascii="Arial" w:hAnsi="Arial" w:cs="Arial"/>
          <w:sz w:val="22"/>
          <w:szCs w:val="22"/>
          <w:highlight w:val="yellow"/>
        </w:rPr>
      </w:pPr>
      <w:r w:rsidRPr="00A25FDF">
        <w:rPr>
          <w:rFonts w:ascii="Arial" w:hAnsi="Arial" w:cs="Arial"/>
          <w:sz w:val="22"/>
          <w:szCs w:val="22"/>
          <w:highlight w:val="yellow"/>
        </w:rPr>
        <w:t xml:space="preserve">Also, in most of the insolvency processes in Australia although the directors remain in office their powers of management and control of the company cannot be exercised.  Depending on the process </w:t>
      </w:r>
      <w:proofErr w:type="spellStart"/>
      <w:proofErr w:type="gramStart"/>
      <w:r w:rsidRPr="00A25FDF">
        <w:rPr>
          <w:rFonts w:ascii="Arial" w:hAnsi="Arial" w:cs="Arial"/>
          <w:sz w:val="22"/>
          <w:szCs w:val="22"/>
          <w:highlight w:val="yellow"/>
        </w:rPr>
        <w:t>utilised</w:t>
      </w:r>
      <w:proofErr w:type="spellEnd"/>
      <w:proofErr w:type="gramEnd"/>
      <w:r w:rsidRPr="00A25FDF">
        <w:rPr>
          <w:rFonts w:ascii="Arial" w:hAnsi="Arial" w:cs="Arial"/>
          <w:sz w:val="22"/>
          <w:szCs w:val="22"/>
          <w:highlight w:val="yellow"/>
        </w:rPr>
        <w:t xml:space="preserve"> a liquidator, voluntary administrator, or receiver will exercise the powers of the directors. Creditors also have oversight during personal and corporate insolvency and ensure that insolvency practitioners discharge their duties in an accountable and responsible manner. In schedule 2 of the insolvency practice rules of the Bankruptcy Act at 75-10 it states that</w:t>
      </w:r>
      <w:bookmarkStart w:id="9" w:name="_Toc115275873"/>
      <w:r w:rsidRPr="00A25FDF">
        <w:rPr>
          <w:rFonts w:ascii="Arial" w:hAnsi="Arial" w:cs="Arial"/>
          <w:sz w:val="22"/>
          <w:szCs w:val="22"/>
          <w:highlight w:val="yellow"/>
        </w:rPr>
        <w:t xml:space="preserve"> the trustee may convene a meeting</w:t>
      </w:r>
      <w:bookmarkEnd w:id="9"/>
      <w:r w:rsidRPr="00A25FDF">
        <w:rPr>
          <w:rFonts w:ascii="Arial" w:hAnsi="Arial" w:cs="Arial"/>
          <w:sz w:val="22"/>
          <w:szCs w:val="22"/>
          <w:highlight w:val="yellow"/>
        </w:rPr>
        <w:t xml:space="preserve"> of the creditors of a regulated </w:t>
      </w:r>
      <w:hyperlink r:id="rId13" w:anchor="debtor" w:history="1">
        <w:r w:rsidRPr="00A25FDF">
          <w:rPr>
            <w:rStyle w:val="Hyperlink"/>
            <w:rFonts w:ascii="Arial" w:hAnsi="Arial" w:cs="Arial"/>
            <w:color w:val="auto"/>
            <w:sz w:val="22"/>
            <w:szCs w:val="22"/>
            <w:highlight w:val="yellow"/>
            <w:u w:val="none"/>
          </w:rPr>
          <w:t>debtor</w:t>
        </w:r>
      </w:hyperlink>
      <w:r w:rsidRPr="00A25FDF">
        <w:rPr>
          <w:rFonts w:ascii="Arial" w:hAnsi="Arial" w:cs="Arial"/>
          <w:sz w:val="22"/>
          <w:szCs w:val="22"/>
          <w:highlight w:val="yellow"/>
        </w:rPr>
        <w:t xml:space="preserve">'s estate at any time but the as mandated at 75-15 of the schedule </w:t>
      </w:r>
      <w:bookmarkStart w:id="10" w:name="_Toc115275874"/>
      <w:r w:rsidRPr="00A25FDF">
        <w:rPr>
          <w:rFonts w:ascii="Arial" w:hAnsi="Arial" w:cs="Arial"/>
          <w:sz w:val="22"/>
          <w:szCs w:val="22"/>
          <w:highlight w:val="yellow"/>
        </w:rPr>
        <w:t xml:space="preserve">a trustee must convene a meeting </w:t>
      </w:r>
      <w:bookmarkEnd w:id="10"/>
      <w:r w:rsidRPr="00A25FDF">
        <w:rPr>
          <w:rFonts w:ascii="Arial" w:hAnsi="Arial" w:cs="Arial"/>
          <w:sz w:val="22"/>
          <w:szCs w:val="22"/>
          <w:highlight w:val="yellow"/>
        </w:rPr>
        <w:t xml:space="preserve"> if the </w:t>
      </w:r>
      <w:hyperlink r:id="rId14" w:anchor="creditor" w:history="1">
        <w:r w:rsidRPr="00A25FDF">
          <w:rPr>
            <w:rStyle w:val="Hyperlink"/>
            <w:rFonts w:ascii="Arial" w:hAnsi="Arial" w:cs="Arial"/>
            <w:color w:val="auto"/>
            <w:sz w:val="22"/>
            <w:szCs w:val="22"/>
            <w:highlight w:val="yellow"/>
            <w:u w:val="none"/>
          </w:rPr>
          <w:t>creditors</w:t>
        </w:r>
      </w:hyperlink>
      <w:r w:rsidRPr="00A25FDF">
        <w:rPr>
          <w:rFonts w:ascii="Arial" w:hAnsi="Arial" w:cs="Arial"/>
          <w:sz w:val="22"/>
          <w:szCs w:val="22"/>
          <w:highlight w:val="yellow"/>
        </w:rPr>
        <w:t> direct </w:t>
      </w:r>
      <w:hyperlink r:id="rId15" w:anchor="the_trustee" w:history="1">
        <w:r w:rsidRPr="00A25FDF">
          <w:rPr>
            <w:rStyle w:val="Hyperlink"/>
            <w:rFonts w:ascii="Arial" w:hAnsi="Arial" w:cs="Arial"/>
            <w:color w:val="auto"/>
            <w:sz w:val="22"/>
            <w:szCs w:val="22"/>
            <w:highlight w:val="yellow"/>
            <w:u w:val="none"/>
          </w:rPr>
          <w:t>the trustee</w:t>
        </w:r>
      </w:hyperlink>
      <w:r w:rsidRPr="00A25FDF">
        <w:rPr>
          <w:rFonts w:ascii="Arial" w:hAnsi="Arial" w:cs="Arial"/>
          <w:sz w:val="22"/>
          <w:szCs w:val="22"/>
          <w:highlight w:val="yellow"/>
        </w:rPr>
        <w:t> to do so by </w:t>
      </w:r>
      <w:hyperlink r:id="rId16" w:anchor="resolution" w:history="1">
        <w:r w:rsidRPr="00A25FDF">
          <w:rPr>
            <w:rStyle w:val="Hyperlink"/>
            <w:rFonts w:ascii="Arial" w:hAnsi="Arial" w:cs="Arial"/>
            <w:color w:val="auto"/>
            <w:sz w:val="22"/>
            <w:szCs w:val="22"/>
            <w:highlight w:val="yellow"/>
            <w:u w:val="none"/>
          </w:rPr>
          <w:t>resolution</w:t>
        </w:r>
      </w:hyperlink>
      <w:r w:rsidRPr="00A25FDF">
        <w:rPr>
          <w:rFonts w:ascii="Arial" w:hAnsi="Arial" w:cs="Arial"/>
          <w:sz w:val="22"/>
          <w:szCs w:val="22"/>
          <w:highlight w:val="yellow"/>
        </w:rPr>
        <w:t>; or  at least 25% in </w:t>
      </w:r>
      <w:hyperlink r:id="rId17" w:anchor="value" w:history="1">
        <w:r w:rsidRPr="00A25FDF">
          <w:rPr>
            <w:rStyle w:val="Hyperlink"/>
            <w:rFonts w:ascii="Arial" w:hAnsi="Arial" w:cs="Arial"/>
            <w:color w:val="auto"/>
            <w:sz w:val="22"/>
            <w:szCs w:val="22"/>
            <w:highlight w:val="yellow"/>
            <w:u w:val="none"/>
          </w:rPr>
          <w:t>value</w:t>
        </w:r>
      </w:hyperlink>
      <w:r w:rsidRPr="00A25FDF">
        <w:rPr>
          <w:rFonts w:ascii="Arial" w:hAnsi="Arial" w:cs="Arial"/>
          <w:sz w:val="22"/>
          <w:szCs w:val="22"/>
          <w:highlight w:val="yellow"/>
        </w:rPr>
        <w:t> of the </w:t>
      </w:r>
      <w:hyperlink r:id="rId18" w:anchor="creditor" w:history="1">
        <w:r w:rsidRPr="00A25FDF">
          <w:rPr>
            <w:rStyle w:val="Hyperlink"/>
            <w:rFonts w:ascii="Arial" w:hAnsi="Arial" w:cs="Arial"/>
            <w:color w:val="auto"/>
            <w:sz w:val="22"/>
            <w:szCs w:val="22"/>
            <w:highlight w:val="yellow"/>
            <w:u w:val="none"/>
          </w:rPr>
          <w:t>creditors</w:t>
        </w:r>
      </w:hyperlink>
      <w:r w:rsidRPr="00A25FDF">
        <w:rPr>
          <w:rFonts w:ascii="Arial" w:hAnsi="Arial" w:cs="Arial"/>
          <w:sz w:val="22"/>
          <w:szCs w:val="22"/>
          <w:highlight w:val="yellow"/>
        </w:rPr>
        <w:t> direct </w:t>
      </w:r>
      <w:hyperlink r:id="rId19" w:anchor="the_trustee" w:history="1">
        <w:r w:rsidRPr="00A25FDF">
          <w:rPr>
            <w:rStyle w:val="Hyperlink"/>
            <w:rFonts w:ascii="Arial" w:hAnsi="Arial" w:cs="Arial"/>
            <w:color w:val="auto"/>
            <w:sz w:val="22"/>
            <w:szCs w:val="22"/>
            <w:highlight w:val="yellow"/>
            <w:u w:val="none"/>
          </w:rPr>
          <w:t>the trustee</w:t>
        </w:r>
      </w:hyperlink>
      <w:r w:rsidRPr="00A25FDF">
        <w:rPr>
          <w:rFonts w:ascii="Arial" w:hAnsi="Arial" w:cs="Arial"/>
          <w:sz w:val="22"/>
          <w:szCs w:val="22"/>
          <w:highlight w:val="yellow"/>
        </w:rPr>
        <w:t xml:space="preserve"> to do so in writing. </w:t>
      </w:r>
    </w:p>
    <w:p w14:paraId="2FAF0475" w14:textId="77777777" w:rsidR="00750BC7" w:rsidRPr="00A25FDF" w:rsidRDefault="00750BC7" w:rsidP="00A25FDF">
      <w:pPr>
        <w:spacing w:after="360"/>
        <w:jc w:val="both"/>
        <w:rPr>
          <w:rFonts w:ascii="Arial" w:hAnsi="Arial" w:cs="Arial"/>
          <w:sz w:val="22"/>
          <w:szCs w:val="22"/>
          <w:highlight w:val="yellow"/>
        </w:rPr>
      </w:pPr>
      <w:r w:rsidRPr="00A25FDF">
        <w:rPr>
          <w:rFonts w:ascii="Arial" w:hAnsi="Arial" w:cs="Arial"/>
          <w:sz w:val="22"/>
          <w:szCs w:val="22"/>
          <w:highlight w:val="yellow"/>
        </w:rPr>
        <w:t xml:space="preserve">Another creditor friendly option available to creditors is where a creditor’s petition can be made against an individual debtor, a partnership or joint debtors as provided for in ss 7, 45 and 46 of the Bankruptcy Act. The debt (s) owed must not be less than AUD 5,000. Additionally, if the directors of a company are of the view that the company is insolvent and the shareholders appoint a liquidator, the liquidator must convene a meeting with the creditors within 10 business days of the appointment.  </w:t>
      </w:r>
      <w:r w:rsidRPr="00A25FDF">
        <w:rPr>
          <w:rFonts w:ascii="Arial" w:hAnsi="Arial" w:cs="Arial"/>
          <w:color w:val="000000"/>
          <w:sz w:val="22"/>
          <w:szCs w:val="22"/>
          <w:highlight w:val="yellow"/>
          <w:shd w:val="clear" w:color="auto" w:fill="FFFFFF"/>
        </w:rPr>
        <w:t xml:space="preserve">The creditors may, at the meeting </w:t>
      </w:r>
      <w:proofErr w:type="gramStart"/>
      <w:r w:rsidRPr="00A25FDF">
        <w:rPr>
          <w:rFonts w:ascii="Arial" w:hAnsi="Arial" w:cs="Arial"/>
          <w:color w:val="000000"/>
          <w:sz w:val="22"/>
          <w:szCs w:val="22"/>
          <w:highlight w:val="yellow"/>
          <w:shd w:val="clear" w:color="auto" w:fill="FFFFFF"/>
        </w:rPr>
        <w:t>convened</w:t>
      </w:r>
      <w:proofErr w:type="gramEnd"/>
      <w:r w:rsidRPr="00A25FDF">
        <w:rPr>
          <w:rFonts w:ascii="Arial" w:hAnsi="Arial" w:cs="Arial"/>
          <w:color w:val="000000"/>
          <w:sz w:val="22"/>
          <w:szCs w:val="22"/>
          <w:highlight w:val="yellow"/>
          <w:shd w:val="clear" w:color="auto" w:fill="FFFFFF"/>
        </w:rPr>
        <w:t xml:space="preserve"> appoint some other person to be liquidator for the purpose of winding up the affairs and distributing the property of the company instead of the liquidator appointed by the company. </w:t>
      </w:r>
      <w:r w:rsidRPr="00A25FDF">
        <w:rPr>
          <w:rFonts w:ascii="Arial" w:hAnsi="Arial" w:cs="Arial"/>
          <w:sz w:val="22"/>
          <w:szCs w:val="22"/>
          <w:highlight w:val="yellow"/>
        </w:rPr>
        <w:t>A creditor can also file an application to the Court for a winding up order of an insolvent company.</w:t>
      </w:r>
      <w:r w:rsidRPr="00A25FDF">
        <w:rPr>
          <w:rFonts w:ascii="Arial" w:hAnsi="Arial" w:cs="Arial"/>
          <w:color w:val="000000"/>
          <w:sz w:val="22"/>
          <w:szCs w:val="22"/>
          <w:highlight w:val="yellow"/>
          <w:shd w:val="clear" w:color="auto" w:fill="FFFFFF"/>
        </w:rPr>
        <w:t xml:space="preserve"> </w:t>
      </w:r>
    </w:p>
    <w:p w14:paraId="684AC854" w14:textId="77777777" w:rsidR="00750BC7" w:rsidRPr="00A25FDF" w:rsidRDefault="00750BC7" w:rsidP="00A25FDF">
      <w:pPr>
        <w:spacing w:after="360"/>
        <w:jc w:val="both"/>
        <w:rPr>
          <w:rFonts w:ascii="Arial" w:hAnsi="Arial" w:cs="Arial"/>
          <w:sz w:val="22"/>
          <w:szCs w:val="22"/>
          <w:highlight w:val="yellow"/>
        </w:rPr>
      </w:pPr>
      <w:r w:rsidRPr="00A25FDF">
        <w:rPr>
          <w:rFonts w:ascii="Arial" w:hAnsi="Arial" w:cs="Arial"/>
          <w:sz w:val="22"/>
          <w:szCs w:val="22"/>
          <w:highlight w:val="yellow"/>
        </w:rPr>
        <w:t>Furthermore, the creditors also have the right to request information from the trustee in a regulated debtor’s estate. This can be by resolution to (a)  give information; or (b)  provide a report; or (c)  produce a document to the </w:t>
      </w:r>
      <w:hyperlink r:id="rId20" w:anchor="creditor" w:history="1">
        <w:r w:rsidRPr="00A25FDF">
          <w:rPr>
            <w:rStyle w:val="Hyperlink"/>
            <w:rFonts w:ascii="Arial" w:hAnsi="Arial" w:cs="Arial"/>
            <w:color w:val="auto"/>
            <w:sz w:val="22"/>
            <w:szCs w:val="22"/>
            <w:highlight w:val="yellow"/>
            <w:u w:val="none"/>
          </w:rPr>
          <w:t>creditors</w:t>
        </w:r>
      </w:hyperlink>
      <w:r w:rsidRPr="00A25FDF">
        <w:rPr>
          <w:rFonts w:ascii="Arial" w:hAnsi="Arial" w:cs="Arial"/>
          <w:sz w:val="22"/>
          <w:szCs w:val="22"/>
          <w:highlight w:val="yellow"/>
        </w:rPr>
        <w:t xml:space="preserve">. </w:t>
      </w:r>
      <w:hyperlink r:id="rId21" w:anchor="the_trustee" w:history="1">
        <w:r w:rsidRPr="00A25FDF">
          <w:rPr>
            <w:rStyle w:val="Hyperlink"/>
            <w:rFonts w:ascii="Arial" w:hAnsi="Arial" w:cs="Arial"/>
            <w:color w:val="auto"/>
            <w:sz w:val="22"/>
            <w:szCs w:val="22"/>
            <w:highlight w:val="yellow"/>
            <w:u w:val="none"/>
          </w:rPr>
          <w:t>The trustee</w:t>
        </w:r>
      </w:hyperlink>
      <w:r w:rsidRPr="00A25FDF">
        <w:rPr>
          <w:rFonts w:ascii="Arial" w:hAnsi="Arial" w:cs="Arial"/>
          <w:sz w:val="22"/>
          <w:szCs w:val="22"/>
          <w:highlight w:val="yellow"/>
        </w:rPr>
        <w:t> must comply with the request unless:</w:t>
      </w:r>
    </w:p>
    <w:p w14:paraId="17F437D4" w14:textId="77777777" w:rsidR="00750BC7" w:rsidRPr="00A25FDF" w:rsidRDefault="00750BC7" w:rsidP="00A25FDF">
      <w:pPr>
        <w:pStyle w:val="paragraph"/>
        <w:ind w:left="1425"/>
        <w:jc w:val="both"/>
        <w:rPr>
          <w:rFonts w:ascii="Arial" w:hAnsi="Arial" w:cs="Arial"/>
          <w:sz w:val="22"/>
          <w:szCs w:val="22"/>
          <w:highlight w:val="yellow"/>
        </w:rPr>
      </w:pPr>
      <w:r w:rsidRPr="00A25FDF">
        <w:rPr>
          <w:rFonts w:ascii="Arial" w:hAnsi="Arial" w:cs="Arial"/>
          <w:sz w:val="22"/>
          <w:szCs w:val="22"/>
          <w:highlight w:val="yellow"/>
        </w:rPr>
        <w:t>(a)  the information, report or document is not relevant to the administration of the regulated </w:t>
      </w:r>
      <w:hyperlink r:id="rId22" w:anchor="debtor" w:history="1">
        <w:r w:rsidRPr="00A25FDF">
          <w:rPr>
            <w:rStyle w:val="Hyperlink"/>
            <w:rFonts w:ascii="Arial" w:hAnsi="Arial" w:cs="Arial"/>
            <w:color w:val="auto"/>
            <w:sz w:val="22"/>
            <w:szCs w:val="22"/>
            <w:highlight w:val="yellow"/>
            <w:u w:val="none"/>
          </w:rPr>
          <w:t>debtor</w:t>
        </w:r>
      </w:hyperlink>
      <w:r w:rsidRPr="00A25FDF">
        <w:rPr>
          <w:rFonts w:ascii="Arial" w:hAnsi="Arial" w:cs="Arial"/>
          <w:sz w:val="22"/>
          <w:szCs w:val="22"/>
          <w:highlight w:val="yellow"/>
        </w:rPr>
        <w:t>'s estate; or</w:t>
      </w:r>
    </w:p>
    <w:p w14:paraId="0F0E766B" w14:textId="77777777" w:rsidR="00750BC7" w:rsidRPr="00A25FDF" w:rsidRDefault="00750BC7" w:rsidP="00A25FDF">
      <w:pPr>
        <w:pStyle w:val="paragraph"/>
        <w:ind w:left="1425"/>
        <w:jc w:val="both"/>
        <w:rPr>
          <w:rFonts w:ascii="Arial" w:hAnsi="Arial" w:cs="Arial"/>
          <w:sz w:val="22"/>
          <w:szCs w:val="22"/>
          <w:highlight w:val="yellow"/>
        </w:rPr>
      </w:pPr>
      <w:r w:rsidRPr="00A25FDF">
        <w:rPr>
          <w:rFonts w:ascii="Arial" w:hAnsi="Arial" w:cs="Arial"/>
          <w:sz w:val="22"/>
          <w:szCs w:val="22"/>
          <w:highlight w:val="yellow"/>
        </w:rPr>
        <w:t>(b)  </w:t>
      </w:r>
      <w:hyperlink r:id="rId23" w:anchor="the_trustee" w:history="1">
        <w:r w:rsidRPr="00A25FDF">
          <w:rPr>
            <w:rStyle w:val="Hyperlink"/>
            <w:rFonts w:ascii="Arial" w:hAnsi="Arial" w:cs="Arial"/>
            <w:color w:val="auto"/>
            <w:sz w:val="22"/>
            <w:szCs w:val="22"/>
            <w:highlight w:val="yellow"/>
            <w:u w:val="none"/>
          </w:rPr>
          <w:t>the trustee</w:t>
        </w:r>
      </w:hyperlink>
      <w:r w:rsidRPr="00A25FDF">
        <w:rPr>
          <w:rFonts w:ascii="Arial" w:hAnsi="Arial" w:cs="Arial"/>
          <w:sz w:val="22"/>
          <w:szCs w:val="22"/>
          <w:highlight w:val="yellow"/>
        </w:rPr>
        <w:t> would breach his or her duties in relation to the administration of the regulated </w:t>
      </w:r>
      <w:hyperlink r:id="rId24" w:anchor="debtor" w:history="1">
        <w:r w:rsidRPr="00A25FDF">
          <w:rPr>
            <w:rStyle w:val="Hyperlink"/>
            <w:rFonts w:ascii="Arial" w:hAnsi="Arial" w:cs="Arial"/>
            <w:color w:val="auto"/>
            <w:sz w:val="22"/>
            <w:szCs w:val="22"/>
            <w:highlight w:val="yellow"/>
            <w:u w:val="none"/>
          </w:rPr>
          <w:t>debtor</w:t>
        </w:r>
      </w:hyperlink>
      <w:r w:rsidRPr="00A25FDF">
        <w:rPr>
          <w:rFonts w:ascii="Arial" w:hAnsi="Arial" w:cs="Arial"/>
          <w:sz w:val="22"/>
          <w:szCs w:val="22"/>
          <w:highlight w:val="yellow"/>
        </w:rPr>
        <w:t>'s estate if </w:t>
      </w:r>
      <w:hyperlink r:id="rId25" w:anchor="the_trustee" w:history="1">
        <w:r w:rsidRPr="00A25FDF">
          <w:rPr>
            <w:rStyle w:val="Hyperlink"/>
            <w:rFonts w:ascii="Arial" w:hAnsi="Arial" w:cs="Arial"/>
            <w:color w:val="auto"/>
            <w:sz w:val="22"/>
            <w:szCs w:val="22"/>
            <w:highlight w:val="yellow"/>
            <w:u w:val="none"/>
          </w:rPr>
          <w:t>the trustee</w:t>
        </w:r>
      </w:hyperlink>
      <w:r w:rsidRPr="00A25FDF">
        <w:rPr>
          <w:rFonts w:ascii="Arial" w:hAnsi="Arial" w:cs="Arial"/>
          <w:sz w:val="22"/>
          <w:szCs w:val="22"/>
          <w:highlight w:val="yellow"/>
        </w:rPr>
        <w:t> complied with the request; or</w:t>
      </w:r>
    </w:p>
    <w:p w14:paraId="38E19567" w14:textId="77777777" w:rsidR="00750BC7" w:rsidRPr="00A25FDF" w:rsidRDefault="00750BC7" w:rsidP="00A25FDF">
      <w:pPr>
        <w:pStyle w:val="paragraph"/>
        <w:ind w:left="1425"/>
        <w:jc w:val="both"/>
        <w:rPr>
          <w:rFonts w:ascii="Arial" w:hAnsi="Arial" w:cs="Arial"/>
          <w:sz w:val="22"/>
          <w:szCs w:val="22"/>
          <w:highlight w:val="yellow"/>
        </w:rPr>
      </w:pPr>
      <w:r w:rsidRPr="00A25FDF">
        <w:rPr>
          <w:rFonts w:ascii="Arial" w:hAnsi="Arial" w:cs="Arial"/>
          <w:sz w:val="22"/>
          <w:szCs w:val="22"/>
          <w:highlight w:val="yellow"/>
        </w:rPr>
        <w:t>(c)  it is otherwise not reasonable for </w:t>
      </w:r>
      <w:hyperlink r:id="rId26" w:anchor="the_trustee" w:history="1">
        <w:r w:rsidRPr="00A25FDF">
          <w:rPr>
            <w:rStyle w:val="Hyperlink"/>
            <w:rFonts w:ascii="Arial" w:hAnsi="Arial" w:cs="Arial"/>
            <w:color w:val="auto"/>
            <w:sz w:val="22"/>
            <w:szCs w:val="22"/>
            <w:highlight w:val="yellow"/>
            <w:u w:val="none"/>
          </w:rPr>
          <w:t>the trustee</w:t>
        </w:r>
      </w:hyperlink>
      <w:r w:rsidRPr="00A25FDF">
        <w:rPr>
          <w:rFonts w:ascii="Arial" w:hAnsi="Arial" w:cs="Arial"/>
          <w:sz w:val="22"/>
          <w:szCs w:val="22"/>
          <w:highlight w:val="yellow"/>
        </w:rPr>
        <w:t> to comply with the request.</w:t>
      </w:r>
    </w:p>
    <w:p w14:paraId="412D628A" w14:textId="77777777" w:rsidR="00750BC7" w:rsidRPr="00A25FDF" w:rsidRDefault="00000000" w:rsidP="00A25FDF">
      <w:pPr>
        <w:jc w:val="both"/>
        <w:rPr>
          <w:rFonts w:ascii="Arial" w:hAnsi="Arial" w:cs="Arial"/>
          <w:sz w:val="22"/>
          <w:szCs w:val="22"/>
          <w:highlight w:val="yellow"/>
        </w:rPr>
      </w:pPr>
      <w:hyperlink r:id="rId27" w:anchor="the_trustee" w:history="1">
        <w:r w:rsidR="00750BC7" w:rsidRPr="00A25FDF">
          <w:rPr>
            <w:rStyle w:val="Hyperlink"/>
            <w:rFonts w:ascii="Arial" w:hAnsi="Arial" w:cs="Arial"/>
            <w:color w:val="auto"/>
            <w:sz w:val="22"/>
            <w:szCs w:val="22"/>
            <w:highlight w:val="yellow"/>
            <w:u w:val="none"/>
          </w:rPr>
          <w:t>The trustee</w:t>
        </w:r>
      </w:hyperlink>
      <w:r w:rsidR="00750BC7" w:rsidRPr="00A25FDF">
        <w:rPr>
          <w:rFonts w:ascii="Arial" w:hAnsi="Arial" w:cs="Arial"/>
          <w:sz w:val="22"/>
          <w:szCs w:val="22"/>
          <w:highlight w:val="yellow"/>
        </w:rPr>
        <w:t> of a regulated </w:t>
      </w:r>
      <w:hyperlink r:id="rId28" w:anchor="debtor" w:history="1">
        <w:r w:rsidR="00750BC7" w:rsidRPr="00A25FDF">
          <w:rPr>
            <w:rStyle w:val="Hyperlink"/>
            <w:rFonts w:ascii="Arial" w:hAnsi="Arial" w:cs="Arial"/>
            <w:color w:val="auto"/>
            <w:sz w:val="22"/>
            <w:szCs w:val="22"/>
            <w:highlight w:val="yellow"/>
            <w:u w:val="none"/>
          </w:rPr>
          <w:t>debtor</w:t>
        </w:r>
      </w:hyperlink>
      <w:r w:rsidR="00750BC7" w:rsidRPr="00A25FDF">
        <w:rPr>
          <w:rFonts w:ascii="Arial" w:hAnsi="Arial" w:cs="Arial"/>
          <w:sz w:val="22"/>
          <w:szCs w:val="22"/>
          <w:highlight w:val="yellow"/>
        </w:rPr>
        <w:t>'s estate must have regard to directions given to </w:t>
      </w:r>
      <w:hyperlink r:id="rId29" w:anchor="the_trustee" w:history="1">
        <w:r w:rsidR="00750BC7" w:rsidRPr="00A25FDF">
          <w:rPr>
            <w:rStyle w:val="Hyperlink"/>
            <w:rFonts w:ascii="Arial" w:hAnsi="Arial" w:cs="Arial"/>
            <w:color w:val="auto"/>
            <w:sz w:val="22"/>
            <w:szCs w:val="22"/>
            <w:highlight w:val="yellow"/>
            <w:u w:val="none"/>
          </w:rPr>
          <w:t>the trustee</w:t>
        </w:r>
      </w:hyperlink>
      <w:r w:rsidR="00750BC7" w:rsidRPr="00A25FDF">
        <w:rPr>
          <w:rFonts w:ascii="Arial" w:hAnsi="Arial" w:cs="Arial"/>
          <w:sz w:val="22"/>
          <w:szCs w:val="22"/>
          <w:highlight w:val="yellow"/>
        </w:rPr>
        <w:t> by the </w:t>
      </w:r>
      <w:hyperlink r:id="rId30" w:anchor="creditor" w:history="1">
        <w:r w:rsidR="00750BC7" w:rsidRPr="00A25FDF">
          <w:rPr>
            <w:rStyle w:val="Hyperlink"/>
            <w:rFonts w:ascii="Arial" w:hAnsi="Arial" w:cs="Arial"/>
            <w:color w:val="auto"/>
            <w:sz w:val="22"/>
            <w:szCs w:val="22"/>
            <w:highlight w:val="yellow"/>
            <w:u w:val="none"/>
          </w:rPr>
          <w:t>creditors</w:t>
        </w:r>
      </w:hyperlink>
      <w:r w:rsidR="00750BC7" w:rsidRPr="00A25FDF">
        <w:rPr>
          <w:rFonts w:ascii="Arial" w:hAnsi="Arial" w:cs="Arial"/>
          <w:sz w:val="22"/>
          <w:szCs w:val="22"/>
          <w:highlight w:val="yellow"/>
        </w:rPr>
        <w:t> of the estate but is not obliged to comply with those directions. If </w:t>
      </w:r>
      <w:hyperlink r:id="rId31" w:anchor="the_trustee" w:history="1">
        <w:r w:rsidR="00750BC7" w:rsidRPr="00A25FDF">
          <w:rPr>
            <w:rStyle w:val="Hyperlink"/>
            <w:rFonts w:ascii="Arial" w:hAnsi="Arial" w:cs="Arial"/>
            <w:color w:val="auto"/>
            <w:sz w:val="22"/>
            <w:szCs w:val="22"/>
            <w:highlight w:val="yellow"/>
            <w:u w:val="none"/>
          </w:rPr>
          <w:t>the trustee</w:t>
        </w:r>
      </w:hyperlink>
      <w:r w:rsidR="00750BC7" w:rsidRPr="00A25FDF">
        <w:rPr>
          <w:rFonts w:ascii="Arial" w:hAnsi="Arial" w:cs="Arial"/>
          <w:sz w:val="22"/>
          <w:szCs w:val="22"/>
          <w:highlight w:val="yellow"/>
        </w:rPr>
        <w:t> does not comply with a direction, </w:t>
      </w:r>
      <w:hyperlink r:id="rId32" w:anchor="the_trustee" w:history="1">
        <w:r w:rsidR="00750BC7" w:rsidRPr="00A25FDF">
          <w:rPr>
            <w:rStyle w:val="Hyperlink"/>
            <w:rFonts w:ascii="Arial" w:hAnsi="Arial" w:cs="Arial"/>
            <w:color w:val="auto"/>
            <w:sz w:val="22"/>
            <w:szCs w:val="22"/>
            <w:highlight w:val="yellow"/>
            <w:u w:val="none"/>
          </w:rPr>
          <w:t>the trustee</w:t>
        </w:r>
      </w:hyperlink>
      <w:r w:rsidR="00750BC7" w:rsidRPr="00A25FDF">
        <w:rPr>
          <w:rFonts w:ascii="Arial" w:hAnsi="Arial" w:cs="Arial"/>
          <w:sz w:val="22"/>
          <w:szCs w:val="22"/>
          <w:highlight w:val="yellow"/>
        </w:rPr>
        <w:t> must make a written record of that fact, along with </w:t>
      </w:r>
      <w:hyperlink r:id="rId33" w:anchor="the_trustee" w:history="1">
        <w:r w:rsidR="00750BC7" w:rsidRPr="00A25FDF">
          <w:rPr>
            <w:rStyle w:val="Hyperlink"/>
            <w:rFonts w:ascii="Arial" w:hAnsi="Arial" w:cs="Arial"/>
            <w:color w:val="auto"/>
            <w:sz w:val="22"/>
            <w:szCs w:val="22"/>
            <w:highlight w:val="yellow"/>
            <w:u w:val="none"/>
          </w:rPr>
          <w:t>the trustee</w:t>
        </w:r>
      </w:hyperlink>
      <w:r w:rsidR="00750BC7" w:rsidRPr="00A25FDF">
        <w:rPr>
          <w:rFonts w:ascii="Arial" w:hAnsi="Arial" w:cs="Arial"/>
          <w:sz w:val="22"/>
          <w:szCs w:val="22"/>
          <w:highlight w:val="yellow"/>
        </w:rPr>
        <w:t>'s reasons for not complying with the direction. If there is a conflict between directions given by the </w:t>
      </w:r>
      <w:hyperlink r:id="rId34" w:anchor="creditor" w:history="1">
        <w:r w:rsidR="00750BC7" w:rsidRPr="00A25FDF">
          <w:rPr>
            <w:rStyle w:val="Hyperlink"/>
            <w:rFonts w:ascii="Arial" w:hAnsi="Arial" w:cs="Arial"/>
            <w:color w:val="auto"/>
            <w:sz w:val="22"/>
            <w:szCs w:val="22"/>
            <w:highlight w:val="yellow"/>
            <w:u w:val="none"/>
          </w:rPr>
          <w:t>creditors</w:t>
        </w:r>
      </w:hyperlink>
      <w:r w:rsidR="00750BC7" w:rsidRPr="00A25FDF">
        <w:rPr>
          <w:rFonts w:ascii="Arial" w:hAnsi="Arial" w:cs="Arial"/>
          <w:sz w:val="22"/>
          <w:szCs w:val="22"/>
          <w:highlight w:val="yellow"/>
        </w:rPr>
        <w:t> to a committee of inspection the directions given by the </w:t>
      </w:r>
      <w:hyperlink r:id="rId35" w:anchor="creditor" w:history="1">
        <w:r w:rsidR="00750BC7" w:rsidRPr="00A25FDF">
          <w:rPr>
            <w:rStyle w:val="Hyperlink"/>
            <w:rFonts w:ascii="Arial" w:hAnsi="Arial" w:cs="Arial"/>
            <w:color w:val="auto"/>
            <w:sz w:val="22"/>
            <w:szCs w:val="22"/>
            <w:highlight w:val="yellow"/>
            <w:u w:val="none"/>
          </w:rPr>
          <w:t>creditors</w:t>
        </w:r>
      </w:hyperlink>
      <w:r w:rsidR="00750BC7" w:rsidRPr="00A25FDF">
        <w:rPr>
          <w:rFonts w:ascii="Arial" w:hAnsi="Arial" w:cs="Arial"/>
          <w:sz w:val="22"/>
          <w:szCs w:val="22"/>
          <w:highlight w:val="yellow"/>
        </w:rPr>
        <w:t xml:space="preserve"> override any directions given by the committee. The majority in value of the creditors who reply to the Official Receiver must agree </w:t>
      </w:r>
      <w:proofErr w:type="gramStart"/>
      <w:r w:rsidR="00750BC7" w:rsidRPr="00A25FDF">
        <w:rPr>
          <w:rFonts w:ascii="Arial" w:hAnsi="Arial" w:cs="Arial"/>
          <w:sz w:val="22"/>
          <w:szCs w:val="22"/>
          <w:highlight w:val="yellow"/>
        </w:rPr>
        <w:t>for</w:t>
      </w:r>
      <w:proofErr w:type="gramEnd"/>
      <w:r w:rsidR="00750BC7" w:rsidRPr="00A25FDF">
        <w:rPr>
          <w:rFonts w:ascii="Arial" w:hAnsi="Arial" w:cs="Arial"/>
          <w:sz w:val="22"/>
          <w:szCs w:val="22"/>
          <w:highlight w:val="yellow"/>
        </w:rPr>
        <w:t xml:space="preserve"> the acceptance of the debt agreement of an individual debtor before it is accepted.</w:t>
      </w:r>
    </w:p>
    <w:p w14:paraId="052A24F9" w14:textId="77777777" w:rsidR="00750BC7" w:rsidRPr="00A25FDF" w:rsidRDefault="00750BC7" w:rsidP="00A25FDF">
      <w:pPr>
        <w:spacing w:after="160" w:line="259" w:lineRule="auto"/>
        <w:jc w:val="both"/>
        <w:rPr>
          <w:rFonts w:ascii="Arial" w:eastAsiaTheme="minorHAnsi" w:hAnsi="Arial" w:cs="Arial"/>
          <w:kern w:val="2"/>
          <w:sz w:val="22"/>
          <w:szCs w:val="22"/>
          <w:highlight w:val="yellow"/>
          <w14:ligatures w14:val="standardContextual"/>
        </w:rPr>
      </w:pPr>
      <w:proofErr w:type="gramStart"/>
      <w:r w:rsidRPr="00A25FDF">
        <w:rPr>
          <w:rFonts w:ascii="Arial" w:hAnsi="Arial" w:cs="Arial"/>
          <w:sz w:val="22"/>
          <w:szCs w:val="22"/>
          <w:highlight w:val="yellow"/>
        </w:rPr>
        <w:t>All of</w:t>
      </w:r>
      <w:proofErr w:type="gramEnd"/>
      <w:r w:rsidRPr="00A25FDF">
        <w:rPr>
          <w:rFonts w:ascii="Arial" w:hAnsi="Arial" w:cs="Arial"/>
          <w:sz w:val="22"/>
          <w:szCs w:val="22"/>
          <w:highlight w:val="yellow"/>
        </w:rPr>
        <w:t xml:space="preserve"> the aforementioned points out that Australian insolvency options provided by law empower and enable creditors with the ability to assert their rights and makes it creditor friendly. </w:t>
      </w:r>
    </w:p>
    <w:p w14:paraId="3CD919F5" w14:textId="77777777" w:rsidR="00750BC7" w:rsidRPr="00A25FDF" w:rsidRDefault="00750BC7" w:rsidP="00A25FDF">
      <w:pPr>
        <w:spacing w:before="360" w:after="360"/>
        <w:jc w:val="both"/>
        <w:rPr>
          <w:rFonts w:ascii="Arial" w:hAnsi="Arial" w:cs="Arial"/>
          <w:sz w:val="22"/>
          <w:szCs w:val="22"/>
          <w:highlight w:val="yellow"/>
        </w:rPr>
      </w:pPr>
      <w:r w:rsidRPr="00A25FDF">
        <w:rPr>
          <w:rFonts w:ascii="Arial" w:hAnsi="Arial" w:cs="Arial"/>
          <w:sz w:val="22"/>
          <w:szCs w:val="22"/>
          <w:highlight w:val="yellow"/>
        </w:rPr>
        <w:lastRenderedPageBreak/>
        <w:t xml:space="preserve">However, there have been </w:t>
      </w:r>
      <w:proofErr w:type="gramStart"/>
      <w:r w:rsidRPr="00A25FDF">
        <w:rPr>
          <w:rFonts w:ascii="Arial" w:hAnsi="Arial" w:cs="Arial"/>
          <w:sz w:val="22"/>
          <w:szCs w:val="22"/>
          <w:highlight w:val="yellow"/>
        </w:rPr>
        <w:t>a number of</w:t>
      </w:r>
      <w:proofErr w:type="gramEnd"/>
      <w:r w:rsidRPr="00A25FDF">
        <w:rPr>
          <w:rFonts w:ascii="Arial" w:hAnsi="Arial" w:cs="Arial"/>
          <w:sz w:val="22"/>
          <w:szCs w:val="22"/>
          <w:highlight w:val="yellow"/>
        </w:rPr>
        <w:t xml:space="preserve"> recent reforms that have made Australia more of a debtor-friendly jurisdiction. These reforms include:</w:t>
      </w:r>
    </w:p>
    <w:p w14:paraId="6FC59A00" w14:textId="77777777" w:rsidR="00750BC7" w:rsidRPr="00A25FDF" w:rsidRDefault="00750BC7" w:rsidP="00A25FDF">
      <w:pPr>
        <w:numPr>
          <w:ilvl w:val="0"/>
          <w:numId w:val="32"/>
        </w:numPr>
        <w:spacing w:before="100" w:beforeAutospacing="1" w:after="150"/>
        <w:jc w:val="both"/>
        <w:rPr>
          <w:rFonts w:ascii="Arial" w:hAnsi="Arial" w:cs="Arial"/>
          <w:sz w:val="22"/>
          <w:szCs w:val="22"/>
          <w:highlight w:val="yellow"/>
        </w:rPr>
      </w:pPr>
      <w:r w:rsidRPr="00A25FDF">
        <w:rPr>
          <w:rFonts w:ascii="Arial" w:hAnsi="Arial" w:cs="Arial"/>
          <w:sz w:val="22"/>
          <w:szCs w:val="22"/>
          <w:highlight w:val="yellow"/>
        </w:rPr>
        <w:t xml:space="preserve">The introduction of a new small business restructuring process, which provides small businesses with a simpler and more flexible way to restructure their debts. </w:t>
      </w:r>
    </w:p>
    <w:p w14:paraId="0AB1F594" w14:textId="77777777" w:rsidR="00750BC7" w:rsidRPr="00A25FDF" w:rsidRDefault="00750BC7" w:rsidP="00A25FDF">
      <w:pPr>
        <w:numPr>
          <w:ilvl w:val="0"/>
          <w:numId w:val="32"/>
        </w:numPr>
        <w:spacing w:before="100" w:beforeAutospacing="1" w:after="150"/>
        <w:jc w:val="both"/>
        <w:rPr>
          <w:rFonts w:ascii="Arial" w:hAnsi="Arial" w:cs="Arial"/>
          <w:sz w:val="22"/>
          <w:szCs w:val="22"/>
          <w:highlight w:val="yellow"/>
        </w:rPr>
      </w:pPr>
      <w:r w:rsidRPr="00A25FDF">
        <w:rPr>
          <w:rFonts w:ascii="Arial" w:hAnsi="Arial" w:cs="Arial"/>
          <w:sz w:val="22"/>
          <w:szCs w:val="22"/>
          <w:highlight w:val="yellow"/>
        </w:rPr>
        <w:t xml:space="preserve">The introduction of a new safe </w:t>
      </w:r>
      <w:proofErr w:type="spellStart"/>
      <w:r w:rsidRPr="00A25FDF">
        <w:rPr>
          <w:rFonts w:ascii="Arial" w:hAnsi="Arial" w:cs="Arial"/>
          <w:sz w:val="22"/>
          <w:szCs w:val="22"/>
          <w:highlight w:val="yellow"/>
        </w:rPr>
        <w:t>harbour</w:t>
      </w:r>
      <w:proofErr w:type="spellEnd"/>
      <w:r w:rsidRPr="00A25FDF">
        <w:rPr>
          <w:rFonts w:ascii="Arial" w:hAnsi="Arial" w:cs="Arial"/>
          <w:sz w:val="22"/>
          <w:szCs w:val="22"/>
          <w:highlight w:val="yellow"/>
        </w:rPr>
        <w:t xml:space="preserve"> provision, which protects companies from insolvent trading claims if they take steps to restructure their debts in good faith.</w:t>
      </w:r>
    </w:p>
    <w:p w14:paraId="6826E0BE" w14:textId="77777777" w:rsidR="00750BC7" w:rsidRPr="00A25FDF" w:rsidRDefault="00750BC7" w:rsidP="00A25FDF">
      <w:pPr>
        <w:numPr>
          <w:ilvl w:val="0"/>
          <w:numId w:val="32"/>
        </w:numPr>
        <w:spacing w:before="100" w:beforeAutospacing="1" w:after="150"/>
        <w:jc w:val="both"/>
        <w:rPr>
          <w:rFonts w:ascii="Arial" w:hAnsi="Arial" w:cs="Arial"/>
          <w:sz w:val="22"/>
          <w:szCs w:val="22"/>
          <w:highlight w:val="yellow"/>
        </w:rPr>
      </w:pPr>
      <w:r w:rsidRPr="00A25FDF">
        <w:rPr>
          <w:rFonts w:ascii="Arial" w:hAnsi="Arial" w:cs="Arial"/>
          <w:sz w:val="22"/>
          <w:szCs w:val="22"/>
          <w:highlight w:val="yellow"/>
        </w:rPr>
        <w:t xml:space="preserve">The amendment of the Corporations Act to make it easier for companies to </w:t>
      </w:r>
      <w:proofErr w:type="gramStart"/>
      <w:r w:rsidRPr="00A25FDF">
        <w:rPr>
          <w:rFonts w:ascii="Arial" w:hAnsi="Arial" w:cs="Arial"/>
          <w:sz w:val="22"/>
          <w:szCs w:val="22"/>
          <w:highlight w:val="yellow"/>
        </w:rPr>
        <w:t>enter into</w:t>
      </w:r>
      <w:proofErr w:type="gramEnd"/>
      <w:r w:rsidRPr="00A25FDF">
        <w:rPr>
          <w:rFonts w:ascii="Arial" w:hAnsi="Arial" w:cs="Arial"/>
          <w:sz w:val="22"/>
          <w:szCs w:val="22"/>
          <w:highlight w:val="yellow"/>
        </w:rPr>
        <w:t xml:space="preserve"> deeds of company arrangement (DOCAs).</w:t>
      </w:r>
    </w:p>
    <w:p w14:paraId="3688B8C8" w14:textId="77777777" w:rsidR="00750BC7" w:rsidRPr="00A25FDF" w:rsidRDefault="00750BC7" w:rsidP="00A25FDF">
      <w:pPr>
        <w:numPr>
          <w:ilvl w:val="0"/>
          <w:numId w:val="32"/>
        </w:numPr>
        <w:spacing w:before="100" w:beforeAutospacing="1" w:after="150"/>
        <w:jc w:val="both"/>
        <w:rPr>
          <w:rFonts w:ascii="Arial" w:hAnsi="Arial" w:cs="Arial"/>
          <w:sz w:val="22"/>
          <w:szCs w:val="22"/>
          <w:highlight w:val="yellow"/>
        </w:rPr>
      </w:pPr>
      <w:r w:rsidRPr="00A25FDF">
        <w:rPr>
          <w:rFonts w:ascii="Arial" w:hAnsi="Arial" w:cs="Arial"/>
          <w:sz w:val="22"/>
          <w:szCs w:val="22"/>
          <w:highlight w:val="yellow"/>
        </w:rPr>
        <w:t>Creditors are prevented from enforcing Ipso facto contractual rights contingent only on the insolvency of a company or from being placed in an external administration.</w:t>
      </w:r>
    </w:p>
    <w:p w14:paraId="3625AFBE" w14:textId="77777777" w:rsidR="00750BC7" w:rsidRPr="00A25FDF" w:rsidRDefault="00750BC7" w:rsidP="00A25FDF">
      <w:pPr>
        <w:pStyle w:val="subsection"/>
        <w:jc w:val="both"/>
        <w:rPr>
          <w:rFonts w:ascii="Arial" w:hAnsi="Arial" w:cs="Arial"/>
          <w:sz w:val="22"/>
          <w:szCs w:val="22"/>
          <w:highlight w:val="yellow"/>
        </w:rPr>
      </w:pPr>
      <w:r w:rsidRPr="00A25FDF">
        <w:rPr>
          <w:rFonts w:ascii="Arial" w:hAnsi="Arial" w:cs="Arial"/>
          <w:color w:val="000000"/>
          <w:sz w:val="22"/>
          <w:szCs w:val="22"/>
          <w:highlight w:val="yellow"/>
          <w:shd w:val="clear" w:color="auto" w:fill="FFFFFF"/>
        </w:rPr>
        <w:t xml:space="preserve">The small company restructuring regime, introduced in 2021 pursuant to part 5.4 B of the Corporations Act is </w:t>
      </w:r>
      <w:r w:rsidRPr="00A25FDF">
        <w:rPr>
          <w:rFonts w:ascii="Arial" w:hAnsi="Arial" w:cs="Arial"/>
          <w:color w:val="000000"/>
          <w:sz w:val="22"/>
          <w:szCs w:val="22"/>
          <w:highlight w:val="yellow"/>
        </w:rPr>
        <w:t>debtor-in-possession restructuring process. The object of this amendment to the Corporations Act is to provide for a restructuring process for eligible companies that allows the companies:</w:t>
      </w:r>
      <w:r w:rsidRPr="00A25FDF">
        <w:rPr>
          <w:rFonts w:ascii="Arial" w:hAnsi="Arial" w:cs="Arial"/>
          <w:sz w:val="22"/>
          <w:szCs w:val="22"/>
          <w:highlight w:val="yellow"/>
        </w:rPr>
        <w:t>(</w:t>
      </w:r>
      <w:proofErr w:type="gramStart"/>
      <w:r w:rsidRPr="00A25FDF">
        <w:rPr>
          <w:rFonts w:ascii="Arial" w:hAnsi="Arial" w:cs="Arial"/>
          <w:sz w:val="22"/>
          <w:szCs w:val="22"/>
          <w:highlight w:val="yellow"/>
        </w:rPr>
        <w:t>a)  to</w:t>
      </w:r>
      <w:proofErr w:type="gramEnd"/>
      <w:r w:rsidRPr="00A25FDF">
        <w:rPr>
          <w:rFonts w:ascii="Arial" w:hAnsi="Arial" w:cs="Arial"/>
          <w:sz w:val="22"/>
          <w:szCs w:val="22"/>
          <w:highlight w:val="yellow"/>
        </w:rPr>
        <w:t xml:space="preserve"> retain control of the business, property and affairs while developing a plan to restructure with the assistance of a small business restructuring practitioner; and (b)  to enter into a restructuring plan with creditors.</w:t>
      </w:r>
    </w:p>
    <w:p w14:paraId="5ED3D2C1" w14:textId="77777777" w:rsidR="00750BC7" w:rsidRPr="00526D2F" w:rsidRDefault="00750BC7" w:rsidP="00A25FDF">
      <w:pPr>
        <w:pStyle w:val="subsection"/>
        <w:jc w:val="both"/>
        <w:rPr>
          <w:rFonts w:ascii="Arial" w:hAnsi="Arial" w:cs="Arial"/>
          <w:sz w:val="22"/>
          <w:szCs w:val="22"/>
          <w:highlight w:val="yellow"/>
        </w:rPr>
      </w:pPr>
      <w:r w:rsidRPr="00A25FDF">
        <w:rPr>
          <w:rFonts w:ascii="Arial" w:hAnsi="Arial" w:cs="Arial"/>
          <w:color w:val="000000"/>
          <w:sz w:val="22"/>
          <w:szCs w:val="22"/>
          <w:highlight w:val="yellow"/>
        </w:rPr>
        <w:t>  </w:t>
      </w:r>
      <w:r w:rsidRPr="00526D2F">
        <w:rPr>
          <w:rFonts w:ascii="Arial" w:hAnsi="Arial" w:cs="Arial"/>
          <w:sz w:val="22"/>
          <w:szCs w:val="22"/>
          <w:highlight w:val="yellow"/>
        </w:rPr>
        <w:t>Section 453B provides:</w:t>
      </w:r>
    </w:p>
    <w:p w14:paraId="7F4921EE" w14:textId="77777777" w:rsidR="00750BC7" w:rsidRPr="00526D2F" w:rsidRDefault="00750BC7" w:rsidP="00A25FDF">
      <w:pPr>
        <w:pStyle w:val="NoSpacing"/>
        <w:jc w:val="both"/>
        <w:rPr>
          <w:rFonts w:ascii="Arial" w:hAnsi="Arial" w:cs="Arial"/>
          <w:sz w:val="22"/>
          <w:szCs w:val="22"/>
          <w:highlight w:val="yellow"/>
        </w:rPr>
      </w:pPr>
      <w:r w:rsidRPr="00526D2F">
        <w:rPr>
          <w:rFonts w:ascii="Arial" w:hAnsi="Arial" w:cs="Arial"/>
          <w:sz w:val="22"/>
          <w:szCs w:val="22"/>
          <w:highlight w:val="yellow"/>
        </w:rPr>
        <w:t>(1)  A company may, by writing, appoint a small business restructuring practitioner for the company if:</w:t>
      </w:r>
    </w:p>
    <w:p w14:paraId="33A7B646" w14:textId="77777777" w:rsidR="00750BC7" w:rsidRPr="00526D2F" w:rsidRDefault="00750BC7" w:rsidP="00A25FDF">
      <w:pPr>
        <w:pStyle w:val="NoSpacing"/>
        <w:jc w:val="both"/>
        <w:rPr>
          <w:rFonts w:ascii="Arial" w:hAnsi="Arial" w:cs="Arial"/>
          <w:sz w:val="22"/>
          <w:szCs w:val="22"/>
          <w:highlight w:val="yellow"/>
        </w:rPr>
      </w:pPr>
      <w:r w:rsidRPr="00526D2F">
        <w:rPr>
          <w:rFonts w:ascii="Arial" w:hAnsi="Arial" w:cs="Arial"/>
          <w:sz w:val="22"/>
          <w:szCs w:val="22"/>
          <w:highlight w:val="yellow"/>
        </w:rPr>
        <w:t>(a)  the eligibility criteria for restructuring are met in relation to the company on the day the appointment is made; and (b) the board has resolved to the effect that:</w:t>
      </w:r>
    </w:p>
    <w:p w14:paraId="44087D5C" w14:textId="77777777" w:rsidR="00750BC7" w:rsidRPr="00526D2F" w:rsidRDefault="00750BC7" w:rsidP="00A25FDF">
      <w:pPr>
        <w:pStyle w:val="NoSpacing"/>
        <w:ind w:left="720"/>
        <w:jc w:val="both"/>
        <w:rPr>
          <w:rFonts w:ascii="Arial" w:hAnsi="Arial" w:cs="Arial"/>
          <w:sz w:val="22"/>
          <w:szCs w:val="22"/>
          <w:highlight w:val="yellow"/>
        </w:rPr>
      </w:pPr>
      <w:r w:rsidRPr="00526D2F">
        <w:rPr>
          <w:rFonts w:ascii="Arial" w:hAnsi="Arial" w:cs="Arial"/>
          <w:sz w:val="22"/>
          <w:szCs w:val="22"/>
          <w:highlight w:val="yellow"/>
        </w:rPr>
        <w:t>(</w:t>
      </w:r>
      <w:proofErr w:type="spellStart"/>
      <w:r w:rsidRPr="00526D2F">
        <w:rPr>
          <w:rFonts w:ascii="Arial" w:hAnsi="Arial" w:cs="Arial"/>
          <w:sz w:val="22"/>
          <w:szCs w:val="22"/>
          <w:highlight w:val="yellow"/>
        </w:rPr>
        <w:t>i</w:t>
      </w:r>
      <w:proofErr w:type="spellEnd"/>
      <w:r w:rsidRPr="00526D2F">
        <w:rPr>
          <w:rFonts w:ascii="Arial" w:hAnsi="Arial" w:cs="Arial"/>
          <w:sz w:val="22"/>
          <w:szCs w:val="22"/>
          <w:highlight w:val="yellow"/>
        </w:rPr>
        <w:t>)  in the opinion of the directors voting for the resolution, the company is insolvent, or is likely to become insolvent at some future time; and</w:t>
      </w:r>
    </w:p>
    <w:p w14:paraId="14BE1BC6" w14:textId="77777777" w:rsidR="00750BC7" w:rsidRPr="00526D2F" w:rsidRDefault="00750BC7" w:rsidP="00A25FDF">
      <w:pPr>
        <w:pStyle w:val="NoSpacing"/>
        <w:ind w:firstLine="720"/>
        <w:jc w:val="both"/>
        <w:rPr>
          <w:rFonts w:ascii="Arial" w:hAnsi="Arial" w:cs="Arial"/>
          <w:sz w:val="22"/>
          <w:szCs w:val="22"/>
          <w:highlight w:val="yellow"/>
        </w:rPr>
      </w:pPr>
      <w:r w:rsidRPr="00526D2F">
        <w:rPr>
          <w:rFonts w:ascii="Arial" w:hAnsi="Arial" w:cs="Arial"/>
          <w:sz w:val="22"/>
          <w:szCs w:val="22"/>
          <w:highlight w:val="yellow"/>
        </w:rPr>
        <w:t>(ii)  a restructuring practitioner for the company should be appointed.</w:t>
      </w:r>
    </w:p>
    <w:p w14:paraId="5C3C3D3D" w14:textId="77777777" w:rsidR="00750BC7" w:rsidRPr="00526D2F" w:rsidRDefault="00750BC7" w:rsidP="00A25FDF">
      <w:pPr>
        <w:pStyle w:val="NoSpacing"/>
        <w:ind w:firstLine="720"/>
        <w:jc w:val="both"/>
        <w:rPr>
          <w:rFonts w:ascii="Arial" w:hAnsi="Arial" w:cs="Arial"/>
          <w:sz w:val="22"/>
          <w:szCs w:val="22"/>
          <w:highlight w:val="yellow"/>
        </w:rPr>
      </w:pPr>
    </w:p>
    <w:p w14:paraId="0E0643DA" w14:textId="77777777" w:rsidR="00750BC7" w:rsidRPr="00526D2F" w:rsidRDefault="00750BC7" w:rsidP="00A25FDF">
      <w:pPr>
        <w:pStyle w:val="NormalWeb"/>
        <w:shd w:val="clear" w:color="auto" w:fill="FFFFFF"/>
        <w:spacing w:before="0" w:beforeAutospacing="0"/>
        <w:jc w:val="both"/>
        <w:rPr>
          <w:rFonts w:ascii="Arial" w:hAnsi="Arial" w:cs="Arial"/>
          <w:sz w:val="22"/>
          <w:szCs w:val="22"/>
          <w:highlight w:val="yellow"/>
          <w:shd w:val="clear" w:color="auto" w:fill="FFFFFF"/>
        </w:rPr>
      </w:pPr>
      <w:r w:rsidRPr="00526D2F">
        <w:rPr>
          <w:rFonts w:ascii="Arial" w:hAnsi="Arial" w:cs="Arial"/>
          <w:sz w:val="22"/>
          <w:szCs w:val="22"/>
          <w:highlight w:val="yellow"/>
        </w:rPr>
        <w:t xml:space="preserve"> This allows the company to keep trading under the control of its owners or directors. </w:t>
      </w:r>
      <w:proofErr w:type="gramStart"/>
      <w:r w:rsidRPr="00526D2F">
        <w:rPr>
          <w:rFonts w:ascii="Arial" w:hAnsi="Arial" w:cs="Arial"/>
          <w:sz w:val="22"/>
          <w:szCs w:val="22"/>
          <w:highlight w:val="yellow"/>
          <w:shd w:val="clear" w:color="auto" w:fill="FFFFFF"/>
        </w:rPr>
        <w:t>In order to</w:t>
      </w:r>
      <w:proofErr w:type="gramEnd"/>
      <w:r w:rsidRPr="00526D2F">
        <w:rPr>
          <w:rFonts w:ascii="Arial" w:hAnsi="Arial" w:cs="Arial"/>
          <w:sz w:val="22"/>
          <w:szCs w:val="22"/>
          <w:highlight w:val="yellow"/>
          <w:shd w:val="clear" w:color="auto" w:fill="FFFFFF"/>
        </w:rPr>
        <w:t xml:space="preserve"> qualify for this scheme a company must have</w:t>
      </w:r>
    </w:p>
    <w:p w14:paraId="2165AAE2" w14:textId="77777777" w:rsidR="00750BC7" w:rsidRPr="00526D2F" w:rsidRDefault="00750BC7" w:rsidP="00A25FDF">
      <w:pPr>
        <w:numPr>
          <w:ilvl w:val="0"/>
          <w:numId w:val="33"/>
        </w:numPr>
        <w:spacing w:before="100" w:beforeAutospacing="1" w:after="100" w:afterAutospacing="1" w:line="375" w:lineRule="atLeast"/>
        <w:jc w:val="both"/>
        <w:rPr>
          <w:rFonts w:ascii="Arial" w:hAnsi="Arial" w:cs="Arial"/>
          <w:sz w:val="22"/>
          <w:szCs w:val="22"/>
          <w:highlight w:val="yellow"/>
        </w:rPr>
      </w:pPr>
      <w:r w:rsidRPr="00526D2F">
        <w:rPr>
          <w:rFonts w:ascii="Arial" w:hAnsi="Arial" w:cs="Arial"/>
          <w:sz w:val="22"/>
          <w:szCs w:val="22"/>
          <w:highlight w:val="yellow"/>
        </w:rPr>
        <w:t>Less than $1 million in total liabilities</w:t>
      </w:r>
    </w:p>
    <w:p w14:paraId="54596BC7" w14:textId="77777777" w:rsidR="00750BC7" w:rsidRPr="00526D2F" w:rsidRDefault="00750BC7" w:rsidP="00A25FDF">
      <w:pPr>
        <w:numPr>
          <w:ilvl w:val="0"/>
          <w:numId w:val="33"/>
        </w:numPr>
        <w:spacing w:before="100" w:beforeAutospacing="1" w:after="100" w:afterAutospacing="1" w:line="375" w:lineRule="atLeast"/>
        <w:jc w:val="both"/>
        <w:rPr>
          <w:rFonts w:ascii="Arial" w:hAnsi="Arial" w:cs="Arial"/>
          <w:sz w:val="22"/>
          <w:szCs w:val="22"/>
          <w:highlight w:val="yellow"/>
        </w:rPr>
      </w:pPr>
      <w:r w:rsidRPr="00526D2F">
        <w:rPr>
          <w:rFonts w:ascii="Arial" w:hAnsi="Arial" w:cs="Arial"/>
          <w:sz w:val="22"/>
          <w:szCs w:val="22"/>
          <w:highlight w:val="yellow"/>
        </w:rPr>
        <w:t xml:space="preserve">The company is either insolvent or likely to become insolvent </w:t>
      </w:r>
      <w:proofErr w:type="gramStart"/>
      <w:r w:rsidRPr="00526D2F">
        <w:rPr>
          <w:rFonts w:ascii="Arial" w:hAnsi="Arial" w:cs="Arial"/>
          <w:sz w:val="22"/>
          <w:szCs w:val="22"/>
          <w:highlight w:val="yellow"/>
        </w:rPr>
        <w:t>in the near future</w:t>
      </w:r>
      <w:proofErr w:type="gramEnd"/>
    </w:p>
    <w:p w14:paraId="05889CAB" w14:textId="77777777" w:rsidR="00750BC7" w:rsidRPr="00526D2F" w:rsidRDefault="00750BC7" w:rsidP="00A25FDF">
      <w:pPr>
        <w:numPr>
          <w:ilvl w:val="0"/>
          <w:numId w:val="33"/>
        </w:numPr>
        <w:spacing w:before="100" w:beforeAutospacing="1" w:after="100" w:afterAutospacing="1" w:line="375" w:lineRule="atLeast"/>
        <w:jc w:val="both"/>
        <w:rPr>
          <w:rFonts w:ascii="Arial" w:hAnsi="Arial" w:cs="Arial"/>
          <w:sz w:val="22"/>
          <w:szCs w:val="22"/>
          <w:highlight w:val="yellow"/>
        </w:rPr>
      </w:pPr>
      <w:r w:rsidRPr="00526D2F">
        <w:rPr>
          <w:rFonts w:ascii="Arial" w:hAnsi="Arial" w:cs="Arial"/>
          <w:sz w:val="22"/>
          <w:szCs w:val="22"/>
          <w:highlight w:val="yellow"/>
        </w:rPr>
        <w:t>The directors (current or in the previous 12 months) have not engaged with the small business restructuring process or simplified liquidation within the past seven years</w:t>
      </w:r>
    </w:p>
    <w:p w14:paraId="64EF0AC2" w14:textId="77777777" w:rsidR="00750BC7" w:rsidRPr="00526D2F" w:rsidRDefault="00750BC7" w:rsidP="00A25FDF">
      <w:pPr>
        <w:numPr>
          <w:ilvl w:val="0"/>
          <w:numId w:val="33"/>
        </w:numPr>
        <w:spacing w:before="100" w:beforeAutospacing="1" w:after="100" w:afterAutospacing="1" w:line="375" w:lineRule="atLeast"/>
        <w:jc w:val="both"/>
        <w:rPr>
          <w:rFonts w:ascii="Arial" w:hAnsi="Arial" w:cs="Arial"/>
          <w:sz w:val="22"/>
          <w:szCs w:val="22"/>
          <w:highlight w:val="yellow"/>
        </w:rPr>
      </w:pPr>
      <w:r w:rsidRPr="00526D2F">
        <w:rPr>
          <w:rFonts w:ascii="Arial" w:hAnsi="Arial" w:cs="Arial"/>
          <w:sz w:val="22"/>
          <w:szCs w:val="22"/>
          <w:highlight w:val="yellow"/>
        </w:rPr>
        <w:t xml:space="preserve">The company must not be under other restructuring or administration including a deed of company arrangement or liquidation. </w:t>
      </w:r>
    </w:p>
    <w:p w14:paraId="417CAEFC" w14:textId="77777777" w:rsidR="00750BC7" w:rsidRPr="00526D2F" w:rsidRDefault="00750BC7" w:rsidP="00A25FDF">
      <w:pPr>
        <w:spacing w:before="100" w:beforeAutospacing="1" w:after="100" w:afterAutospacing="1" w:line="375" w:lineRule="atLeast"/>
        <w:jc w:val="both"/>
        <w:rPr>
          <w:rFonts w:ascii="Arial" w:hAnsi="Arial" w:cs="Arial"/>
          <w:sz w:val="22"/>
          <w:szCs w:val="22"/>
          <w:highlight w:val="yellow"/>
        </w:rPr>
      </w:pPr>
      <w:r w:rsidRPr="00526D2F">
        <w:rPr>
          <w:rFonts w:ascii="Arial" w:hAnsi="Arial" w:cs="Arial"/>
          <w:sz w:val="22"/>
          <w:szCs w:val="22"/>
          <w:highlight w:val="yellow"/>
        </w:rPr>
        <w:t>Whilst the restructuring practitioner advises on matters related to the restructuring and the creation of the restructuring plan the directors remain in control of the company. The restructuring practitioner must be allowed access to the company’s books and other pertinent information in order that balanced advice can be given.  The company must also ensure that all employee entitlements are current and tax commitments are lodged.</w:t>
      </w:r>
    </w:p>
    <w:p w14:paraId="6751D2B6" w14:textId="77777777" w:rsidR="00750BC7" w:rsidRPr="00526D2F" w:rsidRDefault="00750BC7" w:rsidP="00A25FDF">
      <w:pPr>
        <w:spacing w:before="100" w:beforeAutospacing="1" w:after="100" w:afterAutospacing="1" w:line="375" w:lineRule="atLeast"/>
        <w:jc w:val="both"/>
        <w:rPr>
          <w:rFonts w:ascii="Arial" w:hAnsi="Arial" w:cs="Arial"/>
          <w:sz w:val="22"/>
          <w:szCs w:val="22"/>
          <w:highlight w:val="yellow"/>
        </w:rPr>
      </w:pPr>
      <w:r w:rsidRPr="00526D2F">
        <w:rPr>
          <w:rFonts w:ascii="Arial" w:hAnsi="Arial" w:cs="Arial"/>
          <w:sz w:val="22"/>
          <w:szCs w:val="22"/>
          <w:highlight w:val="yellow"/>
        </w:rPr>
        <w:lastRenderedPageBreak/>
        <w:t xml:space="preserve">Additionally, </w:t>
      </w:r>
      <w:proofErr w:type="gramStart"/>
      <w:r w:rsidRPr="00526D2F">
        <w:rPr>
          <w:rFonts w:ascii="Arial" w:hAnsi="Arial" w:cs="Arial"/>
          <w:sz w:val="22"/>
          <w:szCs w:val="22"/>
          <w:highlight w:val="yellow"/>
        </w:rPr>
        <w:t>in order to</w:t>
      </w:r>
      <w:proofErr w:type="gramEnd"/>
      <w:r w:rsidRPr="00526D2F">
        <w:rPr>
          <w:rFonts w:ascii="Arial" w:hAnsi="Arial" w:cs="Arial"/>
          <w:sz w:val="22"/>
          <w:szCs w:val="22"/>
          <w:highlight w:val="yellow"/>
        </w:rPr>
        <w:t xml:space="preserve"> grant the debtor a reprieve third party rights cannot be enforced against the company during the restructuring process without the leave of the Court or the restructuring practitioner.</w:t>
      </w:r>
    </w:p>
    <w:p w14:paraId="490D6FCD" w14:textId="77777777" w:rsidR="00750BC7" w:rsidRPr="00526D2F" w:rsidRDefault="00750BC7" w:rsidP="00A25FDF">
      <w:pPr>
        <w:pStyle w:val="NormalWeb"/>
        <w:shd w:val="clear" w:color="auto" w:fill="FFFFFF"/>
        <w:spacing w:before="0" w:beforeAutospacing="0"/>
        <w:jc w:val="both"/>
        <w:rPr>
          <w:rFonts w:ascii="Arial" w:hAnsi="Arial" w:cs="Arial"/>
          <w:sz w:val="22"/>
          <w:szCs w:val="22"/>
          <w:highlight w:val="yellow"/>
        </w:rPr>
      </w:pPr>
      <w:r w:rsidRPr="00526D2F">
        <w:rPr>
          <w:rFonts w:ascii="Arial" w:hAnsi="Arial" w:cs="Arial"/>
          <w:sz w:val="22"/>
          <w:szCs w:val="22"/>
          <w:highlight w:val="yellow"/>
        </w:rPr>
        <w:t xml:space="preserve">In a voluntary administration, the company's affairs are controlled by an Administrator, who assesses its viability, reports to creditors, and provides recommendations for the company's future. The duties of the directors are suspended during this </w:t>
      </w:r>
      <w:proofErr w:type="gramStart"/>
      <w:r w:rsidRPr="00526D2F">
        <w:rPr>
          <w:rFonts w:ascii="Arial" w:hAnsi="Arial" w:cs="Arial"/>
          <w:sz w:val="22"/>
          <w:szCs w:val="22"/>
          <w:highlight w:val="yellow"/>
        </w:rPr>
        <w:t>process, but</w:t>
      </w:r>
      <w:proofErr w:type="gramEnd"/>
      <w:r w:rsidRPr="00526D2F">
        <w:rPr>
          <w:rFonts w:ascii="Arial" w:hAnsi="Arial" w:cs="Arial"/>
          <w:sz w:val="22"/>
          <w:szCs w:val="22"/>
          <w:highlight w:val="yellow"/>
        </w:rPr>
        <w:t xml:space="preserve"> must cooperate with the Administrator. The Administrator develops a proposal for the company's future, called a Deed of Company Arrangement (DOCA), which may include a compromise, sale, or restructuring plan. The proposal is then put to creditors for a vote, and </w:t>
      </w:r>
      <w:proofErr w:type="gramStart"/>
      <w:r w:rsidRPr="00526D2F">
        <w:rPr>
          <w:rFonts w:ascii="Arial" w:hAnsi="Arial" w:cs="Arial"/>
          <w:sz w:val="22"/>
          <w:szCs w:val="22"/>
          <w:highlight w:val="yellow"/>
        </w:rPr>
        <w:t>a majority of</w:t>
      </w:r>
      <w:proofErr w:type="gramEnd"/>
      <w:r w:rsidRPr="00526D2F">
        <w:rPr>
          <w:rFonts w:ascii="Arial" w:hAnsi="Arial" w:cs="Arial"/>
          <w:sz w:val="22"/>
          <w:szCs w:val="22"/>
          <w:highlight w:val="yellow"/>
        </w:rPr>
        <w:t xml:space="preserve"> creditors must approve it. If accepted, the company exits voluntary administration, and control is returned to the directors. If not, the company may be placed into liquidation. During this period there is a moratorium thus no creditor whether secured or un-secured can enforce their rights against the company except with the leave of the court or voluntary administrator.  There are some exceptions to this rule however such as where a creditor has security over the whole or substantially whole of the assets of the company where that creditor can instead decide to appoint a receiver instead of a voluntary administrator. </w:t>
      </w:r>
    </w:p>
    <w:p w14:paraId="2386E397" w14:textId="77777777" w:rsidR="00750BC7" w:rsidRPr="00526D2F" w:rsidRDefault="00750BC7" w:rsidP="00A25FDF">
      <w:pPr>
        <w:pStyle w:val="NormalWeb"/>
        <w:shd w:val="clear" w:color="auto" w:fill="FFFFFF"/>
        <w:spacing w:before="0" w:beforeAutospacing="0"/>
        <w:jc w:val="both"/>
        <w:rPr>
          <w:rFonts w:ascii="Arial" w:hAnsi="Arial" w:cs="Arial"/>
          <w:sz w:val="22"/>
          <w:szCs w:val="22"/>
          <w:highlight w:val="yellow"/>
        </w:rPr>
      </w:pPr>
      <w:r w:rsidRPr="00526D2F">
        <w:rPr>
          <w:rFonts w:ascii="Arial" w:hAnsi="Arial" w:cs="Arial"/>
          <w:sz w:val="22"/>
          <w:szCs w:val="22"/>
          <w:highlight w:val="yellow"/>
        </w:rPr>
        <w:t xml:space="preserve">A new section, s588GA, was added to the Corporations Act of 2001 </w:t>
      </w:r>
      <w:proofErr w:type="gramStart"/>
      <w:r w:rsidRPr="00526D2F">
        <w:rPr>
          <w:rFonts w:ascii="Arial" w:hAnsi="Arial" w:cs="Arial"/>
          <w:sz w:val="22"/>
          <w:szCs w:val="22"/>
          <w:highlight w:val="yellow"/>
        </w:rPr>
        <w:t>as a result of</w:t>
      </w:r>
      <w:proofErr w:type="gramEnd"/>
      <w:r w:rsidRPr="00526D2F">
        <w:rPr>
          <w:rFonts w:ascii="Arial" w:hAnsi="Arial" w:cs="Arial"/>
          <w:sz w:val="22"/>
          <w:szCs w:val="22"/>
          <w:highlight w:val="yellow"/>
        </w:rPr>
        <w:t xml:space="preserve"> amendments made to the Act to shield directors from personal liability for debts incurred by an insolvent company if they take a course of action that is reasonably likely to result in a better outcome for the company and its creditors than the appointment of an administrator or liquidator. This is known as the safe </w:t>
      </w:r>
      <w:proofErr w:type="spellStart"/>
      <w:r w:rsidRPr="00526D2F">
        <w:rPr>
          <w:rFonts w:ascii="Arial" w:hAnsi="Arial" w:cs="Arial"/>
          <w:sz w:val="22"/>
          <w:szCs w:val="22"/>
          <w:highlight w:val="yellow"/>
        </w:rPr>
        <w:t>harbour</w:t>
      </w:r>
      <w:proofErr w:type="spellEnd"/>
      <w:r w:rsidRPr="00526D2F">
        <w:rPr>
          <w:rFonts w:ascii="Arial" w:hAnsi="Arial" w:cs="Arial"/>
          <w:sz w:val="22"/>
          <w:szCs w:val="22"/>
          <w:highlight w:val="yellow"/>
        </w:rPr>
        <w:t xml:space="preserve"> provision which allows the debtor to take steps </w:t>
      </w:r>
      <w:proofErr w:type="gramStart"/>
      <w:r w:rsidRPr="00526D2F">
        <w:rPr>
          <w:rFonts w:ascii="Arial" w:hAnsi="Arial" w:cs="Arial"/>
          <w:sz w:val="22"/>
          <w:szCs w:val="22"/>
          <w:highlight w:val="yellow"/>
        </w:rPr>
        <w:t>on</w:t>
      </w:r>
      <w:proofErr w:type="gramEnd"/>
      <w:r w:rsidRPr="00526D2F">
        <w:rPr>
          <w:rFonts w:ascii="Arial" w:hAnsi="Arial" w:cs="Arial"/>
          <w:sz w:val="22"/>
          <w:szCs w:val="22"/>
          <w:highlight w:val="yellow"/>
        </w:rPr>
        <w:t xml:space="preserve"> the future of the company and not as advised by the creditors.</w:t>
      </w:r>
    </w:p>
    <w:p w14:paraId="5700E683" w14:textId="3D7FF0B0" w:rsidR="008420F8" w:rsidRPr="00526D2F" w:rsidRDefault="00750BC7" w:rsidP="00A25FDF">
      <w:pPr>
        <w:spacing w:before="360" w:after="360"/>
        <w:jc w:val="both"/>
        <w:rPr>
          <w:rFonts w:ascii="Arial" w:hAnsi="Arial" w:cs="Arial"/>
          <w:sz w:val="22"/>
          <w:szCs w:val="22"/>
        </w:rPr>
      </w:pPr>
      <w:r w:rsidRPr="00526D2F">
        <w:rPr>
          <w:rFonts w:ascii="Arial" w:hAnsi="Arial" w:cs="Arial"/>
          <w:sz w:val="22"/>
          <w:szCs w:val="22"/>
          <w:highlight w:val="yellow"/>
        </w:rPr>
        <w:t>These reforms have given debtors more options to restructure their debts and avoid immediate liquidation once there is a likelihood of insolvency. Thus, Australia has become a more debtor-friendly jurisdiction than it was in the past. However, the Australian insolvency system still favors creditors.</w:t>
      </w:r>
      <w:r w:rsidRPr="00526D2F">
        <w:rPr>
          <w:rFonts w:ascii="Arial" w:hAnsi="Arial" w:cs="Arial"/>
          <w:sz w:val="22"/>
          <w:szCs w:val="22"/>
        </w:rPr>
        <w:t xml:space="preserve"> </w:t>
      </w:r>
    </w:p>
    <w:p w14:paraId="311CA539" w14:textId="7C1DE4B3" w:rsidR="00DF75F8" w:rsidRPr="00526D2F" w:rsidRDefault="00DF75F8" w:rsidP="002A37BB">
      <w:pPr>
        <w:jc w:val="both"/>
        <w:rPr>
          <w:rFonts w:ascii="Arial" w:hAnsi="Arial" w:cs="Arial"/>
          <w:sz w:val="22"/>
          <w:szCs w:val="22"/>
        </w:rPr>
      </w:pPr>
    </w:p>
    <w:p w14:paraId="0E678DF9" w14:textId="77777777" w:rsidR="009B0723" w:rsidRPr="00526D2F" w:rsidRDefault="00DF75F8" w:rsidP="00087F21">
      <w:pPr>
        <w:jc w:val="both"/>
        <w:rPr>
          <w:rFonts w:ascii="Arial" w:hAnsi="Arial" w:cs="Arial"/>
          <w:b/>
          <w:bCs/>
          <w:sz w:val="22"/>
          <w:szCs w:val="22"/>
          <w:lang w:val="en-GB"/>
        </w:rPr>
      </w:pPr>
      <w:r w:rsidRPr="00526D2F">
        <w:rPr>
          <w:rFonts w:ascii="Arial" w:hAnsi="Arial" w:cs="Arial"/>
          <w:b/>
          <w:bCs/>
          <w:sz w:val="22"/>
          <w:szCs w:val="22"/>
          <w:lang w:val="en-GB"/>
        </w:rPr>
        <w:t>QUESTION 4</w:t>
      </w:r>
      <w:r w:rsidR="009B0723" w:rsidRPr="00526D2F">
        <w:rPr>
          <w:rFonts w:ascii="Arial" w:hAnsi="Arial" w:cs="Arial"/>
          <w:b/>
          <w:bCs/>
          <w:sz w:val="22"/>
          <w:szCs w:val="22"/>
          <w:lang w:val="en-GB"/>
        </w:rPr>
        <w:t xml:space="preserve"> (fact-based application-type question) [15 marks</w:t>
      </w:r>
      <w:r w:rsidR="006A2646" w:rsidRPr="00526D2F">
        <w:rPr>
          <w:rFonts w:ascii="Arial" w:hAnsi="Arial" w:cs="Arial"/>
          <w:b/>
          <w:bCs/>
          <w:sz w:val="22"/>
          <w:szCs w:val="22"/>
          <w:lang w:val="en-GB"/>
        </w:rPr>
        <w:t xml:space="preserve"> in total</w:t>
      </w:r>
      <w:r w:rsidR="009B0723" w:rsidRPr="00526D2F">
        <w:rPr>
          <w:rFonts w:ascii="Arial" w:hAnsi="Arial" w:cs="Arial"/>
          <w:b/>
          <w:bCs/>
          <w:sz w:val="22"/>
          <w:szCs w:val="22"/>
          <w:lang w:val="en-GB"/>
        </w:rPr>
        <w:t>]</w:t>
      </w:r>
    </w:p>
    <w:p w14:paraId="35BE3E6F" w14:textId="77777777" w:rsidR="009B0723" w:rsidRPr="00526D2F" w:rsidRDefault="009B0723" w:rsidP="00087F21">
      <w:pPr>
        <w:jc w:val="both"/>
        <w:rPr>
          <w:rFonts w:ascii="Arial" w:hAnsi="Arial"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11"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B2234F" w:rsidRDefault="00E14FED" w:rsidP="00E14FED">
      <w:pPr>
        <w:jc w:val="both"/>
        <w:rPr>
          <w:rFonts w:ascii="Avenir Next" w:hAnsi="Avenir Next" w:cs="Arial"/>
          <w:sz w:val="22"/>
          <w:szCs w:val="22"/>
          <w:lang w:val="en-GB"/>
        </w:rPr>
      </w:pPr>
      <w:bookmarkStart w:id="12" w:name="_Hlk141368479"/>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Pty Ltd (</w:t>
      </w:r>
      <w:proofErr w:type="spellStart"/>
      <w:r w:rsidRPr="00B2234F">
        <w:rPr>
          <w:rFonts w:ascii="Avenir Next" w:hAnsi="Avenir Next" w:cs="Arial"/>
          <w:bCs/>
          <w:sz w:val="22"/>
          <w:szCs w:val="22"/>
          <w:lang w:val="en-GB"/>
        </w:rPr>
        <w:t>Aussiebee</w:t>
      </w:r>
      <w:proofErr w:type="spellEnd"/>
      <w:r w:rsidRPr="00B2234F">
        <w:rPr>
          <w:rFonts w:ascii="Avenir Next" w:hAnsi="Avenir Next" w:cs="Arial"/>
          <w:sz w:val="22"/>
          <w:szCs w:val="22"/>
          <w:lang w:val="en-GB"/>
        </w:rPr>
        <w:t xml:space="preserve">), a company incorporated in the fictional country of Lyonesse, sells chocolates flavoured with Australian native plants. The chocolates are manufactured in Australia by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xml:space="preserve"> Pty Ltd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xml:space="preserve">), an Australian-incorporated </w:t>
      </w:r>
      <w:proofErr w:type="gramStart"/>
      <w:r w:rsidRPr="00B2234F">
        <w:rPr>
          <w:rFonts w:ascii="Avenir Next" w:hAnsi="Avenir Next" w:cs="Arial"/>
          <w:sz w:val="22"/>
          <w:szCs w:val="22"/>
          <w:lang w:val="en-GB"/>
        </w:rPr>
        <w:t>wholly-owned</w:t>
      </w:r>
      <w:proofErr w:type="gramEnd"/>
      <w:r w:rsidRPr="00B2234F">
        <w:rPr>
          <w:rFonts w:ascii="Avenir Next" w:hAnsi="Avenir Next" w:cs="Arial"/>
          <w:sz w:val="22"/>
          <w:szCs w:val="22"/>
          <w:lang w:val="en-GB"/>
        </w:rPr>
        <w:t xml:space="preserve"> subsidiary of </w:t>
      </w: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w:t>
      </w:r>
    </w:p>
    <w:p w14:paraId="3DCCC8B4" w14:textId="77777777" w:rsidR="00E14FED" w:rsidRPr="00B2234F" w:rsidRDefault="00E14FED" w:rsidP="00E14FED">
      <w:pPr>
        <w:jc w:val="both"/>
        <w:rPr>
          <w:rFonts w:ascii="Avenir Next" w:hAnsi="Avenir Next" w:cs="Arial"/>
          <w:sz w:val="22"/>
          <w:szCs w:val="22"/>
          <w:lang w:val="en-GB"/>
        </w:rPr>
      </w:pPr>
    </w:p>
    <w:p w14:paraId="743C63D9" w14:textId="42844776" w:rsidR="00E14FED" w:rsidRPr="00B2234F" w:rsidRDefault="00E14FED" w:rsidP="00E14FED">
      <w:pPr>
        <w:jc w:val="both"/>
        <w:rPr>
          <w:rFonts w:ascii="Avenir Next" w:hAnsi="Avenir Next" w:cs="Arial"/>
          <w:sz w:val="22"/>
          <w:szCs w:val="22"/>
          <w:lang w:val="en-GB"/>
        </w:rPr>
      </w:pP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has offices in both Sydney and in Lyonesse. </w:t>
      </w:r>
      <w:r w:rsidR="00F477C9" w:rsidRPr="00B2234F">
        <w:rPr>
          <w:rFonts w:ascii="Avenir Next" w:hAnsi="Avenir Next" w:cs="Arial"/>
          <w:sz w:val="22"/>
          <w:szCs w:val="22"/>
          <w:lang w:val="en-GB"/>
        </w:rPr>
        <w:t xml:space="preserve">Its warehouses are only in Sydney. </w:t>
      </w: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regularly s</w:t>
      </w:r>
      <w:r w:rsidR="00A55389" w:rsidRPr="00B2234F">
        <w:rPr>
          <w:rFonts w:ascii="Avenir Next" w:hAnsi="Avenir Next" w:cs="Arial"/>
          <w:sz w:val="22"/>
          <w:szCs w:val="22"/>
          <w:lang w:val="en-GB"/>
        </w:rPr>
        <w:t>ells</w:t>
      </w:r>
      <w:r w:rsidRPr="00B2234F">
        <w:rPr>
          <w:rFonts w:ascii="Avenir Next" w:hAnsi="Avenir Next" w:cs="Arial"/>
          <w:sz w:val="22"/>
          <w:szCs w:val="22"/>
          <w:lang w:val="en-GB"/>
        </w:rPr>
        <w:t xml:space="preserve"> its chocolates all over the world</w:t>
      </w:r>
      <w:r w:rsidR="00F477C9" w:rsidRPr="00B2234F">
        <w:rPr>
          <w:rFonts w:ascii="Avenir Next" w:hAnsi="Avenir Next" w:cs="Arial"/>
          <w:sz w:val="22"/>
          <w:szCs w:val="22"/>
          <w:lang w:val="en-GB"/>
        </w:rPr>
        <w:t xml:space="preserve">, with orders received in Lyonesse and shipped </w:t>
      </w:r>
      <w:r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t>the</w:t>
      </w:r>
      <w:r w:rsidRPr="00B2234F">
        <w:rPr>
          <w:rFonts w:ascii="Avenir Next" w:hAnsi="Avenir Next" w:cs="Arial"/>
          <w:sz w:val="22"/>
          <w:szCs w:val="22"/>
          <w:lang w:val="en-GB"/>
        </w:rPr>
        <w:t xml:space="preserve"> Sydney warehouse</w:t>
      </w:r>
      <w:r w:rsidR="00F477C9" w:rsidRPr="00B2234F">
        <w:rPr>
          <w:rFonts w:ascii="Avenir Next" w:hAnsi="Avenir Next" w:cs="Arial"/>
          <w:sz w:val="22"/>
          <w:szCs w:val="22"/>
          <w:lang w:val="en-GB"/>
        </w:rPr>
        <w:t>s</w:t>
      </w:r>
      <w:r w:rsidRPr="00B2234F">
        <w:rPr>
          <w:rFonts w:ascii="Avenir Next" w:hAnsi="Avenir Next" w:cs="Arial"/>
          <w:sz w:val="22"/>
          <w:szCs w:val="22"/>
          <w:lang w:val="en-GB"/>
        </w:rPr>
        <w:t xml:space="preserve">. </w:t>
      </w:r>
      <w:proofErr w:type="spellStart"/>
      <w:r w:rsidRPr="00B2234F">
        <w:rPr>
          <w:rFonts w:ascii="Avenir Next" w:hAnsi="Avenir Next" w:cs="Arial"/>
          <w:sz w:val="22"/>
          <w:szCs w:val="22"/>
          <w:lang w:val="en-GB"/>
        </w:rPr>
        <w:t>Aussie</w:t>
      </w:r>
      <w:r w:rsidR="0089536F" w:rsidRPr="00B2234F">
        <w:rPr>
          <w:rFonts w:ascii="Avenir Next" w:hAnsi="Avenir Next" w:cs="Arial"/>
          <w:sz w:val="22"/>
          <w:szCs w:val="22"/>
          <w:lang w:val="en-GB"/>
        </w:rPr>
        <w:t>b</w:t>
      </w:r>
      <w:r w:rsidRPr="00B2234F">
        <w:rPr>
          <w:rFonts w:ascii="Avenir Next" w:hAnsi="Avenir Next" w:cs="Arial"/>
          <w:sz w:val="22"/>
          <w:szCs w:val="22"/>
          <w:lang w:val="en-GB"/>
        </w:rPr>
        <w:t>ee</w:t>
      </w:r>
      <w:proofErr w:type="spellEnd"/>
      <w:r w:rsidRPr="00B2234F">
        <w:rPr>
          <w:rFonts w:ascii="Avenir Next" w:hAnsi="Avenir Next" w:cs="Arial"/>
          <w:sz w:val="22"/>
          <w:szCs w:val="22"/>
          <w:lang w:val="en-GB"/>
        </w:rPr>
        <w:t xml:space="preserve"> and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xml:space="preserve"> share a board of directors, made up of six Australians and one </w:t>
      </w:r>
      <w:proofErr w:type="spellStart"/>
      <w:r w:rsidRPr="00B2234F">
        <w:rPr>
          <w:rFonts w:ascii="Avenir Next" w:hAnsi="Avenir Next" w:cs="Arial"/>
          <w:sz w:val="22"/>
          <w:szCs w:val="22"/>
          <w:lang w:val="en-GB"/>
        </w:rPr>
        <w:t>Lyonessian</w:t>
      </w:r>
      <w:proofErr w:type="spellEnd"/>
      <w:r w:rsidRPr="00B2234F">
        <w:rPr>
          <w:rFonts w:ascii="Avenir Next" w:hAnsi="Avenir Next" w:cs="Arial"/>
          <w:sz w:val="22"/>
          <w:szCs w:val="22"/>
          <w:lang w:val="en-GB"/>
        </w:rPr>
        <w:t xml:space="preserve">. </w:t>
      </w:r>
      <w:proofErr w:type="spellStart"/>
      <w:r w:rsidRPr="00B2234F">
        <w:rPr>
          <w:rFonts w:ascii="Avenir Next" w:hAnsi="Avenir Next" w:cs="Arial"/>
          <w:sz w:val="22"/>
          <w:szCs w:val="22"/>
          <w:lang w:val="en-GB"/>
        </w:rPr>
        <w:t>Aussi</w:t>
      </w:r>
      <w:r w:rsidR="0089536F" w:rsidRPr="00B2234F">
        <w:rPr>
          <w:rFonts w:ascii="Avenir Next" w:hAnsi="Avenir Next" w:cs="Arial"/>
          <w:sz w:val="22"/>
          <w:szCs w:val="22"/>
          <w:lang w:val="en-GB"/>
        </w:rPr>
        <w:t>e</w:t>
      </w:r>
      <w:r w:rsidRPr="00B2234F">
        <w:rPr>
          <w:rFonts w:ascii="Avenir Next" w:hAnsi="Avenir Next" w:cs="Arial"/>
          <w:sz w:val="22"/>
          <w:szCs w:val="22"/>
          <w:lang w:val="en-GB"/>
        </w:rPr>
        <w:t>bee</w:t>
      </w:r>
      <w:proofErr w:type="spellEnd"/>
      <w:r w:rsidRPr="00B2234F">
        <w:rPr>
          <w:rFonts w:ascii="Avenir Next" w:hAnsi="Avenir Next" w:cs="Arial"/>
          <w:sz w:val="22"/>
          <w:szCs w:val="22"/>
          <w:lang w:val="en-GB"/>
        </w:rPr>
        <w:t xml:space="preserve"> employed 40 staff</w:t>
      </w:r>
      <w:r w:rsidR="00A55389"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20 in Sydney and 20 in Lyonesse. </w:t>
      </w:r>
      <w:proofErr w:type="spellStart"/>
      <w:r w:rsidRPr="00B2234F">
        <w:rPr>
          <w:rFonts w:ascii="Avenir Next" w:hAnsi="Avenir Next" w:cs="Arial"/>
          <w:sz w:val="22"/>
          <w:szCs w:val="22"/>
          <w:lang w:val="en-GB"/>
        </w:rPr>
        <w:t>Aussiebee’s</w:t>
      </w:r>
      <w:proofErr w:type="spellEnd"/>
      <w:r w:rsidRPr="00B2234F">
        <w:rPr>
          <w:rFonts w:ascii="Avenir Next" w:hAnsi="Avenir Next" w:cs="Arial"/>
          <w:sz w:val="22"/>
          <w:szCs w:val="22"/>
          <w:lang w:val="en-GB"/>
        </w:rPr>
        <w:t xml:space="preserve"> CEO is an Australian, but resident in Lyonesse. </w:t>
      </w:r>
      <w:proofErr w:type="spellStart"/>
      <w:r w:rsidRPr="00B2234F">
        <w:rPr>
          <w:rFonts w:ascii="Avenir Next" w:hAnsi="Avenir Next" w:cs="Arial"/>
          <w:sz w:val="22"/>
          <w:szCs w:val="22"/>
          <w:lang w:val="en-GB"/>
        </w:rPr>
        <w:t>Aussiebee’s</w:t>
      </w:r>
      <w:proofErr w:type="spellEnd"/>
      <w:r w:rsidRPr="00B2234F">
        <w:rPr>
          <w:rFonts w:ascii="Avenir Next" w:hAnsi="Avenir Next" w:cs="Arial"/>
          <w:sz w:val="22"/>
          <w:szCs w:val="22"/>
          <w:lang w:val="en-GB"/>
        </w:rPr>
        <w:t xml:space="preserve"> CFO is an Australian, resident in Australia.</w:t>
      </w:r>
    </w:p>
    <w:p w14:paraId="4BCF8074" w14:textId="77777777" w:rsidR="00E14FED" w:rsidRPr="00B2234F" w:rsidRDefault="00E14FED" w:rsidP="00E14FED">
      <w:pPr>
        <w:jc w:val="both"/>
        <w:rPr>
          <w:rFonts w:ascii="Avenir Next" w:hAnsi="Avenir Next" w:cs="Arial"/>
          <w:sz w:val="22"/>
          <w:szCs w:val="22"/>
          <w:lang w:val="en-GB"/>
        </w:rPr>
      </w:pPr>
    </w:p>
    <w:p w14:paraId="727FCF75" w14:textId="77777777" w:rsidR="00E14FED" w:rsidRPr="00B2234F" w:rsidRDefault="00E14FED" w:rsidP="00E14FED">
      <w:pPr>
        <w:jc w:val="both"/>
        <w:rPr>
          <w:rFonts w:ascii="Avenir Next" w:hAnsi="Avenir Next" w:cs="Arial"/>
          <w:sz w:val="22"/>
          <w:szCs w:val="22"/>
          <w:lang w:val="en-GB"/>
        </w:rPr>
      </w:pP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is insolvent.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59C3A60"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 liquidator has been appointed to </w:t>
      </w: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in Lyonesse. She applies to the Federal Court of Australia for recognition of the </w:t>
      </w:r>
      <w:proofErr w:type="spellStart"/>
      <w:r w:rsidRPr="00B2234F">
        <w:rPr>
          <w:rFonts w:ascii="Avenir Next" w:hAnsi="Avenir Next" w:cs="Arial"/>
          <w:sz w:val="22"/>
          <w:szCs w:val="22"/>
          <w:lang w:val="en-GB"/>
        </w:rPr>
        <w:t>Lyonessian</w:t>
      </w:r>
      <w:proofErr w:type="spellEnd"/>
      <w:r w:rsidRPr="00B2234F">
        <w:rPr>
          <w:rFonts w:ascii="Avenir Next" w:hAnsi="Avenir Next" w:cs="Arial"/>
          <w:sz w:val="22"/>
          <w:szCs w:val="22"/>
          <w:lang w:val="en-GB"/>
        </w:rPr>
        <w:t xml:space="preserve"> liquidation as a foreign main proceeding</w:t>
      </w:r>
      <w:r w:rsidR="00B108A5" w:rsidRPr="00B2234F">
        <w:rPr>
          <w:rFonts w:ascii="Avenir Next" w:hAnsi="Avenir Next" w:cs="Arial"/>
          <w:sz w:val="22"/>
          <w:szCs w:val="22"/>
          <w:lang w:val="en-GB"/>
        </w:rPr>
        <w:t xml:space="preserve"> under the </w:t>
      </w:r>
      <w:r w:rsidR="00B108A5" w:rsidRPr="00B2234F">
        <w:rPr>
          <w:rFonts w:ascii="Avenir Next" w:hAnsi="Avenir Next" w:cs="Arial"/>
          <w:i/>
          <w:iCs/>
          <w:sz w:val="22"/>
          <w:szCs w:val="22"/>
          <w:lang w:val="en-GB"/>
        </w:rPr>
        <w:t>Cross-Border Insolvency Act 2008</w:t>
      </w:r>
      <w:r w:rsidRPr="00B2234F">
        <w:rPr>
          <w:rFonts w:ascii="Avenir Next" w:hAnsi="Avenir Next" w:cs="Arial"/>
          <w:sz w:val="22"/>
          <w:szCs w:val="22"/>
          <w:lang w:val="en-GB"/>
        </w:rPr>
        <w:t xml:space="preserve">, and for orders entrusting </w:t>
      </w:r>
      <w:proofErr w:type="spellStart"/>
      <w:r w:rsidRPr="00B2234F">
        <w:rPr>
          <w:rFonts w:ascii="Avenir Next" w:hAnsi="Avenir Next" w:cs="Arial"/>
          <w:sz w:val="22"/>
          <w:szCs w:val="22"/>
          <w:lang w:val="en-GB"/>
        </w:rPr>
        <w:t>Aussiebee’s</w:t>
      </w:r>
      <w:proofErr w:type="spellEnd"/>
      <w:r w:rsidRPr="00B2234F">
        <w:rPr>
          <w:rFonts w:ascii="Avenir Next" w:hAnsi="Avenir Next" w:cs="Arial"/>
          <w:sz w:val="22"/>
          <w:szCs w:val="22"/>
          <w:lang w:val="en-GB"/>
        </w:rPr>
        <w:t xml:space="preserve"> assets (including </w:t>
      </w:r>
      <w:proofErr w:type="spellStart"/>
      <w:r w:rsidRPr="00B2234F">
        <w:rPr>
          <w:rFonts w:ascii="Avenir Next" w:hAnsi="Avenir Next" w:cs="Arial"/>
          <w:sz w:val="22"/>
          <w:szCs w:val="22"/>
          <w:lang w:val="en-GB"/>
        </w:rPr>
        <w:t>Aussiebee’s</w:t>
      </w:r>
      <w:proofErr w:type="spellEnd"/>
      <w:r w:rsidRPr="00B2234F">
        <w:rPr>
          <w:rFonts w:ascii="Avenir Next" w:hAnsi="Avenir Next" w:cs="Arial"/>
          <w:sz w:val="22"/>
          <w:szCs w:val="22"/>
          <w:lang w:val="en-GB"/>
        </w:rPr>
        <w:t xml:space="preserve"> shares in </w:t>
      </w:r>
      <w:proofErr w:type="spellStart"/>
      <w:r w:rsidRPr="00B2234F">
        <w:rPr>
          <w:rFonts w:ascii="Avenir Next" w:hAnsi="Avenir Next" w:cs="Arial"/>
          <w:sz w:val="22"/>
          <w:szCs w:val="22"/>
          <w:lang w:val="en-GB"/>
        </w:rPr>
        <w:lastRenderedPageBreak/>
        <w:t>NewYums</w:t>
      </w:r>
      <w:proofErr w:type="spellEnd"/>
      <w:r w:rsidRPr="00B2234F">
        <w:rPr>
          <w:rFonts w:ascii="Avenir Next" w:hAnsi="Avenir Next" w:cs="Arial"/>
          <w:sz w:val="22"/>
          <w:szCs w:val="22"/>
          <w:lang w:val="en-GB"/>
        </w:rPr>
        <w:t xml:space="preserve"> 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20 million) to her, so that she can realise them for the benefit of creditors in the </w:t>
      </w:r>
      <w:proofErr w:type="spellStart"/>
      <w:r w:rsidRPr="00B2234F">
        <w:rPr>
          <w:rFonts w:ascii="Avenir Next" w:hAnsi="Avenir Next" w:cs="Arial"/>
          <w:sz w:val="22"/>
          <w:szCs w:val="22"/>
          <w:lang w:val="en-GB"/>
        </w:rPr>
        <w:t>Lyonessian</w:t>
      </w:r>
      <w:proofErr w:type="spellEnd"/>
      <w:r w:rsidRPr="00B2234F">
        <w:rPr>
          <w:rFonts w:ascii="Avenir Next" w:hAnsi="Avenir Next" w:cs="Arial"/>
          <w:sz w:val="22"/>
          <w:szCs w:val="22"/>
          <w:lang w:val="en-GB"/>
        </w:rPr>
        <w:t xml:space="preserve"> liquidation.</w:t>
      </w:r>
    </w:p>
    <w:p w14:paraId="6AF033F6" w14:textId="77777777" w:rsidR="00E14FED" w:rsidRPr="00B2234F" w:rsidRDefault="00E14FED" w:rsidP="00E14FED">
      <w:pPr>
        <w:jc w:val="both"/>
        <w:rPr>
          <w:rFonts w:ascii="Avenir Next" w:hAnsi="Avenir Next" w:cs="Arial"/>
          <w:sz w:val="22"/>
          <w:szCs w:val="22"/>
          <w:lang w:val="en-GB"/>
        </w:rPr>
      </w:pPr>
    </w:p>
    <w:p w14:paraId="2974774A" w14:textId="77777777" w:rsidR="00373041" w:rsidRDefault="00E14FED" w:rsidP="00E14FED">
      <w:pPr>
        <w:jc w:val="both"/>
        <w:rPr>
          <w:rFonts w:ascii="Avenir Next" w:hAnsi="Avenir Next" w:cs="Arial"/>
          <w:sz w:val="22"/>
          <w:szCs w:val="22"/>
          <w:lang w:val="en-GB"/>
        </w:rPr>
      </w:pP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owes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12 million in taxes in Australia, payable to the Australian Taxation Office (ATO). </w:t>
      </w:r>
    </w:p>
    <w:p w14:paraId="4FE9FF59" w14:textId="77777777" w:rsidR="00373041" w:rsidRDefault="00373041" w:rsidP="00E14FED">
      <w:pPr>
        <w:jc w:val="both"/>
        <w:rPr>
          <w:rFonts w:ascii="Avenir Next" w:hAnsi="Avenir Next" w:cs="Arial"/>
          <w:sz w:val="22"/>
          <w:szCs w:val="22"/>
          <w:lang w:val="en-GB"/>
        </w:rPr>
      </w:pPr>
    </w:p>
    <w:p w14:paraId="1C065357" w14:textId="74111F48"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Assume that revenue creditors such as the ATO are not entitled to prove in the </w:t>
      </w:r>
      <w:proofErr w:type="spellStart"/>
      <w:r w:rsidRPr="00B2234F">
        <w:rPr>
          <w:rFonts w:ascii="Avenir Next" w:hAnsi="Avenir Next" w:cs="Arial"/>
          <w:sz w:val="22"/>
          <w:szCs w:val="22"/>
          <w:lang w:val="en-GB"/>
        </w:rPr>
        <w:t>Lyonessian</w:t>
      </w:r>
      <w:proofErr w:type="spellEnd"/>
      <w:r w:rsidRPr="00B2234F">
        <w:rPr>
          <w:rFonts w:ascii="Avenir Next" w:hAnsi="Avenir Next" w:cs="Arial"/>
          <w:sz w:val="22"/>
          <w:szCs w:val="22"/>
          <w:lang w:val="en-GB"/>
        </w:rPr>
        <w:t xml:space="preserve">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61835074" w14:textId="77777777" w:rsidR="008420F8" w:rsidRDefault="008420F8" w:rsidP="00E14FED">
      <w:pPr>
        <w:jc w:val="both"/>
        <w:rPr>
          <w:rFonts w:ascii="Avenir Next" w:hAnsi="Avenir Next" w:cs="Arial"/>
          <w:color w:val="808080" w:themeColor="background1" w:themeShade="80"/>
          <w:sz w:val="22"/>
          <w:szCs w:val="22"/>
          <w:lang w:val="en-GB"/>
        </w:rPr>
      </w:pPr>
    </w:p>
    <w:p w14:paraId="352B636E" w14:textId="77777777" w:rsidR="007858AB" w:rsidRPr="004A34F0" w:rsidRDefault="007858AB" w:rsidP="007858AB">
      <w:pPr>
        <w:jc w:val="both"/>
        <w:rPr>
          <w:rFonts w:ascii="Arial" w:hAnsi="Arial" w:cs="Arial"/>
          <w:sz w:val="22"/>
          <w:szCs w:val="22"/>
          <w:lang w:val="en-GB"/>
        </w:rPr>
      </w:pPr>
    </w:p>
    <w:p w14:paraId="5C92392B" w14:textId="77777777" w:rsidR="007858AB" w:rsidRPr="004A34F0" w:rsidRDefault="007858AB" w:rsidP="007858AB">
      <w:pPr>
        <w:jc w:val="both"/>
        <w:rPr>
          <w:rFonts w:ascii="Arial" w:hAnsi="Arial" w:cs="Arial"/>
          <w:sz w:val="22"/>
          <w:szCs w:val="22"/>
          <w:highlight w:val="yellow"/>
          <w:shd w:val="clear" w:color="auto" w:fill="FFFFFF"/>
        </w:rPr>
      </w:pPr>
      <w:r w:rsidRPr="004A34F0">
        <w:rPr>
          <w:rFonts w:ascii="Arial" w:hAnsi="Arial" w:cs="Arial"/>
          <w:sz w:val="22"/>
          <w:szCs w:val="22"/>
          <w:highlight w:val="yellow"/>
          <w:shd w:val="clear" w:color="auto" w:fill="FFFFFF"/>
        </w:rPr>
        <w:t>The Cross-Border Insolvency Act 2008 incorporates the Model Law on Cross-Border Insolvency in Schedule 1 to the Act. The Model Law is intended to ensure co-operation between foreign courts. Chapter IV of the Model Law, comprising Articles 25 – 27, provides for cooperation with foreign courts and foreign representatives in the cross-border insolvency matters that are referred to in Article 1 of the Model Law.</w:t>
      </w:r>
    </w:p>
    <w:p w14:paraId="70A80806" w14:textId="77777777" w:rsidR="007858AB" w:rsidRPr="004A34F0" w:rsidRDefault="007858AB" w:rsidP="007858AB">
      <w:pPr>
        <w:jc w:val="both"/>
        <w:rPr>
          <w:rFonts w:ascii="Arial" w:hAnsi="Arial" w:cs="Arial"/>
          <w:sz w:val="22"/>
          <w:szCs w:val="22"/>
          <w:highlight w:val="yellow"/>
          <w:shd w:val="clear" w:color="auto" w:fill="FFFFFF"/>
        </w:rPr>
      </w:pPr>
    </w:p>
    <w:p w14:paraId="7948D379" w14:textId="77777777" w:rsidR="007858AB" w:rsidRPr="004A34F0" w:rsidRDefault="007858AB" w:rsidP="007858AB">
      <w:pPr>
        <w:jc w:val="both"/>
        <w:rPr>
          <w:rFonts w:ascii="Arial" w:hAnsi="Arial" w:cs="Arial"/>
          <w:sz w:val="22"/>
          <w:szCs w:val="22"/>
          <w:highlight w:val="yellow"/>
        </w:rPr>
      </w:pPr>
      <w:r w:rsidRPr="004A34F0">
        <w:rPr>
          <w:rFonts w:ascii="Arial" w:hAnsi="Arial" w:cs="Arial"/>
          <w:sz w:val="22"/>
          <w:szCs w:val="22"/>
          <w:highlight w:val="yellow"/>
        </w:rPr>
        <w:t xml:space="preserve">For the purposes of the Model Law, “foreign proceeding” is defined broadly (Art. </w:t>
      </w:r>
      <w:proofErr w:type="gramStart"/>
      <w:r w:rsidRPr="004A34F0">
        <w:rPr>
          <w:rFonts w:ascii="Arial" w:hAnsi="Arial" w:cs="Arial"/>
          <w:sz w:val="22"/>
          <w:szCs w:val="22"/>
          <w:highlight w:val="yellow"/>
        </w:rPr>
        <w:t>2(a), and</w:t>
      </w:r>
      <w:proofErr w:type="gramEnd"/>
      <w:r w:rsidRPr="004A34F0">
        <w:rPr>
          <w:rFonts w:ascii="Arial" w:hAnsi="Arial" w:cs="Arial"/>
          <w:sz w:val="22"/>
          <w:szCs w:val="22"/>
          <w:highlight w:val="yellow"/>
        </w:rPr>
        <w:t xml:space="preserve"> includes any: …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 If a foreign proceeding complies with the requirements for recognition, an Australian court must </w:t>
      </w:r>
      <w:proofErr w:type="spellStart"/>
      <w:r w:rsidRPr="004A34F0">
        <w:rPr>
          <w:rFonts w:ascii="Arial" w:hAnsi="Arial" w:cs="Arial"/>
          <w:sz w:val="22"/>
          <w:szCs w:val="22"/>
          <w:highlight w:val="yellow"/>
        </w:rPr>
        <w:t>recognise</w:t>
      </w:r>
      <w:proofErr w:type="spellEnd"/>
      <w:r w:rsidRPr="004A34F0">
        <w:rPr>
          <w:rFonts w:ascii="Arial" w:hAnsi="Arial" w:cs="Arial"/>
          <w:sz w:val="22"/>
          <w:szCs w:val="22"/>
          <w:highlight w:val="yellow"/>
        </w:rPr>
        <w:t xml:space="preserve"> it “unless recognition would be manifestly contrary to the public policy of Australia”.</w:t>
      </w:r>
      <w:r w:rsidRPr="004A34F0">
        <w:rPr>
          <w:rStyle w:val="FootnoteReference"/>
          <w:rFonts w:ascii="Arial" w:hAnsi="Arial" w:cs="Arial"/>
          <w:sz w:val="22"/>
          <w:szCs w:val="22"/>
          <w:highlight w:val="yellow"/>
        </w:rPr>
        <w:footnoteReference w:id="2"/>
      </w:r>
    </w:p>
    <w:p w14:paraId="79E5CE8D" w14:textId="77777777" w:rsidR="007858AB" w:rsidRPr="004A34F0" w:rsidRDefault="007858AB" w:rsidP="007858AB">
      <w:pPr>
        <w:jc w:val="both"/>
        <w:rPr>
          <w:rFonts w:ascii="Arial" w:hAnsi="Arial" w:cs="Arial"/>
          <w:sz w:val="22"/>
          <w:szCs w:val="22"/>
          <w:highlight w:val="yellow"/>
          <w:shd w:val="clear" w:color="auto" w:fill="FFFFFF"/>
        </w:rPr>
      </w:pPr>
    </w:p>
    <w:p w14:paraId="0031F256" w14:textId="77777777" w:rsidR="007858AB" w:rsidRPr="004A34F0" w:rsidRDefault="007858AB" w:rsidP="007858AB">
      <w:pPr>
        <w:jc w:val="both"/>
        <w:rPr>
          <w:rFonts w:ascii="Arial" w:hAnsi="Arial" w:cs="Arial"/>
          <w:sz w:val="22"/>
          <w:szCs w:val="22"/>
          <w:highlight w:val="yellow"/>
          <w:shd w:val="clear" w:color="auto" w:fill="FFFFFF"/>
        </w:rPr>
      </w:pPr>
      <w:r w:rsidRPr="004A34F0">
        <w:rPr>
          <w:rFonts w:ascii="Arial" w:hAnsi="Arial" w:cs="Arial"/>
          <w:sz w:val="22"/>
          <w:szCs w:val="22"/>
          <w:highlight w:val="yellow"/>
          <w:shd w:val="clear" w:color="auto" w:fill="FFFFFF"/>
        </w:rPr>
        <w:t xml:space="preserve">Further article 2 (b) and (c) defines foreign main proceeding and foreign non-main proceeding as follows:  </w:t>
      </w:r>
    </w:p>
    <w:p w14:paraId="172A6B24" w14:textId="77777777" w:rsidR="007858AB" w:rsidRPr="004A34F0" w:rsidRDefault="007858AB" w:rsidP="007858AB">
      <w:pPr>
        <w:jc w:val="both"/>
        <w:rPr>
          <w:rFonts w:ascii="Arial" w:hAnsi="Arial" w:cs="Arial"/>
          <w:sz w:val="22"/>
          <w:szCs w:val="22"/>
          <w:highlight w:val="yellow"/>
          <w:shd w:val="clear" w:color="auto" w:fill="FFFFFF"/>
        </w:rPr>
      </w:pPr>
    </w:p>
    <w:p w14:paraId="515D09C3" w14:textId="77777777" w:rsidR="007858AB" w:rsidRPr="004A34F0" w:rsidRDefault="007858AB" w:rsidP="007858AB">
      <w:pPr>
        <w:pStyle w:val="NoSpacing"/>
        <w:ind w:left="720"/>
        <w:jc w:val="both"/>
        <w:rPr>
          <w:rFonts w:ascii="Arial" w:hAnsi="Arial" w:cs="Arial"/>
          <w:sz w:val="22"/>
          <w:szCs w:val="22"/>
          <w:highlight w:val="yellow"/>
        </w:rPr>
      </w:pPr>
      <w:proofErr w:type="gramStart"/>
      <w:r w:rsidRPr="004A34F0">
        <w:rPr>
          <w:rFonts w:ascii="Arial" w:hAnsi="Arial" w:cs="Arial"/>
          <w:sz w:val="22"/>
          <w:szCs w:val="22"/>
          <w:highlight w:val="yellow"/>
        </w:rPr>
        <w:t>(b)  “</w:t>
      </w:r>
      <w:proofErr w:type="gramEnd"/>
      <w:r w:rsidRPr="004A34F0">
        <w:rPr>
          <w:rFonts w:ascii="Arial" w:hAnsi="Arial" w:cs="Arial"/>
          <w:sz w:val="22"/>
          <w:szCs w:val="22"/>
          <w:highlight w:val="yellow"/>
        </w:rPr>
        <w:t xml:space="preserve">Foreign main proceeding” means a foreign proceeding taking place in the State where the debtor has the </w:t>
      </w:r>
      <w:proofErr w:type="spellStart"/>
      <w:r w:rsidRPr="004A34F0">
        <w:rPr>
          <w:rFonts w:ascii="Arial" w:hAnsi="Arial" w:cs="Arial"/>
          <w:sz w:val="22"/>
          <w:szCs w:val="22"/>
          <w:highlight w:val="yellow"/>
        </w:rPr>
        <w:t>centre</w:t>
      </w:r>
      <w:proofErr w:type="spellEnd"/>
      <w:r w:rsidRPr="004A34F0">
        <w:rPr>
          <w:rFonts w:ascii="Arial" w:hAnsi="Arial" w:cs="Arial"/>
          <w:sz w:val="22"/>
          <w:szCs w:val="22"/>
          <w:highlight w:val="yellow"/>
        </w:rPr>
        <w:t xml:space="preserve"> of its main interests;</w:t>
      </w:r>
      <w:r w:rsidRPr="004A34F0">
        <w:rPr>
          <w:rFonts w:ascii="Arial" w:hAnsi="Arial" w:cs="Arial"/>
          <w:sz w:val="22"/>
          <w:szCs w:val="22"/>
          <w:highlight w:val="yellow"/>
        </w:rPr>
        <w:br/>
      </w:r>
    </w:p>
    <w:p w14:paraId="794C6332" w14:textId="77777777" w:rsidR="007858AB" w:rsidRPr="004A34F0" w:rsidRDefault="007858AB" w:rsidP="007858AB">
      <w:pPr>
        <w:pStyle w:val="NoSpacing"/>
        <w:ind w:left="720"/>
        <w:jc w:val="both"/>
        <w:rPr>
          <w:rFonts w:ascii="Arial" w:hAnsi="Arial" w:cs="Arial"/>
          <w:sz w:val="22"/>
          <w:szCs w:val="22"/>
          <w:highlight w:val="yellow"/>
        </w:rPr>
      </w:pPr>
      <w:proofErr w:type="gramStart"/>
      <w:r w:rsidRPr="004A34F0">
        <w:rPr>
          <w:rFonts w:ascii="Arial" w:hAnsi="Arial" w:cs="Arial"/>
          <w:sz w:val="22"/>
          <w:szCs w:val="22"/>
          <w:highlight w:val="yellow"/>
        </w:rPr>
        <w:t>(c)  “</w:t>
      </w:r>
      <w:proofErr w:type="gramEnd"/>
      <w:r w:rsidRPr="004A34F0">
        <w:rPr>
          <w:rFonts w:ascii="Arial" w:hAnsi="Arial" w:cs="Arial"/>
          <w:sz w:val="22"/>
          <w:szCs w:val="22"/>
          <w:highlight w:val="yellow"/>
        </w:rPr>
        <w:t>Foreign non</w:t>
      </w:r>
      <w:r w:rsidRPr="004A34F0">
        <w:rPr>
          <w:rFonts w:ascii="Arial" w:hAnsi="Arial" w:cs="Arial"/>
          <w:sz w:val="22"/>
          <w:szCs w:val="22"/>
          <w:highlight w:val="yellow"/>
        </w:rPr>
        <w:noBreakHyphen/>
        <w:t>main proceeding” means a foreign proceeding, other than a foreign main proceeding, taking place in a State where the debtor has an establishment within the meaning of subparagraph (f) of the present article;</w:t>
      </w:r>
    </w:p>
    <w:p w14:paraId="02867406" w14:textId="77777777" w:rsidR="007858AB" w:rsidRPr="004A34F0" w:rsidRDefault="007858AB" w:rsidP="007858AB">
      <w:pPr>
        <w:pStyle w:val="NoSpacing"/>
        <w:jc w:val="both"/>
        <w:rPr>
          <w:rFonts w:ascii="Arial" w:hAnsi="Arial" w:cs="Arial"/>
          <w:sz w:val="22"/>
          <w:szCs w:val="22"/>
          <w:highlight w:val="yellow"/>
        </w:rPr>
      </w:pPr>
    </w:p>
    <w:p w14:paraId="7B1DAB38" w14:textId="77777777" w:rsidR="007858AB" w:rsidRPr="004A34F0" w:rsidRDefault="007858AB" w:rsidP="007858AB">
      <w:pPr>
        <w:jc w:val="both"/>
        <w:rPr>
          <w:rFonts w:ascii="Arial" w:hAnsi="Arial" w:cs="Arial"/>
          <w:sz w:val="22"/>
          <w:szCs w:val="22"/>
          <w:highlight w:val="yellow"/>
          <w:shd w:val="clear" w:color="auto" w:fill="FFFFFF"/>
        </w:rPr>
      </w:pPr>
    </w:p>
    <w:p w14:paraId="3C3E8785" w14:textId="77777777" w:rsidR="007858AB" w:rsidRPr="004A34F0" w:rsidRDefault="007858AB" w:rsidP="007858AB">
      <w:pPr>
        <w:jc w:val="both"/>
        <w:rPr>
          <w:rFonts w:ascii="Arial" w:hAnsi="Arial" w:cs="Arial"/>
          <w:sz w:val="22"/>
          <w:szCs w:val="22"/>
          <w:highlight w:val="yellow"/>
        </w:rPr>
      </w:pPr>
      <w:r w:rsidRPr="004A34F0">
        <w:rPr>
          <w:rFonts w:ascii="Arial" w:hAnsi="Arial" w:cs="Arial"/>
          <w:sz w:val="22"/>
          <w:szCs w:val="22"/>
          <w:highlight w:val="yellow"/>
          <w:shd w:val="clear" w:color="auto" w:fill="FFFFFF"/>
        </w:rPr>
        <w:t xml:space="preserve">Upon considering the application for recognition </w:t>
      </w:r>
      <w:r w:rsidRPr="004A34F0">
        <w:rPr>
          <w:rFonts w:ascii="Arial" w:hAnsi="Arial" w:cs="Arial"/>
          <w:sz w:val="22"/>
          <w:szCs w:val="22"/>
          <w:highlight w:val="yellow"/>
          <w:lang w:val="en-GB"/>
        </w:rPr>
        <w:t xml:space="preserve">of the </w:t>
      </w:r>
      <w:proofErr w:type="spellStart"/>
      <w:r w:rsidRPr="004A34F0">
        <w:rPr>
          <w:rFonts w:ascii="Arial" w:hAnsi="Arial" w:cs="Arial"/>
          <w:sz w:val="22"/>
          <w:szCs w:val="22"/>
          <w:highlight w:val="yellow"/>
          <w:lang w:val="en-GB"/>
        </w:rPr>
        <w:t>Lyonessian</w:t>
      </w:r>
      <w:proofErr w:type="spellEnd"/>
      <w:r w:rsidRPr="004A34F0">
        <w:rPr>
          <w:rFonts w:ascii="Arial" w:hAnsi="Arial" w:cs="Arial"/>
          <w:sz w:val="22"/>
          <w:szCs w:val="22"/>
          <w:highlight w:val="yellow"/>
          <w:lang w:val="en-GB"/>
        </w:rPr>
        <w:t xml:space="preserve"> liquidation as a foreign main proceeding under the Cross-Border Insolvency Act 2008, the Federal Court of Australia will consider where </w:t>
      </w:r>
      <w:proofErr w:type="spellStart"/>
      <w:r w:rsidRPr="004A34F0">
        <w:rPr>
          <w:rFonts w:ascii="Arial" w:hAnsi="Arial" w:cs="Arial"/>
          <w:sz w:val="22"/>
          <w:szCs w:val="22"/>
          <w:highlight w:val="yellow"/>
          <w:lang w:val="en-GB"/>
        </w:rPr>
        <w:t>Aussibee</w:t>
      </w:r>
      <w:proofErr w:type="spellEnd"/>
      <w:r w:rsidRPr="004A34F0">
        <w:rPr>
          <w:rFonts w:ascii="Arial" w:hAnsi="Arial" w:cs="Arial"/>
          <w:sz w:val="22"/>
          <w:szCs w:val="22"/>
          <w:highlight w:val="yellow"/>
          <w:lang w:val="en-GB"/>
        </w:rPr>
        <w:t xml:space="preserve"> has its centre of main interests (COMI): See </w:t>
      </w:r>
      <w:r w:rsidRPr="004A34F0">
        <w:rPr>
          <w:rFonts w:ascii="Arial" w:hAnsi="Arial" w:cs="Arial"/>
          <w:sz w:val="22"/>
          <w:szCs w:val="22"/>
          <w:highlight w:val="yellow"/>
        </w:rPr>
        <w:t>Art. 17(2)(a). The Court will consider the following facts when coming to a determination of the COMI:</w:t>
      </w:r>
    </w:p>
    <w:p w14:paraId="45E1D3C1" w14:textId="77777777" w:rsidR="007858AB" w:rsidRPr="004A34F0" w:rsidRDefault="007858AB" w:rsidP="007858AB">
      <w:pPr>
        <w:jc w:val="both"/>
        <w:rPr>
          <w:rFonts w:ascii="Arial" w:hAnsi="Arial" w:cs="Arial"/>
          <w:sz w:val="22"/>
          <w:szCs w:val="22"/>
          <w:highlight w:val="yellow"/>
        </w:rPr>
      </w:pPr>
    </w:p>
    <w:p w14:paraId="0385762C" w14:textId="77777777" w:rsidR="007858AB" w:rsidRPr="004A34F0" w:rsidRDefault="007858AB" w:rsidP="007858AB">
      <w:pPr>
        <w:pStyle w:val="ListParagraph"/>
        <w:numPr>
          <w:ilvl w:val="0"/>
          <w:numId w:val="34"/>
        </w:numPr>
        <w:jc w:val="both"/>
        <w:rPr>
          <w:rFonts w:ascii="Arial" w:hAnsi="Arial" w:cs="Arial"/>
          <w:sz w:val="22"/>
          <w:szCs w:val="22"/>
          <w:highlight w:val="yellow"/>
          <w:lang w:val="en-GB"/>
        </w:rPr>
      </w:pPr>
      <w:proofErr w:type="spellStart"/>
      <w:r w:rsidRPr="004A34F0">
        <w:rPr>
          <w:rFonts w:ascii="Arial" w:hAnsi="Arial" w:cs="Arial"/>
          <w:sz w:val="22"/>
          <w:szCs w:val="22"/>
          <w:highlight w:val="yellow"/>
          <w:lang w:val="en-GB"/>
        </w:rPr>
        <w:t>Aussibee</w:t>
      </w:r>
      <w:proofErr w:type="spellEnd"/>
      <w:r w:rsidRPr="004A34F0">
        <w:rPr>
          <w:rFonts w:ascii="Arial" w:hAnsi="Arial" w:cs="Arial"/>
          <w:sz w:val="22"/>
          <w:szCs w:val="22"/>
          <w:highlight w:val="yellow"/>
          <w:lang w:val="en-GB"/>
        </w:rPr>
        <w:t xml:space="preserve"> (The Company) is incorporated in Lyonesse, </w:t>
      </w:r>
    </w:p>
    <w:p w14:paraId="32132E68" w14:textId="77777777" w:rsidR="007858AB" w:rsidRPr="004A34F0" w:rsidRDefault="007858AB" w:rsidP="007858AB">
      <w:pPr>
        <w:pStyle w:val="ListParagraph"/>
        <w:numPr>
          <w:ilvl w:val="0"/>
          <w:numId w:val="34"/>
        </w:numPr>
        <w:jc w:val="both"/>
        <w:rPr>
          <w:rFonts w:ascii="Arial" w:hAnsi="Arial" w:cs="Arial"/>
          <w:sz w:val="22"/>
          <w:szCs w:val="22"/>
          <w:highlight w:val="yellow"/>
          <w:lang w:val="en-GB"/>
        </w:rPr>
      </w:pPr>
      <w:r w:rsidRPr="004A34F0">
        <w:rPr>
          <w:rFonts w:ascii="Arial" w:hAnsi="Arial" w:cs="Arial"/>
          <w:sz w:val="22"/>
          <w:szCs w:val="22"/>
          <w:highlight w:val="yellow"/>
          <w:lang w:val="en-GB"/>
        </w:rPr>
        <w:t xml:space="preserve">The Company sells chocolates flavoured with Australian native plants. </w:t>
      </w:r>
    </w:p>
    <w:p w14:paraId="24E81D01" w14:textId="77777777" w:rsidR="007858AB" w:rsidRPr="004A34F0" w:rsidRDefault="007858AB" w:rsidP="007858AB">
      <w:pPr>
        <w:pStyle w:val="ListParagraph"/>
        <w:numPr>
          <w:ilvl w:val="0"/>
          <w:numId w:val="34"/>
        </w:numPr>
        <w:jc w:val="both"/>
        <w:rPr>
          <w:rFonts w:ascii="Arial" w:hAnsi="Arial" w:cs="Arial"/>
          <w:sz w:val="22"/>
          <w:szCs w:val="22"/>
          <w:highlight w:val="yellow"/>
          <w:lang w:val="en-GB"/>
        </w:rPr>
      </w:pPr>
      <w:r w:rsidRPr="004A34F0">
        <w:rPr>
          <w:rFonts w:ascii="Arial" w:hAnsi="Arial" w:cs="Arial"/>
          <w:sz w:val="22"/>
          <w:szCs w:val="22"/>
          <w:highlight w:val="yellow"/>
          <w:lang w:val="en-GB"/>
        </w:rPr>
        <w:t xml:space="preserve">The chocolates are manufactured in Australia by </w:t>
      </w:r>
      <w:proofErr w:type="spellStart"/>
      <w:r w:rsidRPr="004A34F0">
        <w:rPr>
          <w:rFonts w:ascii="Arial" w:hAnsi="Arial" w:cs="Arial"/>
          <w:sz w:val="22"/>
          <w:szCs w:val="22"/>
          <w:highlight w:val="yellow"/>
          <w:lang w:val="en-GB"/>
        </w:rPr>
        <w:t>NewYums</w:t>
      </w:r>
      <w:proofErr w:type="spellEnd"/>
      <w:r w:rsidRPr="004A34F0">
        <w:rPr>
          <w:rFonts w:ascii="Arial" w:hAnsi="Arial" w:cs="Arial"/>
          <w:sz w:val="22"/>
          <w:szCs w:val="22"/>
          <w:highlight w:val="yellow"/>
          <w:lang w:val="en-GB"/>
        </w:rPr>
        <w:t xml:space="preserve"> Pty Ltd (</w:t>
      </w:r>
      <w:proofErr w:type="spellStart"/>
      <w:r w:rsidRPr="004A34F0">
        <w:rPr>
          <w:rFonts w:ascii="Arial" w:hAnsi="Arial" w:cs="Arial"/>
          <w:sz w:val="22"/>
          <w:szCs w:val="22"/>
          <w:highlight w:val="yellow"/>
          <w:lang w:val="en-GB"/>
        </w:rPr>
        <w:t>NewYums</w:t>
      </w:r>
      <w:proofErr w:type="spellEnd"/>
      <w:r w:rsidRPr="004A34F0">
        <w:rPr>
          <w:rFonts w:ascii="Arial" w:hAnsi="Arial" w:cs="Arial"/>
          <w:sz w:val="22"/>
          <w:szCs w:val="22"/>
          <w:highlight w:val="yellow"/>
          <w:lang w:val="en-GB"/>
        </w:rPr>
        <w:t xml:space="preserve">), an Australian-incorporated </w:t>
      </w:r>
      <w:proofErr w:type="gramStart"/>
      <w:r w:rsidRPr="004A34F0">
        <w:rPr>
          <w:rFonts w:ascii="Arial" w:hAnsi="Arial" w:cs="Arial"/>
          <w:sz w:val="22"/>
          <w:szCs w:val="22"/>
          <w:highlight w:val="yellow"/>
          <w:lang w:val="en-GB"/>
        </w:rPr>
        <w:t>wholly-owned</w:t>
      </w:r>
      <w:proofErr w:type="gramEnd"/>
      <w:r w:rsidRPr="004A34F0">
        <w:rPr>
          <w:rFonts w:ascii="Arial" w:hAnsi="Arial" w:cs="Arial"/>
          <w:sz w:val="22"/>
          <w:szCs w:val="22"/>
          <w:highlight w:val="yellow"/>
          <w:lang w:val="en-GB"/>
        </w:rPr>
        <w:t xml:space="preserve"> subsidiary of </w:t>
      </w:r>
      <w:proofErr w:type="spellStart"/>
      <w:r w:rsidRPr="004A34F0">
        <w:rPr>
          <w:rFonts w:ascii="Arial" w:hAnsi="Arial" w:cs="Arial"/>
          <w:sz w:val="22"/>
          <w:szCs w:val="22"/>
          <w:highlight w:val="yellow"/>
          <w:lang w:val="en-GB"/>
        </w:rPr>
        <w:t>Aussiebee</w:t>
      </w:r>
      <w:proofErr w:type="spellEnd"/>
      <w:r w:rsidRPr="004A34F0">
        <w:rPr>
          <w:rFonts w:ascii="Arial" w:hAnsi="Arial" w:cs="Arial"/>
          <w:sz w:val="22"/>
          <w:szCs w:val="22"/>
          <w:highlight w:val="yellow"/>
          <w:lang w:val="en-GB"/>
        </w:rPr>
        <w:t xml:space="preserve">. </w:t>
      </w:r>
    </w:p>
    <w:p w14:paraId="77AD854E" w14:textId="77777777" w:rsidR="007858AB" w:rsidRPr="004A34F0" w:rsidRDefault="007858AB" w:rsidP="007858AB">
      <w:pPr>
        <w:pStyle w:val="ListParagraph"/>
        <w:numPr>
          <w:ilvl w:val="0"/>
          <w:numId w:val="34"/>
        </w:numPr>
        <w:jc w:val="both"/>
        <w:rPr>
          <w:rFonts w:ascii="Arial" w:hAnsi="Arial" w:cs="Arial"/>
          <w:sz w:val="22"/>
          <w:szCs w:val="22"/>
          <w:highlight w:val="yellow"/>
          <w:lang w:val="en-GB"/>
        </w:rPr>
      </w:pPr>
      <w:proofErr w:type="spellStart"/>
      <w:r w:rsidRPr="004A34F0">
        <w:rPr>
          <w:rFonts w:ascii="Arial" w:hAnsi="Arial" w:cs="Arial"/>
          <w:sz w:val="22"/>
          <w:szCs w:val="22"/>
          <w:highlight w:val="yellow"/>
        </w:rPr>
        <w:t>Ausibee</w:t>
      </w:r>
      <w:proofErr w:type="spellEnd"/>
      <w:r w:rsidRPr="004A34F0">
        <w:rPr>
          <w:rFonts w:ascii="Arial" w:hAnsi="Arial" w:cs="Arial"/>
          <w:sz w:val="22"/>
          <w:szCs w:val="22"/>
          <w:highlight w:val="yellow"/>
        </w:rPr>
        <w:t xml:space="preserve"> </w:t>
      </w:r>
      <w:r w:rsidRPr="004A34F0">
        <w:rPr>
          <w:rFonts w:ascii="Arial" w:hAnsi="Arial" w:cs="Arial"/>
          <w:sz w:val="22"/>
          <w:szCs w:val="22"/>
          <w:highlight w:val="yellow"/>
          <w:lang w:val="en-GB"/>
        </w:rPr>
        <w:t xml:space="preserve">has offices in both Sydney and in </w:t>
      </w:r>
      <w:proofErr w:type="gramStart"/>
      <w:r w:rsidRPr="004A34F0">
        <w:rPr>
          <w:rFonts w:ascii="Arial" w:hAnsi="Arial" w:cs="Arial"/>
          <w:sz w:val="22"/>
          <w:szCs w:val="22"/>
          <w:highlight w:val="yellow"/>
          <w:lang w:val="en-GB"/>
        </w:rPr>
        <w:t>Lyonesse</w:t>
      </w:r>
      <w:proofErr w:type="gramEnd"/>
      <w:r w:rsidRPr="004A34F0">
        <w:rPr>
          <w:rFonts w:ascii="Arial" w:hAnsi="Arial" w:cs="Arial"/>
          <w:sz w:val="22"/>
          <w:szCs w:val="22"/>
          <w:highlight w:val="yellow"/>
          <w:lang w:val="en-GB"/>
        </w:rPr>
        <w:t xml:space="preserve"> however its warehouses are only in Sydney.</w:t>
      </w:r>
    </w:p>
    <w:p w14:paraId="56DFE849" w14:textId="77777777" w:rsidR="007858AB" w:rsidRPr="004A34F0" w:rsidRDefault="007858AB" w:rsidP="007858AB">
      <w:pPr>
        <w:pStyle w:val="ListParagraph"/>
        <w:numPr>
          <w:ilvl w:val="0"/>
          <w:numId w:val="34"/>
        </w:numPr>
        <w:jc w:val="both"/>
        <w:rPr>
          <w:rFonts w:ascii="Arial" w:hAnsi="Arial" w:cs="Arial"/>
          <w:sz w:val="22"/>
          <w:szCs w:val="22"/>
          <w:highlight w:val="yellow"/>
          <w:lang w:val="en-GB"/>
        </w:rPr>
      </w:pPr>
      <w:proofErr w:type="spellStart"/>
      <w:r w:rsidRPr="004A34F0">
        <w:rPr>
          <w:rFonts w:ascii="Arial" w:hAnsi="Arial" w:cs="Arial"/>
          <w:sz w:val="22"/>
          <w:szCs w:val="22"/>
          <w:highlight w:val="yellow"/>
          <w:lang w:val="en-GB"/>
        </w:rPr>
        <w:t>Aussiebee</w:t>
      </w:r>
      <w:proofErr w:type="spellEnd"/>
      <w:r w:rsidRPr="004A34F0">
        <w:rPr>
          <w:rFonts w:ascii="Arial" w:hAnsi="Arial" w:cs="Arial"/>
          <w:sz w:val="22"/>
          <w:szCs w:val="22"/>
          <w:highlight w:val="yellow"/>
          <w:lang w:val="en-GB"/>
        </w:rPr>
        <w:t xml:space="preserve"> regularly sells its chocolates all over the world, with orders received in Lyonesse and shipped from the Sydney warehouses. </w:t>
      </w:r>
    </w:p>
    <w:p w14:paraId="66DF2889" w14:textId="77777777" w:rsidR="007858AB" w:rsidRPr="004A34F0" w:rsidRDefault="007858AB" w:rsidP="007858AB">
      <w:pPr>
        <w:pStyle w:val="ListParagraph"/>
        <w:numPr>
          <w:ilvl w:val="0"/>
          <w:numId w:val="34"/>
        </w:numPr>
        <w:jc w:val="both"/>
        <w:rPr>
          <w:rFonts w:ascii="Arial" w:hAnsi="Arial" w:cs="Arial"/>
          <w:sz w:val="22"/>
          <w:szCs w:val="22"/>
          <w:highlight w:val="yellow"/>
          <w:lang w:val="en-GB"/>
        </w:rPr>
      </w:pPr>
      <w:proofErr w:type="spellStart"/>
      <w:r w:rsidRPr="004A34F0">
        <w:rPr>
          <w:rFonts w:ascii="Arial" w:hAnsi="Arial" w:cs="Arial"/>
          <w:sz w:val="22"/>
          <w:szCs w:val="22"/>
          <w:highlight w:val="yellow"/>
          <w:lang w:val="en-GB"/>
        </w:rPr>
        <w:t>Aussiebee</w:t>
      </w:r>
      <w:proofErr w:type="spellEnd"/>
      <w:r w:rsidRPr="004A34F0">
        <w:rPr>
          <w:rFonts w:ascii="Arial" w:hAnsi="Arial" w:cs="Arial"/>
          <w:sz w:val="22"/>
          <w:szCs w:val="22"/>
          <w:highlight w:val="yellow"/>
          <w:lang w:val="en-GB"/>
        </w:rPr>
        <w:t xml:space="preserve"> and </w:t>
      </w:r>
      <w:proofErr w:type="spellStart"/>
      <w:r w:rsidRPr="004A34F0">
        <w:rPr>
          <w:rFonts w:ascii="Arial" w:hAnsi="Arial" w:cs="Arial"/>
          <w:sz w:val="22"/>
          <w:szCs w:val="22"/>
          <w:highlight w:val="yellow"/>
          <w:lang w:val="en-GB"/>
        </w:rPr>
        <w:t>NewYums</w:t>
      </w:r>
      <w:proofErr w:type="spellEnd"/>
      <w:r w:rsidRPr="004A34F0">
        <w:rPr>
          <w:rFonts w:ascii="Arial" w:hAnsi="Arial" w:cs="Arial"/>
          <w:sz w:val="22"/>
          <w:szCs w:val="22"/>
          <w:highlight w:val="yellow"/>
          <w:lang w:val="en-GB"/>
        </w:rPr>
        <w:t xml:space="preserve"> its </w:t>
      </w:r>
      <w:proofErr w:type="gramStart"/>
      <w:r w:rsidRPr="004A34F0">
        <w:rPr>
          <w:rFonts w:ascii="Arial" w:hAnsi="Arial" w:cs="Arial"/>
          <w:sz w:val="22"/>
          <w:szCs w:val="22"/>
          <w:highlight w:val="yellow"/>
          <w:lang w:val="en-GB"/>
        </w:rPr>
        <w:t>subsidiary  share</w:t>
      </w:r>
      <w:proofErr w:type="gramEnd"/>
      <w:r w:rsidRPr="004A34F0">
        <w:rPr>
          <w:rFonts w:ascii="Arial" w:hAnsi="Arial" w:cs="Arial"/>
          <w:sz w:val="22"/>
          <w:szCs w:val="22"/>
          <w:highlight w:val="yellow"/>
          <w:lang w:val="en-GB"/>
        </w:rPr>
        <w:t xml:space="preserve"> a board of directors, made up of six Australians and one </w:t>
      </w:r>
      <w:proofErr w:type="spellStart"/>
      <w:r w:rsidRPr="004A34F0">
        <w:rPr>
          <w:rFonts w:ascii="Arial" w:hAnsi="Arial" w:cs="Arial"/>
          <w:sz w:val="22"/>
          <w:szCs w:val="22"/>
          <w:highlight w:val="yellow"/>
          <w:lang w:val="en-GB"/>
        </w:rPr>
        <w:t>Lyonessian</w:t>
      </w:r>
      <w:proofErr w:type="spellEnd"/>
      <w:r w:rsidRPr="004A34F0">
        <w:rPr>
          <w:rFonts w:ascii="Arial" w:hAnsi="Arial" w:cs="Arial"/>
          <w:sz w:val="22"/>
          <w:szCs w:val="22"/>
          <w:highlight w:val="yellow"/>
          <w:lang w:val="en-GB"/>
        </w:rPr>
        <w:t xml:space="preserve">. </w:t>
      </w:r>
    </w:p>
    <w:p w14:paraId="1A22FED1" w14:textId="77777777" w:rsidR="007858AB" w:rsidRPr="004A34F0" w:rsidRDefault="007858AB" w:rsidP="007858AB">
      <w:pPr>
        <w:pStyle w:val="ListParagraph"/>
        <w:numPr>
          <w:ilvl w:val="0"/>
          <w:numId w:val="34"/>
        </w:numPr>
        <w:jc w:val="both"/>
        <w:rPr>
          <w:rFonts w:ascii="Arial" w:hAnsi="Arial" w:cs="Arial"/>
          <w:sz w:val="22"/>
          <w:szCs w:val="22"/>
          <w:highlight w:val="yellow"/>
          <w:lang w:val="en-GB"/>
        </w:rPr>
      </w:pPr>
      <w:proofErr w:type="spellStart"/>
      <w:r w:rsidRPr="004A34F0">
        <w:rPr>
          <w:rFonts w:ascii="Arial" w:hAnsi="Arial" w:cs="Arial"/>
          <w:sz w:val="22"/>
          <w:szCs w:val="22"/>
          <w:highlight w:val="yellow"/>
          <w:lang w:val="en-GB"/>
        </w:rPr>
        <w:t>Aussiebee</w:t>
      </w:r>
      <w:proofErr w:type="spellEnd"/>
      <w:r w:rsidRPr="004A34F0">
        <w:rPr>
          <w:rFonts w:ascii="Arial" w:hAnsi="Arial" w:cs="Arial"/>
          <w:sz w:val="22"/>
          <w:szCs w:val="22"/>
          <w:highlight w:val="yellow"/>
          <w:lang w:val="en-GB"/>
        </w:rPr>
        <w:t xml:space="preserve"> employed 40 staff: 20 in Sydney and 20 in Lyonesse. </w:t>
      </w:r>
    </w:p>
    <w:p w14:paraId="4B9652BE" w14:textId="77777777" w:rsidR="007858AB" w:rsidRPr="004A34F0" w:rsidRDefault="007858AB" w:rsidP="007858AB">
      <w:pPr>
        <w:pStyle w:val="ListParagraph"/>
        <w:numPr>
          <w:ilvl w:val="0"/>
          <w:numId w:val="34"/>
        </w:numPr>
        <w:jc w:val="both"/>
        <w:rPr>
          <w:rFonts w:ascii="Arial" w:hAnsi="Arial" w:cs="Arial"/>
          <w:sz w:val="22"/>
          <w:szCs w:val="22"/>
          <w:highlight w:val="yellow"/>
          <w:lang w:val="en-GB"/>
        </w:rPr>
      </w:pPr>
      <w:proofErr w:type="spellStart"/>
      <w:r w:rsidRPr="004A34F0">
        <w:rPr>
          <w:rFonts w:ascii="Arial" w:hAnsi="Arial" w:cs="Arial"/>
          <w:sz w:val="22"/>
          <w:szCs w:val="22"/>
          <w:highlight w:val="yellow"/>
          <w:lang w:val="en-GB"/>
        </w:rPr>
        <w:t>Aussiebee’s</w:t>
      </w:r>
      <w:proofErr w:type="spellEnd"/>
      <w:r w:rsidRPr="004A34F0">
        <w:rPr>
          <w:rFonts w:ascii="Arial" w:hAnsi="Arial" w:cs="Arial"/>
          <w:sz w:val="22"/>
          <w:szCs w:val="22"/>
          <w:highlight w:val="yellow"/>
          <w:lang w:val="en-GB"/>
        </w:rPr>
        <w:t xml:space="preserve"> CEO is an Australian, but resident in Lyonesse. </w:t>
      </w:r>
    </w:p>
    <w:p w14:paraId="60F1336A" w14:textId="77777777" w:rsidR="007858AB" w:rsidRPr="004A34F0" w:rsidRDefault="007858AB" w:rsidP="007858AB">
      <w:pPr>
        <w:pStyle w:val="ListParagraph"/>
        <w:numPr>
          <w:ilvl w:val="0"/>
          <w:numId w:val="34"/>
        </w:numPr>
        <w:jc w:val="both"/>
        <w:rPr>
          <w:rFonts w:ascii="Arial" w:hAnsi="Arial" w:cs="Arial"/>
          <w:sz w:val="22"/>
          <w:szCs w:val="22"/>
          <w:highlight w:val="yellow"/>
          <w:lang w:val="en-GB"/>
        </w:rPr>
      </w:pPr>
      <w:proofErr w:type="spellStart"/>
      <w:r w:rsidRPr="004A34F0">
        <w:rPr>
          <w:rFonts w:ascii="Arial" w:hAnsi="Arial" w:cs="Arial"/>
          <w:sz w:val="22"/>
          <w:szCs w:val="22"/>
          <w:highlight w:val="yellow"/>
          <w:lang w:val="en-GB"/>
        </w:rPr>
        <w:lastRenderedPageBreak/>
        <w:t>Aussiebee’s</w:t>
      </w:r>
      <w:proofErr w:type="spellEnd"/>
      <w:r w:rsidRPr="004A34F0">
        <w:rPr>
          <w:rFonts w:ascii="Arial" w:hAnsi="Arial" w:cs="Arial"/>
          <w:sz w:val="22"/>
          <w:szCs w:val="22"/>
          <w:highlight w:val="yellow"/>
          <w:lang w:val="en-GB"/>
        </w:rPr>
        <w:t xml:space="preserve"> CFO is an Australian, resident in Australia.</w:t>
      </w:r>
    </w:p>
    <w:p w14:paraId="204E5508" w14:textId="77777777" w:rsidR="007858AB" w:rsidRPr="004A34F0" w:rsidRDefault="007858AB" w:rsidP="007858AB">
      <w:pPr>
        <w:jc w:val="both"/>
        <w:rPr>
          <w:rFonts w:ascii="Arial" w:hAnsi="Arial" w:cs="Arial"/>
          <w:sz w:val="22"/>
          <w:szCs w:val="22"/>
          <w:highlight w:val="yellow"/>
        </w:rPr>
      </w:pPr>
    </w:p>
    <w:p w14:paraId="7820E07B" w14:textId="77777777" w:rsidR="007858AB" w:rsidRPr="004A34F0" w:rsidRDefault="007858AB" w:rsidP="007858AB">
      <w:pPr>
        <w:jc w:val="both"/>
        <w:rPr>
          <w:rFonts w:ascii="Arial" w:hAnsi="Arial" w:cs="Arial"/>
          <w:sz w:val="22"/>
          <w:szCs w:val="22"/>
          <w:highlight w:val="yellow"/>
        </w:rPr>
      </w:pPr>
    </w:p>
    <w:p w14:paraId="2050C0F4" w14:textId="77777777" w:rsidR="007858AB" w:rsidRPr="004A34F0" w:rsidRDefault="007858AB" w:rsidP="007858AB">
      <w:pPr>
        <w:jc w:val="both"/>
        <w:rPr>
          <w:rFonts w:ascii="Arial" w:hAnsi="Arial" w:cs="Arial"/>
          <w:sz w:val="22"/>
          <w:szCs w:val="22"/>
          <w:highlight w:val="yellow"/>
        </w:rPr>
      </w:pPr>
      <w:r w:rsidRPr="004A34F0">
        <w:rPr>
          <w:rFonts w:ascii="Arial" w:hAnsi="Arial" w:cs="Arial"/>
          <w:sz w:val="22"/>
          <w:szCs w:val="22"/>
          <w:highlight w:val="yellow"/>
        </w:rPr>
        <w:t>Article 16(3) provides that:</w:t>
      </w:r>
    </w:p>
    <w:p w14:paraId="55070444" w14:textId="77777777" w:rsidR="007858AB" w:rsidRPr="004A34F0" w:rsidRDefault="007858AB" w:rsidP="007858AB">
      <w:pPr>
        <w:jc w:val="both"/>
        <w:rPr>
          <w:rFonts w:ascii="Arial" w:hAnsi="Arial" w:cs="Arial"/>
          <w:sz w:val="22"/>
          <w:szCs w:val="22"/>
          <w:highlight w:val="yellow"/>
          <w:shd w:val="clear" w:color="auto" w:fill="FFFFFF"/>
        </w:rPr>
      </w:pPr>
      <w:r w:rsidRPr="004A34F0">
        <w:rPr>
          <w:rFonts w:ascii="Arial" w:hAnsi="Arial" w:cs="Arial"/>
          <w:sz w:val="22"/>
          <w:szCs w:val="22"/>
          <w:highlight w:val="yellow"/>
          <w:shd w:val="clear" w:color="auto" w:fill="FFFFFF"/>
        </w:rPr>
        <w:t xml:space="preserve">“In the absence of proof to the contrary, the debtor’s registered office, or habitual residence in the case of an individual, is presumed to be the </w:t>
      </w:r>
      <w:proofErr w:type="spellStart"/>
      <w:r w:rsidRPr="004A34F0">
        <w:rPr>
          <w:rFonts w:ascii="Arial" w:hAnsi="Arial" w:cs="Arial"/>
          <w:sz w:val="22"/>
          <w:szCs w:val="22"/>
          <w:highlight w:val="yellow"/>
          <w:shd w:val="clear" w:color="auto" w:fill="FFFFFF"/>
        </w:rPr>
        <w:t>centre</w:t>
      </w:r>
      <w:proofErr w:type="spellEnd"/>
      <w:r w:rsidRPr="004A34F0">
        <w:rPr>
          <w:rFonts w:ascii="Arial" w:hAnsi="Arial" w:cs="Arial"/>
          <w:sz w:val="22"/>
          <w:szCs w:val="22"/>
          <w:highlight w:val="yellow"/>
          <w:shd w:val="clear" w:color="auto" w:fill="FFFFFF"/>
        </w:rPr>
        <w:t xml:space="preserve"> of the debtor’s main interests.”</w:t>
      </w:r>
    </w:p>
    <w:p w14:paraId="093B8451" w14:textId="77777777" w:rsidR="007858AB" w:rsidRPr="004A34F0" w:rsidRDefault="007858AB" w:rsidP="007858AB">
      <w:pPr>
        <w:jc w:val="both"/>
        <w:rPr>
          <w:rFonts w:ascii="Arial" w:hAnsi="Arial" w:cs="Arial"/>
          <w:sz w:val="22"/>
          <w:szCs w:val="22"/>
          <w:highlight w:val="yellow"/>
        </w:rPr>
      </w:pPr>
    </w:p>
    <w:p w14:paraId="4B4FC236" w14:textId="77777777" w:rsidR="007858AB" w:rsidRPr="004A34F0" w:rsidRDefault="007858AB" w:rsidP="007858AB">
      <w:pPr>
        <w:jc w:val="both"/>
        <w:rPr>
          <w:rFonts w:ascii="Arial" w:hAnsi="Arial" w:cs="Arial"/>
          <w:sz w:val="22"/>
          <w:szCs w:val="22"/>
          <w:highlight w:val="yellow"/>
        </w:rPr>
      </w:pPr>
      <w:r w:rsidRPr="004A34F0">
        <w:rPr>
          <w:rFonts w:ascii="Arial" w:hAnsi="Arial" w:cs="Arial"/>
          <w:sz w:val="22"/>
          <w:szCs w:val="22"/>
          <w:highlight w:val="yellow"/>
        </w:rPr>
        <w:t xml:space="preserve">In this scenario </w:t>
      </w:r>
      <w:proofErr w:type="spellStart"/>
      <w:r w:rsidRPr="004A34F0">
        <w:rPr>
          <w:rFonts w:ascii="Arial" w:hAnsi="Arial" w:cs="Arial"/>
          <w:sz w:val="22"/>
          <w:szCs w:val="22"/>
          <w:highlight w:val="yellow"/>
        </w:rPr>
        <w:t>Aussibee</w:t>
      </w:r>
      <w:proofErr w:type="spellEnd"/>
      <w:r w:rsidRPr="004A34F0">
        <w:rPr>
          <w:rFonts w:ascii="Arial" w:hAnsi="Arial" w:cs="Arial"/>
          <w:sz w:val="22"/>
          <w:szCs w:val="22"/>
          <w:highlight w:val="yellow"/>
        </w:rPr>
        <w:t xml:space="preserve"> conducts business in both Australia and Lyonesse and has offices in both countries and its CEO an Australian resident in Lyonesse whilst the CFO </w:t>
      </w:r>
      <w:r w:rsidRPr="004A34F0">
        <w:rPr>
          <w:rFonts w:ascii="Arial" w:hAnsi="Arial" w:cs="Arial"/>
          <w:sz w:val="22"/>
          <w:szCs w:val="22"/>
          <w:highlight w:val="yellow"/>
          <w:lang w:val="en-GB"/>
        </w:rPr>
        <w:t>is an Australian, resident in Australia. Thus, the court would decide based on the facts highlighted above whether Lyonesse is the COMI before deciding on the recognition application.</w:t>
      </w:r>
    </w:p>
    <w:p w14:paraId="4DDA6097" w14:textId="77777777" w:rsidR="007858AB" w:rsidRPr="004A34F0" w:rsidRDefault="007858AB" w:rsidP="007858AB">
      <w:pPr>
        <w:jc w:val="both"/>
        <w:rPr>
          <w:rFonts w:ascii="Arial" w:hAnsi="Arial" w:cs="Arial"/>
          <w:sz w:val="22"/>
          <w:szCs w:val="22"/>
          <w:highlight w:val="yellow"/>
          <w:lang w:val="en-GB"/>
        </w:rPr>
      </w:pPr>
    </w:p>
    <w:p w14:paraId="4DB86BED" w14:textId="77777777" w:rsidR="007858AB" w:rsidRPr="004A34F0" w:rsidRDefault="007858AB" w:rsidP="007858AB">
      <w:pPr>
        <w:jc w:val="both"/>
        <w:rPr>
          <w:rFonts w:ascii="Arial" w:hAnsi="Arial" w:cs="Arial"/>
          <w:sz w:val="22"/>
          <w:szCs w:val="22"/>
          <w:highlight w:val="yellow"/>
        </w:rPr>
      </w:pPr>
      <w:r w:rsidRPr="004A34F0">
        <w:rPr>
          <w:rFonts w:ascii="Arial" w:hAnsi="Arial" w:cs="Arial"/>
          <w:sz w:val="22"/>
          <w:szCs w:val="22"/>
          <w:highlight w:val="yellow"/>
          <w:shd w:val="clear" w:color="auto" w:fill="FFFFFF"/>
        </w:rPr>
        <w:t>In the case of Ackers (as joint foreign representative) v Saad Investments Company Limited (in official liquidation) (a company registered in the Cayman Islands)</w:t>
      </w:r>
      <w:r w:rsidRPr="004A34F0">
        <w:rPr>
          <w:rStyle w:val="FootnoteReference"/>
          <w:rFonts w:ascii="Arial" w:hAnsi="Arial" w:cs="Arial"/>
          <w:sz w:val="22"/>
          <w:szCs w:val="22"/>
          <w:highlight w:val="yellow"/>
          <w:shd w:val="clear" w:color="auto" w:fill="FFFFFF"/>
        </w:rPr>
        <w:footnoteReference w:id="3"/>
      </w:r>
      <w:r w:rsidRPr="004A34F0">
        <w:rPr>
          <w:rFonts w:ascii="Arial" w:hAnsi="Arial" w:cs="Arial"/>
          <w:sz w:val="22"/>
          <w:szCs w:val="22"/>
          <w:highlight w:val="yellow"/>
          <w:shd w:val="clear" w:color="auto" w:fill="FFFFFF"/>
        </w:rPr>
        <w:t xml:space="preserve"> the Federal Court of Australia considered the application of the</w:t>
      </w:r>
      <w:r w:rsidRPr="004A34F0">
        <w:rPr>
          <w:rFonts w:ascii="Arial" w:hAnsi="Arial" w:cs="Arial"/>
          <w:sz w:val="22"/>
          <w:szCs w:val="22"/>
          <w:highlight w:val="yellow"/>
        </w:rPr>
        <w:t xml:space="preserve"> plaintiffs were appointed by the Grand Court of the Cayman Islands, as official liquidators of Saad Investments Company Limited (Saad Investments).  They applied to have the liquidation in the Cayman Islands proceedings </w:t>
      </w:r>
      <w:proofErr w:type="spellStart"/>
      <w:r w:rsidRPr="004A34F0">
        <w:rPr>
          <w:rFonts w:ascii="Arial" w:hAnsi="Arial" w:cs="Arial"/>
          <w:sz w:val="22"/>
          <w:szCs w:val="22"/>
          <w:highlight w:val="yellow"/>
        </w:rPr>
        <w:t>recognised</w:t>
      </w:r>
      <w:proofErr w:type="spellEnd"/>
      <w:r w:rsidRPr="004A34F0">
        <w:rPr>
          <w:rFonts w:ascii="Arial" w:hAnsi="Arial" w:cs="Arial"/>
          <w:sz w:val="22"/>
          <w:szCs w:val="22"/>
          <w:highlight w:val="yellow"/>
        </w:rPr>
        <w:t xml:space="preserve"> as a foreign main proceeding for the purposes of the </w:t>
      </w:r>
      <w:hyperlink r:id="rId36" w:history="1">
        <w:r w:rsidRPr="004A34F0">
          <w:rPr>
            <w:rStyle w:val="Hyperlink"/>
            <w:rFonts w:ascii="Arial" w:hAnsi="Arial" w:cs="Arial"/>
            <w:color w:val="auto"/>
            <w:sz w:val="22"/>
            <w:szCs w:val="22"/>
            <w:highlight w:val="yellow"/>
            <w:u w:val="none"/>
          </w:rPr>
          <w:t>Model Law</w:t>
        </w:r>
      </w:hyperlink>
      <w:r w:rsidRPr="004A34F0">
        <w:rPr>
          <w:rFonts w:ascii="Arial" w:hAnsi="Arial" w:cs="Arial"/>
          <w:sz w:val="22"/>
          <w:szCs w:val="22"/>
          <w:highlight w:val="yellow"/>
        </w:rPr>
        <w:t> on Cross-Border Insolvency. One critical issue for determination by the Court  was whether the COMI of Saad Investments should be deemed to be where its registered office is, as provided in Art </w:t>
      </w:r>
      <w:hyperlink r:id="rId37" w:history="1">
        <w:r w:rsidRPr="004A34F0">
          <w:rPr>
            <w:rStyle w:val="Hyperlink"/>
            <w:rFonts w:ascii="Arial" w:hAnsi="Arial" w:cs="Arial"/>
            <w:color w:val="auto"/>
            <w:sz w:val="22"/>
            <w:szCs w:val="22"/>
            <w:highlight w:val="yellow"/>
            <w:u w:val="none"/>
          </w:rPr>
          <w:t>16(3)</w:t>
        </w:r>
      </w:hyperlink>
      <w:r w:rsidRPr="004A34F0">
        <w:rPr>
          <w:rFonts w:ascii="Arial" w:hAnsi="Arial" w:cs="Arial"/>
          <w:sz w:val="22"/>
          <w:szCs w:val="22"/>
          <w:highlight w:val="yellow"/>
        </w:rPr>
        <w:t> of the </w:t>
      </w:r>
      <w:hyperlink r:id="rId38" w:history="1">
        <w:r w:rsidRPr="004A34F0">
          <w:rPr>
            <w:rStyle w:val="Hyperlink"/>
            <w:rFonts w:ascii="Arial" w:hAnsi="Arial" w:cs="Arial"/>
            <w:color w:val="auto"/>
            <w:sz w:val="22"/>
            <w:szCs w:val="22"/>
            <w:highlight w:val="yellow"/>
            <w:u w:val="none"/>
          </w:rPr>
          <w:t>Model Law</w:t>
        </w:r>
      </w:hyperlink>
      <w:r w:rsidRPr="004A34F0">
        <w:rPr>
          <w:rFonts w:ascii="Arial" w:hAnsi="Arial" w:cs="Arial"/>
          <w:sz w:val="22"/>
          <w:szCs w:val="22"/>
          <w:highlight w:val="yellow"/>
        </w:rPr>
        <w:t xml:space="preserve">.   </w:t>
      </w:r>
    </w:p>
    <w:p w14:paraId="37115298" w14:textId="77777777" w:rsidR="007858AB" w:rsidRPr="004A34F0" w:rsidRDefault="007858AB" w:rsidP="007858AB">
      <w:pPr>
        <w:pStyle w:val="NormalWeb"/>
        <w:shd w:val="clear" w:color="auto" w:fill="FFFFFF"/>
        <w:jc w:val="both"/>
        <w:rPr>
          <w:rFonts w:ascii="Arial" w:hAnsi="Arial" w:cs="Arial"/>
          <w:sz w:val="22"/>
          <w:szCs w:val="22"/>
          <w:highlight w:val="yellow"/>
        </w:rPr>
      </w:pPr>
      <w:r w:rsidRPr="004A34F0">
        <w:rPr>
          <w:rFonts w:ascii="Arial" w:hAnsi="Arial" w:cs="Arial"/>
          <w:sz w:val="22"/>
          <w:szCs w:val="22"/>
          <w:highlight w:val="yellow"/>
        </w:rPr>
        <w:t>Saad Investments was incorporated in the Cayman Islands. Saad Investment’s registered office was in Grand Cayman in the Cayman Islands.  Saad Investments was part of a large global group of companies comprising, among others, of about 40 companies based in the Cayman Islands.  The company’s immediate parent is also incorporated in the Cayman Islands and held by a trust, nominally also located there.  There were indications that Saad Investments had commercial activities in and connections to places outside the Cayman Islands.</w:t>
      </w:r>
      <w:r w:rsidRPr="004A34F0">
        <w:rPr>
          <w:rFonts w:ascii="Arial" w:hAnsi="Arial" w:cs="Arial"/>
          <w:sz w:val="22"/>
          <w:szCs w:val="22"/>
          <w:highlight w:val="yellow"/>
          <w:shd w:val="clear" w:color="auto" w:fill="FFFFFF"/>
        </w:rPr>
        <w:t xml:space="preserve"> The company’s books and records were held and maintained by Saad Financial Services SA, a company registered in Switzerland and based in Geneva.  </w:t>
      </w:r>
      <w:r w:rsidRPr="004A34F0">
        <w:rPr>
          <w:rFonts w:ascii="Arial" w:hAnsi="Arial" w:cs="Arial"/>
          <w:sz w:val="22"/>
          <w:szCs w:val="22"/>
          <w:highlight w:val="yellow"/>
        </w:rPr>
        <w:t>There were indications that Saad Investments had commercial activities in and connections to places outside the Cayman Islands.</w:t>
      </w:r>
    </w:p>
    <w:p w14:paraId="2E9A4F7C" w14:textId="77777777" w:rsidR="007858AB" w:rsidRPr="004A34F0" w:rsidRDefault="007858AB" w:rsidP="007858AB">
      <w:pPr>
        <w:jc w:val="both"/>
        <w:rPr>
          <w:rFonts w:ascii="Arial" w:hAnsi="Arial" w:cs="Arial"/>
          <w:sz w:val="22"/>
          <w:szCs w:val="22"/>
          <w:highlight w:val="yellow"/>
        </w:rPr>
      </w:pPr>
      <w:r w:rsidRPr="004A34F0">
        <w:rPr>
          <w:rFonts w:ascii="Arial" w:hAnsi="Arial" w:cs="Arial"/>
          <w:sz w:val="22"/>
          <w:szCs w:val="22"/>
          <w:highlight w:val="yellow"/>
        </w:rPr>
        <w:t>Rares J held that the COMI was where Saad Investment’s registered office was located which was the Cayman Islands. In reaching that conclusion, the Judge at paragraph 29 of the judgment stated that:</w:t>
      </w:r>
    </w:p>
    <w:p w14:paraId="70E81FB6" w14:textId="77777777" w:rsidR="007858AB" w:rsidRPr="004A34F0" w:rsidRDefault="007858AB" w:rsidP="007858AB">
      <w:pPr>
        <w:pStyle w:val="NormalWeb"/>
        <w:shd w:val="clear" w:color="auto" w:fill="FFFFFF"/>
        <w:ind w:left="360"/>
        <w:jc w:val="both"/>
        <w:rPr>
          <w:rFonts w:ascii="Arial" w:hAnsi="Arial" w:cs="Arial"/>
          <w:sz w:val="22"/>
          <w:szCs w:val="22"/>
          <w:highlight w:val="yellow"/>
        </w:rPr>
      </w:pPr>
      <w:proofErr w:type="gramStart"/>
      <w:r w:rsidRPr="004A34F0">
        <w:rPr>
          <w:rFonts w:ascii="Arial" w:hAnsi="Arial" w:cs="Arial"/>
          <w:sz w:val="22"/>
          <w:szCs w:val="22"/>
          <w:highlight w:val="yellow"/>
        </w:rPr>
        <w:t>“ 29</w:t>
      </w:r>
      <w:proofErr w:type="gramEnd"/>
      <w:r w:rsidRPr="004A34F0">
        <w:rPr>
          <w:rFonts w:ascii="Arial" w:hAnsi="Arial" w:cs="Arial"/>
          <w:sz w:val="22"/>
          <w:szCs w:val="22"/>
          <w:highlight w:val="yellow"/>
        </w:rPr>
        <w:t>. Importantly, Art </w:t>
      </w:r>
      <w:hyperlink r:id="rId39" w:history="1">
        <w:r w:rsidRPr="004A34F0">
          <w:rPr>
            <w:rStyle w:val="Hyperlink"/>
            <w:rFonts w:ascii="Arial" w:hAnsi="Arial" w:cs="Arial"/>
            <w:color w:val="auto"/>
            <w:sz w:val="22"/>
            <w:szCs w:val="22"/>
            <w:highlight w:val="yellow"/>
            <w:u w:val="none"/>
          </w:rPr>
          <w:t>16</w:t>
        </w:r>
      </w:hyperlink>
      <w:r w:rsidRPr="004A34F0">
        <w:rPr>
          <w:rFonts w:ascii="Arial" w:hAnsi="Arial" w:cs="Arial"/>
          <w:sz w:val="22"/>
          <w:szCs w:val="22"/>
          <w:highlight w:val="yellow"/>
        </w:rPr>
        <w:t> creates a number of presumptions, the critical one here being in Art </w:t>
      </w:r>
      <w:hyperlink r:id="rId40" w:history="1">
        <w:r w:rsidRPr="004A34F0">
          <w:rPr>
            <w:rStyle w:val="Hyperlink"/>
            <w:rFonts w:ascii="Arial" w:hAnsi="Arial" w:cs="Arial"/>
            <w:color w:val="auto"/>
            <w:sz w:val="22"/>
            <w:szCs w:val="22"/>
            <w:highlight w:val="yellow"/>
            <w:u w:val="none"/>
          </w:rPr>
          <w:t>16(3)</w:t>
        </w:r>
      </w:hyperlink>
      <w:r w:rsidRPr="004A34F0">
        <w:rPr>
          <w:rFonts w:ascii="Arial" w:hAnsi="Arial" w:cs="Arial"/>
          <w:sz w:val="22"/>
          <w:szCs w:val="22"/>
          <w:highlight w:val="yellow"/>
        </w:rPr>
        <w:t xml:space="preserve">, namely that in the absence of proof to the contrary, Saad Investments’ registered office in the Cayman Islands is presumed to be its </w:t>
      </w:r>
      <w:proofErr w:type="spellStart"/>
      <w:r w:rsidRPr="004A34F0">
        <w:rPr>
          <w:rFonts w:ascii="Arial" w:hAnsi="Arial" w:cs="Arial"/>
          <w:sz w:val="22"/>
          <w:szCs w:val="22"/>
          <w:highlight w:val="yellow"/>
        </w:rPr>
        <w:t>centre</w:t>
      </w:r>
      <w:proofErr w:type="spellEnd"/>
      <w:r w:rsidRPr="004A34F0">
        <w:rPr>
          <w:rFonts w:ascii="Arial" w:hAnsi="Arial" w:cs="Arial"/>
          <w:sz w:val="22"/>
          <w:szCs w:val="22"/>
          <w:highlight w:val="yellow"/>
        </w:rPr>
        <w:t xml:space="preserve"> of main interests.” </w:t>
      </w:r>
    </w:p>
    <w:p w14:paraId="141576E4" w14:textId="77777777" w:rsidR="007858AB" w:rsidRPr="004A34F0" w:rsidRDefault="007858AB" w:rsidP="007858AB">
      <w:pPr>
        <w:pStyle w:val="NormalWeb"/>
        <w:shd w:val="clear" w:color="auto" w:fill="FFFFFF"/>
        <w:jc w:val="both"/>
        <w:rPr>
          <w:rFonts w:ascii="Arial" w:hAnsi="Arial" w:cs="Arial"/>
          <w:sz w:val="22"/>
          <w:szCs w:val="22"/>
          <w:highlight w:val="yellow"/>
          <w:shd w:val="clear" w:color="auto" w:fill="FFFFFF"/>
        </w:rPr>
      </w:pPr>
      <w:r w:rsidRPr="004A34F0">
        <w:rPr>
          <w:rFonts w:ascii="Arial" w:hAnsi="Arial" w:cs="Arial"/>
          <w:sz w:val="22"/>
          <w:szCs w:val="22"/>
          <w:highlight w:val="yellow"/>
        </w:rPr>
        <w:t xml:space="preserve">The Court further noted that at paragraph 30 that </w:t>
      </w:r>
      <w:proofErr w:type="gramStart"/>
      <w:r w:rsidRPr="004A34F0">
        <w:rPr>
          <w:rFonts w:ascii="Arial" w:hAnsi="Arial" w:cs="Arial"/>
          <w:sz w:val="22"/>
          <w:szCs w:val="22"/>
          <w:highlight w:val="yellow"/>
        </w:rPr>
        <w:t>“ t</w:t>
      </w:r>
      <w:r w:rsidRPr="004A34F0">
        <w:rPr>
          <w:rFonts w:ascii="Arial" w:hAnsi="Arial" w:cs="Arial"/>
          <w:sz w:val="22"/>
          <w:szCs w:val="22"/>
          <w:highlight w:val="yellow"/>
          <w:shd w:val="clear" w:color="auto" w:fill="FFFFFF"/>
        </w:rPr>
        <w:t>he</w:t>
      </w:r>
      <w:proofErr w:type="gramEnd"/>
      <w:r w:rsidRPr="004A34F0">
        <w:rPr>
          <w:rFonts w:ascii="Arial" w:hAnsi="Arial" w:cs="Arial"/>
          <w:sz w:val="22"/>
          <w:szCs w:val="22"/>
          <w:highlight w:val="yellow"/>
          <w:shd w:val="clear" w:color="auto" w:fill="FFFFFF"/>
        </w:rPr>
        <w:t xml:space="preserve"> expression, “the </w:t>
      </w:r>
      <w:proofErr w:type="spellStart"/>
      <w:r w:rsidRPr="004A34F0">
        <w:rPr>
          <w:rFonts w:ascii="Arial" w:hAnsi="Arial" w:cs="Arial"/>
          <w:sz w:val="22"/>
          <w:szCs w:val="22"/>
          <w:highlight w:val="yellow"/>
          <w:shd w:val="clear" w:color="auto" w:fill="FFFFFF"/>
        </w:rPr>
        <w:t>centre</w:t>
      </w:r>
      <w:proofErr w:type="spellEnd"/>
      <w:r w:rsidRPr="004A34F0">
        <w:rPr>
          <w:rFonts w:ascii="Arial" w:hAnsi="Arial" w:cs="Arial"/>
          <w:sz w:val="22"/>
          <w:szCs w:val="22"/>
          <w:highlight w:val="yellow"/>
          <w:shd w:val="clear" w:color="auto" w:fill="FFFFFF"/>
        </w:rPr>
        <w:t xml:space="preserve"> of the debtor’s main interests”, is not defined either in the </w:t>
      </w:r>
      <w:hyperlink r:id="rId41" w:history="1">
        <w:r w:rsidRPr="004A34F0">
          <w:rPr>
            <w:rStyle w:val="Hyperlink"/>
            <w:rFonts w:ascii="Arial" w:hAnsi="Arial" w:cs="Arial"/>
            <w:i/>
            <w:iCs/>
            <w:color w:val="auto"/>
            <w:sz w:val="22"/>
            <w:szCs w:val="22"/>
            <w:highlight w:val="yellow"/>
            <w:u w:val="none"/>
            <w:shd w:val="clear" w:color="auto" w:fill="FFFFFF"/>
          </w:rPr>
          <w:t>Model Law</w:t>
        </w:r>
      </w:hyperlink>
      <w:r w:rsidRPr="004A34F0">
        <w:rPr>
          <w:rFonts w:ascii="Arial" w:hAnsi="Arial" w:cs="Arial"/>
          <w:sz w:val="22"/>
          <w:szCs w:val="22"/>
          <w:highlight w:val="yellow"/>
          <w:shd w:val="clear" w:color="auto" w:fill="FFFFFF"/>
        </w:rPr>
        <w:t> or in the Act. “Rares J considered the case of t</w:t>
      </w:r>
      <w:r w:rsidRPr="004A34F0">
        <w:rPr>
          <w:rFonts w:ascii="Arial" w:hAnsi="Arial" w:cs="Arial"/>
          <w:sz w:val="22"/>
          <w:szCs w:val="22"/>
          <w:highlight w:val="yellow"/>
        </w:rPr>
        <w:t>he European Court of Justice in </w:t>
      </w:r>
      <w:proofErr w:type="spellStart"/>
      <w:r w:rsidRPr="004A34F0">
        <w:rPr>
          <w:rFonts w:ascii="Arial" w:hAnsi="Arial" w:cs="Arial"/>
          <w:i/>
          <w:iCs/>
          <w:sz w:val="22"/>
          <w:szCs w:val="22"/>
          <w:highlight w:val="yellow"/>
        </w:rPr>
        <w:t>Eurofood</w:t>
      </w:r>
      <w:proofErr w:type="spellEnd"/>
      <w:r w:rsidRPr="004A34F0">
        <w:rPr>
          <w:rStyle w:val="FootnoteReference"/>
          <w:rFonts w:ascii="Arial" w:hAnsi="Arial" w:cs="Arial"/>
          <w:i/>
          <w:iCs/>
          <w:sz w:val="22"/>
          <w:szCs w:val="22"/>
          <w:highlight w:val="yellow"/>
        </w:rPr>
        <w:footnoteReference w:id="4"/>
      </w:r>
      <w:r w:rsidRPr="004A34F0">
        <w:rPr>
          <w:rFonts w:ascii="Arial" w:hAnsi="Arial" w:cs="Arial"/>
          <w:sz w:val="22"/>
          <w:szCs w:val="22"/>
          <w:highlight w:val="yellow"/>
        </w:rPr>
        <w:t xml:space="preserve">  which considered the formulation of the test for ascertaining the COMI, where </w:t>
      </w:r>
      <w:proofErr w:type="gramStart"/>
      <w:r w:rsidRPr="004A34F0">
        <w:rPr>
          <w:rFonts w:ascii="Arial" w:hAnsi="Arial" w:cs="Arial"/>
          <w:sz w:val="22"/>
          <w:szCs w:val="22"/>
          <w:highlight w:val="yellow"/>
        </w:rPr>
        <w:t>the it</w:t>
      </w:r>
      <w:proofErr w:type="gramEnd"/>
      <w:r w:rsidRPr="004A34F0">
        <w:rPr>
          <w:rFonts w:ascii="Arial" w:hAnsi="Arial" w:cs="Arial"/>
          <w:sz w:val="22"/>
          <w:szCs w:val="22"/>
          <w:highlight w:val="yellow"/>
        </w:rPr>
        <w:t xml:space="preserve"> was stated that:</w:t>
      </w:r>
    </w:p>
    <w:p w14:paraId="167EC05A" w14:textId="77777777" w:rsidR="007858AB" w:rsidRPr="004A34F0" w:rsidRDefault="007858AB" w:rsidP="007858AB">
      <w:pPr>
        <w:pStyle w:val="jade-outdent"/>
        <w:shd w:val="clear" w:color="auto" w:fill="FFFFFF"/>
        <w:ind w:left="1440"/>
        <w:jc w:val="both"/>
        <w:rPr>
          <w:rFonts w:ascii="Arial" w:hAnsi="Arial" w:cs="Arial"/>
          <w:sz w:val="22"/>
          <w:szCs w:val="22"/>
          <w:highlight w:val="yellow"/>
        </w:rPr>
      </w:pPr>
      <w:r w:rsidRPr="004A34F0">
        <w:rPr>
          <w:rFonts w:ascii="Arial" w:hAnsi="Arial" w:cs="Arial"/>
          <w:sz w:val="22"/>
          <w:szCs w:val="22"/>
          <w:highlight w:val="yellow"/>
        </w:rPr>
        <w:t>“33</w:t>
      </w:r>
      <w:r w:rsidRPr="004A34F0">
        <w:rPr>
          <w:rStyle w:val="jade-ts-9"/>
          <w:rFonts w:ascii="Arial" w:hAnsi="Arial" w:cs="Arial"/>
          <w:sz w:val="22"/>
          <w:szCs w:val="22"/>
          <w:highlight w:val="yellow"/>
        </w:rPr>
        <w:t>         </w:t>
      </w:r>
      <w:r w:rsidRPr="004A34F0">
        <w:rPr>
          <w:rFonts w:ascii="Arial" w:hAnsi="Arial" w:cs="Arial"/>
          <w:sz w:val="22"/>
          <w:szCs w:val="22"/>
          <w:highlight w:val="yellow"/>
        </w:rPr>
        <w:t xml:space="preserve">That definition shows that the </w:t>
      </w:r>
      <w:proofErr w:type="spellStart"/>
      <w:r w:rsidRPr="004A34F0">
        <w:rPr>
          <w:rFonts w:ascii="Arial" w:hAnsi="Arial" w:cs="Arial"/>
          <w:sz w:val="22"/>
          <w:szCs w:val="22"/>
          <w:highlight w:val="yellow"/>
        </w:rPr>
        <w:t>centre</w:t>
      </w:r>
      <w:proofErr w:type="spellEnd"/>
      <w:r w:rsidRPr="004A34F0">
        <w:rPr>
          <w:rFonts w:ascii="Arial" w:hAnsi="Arial" w:cs="Arial"/>
          <w:sz w:val="22"/>
          <w:szCs w:val="22"/>
          <w:highlight w:val="yellow"/>
        </w:rPr>
        <w:t xml:space="preserve"> of main interests must be identified by reference to criteria that are both objective and ascertainable by third parties. That objectivity and that possibility of ascertainment by third parties are necessary </w:t>
      </w:r>
      <w:proofErr w:type="gramStart"/>
      <w:r w:rsidRPr="004A34F0">
        <w:rPr>
          <w:rFonts w:ascii="Arial" w:hAnsi="Arial" w:cs="Arial"/>
          <w:sz w:val="22"/>
          <w:szCs w:val="22"/>
          <w:highlight w:val="yellow"/>
        </w:rPr>
        <w:t>in order to</w:t>
      </w:r>
      <w:proofErr w:type="gramEnd"/>
      <w:r w:rsidRPr="004A34F0">
        <w:rPr>
          <w:rFonts w:ascii="Arial" w:hAnsi="Arial" w:cs="Arial"/>
          <w:sz w:val="22"/>
          <w:szCs w:val="22"/>
          <w:highlight w:val="yellow"/>
        </w:rPr>
        <w:t xml:space="preserve"> ensure legal certainty and foreseeability concerning the determination of the court with jurisdiction to open main </w:t>
      </w:r>
      <w:r w:rsidRPr="004A34F0">
        <w:rPr>
          <w:rFonts w:ascii="Arial" w:hAnsi="Arial" w:cs="Arial"/>
          <w:sz w:val="22"/>
          <w:szCs w:val="22"/>
          <w:highlight w:val="yellow"/>
        </w:rPr>
        <w:lastRenderedPageBreak/>
        <w:t xml:space="preserve">insolvency proceedings. That legal certainty and that foreseeability are </w:t>
      </w:r>
      <w:proofErr w:type="gramStart"/>
      <w:r w:rsidRPr="004A34F0">
        <w:rPr>
          <w:rFonts w:ascii="Arial" w:hAnsi="Arial" w:cs="Arial"/>
          <w:sz w:val="22"/>
          <w:szCs w:val="22"/>
          <w:highlight w:val="yellow"/>
        </w:rPr>
        <w:t>all the more</w:t>
      </w:r>
      <w:proofErr w:type="gramEnd"/>
      <w:r w:rsidRPr="004A34F0">
        <w:rPr>
          <w:rFonts w:ascii="Arial" w:hAnsi="Arial" w:cs="Arial"/>
          <w:sz w:val="22"/>
          <w:szCs w:val="22"/>
          <w:highlight w:val="yellow"/>
        </w:rPr>
        <w:t xml:space="preserve"> important in that, in accordance with article 4(1) of the Regulation, determination of the court with jurisdiction entails determination of the law which is to apply.”</w:t>
      </w:r>
    </w:p>
    <w:p w14:paraId="17A60707" w14:textId="77777777" w:rsidR="007858AB" w:rsidRPr="004A34F0" w:rsidRDefault="007858AB" w:rsidP="007858AB">
      <w:pPr>
        <w:pStyle w:val="NormalWeb"/>
        <w:shd w:val="clear" w:color="auto" w:fill="FFFFFF"/>
        <w:jc w:val="both"/>
        <w:rPr>
          <w:rFonts w:ascii="Arial" w:hAnsi="Arial" w:cs="Arial"/>
          <w:sz w:val="22"/>
          <w:szCs w:val="22"/>
          <w:highlight w:val="yellow"/>
        </w:rPr>
      </w:pPr>
      <w:r w:rsidRPr="004A34F0">
        <w:rPr>
          <w:rFonts w:ascii="Arial" w:hAnsi="Arial" w:cs="Arial"/>
          <w:sz w:val="22"/>
          <w:szCs w:val="22"/>
          <w:highlight w:val="yellow"/>
          <w:shd w:val="clear" w:color="auto" w:fill="FFFFFF"/>
        </w:rPr>
        <w:t>Rares J in Ackers further noted that for the presumption to be displaced, the Court had to be satisfied that the COMI is not in the State in which its registered office is located and given the importance to international commerce and, to third parties, of having an objective ascertainable basis upon which to commence and decide proceedings that will govern winding up an insolvency of a debtor under the </w:t>
      </w:r>
      <w:hyperlink r:id="rId42" w:history="1">
        <w:r w:rsidRPr="004A34F0">
          <w:rPr>
            <w:rStyle w:val="Hyperlink"/>
            <w:rFonts w:ascii="Arial" w:hAnsi="Arial" w:cs="Arial"/>
            <w:color w:val="auto"/>
            <w:sz w:val="22"/>
            <w:szCs w:val="22"/>
            <w:highlight w:val="yellow"/>
            <w:u w:val="none"/>
            <w:shd w:val="clear" w:color="auto" w:fill="FFFFFF"/>
          </w:rPr>
          <w:t>Model Law</w:t>
        </w:r>
      </w:hyperlink>
      <w:r w:rsidRPr="004A34F0">
        <w:rPr>
          <w:rFonts w:ascii="Arial" w:hAnsi="Arial" w:cs="Arial"/>
          <w:sz w:val="22"/>
          <w:szCs w:val="22"/>
          <w:highlight w:val="yellow"/>
          <w:shd w:val="clear" w:color="auto" w:fill="FFFFFF"/>
        </w:rPr>
        <w:t>, the approach adopted in </w:t>
      </w:r>
      <w:proofErr w:type="spellStart"/>
      <w:r w:rsidRPr="004A34F0">
        <w:rPr>
          <w:rFonts w:ascii="Arial" w:hAnsi="Arial" w:cs="Arial"/>
          <w:sz w:val="22"/>
          <w:szCs w:val="22"/>
          <w:highlight w:val="yellow"/>
          <w:shd w:val="clear" w:color="auto" w:fill="FFFFFF"/>
        </w:rPr>
        <w:t>Eurofood</w:t>
      </w:r>
      <w:proofErr w:type="spellEnd"/>
      <w:r w:rsidRPr="004A34F0">
        <w:rPr>
          <w:rFonts w:ascii="Arial" w:hAnsi="Arial" w:cs="Arial"/>
          <w:sz w:val="22"/>
          <w:szCs w:val="22"/>
          <w:highlight w:val="yellow"/>
          <w:shd w:val="clear" w:color="auto" w:fill="FFFFFF"/>
        </w:rPr>
        <w:t xml:space="preserve"> should be followed here. </w:t>
      </w:r>
    </w:p>
    <w:p w14:paraId="57685236" w14:textId="77777777" w:rsidR="007858AB" w:rsidRPr="004A34F0" w:rsidRDefault="007858AB" w:rsidP="007858AB">
      <w:pPr>
        <w:jc w:val="both"/>
        <w:rPr>
          <w:rFonts w:ascii="Arial" w:hAnsi="Arial" w:cs="Arial"/>
          <w:sz w:val="22"/>
          <w:szCs w:val="22"/>
          <w:highlight w:val="yellow"/>
          <w:lang w:val="en-GB"/>
        </w:rPr>
      </w:pPr>
      <w:r w:rsidRPr="004A34F0">
        <w:rPr>
          <w:rFonts w:ascii="Arial" w:hAnsi="Arial" w:cs="Arial"/>
          <w:sz w:val="22"/>
          <w:szCs w:val="22"/>
          <w:highlight w:val="yellow"/>
        </w:rPr>
        <w:t xml:space="preserve">Consequently, in the present scenario looking at all the facts in the round and noting that a liquidator has already been appointed in Lyonesse and that the </w:t>
      </w:r>
      <w:proofErr w:type="spellStart"/>
      <w:r w:rsidRPr="004A34F0">
        <w:rPr>
          <w:rFonts w:ascii="Arial" w:hAnsi="Arial" w:cs="Arial"/>
          <w:sz w:val="22"/>
          <w:szCs w:val="22"/>
          <w:highlight w:val="yellow"/>
        </w:rPr>
        <w:t>Aussibee</w:t>
      </w:r>
      <w:proofErr w:type="spellEnd"/>
      <w:r w:rsidRPr="004A34F0">
        <w:rPr>
          <w:rFonts w:ascii="Arial" w:hAnsi="Arial" w:cs="Arial"/>
          <w:sz w:val="22"/>
          <w:szCs w:val="22"/>
          <w:highlight w:val="yellow"/>
        </w:rPr>
        <w:t xml:space="preserve"> was incorporated there and maintains an office there, it is likely that the Federal Court will </w:t>
      </w:r>
      <w:r w:rsidRPr="004A34F0">
        <w:rPr>
          <w:rFonts w:ascii="Arial" w:hAnsi="Arial" w:cs="Arial"/>
          <w:sz w:val="22"/>
          <w:szCs w:val="22"/>
          <w:highlight w:val="yellow"/>
          <w:lang w:val="en-GB"/>
        </w:rPr>
        <w:t xml:space="preserve">recognise the </w:t>
      </w:r>
      <w:proofErr w:type="spellStart"/>
      <w:r w:rsidRPr="004A34F0">
        <w:rPr>
          <w:rFonts w:ascii="Arial" w:hAnsi="Arial" w:cs="Arial"/>
          <w:sz w:val="22"/>
          <w:szCs w:val="22"/>
          <w:highlight w:val="yellow"/>
          <w:lang w:val="en-GB"/>
        </w:rPr>
        <w:t>Lyonessian</w:t>
      </w:r>
      <w:proofErr w:type="spellEnd"/>
      <w:r w:rsidRPr="004A34F0">
        <w:rPr>
          <w:rFonts w:ascii="Arial" w:hAnsi="Arial" w:cs="Arial"/>
          <w:sz w:val="22"/>
          <w:szCs w:val="22"/>
          <w:highlight w:val="yellow"/>
          <w:lang w:val="en-GB"/>
        </w:rPr>
        <w:t xml:space="preserve"> liquidation as a foreign main proceeding under the </w:t>
      </w:r>
      <w:r w:rsidRPr="004A34F0">
        <w:rPr>
          <w:rFonts w:ascii="Arial" w:hAnsi="Arial" w:cs="Arial"/>
          <w:i/>
          <w:iCs/>
          <w:sz w:val="22"/>
          <w:szCs w:val="22"/>
          <w:highlight w:val="yellow"/>
          <w:lang w:val="en-GB"/>
        </w:rPr>
        <w:t xml:space="preserve">Cross-Border Insolvency Act 2008 and make the order </w:t>
      </w:r>
      <w:r w:rsidRPr="004A34F0">
        <w:rPr>
          <w:rFonts w:ascii="Arial" w:hAnsi="Arial" w:cs="Arial"/>
          <w:sz w:val="22"/>
          <w:szCs w:val="22"/>
          <w:highlight w:val="yellow"/>
          <w:lang w:val="en-GB"/>
        </w:rPr>
        <w:t xml:space="preserve">entrusting </w:t>
      </w:r>
      <w:proofErr w:type="spellStart"/>
      <w:r w:rsidRPr="004A34F0">
        <w:rPr>
          <w:rFonts w:ascii="Arial" w:hAnsi="Arial" w:cs="Arial"/>
          <w:sz w:val="22"/>
          <w:szCs w:val="22"/>
          <w:highlight w:val="yellow"/>
          <w:lang w:val="en-GB"/>
        </w:rPr>
        <w:t>Aussiebee’s</w:t>
      </w:r>
      <w:proofErr w:type="spellEnd"/>
      <w:r w:rsidRPr="004A34F0">
        <w:rPr>
          <w:rFonts w:ascii="Arial" w:hAnsi="Arial" w:cs="Arial"/>
          <w:sz w:val="22"/>
          <w:szCs w:val="22"/>
          <w:highlight w:val="yellow"/>
          <w:lang w:val="en-GB"/>
        </w:rPr>
        <w:t xml:space="preserve"> assets (including </w:t>
      </w:r>
      <w:proofErr w:type="spellStart"/>
      <w:r w:rsidRPr="004A34F0">
        <w:rPr>
          <w:rFonts w:ascii="Arial" w:hAnsi="Arial" w:cs="Arial"/>
          <w:sz w:val="22"/>
          <w:szCs w:val="22"/>
          <w:highlight w:val="yellow"/>
          <w:lang w:val="en-GB"/>
        </w:rPr>
        <w:t>Aussiebee’s</w:t>
      </w:r>
      <w:proofErr w:type="spellEnd"/>
      <w:r w:rsidRPr="004A34F0">
        <w:rPr>
          <w:rFonts w:ascii="Arial" w:hAnsi="Arial" w:cs="Arial"/>
          <w:sz w:val="22"/>
          <w:szCs w:val="22"/>
          <w:highlight w:val="yellow"/>
          <w:lang w:val="en-GB"/>
        </w:rPr>
        <w:t xml:space="preserve"> shares in </w:t>
      </w:r>
      <w:proofErr w:type="spellStart"/>
      <w:r w:rsidRPr="004A34F0">
        <w:rPr>
          <w:rFonts w:ascii="Arial" w:hAnsi="Arial" w:cs="Arial"/>
          <w:sz w:val="22"/>
          <w:szCs w:val="22"/>
          <w:highlight w:val="yellow"/>
          <w:lang w:val="en-GB"/>
        </w:rPr>
        <w:t>NewYums</w:t>
      </w:r>
      <w:proofErr w:type="spellEnd"/>
      <w:r w:rsidRPr="004A34F0">
        <w:rPr>
          <w:rFonts w:ascii="Arial" w:hAnsi="Arial" w:cs="Arial"/>
          <w:sz w:val="22"/>
          <w:szCs w:val="22"/>
          <w:highlight w:val="yellow"/>
          <w:lang w:val="en-GB"/>
        </w:rPr>
        <w:t xml:space="preserve"> which are worth AUD 20 million) to her, so that she can realise them for the benefit of creditors in the </w:t>
      </w:r>
      <w:proofErr w:type="spellStart"/>
      <w:r w:rsidRPr="004A34F0">
        <w:rPr>
          <w:rFonts w:ascii="Arial" w:hAnsi="Arial" w:cs="Arial"/>
          <w:sz w:val="22"/>
          <w:szCs w:val="22"/>
          <w:highlight w:val="yellow"/>
          <w:lang w:val="en-GB"/>
        </w:rPr>
        <w:t>Lyonessian</w:t>
      </w:r>
      <w:proofErr w:type="spellEnd"/>
      <w:r w:rsidRPr="004A34F0">
        <w:rPr>
          <w:rFonts w:ascii="Arial" w:hAnsi="Arial" w:cs="Arial"/>
          <w:sz w:val="22"/>
          <w:szCs w:val="22"/>
          <w:highlight w:val="yellow"/>
          <w:lang w:val="en-GB"/>
        </w:rPr>
        <w:t xml:space="preserve"> liquidation.</w:t>
      </w:r>
    </w:p>
    <w:p w14:paraId="5826C412" w14:textId="77777777" w:rsidR="007858AB" w:rsidRPr="004A34F0" w:rsidRDefault="007858AB" w:rsidP="007858AB">
      <w:pPr>
        <w:jc w:val="both"/>
        <w:rPr>
          <w:rFonts w:ascii="Arial" w:hAnsi="Arial" w:cs="Arial"/>
          <w:sz w:val="22"/>
          <w:szCs w:val="22"/>
          <w:highlight w:val="yellow"/>
          <w:lang w:val="en-GB"/>
        </w:rPr>
      </w:pPr>
    </w:p>
    <w:p w14:paraId="623CDA4D" w14:textId="77777777" w:rsidR="007858AB" w:rsidRPr="004A34F0" w:rsidRDefault="007858AB" w:rsidP="007858AB">
      <w:pPr>
        <w:pStyle w:val="jade-noverticalmargins"/>
        <w:shd w:val="clear" w:color="auto" w:fill="FFFFFF"/>
        <w:spacing w:before="0" w:beforeAutospacing="0" w:after="0" w:afterAutospacing="0"/>
        <w:jc w:val="both"/>
        <w:rPr>
          <w:rFonts w:ascii="Arial" w:hAnsi="Arial" w:cs="Arial"/>
          <w:color w:val="000000"/>
          <w:sz w:val="22"/>
          <w:szCs w:val="22"/>
          <w:highlight w:val="yellow"/>
        </w:rPr>
      </w:pPr>
      <w:r w:rsidRPr="004A34F0">
        <w:rPr>
          <w:rFonts w:ascii="Arial" w:hAnsi="Arial" w:cs="Arial"/>
          <w:sz w:val="22"/>
          <w:szCs w:val="22"/>
          <w:highlight w:val="yellow"/>
          <w:lang w:val="en-GB"/>
        </w:rPr>
        <w:t xml:space="preserve">As a result, the Australian Taxation Office (ATO) should apply to the Court for modification of the recognition order. In </w:t>
      </w:r>
      <w:r w:rsidRPr="004A34F0">
        <w:rPr>
          <w:rFonts w:ascii="Arial" w:hAnsi="Arial" w:cs="Arial"/>
          <w:color w:val="000000"/>
          <w:sz w:val="22"/>
          <w:szCs w:val="22"/>
          <w:highlight w:val="yellow"/>
        </w:rPr>
        <w:t xml:space="preserve">Ackers as a joint foreign representative of Saad Investments Company </w:t>
      </w:r>
    </w:p>
    <w:p w14:paraId="538FAE2A" w14:textId="77777777" w:rsidR="007858AB" w:rsidRPr="004A34F0" w:rsidRDefault="007858AB" w:rsidP="007858AB">
      <w:pPr>
        <w:pStyle w:val="jade-noverticalmargins"/>
        <w:shd w:val="clear" w:color="auto" w:fill="FFFFFF"/>
        <w:spacing w:before="0" w:beforeAutospacing="0" w:after="0" w:afterAutospacing="0"/>
        <w:jc w:val="both"/>
        <w:rPr>
          <w:rFonts w:ascii="Arial" w:hAnsi="Arial" w:cs="Arial"/>
          <w:color w:val="000000"/>
          <w:sz w:val="22"/>
          <w:szCs w:val="22"/>
          <w:highlight w:val="yellow"/>
        </w:rPr>
      </w:pPr>
      <w:r w:rsidRPr="004A34F0">
        <w:rPr>
          <w:rFonts w:ascii="Arial" w:hAnsi="Arial" w:cs="Arial"/>
          <w:color w:val="000000"/>
          <w:sz w:val="22"/>
          <w:szCs w:val="22"/>
          <w:highlight w:val="yellow"/>
        </w:rPr>
        <w:t xml:space="preserve"> Limited (in Official Liquidation) v Deputy Commissioner of Taxation</w:t>
      </w:r>
      <w:r w:rsidRPr="004A34F0">
        <w:rPr>
          <w:rStyle w:val="FootnoteReference"/>
          <w:rFonts w:ascii="Arial" w:hAnsi="Arial" w:cs="Arial"/>
          <w:color w:val="000000"/>
          <w:sz w:val="22"/>
          <w:szCs w:val="22"/>
          <w:highlight w:val="yellow"/>
        </w:rPr>
        <w:footnoteReference w:id="5"/>
      </w:r>
      <w:r w:rsidRPr="004A34F0">
        <w:rPr>
          <w:rFonts w:ascii="Arial" w:hAnsi="Arial" w:cs="Arial"/>
          <w:color w:val="000000"/>
          <w:sz w:val="22"/>
          <w:szCs w:val="22"/>
          <w:highlight w:val="yellow"/>
        </w:rPr>
        <w:t xml:space="preserve"> the Court of Appeal heard and determined an appeal by the joint foreign representatives of Saad Investments Company Limited against orders made by a judge of the Court on 29 August 2013 (“the Modification Orders”) that modified orders previously made by him on 22 October 2010 (“the Recognition Orders”) concerning the company’s liquidation in the Cayman Islands. The appeal raised important questions about the proper construction and interpretation of the </w:t>
      </w:r>
      <w:hyperlink r:id="rId43" w:history="1">
        <w:r w:rsidRPr="004A34F0">
          <w:rPr>
            <w:rStyle w:val="Hyperlink"/>
            <w:rFonts w:ascii="Arial" w:hAnsi="Arial" w:cs="Arial"/>
            <w:color w:val="auto"/>
            <w:sz w:val="22"/>
            <w:szCs w:val="22"/>
            <w:highlight w:val="yellow"/>
            <w:u w:val="none"/>
          </w:rPr>
          <w:t>Model Law</w:t>
        </w:r>
      </w:hyperlink>
      <w:r w:rsidRPr="004A34F0">
        <w:rPr>
          <w:rFonts w:ascii="Arial" w:hAnsi="Arial" w:cs="Arial"/>
          <w:sz w:val="22"/>
          <w:szCs w:val="22"/>
          <w:highlight w:val="yellow"/>
        </w:rPr>
        <w:t> on</w:t>
      </w:r>
      <w:r w:rsidRPr="004A34F0">
        <w:rPr>
          <w:rFonts w:ascii="Arial" w:hAnsi="Arial" w:cs="Arial"/>
          <w:color w:val="000000"/>
          <w:sz w:val="22"/>
          <w:szCs w:val="22"/>
          <w:highlight w:val="yellow"/>
        </w:rPr>
        <w:t xml:space="preserve"> Cross-Border Insolvency (the “Model Law”). The Court stated that the</w:t>
      </w:r>
    </w:p>
    <w:p w14:paraId="4A195434" w14:textId="77777777" w:rsidR="007858AB" w:rsidRPr="004A34F0" w:rsidRDefault="007858AB" w:rsidP="007858AB">
      <w:pPr>
        <w:pStyle w:val="jade-noverticalmargins"/>
        <w:shd w:val="clear" w:color="auto" w:fill="FFFFFF"/>
        <w:spacing w:before="0" w:beforeAutospacing="0" w:after="0" w:afterAutospacing="0"/>
        <w:ind w:left="720" w:firstLine="60"/>
        <w:jc w:val="both"/>
        <w:rPr>
          <w:rFonts w:ascii="Arial" w:hAnsi="Arial" w:cs="Arial"/>
          <w:color w:val="000000"/>
          <w:sz w:val="22"/>
          <w:szCs w:val="22"/>
          <w:highlight w:val="yellow"/>
        </w:rPr>
      </w:pPr>
      <w:r w:rsidRPr="004A34F0">
        <w:rPr>
          <w:rFonts w:ascii="Arial" w:hAnsi="Arial" w:cs="Arial"/>
          <w:color w:val="000000"/>
          <w:sz w:val="22"/>
          <w:szCs w:val="22"/>
          <w:highlight w:val="yellow"/>
        </w:rPr>
        <w:t>“</w:t>
      </w:r>
      <w:proofErr w:type="gramStart"/>
      <w:r w:rsidRPr="004A34F0">
        <w:rPr>
          <w:rFonts w:ascii="Arial" w:hAnsi="Arial" w:cs="Arial"/>
          <w:color w:val="000000"/>
          <w:sz w:val="22"/>
          <w:szCs w:val="22"/>
          <w:highlight w:val="yellow"/>
        </w:rPr>
        <w:t>particular</w:t>
      </w:r>
      <w:proofErr w:type="gramEnd"/>
      <w:r w:rsidRPr="004A34F0">
        <w:rPr>
          <w:rFonts w:ascii="Arial" w:hAnsi="Arial" w:cs="Arial"/>
          <w:color w:val="000000"/>
          <w:sz w:val="22"/>
          <w:szCs w:val="22"/>
          <w:highlight w:val="yellow"/>
        </w:rPr>
        <w:t xml:space="preserve"> question at the </w:t>
      </w:r>
      <w:proofErr w:type="spellStart"/>
      <w:r w:rsidRPr="004A34F0">
        <w:rPr>
          <w:rFonts w:ascii="Arial" w:hAnsi="Arial" w:cs="Arial"/>
          <w:color w:val="000000"/>
          <w:sz w:val="22"/>
          <w:szCs w:val="22"/>
          <w:highlight w:val="yellow"/>
        </w:rPr>
        <w:t>centre</w:t>
      </w:r>
      <w:proofErr w:type="spellEnd"/>
      <w:r w:rsidRPr="004A34F0">
        <w:rPr>
          <w:rFonts w:ascii="Arial" w:hAnsi="Arial" w:cs="Arial"/>
          <w:color w:val="000000"/>
          <w:sz w:val="22"/>
          <w:szCs w:val="22"/>
          <w:highlight w:val="yellow"/>
        </w:rPr>
        <w:t xml:space="preserve"> of the appeal is the treatment of a claim by the Deputy Commissioner of Taxation (“DCT”) that Saad is liable to Australian tax and penalties. Saad was not a registered foreign company, does not carry on business in Australia, and, as was common ground before the primary judge and on appeal, cannot be wound up by an Australian court under the </w:t>
      </w:r>
      <w:hyperlink r:id="rId44" w:history="1">
        <w:r w:rsidRPr="004A34F0">
          <w:rPr>
            <w:rStyle w:val="Hyperlink"/>
            <w:rFonts w:ascii="Arial" w:hAnsi="Arial" w:cs="Arial"/>
            <w:i/>
            <w:iCs/>
            <w:color w:val="017E3B"/>
            <w:sz w:val="22"/>
            <w:szCs w:val="22"/>
            <w:highlight w:val="yellow"/>
          </w:rPr>
          <w:t>Corporations Act 2001 </w:t>
        </w:r>
      </w:hyperlink>
      <w:hyperlink r:id="rId45" w:history="1">
        <w:r w:rsidRPr="004A34F0">
          <w:rPr>
            <w:rStyle w:val="Hyperlink"/>
            <w:rFonts w:ascii="Arial" w:hAnsi="Arial" w:cs="Arial"/>
            <w:color w:val="017E3B"/>
            <w:sz w:val="22"/>
            <w:szCs w:val="22"/>
            <w:highlight w:val="yellow"/>
          </w:rPr>
          <w:t>(</w:t>
        </w:r>
        <w:proofErr w:type="spellStart"/>
        <w:r w:rsidRPr="004A34F0">
          <w:rPr>
            <w:rStyle w:val="Hyperlink"/>
            <w:rFonts w:ascii="Arial" w:hAnsi="Arial" w:cs="Arial"/>
            <w:color w:val="017E3B"/>
            <w:sz w:val="22"/>
            <w:szCs w:val="22"/>
            <w:highlight w:val="yellow"/>
          </w:rPr>
          <w:t>Cth</w:t>
        </w:r>
        <w:proofErr w:type="spellEnd"/>
        <w:r w:rsidRPr="004A34F0">
          <w:rPr>
            <w:rStyle w:val="Hyperlink"/>
            <w:rFonts w:ascii="Arial" w:hAnsi="Arial" w:cs="Arial"/>
            <w:color w:val="017E3B"/>
            <w:sz w:val="22"/>
            <w:szCs w:val="22"/>
            <w:highlight w:val="yellow"/>
          </w:rPr>
          <w:t>)</w:t>
        </w:r>
      </w:hyperlink>
      <w:r w:rsidRPr="004A34F0">
        <w:rPr>
          <w:rFonts w:ascii="Arial" w:hAnsi="Arial" w:cs="Arial"/>
          <w:color w:val="000000"/>
          <w:sz w:val="22"/>
          <w:szCs w:val="22"/>
          <w:highlight w:val="yellow"/>
        </w:rPr>
        <w:t>.”</w:t>
      </w:r>
    </w:p>
    <w:p w14:paraId="48C02BA7" w14:textId="77777777" w:rsidR="007858AB" w:rsidRPr="004A34F0" w:rsidRDefault="007858AB" w:rsidP="007858AB">
      <w:pPr>
        <w:shd w:val="clear" w:color="auto" w:fill="FFFFFF"/>
        <w:spacing w:before="100" w:beforeAutospacing="1" w:after="100" w:afterAutospacing="1"/>
        <w:jc w:val="both"/>
        <w:rPr>
          <w:rFonts w:ascii="Arial" w:hAnsi="Arial" w:cs="Arial"/>
          <w:color w:val="000000"/>
          <w:sz w:val="22"/>
          <w:szCs w:val="22"/>
          <w:highlight w:val="yellow"/>
          <w:shd w:val="clear" w:color="auto" w:fill="FFFFFF"/>
        </w:rPr>
      </w:pPr>
      <w:r w:rsidRPr="004A34F0">
        <w:rPr>
          <w:rFonts w:ascii="Arial" w:hAnsi="Arial" w:cs="Arial"/>
          <w:color w:val="000000"/>
          <w:sz w:val="22"/>
          <w:szCs w:val="22"/>
          <w:highlight w:val="yellow"/>
          <w:shd w:val="clear" w:color="auto" w:fill="FFFFFF"/>
        </w:rPr>
        <w:t xml:space="preserve">The Court stated at paragraph 3 that </w:t>
      </w:r>
    </w:p>
    <w:p w14:paraId="0F577A91" w14:textId="77777777" w:rsidR="007858AB" w:rsidRPr="004A34F0" w:rsidRDefault="007858AB" w:rsidP="007858AB">
      <w:pPr>
        <w:shd w:val="clear" w:color="auto" w:fill="FFFFFF"/>
        <w:spacing w:before="100" w:beforeAutospacing="1" w:after="100" w:afterAutospacing="1"/>
        <w:ind w:left="720"/>
        <w:jc w:val="both"/>
        <w:rPr>
          <w:rFonts w:ascii="Arial" w:hAnsi="Arial" w:cs="Arial"/>
          <w:color w:val="000000"/>
          <w:sz w:val="22"/>
          <w:szCs w:val="22"/>
          <w:highlight w:val="yellow"/>
          <w:shd w:val="clear" w:color="auto" w:fill="FFFFFF"/>
        </w:rPr>
      </w:pPr>
      <w:r w:rsidRPr="004A34F0">
        <w:rPr>
          <w:rFonts w:ascii="Arial" w:hAnsi="Arial" w:cs="Arial"/>
          <w:color w:val="000000"/>
          <w:sz w:val="22"/>
          <w:szCs w:val="22"/>
          <w:highlight w:val="yellow"/>
          <w:shd w:val="clear" w:color="auto" w:fill="FFFFFF"/>
        </w:rPr>
        <w:t>“The question at issue is whether the </w:t>
      </w:r>
      <w:hyperlink r:id="rId46" w:history="1">
        <w:r w:rsidRPr="004A34F0">
          <w:rPr>
            <w:rStyle w:val="Hyperlink"/>
            <w:rFonts w:ascii="Arial" w:hAnsi="Arial" w:cs="Arial"/>
            <w:color w:val="017E3B"/>
            <w:sz w:val="22"/>
            <w:szCs w:val="22"/>
            <w:highlight w:val="yellow"/>
            <w:shd w:val="clear" w:color="auto" w:fill="FFFFFF"/>
          </w:rPr>
          <w:t>CBI Act</w:t>
        </w:r>
      </w:hyperlink>
      <w:r w:rsidRPr="004A34F0">
        <w:rPr>
          <w:rFonts w:ascii="Arial" w:hAnsi="Arial" w:cs="Arial"/>
          <w:color w:val="000000"/>
          <w:sz w:val="22"/>
          <w:szCs w:val="22"/>
          <w:highlight w:val="yellow"/>
          <w:shd w:val="clear" w:color="auto" w:fill="FFFFFF"/>
        </w:rPr>
        <w:t> and the </w:t>
      </w:r>
      <w:hyperlink r:id="rId47" w:history="1">
        <w:r w:rsidRPr="004A34F0">
          <w:rPr>
            <w:rStyle w:val="Hyperlink"/>
            <w:rFonts w:ascii="Arial" w:hAnsi="Arial" w:cs="Arial"/>
            <w:color w:val="017E3B"/>
            <w:sz w:val="22"/>
            <w:szCs w:val="22"/>
            <w:highlight w:val="yellow"/>
            <w:shd w:val="clear" w:color="auto" w:fill="FFFFFF"/>
          </w:rPr>
          <w:t>Model Law</w:t>
        </w:r>
      </w:hyperlink>
      <w:r w:rsidRPr="004A34F0">
        <w:rPr>
          <w:rFonts w:ascii="Arial" w:hAnsi="Arial" w:cs="Arial"/>
          <w:color w:val="000000"/>
          <w:sz w:val="22"/>
          <w:szCs w:val="22"/>
          <w:highlight w:val="yellow"/>
          <w:shd w:val="clear" w:color="auto" w:fill="FFFFFF"/>
        </w:rPr>
        <w:t> permitted the primary judge to vary orders made by him in the recognition of the foreign representatives and the foreign main proceedings, in effect, by refusing to remit the remaining funds in Australia (in the order of $7 million) to the Cayman Islands, and by permitting the DCT to proceed against the funds within Australia for the claimed tax and penalties. The difficulty for the DCT in the liquidation of the company in the Cayman Islands is that under Cayman Islands law his or her proof would not be accepted, on the basis that to do so would be to enforce foreign revenue laws.”</w:t>
      </w:r>
    </w:p>
    <w:p w14:paraId="2A05B870" w14:textId="77777777" w:rsidR="007858AB" w:rsidRPr="004A34F0" w:rsidRDefault="007858AB" w:rsidP="007858AB">
      <w:pPr>
        <w:jc w:val="both"/>
        <w:rPr>
          <w:rFonts w:ascii="Arial" w:hAnsi="Arial" w:cs="Arial"/>
          <w:sz w:val="22"/>
          <w:szCs w:val="22"/>
          <w:highlight w:val="yellow"/>
          <w:lang w:val="en-GB"/>
        </w:rPr>
      </w:pPr>
      <w:r w:rsidRPr="004A34F0">
        <w:rPr>
          <w:rFonts w:ascii="Arial" w:hAnsi="Arial" w:cs="Arial"/>
          <w:color w:val="000000"/>
          <w:sz w:val="22"/>
          <w:szCs w:val="22"/>
          <w:highlight w:val="yellow"/>
          <w:shd w:val="clear" w:color="auto" w:fill="FFFFFF"/>
        </w:rPr>
        <w:t xml:space="preserve">The ATO faces a similar issue here since </w:t>
      </w:r>
      <w:proofErr w:type="spellStart"/>
      <w:r w:rsidRPr="004A34F0">
        <w:rPr>
          <w:rFonts w:ascii="Arial" w:hAnsi="Arial" w:cs="Arial"/>
          <w:sz w:val="22"/>
          <w:szCs w:val="22"/>
          <w:highlight w:val="yellow"/>
          <w:lang w:val="en-GB"/>
        </w:rPr>
        <w:t>Aussiebee</w:t>
      </w:r>
      <w:proofErr w:type="spellEnd"/>
      <w:r w:rsidRPr="004A34F0">
        <w:rPr>
          <w:rFonts w:ascii="Arial" w:hAnsi="Arial" w:cs="Arial"/>
          <w:sz w:val="22"/>
          <w:szCs w:val="22"/>
          <w:highlight w:val="yellow"/>
          <w:lang w:val="en-GB"/>
        </w:rPr>
        <w:t xml:space="preserve"> owes AUD 12 million in taxes in Australia, payable to the (ATO), however the ATO are not entitled to prove in the </w:t>
      </w:r>
      <w:proofErr w:type="spellStart"/>
      <w:r w:rsidRPr="004A34F0">
        <w:rPr>
          <w:rFonts w:ascii="Arial" w:hAnsi="Arial" w:cs="Arial"/>
          <w:sz w:val="22"/>
          <w:szCs w:val="22"/>
          <w:highlight w:val="yellow"/>
          <w:lang w:val="en-GB"/>
        </w:rPr>
        <w:t>Lyonessian</w:t>
      </w:r>
      <w:proofErr w:type="spellEnd"/>
      <w:r w:rsidRPr="004A34F0">
        <w:rPr>
          <w:rFonts w:ascii="Arial" w:hAnsi="Arial" w:cs="Arial"/>
          <w:sz w:val="22"/>
          <w:szCs w:val="22"/>
          <w:highlight w:val="yellow"/>
          <w:lang w:val="en-GB"/>
        </w:rPr>
        <w:t xml:space="preserve"> liquidation.</w:t>
      </w:r>
    </w:p>
    <w:p w14:paraId="38815729" w14:textId="77777777" w:rsidR="007858AB" w:rsidRPr="004A34F0" w:rsidRDefault="007858AB" w:rsidP="007858AB">
      <w:pPr>
        <w:shd w:val="clear" w:color="auto" w:fill="FFFFFF"/>
        <w:spacing w:before="100" w:beforeAutospacing="1" w:after="100" w:afterAutospacing="1"/>
        <w:jc w:val="both"/>
        <w:rPr>
          <w:rFonts w:ascii="Arial" w:hAnsi="Arial" w:cs="Arial"/>
          <w:sz w:val="22"/>
          <w:szCs w:val="22"/>
          <w:highlight w:val="yellow"/>
        </w:rPr>
      </w:pPr>
      <w:r w:rsidRPr="004A34F0">
        <w:rPr>
          <w:rFonts w:ascii="Arial" w:hAnsi="Arial" w:cs="Arial"/>
          <w:sz w:val="22"/>
          <w:szCs w:val="22"/>
          <w:highlight w:val="yellow"/>
          <w:lang w:val="en-GB"/>
        </w:rPr>
        <w:t xml:space="preserve">In Ackers </w:t>
      </w:r>
      <w:r w:rsidRPr="00A71FE5">
        <w:rPr>
          <w:rFonts w:ascii="Arial" w:hAnsi="Arial" w:cs="Arial"/>
          <w:color w:val="000000"/>
          <w:sz w:val="22"/>
          <w:szCs w:val="22"/>
          <w:highlight w:val="yellow"/>
        </w:rPr>
        <w:t>the D</w:t>
      </w:r>
      <w:r w:rsidRPr="004A34F0">
        <w:rPr>
          <w:rFonts w:ascii="Arial" w:hAnsi="Arial" w:cs="Arial"/>
          <w:color w:val="000000"/>
          <w:sz w:val="22"/>
          <w:szCs w:val="22"/>
          <w:highlight w:val="yellow"/>
        </w:rPr>
        <w:t xml:space="preserve">eputy </w:t>
      </w:r>
      <w:r w:rsidRPr="00A71FE5">
        <w:rPr>
          <w:rFonts w:ascii="Arial" w:hAnsi="Arial" w:cs="Arial"/>
          <w:color w:val="000000"/>
          <w:sz w:val="22"/>
          <w:szCs w:val="22"/>
          <w:highlight w:val="yellow"/>
        </w:rPr>
        <w:t>C</w:t>
      </w:r>
      <w:r w:rsidRPr="004A34F0">
        <w:rPr>
          <w:rFonts w:ascii="Arial" w:hAnsi="Arial" w:cs="Arial"/>
          <w:color w:val="000000"/>
          <w:sz w:val="22"/>
          <w:szCs w:val="22"/>
          <w:highlight w:val="yellow"/>
        </w:rPr>
        <w:t xml:space="preserve">ommissioner of </w:t>
      </w:r>
      <w:r w:rsidRPr="00A71FE5">
        <w:rPr>
          <w:rFonts w:ascii="Arial" w:hAnsi="Arial" w:cs="Arial"/>
          <w:color w:val="000000"/>
          <w:sz w:val="22"/>
          <w:szCs w:val="22"/>
          <w:highlight w:val="yellow"/>
        </w:rPr>
        <w:t>T</w:t>
      </w:r>
      <w:r w:rsidRPr="004A34F0">
        <w:rPr>
          <w:rFonts w:ascii="Arial" w:hAnsi="Arial" w:cs="Arial"/>
          <w:color w:val="000000"/>
          <w:sz w:val="22"/>
          <w:szCs w:val="22"/>
          <w:highlight w:val="yellow"/>
        </w:rPr>
        <w:t>axation (</w:t>
      </w:r>
      <w:proofErr w:type="gramStart"/>
      <w:r w:rsidRPr="004A34F0">
        <w:rPr>
          <w:rFonts w:ascii="Arial" w:hAnsi="Arial" w:cs="Arial"/>
          <w:color w:val="000000"/>
          <w:sz w:val="22"/>
          <w:szCs w:val="22"/>
          <w:highlight w:val="yellow"/>
        </w:rPr>
        <w:t xml:space="preserve">DCT)  </w:t>
      </w:r>
      <w:r w:rsidRPr="00A71FE5">
        <w:rPr>
          <w:rFonts w:ascii="Arial" w:hAnsi="Arial" w:cs="Arial"/>
          <w:color w:val="000000"/>
          <w:sz w:val="22"/>
          <w:szCs w:val="22"/>
          <w:highlight w:val="yellow"/>
        </w:rPr>
        <w:t>filed</w:t>
      </w:r>
      <w:proofErr w:type="gramEnd"/>
      <w:r w:rsidRPr="00A71FE5">
        <w:rPr>
          <w:rFonts w:ascii="Arial" w:hAnsi="Arial" w:cs="Arial"/>
          <w:color w:val="000000"/>
          <w:sz w:val="22"/>
          <w:szCs w:val="22"/>
          <w:highlight w:val="yellow"/>
        </w:rPr>
        <w:t xml:space="preserve"> interlocutory process seeking, amongst other things, modification of the Recognition Orders and leave to issue statutory </w:t>
      </w:r>
      <w:r w:rsidRPr="00A71FE5">
        <w:rPr>
          <w:rFonts w:ascii="Arial" w:hAnsi="Arial" w:cs="Arial"/>
          <w:color w:val="000000"/>
          <w:sz w:val="22"/>
          <w:szCs w:val="22"/>
          <w:highlight w:val="yellow"/>
        </w:rPr>
        <w:lastRenderedPageBreak/>
        <w:t xml:space="preserve">notices and take other enforcement steps.  </w:t>
      </w:r>
      <w:r w:rsidRPr="004A34F0">
        <w:rPr>
          <w:rFonts w:ascii="Arial" w:hAnsi="Arial" w:cs="Arial"/>
          <w:color w:val="000000"/>
          <w:sz w:val="22"/>
          <w:szCs w:val="22"/>
          <w:highlight w:val="yellow"/>
        </w:rPr>
        <w:t>Under t</w:t>
      </w:r>
      <w:r w:rsidRPr="00A71FE5">
        <w:rPr>
          <w:rFonts w:ascii="Arial" w:hAnsi="Arial" w:cs="Arial"/>
          <w:color w:val="000000"/>
          <w:sz w:val="22"/>
          <w:szCs w:val="22"/>
          <w:highlight w:val="yellow"/>
        </w:rPr>
        <w:t xml:space="preserve">he terms of the application </w:t>
      </w:r>
      <w:r w:rsidRPr="004A34F0">
        <w:rPr>
          <w:rFonts w:ascii="Arial" w:hAnsi="Arial" w:cs="Arial"/>
          <w:color w:val="000000"/>
          <w:sz w:val="22"/>
          <w:szCs w:val="22"/>
          <w:highlight w:val="yellow"/>
        </w:rPr>
        <w:t>the DCT sought a</w:t>
      </w:r>
      <w:r w:rsidRPr="00A71FE5">
        <w:rPr>
          <w:rFonts w:ascii="Arial" w:hAnsi="Arial" w:cs="Arial"/>
          <w:color w:val="000000"/>
          <w:sz w:val="22"/>
          <w:szCs w:val="22"/>
          <w:highlight w:val="yellow"/>
        </w:rPr>
        <w:t xml:space="preserve">n order </w:t>
      </w:r>
      <w:r w:rsidRPr="00A71FE5">
        <w:rPr>
          <w:rFonts w:ascii="Arial" w:hAnsi="Arial" w:cs="Arial"/>
          <w:sz w:val="22"/>
          <w:szCs w:val="22"/>
          <w:highlight w:val="yellow"/>
        </w:rPr>
        <w:t>under Article </w:t>
      </w:r>
      <w:hyperlink r:id="rId48" w:history="1">
        <w:r w:rsidRPr="00A71FE5">
          <w:rPr>
            <w:rFonts w:ascii="Arial" w:hAnsi="Arial" w:cs="Arial"/>
            <w:sz w:val="22"/>
            <w:szCs w:val="22"/>
            <w:highlight w:val="yellow"/>
          </w:rPr>
          <w:t>22.3</w:t>
        </w:r>
      </w:hyperlink>
      <w:r w:rsidRPr="00A71FE5">
        <w:rPr>
          <w:rFonts w:ascii="Arial" w:hAnsi="Arial" w:cs="Arial"/>
          <w:sz w:val="22"/>
          <w:szCs w:val="22"/>
          <w:highlight w:val="yellow"/>
        </w:rPr>
        <w:t> of the </w:t>
      </w:r>
      <w:hyperlink r:id="rId49" w:history="1">
        <w:r w:rsidRPr="00A71FE5">
          <w:rPr>
            <w:rFonts w:ascii="Arial" w:hAnsi="Arial" w:cs="Arial"/>
            <w:sz w:val="22"/>
            <w:szCs w:val="22"/>
            <w:highlight w:val="yellow"/>
          </w:rPr>
          <w:t>Model Law</w:t>
        </w:r>
      </w:hyperlink>
      <w:r w:rsidRPr="00A71FE5">
        <w:rPr>
          <w:rFonts w:ascii="Arial" w:hAnsi="Arial" w:cs="Arial"/>
          <w:sz w:val="22"/>
          <w:szCs w:val="22"/>
          <w:highlight w:val="yellow"/>
        </w:rPr>
        <w:t> </w:t>
      </w:r>
      <w:r w:rsidRPr="004A34F0">
        <w:rPr>
          <w:rFonts w:ascii="Arial" w:hAnsi="Arial" w:cs="Arial"/>
          <w:sz w:val="22"/>
          <w:szCs w:val="22"/>
          <w:highlight w:val="yellow"/>
        </w:rPr>
        <w:t xml:space="preserve"> </w:t>
      </w:r>
      <w:r w:rsidRPr="00A71FE5">
        <w:rPr>
          <w:rFonts w:ascii="Arial" w:hAnsi="Arial" w:cs="Arial"/>
          <w:sz w:val="22"/>
          <w:szCs w:val="22"/>
          <w:highlight w:val="yellow"/>
        </w:rPr>
        <w:t>modifying the orders made by Rares J on 22 October 2010</w:t>
      </w:r>
      <w:r w:rsidRPr="004A34F0">
        <w:rPr>
          <w:rFonts w:ascii="Arial" w:hAnsi="Arial" w:cs="Arial"/>
          <w:sz w:val="22"/>
          <w:szCs w:val="22"/>
          <w:highlight w:val="yellow"/>
        </w:rPr>
        <w:t xml:space="preserve">. </w:t>
      </w:r>
      <w:r w:rsidRPr="00A71FE5">
        <w:rPr>
          <w:rFonts w:ascii="Arial" w:hAnsi="Arial" w:cs="Arial"/>
          <w:sz w:val="22"/>
          <w:szCs w:val="22"/>
          <w:highlight w:val="yellow"/>
        </w:rPr>
        <w:t> </w:t>
      </w:r>
      <w:r w:rsidRPr="004A34F0">
        <w:rPr>
          <w:rFonts w:ascii="Arial" w:hAnsi="Arial" w:cs="Arial"/>
          <w:sz w:val="22"/>
          <w:szCs w:val="22"/>
          <w:highlight w:val="yellow"/>
        </w:rPr>
        <w:t>The Court of appeal upheld the decision of the first instance judge and found that:</w:t>
      </w:r>
    </w:p>
    <w:p w14:paraId="54F99BC1" w14:textId="77777777" w:rsidR="007858AB" w:rsidRPr="004A34F0" w:rsidRDefault="007858AB" w:rsidP="007858AB">
      <w:pPr>
        <w:pStyle w:val="NormalWeb"/>
        <w:shd w:val="clear" w:color="auto" w:fill="FFFFFF"/>
        <w:ind w:left="720"/>
        <w:jc w:val="both"/>
        <w:rPr>
          <w:rFonts w:ascii="Arial" w:hAnsi="Arial" w:cs="Arial"/>
          <w:color w:val="000000"/>
          <w:sz w:val="22"/>
          <w:szCs w:val="22"/>
          <w:highlight w:val="yellow"/>
        </w:rPr>
      </w:pPr>
      <w:r w:rsidRPr="004A34F0">
        <w:rPr>
          <w:rFonts w:ascii="Arial" w:hAnsi="Arial" w:cs="Arial"/>
          <w:color w:val="000000"/>
          <w:sz w:val="22"/>
          <w:szCs w:val="22"/>
          <w:highlight w:val="yellow"/>
        </w:rPr>
        <w:t>“…formal submission of a proof of debt to the insolvency administration will generally be adequate to support a conclusion that the court supervising the administration thereafter has jurisdiction to make orders in matters connected with the administration against the creditor who has proved. Such a conclusion does not, however, answer the question whether, as a matter of law and discretion, a court should not make orders under Art 20.3 and 22.3 to protect local creditors</w:t>
      </w:r>
      <w:proofErr w:type="gramStart"/>
      <w:r w:rsidRPr="004A34F0">
        <w:rPr>
          <w:rFonts w:ascii="Arial" w:hAnsi="Arial" w:cs="Arial"/>
          <w:color w:val="000000"/>
          <w:sz w:val="22"/>
          <w:szCs w:val="22"/>
          <w:highlight w:val="yellow"/>
        </w:rPr>
        <w:t xml:space="preserve"> ..</w:t>
      </w:r>
      <w:proofErr w:type="gramEnd"/>
      <w:r w:rsidRPr="004A34F0">
        <w:rPr>
          <w:rFonts w:ascii="Arial" w:hAnsi="Arial" w:cs="Arial"/>
          <w:color w:val="000000"/>
          <w:sz w:val="22"/>
          <w:szCs w:val="22"/>
          <w:highlight w:val="yellow"/>
        </w:rPr>
        <w:t xml:space="preserve">” </w:t>
      </w:r>
      <w:r w:rsidRPr="004A34F0">
        <w:rPr>
          <w:rStyle w:val="FootnoteReference"/>
          <w:rFonts w:ascii="Arial" w:hAnsi="Arial" w:cs="Arial"/>
          <w:color w:val="000000"/>
          <w:sz w:val="22"/>
          <w:szCs w:val="22"/>
          <w:highlight w:val="yellow"/>
        </w:rPr>
        <w:footnoteReference w:id="6"/>
      </w:r>
      <w:r w:rsidRPr="004A34F0">
        <w:rPr>
          <w:rFonts w:ascii="Arial" w:hAnsi="Arial" w:cs="Arial"/>
          <w:color w:val="000000"/>
          <w:sz w:val="22"/>
          <w:szCs w:val="22"/>
          <w:highlight w:val="yellow"/>
        </w:rPr>
        <w:t xml:space="preserve"> </w:t>
      </w:r>
    </w:p>
    <w:p w14:paraId="06D92F7B" w14:textId="77777777" w:rsidR="007858AB" w:rsidRPr="004A34F0" w:rsidRDefault="007858AB" w:rsidP="007858AB">
      <w:pPr>
        <w:pStyle w:val="NormalWeb"/>
        <w:shd w:val="clear" w:color="auto" w:fill="FFFFFF"/>
        <w:jc w:val="both"/>
        <w:rPr>
          <w:rFonts w:ascii="Arial" w:hAnsi="Arial" w:cs="Arial"/>
          <w:color w:val="000000"/>
          <w:sz w:val="22"/>
          <w:szCs w:val="22"/>
          <w:highlight w:val="yellow"/>
        </w:rPr>
      </w:pPr>
      <w:r w:rsidRPr="004A34F0">
        <w:rPr>
          <w:rFonts w:ascii="Arial" w:hAnsi="Arial" w:cs="Arial"/>
          <w:color w:val="000000"/>
          <w:sz w:val="22"/>
          <w:szCs w:val="22"/>
          <w:highlight w:val="yellow"/>
        </w:rPr>
        <w:t xml:space="preserve">Consequently the Court was of the view that  the interests of the Commissioner, as an unsecured creditor of Saad Investments, was not adequately protected under the 2010 orders, because the 2010 orders would allow the whole amount of Saad Investments remaining Australian assets, of about USD 7 million, to be remitted to the Cayman Islands, as its </w:t>
      </w:r>
      <w:proofErr w:type="spellStart"/>
      <w:r w:rsidRPr="004A34F0">
        <w:rPr>
          <w:rFonts w:ascii="Arial" w:hAnsi="Arial" w:cs="Arial"/>
          <w:color w:val="000000"/>
          <w:sz w:val="22"/>
          <w:szCs w:val="22"/>
          <w:highlight w:val="yellow"/>
        </w:rPr>
        <w:t>centre</w:t>
      </w:r>
      <w:proofErr w:type="spellEnd"/>
      <w:r w:rsidRPr="004A34F0">
        <w:rPr>
          <w:rFonts w:ascii="Arial" w:hAnsi="Arial" w:cs="Arial"/>
          <w:color w:val="000000"/>
          <w:sz w:val="22"/>
          <w:szCs w:val="22"/>
          <w:highlight w:val="yellow"/>
        </w:rPr>
        <w:t xml:space="preserve"> of main interests, where the Commissioner could not prove for any distribution from its estate.  Thus, the Court granted the modification order. </w:t>
      </w:r>
      <w:r w:rsidRPr="004A34F0">
        <w:rPr>
          <w:rFonts w:ascii="Arial" w:hAnsi="Arial" w:cs="Arial"/>
          <w:sz w:val="22"/>
          <w:szCs w:val="22"/>
          <w:highlight w:val="yellow"/>
        </w:rPr>
        <w:t>This decision is thus significant in that it mean where there is recognition in Australia of a foreign main winding up proceeding under the Cross Border Insolvency Regulations 2008 local debts such as tax debts owed to the ATO which are unenforceable in the foreign main proceedings may still be enforceable against the local assets of the company.</w:t>
      </w:r>
    </w:p>
    <w:p w14:paraId="61442314" w14:textId="6ABC6DA4" w:rsidR="007858AB" w:rsidRPr="003C226C" w:rsidRDefault="007858AB" w:rsidP="003C226C">
      <w:pPr>
        <w:pStyle w:val="NormalWeb"/>
        <w:shd w:val="clear" w:color="auto" w:fill="FFFFFF"/>
        <w:jc w:val="both"/>
        <w:rPr>
          <w:rFonts w:ascii="Arial" w:hAnsi="Arial" w:cs="Arial"/>
          <w:sz w:val="22"/>
          <w:szCs w:val="22"/>
          <w:lang w:val="en-GB"/>
        </w:rPr>
      </w:pPr>
      <w:r w:rsidRPr="004A34F0">
        <w:rPr>
          <w:rFonts w:ascii="Arial" w:hAnsi="Arial" w:cs="Arial"/>
          <w:color w:val="000000"/>
          <w:sz w:val="22"/>
          <w:szCs w:val="22"/>
          <w:highlight w:val="yellow"/>
        </w:rPr>
        <w:t xml:space="preserve">Therefore, the ATO should likewise file for a modification order </w:t>
      </w:r>
      <w:r w:rsidR="00526D2F" w:rsidRPr="004A34F0">
        <w:rPr>
          <w:rFonts w:ascii="Arial" w:hAnsi="Arial" w:cs="Arial"/>
          <w:color w:val="000000"/>
          <w:sz w:val="22"/>
          <w:szCs w:val="22"/>
          <w:highlight w:val="yellow"/>
        </w:rPr>
        <w:t>to</w:t>
      </w:r>
      <w:r w:rsidRPr="004A34F0">
        <w:rPr>
          <w:rFonts w:ascii="Arial" w:hAnsi="Arial" w:cs="Arial"/>
          <w:color w:val="000000"/>
          <w:sz w:val="22"/>
          <w:szCs w:val="22"/>
          <w:highlight w:val="yellow"/>
        </w:rPr>
        <w:t xml:space="preserve"> protect its position and claim an interest in </w:t>
      </w:r>
      <w:proofErr w:type="spellStart"/>
      <w:r w:rsidRPr="004A34F0">
        <w:rPr>
          <w:rFonts w:ascii="Arial" w:hAnsi="Arial" w:cs="Arial"/>
          <w:sz w:val="22"/>
          <w:szCs w:val="22"/>
          <w:highlight w:val="yellow"/>
          <w:lang w:val="en-GB"/>
        </w:rPr>
        <w:t>Aussiebee’s</w:t>
      </w:r>
      <w:proofErr w:type="spellEnd"/>
      <w:r w:rsidRPr="004A34F0">
        <w:rPr>
          <w:rFonts w:ascii="Arial" w:hAnsi="Arial" w:cs="Arial"/>
          <w:sz w:val="22"/>
          <w:szCs w:val="22"/>
          <w:highlight w:val="yellow"/>
          <w:lang w:val="en-GB"/>
        </w:rPr>
        <w:t xml:space="preserve"> assets (including </w:t>
      </w:r>
      <w:proofErr w:type="spellStart"/>
      <w:r w:rsidRPr="004A34F0">
        <w:rPr>
          <w:rFonts w:ascii="Arial" w:hAnsi="Arial" w:cs="Arial"/>
          <w:sz w:val="22"/>
          <w:szCs w:val="22"/>
          <w:highlight w:val="yellow"/>
          <w:lang w:val="en-GB"/>
        </w:rPr>
        <w:t>Aussiebee’s</w:t>
      </w:r>
      <w:proofErr w:type="spellEnd"/>
      <w:r w:rsidRPr="004A34F0">
        <w:rPr>
          <w:rFonts w:ascii="Arial" w:hAnsi="Arial" w:cs="Arial"/>
          <w:sz w:val="22"/>
          <w:szCs w:val="22"/>
          <w:highlight w:val="yellow"/>
          <w:lang w:val="en-GB"/>
        </w:rPr>
        <w:t xml:space="preserve"> shares in </w:t>
      </w:r>
      <w:proofErr w:type="spellStart"/>
      <w:r w:rsidRPr="004A34F0">
        <w:rPr>
          <w:rFonts w:ascii="Arial" w:hAnsi="Arial" w:cs="Arial"/>
          <w:sz w:val="22"/>
          <w:szCs w:val="22"/>
          <w:highlight w:val="yellow"/>
          <w:lang w:val="en-GB"/>
        </w:rPr>
        <w:t>NewYums</w:t>
      </w:r>
      <w:proofErr w:type="spellEnd"/>
      <w:r w:rsidRPr="004A34F0">
        <w:rPr>
          <w:rFonts w:ascii="Arial" w:hAnsi="Arial" w:cs="Arial"/>
          <w:sz w:val="22"/>
          <w:szCs w:val="22"/>
          <w:highlight w:val="yellow"/>
          <w:lang w:val="en-GB"/>
        </w:rPr>
        <w:t xml:space="preserve"> which are worth AUD 20 million) for the debt of AUD 12 million.</w:t>
      </w:r>
      <w:r w:rsidRPr="004A34F0">
        <w:rPr>
          <w:rFonts w:ascii="Arial" w:hAnsi="Arial" w:cs="Arial"/>
          <w:sz w:val="22"/>
          <w:szCs w:val="22"/>
          <w:lang w:val="en-GB"/>
        </w:rPr>
        <w:t xml:space="preserve"> </w:t>
      </w:r>
    </w:p>
    <w:bookmarkEnd w:id="12"/>
    <w:p w14:paraId="65F5F5B0" w14:textId="1894AE21" w:rsidR="00E14FED" w:rsidRPr="00B2234F" w:rsidRDefault="00E14FED" w:rsidP="002476AF">
      <w:pPr>
        <w:jc w:val="both"/>
        <w:rPr>
          <w:rFonts w:ascii="Avenir Next" w:hAnsi="Avenir Next" w:cs="Arial"/>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13" w:name="_Hlk141437689"/>
      <w:bookmarkStart w:id="14" w:name="_Hlk60755414"/>
      <w:proofErr w:type="spellStart"/>
      <w:r w:rsidRPr="00B2234F">
        <w:rPr>
          <w:rFonts w:ascii="Avenir Next" w:hAnsi="Avenir Next" w:cs="Arial"/>
          <w:sz w:val="22"/>
          <w:szCs w:val="22"/>
          <w:lang w:val="en-GB"/>
        </w:rPr>
        <w:t>Hy</w:t>
      </w:r>
      <w:r w:rsidR="00E409FC" w:rsidRPr="00B2234F">
        <w:rPr>
          <w:rFonts w:ascii="Avenir Next" w:hAnsi="Avenir Next" w:cs="Arial"/>
          <w:sz w:val="22"/>
          <w:szCs w:val="22"/>
          <w:lang w:val="en-GB"/>
        </w:rPr>
        <w:t>rofine</w:t>
      </w:r>
      <w:proofErr w:type="spellEnd"/>
      <w:r w:rsidR="00E409FC"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t>
      </w:r>
      <w:bookmarkStart w:id="15" w:name="_Hlk141437662"/>
      <w:bookmarkEnd w:id="13"/>
      <w:r w:rsidR="0031579E" w:rsidRPr="00B2234F">
        <w:rPr>
          <w:rFonts w:ascii="Avenir Next" w:hAnsi="Avenir Next" w:cs="Arial"/>
          <w:sz w:val="22"/>
          <w:szCs w:val="22"/>
          <w:lang w:val="en-GB"/>
        </w:rPr>
        <w:t xml:space="preserve">waste oil from electric substations in Australia and selling the re-refined oil. </w:t>
      </w:r>
      <w:proofErr w:type="gramStart"/>
      <w:r w:rsidR="00533704" w:rsidRPr="00B2234F">
        <w:rPr>
          <w:rFonts w:ascii="Avenir Next" w:hAnsi="Avenir Next" w:cs="Arial"/>
          <w:sz w:val="22"/>
          <w:szCs w:val="22"/>
          <w:lang w:val="en-GB"/>
        </w:rPr>
        <w:t>All of</w:t>
      </w:r>
      <w:proofErr w:type="gramEnd"/>
      <w:r w:rsidR="00533704" w:rsidRPr="00B2234F">
        <w:rPr>
          <w:rFonts w:ascii="Avenir Next" w:hAnsi="Avenir Next" w:cs="Arial"/>
          <w:sz w:val="22"/>
          <w:szCs w:val="22"/>
          <w:lang w:val="en-GB"/>
        </w:rPr>
        <w:t xml:space="preserve"> the shares in HA are owned by HA’s parent company, </w:t>
      </w:r>
      <w:proofErr w:type="spellStart"/>
      <w:r w:rsidR="00533704" w:rsidRPr="00B2234F">
        <w:rPr>
          <w:rFonts w:ascii="Avenir Next" w:hAnsi="Avenir Next" w:cs="Arial"/>
          <w:sz w:val="22"/>
          <w:szCs w:val="22"/>
          <w:lang w:val="en-GB"/>
        </w:rPr>
        <w:t>Hyrofine</w:t>
      </w:r>
      <w:proofErr w:type="spellEnd"/>
      <w:r w:rsidR="00533704" w:rsidRPr="00B2234F">
        <w:rPr>
          <w:rFonts w:ascii="Avenir Next" w:hAnsi="Avenir Next" w:cs="Arial"/>
          <w:sz w:val="22"/>
          <w:szCs w:val="22"/>
          <w:lang w:val="en-GB"/>
        </w:rPr>
        <w:t xml:space="preserv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w:t>
      </w:r>
      <w:proofErr w:type="gramStart"/>
      <w:r w:rsidR="00176286" w:rsidRPr="00B2234F">
        <w:rPr>
          <w:rFonts w:ascii="Avenir Next" w:hAnsi="Avenir Next" w:cs="Arial"/>
          <w:sz w:val="22"/>
          <w:szCs w:val="22"/>
          <w:lang w:val="en-GB"/>
        </w:rPr>
        <w:t>directors</w:t>
      </w:r>
      <w:proofErr w:type="gramEnd"/>
      <w:r w:rsidR="00176286" w:rsidRPr="00B2234F">
        <w:rPr>
          <w:rFonts w:ascii="Avenir Next" w:hAnsi="Avenir Next" w:cs="Arial"/>
          <w:sz w:val="22"/>
          <w:szCs w:val="22"/>
          <w:lang w:val="en-GB"/>
        </w:rPr>
        <w:t xml:space="preserve">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proofErr w:type="gramStart"/>
      <w:r w:rsidR="00FC7249" w:rsidRPr="00B2234F">
        <w:rPr>
          <w:rFonts w:ascii="Avenir Next" w:hAnsi="Avenir Next" w:cs="Arial"/>
          <w:sz w:val="22"/>
          <w:szCs w:val="22"/>
          <w:lang w:val="en-GB"/>
        </w:rPr>
        <w:t>unprofitable</w:t>
      </w:r>
      <w:proofErr w:type="gramEnd"/>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5D78160E"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sidR="00BC5A60" w:rsidRPr="00B2234F">
        <w:rPr>
          <w:rFonts w:ascii="Avenir Next" w:hAnsi="Avenir Next" w:cs="Arial"/>
          <w:sz w:val="22"/>
          <w:szCs w:val="22"/>
          <w:lang w:val="en-GB"/>
        </w:rPr>
        <w:t>HGL</w:t>
      </w:r>
      <w:r w:rsidR="00FA0CE9" w:rsidRPr="00B2234F">
        <w:rPr>
          <w:rFonts w:ascii="Avenir Next" w:hAnsi="Avenir Next" w:cs="Arial"/>
          <w:sz w:val="22"/>
          <w:szCs w:val="22"/>
          <w:lang w:val="en-GB"/>
        </w:rPr>
        <w:t xml:space="preserve"> as an unsecured loan for </w:t>
      </w:r>
      <w:r w:rsidR="001316B3" w:rsidRPr="00B2234F">
        <w:rPr>
          <w:rFonts w:ascii="Avenir Next" w:hAnsi="Avenir Next" w:cs="Arial"/>
          <w:sz w:val="22"/>
          <w:szCs w:val="22"/>
          <w:lang w:val="en-GB"/>
        </w:rPr>
        <w:t xml:space="preserve">AUD </w:t>
      </w:r>
      <w:r w:rsidR="00FA0CE9" w:rsidRPr="00B2234F">
        <w:rPr>
          <w:rFonts w:ascii="Avenir Next" w:hAnsi="Avenir Next" w:cs="Arial"/>
          <w:sz w:val="22"/>
          <w:szCs w:val="22"/>
          <w:lang w:val="en-GB"/>
        </w:rPr>
        <w:t>30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proofErr w:type="gramStart"/>
      <w:r w:rsidR="00FA0CE9" w:rsidRPr="00B2234F">
        <w:rPr>
          <w:rFonts w:ascii="Avenir Next" w:hAnsi="Avenir Next" w:cs="Arial"/>
          <w:sz w:val="22"/>
          <w:szCs w:val="22"/>
          <w:lang w:val="en-GB"/>
        </w:rPr>
        <w:t>enters into</w:t>
      </w:r>
      <w:proofErr w:type="gramEnd"/>
      <w:r w:rsidR="00FA0CE9" w:rsidRPr="00B2234F">
        <w:rPr>
          <w:rFonts w:ascii="Avenir Next" w:hAnsi="Avenir Next" w:cs="Arial"/>
          <w:sz w:val="22"/>
          <w:szCs w:val="22"/>
          <w:lang w:val="en-GB"/>
        </w:rPr>
        <w:t xml:space="preserve">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lastRenderedPageBreak/>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w:t>
      </w:r>
      <w:proofErr w:type="gramStart"/>
      <w:r w:rsidRPr="00B2234F">
        <w:rPr>
          <w:rFonts w:ascii="Avenir Next" w:hAnsi="Avenir Next" w:cs="Arial"/>
          <w:sz w:val="22"/>
          <w:szCs w:val="22"/>
          <w:lang w:val="en-GB"/>
        </w:rPr>
        <w:t xml:space="preserve">in </w:t>
      </w:r>
      <w:r w:rsidR="00FC7249" w:rsidRPr="00B2234F">
        <w:rPr>
          <w:rFonts w:ascii="Avenir Next" w:hAnsi="Avenir Next" w:cs="Arial"/>
          <w:sz w:val="22"/>
          <w:szCs w:val="22"/>
          <w:lang w:val="en-GB"/>
        </w:rPr>
        <w:t>light of</w:t>
      </w:r>
      <w:proofErr w:type="gramEnd"/>
      <w:r w:rsidR="00FC7249" w:rsidRPr="00B2234F">
        <w:rPr>
          <w:rFonts w:ascii="Avenir Next" w:hAnsi="Avenir Next" w:cs="Arial"/>
          <w:sz w:val="22"/>
          <w:szCs w:val="22"/>
          <w:lang w:val="en-GB"/>
        </w:rPr>
        <w:t xml:space="preserve"> the facts set out above?</w:t>
      </w:r>
    </w:p>
    <w:p w14:paraId="0B429D70" w14:textId="159E8D2F" w:rsidR="008420F8" w:rsidRDefault="008420F8" w:rsidP="00FC7249">
      <w:pPr>
        <w:jc w:val="both"/>
        <w:rPr>
          <w:rFonts w:ascii="Avenir Next" w:hAnsi="Avenir Next" w:cs="Arial"/>
          <w:sz w:val="22"/>
          <w:szCs w:val="22"/>
          <w:lang w:val="en-GB"/>
        </w:rPr>
      </w:pPr>
    </w:p>
    <w:bookmarkEnd w:id="15"/>
    <w:p w14:paraId="5DB5EC4F" w14:textId="77777777" w:rsidR="00E47156" w:rsidRPr="00C20061" w:rsidRDefault="00E47156" w:rsidP="00E47156">
      <w:pPr>
        <w:jc w:val="both"/>
        <w:rPr>
          <w:rFonts w:ascii="Arial" w:hAnsi="Arial" w:cs="Arial"/>
          <w:sz w:val="22"/>
          <w:szCs w:val="22"/>
        </w:rPr>
      </w:pPr>
    </w:p>
    <w:p w14:paraId="27376FC3" w14:textId="77777777" w:rsidR="00E47156" w:rsidRPr="00526D2F" w:rsidRDefault="00E47156" w:rsidP="00676E8A">
      <w:pPr>
        <w:jc w:val="both"/>
        <w:rPr>
          <w:rFonts w:ascii="Arial" w:hAnsi="Arial" w:cs="Arial"/>
          <w:sz w:val="22"/>
          <w:szCs w:val="22"/>
          <w:highlight w:val="yellow"/>
        </w:rPr>
      </w:pPr>
      <w:r w:rsidRPr="00526D2F">
        <w:rPr>
          <w:rFonts w:ascii="Arial" w:hAnsi="Arial" w:cs="Arial"/>
          <w:sz w:val="22"/>
          <w:szCs w:val="22"/>
          <w:highlight w:val="yellow"/>
        </w:rPr>
        <w:t xml:space="preserve">Based on the facts outlined above HA is insolvent and therefore the Board should inform the shareholders of this and make urgent suggestions on how to pay creditors, rescue the business or cause it to be wound up.  </w:t>
      </w:r>
    </w:p>
    <w:p w14:paraId="14C7563F" w14:textId="77777777" w:rsidR="00E47156" w:rsidRPr="00526D2F" w:rsidRDefault="00E47156" w:rsidP="00676E8A">
      <w:pPr>
        <w:jc w:val="both"/>
        <w:rPr>
          <w:rFonts w:ascii="Arial" w:hAnsi="Arial" w:cs="Arial"/>
          <w:sz w:val="22"/>
          <w:szCs w:val="22"/>
          <w:highlight w:val="yellow"/>
        </w:rPr>
      </w:pPr>
    </w:p>
    <w:p w14:paraId="3E447086" w14:textId="459795B8" w:rsidR="00E47156" w:rsidRPr="00526D2F" w:rsidRDefault="00E47156" w:rsidP="00676E8A">
      <w:pPr>
        <w:jc w:val="both"/>
        <w:rPr>
          <w:rFonts w:ascii="Arial" w:hAnsi="Arial" w:cs="Arial"/>
          <w:sz w:val="22"/>
          <w:szCs w:val="22"/>
          <w:highlight w:val="yellow"/>
          <w:lang w:val="en-GB"/>
        </w:rPr>
      </w:pPr>
      <w:r w:rsidRPr="00526D2F">
        <w:rPr>
          <w:rFonts w:ascii="Arial" w:hAnsi="Arial" w:cs="Arial"/>
          <w:sz w:val="22"/>
          <w:szCs w:val="22"/>
          <w:highlight w:val="yellow"/>
        </w:rPr>
        <w:t xml:space="preserve">Since </w:t>
      </w:r>
      <w:r w:rsidRPr="00526D2F">
        <w:rPr>
          <w:rFonts w:ascii="Arial" w:hAnsi="Arial" w:cs="Arial"/>
          <w:sz w:val="22"/>
          <w:szCs w:val="22"/>
          <w:highlight w:val="yellow"/>
          <w:lang w:val="en-GB"/>
        </w:rPr>
        <w:t xml:space="preserve">a competitor has recently approached HA with an attractive offer to purchase the Perth re-refining plant the Board can seek to place the company under </w:t>
      </w:r>
      <w:r w:rsidR="00C5129B">
        <w:rPr>
          <w:rFonts w:ascii="Arial" w:hAnsi="Arial" w:cs="Arial"/>
          <w:sz w:val="22"/>
          <w:szCs w:val="22"/>
          <w:highlight w:val="yellow"/>
          <w:lang w:val="en-GB"/>
        </w:rPr>
        <w:t>v</w:t>
      </w:r>
      <w:r w:rsidRPr="00526D2F">
        <w:rPr>
          <w:rFonts w:ascii="Arial" w:hAnsi="Arial" w:cs="Arial"/>
          <w:sz w:val="22"/>
          <w:szCs w:val="22"/>
          <w:highlight w:val="yellow"/>
          <w:lang w:val="en-GB"/>
        </w:rPr>
        <w:t xml:space="preserve">oluntary administration. </w:t>
      </w:r>
    </w:p>
    <w:p w14:paraId="629DA303" w14:textId="303C8BC0" w:rsidR="00E47156" w:rsidRPr="00526D2F" w:rsidRDefault="00E47156" w:rsidP="00676E8A">
      <w:pPr>
        <w:jc w:val="both"/>
        <w:rPr>
          <w:rFonts w:ascii="Arial" w:hAnsi="Arial" w:cs="Arial"/>
          <w:sz w:val="22"/>
          <w:szCs w:val="22"/>
          <w:highlight w:val="yellow"/>
          <w:lang w:val="en-GB"/>
        </w:rPr>
      </w:pPr>
      <w:r w:rsidRPr="00526D2F">
        <w:rPr>
          <w:rFonts w:ascii="Arial" w:hAnsi="Arial" w:cs="Arial"/>
          <w:sz w:val="22"/>
          <w:szCs w:val="22"/>
          <w:highlight w:val="yellow"/>
          <w:lang w:val="en-GB"/>
        </w:rPr>
        <w:t xml:space="preserve">By using the voluntary administration procedure as a mechanism of business rescue the Board sell the Perth refining plant as a going concern sale to the competitor. The </w:t>
      </w:r>
      <w:r w:rsidR="00C5129B">
        <w:rPr>
          <w:rFonts w:ascii="Arial" w:hAnsi="Arial" w:cs="Arial"/>
          <w:sz w:val="22"/>
          <w:szCs w:val="22"/>
          <w:highlight w:val="yellow"/>
          <w:lang w:val="en-GB"/>
        </w:rPr>
        <w:t>v</w:t>
      </w:r>
      <w:r w:rsidRPr="00526D2F">
        <w:rPr>
          <w:rFonts w:ascii="Arial" w:hAnsi="Arial" w:cs="Arial"/>
          <w:sz w:val="22"/>
          <w:szCs w:val="22"/>
          <w:highlight w:val="yellow"/>
          <w:lang w:val="en-GB"/>
        </w:rPr>
        <w:t xml:space="preserve">oluntary administrator can be appointed by a resolution of the company’s directors, who are of the view that the company is insolvent or is likely to become insolvent at a future date.  Upon assuming the role, the voluntary administrator will take control of the business, property and affairs and is entitled exercise or perform the powers of behalf of HA which may include disposing of the assets or carrying on the business pursuant to s. 437 A of the Corporations Act. The voluntary administrator may also issue recommendations to creditors of HA as to how they should vote with reference to HA’s future. </w:t>
      </w:r>
    </w:p>
    <w:p w14:paraId="54839E3A" w14:textId="77777777" w:rsidR="00E47156" w:rsidRPr="00526D2F" w:rsidRDefault="00E47156" w:rsidP="00676E8A">
      <w:pPr>
        <w:jc w:val="both"/>
        <w:rPr>
          <w:rFonts w:ascii="Arial" w:hAnsi="Arial" w:cs="Arial"/>
          <w:sz w:val="22"/>
          <w:szCs w:val="22"/>
          <w:highlight w:val="yellow"/>
          <w:lang w:val="en-GB"/>
        </w:rPr>
      </w:pPr>
    </w:p>
    <w:p w14:paraId="585A05BD" w14:textId="77777777" w:rsidR="00E47156" w:rsidRPr="00526D2F" w:rsidRDefault="00E47156" w:rsidP="00676E8A">
      <w:pPr>
        <w:jc w:val="both"/>
        <w:rPr>
          <w:rFonts w:ascii="Arial" w:hAnsi="Arial" w:cs="Arial"/>
          <w:sz w:val="22"/>
          <w:szCs w:val="22"/>
          <w:highlight w:val="yellow"/>
        </w:rPr>
      </w:pPr>
      <w:r w:rsidRPr="00526D2F">
        <w:rPr>
          <w:rFonts w:ascii="Arial" w:hAnsi="Arial" w:cs="Arial"/>
          <w:sz w:val="22"/>
          <w:szCs w:val="22"/>
          <w:highlight w:val="yellow"/>
          <w:lang w:val="en-GB"/>
        </w:rPr>
        <w:t xml:space="preserve">A </w:t>
      </w:r>
      <w:r w:rsidRPr="00526D2F">
        <w:rPr>
          <w:rFonts w:ascii="Arial" w:hAnsi="Arial" w:cs="Arial"/>
          <w:sz w:val="22"/>
          <w:szCs w:val="22"/>
          <w:highlight w:val="yellow"/>
        </w:rPr>
        <w:t xml:space="preserve">voluntary administration may resolve the issues surrounding HA’s future quicker. An independent registered liquidator (the voluntary administrator) is appointed by the director(s) to take full control of the company. This gives the director or third-party, usually in consultation with the voluntary administrator, time to find a way to save the company or the company’s business, if possible. The director(s) will need to obtain the written consent of a registered liquidator to act as voluntary administrator before they can make the appointment. Further no creditor, whether secured or unsecured, can enforce their rights during the voluntary administration except with the leave of the Court or consent of the voluntary administrator. Thus, </w:t>
      </w:r>
      <w:r w:rsidRPr="00526D2F">
        <w:rPr>
          <w:rFonts w:ascii="Arial" w:hAnsi="Arial" w:cs="Arial"/>
          <w:sz w:val="22"/>
          <w:szCs w:val="22"/>
          <w:highlight w:val="yellow"/>
          <w:lang w:val="en-GB"/>
        </w:rPr>
        <w:t xml:space="preserve">Best Oil Refining Pty Ltd (BOR) cannot enforce the judgment (of damages in the sum of AUD 4.6 million) which was obtained against HA in the Supreme Court of New South Wales whilst HA is in voluntary administration except if enforcement proceedings/action is began before the commencement of the voluntary administration.  </w:t>
      </w:r>
    </w:p>
    <w:p w14:paraId="109B085E" w14:textId="763D7B71" w:rsidR="00E47156" w:rsidRPr="00526D2F" w:rsidRDefault="00E47156" w:rsidP="00676E8A">
      <w:pPr>
        <w:pStyle w:val="NormalWeb"/>
        <w:shd w:val="clear" w:color="auto" w:fill="FFFFFF"/>
        <w:jc w:val="both"/>
        <w:rPr>
          <w:rFonts w:ascii="Arial" w:hAnsi="Arial" w:cs="Arial"/>
          <w:sz w:val="22"/>
          <w:szCs w:val="22"/>
          <w:highlight w:val="yellow"/>
        </w:rPr>
      </w:pPr>
      <w:r w:rsidRPr="00526D2F">
        <w:rPr>
          <w:rFonts w:ascii="Arial" w:hAnsi="Arial" w:cs="Arial"/>
          <w:sz w:val="22"/>
          <w:szCs w:val="22"/>
          <w:highlight w:val="yellow"/>
        </w:rPr>
        <w:t xml:space="preserve">The voluntary administrator will convene a first meeting with the creditors of the company within 8 business days of appointment where the creditors may remove and replace the </w:t>
      </w:r>
      <w:r w:rsidRPr="00526D2F">
        <w:rPr>
          <w:rFonts w:ascii="Arial" w:hAnsi="Arial" w:cs="Arial"/>
          <w:sz w:val="22"/>
          <w:szCs w:val="22"/>
          <w:highlight w:val="yellow"/>
        </w:rPr>
        <w:lastRenderedPageBreak/>
        <w:t xml:space="preserve">selected administrator or appoint a committee of inspection which will represent the creditors interests in dealing with the administrator.  There will be a second meeting with the creditors which is usually held within 25 days but may be adjourned to 45 days if </w:t>
      </w:r>
      <w:r w:rsidR="00C5129B" w:rsidRPr="00526D2F">
        <w:rPr>
          <w:rFonts w:ascii="Arial" w:hAnsi="Arial" w:cs="Arial"/>
          <w:sz w:val="22"/>
          <w:szCs w:val="22"/>
          <w:highlight w:val="yellow"/>
        </w:rPr>
        <w:t>so,</w:t>
      </w:r>
      <w:r w:rsidRPr="00526D2F">
        <w:rPr>
          <w:rFonts w:ascii="Arial" w:hAnsi="Arial" w:cs="Arial"/>
          <w:sz w:val="22"/>
          <w:szCs w:val="22"/>
          <w:highlight w:val="yellow"/>
        </w:rPr>
        <w:t xml:space="preserve"> resolved by the creditors. This period can also be extended by the Court if necessary.  The voluntary administrator when convening the second meeting will provide the creditors with a report on the company’s affairs, financial and property; whether  it would be in the creditors interest that HA should be returned to the directors, whether a Deed of Company Arrangement  (DOCA) should be executed  or whether the company should be placed into immediate liquidation and whether there any voidable dispositions have been made which can be recovered. </w:t>
      </w:r>
    </w:p>
    <w:p w14:paraId="269CB66C" w14:textId="77777777" w:rsidR="00E47156" w:rsidRPr="00526D2F" w:rsidRDefault="00E47156" w:rsidP="00676E8A">
      <w:pPr>
        <w:pStyle w:val="NormalWeb"/>
        <w:shd w:val="clear" w:color="auto" w:fill="FFFFFF"/>
        <w:jc w:val="both"/>
        <w:rPr>
          <w:rFonts w:ascii="Arial" w:hAnsi="Arial" w:cs="Arial"/>
          <w:sz w:val="22"/>
          <w:szCs w:val="22"/>
          <w:highlight w:val="yellow"/>
        </w:rPr>
      </w:pPr>
      <w:r w:rsidRPr="00526D2F">
        <w:rPr>
          <w:rFonts w:ascii="Arial" w:hAnsi="Arial" w:cs="Arial"/>
          <w:sz w:val="22"/>
          <w:szCs w:val="22"/>
          <w:highlight w:val="yellow"/>
        </w:rPr>
        <w:t>If resolved/ voted by the creditors that the route of DOCA be explored this can cover a broad range of issues which can include:</w:t>
      </w:r>
    </w:p>
    <w:p w14:paraId="650F1085" w14:textId="77777777" w:rsidR="00E47156" w:rsidRPr="00526D2F" w:rsidRDefault="00E47156" w:rsidP="00676E8A">
      <w:pPr>
        <w:pStyle w:val="NormalWeb"/>
        <w:numPr>
          <w:ilvl w:val="0"/>
          <w:numId w:val="36"/>
        </w:numPr>
        <w:shd w:val="clear" w:color="auto" w:fill="FFFFFF"/>
        <w:jc w:val="both"/>
        <w:rPr>
          <w:rFonts w:ascii="Arial" w:hAnsi="Arial" w:cs="Arial"/>
          <w:sz w:val="22"/>
          <w:szCs w:val="22"/>
          <w:highlight w:val="yellow"/>
        </w:rPr>
      </w:pPr>
      <w:r w:rsidRPr="00526D2F">
        <w:rPr>
          <w:rFonts w:ascii="Arial" w:hAnsi="Arial" w:cs="Arial"/>
          <w:sz w:val="22"/>
          <w:szCs w:val="22"/>
          <w:highlight w:val="yellow"/>
        </w:rPr>
        <w:t xml:space="preserve">The property available </w:t>
      </w:r>
      <w:proofErr w:type="gramStart"/>
      <w:r w:rsidRPr="00526D2F">
        <w:rPr>
          <w:rFonts w:ascii="Arial" w:hAnsi="Arial" w:cs="Arial"/>
          <w:sz w:val="22"/>
          <w:szCs w:val="22"/>
          <w:highlight w:val="yellow"/>
        </w:rPr>
        <w:t>to meet</w:t>
      </w:r>
      <w:proofErr w:type="gramEnd"/>
      <w:r w:rsidRPr="00526D2F">
        <w:rPr>
          <w:rFonts w:ascii="Arial" w:hAnsi="Arial" w:cs="Arial"/>
          <w:sz w:val="22"/>
          <w:szCs w:val="22"/>
          <w:highlight w:val="yellow"/>
        </w:rPr>
        <w:t xml:space="preserve"> the creditors claim.</w:t>
      </w:r>
    </w:p>
    <w:p w14:paraId="0DF99C81" w14:textId="77777777" w:rsidR="00E47156" w:rsidRPr="00526D2F" w:rsidRDefault="00E47156" w:rsidP="00676E8A">
      <w:pPr>
        <w:pStyle w:val="NormalWeb"/>
        <w:numPr>
          <w:ilvl w:val="0"/>
          <w:numId w:val="36"/>
        </w:numPr>
        <w:shd w:val="clear" w:color="auto" w:fill="FFFFFF"/>
        <w:jc w:val="both"/>
        <w:rPr>
          <w:rFonts w:ascii="Arial" w:hAnsi="Arial" w:cs="Arial"/>
          <w:sz w:val="22"/>
          <w:szCs w:val="22"/>
          <w:highlight w:val="yellow"/>
        </w:rPr>
      </w:pPr>
      <w:r w:rsidRPr="00526D2F">
        <w:rPr>
          <w:rFonts w:ascii="Arial" w:hAnsi="Arial" w:cs="Arial"/>
          <w:sz w:val="22"/>
          <w:szCs w:val="22"/>
          <w:highlight w:val="yellow"/>
        </w:rPr>
        <w:t>The extent to which the company will be released from the debts</w:t>
      </w:r>
    </w:p>
    <w:p w14:paraId="3BF5C0B4" w14:textId="77777777" w:rsidR="00E47156" w:rsidRPr="00526D2F" w:rsidRDefault="00E47156" w:rsidP="00676E8A">
      <w:pPr>
        <w:pStyle w:val="NormalWeb"/>
        <w:numPr>
          <w:ilvl w:val="0"/>
          <w:numId w:val="36"/>
        </w:numPr>
        <w:shd w:val="clear" w:color="auto" w:fill="FFFFFF"/>
        <w:jc w:val="both"/>
        <w:rPr>
          <w:rFonts w:ascii="Arial" w:hAnsi="Arial" w:cs="Arial"/>
          <w:sz w:val="22"/>
          <w:szCs w:val="22"/>
          <w:highlight w:val="yellow"/>
        </w:rPr>
      </w:pPr>
      <w:r w:rsidRPr="00526D2F">
        <w:rPr>
          <w:rFonts w:ascii="Arial" w:hAnsi="Arial" w:cs="Arial"/>
          <w:sz w:val="22"/>
          <w:szCs w:val="22"/>
          <w:highlight w:val="yellow"/>
        </w:rPr>
        <w:t xml:space="preserve">The terms of the moratorium on the enforcement of </w:t>
      </w:r>
      <w:proofErr w:type="spellStart"/>
      <w:r w:rsidRPr="00526D2F">
        <w:rPr>
          <w:rFonts w:ascii="Arial" w:hAnsi="Arial" w:cs="Arial"/>
          <w:sz w:val="22"/>
          <w:szCs w:val="22"/>
          <w:highlight w:val="yellow"/>
        </w:rPr>
        <w:t>creditors</w:t>
      </w:r>
      <w:proofErr w:type="spellEnd"/>
      <w:r w:rsidRPr="00526D2F">
        <w:rPr>
          <w:rFonts w:ascii="Arial" w:hAnsi="Arial" w:cs="Arial"/>
          <w:sz w:val="22"/>
          <w:szCs w:val="22"/>
          <w:highlight w:val="yellow"/>
        </w:rPr>
        <w:t xml:space="preserve"> claims. </w:t>
      </w:r>
      <w:proofErr w:type="gramStart"/>
      <w:r w:rsidRPr="00526D2F">
        <w:rPr>
          <w:rFonts w:ascii="Arial" w:hAnsi="Arial" w:cs="Arial"/>
          <w:sz w:val="22"/>
          <w:szCs w:val="22"/>
          <w:highlight w:val="yellow"/>
        </w:rPr>
        <w:t>Etc..</w:t>
      </w:r>
      <w:proofErr w:type="gramEnd"/>
    </w:p>
    <w:p w14:paraId="5DEE89F0" w14:textId="77777777" w:rsidR="00E47156" w:rsidRPr="00526D2F" w:rsidRDefault="00E47156" w:rsidP="00676E8A">
      <w:pPr>
        <w:shd w:val="clear" w:color="auto" w:fill="FFFFFF"/>
        <w:spacing w:before="100" w:beforeAutospacing="1" w:after="100" w:afterAutospacing="1"/>
        <w:jc w:val="both"/>
        <w:rPr>
          <w:rFonts w:ascii="Arial" w:hAnsi="Arial" w:cs="Arial"/>
          <w:sz w:val="22"/>
          <w:szCs w:val="22"/>
          <w:highlight w:val="yellow"/>
        </w:rPr>
      </w:pPr>
      <w:r w:rsidRPr="00526D2F">
        <w:rPr>
          <w:rFonts w:ascii="Arial" w:hAnsi="Arial" w:cs="Arial"/>
          <w:sz w:val="22"/>
          <w:szCs w:val="22"/>
          <w:highlight w:val="yellow"/>
        </w:rPr>
        <w:t>The Australia securities commission states that “</w:t>
      </w:r>
    </w:p>
    <w:p w14:paraId="232EA025" w14:textId="77777777" w:rsidR="00E47156" w:rsidRPr="00526D2F" w:rsidRDefault="00E47156" w:rsidP="00676E8A">
      <w:pPr>
        <w:shd w:val="clear" w:color="auto" w:fill="FFFFFF"/>
        <w:spacing w:before="100" w:beforeAutospacing="1" w:after="100" w:afterAutospacing="1"/>
        <w:ind w:left="360"/>
        <w:jc w:val="both"/>
        <w:rPr>
          <w:rFonts w:ascii="Arial" w:hAnsi="Arial" w:cs="Arial"/>
          <w:sz w:val="22"/>
          <w:szCs w:val="22"/>
          <w:highlight w:val="yellow"/>
        </w:rPr>
      </w:pPr>
      <w:r w:rsidRPr="00526D2F">
        <w:rPr>
          <w:rFonts w:ascii="Arial" w:hAnsi="Arial" w:cs="Arial"/>
          <w:sz w:val="22"/>
          <w:szCs w:val="22"/>
          <w:highlight w:val="yellow"/>
        </w:rPr>
        <w:t>A deed of company arrangement (DOCA) is a binding arrangement between a company and its creditors governing how the company’s affairs will be dealt with — and is agreed to after the company enters voluntary administration. The DOCA is generally proposed by the director (or any third party) and is administered by a deed administrator (usually the registered liquidator who was the voluntary administrator). The DOCA aims to:</w:t>
      </w:r>
    </w:p>
    <w:p w14:paraId="4EC26AC1" w14:textId="77777777" w:rsidR="00E47156" w:rsidRPr="00526D2F" w:rsidRDefault="00E47156" w:rsidP="00676E8A">
      <w:pPr>
        <w:numPr>
          <w:ilvl w:val="0"/>
          <w:numId w:val="35"/>
        </w:numPr>
        <w:shd w:val="clear" w:color="auto" w:fill="FFFFFF"/>
        <w:spacing w:before="100" w:beforeAutospacing="1" w:after="100" w:afterAutospacing="1"/>
        <w:jc w:val="both"/>
        <w:rPr>
          <w:rFonts w:ascii="Arial" w:hAnsi="Arial" w:cs="Arial"/>
          <w:sz w:val="22"/>
          <w:szCs w:val="22"/>
          <w:highlight w:val="yellow"/>
        </w:rPr>
      </w:pPr>
      <w:proofErr w:type="spellStart"/>
      <w:r w:rsidRPr="00526D2F">
        <w:rPr>
          <w:rFonts w:ascii="Arial" w:hAnsi="Arial" w:cs="Arial"/>
          <w:sz w:val="22"/>
          <w:szCs w:val="22"/>
          <w:highlight w:val="yellow"/>
        </w:rPr>
        <w:t>maximise</w:t>
      </w:r>
      <w:proofErr w:type="spellEnd"/>
      <w:r w:rsidRPr="00526D2F">
        <w:rPr>
          <w:rFonts w:ascii="Arial" w:hAnsi="Arial" w:cs="Arial"/>
          <w:sz w:val="22"/>
          <w:szCs w:val="22"/>
          <w:highlight w:val="yellow"/>
        </w:rPr>
        <w:t xml:space="preserve"> the chances of the company, or as much as possible of its business, continuing, and/or</w:t>
      </w:r>
    </w:p>
    <w:p w14:paraId="13865A9D" w14:textId="77777777" w:rsidR="00E47156" w:rsidRPr="00526D2F" w:rsidRDefault="00E47156" w:rsidP="00676E8A">
      <w:pPr>
        <w:numPr>
          <w:ilvl w:val="0"/>
          <w:numId w:val="35"/>
        </w:numPr>
        <w:shd w:val="clear" w:color="auto" w:fill="FFFFFF"/>
        <w:spacing w:before="100" w:beforeAutospacing="1" w:after="100" w:afterAutospacing="1"/>
        <w:jc w:val="both"/>
        <w:rPr>
          <w:rFonts w:ascii="Arial" w:hAnsi="Arial" w:cs="Arial"/>
          <w:sz w:val="22"/>
          <w:szCs w:val="22"/>
          <w:highlight w:val="yellow"/>
        </w:rPr>
      </w:pPr>
      <w:r w:rsidRPr="00526D2F">
        <w:rPr>
          <w:rFonts w:ascii="Arial" w:hAnsi="Arial" w:cs="Arial"/>
          <w:sz w:val="22"/>
          <w:szCs w:val="22"/>
          <w:highlight w:val="yellow"/>
        </w:rPr>
        <w:t>provide a better return for creditors than an immediate winding up of the company.”</w:t>
      </w:r>
      <w:r w:rsidRPr="00526D2F">
        <w:rPr>
          <w:rStyle w:val="FootnoteReference"/>
          <w:rFonts w:ascii="Arial" w:hAnsi="Arial" w:cs="Arial"/>
          <w:sz w:val="22"/>
          <w:szCs w:val="22"/>
          <w:highlight w:val="yellow"/>
        </w:rPr>
        <w:footnoteReference w:id="7"/>
      </w:r>
    </w:p>
    <w:p w14:paraId="244EED1D" w14:textId="4B3D8171" w:rsidR="00E47156" w:rsidRPr="00526D2F" w:rsidRDefault="00E47156" w:rsidP="00676E8A">
      <w:pPr>
        <w:pStyle w:val="NormalWeb"/>
        <w:shd w:val="clear" w:color="auto" w:fill="FFFFFF"/>
        <w:jc w:val="both"/>
        <w:rPr>
          <w:rFonts w:ascii="Arial" w:hAnsi="Arial" w:cs="Arial"/>
          <w:color w:val="253746"/>
          <w:sz w:val="22"/>
          <w:szCs w:val="22"/>
          <w:highlight w:val="yellow"/>
          <w:shd w:val="clear" w:color="auto" w:fill="FFFFFF"/>
        </w:rPr>
      </w:pPr>
      <w:r w:rsidRPr="00526D2F">
        <w:rPr>
          <w:rFonts w:ascii="Arial" w:hAnsi="Arial" w:cs="Arial"/>
          <w:sz w:val="22"/>
          <w:szCs w:val="22"/>
          <w:highlight w:val="yellow"/>
          <w:shd w:val="clear" w:color="auto" w:fill="FFFFFF"/>
        </w:rPr>
        <w:t xml:space="preserve">The DOCA binds all unsecured creditors, even if they voted against the proposal. It also binds owners of property, those who lease property to the company and secured creditors (if they voted in </w:t>
      </w:r>
      <w:proofErr w:type="spellStart"/>
      <w:r w:rsidRPr="00526D2F">
        <w:rPr>
          <w:rFonts w:ascii="Arial" w:hAnsi="Arial" w:cs="Arial"/>
          <w:sz w:val="22"/>
          <w:szCs w:val="22"/>
          <w:highlight w:val="yellow"/>
          <w:shd w:val="clear" w:color="auto" w:fill="FFFFFF"/>
        </w:rPr>
        <w:t>favour</w:t>
      </w:r>
      <w:proofErr w:type="spellEnd"/>
      <w:r w:rsidRPr="00526D2F">
        <w:rPr>
          <w:rFonts w:ascii="Arial" w:hAnsi="Arial" w:cs="Arial"/>
          <w:sz w:val="22"/>
          <w:szCs w:val="22"/>
          <w:highlight w:val="yellow"/>
          <w:shd w:val="clear" w:color="auto" w:fill="FFFFFF"/>
        </w:rPr>
        <w:t xml:space="preserve"> of the deed).  The Court can also make an order restricting the secured </w:t>
      </w:r>
      <w:r w:rsidR="00C5129B" w:rsidRPr="00526D2F">
        <w:rPr>
          <w:rFonts w:ascii="Arial" w:hAnsi="Arial" w:cs="Arial"/>
          <w:sz w:val="22"/>
          <w:szCs w:val="22"/>
          <w:highlight w:val="yellow"/>
          <w:shd w:val="clear" w:color="auto" w:fill="FFFFFF"/>
        </w:rPr>
        <w:t>creditor from</w:t>
      </w:r>
      <w:r w:rsidRPr="00526D2F">
        <w:rPr>
          <w:rFonts w:ascii="Arial" w:hAnsi="Arial" w:cs="Arial"/>
          <w:sz w:val="22"/>
          <w:szCs w:val="22"/>
          <w:highlight w:val="yellow"/>
          <w:shd w:val="clear" w:color="auto" w:fill="FFFFFF"/>
        </w:rPr>
        <w:t xml:space="preserve"> enforcing its interest only if this would prevent a genuinely viable rescue attempt of the Company.  Thus, the court would consider factors such as the total debts of the company </w:t>
      </w:r>
      <w:r w:rsidR="00C5129B" w:rsidRPr="00526D2F">
        <w:rPr>
          <w:rFonts w:ascii="Arial" w:hAnsi="Arial" w:cs="Arial"/>
          <w:sz w:val="22"/>
          <w:szCs w:val="22"/>
          <w:highlight w:val="yellow"/>
          <w:shd w:val="clear" w:color="auto" w:fill="FFFFFF"/>
        </w:rPr>
        <w:t>outweighed</w:t>
      </w:r>
      <w:r w:rsidRPr="00526D2F">
        <w:rPr>
          <w:rFonts w:ascii="Arial" w:hAnsi="Arial" w:cs="Arial"/>
          <w:sz w:val="22"/>
          <w:szCs w:val="22"/>
          <w:highlight w:val="yellow"/>
          <w:shd w:val="clear" w:color="auto" w:fill="FFFFFF"/>
        </w:rPr>
        <w:t xml:space="preserve"> its profits and assets</w:t>
      </w:r>
      <w:r w:rsidRPr="00526D2F">
        <w:rPr>
          <w:rFonts w:ascii="Arial" w:hAnsi="Arial" w:cs="Arial"/>
          <w:color w:val="253746"/>
          <w:sz w:val="22"/>
          <w:szCs w:val="22"/>
          <w:highlight w:val="yellow"/>
          <w:shd w:val="clear" w:color="auto" w:fill="FFFFFF"/>
        </w:rPr>
        <w:t xml:space="preserve">. </w:t>
      </w:r>
    </w:p>
    <w:p w14:paraId="02EB2E3B" w14:textId="77777777" w:rsidR="00E47156" w:rsidRPr="00526D2F" w:rsidRDefault="00E47156" w:rsidP="00676E8A">
      <w:pPr>
        <w:pStyle w:val="NormalWeb"/>
        <w:shd w:val="clear" w:color="auto" w:fill="FFFFFF"/>
        <w:jc w:val="both"/>
        <w:rPr>
          <w:rFonts w:ascii="Arial" w:hAnsi="Arial" w:cs="Arial"/>
          <w:color w:val="253746"/>
          <w:sz w:val="22"/>
          <w:szCs w:val="22"/>
          <w:highlight w:val="yellow"/>
          <w:shd w:val="clear" w:color="auto" w:fill="FFFFFF"/>
        </w:rPr>
      </w:pPr>
      <w:r w:rsidRPr="00526D2F">
        <w:rPr>
          <w:rFonts w:ascii="Arial" w:hAnsi="Arial" w:cs="Arial"/>
          <w:color w:val="253746"/>
          <w:sz w:val="22"/>
          <w:szCs w:val="22"/>
          <w:highlight w:val="yellow"/>
          <w:shd w:val="clear" w:color="auto" w:fill="FFFFFF"/>
        </w:rPr>
        <w:t xml:space="preserve">Alternatively, the creditors at the second meeting of creditors resolve to place HA in liquidation. The company can also be placed into liquidation if the directors believe the company is insolvent and the shareholders resolve to appoint a liquidator.  Due to the amount of the debts listed herein (more than AUD 1 million) the liquidation will follow the normal creditors voluntary liquidation route. </w:t>
      </w:r>
    </w:p>
    <w:p w14:paraId="135945DC" w14:textId="77777777" w:rsidR="00E47156" w:rsidRPr="00526D2F" w:rsidRDefault="00E47156" w:rsidP="00676E8A">
      <w:pPr>
        <w:pStyle w:val="NormalWeb"/>
        <w:shd w:val="clear" w:color="auto" w:fill="FFFFFF"/>
        <w:jc w:val="both"/>
        <w:rPr>
          <w:rFonts w:ascii="Arial" w:hAnsi="Arial" w:cs="Arial"/>
          <w:color w:val="253746"/>
          <w:sz w:val="22"/>
          <w:szCs w:val="22"/>
          <w:highlight w:val="yellow"/>
          <w:shd w:val="clear" w:color="auto" w:fill="FFFFFF"/>
        </w:rPr>
      </w:pPr>
      <w:r w:rsidRPr="00526D2F">
        <w:rPr>
          <w:rFonts w:ascii="Arial" w:hAnsi="Arial" w:cs="Arial"/>
          <w:color w:val="253746"/>
          <w:sz w:val="22"/>
          <w:szCs w:val="22"/>
          <w:highlight w:val="yellow"/>
          <w:shd w:val="clear" w:color="auto" w:fill="FFFFFF"/>
        </w:rPr>
        <w:t>Section 497 of the Corporations Act provides that:</w:t>
      </w:r>
    </w:p>
    <w:p w14:paraId="62D9B3C8" w14:textId="77777777" w:rsidR="00E47156" w:rsidRPr="00526D2F" w:rsidRDefault="00E47156" w:rsidP="00676E8A">
      <w:pPr>
        <w:pStyle w:val="acthead5"/>
        <w:shd w:val="clear" w:color="auto" w:fill="FFFFFF"/>
        <w:spacing w:before="280" w:beforeAutospacing="0" w:after="0" w:afterAutospacing="0"/>
        <w:ind w:left="1134" w:hanging="414"/>
        <w:jc w:val="both"/>
        <w:rPr>
          <w:rFonts w:ascii="Arial" w:hAnsi="Arial" w:cs="Arial"/>
          <w:color w:val="000000"/>
          <w:sz w:val="22"/>
          <w:szCs w:val="22"/>
          <w:highlight w:val="yellow"/>
        </w:rPr>
      </w:pPr>
      <w:bookmarkStart w:id="16" w:name="_Toc13832366"/>
      <w:r w:rsidRPr="00526D2F">
        <w:rPr>
          <w:rStyle w:val="charsectno"/>
          <w:rFonts w:ascii="Arial" w:hAnsi="Arial" w:cs="Arial"/>
          <w:color w:val="000000"/>
          <w:sz w:val="22"/>
          <w:szCs w:val="22"/>
          <w:highlight w:val="yellow"/>
          <w:lang w:val="en-AU"/>
        </w:rPr>
        <w:t>“</w:t>
      </w:r>
      <w:proofErr w:type="gramStart"/>
      <w:r w:rsidRPr="00526D2F">
        <w:rPr>
          <w:rStyle w:val="charsectno"/>
          <w:rFonts w:ascii="Arial" w:hAnsi="Arial" w:cs="Arial"/>
          <w:color w:val="000000"/>
          <w:sz w:val="22"/>
          <w:szCs w:val="22"/>
          <w:highlight w:val="yellow"/>
          <w:lang w:val="en-AU"/>
        </w:rPr>
        <w:t>497</w:t>
      </w:r>
      <w:r w:rsidRPr="00526D2F">
        <w:rPr>
          <w:rFonts w:ascii="Arial" w:hAnsi="Arial" w:cs="Arial"/>
          <w:color w:val="000000"/>
          <w:sz w:val="22"/>
          <w:szCs w:val="22"/>
          <w:highlight w:val="yellow"/>
          <w:lang w:val="en-AU"/>
        </w:rPr>
        <w:t>  Information</w:t>
      </w:r>
      <w:proofErr w:type="gramEnd"/>
      <w:r w:rsidRPr="00526D2F">
        <w:rPr>
          <w:rFonts w:ascii="Arial" w:hAnsi="Arial" w:cs="Arial"/>
          <w:color w:val="000000"/>
          <w:sz w:val="22"/>
          <w:szCs w:val="22"/>
          <w:highlight w:val="yellow"/>
          <w:lang w:val="en-AU"/>
        </w:rPr>
        <w:t xml:space="preserve"> about the company’s affairs</w:t>
      </w:r>
      <w:bookmarkEnd w:id="16"/>
    </w:p>
    <w:p w14:paraId="54D2EC9A" w14:textId="77777777" w:rsidR="00E47156" w:rsidRPr="00526D2F" w:rsidRDefault="00E47156" w:rsidP="00676E8A">
      <w:pPr>
        <w:pStyle w:val="subsection"/>
        <w:shd w:val="clear" w:color="auto" w:fill="FFFFFF"/>
        <w:spacing w:before="180" w:beforeAutospacing="0" w:after="0" w:afterAutospacing="0"/>
        <w:ind w:left="1134" w:hanging="1134"/>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lastRenderedPageBreak/>
        <w:t>            </w:t>
      </w:r>
      <w:r w:rsidRPr="00526D2F">
        <w:rPr>
          <w:rFonts w:ascii="Arial" w:hAnsi="Arial" w:cs="Arial"/>
          <w:color w:val="000000"/>
          <w:sz w:val="22"/>
          <w:szCs w:val="22"/>
          <w:highlight w:val="yellow"/>
          <w:lang w:val="en-AU"/>
        </w:rPr>
        <w:tab/>
        <w:t xml:space="preserve"> (1)  The liquidator of the company must, within 10 business days after the day of the meeting of the company at which the resolution for voluntary winding up is passed:</w:t>
      </w:r>
    </w:p>
    <w:p w14:paraId="3ACBADD5" w14:textId="77777777" w:rsidR="00E47156" w:rsidRPr="00526D2F" w:rsidRDefault="00E47156" w:rsidP="00676E8A">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t>                     (a)  send to each creditor:</w:t>
      </w:r>
    </w:p>
    <w:p w14:paraId="32D88EB5" w14:textId="77777777" w:rsidR="00E47156" w:rsidRPr="00526D2F" w:rsidRDefault="00E47156" w:rsidP="00676E8A">
      <w:pPr>
        <w:pStyle w:val="paragraphsub"/>
        <w:shd w:val="clear" w:color="auto" w:fill="FFFFFF"/>
        <w:spacing w:before="40" w:beforeAutospacing="0" w:after="0" w:afterAutospacing="0"/>
        <w:ind w:left="2098" w:hanging="2098"/>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t>                              (</w:t>
      </w:r>
      <w:proofErr w:type="spellStart"/>
      <w:r w:rsidRPr="00526D2F">
        <w:rPr>
          <w:rFonts w:ascii="Arial" w:hAnsi="Arial" w:cs="Arial"/>
          <w:color w:val="000000"/>
          <w:sz w:val="22"/>
          <w:szCs w:val="22"/>
          <w:highlight w:val="yellow"/>
          <w:lang w:val="en-AU"/>
        </w:rPr>
        <w:t>i</w:t>
      </w:r>
      <w:proofErr w:type="spellEnd"/>
      <w:r w:rsidRPr="00526D2F">
        <w:rPr>
          <w:rFonts w:ascii="Arial" w:hAnsi="Arial" w:cs="Arial"/>
          <w:color w:val="000000"/>
          <w:sz w:val="22"/>
          <w:szCs w:val="22"/>
          <w:highlight w:val="yellow"/>
          <w:lang w:val="en-AU"/>
        </w:rPr>
        <w:t>)  a summary of the affairs of the company in the prescribed form; and</w:t>
      </w:r>
    </w:p>
    <w:p w14:paraId="38E796C9" w14:textId="77777777" w:rsidR="00E47156" w:rsidRPr="00526D2F" w:rsidRDefault="00E47156" w:rsidP="00676E8A">
      <w:pPr>
        <w:pStyle w:val="paragraphsub"/>
        <w:shd w:val="clear" w:color="auto" w:fill="FFFFFF"/>
        <w:spacing w:before="40" w:beforeAutospacing="0" w:after="0" w:afterAutospacing="0"/>
        <w:ind w:left="2098" w:hanging="2098"/>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t>                             (ii)  a list setting out the names of all creditors, the addresses of those creditors and the estimated amounts of their claims, as shown in the records of the company; and</w:t>
      </w:r>
    </w:p>
    <w:p w14:paraId="27907F7A" w14:textId="77777777" w:rsidR="00E47156" w:rsidRPr="00526D2F" w:rsidRDefault="00E47156" w:rsidP="00676E8A">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lang w:val="en-AU"/>
        </w:rPr>
      </w:pPr>
      <w:r w:rsidRPr="00526D2F">
        <w:rPr>
          <w:rFonts w:ascii="Arial" w:hAnsi="Arial" w:cs="Arial"/>
          <w:color w:val="000000"/>
          <w:sz w:val="22"/>
          <w:szCs w:val="22"/>
          <w:highlight w:val="yellow"/>
          <w:lang w:val="en-AU"/>
        </w:rPr>
        <w:t>                     (b)  lodge a copy of the documents sent in accordance with paragraph (a).”</w:t>
      </w:r>
    </w:p>
    <w:p w14:paraId="6D7738B8" w14:textId="77777777" w:rsidR="00E47156" w:rsidRPr="00526D2F" w:rsidRDefault="00E47156" w:rsidP="00676E8A">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lang w:val="en-AU"/>
        </w:rPr>
      </w:pPr>
    </w:p>
    <w:p w14:paraId="1E212A79" w14:textId="77777777" w:rsidR="00C5129B" w:rsidRDefault="00E47156" w:rsidP="00C5129B">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lang w:val="en-AU"/>
        </w:rPr>
      </w:pPr>
      <w:r w:rsidRPr="00526D2F">
        <w:rPr>
          <w:rFonts w:ascii="Arial" w:hAnsi="Arial" w:cs="Arial"/>
          <w:color w:val="000000"/>
          <w:sz w:val="22"/>
          <w:szCs w:val="22"/>
          <w:highlight w:val="yellow"/>
          <w:lang w:val="en-AU"/>
        </w:rPr>
        <w:t xml:space="preserve">When the appointment of the liquidator takes </w:t>
      </w:r>
      <w:r w:rsidR="00C5129B" w:rsidRPr="00526D2F">
        <w:rPr>
          <w:rFonts w:ascii="Arial" w:hAnsi="Arial" w:cs="Arial"/>
          <w:color w:val="000000"/>
          <w:sz w:val="22"/>
          <w:szCs w:val="22"/>
          <w:highlight w:val="yellow"/>
          <w:lang w:val="en-AU"/>
        </w:rPr>
        <w:t>effect,</w:t>
      </w:r>
      <w:r w:rsidRPr="00526D2F">
        <w:rPr>
          <w:rFonts w:ascii="Arial" w:hAnsi="Arial" w:cs="Arial"/>
          <w:color w:val="000000"/>
          <w:sz w:val="22"/>
          <w:szCs w:val="22"/>
          <w:highlight w:val="yellow"/>
          <w:lang w:val="en-AU"/>
        </w:rPr>
        <w:t xml:space="preserve"> the directors remain in office however</w:t>
      </w:r>
      <w:r w:rsidR="00C5129B">
        <w:rPr>
          <w:rFonts w:ascii="Arial" w:hAnsi="Arial" w:cs="Arial"/>
          <w:color w:val="000000"/>
          <w:sz w:val="22"/>
          <w:szCs w:val="22"/>
          <w:highlight w:val="yellow"/>
          <w:lang w:val="en-AU"/>
        </w:rPr>
        <w:t>,</w:t>
      </w:r>
    </w:p>
    <w:p w14:paraId="1F55F9CA" w14:textId="77777777" w:rsidR="00C5129B" w:rsidRDefault="00E47156" w:rsidP="00C5129B">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lang w:val="en-AU"/>
        </w:rPr>
      </w:pPr>
      <w:r w:rsidRPr="00526D2F">
        <w:rPr>
          <w:rFonts w:ascii="Arial" w:hAnsi="Arial" w:cs="Arial"/>
          <w:color w:val="000000"/>
          <w:sz w:val="22"/>
          <w:szCs w:val="22"/>
          <w:highlight w:val="yellow"/>
          <w:lang w:val="en-AU"/>
        </w:rPr>
        <w:t>their</w:t>
      </w:r>
      <w:r w:rsidR="00C5129B">
        <w:rPr>
          <w:rFonts w:ascii="Arial" w:hAnsi="Arial" w:cs="Arial"/>
          <w:color w:val="000000"/>
          <w:sz w:val="22"/>
          <w:szCs w:val="22"/>
          <w:highlight w:val="yellow"/>
          <w:lang w:val="en-AU"/>
        </w:rPr>
        <w:t xml:space="preserve"> </w:t>
      </w:r>
      <w:r w:rsidRPr="00526D2F">
        <w:rPr>
          <w:rFonts w:ascii="Arial" w:hAnsi="Arial" w:cs="Arial"/>
          <w:color w:val="000000"/>
          <w:sz w:val="22"/>
          <w:szCs w:val="22"/>
          <w:highlight w:val="yellow"/>
          <w:lang w:val="en-AU"/>
        </w:rPr>
        <w:t>management powers are suspended.  The liquidator acts as an agent, officer of the</w:t>
      </w:r>
    </w:p>
    <w:p w14:paraId="70D89BBD" w14:textId="405C871C" w:rsidR="00E47156" w:rsidRPr="00526D2F" w:rsidRDefault="00E47156" w:rsidP="00C5129B">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lang w:val="en-AU"/>
        </w:rPr>
      </w:pPr>
      <w:r w:rsidRPr="00526D2F">
        <w:rPr>
          <w:rFonts w:ascii="Arial" w:hAnsi="Arial" w:cs="Arial"/>
          <w:color w:val="000000"/>
          <w:sz w:val="22"/>
          <w:szCs w:val="22"/>
          <w:highlight w:val="yellow"/>
          <w:lang w:val="en-AU"/>
        </w:rPr>
        <w:t xml:space="preserve">company and office of the Court. </w:t>
      </w:r>
      <w:r w:rsidRPr="00526D2F">
        <w:rPr>
          <w:rStyle w:val="FootnoteReference"/>
          <w:rFonts w:ascii="Arial" w:hAnsi="Arial" w:cs="Arial"/>
          <w:color w:val="000000"/>
          <w:sz w:val="22"/>
          <w:szCs w:val="22"/>
          <w:highlight w:val="yellow"/>
          <w:lang w:val="en-AU"/>
        </w:rPr>
        <w:footnoteReference w:id="8"/>
      </w:r>
      <w:r w:rsidRPr="00526D2F">
        <w:rPr>
          <w:rFonts w:ascii="Arial" w:hAnsi="Arial" w:cs="Arial"/>
          <w:color w:val="000000"/>
          <w:sz w:val="22"/>
          <w:szCs w:val="22"/>
          <w:highlight w:val="yellow"/>
          <w:lang w:val="en-AU"/>
        </w:rPr>
        <w:t xml:space="preserve"> The liquidator powers include but are not limited to: </w:t>
      </w:r>
    </w:p>
    <w:p w14:paraId="40DB9CEB" w14:textId="0198D53C" w:rsidR="00E47156" w:rsidRPr="00526D2F" w:rsidRDefault="00E47156" w:rsidP="00C5129B">
      <w:pPr>
        <w:pStyle w:val="paragraph"/>
        <w:numPr>
          <w:ilvl w:val="0"/>
          <w:numId w:val="37"/>
        </w:numPr>
        <w:shd w:val="clear" w:color="auto" w:fill="FFFFFF"/>
        <w:spacing w:before="40" w:beforeAutospacing="0" w:after="0" w:afterAutospacing="0"/>
        <w:jc w:val="both"/>
        <w:rPr>
          <w:rFonts w:ascii="Arial" w:hAnsi="Arial" w:cs="Arial"/>
          <w:color w:val="000000"/>
          <w:sz w:val="22"/>
          <w:szCs w:val="22"/>
          <w:highlight w:val="yellow"/>
          <w:lang w:val="en-AU"/>
        </w:rPr>
      </w:pPr>
      <w:r w:rsidRPr="00526D2F">
        <w:rPr>
          <w:rFonts w:ascii="Arial" w:hAnsi="Arial" w:cs="Arial"/>
          <w:color w:val="000000"/>
          <w:sz w:val="22"/>
          <w:szCs w:val="22"/>
          <w:highlight w:val="yellow"/>
          <w:lang w:val="en-AU"/>
        </w:rPr>
        <w:t xml:space="preserve">obtain and examine the books and records of the company to determine the state of the company’s affairs and </w:t>
      </w:r>
      <w:proofErr w:type="gramStart"/>
      <w:r w:rsidRPr="00526D2F">
        <w:rPr>
          <w:rFonts w:ascii="Arial" w:hAnsi="Arial" w:cs="Arial"/>
          <w:color w:val="000000"/>
          <w:sz w:val="22"/>
          <w:szCs w:val="22"/>
          <w:highlight w:val="yellow"/>
          <w:lang w:val="en-AU"/>
        </w:rPr>
        <w:t>property</w:t>
      </w:r>
      <w:r w:rsidR="00C5129B">
        <w:rPr>
          <w:rFonts w:ascii="Arial" w:hAnsi="Arial" w:cs="Arial"/>
          <w:color w:val="000000"/>
          <w:sz w:val="22"/>
          <w:szCs w:val="22"/>
          <w:highlight w:val="yellow"/>
          <w:lang w:val="en-AU"/>
        </w:rPr>
        <w:t>;</w:t>
      </w:r>
      <w:proofErr w:type="gramEnd"/>
    </w:p>
    <w:p w14:paraId="441FB591" w14:textId="5F3906A8" w:rsidR="00E47156" w:rsidRPr="00526D2F" w:rsidRDefault="00E47156" w:rsidP="00C5129B">
      <w:pPr>
        <w:pStyle w:val="paragraph"/>
        <w:numPr>
          <w:ilvl w:val="0"/>
          <w:numId w:val="37"/>
        </w:numPr>
        <w:shd w:val="clear" w:color="auto" w:fill="FFFFFF"/>
        <w:spacing w:before="40" w:beforeAutospacing="0" w:after="0" w:afterAutospacing="0"/>
        <w:jc w:val="both"/>
        <w:rPr>
          <w:rFonts w:ascii="Arial" w:hAnsi="Arial" w:cs="Arial"/>
          <w:color w:val="000000"/>
          <w:sz w:val="22"/>
          <w:szCs w:val="22"/>
          <w:highlight w:val="yellow"/>
          <w:lang w:val="en-AU"/>
        </w:rPr>
      </w:pPr>
      <w:r w:rsidRPr="00526D2F">
        <w:rPr>
          <w:rFonts w:ascii="Arial" w:hAnsi="Arial" w:cs="Arial"/>
          <w:color w:val="000000"/>
          <w:sz w:val="22"/>
          <w:szCs w:val="22"/>
          <w:highlight w:val="yellow"/>
          <w:lang w:val="en-AU"/>
        </w:rPr>
        <w:t xml:space="preserve">investigate and prepare reports as to the affairs of the </w:t>
      </w:r>
      <w:proofErr w:type="gramStart"/>
      <w:r w:rsidRPr="00526D2F">
        <w:rPr>
          <w:rFonts w:ascii="Arial" w:hAnsi="Arial" w:cs="Arial"/>
          <w:color w:val="000000"/>
          <w:sz w:val="22"/>
          <w:szCs w:val="22"/>
          <w:highlight w:val="yellow"/>
          <w:lang w:val="en-AU"/>
        </w:rPr>
        <w:t>company</w:t>
      </w:r>
      <w:r w:rsidR="00C5129B">
        <w:rPr>
          <w:rFonts w:ascii="Arial" w:hAnsi="Arial" w:cs="Arial"/>
          <w:color w:val="000000"/>
          <w:sz w:val="22"/>
          <w:szCs w:val="22"/>
          <w:highlight w:val="yellow"/>
          <w:lang w:val="en-AU"/>
        </w:rPr>
        <w:t>;</w:t>
      </w:r>
      <w:proofErr w:type="gramEnd"/>
    </w:p>
    <w:p w14:paraId="0F855F7C" w14:textId="4B5C6B0E" w:rsidR="00E47156" w:rsidRPr="00526D2F" w:rsidRDefault="00E47156" w:rsidP="00C5129B">
      <w:pPr>
        <w:pStyle w:val="paragraph"/>
        <w:numPr>
          <w:ilvl w:val="0"/>
          <w:numId w:val="37"/>
        </w:numPr>
        <w:shd w:val="clear" w:color="auto" w:fill="FFFFFF"/>
        <w:spacing w:before="40" w:beforeAutospacing="0" w:after="0" w:afterAutospacing="0"/>
        <w:jc w:val="both"/>
        <w:rPr>
          <w:rFonts w:ascii="Arial" w:hAnsi="Arial" w:cs="Arial"/>
          <w:color w:val="000000"/>
          <w:sz w:val="22"/>
          <w:szCs w:val="22"/>
          <w:highlight w:val="yellow"/>
          <w:lang w:val="en-AU"/>
        </w:rPr>
      </w:pPr>
      <w:r w:rsidRPr="00526D2F">
        <w:rPr>
          <w:rFonts w:ascii="Arial" w:hAnsi="Arial" w:cs="Arial"/>
          <w:color w:val="000000"/>
          <w:sz w:val="22"/>
          <w:szCs w:val="22"/>
          <w:highlight w:val="yellow"/>
          <w:lang w:val="en-AU"/>
        </w:rPr>
        <w:t>take possession of the company’s property</w:t>
      </w:r>
      <w:r w:rsidR="00C5129B">
        <w:rPr>
          <w:rFonts w:ascii="Arial" w:hAnsi="Arial" w:cs="Arial"/>
          <w:color w:val="000000"/>
          <w:sz w:val="22"/>
          <w:szCs w:val="22"/>
          <w:highlight w:val="yellow"/>
          <w:lang w:val="en-AU"/>
        </w:rPr>
        <w:t>; and</w:t>
      </w:r>
    </w:p>
    <w:p w14:paraId="0AACC96E" w14:textId="77777777" w:rsidR="00E47156" w:rsidRPr="00526D2F" w:rsidRDefault="00E47156" w:rsidP="00C5129B">
      <w:pPr>
        <w:pStyle w:val="paragraph"/>
        <w:numPr>
          <w:ilvl w:val="0"/>
          <w:numId w:val="37"/>
        </w:numPr>
        <w:shd w:val="clear" w:color="auto" w:fill="FFFFFF"/>
        <w:spacing w:before="40" w:beforeAutospacing="0" w:after="0" w:afterAutospacing="0"/>
        <w:jc w:val="both"/>
        <w:rPr>
          <w:rFonts w:ascii="Arial" w:hAnsi="Arial" w:cs="Arial"/>
          <w:color w:val="000000"/>
          <w:sz w:val="22"/>
          <w:szCs w:val="22"/>
          <w:highlight w:val="yellow"/>
          <w:lang w:val="en-AU"/>
        </w:rPr>
      </w:pPr>
      <w:r w:rsidRPr="00526D2F">
        <w:rPr>
          <w:rFonts w:ascii="Arial" w:hAnsi="Arial" w:cs="Arial"/>
          <w:color w:val="000000"/>
          <w:sz w:val="22"/>
          <w:szCs w:val="22"/>
          <w:highlight w:val="yellow"/>
          <w:lang w:val="en-AU"/>
        </w:rPr>
        <w:t>realise and distribute the company’s property to creditors etc.</w:t>
      </w:r>
    </w:p>
    <w:p w14:paraId="21B828FA" w14:textId="77777777" w:rsidR="00E47156" w:rsidRPr="00526D2F" w:rsidRDefault="00E47156" w:rsidP="00C5129B">
      <w:pPr>
        <w:pStyle w:val="paragraph"/>
        <w:shd w:val="clear" w:color="auto" w:fill="FFFFFF"/>
        <w:spacing w:before="40" w:beforeAutospacing="0" w:after="0" w:afterAutospacing="0"/>
        <w:jc w:val="both"/>
        <w:rPr>
          <w:rFonts w:ascii="Arial" w:hAnsi="Arial" w:cs="Arial"/>
          <w:color w:val="000000"/>
          <w:sz w:val="22"/>
          <w:szCs w:val="22"/>
          <w:highlight w:val="yellow"/>
          <w:lang w:val="en-AU"/>
        </w:rPr>
      </w:pPr>
    </w:p>
    <w:p w14:paraId="3108B226" w14:textId="77777777" w:rsidR="00E47156" w:rsidRPr="00526D2F" w:rsidRDefault="00E47156" w:rsidP="00676E8A">
      <w:pPr>
        <w:jc w:val="both"/>
        <w:rPr>
          <w:rFonts w:ascii="Arial" w:hAnsi="Arial" w:cs="Arial"/>
          <w:sz w:val="22"/>
          <w:szCs w:val="22"/>
          <w:highlight w:val="yellow"/>
          <w:lang w:val="en-GB"/>
        </w:rPr>
      </w:pPr>
      <w:r w:rsidRPr="00526D2F">
        <w:rPr>
          <w:rFonts w:ascii="Arial" w:hAnsi="Arial" w:cs="Arial"/>
          <w:color w:val="000000"/>
          <w:sz w:val="22"/>
          <w:szCs w:val="22"/>
          <w:highlight w:val="yellow"/>
          <w:lang w:val="en-AU"/>
        </w:rPr>
        <w:t xml:space="preserve">Secured creditors can continue exercise their security while the firm is in liquidation, but unsecured creditors cannot because a moratorium will be in place during the liquidation. The Court can however grant leave where proceedings were already well advanced before the liquidation began. Thus, since BOR commenced proceedings against HA in </w:t>
      </w:r>
      <w:r w:rsidRPr="00526D2F">
        <w:rPr>
          <w:rFonts w:ascii="Arial" w:hAnsi="Arial" w:cs="Arial"/>
          <w:sz w:val="22"/>
          <w:szCs w:val="22"/>
          <w:highlight w:val="yellow"/>
          <w:lang w:val="en-GB"/>
        </w:rPr>
        <w:t xml:space="preserve">July 2020 and has since October 2020 received an order from the Court ordering that HA pay AUD 4.6 million in damages to BOR there is the possibility that the Court may deem that the enforcement </w:t>
      </w:r>
      <w:proofErr w:type="gramStart"/>
      <w:r w:rsidRPr="00526D2F">
        <w:rPr>
          <w:rFonts w:ascii="Arial" w:hAnsi="Arial" w:cs="Arial"/>
          <w:sz w:val="22"/>
          <w:szCs w:val="22"/>
          <w:highlight w:val="yellow"/>
          <w:lang w:val="en-GB"/>
        </w:rPr>
        <w:t>( if</w:t>
      </w:r>
      <w:proofErr w:type="gramEnd"/>
      <w:r w:rsidRPr="00526D2F">
        <w:rPr>
          <w:rFonts w:ascii="Arial" w:hAnsi="Arial" w:cs="Arial"/>
          <w:sz w:val="22"/>
          <w:szCs w:val="22"/>
          <w:highlight w:val="yellow"/>
          <w:lang w:val="en-GB"/>
        </w:rPr>
        <w:t xml:space="preserve"> pursued) proceedings can still continue although HA is in liquidation. </w:t>
      </w:r>
    </w:p>
    <w:p w14:paraId="35A71F8A" w14:textId="77777777" w:rsidR="00E47156" w:rsidRPr="00526D2F" w:rsidRDefault="00E47156" w:rsidP="00676E8A">
      <w:pPr>
        <w:jc w:val="both"/>
        <w:rPr>
          <w:rFonts w:ascii="Arial" w:hAnsi="Arial" w:cs="Arial"/>
          <w:sz w:val="22"/>
          <w:szCs w:val="22"/>
          <w:highlight w:val="yellow"/>
          <w:lang w:val="en-GB"/>
        </w:rPr>
      </w:pPr>
    </w:p>
    <w:p w14:paraId="6771D2C3" w14:textId="77777777" w:rsidR="00E47156" w:rsidRPr="00526D2F" w:rsidRDefault="00E47156" w:rsidP="00676E8A">
      <w:pPr>
        <w:jc w:val="both"/>
        <w:rPr>
          <w:rFonts w:ascii="Arial" w:hAnsi="Arial" w:cs="Arial"/>
          <w:sz w:val="22"/>
          <w:szCs w:val="22"/>
          <w:highlight w:val="yellow"/>
          <w:lang w:val="en-GB"/>
        </w:rPr>
      </w:pPr>
      <w:r w:rsidRPr="00526D2F">
        <w:rPr>
          <w:rFonts w:ascii="Arial" w:hAnsi="Arial" w:cs="Arial"/>
          <w:sz w:val="22"/>
          <w:szCs w:val="22"/>
          <w:highlight w:val="yellow"/>
          <w:lang w:val="en-GB"/>
        </w:rPr>
        <w:t xml:space="preserve">Also, some of the other issues that the board of HGL and HA should be aware of </w:t>
      </w:r>
      <w:proofErr w:type="gramStart"/>
      <w:r w:rsidRPr="00526D2F">
        <w:rPr>
          <w:rFonts w:ascii="Arial" w:hAnsi="Arial" w:cs="Arial"/>
          <w:sz w:val="22"/>
          <w:szCs w:val="22"/>
          <w:highlight w:val="yellow"/>
          <w:lang w:val="en-GB"/>
        </w:rPr>
        <w:t>in light of</w:t>
      </w:r>
      <w:proofErr w:type="gramEnd"/>
      <w:r w:rsidRPr="00526D2F">
        <w:rPr>
          <w:rFonts w:ascii="Arial" w:hAnsi="Arial" w:cs="Arial"/>
          <w:sz w:val="22"/>
          <w:szCs w:val="22"/>
          <w:highlight w:val="yellow"/>
          <w:lang w:val="en-GB"/>
        </w:rPr>
        <w:t xml:space="preserve"> the facts set out in this scenario are: </w:t>
      </w:r>
    </w:p>
    <w:p w14:paraId="14AF76AF" w14:textId="77777777" w:rsidR="00E47156" w:rsidRPr="00526D2F" w:rsidRDefault="00E47156" w:rsidP="00676E8A">
      <w:pPr>
        <w:jc w:val="both"/>
        <w:rPr>
          <w:rFonts w:ascii="Arial" w:hAnsi="Arial" w:cs="Arial"/>
          <w:sz w:val="22"/>
          <w:szCs w:val="22"/>
          <w:highlight w:val="yellow"/>
          <w:lang w:val="en-GB"/>
        </w:rPr>
      </w:pPr>
    </w:p>
    <w:p w14:paraId="2A68C402" w14:textId="77777777" w:rsidR="00E47156" w:rsidRPr="00526D2F" w:rsidRDefault="00E47156" w:rsidP="00676E8A">
      <w:pPr>
        <w:jc w:val="both"/>
        <w:rPr>
          <w:rFonts w:ascii="Arial" w:hAnsi="Arial" w:cs="Arial"/>
          <w:color w:val="000000"/>
          <w:sz w:val="22"/>
          <w:szCs w:val="22"/>
          <w:highlight w:val="yellow"/>
          <w:lang w:val="en-AU"/>
        </w:rPr>
      </w:pPr>
      <w:r w:rsidRPr="00526D2F">
        <w:rPr>
          <w:rFonts w:ascii="Arial" w:hAnsi="Arial" w:cs="Arial"/>
          <w:sz w:val="22"/>
          <w:szCs w:val="22"/>
          <w:highlight w:val="yellow"/>
          <w:lang w:val="en-GB"/>
        </w:rPr>
        <w:t xml:space="preserve">Since </w:t>
      </w:r>
      <w:proofErr w:type="spellStart"/>
      <w:r w:rsidRPr="00526D2F">
        <w:rPr>
          <w:rFonts w:ascii="Arial" w:hAnsi="Arial" w:cs="Arial"/>
          <w:sz w:val="22"/>
          <w:szCs w:val="22"/>
          <w:highlight w:val="yellow"/>
          <w:lang w:val="en-GB"/>
        </w:rPr>
        <w:t>Hyrofine</w:t>
      </w:r>
      <w:proofErr w:type="spellEnd"/>
      <w:r w:rsidRPr="00526D2F">
        <w:rPr>
          <w:rFonts w:ascii="Arial" w:hAnsi="Arial" w:cs="Arial"/>
          <w:sz w:val="22"/>
          <w:szCs w:val="22"/>
          <w:highlight w:val="yellow"/>
          <w:lang w:val="en-GB"/>
        </w:rPr>
        <w:t xml:space="preserve"> Group Ltd. (HGL), the parent company of HA, owns all of the company's shares, HGL may be held liable under Section 588V of the Corporations Act if, at the time HA incurred any debt, the company was insolvent at the time, or became insolvent as a result of incurring that debt, or as a result of incurring debts including that debt, and there were reasonable grounds to believe that the company was insolvent. Additionally, section 588W requires that w</w:t>
      </w:r>
      <w:r w:rsidRPr="00526D2F">
        <w:rPr>
          <w:rFonts w:ascii="Arial" w:hAnsi="Arial" w:cs="Arial"/>
          <w:color w:val="000000"/>
          <w:sz w:val="22"/>
          <w:szCs w:val="22"/>
          <w:highlight w:val="yellow"/>
          <w:lang w:val="en-AU"/>
        </w:rPr>
        <w:t>here:</w:t>
      </w:r>
    </w:p>
    <w:p w14:paraId="10344F8E" w14:textId="77777777" w:rsidR="00E47156" w:rsidRPr="00526D2F" w:rsidRDefault="00E47156" w:rsidP="00676E8A">
      <w:pPr>
        <w:jc w:val="both"/>
        <w:rPr>
          <w:rFonts w:ascii="Arial" w:hAnsi="Arial" w:cs="Arial"/>
          <w:color w:val="000000"/>
          <w:sz w:val="22"/>
          <w:szCs w:val="22"/>
          <w:highlight w:val="yellow"/>
          <w:lang w:val="en-AU"/>
        </w:rPr>
      </w:pPr>
    </w:p>
    <w:p w14:paraId="41DCB15C" w14:textId="77777777" w:rsidR="00E47156" w:rsidRPr="00526D2F" w:rsidRDefault="00E47156" w:rsidP="00676E8A">
      <w:pPr>
        <w:ind w:left="1440"/>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t>“(a) a corporation has contravened section 588V in relation to the incurring of a debt by   a company; and</w:t>
      </w:r>
    </w:p>
    <w:p w14:paraId="4A8CE7CB" w14:textId="77777777" w:rsidR="00E47156" w:rsidRPr="00526D2F" w:rsidRDefault="00E47156" w:rsidP="00676E8A">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t>                            (b)  the person to whom the debt is owed has suffered loss or damage in relation to the debt because of the company’s insolvency; and</w:t>
      </w:r>
    </w:p>
    <w:p w14:paraId="1AA53AA1" w14:textId="77777777" w:rsidR="00E47156" w:rsidRPr="00526D2F" w:rsidRDefault="00E47156" w:rsidP="00676E8A">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t>                            (c)  the debt was wholly or partly unsecured when the loss or damage was suffered; and</w:t>
      </w:r>
    </w:p>
    <w:p w14:paraId="4FC6EAD5" w14:textId="77777777" w:rsidR="00E47156" w:rsidRPr="00526D2F" w:rsidRDefault="00E47156" w:rsidP="00676E8A">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t xml:space="preserve">                             (d)  the company is being wound </w:t>
      </w:r>
      <w:proofErr w:type="gramStart"/>
      <w:r w:rsidRPr="00526D2F">
        <w:rPr>
          <w:rFonts w:ascii="Arial" w:hAnsi="Arial" w:cs="Arial"/>
          <w:color w:val="000000"/>
          <w:sz w:val="22"/>
          <w:szCs w:val="22"/>
          <w:highlight w:val="yellow"/>
          <w:lang w:val="en-AU"/>
        </w:rPr>
        <w:t>up;</w:t>
      </w:r>
      <w:proofErr w:type="gramEnd"/>
    </w:p>
    <w:p w14:paraId="1D2BDE00" w14:textId="77777777" w:rsidR="00E47156" w:rsidRPr="00526D2F" w:rsidRDefault="00E47156" w:rsidP="00676E8A">
      <w:pPr>
        <w:pStyle w:val="subsection2"/>
        <w:shd w:val="clear" w:color="auto" w:fill="FFFFFF"/>
        <w:spacing w:before="40" w:beforeAutospacing="0" w:after="0" w:afterAutospacing="0"/>
        <w:ind w:left="1440"/>
        <w:jc w:val="both"/>
        <w:rPr>
          <w:rFonts w:ascii="Arial" w:hAnsi="Arial" w:cs="Arial"/>
          <w:color w:val="000000"/>
          <w:sz w:val="22"/>
          <w:szCs w:val="22"/>
          <w:highlight w:val="yellow"/>
          <w:lang w:val="en-AU"/>
        </w:rPr>
      </w:pPr>
      <w:r w:rsidRPr="00526D2F">
        <w:rPr>
          <w:rFonts w:ascii="Arial" w:hAnsi="Arial" w:cs="Arial"/>
          <w:color w:val="000000"/>
          <w:sz w:val="22"/>
          <w:szCs w:val="22"/>
          <w:highlight w:val="yellow"/>
          <w:lang w:val="en-AU"/>
        </w:rPr>
        <w:t>the company’s liquidator may recover from the corporation, as a debt due to the company, an amount equal to the amount of the loss or damage.”</w:t>
      </w:r>
    </w:p>
    <w:p w14:paraId="36F059B4" w14:textId="77777777" w:rsidR="00E47156" w:rsidRPr="00526D2F" w:rsidRDefault="00E47156" w:rsidP="00676E8A">
      <w:pPr>
        <w:pStyle w:val="subsection2"/>
        <w:shd w:val="clear" w:color="auto" w:fill="FFFFFF"/>
        <w:spacing w:before="40" w:beforeAutospacing="0" w:after="0" w:afterAutospacing="0"/>
        <w:jc w:val="both"/>
        <w:rPr>
          <w:rFonts w:ascii="Arial" w:hAnsi="Arial" w:cs="Arial"/>
          <w:color w:val="000000"/>
          <w:sz w:val="22"/>
          <w:szCs w:val="22"/>
          <w:highlight w:val="yellow"/>
          <w:lang w:val="en-AU"/>
        </w:rPr>
      </w:pPr>
    </w:p>
    <w:p w14:paraId="3DAE0E9B" w14:textId="77777777" w:rsidR="00E47156" w:rsidRPr="00526D2F" w:rsidRDefault="00E47156" w:rsidP="00676E8A">
      <w:pPr>
        <w:pStyle w:val="subsection2"/>
        <w:shd w:val="clear" w:color="auto" w:fill="FFFFFF"/>
        <w:spacing w:before="40" w:beforeAutospacing="0" w:after="0" w:afterAutospacing="0"/>
        <w:jc w:val="both"/>
        <w:rPr>
          <w:rFonts w:ascii="Arial" w:hAnsi="Arial" w:cs="Arial"/>
          <w:sz w:val="22"/>
          <w:szCs w:val="22"/>
          <w:highlight w:val="yellow"/>
          <w:lang w:val="en-GB"/>
        </w:rPr>
      </w:pPr>
      <w:r w:rsidRPr="00526D2F">
        <w:rPr>
          <w:rFonts w:ascii="Arial" w:hAnsi="Arial" w:cs="Arial"/>
          <w:color w:val="000000"/>
          <w:sz w:val="22"/>
          <w:szCs w:val="22"/>
          <w:highlight w:val="yellow"/>
          <w:lang w:val="en-AU"/>
        </w:rPr>
        <w:t>Therefore, it is noted that b</w:t>
      </w:r>
      <w:proofErr w:type="spellStart"/>
      <w:r w:rsidRPr="00526D2F">
        <w:rPr>
          <w:rFonts w:ascii="Arial" w:hAnsi="Arial" w:cs="Arial"/>
          <w:sz w:val="22"/>
          <w:szCs w:val="22"/>
          <w:highlight w:val="yellow"/>
          <w:lang w:val="en-GB"/>
        </w:rPr>
        <w:t>etween</w:t>
      </w:r>
      <w:proofErr w:type="spellEnd"/>
      <w:r w:rsidRPr="00526D2F">
        <w:rPr>
          <w:rFonts w:ascii="Arial" w:hAnsi="Arial" w:cs="Arial"/>
          <w:sz w:val="22"/>
          <w:szCs w:val="22"/>
          <w:highlight w:val="yellow"/>
          <w:lang w:val="en-GB"/>
        </w:rPr>
        <w:t xml:space="preserve"> October 2020 and October 2021, HA continued to trade, incurring debts to trade creditors as well as borrowing AUD 5 million from its parent company HGL. Further, the fact that HA has been insolvent since the judgment was handed down in </w:t>
      </w:r>
      <w:r w:rsidRPr="00526D2F">
        <w:rPr>
          <w:rFonts w:ascii="Arial" w:hAnsi="Arial" w:cs="Arial"/>
          <w:sz w:val="22"/>
          <w:szCs w:val="22"/>
          <w:highlight w:val="yellow"/>
          <w:lang w:val="en-GB"/>
        </w:rPr>
        <w:lastRenderedPageBreak/>
        <w:t xml:space="preserve">October 2020 makes the board of directors liable under the corporation act. </w:t>
      </w:r>
      <w:proofErr w:type="gramStart"/>
      <w:r w:rsidRPr="00526D2F">
        <w:rPr>
          <w:rFonts w:ascii="Arial" w:hAnsi="Arial" w:cs="Arial"/>
          <w:sz w:val="22"/>
          <w:szCs w:val="22"/>
          <w:highlight w:val="yellow"/>
          <w:lang w:val="en-GB"/>
        </w:rPr>
        <w:t>Additionally</w:t>
      </w:r>
      <w:proofErr w:type="gramEnd"/>
      <w:r w:rsidRPr="00526D2F">
        <w:rPr>
          <w:rFonts w:ascii="Arial" w:hAnsi="Arial" w:cs="Arial"/>
          <w:sz w:val="22"/>
          <w:szCs w:val="22"/>
          <w:highlight w:val="yellow"/>
          <w:lang w:val="en-GB"/>
        </w:rPr>
        <w:t xml:space="preserve"> directors are to act in good faith, seeking to ensure the best interests of the company and trading whilst insolvent does not demonstrate this. Section 588 G mandates that it is the director’s duty to prevent insolvent trading by the Company. Section </w:t>
      </w:r>
      <w:r w:rsidRPr="00526D2F">
        <w:rPr>
          <w:rFonts w:ascii="Arial" w:hAnsi="Arial" w:cs="Arial"/>
          <w:color w:val="000000"/>
          <w:sz w:val="22"/>
          <w:szCs w:val="22"/>
          <w:highlight w:val="yellow"/>
          <w:lang w:val="en-AU"/>
        </w:rPr>
        <w:t xml:space="preserve">588 G (3) states: </w:t>
      </w:r>
    </w:p>
    <w:p w14:paraId="59731D55" w14:textId="77777777" w:rsidR="00E47156" w:rsidRPr="00526D2F" w:rsidRDefault="00E47156" w:rsidP="00676E8A">
      <w:pPr>
        <w:pStyle w:val="subsection"/>
        <w:shd w:val="clear" w:color="auto" w:fill="FFFFFF"/>
        <w:spacing w:before="180" w:beforeAutospacing="0" w:after="0" w:afterAutospacing="0"/>
        <w:ind w:firstLine="720"/>
        <w:jc w:val="both"/>
        <w:rPr>
          <w:rFonts w:ascii="Arial" w:hAnsi="Arial" w:cs="Arial"/>
          <w:color w:val="000000"/>
          <w:sz w:val="22"/>
          <w:szCs w:val="22"/>
          <w:highlight w:val="yellow"/>
        </w:rPr>
      </w:pPr>
      <w:proofErr w:type="gramStart"/>
      <w:r w:rsidRPr="00526D2F">
        <w:rPr>
          <w:rFonts w:ascii="Arial" w:hAnsi="Arial" w:cs="Arial"/>
          <w:color w:val="000000"/>
          <w:sz w:val="22"/>
          <w:szCs w:val="22"/>
          <w:highlight w:val="yellow"/>
          <w:lang w:val="en-AU"/>
        </w:rPr>
        <w:t>“ A</w:t>
      </w:r>
      <w:proofErr w:type="gramEnd"/>
      <w:r w:rsidRPr="00526D2F">
        <w:rPr>
          <w:rFonts w:ascii="Arial" w:hAnsi="Arial" w:cs="Arial"/>
          <w:color w:val="000000"/>
          <w:sz w:val="22"/>
          <w:szCs w:val="22"/>
          <w:highlight w:val="yellow"/>
          <w:lang w:val="en-AU"/>
        </w:rPr>
        <w:t xml:space="preserve"> person commits an offence if:</w:t>
      </w:r>
    </w:p>
    <w:p w14:paraId="30393B98" w14:textId="77777777" w:rsidR="00E47156" w:rsidRPr="00526D2F" w:rsidRDefault="00E47156" w:rsidP="00676E8A">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t xml:space="preserve">                     </w:t>
      </w:r>
      <w:r w:rsidRPr="00526D2F">
        <w:rPr>
          <w:rFonts w:ascii="Arial" w:hAnsi="Arial" w:cs="Arial"/>
          <w:color w:val="000000"/>
          <w:sz w:val="22"/>
          <w:szCs w:val="22"/>
          <w:highlight w:val="yellow"/>
          <w:lang w:val="en-AU"/>
        </w:rPr>
        <w:tab/>
        <w:t>(a)  a company incurs a debt at a particular time; and</w:t>
      </w:r>
    </w:p>
    <w:p w14:paraId="1EAFF769" w14:textId="77777777" w:rsidR="00E47156" w:rsidRPr="00526D2F" w:rsidRDefault="00E47156" w:rsidP="00676E8A">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t>                  </w:t>
      </w:r>
      <w:r w:rsidRPr="00526D2F">
        <w:rPr>
          <w:rFonts w:ascii="Arial" w:hAnsi="Arial" w:cs="Arial"/>
          <w:color w:val="000000"/>
          <w:sz w:val="22"/>
          <w:szCs w:val="22"/>
          <w:highlight w:val="yellow"/>
          <w:lang w:val="en-AU"/>
        </w:rPr>
        <w:tab/>
        <w:t xml:space="preserve"> (</w:t>
      </w:r>
      <w:proofErr w:type="gramStart"/>
      <w:r w:rsidRPr="00526D2F">
        <w:rPr>
          <w:rFonts w:ascii="Arial" w:hAnsi="Arial" w:cs="Arial"/>
          <w:color w:val="000000"/>
          <w:sz w:val="22"/>
          <w:szCs w:val="22"/>
          <w:highlight w:val="yellow"/>
          <w:lang w:val="en-AU"/>
        </w:rPr>
        <w:t>aa)  at</w:t>
      </w:r>
      <w:proofErr w:type="gramEnd"/>
      <w:r w:rsidRPr="00526D2F">
        <w:rPr>
          <w:rFonts w:ascii="Arial" w:hAnsi="Arial" w:cs="Arial"/>
          <w:color w:val="000000"/>
          <w:sz w:val="22"/>
          <w:szCs w:val="22"/>
          <w:highlight w:val="yellow"/>
          <w:lang w:val="en-AU"/>
        </w:rPr>
        <w:t xml:space="preserve"> that time, a person is a director of the company; and</w:t>
      </w:r>
    </w:p>
    <w:p w14:paraId="5FB32BAB" w14:textId="77777777" w:rsidR="00E47156" w:rsidRPr="00526D2F" w:rsidRDefault="00E47156" w:rsidP="00676E8A">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t>                     (b)  the company is insolvent at that time, or becomes insolvent by incurring that debt, or by incurring at that time debts including that debt; and</w:t>
      </w:r>
    </w:p>
    <w:p w14:paraId="779F259F" w14:textId="77777777" w:rsidR="00E47156" w:rsidRPr="00526D2F" w:rsidRDefault="00E47156" w:rsidP="00676E8A">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t xml:space="preserve">                     (c)  the person suspected at the time when the company incurred the debt that the company was insolvent or would become insolvent </w:t>
      </w:r>
      <w:proofErr w:type="gramStart"/>
      <w:r w:rsidRPr="00526D2F">
        <w:rPr>
          <w:rFonts w:ascii="Arial" w:hAnsi="Arial" w:cs="Arial"/>
          <w:color w:val="000000"/>
          <w:sz w:val="22"/>
          <w:szCs w:val="22"/>
          <w:highlight w:val="yellow"/>
          <w:lang w:val="en-AU"/>
        </w:rPr>
        <w:t>as a result of</w:t>
      </w:r>
      <w:proofErr w:type="gramEnd"/>
      <w:r w:rsidRPr="00526D2F">
        <w:rPr>
          <w:rFonts w:ascii="Arial" w:hAnsi="Arial" w:cs="Arial"/>
          <w:color w:val="000000"/>
          <w:sz w:val="22"/>
          <w:szCs w:val="22"/>
          <w:highlight w:val="yellow"/>
          <w:lang w:val="en-AU"/>
        </w:rPr>
        <w:t xml:space="preserve"> incurring that debt or other debts (as in paragraph (1)(b)); and</w:t>
      </w:r>
    </w:p>
    <w:p w14:paraId="2F73312F" w14:textId="77777777" w:rsidR="00E47156" w:rsidRPr="00526D2F" w:rsidRDefault="00E47156" w:rsidP="00676E8A">
      <w:pPr>
        <w:pStyle w:val="paragraph"/>
        <w:shd w:val="clear" w:color="auto" w:fill="FFFFFF"/>
        <w:spacing w:before="40" w:beforeAutospacing="0" w:after="0" w:afterAutospacing="0"/>
        <w:ind w:left="1644" w:hanging="1644"/>
        <w:jc w:val="both"/>
        <w:rPr>
          <w:rFonts w:ascii="Arial" w:hAnsi="Arial" w:cs="Arial"/>
          <w:color w:val="000000"/>
          <w:sz w:val="22"/>
          <w:szCs w:val="22"/>
          <w:highlight w:val="yellow"/>
        </w:rPr>
      </w:pPr>
      <w:r w:rsidRPr="00526D2F">
        <w:rPr>
          <w:rFonts w:ascii="Arial" w:hAnsi="Arial" w:cs="Arial"/>
          <w:color w:val="000000"/>
          <w:sz w:val="22"/>
          <w:szCs w:val="22"/>
          <w:highlight w:val="yellow"/>
          <w:lang w:val="en-AU"/>
        </w:rPr>
        <w:t>                     (d)  the person’s failure to prevent the company incurring the debt was dishonest.</w:t>
      </w:r>
    </w:p>
    <w:p w14:paraId="7132AB9E" w14:textId="77777777" w:rsidR="00E47156" w:rsidRPr="00526D2F" w:rsidRDefault="00E47156" w:rsidP="00676E8A">
      <w:pPr>
        <w:pStyle w:val="subsection2"/>
        <w:shd w:val="clear" w:color="auto" w:fill="FFFFFF"/>
        <w:spacing w:before="40" w:beforeAutospacing="0" w:after="0" w:afterAutospacing="0"/>
        <w:jc w:val="both"/>
        <w:rPr>
          <w:rFonts w:ascii="Arial" w:hAnsi="Arial" w:cs="Arial"/>
          <w:sz w:val="22"/>
          <w:szCs w:val="22"/>
          <w:highlight w:val="yellow"/>
          <w:lang w:val="en-GB"/>
        </w:rPr>
      </w:pPr>
    </w:p>
    <w:p w14:paraId="3FEEBA8B" w14:textId="1E8C464D" w:rsidR="00E47156" w:rsidRPr="00526D2F" w:rsidRDefault="00E47156" w:rsidP="00676E8A">
      <w:pPr>
        <w:pStyle w:val="subsection2"/>
        <w:shd w:val="clear" w:color="auto" w:fill="FFFFFF"/>
        <w:spacing w:before="40" w:beforeAutospacing="0" w:after="0" w:afterAutospacing="0"/>
        <w:jc w:val="both"/>
        <w:rPr>
          <w:rFonts w:ascii="Arial" w:hAnsi="Arial" w:cs="Arial"/>
          <w:sz w:val="22"/>
          <w:szCs w:val="22"/>
          <w:highlight w:val="yellow"/>
          <w:lang w:val="en-GB"/>
        </w:rPr>
      </w:pPr>
      <w:r w:rsidRPr="00526D2F">
        <w:rPr>
          <w:rFonts w:ascii="Arial" w:hAnsi="Arial" w:cs="Arial"/>
          <w:sz w:val="22"/>
          <w:szCs w:val="22"/>
          <w:highlight w:val="yellow"/>
          <w:lang w:val="en-GB"/>
        </w:rPr>
        <w:t>Therefore the board of directors having indicated that HA has been insolvent since October 2020 can</w:t>
      </w:r>
      <w:r w:rsidR="00C5129B">
        <w:rPr>
          <w:rFonts w:ascii="Arial" w:hAnsi="Arial" w:cs="Arial"/>
          <w:sz w:val="22"/>
          <w:szCs w:val="22"/>
          <w:highlight w:val="yellow"/>
          <w:lang w:val="en-GB"/>
        </w:rPr>
        <w:t xml:space="preserve"> face liability and have a </w:t>
      </w:r>
      <w:r w:rsidRPr="00526D2F">
        <w:rPr>
          <w:rFonts w:ascii="Arial" w:hAnsi="Arial" w:cs="Arial"/>
          <w:sz w:val="22"/>
          <w:szCs w:val="22"/>
          <w:highlight w:val="yellow"/>
          <w:lang w:val="en-GB"/>
        </w:rPr>
        <w:t xml:space="preserve">compensation order </w:t>
      </w:r>
      <w:r w:rsidR="00C5129B">
        <w:rPr>
          <w:rFonts w:ascii="Arial" w:hAnsi="Arial" w:cs="Arial"/>
          <w:sz w:val="22"/>
          <w:szCs w:val="22"/>
          <w:highlight w:val="yellow"/>
          <w:lang w:val="en-GB"/>
        </w:rPr>
        <w:t xml:space="preserve">made </w:t>
      </w:r>
      <w:r w:rsidRPr="00526D2F">
        <w:rPr>
          <w:rFonts w:ascii="Arial" w:hAnsi="Arial" w:cs="Arial"/>
          <w:sz w:val="22"/>
          <w:szCs w:val="22"/>
          <w:highlight w:val="yellow"/>
          <w:lang w:val="en-GB"/>
        </w:rPr>
        <w:t xml:space="preserve">against </w:t>
      </w:r>
      <w:proofErr w:type="gramStart"/>
      <w:r w:rsidRPr="00526D2F">
        <w:rPr>
          <w:rFonts w:ascii="Arial" w:hAnsi="Arial" w:cs="Arial"/>
          <w:sz w:val="22"/>
          <w:szCs w:val="22"/>
          <w:highlight w:val="yellow"/>
          <w:lang w:val="en-GB"/>
        </w:rPr>
        <w:t>the</w:t>
      </w:r>
      <w:r w:rsidR="00C5129B">
        <w:rPr>
          <w:rFonts w:ascii="Arial" w:hAnsi="Arial" w:cs="Arial"/>
          <w:sz w:val="22"/>
          <w:szCs w:val="22"/>
          <w:highlight w:val="yellow"/>
          <w:lang w:val="en-GB"/>
        </w:rPr>
        <w:t>m</w:t>
      </w:r>
      <w:r w:rsidRPr="00526D2F">
        <w:rPr>
          <w:rFonts w:ascii="Arial" w:hAnsi="Arial" w:cs="Arial"/>
          <w:sz w:val="22"/>
          <w:szCs w:val="22"/>
          <w:highlight w:val="yellow"/>
          <w:lang w:val="en-GB"/>
        </w:rPr>
        <w:t xml:space="preserve"> </w:t>
      </w:r>
      <w:r w:rsidR="00C5129B">
        <w:rPr>
          <w:rFonts w:ascii="Arial" w:hAnsi="Arial" w:cs="Arial"/>
          <w:sz w:val="22"/>
          <w:szCs w:val="22"/>
          <w:highlight w:val="yellow"/>
          <w:lang w:val="en-GB"/>
        </w:rPr>
        <w:t xml:space="preserve"> if</w:t>
      </w:r>
      <w:proofErr w:type="gramEnd"/>
      <w:r w:rsidR="00C5129B">
        <w:rPr>
          <w:rFonts w:ascii="Arial" w:hAnsi="Arial" w:cs="Arial"/>
          <w:sz w:val="22"/>
          <w:szCs w:val="22"/>
          <w:highlight w:val="yellow"/>
          <w:lang w:val="en-GB"/>
        </w:rPr>
        <w:t xml:space="preserve"> so ordered by the Court </w:t>
      </w:r>
      <w:r w:rsidRPr="00526D2F">
        <w:rPr>
          <w:rFonts w:ascii="Arial" w:hAnsi="Arial" w:cs="Arial"/>
          <w:sz w:val="22"/>
          <w:szCs w:val="22"/>
          <w:highlight w:val="yellow"/>
          <w:lang w:val="en-GB"/>
        </w:rPr>
        <w:t xml:space="preserve">on </w:t>
      </w:r>
      <w:r w:rsidR="00C5129B">
        <w:rPr>
          <w:rFonts w:ascii="Arial" w:hAnsi="Arial" w:cs="Arial"/>
          <w:sz w:val="22"/>
          <w:szCs w:val="22"/>
          <w:highlight w:val="yellow"/>
          <w:lang w:val="en-GB"/>
        </w:rPr>
        <w:t xml:space="preserve">an </w:t>
      </w:r>
      <w:r w:rsidRPr="00526D2F">
        <w:rPr>
          <w:rFonts w:ascii="Arial" w:hAnsi="Arial" w:cs="Arial"/>
          <w:sz w:val="22"/>
          <w:szCs w:val="22"/>
          <w:highlight w:val="yellow"/>
          <w:lang w:val="en-GB"/>
        </w:rPr>
        <w:t xml:space="preserve">application by the liquidator  or any individual creditor.  </w:t>
      </w:r>
    </w:p>
    <w:p w14:paraId="447740EF" w14:textId="77777777" w:rsidR="00E47156" w:rsidRPr="00526D2F" w:rsidRDefault="00E47156" w:rsidP="00676E8A">
      <w:pPr>
        <w:pStyle w:val="subsection2"/>
        <w:shd w:val="clear" w:color="auto" w:fill="FFFFFF"/>
        <w:spacing w:before="40" w:beforeAutospacing="0" w:after="0" w:afterAutospacing="0"/>
        <w:jc w:val="both"/>
        <w:rPr>
          <w:rFonts w:ascii="Arial" w:hAnsi="Arial" w:cs="Arial"/>
          <w:sz w:val="22"/>
          <w:szCs w:val="22"/>
          <w:highlight w:val="yellow"/>
          <w:lang w:val="en-GB"/>
        </w:rPr>
      </w:pPr>
    </w:p>
    <w:p w14:paraId="2E02F3E1" w14:textId="4B820AA1" w:rsidR="00E47156" w:rsidRPr="00526D2F" w:rsidRDefault="00E47156" w:rsidP="00676E8A">
      <w:pPr>
        <w:jc w:val="both"/>
        <w:rPr>
          <w:rFonts w:ascii="Arial" w:hAnsi="Arial" w:cs="Arial"/>
          <w:sz w:val="22"/>
          <w:szCs w:val="22"/>
          <w:highlight w:val="yellow"/>
          <w:lang w:val="en-GB"/>
        </w:rPr>
      </w:pPr>
      <w:r w:rsidRPr="00526D2F">
        <w:rPr>
          <w:rFonts w:ascii="Arial" w:hAnsi="Arial" w:cs="Arial"/>
          <w:sz w:val="22"/>
          <w:szCs w:val="22"/>
          <w:highlight w:val="yellow"/>
          <w:lang w:val="en-GB"/>
        </w:rPr>
        <w:t xml:space="preserve">Further, the loan agreement between HA and the major shareholder of HGL who provided the unsecured loan for AUD 30 million which provides that the loan becomes automatically due and payable in full if HA enters any formal insolvency or restructuring process in Australia, will become payable if HA is placed in voluntary administration or liquidation.  </w:t>
      </w:r>
      <w:r w:rsidR="003223C1" w:rsidRPr="00526D2F">
        <w:rPr>
          <w:rFonts w:ascii="Arial" w:hAnsi="Arial" w:cs="Arial"/>
          <w:sz w:val="22"/>
          <w:szCs w:val="22"/>
          <w:highlight w:val="yellow"/>
          <w:lang w:val="en-GB"/>
        </w:rPr>
        <w:t xml:space="preserve">The loan agreement provides that the loan is repayable by monthly instalments over a term of 5 years with the first payment due at the end of 2021. </w:t>
      </w:r>
      <w:r w:rsidR="003223C1" w:rsidRPr="00526D2F">
        <w:rPr>
          <w:rFonts w:ascii="Arial" w:hAnsi="Arial" w:cs="Arial"/>
          <w:sz w:val="22"/>
          <w:szCs w:val="22"/>
          <w:highlight w:val="yellow"/>
          <w:lang w:val="en-GB"/>
        </w:rPr>
        <w:t>Since HA insolvent it is unable to satisfy the monthly repayment thus it appears almost inevitable that the shareholder will demand repayment which HA will be unable to satisfy. Consequently, there</w:t>
      </w:r>
      <w:r w:rsidRPr="00526D2F">
        <w:rPr>
          <w:rFonts w:ascii="Arial" w:hAnsi="Arial" w:cs="Arial"/>
          <w:sz w:val="22"/>
          <w:szCs w:val="22"/>
          <w:highlight w:val="yellow"/>
          <w:lang w:val="en-GB"/>
        </w:rPr>
        <w:t xml:space="preserve"> is the possibility of court proceedings being instituted by the lender</w:t>
      </w:r>
      <w:r w:rsidR="003223C1" w:rsidRPr="00526D2F">
        <w:rPr>
          <w:rFonts w:ascii="Arial" w:hAnsi="Arial" w:cs="Arial"/>
          <w:sz w:val="22"/>
          <w:szCs w:val="22"/>
          <w:highlight w:val="yellow"/>
          <w:lang w:val="en-GB"/>
        </w:rPr>
        <w:t xml:space="preserve"> either in the form of a compulsory liquidation</w:t>
      </w:r>
      <w:r w:rsidR="00637EC4">
        <w:rPr>
          <w:rFonts w:ascii="Arial" w:hAnsi="Arial" w:cs="Arial"/>
          <w:sz w:val="22"/>
          <w:szCs w:val="22"/>
          <w:highlight w:val="yellow"/>
          <w:lang w:val="en-GB"/>
        </w:rPr>
        <w:t xml:space="preserve"> </w:t>
      </w:r>
      <w:r w:rsidR="003223C1" w:rsidRPr="00526D2F">
        <w:rPr>
          <w:rFonts w:ascii="Arial" w:hAnsi="Arial" w:cs="Arial"/>
          <w:sz w:val="22"/>
          <w:szCs w:val="22"/>
          <w:highlight w:val="yellow"/>
          <w:lang w:val="en-GB"/>
        </w:rPr>
        <w:t>or breach of contract</w:t>
      </w:r>
      <w:r w:rsidRPr="00526D2F">
        <w:rPr>
          <w:rFonts w:ascii="Arial" w:hAnsi="Arial" w:cs="Arial"/>
          <w:sz w:val="22"/>
          <w:szCs w:val="22"/>
          <w:highlight w:val="yellow"/>
          <w:lang w:val="en-GB"/>
        </w:rPr>
        <w:t>. This may however be stayed</w:t>
      </w:r>
      <w:r w:rsidR="003223C1" w:rsidRPr="00526D2F">
        <w:rPr>
          <w:rFonts w:ascii="Arial" w:hAnsi="Arial" w:cs="Arial"/>
          <w:sz w:val="22"/>
          <w:szCs w:val="22"/>
          <w:highlight w:val="yellow"/>
          <w:lang w:val="en-GB"/>
        </w:rPr>
        <w:t xml:space="preserve"> if a </w:t>
      </w:r>
      <w:r w:rsidRPr="00526D2F">
        <w:rPr>
          <w:rFonts w:ascii="Arial" w:hAnsi="Arial" w:cs="Arial"/>
          <w:sz w:val="22"/>
          <w:szCs w:val="22"/>
          <w:highlight w:val="yellow"/>
          <w:lang w:val="en-GB"/>
        </w:rPr>
        <w:t xml:space="preserve">moratorium is in place </w:t>
      </w:r>
      <w:r w:rsidR="003223C1" w:rsidRPr="00526D2F">
        <w:rPr>
          <w:rFonts w:ascii="Arial" w:hAnsi="Arial" w:cs="Arial"/>
          <w:sz w:val="22"/>
          <w:szCs w:val="22"/>
          <w:highlight w:val="yellow"/>
          <w:lang w:val="en-GB"/>
        </w:rPr>
        <w:t xml:space="preserve">if HA is placed under voluntary administration or creditor’s voluntary administration </w:t>
      </w:r>
      <w:r w:rsidRPr="00526D2F">
        <w:rPr>
          <w:rFonts w:ascii="Arial" w:hAnsi="Arial" w:cs="Arial"/>
          <w:sz w:val="22"/>
          <w:szCs w:val="22"/>
          <w:highlight w:val="yellow"/>
          <w:lang w:val="en-GB"/>
        </w:rPr>
        <w:t xml:space="preserve">since the loan was unsecured. </w:t>
      </w:r>
    </w:p>
    <w:p w14:paraId="4252DD86" w14:textId="77777777" w:rsidR="00E47156" w:rsidRPr="00526D2F" w:rsidRDefault="00E47156" w:rsidP="00676E8A">
      <w:pPr>
        <w:jc w:val="both"/>
        <w:rPr>
          <w:rFonts w:ascii="Arial" w:hAnsi="Arial" w:cs="Arial"/>
          <w:sz w:val="22"/>
          <w:szCs w:val="22"/>
          <w:highlight w:val="yellow"/>
          <w:lang w:val="en-GB"/>
        </w:rPr>
      </w:pPr>
    </w:p>
    <w:p w14:paraId="7B5929DC" w14:textId="3918707F" w:rsidR="00E47156" w:rsidRPr="00526D2F" w:rsidRDefault="00E47156" w:rsidP="00676E8A">
      <w:pPr>
        <w:jc w:val="both"/>
        <w:rPr>
          <w:rFonts w:ascii="Arial" w:hAnsi="Arial" w:cs="Arial"/>
          <w:sz w:val="22"/>
          <w:szCs w:val="22"/>
          <w:highlight w:val="yellow"/>
          <w:lang w:val="en-GB"/>
        </w:rPr>
      </w:pPr>
      <w:r w:rsidRPr="00526D2F">
        <w:rPr>
          <w:rFonts w:ascii="Arial" w:hAnsi="Arial" w:cs="Arial"/>
          <w:sz w:val="22"/>
          <w:szCs w:val="22"/>
          <w:highlight w:val="yellow"/>
          <w:lang w:val="en-GB"/>
        </w:rPr>
        <w:t xml:space="preserve">Also, the Commonwealth Bank of Australia (CBA) may seek to enforce its security for the purchase of the trucks under the AUD 3 million loan. It is noted </w:t>
      </w:r>
      <w:r w:rsidR="003223C1" w:rsidRPr="00526D2F">
        <w:rPr>
          <w:rFonts w:ascii="Arial" w:hAnsi="Arial" w:cs="Arial"/>
          <w:sz w:val="22"/>
          <w:szCs w:val="22"/>
          <w:highlight w:val="yellow"/>
          <w:lang w:val="en-GB"/>
        </w:rPr>
        <w:t xml:space="preserve">however </w:t>
      </w:r>
      <w:r w:rsidRPr="00526D2F">
        <w:rPr>
          <w:rFonts w:ascii="Arial" w:hAnsi="Arial" w:cs="Arial"/>
          <w:sz w:val="22"/>
          <w:szCs w:val="22"/>
          <w:highlight w:val="yellow"/>
          <w:lang w:val="en-GB"/>
        </w:rPr>
        <w:t>that</w:t>
      </w:r>
      <w:r w:rsidR="00AA7E0C" w:rsidRPr="00526D2F">
        <w:rPr>
          <w:rFonts w:ascii="Arial" w:hAnsi="Arial" w:cs="Arial"/>
          <w:sz w:val="22"/>
          <w:szCs w:val="22"/>
          <w:highlight w:val="yellow"/>
          <w:lang w:val="en-GB"/>
        </w:rPr>
        <w:t xml:space="preserve"> whilst the loan is secured with mortgages over the three trucks this is not</w:t>
      </w:r>
      <w:r w:rsidRPr="00526D2F">
        <w:rPr>
          <w:rFonts w:ascii="Arial" w:hAnsi="Arial" w:cs="Arial"/>
          <w:sz w:val="22"/>
          <w:szCs w:val="22"/>
          <w:highlight w:val="yellow"/>
          <w:lang w:val="en-GB"/>
        </w:rPr>
        <w:t xml:space="preserve"> registered on the Personal Property Securities Register.</w:t>
      </w:r>
      <w:r w:rsidR="003223C1" w:rsidRPr="00526D2F">
        <w:rPr>
          <w:rFonts w:ascii="Arial" w:hAnsi="Arial" w:cs="Arial"/>
          <w:sz w:val="22"/>
          <w:szCs w:val="22"/>
          <w:highlight w:val="yellow"/>
          <w:lang w:val="en-GB"/>
        </w:rPr>
        <w:t xml:space="preserve"> </w:t>
      </w:r>
      <w:r w:rsidR="00AA7E0C" w:rsidRPr="00526D2F">
        <w:rPr>
          <w:rFonts w:ascii="Arial" w:hAnsi="Arial" w:cs="Arial"/>
          <w:sz w:val="22"/>
          <w:szCs w:val="22"/>
          <w:highlight w:val="yellow"/>
          <w:lang w:val="en-GB"/>
        </w:rPr>
        <w:t>Accordingly, this failure to register can result in other security interests taking priority over the unregistered of CBA</w:t>
      </w:r>
      <w:r w:rsidR="00E17CAF" w:rsidRPr="00526D2F">
        <w:rPr>
          <w:rFonts w:ascii="Arial" w:hAnsi="Arial" w:cs="Arial"/>
          <w:sz w:val="22"/>
          <w:szCs w:val="22"/>
          <w:highlight w:val="yellow"/>
          <w:lang w:val="en-GB"/>
        </w:rPr>
        <w:t xml:space="preserve"> and may result in a loss of that security interest in any administration or liquidation of HA. This is a likely possibility since BOR has already secured a judgment against HA and will likely seek to enforce that </w:t>
      </w:r>
      <w:r w:rsidR="00637EC4" w:rsidRPr="00526D2F">
        <w:rPr>
          <w:rFonts w:ascii="Arial" w:hAnsi="Arial" w:cs="Arial"/>
          <w:sz w:val="22"/>
          <w:szCs w:val="22"/>
          <w:highlight w:val="yellow"/>
          <w:lang w:val="en-GB"/>
        </w:rPr>
        <w:t>judgment and</w:t>
      </w:r>
      <w:r w:rsidR="00E17CAF" w:rsidRPr="00526D2F">
        <w:rPr>
          <w:rFonts w:ascii="Arial" w:hAnsi="Arial" w:cs="Arial"/>
          <w:sz w:val="22"/>
          <w:szCs w:val="22"/>
          <w:highlight w:val="yellow"/>
          <w:lang w:val="en-GB"/>
        </w:rPr>
        <w:t xml:space="preserve"> any assets </w:t>
      </w:r>
      <w:proofErr w:type="gramStart"/>
      <w:r w:rsidR="00E17CAF" w:rsidRPr="00526D2F">
        <w:rPr>
          <w:rFonts w:ascii="Arial" w:hAnsi="Arial" w:cs="Arial"/>
          <w:sz w:val="22"/>
          <w:szCs w:val="22"/>
          <w:highlight w:val="yellow"/>
          <w:lang w:val="en-GB"/>
        </w:rPr>
        <w:t>( including</w:t>
      </w:r>
      <w:proofErr w:type="gramEnd"/>
      <w:r w:rsidR="00E17CAF" w:rsidRPr="00526D2F">
        <w:rPr>
          <w:rFonts w:ascii="Arial" w:hAnsi="Arial" w:cs="Arial"/>
          <w:sz w:val="22"/>
          <w:szCs w:val="22"/>
          <w:highlight w:val="yellow"/>
          <w:lang w:val="en-GB"/>
        </w:rPr>
        <w:t xml:space="preserve"> the three trucks)  may be sold by a liquidator/administrator to satisfy that debt.</w:t>
      </w:r>
      <w:r w:rsidR="00637EC4">
        <w:rPr>
          <w:rFonts w:ascii="Arial" w:hAnsi="Arial" w:cs="Arial"/>
          <w:sz w:val="22"/>
          <w:szCs w:val="22"/>
          <w:highlight w:val="yellow"/>
          <w:lang w:val="en-GB"/>
        </w:rPr>
        <w:t xml:space="preserve"> COR may seek to file a claim in court for repayment of the loan if not satisfied.</w:t>
      </w:r>
    </w:p>
    <w:p w14:paraId="752EDFB7" w14:textId="77777777" w:rsidR="00E17CAF" w:rsidRPr="00526D2F" w:rsidRDefault="00E17CAF" w:rsidP="00676E8A">
      <w:pPr>
        <w:jc w:val="both"/>
        <w:rPr>
          <w:rFonts w:ascii="Arial" w:hAnsi="Arial" w:cs="Arial"/>
          <w:sz w:val="22"/>
          <w:szCs w:val="22"/>
          <w:highlight w:val="yellow"/>
          <w:lang w:val="en-GB"/>
        </w:rPr>
      </w:pPr>
    </w:p>
    <w:p w14:paraId="245B0595" w14:textId="11EB5515" w:rsidR="0084702A" w:rsidRPr="0053225A" w:rsidRDefault="00E17CAF" w:rsidP="0017697A">
      <w:pPr>
        <w:jc w:val="both"/>
        <w:rPr>
          <w:rFonts w:ascii="Arial" w:hAnsi="Arial" w:cs="Arial"/>
          <w:sz w:val="22"/>
          <w:szCs w:val="22"/>
          <w:lang w:val="en-GB"/>
        </w:rPr>
      </w:pPr>
      <w:r w:rsidRPr="00526D2F">
        <w:rPr>
          <w:rFonts w:ascii="Arial" w:hAnsi="Arial" w:cs="Arial"/>
          <w:sz w:val="22"/>
          <w:szCs w:val="22"/>
          <w:highlight w:val="yellow"/>
          <w:lang w:val="en-GB"/>
        </w:rPr>
        <w:t>Therefore</w:t>
      </w:r>
      <w:r w:rsidR="0017697A" w:rsidRPr="00526D2F">
        <w:rPr>
          <w:rFonts w:ascii="Arial" w:hAnsi="Arial" w:cs="Arial"/>
          <w:sz w:val="22"/>
          <w:szCs w:val="22"/>
          <w:highlight w:val="yellow"/>
          <w:lang w:val="en-GB"/>
        </w:rPr>
        <w:t>,</w:t>
      </w:r>
      <w:r w:rsidRPr="00526D2F">
        <w:rPr>
          <w:rFonts w:ascii="Arial" w:hAnsi="Arial" w:cs="Arial"/>
          <w:sz w:val="22"/>
          <w:szCs w:val="22"/>
          <w:highlight w:val="yellow"/>
          <w:lang w:val="en-GB"/>
        </w:rPr>
        <w:t xml:space="preserve"> it is imperative that the Board</w:t>
      </w:r>
      <w:r w:rsidR="0084702A" w:rsidRPr="00526D2F">
        <w:rPr>
          <w:rFonts w:ascii="Arial" w:hAnsi="Arial" w:cs="Arial"/>
          <w:sz w:val="22"/>
          <w:szCs w:val="22"/>
          <w:highlight w:val="yellow"/>
          <w:shd w:val="clear" w:color="auto" w:fill="FFFFFF"/>
        </w:rPr>
        <w:t xml:space="preserve"> is proactive and </w:t>
      </w:r>
      <w:r w:rsidR="0084702A" w:rsidRPr="00526D2F">
        <w:rPr>
          <w:rFonts w:ascii="Arial" w:hAnsi="Arial" w:cs="Arial"/>
          <w:sz w:val="22"/>
          <w:szCs w:val="22"/>
          <w:highlight w:val="yellow"/>
          <w:shd w:val="clear" w:color="auto" w:fill="FFFFFF"/>
        </w:rPr>
        <w:t xml:space="preserve">take </w:t>
      </w:r>
      <w:r w:rsidR="0084702A" w:rsidRPr="00526D2F">
        <w:rPr>
          <w:rFonts w:ascii="Arial" w:hAnsi="Arial" w:cs="Arial"/>
          <w:sz w:val="22"/>
          <w:szCs w:val="22"/>
          <w:highlight w:val="yellow"/>
          <w:shd w:val="clear" w:color="auto" w:fill="FFFFFF"/>
        </w:rPr>
        <w:t xml:space="preserve">immediate steps to arrest the financial situation that the HA and HGL are facing. The Board should take </w:t>
      </w:r>
      <w:r w:rsidR="0084702A" w:rsidRPr="00526D2F">
        <w:rPr>
          <w:rFonts w:ascii="Arial" w:hAnsi="Arial" w:cs="Arial"/>
          <w:sz w:val="22"/>
          <w:szCs w:val="22"/>
          <w:highlight w:val="yellow"/>
          <w:shd w:val="clear" w:color="auto" w:fill="FFFFFF"/>
        </w:rPr>
        <w:t>obtain</w:t>
      </w:r>
      <w:r w:rsidR="0084702A" w:rsidRPr="00526D2F">
        <w:rPr>
          <w:rFonts w:ascii="Arial" w:hAnsi="Arial" w:cs="Arial"/>
          <w:sz w:val="22"/>
          <w:szCs w:val="22"/>
          <w:highlight w:val="yellow"/>
          <w:shd w:val="clear" w:color="auto" w:fill="FFFFFF"/>
        </w:rPr>
        <w:t xml:space="preserve"> e</w:t>
      </w:r>
      <w:r w:rsidR="0084702A" w:rsidRPr="00526D2F">
        <w:rPr>
          <w:rFonts w:ascii="Arial" w:hAnsi="Arial" w:cs="Arial"/>
          <w:sz w:val="22"/>
          <w:szCs w:val="22"/>
          <w:highlight w:val="yellow"/>
          <w:shd w:val="clear" w:color="auto" w:fill="FFFFFF"/>
        </w:rPr>
        <w:t xml:space="preserve">xpert advice </w:t>
      </w:r>
      <w:r w:rsidR="0084702A" w:rsidRPr="00526D2F">
        <w:rPr>
          <w:rFonts w:ascii="Arial" w:hAnsi="Arial" w:cs="Arial"/>
          <w:sz w:val="22"/>
          <w:szCs w:val="22"/>
          <w:highlight w:val="yellow"/>
          <w:shd w:val="clear" w:color="auto" w:fill="FFFFFF"/>
        </w:rPr>
        <w:t xml:space="preserve">from </w:t>
      </w:r>
      <w:r w:rsidR="0017697A" w:rsidRPr="00526D2F">
        <w:rPr>
          <w:rFonts w:ascii="Arial" w:hAnsi="Arial" w:cs="Arial"/>
          <w:sz w:val="22"/>
          <w:szCs w:val="22"/>
          <w:highlight w:val="yellow"/>
          <w:shd w:val="clear" w:color="auto" w:fill="FFFFFF"/>
        </w:rPr>
        <w:t>individuals</w:t>
      </w:r>
      <w:r w:rsidR="0084702A" w:rsidRPr="00526D2F">
        <w:rPr>
          <w:rFonts w:ascii="Arial" w:hAnsi="Arial" w:cs="Arial"/>
          <w:sz w:val="22"/>
          <w:szCs w:val="22"/>
          <w:highlight w:val="yellow"/>
          <w:shd w:val="clear" w:color="auto" w:fill="FFFFFF"/>
        </w:rPr>
        <w:t xml:space="preserve"> such as accountants to give a full picture of the company’s finances </w:t>
      </w:r>
      <w:r w:rsidR="0084702A" w:rsidRPr="00526D2F">
        <w:rPr>
          <w:rFonts w:ascii="Arial" w:hAnsi="Arial" w:cs="Arial"/>
          <w:sz w:val="22"/>
          <w:szCs w:val="22"/>
          <w:highlight w:val="yellow"/>
          <w:shd w:val="clear" w:color="auto" w:fill="FFFFFF"/>
        </w:rPr>
        <w:t xml:space="preserve">and </w:t>
      </w:r>
      <w:r w:rsidR="00457159" w:rsidRPr="00526D2F">
        <w:rPr>
          <w:rFonts w:ascii="Arial" w:hAnsi="Arial" w:cs="Arial"/>
          <w:sz w:val="22"/>
          <w:szCs w:val="22"/>
          <w:highlight w:val="yellow"/>
          <w:shd w:val="clear" w:color="auto" w:fill="FFFFFF"/>
        </w:rPr>
        <w:t xml:space="preserve">lawyers to </w:t>
      </w:r>
      <w:r w:rsidR="0084702A" w:rsidRPr="00526D2F">
        <w:rPr>
          <w:rFonts w:ascii="Arial" w:hAnsi="Arial" w:cs="Arial"/>
          <w:sz w:val="22"/>
          <w:szCs w:val="22"/>
          <w:highlight w:val="yellow"/>
          <w:shd w:val="clear" w:color="auto" w:fill="FFFFFF"/>
        </w:rPr>
        <w:t xml:space="preserve">start </w:t>
      </w:r>
      <w:r w:rsidR="0084702A" w:rsidRPr="00526D2F">
        <w:rPr>
          <w:rFonts w:ascii="Arial" w:hAnsi="Arial" w:cs="Arial"/>
          <w:sz w:val="22"/>
          <w:szCs w:val="22"/>
          <w:highlight w:val="yellow"/>
          <w:shd w:val="clear" w:color="auto" w:fill="FFFFFF"/>
        </w:rPr>
        <w:t>preparing a plan that is likely to lead to a better outcome for the company and creditors</w:t>
      </w:r>
      <w:r w:rsidR="0053225A" w:rsidRPr="00526D2F">
        <w:rPr>
          <w:rStyle w:val="FootnoteReference"/>
          <w:rFonts w:ascii="Arial" w:hAnsi="Arial" w:cs="Arial"/>
          <w:sz w:val="22"/>
          <w:szCs w:val="22"/>
          <w:highlight w:val="yellow"/>
          <w:shd w:val="clear" w:color="auto" w:fill="FFFFFF"/>
        </w:rPr>
        <w:footnoteReference w:id="9"/>
      </w:r>
      <w:r w:rsidR="0084702A" w:rsidRPr="00526D2F">
        <w:rPr>
          <w:rFonts w:ascii="Arial" w:hAnsi="Arial" w:cs="Arial"/>
          <w:sz w:val="22"/>
          <w:szCs w:val="22"/>
          <w:highlight w:val="yellow"/>
          <w:shd w:val="clear" w:color="auto" w:fill="FFFFFF"/>
        </w:rPr>
        <w:t xml:space="preserve">, than an insolvency </w:t>
      </w:r>
      <w:r w:rsidR="0017697A" w:rsidRPr="00526D2F">
        <w:rPr>
          <w:rFonts w:ascii="Arial" w:hAnsi="Arial" w:cs="Arial"/>
          <w:sz w:val="22"/>
          <w:szCs w:val="22"/>
          <w:highlight w:val="yellow"/>
          <w:shd w:val="clear" w:color="auto" w:fill="FFFFFF"/>
        </w:rPr>
        <w:t>or administration. Further</w:t>
      </w:r>
      <w:r w:rsidR="00637EC4">
        <w:rPr>
          <w:rFonts w:ascii="Arial" w:hAnsi="Arial" w:cs="Arial"/>
          <w:sz w:val="22"/>
          <w:szCs w:val="22"/>
          <w:highlight w:val="yellow"/>
          <w:shd w:val="clear" w:color="auto" w:fill="FFFFFF"/>
        </w:rPr>
        <w:t>,</w:t>
      </w:r>
      <w:r w:rsidR="0017697A" w:rsidRPr="00526D2F">
        <w:rPr>
          <w:rFonts w:ascii="Arial" w:hAnsi="Arial" w:cs="Arial"/>
          <w:sz w:val="22"/>
          <w:szCs w:val="22"/>
          <w:highlight w:val="yellow"/>
          <w:shd w:val="clear" w:color="auto" w:fill="FFFFFF"/>
        </w:rPr>
        <w:t xml:space="preserve"> </w:t>
      </w:r>
      <w:r w:rsidR="0084702A" w:rsidRPr="00526D2F">
        <w:rPr>
          <w:rFonts w:ascii="Arial" w:hAnsi="Arial" w:cs="Arial"/>
          <w:sz w:val="22"/>
          <w:szCs w:val="22"/>
          <w:highlight w:val="yellow"/>
          <w:shd w:val="clear" w:color="auto" w:fill="FFFFFF"/>
        </w:rPr>
        <w:t>the</w:t>
      </w:r>
      <w:r w:rsidR="0017697A" w:rsidRPr="00526D2F">
        <w:rPr>
          <w:rFonts w:ascii="Arial" w:hAnsi="Arial" w:cs="Arial"/>
          <w:sz w:val="22"/>
          <w:szCs w:val="22"/>
          <w:highlight w:val="yellow"/>
          <w:shd w:val="clear" w:color="auto" w:fill="FFFFFF"/>
        </w:rPr>
        <w:t xml:space="preserve"> Board</w:t>
      </w:r>
      <w:r w:rsidR="0084702A" w:rsidRPr="00526D2F">
        <w:rPr>
          <w:rFonts w:ascii="Arial" w:hAnsi="Arial" w:cs="Arial"/>
          <w:sz w:val="22"/>
          <w:szCs w:val="22"/>
          <w:highlight w:val="yellow"/>
          <w:shd w:val="clear" w:color="auto" w:fill="FFFFFF"/>
        </w:rPr>
        <w:t xml:space="preserve"> can </w:t>
      </w:r>
      <w:r w:rsidR="0017697A" w:rsidRPr="00526D2F">
        <w:rPr>
          <w:rFonts w:ascii="Arial" w:hAnsi="Arial" w:cs="Arial"/>
          <w:sz w:val="22"/>
          <w:szCs w:val="22"/>
          <w:highlight w:val="yellow"/>
          <w:shd w:val="clear" w:color="auto" w:fill="FFFFFF"/>
        </w:rPr>
        <w:t xml:space="preserve">try to </w:t>
      </w:r>
      <w:r w:rsidR="0084702A" w:rsidRPr="00526D2F">
        <w:rPr>
          <w:rFonts w:ascii="Arial" w:hAnsi="Arial" w:cs="Arial"/>
          <w:sz w:val="22"/>
          <w:szCs w:val="22"/>
          <w:highlight w:val="yellow"/>
          <w:shd w:val="clear" w:color="auto" w:fill="FFFFFF"/>
        </w:rPr>
        <w:t>protect themselves from liability for insolvent trading</w:t>
      </w:r>
      <w:r w:rsidR="0017697A" w:rsidRPr="00526D2F">
        <w:rPr>
          <w:rFonts w:ascii="Arial" w:hAnsi="Arial" w:cs="Arial"/>
          <w:sz w:val="22"/>
          <w:szCs w:val="22"/>
          <w:highlight w:val="yellow"/>
          <w:shd w:val="clear" w:color="auto" w:fill="FFFFFF"/>
        </w:rPr>
        <w:t xml:space="preserve"> by making use of the safe </w:t>
      </w:r>
      <w:proofErr w:type="spellStart"/>
      <w:r w:rsidR="0017697A" w:rsidRPr="00526D2F">
        <w:rPr>
          <w:rFonts w:ascii="Arial" w:hAnsi="Arial" w:cs="Arial"/>
          <w:sz w:val="22"/>
          <w:szCs w:val="22"/>
          <w:highlight w:val="yellow"/>
          <w:shd w:val="clear" w:color="auto" w:fill="FFFFFF"/>
        </w:rPr>
        <w:t>harbour</w:t>
      </w:r>
      <w:proofErr w:type="spellEnd"/>
      <w:r w:rsidR="0017697A" w:rsidRPr="00526D2F">
        <w:rPr>
          <w:rFonts w:ascii="Arial" w:hAnsi="Arial" w:cs="Arial"/>
          <w:sz w:val="22"/>
          <w:szCs w:val="22"/>
          <w:highlight w:val="yellow"/>
          <w:shd w:val="clear" w:color="auto" w:fill="FFFFFF"/>
        </w:rPr>
        <w:t xml:space="preserve"> provisions under section 588G of the Corporations Act</w:t>
      </w:r>
      <w:r w:rsidR="0084702A" w:rsidRPr="00526D2F">
        <w:rPr>
          <w:rFonts w:ascii="Arial" w:hAnsi="Arial" w:cs="Arial"/>
          <w:sz w:val="22"/>
          <w:szCs w:val="22"/>
          <w:highlight w:val="yellow"/>
          <w:shd w:val="clear" w:color="auto" w:fill="FFFFFF"/>
        </w:rPr>
        <w:t xml:space="preserve">. </w:t>
      </w:r>
      <w:r w:rsidR="0017697A" w:rsidRPr="00526D2F">
        <w:rPr>
          <w:rFonts w:ascii="Arial" w:hAnsi="Arial" w:cs="Arial"/>
          <w:sz w:val="22"/>
          <w:szCs w:val="22"/>
          <w:highlight w:val="yellow"/>
          <w:shd w:val="clear" w:color="auto" w:fill="FFFFFF"/>
        </w:rPr>
        <w:t xml:space="preserve"> </w:t>
      </w:r>
      <w:r w:rsidR="0084702A" w:rsidRPr="00526D2F">
        <w:rPr>
          <w:rFonts w:ascii="Arial" w:hAnsi="Arial" w:cs="Arial"/>
          <w:sz w:val="22"/>
          <w:szCs w:val="22"/>
          <w:highlight w:val="yellow"/>
          <w:shd w:val="clear" w:color="auto" w:fill="FFFFFF"/>
        </w:rPr>
        <w:t xml:space="preserve">Australia’s </w:t>
      </w:r>
      <w:r w:rsidR="00457159" w:rsidRPr="00526D2F">
        <w:rPr>
          <w:rFonts w:ascii="Arial" w:hAnsi="Arial" w:cs="Arial"/>
          <w:sz w:val="22"/>
          <w:szCs w:val="22"/>
          <w:highlight w:val="yellow"/>
          <w:shd w:val="clear" w:color="auto" w:fill="FFFFFF"/>
        </w:rPr>
        <w:t xml:space="preserve">Corporation Act </w:t>
      </w:r>
      <w:r w:rsidR="0017697A" w:rsidRPr="00526D2F">
        <w:rPr>
          <w:rFonts w:ascii="Arial" w:hAnsi="Arial" w:cs="Arial"/>
          <w:sz w:val="22"/>
          <w:szCs w:val="22"/>
          <w:highlight w:val="yellow"/>
          <w:shd w:val="clear" w:color="auto" w:fill="FFFFFF"/>
        </w:rPr>
        <w:t xml:space="preserve">allows for </w:t>
      </w:r>
      <w:r w:rsidR="0084702A" w:rsidRPr="00526D2F">
        <w:rPr>
          <w:rFonts w:ascii="Arial" w:hAnsi="Arial" w:cs="Arial"/>
          <w:sz w:val="22"/>
          <w:szCs w:val="22"/>
          <w:highlight w:val="yellow"/>
          <w:shd w:val="clear" w:color="auto" w:fill="FFFFFF"/>
        </w:rPr>
        <w:t xml:space="preserve">directors </w:t>
      </w:r>
      <w:r w:rsidR="0017697A" w:rsidRPr="00526D2F">
        <w:rPr>
          <w:rFonts w:ascii="Arial" w:hAnsi="Arial" w:cs="Arial"/>
          <w:sz w:val="22"/>
          <w:szCs w:val="22"/>
          <w:highlight w:val="yellow"/>
          <w:shd w:val="clear" w:color="auto" w:fill="FFFFFF"/>
        </w:rPr>
        <w:t xml:space="preserve">to </w:t>
      </w:r>
      <w:r w:rsidR="0084702A" w:rsidRPr="00526D2F">
        <w:rPr>
          <w:rFonts w:ascii="Arial" w:hAnsi="Arial" w:cs="Arial"/>
          <w:sz w:val="22"/>
          <w:szCs w:val="22"/>
          <w:highlight w:val="yellow"/>
          <w:shd w:val="clear" w:color="auto" w:fill="FFFFFF"/>
        </w:rPr>
        <w:t>face personal liability when their company is in severe financial difficulties</w:t>
      </w:r>
      <w:r w:rsidR="0017697A" w:rsidRPr="00526D2F">
        <w:rPr>
          <w:rFonts w:ascii="Arial" w:hAnsi="Arial" w:cs="Arial"/>
          <w:sz w:val="22"/>
          <w:szCs w:val="22"/>
          <w:highlight w:val="yellow"/>
          <w:shd w:val="clear" w:color="auto" w:fill="FFFFFF"/>
        </w:rPr>
        <w:t xml:space="preserve"> </w:t>
      </w:r>
      <w:r w:rsidR="00457159" w:rsidRPr="00526D2F">
        <w:rPr>
          <w:rFonts w:ascii="Arial" w:hAnsi="Arial" w:cs="Arial"/>
          <w:sz w:val="22"/>
          <w:szCs w:val="22"/>
          <w:highlight w:val="yellow"/>
          <w:shd w:val="clear" w:color="auto" w:fill="FFFFFF"/>
        </w:rPr>
        <w:t xml:space="preserve">when the directors allow the company to </w:t>
      </w:r>
      <w:r w:rsidR="0017697A" w:rsidRPr="00526D2F">
        <w:rPr>
          <w:rFonts w:ascii="Arial" w:hAnsi="Arial" w:cs="Arial"/>
          <w:sz w:val="22"/>
          <w:szCs w:val="22"/>
          <w:highlight w:val="yellow"/>
          <w:shd w:val="clear" w:color="auto" w:fill="FFFFFF"/>
        </w:rPr>
        <w:t>engage in insolvent trading</w:t>
      </w:r>
      <w:r w:rsidR="0084702A" w:rsidRPr="00526D2F">
        <w:rPr>
          <w:rFonts w:ascii="Arial" w:hAnsi="Arial" w:cs="Arial"/>
          <w:sz w:val="22"/>
          <w:szCs w:val="22"/>
          <w:highlight w:val="yellow"/>
          <w:shd w:val="clear" w:color="auto" w:fill="FFFFFF"/>
        </w:rPr>
        <w:t>.</w:t>
      </w:r>
      <w:r w:rsidR="0084702A" w:rsidRPr="00526D2F">
        <w:rPr>
          <w:rFonts w:ascii="Arial" w:hAnsi="Arial" w:cs="Arial"/>
          <w:sz w:val="22"/>
          <w:szCs w:val="22"/>
          <w:highlight w:val="yellow"/>
          <w:shd w:val="clear" w:color="auto" w:fill="FFFFFF"/>
        </w:rPr>
        <w:t xml:space="preserve"> </w:t>
      </w:r>
      <w:r w:rsidR="0084702A" w:rsidRPr="00526D2F">
        <w:rPr>
          <w:rFonts w:ascii="Arial" w:hAnsi="Arial" w:cs="Arial"/>
          <w:sz w:val="22"/>
          <w:szCs w:val="22"/>
          <w:highlight w:val="yellow"/>
          <w:shd w:val="clear" w:color="auto" w:fill="FFFFFF"/>
        </w:rPr>
        <w:t> </w:t>
      </w:r>
      <w:r w:rsidR="0084702A" w:rsidRPr="00526D2F">
        <w:rPr>
          <w:rFonts w:ascii="Arial" w:hAnsi="Arial" w:cs="Arial"/>
          <w:sz w:val="22"/>
          <w:szCs w:val="22"/>
          <w:highlight w:val="yellow"/>
        </w:rPr>
        <w:t xml:space="preserve"> </w:t>
      </w:r>
      <w:r w:rsidR="0084702A" w:rsidRPr="00526D2F">
        <w:rPr>
          <w:rFonts w:ascii="Arial" w:hAnsi="Arial" w:cs="Arial"/>
          <w:sz w:val="22"/>
          <w:szCs w:val="22"/>
          <w:highlight w:val="yellow"/>
        </w:rPr>
        <w:t xml:space="preserve">The safe </w:t>
      </w:r>
      <w:proofErr w:type="spellStart"/>
      <w:r w:rsidR="0084702A" w:rsidRPr="00526D2F">
        <w:rPr>
          <w:rFonts w:ascii="Arial" w:hAnsi="Arial" w:cs="Arial"/>
          <w:sz w:val="22"/>
          <w:szCs w:val="22"/>
          <w:highlight w:val="yellow"/>
        </w:rPr>
        <w:t>harbour</w:t>
      </w:r>
      <w:proofErr w:type="spellEnd"/>
      <w:r w:rsidR="0084702A" w:rsidRPr="00526D2F">
        <w:rPr>
          <w:rFonts w:ascii="Arial" w:hAnsi="Arial" w:cs="Arial"/>
          <w:sz w:val="22"/>
          <w:szCs w:val="22"/>
          <w:highlight w:val="yellow"/>
        </w:rPr>
        <w:t xml:space="preserve"> regime is designed to give company directors breathing space (and protection from insolvent trading </w:t>
      </w:r>
      <w:r w:rsidR="0084702A" w:rsidRPr="00526D2F">
        <w:rPr>
          <w:rFonts w:ascii="Arial" w:hAnsi="Arial" w:cs="Arial"/>
          <w:sz w:val="22"/>
          <w:szCs w:val="22"/>
          <w:highlight w:val="yellow"/>
        </w:rPr>
        <w:lastRenderedPageBreak/>
        <w:t xml:space="preserve">personal liability) in circumstances where a turnaround plan is being pursued. </w:t>
      </w:r>
      <w:r w:rsidR="0017697A" w:rsidRPr="00526D2F">
        <w:rPr>
          <w:rFonts w:ascii="Arial" w:hAnsi="Arial" w:cs="Arial"/>
          <w:sz w:val="22"/>
          <w:szCs w:val="22"/>
          <w:highlight w:val="yellow"/>
        </w:rPr>
        <w:t xml:space="preserve"> </w:t>
      </w:r>
      <w:r w:rsidR="0084702A" w:rsidRPr="00526D2F">
        <w:rPr>
          <w:rFonts w:ascii="Arial" w:hAnsi="Arial" w:cs="Arial"/>
          <w:sz w:val="22"/>
          <w:szCs w:val="22"/>
          <w:highlight w:val="yellow"/>
        </w:rPr>
        <w:t xml:space="preserve">The safe </w:t>
      </w:r>
      <w:proofErr w:type="spellStart"/>
      <w:r w:rsidR="0084702A" w:rsidRPr="00526D2F">
        <w:rPr>
          <w:rFonts w:ascii="Arial" w:hAnsi="Arial" w:cs="Arial"/>
          <w:sz w:val="22"/>
          <w:szCs w:val="22"/>
          <w:highlight w:val="yellow"/>
        </w:rPr>
        <w:t>harbour</w:t>
      </w:r>
      <w:proofErr w:type="spellEnd"/>
      <w:r w:rsidR="0084702A" w:rsidRPr="00526D2F">
        <w:rPr>
          <w:rFonts w:ascii="Arial" w:hAnsi="Arial" w:cs="Arial"/>
          <w:sz w:val="22"/>
          <w:szCs w:val="22"/>
          <w:highlight w:val="yellow"/>
        </w:rPr>
        <w:t xml:space="preserve"> </w:t>
      </w:r>
      <w:r w:rsidR="00637EC4" w:rsidRPr="00526D2F">
        <w:rPr>
          <w:rFonts w:ascii="Arial" w:hAnsi="Arial" w:cs="Arial"/>
          <w:sz w:val="22"/>
          <w:szCs w:val="22"/>
          <w:highlight w:val="yellow"/>
        </w:rPr>
        <w:t>protections, however,</w:t>
      </w:r>
      <w:r w:rsidR="0017697A" w:rsidRPr="00526D2F">
        <w:rPr>
          <w:rFonts w:ascii="Arial" w:hAnsi="Arial" w:cs="Arial"/>
          <w:sz w:val="22"/>
          <w:szCs w:val="22"/>
          <w:highlight w:val="yellow"/>
        </w:rPr>
        <w:t xml:space="preserve"> can only be used when there is a genuine and </w:t>
      </w:r>
      <w:r w:rsidR="0084702A" w:rsidRPr="00526D2F">
        <w:rPr>
          <w:rFonts w:ascii="Arial" w:hAnsi="Arial" w:cs="Arial"/>
          <w:sz w:val="22"/>
          <w:szCs w:val="22"/>
          <w:highlight w:val="yellow"/>
        </w:rPr>
        <w:t>ongoing attempt to restructure th</w:t>
      </w:r>
      <w:r w:rsidR="0017697A" w:rsidRPr="00526D2F">
        <w:rPr>
          <w:rFonts w:ascii="Arial" w:hAnsi="Arial" w:cs="Arial"/>
          <w:sz w:val="22"/>
          <w:szCs w:val="22"/>
          <w:highlight w:val="yellow"/>
        </w:rPr>
        <w:t>e</w:t>
      </w:r>
      <w:r w:rsidR="0084702A" w:rsidRPr="00526D2F">
        <w:rPr>
          <w:rFonts w:ascii="Arial" w:hAnsi="Arial" w:cs="Arial"/>
          <w:sz w:val="22"/>
          <w:szCs w:val="22"/>
          <w:highlight w:val="yellow"/>
        </w:rPr>
        <w:t xml:space="preserve"> compan</w:t>
      </w:r>
      <w:r w:rsidR="0017697A" w:rsidRPr="00526D2F">
        <w:rPr>
          <w:rFonts w:ascii="Arial" w:hAnsi="Arial" w:cs="Arial"/>
          <w:sz w:val="22"/>
          <w:szCs w:val="22"/>
          <w:highlight w:val="yellow"/>
        </w:rPr>
        <w:t xml:space="preserve">y </w:t>
      </w:r>
      <w:r w:rsidR="0084702A" w:rsidRPr="00526D2F">
        <w:rPr>
          <w:rFonts w:ascii="Arial" w:hAnsi="Arial" w:cs="Arial"/>
          <w:sz w:val="22"/>
          <w:szCs w:val="22"/>
          <w:highlight w:val="yellow"/>
        </w:rPr>
        <w:t xml:space="preserve">to </w:t>
      </w:r>
      <w:r w:rsidR="0017697A" w:rsidRPr="00526D2F">
        <w:rPr>
          <w:rFonts w:ascii="Arial" w:hAnsi="Arial" w:cs="Arial"/>
          <w:sz w:val="22"/>
          <w:szCs w:val="22"/>
          <w:highlight w:val="yellow"/>
        </w:rPr>
        <w:t xml:space="preserve">prevent </w:t>
      </w:r>
      <w:r w:rsidR="0084702A" w:rsidRPr="00526D2F">
        <w:rPr>
          <w:rFonts w:ascii="Arial" w:hAnsi="Arial" w:cs="Arial"/>
          <w:sz w:val="22"/>
          <w:szCs w:val="22"/>
          <w:highlight w:val="yellow"/>
        </w:rPr>
        <w:t>insolvenc</w:t>
      </w:r>
      <w:r w:rsidR="0017697A" w:rsidRPr="00526D2F">
        <w:rPr>
          <w:rFonts w:ascii="Arial" w:hAnsi="Arial" w:cs="Arial"/>
          <w:sz w:val="22"/>
          <w:szCs w:val="22"/>
          <w:highlight w:val="yellow"/>
        </w:rPr>
        <w:t>y/administration.</w:t>
      </w:r>
      <w:r w:rsidR="0017697A" w:rsidRPr="0053225A">
        <w:rPr>
          <w:rFonts w:ascii="Arial" w:hAnsi="Arial" w:cs="Arial"/>
          <w:sz w:val="22"/>
          <w:szCs w:val="22"/>
        </w:rPr>
        <w:t xml:space="preserve"> </w:t>
      </w:r>
    </w:p>
    <w:p w14:paraId="1CEC5427" w14:textId="52F1E471" w:rsidR="0084702A" w:rsidRPr="00676E8A" w:rsidRDefault="0084702A" w:rsidP="00676E8A">
      <w:pPr>
        <w:jc w:val="both"/>
        <w:rPr>
          <w:rFonts w:ascii="Arial" w:hAnsi="Arial" w:cs="Arial"/>
          <w:sz w:val="22"/>
          <w:szCs w:val="22"/>
          <w:lang w:val="en-GB"/>
        </w:rPr>
      </w:pPr>
    </w:p>
    <w:p w14:paraId="7E9B0017" w14:textId="77777777" w:rsidR="008420F8" w:rsidRPr="00676E8A" w:rsidRDefault="008420F8" w:rsidP="00676E8A">
      <w:pPr>
        <w:jc w:val="both"/>
        <w:rPr>
          <w:rFonts w:ascii="Arial" w:hAnsi="Arial" w:cs="Arial"/>
          <w:sz w:val="22"/>
          <w:szCs w:val="22"/>
          <w:lang w:val="en-GB"/>
        </w:rPr>
      </w:pPr>
    </w:p>
    <w:p w14:paraId="63D462BA" w14:textId="77777777" w:rsidR="00FC7249" w:rsidRPr="00676E8A" w:rsidRDefault="00FC7249" w:rsidP="00676E8A">
      <w:pPr>
        <w:jc w:val="both"/>
        <w:rPr>
          <w:rFonts w:ascii="Arial" w:hAnsi="Arial" w:cs="Arial"/>
          <w:sz w:val="22"/>
          <w:szCs w:val="22"/>
          <w:lang w:val="en-GB"/>
        </w:rPr>
      </w:pPr>
    </w:p>
    <w:bookmarkEnd w:id="11"/>
    <w:bookmarkEnd w:id="14"/>
    <w:p w14:paraId="68CCCFE5" w14:textId="0AB0D753"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25BD8E25" w14:textId="77777777" w:rsidR="00B240F9" w:rsidRPr="00B2234F" w:rsidRDefault="00B240F9" w:rsidP="00B240F9">
      <w:pPr>
        <w:jc w:val="center"/>
        <w:rPr>
          <w:rFonts w:ascii="Avenir Next" w:hAnsi="Avenir Next"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headerReference w:type="even" r:id="rId50"/>
      <w:headerReference w:type="default" r:id="rId51"/>
      <w:footerReference w:type="even" r:id="rId52"/>
      <w:footerReference w:type="default" r:id="rId53"/>
      <w:headerReference w:type="first" r:id="rId54"/>
      <w:footerReference w:type="first" r:id="rId5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8E25" w14:textId="77777777" w:rsidR="00336E8D" w:rsidRDefault="00336E8D" w:rsidP="00241B44">
      <w:r>
        <w:separator/>
      </w:r>
    </w:p>
  </w:endnote>
  <w:endnote w:type="continuationSeparator" w:id="0">
    <w:p w14:paraId="3D59F55C" w14:textId="77777777" w:rsidR="00336E8D" w:rsidRDefault="00336E8D" w:rsidP="00241B44">
      <w:r>
        <w:continuationSeparator/>
      </w:r>
    </w:p>
  </w:endnote>
  <w:endnote w:type="continuationNotice" w:id="1">
    <w:p w14:paraId="495E65AA" w14:textId="77777777" w:rsidR="00336E8D" w:rsidRDefault="00336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182830BE" w:rsidR="00542A3A" w:rsidRPr="009B4976" w:rsidRDefault="00883502" w:rsidP="009B4976">
    <w:pPr>
      <w:pStyle w:val="Footer"/>
      <w:ind w:right="360"/>
      <w:rPr>
        <w:rFonts w:ascii="Arial" w:hAnsi="Arial" w:cs="Arial"/>
        <w:sz w:val="18"/>
        <w:szCs w:val="18"/>
        <w:lang w:val="en-GB"/>
      </w:rPr>
    </w:pPr>
    <w:r w:rsidRPr="00736A44">
      <w:rPr>
        <w:rFonts w:ascii="Arial" w:hAnsi="Arial" w:cs="Arial"/>
        <w:color w:val="242424"/>
        <w:szCs w:val="20"/>
        <w:shd w:val="clear" w:color="auto" w:fill="FFFFFF"/>
      </w:rPr>
      <w:t>202122-643</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BD25" w14:textId="77777777" w:rsidR="00883502" w:rsidRDefault="0088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718E" w14:textId="77777777" w:rsidR="00336E8D" w:rsidRDefault="00336E8D" w:rsidP="00241B44">
      <w:r>
        <w:separator/>
      </w:r>
    </w:p>
  </w:footnote>
  <w:footnote w:type="continuationSeparator" w:id="0">
    <w:p w14:paraId="7F538A62" w14:textId="77777777" w:rsidR="00336E8D" w:rsidRDefault="00336E8D" w:rsidP="00241B44">
      <w:r>
        <w:continuationSeparator/>
      </w:r>
    </w:p>
  </w:footnote>
  <w:footnote w:type="continuationNotice" w:id="1">
    <w:p w14:paraId="2D6E0969" w14:textId="77777777" w:rsidR="00336E8D" w:rsidRDefault="00336E8D"/>
  </w:footnote>
  <w:footnote w:id="2">
    <w:p w14:paraId="4FBDE35E" w14:textId="77777777" w:rsidR="007858AB" w:rsidRDefault="007858AB" w:rsidP="007858AB">
      <w:pPr>
        <w:pStyle w:val="FootnoteText"/>
      </w:pPr>
      <w:r>
        <w:rPr>
          <w:rStyle w:val="FootnoteReference"/>
        </w:rPr>
        <w:footnoteRef/>
      </w:r>
      <w:r>
        <w:t xml:space="preserve"> As provided in Article 6 of the Model Law.</w:t>
      </w:r>
    </w:p>
  </w:footnote>
  <w:footnote w:id="3">
    <w:p w14:paraId="42C8602B" w14:textId="77777777" w:rsidR="007858AB" w:rsidRDefault="007858AB" w:rsidP="007858AB">
      <w:pPr>
        <w:pStyle w:val="FootnoteText"/>
      </w:pPr>
      <w:r>
        <w:rPr>
          <w:rStyle w:val="FootnoteReference"/>
        </w:rPr>
        <w:footnoteRef/>
      </w:r>
      <w:r>
        <w:t xml:space="preserve"> 2010 190 FCR 285.</w:t>
      </w:r>
    </w:p>
  </w:footnote>
  <w:footnote w:id="4">
    <w:p w14:paraId="1C1E355A" w14:textId="77777777" w:rsidR="007858AB" w:rsidRPr="00126EA8" w:rsidRDefault="007858AB" w:rsidP="007858AB">
      <w:pPr>
        <w:pStyle w:val="FootnoteText"/>
        <w:rPr>
          <w:rFonts w:ascii="Arial" w:hAnsi="Arial" w:cs="Arial"/>
        </w:rPr>
      </w:pPr>
      <w:r>
        <w:rPr>
          <w:rStyle w:val="FootnoteReference"/>
        </w:rPr>
        <w:footnoteRef/>
      </w:r>
      <w:r>
        <w:t xml:space="preserve"> </w:t>
      </w:r>
      <w:hyperlink r:id="rId1" w:history="1">
        <w:r w:rsidRPr="00126EA8">
          <w:rPr>
            <w:rStyle w:val="Hyperlink"/>
            <w:rFonts w:ascii="Arial" w:hAnsi="Arial" w:cs="Arial"/>
            <w:color w:val="auto"/>
            <w:u w:val="none"/>
          </w:rPr>
          <w:t>[2006] Ch 541-542</w:t>
        </w:r>
      </w:hyperlink>
      <w:r w:rsidRPr="00126EA8">
        <w:rPr>
          <w:rFonts w:ascii="Arial" w:hAnsi="Arial" w:cs="Arial"/>
        </w:rPr>
        <w:t> [29]-[37]</w:t>
      </w:r>
      <w:r>
        <w:rPr>
          <w:rFonts w:ascii="Arial" w:hAnsi="Arial" w:cs="Arial"/>
        </w:rPr>
        <w:t>.</w:t>
      </w:r>
    </w:p>
  </w:footnote>
  <w:footnote w:id="5">
    <w:p w14:paraId="4DF18E78" w14:textId="77777777" w:rsidR="007858AB" w:rsidRPr="00126EA8" w:rsidRDefault="007858AB" w:rsidP="007858AB">
      <w:pPr>
        <w:pStyle w:val="FootnoteText"/>
        <w:rPr>
          <w:rFonts w:ascii="Arial" w:hAnsi="Arial" w:cs="Arial"/>
        </w:rPr>
      </w:pPr>
      <w:r w:rsidRPr="00126EA8">
        <w:rPr>
          <w:rStyle w:val="FootnoteReference"/>
          <w:rFonts w:ascii="Arial" w:hAnsi="Arial" w:cs="Arial"/>
        </w:rPr>
        <w:footnoteRef/>
      </w:r>
      <w:r w:rsidRPr="00126EA8">
        <w:rPr>
          <w:rFonts w:ascii="Arial" w:hAnsi="Arial" w:cs="Arial"/>
        </w:rPr>
        <w:t xml:space="preserve"> </w:t>
      </w:r>
      <w:r>
        <w:rPr>
          <w:rFonts w:ascii="Arial" w:hAnsi="Arial" w:cs="Arial"/>
        </w:rPr>
        <w:t>[</w:t>
      </w:r>
      <w:r w:rsidRPr="00126EA8">
        <w:rPr>
          <w:rFonts w:ascii="Arial" w:hAnsi="Arial" w:cs="Arial"/>
        </w:rPr>
        <w:t>2014] FCAFC 57</w:t>
      </w:r>
    </w:p>
  </w:footnote>
  <w:footnote w:id="6">
    <w:p w14:paraId="46F36417" w14:textId="77777777" w:rsidR="007858AB" w:rsidRPr="00843B0C" w:rsidRDefault="007858AB" w:rsidP="007858AB">
      <w:pPr>
        <w:pStyle w:val="FootnoteText"/>
        <w:rPr>
          <w:rFonts w:ascii="Arial Narrow" w:hAnsi="Arial Narrow"/>
        </w:rPr>
      </w:pPr>
      <w:r>
        <w:rPr>
          <w:rStyle w:val="FootnoteReference"/>
        </w:rPr>
        <w:footnoteRef/>
      </w:r>
      <w:r>
        <w:t xml:space="preserve"> </w:t>
      </w:r>
      <w:r w:rsidRPr="00843B0C">
        <w:rPr>
          <w:rFonts w:ascii="Arial Narrow" w:hAnsi="Arial Narrow"/>
        </w:rPr>
        <w:t>See paragraph 165 of Ackers v Deputy Commissioner of Taxation 2014 FCAFC 57</w:t>
      </w:r>
    </w:p>
  </w:footnote>
  <w:footnote w:id="7">
    <w:p w14:paraId="26A7C3E0" w14:textId="77777777" w:rsidR="00E47156" w:rsidRDefault="00E47156" w:rsidP="00E47156">
      <w:pPr>
        <w:pStyle w:val="FootnoteText"/>
      </w:pPr>
      <w:r>
        <w:rPr>
          <w:rStyle w:val="FootnoteReference"/>
        </w:rPr>
        <w:footnoteRef/>
      </w:r>
      <w:r>
        <w:t xml:space="preserve"> </w:t>
      </w:r>
      <w:hyperlink r:id="rId2" w:anchor=":~:text=A%20deed%20of%20company%20arrangement%20(DOCA)%20is%20a%20binding%20arrangement,the%20company%20enters%20voluntary%20administration" w:history="1">
        <w:r w:rsidRPr="005572F5">
          <w:rPr>
            <w:rStyle w:val="Hyperlink"/>
          </w:rPr>
          <w:t>https://asic.gov.au/regulatory-resources/insolvency/insolvency-for-creditors/deed-of-company-arrangement-for-creditors/#:~:text=A%20deed%20of%20company%20arrangement%20(DOCA)%20is%20a%20binding%20arrangement,the%20company%20enters%20voluntary%20administration</w:t>
        </w:r>
      </w:hyperlink>
      <w:r w:rsidRPr="00203F1E">
        <w:t>.</w:t>
      </w:r>
    </w:p>
    <w:p w14:paraId="0D123FAB" w14:textId="77777777" w:rsidR="00E47156" w:rsidRDefault="00E47156" w:rsidP="00E47156">
      <w:pPr>
        <w:pStyle w:val="FootnoteText"/>
      </w:pPr>
    </w:p>
  </w:footnote>
  <w:footnote w:id="8">
    <w:p w14:paraId="10214E0D" w14:textId="77777777" w:rsidR="00E47156" w:rsidRDefault="00E47156" w:rsidP="00E47156">
      <w:pPr>
        <w:pStyle w:val="FootnoteText"/>
      </w:pPr>
      <w:r>
        <w:rPr>
          <w:rStyle w:val="FootnoteReference"/>
        </w:rPr>
        <w:footnoteRef/>
      </w:r>
      <w:r>
        <w:t xml:space="preserve"> See 1996 65 FCR 234…</w:t>
      </w:r>
    </w:p>
  </w:footnote>
  <w:footnote w:id="9">
    <w:p w14:paraId="2D41A600" w14:textId="47CC9B29" w:rsidR="0053225A" w:rsidRPr="0053225A" w:rsidRDefault="0053225A">
      <w:pPr>
        <w:pStyle w:val="FootnoteText"/>
        <w:rPr>
          <w:rFonts w:ascii="Arial" w:hAnsi="Arial" w:cs="Arial"/>
          <w:sz w:val="18"/>
          <w:szCs w:val="18"/>
        </w:rPr>
      </w:pPr>
      <w:r w:rsidRPr="0053225A">
        <w:rPr>
          <w:rStyle w:val="FootnoteReference"/>
          <w:rFonts w:ascii="Arial" w:hAnsi="Arial" w:cs="Arial"/>
          <w:sz w:val="18"/>
          <w:szCs w:val="18"/>
        </w:rPr>
        <w:footnoteRef/>
      </w:r>
      <w:r w:rsidRPr="0053225A">
        <w:rPr>
          <w:rFonts w:ascii="Arial" w:hAnsi="Arial" w:cs="Arial"/>
          <w:sz w:val="18"/>
          <w:szCs w:val="18"/>
        </w:rPr>
        <w:t xml:space="preserve"> In </w:t>
      </w:r>
      <w:r w:rsidRPr="0053225A">
        <w:rPr>
          <w:rStyle w:val="Emphasis"/>
          <w:rFonts w:ascii="Arial" w:hAnsi="Arial" w:cs="Arial"/>
          <w:color w:val="1A1A1A"/>
          <w:sz w:val="18"/>
          <w:szCs w:val="18"/>
          <w:shd w:val="clear" w:color="auto" w:fill="FFFFFF"/>
        </w:rPr>
        <w:t>BTI 2014 LLC v. Sequana SA and Others [2022] UKSC 25</w:t>
      </w:r>
      <w:r w:rsidRPr="0053225A">
        <w:rPr>
          <w:rFonts w:ascii="Arial" w:hAnsi="Arial" w:cs="Arial"/>
          <w:color w:val="1A1A1A"/>
          <w:sz w:val="18"/>
          <w:szCs w:val="18"/>
          <w:shd w:val="clear" w:color="auto" w:fill="FFFFFF"/>
        </w:rPr>
        <w:t xml:space="preserve">, The UK Supreme Court </w:t>
      </w:r>
      <w:r w:rsidRPr="0053225A">
        <w:rPr>
          <w:rFonts w:ascii="Arial" w:hAnsi="Arial" w:cs="Arial"/>
          <w:color w:val="1A1A1A"/>
          <w:sz w:val="18"/>
          <w:szCs w:val="18"/>
          <w:shd w:val="clear" w:color="auto" w:fill="FFFFFF"/>
        </w:rPr>
        <w:t>confirmed the existence of a duty owed by company directors to consider the interests of its creditors when nearing insolvency.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7ECE" w14:textId="77777777" w:rsidR="00883502" w:rsidRDefault="00883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1AC3" w14:textId="77777777" w:rsidR="00883502" w:rsidRDefault="00883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FA2D" w14:textId="77777777" w:rsidR="00883502" w:rsidRDefault="00883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14C94"/>
    <w:multiLevelType w:val="multilevel"/>
    <w:tmpl w:val="36E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083234B"/>
    <w:multiLevelType w:val="hybridMultilevel"/>
    <w:tmpl w:val="AF00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5E746F"/>
    <w:multiLevelType w:val="multilevel"/>
    <w:tmpl w:val="497C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091409"/>
    <w:multiLevelType w:val="hybridMultilevel"/>
    <w:tmpl w:val="C636B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F1530"/>
    <w:multiLevelType w:val="multilevel"/>
    <w:tmpl w:val="08E8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70D20"/>
    <w:multiLevelType w:val="hybridMultilevel"/>
    <w:tmpl w:val="729C2A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D6925"/>
    <w:multiLevelType w:val="multilevel"/>
    <w:tmpl w:val="08E8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1272D96"/>
    <w:multiLevelType w:val="hybridMultilevel"/>
    <w:tmpl w:val="227A19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297E9A"/>
    <w:multiLevelType w:val="multilevel"/>
    <w:tmpl w:val="37DC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257B69"/>
    <w:multiLevelType w:val="hybridMultilevel"/>
    <w:tmpl w:val="7AA0DA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8608766">
    <w:abstractNumId w:val="30"/>
  </w:num>
  <w:num w:numId="2" w16cid:durableId="2067097967">
    <w:abstractNumId w:val="14"/>
  </w:num>
  <w:num w:numId="3" w16cid:durableId="1678575228">
    <w:abstractNumId w:val="12"/>
  </w:num>
  <w:num w:numId="4" w16cid:durableId="472720342">
    <w:abstractNumId w:val="27"/>
  </w:num>
  <w:num w:numId="5" w16cid:durableId="670915292">
    <w:abstractNumId w:val="13"/>
  </w:num>
  <w:num w:numId="6" w16cid:durableId="1671562393">
    <w:abstractNumId w:val="20"/>
  </w:num>
  <w:num w:numId="7" w16cid:durableId="1146049065">
    <w:abstractNumId w:val="29"/>
  </w:num>
  <w:num w:numId="8" w16cid:durableId="1530872600">
    <w:abstractNumId w:val="25"/>
  </w:num>
  <w:num w:numId="9" w16cid:durableId="2074430214">
    <w:abstractNumId w:val="11"/>
  </w:num>
  <w:num w:numId="10" w16cid:durableId="108204550">
    <w:abstractNumId w:val="8"/>
  </w:num>
  <w:num w:numId="11" w16cid:durableId="1608192728">
    <w:abstractNumId w:val="0"/>
  </w:num>
  <w:num w:numId="12" w16cid:durableId="302003493">
    <w:abstractNumId w:val="26"/>
  </w:num>
  <w:num w:numId="13" w16cid:durableId="259414585">
    <w:abstractNumId w:val="31"/>
  </w:num>
  <w:num w:numId="14" w16cid:durableId="1347246271">
    <w:abstractNumId w:val="10"/>
  </w:num>
  <w:num w:numId="15" w16cid:durableId="109251631">
    <w:abstractNumId w:val="5"/>
  </w:num>
  <w:num w:numId="16" w16cid:durableId="1877114384">
    <w:abstractNumId w:val="2"/>
  </w:num>
  <w:num w:numId="17" w16cid:durableId="637416601">
    <w:abstractNumId w:val="35"/>
  </w:num>
  <w:num w:numId="18" w16cid:durableId="1612587816">
    <w:abstractNumId w:val="6"/>
  </w:num>
  <w:num w:numId="19" w16cid:durableId="1459183093">
    <w:abstractNumId w:val="23"/>
  </w:num>
  <w:num w:numId="20" w16cid:durableId="605697812">
    <w:abstractNumId w:val="3"/>
  </w:num>
  <w:num w:numId="21" w16cid:durableId="1777407972">
    <w:abstractNumId w:val="21"/>
  </w:num>
  <w:num w:numId="22" w16cid:durableId="673191550">
    <w:abstractNumId w:val="36"/>
  </w:num>
  <w:num w:numId="23" w16cid:durableId="991636579">
    <w:abstractNumId w:val="15"/>
  </w:num>
  <w:num w:numId="24" w16cid:durableId="1964532047">
    <w:abstractNumId w:val="22"/>
  </w:num>
  <w:num w:numId="25" w16cid:durableId="818230520">
    <w:abstractNumId w:val="24"/>
  </w:num>
  <w:num w:numId="26" w16cid:durableId="1471508629">
    <w:abstractNumId w:val="28"/>
  </w:num>
  <w:num w:numId="27" w16cid:durableId="524058520">
    <w:abstractNumId w:val="7"/>
  </w:num>
  <w:num w:numId="28" w16cid:durableId="1917978418">
    <w:abstractNumId w:val="16"/>
  </w:num>
  <w:num w:numId="29" w16cid:durableId="1502545184">
    <w:abstractNumId w:val="4"/>
  </w:num>
  <w:num w:numId="30" w16cid:durableId="720903140">
    <w:abstractNumId w:val="19"/>
    <w:lvlOverride w:ilvl="0">
      <w:startOverride w:val="27"/>
    </w:lvlOverride>
  </w:num>
  <w:num w:numId="31" w16cid:durableId="347610210">
    <w:abstractNumId w:val="17"/>
  </w:num>
  <w:num w:numId="32" w16cid:durableId="607468752">
    <w:abstractNumId w:val="33"/>
  </w:num>
  <w:num w:numId="33" w16cid:durableId="1153987702">
    <w:abstractNumId w:val="9"/>
  </w:num>
  <w:num w:numId="34" w16cid:durableId="1942566321">
    <w:abstractNumId w:val="18"/>
  </w:num>
  <w:num w:numId="35" w16cid:durableId="1709377031">
    <w:abstractNumId w:val="1"/>
  </w:num>
  <w:num w:numId="36" w16cid:durableId="1489907114">
    <w:abstractNumId w:val="32"/>
  </w:num>
  <w:num w:numId="37" w16cid:durableId="51866386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771DC"/>
    <w:rsid w:val="00082609"/>
    <w:rsid w:val="000851CC"/>
    <w:rsid w:val="00087F21"/>
    <w:rsid w:val="00093BE8"/>
    <w:rsid w:val="000A407B"/>
    <w:rsid w:val="000A68ED"/>
    <w:rsid w:val="000B081C"/>
    <w:rsid w:val="000B5FF1"/>
    <w:rsid w:val="000B609F"/>
    <w:rsid w:val="000C648D"/>
    <w:rsid w:val="000D2487"/>
    <w:rsid w:val="000D55A8"/>
    <w:rsid w:val="000E4841"/>
    <w:rsid w:val="000F1677"/>
    <w:rsid w:val="000F3D6C"/>
    <w:rsid w:val="00101707"/>
    <w:rsid w:val="00102CC9"/>
    <w:rsid w:val="0010593A"/>
    <w:rsid w:val="0011473D"/>
    <w:rsid w:val="00115C85"/>
    <w:rsid w:val="001217B5"/>
    <w:rsid w:val="00123855"/>
    <w:rsid w:val="00126A4D"/>
    <w:rsid w:val="001316B3"/>
    <w:rsid w:val="0013356C"/>
    <w:rsid w:val="0014171F"/>
    <w:rsid w:val="0014622C"/>
    <w:rsid w:val="001520A0"/>
    <w:rsid w:val="00152348"/>
    <w:rsid w:val="0015456D"/>
    <w:rsid w:val="00155FA2"/>
    <w:rsid w:val="00161F1B"/>
    <w:rsid w:val="00162829"/>
    <w:rsid w:val="00176286"/>
    <w:rsid w:val="0017697A"/>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9D1"/>
    <w:rsid w:val="00202DFE"/>
    <w:rsid w:val="0020653B"/>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219C"/>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E3C65"/>
    <w:rsid w:val="002F1956"/>
    <w:rsid w:val="002F3440"/>
    <w:rsid w:val="002F71CF"/>
    <w:rsid w:val="002F75A3"/>
    <w:rsid w:val="00303C2F"/>
    <w:rsid w:val="003042CB"/>
    <w:rsid w:val="003144EF"/>
    <w:rsid w:val="0031579E"/>
    <w:rsid w:val="00321D73"/>
    <w:rsid w:val="003223C1"/>
    <w:rsid w:val="00326292"/>
    <w:rsid w:val="00326415"/>
    <w:rsid w:val="00327917"/>
    <w:rsid w:val="00330937"/>
    <w:rsid w:val="00330F31"/>
    <w:rsid w:val="00334648"/>
    <w:rsid w:val="003361F2"/>
    <w:rsid w:val="00336E8D"/>
    <w:rsid w:val="0033768C"/>
    <w:rsid w:val="00337938"/>
    <w:rsid w:val="00340769"/>
    <w:rsid w:val="00341AA6"/>
    <w:rsid w:val="00344057"/>
    <w:rsid w:val="0035372F"/>
    <w:rsid w:val="00361A0A"/>
    <w:rsid w:val="00364836"/>
    <w:rsid w:val="0036565C"/>
    <w:rsid w:val="0036625E"/>
    <w:rsid w:val="00373041"/>
    <w:rsid w:val="0037465A"/>
    <w:rsid w:val="00382C98"/>
    <w:rsid w:val="0038533C"/>
    <w:rsid w:val="00386568"/>
    <w:rsid w:val="00390B57"/>
    <w:rsid w:val="003948D5"/>
    <w:rsid w:val="00396821"/>
    <w:rsid w:val="00397D3A"/>
    <w:rsid w:val="003A051E"/>
    <w:rsid w:val="003A540E"/>
    <w:rsid w:val="003B170F"/>
    <w:rsid w:val="003B3C5F"/>
    <w:rsid w:val="003C226C"/>
    <w:rsid w:val="003C4471"/>
    <w:rsid w:val="003D0A6D"/>
    <w:rsid w:val="003E0B16"/>
    <w:rsid w:val="003E67D1"/>
    <w:rsid w:val="00404329"/>
    <w:rsid w:val="00405DC1"/>
    <w:rsid w:val="00415F1F"/>
    <w:rsid w:val="00416D2B"/>
    <w:rsid w:val="004205BB"/>
    <w:rsid w:val="00420C77"/>
    <w:rsid w:val="0042108F"/>
    <w:rsid w:val="00422295"/>
    <w:rsid w:val="00430FED"/>
    <w:rsid w:val="00433844"/>
    <w:rsid w:val="00434A8C"/>
    <w:rsid w:val="00437297"/>
    <w:rsid w:val="00444284"/>
    <w:rsid w:val="00445CE6"/>
    <w:rsid w:val="004534C2"/>
    <w:rsid w:val="0045446F"/>
    <w:rsid w:val="0045683E"/>
    <w:rsid w:val="00457159"/>
    <w:rsid w:val="00477C72"/>
    <w:rsid w:val="00491675"/>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E3A6B"/>
    <w:rsid w:val="004E622C"/>
    <w:rsid w:val="004F5FDF"/>
    <w:rsid w:val="005122FF"/>
    <w:rsid w:val="005177FE"/>
    <w:rsid w:val="0052263B"/>
    <w:rsid w:val="00524728"/>
    <w:rsid w:val="00526091"/>
    <w:rsid w:val="00526D2F"/>
    <w:rsid w:val="00532230"/>
    <w:rsid w:val="0053225A"/>
    <w:rsid w:val="005331CA"/>
    <w:rsid w:val="00533704"/>
    <w:rsid w:val="00537970"/>
    <w:rsid w:val="00540E3A"/>
    <w:rsid w:val="00542A3A"/>
    <w:rsid w:val="00544127"/>
    <w:rsid w:val="00544FF6"/>
    <w:rsid w:val="005463A9"/>
    <w:rsid w:val="00551038"/>
    <w:rsid w:val="005522C4"/>
    <w:rsid w:val="00553383"/>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48"/>
    <w:rsid w:val="00610388"/>
    <w:rsid w:val="00610AC7"/>
    <w:rsid w:val="00612CA5"/>
    <w:rsid w:val="006153EC"/>
    <w:rsid w:val="00621A17"/>
    <w:rsid w:val="00627A10"/>
    <w:rsid w:val="00627CC9"/>
    <w:rsid w:val="00627E7B"/>
    <w:rsid w:val="00630542"/>
    <w:rsid w:val="00632E44"/>
    <w:rsid w:val="00634622"/>
    <w:rsid w:val="00636808"/>
    <w:rsid w:val="00637EC4"/>
    <w:rsid w:val="00641515"/>
    <w:rsid w:val="00654C2F"/>
    <w:rsid w:val="00657087"/>
    <w:rsid w:val="006639DB"/>
    <w:rsid w:val="006661EF"/>
    <w:rsid w:val="00671AF1"/>
    <w:rsid w:val="00676E8A"/>
    <w:rsid w:val="00677AEB"/>
    <w:rsid w:val="00680EF2"/>
    <w:rsid w:val="00687A1D"/>
    <w:rsid w:val="00690AFA"/>
    <w:rsid w:val="00697EA1"/>
    <w:rsid w:val="006A2646"/>
    <w:rsid w:val="006A4280"/>
    <w:rsid w:val="006A5375"/>
    <w:rsid w:val="006A6530"/>
    <w:rsid w:val="006B435A"/>
    <w:rsid w:val="006B4C64"/>
    <w:rsid w:val="006B7879"/>
    <w:rsid w:val="006D6BD5"/>
    <w:rsid w:val="006E481A"/>
    <w:rsid w:val="006E5298"/>
    <w:rsid w:val="006E6760"/>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50BC7"/>
    <w:rsid w:val="007522E8"/>
    <w:rsid w:val="00756B69"/>
    <w:rsid w:val="007603F5"/>
    <w:rsid w:val="00763CA5"/>
    <w:rsid w:val="00764DB0"/>
    <w:rsid w:val="0076764D"/>
    <w:rsid w:val="0077498C"/>
    <w:rsid w:val="00775C59"/>
    <w:rsid w:val="007809BC"/>
    <w:rsid w:val="00781022"/>
    <w:rsid w:val="00784128"/>
    <w:rsid w:val="00785534"/>
    <w:rsid w:val="007858AB"/>
    <w:rsid w:val="00787BCC"/>
    <w:rsid w:val="007908C5"/>
    <w:rsid w:val="00793173"/>
    <w:rsid w:val="00796B95"/>
    <w:rsid w:val="007A2A33"/>
    <w:rsid w:val="007B0228"/>
    <w:rsid w:val="007B22CF"/>
    <w:rsid w:val="007B3A5E"/>
    <w:rsid w:val="007B5C89"/>
    <w:rsid w:val="007C1FCC"/>
    <w:rsid w:val="007C6201"/>
    <w:rsid w:val="007D7C92"/>
    <w:rsid w:val="007E1154"/>
    <w:rsid w:val="007E6BA4"/>
    <w:rsid w:val="007E7432"/>
    <w:rsid w:val="007F41F8"/>
    <w:rsid w:val="007F659B"/>
    <w:rsid w:val="00800BA5"/>
    <w:rsid w:val="0080454E"/>
    <w:rsid w:val="00804C32"/>
    <w:rsid w:val="00806302"/>
    <w:rsid w:val="00807119"/>
    <w:rsid w:val="008235B7"/>
    <w:rsid w:val="00823B29"/>
    <w:rsid w:val="0082483F"/>
    <w:rsid w:val="008279C0"/>
    <w:rsid w:val="008420F8"/>
    <w:rsid w:val="008465BE"/>
    <w:rsid w:val="0084702A"/>
    <w:rsid w:val="00867701"/>
    <w:rsid w:val="00867C22"/>
    <w:rsid w:val="008723F3"/>
    <w:rsid w:val="0087682F"/>
    <w:rsid w:val="00876F56"/>
    <w:rsid w:val="00881DE6"/>
    <w:rsid w:val="00883502"/>
    <w:rsid w:val="008837A6"/>
    <w:rsid w:val="008904EA"/>
    <w:rsid w:val="0089145D"/>
    <w:rsid w:val="0089536F"/>
    <w:rsid w:val="008A1A7E"/>
    <w:rsid w:val="008A3075"/>
    <w:rsid w:val="008A4DF2"/>
    <w:rsid w:val="008A6CFE"/>
    <w:rsid w:val="008A7666"/>
    <w:rsid w:val="008B5333"/>
    <w:rsid w:val="008B6223"/>
    <w:rsid w:val="008C3FB9"/>
    <w:rsid w:val="008C66E0"/>
    <w:rsid w:val="008D4D4A"/>
    <w:rsid w:val="008E3339"/>
    <w:rsid w:val="008F20FC"/>
    <w:rsid w:val="008F240F"/>
    <w:rsid w:val="008F2C4E"/>
    <w:rsid w:val="008F5FFE"/>
    <w:rsid w:val="00905A43"/>
    <w:rsid w:val="00906D8C"/>
    <w:rsid w:val="00912C79"/>
    <w:rsid w:val="00921B8C"/>
    <w:rsid w:val="00942123"/>
    <w:rsid w:val="009512E1"/>
    <w:rsid w:val="0095207B"/>
    <w:rsid w:val="00962045"/>
    <w:rsid w:val="00980E61"/>
    <w:rsid w:val="00984649"/>
    <w:rsid w:val="00991428"/>
    <w:rsid w:val="0099169D"/>
    <w:rsid w:val="00992676"/>
    <w:rsid w:val="009954B2"/>
    <w:rsid w:val="00996691"/>
    <w:rsid w:val="009A3AB7"/>
    <w:rsid w:val="009B01E9"/>
    <w:rsid w:val="009B0723"/>
    <w:rsid w:val="009B07AD"/>
    <w:rsid w:val="009B0883"/>
    <w:rsid w:val="009B15E2"/>
    <w:rsid w:val="009B4976"/>
    <w:rsid w:val="009C0B8E"/>
    <w:rsid w:val="009C1BC8"/>
    <w:rsid w:val="009C2442"/>
    <w:rsid w:val="009D0811"/>
    <w:rsid w:val="009D0EE1"/>
    <w:rsid w:val="009D20B1"/>
    <w:rsid w:val="009D3A0C"/>
    <w:rsid w:val="009D3F45"/>
    <w:rsid w:val="009E2AEB"/>
    <w:rsid w:val="009E2E27"/>
    <w:rsid w:val="009E45DF"/>
    <w:rsid w:val="009E4DE3"/>
    <w:rsid w:val="009F275E"/>
    <w:rsid w:val="009F2E51"/>
    <w:rsid w:val="00A01922"/>
    <w:rsid w:val="00A047EE"/>
    <w:rsid w:val="00A15DC7"/>
    <w:rsid w:val="00A21FA5"/>
    <w:rsid w:val="00A2274A"/>
    <w:rsid w:val="00A235B7"/>
    <w:rsid w:val="00A25FDF"/>
    <w:rsid w:val="00A27A7A"/>
    <w:rsid w:val="00A27DC9"/>
    <w:rsid w:val="00A34ABE"/>
    <w:rsid w:val="00A407EF"/>
    <w:rsid w:val="00A42553"/>
    <w:rsid w:val="00A46B4C"/>
    <w:rsid w:val="00A5117B"/>
    <w:rsid w:val="00A55389"/>
    <w:rsid w:val="00A56D34"/>
    <w:rsid w:val="00A60074"/>
    <w:rsid w:val="00A6627C"/>
    <w:rsid w:val="00A71019"/>
    <w:rsid w:val="00A81029"/>
    <w:rsid w:val="00A82FA7"/>
    <w:rsid w:val="00A845F5"/>
    <w:rsid w:val="00A96489"/>
    <w:rsid w:val="00AA465A"/>
    <w:rsid w:val="00AA7E0C"/>
    <w:rsid w:val="00AB2425"/>
    <w:rsid w:val="00AB685C"/>
    <w:rsid w:val="00AB6C2D"/>
    <w:rsid w:val="00AC08F7"/>
    <w:rsid w:val="00AC2F1F"/>
    <w:rsid w:val="00AC3839"/>
    <w:rsid w:val="00AC43F8"/>
    <w:rsid w:val="00AC68D5"/>
    <w:rsid w:val="00AC7082"/>
    <w:rsid w:val="00AD12C7"/>
    <w:rsid w:val="00AD4BE8"/>
    <w:rsid w:val="00AE20EB"/>
    <w:rsid w:val="00AE21A8"/>
    <w:rsid w:val="00AE26F6"/>
    <w:rsid w:val="00AF228E"/>
    <w:rsid w:val="00AF64EE"/>
    <w:rsid w:val="00B016A8"/>
    <w:rsid w:val="00B04780"/>
    <w:rsid w:val="00B108A5"/>
    <w:rsid w:val="00B14819"/>
    <w:rsid w:val="00B15E2F"/>
    <w:rsid w:val="00B17AA9"/>
    <w:rsid w:val="00B2234F"/>
    <w:rsid w:val="00B240F9"/>
    <w:rsid w:val="00B36F0A"/>
    <w:rsid w:val="00B37C3C"/>
    <w:rsid w:val="00B44713"/>
    <w:rsid w:val="00B51B95"/>
    <w:rsid w:val="00B53FBE"/>
    <w:rsid w:val="00B56103"/>
    <w:rsid w:val="00B64929"/>
    <w:rsid w:val="00B659B9"/>
    <w:rsid w:val="00B665F2"/>
    <w:rsid w:val="00B72D2E"/>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A5FCB"/>
    <w:rsid w:val="00BA7B65"/>
    <w:rsid w:val="00BB0F2B"/>
    <w:rsid w:val="00BC5A60"/>
    <w:rsid w:val="00BC6E9C"/>
    <w:rsid w:val="00BD3F3D"/>
    <w:rsid w:val="00BE4FF3"/>
    <w:rsid w:val="00BF0AFE"/>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129B"/>
    <w:rsid w:val="00C52796"/>
    <w:rsid w:val="00C53E2C"/>
    <w:rsid w:val="00C550C8"/>
    <w:rsid w:val="00C55824"/>
    <w:rsid w:val="00C56B61"/>
    <w:rsid w:val="00C57CC1"/>
    <w:rsid w:val="00C60379"/>
    <w:rsid w:val="00C606C3"/>
    <w:rsid w:val="00C620F4"/>
    <w:rsid w:val="00C72848"/>
    <w:rsid w:val="00C7736C"/>
    <w:rsid w:val="00C82D87"/>
    <w:rsid w:val="00C8712A"/>
    <w:rsid w:val="00C87721"/>
    <w:rsid w:val="00C902C8"/>
    <w:rsid w:val="00C919D1"/>
    <w:rsid w:val="00C963D3"/>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04718"/>
    <w:rsid w:val="00D079CC"/>
    <w:rsid w:val="00D148DC"/>
    <w:rsid w:val="00D17FDC"/>
    <w:rsid w:val="00D21D8C"/>
    <w:rsid w:val="00D45B4F"/>
    <w:rsid w:val="00D53719"/>
    <w:rsid w:val="00D6188D"/>
    <w:rsid w:val="00D63EFD"/>
    <w:rsid w:val="00D801B5"/>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C07"/>
    <w:rsid w:val="00E07C5A"/>
    <w:rsid w:val="00E11C54"/>
    <w:rsid w:val="00E131DE"/>
    <w:rsid w:val="00E14FED"/>
    <w:rsid w:val="00E15BA9"/>
    <w:rsid w:val="00E17CAF"/>
    <w:rsid w:val="00E26E19"/>
    <w:rsid w:val="00E27C4D"/>
    <w:rsid w:val="00E31DF3"/>
    <w:rsid w:val="00E409FC"/>
    <w:rsid w:val="00E43938"/>
    <w:rsid w:val="00E450A4"/>
    <w:rsid w:val="00E47156"/>
    <w:rsid w:val="00E47E46"/>
    <w:rsid w:val="00E506BE"/>
    <w:rsid w:val="00E55547"/>
    <w:rsid w:val="00E62711"/>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3B80"/>
    <w:rsid w:val="00EB45AC"/>
    <w:rsid w:val="00EC243A"/>
    <w:rsid w:val="00EC441F"/>
    <w:rsid w:val="00EC4755"/>
    <w:rsid w:val="00ED0BC4"/>
    <w:rsid w:val="00ED14CB"/>
    <w:rsid w:val="00ED447D"/>
    <w:rsid w:val="00ED5BDC"/>
    <w:rsid w:val="00ED6316"/>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405FA"/>
    <w:rsid w:val="00F477C9"/>
    <w:rsid w:val="00F5165C"/>
    <w:rsid w:val="00F5524B"/>
    <w:rsid w:val="00F60531"/>
    <w:rsid w:val="00F60538"/>
    <w:rsid w:val="00F61DD2"/>
    <w:rsid w:val="00F66AFF"/>
    <w:rsid w:val="00F71433"/>
    <w:rsid w:val="00F97B47"/>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768"/>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 w:type="paragraph" w:customStyle="1" w:styleId="acthead5">
    <w:name w:val="acthead5"/>
    <w:basedOn w:val="Normal"/>
    <w:rsid w:val="00984649"/>
    <w:pPr>
      <w:spacing w:before="100" w:beforeAutospacing="1" w:after="100" w:afterAutospacing="1"/>
    </w:pPr>
    <w:rPr>
      <w:rFonts w:ascii="Times New Roman" w:hAnsi="Times New Roman" w:cs="Times New Roman"/>
      <w:sz w:val="24"/>
    </w:rPr>
  </w:style>
  <w:style w:type="character" w:customStyle="1" w:styleId="charsectno">
    <w:name w:val="charsectno"/>
    <w:basedOn w:val="DefaultParagraphFont"/>
    <w:rsid w:val="00984649"/>
  </w:style>
  <w:style w:type="paragraph" w:customStyle="1" w:styleId="subsection">
    <w:name w:val="subsection"/>
    <w:basedOn w:val="Normal"/>
    <w:rsid w:val="00984649"/>
    <w:pPr>
      <w:spacing w:before="100" w:beforeAutospacing="1" w:after="100" w:afterAutospacing="1"/>
    </w:pPr>
    <w:rPr>
      <w:rFonts w:ascii="Times New Roman" w:hAnsi="Times New Roman" w:cs="Times New Roman"/>
      <w:sz w:val="24"/>
    </w:rPr>
  </w:style>
  <w:style w:type="paragraph" w:customStyle="1" w:styleId="paragraph">
    <w:name w:val="paragraph"/>
    <w:basedOn w:val="Normal"/>
    <w:rsid w:val="00984649"/>
    <w:pPr>
      <w:spacing w:before="100" w:beforeAutospacing="1" w:after="100" w:afterAutospacing="1"/>
    </w:pPr>
    <w:rPr>
      <w:rFonts w:ascii="Times New Roman" w:hAnsi="Times New Roman" w:cs="Times New Roman"/>
      <w:sz w:val="24"/>
    </w:rPr>
  </w:style>
  <w:style w:type="paragraph" w:customStyle="1" w:styleId="subsection2">
    <w:name w:val="subsection2"/>
    <w:basedOn w:val="Normal"/>
    <w:rsid w:val="00984649"/>
    <w:pPr>
      <w:spacing w:before="100" w:beforeAutospacing="1" w:after="100" w:afterAutospacing="1"/>
    </w:pPr>
    <w:rPr>
      <w:rFonts w:ascii="Times New Roman" w:hAnsi="Times New Roman" w:cs="Times New Roman"/>
      <w:sz w:val="24"/>
    </w:rPr>
  </w:style>
  <w:style w:type="character" w:styleId="Emphasis">
    <w:name w:val="Emphasis"/>
    <w:basedOn w:val="DefaultParagraphFont"/>
    <w:uiPriority w:val="20"/>
    <w:qFormat/>
    <w:rsid w:val="00602648"/>
    <w:rPr>
      <w:i/>
      <w:iCs/>
    </w:rPr>
  </w:style>
  <w:style w:type="paragraph" w:customStyle="1" w:styleId="paragraphsub">
    <w:name w:val="paragraphsub"/>
    <w:basedOn w:val="Normal"/>
    <w:rsid w:val="00B36F0A"/>
    <w:pPr>
      <w:spacing w:before="100" w:beforeAutospacing="1" w:after="100" w:afterAutospacing="1"/>
    </w:pPr>
    <w:rPr>
      <w:rFonts w:ascii="Times New Roman" w:hAnsi="Times New Roman" w:cs="Times New Roman"/>
      <w:sz w:val="24"/>
    </w:rPr>
  </w:style>
  <w:style w:type="paragraph" w:customStyle="1" w:styleId="jade-outdent">
    <w:name w:val="jade-outdent"/>
    <w:basedOn w:val="Normal"/>
    <w:rsid w:val="00553383"/>
    <w:pPr>
      <w:spacing w:before="100" w:beforeAutospacing="1" w:after="100" w:afterAutospacing="1"/>
    </w:pPr>
    <w:rPr>
      <w:rFonts w:ascii="Times New Roman" w:hAnsi="Times New Roman" w:cs="Times New Roman"/>
      <w:sz w:val="24"/>
    </w:rPr>
  </w:style>
  <w:style w:type="character" w:customStyle="1" w:styleId="jade-ts-11">
    <w:name w:val="jade-ts-11"/>
    <w:basedOn w:val="DefaultParagraphFont"/>
    <w:rsid w:val="00553383"/>
  </w:style>
  <w:style w:type="paragraph" w:styleId="NoSpacing">
    <w:name w:val="No Spacing"/>
    <w:uiPriority w:val="1"/>
    <w:qFormat/>
    <w:rsid w:val="00750BC7"/>
    <w:rPr>
      <w:rFonts w:ascii="Times New Roman" w:eastAsia="Times New Roman" w:hAnsi="Times New Roman" w:cs="Times New Roman"/>
    </w:rPr>
  </w:style>
  <w:style w:type="character" w:customStyle="1" w:styleId="jade-ts-9">
    <w:name w:val="jade-ts-9"/>
    <w:basedOn w:val="DefaultParagraphFont"/>
    <w:rsid w:val="007858AB"/>
  </w:style>
  <w:style w:type="paragraph" w:customStyle="1" w:styleId="jade-noverticalmargins">
    <w:name w:val="jade-noverticalmargins"/>
    <w:basedOn w:val="Normal"/>
    <w:rsid w:val="007858AB"/>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6142">
      <w:bodyDiv w:val="1"/>
      <w:marLeft w:val="0"/>
      <w:marRight w:val="0"/>
      <w:marTop w:val="0"/>
      <w:marBottom w:val="0"/>
      <w:divBdr>
        <w:top w:val="none" w:sz="0" w:space="0" w:color="auto"/>
        <w:left w:val="none" w:sz="0" w:space="0" w:color="auto"/>
        <w:bottom w:val="none" w:sz="0" w:space="0" w:color="auto"/>
        <w:right w:val="none" w:sz="0" w:space="0" w:color="auto"/>
      </w:divBdr>
    </w:div>
    <w:div w:id="197937430">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47077192">
      <w:bodyDiv w:val="1"/>
      <w:marLeft w:val="0"/>
      <w:marRight w:val="0"/>
      <w:marTop w:val="0"/>
      <w:marBottom w:val="0"/>
      <w:divBdr>
        <w:top w:val="none" w:sz="0" w:space="0" w:color="auto"/>
        <w:left w:val="none" w:sz="0" w:space="0" w:color="auto"/>
        <w:bottom w:val="none" w:sz="0" w:space="0" w:color="auto"/>
        <w:right w:val="none" w:sz="0" w:space="0" w:color="auto"/>
      </w:divBdr>
    </w:div>
    <w:div w:id="250164457">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55092601">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7942777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5016485">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12535030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488282979">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763913451">
      <w:bodyDiv w:val="1"/>
      <w:marLeft w:val="0"/>
      <w:marRight w:val="0"/>
      <w:marTop w:val="0"/>
      <w:marBottom w:val="0"/>
      <w:divBdr>
        <w:top w:val="none" w:sz="0" w:space="0" w:color="auto"/>
        <w:left w:val="none" w:sz="0" w:space="0" w:color="auto"/>
        <w:bottom w:val="none" w:sz="0" w:space="0" w:color="auto"/>
        <w:right w:val="none" w:sz="0" w:space="0" w:color="auto"/>
      </w:divBdr>
    </w:div>
    <w:div w:id="1767118927">
      <w:bodyDiv w:val="1"/>
      <w:marLeft w:val="0"/>
      <w:marRight w:val="0"/>
      <w:marTop w:val="0"/>
      <w:marBottom w:val="0"/>
      <w:divBdr>
        <w:top w:val="none" w:sz="0" w:space="0" w:color="auto"/>
        <w:left w:val="none" w:sz="0" w:space="0" w:color="auto"/>
        <w:bottom w:val="none" w:sz="0" w:space="0" w:color="auto"/>
        <w:right w:val="none" w:sz="0" w:space="0" w:color="auto"/>
      </w:divBdr>
    </w:div>
    <w:div w:id="1830364607">
      <w:bodyDiv w:val="1"/>
      <w:marLeft w:val="0"/>
      <w:marRight w:val="0"/>
      <w:marTop w:val="0"/>
      <w:marBottom w:val="0"/>
      <w:divBdr>
        <w:top w:val="none" w:sz="0" w:space="0" w:color="auto"/>
        <w:left w:val="none" w:sz="0" w:space="0" w:color="auto"/>
        <w:bottom w:val="none" w:sz="0" w:space="0" w:color="auto"/>
        <w:right w:val="none" w:sz="0" w:space="0" w:color="auto"/>
      </w:divBdr>
    </w:div>
    <w:div w:id="1976400568">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assic.austlii.edu.au/au/legis/cth/consol_act/ba1966142/s187.html" TargetMode="External"/><Relationship Id="rId18" Type="http://schemas.openxmlformats.org/officeDocument/2006/relationships/hyperlink" Target="http://classic.austlii.edu.au/au/legis/cth/consol_act/ba1966142/s5.html" TargetMode="External"/><Relationship Id="rId26" Type="http://schemas.openxmlformats.org/officeDocument/2006/relationships/hyperlink" Target="http://classic.austlii.edu.au/au/legis/cth/consol_act/ba1966142/s5.html" TargetMode="External"/><Relationship Id="rId39" Type="http://schemas.openxmlformats.org/officeDocument/2006/relationships/hyperlink" Target="https://jade.io/article/219127/section/56747" TargetMode="External"/><Relationship Id="rId21" Type="http://schemas.openxmlformats.org/officeDocument/2006/relationships/hyperlink" Target="http://classic.austlii.edu.au/au/legis/cth/consol_act/ba1966142/s5.html" TargetMode="External"/><Relationship Id="rId34" Type="http://schemas.openxmlformats.org/officeDocument/2006/relationships/hyperlink" Target="http://classic.austlii.edu.au/au/legis/cth/consol_act/ba1966142/s5.html" TargetMode="External"/><Relationship Id="rId42" Type="http://schemas.openxmlformats.org/officeDocument/2006/relationships/hyperlink" Target="https://jade.io/article/219127" TargetMode="External"/><Relationship Id="rId47" Type="http://schemas.openxmlformats.org/officeDocument/2006/relationships/hyperlink" Target="https://jade.io/article/219127"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lassic.austlii.edu.au/au/legis/cth/consol_act/ba1966142/s5.html" TargetMode="External"/><Relationship Id="rId29" Type="http://schemas.openxmlformats.org/officeDocument/2006/relationships/hyperlink" Target="http://classic.austlii.edu.au/au/legis/cth/consol_act/ba1966142/s5.html" TargetMode="External"/><Relationship Id="rId11" Type="http://schemas.openxmlformats.org/officeDocument/2006/relationships/hyperlink" Target="https://jade.io/article/506206/section/140276" TargetMode="External"/><Relationship Id="rId24" Type="http://schemas.openxmlformats.org/officeDocument/2006/relationships/hyperlink" Target="http://classic.austlii.edu.au/au/legis/cth/consol_act/ba1966142/s187.html" TargetMode="External"/><Relationship Id="rId32" Type="http://schemas.openxmlformats.org/officeDocument/2006/relationships/hyperlink" Target="http://classic.austlii.edu.au/au/legis/cth/consol_act/ba1966142/s5.html" TargetMode="External"/><Relationship Id="rId37" Type="http://schemas.openxmlformats.org/officeDocument/2006/relationships/hyperlink" Target="https://jade.io/article/219127/section/305008" TargetMode="External"/><Relationship Id="rId40" Type="http://schemas.openxmlformats.org/officeDocument/2006/relationships/hyperlink" Target="https://jade.io/article/219127/section/305008" TargetMode="External"/><Relationship Id="rId45" Type="http://schemas.openxmlformats.org/officeDocument/2006/relationships/hyperlink" Target="https://jade.io/article/216652"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classic.austlii.edu.au/au/legis/cth/consol_act/ba1966142/s5.html" TargetMode="External"/><Relationship Id="rId4" Type="http://schemas.openxmlformats.org/officeDocument/2006/relationships/settings" Target="settings.xml"/><Relationship Id="rId9" Type="http://schemas.openxmlformats.org/officeDocument/2006/relationships/hyperlink" Target="https://jade.io/article/216652/section/1803" TargetMode="External"/><Relationship Id="rId14" Type="http://schemas.openxmlformats.org/officeDocument/2006/relationships/hyperlink" Target="http://classic.austlii.edu.au/au/legis/cth/consol_act/ba1966142/s5.html" TargetMode="External"/><Relationship Id="rId22" Type="http://schemas.openxmlformats.org/officeDocument/2006/relationships/hyperlink" Target="http://classic.austlii.edu.au/au/legis/cth/consol_act/ba1966142/s187.html" TargetMode="External"/><Relationship Id="rId27" Type="http://schemas.openxmlformats.org/officeDocument/2006/relationships/hyperlink" Target="http://classic.austlii.edu.au/au/legis/cth/consol_act/ba1966142/s5.html" TargetMode="External"/><Relationship Id="rId30" Type="http://schemas.openxmlformats.org/officeDocument/2006/relationships/hyperlink" Target="http://classic.austlii.edu.au/au/legis/cth/consol_act/ba1966142/s5.html" TargetMode="External"/><Relationship Id="rId35" Type="http://schemas.openxmlformats.org/officeDocument/2006/relationships/hyperlink" Target="http://classic.austlii.edu.au/au/legis/cth/consol_act/ba1966142/s5.html" TargetMode="External"/><Relationship Id="rId43" Type="http://schemas.openxmlformats.org/officeDocument/2006/relationships/hyperlink" Target="https://jade.io/article/219127" TargetMode="External"/><Relationship Id="rId48" Type="http://schemas.openxmlformats.org/officeDocument/2006/relationships/hyperlink" Target="https://jade.io/article/219127/section/380641"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jade.io/article/506206/section/140879" TargetMode="External"/><Relationship Id="rId17" Type="http://schemas.openxmlformats.org/officeDocument/2006/relationships/hyperlink" Target="http://classic.austlii.edu.au/au/legis/cth/consol_act/ba1966142/s139k.html" TargetMode="External"/><Relationship Id="rId25" Type="http://schemas.openxmlformats.org/officeDocument/2006/relationships/hyperlink" Target="http://classic.austlii.edu.au/au/legis/cth/consol_act/ba1966142/s5.html" TargetMode="External"/><Relationship Id="rId33" Type="http://schemas.openxmlformats.org/officeDocument/2006/relationships/hyperlink" Target="http://classic.austlii.edu.au/au/legis/cth/consol_act/ba1966142/s5.html" TargetMode="External"/><Relationship Id="rId38" Type="http://schemas.openxmlformats.org/officeDocument/2006/relationships/hyperlink" Target="https://jade.io/article/219127" TargetMode="External"/><Relationship Id="rId46" Type="http://schemas.openxmlformats.org/officeDocument/2006/relationships/hyperlink" Target="https://jade.io/article/219127" TargetMode="External"/><Relationship Id="rId20" Type="http://schemas.openxmlformats.org/officeDocument/2006/relationships/hyperlink" Target="http://classic.austlii.edu.au/au/legis/cth/consol_act/ba1966142/s5.html" TargetMode="External"/><Relationship Id="rId41" Type="http://schemas.openxmlformats.org/officeDocument/2006/relationships/hyperlink" Target="https://jade.io/article/219127"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lassic.austlii.edu.au/au/legis/cth/consol_act/ba1966142/s5.html" TargetMode="External"/><Relationship Id="rId23" Type="http://schemas.openxmlformats.org/officeDocument/2006/relationships/hyperlink" Target="http://classic.austlii.edu.au/au/legis/cth/consol_act/ba1966142/s5.html" TargetMode="External"/><Relationship Id="rId28" Type="http://schemas.openxmlformats.org/officeDocument/2006/relationships/hyperlink" Target="http://classic.austlii.edu.au/au/legis/cth/consol_act/ba1966142/s187.html" TargetMode="External"/><Relationship Id="rId36" Type="http://schemas.openxmlformats.org/officeDocument/2006/relationships/hyperlink" Target="https://jade.io/article/219127" TargetMode="External"/><Relationship Id="rId49" Type="http://schemas.openxmlformats.org/officeDocument/2006/relationships/hyperlink" Target="https://jade.io/article/219127" TargetMode="External"/><Relationship Id="rId57" Type="http://schemas.openxmlformats.org/officeDocument/2006/relationships/theme" Target="theme/theme1.xml"/><Relationship Id="rId10" Type="http://schemas.openxmlformats.org/officeDocument/2006/relationships/hyperlink" Target="https://jade.io/article/506206" TargetMode="External"/><Relationship Id="rId31" Type="http://schemas.openxmlformats.org/officeDocument/2006/relationships/hyperlink" Target="http://classic.austlii.edu.au/au/legis/cth/consol_act/ba1966142/s5.html" TargetMode="External"/><Relationship Id="rId44" Type="http://schemas.openxmlformats.org/officeDocument/2006/relationships/hyperlink" Target="https://jade.io/article/216652" TargetMode="External"/><Relationship Id="rId5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sic.gov.au/regulatory-resources/insolvency/insolvency-for-creditors/deed-of-company-arrangement-for-creditors/" TargetMode="External"/><Relationship Id="rId1" Type="http://schemas.openxmlformats.org/officeDocument/2006/relationships/hyperlink" Target="https://jade.io/citation/20879334/section/3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9487</Words>
  <Characters>54082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Stephine Narcisse</cp:lastModifiedBy>
  <cp:revision>2</cp:revision>
  <cp:lastPrinted>2019-08-27T05:42:00Z</cp:lastPrinted>
  <dcterms:created xsi:type="dcterms:W3CDTF">2023-07-30T00:30:00Z</dcterms:created>
  <dcterms:modified xsi:type="dcterms:W3CDTF">2023-07-30T00:30:00Z</dcterms:modified>
</cp:coreProperties>
</file>