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12001" w:rsidRDefault="00AE5B6F" w:rsidP="00B04033">
      <w:pPr>
        <w:pStyle w:val="ListParagraph"/>
        <w:numPr>
          <w:ilvl w:val="0"/>
          <w:numId w:val="1"/>
        </w:numPr>
        <w:ind w:left="426"/>
        <w:jc w:val="both"/>
        <w:rPr>
          <w:rFonts w:ascii="Avenir Next" w:hAnsi="Avenir Next" w:cs="Arial"/>
          <w:sz w:val="22"/>
          <w:szCs w:val="22"/>
          <w:lang w:val="en-GB"/>
        </w:rPr>
      </w:pPr>
      <w:r w:rsidRPr="0043654C">
        <w:rPr>
          <w:rFonts w:ascii="Avenir Next" w:hAnsi="Avenir Next" w:cs="Arial"/>
          <w:sz w:val="22"/>
          <w:szCs w:val="22"/>
          <w:highlight w:val="yellow"/>
          <w:lang w:val="en-GB"/>
        </w:rPr>
        <w:t>w</w:t>
      </w:r>
      <w:r w:rsidR="00C91062" w:rsidRPr="0043654C">
        <w:rPr>
          <w:rFonts w:ascii="Avenir Next" w:hAnsi="Avenir Next" w:cs="Arial"/>
          <w:sz w:val="22"/>
          <w:szCs w:val="22"/>
          <w:highlight w:val="yellow"/>
          <w:lang w:val="en-GB"/>
        </w:rPr>
        <w:t>ithin 8 weeks of the commencement of the administration</w:t>
      </w:r>
      <w:r w:rsidR="00763348" w:rsidRPr="0043654C">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212001" w:rsidRDefault="00E443D7" w:rsidP="00B04033">
      <w:pPr>
        <w:pStyle w:val="ListParagraph"/>
        <w:numPr>
          <w:ilvl w:val="0"/>
          <w:numId w:val="2"/>
        </w:numPr>
        <w:ind w:left="426"/>
        <w:jc w:val="both"/>
        <w:rPr>
          <w:rFonts w:ascii="Avenir Next" w:hAnsi="Avenir Next" w:cs="Arial"/>
          <w:sz w:val="22"/>
          <w:szCs w:val="22"/>
          <w:lang w:val="en-GB"/>
        </w:rPr>
      </w:pPr>
      <w:r w:rsidRPr="0043654C">
        <w:rPr>
          <w:rFonts w:ascii="Avenir Next" w:hAnsi="Avenir Next" w:cs="Arial"/>
          <w:sz w:val="22"/>
          <w:szCs w:val="22"/>
          <w:highlight w:val="yellow"/>
          <w:lang w:val="en-GB"/>
        </w:rPr>
        <w:t>One year</w:t>
      </w:r>
      <w:r w:rsidR="00763348" w:rsidRPr="0043654C">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212001" w:rsidRDefault="00AE5B6F" w:rsidP="00B04033">
      <w:pPr>
        <w:pStyle w:val="ListParagraph"/>
        <w:numPr>
          <w:ilvl w:val="0"/>
          <w:numId w:val="3"/>
        </w:numPr>
        <w:ind w:left="426"/>
        <w:jc w:val="both"/>
        <w:rPr>
          <w:rFonts w:ascii="Avenir Next" w:hAnsi="Avenir Next" w:cs="Arial"/>
          <w:sz w:val="22"/>
          <w:szCs w:val="22"/>
          <w:lang w:val="en-GB"/>
        </w:rPr>
      </w:pPr>
      <w:r w:rsidRPr="0043654C">
        <w:rPr>
          <w:rFonts w:ascii="Avenir Next" w:hAnsi="Avenir Next" w:cs="Arial"/>
          <w:sz w:val="22"/>
          <w:szCs w:val="22"/>
          <w:highlight w:val="yellow"/>
          <w:lang w:val="en-GB"/>
        </w:rPr>
        <w:t>T</w:t>
      </w:r>
      <w:r w:rsidR="008D1616" w:rsidRPr="0043654C">
        <w:rPr>
          <w:rFonts w:ascii="Avenir Next" w:hAnsi="Avenir Next" w:cs="Arial"/>
          <w:sz w:val="22"/>
          <w:szCs w:val="22"/>
          <w:highlight w:val="yellow"/>
          <w:lang w:val="en-GB"/>
        </w:rPr>
        <w:t>he company is, or is likely to become, unable to pay their debts, as defined under s</w:t>
      </w:r>
      <w:r w:rsidR="00E833F4" w:rsidRPr="0043654C">
        <w:rPr>
          <w:rFonts w:ascii="Avenir Next" w:hAnsi="Avenir Next" w:cs="Arial"/>
          <w:sz w:val="22"/>
          <w:szCs w:val="22"/>
          <w:highlight w:val="yellow"/>
          <w:lang w:val="en-GB"/>
        </w:rPr>
        <w:t>ection</w:t>
      </w:r>
      <w:r w:rsidR="008D1616" w:rsidRPr="0043654C">
        <w:rPr>
          <w:rFonts w:ascii="Avenir Next" w:hAnsi="Avenir Next" w:cs="Arial"/>
          <w:sz w:val="22"/>
          <w:szCs w:val="22"/>
          <w:highlight w:val="yellow"/>
          <w:lang w:val="en-GB"/>
        </w:rPr>
        <w:t xml:space="preserve"> 123 of the Insolvency Act 1986</w:t>
      </w:r>
      <w:r w:rsidR="00763348" w:rsidRPr="0043654C">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ListParagraph"/>
        <w:numPr>
          <w:ilvl w:val="0"/>
          <w:numId w:val="4"/>
        </w:numPr>
        <w:ind w:left="426"/>
        <w:jc w:val="both"/>
        <w:rPr>
          <w:rFonts w:ascii="Avenir Next" w:hAnsi="Avenir Next" w:cs="Arial"/>
          <w:sz w:val="22"/>
          <w:szCs w:val="22"/>
          <w:lang w:val="en-GB"/>
        </w:rPr>
      </w:pPr>
      <w:r w:rsidRPr="000E01D1">
        <w:rPr>
          <w:rFonts w:ascii="Avenir Next" w:hAnsi="Avenir Next" w:cs="Arial"/>
          <w:sz w:val="22"/>
          <w:szCs w:val="22"/>
          <w:highlight w:val="yellow"/>
          <w:lang w:val="en-GB"/>
        </w:rPr>
        <w:t>The purchaser</w:t>
      </w:r>
      <w:r w:rsidR="00763348" w:rsidRPr="000E01D1">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212001" w:rsidRDefault="00BA1CFD" w:rsidP="00B04033">
      <w:pPr>
        <w:pStyle w:val="ListParagraph"/>
        <w:numPr>
          <w:ilvl w:val="0"/>
          <w:numId w:val="5"/>
        </w:numPr>
        <w:ind w:left="426"/>
        <w:jc w:val="both"/>
        <w:rPr>
          <w:rFonts w:ascii="Avenir Next" w:hAnsi="Avenir Next" w:cs="Arial"/>
          <w:sz w:val="22"/>
          <w:szCs w:val="22"/>
          <w:lang w:val="en-GB"/>
        </w:rPr>
      </w:pPr>
      <w:r w:rsidRPr="000E01D1">
        <w:rPr>
          <w:rFonts w:ascii="Avenir Next" w:hAnsi="Avenir Next" w:cs="Arial"/>
          <w:sz w:val="22"/>
          <w:szCs w:val="22"/>
          <w:highlight w:val="yellow"/>
          <w:lang w:val="en-GB"/>
        </w:rPr>
        <w:t>Administration</w:t>
      </w:r>
      <w:r w:rsidR="00763348" w:rsidRPr="000E01D1">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212001" w:rsidRDefault="001F3C98" w:rsidP="00B04033">
      <w:pPr>
        <w:pStyle w:val="ListParagraph"/>
        <w:numPr>
          <w:ilvl w:val="0"/>
          <w:numId w:val="6"/>
        </w:numPr>
        <w:ind w:left="426"/>
        <w:jc w:val="both"/>
        <w:rPr>
          <w:rFonts w:ascii="Avenir Next" w:hAnsi="Avenir Next" w:cs="Arial"/>
          <w:sz w:val="22"/>
          <w:szCs w:val="22"/>
          <w:lang w:val="en-GB"/>
        </w:rPr>
      </w:pPr>
      <w:r w:rsidRPr="000E01D1">
        <w:rPr>
          <w:rFonts w:ascii="Avenir Next" w:hAnsi="Avenir Next" w:cs="Arial"/>
          <w:sz w:val="22"/>
          <w:szCs w:val="22"/>
          <w:highlight w:val="yellow"/>
          <w:lang w:val="en-GB"/>
        </w:rPr>
        <w:t xml:space="preserve">GBP </w:t>
      </w:r>
      <w:r w:rsidR="00BA1CFD" w:rsidRPr="000E01D1">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2143E3">
        <w:rPr>
          <w:rFonts w:ascii="Avenir Next" w:hAnsi="Avenir Next" w:cs="Arial"/>
          <w:sz w:val="22"/>
          <w:szCs w:val="22"/>
          <w:highlight w:val="yellow"/>
          <w:lang w:val="en-GB"/>
        </w:rPr>
        <w:t>Wrongful trading</w:t>
      </w:r>
      <w:r w:rsidR="00763348" w:rsidRPr="002143E3">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387B73">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212001" w:rsidRDefault="00E833F4" w:rsidP="00B04033">
      <w:pPr>
        <w:pStyle w:val="ListParagraph"/>
        <w:numPr>
          <w:ilvl w:val="0"/>
          <w:numId w:val="9"/>
        </w:numPr>
        <w:ind w:left="426"/>
        <w:jc w:val="both"/>
        <w:rPr>
          <w:rFonts w:ascii="Avenir Next" w:hAnsi="Avenir Next" w:cs="Arial"/>
          <w:sz w:val="22"/>
          <w:szCs w:val="22"/>
          <w:lang w:val="en-GB"/>
        </w:rPr>
      </w:pPr>
      <w:r w:rsidRPr="00416B4B">
        <w:rPr>
          <w:rFonts w:ascii="Avenir Next" w:hAnsi="Avenir Next" w:cs="Arial"/>
          <w:sz w:val="22"/>
          <w:szCs w:val="22"/>
          <w:highlight w:val="yellow"/>
          <w:lang w:val="en-GB"/>
        </w:rPr>
        <w:t>A</w:t>
      </w:r>
      <w:r w:rsidR="000D10C6" w:rsidRPr="00416B4B">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416B4B">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4897B97" w14:textId="6D58EA95" w:rsidR="00D77828" w:rsidRDefault="00416B4B"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423 of the Insolvency Act is designed to allow specified parties to attack transactions which are "designed to defraud creditors". The parties with standing under this section varies depending on the status of the company</w:t>
      </w:r>
      <w:r w:rsidR="007D1FAC">
        <w:rPr>
          <w:rFonts w:ascii="Avenir Next" w:hAnsi="Avenir Next" w:cs="Arial"/>
          <w:color w:val="808080" w:themeColor="background1" w:themeShade="80"/>
          <w:sz w:val="22"/>
          <w:szCs w:val="22"/>
          <w:lang w:val="en-GB"/>
        </w:rPr>
        <w:t>: where the company is in administration or being wound up, the official receiver, liquidator or administrator (as the case may be) can bring the action. In addition, any victim of the transaction (usually one of the defrauded creditors) can seek the Court's leave to bring the action. Where the company has a CVA in place and the victim is bound by that CVA, the action may be brought by either the supervisor of the CVA or any victim (whether or not subject to the CVA. In any other scenario, the victim of the transaction is the p</w:t>
      </w:r>
      <w:r w:rsidR="00D77828">
        <w:rPr>
          <w:rFonts w:ascii="Avenir Next" w:hAnsi="Avenir Next" w:cs="Arial"/>
          <w:color w:val="808080" w:themeColor="background1" w:themeShade="80"/>
          <w:sz w:val="22"/>
          <w:szCs w:val="22"/>
          <w:lang w:val="en-GB"/>
        </w:rPr>
        <w:t>a</w:t>
      </w:r>
      <w:r w:rsidR="007D1FAC">
        <w:rPr>
          <w:rFonts w:ascii="Avenir Next" w:hAnsi="Avenir Next" w:cs="Arial"/>
          <w:color w:val="808080" w:themeColor="background1" w:themeShade="80"/>
          <w:sz w:val="22"/>
          <w:szCs w:val="22"/>
          <w:lang w:val="en-GB"/>
        </w:rPr>
        <w:t>rty with standing to bring the action under s42</w:t>
      </w:r>
      <w:r w:rsidR="00AE6DD6">
        <w:rPr>
          <w:rFonts w:ascii="Avenir Next" w:hAnsi="Avenir Next" w:cs="Arial"/>
          <w:color w:val="808080" w:themeColor="background1" w:themeShade="80"/>
          <w:sz w:val="22"/>
          <w:szCs w:val="22"/>
          <w:lang w:val="en-GB"/>
        </w:rPr>
        <w:t>3</w:t>
      </w:r>
      <w:r w:rsidR="007D1FAC">
        <w:rPr>
          <w:rFonts w:ascii="Avenir Next" w:hAnsi="Avenir Next" w:cs="Arial"/>
          <w:color w:val="808080" w:themeColor="background1" w:themeShade="80"/>
          <w:sz w:val="22"/>
          <w:szCs w:val="22"/>
          <w:lang w:val="en-GB"/>
        </w:rPr>
        <w:t>.</w:t>
      </w:r>
    </w:p>
    <w:p w14:paraId="0470AF2B" w14:textId="77777777" w:rsidR="00D77828" w:rsidRDefault="00D77828" w:rsidP="006624AB">
      <w:pPr>
        <w:jc w:val="both"/>
        <w:rPr>
          <w:rFonts w:ascii="Avenir Next" w:hAnsi="Avenir Next" w:cs="Arial"/>
          <w:color w:val="808080" w:themeColor="background1" w:themeShade="80"/>
          <w:sz w:val="22"/>
          <w:szCs w:val="22"/>
          <w:lang w:val="en-GB"/>
        </w:rPr>
      </w:pPr>
    </w:p>
    <w:p w14:paraId="7061C9D6" w14:textId="0110F91E" w:rsidR="00AE5B6F" w:rsidRDefault="00D77828"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6 of the Company Directors Disqualification Act</w:t>
      </w:r>
      <w:r w:rsidR="007D1FAC">
        <w:rPr>
          <w:rFonts w:ascii="Avenir Next" w:hAnsi="Avenir Next" w:cs="Arial"/>
          <w:color w:val="808080" w:themeColor="background1" w:themeShade="80"/>
          <w:sz w:val="22"/>
          <w:szCs w:val="22"/>
          <w:lang w:val="en-GB"/>
        </w:rPr>
        <w:t xml:space="preserve"> </w:t>
      </w:r>
      <w:r w:rsidR="00BF7606">
        <w:rPr>
          <w:rFonts w:ascii="Avenir Next" w:hAnsi="Avenir Next" w:cs="Arial"/>
          <w:color w:val="808080" w:themeColor="background1" w:themeShade="80"/>
          <w:sz w:val="22"/>
          <w:szCs w:val="22"/>
          <w:lang w:val="en-GB"/>
        </w:rPr>
        <w:t xml:space="preserve">deals with the disqualification of directors who are unfit to act in the context of a in insolvent company. Such an order may be made on the application of the </w:t>
      </w:r>
      <w:r w:rsidR="00D77A33">
        <w:rPr>
          <w:rFonts w:ascii="Avenir Next" w:hAnsi="Avenir Next" w:cs="Arial"/>
          <w:color w:val="808080" w:themeColor="background1" w:themeShade="80"/>
          <w:sz w:val="22"/>
          <w:szCs w:val="22"/>
          <w:lang w:val="en-GB"/>
        </w:rPr>
        <w:t>o</w:t>
      </w:r>
      <w:r w:rsidR="00BF7606">
        <w:rPr>
          <w:rFonts w:ascii="Avenir Next" w:hAnsi="Avenir Next" w:cs="Arial"/>
          <w:color w:val="808080" w:themeColor="background1" w:themeShade="80"/>
          <w:sz w:val="22"/>
          <w:szCs w:val="22"/>
          <w:lang w:val="en-GB"/>
        </w:rPr>
        <w:t xml:space="preserve">fficial receiver, administrator or liquidator. </w:t>
      </w:r>
    </w:p>
    <w:p w14:paraId="2A93685A" w14:textId="74171324" w:rsidR="00BF7606" w:rsidRDefault="00BF7606" w:rsidP="006624AB">
      <w:pPr>
        <w:jc w:val="both"/>
        <w:rPr>
          <w:rFonts w:ascii="Avenir Next" w:hAnsi="Avenir Next" w:cs="Arial"/>
          <w:color w:val="808080" w:themeColor="background1" w:themeShade="80"/>
          <w:sz w:val="22"/>
          <w:szCs w:val="22"/>
          <w:lang w:val="en-GB"/>
        </w:rPr>
      </w:pPr>
    </w:p>
    <w:p w14:paraId="3446531A" w14:textId="31184EEB" w:rsidR="00BF7606" w:rsidRPr="00212001" w:rsidRDefault="00BF7606"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246ZB of the Insolvency Act deals with wrongful trading. In the context of an insolvent winding up, an application under this section may only be brought by the liquidator. However, the Small Business, Enterprise and Employment Act 2015 extended the wrongful trading doctrine to administration, such that the administrator of an insolvent </w:t>
      </w:r>
      <w:r w:rsidR="002B6851">
        <w:rPr>
          <w:rFonts w:ascii="Avenir Next" w:hAnsi="Avenir Next" w:cs="Arial"/>
          <w:color w:val="808080" w:themeColor="background1" w:themeShade="80"/>
          <w:sz w:val="22"/>
          <w:szCs w:val="22"/>
          <w:lang w:val="en-GB"/>
        </w:rPr>
        <w:t>company can now also make application under s246ZB.</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2EA3522D" w14:textId="42FBD34E" w:rsidR="00B913C3" w:rsidRDefault="00B913C3" w:rsidP="00EA3B38">
      <w:pPr>
        <w:jc w:val="both"/>
        <w:rPr>
          <w:rFonts w:ascii="Avenir Next" w:hAnsi="Avenir Next" w:cs="Arial"/>
          <w:color w:val="808080" w:themeColor="background1" w:themeShade="80"/>
          <w:sz w:val="22"/>
          <w:szCs w:val="22"/>
        </w:rPr>
      </w:pPr>
      <w:r>
        <w:rPr>
          <w:rFonts w:ascii="Avenir Next" w:hAnsi="Avenir Next" w:cs="Arial"/>
          <w:i/>
          <w:iCs/>
          <w:color w:val="808080" w:themeColor="background1" w:themeShade="80"/>
          <w:sz w:val="22"/>
          <w:szCs w:val="22"/>
        </w:rPr>
        <w:t>Inter alia</w:t>
      </w:r>
      <w:r>
        <w:rPr>
          <w:rFonts w:ascii="Avenir Next" w:hAnsi="Avenir Next" w:cs="Arial"/>
          <w:color w:val="808080" w:themeColor="background1" w:themeShade="80"/>
          <w:sz w:val="22"/>
          <w:szCs w:val="22"/>
        </w:rPr>
        <w:t xml:space="preserve"> the following debts do not fall within the payment holiday provided under Part A1 of the Insolvency Act:</w:t>
      </w:r>
    </w:p>
    <w:p w14:paraId="51E640E9" w14:textId="02028C01" w:rsidR="00B913C3" w:rsidRDefault="00B913C3" w:rsidP="00B913C3">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Monitor's remuneration and expenses;</w:t>
      </w:r>
    </w:p>
    <w:p w14:paraId="31C5FE03" w14:textId="628920A5" w:rsidR="00B913C3" w:rsidRDefault="00D738B4" w:rsidP="00B913C3">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Payment for a</w:t>
      </w:r>
      <w:r w:rsidR="00B913C3">
        <w:rPr>
          <w:rFonts w:ascii="Avenir Next" w:hAnsi="Avenir Next" w:cs="Arial"/>
          <w:color w:val="808080" w:themeColor="background1" w:themeShade="80"/>
          <w:sz w:val="22"/>
          <w:szCs w:val="22"/>
        </w:rPr>
        <w:t>ny goods or services supplied during the moratorium period;</w:t>
      </w:r>
    </w:p>
    <w:p w14:paraId="0BF93D94" w14:textId="2540AB06" w:rsidR="00B913C3" w:rsidRDefault="00B913C3" w:rsidP="00B913C3">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Rent in respect of periods during the moratorium period;</w:t>
      </w:r>
    </w:p>
    <w:p w14:paraId="3CEDD37B" w14:textId="45D81C33" w:rsidR="00B913C3" w:rsidRDefault="00B913C3" w:rsidP="00B913C3">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Wages and salaries arising under any contract of employment; and</w:t>
      </w:r>
    </w:p>
    <w:p w14:paraId="0EBE9D08" w14:textId="27DA006F" w:rsidR="00B913C3" w:rsidRPr="00B913C3" w:rsidRDefault="00B913C3" w:rsidP="00B913C3">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redundancy payments.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60EC1AA9" w:rsidR="00EA3B38" w:rsidRDefault="00344887"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continued supply of goods and services during</w:t>
      </w:r>
      <w:r w:rsidR="001E553B">
        <w:rPr>
          <w:rFonts w:ascii="Avenir Next" w:hAnsi="Avenir Next" w:cs="Arial"/>
          <w:color w:val="808080" w:themeColor="background1" w:themeShade="80"/>
          <w:sz w:val="22"/>
          <w:szCs w:val="22"/>
        </w:rPr>
        <w:t xml:space="preserve"> the course of an</w:t>
      </w:r>
      <w:r>
        <w:rPr>
          <w:rFonts w:ascii="Avenir Next" w:hAnsi="Avenir Next" w:cs="Arial"/>
          <w:color w:val="808080" w:themeColor="background1" w:themeShade="80"/>
          <w:sz w:val="22"/>
          <w:szCs w:val="22"/>
        </w:rPr>
        <w:t xml:space="preserve"> administration</w:t>
      </w:r>
      <w:r w:rsidR="001E553B">
        <w:rPr>
          <w:rFonts w:ascii="Avenir Next" w:hAnsi="Avenir Next" w:cs="Arial"/>
          <w:color w:val="808080" w:themeColor="background1" w:themeShade="80"/>
          <w:sz w:val="22"/>
          <w:szCs w:val="22"/>
        </w:rPr>
        <w:t>, being an insolvency proceeding,</w:t>
      </w:r>
      <w:r>
        <w:rPr>
          <w:rFonts w:ascii="Avenir Next" w:hAnsi="Avenir Next" w:cs="Arial"/>
          <w:color w:val="808080" w:themeColor="background1" w:themeShade="80"/>
          <w:sz w:val="22"/>
          <w:szCs w:val="22"/>
        </w:rPr>
        <w:t xml:space="preserve"> is dealt with under ss233, 233A and 233B of the Insolvency Act. </w:t>
      </w:r>
    </w:p>
    <w:p w14:paraId="2840232B" w14:textId="3F91F3A0" w:rsidR="00344887" w:rsidRDefault="00344887" w:rsidP="00EA3B38">
      <w:pPr>
        <w:jc w:val="both"/>
        <w:rPr>
          <w:rFonts w:ascii="Avenir Next" w:hAnsi="Avenir Next" w:cs="Arial"/>
          <w:color w:val="808080" w:themeColor="background1" w:themeShade="80"/>
          <w:sz w:val="22"/>
          <w:szCs w:val="22"/>
        </w:rPr>
      </w:pPr>
    </w:p>
    <w:p w14:paraId="5D3C1425" w14:textId="07B7E3DB" w:rsidR="00344887" w:rsidRDefault="00344887"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Pursuant to s233</w:t>
      </w:r>
      <w:r w:rsidR="001E553B">
        <w:rPr>
          <w:rFonts w:ascii="Avenir Next" w:hAnsi="Avenir Next" w:cs="Arial"/>
          <w:color w:val="808080" w:themeColor="background1" w:themeShade="80"/>
          <w:sz w:val="22"/>
          <w:szCs w:val="22"/>
        </w:rPr>
        <w:t>A</w:t>
      </w:r>
      <w:r>
        <w:rPr>
          <w:rFonts w:ascii="Avenir Next" w:hAnsi="Avenir Next" w:cs="Arial"/>
          <w:color w:val="808080" w:themeColor="background1" w:themeShade="80"/>
          <w:sz w:val="22"/>
          <w:szCs w:val="22"/>
        </w:rPr>
        <w:t xml:space="preserve">, the supply of "essential supplies", namely gas, electricity, water and </w:t>
      </w:r>
      <w:r w:rsidR="001E553B">
        <w:rPr>
          <w:rFonts w:ascii="Avenir Next" w:hAnsi="Avenir Next" w:cs="Arial"/>
          <w:color w:val="808080" w:themeColor="background1" w:themeShade="80"/>
          <w:sz w:val="22"/>
          <w:szCs w:val="22"/>
        </w:rPr>
        <w:t>communications</w:t>
      </w:r>
      <w:r>
        <w:rPr>
          <w:rFonts w:ascii="Avenir Next" w:hAnsi="Avenir Next" w:cs="Arial"/>
          <w:color w:val="808080" w:themeColor="background1" w:themeShade="80"/>
          <w:sz w:val="22"/>
          <w:szCs w:val="22"/>
        </w:rPr>
        <w:t xml:space="preserve"> services (which is widely defined to include for example point-of-sale technology, website hosting, data processing and storage, technical services and advice) may not be halted</w:t>
      </w:r>
      <w:r w:rsidR="009078EB">
        <w:rPr>
          <w:rFonts w:ascii="Avenir Next" w:hAnsi="Avenir Next" w:cs="Arial"/>
          <w:color w:val="808080" w:themeColor="background1" w:themeShade="80"/>
          <w:sz w:val="22"/>
          <w:szCs w:val="22"/>
        </w:rPr>
        <w:t>,</w:t>
      </w:r>
      <w:r w:rsidR="001E553B">
        <w:rPr>
          <w:rFonts w:ascii="Avenir Next" w:hAnsi="Avenir Next" w:cs="Arial"/>
          <w:color w:val="808080" w:themeColor="background1" w:themeShade="80"/>
          <w:sz w:val="22"/>
          <w:szCs w:val="22"/>
        </w:rPr>
        <w:t xml:space="preserve"> made more expensive, or otherwise subject to different terms </w:t>
      </w:r>
      <w:r>
        <w:rPr>
          <w:rFonts w:ascii="Avenir Next" w:hAnsi="Avenir Next" w:cs="Arial"/>
          <w:color w:val="808080" w:themeColor="background1" w:themeShade="80"/>
          <w:sz w:val="22"/>
          <w:szCs w:val="22"/>
        </w:rPr>
        <w:t xml:space="preserve">merely because </w:t>
      </w:r>
      <w:r w:rsidR="001E553B">
        <w:rPr>
          <w:rFonts w:ascii="Avenir Next" w:hAnsi="Avenir Next" w:cs="Arial"/>
          <w:color w:val="808080" w:themeColor="background1" w:themeShade="80"/>
          <w:sz w:val="22"/>
          <w:szCs w:val="22"/>
        </w:rPr>
        <w:t xml:space="preserve">the company has entered administration, on the basis of an </w:t>
      </w:r>
      <w:r w:rsidR="001E553B">
        <w:rPr>
          <w:rFonts w:ascii="Avenir Next" w:hAnsi="Avenir Next" w:cs="Arial"/>
          <w:i/>
          <w:iCs/>
          <w:color w:val="808080" w:themeColor="background1" w:themeShade="80"/>
          <w:sz w:val="22"/>
          <w:szCs w:val="22"/>
        </w:rPr>
        <w:t>ipso facto</w:t>
      </w:r>
      <w:r w:rsidR="001E553B">
        <w:rPr>
          <w:rFonts w:ascii="Avenir Next" w:hAnsi="Avenir Next" w:cs="Arial"/>
          <w:color w:val="808080" w:themeColor="background1" w:themeShade="80"/>
          <w:sz w:val="22"/>
          <w:szCs w:val="22"/>
        </w:rPr>
        <w:t xml:space="preserve"> clause. Under s233, a supplier of these essential supplies cannot demand the repayment of arrears sums to continue to provide or to provide new supplies. However, the supplier can demand that the administrator personally guarantees any such outstanding sum. </w:t>
      </w:r>
    </w:p>
    <w:p w14:paraId="34ACED20" w14:textId="6911B0AD" w:rsidR="009078EB" w:rsidRDefault="009078EB" w:rsidP="00EA3B38">
      <w:pPr>
        <w:jc w:val="both"/>
        <w:rPr>
          <w:rFonts w:ascii="Avenir Next" w:hAnsi="Avenir Next" w:cs="Arial"/>
          <w:color w:val="808080" w:themeColor="background1" w:themeShade="80"/>
          <w:sz w:val="22"/>
          <w:szCs w:val="22"/>
        </w:rPr>
      </w:pPr>
    </w:p>
    <w:p w14:paraId="66B3C4B2" w14:textId="4B98E3E3" w:rsidR="009078EB" w:rsidRDefault="009078E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Pursuant to s233B, the above provisions were extended to t</w:t>
      </w:r>
      <w:r w:rsidR="00D85868">
        <w:rPr>
          <w:rFonts w:ascii="Avenir Next" w:hAnsi="Avenir Next" w:cs="Arial"/>
          <w:color w:val="808080" w:themeColor="background1" w:themeShade="80"/>
          <w:sz w:val="22"/>
          <w:szCs w:val="22"/>
        </w:rPr>
        <w:t>he supply of other goods and services as well. Under s233B</w:t>
      </w:r>
      <w:r w:rsidR="00AA12E1">
        <w:rPr>
          <w:rFonts w:ascii="Avenir Next" w:hAnsi="Avenir Next" w:cs="Arial"/>
          <w:color w:val="808080" w:themeColor="background1" w:themeShade="80"/>
          <w:sz w:val="22"/>
          <w:szCs w:val="22"/>
        </w:rPr>
        <w:t xml:space="preserve">, a supplier of almost any goods or services  may not rely on a company going into administration or any other formal insolvency procedure to terminate an executory contract or "do any other thing" in respect of the contract. It should be noted that, like s233, this includes forcing a company to pay any pre-insolvency arrears. Unlike s233, however, a supplier under s233B (i.e. a supplier of anything other than the "essential supplies" to which s233 and s233A apply) cannot require the administrator to personally guarantee the pre-insolvency arrears. The only suppliers that are not subject to the provisions of s233B are those statutorily excepted, being banks, insurance houses, investment exchanges and clearing houses, electronic money institutions, </w:t>
      </w:r>
      <w:proofErr w:type="spellStart"/>
      <w:r w:rsidR="00AA12E1">
        <w:rPr>
          <w:rFonts w:ascii="Avenir Next" w:hAnsi="Avenir Next" w:cs="Arial"/>
          <w:color w:val="808080" w:themeColor="background1" w:themeShade="80"/>
          <w:sz w:val="22"/>
          <w:szCs w:val="22"/>
        </w:rPr>
        <w:t>securitisation</w:t>
      </w:r>
      <w:proofErr w:type="spellEnd"/>
      <w:r w:rsidR="00AA12E1">
        <w:rPr>
          <w:rFonts w:ascii="Avenir Next" w:hAnsi="Avenir Next" w:cs="Arial"/>
          <w:color w:val="808080" w:themeColor="background1" w:themeShade="80"/>
          <w:sz w:val="22"/>
          <w:szCs w:val="22"/>
        </w:rPr>
        <w:t xml:space="preserve"> companies and overseas companies with the same functions. </w:t>
      </w:r>
    </w:p>
    <w:p w14:paraId="436B55C1" w14:textId="07C5A23C" w:rsidR="00AA12E1" w:rsidRDefault="00AA12E1" w:rsidP="00EA3B38">
      <w:pPr>
        <w:jc w:val="both"/>
        <w:rPr>
          <w:rFonts w:ascii="Avenir Next" w:hAnsi="Avenir Next" w:cs="Arial"/>
          <w:color w:val="808080" w:themeColor="background1" w:themeShade="80"/>
          <w:sz w:val="22"/>
          <w:szCs w:val="22"/>
        </w:rPr>
      </w:pPr>
    </w:p>
    <w:p w14:paraId="43ED9876" w14:textId="034AD279" w:rsidR="00AA12E1" w:rsidRPr="001E553B" w:rsidRDefault="00AA12E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 this basis, an administrator </w:t>
      </w:r>
      <w:r w:rsidRPr="00AA12E1">
        <w:rPr>
          <w:rFonts w:ascii="Avenir Next" w:hAnsi="Avenir Next" w:cs="Arial"/>
          <w:b/>
          <w:bCs/>
          <w:color w:val="808080" w:themeColor="background1" w:themeShade="80"/>
          <w:sz w:val="22"/>
          <w:szCs w:val="22"/>
        </w:rPr>
        <w:t>can</w:t>
      </w:r>
      <w:r>
        <w:rPr>
          <w:rFonts w:ascii="Avenir Next" w:hAnsi="Avenir Next" w:cs="Arial"/>
          <w:color w:val="808080" w:themeColor="background1" w:themeShade="80"/>
          <w:sz w:val="22"/>
          <w:szCs w:val="22"/>
        </w:rPr>
        <w:t xml:space="preserve"> require the supplier of goods and services to continue to supply those goods and services during the administration</w:t>
      </w:r>
      <w:r w:rsidR="00115758">
        <w:rPr>
          <w:rFonts w:ascii="Avenir Next" w:hAnsi="Avenir Next" w:cs="Arial"/>
          <w:color w:val="808080" w:themeColor="background1" w:themeShade="80"/>
          <w:sz w:val="22"/>
          <w:szCs w:val="22"/>
        </w:rPr>
        <w:t xml:space="preserve">, and the supplier is prevented by operation of the Insolvency Act from relying on an </w:t>
      </w:r>
      <w:r w:rsidR="00115758">
        <w:rPr>
          <w:rFonts w:ascii="Avenir Next" w:hAnsi="Avenir Next" w:cs="Arial"/>
          <w:i/>
          <w:iCs/>
          <w:color w:val="808080" w:themeColor="background1" w:themeShade="80"/>
          <w:sz w:val="22"/>
          <w:szCs w:val="22"/>
        </w:rPr>
        <w:t>ipso facto</w:t>
      </w:r>
      <w:r w:rsidR="00115758">
        <w:rPr>
          <w:rFonts w:ascii="Avenir Next" w:hAnsi="Avenir Next" w:cs="Arial"/>
          <w:color w:val="808080" w:themeColor="background1" w:themeShade="80"/>
          <w:sz w:val="22"/>
          <w:szCs w:val="22"/>
        </w:rPr>
        <w:t xml:space="preserve"> clause to terminate provision of the relevant goods or services</w:t>
      </w:r>
      <w:r>
        <w:rPr>
          <w:rFonts w:ascii="Avenir Next" w:hAnsi="Avenir Next" w:cs="Arial"/>
          <w:color w:val="808080" w:themeColor="background1" w:themeShade="80"/>
          <w:sz w:val="22"/>
          <w:szCs w:val="22"/>
        </w:rPr>
        <w:t>. Where the relevant goods or services are "essential supplies" within the meaning of s233, the administrator can be required by the supplier to personally guarantee any pre-insolvency arrears. In the case of all other services (</w:t>
      </w:r>
      <w:r w:rsidR="00115758">
        <w:rPr>
          <w:rFonts w:ascii="Avenir Next" w:hAnsi="Avenir Next" w:cs="Arial"/>
          <w:color w:val="808080" w:themeColor="background1" w:themeShade="80"/>
          <w:sz w:val="22"/>
          <w:szCs w:val="22"/>
        </w:rPr>
        <w:t xml:space="preserve">save for the limited exceptions in s233B), the administrator cannot be required to give a personal guarantee in relation to pre-insolvency arrears.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77004270" w:rsidR="00EA3B38" w:rsidRDefault="004E151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The first parties paid in a liquidation are the holders of fixed charges, if any. These fixed charges fall outside of the </w:t>
      </w:r>
      <w:r w:rsidR="005867D3">
        <w:rPr>
          <w:rFonts w:ascii="Avenir Next" w:hAnsi="Avenir Next" w:cs="Arial"/>
          <w:color w:val="808080" w:themeColor="background1" w:themeShade="80"/>
          <w:sz w:val="22"/>
          <w:szCs w:val="22"/>
        </w:rPr>
        <w:t xml:space="preserve">formal insolvency proceeding, and the </w:t>
      </w:r>
      <w:proofErr w:type="spellStart"/>
      <w:r w:rsidR="005867D3">
        <w:rPr>
          <w:rFonts w:ascii="Avenir Next" w:hAnsi="Avenir Next" w:cs="Arial"/>
          <w:color w:val="808080" w:themeColor="background1" w:themeShade="80"/>
          <w:sz w:val="22"/>
          <w:szCs w:val="22"/>
        </w:rPr>
        <w:t>chargeholders</w:t>
      </w:r>
      <w:proofErr w:type="spellEnd"/>
      <w:r w:rsidR="005867D3">
        <w:rPr>
          <w:rFonts w:ascii="Avenir Next" w:hAnsi="Avenir Next" w:cs="Arial"/>
          <w:color w:val="808080" w:themeColor="background1" w:themeShade="80"/>
          <w:sz w:val="22"/>
          <w:szCs w:val="22"/>
        </w:rPr>
        <w:t xml:space="preserve"> are paid from the proceeds of the sale of the asset over which they enjoy security. </w:t>
      </w:r>
    </w:p>
    <w:p w14:paraId="6001BBB2" w14:textId="3D8A82FE" w:rsidR="005867D3" w:rsidRDefault="005867D3" w:rsidP="00EA3B38">
      <w:pPr>
        <w:jc w:val="both"/>
        <w:rPr>
          <w:rFonts w:ascii="Avenir Next" w:hAnsi="Avenir Next" w:cs="Arial"/>
          <w:color w:val="808080" w:themeColor="background1" w:themeShade="80"/>
          <w:sz w:val="22"/>
          <w:szCs w:val="22"/>
        </w:rPr>
      </w:pPr>
    </w:p>
    <w:p w14:paraId="05D01043" w14:textId="75EA9942" w:rsidR="005867D3" w:rsidRDefault="005867D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second tranche of payments is in relation to the expenses of the liquidation, including </w:t>
      </w:r>
      <w:r w:rsidR="00A04B11">
        <w:rPr>
          <w:rFonts w:ascii="Avenir Next" w:hAnsi="Avenir Next" w:cs="Arial"/>
          <w:color w:val="808080" w:themeColor="background1" w:themeShade="80"/>
          <w:sz w:val="22"/>
          <w:szCs w:val="22"/>
        </w:rPr>
        <w:t>the costs of any security provided by the liquidator, any necessary disbursements incurred by the liquidator</w:t>
      </w:r>
      <w:r w:rsidR="00A04B11" w:rsidRPr="00A04B11">
        <w:rPr>
          <w:rFonts w:ascii="Avenir Next" w:hAnsi="Avenir Next" w:cs="Arial"/>
          <w:color w:val="808080" w:themeColor="background1" w:themeShade="80"/>
          <w:sz w:val="22"/>
          <w:szCs w:val="22"/>
        </w:rPr>
        <w:t xml:space="preserve"> </w:t>
      </w:r>
      <w:r w:rsidR="00A04B11">
        <w:rPr>
          <w:rFonts w:ascii="Avenir Next" w:hAnsi="Avenir Next" w:cs="Arial"/>
          <w:color w:val="808080" w:themeColor="background1" w:themeShade="80"/>
          <w:sz w:val="22"/>
          <w:szCs w:val="22"/>
        </w:rPr>
        <w:t xml:space="preserve">and the </w:t>
      </w:r>
      <w:r w:rsidR="00A04B11">
        <w:rPr>
          <w:rFonts w:ascii="Avenir Next" w:hAnsi="Avenir Next" w:cs="Arial"/>
          <w:color w:val="808080" w:themeColor="background1" w:themeShade="80"/>
          <w:sz w:val="22"/>
          <w:szCs w:val="22"/>
        </w:rPr>
        <w:t>remuneration of the liquidator</w:t>
      </w:r>
      <w:r w:rsidR="00A04B11">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 </w:t>
      </w:r>
    </w:p>
    <w:p w14:paraId="1BDB4006" w14:textId="4533EE30" w:rsidR="005867D3" w:rsidRDefault="005867D3" w:rsidP="00EA3B38">
      <w:pPr>
        <w:jc w:val="both"/>
        <w:rPr>
          <w:rFonts w:ascii="Avenir Next" w:hAnsi="Avenir Next" w:cs="Arial"/>
          <w:color w:val="808080" w:themeColor="background1" w:themeShade="80"/>
          <w:sz w:val="22"/>
          <w:szCs w:val="22"/>
        </w:rPr>
      </w:pPr>
    </w:p>
    <w:p w14:paraId="74457044" w14:textId="15D81D3D" w:rsidR="005867D3" w:rsidRDefault="005867D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third tranche of payments is in respect of preferential creditors, being (i) employees who are owed money by the insolvent company and (ii) the government in respect of tax debts where the company has acted as tax collector for it. </w:t>
      </w:r>
      <w:r w:rsidR="009A1F0B">
        <w:rPr>
          <w:rFonts w:ascii="Avenir Next" w:hAnsi="Avenir Next" w:cs="Arial"/>
          <w:color w:val="808080" w:themeColor="background1" w:themeShade="80"/>
          <w:sz w:val="22"/>
          <w:szCs w:val="22"/>
        </w:rPr>
        <w:t xml:space="preserve">Preferential claims are heavily </w:t>
      </w:r>
      <w:r w:rsidR="00404B56">
        <w:rPr>
          <w:rFonts w:ascii="Avenir Next" w:hAnsi="Avenir Next" w:cs="Arial"/>
          <w:color w:val="808080" w:themeColor="background1" w:themeShade="80"/>
          <w:sz w:val="22"/>
          <w:szCs w:val="22"/>
        </w:rPr>
        <w:t>restricted</w:t>
      </w:r>
      <w:r w:rsidR="009A1F0B">
        <w:rPr>
          <w:rFonts w:ascii="Avenir Next" w:hAnsi="Avenir Next" w:cs="Arial"/>
          <w:color w:val="808080" w:themeColor="background1" w:themeShade="80"/>
          <w:sz w:val="22"/>
          <w:szCs w:val="22"/>
        </w:rPr>
        <w:t xml:space="preserve">, and are also sub-divided into ordinary and secondary preferential claims. Ordinary preferential claims include, for example, payments owing in relation to employee contributions to a pension scheme, employer contributions to a pension scheme, remuneration due to employees for the four months preceding liquidation (and capped at £800), and other debts as set out in Schedule 6 to the Insolvency Act. </w:t>
      </w:r>
      <w:r w:rsidR="00A41851">
        <w:rPr>
          <w:rFonts w:ascii="Avenir Next" w:hAnsi="Avenir Next" w:cs="Arial"/>
          <w:color w:val="808080" w:themeColor="background1" w:themeShade="80"/>
          <w:sz w:val="22"/>
          <w:szCs w:val="22"/>
        </w:rPr>
        <w:t xml:space="preserve">Once all of the ordinary preferential claims have been met, secondary preferential claims are paid. These consist of, for example, sums owed to eligible persons which exceed the sums that those eligible persons will recover under the Financial Services Compensation Scheme, PAYE deductions, VAT payments and student loan payments </w:t>
      </w:r>
    </w:p>
    <w:p w14:paraId="0383B6A3" w14:textId="6F023925" w:rsidR="005867D3" w:rsidRDefault="005867D3" w:rsidP="00EA3B38">
      <w:pPr>
        <w:jc w:val="both"/>
        <w:rPr>
          <w:rFonts w:ascii="Avenir Next" w:hAnsi="Avenir Next" w:cs="Arial"/>
          <w:color w:val="808080" w:themeColor="background1" w:themeShade="80"/>
          <w:sz w:val="22"/>
          <w:szCs w:val="22"/>
        </w:rPr>
      </w:pPr>
    </w:p>
    <w:p w14:paraId="4357278B" w14:textId="5524490C" w:rsidR="005867D3" w:rsidRDefault="005867D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fourth tranche of payments is made to the holder</w:t>
      </w:r>
      <w:r w:rsidR="003A6306">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of any floating charges, subject to statutory deductions, if any.</w:t>
      </w:r>
      <w:r w:rsidR="00C662AE">
        <w:rPr>
          <w:rFonts w:ascii="Avenir Next" w:hAnsi="Avenir Next" w:cs="Arial"/>
          <w:color w:val="808080" w:themeColor="background1" w:themeShade="80"/>
          <w:sz w:val="22"/>
          <w:szCs w:val="22"/>
        </w:rPr>
        <w:t xml:space="preserve"> Where there are multiple floating </w:t>
      </w:r>
      <w:proofErr w:type="spellStart"/>
      <w:r w:rsidR="00C662AE">
        <w:rPr>
          <w:rFonts w:ascii="Avenir Next" w:hAnsi="Avenir Next" w:cs="Arial"/>
          <w:color w:val="808080" w:themeColor="background1" w:themeShade="80"/>
          <w:sz w:val="22"/>
          <w:szCs w:val="22"/>
        </w:rPr>
        <w:t>chargeholders</w:t>
      </w:r>
      <w:proofErr w:type="spellEnd"/>
      <w:r w:rsidR="00C662AE">
        <w:rPr>
          <w:rFonts w:ascii="Avenir Next" w:hAnsi="Avenir Next" w:cs="Arial"/>
          <w:color w:val="808080" w:themeColor="background1" w:themeShade="80"/>
          <w:sz w:val="22"/>
          <w:szCs w:val="22"/>
        </w:rPr>
        <w:t>, the usual rule is that the first-in-time</w:t>
      </w:r>
      <w:r>
        <w:rPr>
          <w:rFonts w:ascii="Avenir Next" w:hAnsi="Avenir Next" w:cs="Arial"/>
          <w:color w:val="808080" w:themeColor="background1" w:themeShade="80"/>
          <w:sz w:val="22"/>
          <w:szCs w:val="22"/>
        </w:rPr>
        <w:t xml:space="preserve"> </w:t>
      </w:r>
      <w:r w:rsidR="00C662AE">
        <w:rPr>
          <w:rFonts w:ascii="Avenir Next" w:hAnsi="Avenir Next" w:cs="Arial"/>
          <w:color w:val="808080" w:themeColor="background1" w:themeShade="80"/>
          <w:sz w:val="22"/>
          <w:szCs w:val="22"/>
        </w:rPr>
        <w:t xml:space="preserve">charge prevails. </w:t>
      </w:r>
      <w:r w:rsidR="00404B56">
        <w:rPr>
          <w:rFonts w:ascii="Avenir Next" w:hAnsi="Avenir Next" w:cs="Arial"/>
          <w:color w:val="808080" w:themeColor="background1" w:themeShade="80"/>
          <w:sz w:val="22"/>
          <w:szCs w:val="22"/>
        </w:rPr>
        <w:t xml:space="preserve">The statutory deduction arises by operation of s176A of the Insolvency Act, and prevents a floating charge-holder from automatically "scooping the pot" and leaving nothing for the unsecured creditors. It applies to all charges created on or after 15 September 2003, where the </w:t>
      </w:r>
      <w:proofErr w:type="spellStart"/>
      <w:r w:rsidR="00404B56">
        <w:rPr>
          <w:rFonts w:ascii="Avenir Next" w:hAnsi="Avenir Next" w:cs="Arial"/>
          <w:color w:val="808080" w:themeColor="background1" w:themeShade="80"/>
          <w:sz w:val="22"/>
          <w:szCs w:val="22"/>
        </w:rPr>
        <w:t>chargor</w:t>
      </w:r>
      <w:proofErr w:type="spellEnd"/>
      <w:r w:rsidR="00404B56">
        <w:rPr>
          <w:rFonts w:ascii="Avenir Next" w:hAnsi="Avenir Next" w:cs="Arial"/>
          <w:color w:val="808080" w:themeColor="background1" w:themeShade="80"/>
          <w:sz w:val="22"/>
          <w:szCs w:val="22"/>
        </w:rPr>
        <w:t xml:space="preserve"> company has subsequently gone into liquidation or administration. Under s176A, the liquidator is required to reserve the "prescribed part" of the asset subject to the floating charge for the unsecured creditors: </w:t>
      </w:r>
      <w:r w:rsidR="00C662AE">
        <w:rPr>
          <w:rFonts w:ascii="Avenir Next" w:hAnsi="Avenir Next" w:cs="Arial"/>
          <w:color w:val="808080" w:themeColor="background1" w:themeShade="80"/>
          <w:sz w:val="22"/>
          <w:szCs w:val="22"/>
        </w:rPr>
        <w:t xml:space="preserve">where the company's "net property" (i.e. what is available for distribution post-payment of expenses and preferential claims) is £10,000 or less, the liquidator must retain 50% </w:t>
      </w:r>
      <w:r w:rsidR="00203FC7">
        <w:rPr>
          <w:rFonts w:ascii="Avenir Next" w:hAnsi="Avenir Next" w:cs="Arial"/>
          <w:color w:val="808080" w:themeColor="background1" w:themeShade="80"/>
          <w:sz w:val="22"/>
          <w:szCs w:val="22"/>
        </w:rPr>
        <w:t>of that sum as the prescribed part</w:t>
      </w:r>
      <w:r w:rsidR="00C662AE">
        <w:rPr>
          <w:rFonts w:ascii="Avenir Next" w:hAnsi="Avenir Next" w:cs="Arial"/>
          <w:color w:val="808080" w:themeColor="background1" w:themeShade="80"/>
          <w:sz w:val="22"/>
          <w:szCs w:val="22"/>
        </w:rPr>
        <w:t xml:space="preserve">. Where the net property exceeds £10,000, the liquidator must retain 50% of the first £10,000 (i.e. £5,000) and 20% of the balance, subject to a maximum </w:t>
      </w:r>
      <w:r w:rsidR="00203FC7">
        <w:rPr>
          <w:rFonts w:ascii="Avenir Next" w:hAnsi="Avenir Next" w:cs="Arial"/>
          <w:color w:val="808080" w:themeColor="background1" w:themeShade="80"/>
          <w:sz w:val="22"/>
          <w:szCs w:val="22"/>
        </w:rPr>
        <w:t xml:space="preserve">prescribed part </w:t>
      </w:r>
      <w:r w:rsidR="00C662AE">
        <w:rPr>
          <w:rFonts w:ascii="Avenir Next" w:hAnsi="Avenir Next" w:cs="Arial"/>
          <w:color w:val="808080" w:themeColor="background1" w:themeShade="80"/>
          <w:sz w:val="22"/>
          <w:szCs w:val="22"/>
        </w:rPr>
        <w:t xml:space="preserve">of £800,000. </w:t>
      </w:r>
    </w:p>
    <w:p w14:paraId="78359BB0" w14:textId="3BA2A1BA" w:rsidR="005867D3" w:rsidRDefault="005867D3" w:rsidP="00EA3B38">
      <w:pPr>
        <w:jc w:val="both"/>
        <w:rPr>
          <w:rFonts w:ascii="Avenir Next" w:hAnsi="Avenir Next" w:cs="Arial"/>
          <w:color w:val="808080" w:themeColor="background1" w:themeShade="80"/>
          <w:sz w:val="22"/>
          <w:szCs w:val="22"/>
        </w:rPr>
      </w:pPr>
    </w:p>
    <w:p w14:paraId="692340E6" w14:textId="353E57AC" w:rsidR="005867D3" w:rsidRDefault="005867D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fifth and final tranche of payments is made to the unsecured creditors, being all those creditors who do not enjoy any security, such as a charge, or any other preferential status under the insolvency Act. This class usually consists of trade creditors of the company, amongst others. </w:t>
      </w:r>
    </w:p>
    <w:p w14:paraId="33B6218D" w14:textId="6D31DD4F" w:rsidR="005867D3" w:rsidRDefault="005867D3" w:rsidP="00EA3B38">
      <w:pPr>
        <w:jc w:val="both"/>
        <w:rPr>
          <w:rFonts w:ascii="Avenir Next" w:hAnsi="Avenir Next" w:cs="Arial"/>
          <w:color w:val="808080" w:themeColor="background1" w:themeShade="80"/>
          <w:sz w:val="22"/>
          <w:szCs w:val="22"/>
        </w:rPr>
      </w:pPr>
    </w:p>
    <w:p w14:paraId="2D041DA8" w14:textId="71858218" w:rsidR="005867D3" w:rsidRDefault="005867D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event that the company is solvent, each of these five classes will be paid in full and the balance will be paid to the members in accordance with the company’s articles of association or other constitutional documents. </w:t>
      </w:r>
      <w:r w:rsidR="003A6306">
        <w:rPr>
          <w:rFonts w:ascii="Avenir Next" w:hAnsi="Avenir Next" w:cs="Arial"/>
          <w:color w:val="808080" w:themeColor="background1" w:themeShade="80"/>
          <w:sz w:val="22"/>
          <w:szCs w:val="22"/>
        </w:rPr>
        <w:t xml:space="preserve">In the event that the company is insolvent, each tranche of creditor will be paid in full. Where there are insufficient funds available to meet the claims of an entire class, that class will take the proceeds of the liquidation </w:t>
      </w:r>
      <w:proofErr w:type="spellStart"/>
      <w:r w:rsidR="003A6306">
        <w:rPr>
          <w:rFonts w:ascii="Avenir Next" w:hAnsi="Avenir Next" w:cs="Arial"/>
          <w:i/>
          <w:iCs/>
          <w:color w:val="808080" w:themeColor="background1" w:themeShade="80"/>
          <w:sz w:val="22"/>
          <w:szCs w:val="22"/>
        </w:rPr>
        <w:t>pari</w:t>
      </w:r>
      <w:proofErr w:type="spellEnd"/>
      <w:r w:rsidR="003A6306">
        <w:rPr>
          <w:rFonts w:ascii="Avenir Next" w:hAnsi="Avenir Next" w:cs="Arial"/>
          <w:i/>
          <w:iCs/>
          <w:color w:val="808080" w:themeColor="background1" w:themeShade="80"/>
          <w:sz w:val="22"/>
          <w:szCs w:val="22"/>
        </w:rPr>
        <w:t xml:space="preserve"> passu inter se</w:t>
      </w:r>
      <w:r w:rsidR="003A6306">
        <w:rPr>
          <w:rFonts w:ascii="Avenir Next" w:hAnsi="Avenir Next" w:cs="Arial"/>
          <w:color w:val="808080" w:themeColor="background1" w:themeShade="80"/>
          <w:sz w:val="22"/>
          <w:szCs w:val="22"/>
        </w:rPr>
        <w:t xml:space="preserve">, that is to say in equal proportion within the class, and later classes get no return. Usually this </w:t>
      </w:r>
      <w:proofErr w:type="spellStart"/>
      <w:r w:rsidR="003A6306">
        <w:rPr>
          <w:rFonts w:ascii="Avenir Next" w:hAnsi="Avenir Next" w:cs="Arial"/>
          <w:i/>
          <w:iCs/>
          <w:color w:val="808080" w:themeColor="background1" w:themeShade="80"/>
          <w:sz w:val="22"/>
          <w:szCs w:val="22"/>
        </w:rPr>
        <w:t>pari</w:t>
      </w:r>
      <w:proofErr w:type="spellEnd"/>
      <w:r w:rsidR="003A6306">
        <w:rPr>
          <w:rFonts w:ascii="Avenir Next" w:hAnsi="Avenir Next" w:cs="Arial"/>
          <w:i/>
          <w:iCs/>
          <w:color w:val="808080" w:themeColor="background1" w:themeShade="80"/>
          <w:sz w:val="22"/>
          <w:szCs w:val="22"/>
        </w:rPr>
        <w:t xml:space="preserve"> passu </w:t>
      </w:r>
      <w:r w:rsidR="003A6306">
        <w:rPr>
          <w:rFonts w:ascii="Avenir Next" w:hAnsi="Avenir Next" w:cs="Arial"/>
          <w:color w:val="808080" w:themeColor="background1" w:themeShade="80"/>
          <w:sz w:val="22"/>
          <w:szCs w:val="22"/>
        </w:rPr>
        <w:t xml:space="preserve">distribution occurs amongst the unsecured creditors, but it may be the case that the company’s assets only cover, for example, expenses and preferential payments in addition to fixed charge payments, which would mean that the floating </w:t>
      </w:r>
      <w:proofErr w:type="spellStart"/>
      <w:r w:rsidR="003A6306">
        <w:rPr>
          <w:rFonts w:ascii="Avenir Next" w:hAnsi="Avenir Next" w:cs="Arial"/>
          <w:color w:val="808080" w:themeColor="background1" w:themeShade="80"/>
          <w:sz w:val="22"/>
          <w:szCs w:val="22"/>
        </w:rPr>
        <w:t>chargeholders</w:t>
      </w:r>
      <w:proofErr w:type="spellEnd"/>
      <w:r w:rsidR="003A6306">
        <w:rPr>
          <w:rFonts w:ascii="Avenir Next" w:hAnsi="Avenir Next" w:cs="Arial"/>
          <w:color w:val="808080" w:themeColor="background1" w:themeShade="80"/>
          <w:sz w:val="22"/>
          <w:szCs w:val="22"/>
        </w:rPr>
        <w:t xml:space="preserve"> and unsecured creditors receive nothing. </w:t>
      </w:r>
    </w:p>
    <w:p w14:paraId="29DCD3BF" w14:textId="17B41823" w:rsidR="00B72E64" w:rsidRDefault="00B72E64" w:rsidP="00EA3B38">
      <w:pPr>
        <w:jc w:val="both"/>
        <w:rPr>
          <w:rFonts w:ascii="Avenir Next" w:hAnsi="Avenir Next" w:cs="Arial"/>
          <w:color w:val="808080" w:themeColor="background1" w:themeShade="80"/>
          <w:sz w:val="22"/>
          <w:szCs w:val="22"/>
        </w:rPr>
      </w:pPr>
    </w:p>
    <w:p w14:paraId="730EB0B5" w14:textId="2AE5DB98" w:rsidR="00B72E64" w:rsidRPr="003A6306" w:rsidRDefault="00B72E6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Where the company was subject to a Moratorium in the 12 weeks before the liquidation commenced, the debts falling outside of the payment holiday </w:t>
      </w:r>
      <w:r w:rsidR="005A091D">
        <w:rPr>
          <w:rFonts w:ascii="Avenir Next" w:hAnsi="Avenir Next" w:cs="Arial"/>
          <w:color w:val="808080" w:themeColor="background1" w:themeShade="80"/>
          <w:sz w:val="22"/>
          <w:szCs w:val="22"/>
        </w:rPr>
        <w:t>pursuant to the</w:t>
      </w:r>
      <w:r>
        <w:rPr>
          <w:rFonts w:ascii="Avenir Next" w:hAnsi="Avenir Next" w:cs="Arial"/>
          <w:color w:val="808080" w:themeColor="background1" w:themeShade="80"/>
          <w:sz w:val="22"/>
          <w:szCs w:val="22"/>
        </w:rPr>
        <w:t xml:space="preserve"> Moratorium </w:t>
      </w:r>
      <w:r w:rsidR="005A091D">
        <w:rPr>
          <w:rFonts w:ascii="Avenir Next" w:hAnsi="Avenir Next" w:cs="Arial"/>
          <w:color w:val="808080" w:themeColor="background1" w:themeShade="80"/>
          <w:sz w:val="22"/>
          <w:szCs w:val="22"/>
        </w:rPr>
        <w:t xml:space="preserve">(as to which see Q2.2 above) </w:t>
      </w:r>
      <w:r w:rsidR="00665542">
        <w:rPr>
          <w:rFonts w:ascii="Avenir Next" w:hAnsi="Avenir Next" w:cs="Arial"/>
          <w:color w:val="808080" w:themeColor="background1" w:themeShade="80"/>
          <w:sz w:val="22"/>
          <w:szCs w:val="22"/>
        </w:rPr>
        <w:t xml:space="preserve">which remain unpaid enjoy "super-priority" and are therefore paid ahead of the liquidator's </w:t>
      </w:r>
      <w:r w:rsidR="00665542">
        <w:rPr>
          <w:rFonts w:ascii="Avenir Next" w:hAnsi="Avenir Next" w:cs="Arial"/>
          <w:color w:val="808080" w:themeColor="background1" w:themeShade="80"/>
          <w:sz w:val="22"/>
          <w:szCs w:val="22"/>
        </w:rPr>
        <w:lastRenderedPageBreak/>
        <w:t>own fees and expenses</w:t>
      </w:r>
      <w:r w:rsidR="002C011C">
        <w:rPr>
          <w:rFonts w:ascii="Avenir Next" w:hAnsi="Avenir Next" w:cs="Arial"/>
          <w:color w:val="808080" w:themeColor="background1" w:themeShade="80"/>
          <w:sz w:val="22"/>
          <w:szCs w:val="22"/>
        </w:rPr>
        <w:t xml:space="preserve"> (pursuant to s174A of the Insolvency Act)</w:t>
      </w:r>
      <w:r w:rsidR="00665542">
        <w:rPr>
          <w:rFonts w:ascii="Avenir Next" w:hAnsi="Avenir Next" w:cs="Arial"/>
          <w:color w:val="808080" w:themeColor="background1" w:themeShade="80"/>
          <w:sz w:val="22"/>
          <w:szCs w:val="22"/>
        </w:rPr>
        <w:t xml:space="preserve">. </w:t>
      </w:r>
      <w:r w:rsidR="00150DF6">
        <w:rPr>
          <w:rFonts w:ascii="Avenir Next" w:hAnsi="Avenir Next" w:cs="Arial"/>
          <w:color w:val="808080" w:themeColor="background1" w:themeShade="80"/>
          <w:sz w:val="22"/>
          <w:szCs w:val="22"/>
        </w:rPr>
        <w:t>There is however an exception to this rule in relation to accelerated debts, which do not enjoy the super-prior</w:t>
      </w:r>
      <w:r w:rsidR="000A7D4F">
        <w:rPr>
          <w:rFonts w:ascii="Avenir Next" w:hAnsi="Avenir Next" w:cs="Arial"/>
          <w:color w:val="808080" w:themeColor="background1" w:themeShade="80"/>
          <w:sz w:val="22"/>
          <w:szCs w:val="22"/>
        </w:rPr>
        <w:t>i</w:t>
      </w:r>
      <w:r w:rsidR="00150DF6">
        <w:rPr>
          <w:rFonts w:ascii="Avenir Next" w:hAnsi="Avenir Next" w:cs="Arial"/>
          <w:color w:val="808080" w:themeColor="background1" w:themeShade="80"/>
          <w:sz w:val="22"/>
          <w:szCs w:val="22"/>
        </w:rPr>
        <w:t xml:space="preserve">ty. </w:t>
      </w:r>
    </w:p>
    <w:p w14:paraId="3DAA6780" w14:textId="61FB8AF7" w:rsidR="00962045" w:rsidRPr="003A6306" w:rsidRDefault="00962045" w:rsidP="002A37BB">
      <w:pPr>
        <w:jc w:val="both"/>
        <w:rPr>
          <w:rFonts w:ascii="Avenir Next" w:hAnsi="Avenir Next" w:cs="Arial"/>
          <w:i/>
          <w:iCs/>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4CF0B9E5" w14:textId="77777777" w:rsidR="00EC2790" w:rsidRDefault="003E6F9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granting of a floating charge in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of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plc may be a preference within the meaning of s23</w:t>
      </w:r>
      <w:r w:rsidR="00E76644">
        <w:rPr>
          <w:rFonts w:ascii="Avenir Next" w:hAnsi="Avenir Next" w:cs="Arial"/>
          <w:color w:val="808080" w:themeColor="background1" w:themeShade="80"/>
          <w:sz w:val="22"/>
          <w:szCs w:val="22"/>
        </w:rPr>
        <w:t>9</w:t>
      </w:r>
      <w:r>
        <w:rPr>
          <w:rFonts w:ascii="Avenir Next" w:hAnsi="Avenir Next" w:cs="Arial"/>
          <w:color w:val="808080" w:themeColor="background1" w:themeShade="80"/>
          <w:sz w:val="22"/>
          <w:szCs w:val="22"/>
        </w:rPr>
        <w:t xml:space="preserve"> of the Insolvency Act</w:t>
      </w:r>
      <w:r w:rsidR="00EC2790">
        <w:rPr>
          <w:rFonts w:ascii="Avenir Next" w:hAnsi="Avenir Next" w:cs="Arial"/>
          <w:color w:val="808080" w:themeColor="background1" w:themeShade="80"/>
          <w:sz w:val="22"/>
          <w:szCs w:val="22"/>
        </w:rPr>
        <w:t>, or may be subject to avoidance under s245 of the Insolvency Act</w:t>
      </w:r>
      <w:r>
        <w:rPr>
          <w:rFonts w:ascii="Avenir Next" w:hAnsi="Avenir Next" w:cs="Arial"/>
          <w:color w:val="808080" w:themeColor="background1" w:themeShade="80"/>
          <w:sz w:val="22"/>
          <w:szCs w:val="22"/>
        </w:rPr>
        <w:t xml:space="preserve">. </w:t>
      </w:r>
    </w:p>
    <w:p w14:paraId="23CA08D9" w14:textId="6D6F0510" w:rsidR="00EC2790" w:rsidRDefault="00EC2790" w:rsidP="00EA3B38">
      <w:pPr>
        <w:jc w:val="both"/>
        <w:rPr>
          <w:rFonts w:ascii="Avenir Next" w:hAnsi="Avenir Next" w:cs="Arial"/>
          <w:color w:val="808080" w:themeColor="background1" w:themeShade="80"/>
          <w:sz w:val="22"/>
          <w:szCs w:val="22"/>
        </w:rPr>
      </w:pPr>
    </w:p>
    <w:p w14:paraId="57222A0D" w14:textId="327DFFB8" w:rsidR="00EC2790" w:rsidRDefault="00EC2790" w:rsidP="00EA3B38">
      <w:pPr>
        <w:jc w:val="both"/>
        <w:rPr>
          <w:rFonts w:ascii="Avenir Next" w:hAnsi="Avenir Next" w:cs="Arial"/>
          <w:color w:val="808080" w:themeColor="background1" w:themeShade="80"/>
          <w:sz w:val="22"/>
          <w:szCs w:val="22"/>
          <w:u w:val="single"/>
        </w:rPr>
      </w:pPr>
      <w:r>
        <w:rPr>
          <w:rFonts w:ascii="Avenir Next" w:hAnsi="Avenir Next" w:cs="Arial"/>
          <w:color w:val="808080" w:themeColor="background1" w:themeShade="80"/>
          <w:sz w:val="22"/>
          <w:szCs w:val="22"/>
          <w:u w:val="single"/>
        </w:rPr>
        <w:t>Preference</w:t>
      </w:r>
    </w:p>
    <w:p w14:paraId="0C8355D0" w14:textId="77777777" w:rsidR="00EC2790" w:rsidRPr="00EC2790" w:rsidRDefault="00EC2790" w:rsidP="00EA3B38">
      <w:pPr>
        <w:jc w:val="both"/>
        <w:rPr>
          <w:rFonts w:ascii="Avenir Next" w:hAnsi="Avenir Next" w:cs="Arial"/>
          <w:color w:val="808080" w:themeColor="background1" w:themeShade="80"/>
          <w:sz w:val="22"/>
          <w:szCs w:val="22"/>
          <w:u w:val="single"/>
        </w:rPr>
      </w:pPr>
    </w:p>
    <w:p w14:paraId="5237771F" w14:textId="18C234C4" w:rsidR="00EA3B38" w:rsidRDefault="00E7664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preference is a transaction which gives one creditor an advantage or places them in a preferential position compared to what their position otherwise would have been in an insolvency. Preferences are avoidable by the Court on the application of the liquidator</w:t>
      </w:r>
      <w:r w:rsidR="00E74533">
        <w:rPr>
          <w:rFonts w:ascii="Avenir Next" w:hAnsi="Avenir Next" w:cs="Arial"/>
          <w:color w:val="808080" w:themeColor="background1" w:themeShade="80"/>
          <w:sz w:val="22"/>
          <w:szCs w:val="22"/>
        </w:rPr>
        <w:t>, after the company has gone into liquidation</w:t>
      </w:r>
      <w:r>
        <w:rPr>
          <w:rFonts w:ascii="Avenir Next" w:hAnsi="Avenir Next" w:cs="Arial"/>
          <w:color w:val="808080" w:themeColor="background1" w:themeShade="80"/>
          <w:sz w:val="22"/>
          <w:szCs w:val="22"/>
        </w:rPr>
        <w:t xml:space="preserve">. In order to succeed in having a preference avoided under s 239, the liquidator must show that (i) the person </w:t>
      </w:r>
      <w:r w:rsidR="00E74533">
        <w:rPr>
          <w:rFonts w:ascii="Avenir Next" w:hAnsi="Avenir Next" w:cs="Arial"/>
          <w:color w:val="808080" w:themeColor="background1" w:themeShade="80"/>
          <w:sz w:val="22"/>
          <w:szCs w:val="22"/>
        </w:rPr>
        <w:t xml:space="preserve">preferred was at the time of the transaction a creditor of the company or surety or guarantor of any of its debts; (ii) the person has been preferred (i.e. the company has done or suffered something that places the creditor in a better position in the event of insolvency than it otherwise would have been); (iii) in giving the preference, the company was influenced by a desire to prefer that creditor; and (iv) the preference was given at a relevant time. </w:t>
      </w:r>
    </w:p>
    <w:p w14:paraId="2422A2CC" w14:textId="5FCC237B" w:rsidR="00E74533" w:rsidRDefault="00E74533" w:rsidP="00EA3B38">
      <w:pPr>
        <w:jc w:val="both"/>
        <w:rPr>
          <w:rFonts w:ascii="Avenir Next" w:hAnsi="Avenir Next" w:cs="Arial"/>
          <w:color w:val="808080" w:themeColor="background1" w:themeShade="80"/>
          <w:sz w:val="22"/>
          <w:szCs w:val="22"/>
        </w:rPr>
      </w:pPr>
    </w:p>
    <w:p w14:paraId="357A0871" w14:textId="1DB53EB7" w:rsidR="00E74533" w:rsidRDefault="00E7453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In this instance,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is evidently a creditor of the Company, as it </w:t>
      </w:r>
      <w:r w:rsidR="006A7D6F">
        <w:rPr>
          <w:rFonts w:ascii="Avenir Next" w:hAnsi="Avenir Next" w:cs="Arial"/>
          <w:color w:val="808080" w:themeColor="background1" w:themeShade="80"/>
          <w:sz w:val="22"/>
          <w:szCs w:val="22"/>
        </w:rPr>
        <w:t xml:space="preserve">was owed loan repayments by the Company. Thus, the first limb of the s239 test is met. </w:t>
      </w:r>
      <w:proofErr w:type="spellStart"/>
      <w:r w:rsidR="006A7D6F">
        <w:rPr>
          <w:rFonts w:ascii="Avenir Next" w:hAnsi="Avenir Next" w:cs="Arial"/>
          <w:color w:val="808080" w:themeColor="background1" w:themeShade="80"/>
          <w:sz w:val="22"/>
          <w:szCs w:val="22"/>
        </w:rPr>
        <w:t>Fretus</w:t>
      </w:r>
      <w:proofErr w:type="spellEnd"/>
      <w:r w:rsidR="006A7D6F">
        <w:rPr>
          <w:rFonts w:ascii="Avenir Next" w:hAnsi="Avenir Next" w:cs="Arial"/>
          <w:color w:val="808080" w:themeColor="background1" w:themeShade="80"/>
          <w:sz w:val="22"/>
          <w:szCs w:val="22"/>
        </w:rPr>
        <w:t xml:space="preserve"> Bank</w:t>
      </w:r>
      <w:r>
        <w:rPr>
          <w:rFonts w:ascii="Avenir Next" w:hAnsi="Avenir Next" w:cs="Arial"/>
          <w:color w:val="808080" w:themeColor="background1" w:themeShade="80"/>
          <w:sz w:val="22"/>
          <w:szCs w:val="22"/>
        </w:rPr>
        <w:t xml:space="preserve"> does not appear to have held any security prior to the granting of the </w:t>
      </w:r>
      <w:r w:rsidR="006A7D6F">
        <w:rPr>
          <w:rFonts w:ascii="Avenir Next" w:hAnsi="Avenir Next" w:cs="Arial"/>
          <w:color w:val="808080" w:themeColor="background1" w:themeShade="80"/>
          <w:sz w:val="22"/>
          <w:szCs w:val="22"/>
        </w:rPr>
        <w:t>debenture</w:t>
      </w:r>
      <w:r>
        <w:rPr>
          <w:rFonts w:ascii="Avenir Next" w:hAnsi="Avenir Next" w:cs="Arial"/>
          <w:color w:val="808080" w:themeColor="background1" w:themeShade="80"/>
          <w:sz w:val="22"/>
          <w:szCs w:val="22"/>
        </w:rPr>
        <w:t xml:space="preserve"> in February 2022</w:t>
      </w:r>
      <w:r w:rsidR="006A7D6F">
        <w:rPr>
          <w:rFonts w:ascii="Avenir Next" w:hAnsi="Avenir Next" w:cs="Arial"/>
          <w:color w:val="808080" w:themeColor="background1" w:themeShade="80"/>
          <w:sz w:val="22"/>
          <w:szCs w:val="22"/>
        </w:rPr>
        <w:t>, but was granted a floating charge by way of the debenture</w:t>
      </w:r>
      <w:r>
        <w:rPr>
          <w:rFonts w:ascii="Avenir Next" w:hAnsi="Avenir Next" w:cs="Arial"/>
          <w:color w:val="808080" w:themeColor="background1" w:themeShade="80"/>
          <w:sz w:val="22"/>
          <w:szCs w:val="22"/>
        </w:rPr>
        <w:t xml:space="preserve">. As such, </w:t>
      </w:r>
      <w:r w:rsidR="006A7D6F">
        <w:rPr>
          <w:rFonts w:ascii="Avenir Next" w:hAnsi="Avenir Next" w:cs="Arial"/>
          <w:color w:val="808080" w:themeColor="background1" w:themeShade="80"/>
          <w:sz w:val="22"/>
          <w:szCs w:val="22"/>
        </w:rPr>
        <w:t xml:space="preserve">the granting of the debenture improved </w:t>
      </w:r>
      <w:proofErr w:type="spellStart"/>
      <w:r w:rsidR="006A7D6F">
        <w:rPr>
          <w:rFonts w:ascii="Avenir Next" w:hAnsi="Avenir Next" w:cs="Arial"/>
          <w:color w:val="808080" w:themeColor="background1" w:themeShade="80"/>
          <w:sz w:val="22"/>
          <w:szCs w:val="22"/>
        </w:rPr>
        <w:t>Fretus</w:t>
      </w:r>
      <w:proofErr w:type="spellEnd"/>
      <w:r w:rsidR="006A7D6F">
        <w:rPr>
          <w:rFonts w:ascii="Avenir Next" w:hAnsi="Avenir Next" w:cs="Arial"/>
          <w:color w:val="808080" w:themeColor="background1" w:themeShade="80"/>
          <w:sz w:val="22"/>
          <w:szCs w:val="22"/>
        </w:rPr>
        <w:t xml:space="preserve"> Bank's position as it changed </w:t>
      </w:r>
      <w:proofErr w:type="spellStart"/>
      <w:r w:rsidR="006A7D6F">
        <w:rPr>
          <w:rFonts w:ascii="Avenir Next" w:hAnsi="Avenir Next" w:cs="Arial"/>
          <w:color w:val="808080" w:themeColor="background1" w:themeShade="80"/>
          <w:sz w:val="22"/>
          <w:szCs w:val="22"/>
        </w:rPr>
        <w:t>Fretus</w:t>
      </w:r>
      <w:proofErr w:type="spellEnd"/>
      <w:r w:rsidR="006A7D6F">
        <w:rPr>
          <w:rFonts w:ascii="Avenir Next" w:hAnsi="Avenir Next" w:cs="Arial"/>
          <w:color w:val="808080" w:themeColor="background1" w:themeShade="80"/>
          <w:sz w:val="22"/>
          <w:szCs w:val="22"/>
        </w:rPr>
        <w:t xml:space="preserve"> Bank from an unsecured creditor (paid last in the waterfall) to the holder of a floating charge (paid before all unsecured creditors, after only expenses and preferential debts). Thus, there is a very real possibility that by virtue of the debenture </w:t>
      </w:r>
      <w:proofErr w:type="spellStart"/>
      <w:r w:rsidR="006A7D6F">
        <w:rPr>
          <w:rFonts w:ascii="Avenir Next" w:hAnsi="Avenir Next" w:cs="Arial"/>
          <w:color w:val="808080" w:themeColor="background1" w:themeShade="80"/>
          <w:sz w:val="22"/>
          <w:szCs w:val="22"/>
        </w:rPr>
        <w:t>Fretus</w:t>
      </w:r>
      <w:proofErr w:type="spellEnd"/>
      <w:r w:rsidR="006A7D6F">
        <w:rPr>
          <w:rFonts w:ascii="Avenir Next" w:hAnsi="Avenir Next" w:cs="Arial"/>
          <w:color w:val="808080" w:themeColor="background1" w:themeShade="80"/>
          <w:sz w:val="22"/>
          <w:szCs w:val="22"/>
        </w:rPr>
        <w:t xml:space="preserve"> Bank stands to benefit upon the liquidation of the Company, in that it will be paid earlier and is therefore more likely to receive repayment of its full claim. Granting of a debenture is plainly </w:t>
      </w:r>
      <w:r w:rsidR="00EC2790">
        <w:rPr>
          <w:rFonts w:ascii="Avenir Next" w:hAnsi="Avenir Next" w:cs="Arial"/>
          <w:color w:val="808080" w:themeColor="background1" w:themeShade="80"/>
          <w:sz w:val="22"/>
          <w:szCs w:val="22"/>
        </w:rPr>
        <w:t xml:space="preserve">a positive step taken by the company. On this basis, the second requirement is met. </w:t>
      </w:r>
    </w:p>
    <w:p w14:paraId="4D33C08E" w14:textId="556EEBC4" w:rsidR="00EC2790" w:rsidRDefault="00EC2790" w:rsidP="00EA3B38">
      <w:pPr>
        <w:jc w:val="both"/>
        <w:rPr>
          <w:rFonts w:ascii="Avenir Next" w:hAnsi="Avenir Next" w:cs="Arial"/>
          <w:color w:val="808080" w:themeColor="background1" w:themeShade="80"/>
          <w:sz w:val="22"/>
          <w:szCs w:val="22"/>
        </w:rPr>
      </w:pPr>
    </w:p>
    <w:p w14:paraId="1B57926D" w14:textId="709E7807" w:rsidR="00EC2790" w:rsidRDefault="00EC279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relation to the third requirement, the pressure exerted by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(i.e. demanding the floating charge in exchange for not calling in the loans) in relevant, but it will ultimately fall to the liquidator to prove that the Company was influenced by a desire to </w:t>
      </w:r>
      <w:r w:rsidR="00457688">
        <w:rPr>
          <w:rFonts w:ascii="Avenir Next" w:hAnsi="Avenir Next" w:cs="Arial"/>
          <w:color w:val="808080" w:themeColor="background1" w:themeShade="80"/>
          <w:sz w:val="22"/>
          <w:szCs w:val="22"/>
        </w:rPr>
        <w:t xml:space="preserve">prefer </w:t>
      </w:r>
      <w:proofErr w:type="spellStart"/>
      <w:r w:rsidR="00457688">
        <w:rPr>
          <w:rFonts w:ascii="Avenir Next" w:hAnsi="Avenir Next" w:cs="Arial"/>
          <w:color w:val="808080" w:themeColor="background1" w:themeShade="80"/>
          <w:sz w:val="22"/>
          <w:szCs w:val="22"/>
        </w:rPr>
        <w:t>Fretus</w:t>
      </w:r>
      <w:proofErr w:type="spellEnd"/>
      <w:r w:rsidR="00457688">
        <w:rPr>
          <w:rFonts w:ascii="Avenir Next" w:hAnsi="Avenir Next" w:cs="Arial"/>
          <w:color w:val="808080" w:themeColor="background1" w:themeShade="80"/>
          <w:sz w:val="22"/>
          <w:szCs w:val="22"/>
        </w:rPr>
        <w:t xml:space="preserve"> Bank over its other creditors. This is so because there is no evidence that </w:t>
      </w:r>
      <w:proofErr w:type="spellStart"/>
      <w:r w:rsidR="00457688">
        <w:rPr>
          <w:rFonts w:ascii="Avenir Next" w:hAnsi="Avenir Next" w:cs="Arial"/>
          <w:color w:val="808080" w:themeColor="background1" w:themeShade="80"/>
          <w:sz w:val="22"/>
          <w:szCs w:val="22"/>
        </w:rPr>
        <w:t>Fretus</w:t>
      </w:r>
      <w:proofErr w:type="spellEnd"/>
      <w:r w:rsidR="00457688">
        <w:rPr>
          <w:rFonts w:ascii="Avenir Next" w:hAnsi="Avenir Next" w:cs="Arial"/>
          <w:color w:val="808080" w:themeColor="background1" w:themeShade="80"/>
          <w:sz w:val="22"/>
          <w:szCs w:val="22"/>
        </w:rPr>
        <w:t xml:space="preserve"> Bank is a connected party to the Company, which means that the liquidator does not benefit from the presumption that </w:t>
      </w:r>
      <w:r w:rsidR="00396D59">
        <w:rPr>
          <w:rFonts w:ascii="Avenir Next" w:hAnsi="Avenir Next" w:cs="Arial"/>
          <w:color w:val="808080" w:themeColor="background1" w:themeShade="80"/>
          <w:sz w:val="22"/>
          <w:szCs w:val="22"/>
        </w:rPr>
        <w:t xml:space="preserve">the company had the necessary intention. </w:t>
      </w:r>
    </w:p>
    <w:p w14:paraId="3093DE01" w14:textId="33B899EA" w:rsidR="00396D59" w:rsidRDefault="00396D59" w:rsidP="00EA3B38">
      <w:pPr>
        <w:jc w:val="both"/>
        <w:rPr>
          <w:rFonts w:ascii="Avenir Next" w:hAnsi="Avenir Next" w:cs="Arial"/>
          <w:color w:val="808080" w:themeColor="background1" w:themeShade="80"/>
          <w:sz w:val="22"/>
          <w:szCs w:val="22"/>
        </w:rPr>
      </w:pPr>
    </w:p>
    <w:p w14:paraId="4BF57FC6" w14:textId="47C49BED" w:rsidR="00396D59" w:rsidRDefault="00396D5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fourth requirement is in relation to the relevant time. As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is not a connected party to the Company, the relevant time is defined as the 6 months before the commencement of the insolvency (which is the filing of the petition, i.e. October 2022). Since the debenture was granted in February 2022, this is more than 6 months before the commencement of the liquidation in October 2022. Accordingly, the liquidator will not be able to have the debenture set aside on the basis of s239 of the Insolvency Act. </w:t>
      </w:r>
    </w:p>
    <w:p w14:paraId="5C9EA8BD" w14:textId="4DBC4C1A" w:rsidR="00286D6D" w:rsidRDefault="00286D6D" w:rsidP="00EA3B38">
      <w:pPr>
        <w:jc w:val="both"/>
        <w:rPr>
          <w:rFonts w:ascii="Avenir Next" w:hAnsi="Avenir Next" w:cs="Arial"/>
          <w:color w:val="808080" w:themeColor="background1" w:themeShade="80"/>
          <w:sz w:val="22"/>
          <w:szCs w:val="22"/>
        </w:rPr>
      </w:pPr>
    </w:p>
    <w:p w14:paraId="4BC05B6F" w14:textId="753F6ABD" w:rsidR="00286D6D" w:rsidRDefault="00286D6D" w:rsidP="00EA3B38">
      <w:pPr>
        <w:jc w:val="both"/>
        <w:rPr>
          <w:rFonts w:ascii="Avenir Next" w:hAnsi="Avenir Next" w:cs="Arial"/>
          <w:color w:val="808080" w:themeColor="background1" w:themeShade="80"/>
          <w:sz w:val="22"/>
          <w:szCs w:val="22"/>
          <w:u w:val="single"/>
        </w:rPr>
      </w:pPr>
      <w:r>
        <w:rPr>
          <w:rFonts w:ascii="Avenir Next" w:hAnsi="Avenir Next" w:cs="Arial"/>
          <w:color w:val="808080" w:themeColor="background1" w:themeShade="80"/>
          <w:sz w:val="22"/>
          <w:szCs w:val="22"/>
          <w:u w:val="single"/>
        </w:rPr>
        <w:t>S245 floating charges</w:t>
      </w:r>
    </w:p>
    <w:p w14:paraId="1CEEC248" w14:textId="0EA0141C" w:rsidR="00286D6D" w:rsidRDefault="00286D6D" w:rsidP="00EA3B38">
      <w:pPr>
        <w:jc w:val="both"/>
        <w:rPr>
          <w:rFonts w:ascii="Avenir Next" w:hAnsi="Avenir Next" w:cs="Arial"/>
          <w:color w:val="808080" w:themeColor="background1" w:themeShade="80"/>
          <w:sz w:val="22"/>
          <w:szCs w:val="22"/>
        </w:rPr>
      </w:pPr>
    </w:p>
    <w:p w14:paraId="2E302262" w14:textId="72E60BFF" w:rsidR="00286D6D" w:rsidRDefault="00286D6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245 of the Insolvency Act applies only to floating charges, and operates to prevent a previously unsecured creditor gaining security and this improving its position by way of a floating charge before insolvency. There are exceptions to this rule where the floating charge is granted </w:t>
      </w:r>
      <w:r w:rsidR="005A0F6C">
        <w:rPr>
          <w:rFonts w:ascii="Avenir Next" w:hAnsi="Avenir Next" w:cs="Arial"/>
          <w:color w:val="808080" w:themeColor="background1" w:themeShade="80"/>
          <w:sz w:val="22"/>
          <w:szCs w:val="22"/>
        </w:rPr>
        <w:t xml:space="preserve">for new consideration (e.g. a fresh line of credit being made available) but that does not appear to be the position in relation to </w:t>
      </w:r>
      <w:proofErr w:type="spellStart"/>
      <w:r w:rsidR="005A0F6C">
        <w:rPr>
          <w:rFonts w:ascii="Avenir Next" w:hAnsi="Avenir Next" w:cs="Arial"/>
          <w:color w:val="808080" w:themeColor="background1" w:themeShade="80"/>
          <w:sz w:val="22"/>
          <w:szCs w:val="22"/>
        </w:rPr>
        <w:t>Fretus</w:t>
      </w:r>
      <w:proofErr w:type="spellEnd"/>
      <w:r w:rsidR="005A0F6C">
        <w:rPr>
          <w:rFonts w:ascii="Avenir Next" w:hAnsi="Avenir Next" w:cs="Arial"/>
          <w:color w:val="808080" w:themeColor="background1" w:themeShade="80"/>
          <w:sz w:val="22"/>
          <w:szCs w:val="22"/>
        </w:rPr>
        <w:t xml:space="preserve"> Bank as there is no indication of new consideration being given in February 2022. As such, the floating charge granted by way of the debenture is susceptible to be avoided on the application of the liquidator in accordance with s245. </w:t>
      </w:r>
    </w:p>
    <w:p w14:paraId="340D3671" w14:textId="79EE5A26" w:rsidR="005A0F6C" w:rsidRDefault="005A0F6C" w:rsidP="00EA3B38">
      <w:pPr>
        <w:jc w:val="both"/>
        <w:rPr>
          <w:rFonts w:ascii="Avenir Next" w:hAnsi="Avenir Next" w:cs="Arial"/>
          <w:color w:val="808080" w:themeColor="background1" w:themeShade="80"/>
          <w:sz w:val="22"/>
          <w:szCs w:val="22"/>
        </w:rPr>
      </w:pPr>
    </w:p>
    <w:p w14:paraId="4805607C" w14:textId="086E480B" w:rsidR="005A0F6C" w:rsidRDefault="004C67C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To have the floating charge avoided, the liquidator will have to prove that (i) the floating charge was granted in the 12 months before the onset of insolvency (because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is not a connected party, as discussed above) and (ii) at the time of the grant of the charge, the Company was unable to pay its debts within the meaning of s123, or it became </w:t>
      </w:r>
      <w:r w:rsidR="00286DBF">
        <w:rPr>
          <w:rFonts w:ascii="Avenir Next" w:hAnsi="Avenir Next" w:cs="Arial"/>
          <w:color w:val="808080" w:themeColor="background1" w:themeShade="80"/>
          <w:sz w:val="22"/>
          <w:szCs w:val="22"/>
        </w:rPr>
        <w:t xml:space="preserve">unable to do so as a result of the granting </w:t>
      </w:r>
      <w:proofErr w:type="spellStart"/>
      <w:r w:rsidR="00286DBF">
        <w:rPr>
          <w:rFonts w:ascii="Avenir Next" w:hAnsi="Avenir Next" w:cs="Arial"/>
          <w:color w:val="808080" w:themeColor="background1" w:themeShade="80"/>
          <w:sz w:val="22"/>
          <w:szCs w:val="22"/>
        </w:rPr>
        <w:t>fo</w:t>
      </w:r>
      <w:proofErr w:type="spellEnd"/>
      <w:r w:rsidR="00286DBF">
        <w:rPr>
          <w:rFonts w:ascii="Avenir Next" w:hAnsi="Avenir Next" w:cs="Arial"/>
          <w:color w:val="808080" w:themeColor="background1" w:themeShade="80"/>
          <w:sz w:val="22"/>
          <w:szCs w:val="22"/>
        </w:rPr>
        <w:t xml:space="preserve"> the charge. </w:t>
      </w:r>
    </w:p>
    <w:p w14:paraId="66335F46" w14:textId="5BDAEFB2" w:rsidR="00286DBF" w:rsidRDefault="00286DBF" w:rsidP="00EA3B38">
      <w:pPr>
        <w:jc w:val="both"/>
        <w:rPr>
          <w:rFonts w:ascii="Avenir Next" w:hAnsi="Avenir Next" w:cs="Arial"/>
          <w:color w:val="808080" w:themeColor="background1" w:themeShade="80"/>
          <w:sz w:val="22"/>
          <w:szCs w:val="22"/>
        </w:rPr>
      </w:pPr>
    </w:p>
    <w:p w14:paraId="151E95F0" w14:textId="037CB561" w:rsidR="00286DBF" w:rsidRDefault="00286DB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relation to (i), this requirement is plainly met as the commencement of insolvency will be October 2022, i.e. the date on which the petition was filed. As such, any floating charge granted after October 2021 is vulnerable under s245. The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floati</w:t>
      </w:r>
      <w:r w:rsidR="00EB2AD6">
        <w:rPr>
          <w:rFonts w:ascii="Avenir Next" w:hAnsi="Avenir Next" w:cs="Arial"/>
          <w:color w:val="808080" w:themeColor="background1" w:themeShade="80"/>
          <w:sz w:val="22"/>
          <w:szCs w:val="22"/>
        </w:rPr>
        <w:t>n</w:t>
      </w:r>
      <w:r>
        <w:rPr>
          <w:rFonts w:ascii="Avenir Next" w:hAnsi="Avenir Next" w:cs="Arial"/>
          <w:color w:val="808080" w:themeColor="background1" w:themeShade="80"/>
          <w:sz w:val="22"/>
          <w:szCs w:val="22"/>
        </w:rPr>
        <w:t xml:space="preserve">g charge was granted in February 2022, so falls within that window. </w:t>
      </w:r>
    </w:p>
    <w:p w14:paraId="714E5548" w14:textId="652A97CD" w:rsidR="00286DBF" w:rsidRDefault="00286DBF" w:rsidP="00EA3B38">
      <w:pPr>
        <w:jc w:val="both"/>
        <w:rPr>
          <w:rFonts w:ascii="Avenir Next" w:hAnsi="Avenir Next" w:cs="Arial"/>
          <w:color w:val="808080" w:themeColor="background1" w:themeShade="80"/>
          <w:sz w:val="22"/>
          <w:szCs w:val="22"/>
        </w:rPr>
      </w:pPr>
    </w:p>
    <w:p w14:paraId="2E0E7C00" w14:textId="7ED48A04" w:rsidR="00286DBF" w:rsidRPr="00286D6D" w:rsidRDefault="00286DB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relation to requirement (ii), it seems likely that the liquidator will be able to show that the Company was unable to pay its debts, or became so unable on the basis of the charge, because it is evident that the Company had other creditors and was in financial difficulties at that time. </w:t>
      </w:r>
      <w:r w:rsidR="002A3D85">
        <w:rPr>
          <w:rFonts w:ascii="Avenir Next" w:hAnsi="Avenir Next" w:cs="Arial"/>
          <w:color w:val="808080" w:themeColor="background1" w:themeShade="80"/>
          <w:sz w:val="22"/>
          <w:szCs w:val="22"/>
        </w:rPr>
        <w:t xml:space="preserve">Provided that this can be proven (e.g. with reference to the Company's management accounts or annual financials), the </w:t>
      </w:r>
      <w:r w:rsidR="002A3D85">
        <w:rPr>
          <w:rFonts w:ascii="Avenir Next" w:hAnsi="Avenir Next" w:cs="Arial"/>
          <w:color w:val="808080" w:themeColor="background1" w:themeShade="80"/>
          <w:sz w:val="22"/>
          <w:szCs w:val="22"/>
        </w:rPr>
        <w:lastRenderedPageBreak/>
        <w:t xml:space="preserve">liquidator will be able to have the floating charge set aside under s245 and </w:t>
      </w:r>
      <w:proofErr w:type="spellStart"/>
      <w:r w:rsidR="002A3D85">
        <w:rPr>
          <w:rFonts w:ascii="Avenir Next" w:hAnsi="Avenir Next" w:cs="Arial"/>
          <w:color w:val="808080" w:themeColor="background1" w:themeShade="80"/>
          <w:sz w:val="22"/>
          <w:szCs w:val="22"/>
        </w:rPr>
        <w:t>Fretus</w:t>
      </w:r>
      <w:proofErr w:type="spellEnd"/>
      <w:r w:rsidR="002A3D85">
        <w:rPr>
          <w:rFonts w:ascii="Avenir Next" w:hAnsi="Avenir Next" w:cs="Arial"/>
          <w:color w:val="808080" w:themeColor="background1" w:themeShade="80"/>
          <w:sz w:val="22"/>
          <w:szCs w:val="22"/>
        </w:rPr>
        <w:t xml:space="preserve"> Bank will 'revert' to its status as an unsecured creditor.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7C0D5BDD" w14:textId="77777777" w:rsidR="002C3201" w:rsidRDefault="00B6135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sale of the marble cutting machines to </w:t>
      </w:r>
      <w:proofErr w:type="spellStart"/>
      <w:r>
        <w:rPr>
          <w:rFonts w:ascii="Avenir Next" w:hAnsi="Avenir Next" w:cs="Arial"/>
          <w:color w:val="808080" w:themeColor="background1" w:themeShade="80"/>
          <w:sz w:val="22"/>
          <w:szCs w:val="22"/>
        </w:rPr>
        <w:t>Ms</w:t>
      </w:r>
      <w:proofErr w:type="spellEnd"/>
      <w:r>
        <w:rPr>
          <w:rFonts w:ascii="Avenir Next" w:hAnsi="Avenir Next" w:cs="Arial"/>
          <w:color w:val="808080" w:themeColor="background1" w:themeShade="80"/>
          <w:sz w:val="22"/>
          <w:szCs w:val="22"/>
        </w:rPr>
        <w:t xml:space="preserve"> Perkins may amount to a sale at an undervalue, which is dealt with under s 238 of the Insolvency Act. To succeed in having the sale set aside as </w:t>
      </w:r>
      <w:r w:rsidR="002C3201">
        <w:rPr>
          <w:rFonts w:ascii="Avenir Next" w:hAnsi="Avenir Next" w:cs="Arial"/>
          <w:color w:val="808080" w:themeColor="background1" w:themeShade="80"/>
          <w:sz w:val="22"/>
          <w:szCs w:val="22"/>
        </w:rPr>
        <w:t>a transaction at an undervalue, the liquidator must show that (i) the transaction was a gift, or for no consideration to the Company, or for consideration which in money or money's worth was significantly less than the value of the consideration provided by the Company; (ii) the transaction took place at a relevant time, which is the two years before the commencement of the liquidation; and (iii) the Company was, at the time of the transaction, unable to pay its debts as they fell due within the meaning of s123, or became unable to do so as a result of the transaction.</w:t>
      </w:r>
    </w:p>
    <w:p w14:paraId="78A1615E" w14:textId="77777777" w:rsidR="002C3201" w:rsidRDefault="002C3201" w:rsidP="00EA3B38">
      <w:pPr>
        <w:jc w:val="both"/>
        <w:rPr>
          <w:rFonts w:ascii="Avenir Next" w:hAnsi="Avenir Next" w:cs="Arial"/>
          <w:color w:val="808080" w:themeColor="background1" w:themeShade="80"/>
          <w:sz w:val="22"/>
          <w:szCs w:val="22"/>
        </w:rPr>
      </w:pPr>
    </w:p>
    <w:p w14:paraId="07962D63" w14:textId="5A6210F3" w:rsidR="00EA3B38" w:rsidRDefault="002C320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relation to the </w:t>
      </w:r>
      <w:r w:rsidR="001611DA">
        <w:rPr>
          <w:rFonts w:ascii="Avenir Next" w:hAnsi="Avenir Next" w:cs="Arial"/>
          <w:color w:val="808080" w:themeColor="background1" w:themeShade="80"/>
          <w:sz w:val="22"/>
          <w:szCs w:val="22"/>
        </w:rPr>
        <w:t xml:space="preserve">first requirement, the machines were purchased by the Company one year before the sale for £25,000, but were sold to </w:t>
      </w:r>
      <w:proofErr w:type="spellStart"/>
      <w:r w:rsidR="001611DA">
        <w:rPr>
          <w:rFonts w:ascii="Avenir Next" w:hAnsi="Avenir Next" w:cs="Arial"/>
          <w:color w:val="808080" w:themeColor="background1" w:themeShade="80"/>
          <w:sz w:val="22"/>
          <w:szCs w:val="22"/>
        </w:rPr>
        <w:t>Ms</w:t>
      </w:r>
      <w:proofErr w:type="spellEnd"/>
      <w:r w:rsidR="001611DA">
        <w:rPr>
          <w:rFonts w:ascii="Avenir Next" w:hAnsi="Avenir Next" w:cs="Arial"/>
          <w:color w:val="808080" w:themeColor="background1" w:themeShade="80"/>
          <w:sz w:val="22"/>
          <w:szCs w:val="22"/>
        </w:rPr>
        <w:t xml:space="preserve"> Perkins for just £10,000. The liquidator </w:t>
      </w:r>
      <w:r w:rsidR="00A32BC5">
        <w:rPr>
          <w:rFonts w:ascii="Avenir Next" w:hAnsi="Avenir Next" w:cs="Arial"/>
          <w:color w:val="808080" w:themeColor="background1" w:themeShade="80"/>
          <w:sz w:val="22"/>
          <w:szCs w:val="22"/>
        </w:rPr>
        <w:t xml:space="preserve">will be required to prove the value of the machines at the transaction date, but it seems unlikely that the machines would have lost well over half of their value in just one year. As such, it is likely that the liquidator will be able to satisfy the Court that the consideration received by the Company (£10,000) was significantly less than the value in money's worth of the consideration received by </w:t>
      </w:r>
      <w:proofErr w:type="spellStart"/>
      <w:r w:rsidR="00A32BC5">
        <w:rPr>
          <w:rFonts w:ascii="Avenir Next" w:hAnsi="Avenir Next" w:cs="Arial"/>
          <w:color w:val="808080" w:themeColor="background1" w:themeShade="80"/>
          <w:sz w:val="22"/>
          <w:szCs w:val="22"/>
        </w:rPr>
        <w:t>Ms</w:t>
      </w:r>
      <w:proofErr w:type="spellEnd"/>
      <w:r w:rsidR="00A32BC5">
        <w:rPr>
          <w:rFonts w:ascii="Avenir Next" w:hAnsi="Avenir Next" w:cs="Arial"/>
          <w:color w:val="808080" w:themeColor="background1" w:themeShade="80"/>
          <w:sz w:val="22"/>
          <w:szCs w:val="22"/>
        </w:rPr>
        <w:t xml:space="preserve"> Perkins (the machines).</w:t>
      </w:r>
      <w:r w:rsidR="000F452F">
        <w:rPr>
          <w:rFonts w:ascii="Avenir Next" w:hAnsi="Avenir Next" w:cs="Arial"/>
          <w:color w:val="808080" w:themeColor="background1" w:themeShade="80"/>
          <w:sz w:val="22"/>
          <w:szCs w:val="22"/>
        </w:rPr>
        <w:t xml:space="preserve"> A sale is plainly a "transaction" within the meaning of this requirement as well. </w:t>
      </w:r>
    </w:p>
    <w:p w14:paraId="7F3124AC" w14:textId="1B58D7FE" w:rsidR="000F452F" w:rsidRDefault="000F452F" w:rsidP="00EA3B38">
      <w:pPr>
        <w:jc w:val="both"/>
        <w:rPr>
          <w:rFonts w:ascii="Avenir Next" w:hAnsi="Avenir Next" w:cs="Arial"/>
          <w:color w:val="808080" w:themeColor="background1" w:themeShade="80"/>
          <w:sz w:val="22"/>
          <w:szCs w:val="22"/>
        </w:rPr>
      </w:pPr>
    </w:p>
    <w:p w14:paraId="3A62E857" w14:textId="144AA0C1" w:rsidR="000F452F" w:rsidRDefault="000F452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to the second requirement, the sale took place in July 2022, three months before the petition as presented. This is well within the two year period and this requirements is therefore met. </w:t>
      </w:r>
    </w:p>
    <w:p w14:paraId="0E05D0E2" w14:textId="102B1FB0" w:rsidR="000F452F" w:rsidRDefault="000F452F" w:rsidP="00EA3B38">
      <w:pPr>
        <w:jc w:val="both"/>
        <w:rPr>
          <w:rFonts w:ascii="Avenir Next" w:hAnsi="Avenir Next" w:cs="Arial"/>
          <w:color w:val="808080" w:themeColor="background1" w:themeShade="80"/>
          <w:sz w:val="22"/>
          <w:szCs w:val="22"/>
        </w:rPr>
      </w:pPr>
    </w:p>
    <w:p w14:paraId="616B67B4" w14:textId="1DDA00A1" w:rsidR="000F452F" w:rsidRDefault="000F452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relation to the third requirement, it seems likely given the Company's precarious financial position that the Company was or became unable to pay its debts as required. However, given </w:t>
      </w:r>
      <w:r w:rsidR="00856670">
        <w:rPr>
          <w:rFonts w:ascii="Avenir Next" w:hAnsi="Avenir Next" w:cs="Arial"/>
          <w:color w:val="808080" w:themeColor="background1" w:themeShade="80"/>
          <w:sz w:val="22"/>
          <w:szCs w:val="22"/>
        </w:rPr>
        <w:t xml:space="preserve">that </w:t>
      </w:r>
      <w:proofErr w:type="spellStart"/>
      <w:r w:rsidR="00856670">
        <w:rPr>
          <w:rFonts w:ascii="Avenir Next" w:hAnsi="Avenir Next" w:cs="Arial"/>
          <w:color w:val="808080" w:themeColor="background1" w:themeShade="80"/>
          <w:sz w:val="22"/>
          <w:szCs w:val="22"/>
        </w:rPr>
        <w:t>Ms</w:t>
      </w:r>
      <w:proofErr w:type="spellEnd"/>
      <w:r w:rsidR="00856670">
        <w:rPr>
          <w:rFonts w:ascii="Avenir Next" w:hAnsi="Avenir Next" w:cs="Arial"/>
          <w:color w:val="808080" w:themeColor="background1" w:themeShade="80"/>
          <w:sz w:val="22"/>
          <w:szCs w:val="22"/>
        </w:rPr>
        <w:t xml:space="preserve"> Perkins is a director of the Company, she is a connected person to the Company. The liquidator therefore benefits from a presumption that this </w:t>
      </w:r>
      <w:r w:rsidR="008A7273">
        <w:rPr>
          <w:rFonts w:ascii="Avenir Next" w:hAnsi="Avenir Next" w:cs="Arial"/>
          <w:color w:val="808080" w:themeColor="background1" w:themeShade="80"/>
          <w:sz w:val="22"/>
          <w:szCs w:val="22"/>
        </w:rPr>
        <w:t>requirement</w:t>
      </w:r>
      <w:r w:rsidR="00856670">
        <w:rPr>
          <w:rFonts w:ascii="Avenir Next" w:hAnsi="Avenir Next" w:cs="Arial"/>
          <w:color w:val="808080" w:themeColor="background1" w:themeShade="80"/>
          <w:sz w:val="22"/>
          <w:szCs w:val="22"/>
        </w:rPr>
        <w:t xml:space="preserve"> is met. This means that, rather than the liquidator </w:t>
      </w:r>
      <w:r w:rsidR="00CE2AB5">
        <w:rPr>
          <w:rFonts w:ascii="Avenir Next" w:hAnsi="Avenir Next" w:cs="Arial"/>
          <w:color w:val="808080" w:themeColor="background1" w:themeShade="80"/>
          <w:sz w:val="22"/>
          <w:szCs w:val="22"/>
        </w:rPr>
        <w:t xml:space="preserve">bearing the burden of proving compliance with this requirement, this is presumed unless the contrary can be proven. </w:t>
      </w:r>
    </w:p>
    <w:p w14:paraId="4F56E067" w14:textId="52EBA6EF" w:rsidR="00CE2AB5" w:rsidRDefault="00CE2AB5" w:rsidP="00EA3B38">
      <w:pPr>
        <w:jc w:val="both"/>
        <w:rPr>
          <w:rFonts w:ascii="Avenir Next" w:hAnsi="Avenir Next" w:cs="Arial"/>
          <w:color w:val="808080" w:themeColor="background1" w:themeShade="80"/>
          <w:sz w:val="22"/>
          <w:szCs w:val="22"/>
        </w:rPr>
      </w:pPr>
    </w:p>
    <w:p w14:paraId="356FFEA9" w14:textId="7D170EB0" w:rsidR="00CE2AB5" w:rsidRDefault="00CE2AB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 this basis, it seems likely that the Court would set aside </w:t>
      </w:r>
      <w:r w:rsidR="005671A5">
        <w:rPr>
          <w:rFonts w:ascii="Avenir Next" w:hAnsi="Avenir Next" w:cs="Arial"/>
          <w:color w:val="808080" w:themeColor="background1" w:themeShade="80"/>
          <w:sz w:val="22"/>
          <w:szCs w:val="22"/>
        </w:rPr>
        <w:t xml:space="preserve">the sale to </w:t>
      </w:r>
      <w:proofErr w:type="spellStart"/>
      <w:r w:rsidR="005671A5">
        <w:rPr>
          <w:rFonts w:ascii="Avenir Next" w:hAnsi="Avenir Next" w:cs="Arial"/>
          <w:color w:val="808080" w:themeColor="background1" w:themeShade="80"/>
          <w:sz w:val="22"/>
          <w:szCs w:val="22"/>
        </w:rPr>
        <w:t>Ms</w:t>
      </w:r>
      <w:proofErr w:type="spellEnd"/>
      <w:r w:rsidR="005671A5">
        <w:rPr>
          <w:rFonts w:ascii="Avenir Next" w:hAnsi="Avenir Next" w:cs="Arial"/>
          <w:color w:val="808080" w:themeColor="background1" w:themeShade="80"/>
          <w:sz w:val="22"/>
          <w:szCs w:val="22"/>
        </w:rPr>
        <w:t xml:space="preserve"> Perkins as a transaction at an undervalue, on the application of the liquidator. </w:t>
      </w:r>
    </w:p>
    <w:p w14:paraId="789B813A" w14:textId="00B981B0" w:rsidR="005671A5" w:rsidRDefault="005671A5" w:rsidP="00EA3B38">
      <w:pPr>
        <w:jc w:val="both"/>
        <w:rPr>
          <w:rFonts w:ascii="Avenir Next" w:hAnsi="Avenir Next" w:cs="Arial"/>
          <w:color w:val="808080" w:themeColor="background1" w:themeShade="80"/>
          <w:sz w:val="22"/>
          <w:szCs w:val="22"/>
        </w:rPr>
      </w:pPr>
    </w:p>
    <w:p w14:paraId="67B0FAE7" w14:textId="091F9DFC" w:rsidR="005671A5" w:rsidRPr="00B84055" w:rsidRDefault="005671A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should be borne in mind that a </w:t>
      </w:r>
      <w:proofErr w:type="spellStart"/>
      <w:r>
        <w:rPr>
          <w:rFonts w:ascii="Avenir Next" w:hAnsi="Avenir Next" w:cs="Arial"/>
          <w:color w:val="808080" w:themeColor="background1" w:themeShade="80"/>
          <w:sz w:val="22"/>
          <w:szCs w:val="22"/>
        </w:rPr>
        <w:t>defence</w:t>
      </w:r>
      <w:proofErr w:type="spellEnd"/>
      <w:r>
        <w:rPr>
          <w:rFonts w:ascii="Avenir Next" w:hAnsi="Avenir Next" w:cs="Arial"/>
          <w:color w:val="808080" w:themeColor="background1" w:themeShade="80"/>
          <w:sz w:val="22"/>
          <w:szCs w:val="22"/>
        </w:rPr>
        <w:t xml:space="preserve"> is available to </w:t>
      </w:r>
      <w:proofErr w:type="spellStart"/>
      <w:r>
        <w:rPr>
          <w:rFonts w:ascii="Avenir Next" w:hAnsi="Avenir Next" w:cs="Arial"/>
          <w:color w:val="808080" w:themeColor="background1" w:themeShade="80"/>
          <w:sz w:val="22"/>
          <w:szCs w:val="22"/>
        </w:rPr>
        <w:t>Ms</w:t>
      </w:r>
      <w:proofErr w:type="spellEnd"/>
      <w:r>
        <w:rPr>
          <w:rFonts w:ascii="Avenir Next" w:hAnsi="Avenir Next" w:cs="Arial"/>
          <w:color w:val="808080" w:themeColor="background1" w:themeShade="80"/>
          <w:sz w:val="22"/>
          <w:szCs w:val="22"/>
        </w:rPr>
        <w:t xml:space="preserve"> Perkins if she can show that the transaction was entered into in good faith by the company, for the purpose of carrying on its business and with reasonable grounds to believe at the time that the transaction would benefit the </w:t>
      </w:r>
      <w:r w:rsidR="006C4704">
        <w:rPr>
          <w:rFonts w:ascii="Avenir Next" w:hAnsi="Avenir Next" w:cs="Arial"/>
          <w:color w:val="808080" w:themeColor="background1" w:themeShade="80"/>
          <w:sz w:val="22"/>
          <w:szCs w:val="22"/>
        </w:rPr>
        <w:t>C</w:t>
      </w:r>
      <w:r>
        <w:rPr>
          <w:rFonts w:ascii="Avenir Next" w:hAnsi="Avenir Next" w:cs="Arial"/>
          <w:color w:val="808080" w:themeColor="background1" w:themeShade="80"/>
          <w:sz w:val="22"/>
          <w:szCs w:val="22"/>
        </w:rPr>
        <w:t xml:space="preserve">ompany. However, given that the </w:t>
      </w:r>
      <w:r w:rsidR="00FE09D2">
        <w:rPr>
          <w:rFonts w:ascii="Avenir Next" w:hAnsi="Avenir Next" w:cs="Arial"/>
          <w:color w:val="808080" w:themeColor="background1" w:themeShade="80"/>
          <w:sz w:val="22"/>
          <w:szCs w:val="22"/>
        </w:rPr>
        <w:t xml:space="preserve">transaction was expressly entered into </w:t>
      </w:r>
      <w:r w:rsidR="006C4704">
        <w:rPr>
          <w:rFonts w:ascii="Avenir Next" w:hAnsi="Avenir Next" w:cs="Arial"/>
          <w:color w:val="808080" w:themeColor="background1" w:themeShade="80"/>
          <w:sz w:val="22"/>
          <w:szCs w:val="22"/>
        </w:rPr>
        <w:t xml:space="preserve">because of the Company's ongoing cash flow issues, it seems unlikely that this </w:t>
      </w:r>
      <w:proofErr w:type="spellStart"/>
      <w:r w:rsidR="006C4704">
        <w:rPr>
          <w:rFonts w:ascii="Avenir Next" w:hAnsi="Avenir Next" w:cs="Arial"/>
          <w:color w:val="808080" w:themeColor="background1" w:themeShade="80"/>
          <w:sz w:val="22"/>
          <w:szCs w:val="22"/>
        </w:rPr>
        <w:t>defence</w:t>
      </w:r>
      <w:proofErr w:type="spellEnd"/>
      <w:r w:rsidR="006C4704">
        <w:rPr>
          <w:rFonts w:ascii="Avenir Next" w:hAnsi="Avenir Next" w:cs="Arial"/>
          <w:color w:val="808080" w:themeColor="background1" w:themeShade="80"/>
          <w:sz w:val="22"/>
          <w:szCs w:val="22"/>
        </w:rPr>
        <w:t xml:space="preserve"> would be available</w:t>
      </w:r>
      <w:r w:rsidR="001816B6">
        <w:rPr>
          <w:rFonts w:ascii="Avenir Next" w:hAnsi="Avenir Next" w:cs="Arial"/>
          <w:color w:val="808080" w:themeColor="background1" w:themeShade="80"/>
          <w:sz w:val="22"/>
          <w:szCs w:val="22"/>
        </w:rPr>
        <w:t xml:space="preserve"> as it cannot realistically be maintained that such a sale was for the purpose of carrying on its business</w:t>
      </w:r>
      <w:r w:rsidR="006C4704">
        <w:rPr>
          <w:rFonts w:ascii="Avenir Next" w:hAnsi="Avenir Next" w:cs="Arial"/>
          <w:color w:val="808080" w:themeColor="background1" w:themeShade="80"/>
          <w:sz w:val="22"/>
          <w:szCs w:val="22"/>
        </w:rPr>
        <w:t xml:space="preserve">. </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54D4DAA1" w:rsidR="009452DF" w:rsidRDefault="003D655C"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Given that the Hard and Fast payment took place after the petition had been presented, albeit before the order was made, the transactions for £8,000 and £3,000 stand to be avoided under s127 of the Insolvency Act, which provides that all </w:t>
      </w:r>
      <w:r w:rsidR="003847FE">
        <w:rPr>
          <w:rFonts w:ascii="Avenir Next" w:hAnsi="Avenir Next" w:cs="Arial"/>
          <w:color w:val="808080" w:themeColor="background1" w:themeShade="80"/>
          <w:sz w:val="22"/>
          <w:szCs w:val="22"/>
        </w:rPr>
        <w:t xml:space="preserve">dispositions of property after the commencement of winding </w:t>
      </w:r>
      <w:r w:rsidR="003847FE">
        <w:rPr>
          <w:rFonts w:ascii="Avenir Next" w:hAnsi="Avenir Next" w:cs="Arial"/>
          <w:color w:val="808080" w:themeColor="background1" w:themeShade="80"/>
          <w:sz w:val="22"/>
          <w:szCs w:val="22"/>
        </w:rPr>
        <w:lastRenderedPageBreak/>
        <w:t>up (i.e. the date of presentation of the petition) are void unless otherwise ordered by the Court. In this instance, the payments to Hard and Fast would constitute dispositions of property since the</w:t>
      </w:r>
      <w:r w:rsidR="00E504F2">
        <w:rPr>
          <w:rFonts w:ascii="Avenir Next" w:hAnsi="Avenir Next" w:cs="Arial"/>
          <w:color w:val="808080" w:themeColor="background1" w:themeShade="80"/>
          <w:sz w:val="22"/>
          <w:szCs w:val="22"/>
        </w:rPr>
        <w:t xml:space="preserve">y are payments of money away from the Company. </w:t>
      </w:r>
    </w:p>
    <w:p w14:paraId="04D42883" w14:textId="5A22CAC8" w:rsidR="00DD1C21" w:rsidRDefault="00DD1C21" w:rsidP="009452DF">
      <w:pPr>
        <w:jc w:val="both"/>
        <w:rPr>
          <w:rFonts w:ascii="Avenir Next" w:hAnsi="Avenir Next" w:cs="Arial"/>
          <w:color w:val="808080" w:themeColor="background1" w:themeShade="80"/>
          <w:sz w:val="22"/>
          <w:szCs w:val="22"/>
        </w:rPr>
      </w:pPr>
    </w:p>
    <w:p w14:paraId="03CA4668" w14:textId="3D8DC9AB" w:rsidR="00DD1C21" w:rsidRDefault="00DD1C21"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payments are therefore invalid, unless Hard and Fast applies for a validation order in respect of them. It should be noted that the Court has a discretion to grant such an order. Factors to be considered in relation to this discretion include the Court's desire to adhere to the </w:t>
      </w:r>
      <w:proofErr w:type="spellStart"/>
      <w:r w:rsidRPr="0005433E">
        <w:rPr>
          <w:rFonts w:ascii="Avenir Next" w:hAnsi="Avenir Next" w:cs="Arial"/>
          <w:i/>
          <w:iCs/>
          <w:color w:val="808080" w:themeColor="background1" w:themeShade="80"/>
          <w:sz w:val="22"/>
          <w:szCs w:val="22"/>
        </w:rPr>
        <w:t>pari</w:t>
      </w:r>
      <w:proofErr w:type="spellEnd"/>
      <w:r w:rsidRPr="0005433E">
        <w:rPr>
          <w:rFonts w:ascii="Avenir Next" w:hAnsi="Avenir Next" w:cs="Arial"/>
          <w:i/>
          <w:iCs/>
          <w:color w:val="808080" w:themeColor="background1" w:themeShade="80"/>
          <w:sz w:val="22"/>
          <w:szCs w:val="22"/>
        </w:rPr>
        <w:t xml:space="preserve"> passu</w:t>
      </w:r>
      <w:r>
        <w:rPr>
          <w:rFonts w:ascii="Avenir Next" w:hAnsi="Avenir Next" w:cs="Arial"/>
          <w:color w:val="808080" w:themeColor="background1" w:themeShade="80"/>
          <w:sz w:val="22"/>
          <w:szCs w:val="22"/>
        </w:rPr>
        <w:t xml:space="preserve"> principle, as well as the benefit received by the Company </w:t>
      </w:r>
      <w:r w:rsidR="005E3968">
        <w:rPr>
          <w:rFonts w:ascii="Avenir Next" w:hAnsi="Avenir Next" w:cs="Arial"/>
          <w:color w:val="808080" w:themeColor="background1" w:themeShade="80"/>
          <w:sz w:val="22"/>
          <w:szCs w:val="22"/>
        </w:rPr>
        <w:t>i</w:t>
      </w:r>
      <w:r>
        <w:rPr>
          <w:rFonts w:ascii="Avenir Next" w:hAnsi="Avenir Next" w:cs="Arial"/>
          <w:color w:val="808080" w:themeColor="background1" w:themeShade="80"/>
          <w:sz w:val="22"/>
          <w:szCs w:val="22"/>
        </w:rPr>
        <w:t>n return for the payment (especially where payment on delivery allows the Company to continue trading, where this is in the best interest of the creditors)</w:t>
      </w:r>
      <w:r w:rsidR="003D136F">
        <w:rPr>
          <w:rFonts w:ascii="Avenir Next" w:hAnsi="Avenir Next" w:cs="Arial"/>
          <w:color w:val="808080" w:themeColor="background1" w:themeShade="80"/>
          <w:sz w:val="22"/>
          <w:szCs w:val="22"/>
        </w:rPr>
        <w:t>.</w:t>
      </w:r>
    </w:p>
    <w:p w14:paraId="037E7333" w14:textId="25162958" w:rsidR="003D136F" w:rsidRDefault="003D136F" w:rsidP="009452DF">
      <w:pPr>
        <w:jc w:val="both"/>
        <w:rPr>
          <w:rFonts w:ascii="Avenir Next" w:hAnsi="Avenir Next" w:cs="Arial"/>
          <w:color w:val="808080" w:themeColor="background1" w:themeShade="80"/>
          <w:sz w:val="22"/>
          <w:szCs w:val="22"/>
        </w:rPr>
      </w:pPr>
    </w:p>
    <w:p w14:paraId="5E3CE930" w14:textId="238EDBA2" w:rsidR="003D136F" w:rsidRPr="00B84055" w:rsidRDefault="003D136F"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general rule is that payments which allow the Company to continue trading will be validated; however, the Court has refused such orders where to do so would be to prefer one creditor over the other unsecured creditors. As such, if a validation application is made, the outcome is likely to turn on the facts relating to the Company's trading position post-payments (since the payments were made for the continued supply of marble, which is essential to the business) and the position of the other creditors relative to Hard and Fast.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020F0898" w:rsidR="00241FA3" w:rsidRPr="00A84235" w:rsidRDefault="00B81FBC" w:rsidP="009B4976">
    <w:pPr>
      <w:pStyle w:val="Footer"/>
      <w:ind w:right="360"/>
      <w:rPr>
        <w:rFonts w:ascii="Avenir Next" w:hAnsi="Avenir Next" w:cs="Arial"/>
        <w:sz w:val="22"/>
        <w:szCs w:val="22"/>
        <w:lang w:val="en-GB"/>
      </w:rPr>
    </w:pPr>
    <w:r>
      <w:rPr>
        <w:rFonts w:ascii="Avenir Next" w:hAnsi="Avenir Next" w:cs="Arial"/>
        <w:sz w:val="22"/>
        <w:szCs w:val="22"/>
        <w:lang w:val="en-GB"/>
      </w:rPr>
      <w:t>202223-908</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45D14"/>
    <w:multiLevelType w:val="hybridMultilevel"/>
    <w:tmpl w:val="91B44132"/>
    <w:lvl w:ilvl="0" w:tplc="163C73B6">
      <w:start w:val="6"/>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2946634">
    <w:abstractNumId w:val="3"/>
  </w:num>
  <w:num w:numId="2" w16cid:durableId="1194729187">
    <w:abstractNumId w:val="1"/>
  </w:num>
  <w:num w:numId="3" w16cid:durableId="379477219">
    <w:abstractNumId w:val="0"/>
  </w:num>
  <w:num w:numId="4" w16cid:durableId="747922927">
    <w:abstractNumId w:val="8"/>
  </w:num>
  <w:num w:numId="5" w16cid:durableId="533660376">
    <w:abstractNumId w:val="11"/>
  </w:num>
  <w:num w:numId="6" w16cid:durableId="81336420">
    <w:abstractNumId w:val="2"/>
  </w:num>
  <w:num w:numId="7" w16cid:durableId="319504492">
    <w:abstractNumId w:val="12"/>
  </w:num>
  <w:num w:numId="8" w16cid:durableId="2118207872">
    <w:abstractNumId w:val="16"/>
  </w:num>
  <w:num w:numId="9" w16cid:durableId="1248690055">
    <w:abstractNumId w:val="9"/>
  </w:num>
  <w:num w:numId="10" w16cid:durableId="2102143490">
    <w:abstractNumId w:val="17"/>
  </w:num>
  <w:num w:numId="11" w16cid:durableId="2104643711">
    <w:abstractNumId w:val="5"/>
  </w:num>
  <w:num w:numId="12" w16cid:durableId="750615001">
    <w:abstractNumId w:val="14"/>
  </w:num>
  <w:num w:numId="13" w16cid:durableId="224492112">
    <w:abstractNumId w:val="10"/>
  </w:num>
  <w:num w:numId="14" w16cid:durableId="462815658">
    <w:abstractNumId w:val="4"/>
  </w:num>
  <w:num w:numId="15" w16cid:durableId="1009137555">
    <w:abstractNumId w:val="13"/>
  </w:num>
  <w:num w:numId="16" w16cid:durableId="339966027">
    <w:abstractNumId w:val="15"/>
  </w:num>
  <w:num w:numId="17" w16cid:durableId="383069648">
    <w:abstractNumId w:val="7"/>
  </w:num>
  <w:num w:numId="18" w16cid:durableId="16358709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10BA0"/>
    <w:rsid w:val="00020557"/>
    <w:rsid w:val="00021FC2"/>
    <w:rsid w:val="000250C7"/>
    <w:rsid w:val="00026F16"/>
    <w:rsid w:val="00037621"/>
    <w:rsid w:val="00044D46"/>
    <w:rsid w:val="00045088"/>
    <w:rsid w:val="00045904"/>
    <w:rsid w:val="000502FD"/>
    <w:rsid w:val="0005433E"/>
    <w:rsid w:val="00065166"/>
    <w:rsid w:val="00082609"/>
    <w:rsid w:val="000851CC"/>
    <w:rsid w:val="00087F21"/>
    <w:rsid w:val="00093BE8"/>
    <w:rsid w:val="000A407B"/>
    <w:rsid w:val="000A68ED"/>
    <w:rsid w:val="000A7D4F"/>
    <w:rsid w:val="000B5FF1"/>
    <w:rsid w:val="000B609F"/>
    <w:rsid w:val="000D10C6"/>
    <w:rsid w:val="000D55A8"/>
    <w:rsid w:val="000E01D1"/>
    <w:rsid w:val="000E4841"/>
    <w:rsid w:val="000F1677"/>
    <w:rsid w:val="000F3D6C"/>
    <w:rsid w:val="000F452F"/>
    <w:rsid w:val="00101694"/>
    <w:rsid w:val="00101707"/>
    <w:rsid w:val="00102CC9"/>
    <w:rsid w:val="0010593A"/>
    <w:rsid w:val="0011473D"/>
    <w:rsid w:val="00115758"/>
    <w:rsid w:val="00115C85"/>
    <w:rsid w:val="00123855"/>
    <w:rsid w:val="00126A4D"/>
    <w:rsid w:val="0014171F"/>
    <w:rsid w:val="0014622C"/>
    <w:rsid w:val="00150DF6"/>
    <w:rsid w:val="00152348"/>
    <w:rsid w:val="0015456D"/>
    <w:rsid w:val="00155FA2"/>
    <w:rsid w:val="001611DA"/>
    <w:rsid w:val="00161F1B"/>
    <w:rsid w:val="00162829"/>
    <w:rsid w:val="00180548"/>
    <w:rsid w:val="00180AC4"/>
    <w:rsid w:val="00180CCE"/>
    <w:rsid w:val="001816B6"/>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553B"/>
    <w:rsid w:val="001E7B5A"/>
    <w:rsid w:val="001F3C98"/>
    <w:rsid w:val="001F7412"/>
    <w:rsid w:val="0020090A"/>
    <w:rsid w:val="0020204E"/>
    <w:rsid w:val="00202DFE"/>
    <w:rsid w:val="00203FC7"/>
    <w:rsid w:val="0020725B"/>
    <w:rsid w:val="002110F1"/>
    <w:rsid w:val="00212001"/>
    <w:rsid w:val="002143E3"/>
    <w:rsid w:val="002356EA"/>
    <w:rsid w:val="0024116D"/>
    <w:rsid w:val="00241B44"/>
    <w:rsid w:val="00241FA3"/>
    <w:rsid w:val="00245EFB"/>
    <w:rsid w:val="0025386E"/>
    <w:rsid w:val="002638B0"/>
    <w:rsid w:val="0026647A"/>
    <w:rsid w:val="002668D3"/>
    <w:rsid w:val="0027299F"/>
    <w:rsid w:val="00284EBE"/>
    <w:rsid w:val="00286D6D"/>
    <w:rsid w:val="00286DBF"/>
    <w:rsid w:val="002903A7"/>
    <w:rsid w:val="0029433F"/>
    <w:rsid w:val="00294829"/>
    <w:rsid w:val="0029690F"/>
    <w:rsid w:val="00297C8A"/>
    <w:rsid w:val="002A2A60"/>
    <w:rsid w:val="002A37BB"/>
    <w:rsid w:val="002A3D85"/>
    <w:rsid w:val="002B1C45"/>
    <w:rsid w:val="002B6851"/>
    <w:rsid w:val="002C011C"/>
    <w:rsid w:val="002C13C8"/>
    <w:rsid w:val="002C3201"/>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44887"/>
    <w:rsid w:val="00361A0A"/>
    <w:rsid w:val="00364836"/>
    <w:rsid w:val="0036565C"/>
    <w:rsid w:val="0036625E"/>
    <w:rsid w:val="0037465A"/>
    <w:rsid w:val="00382C98"/>
    <w:rsid w:val="0038410E"/>
    <w:rsid w:val="003847FE"/>
    <w:rsid w:val="0038533C"/>
    <w:rsid w:val="00386568"/>
    <w:rsid w:val="00387B73"/>
    <w:rsid w:val="00390B57"/>
    <w:rsid w:val="003948D5"/>
    <w:rsid w:val="00396821"/>
    <w:rsid w:val="00396D59"/>
    <w:rsid w:val="00397D3A"/>
    <w:rsid w:val="003A051E"/>
    <w:rsid w:val="003A4482"/>
    <w:rsid w:val="003A6306"/>
    <w:rsid w:val="003B170F"/>
    <w:rsid w:val="003B3C5F"/>
    <w:rsid w:val="003C4471"/>
    <w:rsid w:val="003D0A6D"/>
    <w:rsid w:val="003D136F"/>
    <w:rsid w:val="003D655C"/>
    <w:rsid w:val="003E0B16"/>
    <w:rsid w:val="003E1BBF"/>
    <w:rsid w:val="003E319F"/>
    <w:rsid w:val="003E67D1"/>
    <w:rsid w:val="003E6F91"/>
    <w:rsid w:val="00404329"/>
    <w:rsid w:val="00404B56"/>
    <w:rsid w:val="00405DC1"/>
    <w:rsid w:val="00415F1F"/>
    <w:rsid w:val="00416B4B"/>
    <w:rsid w:val="0042108F"/>
    <w:rsid w:val="00430FED"/>
    <w:rsid w:val="00434A8C"/>
    <w:rsid w:val="00435114"/>
    <w:rsid w:val="0043654C"/>
    <w:rsid w:val="00437297"/>
    <w:rsid w:val="00444284"/>
    <w:rsid w:val="00445CE6"/>
    <w:rsid w:val="004534C2"/>
    <w:rsid w:val="0045446F"/>
    <w:rsid w:val="0045683E"/>
    <w:rsid w:val="00457688"/>
    <w:rsid w:val="00461F95"/>
    <w:rsid w:val="00474C2B"/>
    <w:rsid w:val="00477C72"/>
    <w:rsid w:val="00491675"/>
    <w:rsid w:val="00493855"/>
    <w:rsid w:val="00495E79"/>
    <w:rsid w:val="004A2D83"/>
    <w:rsid w:val="004A57DD"/>
    <w:rsid w:val="004A7B51"/>
    <w:rsid w:val="004A7D71"/>
    <w:rsid w:val="004A7EF3"/>
    <w:rsid w:val="004B11FD"/>
    <w:rsid w:val="004B23A2"/>
    <w:rsid w:val="004C67C4"/>
    <w:rsid w:val="004D1A5A"/>
    <w:rsid w:val="004D2FFF"/>
    <w:rsid w:val="004D3721"/>
    <w:rsid w:val="004D64F9"/>
    <w:rsid w:val="004E1518"/>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1A5"/>
    <w:rsid w:val="00567AD7"/>
    <w:rsid w:val="00575B2D"/>
    <w:rsid w:val="005833D0"/>
    <w:rsid w:val="005846F3"/>
    <w:rsid w:val="0058622F"/>
    <w:rsid w:val="005867D3"/>
    <w:rsid w:val="00592F82"/>
    <w:rsid w:val="005A091D"/>
    <w:rsid w:val="005A0CCA"/>
    <w:rsid w:val="005A0F6C"/>
    <w:rsid w:val="005A1083"/>
    <w:rsid w:val="005A6FF2"/>
    <w:rsid w:val="005A726D"/>
    <w:rsid w:val="005B67AC"/>
    <w:rsid w:val="005B79F4"/>
    <w:rsid w:val="005D09BD"/>
    <w:rsid w:val="005D16DD"/>
    <w:rsid w:val="005D43E0"/>
    <w:rsid w:val="005D58A3"/>
    <w:rsid w:val="005E1B79"/>
    <w:rsid w:val="005E3968"/>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5542"/>
    <w:rsid w:val="006661EF"/>
    <w:rsid w:val="00677AEB"/>
    <w:rsid w:val="00680EF2"/>
    <w:rsid w:val="00687A1D"/>
    <w:rsid w:val="006925C1"/>
    <w:rsid w:val="00697EA1"/>
    <w:rsid w:val="006A2646"/>
    <w:rsid w:val="006A6530"/>
    <w:rsid w:val="006A7D6F"/>
    <w:rsid w:val="006B435A"/>
    <w:rsid w:val="006B4C64"/>
    <w:rsid w:val="006C470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1FAC"/>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56670"/>
    <w:rsid w:val="00867701"/>
    <w:rsid w:val="00871C74"/>
    <w:rsid w:val="008723F3"/>
    <w:rsid w:val="00876F56"/>
    <w:rsid w:val="00881DE6"/>
    <w:rsid w:val="008837A6"/>
    <w:rsid w:val="0089145D"/>
    <w:rsid w:val="00891690"/>
    <w:rsid w:val="008A4DF2"/>
    <w:rsid w:val="008A6CFE"/>
    <w:rsid w:val="008A7273"/>
    <w:rsid w:val="008B5333"/>
    <w:rsid w:val="008B58D5"/>
    <w:rsid w:val="008B6223"/>
    <w:rsid w:val="008B72B8"/>
    <w:rsid w:val="008C66E0"/>
    <w:rsid w:val="008D1616"/>
    <w:rsid w:val="008E3339"/>
    <w:rsid w:val="008F20FC"/>
    <w:rsid w:val="008F5FFE"/>
    <w:rsid w:val="00905A43"/>
    <w:rsid w:val="009078EB"/>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1F0B"/>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04B11"/>
    <w:rsid w:val="00A2274A"/>
    <w:rsid w:val="00A235B7"/>
    <w:rsid w:val="00A27A7A"/>
    <w:rsid w:val="00A32BC5"/>
    <w:rsid w:val="00A34ABE"/>
    <w:rsid w:val="00A407EF"/>
    <w:rsid w:val="00A41851"/>
    <w:rsid w:val="00A46B4C"/>
    <w:rsid w:val="00A5117B"/>
    <w:rsid w:val="00A56D34"/>
    <w:rsid w:val="00A60074"/>
    <w:rsid w:val="00A6627C"/>
    <w:rsid w:val="00A71019"/>
    <w:rsid w:val="00A81029"/>
    <w:rsid w:val="00A84235"/>
    <w:rsid w:val="00A845F5"/>
    <w:rsid w:val="00A96489"/>
    <w:rsid w:val="00AA12E1"/>
    <w:rsid w:val="00AA2435"/>
    <w:rsid w:val="00AB2425"/>
    <w:rsid w:val="00AB685C"/>
    <w:rsid w:val="00AB6C2D"/>
    <w:rsid w:val="00AC08F7"/>
    <w:rsid w:val="00AC317D"/>
    <w:rsid w:val="00AC3839"/>
    <w:rsid w:val="00AC7082"/>
    <w:rsid w:val="00AD4BE8"/>
    <w:rsid w:val="00AE5B6F"/>
    <w:rsid w:val="00AE6DD6"/>
    <w:rsid w:val="00AF228E"/>
    <w:rsid w:val="00B016A8"/>
    <w:rsid w:val="00B04033"/>
    <w:rsid w:val="00B14819"/>
    <w:rsid w:val="00B15E2F"/>
    <w:rsid w:val="00B17AA9"/>
    <w:rsid w:val="00B44713"/>
    <w:rsid w:val="00B455E5"/>
    <w:rsid w:val="00B51B95"/>
    <w:rsid w:val="00B56103"/>
    <w:rsid w:val="00B604A1"/>
    <w:rsid w:val="00B6135D"/>
    <w:rsid w:val="00B64929"/>
    <w:rsid w:val="00B72E64"/>
    <w:rsid w:val="00B736DF"/>
    <w:rsid w:val="00B743D6"/>
    <w:rsid w:val="00B74FBD"/>
    <w:rsid w:val="00B77F46"/>
    <w:rsid w:val="00B81FBC"/>
    <w:rsid w:val="00B82586"/>
    <w:rsid w:val="00B829A3"/>
    <w:rsid w:val="00B86DB1"/>
    <w:rsid w:val="00B87869"/>
    <w:rsid w:val="00B913C3"/>
    <w:rsid w:val="00B9639B"/>
    <w:rsid w:val="00BA1CFD"/>
    <w:rsid w:val="00BB0F2B"/>
    <w:rsid w:val="00BE4FF3"/>
    <w:rsid w:val="00BF2C93"/>
    <w:rsid w:val="00BF50F7"/>
    <w:rsid w:val="00BF7606"/>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662AE"/>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2AB5"/>
    <w:rsid w:val="00CE6E50"/>
    <w:rsid w:val="00CF2819"/>
    <w:rsid w:val="00CF4F9D"/>
    <w:rsid w:val="00CF70DC"/>
    <w:rsid w:val="00D01697"/>
    <w:rsid w:val="00D148DC"/>
    <w:rsid w:val="00D17FDC"/>
    <w:rsid w:val="00D21508"/>
    <w:rsid w:val="00D21D8C"/>
    <w:rsid w:val="00D53719"/>
    <w:rsid w:val="00D63EFD"/>
    <w:rsid w:val="00D738B4"/>
    <w:rsid w:val="00D77828"/>
    <w:rsid w:val="00D77A33"/>
    <w:rsid w:val="00D84752"/>
    <w:rsid w:val="00D85868"/>
    <w:rsid w:val="00D86B3B"/>
    <w:rsid w:val="00D8748A"/>
    <w:rsid w:val="00D93196"/>
    <w:rsid w:val="00DA0DC0"/>
    <w:rsid w:val="00DB243C"/>
    <w:rsid w:val="00DB482A"/>
    <w:rsid w:val="00DB50FB"/>
    <w:rsid w:val="00DB56F2"/>
    <w:rsid w:val="00DB6EF5"/>
    <w:rsid w:val="00DC3089"/>
    <w:rsid w:val="00DC4420"/>
    <w:rsid w:val="00DD0802"/>
    <w:rsid w:val="00DD1C21"/>
    <w:rsid w:val="00DD2E11"/>
    <w:rsid w:val="00DE03AF"/>
    <w:rsid w:val="00DE121C"/>
    <w:rsid w:val="00DE6633"/>
    <w:rsid w:val="00DF75F8"/>
    <w:rsid w:val="00DF7A3A"/>
    <w:rsid w:val="00E00C00"/>
    <w:rsid w:val="00E07C5A"/>
    <w:rsid w:val="00E15BA9"/>
    <w:rsid w:val="00E26E19"/>
    <w:rsid w:val="00E31DF3"/>
    <w:rsid w:val="00E443D7"/>
    <w:rsid w:val="00E450A4"/>
    <w:rsid w:val="00E504F2"/>
    <w:rsid w:val="00E506BE"/>
    <w:rsid w:val="00E55547"/>
    <w:rsid w:val="00E6302B"/>
    <w:rsid w:val="00E6452F"/>
    <w:rsid w:val="00E64F45"/>
    <w:rsid w:val="00E6742D"/>
    <w:rsid w:val="00E71CB0"/>
    <w:rsid w:val="00E74533"/>
    <w:rsid w:val="00E76644"/>
    <w:rsid w:val="00E77C3D"/>
    <w:rsid w:val="00E833F4"/>
    <w:rsid w:val="00E90991"/>
    <w:rsid w:val="00E909F0"/>
    <w:rsid w:val="00E90D47"/>
    <w:rsid w:val="00E93993"/>
    <w:rsid w:val="00E94797"/>
    <w:rsid w:val="00E9597C"/>
    <w:rsid w:val="00EA0913"/>
    <w:rsid w:val="00EA3B38"/>
    <w:rsid w:val="00EA5B00"/>
    <w:rsid w:val="00EB146B"/>
    <w:rsid w:val="00EB2AD6"/>
    <w:rsid w:val="00EB45AC"/>
    <w:rsid w:val="00EC2790"/>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09D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12</Pages>
  <Words>4481</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Kirsten Bailey</cp:lastModifiedBy>
  <cp:revision>47</cp:revision>
  <cp:lastPrinted>2019-08-27T05:42:00Z</cp:lastPrinted>
  <dcterms:created xsi:type="dcterms:W3CDTF">2023-07-29T15:26:00Z</dcterms:created>
  <dcterms:modified xsi:type="dcterms:W3CDTF">2023-07-29T21:17:00Z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