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412E3C" w:rsidRDefault="00BA41E0" w:rsidP="004D2090">
      <w:pPr>
        <w:pStyle w:val="ListParagraph"/>
        <w:numPr>
          <w:ilvl w:val="0"/>
          <w:numId w:val="1"/>
        </w:numPr>
        <w:ind w:left="426"/>
        <w:jc w:val="both"/>
        <w:rPr>
          <w:rFonts w:ascii="Avenir Next" w:hAnsi="Avenir Next" w:cs="Arial"/>
          <w:sz w:val="22"/>
          <w:szCs w:val="22"/>
          <w:highlight w:val="yellow"/>
          <w:lang w:val="en-GB"/>
        </w:rPr>
      </w:pPr>
      <w:r w:rsidRPr="00412E3C">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573201" w:rsidRDefault="0052366A" w:rsidP="004D2090">
      <w:pPr>
        <w:pStyle w:val="ListParagraph"/>
        <w:numPr>
          <w:ilvl w:val="0"/>
          <w:numId w:val="2"/>
        </w:numPr>
        <w:ind w:left="426"/>
        <w:jc w:val="both"/>
        <w:rPr>
          <w:rFonts w:ascii="Avenir Next" w:hAnsi="Avenir Next" w:cs="Arial"/>
          <w:sz w:val="22"/>
          <w:szCs w:val="22"/>
          <w:highlight w:val="yellow"/>
          <w:lang w:val="en-GB"/>
        </w:rPr>
      </w:pPr>
      <w:r w:rsidRPr="00573201">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FD18CF" w:rsidRDefault="002938AD" w:rsidP="004D2090">
      <w:pPr>
        <w:pStyle w:val="ListParagraph"/>
        <w:numPr>
          <w:ilvl w:val="0"/>
          <w:numId w:val="3"/>
        </w:numPr>
        <w:ind w:left="426"/>
        <w:jc w:val="both"/>
        <w:rPr>
          <w:rFonts w:ascii="Avenir Next" w:hAnsi="Avenir Next" w:cs="Arial"/>
          <w:sz w:val="22"/>
          <w:szCs w:val="22"/>
          <w:lang w:val="en-GB"/>
        </w:rPr>
      </w:pPr>
      <w:r w:rsidRPr="00FD18CF">
        <w:rPr>
          <w:rFonts w:ascii="Avenir Next" w:hAnsi="Avenir Next" w:cs="Arial"/>
          <w:sz w:val="22"/>
          <w:szCs w:val="22"/>
          <w:lang w:val="en-GB"/>
        </w:rPr>
        <w:t xml:space="preserve">The centre of main interests of the debtor </w:t>
      </w:r>
      <w:proofErr w:type="gramStart"/>
      <w:r w:rsidRPr="00FD18CF">
        <w:rPr>
          <w:rFonts w:ascii="Avenir Next" w:hAnsi="Avenir Next" w:cs="Arial"/>
          <w:sz w:val="22"/>
          <w:szCs w:val="22"/>
          <w:lang w:val="en-GB"/>
        </w:rPr>
        <w:t>is located in</w:t>
      </w:r>
      <w:proofErr w:type="gramEnd"/>
      <w:r w:rsidRPr="00FD18CF">
        <w:rPr>
          <w:rFonts w:ascii="Avenir Next" w:hAnsi="Avenir Next" w:cs="Arial"/>
          <w:sz w:val="22"/>
          <w:szCs w:val="22"/>
          <w:lang w:val="en-GB"/>
        </w:rPr>
        <w:t xml:space="preserve"> Singapore.</w:t>
      </w:r>
    </w:p>
    <w:p w14:paraId="0CC131D7" w14:textId="0AF40751" w:rsidR="002938AD" w:rsidRPr="00FD18CF" w:rsidRDefault="002938AD" w:rsidP="002938AD">
      <w:pPr>
        <w:ind w:left="66"/>
        <w:jc w:val="both"/>
        <w:rPr>
          <w:rFonts w:ascii="Avenir Next" w:hAnsi="Avenir Next" w:cs="Arial"/>
          <w:sz w:val="22"/>
          <w:szCs w:val="22"/>
          <w:lang w:val="en-GB"/>
        </w:rPr>
      </w:pPr>
    </w:p>
    <w:p w14:paraId="4EC95C22" w14:textId="77777777" w:rsidR="00C03A89" w:rsidRPr="00FD18CF" w:rsidRDefault="00C03A89" w:rsidP="002938AD">
      <w:pPr>
        <w:ind w:left="66"/>
        <w:jc w:val="both"/>
        <w:rPr>
          <w:rFonts w:ascii="Avenir Next" w:hAnsi="Avenir Next" w:cs="Arial"/>
          <w:sz w:val="22"/>
          <w:szCs w:val="22"/>
          <w:lang w:val="en-GB"/>
        </w:rPr>
      </w:pPr>
    </w:p>
    <w:p w14:paraId="6AA1AD91" w14:textId="77777777" w:rsidR="002938AD" w:rsidRPr="00FD18CF" w:rsidRDefault="002938AD" w:rsidP="004D2090">
      <w:pPr>
        <w:pStyle w:val="ListParagraph"/>
        <w:numPr>
          <w:ilvl w:val="0"/>
          <w:numId w:val="3"/>
        </w:numPr>
        <w:ind w:left="426"/>
        <w:jc w:val="both"/>
        <w:rPr>
          <w:rFonts w:ascii="Avenir Next" w:hAnsi="Avenir Next" w:cs="Arial"/>
          <w:sz w:val="22"/>
          <w:szCs w:val="22"/>
          <w:lang w:val="en-GB"/>
        </w:rPr>
      </w:pPr>
      <w:r w:rsidRPr="00FD18CF">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FD18CF" w:rsidRDefault="002938AD" w:rsidP="004D2090">
      <w:pPr>
        <w:pStyle w:val="ListParagraph"/>
        <w:numPr>
          <w:ilvl w:val="0"/>
          <w:numId w:val="3"/>
        </w:numPr>
        <w:ind w:left="426"/>
        <w:jc w:val="both"/>
        <w:rPr>
          <w:rFonts w:ascii="Avenir Next" w:hAnsi="Avenir Next" w:cs="Arial"/>
          <w:sz w:val="22"/>
          <w:szCs w:val="22"/>
          <w:highlight w:val="yellow"/>
          <w:lang w:val="en-GB"/>
        </w:rPr>
      </w:pPr>
      <w:r w:rsidRPr="00FD18CF">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1841B0" w:rsidRDefault="001A512B" w:rsidP="004D2090">
      <w:pPr>
        <w:pStyle w:val="ListParagraph"/>
        <w:numPr>
          <w:ilvl w:val="0"/>
          <w:numId w:val="4"/>
        </w:numPr>
        <w:ind w:left="426"/>
        <w:jc w:val="both"/>
        <w:rPr>
          <w:rFonts w:ascii="Avenir Next" w:hAnsi="Avenir Next" w:cs="Arial"/>
          <w:sz w:val="22"/>
          <w:szCs w:val="22"/>
          <w:highlight w:val="yellow"/>
          <w:lang w:val="en-GB"/>
        </w:rPr>
      </w:pPr>
      <w:r w:rsidRPr="001841B0">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CA2097" w:rsidRDefault="00DF1875" w:rsidP="004D2090">
      <w:pPr>
        <w:pStyle w:val="ListParagraph"/>
        <w:numPr>
          <w:ilvl w:val="0"/>
          <w:numId w:val="5"/>
        </w:numPr>
        <w:ind w:left="426"/>
        <w:jc w:val="both"/>
        <w:rPr>
          <w:rFonts w:ascii="Avenir Next" w:hAnsi="Avenir Next" w:cs="Arial"/>
          <w:sz w:val="22"/>
          <w:szCs w:val="22"/>
          <w:highlight w:val="yellow"/>
          <w:lang w:val="en-GB"/>
        </w:rPr>
      </w:pPr>
      <w:r w:rsidRPr="00CA2097">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DD7D20" w:rsidRDefault="00EE1A0C" w:rsidP="004D2090">
      <w:pPr>
        <w:pStyle w:val="ListParagraph"/>
        <w:numPr>
          <w:ilvl w:val="0"/>
          <w:numId w:val="6"/>
        </w:numPr>
        <w:ind w:left="426"/>
        <w:jc w:val="both"/>
        <w:rPr>
          <w:rFonts w:ascii="Avenir Next" w:hAnsi="Avenir Next" w:cs="Arial"/>
          <w:sz w:val="22"/>
          <w:szCs w:val="22"/>
          <w:highlight w:val="yellow"/>
          <w:lang w:val="en-GB"/>
        </w:rPr>
      </w:pPr>
      <w:r w:rsidRPr="00DD7D20">
        <w:rPr>
          <w:rFonts w:ascii="Avenir Next" w:hAnsi="Avenir Next" w:cs="Arial"/>
          <w:sz w:val="22"/>
          <w:szCs w:val="22"/>
          <w:highlight w:val="yellow"/>
          <w:lang w:val="en-GB"/>
        </w:rPr>
        <w:t>A</w:t>
      </w:r>
      <w:r w:rsidR="00025846" w:rsidRPr="00DD7D20">
        <w:rPr>
          <w:rFonts w:ascii="Avenir Next" w:hAnsi="Avenir Next" w:cs="Arial"/>
          <w:sz w:val="22"/>
          <w:szCs w:val="22"/>
          <w:highlight w:val="yellow"/>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F219E1" w:rsidRDefault="00E631C5" w:rsidP="004D2090">
      <w:pPr>
        <w:pStyle w:val="ListParagraph"/>
        <w:numPr>
          <w:ilvl w:val="0"/>
          <w:numId w:val="7"/>
        </w:numPr>
        <w:ind w:left="426"/>
        <w:jc w:val="both"/>
        <w:rPr>
          <w:rFonts w:ascii="Avenir Next" w:hAnsi="Avenir Next" w:cs="Arial"/>
          <w:sz w:val="22"/>
          <w:szCs w:val="22"/>
          <w:highlight w:val="yellow"/>
          <w:lang w:val="en-GB"/>
        </w:rPr>
      </w:pPr>
      <w:r w:rsidRPr="00F219E1">
        <w:rPr>
          <w:rFonts w:ascii="Avenir Next" w:hAnsi="Avenir Next" w:cs="Arial"/>
          <w:sz w:val="22"/>
          <w:szCs w:val="22"/>
          <w:highlight w:val="yellow"/>
          <w:lang w:val="en-GB"/>
        </w:rPr>
        <w:t>To preserve</w:t>
      </w:r>
      <w:r w:rsidR="00FA2EAC" w:rsidRPr="00F219E1">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27754B" w:rsidRDefault="001B3AEE" w:rsidP="004D2090">
      <w:pPr>
        <w:pStyle w:val="ListParagraph"/>
        <w:numPr>
          <w:ilvl w:val="0"/>
          <w:numId w:val="8"/>
        </w:numPr>
        <w:ind w:left="426"/>
        <w:jc w:val="both"/>
        <w:rPr>
          <w:rFonts w:ascii="Avenir Next" w:hAnsi="Avenir Next" w:cs="Arial"/>
          <w:sz w:val="22"/>
          <w:szCs w:val="22"/>
          <w:highlight w:val="yellow"/>
          <w:lang w:val="en-GB"/>
        </w:rPr>
      </w:pPr>
      <w:r w:rsidRPr="0027754B">
        <w:rPr>
          <w:rFonts w:ascii="Avenir Next" w:hAnsi="Avenir Next" w:cs="Arial"/>
          <w:sz w:val="22"/>
          <w:szCs w:val="22"/>
          <w:highlight w:val="yellow"/>
          <w:lang w:val="en-GB"/>
        </w:rPr>
        <w:t xml:space="preserve">An individual whose parents </w:t>
      </w:r>
      <w:r w:rsidR="000940F4" w:rsidRPr="0027754B">
        <w:rPr>
          <w:rFonts w:ascii="Avenir Next" w:hAnsi="Avenir Next" w:cs="Arial"/>
          <w:sz w:val="22"/>
          <w:szCs w:val="22"/>
          <w:highlight w:val="yellow"/>
          <w:lang w:val="en-GB"/>
        </w:rPr>
        <w:t>live</w:t>
      </w:r>
      <w:r w:rsidRPr="0027754B">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D2578F" w:rsidRDefault="003D142C" w:rsidP="004D2090">
      <w:pPr>
        <w:pStyle w:val="ListParagraph"/>
        <w:numPr>
          <w:ilvl w:val="0"/>
          <w:numId w:val="9"/>
        </w:numPr>
        <w:ind w:left="426"/>
        <w:jc w:val="both"/>
        <w:rPr>
          <w:rFonts w:ascii="Avenir Next" w:hAnsi="Avenir Next" w:cs="Arial"/>
          <w:sz w:val="22"/>
          <w:szCs w:val="22"/>
          <w:lang w:val="en-GB"/>
        </w:rPr>
      </w:pPr>
      <w:r w:rsidRPr="00D2578F">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D2578F" w:rsidRDefault="003D142C" w:rsidP="003D142C">
      <w:pPr>
        <w:jc w:val="both"/>
        <w:rPr>
          <w:rFonts w:ascii="Avenir Next" w:hAnsi="Avenir Next" w:cs="Arial"/>
          <w:sz w:val="22"/>
          <w:szCs w:val="22"/>
          <w:lang w:val="en-GB"/>
        </w:rPr>
      </w:pPr>
    </w:p>
    <w:p w14:paraId="18E8D74E" w14:textId="77777777" w:rsidR="003D142C" w:rsidRPr="00D2578F" w:rsidRDefault="003D142C" w:rsidP="004D2090">
      <w:pPr>
        <w:pStyle w:val="ListParagraph"/>
        <w:numPr>
          <w:ilvl w:val="0"/>
          <w:numId w:val="9"/>
        </w:numPr>
        <w:ind w:left="426"/>
        <w:jc w:val="both"/>
        <w:rPr>
          <w:rFonts w:ascii="Avenir Next" w:hAnsi="Avenir Next" w:cs="Arial"/>
          <w:sz w:val="22"/>
          <w:szCs w:val="22"/>
          <w:lang w:val="en-GB"/>
        </w:rPr>
      </w:pPr>
      <w:r w:rsidRPr="00D2578F">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D2578F" w:rsidRDefault="003D142C" w:rsidP="004D2090">
      <w:pPr>
        <w:pStyle w:val="ListParagraph"/>
        <w:numPr>
          <w:ilvl w:val="0"/>
          <w:numId w:val="9"/>
        </w:numPr>
        <w:ind w:left="426"/>
        <w:jc w:val="both"/>
        <w:rPr>
          <w:rFonts w:ascii="Avenir Next" w:hAnsi="Avenir Next" w:cs="Arial"/>
          <w:sz w:val="22"/>
          <w:szCs w:val="22"/>
          <w:highlight w:val="yellow"/>
          <w:lang w:val="en-GB"/>
        </w:rPr>
      </w:pPr>
      <w:r w:rsidRPr="00D2578F">
        <w:rPr>
          <w:rFonts w:ascii="Avenir Next" w:hAnsi="Avenir Next" w:cs="Arial"/>
          <w:sz w:val="22"/>
          <w:szCs w:val="22"/>
          <w:highlight w:val="yellow"/>
          <w:lang w:val="en-GB"/>
        </w:rPr>
        <w:t xml:space="preserve">Rescue financing enjoys preferential treatment automatically without the sanction of </w:t>
      </w:r>
      <w:r w:rsidR="00CD338E" w:rsidRPr="00D2578F">
        <w:rPr>
          <w:rFonts w:ascii="Avenir Next" w:hAnsi="Avenir Next" w:cs="Arial"/>
          <w:sz w:val="22"/>
          <w:szCs w:val="22"/>
          <w:highlight w:val="yellow"/>
          <w:lang w:val="en-GB"/>
        </w:rPr>
        <w:t>c</w:t>
      </w:r>
      <w:r w:rsidRPr="00D2578F">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D2578F" w:rsidRDefault="003D142C" w:rsidP="004D2090">
      <w:pPr>
        <w:pStyle w:val="ListParagraph"/>
        <w:widowControl w:val="0"/>
        <w:numPr>
          <w:ilvl w:val="0"/>
          <w:numId w:val="9"/>
        </w:numPr>
        <w:ind w:left="426"/>
        <w:jc w:val="both"/>
        <w:rPr>
          <w:rFonts w:ascii="Avenir Next" w:hAnsi="Avenir Next" w:cs="Arial"/>
          <w:sz w:val="22"/>
          <w:szCs w:val="22"/>
          <w:lang w:val="en-GB"/>
        </w:rPr>
      </w:pPr>
      <w:r w:rsidRPr="00D2578F">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5B3279" w:rsidRDefault="00981ED1" w:rsidP="004D2090">
      <w:pPr>
        <w:pStyle w:val="ListParagraph"/>
        <w:numPr>
          <w:ilvl w:val="0"/>
          <w:numId w:val="10"/>
        </w:numPr>
        <w:ind w:left="426"/>
        <w:jc w:val="both"/>
        <w:rPr>
          <w:rFonts w:ascii="Avenir Next" w:hAnsi="Avenir Next" w:cs="Arial"/>
          <w:sz w:val="22"/>
          <w:szCs w:val="22"/>
          <w:highlight w:val="yellow"/>
          <w:lang w:val="en-GB"/>
        </w:rPr>
      </w:pPr>
      <w:r w:rsidRPr="005B3279">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31CCDDC1" w:rsidR="008C35C9" w:rsidRPr="00C13AF9" w:rsidRDefault="003956C3" w:rsidP="008C35C9">
      <w:pPr>
        <w:jc w:val="both"/>
        <w:rPr>
          <w:rFonts w:ascii="Arial" w:hAnsi="Arial" w:cs="Arial"/>
          <w:szCs w:val="20"/>
          <w:lang w:val="en-GB"/>
        </w:rPr>
      </w:pPr>
      <w:r w:rsidRPr="00C13AF9">
        <w:rPr>
          <w:rFonts w:ascii="Arial" w:hAnsi="Arial" w:cs="Arial"/>
          <w:szCs w:val="20"/>
          <w:lang w:val="en-GB"/>
        </w:rPr>
        <w:t>This concept concer</w:t>
      </w:r>
      <w:r w:rsidR="008351D8" w:rsidRPr="00C13AF9">
        <w:rPr>
          <w:rFonts w:ascii="Arial" w:hAnsi="Arial" w:cs="Arial"/>
          <w:szCs w:val="20"/>
          <w:lang w:val="en-GB"/>
        </w:rPr>
        <w:t xml:space="preserve">ns binding dissenting creditors to </w:t>
      </w:r>
      <w:r w:rsidR="009F5629" w:rsidRPr="00C13AF9">
        <w:rPr>
          <w:rFonts w:ascii="Arial" w:hAnsi="Arial" w:cs="Arial"/>
          <w:szCs w:val="20"/>
          <w:lang w:val="en-GB"/>
        </w:rPr>
        <w:t xml:space="preserve">the terms of </w:t>
      </w:r>
      <w:r w:rsidR="008351D8" w:rsidRPr="00C13AF9">
        <w:rPr>
          <w:rFonts w:ascii="Arial" w:hAnsi="Arial" w:cs="Arial"/>
          <w:szCs w:val="20"/>
          <w:lang w:val="en-GB"/>
        </w:rPr>
        <w:t>a scheme of arrangement</w:t>
      </w:r>
      <w:r w:rsidR="00FA2A06" w:rsidRPr="00C13AF9">
        <w:rPr>
          <w:rFonts w:ascii="Arial" w:hAnsi="Arial" w:cs="Arial"/>
          <w:szCs w:val="20"/>
          <w:lang w:val="en-GB"/>
        </w:rPr>
        <w:t xml:space="preserve"> where they have rejected the scheme</w:t>
      </w:r>
      <w:r w:rsidR="005A3C32" w:rsidRPr="00C13AF9">
        <w:rPr>
          <w:rFonts w:ascii="Arial" w:hAnsi="Arial" w:cs="Arial"/>
          <w:szCs w:val="20"/>
          <w:lang w:val="en-GB"/>
        </w:rPr>
        <w:t>. In the first instance, creditors are grouped together in c</w:t>
      </w:r>
      <w:r w:rsidR="004748D4" w:rsidRPr="00C13AF9">
        <w:rPr>
          <w:rFonts w:ascii="Arial" w:hAnsi="Arial" w:cs="Arial"/>
          <w:szCs w:val="20"/>
          <w:lang w:val="en-GB"/>
        </w:rPr>
        <w:t xml:space="preserve">lasses which are comprised of creditors with similar rights and characteristics. The scheme is put to vote in each class. </w:t>
      </w:r>
      <w:r w:rsidR="00D91D87" w:rsidRPr="00C13AF9">
        <w:rPr>
          <w:rFonts w:ascii="Arial" w:hAnsi="Arial" w:cs="Arial"/>
          <w:szCs w:val="20"/>
          <w:lang w:val="en-GB"/>
        </w:rPr>
        <w:t>It is approved w</w:t>
      </w:r>
      <w:r w:rsidR="004748D4" w:rsidRPr="00C13AF9">
        <w:rPr>
          <w:rFonts w:ascii="Arial" w:hAnsi="Arial" w:cs="Arial"/>
          <w:szCs w:val="20"/>
          <w:lang w:val="en-GB"/>
        </w:rPr>
        <w:t xml:space="preserve">here a majority in number </w:t>
      </w:r>
      <w:r w:rsidR="00BD5037" w:rsidRPr="00C13AF9">
        <w:rPr>
          <w:rFonts w:ascii="Arial" w:hAnsi="Arial" w:cs="Arial"/>
          <w:szCs w:val="20"/>
          <w:lang w:val="en-GB"/>
        </w:rPr>
        <w:t>of each cla</w:t>
      </w:r>
      <w:r w:rsidR="00C53E5D" w:rsidRPr="00C13AF9">
        <w:rPr>
          <w:rFonts w:ascii="Arial" w:hAnsi="Arial" w:cs="Arial"/>
          <w:szCs w:val="20"/>
          <w:lang w:val="en-GB"/>
        </w:rPr>
        <w:t xml:space="preserve">ss of creditors present and voting by person </w:t>
      </w:r>
      <w:r w:rsidR="00C53E5D" w:rsidRPr="00C13AF9">
        <w:rPr>
          <w:rFonts w:ascii="Arial" w:hAnsi="Arial" w:cs="Arial"/>
          <w:szCs w:val="20"/>
          <w:lang w:val="en-GB"/>
        </w:rPr>
        <w:lastRenderedPageBreak/>
        <w:t xml:space="preserve">or proxy </w:t>
      </w:r>
      <w:r w:rsidR="00C80600" w:rsidRPr="00C13AF9">
        <w:rPr>
          <w:rFonts w:ascii="Arial" w:hAnsi="Arial" w:cs="Arial"/>
          <w:szCs w:val="20"/>
          <w:lang w:val="en-GB"/>
        </w:rPr>
        <w:t>and</w:t>
      </w:r>
      <w:r w:rsidR="00834BA8" w:rsidRPr="00C13AF9">
        <w:rPr>
          <w:rFonts w:ascii="Arial" w:hAnsi="Arial" w:cs="Arial"/>
          <w:szCs w:val="20"/>
          <w:lang w:val="en-GB"/>
        </w:rPr>
        <w:t xml:space="preserve"> such</w:t>
      </w:r>
      <w:r w:rsidR="00364DC8" w:rsidRPr="00C13AF9">
        <w:rPr>
          <w:rFonts w:ascii="Arial" w:hAnsi="Arial" w:cs="Arial"/>
          <w:szCs w:val="20"/>
          <w:lang w:val="en-GB"/>
        </w:rPr>
        <w:t xml:space="preserve"> majority in number represents</w:t>
      </w:r>
      <w:r w:rsidR="00C80600" w:rsidRPr="00C13AF9">
        <w:rPr>
          <w:rFonts w:ascii="Arial" w:hAnsi="Arial" w:cs="Arial"/>
          <w:szCs w:val="20"/>
          <w:lang w:val="en-GB"/>
        </w:rPr>
        <w:t xml:space="preserve"> 75% in value</w:t>
      </w:r>
      <w:r w:rsidR="00525AA0" w:rsidRPr="00C13AF9">
        <w:rPr>
          <w:rFonts w:ascii="Arial" w:hAnsi="Arial" w:cs="Arial"/>
          <w:szCs w:val="20"/>
          <w:lang w:val="en-GB"/>
        </w:rPr>
        <w:t xml:space="preserve"> of the respective class of cr</w:t>
      </w:r>
      <w:r w:rsidR="008442F3" w:rsidRPr="00C13AF9">
        <w:rPr>
          <w:rFonts w:ascii="Arial" w:hAnsi="Arial" w:cs="Arial"/>
          <w:szCs w:val="20"/>
          <w:lang w:val="en-GB"/>
        </w:rPr>
        <w:t>editor present and voting.</w:t>
      </w:r>
      <w:r w:rsidR="00C80600" w:rsidRPr="00C13AF9">
        <w:rPr>
          <w:rFonts w:ascii="Arial" w:hAnsi="Arial" w:cs="Arial"/>
          <w:szCs w:val="20"/>
          <w:lang w:val="en-GB"/>
        </w:rPr>
        <w:t xml:space="preserve"> </w:t>
      </w:r>
      <w:r w:rsidR="00A40A94" w:rsidRPr="00C13AF9">
        <w:rPr>
          <w:rFonts w:ascii="Arial" w:hAnsi="Arial" w:cs="Arial"/>
          <w:szCs w:val="20"/>
          <w:lang w:val="en-GB"/>
        </w:rPr>
        <w:t>Where one or more classes of creditor have not approved the</w:t>
      </w:r>
      <w:r w:rsidR="001821F1" w:rsidRPr="00C13AF9">
        <w:rPr>
          <w:rFonts w:ascii="Arial" w:hAnsi="Arial" w:cs="Arial"/>
          <w:szCs w:val="20"/>
          <w:lang w:val="en-GB"/>
        </w:rPr>
        <w:t xml:space="preserve"> scheme, a court can still order the scheme to be binding on creditors</w:t>
      </w:r>
      <w:r w:rsidR="00055C70" w:rsidRPr="00C13AF9">
        <w:rPr>
          <w:rFonts w:ascii="Arial" w:hAnsi="Arial" w:cs="Arial"/>
          <w:szCs w:val="20"/>
          <w:lang w:val="en-GB"/>
        </w:rPr>
        <w:t xml:space="preserve"> (</w:t>
      </w:r>
      <w:proofErr w:type="spellStart"/>
      <w:r w:rsidR="00055C70" w:rsidRPr="00C13AF9">
        <w:rPr>
          <w:rFonts w:ascii="Arial" w:hAnsi="Arial" w:cs="Arial"/>
          <w:szCs w:val="20"/>
          <w:lang w:val="en-GB"/>
        </w:rPr>
        <w:t>i.e</w:t>
      </w:r>
      <w:proofErr w:type="spellEnd"/>
      <w:r w:rsidR="00055C70" w:rsidRPr="00C13AF9">
        <w:rPr>
          <w:rFonts w:ascii="Arial" w:hAnsi="Arial" w:cs="Arial"/>
          <w:szCs w:val="20"/>
          <w:lang w:val="en-GB"/>
        </w:rPr>
        <w:t xml:space="preserve"> their rights or claims are “crammed down”)</w:t>
      </w:r>
      <w:r w:rsidR="00822F4C" w:rsidRPr="00C13AF9">
        <w:rPr>
          <w:rFonts w:ascii="Arial" w:hAnsi="Arial" w:cs="Arial"/>
          <w:szCs w:val="20"/>
          <w:lang w:val="en-GB"/>
        </w:rPr>
        <w:t xml:space="preserve"> where:</w:t>
      </w:r>
    </w:p>
    <w:p w14:paraId="1AD72C5C" w14:textId="548D4648" w:rsidR="002430B1" w:rsidRPr="00C13AF9" w:rsidRDefault="002430B1" w:rsidP="002430B1">
      <w:pPr>
        <w:pStyle w:val="ListParagraph"/>
        <w:numPr>
          <w:ilvl w:val="0"/>
          <w:numId w:val="19"/>
        </w:numPr>
        <w:jc w:val="both"/>
        <w:rPr>
          <w:rFonts w:ascii="Arial" w:hAnsi="Arial" w:cs="Arial"/>
          <w:szCs w:val="20"/>
          <w:lang w:val="en-GB"/>
        </w:rPr>
      </w:pPr>
      <w:r w:rsidRPr="00C13AF9">
        <w:rPr>
          <w:rFonts w:ascii="Arial" w:hAnsi="Arial" w:cs="Arial"/>
          <w:szCs w:val="20"/>
          <w:lang w:val="en-GB"/>
        </w:rPr>
        <w:t xml:space="preserve">A majority in number of creditors </w:t>
      </w:r>
      <w:r w:rsidR="00CC7995" w:rsidRPr="00C13AF9">
        <w:rPr>
          <w:rFonts w:ascii="Arial" w:hAnsi="Arial" w:cs="Arial"/>
          <w:szCs w:val="20"/>
          <w:lang w:val="en-GB"/>
        </w:rPr>
        <w:t>meant to be bound by the scheme</w:t>
      </w:r>
      <w:r w:rsidR="00A13D54" w:rsidRPr="00C13AF9">
        <w:rPr>
          <w:rFonts w:ascii="Arial" w:hAnsi="Arial" w:cs="Arial"/>
          <w:szCs w:val="20"/>
          <w:lang w:val="en-GB"/>
        </w:rPr>
        <w:t xml:space="preserve"> present and voting</w:t>
      </w:r>
      <w:r w:rsidR="00CC7995" w:rsidRPr="00C13AF9">
        <w:rPr>
          <w:rFonts w:ascii="Arial" w:hAnsi="Arial" w:cs="Arial"/>
          <w:szCs w:val="20"/>
          <w:lang w:val="en-GB"/>
        </w:rPr>
        <w:t xml:space="preserve"> have voted in favour of the scheme </w:t>
      </w:r>
      <w:r w:rsidR="008F1A2D" w:rsidRPr="00C13AF9">
        <w:rPr>
          <w:rFonts w:ascii="Arial" w:hAnsi="Arial" w:cs="Arial"/>
          <w:szCs w:val="20"/>
          <w:lang w:val="en-GB"/>
        </w:rPr>
        <w:t>and</w:t>
      </w:r>
    </w:p>
    <w:p w14:paraId="0E2111D5" w14:textId="433430F0" w:rsidR="008F1A2D" w:rsidRPr="00C13AF9" w:rsidRDefault="008F1A2D" w:rsidP="002430B1">
      <w:pPr>
        <w:pStyle w:val="ListParagraph"/>
        <w:numPr>
          <w:ilvl w:val="0"/>
          <w:numId w:val="19"/>
        </w:numPr>
        <w:jc w:val="both"/>
        <w:rPr>
          <w:rFonts w:ascii="Arial" w:hAnsi="Arial" w:cs="Arial"/>
          <w:szCs w:val="20"/>
          <w:lang w:val="en-GB"/>
        </w:rPr>
      </w:pPr>
      <w:r w:rsidRPr="00C13AF9">
        <w:rPr>
          <w:rFonts w:ascii="Arial" w:hAnsi="Arial" w:cs="Arial"/>
          <w:szCs w:val="20"/>
          <w:lang w:val="en-GB"/>
        </w:rPr>
        <w:t>That majority in number represents 75%</w:t>
      </w:r>
      <w:r w:rsidR="005B0953" w:rsidRPr="00C13AF9">
        <w:rPr>
          <w:rFonts w:ascii="Arial" w:hAnsi="Arial" w:cs="Arial"/>
          <w:szCs w:val="20"/>
          <w:lang w:val="en-GB"/>
        </w:rPr>
        <w:t>in value of the creditors present and voting and</w:t>
      </w:r>
    </w:p>
    <w:p w14:paraId="04C818F4" w14:textId="2C327DE8" w:rsidR="00CB75C5" w:rsidRPr="00C13AF9" w:rsidRDefault="005B0953" w:rsidP="007E144A">
      <w:pPr>
        <w:pStyle w:val="ListParagraph"/>
        <w:numPr>
          <w:ilvl w:val="0"/>
          <w:numId w:val="19"/>
        </w:numPr>
        <w:ind w:right="851"/>
        <w:jc w:val="both"/>
        <w:rPr>
          <w:rFonts w:ascii="Arial" w:hAnsi="Arial" w:cs="Arial"/>
          <w:szCs w:val="20"/>
          <w:lang w:val="en-GB"/>
        </w:rPr>
      </w:pPr>
      <w:r w:rsidRPr="00C13AF9">
        <w:rPr>
          <w:rFonts w:ascii="Arial" w:hAnsi="Arial" w:cs="Arial"/>
          <w:szCs w:val="20"/>
          <w:lang w:val="en-GB"/>
        </w:rPr>
        <w:t xml:space="preserve">The court is satisfied that the scheme does not discriminate </w:t>
      </w:r>
      <w:r w:rsidR="00385C37" w:rsidRPr="00C13AF9">
        <w:rPr>
          <w:rFonts w:ascii="Arial" w:hAnsi="Arial" w:cs="Arial"/>
          <w:szCs w:val="20"/>
          <w:lang w:val="en-GB"/>
        </w:rPr>
        <w:t xml:space="preserve">unfairly </w:t>
      </w:r>
      <w:r w:rsidRPr="00C13AF9">
        <w:rPr>
          <w:rFonts w:ascii="Arial" w:hAnsi="Arial" w:cs="Arial"/>
          <w:szCs w:val="20"/>
          <w:lang w:val="en-GB"/>
        </w:rPr>
        <w:t xml:space="preserve">between </w:t>
      </w:r>
      <w:r w:rsidR="00BB3B71" w:rsidRPr="00C13AF9">
        <w:rPr>
          <w:rFonts w:ascii="Arial" w:hAnsi="Arial" w:cs="Arial"/>
          <w:szCs w:val="20"/>
          <w:lang w:val="en-GB"/>
        </w:rPr>
        <w:t xml:space="preserve">two or more </w:t>
      </w:r>
      <w:r w:rsidRPr="00C13AF9">
        <w:rPr>
          <w:rFonts w:ascii="Arial" w:hAnsi="Arial" w:cs="Arial"/>
          <w:szCs w:val="20"/>
          <w:lang w:val="en-GB"/>
        </w:rPr>
        <w:t xml:space="preserve">classes and is fair and equitable to </w:t>
      </w:r>
      <w:r w:rsidR="00BB3B71" w:rsidRPr="00C13AF9">
        <w:rPr>
          <w:rFonts w:ascii="Arial" w:hAnsi="Arial" w:cs="Arial"/>
          <w:szCs w:val="20"/>
          <w:lang w:val="en-GB"/>
        </w:rPr>
        <w:t>each</w:t>
      </w:r>
      <w:r w:rsidRPr="00C13AF9">
        <w:rPr>
          <w:rFonts w:ascii="Arial" w:hAnsi="Arial" w:cs="Arial"/>
          <w:szCs w:val="20"/>
          <w:lang w:val="en-GB"/>
        </w:rPr>
        <w:t xml:space="preserve"> dissenting class</w:t>
      </w:r>
      <w:r w:rsidR="00AB0587" w:rsidRPr="00C13AF9">
        <w:rPr>
          <w:rFonts w:ascii="Arial" w:hAnsi="Arial" w:cs="Arial"/>
          <w:szCs w:val="20"/>
          <w:lang w:val="en-GB"/>
        </w:rPr>
        <w:t>.</w:t>
      </w:r>
      <w:r w:rsidR="00845089" w:rsidRPr="00C13AF9">
        <w:rPr>
          <w:rFonts w:ascii="Arial" w:hAnsi="Arial" w:cs="Arial"/>
          <w:szCs w:val="20"/>
          <w:lang w:val="en-GB"/>
        </w:rPr>
        <w:t xml:space="preserve"> A court will look to what the dissenting class will receive on the alternative to </w:t>
      </w:r>
      <w:r w:rsidR="00EE508C" w:rsidRPr="00C13AF9">
        <w:rPr>
          <w:rFonts w:ascii="Arial" w:hAnsi="Arial" w:cs="Arial"/>
          <w:szCs w:val="20"/>
          <w:lang w:val="en-GB"/>
        </w:rPr>
        <w:t xml:space="preserve">the </w:t>
      </w:r>
      <w:r w:rsidR="00845089" w:rsidRPr="00C13AF9">
        <w:rPr>
          <w:rFonts w:ascii="Arial" w:hAnsi="Arial" w:cs="Arial"/>
          <w:szCs w:val="20"/>
          <w:lang w:val="en-GB"/>
        </w:rPr>
        <w:t>scheme</w:t>
      </w:r>
      <w:r w:rsidR="002C4DC0" w:rsidRPr="00C13AF9">
        <w:rPr>
          <w:rFonts w:ascii="Arial" w:hAnsi="Arial" w:cs="Arial"/>
          <w:szCs w:val="20"/>
          <w:lang w:val="en-GB"/>
        </w:rPr>
        <w:t xml:space="preserve"> (such as liquidation) </w:t>
      </w:r>
      <w:r w:rsidR="000C59E8" w:rsidRPr="00C13AF9">
        <w:rPr>
          <w:rFonts w:ascii="Arial" w:hAnsi="Arial" w:cs="Arial"/>
          <w:szCs w:val="20"/>
          <w:lang w:val="en-GB"/>
        </w:rPr>
        <w:t>and ensure the scheme does not provide for a lower amount than in the alternative scenario.</w:t>
      </w:r>
      <w:r w:rsidR="00E8630C" w:rsidRPr="00C13AF9">
        <w:rPr>
          <w:rFonts w:ascii="Arial" w:hAnsi="Arial" w:cs="Arial"/>
          <w:szCs w:val="20"/>
          <w:lang w:val="en-GB"/>
        </w:rPr>
        <w:t xml:space="preserve"> </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638CB663" w:rsidR="008C35C9" w:rsidRPr="00C13AF9" w:rsidRDefault="001A2AAD" w:rsidP="008C35C9">
      <w:pPr>
        <w:jc w:val="both"/>
        <w:rPr>
          <w:rFonts w:ascii="Arial" w:hAnsi="Arial" w:cs="Arial"/>
          <w:szCs w:val="20"/>
          <w:lang w:val="en-GB"/>
        </w:rPr>
      </w:pPr>
      <w:r w:rsidRPr="00C13AF9">
        <w:rPr>
          <w:rFonts w:ascii="Arial" w:hAnsi="Arial" w:cs="Arial"/>
          <w:szCs w:val="20"/>
          <w:lang w:val="en-GB"/>
        </w:rPr>
        <w:t>To consolidate p</w:t>
      </w:r>
      <w:r w:rsidR="00E70F90" w:rsidRPr="00C13AF9">
        <w:rPr>
          <w:rFonts w:ascii="Arial" w:hAnsi="Arial" w:cs="Arial"/>
          <w:szCs w:val="20"/>
          <w:lang w:val="en-GB"/>
        </w:rPr>
        <w:t xml:space="preserve">ersonal and corporate </w:t>
      </w:r>
      <w:r w:rsidR="00901B0F" w:rsidRPr="00C13AF9">
        <w:rPr>
          <w:rFonts w:ascii="Arial" w:hAnsi="Arial" w:cs="Arial"/>
          <w:szCs w:val="20"/>
          <w:lang w:val="en-GB"/>
        </w:rPr>
        <w:t xml:space="preserve">insolvency and restructuring laws in one piece of legislation and to </w:t>
      </w:r>
      <w:r w:rsidR="00E40C94" w:rsidRPr="00C13AF9">
        <w:rPr>
          <w:rFonts w:ascii="Arial" w:hAnsi="Arial" w:cs="Arial"/>
          <w:szCs w:val="20"/>
          <w:lang w:val="en-GB"/>
        </w:rPr>
        <w:t>shift the focus from a historically creditor friendly jurisdiction (d</w:t>
      </w:r>
      <w:r w:rsidR="0092090A" w:rsidRPr="00C13AF9">
        <w:rPr>
          <w:rFonts w:ascii="Arial" w:hAnsi="Arial" w:cs="Arial"/>
          <w:szCs w:val="20"/>
          <w:lang w:val="en-GB"/>
        </w:rPr>
        <w:t>ue t</w:t>
      </w:r>
      <w:r w:rsidR="005A6E26" w:rsidRPr="00C13AF9">
        <w:rPr>
          <w:rFonts w:ascii="Arial" w:hAnsi="Arial" w:cs="Arial"/>
          <w:szCs w:val="20"/>
          <w:lang w:val="en-GB"/>
        </w:rPr>
        <w:t>o the English common law connection)</w:t>
      </w:r>
      <w:r w:rsidR="00A667E8" w:rsidRPr="00C13AF9">
        <w:rPr>
          <w:rFonts w:ascii="Arial" w:hAnsi="Arial" w:cs="Arial"/>
          <w:szCs w:val="20"/>
          <w:lang w:val="en-GB"/>
        </w:rPr>
        <w:t xml:space="preserve"> to a more debtor friendly regime</w:t>
      </w:r>
      <w:r w:rsidR="000D7801" w:rsidRPr="00C13AF9">
        <w:rPr>
          <w:rFonts w:ascii="Arial" w:hAnsi="Arial" w:cs="Arial"/>
          <w:szCs w:val="20"/>
          <w:lang w:val="en-GB"/>
        </w:rPr>
        <w:t xml:space="preserve"> </w:t>
      </w:r>
      <w:proofErr w:type="gramStart"/>
      <w:r w:rsidR="009A2E9E" w:rsidRPr="00C13AF9">
        <w:rPr>
          <w:rFonts w:ascii="Arial" w:hAnsi="Arial" w:cs="Arial"/>
          <w:szCs w:val="20"/>
          <w:lang w:val="en-GB"/>
        </w:rPr>
        <w:t>in order to</w:t>
      </w:r>
      <w:proofErr w:type="gramEnd"/>
      <w:r w:rsidR="009A2E9E" w:rsidRPr="00C13AF9">
        <w:rPr>
          <w:rFonts w:ascii="Arial" w:hAnsi="Arial" w:cs="Arial"/>
          <w:szCs w:val="20"/>
          <w:lang w:val="en-GB"/>
        </w:rPr>
        <w:t xml:space="preserve"> establish the jurisdiction as a hub for international restructurings. </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0BF1FA88" w:rsidR="008C35C9" w:rsidRPr="00C13AF9" w:rsidRDefault="00CE5D38" w:rsidP="00D26F50">
      <w:pPr>
        <w:pStyle w:val="ListParagraph"/>
        <w:numPr>
          <w:ilvl w:val="0"/>
          <w:numId w:val="20"/>
        </w:numPr>
        <w:jc w:val="both"/>
        <w:rPr>
          <w:rFonts w:ascii="Arial" w:hAnsi="Arial" w:cs="Arial"/>
          <w:szCs w:val="20"/>
          <w:lang w:val="en-GB"/>
        </w:rPr>
      </w:pPr>
      <w:r w:rsidRPr="00C13AF9">
        <w:rPr>
          <w:rFonts w:ascii="Arial" w:hAnsi="Arial" w:cs="Arial"/>
          <w:szCs w:val="20"/>
          <w:lang w:val="en-GB"/>
        </w:rPr>
        <w:t xml:space="preserve">The </w:t>
      </w:r>
      <w:r w:rsidR="00E8247E" w:rsidRPr="00C13AF9">
        <w:rPr>
          <w:rFonts w:ascii="Arial" w:hAnsi="Arial" w:cs="Arial"/>
          <w:szCs w:val="20"/>
          <w:lang w:val="en-GB"/>
        </w:rPr>
        <w:t xml:space="preserve">amount </w:t>
      </w:r>
      <w:r w:rsidRPr="00C13AF9">
        <w:rPr>
          <w:rFonts w:ascii="Arial" w:hAnsi="Arial" w:cs="Arial"/>
          <w:szCs w:val="20"/>
          <w:lang w:val="en-GB"/>
        </w:rPr>
        <w:t xml:space="preserve">of the debts which are due or will be due in the </w:t>
      </w:r>
      <w:r w:rsidR="00D566CC" w:rsidRPr="00C13AF9">
        <w:rPr>
          <w:rFonts w:ascii="Arial" w:hAnsi="Arial" w:cs="Arial"/>
          <w:szCs w:val="20"/>
          <w:lang w:val="en-GB"/>
        </w:rPr>
        <w:t xml:space="preserve">reasonably near </w:t>
      </w:r>
      <w:proofErr w:type="gramStart"/>
      <w:r w:rsidR="00D566CC" w:rsidRPr="00C13AF9">
        <w:rPr>
          <w:rFonts w:ascii="Arial" w:hAnsi="Arial" w:cs="Arial"/>
          <w:szCs w:val="20"/>
          <w:lang w:val="en-GB"/>
        </w:rPr>
        <w:t>future;</w:t>
      </w:r>
      <w:proofErr w:type="gramEnd"/>
    </w:p>
    <w:p w14:paraId="2F9D397F" w14:textId="2DC8C86F" w:rsidR="00D566CC" w:rsidRPr="00C13AF9" w:rsidRDefault="00D566CC" w:rsidP="00D26F50">
      <w:pPr>
        <w:pStyle w:val="ListParagraph"/>
        <w:numPr>
          <w:ilvl w:val="0"/>
          <w:numId w:val="20"/>
        </w:numPr>
        <w:jc w:val="both"/>
        <w:rPr>
          <w:rFonts w:ascii="Arial" w:hAnsi="Arial" w:cs="Arial"/>
          <w:szCs w:val="20"/>
          <w:lang w:val="en-GB"/>
        </w:rPr>
      </w:pPr>
      <w:r w:rsidRPr="00C13AF9">
        <w:rPr>
          <w:rFonts w:ascii="Arial" w:hAnsi="Arial" w:cs="Arial"/>
          <w:szCs w:val="20"/>
          <w:lang w:val="en-GB"/>
        </w:rPr>
        <w:t xml:space="preserve">Whether payment is being demanded or is likely to be demanded for those </w:t>
      </w:r>
      <w:proofErr w:type="gramStart"/>
      <w:r w:rsidRPr="00C13AF9">
        <w:rPr>
          <w:rFonts w:ascii="Arial" w:hAnsi="Arial" w:cs="Arial"/>
          <w:szCs w:val="20"/>
          <w:lang w:val="en-GB"/>
        </w:rPr>
        <w:t>debts;</w:t>
      </w:r>
      <w:proofErr w:type="gramEnd"/>
    </w:p>
    <w:p w14:paraId="0B11ADB3" w14:textId="43BF01BC" w:rsidR="00323D32" w:rsidRPr="00C13AF9" w:rsidRDefault="00E8247E" w:rsidP="00323D32">
      <w:pPr>
        <w:pStyle w:val="ListParagraph"/>
        <w:numPr>
          <w:ilvl w:val="0"/>
          <w:numId w:val="20"/>
        </w:numPr>
        <w:jc w:val="both"/>
        <w:rPr>
          <w:rFonts w:ascii="Arial" w:hAnsi="Arial" w:cs="Arial"/>
          <w:szCs w:val="20"/>
          <w:lang w:val="en-GB"/>
        </w:rPr>
      </w:pPr>
      <w:r w:rsidRPr="00C13AF9">
        <w:rPr>
          <w:rFonts w:ascii="Arial" w:hAnsi="Arial" w:cs="Arial"/>
          <w:szCs w:val="20"/>
          <w:lang w:val="en-GB"/>
        </w:rPr>
        <w:t xml:space="preserve">Whether the company has failed to pay any of its debts, the amount </w:t>
      </w:r>
      <w:r w:rsidR="005443BB" w:rsidRPr="00C13AF9">
        <w:rPr>
          <w:rFonts w:ascii="Arial" w:hAnsi="Arial" w:cs="Arial"/>
          <w:szCs w:val="20"/>
          <w:lang w:val="en-GB"/>
        </w:rPr>
        <w:t xml:space="preserve">of such debt, and for how long </w:t>
      </w:r>
      <w:r w:rsidR="003B31FB" w:rsidRPr="00C13AF9">
        <w:rPr>
          <w:rFonts w:ascii="Arial" w:hAnsi="Arial" w:cs="Arial"/>
          <w:szCs w:val="20"/>
          <w:lang w:val="en-GB"/>
        </w:rPr>
        <w:t>the company has failed to pay it</w:t>
      </w:r>
      <w:r w:rsidR="00323D32" w:rsidRPr="00C13AF9">
        <w:rPr>
          <w:rFonts w:ascii="Arial" w:hAnsi="Arial" w:cs="Arial"/>
          <w:szCs w:val="20"/>
          <w:lang w:val="en-GB"/>
        </w:rPr>
        <w:t>;</w:t>
      </w:r>
      <w:r w:rsidR="00FA1921">
        <w:rPr>
          <w:rFonts w:ascii="Arial" w:hAnsi="Arial" w:cs="Arial"/>
          <w:szCs w:val="20"/>
          <w:lang w:val="en-GB"/>
        </w:rPr>
        <w:t xml:space="preserve"> and</w:t>
      </w:r>
    </w:p>
    <w:p w14:paraId="39E6034B" w14:textId="59B89C6A" w:rsidR="00D566CC" w:rsidRPr="00C13AF9" w:rsidRDefault="00323D32" w:rsidP="00323D32">
      <w:pPr>
        <w:pStyle w:val="ListParagraph"/>
        <w:numPr>
          <w:ilvl w:val="0"/>
          <w:numId w:val="20"/>
        </w:numPr>
        <w:jc w:val="both"/>
        <w:rPr>
          <w:rFonts w:ascii="Arial" w:hAnsi="Arial" w:cs="Arial"/>
          <w:szCs w:val="20"/>
          <w:lang w:val="en-GB"/>
        </w:rPr>
      </w:pPr>
      <w:r w:rsidRPr="00C13AF9">
        <w:rPr>
          <w:rFonts w:ascii="Arial" w:hAnsi="Arial" w:cs="Arial"/>
          <w:szCs w:val="20"/>
          <w:lang w:val="en-GB"/>
        </w:rPr>
        <w:t>The value of the comp</w:t>
      </w:r>
      <w:r w:rsidR="00806F1A" w:rsidRPr="00C13AF9">
        <w:rPr>
          <w:rFonts w:ascii="Arial" w:hAnsi="Arial" w:cs="Arial"/>
          <w:szCs w:val="20"/>
          <w:lang w:val="en-GB"/>
        </w:rPr>
        <w:t>any’s current assets that will be realisable in the reasonably near future.</w:t>
      </w:r>
      <w:r w:rsidR="00E8247E" w:rsidRPr="00C13AF9">
        <w:rPr>
          <w:rFonts w:ascii="Arial" w:hAnsi="Arial" w:cs="Arial"/>
          <w:szCs w:val="20"/>
          <w:lang w:val="en-GB"/>
        </w:rPr>
        <w:t xml:space="preserve"> </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2BAD65CA" w14:textId="77777777" w:rsidR="00A479F7" w:rsidRPr="00A34FD5" w:rsidRDefault="00A479F7" w:rsidP="00A34FD5">
      <w:pPr>
        <w:spacing w:after="160" w:line="259" w:lineRule="auto"/>
        <w:rPr>
          <w:rFonts w:ascii="Arial" w:eastAsia="Calibri" w:hAnsi="Arial" w:cs="Arial"/>
          <w:kern w:val="2"/>
          <w:szCs w:val="20"/>
          <w:lang w:val="en-GB"/>
          <w14:ligatures w14:val="standardContextual"/>
        </w:rPr>
      </w:pPr>
      <w:r w:rsidRPr="00A34FD5">
        <w:rPr>
          <w:rFonts w:ascii="Arial" w:eastAsia="Calibri" w:hAnsi="Arial" w:cs="Arial"/>
          <w:kern w:val="2"/>
          <w:szCs w:val="20"/>
          <w:lang w:val="en-GB"/>
          <w14:ligatures w14:val="standardContextual"/>
        </w:rPr>
        <w:t xml:space="preserve">The key restructuring procedures in Singapore are schemes of arrangement and judicial management. </w:t>
      </w:r>
      <w:r w:rsidRPr="00A34FD5">
        <w:rPr>
          <w:rFonts w:ascii="Arial" w:eastAsia="Calibri" w:hAnsi="Arial" w:cs="Arial"/>
          <w:i/>
          <w:iCs/>
          <w:kern w:val="2"/>
          <w:szCs w:val="20"/>
          <w:lang w:val="en-GB"/>
          <w14:ligatures w14:val="standardContextual"/>
        </w:rPr>
        <w:t>Rescue financing</w:t>
      </w:r>
      <w:r w:rsidRPr="00A34FD5">
        <w:rPr>
          <w:rFonts w:ascii="Arial" w:eastAsia="Calibri" w:hAnsi="Arial" w:cs="Arial"/>
          <w:kern w:val="2"/>
          <w:szCs w:val="20"/>
          <w:lang w:val="en-GB"/>
          <w14:ligatures w14:val="standardContextual"/>
        </w:rPr>
        <w:t xml:space="preserve"> is available in both procedures and concerns financing that is necessary for the survival of a debtor that obtains the financing and/or is necessary to achieve a better outcome on the realisation of the assets of the debtor than on the winding up of the debtor. </w:t>
      </w:r>
    </w:p>
    <w:p w14:paraId="248ACB45" w14:textId="77777777" w:rsidR="004000C7" w:rsidRPr="00A34FD5" w:rsidRDefault="00A479F7" w:rsidP="00A34FD5">
      <w:pPr>
        <w:spacing w:after="160" w:line="259" w:lineRule="auto"/>
        <w:rPr>
          <w:rFonts w:ascii="Arial" w:eastAsia="Calibri" w:hAnsi="Arial" w:cs="Arial"/>
          <w:kern w:val="2"/>
          <w:szCs w:val="20"/>
          <w:lang w:val="en-GB"/>
          <w14:ligatures w14:val="standardContextual"/>
        </w:rPr>
      </w:pPr>
      <w:r w:rsidRPr="00A34FD5">
        <w:rPr>
          <w:rFonts w:ascii="Arial" w:eastAsia="Calibri" w:hAnsi="Arial" w:cs="Arial"/>
          <w:kern w:val="2"/>
          <w:szCs w:val="20"/>
          <w:lang w:val="en-GB"/>
          <w14:ligatures w14:val="standardContextual"/>
        </w:rPr>
        <w:t xml:space="preserve">Such financing may be afforded priority in certain circumstances following an application to court. An application may be made by a debtor to obtain an order to the effect that any rescue financing obtained by the debtor will (a) be part of the costs and expenses of the winding up if the debtor is later wound up; (b) enjoy priority over preferential debts if the debtor is later wound up; (c) be secured by a security interest on property where the property is unencumbered or be secured by subordinate </w:t>
      </w:r>
      <w:r w:rsidRPr="00A34FD5">
        <w:rPr>
          <w:rFonts w:ascii="Arial" w:eastAsia="Calibri" w:hAnsi="Arial" w:cs="Arial"/>
          <w:kern w:val="2"/>
          <w:szCs w:val="20"/>
          <w:lang w:val="en-GB"/>
          <w14:ligatures w14:val="standardContextual"/>
        </w:rPr>
        <w:lastRenderedPageBreak/>
        <w:t xml:space="preserve">security where the property is encumbered but the debtor would not have been in a position to obtain unsecured rescue financing otherwise; or (d) be secured on a property with an existing security interest of the same or higher priority than the existing security interest if the debtor would not have been in a position to obtain rescue financing unless it was secured in this manner and there is adequate protection for the existing security interest. </w:t>
      </w:r>
    </w:p>
    <w:p w14:paraId="73693A68" w14:textId="46D64110" w:rsidR="00A479F7" w:rsidRPr="00A34FD5" w:rsidRDefault="00A479F7" w:rsidP="00A34FD5">
      <w:pPr>
        <w:spacing w:after="160" w:line="259" w:lineRule="auto"/>
        <w:rPr>
          <w:rFonts w:ascii="Arial" w:eastAsia="Calibri" w:hAnsi="Arial" w:cs="Arial"/>
          <w:kern w:val="2"/>
          <w:szCs w:val="20"/>
          <w:lang w:val="en-GB"/>
          <w14:ligatures w14:val="standardContextual"/>
        </w:rPr>
      </w:pPr>
      <w:r w:rsidRPr="00A34FD5">
        <w:rPr>
          <w:rFonts w:ascii="Arial" w:eastAsia="Calibri" w:hAnsi="Arial" w:cs="Arial"/>
          <w:kern w:val="2"/>
          <w:szCs w:val="20"/>
          <w:lang w:val="en-GB"/>
          <w14:ligatures w14:val="standardContextual"/>
        </w:rPr>
        <w:t xml:space="preserve">These measures largely mirror similar powers under the US Bankruptcy code and its debtor in possession financing. </w:t>
      </w:r>
    </w:p>
    <w:p w14:paraId="63195660" w14:textId="0658011D" w:rsidR="004000C7" w:rsidRPr="00A34FD5" w:rsidRDefault="009355BB" w:rsidP="00A34FD5">
      <w:pPr>
        <w:spacing w:after="160" w:line="259" w:lineRule="auto"/>
        <w:rPr>
          <w:rFonts w:ascii="Arial" w:eastAsia="Calibri" w:hAnsi="Arial" w:cs="Arial"/>
          <w:kern w:val="2"/>
          <w:szCs w:val="20"/>
          <w:lang w:val="en-GB"/>
          <w14:ligatures w14:val="standardContextual"/>
        </w:rPr>
      </w:pPr>
      <w:r w:rsidRPr="00A34FD5">
        <w:rPr>
          <w:rFonts w:ascii="Arial" w:eastAsia="Calibri" w:hAnsi="Arial" w:cs="Arial"/>
          <w:kern w:val="2"/>
          <w:szCs w:val="20"/>
          <w:lang w:val="en-GB"/>
          <w14:ligatures w14:val="standardContextual"/>
        </w:rPr>
        <w:t xml:space="preserve">A </w:t>
      </w:r>
      <w:r w:rsidR="00FA5BF9" w:rsidRPr="00A34FD5">
        <w:rPr>
          <w:rFonts w:ascii="Arial" w:eastAsia="Calibri" w:hAnsi="Arial" w:cs="Arial"/>
          <w:kern w:val="2"/>
          <w:szCs w:val="20"/>
          <w:lang w:val="en-GB"/>
          <w14:ligatures w14:val="standardContextual"/>
        </w:rPr>
        <w:t xml:space="preserve">company trades </w:t>
      </w:r>
      <w:r w:rsidR="00FA5BF9" w:rsidRPr="00A34FD5">
        <w:rPr>
          <w:rFonts w:ascii="Arial" w:eastAsia="Calibri" w:hAnsi="Arial" w:cs="Arial"/>
          <w:i/>
          <w:iCs/>
          <w:kern w:val="2"/>
          <w:szCs w:val="20"/>
          <w:lang w:val="en-GB"/>
          <w14:ligatures w14:val="standardContextual"/>
        </w:rPr>
        <w:t>wrongfully</w:t>
      </w:r>
      <w:r w:rsidR="00FA5BF9" w:rsidRPr="00A34FD5">
        <w:rPr>
          <w:rFonts w:ascii="Arial" w:eastAsia="Calibri" w:hAnsi="Arial" w:cs="Arial"/>
          <w:kern w:val="2"/>
          <w:szCs w:val="20"/>
          <w:lang w:val="en-GB"/>
          <w14:ligatures w14:val="standardContextual"/>
        </w:rPr>
        <w:t xml:space="preserve"> if the company incurs debt or liabilities without reasonable prospect of meeting them in full when the company is insolvent</w:t>
      </w:r>
      <w:r w:rsidR="00E75C18" w:rsidRPr="00A34FD5">
        <w:rPr>
          <w:rFonts w:ascii="Arial" w:eastAsia="Calibri" w:hAnsi="Arial" w:cs="Arial"/>
          <w:kern w:val="2"/>
          <w:szCs w:val="20"/>
          <w:lang w:val="en-GB"/>
          <w14:ligatures w14:val="standardContextual"/>
        </w:rPr>
        <w:t xml:space="preserve"> </w:t>
      </w:r>
      <w:r w:rsidR="00B64694" w:rsidRPr="00A34FD5">
        <w:rPr>
          <w:rFonts w:ascii="Arial" w:eastAsia="Calibri" w:hAnsi="Arial" w:cs="Arial"/>
          <w:kern w:val="2"/>
          <w:szCs w:val="20"/>
          <w:lang w:val="en-GB"/>
          <w14:ligatures w14:val="standardContextual"/>
        </w:rPr>
        <w:t>or becomes insolvent</w:t>
      </w:r>
      <w:r w:rsidR="00C32DDF" w:rsidRPr="00A34FD5">
        <w:rPr>
          <w:rFonts w:ascii="Arial" w:eastAsia="Calibri" w:hAnsi="Arial" w:cs="Arial"/>
          <w:kern w:val="2"/>
          <w:szCs w:val="20"/>
          <w:lang w:val="en-GB"/>
          <w14:ligatures w14:val="standardContextual"/>
        </w:rPr>
        <w:t xml:space="preserve"> from in</w:t>
      </w:r>
      <w:r w:rsidR="00B64694" w:rsidRPr="00A34FD5">
        <w:rPr>
          <w:rFonts w:ascii="Arial" w:eastAsia="Calibri" w:hAnsi="Arial" w:cs="Arial"/>
          <w:kern w:val="2"/>
          <w:szCs w:val="20"/>
          <w:lang w:val="en-GB"/>
          <w14:ligatures w14:val="standardContextual"/>
        </w:rPr>
        <w:t>curring the debt or liability.</w:t>
      </w:r>
      <w:r w:rsidR="00C32DDF" w:rsidRPr="00A34FD5">
        <w:rPr>
          <w:rFonts w:ascii="Arial" w:eastAsia="Calibri" w:hAnsi="Arial" w:cs="Arial"/>
          <w:kern w:val="2"/>
          <w:szCs w:val="20"/>
          <w:lang w:val="en-GB"/>
          <w14:ligatures w14:val="standardContextual"/>
        </w:rPr>
        <w:t xml:space="preserve"> Personal liability for the company’s debts may be placed on a person if they knew the company was trading wrongfully or as an officer of the company in </w:t>
      </w:r>
      <w:proofErr w:type="gramStart"/>
      <w:r w:rsidR="00C32DDF" w:rsidRPr="00A34FD5">
        <w:rPr>
          <w:rFonts w:ascii="Arial" w:eastAsia="Calibri" w:hAnsi="Arial" w:cs="Arial"/>
          <w:kern w:val="2"/>
          <w:szCs w:val="20"/>
          <w:lang w:val="en-GB"/>
          <w14:ligatures w14:val="standardContextual"/>
        </w:rPr>
        <w:t>all of</w:t>
      </w:r>
      <w:proofErr w:type="gramEnd"/>
      <w:r w:rsidR="00C32DDF" w:rsidRPr="00A34FD5">
        <w:rPr>
          <w:rFonts w:ascii="Arial" w:eastAsia="Calibri" w:hAnsi="Arial" w:cs="Arial"/>
          <w:kern w:val="2"/>
          <w:szCs w:val="20"/>
          <w:lang w:val="en-GB"/>
          <w14:ligatures w14:val="standardContextual"/>
        </w:rPr>
        <w:t xml:space="preserve"> the circumstances, ought to have known that the company was trading wrongfully (s239 IRD Act). </w:t>
      </w:r>
      <w:r w:rsidR="00C22AD4" w:rsidRPr="00A34FD5">
        <w:rPr>
          <w:rFonts w:ascii="Arial" w:eastAsia="Calibri" w:hAnsi="Arial" w:cs="Arial"/>
          <w:kern w:val="2"/>
          <w:szCs w:val="20"/>
          <w:lang w:val="en-GB"/>
          <w14:ligatures w14:val="standardContextual"/>
        </w:rPr>
        <w:t xml:space="preserve">In practical terms, directors leave themselves </w:t>
      </w:r>
      <w:r w:rsidR="00BF10BC" w:rsidRPr="00A34FD5">
        <w:rPr>
          <w:rFonts w:ascii="Arial" w:eastAsia="Calibri" w:hAnsi="Arial" w:cs="Arial"/>
          <w:kern w:val="2"/>
          <w:szCs w:val="20"/>
          <w:lang w:val="en-GB"/>
          <w14:ligatures w14:val="standardContextual"/>
        </w:rPr>
        <w:t xml:space="preserve">open to personal liability in continuing to trade without considering </w:t>
      </w:r>
      <w:r w:rsidR="003E020B" w:rsidRPr="00A34FD5">
        <w:rPr>
          <w:rFonts w:ascii="Arial" w:eastAsia="Calibri" w:hAnsi="Arial" w:cs="Arial"/>
          <w:kern w:val="2"/>
          <w:szCs w:val="20"/>
          <w:lang w:val="en-GB"/>
          <w14:ligatures w14:val="standardContextual"/>
        </w:rPr>
        <w:t>corporate rescue processes and/or insolvency. Where insolvency occurs and a liquidator is appointed</w:t>
      </w:r>
      <w:r w:rsidR="009674E9" w:rsidRPr="00A34FD5">
        <w:rPr>
          <w:rFonts w:ascii="Arial" w:eastAsia="Calibri" w:hAnsi="Arial" w:cs="Arial"/>
          <w:kern w:val="2"/>
          <w:szCs w:val="20"/>
          <w:lang w:val="en-GB"/>
          <w14:ligatures w14:val="standardContextual"/>
        </w:rPr>
        <w:t xml:space="preserve">, the liquidator will investigate the business and affairs of the company and consider </w:t>
      </w:r>
      <w:r w:rsidR="0077506D" w:rsidRPr="00A34FD5">
        <w:rPr>
          <w:rFonts w:ascii="Arial" w:eastAsia="Calibri" w:hAnsi="Arial" w:cs="Arial"/>
          <w:kern w:val="2"/>
          <w:szCs w:val="20"/>
          <w:lang w:val="en-GB"/>
          <w14:ligatures w14:val="standardContextual"/>
        </w:rPr>
        <w:t>whether the comp</w:t>
      </w:r>
      <w:r w:rsidR="00B82FD5" w:rsidRPr="00A34FD5">
        <w:rPr>
          <w:rFonts w:ascii="Arial" w:eastAsia="Calibri" w:hAnsi="Arial" w:cs="Arial"/>
          <w:kern w:val="2"/>
          <w:szCs w:val="20"/>
          <w:lang w:val="en-GB"/>
          <w14:ligatures w14:val="standardContextual"/>
        </w:rPr>
        <w:t>any engaged in wrongful trading</w:t>
      </w:r>
      <w:r w:rsidR="00B82FD5" w:rsidRPr="00C50210">
        <w:rPr>
          <w:rFonts w:ascii="Arial" w:eastAsia="Calibri" w:hAnsi="Arial" w:cs="Arial"/>
          <w:kern w:val="2"/>
          <w:szCs w:val="20"/>
          <w:lang w:val="en-GB"/>
          <w14:ligatures w14:val="standardContextual"/>
        </w:rPr>
        <w:t xml:space="preserve">. </w:t>
      </w:r>
      <w:r w:rsidR="00C50210" w:rsidRPr="00C50210">
        <w:rPr>
          <w:rFonts w:ascii="Arial" w:hAnsi="Arial" w:cs="Arial"/>
          <w:color w:val="212529"/>
          <w:shd w:val="clear" w:color="auto" w:fill="FFFFFF"/>
        </w:rPr>
        <w:t>Section 239(10) of the IRD</w:t>
      </w:r>
      <w:r w:rsidR="00C50210">
        <w:rPr>
          <w:rFonts w:ascii="Arial" w:hAnsi="Arial" w:cs="Arial"/>
          <w:color w:val="212529"/>
          <w:shd w:val="clear" w:color="auto" w:fill="FFFFFF"/>
        </w:rPr>
        <w:t xml:space="preserve"> Act</w:t>
      </w:r>
      <w:r w:rsidR="00C50210" w:rsidRPr="00C50210">
        <w:rPr>
          <w:rFonts w:ascii="Arial" w:hAnsi="Arial" w:cs="Arial"/>
          <w:color w:val="212529"/>
          <w:shd w:val="clear" w:color="auto" w:fill="FFFFFF"/>
        </w:rPr>
        <w:t xml:space="preserve"> provides that a company or any person party to, or interested in becoming a party to, the carrying on of business with a company, may apply to the courts for a declaration that a particular course of conduct, transaction or series of transactions would not constitute wrongful trading.</w:t>
      </w:r>
    </w:p>
    <w:p w14:paraId="2D7560F5" w14:textId="2857FFE1" w:rsidR="008C35C9" w:rsidRPr="00A34FD5" w:rsidRDefault="008C35C9" w:rsidP="008C35C9">
      <w:pPr>
        <w:jc w:val="both"/>
        <w:rPr>
          <w:rFonts w:ascii="Arial" w:hAnsi="Arial" w:cs="Arial"/>
          <w:szCs w:val="20"/>
          <w:lang w:val="en-GB"/>
        </w:rPr>
      </w:pPr>
    </w:p>
    <w:p w14:paraId="53002D62" w14:textId="77777777" w:rsidR="007A2831" w:rsidRPr="00A34FD5" w:rsidRDefault="007A2831" w:rsidP="008C35C9">
      <w:pPr>
        <w:jc w:val="both"/>
        <w:rPr>
          <w:rFonts w:ascii="Arial" w:hAnsi="Arial" w:cs="Arial"/>
          <w:szCs w:val="20"/>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6DFE897C" w14:textId="3A47930C" w:rsidR="00C8590E" w:rsidRPr="00A34FD5" w:rsidRDefault="00C8590E" w:rsidP="001163B2">
      <w:pPr>
        <w:jc w:val="both"/>
        <w:rPr>
          <w:rFonts w:ascii="Arial" w:hAnsi="Arial" w:cs="Arial"/>
          <w:szCs w:val="20"/>
          <w:lang w:val="en-GB"/>
        </w:rPr>
      </w:pPr>
      <w:r w:rsidRPr="00A34FD5">
        <w:rPr>
          <w:rFonts w:ascii="Arial" w:hAnsi="Arial" w:cs="Arial"/>
          <w:szCs w:val="20"/>
          <w:lang w:val="en-GB"/>
        </w:rPr>
        <w:t xml:space="preserve">Both processes have a similar end goal in the rehabilitation of the debtor company. However, certain differences do exist between them. </w:t>
      </w:r>
    </w:p>
    <w:p w14:paraId="7794C12F" w14:textId="01B0A2B7" w:rsidR="00EB41D5" w:rsidRPr="00EB41D5" w:rsidRDefault="00C8590E" w:rsidP="00C8590E">
      <w:pPr>
        <w:spacing w:after="160" w:line="259" w:lineRule="auto"/>
        <w:contextualSpacing/>
        <w:rPr>
          <w:rFonts w:ascii="Arial" w:eastAsia="Calibri" w:hAnsi="Arial" w:cs="Arial"/>
          <w:kern w:val="2"/>
          <w:szCs w:val="20"/>
          <w:lang w:val="en-IE"/>
          <w14:ligatures w14:val="standardContextual"/>
        </w:rPr>
      </w:pPr>
      <w:r w:rsidRPr="00A34FD5">
        <w:rPr>
          <w:rFonts w:ascii="Arial" w:eastAsia="Calibri" w:hAnsi="Arial" w:cs="Arial"/>
          <w:kern w:val="2"/>
          <w:szCs w:val="20"/>
          <w:lang w:val="en-IE"/>
          <w14:ligatures w14:val="standardContextual"/>
        </w:rPr>
        <w:br/>
      </w:r>
      <w:r w:rsidR="00364083" w:rsidRPr="00A34FD5">
        <w:rPr>
          <w:rFonts w:ascii="Arial" w:eastAsia="Calibri" w:hAnsi="Arial" w:cs="Arial"/>
          <w:kern w:val="2"/>
          <w:szCs w:val="20"/>
          <w:lang w:val="en-IE"/>
          <w14:ligatures w14:val="standardContextual"/>
        </w:rPr>
        <w:t>Following the making of a</w:t>
      </w:r>
      <w:r w:rsidRPr="00A34FD5">
        <w:rPr>
          <w:rFonts w:ascii="Arial" w:eastAsia="Calibri" w:hAnsi="Arial" w:cs="Arial"/>
          <w:kern w:val="2"/>
          <w:szCs w:val="20"/>
          <w:lang w:val="en-IE"/>
          <w14:ligatures w14:val="standardContextual"/>
        </w:rPr>
        <w:t xml:space="preserve"> </w:t>
      </w:r>
      <w:r w:rsidR="00EB41D5" w:rsidRPr="00EB41D5">
        <w:rPr>
          <w:rFonts w:ascii="Arial" w:eastAsia="Calibri" w:hAnsi="Arial" w:cs="Arial"/>
          <w:kern w:val="2"/>
          <w:szCs w:val="20"/>
          <w:lang w:val="en-IE"/>
          <w14:ligatures w14:val="standardContextual"/>
        </w:rPr>
        <w:t>judicial management order</w:t>
      </w:r>
      <w:r w:rsidR="00364083" w:rsidRPr="00A34FD5">
        <w:rPr>
          <w:rFonts w:ascii="Arial" w:eastAsia="Calibri" w:hAnsi="Arial" w:cs="Arial"/>
          <w:kern w:val="2"/>
          <w:szCs w:val="20"/>
          <w:lang w:val="en-IE"/>
          <w14:ligatures w14:val="standardContextual"/>
        </w:rPr>
        <w:t xml:space="preserve">, </w:t>
      </w:r>
      <w:r w:rsidR="00EB41D5" w:rsidRPr="00EB41D5">
        <w:rPr>
          <w:rFonts w:ascii="Arial" w:eastAsia="Calibri" w:hAnsi="Arial" w:cs="Arial"/>
          <w:kern w:val="2"/>
          <w:szCs w:val="20"/>
          <w:lang w:val="en-IE"/>
          <w14:ligatures w14:val="standardContextual"/>
        </w:rPr>
        <w:t xml:space="preserve">the responsibilities, </w:t>
      </w:r>
      <w:proofErr w:type="gramStart"/>
      <w:r w:rsidR="00EB41D5" w:rsidRPr="00EB41D5">
        <w:rPr>
          <w:rFonts w:ascii="Arial" w:eastAsia="Calibri" w:hAnsi="Arial" w:cs="Arial"/>
          <w:kern w:val="2"/>
          <w:szCs w:val="20"/>
          <w:lang w:val="en-IE"/>
          <w14:ligatures w14:val="standardContextual"/>
        </w:rPr>
        <w:t>functions</w:t>
      </w:r>
      <w:proofErr w:type="gramEnd"/>
      <w:r w:rsidR="00EB41D5" w:rsidRPr="00EB41D5">
        <w:rPr>
          <w:rFonts w:ascii="Arial" w:eastAsia="Calibri" w:hAnsi="Arial" w:cs="Arial"/>
          <w:kern w:val="2"/>
          <w:szCs w:val="20"/>
          <w:lang w:val="en-IE"/>
          <w14:ligatures w14:val="standardContextual"/>
        </w:rPr>
        <w:t xml:space="preserve"> and powers of the board of directors are transferred to the judicial manager. This is not the case under a scheme of arrangement where the scheme manager administers the scheme after it has been approved – the directors remain in control of the debtor company during the scheme of arrangement process.</w:t>
      </w:r>
    </w:p>
    <w:p w14:paraId="40BCF829" w14:textId="77777777" w:rsidR="00473F39" w:rsidRPr="00A34FD5" w:rsidRDefault="00473F39" w:rsidP="00473F39">
      <w:pPr>
        <w:spacing w:after="160" w:line="259" w:lineRule="auto"/>
        <w:contextualSpacing/>
        <w:rPr>
          <w:rFonts w:ascii="Arial" w:eastAsia="Calibri" w:hAnsi="Arial" w:cs="Arial"/>
          <w:kern w:val="2"/>
          <w:szCs w:val="20"/>
          <w:lang w:val="en-IE"/>
          <w14:ligatures w14:val="standardContextual"/>
        </w:rPr>
      </w:pPr>
    </w:p>
    <w:p w14:paraId="20C42D73" w14:textId="2C2273B0" w:rsidR="00EB41D5" w:rsidRPr="00EB41D5" w:rsidRDefault="00EB41D5" w:rsidP="00473F39">
      <w:pPr>
        <w:spacing w:after="160" w:line="259" w:lineRule="auto"/>
        <w:contextualSpacing/>
        <w:rPr>
          <w:rFonts w:ascii="Arial" w:eastAsia="Calibri" w:hAnsi="Arial" w:cs="Arial"/>
          <w:kern w:val="2"/>
          <w:szCs w:val="20"/>
          <w:lang w:val="en-IE"/>
          <w14:ligatures w14:val="standardContextual"/>
        </w:rPr>
      </w:pPr>
      <w:r w:rsidRPr="00EB41D5">
        <w:rPr>
          <w:rFonts w:ascii="Arial" w:eastAsia="Calibri" w:hAnsi="Arial" w:cs="Arial"/>
          <w:kern w:val="2"/>
          <w:szCs w:val="20"/>
          <w:lang w:val="en-IE"/>
          <w14:ligatures w14:val="standardContextual"/>
        </w:rPr>
        <w:t xml:space="preserve">Onerous contracts may not be disclaimed in schemes of arrangement. However, in judicial management, judicial managers have the power to disclaim onerous contracts </w:t>
      </w:r>
      <w:proofErr w:type="gramStart"/>
      <w:r w:rsidRPr="00EB41D5">
        <w:rPr>
          <w:rFonts w:ascii="Arial" w:eastAsia="Calibri" w:hAnsi="Arial" w:cs="Arial"/>
          <w:kern w:val="2"/>
          <w:szCs w:val="20"/>
          <w:lang w:val="en-IE"/>
          <w14:ligatures w14:val="standardContextual"/>
        </w:rPr>
        <w:t>entered into</w:t>
      </w:r>
      <w:proofErr w:type="gramEnd"/>
      <w:r w:rsidRPr="00EB41D5">
        <w:rPr>
          <w:rFonts w:ascii="Arial" w:eastAsia="Calibri" w:hAnsi="Arial" w:cs="Arial"/>
          <w:kern w:val="2"/>
          <w:szCs w:val="20"/>
          <w:lang w:val="en-IE"/>
          <w14:ligatures w14:val="standardContextual"/>
        </w:rPr>
        <w:t xml:space="preserve"> by the company prior to the judicial management order. </w:t>
      </w:r>
    </w:p>
    <w:p w14:paraId="21A482B2" w14:textId="77777777" w:rsidR="00473F39" w:rsidRPr="00A34FD5" w:rsidRDefault="00473F39" w:rsidP="00473F39">
      <w:pPr>
        <w:spacing w:after="160" w:line="259" w:lineRule="auto"/>
        <w:contextualSpacing/>
        <w:rPr>
          <w:rFonts w:ascii="Arial" w:eastAsia="Calibri" w:hAnsi="Arial" w:cs="Arial"/>
          <w:kern w:val="2"/>
          <w:szCs w:val="20"/>
          <w:lang w:val="en-IE"/>
          <w14:ligatures w14:val="standardContextual"/>
        </w:rPr>
      </w:pPr>
    </w:p>
    <w:p w14:paraId="2110548B" w14:textId="2C8912D7" w:rsidR="00EB41D5" w:rsidRPr="00EB41D5" w:rsidRDefault="00EB41D5" w:rsidP="00473F39">
      <w:pPr>
        <w:spacing w:after="160" w:line="259" w:lineRule="auto"/>
        <w:contextualSpacing/>
        <w:rPr>
          <w:rFonts w:ascii="Arial" w:eastAsia="Calibri" w:hAnsi="Arial" w:cs="Arial"/>
          <w:kern w:val="2"/>
          <w:szCs w:val="20"/>
          <w:lang w:val="en-IE"/>
          <w14:ligatures w14:val="standardContextual"/>
        </w:rPr>
      </w:pPr>
      <w:r w:rsidRPr="00EB41D5">
        <w:rPr>
          <w:rFonts w:ascii="Arial" w:eastAsia="Calibri" w:hAnsi="Arial" w:cs="Arial"/>
          <w:kern w:val="2"/>
          <w:szCs w:val="20"/>
          <w:lang w:val="en-IE"/>
          <w14:ligatures w14:val="standardContextual"/>
        </w:rPr>
        <w:t xml:space="preserve">Judicial managers can apply to court to seek to claw back assets transferred where an unfair preference was </w:t>
      </w:r>
      <w:proofErr w:type="gramStart"/>
      <w:r w:rsidRPr="00EB41D5">
        <w:rPr>
          <w:rFonts w:ascii="Arial" w:eastAsia="Calibri" w:hAnsi="Arial" w:cs="Arial"/>
          <w:kern w:val="2"/>
          <w:szCs w:val="20"/>
          <w:lang w:val="en-IE"/>
          <w14:ligatures w14:val="standardContextual"/>
        </w:rPr>
        <w:t>given</w:t>
      </w:r>
      <w:proofErr w:type="gramEnd"/>
      <w:r w:rsidRPr="00EB41D5">
        <w:rPr>
          <w:rFonts w:ascii="Arial" w:eastAsia="Calibri" w:hAnsi="Arial" w:cs="Arial"/>
          <w:kern w:val="2"/>
          <w:szCs w:val="20"/>
          <w:lang w:val="en-IE"/>
          <w14:ligatures w14:val="standardContextual"/>
        </w:rPr>
        <w:t xml:space="preserve"> or the transaction was concluded at an undervalue within 2 years of the date of the judicial management application for related parties or 1 year for unrelated parties. The scheme of arrangement process does not allow for impeaching transactions. </w:t>
      </w:r>
    </w:p>
    <w:p w14:paraId="3B1B3CB5" w14:textId="77777777" w:rsidR="00473F39" w:rsidRPr="00A34FD5" w:rsidRDefault="00473F39" w:rsidP="00473F39">
      <w:pPr>
        <w:spacing w:after="160" w:line="259" w:lineRule="auto"/>
        <w:contextualSpacing/>
        <w:rPr>
          <w:rFonts w:ascii="Arial" w:eastAsia="Calibri" w:hAnsi="Arial" w:cs="Arial"/>
          <w:kern w:val="2"/>
          <w:szCs w:val="20"/>
          <w:lang w:val="en-IE"/>
          <w14:ligatures w14:val="standardContextual"/>
        </w:rPr>
      </w:pPr>
    </w:p>
    <w:p w14:paraId="0A882214" w14:textId="2473B13C" w:rsidR="00EB41D5" w:rsidRPr="00EB41D5" w:rsidRDefault="00EB41D5" w:rsidP="00473F39">
      <w:pPr>
        <w:spacing w:after="160" w:line="259" w:lineRule="auto"/>
        <w:contextualSpacing/>
        <w:rPr>
          <w:rFonts w:ascii="Arial" w:eastAsia="Calibri" w:hAnsi="Arial" w:cs="Arial"/>
          <w:kern w:val="2"/>
          <w:szCs w:val="20"/>
          <w:lang w:val="en-IE"/>
          <w14:ligatures w14:val="standardContextual"/>
        </w:rPr>
      </w:pPr>
      <w:r w:rsidRPr="00EB41D5">
        <w:rPr>
          <w:rFonts w:ascii="Arial" w:eastAsia="Calibri" w:hAnsi="Arial" w:cs="Arial"/>
          <w:kern w:val="2"/>
          <w:szCs w:val="20"/>
          <w:lang w:val="en-IE"/>
          <w14:ligatures w14:val="standardContextual"/>
        </w:rPr>
        <w:t>The officers of the debtor company may be found personally liable for the debts of the company in certain circumstances in the judicial management process.  When a company becomes insolvent</w:t>
      </w:r>
      <w:r w:rsidR="00CF5E44" w:rsidRPr="00A34FD5">
        <w:rPr>
          <w:rFonts w:ascii="Arial" w:eastAsia="Calibri" w:hAnsi="Arial" w:cs="Arial"/>
          <w:kern w:val="2"/>
          <w:szCs w:val="20"/>
          <w:lang w:val="en-IE"/>
          <w14:ligatures w14:val="standardContextual"/>
        </w:rPr>
        <w:t xml:space="preserve"> in judicial management</w:t>
      </w:r>
      <w:r w:rsidRPr="00EB41D5">
        <w:rPr>
          <w:rFonts w:ascii="Arial" w:eastAsia="Calibri" w:hAnsi="Arial" w:cs="Arial"/>
          <w:kern w:val="2"/>
          <w:szCs w:val="20"/>
          <w:lang w:val="en-IE"/>
          <w14:ligatures w14:val="standardContextual"/>
        </w:rPr>
        <w:t>, and where a director knowingly was a party to the contracting of a debt when at the time there was no reasonable or probable grounds for being able to pay the debt or where the business of the company was being carried out with the intention to defraud creditors of the company, the director(s) can be held personally liable for the debts of the company</w:t>
      </w:r>
      <w:r w:rsidR="000F4D01" w:rsidRPr="00A34FD5">
        <w:rPr>
          <w:rFonts w:ascii="Arial" w:eastAsia="Calibri" w:hAnsi="Arial" w:cs="Arial"/>
          <w:kern w:val="2"/>
          <w:szCs w:val="20"/>
          <w:lang w:val="en-IE"/>
          <w14:ligatures w14:val="standardContextual"/>
        </w:rPr>
        <w:t xml:space="preserve">. </w:t>
      </w:r>
      <w:r w:rsidRPr="00EB41D5">
        <w:rPr>
          <w:rFonts w:ascii="Arial" w:eastAsia="Calibri" w:hAnsi="Arial" w:cs="Arial"/>
          <w:kern w:val="2"/>
          <w:szCs w:val="20"/>
          <w:lang w:val="en-IE"/>
          <w14:ligatures w14:val="standardContextual"/>
        </w:rPr>
        <w:t xml:space="preserve">Officer liability does not arise in schemes of arrangement given the nature of the process – there is no analysis or investigation of the affairs of the company involved. </w:t>
      </w:r>
    </w:p>
    <w:p w14:paraId="2C61397A" w14:textId="279FCF07" w:rsidR="008C35C9" w:rsidRPr="00A34FD5" w:rsidRDefault="008C35C9" w:rsidP="008C35C9">
      <w:pPr>
        <w:jc w:val="both"/>
        <w:rPr>
          <w:rFonts w:ascii="Arial" w:hAnsi="Arial" w:cs="Arial"/>
          <w:szCs w:val="20"/>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245CB671"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lastRenderedPageBreak/>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A34FD5" w:rsidRDefault="00100A09" w:rsidP="00D22362">
      <w:pPr>
        <w:pStyle w:val="ListParagraph"/>
        <w:ind w:left="426"/>
        <w:rPr>
          <w:rFonts w:ascii="Arial" w:hAnsi="Arial" w:cs="Arial"/>
          <w:szCs w:val="20"/>
          <w:lang w:val="en-GB"/>
        </w:rPr>
      </w:pPr>
    </w:p>
    <w:p w14:paraId="4114F5DC" w14:textId="083F2F30" w:rsidR="00583735" w:rsidRPr="00A34FD5" w:rsidRDefault="00E404BC" w:rsidP="00E404BC">
      <w:pPr>
        <w:pStyle w:val="ListParagraph"/>
        <w:numPr>
          <w:ilvl w:val="0"/>
          <w:numId w:val="23"/>
        </w:numPr>
        <w:jc w:val="both"/>
        <w:rPr>
          <w:rFonts w:ascii="Arial" w:hAnsi="Arial" w:cs="Arial"/>
          <w:szCs w:val="20"/>
          <w:lang w:val="en-GB"/>
        </w:rPr>
      </w:pPr>
      <w:r w:rsidRPr="00A34FD5">
        <w:rPr>
          <w:rFonts w:ascii="Arial" w:hAnsi="Arial" w:cs="Arial"/>
          <w:szCs w:val="20"/>
          <w:lang w:val="en-GB"/>
        </w:rPr>
        <w:t>The purpose of judicial management is to restructure the debts of the Company</w:t>
      </w:r>
      <w:r w:rsidR="0000169B" w:rsidRPr="00A34FD5">
        <w:rPr>
          <w:rFonts w:ascii="Arial" w:hAnsi="Arial" w:cs="Arial"/>
          <w:szCs w:val="20"/>
          <w:lang w:val="en-GB"/>
        </w:rPr>
        <w:t xml:space="preserve"> through the approval of a comp</w:t>
      </w:r>
      <w:r w:rsidR="00CA272D" w:rsidRPr="00A34FD5">
        <w:rPr>
          <w:rFonts w:ascii="Arial" w:hAnsi="Arial" w:cs="Arial"/>
          <w:szCs w:val="20"/>
          <w:lang w:val="en-GB"/>
        </w:rPr>
        <w:t>romise or an arrangement between the Company and its creditors;</w:t>
      </w:r>
      <w:r w:rsidR="007406E3" w:rsidRPr="00A34FD5">
        <w:rPr>
          <w:rFonts w:ascii="Arial" w:hAnsi="Arial" w:cs="Arial"/>
          <w:szCs w:val="20"/>
          <w:lang w:val="en-GB"/>
        </w:rPr>
        <w:t xml:space="preserve"> ensure the survival of the Company </w:t>
      </w:r>
      <w:r w:rsidR="00F05D16" w:rsidRPr="00A34FD5">
        <w:rPr>
          <w:rFonts w:ascii="Arial" w:hAnsi="Arial" w:cs="Arial"/>
          <w:szCs w:val="20"/>
          <w:lang w:val="en-GB"/>
        </w:rPr>
        <w:t xml:space="preserve">or the whole or part of its business </w:t>
      </w:r>
      <w:r w:rsidR="007406E3" w:rsidRPr="00A34FD5">
        <w:rPr>
          <w:rFonts w:ascii="Arial" w:hAnsi="Arial" w:cs="Arial"/>
          <w:szCs w:val="20"/>
          <w:lang w:val="en-GB"/>
        </w:rPr>
        <w:t>as a going concern</w:t>
      </w:r>
      <w:r w:rsidR="00A167C9" w:rsidRPr="00A34FD5">
        <w:rPr>
          <w:rFonts w:ascii="Arial" w:hAnsi="Arial" w:cs="Arial"/>
          <w:szCs w:val="20"/>
          <w:lang w:val="en-GB"/>
        </w:rPr>
        <w:t xml:space="preserve"> or a more advantageous realisation of the Company’s assets </w:t>
      </w:r>
      <w:r w:rsidR="00C40CCA" w:rsidRPr="00A34FD5">
        <w:rPr>
          <w:rFonts w:ascii="Arial" w:hAnsi="Arial" w:cs="Arial"/>
          <w:szCs w:val="20"/>
          <w:lang w:val="en-GB"/>
        </w:rPr>
        <w:t>than through a winding-up order.</w:t>
      </w:r>
      <w:r w:rsidR="0014259B" w:rsidRPr="00A34FD5">
        <w:rPr>
          <w:rFonts w:ascii="Arial" w:hAnsi="Arial" w:cs="Arial"/>
          <w:szCs w:val="20"/>
          <w:lang w:val="en-GB"/>
        </w:rPr>
        <w:t xml:space="preserve"> </w:t>
      </w:r>
    </w:p>
    <w:p w14:paraId="074FEF38" w14:textId="289EBFFB" w:rsidR="008C35C9" w:rsidRDefault="0014259B" w:rsidP="00583735">
      <w:pPr>
        <w:pStyle w:val="ListParagraph"/>
        <w:jc w:val="both"/>
        <w:rPr>
          <w:rFonts w:ascii="Arial" w:hAnsi="Arial" w:cs="Arial"/>
          <w:szCs w:val="20"/>
          <w:lang w:val="en-GB"/>
        </w:rPr>
      </w:pPr>
      <w:r w:rsidRPr="00A34FD5">
        <w:rPr>
          <w:rFonts w:ascii="Arial" w:hAnsi="Arial" w:cs="Arial"/>
          <w:szCs w:val="20"/>
          <w:lang w:val="en-GB"/>
        </w:rPr>
        <w:t>To obtain the order, e</w:t>
      </w:r>
      <w:r w:rsidR="00384373" w:rsidRPr="00A34FD5">
        <w:rPr>
          <w:rFonts w:ascii="Arial" w:hAnsi="Arial" w:cs="Arial"/>
          <w:szCs w:val="20"/>
          <w:lang w:val="en-GB"/>
        </w:rPr>
        <w:t xml:space="preserve">vidence must be presented to the court to show that the Company </w:t>
      </w:r>
      <w:r w:rsidR="009B5B65" w:rsidRPr="00A34FD5">
        <w:rPr>
          <w:rFonts w:ascii="Arial" w:hAnsi="Arial" w:cs="Arial"/>
          <w:szCs w:val="20"/>
          <w:lang w:val="en-GB"/>
        </w:rPr>
        <w:t xml:space="preserve">is or is likely to become unable to pay its debts </w:t>
      </w:r>
      <w:r w:rsidR="008E3F83" w:rsidRPr="00A34FD5">
        <w:rPr>
          <w:rFonts w:ascii="Arial" w:hAnsi="Arial" w:cs="Arial"/>
          <w:szCs w:val="20"/>
          <w:lang w:val="en-GB"/>
        </w:rPr>
        <w:t xml:space="preserve">and </w:t>
      </w:r>
      <w:r w:rsidR="008E3F83" w:rsidRPr="00A34FD5">
        <w:rPr>
          <w:rFonts w:ascii="Arial" w:hAnsi="Arial" w:cs="Arial"/>
          <w:szCs w:val="20"/>
          <w:lang w:val="en-GB"/>
        </w:rPr>
        <w:t>the survival of the Company or the whole or part of its business as a going concern or a more advantageous realisation of the Company’s assets than through a winding-up order</w:t>
      </w:r>
      <w:r w:rsidR="00DD34F0" w:rsidRPr="00A34FD5">
        <w:rPr>
          <w:rFonts w:ascii="Arial" w:hAnsi="Arial" w:cs="Arial"/>
          <w:szCs w:val="20"/>
          <w:lang w:val="en-GB"/>
        </w:rPr>
        <w:t xml:space="preserve"> will result from the making of the order. </w:t>
      </w:r>
    </w:p>
    <w:p w14:paraId="0523B9A1" w14:textId="77777777" w:rsidR="00A34FD5" w:rsidRPr="00A34FD5" w:rsidRDefault="00A34FD5" w:rsidP="00A34FD5">
      <w:pPr>
        <w:jc w:val="both"/>
        <w:rPr>
          <w:rFonts w:ascii="Arial" w:hAnsi="Arial" w:cs="Arial"/>
          <w:szCs w:val="20"/>
          <w:lang w:val="en-GB"/>
        </w:rPr>
      </w:pPr>
    </w:p>
    <w:p w14:paraId="0CEA00FC" w14:textId="6C58460F" w:rsidR="00C150E9" w:rsidRPr="00A34FD5" w:rsidRDefault="00A63B53" w:rsidP="00E404BC">
      <w:pPr>
        <w:pStyle w:val="ListParagraph"/>
        <w:numPr>
          <w:ilvl w:val="0"/>
          <w:numId w:val="23"/>
        </w:numPr>
        <w:jc w:val="both"/>
        <w:rPr>
          <w:rFonts w:ascii="Arial" w:hAnsi="Arial" w:cs="Arial"/>
          <w:szCs w:val="20"/>
          <w:lang w:val="en-GB"/>
        </w:rPr>
      </w:pPr>
      <w:r w:rsidRPr="00A34FD5">
        <w:rPr>
          <w:rFonts w:ascii="Arial" w:hAnsi="Arial" w:cs="Arial"/>
          <w:szCs w:val="20"/>
          <w:lang w:val="en-GB"/>
        </w:rPr>
        <w:t>The financing must be necessary for t</w:t>
      </w:r>
      <w:r w:rsidR="005B02C0" w:rsidRPr="00A34FD5">
        <w:rPr>
          <w:rFonts w:ascii="Arial" w:hAnsi="Arial" w:cs="Arial"/>
          <w:szCs w:val="20"/>
          <w:lang w:val="en-GB"/>
        </w:rPr>
        <w:t xml:space="preserve">he survival of the Company or </w:t>
      </w:r>
      <w:r w:rsidR="007D4F03" w:rsidRPr="00A34FD5">
        <w:rPr>
          <w:rFonts w:ascii="Arial" w:hAnsi="Arial" w:cs="Arial"/>
          <w:szCs w:val="20"/>
          <w:lang w:val="en-GB"/>
        </w:rPr>
        <w:t xml:space="preserve">a more advantageous realisation of </w:t>
      </w:r>
      <w:r w:rsidR="009F7237" w:rsidRPr="00A34FD5">
        <w:rPr>
          <w:rFonts w:ascii="Arial" w:hAnsi="Arial" w:cs="Arial"/>
          <w:szCs w:val="20"/>
          <w:lang w:val="en-GB"/>
        </w:rPr>
        <w:t xml:space="preserve">the assets if the Company than on a winding up. The Company </w:t>
      </w:r>
      <w:r w:rsidR="00FA71A7" w:rsidRPr="00A34FD5">
        <w:rPr>
          <w:rFonts w:ascii="Arial" w:hAnsi="Arial" w:cs="Arial"/>
          <w:szCs w:val="20"/>
          <w:lang w:val="en-GB"/>
        </w:rPr>
        <w:t>will likely need to provide security for the financing</w:t>
      </w:r>
      <w:r w:rsidR="009135D7" w:rsidRPr="00A34FD5">
        <w:rPr>
          <w:rFonts w:ascii="Arial" w:hAnsi="Arial" w:cs="Arial"/>
          <w:szCs w:val="20"/>
          <w:lang w:val="en-GB"/>
        </w:rPr>
        <w:t xml:space="preserve"> </w:t>
      </w:r>
      <w:proofErr w:type="gramStart"/>
      <w:r w:rsidR="009135D7" w:rsidRPr="00A34FD5">
        <w:rPr>
          <w:rFonts w:ascii="Arial" w:hAnsi="Arial" w:cs="Arial"/>
          <w:szCs w:val="20"/>
          <w:lang w:val="en-GB"/>
        </w:rPr>
        <w:t>in order for</w:t>
      </w:r>
      <w:proofErr w:type="gramEnd"/>
      <w:r w:rsidR="009135D7" w:rsidRPr="00A34FD5">
        <w:rPr>
          <w:rFonts w:ascii="Arial" w:hAnsi="Arial" w:cs="Arial"/>
          <w:szCs w:val="20"/>
          <w:lang w:val="en-GB"/>
        </w:rPr>
        <w:t xml:space="preserve"> it to be granted</w:t>
      </w:r>
      <w:r w:rsidR="00FA71A7" w:rsidRPr="00A34FD5">
        <w:rPr>
          <w:rFonts w:ascii="Arial" w:hAnsi="Arial" w:cs="Arial"/>
          <w:szCs w:val="20"/>
          <w:lang w:val="en-GB"/>
        </w:rPr>
        <w:t xml:space="preserve"> and a such and application to court for super priority in respect of the rescue financing will also be required.</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6C4B42A9" w14:textId="2197B14F" w:rsidR="00A46DA9" w:rsidRDefault="00A46DA9" w:rsidP="00A46DA9">
      <w:pPr>
        <w:spacing w:after="160" w:line="259" w:lineRule="auto"/>
        <w:rPr>
          <w:rFonts w:ascii="Arial" w:eastAsia="Calibri" w:hAnsi="Arial" w:cs="Arial"/>
          <w:color w:val="212529"/>
          <w:kern w:val="2"/>
          <w:szCs w:val="20"/>
          <w:shd w:val="clear" w:color="auto" w:fill="FFFFFF"/>
          <w:lang w:val="en-IE"/>
          <w14:ligatures w14:val="standardContextual"/>
        </w:rPr>
      </w:pPr>
      <w:r w:rsidRPr="00A46DA9">
        <w:rPr>
          <w:rFonts w:ascii="Arial" w:eastAsia="Calibri" w:hAnsi="Arial" w:cs="Arial"/>
          <w:color w:val="212529"/>
          <w:kern w:val="2"/>
          <w:szCs w:val="20"/>
          <w:shd w:val="clear" w:color="auto" w:fill="FFFFFF"/>
          <w:lang w:val="en-IE"/>
          <w14:ligatures w14:val="standardContextual"/>
        </w:rPr>
        <w:t xml:space="preserve">Section 94 of the IRD </w:t>
      </w:r>
      <w:r w:rsidR="006B7B8E">
        <w:rPr>
          <w:rFonts w:ascii="Arial" w:eastAsia="Calibri" w:hAnsi="Arial" w:cs="Arial"/>
          <w:color w:val="212529"/>
          <w:kern w:val="2"/>
          <w:szCs w:val="20"/>
          <w:shd w:val="clear" w:color="auto" w:fill="FFFFFF"/>
          <w:lang w:val="en-IE"/>
          <w14:ligatures w14:val="standardContextual"/>
        </w:rPr>
        <w:t xml:space="preserve">Act </w:t>
      </w:r>
      <w:r w:rsidRPr="00A46DA9">
        <w:rPr>
          <w:rFonts w:ascii="Arial" w:eastAsia="Calibri" w:hAnsi="Arial" w:cs="Arial"/>
          <w:color w:val="212529"/>
          <w:kern w:val="2"/>
          <w:szCs w:val="20"/>
          <w:shd w:val="clear" w:color="auto" w:fill="FFFFFF"/>
          <w:lang w:val="en-IE"/>
          <w14:ligatures w14:val="standardContextual"/>
        </w:rPr>
        <w:t>introduces judicial management without a court order</w:t>
      </w:r>
      <w:r w:rsidR="00903E1D">
        <w:rPr>
          <w:rFonts w:ascii="Arial" w:eastAsia="Calibri" w:hAnsi="Arial" w:cs="Arial"/>
          <w:color w:val="212529"/>
          <w:kern w:val="2"/>
          <w:szCs w:val="20"/>
          <w:shd w:val="clear" w:color="auto" w:fill="FFFFFF"/>
          <w:lang w:val="en-IE"/>
          <w14:ligatures w14:val="standardContextual"/>
        </w:rPr>
        <w:t xml:space="preserve"> </w:t>
      </w:r>
      <w:r w:rsidRPr="00A46DA9">
        <w:rPr>
          <w:rFonts w:ascii="Arial" w:eastAsia="Calibri" w:hAnsi="Arial" w:cs="Arial"/>
          <w:color w:val="212529"/>
          <w:kern w:val="2"/>
          <w:szCs w:val="20"/>
          <w:shd w:val="clear" w:color="auto" w:fill="FFFFFF"/>
          <w:lang w:val="en-IE"/>
          <w14:ligatures w14:val="standardContextual"/>
        </w:rPr>
        <w:t xml:space="preserve">through a creditors' resolution. </w:t>
      </w:r>
      <w:r w:rsidR="00903E1D">
        <w:rPr>
          <w:rFonts w:ascii="Arial" w:eastAsia="Calibri" w:hAnsi="Arial" w:cs="Arial"/>
          <w:color w:val="212529"/>
          <w:kern w:val="2"/>
          <w:szCs w:val="20"/>
          <w:shd w:val="clear" w:color="auto" w:fill="FFFFFF"/>
          <w:lang w:val="en-IE"/>
          <w14:ligatures w14:val="standardContextual"/>
        </w:rPr>
        <w:t>Both companies woul</w:t>
      </w:r>
      <w:r w:rsidR="00AB7FCD">
        <w:rPr>
          <w:rFonts w:ascii="Arial" w:eastAsia="Calibri" w:hAnsi="Arial" w:cs="Arial"/>
          <w:color w:val="212529"/>
          <w:kern w:val="2"/>
          <w:szCs w:val="20"/>
          <w:shd w:val="clear" w:color="auto" w:fill="FFFFFF"/>
          <w:lang w:val="en-IE"/>
          <w14:ligatures w14:val="standardContextual"/>
        </w:rPr>
        <w:t>d</w:t>
      </w:r>
      <w:r w:rsidRPr="00A46DA9">
        <w:rPr>
          <w:rFonts w:ascii="Arial" w:eastAsia="Calibri" w:hAnsi="Arial" w:cs="Arial"/>
          <w:color w:val="212529"/>
          <w:kern w:val="2"/>
          <w:szCs w:val="20"/>
          <w:shd w:val="clear" w:color="auto" w:fill="FFFFFF"/>
          <w:lang w:val="en-IE"/>
          <w14:ligatures w14:val="standardContextual"/>
        </w:rPr>
        <w:t xml:space="preserve"> propose to its creditors that it enter judicial management and, with </w:t>
      </w:r>
      <w:bookmarkStart w:id="1" w:name="_Hlk141544031"/>
      <w:r w:rsidRPr="00A46DA9">
        <w:rPr>
          <w:rFonts w:ascii="Arial" w:eastAsia="Calibri" w:hAnsi="Arial" w:cs="Arial"/>
          <w:color w:val="212529"/>
          <w:kern w:val="2"/>
          <w:szCs w:val="20"/>
          <w:shd w:val="clear" w:color="auto" w:fill="FFFFFF"/>
          <w:lang w:val="en-IE"/>
          <w14:ligatures w14:val="standardContextual"/>
        </w:rPr>
        <w:t>the approval of a majority in number and value of the creditors present and voting, be placed under judicial management</w:t>
      </w:r>
      <w:bookmarkEnd w:id="1"/>
      <w:r w:rsidRPr="00A46DA9">
        <w:rPr>
          <w:rFonts w:ascii="Arial" w:eastAsia="Calibri" w:hAnsi="Arial" w:cs="Arial"/>
          <w:color w:val="212529"/>
          <w:kern w:val="2"/>
          <w:szCs w:val="20"/>
          <w:shd w:val="clear" w:color="auto" w:fill="FFFFFF"/>
          <w:lang w:val="en-IE"/>
          <w14:ligatures w14:val="standardContextual"/>
        </w:rPr>
        <w:t>.</w:t>
      </w:r>
      <w:r w:rsidR="00AB7FCD">
        <w:rPr>
          <w:rFonts w:ascii="Arial" w:eastAsia="Calibri" w:hAnsi="Arial" w:cs="Arial"/>
          <w:color w:val="212529"/>
          <w:kern w:val="2"/>
          <w:szCs w:val="20"/>
          <w:shd w:val="clear" w:color="auto" w:fill="FFFFFF"/>
          <w:lang w:val="en-IE"/>
          <w14:ligatures w14:val="standardContextual"/>
        </w:rPr>
        <w:t xml:space="preserve"> S94 of the IRD</w:t>
      </w:r>
      <w:r w:rsidR="006B7B8E">
        <w:rPr>
          <w:rFonts w:ascii="Arial" w:eastAsia="Calibri" w:hAnsi="Arial" w:cs="Arial"/>
          <w:color w:val="212529"/>
          <w:kern w:val="2"/>
          <w:szCs w:val="20"/>
          <w:shd w:val="clear" w:color="auto" w:fill="FFFFFF"/>
          <w:lang w:val="en-IE"/>
          <w14:ligatures w14:val="standardContextual"/>
        </w:rPr>
        <w:t xml:space="preserve"> Act</w:t>
      </w:r>
      <w:r w:rsidR="00AB7FCD">
        <w:rPr>
          <w:rFonts w:ascii="Arial" w:eastAsia="Calibri" w:hAnsi="Arial" w:cs="Arial"/>
          <w:color w:val="212529"/>
          <w:kern w:val="2"/>
          <w:szCs w:val="20"/>
          <w:shd w:val="clear" w:color="auto" w:fill="FFFFFF"/>
          <w:lang w:val="en-IE"/>
          <w14:ligatures w14:val="standardContextual"/>
        </w:rPr>
        <w:t xml:space="preserve"> sets out the steps that need to be taken </w:t>
      </w:r>
      <w:r w:rsidR="00363814">
        <w:rPr>
          <w:rFonts w:ascii="Arial" w:eastAsia="Calibri" w:hAnsi="Arial" w:cs="Arial"/>
          <w:color w:val="212529"/>
          <w:kern w:val="2"/>
          <w:szCs w:val="20"/>
          <w:shd w:val="clear" w:color="auto" w:fill="FFFFFF"/>
          <w:lang w:val="en-IE"/>
          <w14:ligatures w14:val="standardContextual"/>
        </w:rPr>
        <w:t xml:space="preserve">by the directors </w:t>
      </w:r>
      <w:r w:rsidR="00B941DA">
        <w:rPr>
          <w:rFonts w:ascii="Arial" w:eastAsia="Calibri" w:hAnsi="Arial" w:cs="Arial"/>
          <w:color w:val="212529"/>
          <w:kern w:val="2"/>
          <w:szCs w:val="20"/>
          <w:shd w:val="clear" w:color="auto" w:fill="FFFFFF"/>
          <w:lang w:val="en-IE"/>
          <w14:ligatures w14:val="standardContextual"/>
        </w:rPr>
        <w:t xml:space="preserve">of both companies in convening the creditors meeting and include: </w:t>
      </w:r>
    </w:p>
    <w:p w14:paraId="1727AFC7" w14:textId="62E0DB5B" w:rsidR="00633E76" w:rsidRDefault="00633E76" w:rsidP="00633E76">
      <w:pPr>
        <w:pStyle w:val="ListParagraph"/>
        <w:numPr>
          <w:ilvl w:val="0"/>
          <w:numId w:val="24"/>
        </w:numPr>
        <w:spacing w:after="160" w:line="259" w:lineRule="auto"/>
        <w:rPr>
          <w:rFonts w:ascii="Arial" w:eastAsia="Calibri" w:hAnsi="Arial" w:cs="Arial"/>
          <w:kern w:val="2"/>
          <w:szCs w:val="20"/>
          <w:lang w:val="en-IE"/>
          <w14:ligatures w14:val="standardContextual"/>
        </w:rPr>
      </w:pPr>
      <w:r>
        <w:rPr>
          <w:rFonts w:ascii="Arial" w:eastAsia="Calibri" w:hAnsi="Arial" w:cs="Arial"/>
          <w:kern w:val="2"/>
          <w:szCs w:val="20"/>
          <w:lang w:val="en-IE"/>
          <w14:ligatures w14:val="standardContextual"/>
        </w:rPr>
        <w:t xml:space="preserve">Providing creditors with at least 14 </w:t>
      </w:r>
      <w:r w:rsidR="00AA3987">
        <w:rPr>
          <w:rFonts w:ascii="Arial" w:eastAsia="Calibri" w:hAnsi="Arial" w:cs="Arial"/>
          <w:kern w:val="2"/>
          <w:szCs w:val="20"/>
          <w:lang w:val="en-IE"/>
          <w14:ligatures w14:val="standardContextual"/>
        </w:rPr>
        <w:t>days’ notice</w:t>
      </w:r>
      <w:r>
        <w:rPr>
          <w:rFonts w:ascii="Arial" w:eastAsia="Calibri" w:hAnsi="Arial" w:cs="Arial"/>
          <w:kern w:val="2"/>
          <w:szCs w:val="20"/>
          <w:lang w:val="en-IE"/>
          <w14:ligatures w14:val="standardContextual"/>
        </w:rPr>
        <w:t xml:space="preserve"> of the meeting together with a statement showing the </w:t>
      </w:r>
      <w:r w:rsidR="002472DF">
        <w:rPr>
          <w:rFonts w:ascii="Arial" w:eastAsia="Calibri" w:hAnsi="Arial" w:cs="Arial"/>
          <w:kern w:val="2"/>
          <w:szCs w:val="20"/>
          <w:lang w:val="en-IE"/>
          <w14:ligatures w14:val="standardContextual"/>
        </w:rPr>
        <w:t>names of all creditors and the amounts of their claims</w:t>
      </w:r>
      <w:r w:rsidR="00AA3987">
        <w:rPr>
          <w:rFonts w:ascii="Arial" w:eastAsia="Calibri" w:hAnsi="Arial" w:cs="Arial"/>
          <w:kern w:val="2"/>
          <w:szCs w:val="20"/>
          <w:lang w:val="en-IE"/>
          <w14:ligatures w14:val="standardContextual"/>
        </w:rPr>
        <w:t>.</w:t>
      </w:r>
    </w:p>
    <w:p w14:paraId="7117DCB4" w14:textId="1DC587F0" w:rsidR="002472DF" w:rsidRDefault="002472DF" w:rsidP="00633E76">
      <w:pPr>
        <w:pStyle w:val="ListParagraph"/>
        <w:numPr>
          <w:ilvl w:val="0"/>
          <w:numId w:val="24"/>
        </w:numPr>
        <w:spacing w:after="160" w:line="259" w:lineRule="auto"/>
        <w:rPr>
          <w:rFonts w:ascii="Arial" w:eastAsia="Calibri" w:hAnsi="Arial" w:cs="Arial"/>
          <w:kern w:val="2"/>
          <w:szCs w:val="20"/>
          <w:lang w:val="en-IE"/>
          <w14:ligatures w14:val="standardContextual"/>
        </w:rPr>
      </w:pPr>
      <w:r>
        <w:rPr>
          <w:rFonts w:ascii="Arial" w:eastAsia="Calibri" w:hAnsi="Arial" w:cs="Arial"/>
          <w:kern w:val="2"/>
          <w:szCs w:val="20"/>
          <w:lang w:val="en-IE"/>
          <w14:ligatures w14:val="standardContextual"/>
        </w:rPr>
        <w:t>A full statement of the company’s affairs</w:t>
      </w:r>
      <w:r w:rsidR="00F7776A">
        <w:rPr>
          <w:rFonts w:ascii="Arial" w:eastAsia="Calibri" w:hAnsi="Arial" w:cs="Arial"/>
          <w:kern w:val="2"/>
          <w:szCs w:val="20"/>
          <w:lang w:val="en-IE"/>
          <w14:ligatures w14:val="standardContextual"/>
        </w:rPr>
        <w:t xml:space="preserve"> and showing the method of valuation and how the valuation was arrived at</w:t>
      </w:r>
      <w:r w:rsidR="00C13AF9">
        <w:rPr>
          <w:rFonts w:ascii="Arial" w:eastAsia="Calibri" w:hAnsi="Arial" w:cs="Arial"/>
          <w:kern w:val="2"/>
          <w:szCs w:val="20"/>
          <w:lang w:val="en-IE"/>
          <w14:ligatures w14:val="standardContextual"/>
        </w:rPr>
        <w:t>.</w:t>
      </w:r>
    </w:p>
    <w:p w14:paraId="77BA300F" w14:textId="249B17DE" w:rsidR="00F7776A" w:rsidRDefault="00F7776A" w:rsidP="00633E76">
      <w:pPr>
        <w:pStyle w:val="ListParagraph"/>
        <w:numPr>
          <w:ilvl w:val="0"/>
          <w:numId w:val="24"/>
        </w:numPr>
        <w:spacing w:after="160" w:line="259" w:lineRule="auto"/>
        <w:rPr>
          <w:rFonts w:ascii="Arial" w:eastAsia="Calibri" w:hAnsi="Arial" w:cs="Arial"/>
          <w:kern w:val="2"/>
          <w:szCs w:val="20"/>
          <w:lang w:val="en-IE"/>
          <w14:ligatures w14:val="standardContextual"/>
        </w:rPr>
      </w:pPr>
      <w:r>
        <w:rPr>
          <w:rFonts w:ascii="Arial" w:eastAsia="Calibri" w:hAnsi="Arial" w:cs="Arial"/>
          <w:kern w:val="2"/>
          <w:szCs w:val="20"/>
          <w:lang w:val="en-IE"/>
          <w14:ligatures w14:val="standardContextual"/>
        </w:rPr>
        <w:t>Notice of the meeting published at least 10 days in advance</w:t>
      </w:r>
      <w:r w:rsidR="00F96F62">
        <w:rPr>
          <w:rFonts w:ascii="Arial" w:eastAsia="Calibri" w:hAnsi="Arial" w:cs="Arial"/>
          <w:kern w:val="2"/>
          <w:szCs w:val="20"/>
          <w:lang w:val="en-IE"/>
          <w14:ligatures w14:val="standardContextual"/>
        </w:rPr>
        <w:t xml:space="preserve"> in a local newspaper</w:t>
      </w:r>
      <w:r w:rsidR="00C13AF9">
        <w:rPr>
          <w:rFonts w:ascii="Arial" w:eastAsia="Calibri" w:hAnsi="Arial" w:cs="Arial"/>
          <w:kern w:val="2"/>
          <w:szCs w:val="20"/>
          <w:lang w:val="en-IE"/>
          <w14:ligatures w14:val="standardContextual"/>
        </w:rPr>
        <w:t>.</w:t>
      </w:r>
    </w:p>
    <w:p w14:paraId="2133E7EB" w14:textId="398D6829" w:rsidR="00F96F62" w:rsidRDefault="00F96F62" w:rsidP="00633E76">
      <w:pPr>
        <w:pStyle w:val="ListParagraph"/>
        <w:numPr>
          <w:ilvl w:val="0"/>
          <w:numId w:val="24"/>
        </w:numPr>
        <w:spacing w:after="160" w:line="259" w:lineRule="auto"/>
        <w:rPr>
          <w:rFonts w:ascii="Arial" w:eastAsia="Calibri" w:hAnsi="Arial" w:cs="Arial"/>
          <w:kern w:val="2"/>
          <w:szCs w:val="20"/>
          <w:lang w:val="en-IE"/>
          <w14:ligatures w14:val="standardContextual"/>
        </w:rPr>
      </w:pPr>
      <w:r>
        <w:rPr>
          <w:rFonts w:ascii="Arial" w:eastAsia="Calibri" w:hAnsi="Arial" w:cs="Arial"/>
          <w:kern w:val="2"/>
          <w:szCs w:val="20"/>
          <w:lang w:val="en-IE"/>
          <w14:ligatures w14:val="standardContextual"/>
        </w:rPr>
        <w:t xml:space="preserve">A director must attend at the meeting a disclose the company’s affairs </w:t>
      </w:r>
      <w:r w:rsidR="00E83816">
        <w:rPr>
          <w:rFonts w:ascii="Arial" w:eastAsia="Calibri" w:hAnsi="Arial" w:cs="Arial"/>
          <w:kern w:val="2"/>
          <w:szCs w:val="20"/>
          <w:lang w:val="en-IE"/>
          <w14:ligatures w14:val="standardContextual"/>
        </w:rPr>
        <w:t>and the circumstances leading up to the proposed judicial management</w:t>
      </w:r>
      <w:r w:rsidR="00C13AF9">
        <w:rPr>
          <w:rFonts w:ascii="Arial" w:eastAsia="Calibri" w:hAnsi="Arial" w:cs="Arial"/>
          <w:kern w:val="2"/>
          <w:szCs w:val="20"/>
          <w:lang w:val="en-IE"/>
          <w14:ligatures w14:val="standardContextual"/>
        </w:rPr>
        <w:t>.</w:t>
      </w:r>
    </w:p>
    <w:p w14:paraId="5445F5DC" w14:textId="00E1C83C" w:rsidR="00AA3987" w:rsidRPr="00633E76" w:rsidRDefault="00AA3987" w:rsidP="00633E76">
      <w:pPr>
        <w:pStyle w:val="ListParagraph"/>
        <w:numPr>
          <w:ilvl w:val="0"/>
          <w:numId w:val="24"/>
        </w:numPr>
        <w:spacing w:after="160" w:line="259" w:lineRule="auto"/>
        <w:rPr>
          <w:rFonts w:ascii="Arial" w:eastAsia="Calibri" w:hAnsi="Arial" w:cs="Arial"/>
          <w:kern w:val="2"/>
          <w:szCs w:val="20"/>
          <w:lang w:val="en-IE"/>
          <w14:ligatures w14:val="standardContextual"/>
        </w:rPr>
      </w:pPr>
      <w:r>
        <w:rPr>
          <w:rFonts w:ascii="Arial" w:eastAsia="Calibri" w:hAnsi="Arial" w:cs="Arial"/>
          <w:color w:val="212529"/>
          <w:kern w:val="2"/>
          <w:szCs w:val="20"/>
          <w:shd w:val="clear" w:color="auto" w:fill="FFFFFF"/>
          <w:lang w:val="en-IE"/>
          <w14:ligatures w14:val="standardContextual"/>
        </w:rPr>
        <w:t xml:space="preserve">The </w:t>
      </w:r>
      <w:r w:rsidRPr="00A46DA9">
        <w:rPr>
          <w:rFonts w:ascii="Arial" w:eastAsia="Calibri" w:hAnsi="Arial" w:cs="Arial"/>
          <w:color w:val="212529"/>
          <w:kern w:val="2"/>
          <w:szCs w:val="20"/>
          <w:shd w:val="clear" w:color="auto" w:fill="FFFFFF"/>
          <w:lang w:val="en-IE"/>
          <w14:ligatures w14:val="standardContextual"/>
        </w:rPr>
        <w:t>approval of a majority in number and value of the creditors present and voting</w:t>
      </w:r>
      <w:r>
        <w:rPr>
          <w:rFonts w:ascii="Arial" w:eastAsia="Calibri" w:hAnsi="Arial" w:cs="Arial"/>
          <w:color w:val="212529"/>
          <w:kern w:val="2"/>
          <w:szCs w:val="20"/>
          <w:shd w:val="clear" w:color="auto" w:fill="FFFFFF"/>
          <w:lang w:val="en-IE"/>
          <w14:ligatures w14:val="standardContextual"/>
        </w:rPr>
        <w:t xml:space="preserve"> is required to </w:t>
      </w:r>
      <w:r w:rsidRPr="00A46DA9">
        <w:rPr>
          <w:rFonts w:ascii="Arial" w:eastAsia="Calibri" w:hAnsi="Arial" w:cs="Arial"/>
          <w:color w:val="212529"/>
          <w:kern w:val="2"/>
          <w:szCs w:val="20"/>
          <w:shd w:val="clear" w:color="auto" w:fill="FFFFFF"/>
          <w:lang w:val="en-IE"/>
          <w14:ligatures w14:val="standardContextual"/>
        </w:rPr>
        <w:t>place</w:t>
      </w:r>
      <w:r>
        <w:rPr>
          <w:rFonts w:ascii="Arial" w:eastAsia="Calibri" w:hAnsi="Arial" w:cs="Arial"/>
          <w:color w:val="212529"/>
          <w:kern w:val="2"/>
          <w:szCs w:val="20"/>
          <w:shd w:val="clear" w:color="auto" w:fill="FFFFFF"/>
          <w:lang w:val="en-IE"/>
          <w14:ligatures w14:val="standardContextual"/>
        </w:rPr>
        <w:t xml:space="preserve"> the company</w:t>
      </w:r>
      <w:r w:rsidRPr="00A46DA9">
        <w:rPr>
          <w:rFonts w:ascii="Arial" w:eastAsia="Calibri" w:hAnsi="Arial" w:cs="Arial"/>
          <w:color w:val="212529"/>
          <w:kern w:val="2"/>
          <w:szCs w:val="20"/>
          <w:shd w:val="clear" w:color="auto" w:fill="FFFFFF"/>
          <w:lang w:val="en-IE"/>
          <w14:ligatures w14:val="standardContextual"/>
        </w:rPr>
        <w:t xml:space="preserve"> under judicial management</w:t>
      </w:r>
      <w:r w:rsidR="00C13AF9">
        <w:rPr>
          <w:rFonts w:ascii="Arial" w:eastAsia="Calibri" w:hAnsi="Arial" w:cs="Arial"/>
          <w:color w:val="212529"/>
          <w:kern w:val="2"/>
          <w:szCs w:val="20"/>
          <w:shd w:val="clear" w:color="auto" w:fill="FFFFFF"/>
          <w:lang w:val="en-IE"/>
          <w14:ligatures w14:val="standardContextual"/>
        </w:rPr>
        <w:t>.</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54D6276C" w:rsidR="008C35C9" w:rsidRPr="008C35C9" w:rsidRDefault="00D96C8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Only a company that may be wound up</w:t>
      </w:r>
      <w:r w:rsidR="00B42CA3">
        <w:rPr>
          <w:rFonts w:ascii="Avenir Next" w:hAnsi="Avenir Next" w:cs="Arial"/>
          <w:color w:val="808080" w:themeColor="background1" w:themeShade="80"/>
          <w:sz w:val="22"/>
          <w:szCs w:val="22"/>
          <w:lang w:val="en-GB"/>
        </w:rPr>
        <w:t xml:space="preserve"> under the IRD Act may be placed into judicial management</w:t>
      </w:r>
      <w:r w:rsidR="005362BC">
        <w:rPr>
          <w:rFonts w:ascii="Avenir Next" w:hAnsi="Avenir Next" w:cs="Arial"/>
          <w:color w:val="808080" w:themeColor="background1" w:themeShade="80"/>
          <w:sz w:val="22"/>
          <w:szCs w:val="22"/>
          <w:lang w:val="en-GB"/>
        </w:rPr>
        <w:t>. Charlie Pty Ltd must demonstrate a “substantial connection” with Singapore</w:t>
      </w:r>
      <w:r w:rsidR="00C5783E">
        <w:rPr>
          <w:rFonts w:ascii="Avenir Next" w:hAnsi="Avenir Next" w:cs="Arial"/>
          <w:color w:val="808080" w:themeColor="background1" w:themeShade="80"/>
          <w:sz w:val="22"/>
          <w:szCs w:val="22"/>
          <w:lang w:val="en-GB"/>
        </w:rPr>
        <w:t xml:space="preserve"> – this m</w:t>
      </w:r>
      <w:r w:rsidR="00B82ABA">
        <w:rPr>
          <w:rFonts w:ascii="Avenir Next" w:hAnsi="Avenir Next" w:cs="Arial"/>
          <w:color w:val="808080" w:themeColor="background1" w:themeShade="80"/>
          <w:sz w:val="22"/>
          <w:szCs w:val="22"/>
          <w:lang w:val="en-GB"/>
        </w:rPr>
        <w:t>a</w:t>
      </w:r>
      <w:r w:rsidR="00C5783E">
        <w:rPr>
          <w:rFonts w:ascii="Avenir Next" w:hAnsi="Avenir Next" w:cs="Arial"/>
          <w:color w:val="808080" w:themeColor="background1" w:themeShade="80"/>
          <w:sz w:val="22"/>
          <w:szCs w:val="22"/>
          <w:lang w:val="en-GB"/>
        </w:rPr>
        <w:t xml:space="preserve">y be done by </w:t>
      </w:r>
      <w:r w:rsidR="0008270D">
        <w:rPr>
          <w:rFonts w:ascii="Avenir Next" w:hAnsi="Avenir Next" w:cs="Arial"/>
          <w:color w:val="808080" w:themeColor="background1" w:themeShade="80"/>
          <w:sz w:val="22"/>
          <w:szCs w:val="22"/>
          <w:lang w:val="en-GB"/>
        </w:rPr>
        <w:t>evidencing the fact that the loan financing</w:t>
      </w:r>
      <w:r w:rsidR="00581A5E">
        <w:rPr>
          <w:rFonts w:ascii="Avenir Next" w:hAnsi="Avenir Next" w:cs="Arial"/>
          <w:color w:val="808080" w:themeColor="background1" w:themeShade="80"/>
          <w:sz w:val="22"/>
          <w:szCs w:val="22"/>
          <w:lang w:val="en-GB"/>
        </w:rPr>
        <w:t xml:space="preserve"> and secured</w:t>
      </w:r>
      <w:r w:rsidR="0008270D">
        <w:rPr>
          <w:rFonts w:ascii="Avenir Next" w:hAnsi="Avenir Next" w:cs="Arial"/>
          <w:color w:val="808080" w:themeColor="background1" w:themeShade="80"/>
          <w:sz w:val="22"/>
          <w:szCs w:val="22"/>
          <w:lang w:val="en-GB"/>
        </w:rPr>
        <w:t xml:space="preserve"> o</w:t>
      </w:r>
      <w:r w:rsidR="00581A5E">
        <w:rPr>
          <w:rFonts w:ascii="Avenir Next" w:hAnsi="Avenir Next" w:cs="Arial"/>
          <w:color w:val="808080" w:themeColor="background1" w:themeShade="80"/>
          <w:sz w:val="22"/>
          <w:szCs w:val="22"/>
          <w:lang w:val="en-GB"/>
        </w:rPr>
        <w:t>n</w:t>
      </w:r>
      <w:r w:rsidR="0008270D">
        <w:rPr>
          <w:rFonts w:ascii="Avenir Next" w:hAnsi="Avenir Next" w:cs="Arial"/>
          <w:color w:val="808080" w:themeColor="background1" w:themeShade="80"/>
          <w:sz w:val="22"/>
          <w:szCs w:val="22"/>
          <w:lang w:val="en-GB"/>
        </w:rPr>
        <w:t xml:space="preserve"> the Australian property was provided by a Singapore bank and is governed by Singapore law.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0F692C39" w14:textId="298DC012" w:rsidR="00EE062F" w:rsidRDefault="00123AA8" w:rsidP="008C35C9">
      <w:pPr>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An automatic moratorium on legal proceedings against </w:t>
      </w:r>
      <w:r w:rsidR="006513A3">
        <w:rPr>
          <w:rFonts w:ascii="Arial" w:hAnsi="Arial" w:cs="Arial"/>
          <w:color w:val="000000"/>
          <w:szCs w:val="20"/>
          <w:shd w:val="clear" w:color="auto" w:fill="FFFFFF"/>
        </w:rPr>
        <w:t>the ABC Group comes into effect on the filing o</w:t>
      </w:r>
      <w:r w:rsidR="00B2558C">
        <w:rPr>
          <w:rFonts w:ascii="Arial" w:hAnsi="Arial" w:cs="Arial"/>
          <w:color w:val="000000"/>
          <w:szCs w:val="20"/>
          <w:shd w:val="clear" w:color="auto" w:fill="FFFFFF"/>
        </w:rPr>
        <w:t>f</w:t>
      </w:r>
      <w:r w:rsidR="006513A3">
        <w:rPr>
          <w:rFonts w:ascii="Arial" w:hAnsi="Arial" w:cs="Arial"/>
          <w:color w:val="000000"/>
          <w:szCs w:val="20"/>
          <w:shd w:val="clear" w:color="auto" w:fill="FFFFFF"/>
        </w:rPr>
        <w:t xml:space="preserve"> the judicial management application. </w:t>
      </w:r>
      <w:r w:rsidR="00FB371A">
        <w:rPr>
          <w:rFonts w:ascii="Arial" w:hAnsi="Arial" w:cs="Arial"/>
          <w:color w:val="000000"/>
          <w:szCs w:val="20"/>
          <w:shd w:val="clear" w:color="auto" w:fill="FFFFFF"/>
        </w:rPr>
        <w:t>N</w:t>
      </w:r>
      <w:r w:rsidR="00C1694E" w:rsidRPr="00C1694E">
        <w:rPr>
          <w:rFonts w:ascii="Arial" w:hAnsi="Arial" w:cs="Arial"/>
          <w:color w:val="000000"/>
          <w:szCs w:val="20"/>
          <w:shd w:val="clear" w:color="auto" w:fill="FFFFFF"/>
        </w:rPr>
        <w:t>o step may be taken to enforce any security over any property of the compan</w:t>
      </w:r>
      <w:r w:rsidR="00FB371A">
        <w:rPr>
          <w:rFonts w:ascii="Arial" w:hAnsi="Arial" w:cs="Arial"/>
          <w:color w:val="000000"/>
          <w:szCs w:val="20"/>
          <w:shd w:val="clear" w:color="auto" w:fill="FFFFFF"/>
        </w:rPr>
        <w:t>ies</w:t>
      </w:r>
      <w:r w:rsidR="00B2558C">
        <w:rPr>
          <w:rFonts w:ascii="Arial" w:hAnsi="Arial" w:cs="Arial"/>
          <w:color w:val="000000"/>
          <w:szCs w:val="20"/>
          <w:shd w:val="clear" w:color="auto" w:fill="FFFFFF"/>
        </w:rPr>
        <w:t xml:space="preserve"> during the moratorium. </w:t>
      </w:r>
      <w:r w:rsidR="00F160F7">
        <w:rPr>
          <w:rFonts w:ascii="Arial" w:hAnsi="Arial" w:cs="Arial"/>
          <w:color w:val="000000"/>
          <w:szCs w:val="20"/>
          <w:shd w:val="clear" w:color="auto" w:fill="FFFFFF"/>
        </w:rPr>
        <w:t xml:space="preserve">Where the order is made a more extensive moratorium </w:t>
      </w:r>
      <w:r w:rsidR="00782CFC">
        <w:rPr>
          <w:rFonts w:ascii="Arial" w:hAnsi="Arial" w:cs="Arial"/>
          <w:color w:val="000000"/>
          <w:szCs w:val="20"/>
          <w:shd w:val="clear" w:color="auto" w:fill="FFFFFF"/>
        </w:rPr>
        <w:t xml:space="preserve">will come into effect for the period of the judicial management. </w:t>
      </w:r>
    </w:p>
    <w:p w14:paraId="6AAF7EAD" w14:textId="77777777" w:rsidR="00DC1F8B" w:rsidRDefault="00DC1F8B" w:rsidP="008C35C9">
      <w:pPr>
        <w:jc w:val="both"/>
        <w:rPr>
          <w:rFonts w:ascii="Arial" w:hAnsi="Arial" w:cs="Arial"/>
          <w:color w:val="000000"/>
          <w:szCs w:val="20"/>
          <w:shd w:val="clear" w:color="auto" w:fill="FFFFFF"/>
        </w:rPr>
      </w:pPr>
    </w:p>
    <w:p w14:paraId="126ACB57" w14:textId="77777777" w:rsidR="00DC1F8B" w:rsidRPr="00FB371A" w:rsidRDefault="00DC1F8B" w:rsidP="008C35C9">
      <w:pPr>
        <w:jc w:val="both"/>
        <w:rPr>
          <w:rFonts w:ascii="Avenir Next" w:hAnsi="Avenir Next" w:cs="Arial"/>
          <w:color w:val="808080" w:themeColor="background1" w:themeShade="80"/>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E1CF" w14:textId="77777777" w:rsidR="00F41654" w:rsidRDefault="00F41654" w:rsidP="00241B44">
      <w:r>
        <w:separator/>
      </w:r>
    </w:p>
  </w:endnote>
  <w:endnote w:type="continuationSeparator" w:id="0">
    <w:p w14:paraId="3CC9E142" w14:textId="77777777" w:rsidR="00F41654" w:rsidRDefault="00F4165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024522EF" w:rsidR="00241FA3" w:rsidRPr="00CB75C5" w:rsidRDefault="005B18AB" w:rsidP="009B4976">
    <w:pPr>
      <w:pStyle w:val="Footer"/>
      <w:ind w:right="360"/>
      <w:rPr>
        <w:rFonts w:ascii="Avenir Next" w:hAnsi="Avenir Next" w:cs="Arial"/>
        <w:sz w:val="18"/>
        <w:szCs w:val="18"/>
        <w:lang w:val="en-GB"/>
      </w:rPr>
    </w:pPr>
    <w:r>
      <w:rPr>
        <w:rFonts w:ascii="Avenir Next" w:hAnsi="Avenir Next" w:cs="Arial"/>
        <w:sz w:val="18"/>
        <w:szCs w:val="18"/>
        <w:lang w:val="en-GB"/>
      </w:rPr>
      <w:t>202223-574.</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6874" w14:textId="77777777" w:rsidR="00F41654" w:rsidRDefault="00F41654" w:rsidP="00241B44">
      <w:r>
        <w:separator/>
      </w:r>
    </w:p>
  </w:footnote>
  <w:footnote w:type="continuationSeparator" w:id="0">
    <w:p w14:paraId="06E0F3B2" w14:textId="77777777" w:rsidR="00F41654" w:rsidRDefault="00F4165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ED1"/>
    <w:multiLevelType w:val="hybridMultilevel"/>
    <w:tmpl w:val="15721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0B20F5"/>
    <w:multiLevelType w:val="hybridMultilevel"/>
    <w:tmpl w:val="2EE6A0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9D03B37"/>
    <w:multiLevelType w:val="hybridMultilevel"/>
    <w:tmpl w:val="56EC08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9751C7"/>
    <w:multiLevelType w:val="hybridMultilevel"/>
    <w:tmpl w:val="C3E600C2"/>
    <w:lvl w:ilvl="0" w:tplc="0D4429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30278"/>
    <w:multiLevelType w:val="hybridMultilevel"/>
    <w:tmpl w:val="D18A52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596C5844"/>
    <w:multiLevelType w:val="hybridMultilevel"/>
    <w:tmpl w:val="DD96648C"/>
    <w:lvl w:ilvl="0" w:tplc="058895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366300861">
    <w:abstractNumId w:val="3"/>
  </w:num>
  <w:num w:numId="2" w16cid:durableId="173081652">
    <w:abstractNumId w:val="9"/>
  </w:num>
  <w:num w:numId="3" w16cid:durableId="2100904429">
    <w:abstractNumId w:val="23"/>
  </w:num>
  <w:num w:numId="4" w16cid:durableId="1649242049">
    <w:abstractNumId w:val="4"/>
  </w:num>
  <w:num w:numId="5" w16cid:durableId="1610770029">
    <w:abstractNumId w:val="21"/>
  </w:num>
  <w:num w:numId="6" w16cid:durableId="230890579">
    <w:abstractNumId w:val="22"/>
  </w:num>
  <w:num w:numId="7" w16cid:durableId="533230527">
    <w:abstractNumId w:val="7"/>
  </w:num>
  <w:num w:numId="8" w16cid:durableId="1634865510">
    <w:abstractNumId w:val="20"/>
  </w:num>
  <w:num w:numId="9" w16cid:durableId="1997101415">
    <w:abstractNumId w:val="11"/>
  </w:num>
  <w:num w:numId="10" w16cid:durableId="319316164">
    <w:abstractNumId w:val="12"/>
  </w:num>
  <w:num w:numId="11" w16cid:durableId="1414162887">
    <w:abstractNumId w:val="2"/>
  </w:num>
  <w:num w:numId="12" w16cid:durableId="1253272127">
    <w:abstractNumId w:val="13"/>
  </w:num>
  <w:num w:numId="13" w16cid:durableId="539898170">
    <w:abstractNumId w:val="8"/>
  </w:num>
  <w:num w:numId="14" w16cid:durableId="1844976992">
    <w:abstractNumId w:val="17"/>
  </w:num>
  <w:num w:numId="15" w16cid:durableId="2049867718">
    <w:abstractNumId w:val="14"/>
  </w:num>
  <w:num w:numId="16" w16cid:durableId="1245141911">
    <w:abstractNumId w:val="15"/>
  </w:num>
  <w:num w:numId="17" w16cid:durableId="1351835919">
    <w:abstractNumId w:val="19"/>
  </w:num>
  <w:num w:numId="18" w16cid:durableId="1645164035">
    <w:abstractNumId w:val="18"/>
  </w:num>
  <w:num w:numId="19" w16cid:durableId="419378290">
    <w:abstractNumId w:val="5"/>
  </w:num>
  <w:num w:numId="20" w16cid:durableId="1489009299">
    <w:abstractNumId w:val="10"/>
  </w:num>
  <w:num w:numId="21" w16cid:durableId="201944171">
    <w:abstractNumId w:val="16"/>
  </w:num>
  <w:num w:numId="22" w16cid:durableId="224881753">
    <w:abstractNumId w:val="1"/>
  </w:num>
  <w:num w:numId="23" w16cid:durableId="193079271">
    <w:abstractNumId w:val="6"/>
  </w:num>
  <w:num w:numId="24" w16cid:durableId="10088369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69B"/>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55C70"/>
    <w:rsid w:val="000608BE"/>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270D"/>
    <w:rsid w:val="000833D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3541"/>
    <w:rsid w:val="000C59E8"/>
    <w:rsid w:val="000D2C09"/>
    <w:rsid w:val="000D41AB"/>
    <w:rsid w:val="000D55A8"/>
    <w:rsid w:val="000D5AD9"/>
    <w:rsid w:val="000D6327"/>
    <w:rsid w:val="000D6339"/>
    <w:rsid w:val="000D65DB"/>
    <w:rsid w:val="000D6963"/>
    <w:rsid w:val="000D7801"/>
    <w:rsid w:val="000E13F7"/>
    <w:rsid w:val="000E4841"/>
    <w:rsid w:val="000E4FA3"/>
    <w:rsid w:val="000F1677"/>
    <w:rsid w:val="000F1FFD"/>
    <w:rsid w:val="000F3D6C"/>
    <w:rsid w:val="000F3F76"/>
    <w:rsid w:val="000F4D01"/>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3AA8"/>
    <w:rsid w:val="00124EAE"/>
    <w:rsid w:val="00126A4D"/>
    <w:rsid w:val="00127195"/>
    <w:rsid w:val="00127E45"/>
    <w:rsid w:val="00130813"/>
    <w:rsid w:val="00130886"/>
    <w:rsid w:val="00133976"/>
    <w:rsid w:val="00136839"/>
    <w:rsid w:val="0013760D"/>
    <w:rsid w:val="00141498"/>
    <w:rsid w:val="0014171F"/>
    <w:rsid w:val="0014259B"/>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1F1"/>
    <w:rsid w:val="0018267A"/>
    <w:rsid w:val="00182779"/>
    <w:rsid w:val="001830DF"/>
    <w:rsid w:val="001840F5"/>
    <w:rsid w:val="001841B0"/>
    <w:rsid w:val="0018452A"/>
    <w:rsid w:val="00186035"/>
    <w:rsid w:val="00186F3A"/>
    <w:rsid w:val="00190CF7"/>
    <w:rsid w:val="00191387"/>
    <w:rsid w:val="00195644"/>
    <w:rsid w:val="001966D9"/>
    <w:rsid w:val="001A007A"/>
    <w:rsid w:val="001A02F7"/>
    <w:rsid w:val="001A0ABE"/>
    <w:rsid w:val="001A2205"/>
    <w:rsid w:val="001A2441"/>
    <w:rsid w:val="001A27E8"/>
    <w:rsid w:val="001A2AAD"/>
    <w:rsid w:val="001A512B"/>
    <w:rsid w:val="001A7E9A"/>
    <w:rsid w:val="001B0F70"/>
    <w:rsid w:val="001B145A"/>
    <w:rsid w:val="001B165B"/>
    <w:rsid w:val="001B3956"/>
    <w:rsid w:val="001B3AEE"/>
    <w:rsid w:val="001B462C"/>
    <w:rsid w:val="001B5016"/>
    <w:rsid w:val="001B5D64"/>
    <w:rsid w:val="001B5DC2"/>
    <w:rsid w:val="001C04CD"/>
    <w:rsid w:val="001C1FE0"/>
    <w:rsid w:val="001C2AC2"/>
    <w:rsid w:val="001C45FC"/>
    <w:rsid w:val="001D0469"/>
    <w:rsid w:val="001D09C2"/>
    <w:rsid w:val="001D29C0"/>
    <w:rsid w:val="001D42D2"/>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27066"/>
    <w:rsid w:val="00230812"/>
    <w:rsid w:val="00231FB2"/>
    <w:rsid w:val="00233B19"/>
    <w:rsid w:val="002356EA"/>
    <w:rsid w:val="002373A3"/>
    <w:rsid w:val="00237777"/>
    <w:rsid w:val="00240B2E"/>
    <w:rsid w:val="00240C87"/>
    <w:rsid w:val="0024116D"/>
    <w:rsid w:val="00241B44"/>
    <w:rsid w:val="00241FA3"/>
    <w:rsid w:val="002430B1"/>
    <w:rsid w:val="00244911"/>
    <w:rsid w:val="00245EFB"/>
    <w:rsid w:val="00246F07"/>
    <w:rsid w:val="002472DF"/>
    <w:rsid w:val="002476C0"/>
    <w:rsid w:val="00250DC9"/>
    <w:rsid w:val="002516D6"/>
    <w:rsid w:val="00251E6D"/>
    <w:rsid w:val="0025208A"/>
    <w:rsid w:val="00252CDB"/>
    <w:rsid w:val="0025386E"/>
    <w:rsid w:val="00254E10"/>
    <w:rsid w:val="00256E1E"/>
    <w:rsid w:val="0026127E"/>
    <w:rsid w:val="002638B0"/>
    <w:rsid w:val="00263D03"/>
    <w:rsid w:val="002647B3"/>
    <w:rsid w:val="0026647A"/>
    <w:rsid w:val="002668D3"/>
    <w:rsid w:val="00266C4D"/>
    <w:rsid w:val="00267804"/>
    <w:rsid w:val="00270438"/>
    <w:rsid w:val="002722CA"/>
    <w:rsid w:val="0027299F"/>
    <w:rsid w:val="002729FA"/>
    <w:rsid w:val="0027754B"/>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4DC0"/>
    <w:rsid w:val="002C5EF6"/>
    <w:rsid w:val="002C69B4"/>
    <w:rsid w:val="002D0021"/>
    <w:rsid w:val="002D1232"/>
    <w:rsid w:val="002D299D"/>
    <w:rsid w:val="002D3473"/>
    <w:rsid w:val="002D427E"/>
    <w:rsid w:val="002D4943"/>
    <w:rsid w:val="002E00E5"/>
    <w:rsid w:val="002E1A20"/>
    <w:rsid w:val="002E3CEB"/>
    <w:rsid w:val="002F172F"/>
    <w:rsid w:val="002F1956"/>
    <w:rsid w:val="002F3440"/>
    <w:rsid w:val="002F46C8"/>
    <w:rsid w:val="002F75A3"/>
    <w:rsid w:val="002F7711"/>
    <w:rsid w:val="00303C2F"/>
    <w:rsid w:val="00305E53"/>
    <w:rsid w:val="003067CD"/>
    <w:rsid w:val="00307C79"/>
    <w:rsid w:val="00307D85"/>
    <w:rsid w:val="00310CD9"/>
    <w:rsid w:val="003144EF"/>
    <w:rsid w:val="00315123"/>
    <w:rsid w:val="0032064E"/>
    <w:rsid w:val="00320DBF"/>
    <w:rsid w:val="00323960"/>
    <w:rsid w:val="00323D32"/>
    <w:rsid w:val="00326292"/>
    <w:rsid w:val="0032636F"/>
    <w:rsid w:val="00326415"/>
    <w:rsid w:val="0032762C"/>
    <w:rsid w:val="00330937"/>
    <w:rsid w:val="00330F31"/>
    <w:rsid w:val="003323A9"/>
    <w:rsid w:val="00334648"/>
    <w:rsid w:val="00335B16"/>
    <w:rsid w:val="00335B33"/>
    <w:rsid w:val="0033768C"/>
    <w:rsid w:val="00337938"/>
    <w:rsid w:val="00337E06"/>
    <w:rsid w:val="00340769"/>
    <w:rsid w:val="00341AA6"/>
    <w:rsid w:val="00343808"/>
    <w:rsid w:val="00350D8A"/>
    <w:rsid w:val="00351246"/>
    <w:rsid w:val="00361A0A"/>
    <w:rsid w:val="0036358E"/>
    <w:rsid w:val="00363814"/>
    <w:rsid w:val="00364083"/>
    <w:rsid w:val="00364369"/>
    <w:rsid w:val="0036458E"/>
    <w:rsid w:val="00364836"/>
    <w:rsid w:val="00364DC8"/>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4373"/>
    <w:rsid w:val="0038533C"/>
    <w:rsid w:val="003859F1"/>
    <w:rsid w:val="00385BC5"/>
    <w:rsid w:val="00385C37"/>
    <w:rsid w:val="00386568"/>
    <w:rsid w:val="003908E2"/>
    <w:rsid w:val="00390B57"/>
    <w:rsid w:val="00392C02"/>
    <w:rsid w:val="00392C97"/>
    <w:rsid w:val="0039314F"/>
    <w:rsid w:val="00393730"/>
    <w:rsid w:val="00394555"/>
    <w:rsid w:val="003948D5"/>
    <w:rsid w:val="00394D3C"/>
    <w:rsid w:val="003956C3"/>
    <w:rsid w:val="00396821"/>
    <w:rsid w:val="00397D3A"/>
    <w:rsid w:val="003A051E"/>
    <w:rsid w:val="003A0927"/>
    <w:rsid w:val="003A2D1E"/>
    <w:rsid w:val="003B0EE9"/>
    <w:rsid w:val="003B166C"/>
    <w:rsid w:val="003B170F"/>
    <w:rsid w:val="003B31FB"/>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20B"/>
    <w:rsid w:val="003E0B16"/>
    <w:rsid w:val="003E39B5"/>
    <w:rsid w:val="003E67D1"/>
    <w:rsid w:val="003E7313"/>
    <w:rsid w:val="003E76D8"/>
    <w:rsid w:val="003F06D9"/>
    <w:rsid w:val="003F14A7"/>
    <w:rsid w:val="003F3F38"/>
    <w:rsid w:val="003F56C3"/>
    <w:rsid w:val="003F5D38"/>
    <w:rsid w:val="004000C7"/>
    <w:rsid w:val="0040332F"/>
    <w:rsid w:val="00404329"/>
    <w:rsid w:val="00405DC1"/>
    <w:rsid w:val="004065DA"/>
    <w:rsid w:val="0040696E"/>
    <w:rsid w:val="0041085C"/>
    <w:rsid w:val="00412E3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3F39"/>
    <w:rsid w:val="004748D4"/>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34A6"/>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6EFA"/>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25AA0"/>
    <w:rsid w:val="00532F16"/>
    <w:rsid w:val="005331CA"/>
    <w:rsid w:val="00533B9E"/>
    <w:rsid w:val="005356BF"/>
    <w:rsid w:val="005362BC"/>
    <w:rsid w:val="00537970"/>
    <w:rsid w:val="00540E3A"/>
    <w:rsid w:val="00542882"/>
    <w:rsid w:val="00544127"/>
    <w:rsid w:val="005443BB"/>
    <w:rsid w:val="0054465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201"/>
    <w:rsid w:val="005739CA"/>
    <w:rsid w:val="00575B2D"/>
    <w:rsid w:val="00576A9C"/>
    <w:rsid w:val="00577B82"/>
    <w:rsid w:val="00580EA0"/>
    <w:rsid w:val="00581A5E"/>
    <w:rsid w:val="005833D0"/>
    <w:rsid w:val="00583735"/>
    <w:rsid w:val="005846F3"/>
    <w:rsid w:val="00586138"/>
    <w:rsid w:val="0058622F"/>
    <w:rsid w:val="00587660"/>
    <w:rsid w:val="00590C49"/>
    <w:rsid w:val="00590D6D"/>
    <w:rsid w:val="005925C2"/>
    <w:rsid w:val="00592F82"/>
    <w:rsid w:val="00595042"/>
    <w:rsid w:val="005A0CCA"/>
    <w:rsid w:val="005A0F32"/>
    <w:rsid w:val="005A3C32"/>
    <w:rsid w:val="005A464B"/>
    <w:rsid w:val="005A6E26"/>
    <w:rsid w:val="005A6FF2"/>
    <w:rsid w:val="005A726D"/>
    <w:rsid w:val="005B02C0"/>
    <w:rsid w:val="005B0953"/>
    <w:rsid w:val="005B18AB"/>
    <w:rsid w:val="005B1E31"/>
    <w:rsid w:val="005B3279"/>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B1C"/>
    <w:rsid w:val="00612CA5"/>
    <w:rsid w:val="006153C7"/>
    <w:rsid w:val="006153EC"/>
    <w:rsid w:val="00621A17"/>
    <w:rsid w:val="00623C19"/>
    <w:rsid w:val="00624C99"/>
    <w:rsid w:val="00625AF6"/>
    <w:rsid w:val="00626834"/>
    <w:rsid w:val="00626ADE"/>
    <w:rsid w:val="0062712A"/>
    <w:rsid w:val="00627883"/>
    <w:rsid w:val="00627CC9"/>
    <w:rsid w:val="00627E7B"/>
    <w:rsid w:val="00630542"/>
    <w:rsid w:val="00632E44"/>
    <w:rsid w:val="00633654"/>
    <w:rsid w:val="00633E76"/>
    <w:rsid w:val="00634446"/>
    <w:rsid w:val="00634622"/>
    <w:rsid w:val="00635349"/>
    <w:rsid w:val="00636808"/>
    <w:rsid w:val="00641515"/>
    <w:rsid w:val="00641C46"/>
    <w:rsid w:val="006513A3"/>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B7B8E"/>
    <w:rsid w:val="006C0D17"/>
    <w:rsid w:val="006C1470"/>
    <w:rsid w:val="006C21F3"/>
    <w:rsid w:val="006C2BBF"/>
    <w:rsid w:val="006C361E"/>
    <w:rsid w:val="006D2BE7"/>
    <w:rsid w:val="006D5EC7"/>
    <w:rsid w:val="006D6BD5"/>
    <w:rsid w:val="006E21C4"/>
    <w:rsid w:val="006E3608"/>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057A"/>
    <w:rsid w:val="0073158B"/>
    <w:rsid w:val="0073326E"/>
    <w:rsid w:val="007333CC"/>
    <w:rsid w:val="0073399A"/>
    <w:rsid w:val="00733B3E"/>
    <w:rsid w:val="00734D7C"/>
    <w:rsid w:val="00734EEF"/>
    <w:rsid w:val="00736D5D"/>
    <w:rsid w:val="00737C86"/>
    <w:rsid w:val="007406E3"/>
    <w:rsid w:val="00740DAD"/>
    <w:rsid w:val="00746C92"/>
    <w:rsid w:val="00747162"/>
    <w:rsid w:val="007537B8"/>
    <w:rsid w:val="00754BBC"/>
    <w:rsid w:val="00756C74"/>
    <w:rsid w:val="007603F5"/>
    <w:rsid w:val="007620D0"/>
    <w:rsid w:val="007629C8"/>
    <w:rsid w:val="007637DE"/>
    <w:rsid w:val="00764DB0"/>
    <w:rsid w:val="00765A8B"/>
    <w:rsid w:val="00765AE9"/>
    <w:rsid w:val="0076764D"/>
    <w:rsid w:val="0077498C"/>
    <w:rsid w:val="0077506D"/>
    <w:rsid w:val="00775BCC"/>
    <w:rsid w:val="0077686D"/>
    <w:rsid w:val="007809BC"/>
    <w:rsid w:val="00782CF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5D61"/>
    <w:rsid w:val="007B6BFA"/>
    <w:rsid w:val="007B7E06"/>
    <w:rsid w:val="007B7FAB"/>
    <w:rsid w:val="007C1FCC"/>
    <w:rsid w:val="007C6201"/>
    <w:rsid w:val="007D227D"/>
    <w:rsid w:val="007D407F"/>
    <w:rsid w:val="007D4A65"/>
    <w:rsid w:val="007D4F03"/>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5D6"/>
    <w:rsid w:val="00801DDF"/>
    <w:rsid w:val="00803040"/>
    <w:rsid w:val="0080454E"/>
    <w:rsid w:val="00804C17"/>
    <w:rsid w:val="00804C32"/>
    <w:rsid w:val="008056EF"/>
    <w:rsid w:val="00805998"/>
    <w:rsid w:val="008059B0"/>
    <w:rsid w:val="00805EE5"/>
    <w:rsid w:val="00806302"/>
    <w:rsid w:val="00806E0A"/>
    <w:rsid w:val="00806F1A"/>
    <w:rsid w:val="00807119"/>
    <w:rsid w:val="00807F12"/>
    <w:rsid w:val="00813A8D"/>
    <w:rsid w:val="00815AC9"/>
    <w:rsid w:val="008162ED"/>
    <w:rsid w:val="00816D04"/>
    <w:rsid w:val="00820278"/>
    <w:rsid w:val="00822751"/>
    <w:rsid w:val="00822F4C"/>
    <w:rsid w:val="008234B4"/>
    <w:rsid w:val="0082483F"/>
    <w:rsid w:val="00825B36"/>
    <w:rsid w:val="008279C0"/>
    <w:rsid w:val="00830097"/>
    <w:rsid w:val="008307FE"/>
    <w:rsid w:val="00831DCC"/>
    <w:rsid w:val="00832877"/>
    <w:rsid w:val="00834BA8"/>
    <w:rsid w:val="008351D8"/>
    <w:rsid w:val="0084042E"/>
    <w:rsid w:val="00841074"/>
    <w:rsid w:val="008415BE"/>
    <w:rsid w:val="0084282E"/>
    <w:rsid w:val="008442F3"/>
    <w:rsid w:val="00844879"/>
    <w:rsid w:val="0084508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3F83"/>
    <w:rsid w:val="008E6116"/>
    <w:rsid w:val="008E7AAE"/>
    <w:rsid w:val="008E7F55"/>
    <w:rsid w:val="008F1A2D"/>
    <w:rsid w:val="008F20FC"/>
    <w:rsid w:val="008F4A35"/>
    <w:rsid w:val="008F5FFE"/>
    <w:rsid w:val="008F6C22"/>
    <w:rsid w:val="009010B0"/>
    <w:rsid w:val="00901B0F"/>
    <w:rsid w:val="00903422"/>
    <w:rsid w:val="0090376F"/>
    <w:rsid w:val="00903E1D"/>
    <w:rsid w:val="0090549C"/>
    <w:rsid w:val="00905A43"/>
    <w:rsid w:val="00911363"/>
    <w:rsid w:val="00911F8A"/>
    <w:rsid w:val="0091251C"/>
    <w:rsid w:val="00912C79"/>
    <w:rsid w:val="009135D7"/>
    <w:rsid w:val="0091633B"/>
    <w:rsid w:val="0091693A"/>
    <w:rsid w:val="0092090A"/>
    <w:rsid w:val="00921B8C"/>
    <w:rsid w:val="00923EAD"/>
    <w:rsid w:val="00924D26"/>
    <w:rsid w:val="00925B71"/>
    <w:rsid w:val="00927CE4"/>
    <w:rsid w:val="009309A0"/>
    <w:rsid w:val="009310A2"/>
    <w:rsid w:val="009314AD"/>
    <w:rsid w:val="00931E20"/>
    <w:rsid w:val="009355BB"/>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4E9"/>
    <w:rsid w:val="00967876"/>
    <w:rsid w:val="00970790"/>
    <w:rsid w:val="00973BEB"/>
    <w:rsid w:val="00973D65"/>
    <w:rsid w:val="00975CBB"/>
    <w:rsid w:val="00976AA8"/>
    <w:rsid w:val="00980C7C"/>
    <w:rsid w:val="00980E61"/>
    <w:rsid w:val="00981ED1"/>
    <w:rsid w:val="00982B1B"/>
    <w:rsid w:val="00983761"/>
    <w:rsid w:val="00985477"/>
    <w:rsid w:val="009854E0"/>
    <w:rsid w:val="00985BF5"/>
    <w:rsid w:val="00986116"/>
    <w:rsid w:val="00986233"/>
    <w:rsid w:val="009874AD"/>
    <w:rsid w:val="009911DF"/>
    <w:rsid w:val="00991428"/>
    <w:rsid w:val="00992676"/>
    <w:rsid w:val="00993F91"/>
    <w:rsid w:val="009954B2"/>
    <w:rsid w:val="00996691"/>
    <w:rsid w:val="009975C1"/>
    <w:rsid w:val="009979A0"/>
    <w:rsid w:val="009A1702"/>
    <w:rsid w:val="009A2E9E"/>
    <w:rsid w:val="009A3AB7"/>
    <w:rsid w:val="009A528F"/>
    <w:rsid w:val="009A55EE"/>
    <w:rsid w:val="009A5993"/>
    <w:rsid w:val="009A7639"/>
    <w:rsid w:val="009A7B9B"/>
    <w:rsid w:val="009B0723"/>
    <w:rsid w:val="009B07AD"/>
    <w:rsid w:val="009B0883"/>
    <w:rsid w:val="009B15E2"/>
    <w:rsid w:val="009B1C63"/>
    <w:rsid w:val="009B4976"/>
    <w:rsid w:val="009B5B65"/>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629"/>
    <w:rsid w:val="009F5B42"/>
    <w:rsid w:val="009F6604"/>
    <w:rsid w:val="009F7237"/>
    <w:rsid w:val="00A0259E"/>
    <w:rsid w:val="00A039BC"/>
    <w:rsid w:val="00A047EE"/>
    <w:rsid w:val="00A05F35"/>
    <w:rsid w:val="00A06C2B"/>
    <w:rsid w:val="00A13100"/>
    <w:rsid w:val="00A13D54"/>
    <w:rsid w:val="00A14542"/>
    <w:rsid w:val="00A14B54"/>
    <w:rsid w:val="00A167C9"/>
    <w:rsid w:val="00A17C10"/>
    <w:rsid w:val="00A21A65"/>
    <w:rsid w:val="00A2274A"/>
    <w:rsid w:val="00A235B7"/>
    <w:rsid w:val="00A24443"/>
    <w:rsid w:val="00A27A7A"/>
    <w:rsid w:val="00A27D47"/>
    <w:rsid w:val="00A3105E"/>
    <w:rsid w:val="00A322F6"/>
    <w:rsid w:val="00A3292F"/>
    <w:rsid w:val="00A34ABE"/>
    <w:rsid w:val="00A34FD5"/>
    <w:rsid w:val="00A35DA7"/>
    <w:rsid w:val="00A407EF"/>
    <w:rsid w:val="00A40A94"/>
    <w:rsid w:val="00A41122"/>
    <w:rsid w:val="00A431DB"/>
    <w:rsid w:val="00A44146"/>
    <w:rsid w:val="00A44EE1"/>
    <w:rsid w:val="00A46B4C"/>
    <w:rsid w:val="00A46DA9"/>
    <w:rsid w:val="00A479F7"/>
    <w:rsid w:val="00A50F0E"/>
    <w:rsid w:val="00A5117B"/>
    <w:rsid w:val="00A54B03"/>
    <w:rsid w:val="00A54C2C"/>
    <w:rsid w:val="00A55A47"/>
    <w:rsid w:val="00A56D34"/>
    <w:rsid w:val="00A60074"/>
    <w:rsid w:val="00A60A36"/>
    <w:rsid w:val="00A631DB"/>
    <w:rsid w:val="00A63B53"/>
    <w:rsid w:val="00A6617D"/>
    <w:rsid w:val="00A6627C"/>
    <w:rsid w:val="00A667E8"/>
    <w:rsid w:val="00A7023F"/>
    <w:rsid w:val="00A71019"/>
    <w:rsid w:val="00A72040"/>
    <w:rsid w:val="00A764B9"/>
    <w:rsid w:val="00A7673A"/>
    <w:rsid w:val="00A76786"/>
    <w:rsid w:val="00A77FB4"/>
    <w:rsid w:val="00A80144"/>
    <w:rsid w:val="00A81029"/>
    <w:rsid w:val="00A82010"/>
    <w:rsid w:val="00A845F5"/>
    <w:rsid w:val="00A85685"/>
    <w:rsid w:val="00A86EA2"/>
    <w:rsid w:val="00A93FD4"/>
    <w:rsid w:val="00A96489"/>
    <w:rsid w:val="00AA0ADB"/>
    <w:rsid w:val="00AA3987"/>
    <w:rsid w:val="00AA4EEA"/>
    <w:rsid w:val="00AA50B6"/>
    <w:rsid w:val="00AA67A8"/>
    <w:rsid w:val="00AB0045"/>
    <w:rsid w:val="00AB0170"/>
    <w:rsid w:val="00AB0587"/>
    <w:rsid w:val="00AB0821"/>
    <w:rsid w:val="00AB2425"/>
    <w:rsid w:val="00AB685C"/>
    <w:rsid w:val="00AB6C2D"/>
    <w:rsid w:val="00AB7FC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6F4"/>
    <w:rsid w:val="00B22A28"/>
    <w:rsid w:val="00B24839"/>
    <w:rsid w:val="00B2558C"/>
    <w:rsid w:val="00B30294"/>
    <w:rsid w:val="00B34619"/>
    <w:rsid w:val="00B3727B"/>
    <w:rsid w:val="00B401D6"/>
    <w:rsid w:val="00B404F6"/>
    <w:rsid w:val="00B42CA3"/>
    <w:rsid w:val="00B44713"/>
    <w:rsid w:val="00B46C4B"/>
    <w:rsid w:val="00B50944"/>
    <w:rsid w:val="00B517AE"/>
    <w:rsid w:val="00B51B95"/>
    <w:rsid w:val="00B540AD"/>
    <w:rsid w:val="00B56103"/>
    <w:rsid w:val="00B61534"/>
    <w:rsid w:val="00B63933"/>
    <w:rsid w:val="00B64694"/>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2ABA"/>
    <w:rsid w:val="00B82FD5"/>
    <w:rsid w:val="00B83513"/>
    <w:rsid w:val="00B86DB1"/>
    <w:rsid w:val="00B87869"/>
    <w:rsid w:val="00B87A29"/>
    <w:rsid w:val="00B87DBA"/>
    <w:rsid w:val="00B91544"/>
    <w:rsid w:val="00B941DA"/>
    <w:rsid w:val="00B94841"/>
    <w:rsid w:val="00B960A8"/>
    <w:rsid w:val="00B9639B"/>
    <w:rsid w:val="00B97759"/>
    <w:rsid w:val="00BA20D9"/>
    <w:rsid w:val="00BA3682"/>
    <w:rsid w:val="00BA41E0"/>
    <w:rsid w:val="00BA4CAA"/>
    <w:rsid w:val="00BA4D0F"/>
    <w:rsid w:val="00BA4E28"/>
    <w:rsid w:val="00BA70DA"/>
    <w:rsid w:val="00BB00CE"/>
    <w:rsid w:val="00BB0E34"/>
    <w:rsid w:val="00BB0E4B"/>
    <w:rsid w:val="00BB0F2B"/>
    <w:rsid w:val="00BB244E"/>
    <w:rsid w:val="00BB37F6"/>
    <w:rsid w:val="00BB3B71"/>
    <w:rsid w:val="00BB3EC9"/>
    <w:rsid w:val="00BB7DFD"/>
    <w:rsid w:val="00BB7FBC"/>
    <w:rsid w:val="00BC24AD"/>
    <w:rsid w:val="00BC56F4"/>
    <w:rsid w:val="00BC6005"/>
    <w:rsid w:val="00BC7AD4"/>
    <w:rsid w:val="00BD3F78"/>
    <w:rsid w:val="00BD4A3D"/>
    <w:rsid w:val="00BD5037"/>
    <w:rsid w:val="00BD545E"/>
    <w:rsid w:val="00BD5C7A"/>
    <w:rsid w:val="00BE4005"/>
    <w:rsid w:val="00BE4FF3"/>
    <w:rsid w:val="00BF10BC"/>
    <w:rsid w:val="00BF1E73"/>
    <w:rsid w:val="00BF2335"/>
    <w:rsid w:val="00BF499E"/>
    <w:rsid w:val="00BF49E3"/>
    <w:rsid w:val="00BF50F7"/>
    <w:rsid w:val="00BF7606"/>
    <w:rsid w:val="00C0252A"/>
    <w:rsid w:val="00C02F29"/>
    <w:rsid w:val="00C03A89"/>
    <w:rsid w:val="00C03B69"/>
    <w:rsid w:val="00C03ED0"/>
    <w:rsid w:val="00C100C3"/>
    <w:rsid w:val="00C13AF9"/>
    <w:rsid w:val="00C14675"/>
    <w:rsid w:val="00C150E9"/>
    <w:rsid w:val="00C16631"/>
    <w:rsid w:val="00C1694E"/>
    <w:rsid w:val="00C17718"/>
    <w:rsid w:val="00C20AFE"/>
    <w:rsid w:val="00C2193B"/>
    <w:rsid w:val="00C22A25"/>
    <w:rsid w:val="00C22AD4"/>
    <w:rsid w:val="00C24907"/>
    <w:rsid w:val="00C24D9B"/>
    <w:rsid w:val="00C27B6A"/>
    <w:rsid w:val="00C32DDF"/>
    <w:rsid w:val="00C3516E"/>
    <w:rsid w:val="00C35671"/>
    <w:rsid w:val="00C35B77"/>
    <w:rsid w:val="00C3600E"/>
    <w:rsid w:val="00C376EB"/>
    <w:rsid w:val="00C40666"/>
    <w:rsid w:val="00C40CCA"/>
    <w:rsid w:val="00C41B6B"/>
    <w:rsid w:val="00C41D2B"/>
    <w:rsid w:val="00C434C3"/>
    <w:rsid w:val="00C45305"/>
    <w:rsid w:val="00C46A92"/>
    <w:rsid w:val="00C46EC1"/>
    <w:rsid w:val="00C50210"/>
    <w:rsid w:val="00C50F43"/>
    <w:rsid w:val="00C52796"/>
    <w:rsid w:val="00C52A47"/>
    <w:rsid w:val="00C53E2C"/>
    <w:rsid w:val="00C53E5D"/>
    <w:rsid w:val="00C550C8"/>
    <w:rsid w:val="00C55824"/>
    <w:rsid w:val="00C56AB2"/>
    <w:rsid w:val="00C56B61"/>
    <w:rsid w:val="00C57273"/>
    <w:rsid w:val="00C5783E"/>
    <w:rsid w:val="00C60003"/>
    <w:rsid w:val="00C606C3"/>
    <w:rsid w:val="00C61146"/>
    <w:rsid w:val="00C619D3"/>
    <w:rsid w:val="00C620F4"/>
    <w:rsid w:val="00C63FAD"/>
    <w:rsid w:val="00C6409D"/>
    <w:rsid w:val="00C64575"/>
    <w:rsid w:val="00C7173F"/>
    <w:rsid w:val="00C72848"/>
    <w:rsid w:val="00C7736C"/>
    <w:rsid w:val="00C80600"/>
    <w:rsid w:val="00C8080C"/>
    <w:rsid w:val="00C81387"/>
    <w:rsid w:val="00C82D87"/>
    <w:rsid w:val="00C83657"/>
    <w:rsid w:val="00C8590E"/>
    <w:rsid w:val="00C8712A"/>
    <w:rsid w:val="00C87173"/>
    <w:rsid w:val="00C902C8"/>
    <w:rsid w:val="00C919D1"/>
    <w:rsid w:val="00C95696"/>
    <w:rsid w:val="00C963D3"/>
    <w:rsid w:val="00CA2097"/>
    <w:rsid w:val="00CA254C"/>
    <w:rsid w:val="00CA272D"/>
    <w:rsid w:val="00CA7B50"/>
    <w:rsid w:val="00CB1983"/>
    <w:rsid w:val="00CB2CBB"/>
    <w:rsid w:val="00CB57FE"/>
    <w:rsid w:val="00CB6BB0"/>
    <w:rsid w:val="00CB6CCB"/>
    <w:rsid w:val="00CB729F"/>
    <w:rsid w:val="00CB75C5"/>
    <w:rsid w:val="00CB7CAC"/>
    <w:rsid w:val="00CC4C50"/>
    <w:rsid w:val="00CC5335"/>
    <w:rsid w:val="00CC5451"/>
    <w:rsid w:val="00CC5BA4"/>
    <w:rsid w:val="00CC6F73"/>
    <w:rsid w:val="00CC7995"/>
    <w:rsid w:val="00CD12A9"/>
    <w:rsid w:val="00CD338E"/>
    <w:rsid w:val="00CD35C8"/>
    <w:rsid w:val="00CD41F1"/>
    <w:rsid w:val="00CD4998"/>
    <w:rsid w:val="00CD5058"/>
    <w:rsid w:val="00CD5884"/>
    <w:rsid w:val="00CD6184"/>
    <w:rsid w:val="00CD707C"/>
    <w:rsid w:val="00CE1035"/>
    <w:rsid w:val="00CE1CA6"/>
    <w:rsid w:val="00CE1D6B"/>
    <w:rsid w:val="00CE2C2A"/>
    <w:rsid w:val="00CE5D38"/>
    <w:rsid w:val="00CE6E50"/>
    <w:rsid w:val="00CE70C6"/>
    <w:rsid w:val="00CF0079"/>
    <w:rsid w:val="00CF2819"/>
    <w:rsid w:val="00CF4F9D"/>
    <w:rsid w:val="00CF5E44"/>
    <w:rsid w:val="00CF6AFC"/>
    <w:rsid w:val="00CF70DC"/>
    <w:rsid w:val="00D0121D"/>
    <w:rsid w:val="00D03926"/>
    <w:rsid w:val="00D0690B"/>
    <w:rsid w:val="00D1025B"/>
    <w:rsid w:val="00D12ED4"/>
    <w:rsid w:val="00D148DC"/>
    <w:rsid w:val="00D14EF3"/>
    <w:rsid w:val="00D1516E"/>
    <w:rsid w:val="00D15890"/>
    <w:rsid w:val="00D16F06"/>
    <w:rsid w:val="00D17859"/>
    <w:rsid w:val="00D17FDC"/>
    <w:rsid w:val="00D21D8C"/>
    <w:rsid w:val="00D22362"/>
    <w:rsid w:val="00D23C70"/>
    <w:rsid w:val="00D2578F"/>
    <w:rsid w:val="00D26F50"/>
    <w:rsid w:val="00D40B41"/>
    <w:rsid w:val="00D41FDB"/>
    <w:rsid w:val="00D42444"/>
    <w:rsid w:val="00D47FBB"/>
    <w:rsid w:val="00D513BB"/>
    <w:rsid w:val="00D522CF"/>
    <w:rsid w:val="00D53719"/>
    <w:rsid w:val="00D566CC"/>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1D87"/>
    <w:rsid w:val="00D923AA"/>
    <w:rsid w:val="00D926E1"/>
    <w:rsid w:val="00D9274B"/>
    <w:rsid w:val="00D93196"/>
    <w:rsid w:val="00D93DCB"/>
    <w:rsid w:val="00D93DF0"/>
    <w:rsid w:val="00D96C85"/>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1F8B"/>
    <w:rsid w:val="00DC29AC"/>
    <w:rsid w:val="00DC2A58"/>
    <w:rsid w:val="00DC3089"/>
    <w:rsid w:val="00DC3984"/>
    <w:rsid w:val="00DC4420"/>
    <w:rsid w:val="00DD0802"/>
    <w:rsid w:val="00DD1465"/>
    <w:rsid w:val="00DD2E11"/>
    <w:rsid w:val="00DD34F0"/>
    <w:rsid w:val="00DD40CD"/>
    <w:rsid w:val="00DD6BB5"/>
    <w:rsid w:val="00DD7D20"/>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04BC"/>
    <w:rsid w:val="00E40C94"/>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0F90"/>
    <w:rsid w:val="00E71CB0"/>
    <w:rsid w:val="00E73FB9"/>
    <w:rsid w:val="00E750D0"/>
    <w:rsid w:val="00E75C18"/>
    <w:rsid w:val="00E7629A"/>
    <w:rsid w:val="00E77C3D"/>
    <w:rsid w:val="00E8240E"/>
    <w:rsid w:val="00E8247E"/>
    <w:rsid w:val="00E83816"/>
    <w:rsid w:val="00E85922"/>
    <w:rsid w:val="00E8630C"/>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09EA"/>
    <w:rsid w:val="00EA1069"/>
    <w:rsid w:val="00EA1179"/>
    <w:rsid w:val="00EA4B1E"/>
    <w:rsid w:val="00EA5B00"/>
    <w:rsid w:val="00EA6D87"/>
    <w:rsid w:val="00EB146B"/>
    <w:rsid w:val="00EB2A16"/>
    <w:rsid w:val="00EB31B0"/>
    <w:rsid w:val="00EB41D5"/>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08C"/>
    <w:rsid w:val="00EE5D82"/>
    <w:rsid w:val="00EE6CB0"/>
    <w:rsid w:val="00EF0489"/>
    <w:rsid w:val="00EF090E"/>
    <w:rsid w:val="00EF119C"/>
    <w:rsid w:val="00EF17F4"/>
    <w:rsid w:val="00EF5572"/>
    <w:rsid w:val="00EF6D63"/>
    <w:rsid w:val="00F02278"/>
    <w:rsid w:val="00F033DA"/>
    <w:rsid w:val="00F05174"/>
    <w:rsid w:val="00F05D16"/>
    <w:rsid w:val="00F05DFD"/>
    <w:rsid w:val="00F11F17"/>
    <w:rsid w:val="00F123A4"/>
    <w:rsid w:val="00F13691"/>
    <w:rsid w:val="00F13FB1"/>
    <w:rsid w:val="00F14629"/>
    <w:rsid w:val="00F15588"/>
    <w:rsid w:val="00F160F7"/>
    <w:rsid w:val="00F16CCA"/>
    <w:rsid w:val="00F1747D"/>
    <w:rsid w:val="00F2005D"/>
    <w:rsid w:val="00F20363"/>
    <w:rsid w:val="00F219E1"/>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654"/>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7776A"/>
    <w:rsid w:val="00F814B1"/>
    <w:rsid w:val="00F83DBA"/>
    <w:rsid w:val="00F840B2"/>
    <w:rsid w:val="00F84969"/>
    <w:rsid w:val="00F85679"/>
    <w:rsid w:val="00F8668C"/>
    <w:rsid w:val="00F90C34"/>
    <w:rsid w:val="00F93E2A"/>
    <w:rsid w:val="00F95410"/>
    <w:rsid w:val="00F96F62"/>
    <w:rsid w:val="00F97C5B"/>
    <w:rsid w:val="00FA1921"/>
    <w:rsid w:val="00FA2A06"/>
    <w:rsid w:val="00FA2EAC"/>
    <w:rsid w:val="00FA3D50"/>
    <w:rsid w:val="00FA5BF9"/>
    <w:rsid w:val="00FA6E25"/>
    <w:rsid w:val="00FA71A7"/>
    <w:rsid w:val="00FA7F45"/>
    <w:rsid w:val="00FB371A"/>
    <w:rsid w:val="00FB715C"/>
    <w:rsid w:val="00FB7FBD"/>
    <w:rsid w:val="00FC0C23"/>
    <w:rsid w:val="00FC374A"/>
    <w:rsid w:val="00FC74C8"/>
    <w:rsid w:val="00FC7B47"/>
    <w:rsid w:val="00FD035C"/>
    <w:rsid w:val="00FD039E"/>
    <w:rsid w:val="00FD18CF"/>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1AC9"/>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character" w:styleId="Emphasis">
    <w:name w:val="Emphasis"/>
    <w:basedOn w:val="DefaultParagraphFont"/>
    <w:uiPriority w:val="20"/>
    <w:qFormat/>
    <w:rsid w:val="00583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417">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Ohle</cp:lastModifiedBy>
  <cp:revision>172</cp:revision>
  <cp:lastPrinted>2019-08-27T05:42:00Z</cp:lastPrinted>
  <dcterms:created xsi:type="dcterms:W3CDTF">2023-07-29T06:28:00Z</dcterms:created>
  <dcterms:modified xsi:type="dcterms:W3CDTF">2023-07-29T17:14:00Z</dcterms:modified>
</cp:coreProperties>
</file>