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F802EF"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F802EF">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065BB"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7065BB">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2B3FF0"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2B3FF0">
        <w:rPr>
          <w:rFonts w:ascii="Avenir Next" w:hAnsi="Avenir Next" w:cs="Arial"/>
          <w:bCs/>
          <w:sz w:val="22"/>
          <w:szCs w:val="22"/>
          <w:highlight w:val="yellow"/>
          <w:lang w:val="en-GB"/>
        </w:rPr>
        <w:t xml:space="preserve">The judgments and orders of the </w:t>
      </w:r>
      <w:r w:rsidR="00692913" w:rsidRPr="002B3FF0">
        <w:rPr>
          <w:rFonts w:ascii="Avenir Next" w:hAnsi="Avenir Next" w:cs="Arial"/>
          <w:bCs/>
          <w:sz w:val="22"/>
          <w:szCs w:val="22"/>
          <w:highlight w:val="yellow"/>
          <w:lang w:val="en-GB"/>
        </w:rPr>
        <w:t>c</w:t>
      </w:r>
      <w:r w:rsidRPr="002B3FF0">
        <w:rPr>
          <w:rFonts w:ascii="Avenir Next" w:hAnsi="Avenir Next" w:cs="Arial"/>
          <w:bCs/>
          <w:sz w:val="22"/>
          <w:szCs w:val="22"/>
          <w:highlight w:val="yellow"/>
          <w:lang w:val="en-GB"/>
        </w:rPr>
        <w:t xml:space="preserve">ourts of the DIFC are enforceable elsewhere in Dubai only through the Dubai </w:t>
      </w:r>
      <w:r w:rsidR="00692913" w:rsidRPr="002B3FF0">
        <w:rPr>
          <w:rFonts w:ascii="Avenir Next" w:hAnsi="Avenir Next" w:cs="Arial"/>
          <w:bCs/>
          <w:sz w:val="22"/>
          <w:szCs w:val="22"/>
          <w:highlight w:val="yellow"/>
          <w:lang w:val="en-GB"/>
        </w:rPr>
        <w:t>c</w:t>
      </w:r>
      <w:r w:rsidRPr="002B3FF0">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08283C" w:rsidRDefault="00A51FE1" w:rsidP="00A51FE1">
      <w:pPr>
        <w:pStyle w:val="ListParagraph"/>
        <w:numPr>
          <w:ilvl w:val="0"/>
          <w:numId w:val="5"/>
        </w:numPr>
        <w:ind w:left="426"/>
        <w:jc w:val="both"/>
        <w:rPr>
          <w:rFonts w:ascii="Avenir Next" w:hAnsi="Avenir Next" w:cs="Arial"/>
          <w:sz w:val="22"/>
          <w:szCs w:val="22"/>
          <w:highlight w:val="yellow"/>
          <w:lang w:val="en-GB"/>
        </w:rPr>
      </w:pPr>
      <w:r w:rsidRPr="0008283C">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C1325C"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C1325C">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46BC0094" w14:textId="77777777" w:rsidR="00614FF3" w:rsidRDefault="00614FF3" w:rsidP="00240B2E">
      <w:pPr>
        <w:autoSpaceDE w:val="0"/>
        <w:autoSpaceDN w:val="0"/>
        <w:adjustRightInd w:val="0"/>
        <w:jc w:val="both"/>
        <w:rPr>
          <w:rFonts w:ascii="Avenir Next Demi Bold" w:hAnsi="Avenir Next Demi Bold" w:cs="Arial"/>
          <w:b/>
          <w:bCs/>
          <w:color w:val="000000" w:themeColor="text1"/>
          <w:sz w:val="22"/>
          <w:szCs w:val="22"/>
        </w:rPr>
      </w:pPr>
    </w:p>
    <w:p w14:paraId="09DE9DA7" w14:textId="617B0001"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97ECA"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B97ECA">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223A74"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223A74">
        <w:rPr>
          <w:rFonts w:ascii="Avenir Next" w:hAnsi="Avenir Next" w:cs="Arial"/>
          <w:bCs/>
          <w:sz w:val="22"/>
          <w:szCs w:val="22"/>
          <w:highlight w:val="yellow"/>
          <w:lang w:val="en-GB"/>
        </w:rPr>
        <w:t xml:space="preserve">Interest on debts owed by the debtor stops accruing on the date of commencement of </w:t>
      </w:r>
      <w:r w:rsidR="00BF6746" w:rsidRPr="00223A74">
        <w:rPr>
          <w:rFonts w:ascii="Avenir Next" w:hAnsi="Avenir Next" w:cs="Arial"/>
          <w:bCs/>
          <w:sz w:val="22"/>
          <w:szCs w:val="22"/>
          <w:highlight w:val="yellow"/>
          <w:lang w:val="en-GB"/>
        </w:rPr>
        <w:t>p</w:t>
      </w:r>
      <w:r w:rsidRPr="00223A74">
        <w:rPr>
          <w:rFonts w:ascii="Avenir Next" w:hAnsi="Avenir Next" w:cs="Arial"/>
          <w:bCs/>
          <w:sz w:val="22"/>
          <w:szCs w:val="22"/>
          <w:highlight w:val="yellow"/>
          <w:lang w:val="en-GB"/>
        </w:rPr>
        <w:t xml:space="preserve">reventive </w:t>
      </w:r>
      <w:r w:rsidR="00BF6746" w:rsidRPr="00223A74">
        <w:rPr>
          <w:rFonts w:ascii="Avenir Next" w:hAnsi="Avenir Next" w:cs="Arial"/>
          <w:bCs/>
          <w:sz w:val="22"/>
          <w:szCs w:val="22"/>
          <w:highlight w:val="yellow"/>
          <w:lang w:val="en-GB"/>
        </w:rPr>
        <w:t>c</w:t>
      </w:r>
      <w:r w:rsidRPr="00223A74">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6E210A"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6E210A">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842FC8"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842FC8">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842FC8">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6D170E"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6D170E">
        <w:rPr>
          <w:rFonts w:ascii="Avenir Next" w:hAnsi="Avenir Next" w:cs="Arial"/>
          <w:sz w:val="22"/>
          <w:szCs w:val="22"/>
          <w:highlight w:val="yellow"/>
          <w:lang w:val="en-GB"/>
        </w:rPr>
        <w:t xml:space="preserve">The DIFC </w:t>
      </w:r>
      <w:r w:rsidR="00CE6FDF" w:rsidRPr="006D170E">
        <w:rPr>
          <w:rFonts w:ascii="Avenir Next" w:hAnsi="Avenir Next" w:cs="Arial"/>
          <w:sz w:val="22"/>
          <w:szCs w:val="22"/>
          <w:highlight w:val="yellow"/>
          <w:lang w:val="en-GB"/>
        </w:rPr>
        <w:t>c</w:t>
      </w:r>
      <w:r w:rsidRPr="006D170E">
        <w:rPr>
          <w:rFonts w:ascii="Avenir Next" w:hAnsi="Avenir Next" w:cs="Arial"/>
          <w:sz w:val="22"/>
          <w:szCs w:val="22"/>
          <w:highlight w:val="yellow"/>
          <w:lang w:val="en-GB"/>
        </w:rPr>
        <w:t>ourts will enforce judgments and arbitration awards from other countries in accordance with the Riyadh Convention (</w:t>
      </w:r>
      <w:r w:rsidRPr="006D170E">
        <w:rPr>
          <w:rFonts w:ascii="Avenir Next" w:eastAsia="MS Mincho" w:hAnsi="Avenir Next" w:cs="Arial"/>
          <w:sz w:val="22"/>
          <w:szCs w:val="22"/>
          <w:highlight w:val="yellow"/>
          <w:lang w:val="en-NZ"/>
        </w:rPr>
        <w:t>Riyadh Arab Agreement for Judicial Co-operation)</w:t>
      </w:r>
      <w:r w:rsidRPr="006D170E">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49B55357" w:rsidR="00534C40" w:rsidRDefault="00534C40" w:rsidP="00A663C0">
      <w:pPr>
        <w:jc w:val="both"/>
        <w:rPr>
          <w:rFonts w:ascii="Avenir Next" w:hAnsi="Avenir Next" w:cs="Arial"/>
          <w:sz w:val="22"/>
          <w:szCs w:val="22"/>
          <w:lang w:val="en-GB"/>
        </w:rPr>
      </w:pPr>
    </w:p>
    <w:p w14:paraId="565E443E" w14:textId="73B95AF1" w:rsidR="00534C40" w:rsidRPr="00D35127" w:rsidRDefault="00D35127" w:rsidP="00A663C0">
      <w:pPr>
        <w:jc w:val="both"/>
        <w:rPr>
          <w:rFonts w:ascii="Arial" w:hAnsi="Arial" w:cs="Arial"/>
          <w:color w:val="0D0D0D" w:themeColor="text1" w:themeTint="F2"/>
          <w:sz w:val="22"/>
          <w:szCs w:val="22"/>
          <w:lang w:val="en-GB"/>
        </w:rPr>
      </w:pPr>
      <w:r w:rsidRPr="00D35127">
        <w:rPr>
          <w:rFonts w:ascii="Arial" w:hAnsi="Arial" w:cs="Arial"/>
          <w:color w:val="0D0D0D" w:themeColor="text1" w:themeTint="F2"/>
          <w:sz w:val="22"/>
          <w:szCs w:val="22"/>
          <w:lang w:val="en-GB"/>
        </w:rPr>
        <w:t>E</w:t>
      </w:r>
      <w:r>
        <w:rPr>
          <w:rFonts w:ascii="Arial" w:hAnsi="Arial" w:cs="Arial"/>
          <w:color w:val="0D0D0D" w:themeColor="text1" w:themeTint="F2"/>
          <w:sz w:val="22"/>
          <w:szCs w:val="22"/>
          <w:lang w:val="en-GB"/>
        </w:rPr>
        <w:t>ach Emirate maintains its own land registration system in relation to real property interest</w:t>
      </w:r>
      <w:r w:rsidR="00CA768B">
        <w:rPr>
          <w:rFonts w:ascii="Arial" w:hAnsi="Arial" w:cs="Arial"/>
          <w:color w:val="0D0D0D" w:themeColor="text1" w:themeTint="F2"/>
          <w:sz w:val="22"/>
          <w:szCs w:val="22"/>
          <w:lang w:val="en-GB"/>
        </w:rPr>
        <w:t xml:space="preserve"> and the enforcement of </w:t>
      </w:r>
      <w:r w:rsidR="009A6BF0">
        <w:rPr>
          <w:rFonts w:ascii="Arial" w:hAnsi="Arial" w:cs="Arial"/>
          <w:color w:val="0D0D0D" w:themeColor="text1" w:themeTint="F2"/>
          <w:sz w:val="22"/>
          <w:szCs w:val="22"/>
          <w:lang w:val="en-GB"/>
        </w:rPr>
        <w:t>mortgages</w:t>
      </w:r>
      <w:r w:rsidR="00CA768B">
        <w:rPr>
          <w:rFonts w:ascii="Arial" w:hAnsi="Arial" w:cs="Arial"/>
          <w:color w:val="0D0D0D" w:themeColor="text1" w:themeTint="F2"/>
          <w:sz w:val="22"/>
          <w:szCs w:val="22"/>
          <w:lang w:val="en-GB"/>
        </w:rPr>
        <w:t xml:space="preserve"> can be subject to slightly different laws and procedures </w:t>
      </w:r>
      <w:r w:rsidR="00550DE5">
        <w:rPr>
          <w:rFonts w:ascii="Arial" w:hAnsi="Arial" w:cs="Arial"/>
          <w:color w:val="0D0D0D" w:themeColor="text1" w:themeTint="F2"/>
          <w:sz w:val="22"/>
          <w:szCs w:val="22"/>
          <w:lang w:val="en-GB"/>
        </w:rPr>
        <w:t>in</w:t>
      </w:r>
      <w:r w:rsidR="00CA768B">
        <w:rPr>
          <w:rFonts w:ascii="Arial" w:hAnsi="Arial" w:cs="Arial"/>
          <w:color w:val="0D0D0D" w:themeColor="text1" w:themeTint="F2"/>
          <w:sz w:val="22"/>
          <w:szCs w:val="22"/>
          <w:lang w:val="en-GB"/>
        </w:rPr>
        <w:t xml:space="preserve"> each emirate.</w:t>
      </w:r>
      <w:r w:rsidR="00A0627E">
        <w:rPr>
          <w:rFonts w:ascii="Arial" w:hAnsi="Arial" w:cs="Arial"/>
          <w:color w:val="0D0D0D" w:themeColor="text1" w:themeTint="F2"/>
          <w:sz w:val="22"/>
          <w:szCs w:val="22"/>
          <w:lang w:val="en-GB"/>
        </w:rPr>
        <w:t xml:space="preserve"> With respect to sale of mortgaged real property in “mainland” UAE, the general approach in the emirates is that a mortgagee can petition the court for an order for the sale without first obtaining judgement for the debt.</w:t>
      </w:r>
      <w:r w:rsidR="00810E38">
        <w:rPr>
          <w:rFonts w:ascii="Arial" w:hAnsi="Arial" w:cs="Arial"/>
          <w:color w:val="0D0D0D" w:themeColor="text1" w:themeTint="F2"/>
          <w:sz w:val="22"/>
          <w:szCs w:val="22"/>
          <w:lang w:val="en-GB"/>
        </w:rPr>
        <w:t xml:space="preserve"> On the other </w:t>
      </w:r>
      <w:r w:rsidR="009A6BF0">
        <w:rPr>
          <w:rFonts w:ascii="Arial" w:hAnsi="Arial" w:cs="Arial"/>
          <w:color w:val="0D0D0D" w:themeColor="text1" w:themeTint="F2"/>
          <w:sz w:val="22"/>
          <w:szCs w:val="22"/>
          <w:lang w:val="en-GB"/>
        </w:rPr>
        <w:t>hand,</w:t>
      </w:r>
      <w:r w:rsidR="00810E38">
        <w:rPr>
          <w:rFonts w:ascii="Arial" w:hAnsi="Arial" w:cs="Arial"/>
          <w:color w:val="0D0D0D" w:themeColor="text1" w:themeTint="F2"/>
          <w:sz w:val="22"/>
          <w:szCs w:val="22"/>
          <w:lang w:val="en-GB"/>
        </w:rPr>
        <w:t xml:space="preserve"> if the real property is in a financial </w:t>
      </w:r>
      <w:r w:rsidR="00C42A8A">
        <w:rPr>
          <w:rFonts w:ascii="Arial" w:hAnsi="Arial" w:cs="Arial"/>
          <w:color w:val="0D0D0D" w:themeColor="text1" w:themeTint="F2"/>
          <w:sz w:val="22"/>
          <w:szCs w:val="22"/>
          <w:lang w:val="en-GB"/>
        </w:rPr>
        <w:t xml:space="preserve">zone </w:t>
      </w:r>
      <w:r w:rsidR="009D2A80">
        <w:rPr>
          <w:rFonts w:ascii="Arial" w:hAnsi="Arial" w:cs="Arial"/>
          <w:color w:val="0D0D0D" w:themeColor="text1" w:themeTint="F2"/>
          <w:sz w:val="22"/>
          <w:szCs w:val="22"/>
          <w:lang w:val="en-GB"/>
        </w:rPr>
        <w:t xml:space="preserve">a creditor </w:t>
      </w:r>
      <w:r w:rsidR="008E0FD8">
        <w:rPr>
          <w:rFonts w:ascii="Arial" w:hAnsi="Arial" w:cs="Arial"/>
          <w:color w:val="0D0D0D" w:themeColor="text1" w:themeTint="F2"/>
          <w:sz w:val="22"/>
          <w:szCs w:val="22"/>
          <w:lang w:val="en-GB"/>
        </w:rPr>
        <w:t>holding a mortgage over the debtor’s land can enter into possession over the land by providing 60 days’ notice</w:t>
      </w:r>
      <w:r w:rsidR="00810E38">
        <w:rPr>
          <w:rFonts w:ascii="Arial" w:hAnsi="Arial" w:cs="Arial"/>
          <w:color w:val="0D0D0D" w:themeColor="text1" w:themeTint="F2"/>
          <w:sz w:val="22"/>
          <w:szCs w:val="22"/>
          <w:lang w:val="en-GB"/>
        </w:rPr>
        <w:t xml:space="preserve"> </w:t>
      </w:r>
      <w:r w:rsidR="008E0FD8">
        <w:rPr>
          <w:rFonts w:ascii="Arial" w:hAnsi="Arial" w:cs="Arial"/>
          <w:color w:val="0D0D0D" w:themeColor="text1" w:themeTint="F2"/>
          <w:sz w:val="22"/>
          <w:szCs w:val="22"/>
          <w:lang w:val="en-GB"/>
        </w:rPr>
        <w:t>to relevant parties without the need for a court order.</w:t>
      </w:r>
      <w:r w:rsidR="003B14C2">
        <w:rPr>
          <w:rFonts w:ascii="Arial" w:hAnsi="Arial" w:cs="Arial"/>
          <w:color w:val="0D0D0D" w:themeColor="text1" w:themeTint="F2"/>
          <w:sz w:val="22"/>
          <w:szCs w:val="22"/>
          <w:lang w:val="en-GB"/>
        </w:rPr>
        <w:t xml:space="preserve"> The creditor can sell the whole or part of the property, receive rent and profits from the land </w:t>
      </w:r>
      <w:r w:rsidR="009A6BF0">
        <w:rPr>
          <w:rFonts w:ascii="Arial" w:hAnsi="Arial" w:cs="Arial"/>
          <w:color w:val="0D0D0D" w:themeColor="text1" w:themeTint="F2"/>
          <w:sz w:val="22"/>
          <w:szCs w:val="22"/>
          <w:lang w:val="en-GB"/>
        </w:rPr>
        <w:t>etc.</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a number of similarities regarding the entry into and </w:t>
      </w:r>
      <w:r w:rsidRPr="00E57A7E">
        <w:rPr>
          <w:rFonts w:ascii="Avenir Next" w:hAnsi="Avenir Next" w:cs="Arial"/>
          <w:sz w:val="22"/>
          <w:szCs w:val="22"/>
          <w:lang w:val="en-GB"/>
        </w:rPr>
        <w:lastRenderedPageBreak/>
        <w:t>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3E402701" w:rsidR="00BC72BF" w:rsidRPr="00694B71" w:rsidRDefault="007B580E" w:rsidP="00BC72BF">
      <w:pPr>
        <w:jc w:val="both"/>
        <w:rPr>
          <w:rFonts w:ascii="Arial" w:hAnsi="Arial" w:cs="Arial"/>
          <w:color w:val="808080" w:themeColor="background1" w:themeShade="80"/>
          <w:sz w:val="22"/>
          <w:szCs w:val="22"/>
          <w:lang w:val="en-GB"/>
        </w:rPr>
      </w:pPr>
      <w:r w:rsidRPr="00694B71">
        <w:rPr>
          <w:rFonts w:ascii="Arial" w:hAnsi="Arial" w:cs="Arial"/>
          <w:color w:val="0D0D0D" w:themeColor="text1" w:themeTint="F2"/>
          <w:sz w:val="22"/>
          <w:szCs w:val="22"/>
          <w:lang w:val="en-GB"/>
        </w:rPr>
        <w:t>The Court.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68F2521A" w:rsidR="00BC72BF" w:rsidRPr="00694B71" w:rsidRDefault="003239DE" w:rsidP="00BC72BF">
      <w:pPr>
        <w:jc w:val="both"/>
        <w:rPr>
          <w:rFonts w:ascii="Arial" w:hAnsi="Arial" w:cs="Arial"/>
          <w:color w:val="808080" w:themeColor="background1" w:themeShade="80"/>
          <w:sz w:val="22"/>
          <w:szCs w:val="22"/>
          <w:lang w:val="en-GB"/>
        </w:rPr>
      </w:pPr>
      <w:r w:rsidRPr="00694B71">
        <w:rPr>
          <w:rFonts w:ascii="Arial" w:hAnsi="Arial" w:cs="Arial"/>
          <w:color w:val="0D0D0D" w:themeColor="text1" w:themeTint="F2"/>
          <w:sz w:val="22"/>
          <w:szCs w:val="22"/>
          <w:lang w:val="en-GB"/>
        </w:rPr>
        <w:t>Expert appointed by the Court.</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34D22849" w14:textId="05E20883" w:rsidR="00F3391C" w:rsidRDefault="00F93732"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w:t>
      </w:r>
      <w:r w:rsidR="0049537E">
        <w:rPr>
          <w:rFonts w:ascii="Arial" w:hAnsi="Arial" w:cs="Arial"/>
          <w:color w:val="0D0D0D" w:themeColor="text1" w:themeTint="F2"/>
          <w:sz w:val="22"/>
          <w:szCs w:val="22"/>
          <w:lang w:val="en-GB"/>
        </w:rPr>
        <w:t>C</w:t>
      </w:r>
      <w:r>
        <w:rPr>
          <w:rFonts w:ascii="Arial" w:hAnsi="Arial" w:cs="Arial"/>
          <w:color w:val="0D0D0D" w:themeColor="text1" w:themeTint="F2"/>
          <w:sz w:val="22"/>
          <w:szCs w:val="22"/>
          <w:lang w:val="en-GB"/>
        </w:rPr>
        <w:t>reditors.</w:t>
      </w:r>
    </w:p>
    <w:p w14:paraId="61DD3363" w14:textId="77777777" w:rsidR="00F93732" w:rsidRPr="00BC72BF" w:rsidRDefault="00F93732"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7A0EDDCE" w14:textId="1677B51A" w:rsidR="00F3391C" w:rsidRPr="00694B71" w:rsidRDefault="009E7458" w:rsidP="009E7458">
      <w:pPr>
        <w:jc w:val="both"/>
        <w:rPr>
          <w:rFonts w:ascii="Arial" w:hAnsi="Arial" w:cs="Arial"/>
          <w:iCs/>
          <w:sz w:val="22"/>
          <w:szCs w:val="22"/>
        </w:rPr>
      </w:pPr>
      <w:r w:rsidRPr="00694B71">
        <w:rPr>
          <w:rFonts w:ascii="Arial" w:hAnsi="Arial" w:cs="Arial"/>
          <w:color w:val="0D0D0D" w:themeColor="text1" w:themeTint="F2"/>
          <w:sz w:val="22"/>
          <w:szCs w:val="22"/>
          <w:lang w:val="en-GB"/>
        </w:rPr>
        <w:t>The Trustee</w:t>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62A4663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000C5CD8">
        <w:rPr>
          <w:rFonts w:ascii="Avenir Next Demi Bold" w:hAnsi="Avenir Next Demi Bold" w:cs="Arial"/>
          <w:b/>
          <w:bCs/>
          <w:sz w:val="22"/>
          <w:szCs w:val="22"/>
          <w:lang w:val="en-GB"/>
        </w:rPr>
        <w:t xml:space="preserve">,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4B6D1EAE" w14:textId="77777777" w:rsidR="00BC71B8" w:rsidRDefault="00BC71B8" w:rsidP="00BC72BF">
      <w:pPr>
        <w:jc w:val="both"/>
        <w:rPr>
          <w:rFonts w:ascii="Avenir Next" w:hAnsi="Avenir Next" w:cs="Arial"/>
          <w:color w:val="808080" w:themeColor="background1" w:themeShade="80"/>
          <w:sz w:val="22"/>
          <w:szCs w:val="22"/>
          <w:lang w:val="en-GB"/>
        </w:rPr>
      </w:pPr>
    </w:p>
    <w:p w14:paraId="0B380634" w14:textId="6DE203E3" w:rsidR="00BC72BF" w:rsidRPr="00BC72BF" w:rsidRDefault="008234D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0F4ADA">
        <w:rPr>
          <w:rFonts w:ascii="Arial" w:hAnsi="Arial" w:cs="Arial"/>
          <w:color w:val="0D0D0D" w:themeColor="text1" w:themeTint="F2"/>
          <w:sz w:val="22"/>
          <w:szCs w:val="22"/>
          <w:lang w:val="en-GB"/>
        </w:rPr>
        <w:t>The key difference</w:t>
      </w:r>
      <w:r w:rsidR="000C5CD8">
        <w:rPr>
          <w:rFonts w:ascii="Arial" w:hAnsi="Arial" w:cs="Arial"/>
          <w:color w:val="0D0D0D" w:themeColor="text1" w:themeTint="F2"/>
          <w:sz w:val="22"/>
          <w:szCs w:val="22"/>
          <w:lang w:val="en-GB"/>
        </w:rPr>
        <w:t xml:space="preserve"> </w:t>
      </w:r>
      <w:r w:rsidR="000C5CD8" w:rsidRPr="000C5CD8">
        <w:rPr>
          <w:rFonts w:ascii="Arial" w:hAnsi="Arial" w:cs="Arial"/>
          <w:sz w:val="22"/>
          <w:szCs w:val="22"/>
          <w:lang w:val="en-GB"/>
        </w:rPr>
        <w:t>between the circumstances which could give rise to an application to commence preventive composition or an application to commence bankruptcy</w:t>
      </w:r>
      <w:r w:rsidR="000C5CD8">
        <w:rPr>
          <w:rFonts w:ascii="Arial" w:hAnsi="Arial" w:cs="Arial"/>
          <w:sz w:val="22"/>
          <w:szCs w:val="22"/>
          <w:lang w:val="en-GB"/>
        </w:rPr>
        <w:t xml:space="preserve">, is that a debtor </w:t>
      </w:r>
      <w:r w:rsidR="000C5CD8">
        <w:rPr>
          <w:rFonts w:ascii="Arial" w:hAnsi="Arial" w:cs="Arial"/>
          <w:color w:val="0D0D0D" w:themeColor="text1" w:themeTint="F2"/>
          <w:sz w:val="22"/>
          <w:szCs w:val="22"/>
          <w:lang w:val="en-GB"/>
        </w:rPr>
        <w:t>under Article 6 of the UAE Bankruptcy Law</w:t>
      </w:r>
      <w:r w:rsidR="000C5CD8">
        <w:rPr>
          <w:rFonts w:ascii="Arial" w:hAnsi="Arial" w:cs="Arial"/>
          <w:sz w:val="22"/>
          <w:szCs w:val="22"/>
          <w:lang w:val="en-GB"/>
        </w:rPr>
        <w:t xml:space="preserve"> can seek preventative composition as an option for corporate rescue</w:t>
      </w:r>
      <w:r w:rsidR="00AC04EB">
        <w:rPr>
          <w:rFonts w:ascii="Arial" w:hAnsi="Arial" w:cs="Arial"/>
          <w:sz w:val="22"/>
          <w:szCs w:val="22"/>
          <w:lang w:val="en-GB"/>
        </w:rPr>
        <w:t xml:space="preserve"> and continues to manage its asset</w:t>
      </w:r>
      <w:r w:rsidR="000C5CD8">
        <w:rPr>
          <w:rFonts w:ascii="Arial" w:hAnsi="Arial" w:cs="Arial"/>
          <w:sz w:val="22"/>
          <w:szCs w:val="22"/>
          <w:lang w:val="en-GB"/>
        </w:rPr>
        <w:t>, whereas bankruptcy proceedings can be initiated either by a debtor or creditor</w:t>
      </w:r>
      <w:r w:rsidR="00EF7C7E">
        <w:rPr>
          <w:rFonts w:ascii="Arial" w:hAnsi="Arial" w:cs="Arial"/>
          <w:sz w:val="22"/>
          <w:szCs w:val="22"/>
          <w:lang w:val="en-GB"/>
        </w:rPr>
        <w:t xml:space="preserve"> where the debtor has conducted an act of insolvency</w:t>
      </w:r>
      <w:r w:rsidR="000C5CD8">
        <w:rPr>
          <w:rFonts w:ascii="Arial" w:hAnsi="Arial" w:cs="Arial"/>
          <w:sz w:val="22"/>
          <w:szCs w:val="22"/>
          <w:lang w:val="en-GB"/>
        </w:rPr>
        <w:t xml:space="preserve">. </w:t>
      </w:r>
      <w:r w:rsidR="00D62E91">
        <w:rPr>
          <w:rFonts w:ascii="Arial" w:hAnsi="Arial" w:cs="Arial"/>
          <w:sz w:val="22"/>
          <w:szCs w:val="22"/>
          <w:lang w:val="en-GB"/>
        </w:rPr>
        <w:t xml:space="preserve">Further, the debtor cannot manage its asset  </w:t>
      </w:r>
      <w:r w:rsidR="000C5CD8">
        <w:rPr>
          <w:rFonts w:ascii="Arial" w:hAnsi="Arial" w:cs="Arial"/>
          <w:color w:val="0D0D0D" w:themeColor="text1" w:themeTint="F2"/>
          <w:sz w:val="22"/>
          <w:szCs w:val="22"/>
          <w:lang w:val="en-GB"/>
        </w:rPr>
        <w:t xml:space="preserve"> </w:t>
      </w:r>
      <w:r w:rsidR="000F4ADA">
        <w:rPr>
          <w:rFonts w:ascii="Arial" w:hAnsi="Arial" w:cs="Arial"/>
          <w:color w:val="0D0D0D" w:themeColor="text1" w:themeTint="F2"/>
          <w:sz w:val="22"/>
          <w:szCs w:val="22"/>
          <w:lang w:val="en-GB"/>
        </w:rPr>
        <w:t xml:space="preserve"> </w:t>
      </w:r>
      <w:r w:rsidR="000F4ADA">
        <w:rPr>
          <w:rFonts w:ascii="Avenir Next" w:hAnsi="Avenir Next" w:cs="Arial"/>
          <w:color w:val="808080" w:themeColor="background1" w:themeShade="80"/>
          <w:sz w:val="22"/>
          <w:szCs w:val="22"/>
          <w:lang w:val="en-GB"/>
        </w:rPr>
        <w:t xml:space="preserve"> </w:t>
      </w:r>
    </w:p>
    <w:p w14:paraId="54B6FDEB" w14:textId="77777777" w:rsidR="00BC72BF" w:rsidRPr="009B5419" w:rsidRDefault="00BC72BF" w:rsidP="004D6218">
      <w:pPr>
        <w:jc w:val="both"/>
        <w:rPr>
          <w:rFonts w:ascii="Avenir Next" w:hAnsi="Avenir Next" w:cs="Arial"/>
          <w:sz w:val="22"/>
          <w:szCs w:val="22"/>
          <w:lang w:val="en-GB"/>
        </w:rPr>
      </w:pP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1A95147E" w14:textId="77777777" w:rsidR="00CB3E80" w:rsidRDefault="00CB3E80"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key difference for a creditor regarding the commencement of preventative composition or bankruptcy of a debtor is that;</w:t>
      </w:r>
    </w:p>
    <w:p w14:paraId="030DA071" w14:textId="77777777" w:rsidR="00CB3E80" w:rsidRDefault="00CB3E80" w:rsidP="00BC72BF">
      <w:pPr>
        <w:jc w:val="both"/>
        <w:rPr>
          <w:rFonts w:ascii="Arial" w:hAnsi="Arial" w:cs="Arial"/>
          <w:color w:val="0D0D0D" w:themeColor="text1" w:themeTint="F2"/>
          <w:sz w:val="22"/>
          <w:szCs w:val="22"/>
          <w:lang w:val="en-GB"/>
        </w:rPr>
      </w:pPr>
    </w:p>
    <w:p w14:paraId="64FCC9B1" w14:textId="0992E43B" w:rsidR="00BC72BF" w:rsidRPr="00694238" w:rsidRDefault="00CB3E80" w:rsidP="00D21EBE">
      <w:pPr>
        <w:pStyle w:val="ListParagraph"/>
        <w:numPr>
          <w:ilvl w:val="0"/>
          <w:numId w:val="34"/>
        </w:numPr>
        <w:jc w:val="both"/>
        <w:rPr>
          <w:rFonts w:ascii="Avenir Next" w:hAnsi="Avenir Next" w:cs="Arial"/>
          <w:sz w:val="22"/>
          <w:szCs w:val="22"/>
          <w:lang w:val="en-GB"/>
        </w:rPr>
      </w:pPr>
      <w:r w:rsidRPr="00CB3E80">
        <w:rPr>
          <w:rFonts w:ascii="Arial" w:hAnsi="Arial" w:cs="Arial"/>
          <w:color w:val="0D0D0D" w:themeColor="text1" w:themeTint="F2"/>
          <w:sz w:val="22"/>
          <w:szCs w:val="22"/>
          <w:lang w:val="en-GB"/>
        </w:rPr>
        <w:t xml:space="preserve">Under preventative composition </w:t>
      </w:r>
      <w:r>
        <w:rPr>
          <w:rFonts w:ascii="Arial" w:hAnsi="Arial" w:cs="Arial"/>
          <w:color w:val="0D0D0D" w:themeColor="text1" w:themeTint="F2"/>
          <w:sz w:val="22"/>
          <w:szCs w:val="22"/>
          <w:lang w:val="en-GB"/>
        </w:rPr>
        <w:t>commencement of proceedings</w:t>
      </w:r>
      <w:r w:rsidR="006E07C2">
        <w:rPr>
          <w:rFonts w:ascii="Arial" w:hAnsi="Arial" w:cs="Arial"/>
          <w:color w:val="0D0D0D" w:themeColor="text1" w:themeTint="F2"/>
          <w:sz w:val="22"/>
          <w:szCs w:val="22"/>
          <w:lang w:val="en-GB"/>
        </w:rPr>
        <w:t>,</w:t>
      </w:r>
      <w:r w:rsidR="00AC04EB">
        <w:rPr>
          <w:rFonts w:ascii="Arial" w:hAnsi="Arial" w:cs="Arial"/>
          <w:color w:val="0D0D0D" w:themeColor="text1" w:themeTint="F2"/>
          <w:sz w:val="22"/>
          <w:szCs w:val="22"/>
          <w:lang w:val="en-GB"/>
        </w:rPr>
        <w:t xml:space="preserve"> a secured creditor may not enforce their security, unless they obtain prior permission from court, while </w:t>
      </w:r>
    </w:p>
    <w:p w14:paraId="106FA917" w14:textId="09E0698D" w:rsidR="00694238" w:rsidRPr="00694238" w:rsidRDefault="00694238" w:rsidP="00D21EBE">
      <w:pPr>
        <w:pStyle w:val="ListParagraph"/>
        <w:numPr>
          <w:ilvl w:val="0"/>
          <w:numId w:val="34"/>
        </w:numPr>
        <w:jc w:val="both"/>
        <w:rPr>
          <w:rFonts w:ascii="Avenir Next" w:hAnsi="Avenir Next" w:cs="Arial"/>
          <w:sz w:val="22"/>
          <w:szCs w:val="22"/>
          <w:lang w:val="en-GB"/>
        </w:rPr>
      </w:pPr>
      <w:r>
        <w:rPr>
          <w:rFonts w:ascii="Arial" w:hAnsi="Arial" w:cs="Arial"/>
          <w:sz w:val="22"/>
          <w:szCs w:val="22"/>
          <w:lang w:val="en-GB"/>
        </w:rPr>
        <w:t>under bankruptcy</w:t>
      </w:r>
      <w:r w:rsidR="00AC04EB">
        <w:rPr>
          <w:rFonts w:ascii="Arial" w:hAnsi="Arial" w:cs="Arial"/>
          <w:sz w:val="22"/>
          <w:szCs w:val="22"/>
          <w:lang w:val="en-GB"/>
        </w:rPr>
        <w:t xml:space="preserve"> a secured</w:t>
      </w:r>
      <w:r>
        <w:rPr>
          <w:rFonts w:ascii="Arial" w:hAnsi="Arial" w:cs="Arial"/>
          <w:sz w:val="22"/>
          <w:szCs w:val="22"/>
          <w:lang w:val="en-GB"/>
        </w:rPr>
        <w:t xml:space="preserve"> creditor can</w:t>
      </w:r>
      <w:r w:rsidR="00AC04EB">
        <w:rPr>
          <w:rFonts w:ascii="Arial" w:hAnsi="Arial" w:cs="Arial"/>
          <w:sz w:val="22"/>
          <w:szCs w:val="22"/>
          <w:lang w:val="en-GB"/>
        </w:rPr>
        <w:t xml:space="preserve"> enforce its security with the permission of the court.</w:t>
      </w:r>
    </w:p>
    <w:p w14:paraId="6D9A5FB8" w14:textId="0EE55EB9" w:rsidR="00694238" w:rsidRPr="00694238" w:rsidRDefault="00694238" w:rsidP="00694238">
      <w:pPr>
        <w:ind w:left="360"/>
        <w:jc w:val="both"/>
        <w:rPr>
          <w:rFonts w:ascii="Avenir Next" w:hAnsi="Avenir Next" w:cs="Arial"/>
          <w:sz w:val="22"/>
          <w:szCs w:val="22"/>
          <w:lang w:val="en-GB"/>
        </w:rPr>
      </w:pPr>
      <w:r w:rsidRPr="00694238">
        <w:rPr>
          <w:rFonts w:ascii="Arial" w:hAnsi="Arial" w:cs="Arial"/>
          <w:sz w:val="22"/>
          <w:szCs w:val="22"/>
          <w:lang w:val="en-GB"/>
        </w:rPr>
        <w:t xml:space="preserve"> </w:t>
      </w:r>
      <w:r w:rsidRPr="00694238">
        <w:rPr>
          <w:rFonts w:ascii="Avenir Next" w:hAnsi="Avenir Next" w:cs="Arial"/>
          <w:sz w:val="22"/>
          <w:szCs w:val="22"/>
          <w:lang w:val="en-GB"/>
        </w:rPr>
        <w:t xml:space="preserve"> </w:t>
      </w: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44838820" w14:textId="77777777" w:rsidR="008B6EE0" w:rsidRDefault="00E02AC7"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Before 2016</w:t>
      </w:r>
      <w:r w:rsidR="00C12C2D">
        <w:rPr>
          <w:rFonts w:ascii="Arial" w:hAnsi="Arial" w:cs="Arial"/>
          <w:color w:val="0D0D0D" w:themeColor="text1" w:themeTint="F2"/>
          <w:sz w:val="22"/>
          <w:szCs w:val="22"/>
          <w:lang w:val="en-GB"/>
        </w:rPr>
        <w:t xml:space="preserve">, in the UAE mainland, provisions in Law Number 18 of 1993 (the Commercial Transactions Law) regulated bankruptcy by traders. It provided a mechanism through the courts of insolvency for those engaged in commerce, but was rarely used. The legal position changed after the possibility of default by Dubai World internationally, which was an investment company owned by the government of Dubai. </w:t>
      </w:r>
      <w:r w:rsidR="00015C9A">
        <w:rPr>
          <w:rFonts w:ascii="Arial" w:hAnsi="Arial" w:cs="Arial"/>
          <w:color w:val="0D0D0D" w:themeColor="text1" w:themeTint="F2"/>
          <w:sz w:val="22"/>
          <w:szCs w:val="22"/>
          <w:lang w:val="en-GB"/>
        </w:rPr>
        <w:t xml:space="preserve"> 2016 Federal Decree Law (Number 9) enacted the Bankruptcy Law, thereby repealing provisions of the Commercial Transactions Law. The new law consolidated the Insolvency regime for commercial insolvencies in the UAE. </w:t>
      </w:r>
    </w:p>
    <w:p w14:paraId="6F936A4D" w14:textId="77777777" w:rsidR="008B6EE0" w:rsidRDefault="008B6EE0" w:rsidP="00BC72BF">
      <w:pPr>
        <w:jc w:val="both"/>
        <w:rPr>
          <w:rFonts w:ascii="Arial" w:hAnsi="Arial" w:cs="Arial"/>
          <w:color w:val="0D0D0D" w:themeColor="text1" w:themeTint="F2"/>
          <w:sz w:val="22"/>
          <w:szCs w:val="22"/>
          <w:lang w:val="en-GB"/>
        </w:rPr>
      </w:pPr>
    </w:p>
    <w:p w14:paraId="3407ADC8" w14:textId="77777777" w:rsidR="00947A35" w:rsidRDefault="00015C9A"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w:t>
      </w:r>
      <w:r w:rsidR="00947A35">
        <w:rPr>
          <w:rFonts w:ascii="Arial" w:hAnsi="Arial" w:cs="Arial"/>
          <w:color w:val="0D0D0D" w:themeColor="text1" w:themeTint="F2"/>
          <w:sz w:val="22"/>
          <w:szCs w:val="22"/>
          <w:lang w:val="en-GB"/>
        </w:rPr>
        <w:t xml:space="preserve"> Bankruptcy law applies to:</w:t>
      </w:r>
    </w:p>
    <w:p w14:paraId="6A9D2FB2" w14:textId="77777777" w:rsidR="00947A35" w:rsidRDefault="00947A35" w:rsidP="00BC72BF">
      <w:pPr>
        <w:jc w:val="both"/>
        <w:rPr>
          <w:rFonts w:ascii="Arial" w:hAnsi="Arial" w:cs="Arial"/>
          <w:color w:val="0D0D0D" w:themeColor="text1" w:themeTint="F2"/>
          <w:sz w:val="22"/>
          <w:szCs w:val="22"/>
          <w:lang w:val="en-GB"/>
        </w:rPr>
      </w:pPr>
    </w:p>
    <w:p w14:paraId="0E517AE5" w14:textId="0EF77A28" w:rsidR="00BC72BF" w:rsidRPr="00947A35" w:rsidRDefault="00947A35" w:rsidP="00947A35">
      <w:pPr>
        <w:pStyle w:val="ListParagraph"/>
        <w:numPr>
          <w:ilvl w:val="0"/>
          <w:numId w:val="35"/>
        </w:numPr>
        <w:jc w:val="both"/>
        <w:rPr>
          <w:rFonts w:ascii="Avenir Next" w:hAnsi="Avenir Next" w:cs="Arial"/>
          <w:color w:val="808080" w:themeColor="background1" w:themeShade="80"/>
          <w:sz w:val="22"/>
          <w:szCs w:val="22"/>
          <w:lang w:val="en-GB"/>
        </w:rPr>
      </w:pPr>
      <w:r>
        <w:rPr>
          <w:rFonts w:ascii="Arial" w:hAnsi="Arial" w:cs="Arial"/>
          <w:color w:val="0D0D0D" w:themeColor="text1" w:themeTint="F2"/>
          <w:sz w:val="22"/>
          <w:szCs w:val="22"/>
          <w:lang w:val="en-GB"/>
        </w:rPr>
        <w:t>All companies governed by the Commercial Companies Law;</w:t>
      </w:r>
    </w:p>
    <w:p w14:paraId="584E1A88" w14:textId="77777777" w:rsidR="00307EEE" w:rsidRPr="00307EEE" w:rsidRDefault="00307EEE" w:rsidP="00F85074">
      <w:pPr>
        <w:pStyle w:val="ListParagraph"/>
        <w:numPr>
          <w:ilvl w:val="0"/>
          <w:numId w:val="35"/>
        </w:numPr>
        <w:jc w:val="both"/>
        <w:rPr>
          <w:rFonts w:ascii="Avenir Next" w:hAnsi="Avenir Next" w:cs="Arial"/>
          <w:sz w:val="22"/>
          <w:szCs w:val="22"/>
          <w:lang w:val="en-GB"/>
        </w:rPr>
      </w:pPr>
      <w:r w:rsidRPr="00307EEE">
        <w:rPr>
          <w:rFonts w:ascii="Arial" w:hAnsi="Arial" w:cs="Arial"/>
          <w:color w:val="0D0D0D" w:themeColor="text1" w:themeTint="F2"/>
          <w:sz w:val="22"/>
          <w:szCs w:val="22"/>
          <w:lang w:val="en-GB"/>
        </w:rPr>
        <w:t>Any companies establis</w:t>
      </w:r>
      <w:r>
        <w:rPr>
          <w:rFonts w:ascii="Arial" w:hAnsi="Arial" w:cs="Arial"/>
          <w:color w:val="0D0D0D" w:themeColor="text1" w:themeTint="F2"/>
          <w:sz w:val="22"/>
          <w:szCs w:val="22"/>
          <w:lang w:val="en-GB"/>
        </w:rPr>
        <w:t>h</w:t>
      </w:r>
      <w:r w:rsidRPr="00307EEE">
        <w:rPr>
          <w:rFonts w:ascii="Arial" w:hAnsi="Arial" w:cs="Arial"/>
          <w:color w:val="0D0D0D" w:themeColor="text1" w:themeTint="F2"/>
          <w:sz w:val="22"/>
          <w:szCs w:val="22"/>
          <w:lang w:val="en-GB"/>
        </w:rPr>
        <w:t>ed</w:t>
      </w:r>
      <w:r>
        <w:rPr>
          <w:rFonts w:ascii="Arial" w:hAnsi="Arial" w:cs="Arial"/>
          <w:color w:val="0D0D0D" w:themeColor="text1" w:themeTint="F2"/>
          <w:sz w:val="22"/>
          <w:szCs w:val="22"/>
          <w:lang w:val="en-GB"/>
        </w:rPr>
        <w:t xml:space="preserve"> under other legislation who have by law or voluntarily submitted to the provisions of the Bankruptcy Law;</w:t>
      </w:r>
    </w:p>
    <w:p w14:paraId="4AD01CE7" w14:textId="77777777" w:rsidR="00307EEE" w:rsidRPr="00307EEE" w:rsidRDefault="00307EEE" w:rsidP="00F85074">
      <w:pPr>
        <w:pStyle w:val="ListParagraph"/>
        <w:numPr>
          <w:ilvl w:val="0"/>
          <w:numId w:val="35"/>
        </w:numPr>
        <w:jc w:val="both"/>
        <w:rPr>
          <w:rFonts w:ascii="Avenir Next" w:hAnsi="Avenir Next" w:cs="Arial"/>
          <w:sz w:val="22"/>
          <w:szCs w:val="22"/>
          <w:lang w:val="en-GB"/>
        </w:rPr>
      </w:pPr>
      <w:r>
        <w:rPr>
          <w:rFonts w:ascii="Arial" w:hAnsi="Arial" w:cs="Arial"/>
          <w:color w:val="0D0D0D" w:themeColor="text1" w:themeTint="F2"/>
          <w:sz w:val="22"/>
          <w:szCs w:val="22"/>
          <w:lang w:val="en-GB"/>
        </w:rPr>
        <w:t>Free zone companies and other establishments not governed by other insolvency procedures;</w:t>
      </w:r>
    </w:p>
    <w:p w14:paraId="4B030F22" w14:textId="77777777" w:rsidR="00307EEE" w:rsidRPr="00307EEE" w:rsidRDefault="00307EEE" w:rsidP="00F85074">
      <w:pPr>
        <w:pStyle w:val="ListParagraph"/>
        <w:numPr>
          <w:ilvl w:val="0"/>
          <w:numId w:val="35"/>
        </w:numPr>
        <w:jc w:val="both"/>
        <w:rPr>
          <w:rFonts w:ascii="Avenir Next" w:hAnsi="Avenir Next" w:cs="Arial"/>
          <w:sz w:val="22"/>
          <w:szCs w:val="22"/>
          <w:lang w:val="en-GB"/>
        </w:rPr>
      </w:pPr>
      <w:r>
        <w:rPr>
          <w:rFonts w:ascii="Arial" w:hAnsi="Arial" w:cs="Arial"/>
          <w:color w:val="0D0D0D" w:themeColor="text1" w:themeTint="F2"/>
          <w:sz w:val="22"/>
          <w:szCs w:val="22"/>
          <w:lang w:val="en-GB"/>
        </w:rPr>
        <w:t>Persons engaged in commercial activities;</w:t>
      </w:r>
    </w:p>
    <w:p w14:paraId="55E7B6FD" w14:textId="77777777" w:rsidR="00857F35" w:rsidRPr="00857F35" w:rsidRDefault="00307EEE" w:rsidP="00F85074">
      <w:pPr>
        <w:pStyle w:val="ListParagraph"/>
        <w:numPr>
          <w:ilvl w:val="0"/>
          <w:numId w:val="35"/>
        </w:numPr>
        <w:jc w:val="both"/>
        <w:rPr>
          <w:rFonts w:ascii="Avenir Next" w:hAnsi="Avenir Next" w:cs="Arial"/>
          <w:sz w:val="22"/>
          <w:szCs w:val="22"/>
          <w:lang w:val="en-GB"/>
        </w:rPr>
      </w:pPr>
      <w:r>
        <w:rPr>
          <w:rFonts w:ascii="Arial" w:hAnsi="Arial" w:cs="Arial"/>
          <w:color w:val="0D0D0D" w:themeColor="text1" w:themeTint="F2"/>
          <w:sz w:val="22"/>
          <w:szCs w:val="22"/>
          <w:lang w:val="en-GB"/>
        </w:rPr>
        <w:t>Licensed civil companies like professional partnerships.</w:t>
      </w:r>
    </w:p>
    <w:p w14:paraId="2018F731" w14:textId="77777777" w:rsidR="00857F35" w:rsidRDefault="00857F35" w:rsidP="00857F35">
      <w:pPr>
        <w:jc w:val="both"/>
        <w:rPr>
          <w:rFonts w:ascii="Arial" w:hAnsi="Arial" w:cs="Arial"/>
          <w:color w:val="0D0D0D" w:themeColor="text1" w:themeTint="F2"/>
          <w:sz w:val="22"/>
          <w:szCs w:val="22"/>
          <w:lang w:val="en-GB"/>
        </w:rPr>
      </w:pPr>
    </w:p>
    <w:p w14:paraId="384A1D44" w14:textId="77C33E6F" w:rsidR="00BC72BF" w:rsidRPr="00857F35" w:rsidRDefault="00857F35" w:rsidP="00857F35">
      <w:pPr>
        <w:jc w:val="both"/>
        <w:rPr>
          <w:rFonts w:ascii="Avenir Next" w:hAnsi="Avenir Next" w:cs="Arial"/>
          <w:sz w:val="22"/>
          <w:szCs w:val="22"/>
          <w:lang w:val="en-GB"/>
        </w:rPr>
      </w:pPr>
      <w:r>
        <w:rPr>
          <w:rFonts w:ascii="Arial" w:hAnsi="Arial" w:cs="Arial"/>
          <w:color w:val="0D0D0D" w:themeColor="text1" w:themeTint="F2"/>
          <w:sz w:val="22"/>
          <w:szCs w:val="22"/>
          <w:lang w:val="en-GB"/>
        </w:rPr>
        <w:t xml:space="preserve">The </w:t>
      </w:r>
      <w:r w:rsidR="006C6000">
        <w:rPr>
          <w:rFonts w:ascii="Arial" w:hAnsi="Arial" w:cs="Arial"/>
          <w:color w:val="0D0D0D" w:themeColor="text1" w:themeTint="F2"/>
          <w:sz w:val="22"/>
          <w:szCs w:val="22"/>
          <w:lang w:val="en-GB"/>
        </w:rPr>
        <w:t>Bankruptcy law has been viewed positively by the business community in the UAE</w:t>
      </w:r>
      <w:r w:rsidR="002857F4">
        <w:rPr>
          <w:rFonts w:ascii="Arial" w:hAnsi="Arial" w:cs="Arial"/>
          <w:color w:val="0D0D0D" w:themeColor="text1" w:themeTint="F2"/>
          <w:sz w:val="22"/>
          <w:szCs w:val="22"/>
          <w:lang w:val="en-GB"/>
        </w:rPr>
        <w:t xml:space="preserve"> and</w:t>
      </w:r>
      <w:r w:rsidR="006C6000">
        <w:rPr>
          <w:rFonts w:ascii="Arial" w:hAnsi="Arial" w:cs="Arial"/>
          <w:color w:val="0D0D0D" w:themeColor="text1" w:themeTint="F2"/>
          <w:sz w:val="22"/>
          <w:szCs w:val="22"/>
          <w:lang w:val="en-GB"/>
        </w:rPr>
        <w:t xml:space="preserve"> is applied through a court supervised process. </w:t>
      </w:r>
      <w:r w:rsidR="00307EEE" w:rsidRPr="00857F35">
        <w:rPr>
          <w:rFonts w:ascii="Arial" w:hAnsi="Arial" w:cs="Arial"/>
          <w:color w:val="0D0D0D" w:themeColor="text1" w:themeTint="F2"/>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AA1B619" w14:textId="64B617D5" w:rsidR="00CF67B5" w:rsidRDefault="00D446CA"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A </w:t>
      </w:r>
      <w:r w:rsidR="00AC2109">
        <w:rPr>
          <w:rFonts w:ascii="Arial" w:hAnsi="Arial" w:cs="Arial"/>
          <w:color w:val="0D0D0D" w:themeColor="text1" w:themeTint="F2"/>
          <w:sz w:val="22"/>
          <w:szCs w:val="22"/>
          <w:lang w:val="en-GB"/>
        </w:rPr>
        <w:t xml:space="preserve">court may actively engage in the restructuring in the bankruptcy process either by preventative composition under the </w:t>
      </w:r>
      <w:r w:rsidR="004E13E6">
        <w:rPr>
          <w:rFonts w:ascii="Arial" w:hAnsi="Arial" w:cs="Arial"/>
          <w:color w:val="0D0D0D" w:themeColor="text1" w:themeTint="F2"/>
          <w:sz w:val="22"/>
          <w:szCs w:val="22"/>
          <w:lang w:val="en-GB"/>
        </w:rPr>
        <w:t xml:space="preserve"> provisions of </w:t>
      </w:r>
      <w:r w:rsidR="009A6BF0">
        <w:rPr>
          <w:rFonts w:ascii="Arial" w:hAnsi="Arial" w:cs="Arial"/>
          <w:color w:val="0D0D0D" w:themeColor="text1" w:themeTint="F2"/>
          <w:sz w:val="22"/>
          <w:szCs w:val="22"/>
          <w:lang w:val="en-GB"/>
        </w:rPr>
        <w:t>Article</w:t>
      </w:r>
      <w:r w:rsidR="004E13E6">
        <w:rPr>
          <w:rFonts w:ascii="Arial" w:hAnsi="Arial" w:cs="Arial"/>
          <w:color w:val="0D0D0D" w:themeColor="text1" w:themeTint="F2"/>
          <w:sz w:val="22"/>
          <w:szCs w:val="22"/>
          <w:lang w:val="en-GB"/>
        </w:rPr>
        <w:t xml:space="preserve"> 6 of the Bankruptcy Law</w:t>
      </w:r>
      <w:r w:rsidR="00AC2109">
        <w:rPr>
          <w:rFonts w:ascii="Arial" w:hAnsi="Arial" w:cs="Arial"/>
          <w:color w:val="0D0D0D" w:themeColor="text1" w:themeTint="F2"/>
          <w:sz w:val="22"/>
          <w:szCs w:val="22"/>
          <w:lang w:val="en-GB"/>
        </w:rPr>
        <w:t xml:space="preserve"> or by restructuring under</w:t>
      </w:r>
      <w:r w:rsidR="00A4533F">
        <w:rPr>
          <w:rFonts w:ascii="Arial" w:hAnsi="Arial" w:cs="Arial"/>
          <w:color w:val="0D0D0D" w:themeColor="text1" w:themeTint="F2"/>
          <w:sz w:val="22"/>
          <w:szCs w:val="22"/>
          <w:lang w:val="en-GB"/>
        </w:rPr>
        <w:t xml:space="preserve"> article 67 of the Bankruptcy Law. </w:t>
      </w:r>
      <w:r w:rsidR="00AC2109">
        <w:rPr>
          <w:rFonts w:ascii="Arial" w:hAnsi="Arial" w:cs="Arial"/>
          <w:color w:val="0D0D0D" w:themeColor="text1" w:themeTint="F2"/>
          <w:sz w:val="22"/>
          <w:szCs w:val="22"/>
          <w:lang w:val="en-GB"/>
        </w:rPr>
        <w:t xml:space="preserve"> </w:t>
      </w:r>
    </w:p>
    <w:p w14:paraId="669458AC" w14:textId="77777777" w:rsidR="00CF67B5" w:rsidRDefault="00CF67B5" w:rsidP="00BC72BF">
      <w:pPr>
        <w:jc w:val="both"/>
        <w:rPr>
          <w:rFonts w:ascii="Arial" w:hAnsi="Arial" w:cs="Arial"/>
          <w:color w:val="0D0D0D" w:themeColor="text1" w:themeTint="F2"/>
          <w:sz w:val="22"/>
          <w:szCs w:val="22"/>
          <w:lang w:val="en-GB"/>
        </w:rPr>
      </w:pPr>
    </w:p>
    <w:p w14:paraId="0F49A479" w14:textId="1549D5A5" w:rsidR="00BC72BF" w:rsidRDefault="00AC2109"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Under preventative composition, t</w:t>
      </w:r>
      <w:r w:rsidR="00CF67B5">
        <w:rPr>
          <w:rFonts w:ascii="Arial" w:hAnsi="Arial" w:cs="Arial"/>
          <w:color w:val="0D0D0D" w:themeColor="text1" w:themeTint="F2"/>
          <w:sz w:val="22"/>
          <w:szCs w:val="22"/>
          <w:lang w:val="en-GB"/>
        </w:rPr>
        <w:t>he court is required to appoint an expert to prepare a report on the debtor’s financial position upon the receipt of the application</w:t>
      </w:r>
      <w:r w:rsidR="00430A45">
        <w:rPr>
          <w:rFonts w:ascii="Arial" w:hAnsi="Arial" w:cs="Arial"/>
          <w:color w:val="0D0D0D" w:themeColor="text1" w:themeTint="F2"/>
          <w:sz w:val="22"/>
          <w:szCs w:val="22"/>
          <w:lang w:val="en-GB"/>
        </w:rPr>
        <w:t xml:space="preserve"> from the debtor</w:t>
      </w:r>
      <w:r w:rsidR="00CF67B5">
        <w:rPr>
          <w:rFonts w:ascii="Arial" w:hAnsi="Arial" w:cs="Arial"/>
          <w:color w:val="0D0D0D" w:themeColor="text1" w:themeTint="F2"/>
          <w:sz w:val="22"/>
          <w:szCs w:val="22"/>
          <w:lang w:val="en-GB"/>
        </w:rPr>
        <w:t>.</w:t>
      </w:r>
      <w:r w:rsidR="00CF67B5">
        <w:rPr>
          <w:rStyle w:val="FootnoteReference"/>
          <w:rFonts w:ascii="Arial" w:hAnsi="Arial" w:cs="Arial"/>
          <w:color w:val="0D0D0D" w:themeColor="text1" w:themeTint="F2"/>
          <w:sz w:val="22"/>
          <w:szCs w:val="22"/>
          <w:lang w:val="en-GB"/>
        </w:rPr>
        <w:footnoteReference w:id="1"/>
      </w:r>
      <w:r w:rsidR="00CF67B5">
        <w:rPr>
          <w:rFonts w:ascii="Arial" w:hAnsi="Arial" w:cs="Arial"/>
          <w:color w:val="0D0D0D" w:themeColor="text1" w:themeTint="F2"/>
          <w:sz w:val="22"/>
          <w:szCs w:val="22"/>
          <w:lang w:val="en-GB"/>
        </w:rPr>
        <w:t xml:space="preserve">  After accepting the preventative composition procedure the court is required to appoint a trustee</w:t>
      </w:r>
      <w:r w:rsidR="007E0E15">
        <w:rPr>
          <w:rFonts w:ascii="Arial" w:hAnsi="Arial" w:cs="Arial"/>
          <w:color w:val="0D0D0D" w:themeColor="text1" w:themeTint="F2"/>
          <w:sz w:val="22"/>
          <w:szCs w:val="22"/>
          <w:lang w:val="en-GB"/>
        </w:rPr>
        <w:t xml:space="preserve"> and shall determine such trustee’s fees</w:t>
      </w:r>
      <w:r w:rsidR="00CF67B5">
        <w:rPr>
          <w:rFonts w:ascii="Arial" w:hAnsi="Arial" w:cs="Arial"/>
          <w:color w:val="0D0D0D" w:themeColor="text1" w:themeTint="F2"/>
          <w:sz w:val="22"/>
          <w:szCs w:val="22"/>
          <w:lang w:val="en-GB"/>
        </w:rPr>
        <w:t>.</w:t>
      </w:r>
      <w:r w:rsidR="00CF67B5">
        <w:rPr>
          <w:rStyle w:val="FootnoteReference"/>
          <w:rFonts w:ascii="Arial" w:hAnsi="Arial" w:cs="Arial"/>
          <w:color w:val="0D0D0D" w:themeColor="text1" w:themeTint="F2"/>
          <w:sz w:val="22"/>
          <w:szCs w:val="22"/>
          <w:lang w:val="en-GB"/>
        </w:rPr>
        <w:footnoteReference w:id="2"/>
      </w:r>
    </w:p>
    <w:p w14:paraId="67AA808F" w14:textId="3321C390" w:rsidR="00DC7609" w:rsidRDefault="00DC7609" w:rsidP="00BC72BF">
      <w:pPr>
        <w:jc w:val="both"/>
        <w:rPr>
          <w:rFonts w:ascii="Avenir Next" w:hAnsi="Avenir Next" w:cs="Arial"/>
          <w:color w:val="808080" w:themeColor="background1" w:themeShade="80"/>
          <w:sz w:val="22"/>
          <w:szCs w:val="22"/>
          <w:lang w:val="en-GB"/>
        </w:rPr>
      </w:pPr>
    </w:p>
    <w:p w14:paraId="315832DF" w14:textId="1064171F" w:rsidR="00DC7609" w:rsidRDefault="00DC7609"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Cour</w:t>
      </w:r>
      <w:r w:rsidR="00DC351B">
        <w:rPr>
          <w:rFonts w:ascii="Arial" w:hAnsi="Arial" w:cs="Arial"/>
          <w:color w:val="0D0D0D" w:themeColor="text1" w:themeTint="F2"/>
          <w:sz w:val="22"/>
          <w:szCs w:val="22"/>
          <w:lang w:val="en-GB"/>
        </w:rPr>
        <w:t>t</w:t>
      </w:r>
      <w:r>
        <w:rPr>
          <w:rFonts w:ascii="Arial" w:hAnsi="Arial" w:cs="Arial"/>
          <w:color w:val="0D0D0D" w:themeColor="text1" w:themeTint="F2"/>
          <w:sz w:val="22"/>
          <w:szCs w:val="22"/>
          <w:lang w:val="en-GB"/>
        </w:rPr>
        <w:t xml:space="preserve"> determines the final list of the debtor’s creditors from the submissions and recommendations of the trustee.</w:t>
      </w:r>
    </w:p>
    <w:p w14:paraId="27270135" w14:textId="1E66093A" w:rsidR="00DC7609" w:rsidRDefault="00DC7609" w:rsidP="00BC72BF">
      <w:pPr>
        <w:jc w:val="both"/>
        <w:rPr>
          <w:rFonts w:ascii="Arial" w:hAnsi="Arial" w:cs="Arial"/>
          <w:color w:val="0D0D0D" w:themeColor="text1" w:themeTint="F2"/>
          <w:sz w:val="22"/>
          <w:szCs w:val="22"/>
          <w:lang w:val="en-GB"/>
        </w:rPr>
      </w:pPr>
    </w:p>
    <w:p w14:paraId="4B7CA7AC" w14:textId="6AD7A799" w:rsidR="00DC7609" w:rsidRDefault="00DC7609"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court reviews a draft preventative composition scheme submitted by the trustee to ensure it </w:t>
      </w:r>
      <w:r w:rsidR="009A6BF0">
        <w:rPr>
          <w:rFonts w:ascii="Arial" w:hAnsi="Arial" w:cs="Arial"/>
          <w:color w:val="0D0D0D" w:themeColor="text1" w:themeTint="F2"/>
          <w:sz w:val="22"/>
          <w:szCs w:val="22"/>
          <w:lang w:val="en-GB"/>
        </w:rPr>
        <w:t>considers</w:t>
      </w:r>
      <w:r>
        <w:rPr>
          <w:rFonts w:ascii="Arial" w:hAnsi="Arial" w:cs="Arial"/>
          <w:color w:val="0D0D0D" w:themeColor="text1" w:themeTint="F2"/>
          <w:sz w:val="22"/>
          <w:szCs w:val="22"/>
          <w:lang w:val="en-GB"/>
        </w:rPr>
        <w:t xml:space="preserve"> the interests all interested parties, within 10 days from the date of submission of the scheme.</w:t>
      </w:r>
      <w:r>
        <w:rPr>
          <w:rStyle w:val="FootnoteReference"/>
          <w:rFonts w:ascii="Arial" w:hAnsi="Arial" w:cs="Arial"/>
          <w:color w:val="0D0D0D" w:themeColor="text1" w:themeTint="F2"/>
          <w:sz w:val="22"/>
          <w:szCs w:val="22"/>
          <w:lang w:val="en-GB"/>
        </w:rPr>
        <w:footnoteReference w:id="3"/>
      </w:r>
      <w:r>
        <w:rPr>
          <w:rFonts w:ascii="Arial" w:hAnsi="Arial" w:cs="Arial"/>
          <w:color w:val="0D0D0D" w:themeColor="text1" w:themeTint="F2"/>
          <w:sz w:val="22"/>
          <w:szCs w:val="22"/>
          <w:lang w:val="en-GB"/>
        </w:rPr>
        <w:t xml:space="preserve"> Thereafter, the court is required to direct the trustee to issue </w:t>
      </w:r>
      <w:r w:rsidR="009A6BF0">
        <w:rPr>
          <w:rFonts w:ascii="Arial" w:hAnsi="Arial" w:cs="Arial"/>
          <w:color w:val="0D0D0D" w:themeColor="text1" w:themeTint="F2"/>
          <w:sz w:val="22"/>
          <w:szCs w:val="22"/>
          <w:lang w:val="en-GB"/>
        </w:rPr>
        <w:t>invitations</w:t>
      </w:r>
      <w:r>
        <w:rPr>
          <w:rFonts w:ascii="Arial" w:hAnsi="Arial" w:cs="Arial"/>
          <w:color w:val="0D0D0D" w:themeColor="text1" w:themeTint="F2"/>
          <w:sz w:val="22"/>
          <w:szCs w:val="22"/>
          <w:lang w:val="en-GB"/>
        </w:rPr>
        <w:t xml:space="preserve"> within 5 business days to the debtor’s creditors to attend a creditors’ meeting to discuss the </w:t>
      </w:r>
      <w:r w:rsidR="009A6BF0">
        <w:rPr>
          <w:rFonts w:ascii="Arial" w:hAnsi="Arial" w:cs="Arial"/>
          <w:color w:val="0D0D0D" w:themeColor="text1" w:themeTint="F2"/>
          <w:sz w:val="22"/>
          <w:szCs w:val="22"/>
          <w:lang w:val="en-GB"/>
        </w:rPr>
        <w:t>proposed</w:t>
      </w:r>
      <w:r>
        <w:rPr>
          <w:rFonts w:ascii="Arial" w:hAnsi="Arial" w:cs="Arial"/>
          <w:color w:val="0D0D0D" w:themeColor="text1" w:themeTint="F2"/>
          <w:sz w:val="22"/>
          <w:szCs w:val="22"/>
          <w:lang w:val="en-GB"/>
        </w:rPr>
        <w:t xml:space="preserve"> </w:t>
      </w:r>
      <w:r>
        <w:rPr>
          <w:rFonts w:ascii="Arial" w:hAnsi="Arial" w:cs="Arial"/>
          <w:color w:val="0D0D0D" w:themeColor="text1" w:themeTint="F2"/>
          <w:sz w:val="22"/>
          <w:szCs w:val="22"/>
          <w:lang w:val="en-GB"/>
        </w:rPr>
        <w:lastRenderedPageBreak/>
        <w:t xml:space="preserve">scheme. Once the scheme is approved by </w:t>
      </w:r>
      <w:r w:rsidR="009A6BF0">
        <w:rPr>
          <w:rFonts w:ascii="Arial" w:hAnsi="Arial" w:cs="Arial"/>
          <w:color w:val="0D0D0D" w:themeColor="text1" w:themeTint="F2"/>
          <w:sz w:val="22"/>
          <w:szCs w:val="22"/>
          <w:lang w:val="en-GB"/>
        </w:rPr>
        <w:t>creditors</w:t>
      </w:r>
      <w:r>
        <w:rPr>
          <w:rFonts w:ascii="Arial" w:hAnsi="Arial" w:cs="Arial"/>
          <w:color w:val="0D0D0D" w:themeColor="text1" w:themeTint="F2"/>
          <w:sz w:val="22"/>
          <w:szCs w:val="22"/>
          <w:lang w:val="en-GB"/>
        </w:rPr>
        <w:t>, within 3 working days after the approval, the trustee must place the scheme before the court for confirmation.</w:t>
      </w:r>
    </w:p>
    <w:p w14:paraId="2F29E5CA" w14:textId="7561364B" w:rsidR="00D722CB" w:rsidRDefault="00D722CB" w:rsidP="00BC72BF">
      <w:pPr>
        <w:jc w:val="both"/>
        <w:rPr>
          <w:rFonts w:ascii="Arial" w:hAnsi="Arial" w:cs="Arial"/>
          <w:color w:val="0D0D0D" w:themeColor="text1" w:themeTint="F2"/>
          <w:sz w:val="22"/>
          <w:szCs w:val="22"/>
          <w:lang w:val="en-GB"/>
        </w:rPr>
      </w:pPr>
    </w:p>
    <w:p w14:paraId="2D6CD921" w14:textId="7EE3B970" w:rsidR="00D722CB" w:rsidRDefault="00FF7BA4"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While implementing the scheme, the trustee must report progress to the court every 3 months. Once the obligations under the scheme have been discharged, the court must conf</w:t>
      </w:r>
      <w:r w:rsidR="001D4E5E">
        <w:rPr>
          <w:rFonts w:ascii="Arial" w:hAnsi="Arial" w:cs="Arial"/>
          <w:color w:val="0D0D0D" w:themeColor="text1" w:themeTint="F2"/>
          <w:sz w:val="22"/>
          <w:szCs w:val="22"/>
          <w:lang w:val="en-GB"/>
        </w:rPr>
        <w:t>i</w:t>
      </w:r>
      <w:r>
        <w:rPr>
          <w:rFonts w:ascii="Arial" w:hAnsi="Arial" w:cs="Arial"/>
          <w:color w:val="0D0D0D" w:themeColor="text1" w:themeTint="F2"/>
          <w:sz w:val="22"/>
          <w:szCs w:val="22"/>
          <w:lang w:val="en-GB"/>
        </w:rPr>
        <w:t>rm the complete implementation of the scheme.</w:t>
      </w:r>
      <w:r>
        <w:rPr>
          <w:rStyle w:val="FootnoteReference"/>
          <w:rFonts w:ascii="Arial" w:hAnsi="Arial" w:cs="Arial"/>
          <w:color w:val="0D0D0D" w:themeColor="text1" w:themeTint="F2"/>
          <w:sz w:val="22"/>
          <w:szCs w:val="22"/>
          <w:lang w:val="en-GB"/>
        </w:rPr>
        <w:footnoteReference w:id="4"/>
      </w:r>
      <w:r>
        <w:rPr>
          <w:rFonts w:ascii="Arial" w:hAnsi="Arial" w:cs="Arial"/>
          <w:color w:val="0D0D0D" w:themeColor="text1" w:themeTint="F2"/>
          <w:sz w:val="22"/>
          <w:szCs w:val="22"/>
          <w:lang w:val="en-GB"/>
        </w:rPr>
        <w:t xml:space="preserve">  </w:t>
      </w:r>
    </w:p>
    <w:p w14:paraId="6800314A" w14:textId="6A6FE236" w:rsidR="0048011F" w:rsidRDefault="0048011F" w:rsidP="00BC72BF">
      <w:pPr>
        <w:jc w:val="both"/>
        <w:rPr>
          <w:rFonts w:ascii="Arial" w:hAnsi="Arial" w:cs="Arial"/>
          <w:color w:val="0D0D0D" w:themeColor="text1" w:themeTint="F2"/>
          <w:sz w:val="22"/>
          <w:szCs w:val="22"/>
          <w:lang w:val="en-GB"/>
        </w:rPr>
      </w:pPr>
    </w:p>
    <w:p w14:paraId="199FD1ED" w14:textId="09A8F26D" w:rsidR="003E40E7" w:rsidRDefault="00430A45"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Under </w:t>
      </w:r>
      <w:r w:rsidR="006C2C17">
        <w:rPr>
          <w:rFonts w:ascii="Arial" w:hAnsi="Arial" w:cs="Arial"/>
          <w:color w:val="0D0D0D" w:themeColor="text1" w:themeTint="F2"/>
          <w:sz w:val="22"/>
          <w:szCs w:val="22"/>
          <w:lang w:val="en-GB"/>
        </w:rPr>
        <w:t>restructuring</w:t>
      </w:r>
      <w:r>
        <w:rPr>
          <w:rFonts w:ascii="Arial" w:hAnsi="Arial" w:cs="Arial"/>
          <w:color w:val="0D0D0D" w:themeColor="text1" w:themeTint="F2"/>
          <w:sz w:val="22"/>
          <w:szCs w:val="22"/>
          <w:lang w:val="en-GB"/>
        </w:rPr>
        <w:t xml:space="preserve"> a</w:t>
      </w:r>
      <w:r w:rsidR="00912873">
        <w:rPr>
          <w:rFonts w:ascii="Arial" w:hAnsi="Arial" w:cs="Arial"/>
          <w:color w:val="0D0D0D" w:themeColor="text1" w:themeTint="F2"/>
          <w:sz w:val="22"/>
          <w:szCs w:val="22"/>
          <w:lang w:val="en-GB"/>
        </w:rPr>
        <w:t xml:space="preserve"> debtor or creditor can bring the application to court. The restructuring procedure commences once the court makes an order</w:t>
      </w:r>
      <w:r>
        <w:rPr>
          <w:rFonts w:ascii="Arial" w:hAnsi="Arial" w:cs="Arial"/>
          <w:color w:val="0D0D0D" w:themeColor="text1" w:themeTint="F2"/>
          <w:sz w:val="22"/>
          <w:szCs w:val="22"/>
          <w:lang w:val="en-GB"/>
        </w:rPr>
        <w:t xml:space="preserve"> for restructuring</w:t>
      </w:r>
      <w:r w:rsidR="00397CFE">
        <w:rPr>
          <w:rFonts w:ascii="Arial" w:hAnsi="Arial" w:cs="Arial"/>
          <w:color w:val="0D0D0D" w:themeColor="text1" w:themeTint="F2"/>
          <w:sz w:val="22"/>
          <w:szCs w:val="22"/>
          <w:lang w:val="en-GB"/>
        </w:rPr>
        <w:t>. The Court appoints a trustee</w:t>
      </w:r>
      <w:r w:rsidR="003E40E7">
        <w:rPr>
          <w:rFonts w:ascii="Arial" w:hAnsi="Arial" w:cs="Arial"/>
          <w:color w:val="0D0D0D" w:themeColor="text1" w:themeTint="F2"/>
          <w:sz w:val="22"/>
          <w:szCs w:val="22"/>
          <w:lang w:val="en-GB"/>
        </w:rPr>
        <w:t xml:space="preserve">, and determine such trustee’s fees as well as </w:t>
      </w:r>
      <w:r>
        <w:rPr>
          <w:rFonts w:ascii="Arial" w:hAnsi="Arial" w:cs="Arial"/>
          <w:color w:val="0D0D0D" w:themeColor="text1" w:themeTint="F2"/>
          <w:sz w:val="22"/>
          <w:szCs w:val="22"/>
          <w:lang w:val="en-GB"/>
        </w:rPr>
        <w:t>his/her/</w:t>
      </w:r>
      <w:r w:rsidR="009A6BF0">
        <w:rPr>
          <w:rFonts w:ascii="Arial" w:hAnsi="Arial" w:cs="Arial"/>
          <w:color w:val="0D0D0D" w:themeColor="text1" w:themeTint="F2"/>
          <w:sz w:val="22"/>
          <w:szCs w:val="22"/>
          <w:lang w:val="en-GB"/>
        </w:rPr>
        <w:t>its</w:t>
      </w:r>
      <w:r>
        <w:rPr>
          <w:rFonts w:ascii="Arial" w:hAnsi="Arial" w:cs="Arial"/>
          <w:color w:val="0D0D0D" w:themeColor="text1" w:themeTint="F2"/>
          <w:sz w:val="22"/>
          <w:szCs w:val="22"/>
          <w:lang w:val="en-GB"/>
        </w:rPr>
        <w:t xml:space="preserve"> </w:t>
      </w:r>
      <w:r w:rsidR="003E40E7">
        <w:rPr>
          <w:rFonts w:ascii="Arial" w:hAnsi="Arial" w:cs="Arial"/>
          <w:color w:val="0D0D0D" w:themeColor="text1" w:themeTint="F2"/>
          <w:sz w:val="22"/>
          <w:szCs w:val="22"/>
          <w:lang w:val="en-GB"/>
        </w:rPr>
        <w:t xml:space="preserve">disbursement. The court makes a final determination on the list of creditors supplied by the trustee. Such creditors would have lodged their claims before the court appointed trustee. </w:t>
      </w:r>
    </w:p>
    <w:p w14:paraId="2DC71684" w14:textId="77777777" w:rsidR="003E40E7" w:rsidRDefault="003E40E7" w:rsidP="00BC72BF">
      <w:pPr>
        <w:jc w:val="both"/>
        <w:rPr>
          <w:rFonts w:ascii="Arial" w:hAnsi="Arial" w:cs="Arial"/>
          <w:color w:val="0D0D0D" w:themeColor="text1" w:themeTint="F2"/>
          <w:sz w:val="22"/>
          <w:szCs w:val="22"/>
          <w:lang w:val="en-GB"/>
        </w:rPr>
      </w:pPr>
    </w:p>
    <w:p w14:paraId="218E5124" w14:textId="417B0EC8" w:rsidR="00EC1308" w:rsidRDefault="003E40E7"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court thereafter reviews a report from the trustee, which addresses the possibility of restructuring the debtor’s business. </w:t>
      </w:r>
      <w:r w:rsidR="00430A45">
        <w:rPr>
          <w:rFonts w:ascii="Arial" w:hAnsi="Arial" w:cs="Arial"/>
          <w:color w:val="0D0D0D" w:themeColor="text1" w:themeTint="F2"/>
          <w:sz w:val="22"/>
          <w:szCs w:val="22"/>
          <w:lang w:val="en-GB"/>
        </w:rPr>
        <w:t xml:space="preserve">While </w:t>
      </w:r>
      <w:r>
        <w:rPr>
          <w:rFonts w:ascii="Arial" w:hAnsi="Arial" w:cs="Arial"/>
          <w:color w:val="0D0D0D" w:themeColor="text1" w:themeTint="F2"/>
          <w:sz w:val="22"/>
          <w:szCs w:val="22"/>
          <w:lang w:val="en-GB"/>
        </w:rPr>
        <w:t>review</w:t>
      </w:r>
      <w:r w:rsidR="00430A45">
        <w:rPr>
          <w:rFonts w:ascii="Arial" w:hAnsi="Arial" w:cs="Arial"/>
          <w:color w:val="0D0D0D" w:themeColor="text1" w:themeTint="F2"/>
          <w:sz w:val="22"/>
          <w:szCs w:val="22"/>
          <w:lang w:val="en-GB"/>
        </w:rPr>
        <w:t>ing,</w:t>
      </w:r>
      <w:r>
        <w:rPr>
          <w:rFonts w:ascii="Arial" w:hAnsi="Arial" w:cs="Arial"/>
          <w:color w:val="0D0D0D" w:themeColor="text1" w:themeTint="F2"/>
          <w:sz w:val="22"/>
          <w:szCs w:val="22"/>
          <w:lang w:val="en-GB"/>
        </w:rPr>
        <w:t xml:space="preserve"> the court should confirm that the report has considered all creditor claims.</w:t>
      </w:r>
    </w:p>
    <w:p w14:paraId="7D058544" w14:textId="77777777" w:rsidR="00EC1308" w:rsidRDefault="00EC1308" w:rsidP="00BC72BF">
      <w:pPr>
        <w:jc w:val="both"/>
        <w:rPr>
          <w:rFonts w:ascii="Arial" w:hAnsi="Arial" w:cs="Arial"/>
          <w:color w:val="0D0D0D" w:themeColor="text1" w:themeTint="F2"/>
          <w:sz w:val="22"/>
          <w:szCs w:val="22"/>
          <w:lang w:val="en-GB"/>
        </w:rPr>
      </w:pPr>
    </w:p>
    <w:p w14:paraId="66CD16DB" w14:textId="24361B13" w:rsidR="00EC1308" w:rsidRDefault="00EC1308"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From the report the court decides whether the debtor should be restructured. In that event the trustee is required to develop a scheme </w:t>
      </w:r>
      <w:r w:rsidR="009A6BF0">
        <w:rPr>
          <w:rFonts w:ascii="Arial" w:hAnsi="Arial" w:cs="Arial"/>
          <w:color w:val="0D0D0D" w:themeColor="text1" w:themeTint="F2"/>
          <w:sz w:val="22"/>
          <w:szCs w:val="22"/>
          <w:lang w:val="en-GB"/>
        </w:rPr>
        <w:t>for</w:t>
      </w:r>
      <w:r>
        <w:rPr>
          <w:rFonts w:ascii="Arial" w:hAnsi="Arial" w:cs="Arial"/>
          <w:color w:val="0D0D0D" w:themeColor="text1" w:themeTint="F2"/>
          <w:sz w:val="22"/>
          <w:szCs w:val="22"/>
          <w:lang w:val="en-GB"/>
        </w:rPr>
        <w:t xml:space="preserve"> restructuring which should address;</w:t>
      </w:r>
    </w:p>
    <w:p w14:paraId="4FF71615" w14:textId="77777777" w:rsidR="00EC1308" w:rsidRDefault="00EC1308" w:rsidP="00BC72BF">
      <w:pPr>
        <w:jc w:val="both"/>
        <w:rPr>
          <w:rFonts w:ascii="Arial" w:hAnsi="Arial" w:cs="Arial"/>
          <w:color w:val="0D0D0D" w:themeColor="text1" w:themeTint="F2"/>
          <w:sz w:val="22"/>
          <w:szCs w:val="22"/>
          <w:lang w:val="en-GB"/>
        </w:rPr>
      </w:pPr>
    </w:p>
    <w:p w14:paraId="1FF7D31E" w14:textId="77777777" w:rsidR="00AC2109" w:rsidRDefault="00AC2109" w:rsidP="00EC1308">
      <w:pPr>
        <w:pStyle w:val="ListParagraph"/>
        <w:numPr>
          <w:ilvl w:val="0"/>
          <w:numId w:val="36"/>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possibility of the business generating profits;</w:t>
      </w:r>
    </w:p>
    <w:p w14:paraId="32A38EDF" w14:textId="77777777" w:rsidR="00AC2109" w:rsidRDefault="00AC2109" w:rsidP="00EC1308">
      <w:pPr>
        <w:pStyle w:val="ListParagraph"/>
        <w:numPr>
          <w:ilvl w:val="0"/>
          <w:numId w:val="36"/>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Proposed resolution of liabilities;</w:t>
      </w:r>
    </w:p>
    <w:p w14:paraId="33E7B025" w14:textId="77777777" w:rsidR="00AC2109" w:rsidRDefault="00AC2109" w:rsidP="00EC1308">
      <w:pPr>
        <w:pStyle w:val="ListParagraph"/>
        <w:numPr>
          <w:ilvl w:val="0"/>
          <w:numId w:val="36"/>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Proposals on the sale of the business if applicable;</w:t>
      </w:r>
    </w:p>
    <w:p w14:paraId="3954F112" w14:textId="77777777" w:rsidR="00DB4B62" w:rsidRDefault="00AC2109" w:rsidP="00EC1308">
      <w:pPr>
        <w:pStyle w:val="ListParagraph"/>
        <w:numPr>
          <w:ilvl w:val="0"/>
          <w:numId w:val="36"/>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Possibility of conversion of debt to equity.</w:t>
      </w:r>
    </w:p>
    <w:p w14:paraId="573112EB" w14:textId="77777777" w:rsidR="00DB4B62" w:rsidRDefault="00DB4B62" w:rsidP="00EC1308">
      <w:pPr>
        <w:pStyle w:val="ListParagraph"/>
        <w:numPr>
          <w:ilvl w:val="0"/>
          <w:numId w:val="36"/>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time frame for implementation of the scheme being not more than 5 years. </w:t>
      </w:r>
      <w:r w:rsidR="00AC2109">
        <w:rPr>
          <w:rStyle w:val="FootnoteReference"/>
          <w:rFonts w:ascii="Arial" w:hAnsi="Arial" w:cs="Arial"/>
          <w:color w:val="0D0D0D" w:themeColor="text1" w:themeTint="F2"/>
          <w:sz w:val="22"/>
          <w:szCs w:val="22"/>
          <w:lang w:val="en-GB"/>
        </w:rPr>
        <w:footnoteReference w:id="5"/>
      </w:r>
      <w:r w:rsidR="00AC2109">
        <w:rPr>
          <w:rFonts w:ascii="Arial" w:hAnsi="Arial" w:cs="Arial"/>
          <w:color w:val="0D0D0D" w:themeColor="text1" w:themeTint="F2"/>
          <w:sz w:val="22"/>
          <w:szCs w:val="22"/>
          <w:lang w:val="en-GB"/>
        </w:rPr>
        <w:t xml:space="preserve">  </w:t>
      </w:r>
    </w:p>
    <w:p w14:paraId="55C17AFE" w14:textId="77777777" w:rsidR="00DB4B62" w:rsidRDefault="00DB4B62" w:rsidP="00DB4B62">
      <w:pPr>
        <w:jc w:val="both"/>
        <w:rPr>
          <w:rFonts w:ascii="Arial" w:hAnsi="Arial" w:cs="Arial"/>
          <w:color w:val="0D0D0D" w:themeColor="text1" w:themeTint="F2"/>
          <w:sz w:val="22"/>
          <w:szCs w:val="22"/>
          <w:lang w:val="en-GB"/>
        </w:rPr>
      </w:pPr>
    </w:p>
    <w:p w14:paraId="59FD9D14" w14:textId="6D726B50" w:rsidR="00357C14" w:rsidRDefault="00DB4B62" w:rsidP="00DB4B62">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court reviews the proposed scheme, which is thereafter approved by creditors. The scheme approved by the creditors is then confirmed by the court. In conf</w:t>
      </w:r>
      <w:r w:rsidR="000609C4">
        <w:rPr>
          <w:rFonts w:ascii="Arial" w:hAnsi="Arial" w:cs="Arial"/>
          <w:color w:val="0D0D0D" w:themeColor="text1" w:themeTint="F2"/>
          <w:sz w:val="22"/>
          <w:szCs w:val="22"/>
          <w:lang w:val="en-GB"/>
        </w:rPr>
        <w:t>i</w:t>
      </w:r>
      <w:r>
        <w:rPr>
          <w:rFonts w:ascii="Arial" w:hAnsi="Arial" w:cs="Arial"/>
          <w:color w:val="0D0D0D" w:themeColor="text1" w:themeTint="F2"/>
          <w:sz w:val="22"/>
          <w:szCs w:val="22"/>
          <w:lang w:val="en-GB"/>
        </w:rPr>
        <w:t xml:space="preserve">rming the </w:t>
      </w:r>
      <w:r w:rsidR="009A6BF0">
        <w:rPr>
          <w:rFonts w:ascii="Arial" w:hAnsi="Arial" w:cs="Arial"/>
          <w:color w:val="0D0D0D" w:themeColor="text1" w:themeTint="F2"/>
          <w:sz w:val="22"/>
          <w:szCs w:val="22"/>
          <w:lang w:val="en-GB"/>
        </w:rPr>
        <w:t>scheme,</w:t>
      </w:r>
      <w:r>
        <w:rPr>
          <w:rFonts w:ascii="Arial" w:hAnsi="Arial" w:cs="Arial"/>
          <w:color w:val="0D0D0D" w:themeColor="text1" w:themeTint="F2"/>
          <w:sz w:val="22"/>
          <w:szCs w:val="22"/>
          <w:lang w:val="en-GB"/>
        </w:rPr>
        <w:t xml:space="preserve"> the court must be satisfied creditors will not be worse off than if the debtor had been liquidated. </w:t>
      </w:r>
      <w:r w:rsidR="003E40E7" w:rsidRPr="00DB4B62">
        <w:rPr>
          <w:rFonts w:ascii="Arial" w:hAnsi="Arial" w:cs="Arial"/>
          <w:color w:val="0D0D0D" w:themeColor="text1" w:themeTint="F2"/>
          <w:sz w:val="22"/>
          <w:szCs w:val="22"/>
          <w:lang w:val="en-GB"/>
        </w:rPr>
        <w:t xml:space="preserve">  </w:t>
      </w:r>
    </w:p>
    <w:p w14:paraId="55988EDF" w14:textId="77777777" w:rsidR="00357C14" w:rsidRDefault="00357C14" w:rsidP="00DB4B62">
      <w:pPr>
        <w:jc w:val="both"/>
        <w:rPr>
          <w:rFonts w:ascii="Arial" w:hAnsi="Arial" w:cs="Arial"/>
          <w:color w:val="0D0D0D" w:themeColor="text1" w:themeTint="F2"/>
          <w:sz w:val="22"/>
          <w:szCs w:val="22"/>
          <w:lang w:val="en-GB"/>
        </w:rPr>
      </w:pPr>
    </w:p>
    <w:p w14:paraId="614614E5" w14:textId="63B683A8" w:rsidR="0048011F" w:rsidRPr="00DB4B62" w:rsidRDefault="000A3E6E" w:rsidP="00DB4B62">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Upon the discharge of </w:t>
      </w:r>
      <w:r w:rsidR="009A6BF0">
        <w:rPr>
          <w:rFonts w:ascii="Arial" w:hAnsi="Arial" w:cs="Arial"/>
          <w:color w:val="0D0D0D" w:themeColor="text1" w:themeTint="F2"/>
          <w:sz w:val="22"/>
          <w:szCs w:val="22"/>
          <w:lang w:val="en-GB"/>
        </w:rPr>
        <w:t>obligations</w:t>
      </w:r>
      <w:r>
        <w:rPr>
          <w:rFonts w:ascii="Arial" w:hAnsi="Arial" w:cs="Arial"/>
          <w:color w:val="0D0D0D" w:themeColor="text1" w:themeTint="F2"/>
          <w:sz w:val="22"/>
          <w:szCs w:val="22"/>
          <w:lang w:val="en-GB"/>
        </w:rPr>
        <w:t>, the court confirms through a court order the complete implementation of the scheme.</w:t>
      </w:r>
      <w:r>
        <w:rPr>
          <w:rStyle w:val="FootnoteReference"/>
          <w:rFonts w:ascii="Arial" w:hAnsi="Arial" w:cs="Arial"/>
          <w:color w:val="0D0D0D" w:themeColor="text1" w:themeTint="F2"/>
          <w:sz w:val="22"/>
          <w:szCs w:val="22"/>
          <w:lang w:val="en-GB"/>
        </w:rPr>
        <w:footnoteReference w:id="6"/>
      </w:r>
      <w:r>
        <w:rPr>
          <w:rFonts w:ascii="Arial" w:hAnsi="Arial" w:cs="Arial"/>
          <w:color w:val="0D0D0D" w:themeColor="text1" w:themeTint="F2"/>
          <w:sz w:val="22"/>
          <w:szCs w:val="22"/>
          <w:lang w:val="en-GB"/>
        </w:rPr>
        <w:t xml:space="preserve">  </w:t>
      </w:r>
      <w:r w:rsidR="003E40E7" w:rsidRPr="00DB4B62">
        <w:rPr>
          <w:rFonts w:ascii="Arial" w:hAnsi="Arial" w:cs="Arial"/>
          <w:color w:val="0D0D0D" w:themeColor="text1" w:themeTint="F2"/>
          <w:sz w:val="22"/>
          <w:szCs w:val="22"/>
          <w:lang w:val="en-GB"/>
        </w:rPr>
        <w:t xml:space="preserve">  </w:t>
      </w:r>
      <w:r w:rsidR="00912873" w:rsidRPr="00DB4B62">
        <w:rPr>
          <w:rFonts w:ascii="Arial" w:hAnsi="Arial" w:cs="Arial"/>
          <w:color w:val="0D0D0D" w:themeColor="text1" w:themeTint="F2"/>
          <w:sz w:val="22"/>
          <w:szCs w:val="22"/>
          <w:lang w:val="en-GB"/>
        </w:rPr>
        <w:t xml:space="preserve">  </w:t>
      </w:r>
      <w:r w:rsidR="006C2C17" w:rsidRPr="00DB4B62">
        <w:rPr>
          <w:rFonts w:ascii="Arial" w:hAnsi="Arial" w:cs="Arial"/>
          <w:color w:val="0D0D0D" w:themeColor="text1" w:themeTint="F2"/>
          <w:sz w:val="22"/>
          <w:szCs w:val="22"/>
          <w:lang w:val="en-GB"/>
        </w:rPr>
        <w:t xml:space="preserve"> </w:t>
      </w:r>
    </w:p>
    <w:p w14:paraId="0B29F22A" w14:textId="0535441F" w:rsidR="00430A45" w:rsidRDefault="00430A45" w:rsidP="00430A45">
      <w:pPr>
        <w:jc w:val="both"/>
        <w:rPr>
          <w:rFonts w:ascii="Arial" w:hAnsi="Arial" w:cs="Arial"/>
          <w:color w:val="0D0D0D" w:themeColor="text1" w:themeTint="F2"/>
          <w:sz w:val="22"/>
          <w:szCs w:val="22"/>
          <w:lang w:val="en-GB"/>
        </w:rPr>
      </w:pPr>
    </w:p>
    <w:p w14:paraId="678301F2" w14:textId="44689566" w:rsidR="00430A45" w:rsidRPr="00430A45" w:rsidRDefault="00DB4B62" w:rsidP="00430A45">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 </w:t>
      </w:r>
    </w:p>
    <w:p w14:paraId="5D75E7C7" w14:textId="77777777" w:rsidR="00BC72BF" w:rsidRDefault="00BC72BF" w:rsidP="0037513E">
      <w:pPr>
        <w:jc w:val="both"/>
        <w:rPr>
          <w:rFonts w:ascii="Avenir Next" w:hAnsi="Avenir Next" w:cs="Arial"/>
          <w:sz w:val="22"/>
          <w:szCs w:val="22"/>
          <w:lang w:val="en-GB"/>
        </w:rPr>
      </w:pPr>
    </w:p>
    <w:p w14:paraId="3F0C4058" w14:textId="1A0AC8F3"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5954FA75" w:rsidR="00BC72BF" w:rsidRPr="00BC72BF" w:rsidRDefault="00451201" w:rsidP="00BC72BF">
      <w:pPr>
        <w:jc w:val="both"/>
        <w:rPr>
          <w:rFonts w:ascii="Avenir Next" w:hAnsi="Avenir Next" w:cs="Arial"/>
          <w:color w:val="808080" w:themeColor="background1" w:themeShade="80"/>
          <w:sz w:val="22"/>
          <w:szCs w:val="22"/>
          <w:lang w:val="en-GB"/>
        </w:rPr>
      </w:pPr>
      <w:r>
        <w:rPr>
          <w:rFonts w:ascii="Arial" w:hAnsi="Arial" w:cs="Arial"/>
          <w:color w:val="0D0D0D" w:themeColor="text1" w:themeTint="F2"/>
          <w:sz w:val="22"/>
          <w:szCs w:val="22"/>
          <w:lang w:val="en-GB"/>
        </w:rPr>
        <w:t xml:space="preserve">Court involvement in approving restructuring appears to be rather high. It is appreciated that the Bankruptcy Law considers bankruptcy cases to be urgent but some of the functions can be delegated </w:t>
      </w:r>
      <w:r w:rsidR="006E692E">
        <w:rPr>
          <w:rFonts w:ascii="Arial" w:hAnsi="Arial" w:cs="Arial"/>
          <w:color w:val="0D0D0D" w:themeColor="text1" w:themeTint="F2"/>
          <w:sz w:val="22"/>
          <w:szCs w:val="22"/>
          <w:lang w:val="en-GB"/>
        </w:rPr>
        <w:t xml:space="preserve">so as not to over-burden the court. </w:t>
      </w:r>
      <w:r>
        <w:rPr>
          <w:rFonts w:ascii="Arial" w:hAnsi="Arial" w:cs="Arial"/>
          <w:color w:val="0D0D0D" w:themeColor="text1" w:themeTint="F2"/>
          <w:sz w:val="22"/>
          <w:szCs w:val="22"/>
          <w:lang w:val="en-GB"/>
        </w:rPr>
        <w:t>An example is the need for the court to confirm the list of creditors’ claims. It should be sufficient for a court appointed trustee to prove claims without having to approach the court for confirmation. As the trustee is appointed as an expert, the court may not necessarily possess the expertise to fully inter</w:t>
      </w:r>
      <w:r w:rsidR="00CD6D34">
        <w:rPr>
          <w:rFonts w:ascii="Arial" w:hAnsi="Arial" w:cs="Arial"/>
          <w:color w:val="0D0D0D" w:themeColor="text1" w:themeTint="F2"/>
          <w:sz w:val="22"/>
          <w:szCs w:val="22"/>
          <w:lang w:val="en-GB"/>
        </w:rPr>
        <w:t xml:space="preserve">rogate a </w:t>
      </w:r>
      <w:r w:rsidR="00CD6D34">
        <w:rPr>
          <w:rFonts w:ascii="Arial" w:hAnsi="Arial" w:cs="Arial"/>
          <w:color w:val="0D0D0D" w:themeColor="text1" w:themeTint="F2"/>
          <w:sz w:val="22"/>
          <w:szCs w:val="22"/>
          <w:lang w:val="en-GB"/>
        </w:rPr>
        <w:lastRenderedPageBreak/>
        <w:t xml:space="preserve">restructuring plan. It is sufficient that the court should be a last resort and not perform administrative functions as well. Approving a list of creditors and confirming a preventative composition or restructuring scheme should be delegated to perhaps the Master of the High Court. </w:t>
      </w:r>
    </w:p>
    <w:p w14:paraId="784D1F22" w14:textId="77777777" w:rsidR="00BC72BF" w:rsidRDefault="00BC72BF" w:rsidP="00A2359F">
      <w:pPr>
        <w:jc w:val="both"/>
        <w:rPr>
          <w:rFonts w:ascii="Avenir Next" w:hAnsi="Avenir Next" w:cs="Arial"/>
          <w:sz w:val="22"/>
          <w:szCs w:val="22"/>
          <w:lang w:val="en-GB"/>
        </w:rPr>
      </w:pP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D998B2F" w14:textId="436E0231" w:rsidR="00BC72BF" w:rsidRDefault="00933F46"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An application for preventative composition is brought by the debtor </w:t>
      </w:r>
      <w:r w:rsidR="00A179BD">
        <w:rPr>
          <w:rFonts w:ascii="Arial" w:hAnsi="Arial" w:cs="Arial"/>
          <w:color w:val="0D0D0D" w:themeColor="text1" w:themeTint="F2"/>
          <w:sz w:val="22"/>
          <w:szCs w:val="22"/>
          <w:lang w:val="en-GB"/>
        </w:rPr>
        <w:t xml:space="preserve">under Article 6 of the Bankruptcy Law. </w:t>
      </w:r>
    </w:p>
    <w:p w14:paraId="6E56DCA7" w14:textId="155BDE1E" w:rsidR="00A179BD" w:rsidRDefault="00A179BD" w:rsidP="00BC72BF">
      <w:pPr>
        <w:jc w:val="both"/>
        <w:rPr>
          <w:rFonts w:ascii="Avenir Next" w:hAnsi="Avenir Next" w:cs="Arial"/>
          <w:color w:val="808080" w:themeColor="background1" w:themeShade="80"/>
          <w:sz w:val="22"/>
          <w:szCs w:val="22"/>
          <w:lang w:val="en-GB"/>
        </w:rPr>
      </w:pPr>
    </w:p>
    <w:p w14:paraId="08AD158E" w14:textId="77777777" w:rsidR="009075E4" w:rsidRDefault="00A179BD" w:rsidP="009075E4">
      <w:pPr>
        <w:pStyle w:val="ListParagraph"/>
        <w:numPr>
          <w:ilvl w:val="0"/>
          <w:numId w:val="37"/>
        </w:numPr>
        <w:jc w:val="both"/>
        <w:rPr>
          <w:rFonts w:ascii="Arial" w:hAnsi="Arial" w:cs="Arial"/>
          <w:color w:val="0D0D0D" w:themeColor="text1" w:themeTint="F2"/>
          <w:sz w:val="22"/>
          <w:szCs w:val="22"/>
          <w:lang w:val="en-GB"/>
        </w:rPr>
      </w:pPr>
      <w:r w:rsidRPr="009075E4">
        <w:rPr>
          <w:rFonts w:ascii="Arial" w:hAnsi="Arial" w:cs="Arial"/>
          <w:color w:val="0D0D0D" w:themeColor="text1" w:themeTint="F2"/>
          <w:sz w:val="22"/>
          <w:szCs w:val="22"/>
          <w:lang w:val="en-GB"/>
        </w:rPr>
        <w:t>Upon receipt of the application the court is required</w:t>
      </w:r>
      <w:r w:rsidR="009075E4">
        <w:rPr>
          <w:rFonts w:ascii="Arial" w:hAnsi="Arial" w:cs="Arial"/>
          <w:color w:val="0D0D0D" w:themeColor="text1" w:themeTint="F2"/>
          <w:sz w:val="22"/>
          <w:szCs w:val="22"/>
          <w:lang w:val="en-GB"/>
        </w:rPr>
        <w:t xml:space="preserve"> to</w:t>
      </w:r>
      <w:r w:rsidRPr="009075E4">
        <w:rPr>
          <w:rFonts w:ascii="Arial" w:hAnsi="Arial" w:cs="Arial"/>
          <w:color w:val="0D0D0D" w:themeColor="text1" w:themeTint="F2"/>
          <w:sz w:val="22"/>
          <w:szCs w:val="22"/>
          <w:lang w:val="en-GB"/>
        </w:rPr>
        <w:t xml:space="preserve"> </w:t>
      </w:r>
      <w:r w:rsidR="009075E4">
        <w:rPr>
          <w:rFonts w:ascii="Arial" w:hAnsi="Arial" w:cs="Arial"/>
          <w:color w:val="0D0D0D" w:themeColor="text1" w:themeTint="F2"/>
          <w:sz w:val="22"/>
          <w:szCs w:val="22"/>
          <w:lang w:val="en-GB"/>
        </w:rPr>
        <w:t>appoint an expert, who must within 20 business days of being instructed, prepare a report setting out the financial position of RZA LLC.</w:t>
      </w:r>
    </w:p>
    <w:p w14:paraId="43D3B1B6" w14:textId="77777777" w:rsidR="009075E4" w:rsidRDefault="009075E4" w:rsidP="009075E4">
      <w:pPr>
        <w:pStyle w:val="ListParagraph"/>
        <w:jc w:val="both"/>
        <w:rPr>
          <w:rFonts w:ascii="Arial" w:hAnsi="Arial" w:cs="Arial"/>
          <w:color w:val="0D0D0D" w:themeColor="text1" w:themeTint="F2"/>
          <w:sz w:val="22"/>
          <w:szCs w:val="22"/>
          <w:lang w:val="en-GB"/>
        </w:rPr>
      </w:pPr>
    </w:p>
    <w:p w14:paraId="38432430" w14:textId="5428D70B" w:rsidR="009075E4" w:rsidRDefault="009075E4"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Within 5 business days from the receipt of the expert’s report, the court should reach a decision whether t</w:t>
      </w:r>
      <w:r w:rsidR="002057EE">
        <w:rPr>
          <w:rFonts w:ascii="Arial" w:hAnsi="Arial" w:cs="Arial"/>
          <w:color w:val="0D0D0D" w:themeColor="text1" w:themeTint="F2"/>
          <w:sz w:val="22"/>
          <w:szCs w:val="22"/>
          <w:lang w:val="en-GB"/>
        </w:rPr>
        <w:t>o</w:t>
      </w:r>
      <w:r>
        <w:rPr>
          <w:rFonts w:ascii="Arial" w:hAnsi="Arial" w:cs="Arial"/>
          <w:color w:val="0D0D0D" w:themeColor="text1" w:themeTint="F2"/>
          <w:sz w:val="22"/>
          <w:szCs w:val="22"/>
          <w:lang w:val="en-GB"/>
        </w:rPr>
        <w:t xml:space="preserve"> accept the </w:t>
      </w:r>
      <w:r w:rsidR="009A6BF0">
        <w:rPr>
          <w:rFonts w:ascii="Arial" w:hAnsi="Arial" w:cs="Arial"/>
          <w:color w:val="0D0D0D" w:themeColor="text1" w:themeTint="F2"/>
          <w:sz w:val="22"/>
          <w:szCs w:val="22"/>
          <w:lang w:val="en-GB"/>
        </w:rPr>
        <w:t>preventative</w:t>
      </w:r>
      <w:r w:rsidR="002057EE">
        <w:rPr>
          <w:rFonts w:ascii="Arial" w:hAnsi="Arial" w:cs="Arial"/>
          <w:color w:val="0D0D0D" w:themeColor="text1" w:themeTint="F2"/>
          <w:sz w:val="22"/>
          <w:szCs w:val="22"/>
          <w:lang w:val="en-GB"/>
        </w:rPr>
        <w:t xml:space="preserve"> </w:t>
      </w:r>
      <w:r>
        <w:rPr>
          <w:rFonts w:ascii="Arial" w:hAnsi="Arial" w:cs="Arial"/>
          <w:color w:val="0D0D0D" w:themeColor="text1" w:themeTint="F2"/>
          <w:sz w:val="22"/>
          <w:szCs w:val="22"/>
          <w:lang w:val="en-GB"/>
        </w:rPr>
        <w:t xml:space="preserve">composition application. Upon acceptance, RZA LLC’s preventative composition procedure commences. </w:t>
      </w:r>
    </w:p>
    <w:p w14:paraId="02D01BC2" w14:textId="77777777" w:rsidR="009075E4" w:rsidRPr="009075E4" w:rsidRDefault="009075E4" w:rsidP="009075E4">
      <w:pPr>
        <w:pStyle w:val="ListParagraph"/>
        <w:rPr>
          <w:rFonts w:ascii="Arial" w:hAnsi="Arial" w:cs="Arial"/>
          <w:color w:val="0D0D0D" w:themeColor="text1" w:themeTint="F2"/>
          <w:sz w:val="22"/>
          <w:szCs w:val="22"/>
          <w:lang w:val="en-GB"/>
        </w:rPr>
      </w:pPr>
    </w:p>
    <w:p w14:paraId="6A728EF4" w14:textId="3F80B65A" w:rsidR="00904B11" w:rsidRPr="00920B9E" w:rsidRDefault="00B97ECC" w:rsidP="00483A78">
      <w:pPr>
        <w:pStyle w:val="ListParagraph"/>
        <w:numPr>
          <w:ilvl w:val="0"/>
          <w:numId w:val="37"/>
        </w:numPr>
        <w:jc w:val="both"/>
        <w:rPr>
          <w:rFonts w:ascii="Arial" w:hAnsi="Arial" w:cs="Arial"/>
          <w:color w:val="0D0D0D" w:themeColor="text1" w:themeTint="F2"/>
          <w:sz w:val="22"/>
          <w:szCs w:val="22"/>
          <w:lang w:val="en-GB"/>
        </w:rPr>
      </w:pPr>
      <w:r w:rsidRPr="00920B9E">
        <w:rPr>
          <w:rFonts w:ascii="Arial" w:hAnsi="Arial" w:cs="Arial"/>
          <w:color w:val="0D0D0D" w:themeColor="text1" w:themeTint="F2"/>
          <w:sz w:val="22"/>
          <w:szCs w:val="22"/>
          <w:lang w:val="en-GB"/>
        </w:rPr>
        <w:t>T</w:t>
      </w:r>
      <w:r w:rsidR="009075E4" w:rsidRPr="00920B9E">
        <w:rPr>
          <w:rFonts w:ascii="Arial" w:hAnsi="Arial" w:cs="Arial"/>
          <w:color w:val="0D0D0D" w:themeColor="text1" w:themeTint="F2"/>
          <w:sz w:val="22"/>
          <w:szCs w:val="22"/>
          <w:lang w:val="en-GB"/>
        </w:rPr>
        <w:t xml:space="preserve">he court </w:t>
      </w:r>
      <w:r w:rsidRPr="00920B9E">
        <w:rPr>
          <w:rFonts w:ascii="Arial" w:hAnsi="Arial" w:cs="Arial"/>
          <w:color w:val="0D0D0D" w:themeColor="text1" w:themeTint="F2"/>
          <w:sz w:val="22"/>
          <w:szCs w:val="22"/>
          <w:lang w:val="en-GB"/>
        </w:rPr>
        <w:t>upon the commencement of the preventative composition procedure must appoint a t</w:t>
      </w:r>
      <w:r w:rsidR="009075E4" w:rsidRPr="00920B9E">
        <w:rPr>
          <w:rFonts w:ascii="Arial" w:hAnsi="Arial" w:cs="Arial"/>
          <w:color w:val="0D0D0D" w:themeColor="text1" w:themeTint="F2"/>
          <w:sz w:val="22"/>
          <w:szCs w:val="22"/>
          <w:lang w:val="en-GB"/>
        </w:rPr>
        <w:t>r</w:t>
      </w:r>
      <w:r w:rsidRPr="00920B9E">
        <w:rPr>
          <w:rFonts w:ascii="Arial" w:hAnsi="Arial" w:cs="Arial"/>
          <w:color w:val="0D0D0D" w:themeColor="text1" w:themeTint="F2"/>
          <w:sz w:val="22"/>
          <w:szCs w:val="22"/>
          <w:lang w:val="en-GB"/>
        </w:rPr>
        <w:t>ustee</w:t>
      </w:r>
      <w:r>
        <w:rPr>
          <w:rStyle w:val="FootnoteReference"/>
          <w:rFonts w:ascii="Arial" w:hAnsi="Arial" w:cs="Arial"/>
          <w:color w:val="0D0D0D" w:themeColor="text1" w:themeTint="F2"/>
          <w:sz w:val="22"/>
          <w:szCs w:val="22"/>
          <w:lang w:val="en-GB"/>
        </w:rPr>
        <w:footnoteReference w:id="7"/>
      </w:r>
      <w:r w:rsidRPr="00920B9E">
        <w:rPr>
          <w:rFonts w:ascii="Arial" w:hAnsi="Arial" w:cs="Arial"/>
          <w:color w:val="0D0D0D" w:themeColor="text1" w:themeTint="F2"/>
          <w:sz w:val="22"/>
          <w:szCs w:val="22"/>
          <w:lang w:val="en-GB"/>
        </w:rPr>
        <w:t xml:space="preserve">, whose duties include taking an inventory of the debtor’s assets, </w:t>
      </w:r>
      <w:r w:rsidR="00F361CE" w:rsidRPr="00920B9E">
        <w:rPr>
          <w:rFonts w:ascii="Arial" w:hAnsi="Arial" w:cs="Arial"/>
          <w:color w:val="0D0D0D" w:themeColor="text1" w:themeTint="F2"/>
          <w:sz w:val="22"/>
          <w:szCs w:val="22"/>
          <w:lang w:val="en-GB"/>
        </w:rPr>
        <w:t xml:space="preserve">produce a report on RZA LLC’s creditors, supervise operation of the business </w:t>
      </w:r>
      <w:r w:rsidR="009A6BF0" w:rsidRPr="00920B9E">
        <w:rPr>
          <w:rFonts w:ascii="Arial" w:hAnsi="Arial" w:cs="Arial"/>
          <w:color w:val="0D0D0D" w:themeColor="text1" w:themeTint="F2"/>
          <w:sz w:val="22"/>
          <w:szCs w:val="22"/>
          <w:lang w:val="en-GB"/>
        </w:rPr>
        <w:t>during</w:t>
      </w:r>
      <w:r w:rsidR="00F361CE" w:rsidRPr="00920B9E">
        <w:rPr>
          <w:rFonts w:ascii="Arial" w:hAnsi="Arial" w:cs="Arial"/>
          <w:color w:val="0D0D0D" w:themeColor="text1" w:themeTint="F2"/>
          <w:sz w:val="22"/>
          <w:szCs w:val="22"/>
          <w:lang w:val="en-GB"/>
        </w:rPr>
        <w:t xml:space="preserve">  preventative composition</w:t>
      </w:r>
      <w:r w:rsidR="001E58F4" w:rsidRPr="00920B9E">
        <w:rPr>
          <w:rFonts w:ascii="Arial" w:hAnsi="Arial" w:cs="Arial"/>
          <w:color w:val="0D0D0D" w:themeColor="text1" w:themeTint="F2"/>
          <w:sz w:val="22"/>
          <w:szCs w:val="22"/>
          <w:lang w:val="en-GB"/>
        </w:rPr>
        <w:t xml:space="preserve">. </w:t>
      </w:r>
      <w:r w:rsidR="004858E1" w:rsidRPr="00920B9E">
        <w:rPr>
          <w:rFonts w:ascii="Arial" w:hAnsi="Arial" w:cs="Arial"/>
          <w:color w:val="0D0D0D" w:themeColor="text1" w:themeTint="F2"/>
          <w:sz w:val="22"/>
          <w:szCs w:val="22"/>
          <w:lang w:val="en-GB"/>
        </w:rPr>
        <w:t xml:space="preserve">The trustee must publish the court’s decision to commence the preventative </w:t>
      </w:r>
      <w:r w:rsidR="009A6BF0" w:rsidRPr="00920B9E">
        <w:rPr>
          <w:rFonts w:ascii="Arial" w:hAnsi="Arial" w:cs="Arial"/>
          <w:color w:val="0D0D0D" w:themeColor="text1" w:themeTint="F2"/>
          <w:sz w:val="22"/>
          <w:szCs w:val="22"/>
          <w:lang w:val="en-GB"/>
        </w:rPr>
        <w:t>composition</w:t>
      </w:r>
      <w:r w:rsidR="004858E1" w:rsidRPr="00920B9E">
        <w:rPr>
          <w:rFonts w:ascii="Arial" w:hAnsi="Arial" w:cs="Arial"/>
          <w:color w:val="0D0D0D" w:themeColor="text1" w:themeTint="F2"/>
          <w:sz w:val="22"/>
          <w:szCs w:val="22"/>
          <w:lang w:val="en-GB"/>
        </w:rPr>
        <w:t xml:space="preserve"> within 5 business days of the trustee’s </w:t>
      </w:r>
      <w:r w:rsidR="009A6BF0" w:rsidRPr="00920B9E">
        <w:rPr>
          <w:rFonts w:ascii="Arial" w:hAnsi="Arial" w:cs="Arial"/>
          <w:color w:val="0D0D0D" w:themeColor="text1" w:themeTint="F2"/>
          <w:sz w:val="22"/>
          <w:szCs w:val="22"/>
          <w:lang w:val="en-GB"/>
        </w:rPr>
        <w:t>appointment</w:t>
      </w:r>
      <w:r w:rsidR="004858E1" w:rsidRPr="00920B9E">
        <w:rPr>
          <w:rFonts w:ascii="Arial" w:hAnsi="Arial" w:cs="Arial"/>
          <w:color w:val="0D0D0D" w:themeColor="text1" w:themeTint="F2"/>
          <w:sz w:val="22"/>
          <w:szCs w:val="22"/>
          <w:lang w:val="en-GB"/>
        </w:rPr>
        <w:t>.</w:t>
      </w:r>
    </w:p>
    <w:p w14:paraId="47E30773" w14:textId="77777777" w:rsidR="00904B11" w:rsidRPr="00904B11" w:rsidRDefault="00904B11" w:rsidP="00904B11">
      <w:pPr>
        <w:pStyle w:val="ListParagraph"/>
        <w:rPr>
          <w:rFonts w:ascii="Arial" w:hAnsi="Arial" w:cs="Arial"/>
          <w:color w:val="0D0D0D" w:themeColor="text1" w:themeTint="F2"/>
          <w:sz w:val="22"/>
          <w:szCs w:val="22"/>
          <w:lang w:val="en-GB"/>
        </w:rPr>
      </w:pPr>
    </w:p>
    <w:p w14:paraId="6C230E56" w14:textId="6DD0396E" w:rsidR="009075E4" w:rsidRDefault="00904B11"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lastRenderedPageBreak/>
        <w:t>Thereafter, creditors must file their claims with the trustee within 20 business days from the date of publication of commencement by the court.</w:t>
      </w:r>
      <w:r>
        <w:rPr>
          <w:rStyle w:val="FootnoteReference"/>
          <w:rFonts w:ascii="Arial" w:hAnsi="Arial" w:cs="Arial"/>
          <w:color w:val="0D0D0D" w:themeColor="text1" w:themeTint="F2"/>
          <w:sz w:val="22"/>
          <w:szCs w:val="22"/>
          <w:lang w:val="en-GB"/>
        </w:rPr>
        <w:footnoteReference w:id="8"/>
      </w:r>
      <w:r w:rsidR="009075E4">
        <w:rPr>
          <w:rFonts w:ascii="Arial" w:hAnsi="Arial" w:cs="Arial"/>
          <w:color w:val="0D0D0D" w:themeColor="text1" w:themeTint="F2"/>
          <w:sz w:val="22"/>
          <w:szCs w:val="22"/>
          <w:lang w:val="en-GB"/>
        </w:rPr>
        <w:t xml:space="preserve">    </w:t>
      </w:r>
    </w:p>
    <w:p w14:paraId="4A49BD17" w14:textId="77777777" w:rsidR="00904B11" w:rsidRPr="00904B11" w:rsidRDefault="00904B11" w:rsidP="00904B11">
      <w:pPr>
        <w:pStyle w:val="ListParagraph"/>
        <w:rPr>
          <w:rFonts w:ascii="Arial" w:hAnsi="Arial" w:cs="Arial"/>
          <w:color w:val="0D0D0D" w:themeColor="text1" w:themeTint="F2"/>
          <w:sz w:val="22"/>
          <w:szCs w:val="22"/>
          <w:lang w:val="en-GB"/>
        </w:rPr>
      </w:pPr>
    </w:p>
    <w:p w14:paraId="4CF83FD1" w14:textId="77777777" w:rsidR="00904B11" w:rsidRDefault="00904B11"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Within 10 business days after the expiry of the lodging of claims by creditors, the trustee is required to lodge the list of claims including whether they are approved or rejected with the court.</w:t>
      </w:r>
    </w:p>
    <w:p w14:paraId="6AB51BCD" w14:textId="77777777" w:rsidR="00904B11" w:rsidRPr="00904B11" w:rsidRDefault="00904B11" w:rsidP="00904B11">
      <w:pPr>
        <w:pStyle w:val="ListParagraph"/>
        <w:rPr>
          <w:rFonts w:ascii="Arial" w:hAnsi="Arial" w:cs="Arial"/>
          <w:color w:val="0D0D0D" w:themeColor="text1" w:themeTint="F2"/>
          <w:sz w:val="22"/>
          <w:szCs w:val="22"/>
          <w:lang w:val="en-GB"/>
        </w:rPr>
      </w:pPr>
    </w:p>
    <w:p w14:paraId="4A68DC65" w14:textId="6242977B" w:rsidR="00567BC9" w:rsidRDefault="00904B11"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Within 45 business days from publication of the court’s decision commencing the preventative composition procedure,</w:t>
      </w:r>
      <w:r w:rsidR="00567BC9">
        <w:rPr>
          <w:rFonts w:ascii="Arial" w:hAnsi="Arial" w:cs="Arial"/>
          <w:color w:val="0D0D0D" w:themeColor="text1" w:themeTint="F2"/>
          <w:sz w:val="22"/>
          <w:szCs w:val="22"/>
          <w:lang w:val="en-GB"/>
        </w:rPr>
        <w:t xml:space="preserve"> the Trustee must submit a </w:t>
      </w:r>
      <w:r w:rsidR="001A30FC">
        <w:rPr>
          <w:rFonts w:ascii="Arial" w:hAnsi="Arial" w:cs="Arial"/>
          <w:color w:val="0D0D0D" w:themeColor="text1" w:themeTint="F2"/>
          <w:sz w:val="22"/>
          <w:szCs w:val="22"/>
          <w:lang w:val="en-GB"/>
        </w:rPr>
        <w:t xml:space="preserve">draft </w:t>
      </w:r>
      <w:bookmarkStart w:id="1" w:name="_GoBack"/>
      <w:bookmarkEnd w:id="1"/>
      <w:r w:rsidR="00567BC9">
        <w:rPr>
          <w:rFonts w:ascii="Arial" w:hAnsi="Arial" w:cs="Arial"/>
          <w:color w:val="0D0D0D" w:themeColor="text1" w:themeTint="F2"/>
          <w:sz w:val="22"/>
          <w:szCs w:val="22"/>
          <w:lang w:val="en-GB"/>
        </w:rPr>
        <w:t>preventative composition scheme to the court.</w:t>
      </w:r>
    </w:p>
    <w:p w14:paraId="33DBD87F" w14:textId="77777777" w:rsidR="00567BC9" w:rsidRPr="00567BC9" w:rsidRDefault="00567BC9" w:rsidP="00567BC9">
      <w:pPr>
        <w:pStyle w:val="ListParagraph"/>
        <w:rPr>
          <w:rFonts w:ascii="Arial" w:hAnsi="Arial" w:cs="Arial"/>
          <w:color w:val="0D0D0D" w:themeColor="text1" w:themeTint="F2"/>
          <w:sz w:val="22"/>
          <w:szCs w:val="22"/>
          <w:lang w:val="en-GB"/>
        </w:rPr>
      </w:pPr>
    </w:p>
    <w:p w14:paraId="1582A6D4" w14:textId="0645BB94" w:rsidR="00567BC9" w:rsidRDefault="00567BC9"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court must review the </w:t>
      </w:r>
      <w:r w:rsidR="009A6BF0">
        <w:rPr>
          <w:rFonts w:ascii="Arial" w:hAnsi="Arial" w:cs="Arial"/>
          <w:color w:val="0D0D0D" w:themeColor="text1" w:themeTint="F2"/>
          <w:sz w:val="22"/>
          <w:szCs w:val="22"/>
          <w:lang w:val="en-GB"/>
        </w:rPr>
        <w:t>draft</w:t>
      </w:r>
      <w:r>
        <w:rPr>
          <w:rFonts w:ascii="Arial" w:hAnsi="Arial" w:cs="Arial"/>
          <w:color w:val="0D0D0D" w:themeColor="text1" w:themeTint="F2"/>
          <w:sz w:val="22"/>
          <w:szCs w:val="22"/>
          <w:lang w:val="en-GB"/>
        </w:rPr>
        <w:t xml:space="preserve"> scheme within 10 business days from the date of submission and thereafter direct the trustee to invite by public advertisement RZA LLC’s creditors to discuss the proposed scheme.</w:t>
      </w:r>
    </w:p>
    <w:p w14:paraId="5046D22E" w14:textId="77777777" w:rsidR="00567BC9" w:rsidRPr="00567BC9" w:rsidRDefault="00567BC9" w:rsidP="00567BC9">
      <w:pPr>
        <w:pStyle w:val="ListParagraph"/>
        <w:rPr>
          <w:rFonts w:ascii="Arial" w:hAnsi="Arial" w:cs="Arial"/>
          <w:color w:val="0D0D0D" w:themeColor="text1" w:themeTint="F2"/>
          <w:sz w:val="22"/>
          <w:szCs w:val="22"/>
          <w:lang w:val="en-GB"/>
        </w:rPr>
      </w:pPr>
    </w:p>
    <w:p w14:paraId="346ECABE" w14:textId="77777777" w:rsidR="00567BC9" w:rsidRDefault="00567BC9"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meeting must be held within 15 working days from the court’s direction to invite creditors. </w:t>
      </w:r>
    </w:p>
    <w:p w14:paraId="1964B816" w14:textId="77777777" w:rsidR="00567BC9" w:rsidRPr="00567BC9" w:rsidRDefault="00567BC9" w:rsidP="00567BC9">
      <w:pPr>
        <w:pStyle w:val="ListParagraph"/>
        <w:rPr>
          <w:rFonts w:ascii="Arial" w:hAnsi="Arial" w:cs="Arial"/>
          <w:color w:val="0D0D0D" w:themeColor="text1" w:themeTint="F2"/>
          <w:sz w:val="22"/>
          <w:szCs w:val="22"/>
          <w:lang w:val="en-GB"/>
        </w:rPr>
      </w:pPr>
    </w:p>
    <w:p w14:paraId="68382B18" w14:textId="5E420FE8" w:rsidR="00904B11" w:rsidRDefault="00567BC9"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Within 3 days after approval by creditors, the trustee must place the scheme before the court for its approval, which approval must be given urgently.</w:t>
      </w:r>
      <w:r w:rsidR="00904B11">
        <w:rPr>
          <w:rFonts w:ascii="Arial" w:hAnsi="Arial" w:cs="Arial"/>
          <w:color w:val="0D0D0D" w:themeColor="text1" w:themeTint="F2"/>
          <w:sz w:val="22"/>
          <w:szCs w:val="22"/>
          <w:lang w:val="en-GB"/>
        </w:rPr>
        <w:t xml:space="preserve"> </w:t>
      </w:r>
    </w:p>
    <w:p w14:paraId="06385320" w14:textId="77777777" w:rsidR="00920B9E" w:rsidRPr="00920B9E" w:rsidRDefault="00920B9E" w:rsidP="00920B9E">
      <w:pPr>
        <w:pStyle w:val="ListParagraph"/>
        <w:rPr>
          <w:rFonts w:ascii="Arial" w:hAnsi="Arial" w:cs="Arial"/>
          <w:color w:val="0D0D0D" w:themeColor="text1" w:themeTint="F2"/>
          <w:sz w:val="22"/>
          <w:szCs w:val="22"/>
          <w:lang w:val="en-GB"/>
        </w:rPr>
      </w:pPr>
    </w:p>
    <w:p w14:paraId="27691ADD" w14:textId="351A8B49" w:rsidR="00920B9E" w:rsidRDefault="00920B9E" w:rsidP="009075E4">
      <w:pPr>
        <w:pStyle w:val="ListParagraph"/>
        <w:numPr>
          <w:ilvl w:val="0"/>
          <w:numId w:val="37"/>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trustee must register the court’s approval of the scheme within 7 working days from the date of approval, in the debtor’s governmental corporate register and publish a summary of the scheme.</w:t>
      </w:r>
      <w:r>
        <w:rPr>
          <w:rStyle w:val="FootnoteReference"/>
          <w:rFonts w:ascii="Arial" w:hAnsi="Arial" w:cs="Arial"/>
          <w:color w:val="0D0D0D" w:themeColor="text1" w:themeTint="F2"/>
          <w:sz w:val="22"/>
          <w:szCs w:val="22"/>
          <w:lang w:val="en-GB"/>
        </w:rPr>
        <w:footnoteReference w:id="9"/>
      </w:r>
    </w:p>
    <w:p w14:paraId="7A4AFEED" w14:textId="77777777" w:rsidR="00EC3CB8" w:rsidRPr="00EC3CB8" w:rsidRDefault="00EC3CB8" w:rsidP="00EC3CB8">
      <w:pPr>
        <w:pStyle w:val="ListParagraph"/>
        <w:rPr>
          <w:rFonts w:ascii="Arial" w:hAnsi="Arial" w:cs="Arial"/>
          <w:color w:val="0D0D0D" w:themeColor="text1" w:themeTint="F2"/>
          <w:sz w:val="22"/>
          <w:szCs w:val="22"/>
          <w:lang w:val="en-GB"/>
        </w:rPr>
      </w:pPr>
    </w:p>
    <w:p w14:paraId="565E4A08" w14:textId="51349ECE" w:rsidR="00EC3CB8" w:rsidRDefault="00EC3CB8" w:rsidP="00EC3CB8">
      <w:pPr>
        <w:jc w:val="both"/>
        <w:rPr>
          <w:rFonts w:ascii="Arial" w:hAnsi="Arial" w:cs="Arial"/>
          <w:color w:val="0D0D0D" w:themeColor="text1" w:themeTint="F2"/>
          <w:sz w:val="22"/>
          <w:szCs w:val="22"/>
          <w:lang w:val="en-GB"/>
        </w:rPr>
      </w:pPr>
    </w:p>
    <w:p w14:paraId="6ABD365A" w14:textId="77777777" w:rsidR="00EC3CB8" w:rsidRPr="00EC3CB8" w:rsidRDefault="00EC3CB8" w:rsidP="00EC3CB8">
      <w:pPr>
        <w:jc w:val="both"/>
        <w:rPr>
          <w:rFonts w:ascii="Arial" w:hAnsi="Arial" w:cs="Arial"/>
          <w:color w:val="0D0D0D" w:themeColor="text1" w:themeTint="F2"/>
          <w:sz w:val="22"/>
          <w:szCs w:val="22"/>
          <w:lang w:val="en-GB"/>
        </w:rPr>
      </w:pPr>
    </w:p>
    <w:p w14:paraId="089E1386" w14:textId="240EAB60" w:rsidR="00240B2E"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0D90ADEC" w14:textId="7ECBF640" w:rsidR="00F866FE" w:rsidRDefault="00E561B6"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Where the creditors reject the proposed preventative composition scheme as in the facts above, the court may make an order for the liquidation of RZA LLC’s assets.</w:t>
      </w:r>
      <w:r>
        <w:rPr>
          <w:rStyle w:val="FootnoteReference"/>
          <w:rFonts w:ascii="Arial" w:hAnsi="Arial" w:cs="Arial"/>
          <w:color w:val="0D0D0D" w:themeColor="text1" w:themeTint="F2"/>
          <w:sz w:val="22"/>
          <w:szCs w:val="22"/>
          <w:lang w:val="en-GB"/>
        </w:rPr>
        <w:footnoteReference w:id="10"/>
      </w:r>
      <w:r>
        <w:rPr>
          <w:rFonts w:ascii="Arial" w:hAnsi="Arial" w:cs="Arial"/>
          <w:color w:val="0D0D0D" w:themeColor="text1" w:themeTint="F2"/>
          <w:sz w:val="22"/>
          <w:szCs w:val="22"/>
          <w:lang w:val="en-GB"/>
        </w:rPr>
        <w:t xml:space="preserve"> </w:t>
      </w:r>
      <w:r w:rsidR="00102956">
        <w:rPr>
          <w:rFonts w:ascii="Arial" w:hAnsi="Arial" w:cs="Arial"/>
          <w:color w:val="0D0D0D" w:themeColor="text1" w:themeTint="F2"/>
          <w:sz w:val="22"/>
          <w:szCs w:val="22"/>
          <w:lang w:val="en-GB"/>
        </w:rPr>
        <w:t xml:space="preserve">As the court has issued the order, following rejection of the scheme by the </w:t>
      </w:r>
      <w:r w:rsidR="009A6BF0">
        <w:rPr>
          <w:rFonts w:ascii="Arial" w:hAnsi="Arial" w:cs="Arial"/>
          <w:color w:val="0D0D0D" w:themeColor="text1" w:themeTint="F2"/>
          <w:sz w:val="22"/>
          <w:szCs w:val="22"/>
          <w:lang w:val="en-GB"/>
        </w:rPr>
        <w:t>creditors</w:t>
      </w:r>
      <w:r w:rsidR="00102956">
        <w:rPr>
          <w:rFonts w:ascii="Arial" w:hAnsi="Arial" w:cs="Arial"/>
          <w:color w:val="0D0D0D" w:themeColor="text1" w:themeTint="F2"/>
          <w:sz w:val="22"/>
          <w:szCs w:val="22"/>
          <w:lang w:val="en-GB"/>
        </w:rPr>
        <w:t>, the court is required to appoint a trustee, who can include the trustee who had been engaged in the preventative composition scheme or any expert.</w:t>
      </w:r>
    </w:p>
    <w:p w14:paraId="73ACF8C4" w14:textId="23756988" w:rsidR="00AB653C" w:rsidRDefault="00AB653C" w:rsidP="00BC72BF">
      <w:pPr>
        <w:jc w:val="both"/>
        <w:rPr>
          <w:rFonts w:ascii="Arial" w:hAnsi="Arial" w:cs="Arial"/>
          <w:color w:val="0D0D0D" w:themeColor="text1" w:themeTint="F2"/>
          <w:sz w:val="22"/>
          <w:szCs w:val="22"/>
          <w:lang w:val="en-GB"/>
        </w:rPr>
      </w:pPr>
    </w:p>
    <w:p w14:paraId="773D2FE3" w14:textId="2DD4C91C" w:rsidR="0026594E" w:rsidRDefault="002072BE"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appointed trustee in RZA LLC’s liquidation must advertise his/her appointment within 3 business days and</w:t>
      </w:r>
      <w:r w:rsidR="00AB3BE4">
        <w:rPr>
          <w:rFonts w:ascii="Arial" w:hAnsi="Arial" w:cs="Arial"/>
          <w:color w:val="0D0D0D" w:themeColor="text1" w:themeTint="F2"/>
          <w:sz w:val="22"/>
          <w:szCs w:val="22"/>
          <w:lang w:val="en-GB"/>
        </w:rPr>
        <w:t xml:space="preserve"> invite </w:t>
      </w:r>
      <w:r>
        <w:rPr>
          <w:rFonts w:ascii="Arial" w:hAnsi="Arial" w:cs="Arial"/>
          <w:color w:val="0D0D0D" w:themeColor="text1" w:themeTint="F2"/>
          <w:sz w:val="22"/>
          <w:szCs w:val="22"/>
          <w:lang w:val="en-GB"/>
        </w:rPr>
        <w:t>creditors to lodge their claims within 10 business days from the date of the judgement</w:t>
      </w:r>
      <w:r w:rsidR="00650BBF">
        <w:rPr>
          <w:rFonts w:ascii="Arial" w:hAnsi="Arial" w:cs="Arial"/>
          <w:color w:val="0D0D0D" w:themeColor="text1" w:themeTint="F2"/>
          <w:sz w:val="22"/>
          <w:szCs w:val="22"/>
          <w:lang w:val="en-GB"/>
        </w:rPr>
        <w:t xml:space="preserve"> for the trustee’s consideration.</w:t>
      </w:r>
    </w:p>
    <w:p w14:paraId="5076198B" w14:textId="77777777" w:rsidR="0026594E" w:rsidRDefault="0026594E" w:rsidP="00BC72BF">
      <w:pPr>
        <w:jc w:val="both"/>
        <w:rPr>
          <w:rFonts w:ascii="Arial" w:hAnsi="Arial" w:cs="Arial"/>
          <w:color w:val="0D0D0D" w:themeColor="text1" w:themeTint="F2"/>
          <w:sz w:val="22"/>
          <w:szCs w:val="22"/>
          <w:lang w:val="en-GB"/>
        </w:rPr>
      </w:pPr>
    </w:p>
    <w:p w14:paraId="6A5E4079" w14:textId="35A3671D" w:rsidR="002072BE" w:rsidRDefault="0026594E"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trustee is required to liquidate RZA LLC’s property including the restaurant site under development.</w:t>
      </w:r>
      <w:r w:rsidR="002072BE">
        <w:rPr>
          <w:rFonts w:ascii="Arial" w:hAnsi="Arial" w:cs="Arial"/>
          <w:color w:val="0D0D0D" w:themeColor="text1" w:themeTint="F2"/>
          <w:sz w:val="22"/>
          <w:szCs w:val="22"/>
          <w:lang w:val="en-GB"/>
        </w:rPr>
        <w:t xml:space="preserve"> </w:t>
      </w:r>
      <w:r w:rsidR="001F28BF">
        <w:rPr>
          <w:rFonts w:ascii="Arial" w:hAnsi="Arial" w:cs="Arial"/>
          <w:color w:val="0D0D0D" w:themeColor="text1" w:themeTint="F2"/>
          <w:sz w:val="22"/>
          <w:szCs w:val="22"/>
          <w:lang w:val="en-GB"/>
        </w:rPr>
        <w:t xml:space="preserve">The shareholder </w:t>
      </w:r>
      <w:r w:rsidR="00AB3BE4">
        <w:rPr>
          <w:rFonts w:ascii="Arial" w:hAnsi="Arial" w:cs="Arial"/>
          <w:color w:val="0D0D0D" w:themeColor="text1" w:themeTint="F2"/>
          <w:sz w:val="22"/>
          <w:szCs w:val="22"/>
          <w:lang w:val="en-GB"/>
        </w:rPr>
        <w:t>with</w:t>
      </w:r>
      <w:r w:rsidR="001F28BF">
        <w:rPr>
          <w:rFonts w:ascii="Arial" w:hAnsi="Arial" w:cs="Arial"/>
          <w:color w:val="0D0D0D" w:themeColor="text1" w:themeTint="F2"/>
          <w:sz w:val="22"/>
          <w:szCs w:val="22"/>
          <w:lang w:val="en-GB"/>
        </w:rPr>
        <w:t xml:space="preserve"> a mortgage over the site </w:t>
      </w:r>
      <w:r w:rsidR="00B86D36">
        <w:rPr>
          <w:rFonts w:ascii="Arial" w:hAnsi="Arial" w:cs="Arial"/>
          <w:color w:val="0D0D0D" w:themeColor="text1" w:themeTint="F2"/>
          <w:sz w:val="22"/>
          <w:szCs w:val="22"/>
          <w:lang w:val="en-GB"/>
        </w:rPr>
        <w:t>is entitled to the proceeds from the sale of the restaurant site less the trustee’s costs of sale. T</w:t>
      </w:r>
      <w:r w:rsidR="001F28BF">
        <w:rPr>
          <w:rFonts w:ascii="Arial" w:hAnsi="Arial" w:cs="Arial"/>
          <w:color w:val="0D0D0D" w:themeColor="text1" w:themeTint="F2"/>
          <w:sz w:val="22"/>
          <w:szCs w:val="22"/>
          <w:lang w:val="en-GB"/>
        </w:rPr>
        <w:t xml:space="preserve">he </w:t>
      </w:r>
      <w:r w:rsidR="00B86D36">
        <w:rPr>
          <w:rFonts w:ascii="Arial" w:hAnsi="Arial" w:cs="Arial"/>
          <w:color w:val="0D0D0D" w:themeColor="text1" w:themeTint="F2"/>
          <w:sz w:val="22"/>
          <w:szCs w:val="22"/>
          <w:lang w:val="en-GB"/>
        </w:rPr>
        <w:t>s</w:t>
      </w:r>
      <w:r w:rsidR="00981A31">
        <w:rPr>
          <w:rFonts w:ascii="Arial" w:hAnsi="Arial" w:cs="Arial"/>
          <w:color w:val="0D0D0D" w:themeColor="text1" w:themeTint="F2"/>
          <w:sz w:val="22"/>
          <w:szCs w:val="22"/>
          <w:lang w:val="en-GB"/>
        </w:rPr>
        <w:t xml:space="preserve">ale of RZA’s assets is done by public auction under the supervision of the courts. </w:t>
      </w:r>
      <w:r w:rsidR="00F772C1">
        <w:rPr>
          <w:rFonts w:ascii="Arial" w:hAnsi="Arial" w:cs="Arial"/>
          <w:color w:val="0D0D0D" w:themeColor="text1" w:themeTint="F2"/>
          <w:sz w:val="22"/>
          <w:szCs w:val="22"/>
          <w:lang w:val="en-GB"/>
        </w:rPr>
        <w:t xml:space="preserve"> </w:t>
      </w:r>
    </w:p>
    <w:p w14:paraId="65A3B069" w14:textId="53B391D2" w:rsidR="00B05A4B" w:rsidRDefault="00B05A4B" w:rsidP="00BC72BF">
      <w:pPr>
        <w:jc w:val="both"/>
        <w:rPr>
          <w:rFonts w:ascii="Arial" w:hAnsi="Arial" w:cs="Arial"/>
          <w:color w:val="0D0D0D" w:themeColor="text1" w:themeTint="F2"/>
          <w:sz w:val="22"/>
          <w:szCs w:val="22"/>
          <w:lang w:val="en-GB"/>
        </w:rPr>
      </w:pPr>
    </w:p>
    <w:p w14:paraId="4A74CEC3" w14:textId="77777777" w:rsidR="00B05A4B" w:rsidRDefault="00B05A4B"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lastRenderedPageBreak/>
        <w:t>The order of priority of payment of creditors with respect to the sale of RZA’s other assets is as follows;</w:t>
      </w:r>
    </w:p>
    <w:p w14:paraId="1B9C703F" w14:textId="77777777" w:rsidR="00B05A4B" w:rsidRDefault="00B05A4B" w:rsidP="00BC72BF">
      <w:pPr>
        <w:jc w:val="both"/>
        <w:rPr>
          <w:rFonts w:ascii="Arial" w:hAnsi="Arial" w:cs="Arial"/>
          <w:color w:val="0D0D0D" w:themeColor="text1" w:themeTint="F2"/>
          <w:sz w:val="22"/>
          <w:szCs w:val="22"/>
          <w:lang w:val="en-GB"/>
        </w:rPr>
      </w:pPr>
    </w:p>
    <w:p w14:paraId="19CFCB1C" w14:textId="77777777" w:rsidR="00B05A4B" w:rsidRDefault="00B05A4B" w:rsidP="00B05A4B">
      <w:pPr>
        <w:pStyle w:val="ListParagraph"/>
        <w:numPr>
          <w:ilvl w:val="0"/>
          <w:numId w:val="38"/>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Court and trustee’s costs,</w:t>
      </w:r>
    </w:p>
    <w:p w14:paraId="17E3505E" w14:textId="42E5BEB0" w:rsidR="00B05A4B" w:rsidRDefault="00B05A4B" w:rsidP="00B05A4B">
      <w:pPr>
        <w:pStyle w:val="ListParagraph"/>
        <w:numPr>
          <w:ilvl w:val="0"/>
          <w:numId w:val="38"/>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restaurant staff’s salaries for </w:t>
      </w:r>
      <w:r w:rsidR="009A6BF0">
        <w:rPr>
          <w:rFonts w:ascii="Arial" w:hAnsi="Arial" w:cs="Arial"/>
          <w:color w:val="0D0D0D" w:themeColor="text1" w:themeTint="F2"/>
          <w:sz w:val="22"/>
          <w:szCs w:val="22"/>
          <w:lang w:val="en-GB"/>
        </w:rPr>
        <w:t>up to</w:t>
      </w:r>
      <w:r>
        <w:rPr>
          <w:rFonts w:ascii="Arial" w:hAnsi="Arial" w:cs="Arial"/>
          <w:color w:val="0D0D0D" w:themeColor="text1" w:themeTint="F2"/>
          <w:sz w:val="22"/>
          <w:szCs w:val="22"/>
          <w:lang w:val="en-GB"/>
        </w:rPr>
        <w:t xml:space="preserve"> 3 months</w:t>
      </w:r>
      <w:r w:rsidR="0095607F">
        <w:rPr>
          <w:rFonts w:ascii="Arial" w:hAnsi="Arial" w:cs="Arial"/>
          <w:color w:val="0D0D0D" w:themeColor="text1" w:themeTint="F2"/>
          <w:sz w:val="22"/>
          <w:szCs w:val="22"/>
          <w:lang w:val="en-GB"/>
        </w:rPr>
        <w:t xml:space="preserve"> wages</w:t>
      </w:r>
      <w:r>
        <w:rPr>
          <w:rFonts w:ascii="Arial" w:hAnsi="Arial" w:cs="Arial"/>
          <w:color w:val="0D0D0D" w:themeColor="text1" w:themeTint="F2"/>
          <w:sz w:val="22"/>
          <w:szCs w:val="22"/>
          <w:lang w:val="en-GB"/>
        </w:rPr>
        <w:t>,</w:t>
      </w:r>
    </w:p>
    <w:p w14:paraId="2AEE11C9" w14:textId="6C889813" w:rsidR="00B05A4B" w:rsidRDefault="00B05A4B" w:rsidP="00B05A4B">
      <w:pPr>
        <w:pStyle w:val="ListParagraph"/>
        <w:numPr>
          <w:ilvl w:val="0"/>
          <w:numId w:val="38"/>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Amounts due to governmental bodies, </w:t>
      </w:r>
    </w:p>
    <w:p w14:paraId="24AD0CC5" w14:textId="77777777" w:rsidR="00B05A4B" w:rsidRDefault="00B05A4B" w:rsidP="00B05A4B">
      <w:pPr>
        <w:pStyle w:val="ListParagraph"/>
        <w:numPr>
          <w:ilvl w:val="0"/>
          <w:numId w:val="38"/>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Costs of supplying the debtor with goods and services following the bankruptcy process and </w:t>
      </w:r>
    </w:p>
    <w:p w14:paraId="017DCE99" w14:textId="21A795C1" w:rsidR="00B5756F" w:rsidRDefault="00B05A4B" w:rsidP="00B05A4B">
      <w:pPr>
        <w:pStyle w:val="ListParagraph"/>
        <w:numPr>
          <w:ilvl w:val="0"/>
          <w:numId w:val="38"/>
        </w:num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Unsecured creditors.</w:t>
      </w:r>
      <w:r w:rsidR="00B5756F">
        <w:rPr>
          <w:rStyle w:val="FootnoteReference"/>
          <w:rFonts w:ascii="Arial" w:hAnsi="Arial" w:cs="Arial"/>
          <w:color w:val="0D0D0D" w:themeColor="text1" w:themeTint="F2"/>
          <w:sz w:val="22"/>
          <w:szCs w:val="22"/>
          <w:lang w:val="en-GB"/>
        </w:rPr>
        <w:footnoteReference w:id="11"/>
      </w:r>
    </w:p>
    <w:p w14:paraId="3528D74B" w14:textId="0950B58A" w:rsidR="00C83096" w:rsidRDefault="00C83096" w:rsidP="00C83096">
      <w:pPr>
        <w:jc w:val="both"/>
        <w:rPr>
          <w:rFonts w:ascii="Arial" w:hAnsi="Arial" w:cs="Arial"/>
          <w:color w:val="0D0D0D" w:themeColor="text1" w:themeTint="F2"/>
          <w:sz w:val="22"/>
          <w:szCs w:val="22"/>
          <w:lang w:val="en-GB"/>
        </w:rPr>
      </w:pPr>
    </w:p>
    <w:p w14:paraId="7851126C" w14:textId="037F697C" w:rsidR="00C83096" w:rsidRDefault="00C83096" w:rsidP="00C83096">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The trustee must furnish the court with a monthly progress report on liquidation of the RZA’s assets.</w:t>
      </w:r>
      <w:r>
        <w:rPr>
          <w:rStyle w:val="FootnoteReference"/>
          <w:rFonts w:ascii="Arial" w:hAnsi="Arial" w:cs="Arial"/>
          <w:color w:val="0D0D0D" w:themeColor="text1" w:themeTint="F2"/>
          <w:sz w:val="22"/>
          <w:szCs w:val="22"/>
          <w:lang w:val="en-GB"/>
        </w:rPr>
        <w:footnoteReference w:id="12"/>
      </w:r>
    </w:p>
    <w:p w14:paraId="49FE6415" w14:textId="3F524FA6" w:rsidR="00C345B2" w:rsidRDefault="00C345B2" w:rsidP="00C83096">
      <w:pPr>
        <w:jc w:val="both"/>
        <w:rPr>
          <w:rFonts w:ascii="Arial" w:hAnsi="Arial" w:cs="Arial"/>
          <w:color w:val="0D0D0D" w:themeColor="text1" w:themeTint="F2"/>
          <w:sz w:val="22"/>
          <w:szCs w:val="22"/>
          <w:lang w:val="en-GB"/>
        </w:rPr>
      </w:pPr>
    </w:p>
    <w:p w14:paraId="4F3EF60E" w14:textId="527E78CD" w:rsidR="00B05A4B" w:rsidRPr="00B5756F" w:rsidRDefault="00C345B2" w:rsidP="00B5756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court must make a final order confirming the conclusion of the liquidation process, which order must be advertised. Thereafter the </w:t>
      </w:r>
      <w:r w:rsidR="009A6BF0">
        <w:rPr>
          <w:rFonts w:ascii="Arial" w:hAnsi="Arial" w:cs="Arial"/>
          <w:color w:val="0D0D0D" w:themeColor="text1" w:themeTint="F2"/>
          <w:sz w:val="22"/>
          <w:szCs w:val="22"/>
          <w:lang w:val="en-GB"/>
        </w:rPr>
        <w:t>trustee</w:t>
      </w:r>
      <w:r>
        <w:rPr>
          <w:rFonts w:ascii="Arial" w:hAnsi="Arial" w:cs="Arial"/>
          <w:color w:val="0D0D0D" w:themeColor="text1" w:themeTint="F2"/>
          <w:sz w:val="22"/>
          <w:szCs w:val="22"/>
          <w:lang w:val="en-GB"/>
        </w:rPr>
        <w:t xml:space="preserve"> must return all documents to RZA LLC. RZA is presumed to be fully rehabilitated after 5 years from the date of completion of the liquidation. </w:t>
      </w:r>
    </w:p>
    <w:p w14:paraId="27F76491" w14:textId="77777777" w:rsidR="00F866FE" w:rsidRDefault="00F866FE" w:rsidP="00BC72BF">
      <w:pPr>
        <w:jc w:val="both"/>
        <w:rPr>
          <w:rFonts w:ascii="Arial" w:hAnsi="Arial" w:cs="Arial"/>
          <w:color w:val="0D0D0D" w:themeColor="text1" w:themeTint="F2"/>
          <w:sz w:val="22"/>
          <w:szCs w:val="22"/>
          <w:lang w:val="en-GB"/>
        </w:rPr>
      </w:pPr>
    </w:p>
    <w:p w14:paraId="1731DDDD" w14:textId="026CEE1C" w:rsidR="00BC72BF" w:rsidRPr="00BC72BF" w:rsidRDefault="00102956" w:rsidP="00BC72BF">
      <w:pPr>
        <w:jc w:val="both"/>
        <w:rPr>
          <w:rFonts w:ascii="Avenir Next" w:hAnsi="Avenir Next" w:cs="Arial"/>
          <w:color w:val="808080" w:themeColor="background1" w:themeShade="80"/>
          <w:sz w:val="22"/>
          <w:szCs w:val="22"/>
          <w:lang w:val="en-GB"/>
        </w:rPr>
      </w:pPr>
      <w:r>
        <w:rPr>
          <w:rFonts w:ascii="Arial" w:hAnsi="Arial" w:cs="Arial"/>
          <w:color w:val="0D0D0D" w:themeColor="text1" w:themeTint="F2"/>
          <w:sz w:val="22"/>
          <w:szCs w:val="22"/>
          <w:lang w:val="en-GB"/>
        </w:rPr>
        <w:t xml:space="preserve">    </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75577C31" w14:textId="724562D1" w:rsidR="00237C72" w:rsidRDefault="001C00A5"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Liquidation of RZA Limited </w:t>
      </w:r>
      <w:r w:rsidR="008630A4">
        <w:rPr>
          <w:rFonts w:ascii="Arial" w:hAnsi="Arial" w:cs="Arial"/>
          <w:color w:val="0D0D0D" w:themeColor="text1" w:themeTint="F2"/>
          <w:sz w:val="22"/>
          <w:szCs w:val="22"/>
          <w:lang w:val="en-GB"/>
        </w:rPr>
        <w:t>in the D</w:t>
      </w:r>
      <w:r w:rsidR="00522B78">
        <w:rPr>
          <w:rFonts w:ascii="Arial" w:hAnsi="Arial" w:cs="Arial"/>
          <w:color w:val="0D0D0D" w:themeColor="text1" w:themeTint="F2"/>
          <w:sz w:val="22"/>
          <w:szCs w:val="22"/>
          <w:lang w:val="en-GB"/>
        </w:rPr>
        <w:t>I</w:t>
      </w:r>
      <w:r w:rsidR="008630A4">
        <w:rPr>
          <w:rFonts w:ascii="Arial" w:hAnsi="Arial" w:cs="Arial"/>
          <w:color w:val="0D0D0D" w:themeColor="text1" w:themeTint="F2"/>
          <w:sz w:val="22"/>
          <w:szCs w:val="22"/>
          <w:lang w:val="en-GB"/>
        </w:rPr>
        <w:t>FC is governed primarily by the Insolvency Law DIFC Law Number 1 of 2019 as amended and the DIFC Insolvency Regulations</w:t>
      </w:r>
      <w:r w:rsidR="0061276A">
        <w:rPr>
          <w:rFonts w:ascii="Arial" w:hAnsi="Arial" w:cs="Arial"/>
          <w:color w:val="0D0D0D" w:themeColor="text1" w:themeTint="F2"/>
          <w:sz w:val="22"/>
          <w:szCs w:val="22"/>
          <w:lang w:val="en-GB"/>
        </w:rPr>
        <w:t xml:space="preserve"> 2022. Liquidation is addressed by Winding up.</w:t>
      </w:r>
    </w:p>
    <w:p w14:paraId="30D1C227" w14:textId="77777777" w:rsidR="00237C72" w:rsidRDefault="00237C72" w:rsidP="00BC72BF">
      <w:pPr>
        <w:jc w:val="both"/>
        <w:rPr>
          <w:rFonts w:ascii="Arial" w:hAnsi="Arial" w:cs="Arial"/>
          <w:color w:val="0D0D0D" w:themeColor="text1" w:themeTint="F2"/>
          <w:sz w:val="22"/>
          <w:szCs w:val="22"/>
          <w:lang w:val="en-GB"/>
        </w:rPr>
      </w:pPr>
    </w:p>
    <w:p w14:paraId="741F29DD" w14:textId="36E91937" w:rsidR="004E59F7" w:rsidRDefault="00237C72"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actions the </w:t>
      </w:r>
      <w:r w:rsidR="009A6BF0">
        <w:rPr>
          <w:rFonts w:ascii="Arial" w:hAnsi="Arial" w:cs="Arial"/>
          <w:color w:val="0D0D0D" w:themeColor="text1" w:themeTint="F2"/>
          <w:sz w:val="22"/>
          <w:szCs w:val="22"/>
          <w:lang w:val="en-GB"/>
        </w:rPr>
        <w:t>creditors</w:t>
      </w:r>
      <w:r>
        <w:rPr>
          <w:rFonts w:ascii="Arial" w:hAnsi="Arial" w:cs="Arial"/>
          <w:color w:val="0D0D0D" w:themeColor="text1" w:themeTint="F2"/>
          <w:sz w:val="22"/>
          <w:szCs w:val="22"/>
          <w:lang w:val="en-GB"/>
        </w:rPr>
        <w:t xml:space="preserve"> of </w:t>
      </w:r>
      <w:r w:rsidR="004E59F7">
        <w:rPr>
          <w:rFonts w:ascii="Arial" w:hAnsi="Arial" w:cs="Arial"/>
          <w:color w:val="0D0D0D" w:themeColor="text1" w:themeTint="F2"/>
          <w:sz w:val="22"/>
          <w:szCs w:val="22"/>
          <w:lang w:val="en-GB"/>
        </w:rPr>
        <w:t xml:space="preserve">RZA Limited can take include a creditors voluntary winding up or a court sanctioned compulsory winding up because RZA Limited is unable to pay its debts. </w:t>
      </w:r>
    </w:p>
    <w:p w14:paraId="1752ECB2" w14:textId="77777777" w:rsidR="004E59F7" w:rsidRDefault="004E59F7" w:rsidP="00BC72BF">
      <w:pPr>
        <w:jc w:val="both"/>
        <w:rPr>
          <w:rFonts w:ascii="Arial" w:hAnsi="Arial" w:cs="Arial"/>
          <w:color w:val="0D0D0D" w:themeColor="text1" w:themeTint="F2"/>
          <w:sz w:val="22"/>
          <w:szCs w:val="22"/>
          <w:lang w:val="en-GB"/>
        </w:rPr>
      </w:pPr>
    </w:p>
    <w:p w14:paraId="1043F25A" w14:textId="64EE8E6C" w:rsidR="00BC72BF" w:rsidRDefault="004E59F7"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With respect to the </w:t>
      </w:r>
      <w:r w:rsidR="009A6BF0">
        <w:rPr>
          <w:rFonts w:ascii="Arial" w:hAnsi="Arial" w:cs="Arial"/>
          <w:color w:val="0D0D0D" w:themeColor="text1" w:themeTint="F2"/>
          <w:sz w:val="22"/>
          <w:szCs w:val="22"/>
          <w:lang w:val="en-GB"/>
        </w:rPr>
        <w:t>creditors</w:t>
      </w:r>
      <w:r>
        <w:rPr>
          <w:rFonts w:ascii="Arial" w:hAnsi="Arial" w:cs="Arial"/>
          <w:color w:val="0D0D0D" w:themeColor="text1" w:themeTint="F2"/>
          <w:sz w:val="22"/>
          <w:szCs w:val="22"/>
          <w:lang w:val="en-GB"/>
        </w:rPr>
        <w:t xml:space="preserve"> </w:t>
      </w:r>
      <w:r w:rsidR="009A6BF0">
        <w:rPr>
          <w:rFonts w:ascii="Arial" w:hAnsi="Arial" w:cs="Arial"/>
          <w:color w:val="0D0D0D" w:themeColor="text1" w:themeTint="F2"/>
          <w:sz w:val="22"/>
          <w:szCs w:val="22"/>
          <w:lang w:val="en-GB"/>
        </w:rPr>
        <w:t>voluntary</w:t>
      </w:r>
      <w:r>
        <w:rPr>
          <w:rFonts w:ascii="Arial" w:hAnsi="Arial" w:cs="Arial"/>
          <w:color w:val="0D0D0D" w:themeColor="text1" w:themeTint="F2"/>
          <w:sz w:val="22"/>
          <w:szCs w:val="22"/>
          <w:lang w:val="en-GB"/>
        </w:rPr>
        <w:t xml:space="preserve"> winding up,</w:t>
      </w:r>
      <w:r w:rsidR="00B31FF7">
        <w:rPr>
          <w:rFonts w:ascii="Arial" w:hAnsi="Arial" w:cs="Arial"/>
          <w:color w:val="0D0D0D" w:themeColor="text1" w:themeTint="F2"/>
          <w:sz w:val="22"/>
          <w:szCs w:val="22"/>
          <w:lang w:val="en-GB"/>
        </w:rPr>
        <w:t xml:space="preserve"> this is commenced by the </w:t>
      </w:r>
      <w:r w:rsidR="009A6BF0">
        <w:rPr>
          <w:rFonts w:ascii="Arial" w:hAnsi="Arial" w:cs="Arial"/>
          <w:color w:val="0D0D0D" w:themeColor="text1" w:themeTint="F2"/>
          <w:sz w:val="22"/>
          <w:szCs w:val="22"/>
          <w:lang w:val="en-GB"/>
        </w:rPr>
        <w:t>passing</w:t>
      </w:r>
      <w:r w:rsidR="00B31FF7">
        <w:rPr>
          <w:rFonts w:ascii="Arial" w:hAnsi="Arial" w:cs="Arial"/>
          <w:color w:val="0D0D0D" w:themeColor="text1" w:themeTint="F2"/>
          <w:sz w:val="22"/>
          <w:szCs w:val="22"/>
          <w:lang w:val="en-GB"/>
        </w:rPr>
        <w:t xml:space="preserve"> of a resolution and the appointment of a liquidator nominated by the </w:t>
      </w:r>
      <w:r w:rsidR="009A6BF0">
        <w:rPr>
          <w:rFonts w:ascii="Arial" w:hAnsi="Arial" w:cs="Arial"/>
          <w:color w:val="0D0D0D" w:themeColor="text1" w:themeTint="F2"/>
          <w:sz w:val="22"/>
          <w:szCs w:val="22"/>
          <w:lang w:val="en-GB"/>
        </w:rPr>
        <w:t>creditors</w:t>
      </w:r>
      <w:r w:rsidR="00B31FF7">
        <w:rPr>
          <w:rFonts w:ascii="Arial" w:hAnsi="Arial" w:cs="Arial"/>
          <w:color w:val="0D0D0D" w:themeColor="text1" w:themeTint="F2"/>
          <w:sz w:val="22"/>
          <w:szCs w:val="22"/>
          <w:lang w:val="en-GB"/>
        </w:rPr>
        <w:t>.  In the case of a compulsory winding up by the court,</w:t>
      </w:r>
      <w:r w:rsidR="00FE0273">
        <w:rPr>
          <w:rFonts w:ascii="Arial" w:hAnsi="Arial" w:cs="Arial"/>
          <w:color w:val="0D0D0D" w:themeColor="text1" w:themeTint="F2"/>
          <w:sz w:val="22"/>
          <w:szCs w:val="22"/>
          <w:lang w:val="en-GB"/>
        </w:rPr>
        <w:t xml:space="preserve"> a creditor may apply to court for such order</w:t>
      </w:r>
      <w:r w:rsidR="00DC18FF">
        <w:rPr>
          <w:rFonts w:ascii="Arial" w:hAnsi="Arial" w:cs="Arial"/>
          <w:color w:val="0D0D0D" w:themeColor="text1" w:themeTint="F2"/>
          <w:sz w:val="22"/>
          <w:szCs w:val="22"/>
          <w:lang w:val="en-GB"/>
        </w:rPr>
        <w:t xml:space="preserve"> stating that RZA Limited is unable to pay its debts. </w:t>
      </w:r>
      <w:r w:rsidR="00FE0273">
        <w:rPr>
          <w:rFonts w:ascii="Arial" w:hAnsi="Arial" w:cs="Arial"/>
          <w:color w:val="0D0D0D" w:themeColor="text1" w:themeTint="F2"/>
          <w:sz w:val="22"/>
          <w:szCs w:val="22"/>
          <w:lang w:val="en-GB"/>
        </w:rPr>
        <w:t xml:space="preserve">The court identifies a person to be liquidator who acts as such or may call a meeting of creditors and </w:t>
      </w:r>
      <w:r w:rsidR="009A6BF0">
        <w:rPr>
          <w:rFonts w:ascii="Arial" w:hAnsi="Arial" w:cs="Arial"/>
          <w:color w:val="0D0D0D" w:themeColor="text1" w:themeTint="F2"/>
          <w:sz w:val="22"/>
          <w:szCs w:val="22"/>
          <w:lang w:val="en-GB"/>
        </w:rPr>
        <w:t>contributories</w:t>
      </w:r>
      <w:r w:rsidR="00FE0273">
        <w:rPr>
          <w:rFonts w:ascii="Arial" w:hAnsi="Arial" w:cs="Arial"/>
          <w:color w:val="0D0D0D" w:themeColor="text1" w:themeTint="F2"/>
          <w:sz w:val="22"/>
          <w:szCs w:val="22"/>
          <w:lang w:val="en-GB"/>
        </w:rPr>
        <w:t xml:space="preserve"> to elect another liquidator.</w:t>
      </w:r>
      <w:r>
        <w:rPr>
          <w:rFonts w:ascii="Arial" w:hAnsi="Arial" w:cs="Arial"/>
          <w:color w:val="0D0D0D" w:themeColor="text1" w:themeTint="F2"/>
          <w:sz w:val="22"/>
          <w:szCs w:val="22"/>
          <w:lang w:val="en-GB"/>
        </w:rPr>
        <w:t xml:space="preserve"> </w:t>
      </w:r>
      <w:r w:rsidR="008630A4">
        <w:rPr>
          <w:rFonts w:ascii="Arial" w:hAnsi="Arial" w:cs="Arial"/>
          <w:color w:val="0D0D0D" w:themeColor="text1" w:themeTint="F2"/>
          <w:sz w:val="22"/>
          <w:szCs w:val="22"/>
          <w:lang w:val="en-GB"/>
        </w:rPr>
        <w:t xml:space="preserve"> </w:t>
      </w:r>
    </w:p>
    <w:p w14:paraId="6AAA4F54" w14:textId="22B24779" w:rsidR="00B703CA" w:rsidRDefault="00B703CA" w:rsidP="00BC72BF">
      <w:pPr>
        <w:jc w:val="both"/>
        <w:rPr>
          <w:rFonts w:ascii="Avenir Next" w:hAnsi="Avenir Next" w:cs="Arial"/>
          <w:color w:val="808080" w:themeColor="background1" w:themeShade="80"/>
          <w:sz w:val="22"/>
          <w:szCs w:val="22"/>
          <w:lang w:val="en-GB"/>
        </w:rPr>
      </w:pPr>
    </w:p>
    <w:p w14:paraId="49C04DAE" w14:textId="36561AB0" w:rsidR="007525FB" w:rsidRDefault="00B703CA"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 xml:space="preserve">The responsibility of the liquidator </w:t>
      </w:r>
      <w:r w:rsidR="00D7289C">
        <w:rPr>
          <w:rFonts w:ascii="Arial" w:hAnsi="Arial" w:cs="Arial"/>
          <w:color w:val="0D0D0D" w:themeColor="text1" w:themeTint="F2"/>
          <w:sz w:val="22"/>
          <w:szCs w:val="22"/>
          <w:lang w:val="en-GB"/>
        </w:rPr>
        <w:t>is to wind up the affairs of RZA and to gather</w:t>
      </w:r>
      <w:r w:rsidR="00962C93">
        <w:rPr>
          <w:rFonts w:ascii="Arial" w:hAnsi="Arial" w:cs="Arial"/>
          <w:color w:val="0D0D0D" w:themeColor="text1" w:themeTint="F2"/>
          <w:sz w:val="22"/>
          <w:szCs w:val="22"/>
          <w:lang w:val="en-GB"/>
        </w:rPr>
        <w:t>,</w:t>
      </w:r>
      <w:r w:rsidR="00D7289C">
        <w:rPr>
          <w:rFonts w:ascii="Arial" w:hAnsi="Arial" w:cs="Arial"/>
          <w:color w:val="0D0D0D" w:themeColor="text1" w:themeTint="F2"/>
          <w:sz w:val="22"/>
          <w:szCs w:val="22"/>
          <w:lang w:val="en-GB"/>
        </w:rPr>
        <w:t xml:space="preserve"> realise and distribute its assets.</w:t>
      </w:r>
    </w:p>
    <w:p w14:paraId="10FA4C22" w14:textId="77777777" w:rsidR="007525FB" w:rsidRDefault="007525FB" w:rsidP="00BC72BF">
      <w:pPr>
        <w:jc w:val="both"/>
        <w:rPr>
          <w:rFonts w:ascii="Arial" w:hAnsi="Arial" w:cs="Arial"/>
          <w:color w:val="0D0D0D" w:themeColor="text1" w:themeTint="F2"/>
          <w:sz w:val="22"/>
          <w:szCs w:val="22"/>
          <w:lang w:val="en-GB"/>
        </w:rPr>
      </w:pPr>
    </w:p>
    <w:p w14:paraId="28CADB8D" w14:textId="77777777" w:rsidR="008C752E" w:rsidRDefault="007525FB" w:rsidP="00BC72BF">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t>In addressing creditor claims against RZA, each creditor must submit their claim against the company to the liquidator in writing, together with supporting information to enable the liquidator to verify the claim.</w:t>
      </w:r>
      <w:r>
        <w:rPr>
          <w:rStyle w:val="FootnoteReference"/>
          <w:rFonts w:ascii="Arial" w:hAnsi="Arial" w:cs="Arial"/>
          <w:color w:val="0D0D0D" w:themeColor="text1" w:themeTint="F2"/>
          <w:sz w:val="22"/>
          <w:szCs w:val="22"/>
          <w:lang w:val="en-GB"/>
        </w:rPr>
        <w:footnoteReference w:id="13"/>
      </w:r>
      <w:r>
        <w:rPr>
          <w:rFonts w:ascii="Arial" w:hAnsi="Arial" w:cs="Arial"/>
          <w:color w:val="0D0D0D" w:themeColor="text1" w:themeTint="F2"/>
          <w:sz w:val="22"/>
          <w:szCs w:val="22"/>
          <w:lang w:val="en-GB"/>
        </w:rPr>
        <w:t xml:space="preserve"> </w:t>
      </w:r>
      <w:r w:rsidR="00D43F72">
        <w:rPr>
          <w:rFonts w:ascii="Arial" w:hAnsi="Arial" w:cs="Arial"/>
          <w:color w:val="0D0D0D" w:themeColor="text1" w:themeTint="F2"/>
          <w:sz w:val="22"/>
          <w:szCs w:val="22"/>
          <w:lang w:val="en-GB"/>
        </w:rPr>
        <w:t xml:space="preserve">The liquidator may admit or reject the claim for purposes of determining whether to pay the creditor. Whenever the liquidator has enough funds s/he may declare a dividend and pay the dividend to the creditors. </w:t>
      </w:r>
    </w:p>
    <w:p w14:paraId="2E31A0EE" w14:textId="77777777" w:rsidR="008C752E" w:rsidRDefault="008C752E" w:rsidP="00BC72BF">
      <w:pPr>
        <w:jc w:val="both"/>
        <w:rPr>
          <w:rFonts w:ascii="Arial" w:hAnsi="Arial" w:cs="Arial"/>
          <w:color w:val="0D0D0D" w:themeColor="text1" w:themeTint="F2"/>
          <w:sz w:val="22"/>
          <w:szCs w:val="22"/>
          <w:lang w:val="en-GB"/>
        </w:rPr>
      </w:pPr>
    </w:p>
    <w:p w14:paraId="2F22EF5E" w14:textId="14DB3F95" w:rsidR="008C752E" w:rsidRDefault="008C752E" w:rsidP="008C752E">
      <w:pPr>
        <w:jc w:val="both"/>
        <w:rPr>
          <w:rFonts w:ascii="Arial" w:hAnsi="Arial" w:cs="Arial"/>
          <w:color w:val="0D0D0D" w:themeColor="text1" w:themeTint="F2"/>
          <w:sz w:val="22"/>
          <w:szCs w:val="22"/>
          <w:lang w:val="en-GB"/>
        </w:rPr>
      </w:pPr>
      <w:r>
        <w:rPr>
          <w:rFonts w:ascii="Arial" w:hAnsi="Arial" w:cs="Arial"/>
          <w:color w:val="0D0D0D" w:themeColor="text1" w:themeTint="F2"/>
          <w:sz w:val="22"/>
          <w:szCs w:val="22"/>
          <w:lang w:val="en-GB"/>
        </w:rPr>
        <w:lastRenderedPageBreak/>
        <w:t>After preferential debts, the company’s debts rank equally.</w:t>
      </w:r>
      <w:r w:rsidR="009B7CB8">
        <w:rPr>
          <w:rFonts w:ascii="Arial" w:hAnsi="Arial" w:cs="Arial"/>
          <w:color w:val="0D0D0D" w:themeColor="text1" w:themeTint="F2"/>
          <w:sz w:val="22"/>
          <w:szCs w:val="22"/>
          <w:lang w:val="en-GB"/>
        </w:rPr>
        <w:t xml:space="preserve"> In the event the company has sufficient assets to pay all its creditors in full, interest must then be paid on the creditors’ </w:t>
      </w:r>
      <w:r w:rsidR="009A6BF0">
        <w:rPr>
          <w:rFonts w:ascii="Arial" w:hAnsi="Arial" w:cs="Arial"/>
          <w:color w:val="0D0D0D" w:themeColor="text1" w:themeTint="F2"/>
          <w:sz w:val="22"/>
          <w:szCs w:val="22"/>
          <w:lang w:val="en-GB"/>
        </w:rPr>
        <w:t>interest-bearing</w:t>
      </w:r>
      <w:r w:rsidR="009B7CB8">
        <w:rPr>
          <w:rFonts w:ascii="Arial" w:hAnsi="Arial" w:cs="Arial"/>
          <w:color w:val="0D0D0D" w:themeColor="text1" w:themeTint="F2"/>
          <w:sz w:val="22"/>
          <w:szCs w:val="22"/>
          <w:lang w:val="en-GB"/>
        </w:rPr>
        <w:t xml:space="preserve"> claims. </w:t>
      </w:r>
    </w:p>
    <w:p w14:paraId="0EE671A6" w14:textId="77777777" w:rsidR="008C752E" w:rsidRDefault="008C752E" w:rsidP="008C752E">
      <w:pPr>
        <w:jc w:val="both"/>
        <w:rPr>
          <w:rFonts w:ascii="Avenir Next Demi Bold" w:hAnsi="Avenir Next Demi Bold" w:cs="Arial"/>
          <w:b/>
          <w:bCs/>
          <w:sz w:val="22"/>
          <w:szCs w:val="22"/>
          <w:lang w:val="en-GB"/>
        </w:rPr>
      </w:pPr>
    </w:p>
    <w:p w14:paraId="30B6B68B" w14:textId="77777777" w:rsidR="008C752E" w:rsidRDefault="008C752E" w:rsidP="008C752E">
      <w:pPr>
        <w:jc w:val="both"/>
        <w:rPr>
          <w:rFonts w:ascii="Avenir Next Demi Bold" w:hAnsi="Avenir Next Demi Bold" w:cs="Arial"/>
          <w:b/>
          <w:bCs/>
          <w:sz w:val="22"/>
          <w:szCs w:val="22"/>
          <w:lang w:val="en-GB"/>
        </w:rPr>
      </w:pPr>
    </w:p>
    <w:p w14:paraId="55AE133E" w14:textId="39A2AC3F" w:rsidR="00B77F46" w:rsidRPr="00B1461F" w:rsidRDefault="0077498C" w:rsidP="008C752E">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00C606C3"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295D" w14:textId="77777777" w:rsidR="00B84AA5" w:rsidRDefault="00B84AA5" w:rsidP="00241B44">
      <w:r>
        <w:separator/>
      </w:r>
    </w:p>
  </w:endnote>
  <w:endnote w:type="continuationSeparator" w:id="0">
    <w:p w14:paraId="0ED1AFF4" w14:textId="77777777" w:rsidR="00B84AA5" w:rsidRDefault="00B84A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3FA506D2" w:rsidR="00241FA3" w:rsidRPr="00F41DA5" w:rsidRDefault="008D2B8F" w:rsidP="009B4976">
    <w:pPr>
      <w:pStyle w:val="Footer"/>
      <w:ind w:right="360"/>
      <w:rPr>
        <w:rFonts w:ascii="Avenir Next" w:hAnsi="Avenir Next" w:cs="Arial"/>
        <w:sz w:val="22"/>
        <w:szCs w:val="22"/>
        <w:lang w:val="en-GB"/>
      </w:rPr>
    </w:pPr>
    <w:r>
      <w:rPr>
        <w:rFonts w:ascii="Avenir Next" w:hAnsi="Avenir Next" w:cs="Arial"/>
        <w:sz w:val="22"/>
        <w:szCs w:val="22"/>
        <w:lang w:val="en-GB"/>
      </w:rPr>
      <w:t>202223-787.assessment7E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BA99" w14:textId="77777777" w:rsidR="00B84AA5" w:rsidRDefault="00B84AA5" w:rsidP="00241B44">
      <w:r>
        <w:separator/>
      </w:r>
    </w:p>
  </w:footnote>
  <w:footnote w:type="continuationSeparator" w:id="0">
    <w:p w14:paraId="20298DF2" w14:textId="77777777" w:rsidR="00B84AA5" w:rsidRDefault="00B84AA5" w:rsidP="00241B44">
      <w:r>
        <w:continuationSeparator/>
      </w:r>
    </w:p>
  </w:footnote>
  <w:footnote w:id="1">
    <w:p w14:paraId="1252D079" w14:textId="11645BD2" w:rsidR="00CF67B5" w:rsidRPr="00CF67B5" w:rsidRDefault="00CF67B5">
      <w:pPr>
        <w:pStyle w:val="FootnoteText"/>
        <w:rPr>
          <w:lang w:val="en-GB"/>
        </w:rPr>
      </w:pPr>
      <w:r>
        <w:rPr>
          <w:rStyle w:val="FootnoteReference"/>
        </w:rPr>
        <w:footnoteRef/>
      </w:r>
      <w:r>
        <w:t xml:space="preserve"> </w:t>
      </w:r>
      <w:r>
        <w:rPr>
          <w:lang w:val="en-GB"/>
        </w:rPr>
        <w:t xml:space="preserve">Bankruptcy law art. 13. </w:t>
      </w:r>
    </w:p>
  </w:footnote>
  <w:footnote w:id="2">
    <w:p w14:paraId="4BD97907" w14:textId="77F6A682" w:rsidR="00CF67B5" w:rsidRPr="00CF67B5" w:rsidRDefault="00CF67B5">
      <w:pPr>
        <w:pStyle w:val="FootnoteText"/>
        <w:rPr>
          <w:lang w:val="en-GB"/>
        </w:rPr>
      </w:pPr>
      <w:r>
        <w:rPr>
          <w:rStyle w:val="FootnoteReference"/>
        </w:rPr>
        <w:footnoteRef/>
      </w:r>
      <w:r>
        <w:t xml:space="preserve"> </w:t>
      </w:r>
      <w:r>
        <w:rPr>
          <w:lang w:val="en-GB"/>
        </w:rPr>
        <w:t>Idem art.17.</w:t>
      </w:r>
    </w:p>
  </w:footnote>
  <w:footnote w:id="3">
    <w:p w14:paraId="1B175240" w14:textId="1C10217D" w:rsidR="00DC7609" w:rsidRPr="00DC7609" w:rsidRDefault="00DC7609">
      <w:pPr>
        <w:pStyle w:val="FootnoteText"/>
        <w:rPr>
          <w:lang w:val="en-GB"/>
        </w:rPr>
      </w:pPr>
      <w:r>
        <w:rPr>
          <w:rStyle w:val="FootnoteReference"/>
        </w:rPr>
        <w:footnoteRef/>
      </w:r>
      <w:r>
        <w:t xml:space="preserve"> </w:t>
      </w:r>
      <w:r>
        <w:rPr>
          <w:lang w:val="en-GB"/>
        </w:rPr>
        <w:t>Ide</w:t>
      </w:r>
      <w:r w:rsidR="009A6BF0">
        <w:rPr>
          <w:lang w:val="en-GB"/>
        </w:rPr>
        <w:t>m</w:t>
      </w:r>
      <w:r>
        <w:rPr>
          <w:lang w:val="en-GB"/>
        </w:rPr>
        <w:t xml:space="preserve"> art. 42.</w:t>
      </w:r>
    </w:p>
  </w:footnote>
  <w:footnote w:id="4">
    <w:p w14:paraId="39EBEBA7" w14:textId="73A54904" w:rsidR="00FF7BA4" w:rsidRPr="00FF7BA4" w:rsidRDefault="00FF7BA4">
      <w:pPr>
        <w:pStyle w:val="FootnoteText"/>
        <w:rPr>
          <w:lang w:val="en-GB"/>
        </w:rPr>
      </w:pPr>
      <w:r>
        <w:rPr>
          <w:rStyle w:val="FootnoteReference"/>
        </w:rPr>
        <w:footnoteRef/>
      </w:r>
      <w:r>
        <w:t xml:space="preserve"> </w:t>
      </w:r>
      <w:r>
        <w:rPr>
          <w:lang w:val="en-GB"/>
        </w:rPr>
        <w:t>Bankruptcy Law art. 56.</w:t>
      </w:r>
    </w:p>
  </w:footnote>
  <w:footnote w:id="5">
    <w:p w14:paraId="6EA24025" w14:textId="019EBAAD" w:rsidR="00AC2109" w:rsidRPr="00AC2109" w:rsidRDefault="00AC2109">
      <w:pPr>
        <w:pStyle w:val="FootnoteText"/>
        <w:rPr>
          <w:lang w:val="en-GB"/>
        </w:rPr>
      </w:pPr>
      <w:r>
        <w:rPr>
          <w:rStyle w:val="FootnoteReference"/>
        </w:rPr>
        <w:footnoteRef/>
      </w:r>
      <w:r>
        <w:t xml:space="preserve"> Idem a</w:t>
      </w:r>
      <w:r>
        <w:rPr>
          <w:lang w:val="en-GB"/>
        </w:rPr>
        <w:t xml:space="preserve">rt 99 &amp; 101. </w:t>
      </w:r>
    </w:p>
  </w:footnote>
  <w:footnote w:id="6">
    <w:p w14:paraId="47967F49" w14:textId="196EFC0F" w:rsidR="000A3E6E" w:rsidRPr="000A3E6E" w:rsidRDefault="000A3E6E">
      <w:pPr>
        <w:pStyle w:val="FootnoteText"/>
        <w:rPr>
          <w:lang w:val="en-GB"/>
        </w:rPr>
      </w:pPr>
      <w:r>
        <w:rPr>
          <w:rStyle w:val="FootnoteReference"/>
        </w:rPr>
        <w:footnoteRef/>
      </w:r>
      <w:r>
        <w:t xml:space="preserve"> </w:t>
      </w:r>
      <w:r>
        <w:rPr>
          <w:lang w:val="en-GB"/>
        </w:rPr>
        <w:t>Idem art 115.</w:t>
      </w:r>
    </w:p>
  </w:footnote>
  <w:footnote w:id="7">
    <w:p w14:paraId="1F695D54" w14:textId="1C6B9F2B" w:rsidR="00B97ECC" w:rsidRPr="00B97ECC" w:rsidRDefault="00B97ECC">
      <w:pPr>
        <w:pStyle w:val="FootnoteText"/>
        <w:rPr>
          <w:lang w:val="en-GB"/>
        </w:rPr>
      </w:pPr>
      <w:r>
        <w:rPr>
          <w:rStyle w:val="FootnoteReference"/>
        </w:rPr>
        <w:footnoteRef/>
      </w:r>
      <w:r>
        <w:t xml:space="preserve"> </w:t>
      </w:r>
      <w:r>
        <w:rPr>
          <w:lang w:val="en-GB"/>
        </w:rPr>
        <w:t>Bankruptcy Law art 17.</w:t>
      </w:r>
    </w:p>
  </w:footnote>
  <w:footnote w:id="8">
    <w:p w14:paraId="47BE85E5" w14:textId="332DB005" w:rsidR="00904B11" w:rsidRPr="00904B11" w:rsidRDefault="00904B11">
      <w:pPr>
        <w:pStyle w:val="FootnoteText"/>
        <w:rPr>
          <w:lang w:val="en-GB"/>
        </w:rPr>
      </w:pPr>
      <w:r>
        <w:rPr>
          <w:rStyle w:val="FootnoteReference"/>
        </w:rPr>
        <w:footnoteRef/>
      </w:r>
      <w:r>
        <w:t xml:space="preserve"> </w:t>
      </w:r>
      <w:r w:rsidR="009A6BF0">
        <w:rPr>
          <w:lang w:val="en-GB"/>
        </w:rPr>
        <w:t>Bankruptcy</w:t>
      </w:r>
      <w:r>
        <w:rPr>
          <w:lang w:val="en-GB"/>
        </w:rPr>
        <w:t xml:space="preserve"> Law art 35.</w:t>
      </w:r>
    </w:p>
  </w:footnote>
  <w:footnote w:id="9">
    <w:p w14:paraId="5111A75B" w14:textId="7B429C6A" w:rsidR="00920B9E" w:rsidRPr="00920B9E" w:rsidRDefault="00920B9E">
      <w:pPr>
        <w:pStyle w:val="FootnoteText"/>
        <w:rPr>
          <w:lang w:val="en-GB"/>
        </w:rPr>
      </w:pPr>
      <w:r>
        <w:rPr>
          <w:rStyle w:val="FootnoteReference"/>
        </w:rPr>
        <w:footnoteRef/>
      </w:r>
      <w:r>
        <w:t xml:space="preserve"> </w:t>
      </w:r>
      <w:r>
        <w:rPr>
          <w:lang w:val="en-GB"/>
        </w:rPr>
        <w:t>Bankruptcy Law art 54.</w:t>
      </w:r>
    </w:p>
  </w:footnote>
  <w:footnote w:id="10">
    <w:p w14:paraId="00C52BB3" w14:textId="30C0081A" w:rsidR="00E561B6" w:rsidRPr="00E561B6" w:rsidRDefault="00E561B6">
      <w:pPr>
        <w:pStyle w:val="FootnoteText"/>
        <w:rPr>
          <w:lang w:val="en-GB"/>
        </w:rPr>
      </w:pPr>
      <w:r>
        <w:rPr>
          <w:rStyle w:val="FootnoteReference"/>
        </w:rPr>
        <w:footnoteRef/>
      </w:r>
      <w:r>
        <w:t xml:space="preserve"> </w:t>
      </w:r>
      <w:r>
        <w:rPr>
          <w:lang w:val="en-GB"/>
        </w:rPr>
        <w:t>Idem art 124.</w:t>
      </w:r>
    </w:p>
  </w:footnote>
  <w:footnote w:id="11">
    <w:p w14:paraId="38F164DE" w14:textId="418593E4" w:rsidR="00B5756F" w:rsidRPr="00B5756F" w:rsidRDefault="00B5756F">
      <w:pPr>
        <w:pStyle w:val="FootnoteText"/>
        <w:rPr>
          <w:lang w:val="en-GB"/>
        </w:rPr>
      </w:pPr>
      <w:r>
        <w:rPr>
          <w:rStyle w:val="FootnoteReference"/>
        </w:rPr>
        <w:footnoteRef/>
      </w:r>
      <w:r>
        <w:t xml:space="preserve"> </w:t>
      </w:r>
      <w:r>
        <w:rPr>
          <w:lang w:val="en-GB"/>
        </w:rPr>
        <w:t>Bankruptcy art 189.</w:t>
      </w:r>
    </w:p>
  </w:footnote>
  <w:footnote w:id="12">
    <w:p w14:paraId="1B5EB071" w14:textId="76D80FE2" w:rsidR="00C83096" w:rsidRPr="00C83096" w:rsidRDefault="00C83096">
      <w:pPr>
        <w:pStyle w:val="FootnoteText"/>
        <w:rPr>
          <w:lang w:val="en-GB"/>
        </w:rPr>
      </w:pPr>
      <w:r>
        <w:rPr>
          <w:rStyle w:val="FootnoteReference"/>
        </w:rPr>
        <w:footnoteRef/>
      </w:r>
      <w:r>
        <w:t xml:space="preserve"> </w:t>
      </w:r>
      <w:r>
        <w:rPr>
          <w:lang w:val="en-GB"/>
        </w:rPr>
        <w:t>Idem art 134.</w:t>
      </w:r>
    </w:p>
  </w:footnote>
  <w:footnote w:id="13">
    <w:p w14:paraId="3CF30A86" w14:textId="54777F89" w:rsidR="007525FB" w:rsidRPr="007525FB" w:rsidRDefault="007525FB">
      <w:pPr>
        <w:pStyle w:val="FootnoteText"/>
        <w:rPr>
          <w:lang w:val="en-GB"/>
        </w:rPr>
      </w:pPr>
      <w:r>
        <w:rPr>
          <w:rStyle w:val="FootnoteReference"/>
        </w:rPr>
        <w:footnoteRef/>
      </w:r>
      <w:r>
        <w:t xml:space="preserve"> </w:t>
      </w:r>
      <w:r>
        <w:rPr>
          <w:lang w:val="en-GB"/>
        </w:rPr>
        <w:t>DIFC Insolvency Regulations reg 6.16 &amp; 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3B2E3E"/>
    <w:multiLevelType w:val="hybridMultilevel"/>
    <w:tmpl w:val="E6500808"/>
    <w:lvl w:ilvl="0" w:tplc="20000001">
      <w:start w:val="1"/>
      <w:numFmt w:val="bullet"/>
      <w:lvlText w:val=""/>
      <w:lvlJc w:val="left"/>
      <w:pPr>
        <w:ind w:left="1090" w:hanging="360"/>
      </w:pPr>
      <w:rPr>
        <w:rFonts w:ascii="Symbol" w:hAnsi="Symbol" w:hint="default"/>
        <w:color w:val="0D0D0D" w:themeColor="text1" w:themeTint="F2"/>
      </w:rPr>
    </w:lvl>
    <w:lvl w:ilvl="1" w:tplc="20000003" w:tentative="1">
      <w:start w:val="1"/>
      <w:numFmt w:val="bullet"/>
      <w:lvlText w:val="o"/>
      <w:lvlJc w:val="left"/>
      <w:pPr>
        <w:ind w:left="1810" w:hanging="360"/>
      </w:pPr>
      <w:rPr>
        <w:rFonts w:ascii="Courier New" w:hAnsi="Courier New" w:cs="Courier New" w:hint="default"/>
      </w:rPr>
    </w:lvl>
    <w:lvl w:ilvl="2" w:tplc="20000005" w:tentative="1">
      <w:start w:val="1"/>
      <w:numFmt w:val="bullet"/>
      <w:lvlText w:val=""/>
      <w:lvlJc w:val="left"/>
      <w:pPr>
        <w:ind w:left="2530" w:hanging="360"/>
      </w:pPr>
      <w:rPr>
        <w:rFonts w:ascii="Wingdings" w:hAnsi="Wingdings" w:hint="default"/>
      </w:rPr>
    </w:lvl>
    <w:lvl w:ilvl="3" w:tplc="20000001" w:tentative="1">
      <w:start w:val="1"/>
      <w:numFmt w:val="bullet"/>
      <w:lvlText w:val=""/>
      <w:lvlJc w:val="left"/>
      <w:pPr>
        <w:ind w:left="3250" w:hanging="360"/>
      </w:pPr>
      <w:rPr>
        <w:rFonts w:ascii="Symbol" w:hAnsi="Symbol" w:hint="default"/>
      </w:rPr>
    </w:lvl>
    <w:lvl w:ilvl="4" w:tplc="20000003" w:tentative="1">
      <w:start w:val="1"/>
      <w:numFmt w:val="bullet"/>
      <w:lvlText w:val="o"/>
      <w:lvlJc w:val="left"/>
      <w:pPr>
        <w:ind w:left="3970" w:hanging="360"/>
      </w:pPr>
      <w:rPr>
        <w:rFonts w:ascii="Courier New" w:hAnsi="Courier New" w:cs="Courier New" w:hint="default"/>
      </w:rPr>
    </w:lvl>
    <w:lvl w:ilvl="5" w:tplc="20000005" w:tentative="1">
      <w:start w:val="1"/>
      <w:numFmt w:val="bullet"/>
      <w:lvlText w:val=""/>
      <w:lvlJc w:val="left"/>
      <w:pPr>
        <w:ind w:left="4690" w:hanging="360"/>
      </w:pPr>
      <w:rPr>
        <w:rFonts w:ascii="Wingdings" w:hAnsi="Wingdings" w:hint="default"/>
      </w:rPr>
    </w:lvl>
    <w:lvl w:ilvl="6" w:tplc="20000001" w:tentative="1">
      <w:start w:val="1"/>
      <w:numFmt w:val="bullet"/>
      <w:lvlText w:val=""/>
      <w:lvlJc w:val="left"/>
      <w:pPr>
        <w:ind w:left="5410" w:hanging="360"/>
      </w:pPr>
      <w:rPr>
        <w:rFonts w:ascii="Symbol" w:hAnsi="Symbol" w:hint="default"/>
      </w:rPr>
    </w:lvl>
    <w:lvl w:ilvl="7" w:tplc="20000003" w:tentative="1">
      <w:start w:val="1"/>
      <w:numFmt w:val="bullet"/>
      <w:lvlText w:val="o"/>
      <w:lvlJc w:val="left"/>
      <w:pPr>
        <w:ind w:left="6130" w:hanging="360"/>
      </w:pPr>
      <w:rPr>
        <w:rFonts w:ascii="Courier New" w:hAnsi="Courier New" w:cs="Courier New" w:hint="default"/>
      </w:rPr>
    </w:lvl>
    <w:lvl w:ilvl="8" w:tplc="20000005" w:tentative="1">
      <w:start w:val="1"/>
      <w:numFmt w:val="bullet"/>
      <w:lvlText w:val=""/>
      <w:lvlJc w:val="left"/>
      <w:pPr>
        <w:ind w:left="685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02CDD"/>
    <w:multiLevelType w:val="hybridMultilevel"/>
    <w:tmpl w:val="B038F0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5167050"/>
    <w:multiLevelType w:val="hybridMultilevel"/>
    <w:tmpl w:val="E54C4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8A7C7E"/>
    <w:multiLevelType w:val="hybridMultilevel"/>
    <w:tmpl w:val="8A0A4360"/>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32"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D60760"/>
    <w:multiLevelType w:val="hybridMultilevel"/>
    <w:tmpl w:val="5464DB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3"/>
  </w:num>
  <w:num w:numId="3">
    <w:abstractNumId w:val="36"/>
  </w:num>
  <w:num w:numId="4">
    <w:abstractNumId w:val="0"/>
  </w:num>
  <w:num w:numId="5">
    <w:abstractNumId w:val="24"/>
  </w:num>
  <w:num w:numId="6">
    <w:abstractNumId w:val="9"/>
  </w:num>
  <w:num w:numId="7">
    <w:abstractNumId w:val="6"/>
  </w:num>
  <w:num w:numId="8">
    <w:abstractNumId w:val="11"/>
  </w:num>
  <w:num w:numId="9">
    <w:abstractNumId w:val="21"/>
  </w:num>
  <w:num w:numId="10">
    <w:abstractNumId w:val="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37"/>
  </w:num>
  <w:num w:numId="15">
    <w:abstractNumId w:val="35"/>
  </w:num>
  <w:num w:numId="16">
    <w:abstractNumId w:val="7"/>
  </w:num>
  <w:num w:numId="17">
    <w:abstractNumId w:val="18"/>
  </w:num>
  <w:num w:numId="18">
    <w:abstractNumId w:val="27"/>
  </w:num>
  <w:num w:numId="19">
    <w:abstractNumId w:val="8"/>
  </w:num>
  <w:num w:numId="20">
    <w:abstractNumId w:val="16"/>
  </w:num>
  <w:num w:numId="21">
    <w:abstractNumId w:val="22"/>
  </w:num>
  <w:num w:numId="22">
    <w:abstractNumId w:val="26"/>
  </w:num>
  <w:num w:numId="23">
    <w:abstractNumId w:val="25"/>
  </w:num>
  <w:num w:numId="24">
    <w:abstractNumId w:val="12"/>
  </w:num>
  <w:num w:numId="25">
    <w:abstractNumId w:val="1"/>
  </w:num>
  <w:num w:numId="26">
    <w:abstractNumId w:val="2"/>
  </w:num>
  <w:num w:numId="27">
    <w:abstractNumId w:val="23"/>
  </w:num>
  <w:num w:numId="28">
    <w:abstractNumId w:val="20"/>
  </w:num>
  <w:num w:numId="29">
    <w:abstractNumId w:val="14"/>
  </w:num>
  <w:num w:numId="30">
    <w:abstractNumId w:val="3"/>
  </w:num>
  <w:num w:numId="31">
    <w:abstractNumId w:val="30"/>
  </w:num>
  <w:num w:numId="32">
    <w:abstractNumId w:val="33"/>
  </w:num>
  <w:num w:numId="33">
    <w:abstractNumId w:val="10"/>
  </w:num>
  <w:num w:numId="34">
    <w:abstractNumId w:val="19"/>
  </w:num>
  <w:num w:numId="35">
    <w:abstractNumId w:val="15"/>
  </w:num>
  <w:num w:numId="36">
    <w:abstractNumId w:val="28"/>
  </w:num>
  <w:num w:numId="37">
    <w:abstractNumId w:val="34"/>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5C9A"/>
    <w:rsid w:val="00016847"/>
    <w:rsid w:val="0001719C"/>
    <w:rsid w:val="00017E7C"/>
    <w:rsid w:val="00020557"/>
    <w:rsid w:val="00021FC2"/>
    <w:rsid w:val="00022151"/>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09C4"/>
    <w:rsid w:val="00061155"/>
    <w:rsid w:val="000627E0"/>
    <w:rsid w:val="0006495D"/>
    <w:rsid w:val="00065166"/>
    <w:rsid w:val="00067160"/>
    <w:rsid w:val="00067C67"/>
    <w:rsid w:val="0007191F"/>
    <w:rsid w:val="00073348"/>
    <w:rsid w:val="00076686"/>
    <w:rsid w:val="00076AC5"/>
    <w:rsid w:val="0007787B"/>
    <w:rsid w:val="00082609"/>
    <w:rsid w:val="0008283C"/>
    <w:rsid w:val="000851CC"/>
    <w:rsid w:val="00086F43"/>
    <w:rsid w:val="00087F21"/>
    <w:rsid w:val="000913C0"/>
    <w:rsid w:val="00091826"/>
    <w:rsid w:val="00093BE8"/>
    <w:rsid w:val="0009401D"/>
    <w:rsid w:val="000958DB"/>
    <w:rsid w:val="000959BB"/>
    <w:rsid w:val="000A208F"/>
    <w:rsid w:val="000A3E6E"/>
    <w:rsid w:val="000A3EA7"/>
    <w:rsid w:val="000A407B"/>
    <w:rsid w:val="000A613E"/>
    <w:rsid w:val="000A6879"/>
    <w:rsid w:val="000A68ED"/>
    <w:rsid w:val="000A6D56"/>
    <w:rsid w:val="000A7438"/>
    <w:rsid w:val="000B1E92"/>
    <w:rsid w:val="000B5FF1"/>
    <w:rsid w:val="000B609F"/>
    <w:rsid w:val="000C2244"/>
    <w:rsid w:val="000C5CD8"/>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4ADA"/>
    <w:rsid w:val="000F708F"/>
    <w:rsid w:val="001010E3"/>
    <w:rsid w:val="00101707"/>
    <w:rsid w:val="0010170D"/>
    <w:rsid w:val="00102956"/>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30FC"/>
    <w:rsid w:val="001A7E9A"/>
    <w:rsid w:val="001B0F70"/>
    <w:rsid w:val="001B462C"/>
    <w:rsid w:val="001B5016"/>
    <w:rsid w:val="001B5D64"/>
    <w:rsid w:val="001B5DC2"/>
    <w:rsid w:val="001B73E8"/>
    <w:rsid w:val="001B7A40"/>
    <w:rsid w:val="001C00A5"/>
    <w:rsid w:val="001C04CD"/>
    <w:rsid w:val="001C1FE0"/>
    <w:rsid w:val="001C2AC2"/>
    <w:rsid w:val="001C45FC"/>
    <w:rsid w:val="001D0469"/>
    <w:rsid w:val="001D29C0"/>
    <w:rsid w:val="001D4862"/>
    <w:rsid w:val="001D4BA3"/>
    <w:rsid w:val="001D4CF9"/>
    <w:rsid w:val="001D4E5E"/>
    <w:rsid w:val="001D572A"/>
    <w:rsid w:val="001D780C"/>
    <w:rsid w:val="001E087D"/>
    <w:rsid w:val="001E1429"/>
    <w:rsid w:val="001E25B9"/>
    <w:rsid w:val="001E49B0"/>
    <w:rsid w:val="001E49E0"/>
    <w:rsid w:val="001E58F4"/>
    <w:rsid w:val="001E7B5A"/>
    <w:rsid w:val="001F28BF"/>
    <w:rsid w:val="001F52A0"/>
    <w:rsid w:val="001F7412"/>
    <w:rsid w:val="0020090A"/>
    <w:rsid w:val="00201840"/>
    <w:rsid w:val="00202DFE"/>
    <w:rsid w:val="00203269"/>
    <w:rsid w:val="0020537C"/>
    <w:rsid w:val="002057EE"/>
    <w:rsid w:val="0020725B"/>
    <w:rsid w:val="002072BE"/>
    <w:rsid w:val="00207C3D"/>
    <w:rsid w:val="002110F1"/>
    <w:rsid w:val="00212CC1"/>
    <w:rsid w:val="0021407D"/>
    <w:rsid w:val="00214536"/>
    <w:rsid w:val="00217AF9"/>
    <w:rsid w:val="0022116B"/>
    <w:rsid w:val="00221D20"/>
    <w:rsid w:val="00222EC6"/>
    <w:rsid w:val="00223A74"/>
    <w:rsid w:val="00226CB6"/>
    <w:rsid w:val="00230812"/>
    <w:rsid w:val="00231BC8"/>
    <w:rsid w:val="00231FB2"/>
    <w:rsid w:val="00233B19"/>
    <w:rsid w:val="002356EA"/>
    <w:rsid w:val="002373A3"/>
    <w:rsid w:val="00237777"/>
    <w:rsid w:val="00237C72"/>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594E"/>
    <w:rsid w:val="0026647A"/>
    <w:rsid w:val="002668D3"/>
    <w:rsid w:val="00267804"/>
    <w:rsid w:val="00267A6B"/>
    <w:rsid w:val="00270438"/>
    <w:rsid w:val="002722CA"/>
    <w:rsid w:val="0027278E"/>
    <w:rsid w:val="0027299F"/>
    <w:rsid w:val="002729FA"/>
    <w:rsid w:val="00277995"/>
    <w:rsid w:val="002804F1"/>
    <w:rsid w:val="00284EBE"/>
    <w:rsid w:val="0028561C"/>
    <w:rsid w:val="002857F4"/>
    <w:rsid w:val="0028777F"/>
    <w:rsid w:val="002903A7"/>
    <w:rsid w:val="00290E51"/>
    <w:rsid w:val="0029282A"/>
    <w:rsid w:val="002937F3"/>
    <w:rsid w:val="0029433F"/>
    <w:rsid w:val="00294829"/>
    <w:rsid w:val="0029690F"/>
    <w:rsid w:val="00297C8A"/>
    <w:rsid w:val="002A2A60"/>
    <w:rsid w:val="002A37BB"/>
    <w:rsid w:val="002A386E"/>
    <w:rsid w:val="002B1C45"/>
    <w:rsid w:val="002B3FF0"/>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07EEE"/>
    <w:rsid w:val="00310B3F"/>
    <w:rsid w:val="00310CD9"/>
    <w:rsid w:val="003144EF"/>
    <w:rsid w:val="00316AB2"/>
    <w:rsid w:val="003239DE"/>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57C14"/>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CFE"/>
    <w:rsid w:val="00397D3A"/>
    <w:rsid w:val="003A051E"/>
    <w:rsid w:val="003A0927"/>
    <w:rsid w:val="003A2D1E"/>
    <w:rsid w:val="003B0EE9"/>
    <w:rsid w:val="003B14C2"/>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40E7"/>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A45"/>
    <w:rsid w:val="00430FED"/>
    <w:rsid w:val="00431205"/>
    <w:rsid w:val="004326EC"/>
    <w:rsid w:val="00434A8C"/>
    <w:rsid w:val="00437297"/>
    <w:rsid w:val="004402DC"/>
    <w:rsid w:val="00442173"/>
    <w:rsid w:val="00443EDD"/>
    <w:rsid w:val="00444284"/>
    <w:rsid w:val="00444FA0"/>
    <w:rsid w:val="00445CE6"/>
    <w:rsid w:val="00450A62"/>
    <w:rsid w:val="00451201"/>
    <w:rsid w:val="004534C2"/>
    <w:rsid w:val="00454129"/>
    <w:rsid w:val="0045446F"/>
    <w:rsid w:val="00454E2B"/>
    <w:rsid w:val="0045550B"/>
    <w:rsid w:val="0045683E"/>
    <w:rsid w:val="00457178"/>
    <w:rsid w:val="004601A2"/>
    <w:rsid w:val="0047497A"/>
    <w:rsid w:val="00475CC7"/>
    <w:rsid w:val="00477C72"/>
    <w:rsid w:val="0048011F"/>
    <w:rsid w:val="00481D6B"/>
    <w:rsid w:val="00482465"/>
    <w:rsid w:val="004858E1"/>
    <w:rsid w:val="004873F8"/>
    <w:rsid w:val="004909BA"/>
    <w:rsid w:val="00490FDA"/>
    <w:rsid w:val="00491675"/>
    <w:rsid w:val="00491B45"/>
    <w:rsid w:val="00493855"/>
    <w:rsid w:val="00494C98"/>
    <w:rsid w:val="0049537E"/>
    <w:rsid w:val="00495E79"/>
    <w:rsid w:val="0049714D"/>
    <w:rsid w:val="004A2D83"/>
    <w:rsid w:val="004A57DD"/>
    <w:rsid w:val="004A57FB"/>
    <w:rsid w:val="004A60CB"/>
    <w:rsid w:val="004A7B51"/>
    <w:rsid w:val="004A7D71"/>
    <w:rsid w:val="004A7EF3"/>
    <w:rsid w:val="004B11FD"/>
    <w:rsid w:val="004B23A2"/>
    <w:rsid w:val="004B3D23"/>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3E6"/>
    <w:rsid w:val="004E185D"/>
    <w:rsid w:val="004E3A6B"/>
    <w:rsid w:val="004E408D"/>
    <w:rsid w:val="004E4ADF"/>
    <w:rsid w:val="004E59F7"/>
    <w:rsid w:val="004E622C"/>
    <w:rsid w:val="004E7232"/>
    <w:rsid w:val="004F5FDF"/>
    <w:rsid w:val="00502C57"/>
    <w:rsid w:val="00503068"/>
    <w:rsid w:val="00504765"/>
    <w:rsid w:val="005054A9"/>
    <w:rsid w:val="00506B49"/>
    <w:rsid w:val="00515C35"/>
    <w:rsid w:val="005177FE"/>
    <w:rsid w:val="0052263B"/>
    <w:rsid w:val="00522B78"/>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0DE5"/>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67BC9"/>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700"/>
    <w:rsid w:val="00610AC7"/>
    <w:rsid w:val="00610E39"/>
    <w:rsid w:val="0061276A"/>
    <w:rsid w:val="00612CA5"/>
    <w:rsid w:val="00614FF3"/>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0BBF"/>
    <w:rsid w:val="0065181E"/>
    <w:rsid w:val="00651CFC"/>
    <w:rsid w:val="00654C2F"/>
    <w:rsid w:val="00657087"/>
    <w:rsid w:val="006570FC"/>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238"/>
    <w:rsid w:val="0069476B"/>
    <w:rsid w:val="00694B71"/>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2C17"/>
    <w:rsid w:val="006C361E"/>
    <w:rsid w:val="006C4612"/>
    <w:rsid w:val="006C6000"/>
    <w:rsid w:val="006C7344"/>
    <w:rsid w:val="006D170E"/>
    <w:rsid w:val="006D2BE7"/>
    <w:rsid w:val="006D6BD5"/>
    <w:rsid w:val="006D7935"/>
    <w:rsid w:val="006E07C2"/>
    <w:rsid w:val="006E210A"/>
    <w:rsid w:val="006E21C4"/>
    <w:rsid w:val="006E480B"/>
    <w:rsid w:val="006E481A"/>
    <w:rsid w:val="006E5298"/>
    <w:rsid w:val="006E692E"/>
    <w:rsid w:val="006F400A"/>
    <w:rsid w:val="006F41CC"/>
    <w:rsid w:val="006F4A78"/>
    <w:rsid w:val="006F734A"/>
    <w:rsid w:val="00700D83"/>
    <w:rsid w:val="00701F75"/>
    <w:rsid w:val="007038C5"/>
    <w:rsid w:val="00704852"/>
    <w:rsid w:val="00705104"/>
    <w:rsid w:val="007065BB"/>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27D56"/>
    <w:rsid w:val="0073051E"/>
    <w:rsid w:val="0073158B"/>
    <w:rsid w:val="0073326E"/>
    <w:rsid w:val="007333CC"/>
    <w:rsid w:val="0073399A"/>
    <w:rsid w:val="00736498"/>
    <w:rsid w:val="00736D5D"/>
    <w:rsid w:val="00737C86"/>
    <w:rsid w:val="00740DAD"/>
    <w:rsid w:val="00747162"/>
    <w:rsid w:val="007525FB"/>
    <w:rsid w:val="007537B8"/>
    <w:rsid w:val="00754BBC"/>
    <w:rsid w:val="007603F5"/>
    <w:rsid w:val="00764DB0"/>
    <w:rsid w:val="00765AE9"/>
    <w:rsid w:val="0076764D"/>
    <w:rsid w:val="007677DE"/>
    <w:rsid w:val="0077498C"/>
    <w:rsid w:val="00774A12"/>
    <w:rsid w:val="00775D54"/>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80E"/>
    <w:rsid w:val="007B5AFB"/>
    <w:rsid w:val="007B5C89"/>
    <w:rsid w:val="007B7E06"/>
    <w:rsid w:val="007B7FAB"/>
    <w:rsid w:val="007C1FCC"/>
    <w:rsid w:val="007C3C2E"/>
    <w:rsid w:val="007C6201"/>
    <w:rsid w:val="007D227D"/>
    <w:rsid w:val="007D4A65"/>
    <w:rsid w:val="007D63C5"/>
    <w:rsid w:val="007D6DF1"/>
    <w:rsid w:val="007D7C92"/>
    <w:rsid w:val="007E042D"/>
    <w:rsid w:val="007E0E15"/>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0E38"/>
    <w:rsid w:val="00812FA4"/>
    <w:rsid w:val="00816D04"/>
    <w:rsid w:val="00822751"/>
    <w:rsid w:val="008234B4"/>
    <w:rsid w:val="008234D4"/>
    <w:rsid w:val="0082483F"/>
    <w:rsid w:val="00825B36"/>
    <w:rsid w:val="008279C0"/>
    <w:rsid w:val="00830097"/>
    <w:rsid w:val="008307FE"/>
    <w:rsid w:val="00831DCC"/>
    <w:rsid w:val="00832377"/>
    <w:rsid w:val="00832877"/>
    <w:rsid w:val="008415BE"/>
    <w:rsid w:val="00842FC8"/>
    <w:rsid w:val="008447BE"/>
    <w:rsid w:val="00844879"/>
    <w:rsid w:val="008479B5"/>
    <w:rsid w:val="00851B6A"/>
    <w:rsid w:val="00853BBA"/>
    <w:rsid w:val="00857F35"/>
    <w:rsid w:val="008619A1"/>
    <w:rsid w:val="008630A4"/>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3BFE"/>
    <w:rsid w:val="008942AB"/>
    <w:rsid w:val="00895343"/>
    <w:rsid w:val="00897A60"/>
    <w:rsid w:val="00897EF7"/>
    <w:rsid w:val="008A0AD3"/>
    <w:rsid w:val="008A1C37"/>
    <w:rsid w:val="008A4DF2"/>
    <w:rsid w:val="008A6CFE"/>
    <w:rsid w:val="008B4E45"/>
    <w:rsid w:val="008B5165"/>
    <w:rsid w:val="008B5333"/>
    <w:rsid w:val="008B6223"/>
    <w:rsid w:val="008B6EE0"/>
    <w:rsid w:val="008C06AD"/>
    <w:rsid w:val="008C0A02"/>
    <w:rsid w:val="008C66E0"/>
    <w:rsid w:val="008C6923"/>
    <w:rsid w:val="008C752E"/>
    <w:rsid w:val="008C7904"/>
    <w:rsid w:val="008D2B8F"/>
    <w:rsid w:val="008D3BF2"/>
    <w:rsid w:val="008D6C42"/>
    <w:rsid w:val="008D769A"/>
    <w:rsid w:val="008E0FD8"/>
    <w:rsid w:val="008E1CC1"/>
    <w:rsid w:val="008E3339"/>
    <w:rsid w:val="008E6272"/>
    <w:rsid w:val="008E7AAE"/>
    <w:rsid w:val="008E7F55"/>
    <w:rsid w:val="008F20FC"/>
    <w:rsid w:val="008F4A35"/>
    <w:rsid w:val="008F5FFE"/>
    <w:rsid w:val="008F6C22"/>
    <w:rsid w:val="00903422"/>
    <w:rsid w:val="0090376F"/>
    <w:rsid w:val="00904B11"/>
    <w:rsid w:val="00905A43"/>
    <w:rsid w:val="009075E4"/>
    <w:rsid w:val="0091251C"/>
    <w:rsid w:val="00912873"/>
    <w:rsid w:val="00912C79"/>
    <w:rsid w:val="00913932"/>
    <w:rsid w:val="0091633B"/>
    <w:rsid w:val="0091693A"/>
    <w:rsid w:val="00917D18"/>
    <w:rsid w:val="00920B9E"/>
    <w:rsid w:val="00921B8C"/>
    <w:rsid w:val="00923EAD"/>
    <w:rsid w:val="00924D26"/>
    <w:rsid w:val="009309A0"/>
    <w:rsid w:val="009314AD"/>
    <w:rsid w:val="00933F46"/>
    <w:rsid w:val="00940120"/>
    <w:rsid w:val="00942123"/>
    <w:rsid w:val="00945BCC"/>
    <w:rsid w:val="00947A35"/>
    <w:rsid w:val="00950426"/>
    <w:rsid w:val="0095207B"/>
    <w:rsid w:val="00952E42"/>
    <w:rsid w:val="00953349"/>
    <w:rsid w:val="00954B98"/>
    <w:rsid w:val="00954CBB"/>
    <w:rsid w:val="0095607F"/>
    <w:rsid w:val="009603E5"/>
    <w:rsid w:val="00962045"/>
    <w:rsid w:val="00962513"/>
    <w:rsid w:val="00962A92"/>
    <w:rsid w:val="00962C93"/>
    <w:rsid w:val="009631DC"/>
    <w:rsid w:val="00965804"/>
    <w:rsid w:val="0096727F"/>
    <w:rsid w:val="009705AA"/>
    <w:rsid w:val="009713E0"/>
    <w:rsid w:val="00973BEB"/>
    <w:rsid w:val="00973D65"/>
    <w:rsid w:val="00975CBB"/>
    <w:rsid w:val="00980E61"/>
    <w:rsid w:val="00981A3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6BF0"/>
    <w:rsid w:val="009A7B9B"/>
    <w:rsid w:val="009A7EF0"/>
    <w:rsid w:val="009B0723"/>
    <w:rsid w:val="009B07AD"/>
    <w:rsid w:val="009B0883"/>
    <w:rsid w:val="009B15E2"/>
    <w:rsid w:val="009B4976"/>
    <w:rsid w:val="009B5419"/>
    <w:rsid w:val="009B7CB8"/>
    <w:rsid w:val="009C0B8E"/>
    <w:rsid w:val="009C1BC8"/>
    <w:rsid w:val="009C2442"/>
    <w:rsid w:val="009C33B4"/>
    <w:rsid w:val="009D0811"/>
    <w:rsid w:val="009D0EE1"/>
    <w:rsid w:val="009D0EFA"/>
    <w:rsid w:val="009D2A80"/>
    <w:rsid w:val="009D599A"/>
    <w:rsid w:val="009D6501"/>
    <w:rsid w:val="009E2A8A"/>
    <w:rsid w:val="009E2AEB"/>
    <w:rsid w:val="009E2E27"/>
    <w:rsid w:val="009E35A6"/>
    <w:rsid w:val="009E35FC"/>
    <w:rsid w:val="009E45DF"/>
    <w:rsid w:val="009E4DE3"/>
    <w:rsid w:val="009E6997"/>
    <w:rsid w:val="009E69E8"/>
    <w:rsid w:val="009E7458"/>
    <w:rsid w:val="009E77CD"/>
    <w:rsid w:val="009F275E"/>
    <w:rsid w:val="009F384C"/>
    <w:rsid w:val="009F40BB"/>
    <w:rsid w:val="009F4566"/>
    <w:rsid w:val="009F4DCF"/>
    <w:rsid w:val="009F5B42"/>
    <w:rsid w:val="009F6604"/>
    <w:rsid w:val="009F703D"/>
    <w:rsid w:val="00A039BC"/>
    <w:rsid w:val="00A047EE"/>
    <w:rsid w:val="00A05F35"/>
    <w:rsid w:val="00A0627E"/>
    <w:rsid w:val="00A06C2B"/>
    <w:rsid w:val="00A13100"/>
    <w:rsid w:val="00A13EA2"/>
    <w:rsid w:val="00A14542"/>
    <w:rsid w:val="00A17064"/>
    <w:rsid w:val="00A179BD"/>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533F"/>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1216"/>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3BE4"/>
    <w:rsid w:val="00AB653C"/>
    <w:rsid w:val="00AB685C"/>
    <w:rsid w:val="00AB6C2D"/>
    <w:rsid w:val="00AB7DB2"/>
    <w:rsid w:val="00AC04EB"/>
    <w:rsid w:val="00AC08F7"/>
    <w:rsid w:val="00AC12C3"/>
    <w:rsid w:val="00AC2109"/>
    <w:rsid w:val="00AC3839"/>
    <w:rsid w:val="00AC7082"/>
    <w:rsid w:val="00AC7550"/>
    <w:rsid w:val="00AD1D19"/>
    <w:rsid w:val="00AD4BE8"/>
    <w:rsid w:val="00AD6545"/>
    <w:rsid w:val="00AE1A12"/>
    <w:rsid w:val="00AE1DA9"/>
    <w:rsid w:val="00AE5EB6"/>
    <w:rsid w:val="00AE75C4"/>
    <w:rsid w:val="00AF02E5"/>
    <w:rsid w:val="00AF195B"/>
    <w:rsid w:val="00AF228E"/>
    <w:rsid w:val="00AF38B6"/>
    <w:rsid w:val="00AF4CE5"/>
    <w:rsid w:val="00B01277"/>
    <w:rsid w:val="00B016A8"/>
    <w:rsid w:val="00B03A25"/>
    <w:rsid w:val="00B05601"/>
    <w:rsid w:val="00B05A4B"/>
    <w:rsid w:val="00B12EE2"/>
    <w:rsid w:val="00B1461F"/>
    <w:rsid w:val="00B14819"/>
    <w:rsid w:val="00B15E2F"/>
    <w:rsid w:val="00B17AA9"/>
    <w:rsid w:val="00B208E4"/>
    <w:rsid w:val="00B21A23"/>
    <w:rsid w:val="00B22A28"/>
    <w:rsid w:val="00B22C21"/>
    <w:rsid w:val="00B24839"/>
    <w:rsid w:val="00B30294"/>
    <w:rsid w:val="00B31FF7"/>
    <w:rsid w:val="00B330D4"/>
    <w:rsid w:val="00B3727B"/>
    <w:rsid w:val="00B401D6"/>
    <w:rsid w:val="00B404F6"/>
    <w:rsid w:val="00B44713"/>
    <w:rsid w:val="00B46C4B"/>
    <w:rsid w:val="00B50944"/>
    <w:rsid w:val="00B517AE"/>
    <w:rsid w:val="00B51B95"/>
    <w:rsid w:val="00B52EBA"/>
    <w:rsid w:val="00B540AD"/>
    <w:rsid w:val="00B56103"/>
    <w:rsid w:val="00B5756F"/>
    <w:rsid w:val="00B578C1"/>
    <w:rsid w:val="00B61534"/>
    <w:rsid w:val="00B616F8"/>
    <w:rsid w:val="00B62003"/>
    <w:rsid w:val="00B64929"/>
    <w:rsid w:val="00B659A8"/>
    <w:rsid w:val="00B66E53"/>
    <w:rsid w:val="00B6780F"/>
    <w:rsid w:val="00B703CA"/>
    <w:rsid w:val="00B71885"/>
    <w:rsid w:val="00B736DF"/>
    <w:rsid w:val="00B743D6"/>
    <w:rsid w:val="00B74FBD"/>
    <w:rsid w:val="00B76187"/>
    <w:rsid w:val="00B77F46"/>
    <w:rsid w:val="00B8009F"/>
    <w:rsid w:val="00B821F5"/>
    <w:rsid w:val="00B82586"/>
    <w:rsid w:val="00B829A3"/>
    <w:rsid w:val="00B82A15"/>
    <w:rsid w:val="00B849F4"/>
    <w:rsid w:val="00B84AA5"/>
    <w:rsid w:val="00B84C91"/>
    <w:rsid w:val="00B86D36"/>
    <w:rsid w:val="00B86DB1"/>
    <w:rsid w:val="00B87869"/>
    <w:rsid w:val="00B87A29"/>
    <w:rsid w:val="00B87DBA"/>
    <w:rsid w:val="00B91173"/>
    <w:rsid w:val="00B91544"/>
    <w:rsid w:val="00B94841"/>
    <w:rsid w:val="00B960A8"/>
    <w:rsid w:val="00B9639B"/>
    <w:rsid w:val="00B97759"/>
    <w:rsid w:val="00B97ECA"/>
    <w:rsid w:val="00B97ECC"/>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5AEC"/>
    <w:rsid w:val="00BC6005"/>
    <w:rsid w:val="00BC71B8"/>
    <w:rsid w:val="00BC72BF"/>
    <w:rsid w:val="00BD4A3D"/>
    <w:rsid w:val="00BD545E"/>
    <w:rsid w:val="00BD5C7A"/>
    <w:rsid w:val="00BE4005"/>
    <w:rsid w:val="00BE4EB6"/>
    <w:rsid w:val="00BE4FF3"/>
    <w:rsid w:val="00BE73D3"/>
    <w:rsid w:val="00BF2335"/>
    <w:rsid w:val="00BF35D6"/>
    <w:rsid w:val="00BF499E"/>
    <w:rsid w:val="00BF50F7"/>
    <w:rsid w:val="00BF6746"/>
    <w:rsid w:val="00BF7A6F"/>
    <w:rsid w:val="00C02F29"/>
    <w:rsid w:val="00C03ED0"/>
    <w:rsid w:val="00C100C3"/>
    <w:rsid w:val="00C119EA"/>
    <w:rsid w:val="00C12C2D"/>
    <w:rsid w:val="00C1325C"/>
    <w:rsid w:val="00C14675"/>
    <w:rsid w:val="00C16A80"/>
    <w:rsid w:val="00C17718"/>
    <w:rsid w:val="00C20AFE"/>
    <w:rsid w:val="00C22A25"/>
    <w:rsid w:val="00C24907"/>
    <w:rsid w:val="00C24D9B"/>
    <w:rsid w:val="00C27B6A"/>
    <w:rsid w:val="00C3102F"/>
    <w:rsid w:val="00C345B2"/>
    <w:rsid w:val="00C35671"/>
    <w:rsid w:val="00C35B77"/>
    <w:rsid w:val="00C3600E"/>
    <w:rsid w:val="00C376EB"/>
    <w:rsid w:val="00C41B6B"/>
    <w:rsid w:val="00C42A8A"/>
    <w:rsid w:val="00C434C3"/>
    <w:rsid w:val="00C45305"/>
    <w:rsid w:val="00C46A92"/>
    <w:rsid w:val="00C46EC1"/>
    <w:rsid w:val="00C478F7"/>
    <w:rsid w:val="00C51E0E"/>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096"/>
    <w:rsid w:val="00C83640"/>
    <w:rsid w:val="00C83657"/>
    <w:rsid w:val="00C8712A"/>
    <w:rsid w:val="00C902C8"/>
    <w:rsid w:val="00C919D1"/>
    <w:rsid w:val="00C963D3"/>
    <w:rsid w:val="00CA254C"/>
    <w:rsid w:val="00CA49B1"/>
    <w:rsid w:val="00CA7539"/>
    <w:rsid w:val="00CA768B"/>
    <w:rsid w:val="00CA7B50"/>
    <w:rsid w:val="00CB1983"/>
    <w:rsid w:val="00CB2CBB"/>
    <w:rsid w:val="00CB3E80"/>
    <w:rsid w:val="00CB6CCB"/>
    <w:rsid w:val="00CB7CAC"/>
    <w:rsid w:val="00CC4C50"/>
    <w:rsid w:val="00CC5335"/>
    <w:rsid w:val="00CC5451"/>
    <w:rsid w:val="00CC5BA4"/>
    <w:rsid w:val="00CC5C23"/>
    <w:rsid w:val="00CC6F73"/>
    <w:rsid w:val="00CD12BF"/>
    <w:rsid w:val="00CD4998"/>
    <w:rsid w:val="00CD5058"/>
    <w:rsid w:val="00CD6D34"/>
    <w:rsid w:val="00CD707C"/>
    <w:rsid w:val="00CE1035"/>
    <w:rsid w:val="00CE1D6B"/>
    <w:rsid w:val="00CE1E85"/>
    <w:rsid w:val="00CE6E50"/>
    <w:rsid w:val="00CE6FDF"/>
    <w:rsid w:val="00CE70C6"/>
    <w:rsid w:val="00CF0079"/>
    <w:rsid w:val="00CF2819"/>
    <w:rsid w:val="00CF4F9D"/>
    <w:rsid w:val="00CF5AAE"/>
    <w:rsid w:val="00CF60E9"/>
    <w:rsid w:val="00CF67B5"/>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35127"/>
    <w:rsid w:val="00D40B41"/>
    <w:rsid w:val="00D41FDB"/>
    <w:rsid w:val="00D42444"/>
    <w:rsid w:val="00D43F72"/>
    <w:rsid w:val="00D446CA"/>
    <w:rsid w:val="00D45B84"/>
    <w:rsid w:val="00D47FBB"/>
    <w:rsid w:val="00D522CF"/>
    <w:rsid w:val="00D53719"/>
    <w:rsid w:val="00D61596"/>
    <w:rsid w:val="00D62306"/>
    <w:rsid w:val="00D62E91"/>
    <w:rsid w:val="00D63EFD"/>
    <w:rsid w:val="00D70954"/>
    <w:rsid w:val="00D71018"/>
    <w:rsid w:val="00D716CF"/>
    <w:rsid w:val="00D722CB"/>
    <w:rsid w:val="00D7289C"/>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0C3F"/>
    <w:rsid w:val="00DB243C"/>
    <w:rsid w:val="00DB482A"/>
    <w:rsid w:val="00DB4B62"/>
    <w:rsid w:val="00DB5033"/>
    <w:rsid w:val="00DB50FB"/>
    <w:rsid w:val="00DB56F2"/>
    <w:rsid w:val="00DB5CA6"/>
    <w:rsid w:val="00DB63C6"/>
    <w:rsid w:val="00DB6780"/>
    <w:rsid w:val="00DB6EF5"/>
    <w:rsid w:val="00DC0163"/>
    <w:rsid w:val="00DC18FF"/>
    <w:rsid w:val="00DC1A02"/>
    <w:rsid w:val="00DC29AC"/>
    <w:rsid w:val="00DC2A58"/>
    <w:rsid w:val="00DC3089"/>
    <w:rsid w:val="00DC351B"/>
    <w:rsid w:val="00DC4420"/>
    <w:rsid w:val="00DC7609"/>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2AC7"/>
    <w:rsid w:val="00E04B79"/>
    <w:rsid w:val="00E05E61"/>
    <w:rsid w:val="00E07C5A"/>
    <w:rsid w:val="00E111CA"/>
    <w:rsid w:val="00E130E6"/>
    <w:rsid w:val="00E1378E"/>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1B6"/>
    <w:rsid w:val="00E56D74"/>
    <w:rsid w:val="00E57A7E"/>
    <w:rsid w:val="00E62FE8"/>
    <w:rsid w:val="00E6302B"/>
    <w:rsid w:val="00E6452F"/>
    <w:rsid w:val="00E64F45"/>
    <w:rsid w:val="00E657AA"/>
    <w:rsid w:val="00E6742D"/>
    <w:rsid w:val="00E71CB0"/>
    <w:rsid w:val="00E73735"/>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308"/>
    <w:rsid w:val="00EC1E6D"/>
    <w:rsid w:val="00EC2AF9"/>
    <w:rsid w:val="00EC3CB8"/>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EF7C7E"/>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1D3E"/>
    <w:rsid w:val="00F321D2"/>
    <w:rsid w:val="00F32C31"/>
    <w:rsid w:val="00F32F5A"/>
    <w:rsid w:val="00F3323E"/>
    <w:rsid w:val="00F3391C"/>
    <w:rsid w:val="00F33B81"/>
    <w:rsid w:val="00F341F4"/>
    <w:rsid w:val="00F343BB"/>
    <w:rsid w:val="00F34F9D"/>
    <w:rsid w:val="00F35CCE"/>
    <w:rsid w:val="00F361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772C1"/>
    <w:rsid w:val="00F802EF"/>
    <w:rsid w:val="00F83DBA"/>
    <w:rsid w:val="00F8668C"/>
    <w:rsid w:val="00F866FE"/>
    <w:rsid w:val="00F90C34"/>
    <w:rsid w:val="00F93732"/>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0273"/>
    <w:rsid w:val="00FE1D12"/>
    <w:rsid w:val="00FE2122"/>
    <w:rsid w:val="00FE2A86"/>
    <w:rsid w:val="00FE2DE2"/>
    <w:rsid w:val="00FE2F0E"/>
    <w:rsid w:val="00FE5603"/>
    <w:rsid w:val="00FE628D"/>
    <w:rsid w:val="00FF23D8"/>
    <w:rsid w:val="00FF296F"/>
    <w:rsid w:val="00FF437E"/>
    <w:rsid w:val="00FF5E23"/>
    <w:rsid w:val="00FF7578"/>
    <w:rsid w:val="00FF7B61"/>
    <w:rsid w:val="00FF7B7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120D-8686-4C81-857B-AF911336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AOJ</cp:lastModifiedBy>
  <cp:revision>43</cp:revision>
  <cp:lastPrinted>2023-07-27T12:29:00Z</cp:lastPrinted>
  <dcterms:created xsi:type="dcterms:W3CDTF">2023-07-27T06:01:00Z</dcterms:created>
  <dcterms:modified xsi:type="dcterms:W3CDTF">2023-07-29T16:21:00Z</dcterms:modified>
</cp:coreProperties>
</file>