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463A79" w:rsidRDefault="00AD12C7" w:rsidP="00265D2D">
      <w:pPr>
        <w:pStyle w:val="ListParagraph"/>
        <w:numPr>
          <w:ilvl w:val="0"/>
          <w:numId w:val="11"/>
        </w:numPr>
        <w:ind w:left="426"/>
        <w:jc w:val="both"/>
        <w:rPr>
          <w:rFonts w:ascii="Avenir Next" w:hAnsi="Avenir Next"/>
          <w:sz w:val="22"/>
          <w:szCs w:val="22"/>
          <w:highlight w:val="yellow"/>
          <w:lang w:val="en-GB"/>
        </w:rPr>
      </w:pPr>
      <w:r w:rsidRPr="00463A79">
        <w:rPr>
          <w:rFonts w:ascii="Avenir Next" w:hAnsi="Avenir Next"/>
          <w:sz w:val="22"/>
          <w:szCs w:val="22"/>
          <w:highlight w:val="yellow"/>
          <w:lang w:val="en-GB"/>
        </w:rPr>
        <w:t>apply to the court for the decision to be reversed or varied</w:t>
      </w:r>
      <w:r w:rsidR="005A2E18" w:rsidRPr="00463A79">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463A79" w:rsidRDefault="00B2234F" w:rsidP="00265D2D">
      <w:pPr>
        <w:pStyle w:val="ListParagraph"/>
        <w:numPr>
          <w:ilvl w:val="0"/>
          <w:numId w:val="12"/>
        </w:numPr>
        <w:ind w:left="426"/>
        <w:rPr>
          <w:rFonts w:ascii="Avenir Next" w:hAnsi="Avenir Next" w:cs="Arial"/>
          <w:sz w:val="22"/>
          <w:szCs w:val="22"/>
          <w:highlight w:val="yellow"/>
          <w:lang w:val="en-GB"/>
        </w:rPr>
      </w:pPr>
      <w:r w:rsidRPr="00463A79">
        <w:rPr>
          <w:rFonts w:ascii="Avenir Next" w:hAnsi="Avenir Next" w:cs="Arial"/>
          <w:sz w:val="22"/>
          <w:szCs w:val="22"/>
          <w:highlight w:val="yellow"/>
          <w:lang w:val="en-GB"/>
        </w:rPr>
        <w:t>S</w:t>
      </w:r>
      <w:r w:rsidR="00422295" w:rsidRPr="00463A79">
        <w:rPr>
          <w:rFonts w:ascii="Avenir Next" w:hAnsi="Avenir Next" w:cs="Arial"/>
          <w:sz w:val="22"/>
          <w:szCs w:val="22"/>
          <w:highlight w:val="yellow"/>
          <w:lang w:val="en-GB"/>
        </w:rPr>
        <w:t>mall company restructuring</w:t>
      </w:r>
      <w:r w:rsidR="005A2E18" w:rsidRPr="00463A79">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463A79" w:rsidRDefault="009B01E9" w:rsidP="00265D2D">
      <w:pPr>
        <w:pStyle w:val="ListParagraph"/>
        <w:numPr>
          <w:ilvl w:val="0"/>
          <w:numId w:val="13"/>
        </w:numPr>
        <w:ind w:left="426"/>
        <w:jc w:val="both"/>
        <w:rPr>
          <w:rFonts w:ascii="Avenir Next" w:hAnsi="Avenir Next" w:cs="Arial"/>
          <w:sz w:val="22"/>
          <w:szCs w:val="22"/>
          <w:highlight w:val="yellow"/>
          <w:lang w:val="en-GB"/>
        </w:rPr>
      </w:pPr>
      <w:r w:rsidRPr="00463A79">
        <w:rPr>
          <w:rFonts w:ascii="Avenir Next" w:hAnsi="Avenir Next" w:cs="Arial"/>
          <w:sz w:val="22"/>
          <w:szCs w:val="22"/>
          <w:highlight w:val="yellow"/>
          <w:lang w:val="en-GB"/>
        </w:rPr>
        <w:lastRenderedPageBreak/>
        <w:t>C</w:t>
      </w:r>
      <w:r w:rsidR="0089536F" w:rsidRPr="00463A79">
        <w:rPr>
          <w:rFonts w:ascii="Avenir Next" w:hAnsi="Avenir Next" w:cs="Arial"/>
          <w:sz w:val="22"/>
          <w:szCs w:val="22"/>
          <w:highlight w:val="yellow"/>
          <w:lang w:val="en-GB"/>
        </w:rPr>
        <w:t>reditors’ scheme of arrangement</w:t>
      </w:r>
      <w:r w:rsidR="00265D2D" w:rsidRPr="00463A79">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a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463A79" w:rsidRDefault="009B01E9" w:rsidP="00265D2D">
      <w:pPr>
        <w:pStyle w:val="ListParagraph"/>
        <w:numPr>
          <w:ilvl w:val="0"/>
          <w:numId w:val="14"/>
        </w:numPr>
        <w:ind w:left="426"/>
        <w:rPr>
          <w:rFonts w:ascii="Avenir Next" w:hAnsi="Avenir Next" w:cs="Arial"/>
          <w:sz w:val="22"/>
          <w:szCs w:val="22"/>
          <w:highlight w:val="yellow"/>
          <w:lang w:val="en-GB"/>
        </w:rPr>
      </w:pPr>
      <w:r w:rsidRPr="00463A79">
        <w:rPr>
          <w:rFonts w:ascii="Avenir Next" w:hAnsi="Avenir Next" w:cs="Arial"/>
          <w:sz w:val="22"/>
          <w:szCs w:val="22"/>
          <w:highlight w:val="yellow"/>
          <w:lang w:val="en-GB"/>
        </w:rPr>
        <w:t>A</w:t>
      </w:r>
      <w:r w:rsidR="00AE20EB" w:rsidRPr="00463A79">
        <w:rPr>
          <w:rFonts w:ascii="Avenir Next" w:hAnsi="Avenir Next" w:cs="Arial"/>
          <w:sz w:val="22"/>
          <w:szCs w:val="22"/>
          <w:highlight w:val="yellow"/>
          <w:lang w:val="en-GB"/>
        </w:rPr>
        <w:t xml:space="preserve"> debt agreement under Part IX</w:t>
      </w:r>
      <w:r w:rsidR="00E131DE" w:rsidRPr="00463A79">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68C2D7AD" w14:textId="46CE4CD7" w:rsidR="00265D2D" w:rsidRDefault="00265D2D" w:rsidP="00265D2D">
      <w:pPr>
        <w:ind w:left="426"/>
        <w:rPr>
          <w:rFonts w:ascii="Avenir Next" w:hAnsi="Avenir Next" w:cs="Arial"/>
          <w:sz w:val="22"/>
          <w:szCs w:val="22"/>
          <w:lang w:val="en-GB"/>
        </w:rPr>
      </w:pPr>
    </w:p>
    <w:p w14:paraId="7366A074" w14:textId="432685DD" w:rsidR="008465BE" w:rsidRDefault="008465BE" w:rsidP="00265D2D">
      <w:pPr>
        <w:ind w:left="426"/>
        <w:rPr>
          <w:rFonts w:ascii="Avenir Next" w:hAnsi="Avenir Next" w:cs="Arial"/>
          <w:sz w:val="22"/>
          <w:szCs w:val="22"/>
          <w:lang w:val="en-GB"/>
        </w:rPr>
      </w:pP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463A79"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463A79">
        <w:rPr>
          <w:rFonts w:ascii="Avenir Next" w:hAnsi="Avenir Next" w:cs="Arial"/>
          <w:sz w:val="22"/>
          <w:szCs w:val="22"/>
          <w:highlight w:val="yellow"/>
          <w:lang w:val="en-GB"/>
        </w:rPr>
        <w:t>S</w:t>
      </w:r>
      <w:r w:rsidR="00AD12C7" w:rsidRPr="00463A79">
        <w:rPr>
          <w:rFonts w:ascii="Avenir Next" w:hAnsi="Avenir Next" w:cs="Arial"/>
          <w:sz w:val="22"/>
          <w:szCs w:val="22"/>
          <w:highlight w:val="yellow"/>
          <w:lang w:val="en-GB"/>
        </w:rPr>
        <w:t>uperannuation funds</w:t>
      </w:r>
      <w:r w:rsidR="007B3A5E" w:rsidRPr="00463A79">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463A79" w:rsidRDefault="008465BE" w:rsidP="00265D2D">
      <w:pPr>
        <w:pStyle w:val="ListParagraph"/>
        <w:numPr>
          <w:ilvl w:val="0"/>
          <w:numId w:val="16"/>
        </w:numPr>
        <w:ind w:left="426"/>
        <w:jc w:val="both"/>
        <w:rPr>
          <w:rFonts w:ascii="Avenir Next" w:hAnsi="Avenir Next" w:cs="Arial"/>
          <w:sz w:val="22"/>
          <w:szCs w:val="22"/>
          <w:highlight w:val="yellow"/>
          <w:lang w:val="en-GB"/>
        </w:rPr>
      </w:pPr>
      <w:r w:rsidRPr="00463A79">
        <w:rPr>
          <w:rFonts w:ascii="Avenir Next" w:hAnsi="Avenir Next" w:cs="Arial"/>
          <w:sz w:val="22"/>
          <w:szCs w:val="22"/>
          <w:highlight w:val="yellow"/>
          <w:lang w:val="en-GB"/>
        </w:rPr>
        <w:t>P</w:t>
      </w:r>
      <w:r w:rsidR="00BF0AFE" w:rsidRPr="00463A79">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463A79" w:rsidRDefault="0089536F" w:rsidP="00265D2D">
      <w:pPr>
        <w:pStyle w:val="ListParagraph"/>
        <w:numPr>
          <w:ilvl w:val="0"/>
          <w:numId w:val="17"/>
        </w:numPr>
        <w:ind w:left="426"/>
        <w:rPr>
          <w:rFonts w:ascii="Avenir Next" w:hAnsi="Avenir Next" w:cs="Arial"/>
          <w:sz w:val="22"/>
          <w:szCs w:val="22"/>
          <w:highlight w:val="yellow"/>
          <w:lang w:val="en-GB"/>
        </w:rPr>
      </w:pPr>
      <w:r w:rsidRPr="00463A79">
        <w:rPr>
          <w:rFonts w:ascii="Avenir Next" w:hAnsi="Avenir Next" w:cs="Arial"/>
          <w:sz w:val="22"/>
          <w:szCs w:val="22"/>
          <w:highlight w:val="yellow"/>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463A79" w:rsidRDefault="00AD12C7" w:rsidP="00265D2D">
      <w:pPr>
        <w:pStyle w:val="ListParagraph"/>
        <w:numPr>
          <w:ilvl w:val="0"/>
          <w:numId w:val="19"/>
        </w:numPr>
        <w:ind w:left="426"/>
        <w:jc w:val="both"/>
        <w:rPr>
          <w:rFonts w:ascii="Avenir Next" w:hAnsi="Avenir Next" w:cs="Arial"/>
          <w:sz w:val="22"/>
          <w:szCs w:val="22"/>
          <w:highlight w:val="yellow"/>
          <w:lang w:val="en-GB"/>
        </w:rPr>
      </w:pPr>
      <w:r w:rsidRPr="00463A79">
        <w:rPr>
          <w:rFonts w:ascii="Avenir Next" w:hAnsi="Avenir Next" w:cs="Arial"/>
          <w:sz w:val="22"/>
          <w:szCs w:val="22"/>
          <w:highlight w:val="yellow"/>
          <w:lang w:val="en-GB"/>
        </w:rPr>
        <w:t>is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0EB83B28" w14:textId="4CC22919" w:rsidR="008465BE" w:rsidRDefault="008465BE" w:rsidP="00265D2D">
      <w:pPr>
        <w:ind w:left="66"/>
        <w:jc w:val="both"/>
        <w:rPr>
          <w:rFonts w:ascii="Avenir Next" w:hAnsi="Avenir Next" w:cs="Arial"/>
          <w:sz w:val="22"/>
          <w:szCs w:val="22"/>
          <w:lang w:val="en-GB"/>
        </w:rPr>
      </w:pP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lastRenderedPageBreak/>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463A79" w:rsidRDefault="00E131DE" w:rsidP="00265D2D">
      <w:pPr>
        <w:pStyle w:val="ListParagraph"/>
        <w:numPr>
          <w:ilvl w:val="0"/>
          <w:numId w:val="20"/>
        </w:numPr>
        <w:ind w:left="426"/>
        <w:jc w:val="both"/>
        <w:rPr>
          <w:rFonts w:ascii="Avenir Next" w:hAnsi="Avenir Next" w:cs="Arial"/>
          <w:sz w:val="22"/>
          <w:szCs w:val="22"/>
          <w:highlight w:val="yellow"/>
          <w:lang w:val="en-GB"/>
        </w:rPr>
      </w:pPr>
      <w:r w:rsidRPr="00463A79">
        <w:rPr>
          <w:rFonts w:ascii="Avenir Next" w:hAnsi="Avenir Next" w:cs="Arial"/>
          <w:sz w:val="22"/>
          <w:szCs w:val="22"/>
          <w:highlight w:val="yellow"/>
          <w:lang w:val="en-GB"/>
        </w:rPr>
        <w:t>t</w:t>
      </w:r>
      <w:r w:rsidR="002476AF" w:rsidRPr="00463A79">
        <w:rPr>
          <w:rFonts w:ascii="Avenir Next" w:hAnsi="Avenir Next" w:cs="Arial"/>
          <w:sz w:val="22"/>
          <w:szCs w:val="22"/>
          <w:highlight w:val="yellow"/>
          <w:lang w:val="en-GB"/>
        </w:rPr>
        <w:t xml:space="preserve">he part dealing with receivers, and other controllers, of property of </w:t>
      </w:r>
      <w:r w:rsidR="00416D2B" w:rsidRPr="00463A79">
        <w:rPr>
          <w:rFonts w:ascii="Avenir Next" w:hAnsi="Avenir Next" w:cs="Arial"/>
          <w:sz w:val="22"/>
          <w:szCs w:val="22"/>
          <w:highlight w:val="yellow"/>
          <w:lang w:val="en-GB"/>
        </w:rPr>
        <w:t xml:space="preserve">the </w:t>
      </w:r>
      <w:r w:rsidR="002476AF" w:rsidRPr="00463A79">
        <w:rPr>
          <w:rFonts w:ascii="Avenir Next" w:hAnsi="Avenir Next" w:cs="Arial"/>
          <w:sz w:val="22"/>
          <w:szCs w:val="22"/>
          <w:highlight w:val="yellow"/>
          <w:lang w:val="en-GB"/>
        </w:rPr>
        <w:t>corporation</w:t>
      </w:r>
      <w:r w:rsidR="00416D2B" w:rsidRPr="00463A79">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463A79" w:rsidRDefault="008465BE" w:rsidP="00265D2D">
      <w:pPr>
        <w:pStyle w:val="ListParagraph"/>
        <w:numPr>
          <w:ilvl w:val="0"/>
          <w:numId w:val="21"/>
        </w:numPr>
        <w:ind w:left="426"/>
        <w:jc w:val="both"/>
        <w:rPr>
          <w:rFonts w:ascii="Avenir Next" w:hAnsi="Avenir Next" w:cs="Arial"/>
          <w:sz w:val="22"/>
          <w:szCs w:val="22"/>
          <w:highlight w:val="yellow"/>
          <w:lang w:val="en-GB"/>
        </w:rPr>
      </w:pPr>
      <w:r w:rsidRPr="00463A79">
        <w:rPr>
          <w:rFonts w:ascii="Avenir Next" w:hAnsi="Avenir Next" w:cs="Arial"/>
          <w:sz w:val="22"/>
          <w:szCs w:val="22"/>
          <w:highlight w:val="yellow"/>
          <w:lang w:val="en-GB"/>
        </w:rPr>
        <w:t>S</w:t>
      </w:r>
      <w:r w:rsidR="002476AF" w:rsidRPr="00463A79">
        <w:rPr>
          <w:rFonts w:ascii="Avenir Next" w:hAnsi="Avenir Next" w:cs="Arial"/>
          <w:sz w:val="22"/>
          <w:szCs w:val="22"/>
          <w:highlight w:val="yellow"/>
          <w:lang w:val="en-GB"/>
        </w:rPr>
        <w:t xml:space="preserve">implified </w:t>
      </w:r>
      <w:r w:rsidR="008235B7" w:rsidRPr="00463A79">
        <w:rPr>
          <w:rFonts w:ascii="Avenir Next" w:hAnsi="Avenir Next" w:cs="Arial"/>
          <w:sz w:val="22"/>
          <w:szCs w:val="22"/>
          <w:highlight w:val="yellow"/>
          <w:lang w:val="en-GB"/>
        </w:rPr>
        <w:t>restructuring and liquidation regimes for small companies</w:t>
      </w:r>
      <w:r w:rsidR="002476AF" w:rsidRPr="00463A79">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reversed by a 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07F4E6D7" w14:textId="77777777" w:rsidR="00463A79" w:rsidRDefault="00463A79" w:rsidP="002476AF">
      <w:pPr>
        <w:jc w:val="both"/>
        <w:rPr>
          <w:rFonts w:ascii="Avenir Next" w:hAnsi="Avenir Next" w:cs="Arial"/>
          <w:color w:val="808080" w:themeColor="background1" w:themeShade="80"/>
          <w:sz w:val="22"/>
          <w:szCs w:val="22"/>
          <w:lang w:val="en-GB"/>
        </w:rPr>
      </w:pPr>
    </w:p>
    <w:p w14:paraId="2C0A9C4B" w14:textId="28DF5C76" w:rsidR="00463A79" w:rsidRDefault="00463A79" w:rsidP="0075058C">
      <w:pPr>
        <w:pStyle w:val="ListParagraph"/>
        <w:numPr>
          <w:ilvl w:val="0"/>
          <w:numId w:val="29"/>
        </w:numPr>
        <w:jc w:val="both"/>
        <w:rPr>
          <w:rFonts w:ascii="Arial" w:eastAsia="Avenir Next" w:hAnsi="Arial" w:cs="Arial"/>
          <w:color w:val="808080"/>
          <w:sz w:val="22"/>
          <w:szCs w:val="32"/>
        </w:rPr>
      </w:pPr>
      <w:r w:rsidRPr="00463A79">
        <w:rPr>
          <w:rFonts w:ascii="Arial" w:eastAsia="Avenir Next" w:hAnsi="Arial" w:cs="Arial"/>
          <w:color w:val="808080"/>
          <w:sz w:val="22"/>
          <w:szCs w:val="32"/>
        </w:rPr>
        <w:t>unfair preferences: It is a defence if the defendant process they were not aware the Company was insolvent at the time if they can also show that an order permitting the recovery of property would prejudice a right or interest of that paty; and they acted in good faith and provided valuable consideration or changed its position in reliance on the transaction.</w:t>
      </w:r>
    </w:p>
    <w:p w14:paraId="1B7EF3D2" w14:textId="77777777" w:rsidR="0075058C" w:rsidRPr="00463A79" w:rsidRDefault="0075058C" w:rsidP="0075058C">
      <w:pPr>
        <w:pStyle w:val="ListParagraph"/>
        <w:ind w:left="1080"/>
        <w:jc w:val="both"/>
        <w:rPr>
          <w:rFonts w:ascii="Arial" w:eastAsia="Avenir Next" w:hAnsi="Arial" w:cs="Arial"/>
          <w:color w:val="808080"/>
          <w:sz w:val="22"/>
          <w:szCs w:val="32"/>
        </w:rPr>
      </w:pPr>
    </w:p>
    <w:p w14:paraId="2E1AB6B9" w14:textId="705C87AB" w:rsidR="00463A79" w:rsidRDefault="00463A79" w:rsidP="0075058C">
      <w:pPr>
        <w:pStyle w:val="ListParagraph"/>
        <w:numPr>
          <w:ilvl w:val="0"/>
          <w:numId w:val="29"/>
        </w:numPr>
        <w:jc w:val="both"/>
        <w:rPr>
          <w:rFonts w:ascii="Arial" w:eastAsia="Avenir Next" w:hAnsi="Arial" w:cs="Arial"/>
          <w:color w:val="808080"/>
          <w:sz w:val="22"/>
          <w:szCs w:val="32"/>
        </w:rPr>
      </w:pPr>
      <w:r w:rsidRPr="00463A79">
        <w:rPr>
          <w:rFonts w:ascii="Arial" w:eastAsia="Avenir Next" w:hAnsi="Arial" w:cs="Arial"/>
          <w:color w:val="808080"/>
          <w:sz w:val="22"/>
          <w:szCs w:val="32"/>
        </w:rPr>
        <w:t>uncommercial transactions: The defence is available assuming all the grounds detailed above are met.</w:t>
      </w:r>
    </w:p>
    <w:p w14:paraId="721EC455" w14:textId="77777777" w:rsidR="0075058C" w:rsidRPr="00463A79" w:rsidRDefault="0075058C" w:rsidP="0075058C">
      <w:pPr>
        <w:pStyle w:val="ListParagraph"/>
        <w:ind w:left="1080"/>
        <w:jc w:val="both"/>
        <w:rPr>
          <w:rFonts w:ascii="Arial" w:eastAsia="Avenir Next" w:hAnsi="Arial" w:cs="Arial"/>
          <w:color w:val="808080"/>
          <w:sz w:val="22"/>
          <w:szCs w:val="32"/>
        </w:rPr>
      </w:pPr>
    </w:p>
    <w:p w14:paraId="51E0AA01" w14:textId="77777777" w:rsidR="00463A79" w:rsidRPr="00463A79" w:rsidRDefault="00463A79" w:rsidP="0075058C">
      <w:pPr>
        <w:pStyle w:val="ListParagraph"/>
        <w:numPr>
          <w:ilvl w:val="0"/>
          <w:numId w:val="29"/>
        </w:numPr>
        <w:jc w:val="both"/>
        <w:rPr>
          <w:rFonts w:ascii="Arial" w:eastAsia="Avenir Next" w:hAnsi="Arial" w:cs="Arial"/>
          <w:color w:val="808080"/>
          <w:sz w:val="22"/>
          <w:szCs w:val="32"/>
        </w:rPr>
      </w:pPr>
      <w:r w:rsidRPr="00463A79">
        <w:rPr>
          <w:rFonts w:ascii="Arial" w:eastAsia="Avenir Next" w:hAnsi="Arial" w:cs="Arial"/>
          <w:color w:val="808080"/>
          <w:sz w:val="22"/>
          <w:szCs w:val="32"/>
        </w:rPr>
        <w:t>unreasonable director related transactions: the defence is not available.</w:t>
      </w:r>
      <w:r w:rsidRPr="00463A79">
        <w:rPr>
          <w:rFonts w:ascii="Arial" w:eastAsia="Avenir Next" w:hAnsi="Arial" w:cs="Arial"/>
          <w:color w:val="808080"/>
          <w:sz w:val="22"/>
          <w:szCs w:val="32"/>
        </w:rPr>
        <w:br/>
      </w:r>
    </w:p>
    <w:p w14:paraId="32E6B730" w14:textId="62B4ADD5" w:rsidR="00463A79" w:rsidRDefault="00463A79" w:rsidP="0075058C">
      <w:pPr>
        <w:pStyle w:val="ListParagraph"/>
        <w:numPr>
          <w:ilvl w:val="0"/>
          <w:numId w:val="29"/>
        </w:numPr>
        <w:jc w:val="both"/>
        <w:rPr>
          <w:rFonts w:ascii="Arial" w:eastAsia="Avenir Next" w:hAnsi="Arial" w:cs="Arial"/>
          <w:color w:val="808080"/>
          <w:sz w:val="22"/>
          <w:szCs w:val="32"/>
        </w:rPr>
      </w:pPr>
      <w:r w:rsidRPr="00463A79">
        <w:rPr>
          <w:rFonts w:ascii="Arial" w:eastAsia="Avenir Next" w:hAnsi="Arial" w:cs="Arial"/>
          <w:color w:val="808080"/>
          <w:sz w:val="22"/>
          <w:szCs w:val="32"/>
        </w:rPr>
        <w:t>unfair loans: the defence is not available.</w:t>
      </w:r>
    </w:p>
    <w:p w14:paraId="166DB90B" w14:textId="77777777" w:rsidR="0075058C" w:rsidRPr="00463A79" w:rsidRDefault="0075058C" w:rsidP="0075058C">
      <w:pPr>
        <w:pStyle w:val="ListParagraph"/>
        <w:ind w:left="1080"/>
        <w:jc w:val="both"/>
        <w:rPr>
          <w:rFonts w:ascii="Arial" w:eastAsia="Avenir Next" w:hAnsi="Arial" w:cs="Arial"/>
          <w:color w:val="808080"/>
          <w:sz w:val="22"/>
          <w:szCs w:val="32"/>
        </w:rPr>
      </w:pPr>
    </w:p>
    <w:p w14:paraId="66FCBB75" w14:textId="3201C280" w:rsidR="00526091" w:rsidRPr="00463A79" w:rsidRDefault="00463A79" w:rsidP="0075058C">
      <w:pPr>
        <w:pStyle w:val="ListParagraph"/>
        <w:numPr>
          <w:ilvl w:val="0"/>
          <w:numId w:val="29"/>
        </w:numPr>
        <w:jc w:val="both"/>
        <w:rPr>
          <w:rFonts w:ascii="Arial" w:eastAsia="Avenir Next" w:hAnsi="Arial" w:cs="Arial"/>
          <w:color w:val="808080"/>
          <w:sz w:val="22"/>
          <w:szCs w:val="32"/>
        </w:rPr>
      </w:pPr>
      <w:r w:rsidRPr="00463A79">
        <w:rPr>
          <w:rFonts w:ascii="Arial" w:eastAsia="Avenir Next" w:hAnsi="Arial" w:cs="Arial"/>
          <w:color w:val="808080"/>
          <w:sz w:val="22"/>
          <w:szCs w:val="32"/>
        </w:rPr>
        <w:t>circulating security interests: the defence is not available.</w:t>
      </w:r>
    </w:p>
    <w:p w14:paraId="7B005E35" w14:textId="77777777" w:rsidR="00B04780" w:rsidRPr="00B2234F" w:rsidRDefault="00B04780" w:rsidP="002476AF">
      <w:pPr>
        <w:jc w:val="both"/>
        <w:rPr>
          <w:rFonts w:ascii="Avenir Next" w:hAnsi="Avenir Next" w:cs="Arial"/>
          <w:sz w:val="22"/>
          <w:szCs w:val="22"/>
          <w:lang w:val="en-GB"/>
        </w:rPr>
      </w:pP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7939567B" w14:textId="77777777" w:rsidR="00463A79" w:rsidRPr="00463A79" w:rsidRDefault="00463A79" w:rsidP="00463A79">
      <w:pPr>
        <w:rPr>
          <w:rFonts w:ascii="Arial" w:eastAsia="Avenir Next" w:hAnsi="Arial" w:cs="Arial"/>
          <w:color w:val="808080"/>
          <w:sz w:val="22"/>
          <w:szCs w:val="22"/>
        </w:rPr>
      </w:pPr>
      <w:r w:rsidRPr="00463A79">
        <w:rPr>
          <w:rFonts w:ascii="Arial" w:eastAsia="Avenir Next" w:hAnsi="Arial" w:cs="Arial"/>
          <w:color w:val="808080"/>
          <w:sz w:val="22"/>
          <w:szCs w:val="22"/>
        </w:rPr>
        <w:t>The scope of a stay available in Australia under Article 20 of the Model Law is prescribed as being the same that would apply if the stay arose under the Bankruptcy Act or Chapter 5 of the Corporations Act, excluding parts 5.2 and 5.4A.</w:t>
      </w:r>
    </w:p>
    <w:p w14:paraId="27B79F8D" w14:textId="77777777" w:rsidR="00463A79" w:rsidRPr="00463A79" w:rsidRDefault="00463A79" w:rsidP="00463A79">
      <w:pPr>
        <w:rPr>
          <w:rFonts w:ascii="Arial" w:eastAsia="Avenir Next" w:hAnsi="Arial" w:cs="Arial"/>
          <w:color w:val="808080"/>
          <w:sz w:val="22"/>
          <w:szCs w:val="22"/>
        </w:rPr>
      </w:pPr>
    </w:p>
    <w:p w14:paraId="4A70A93B" w14:textId="64DA57B3"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lastRenderedPageBreak/>
        <w:t>Determining the scope of a stay in relation to a corporate debtor will require an analysis of what the case requires.  Accordingly, the Court will consider whether a broad stay as available under the voluntary administration scheme which encompasses secured creditor, or alternatively, whether a standard liquidation stay is appropriate, solely impacting unsecured creditors.</w:t>
      </w:r>
    </w:p>
    <w:p w14:paraId="5F19216F" w14:textId="77777777" w:rsidR="00463A79" w:rsidRPr="00463A79" w:rsidRDefault="00463A79" w:rsidP="0075058C">
      <w:pPr>
        <w:jc w:val="both"/>
        <w:rPr>
          <w:rFonts w:ascii="Arial" w:eastAsia="Avenir Next" w:hAnsi="Arial" w:cs="Arial"/>
          <w:color w:val="808080"/>
          <w:sz w:val="22"/>
          <w:szCs w:val="22"/>
        </w:rPr>
      </w:pPr>
    </w:p>
    <w:p w14:paraId="622499D5" w14:textId="24B1F3DC"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Whether the foreign proceeding is rescue or liquidation focused will be a key consideration in determining whether a broad or standard stay is required. A broad stay will be more appropriate for rescue proceedings where a standard stay will be more appropriate for liquidation focused proceedings.</w:t>
      </w: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6E67E8F6" w14:textId="1423BC99"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Small company liquidations are a simplified process available for small companies. T</w:t>
      </w:r>
      <w:r>
        <w:rPr>
          <w:rFonts w:ascii="Arial" w:eastAsia="Avenir Next" w:hAnsi="Arial" w:cs="Arial"/>
          <w:color w:val="808080"/>
          <w:sz w:val="22"/>
          <w:szCs w:val="22"/>
        </w:rPr>
        <w:t>h</w:t>
      </w:r>
      <w:r w:rsidRPr="00463A79">
        <w:rPr>
          <w:rFonts w:ascii="Arial" w:eastAsia="Avenir Next" w:hAnsi="Arial" w:cs="Arial"/>
          <w:color w:val="808080"/>
          <w:sz w:val="22"/>
          <w:szCs w:val="22"/>
        </w:rPr>
        <w:t>e Small company liquidation process is only available if the company's total liabilities do not exceed AUD 1 million and no director (or former director in the last 12 months) has been a director of another company that has undergone restructuring or been the subject of a simplified liquidation process in the last seven years.</w:t>
      </w:r>
    </w:p>
    <w:p w14:paraId="23611935" w14:textId="77777777" w:rsidR="00463A79" w:rsidRPr="00463A79" w:rsidRDefault="00463A79" w:rsidP="0075058C">
      <w:pPr>
        <w:jc w:val="both"/>
        <w:rPr>
          <w:rFonts w:ascii="Arial" w:eastAsia="Avenir Next" w:hAnsi="Arial" w:cs="Arial"/>
          <w:color w:val="808080"/>
          <w:sz w:val="22"/>
          <w:szCs w:val="22"/>
        </w:rPr>
      </w:pPr>
    </w:p>
    <w:p w14:paraId="5F10D933" w14:textId="35B2F647"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The key differences between small and standard liquidations are that small company liquidations have the following features:</w:t>
      </w:r>
    </w:p>
    <w:p w14:paraId="2469564A" w14:textId="77777777" w:rsidR="00463A79" w:rsidRPr="00463A79" w:rsidRDefault="00463A79" w:rsidP="0075058C">
      <w:pPr>
        <w:jc w:val="both"/>
        <w:rPr>
          <w:rFonts w:ascii="Arial" w:eastAsia="Avenir Next" w:hAnsi="Arial" w:cs="Arial"/>
          <w:color w:val="808080"/>
          <w:sz w:val="22"/>
          <w:szCs w:val="22"/>
        </w:rPr>
      </w:pPr>
    </w:p>
    <w:p w14:paraId="782029C6" w14:textId="3840475C" w:rsidR="00463A79" w:rsidRDefault="00463A79" w:rsidP="0075058C">
      <w:pPr>
        <w:numPr>
          <w:ilvl w:val="0"/>
          <w:numId w:val="30"/>
        </w:numPr>
        <w:ind w:left="720" w:hanging="360"/>
        <w:jc w:val="both"/>
        <w:rPr>
          <w:rFonts w:ascii="Arial" w:eastAsia="Avenir Next" w:hAnsi="Arial" w:cs="Arial"/>
          <w:color w:val="808080"/>
          <w:sz w:val="22"/>
          <w:szCs w:val="22"/>
        </w:rPr>
      </w:pPr>
      <w:r w:rsidRPr="00463A79">
        <w:rPr>
          <w:rFonts w:ascii="Arial" w:eastAsia="Avenir Next" w:hAnsi="Arial" w:cs="Arial"/>
          <w:color w:val="808080"/>
          <w:sz w:val="22"/>
          <w:szCs w:val="22"/>
        </w:rPr>
        <w:t>claw back of voidable transactions will only apply to unfair preferences of over AUD 30,000 paid to related parties of the company within three months of the commencement of liquidation.</w:t>
      </w:r>
    </w:p>
    <w:p w14:paraId="7D1891B1" w14:textId="77777777" w:rsidR="0075058C" w:rsidRPr="00463A79" w:rsidRDefault="0075058C" w:rsidP="0075058C">
      <w:pPr>
        <w:ind w:left="720"/>
        <w:jc w:val="both"/>
        <w:rPr>
          <w:rFonts w:ascii="Arial" w:eastAsia="Avenir Next" w:hAnsi="Arial" w:cs="Arial"/>
          <w:color w:val="808080"/>
          <w:sz w:val="22"/>
          <w:szCs w:val="22"/>
        </w:rPr>
      </w:pPr>
    </w:p>
    <w:p w14:paraId="04EF896B" w14:textId="54355705" w:rsidR="00463A79" w:rsidRDefault="00463A79" w:rsidP="0075058C">
      <w:pPr>
        <w:numPr>
          <w:ilvl w:val="0"/>
          <w:numId w:val="30"/>
        </w:numPr>
        <w:ind w:left="720" w:hanging="360"/>
        <w:jc w:val="both"/>
        <w:rPr>
          <w:rFonts w:ascii="Arial" w:eastAsia="Avenir Next" w:hAnsi="Arial" w:cs="Arial"/>
          <w:color w:val="808080"/>
          <w:sz w:val="22"/>
          <w:szCs w:val="22"/>
        </w:rPr>
      </w:pPr>
      <w:r w:rsidRPr="00463A79">
        <w:rPr>
          <w:rFonts w:ascii="Arial" w:eastAsia="Avenir Next" w:hAnsi="Arial" w:cs="Arial"/>
          <w:color w:val="808080"/>
          <w:sz w:val="22"/>
          <w:szCs w:val="22"/>
        </w:rPr>
        <w:t>Liquidators are only required to report to the ASIC on potential misconduct where they have reasonable grounds to exist misconduct has occurred.</w:t>
      </w:r>
    </w:p>
    <w:p w14:paraId="5EC021FB" w14:textId="77777777" w:rsidR="0075058C" w:rsidRPr="00463A79" w:rsidRDefault="0075058C" w:rsidP="0075058C">
      <w:pPr>
        <w:jc w:val="both"/>
        <w:rPr>
          <w:rFonts w:ascii="Arial" w:eastAsia="Avenir Next" w:hAnsi="Arial" w:cs="Arial"/>
          <w:color w:val="808080"/>
          <w:sz w:val="22"/>
          <w:szCs w:val="22"/>
        </w:rPr>
      </w:pPr>
    </w:p>
    <w:p w14:paraId="74778457" w14:textId="5AECC62E" w:rsidR="00463A79" w:rsidRDefault="00463A79" w:rsidP="0075058C">
      <w:pPr>
        <w:numPr>
          <w:ilvl w:val="0"/>
          <w:numId w:val="30"/>
        </w:numPr>
        <w:ind w:left="720" w:hanging="360"/>
        <w:jc w:val="both"/>
        <w:rPr>
          <w:rFonts w:ascii="Arial" w:eastAsia="Avenir Next" w:hAnsi="Arial" w:cs="Arial"/>
          <w:color w:val="808080"/>
          <w:sz w:val="22"/>
          <w:szCs w:val="22"/>
        </w:rPr>
      </w:pPr>
      <w:r w:rsidRPr="00463A79">
        <w:rPr>
          <w:rFonts w:ascii="Arial" w:eastAsia="Avenir Next" w:hAnsi="Arial" w:cs="Arial"/>
          <w:color w:val="808080"/>
          <w:sz w:val="22"/>
          <w:szCs w:val="22"/>
        </w:rPr>
        <w:t>there is no requirement to hold creditor meetings and committees of inspection are removed.</w:t>
      </w:r>
    </w:p>
    <w:p w14:paraId="4DF033DD" w14:textId="77777777" w:rsidR="0075058C" w:rsidRPr="00463A79" w:rsidRDefault="0075058C" w:rsidP="0075058C">
      <w:pPr>
        <w:jc w:val="both"/>
        <w:rPr>
          <w:rFonts w:ascii="Arial" w:eastAsia="Avenir Next" w:hAnsi="Arial" w:cs="Arial"/>
          <w:color w:val="808080"/>
          <w:sz w:val="22"/>
          <w:szCs w:val="22"/>
        </w:rPr>
      </w:pPr>
    </w:p>
    <w:p w14:paraId="281CFFD5" w14:textId="64EA3CBB" w:rsidR="00463A79" w:rsidRDefault="00463A79" w:rsidP="0075058C">
      <w:pPr>
        <w:numPr>
          <w:ilvl w:val="0"/>
          <w:numId w:val="30"/>
        </w:numPr>
        <w:ind w:left="720" w:hanging="360"/>
        <w:jc w:val="both"/>
        <w:rPr>
          <w:rFonts w:ascii="Arial" w:eastAsia="Avenir Next" w:hAnsi="Arial" w:cs="Arial"/>
          <w:color w:val="808080"/>
          <w:sz w:val="22"/>
          <w:szCs w:val="22"/>
        </w:rPr>
      </w:pPr>
      <w:r w:rsidRPr="00463A79">
        <w:rPr>
          <w:rFonts w:ascii="Arial" w:eastAsia="Avenir Next" w:hAnsi="Arial" w:cs="Arial"/>
          <w:color w:val="808080"/>
          <w:sz w:val="22"/>
          <w:szCs w:val="22"/>
        </w:rPr>
        <w:t>the proof of debt process and dividend process are simplified.</w:t>
      </w:r>
    </w:p>
    <w:p w14:paraId="7AE4DEFC" w14:textId="77777777" w:rsidR="0075058C" w:rsidRPr="00463A79" w:rsidRDefault="0075058C" w:rsidP="0075058C">
      <w:pPr>
        <w:jc w:val="both"/>
        <w:rPr>
          <w:rFonts w:ascii="Arial" w:eastAsia="Avenir Next" w:hAnsi="Arial" w:cs="Arial"/>
          <w:color w:val="808080"/>
          <w:sz w:val="22"/>
          <w:szCs w:val="22"/>
        </w:rPr>
      </w:pPr>
    </w:p>
    <w:p w14:paraId="7B8F5C87" w14:textId="77777777" w:rsidR="00463A79" w:rsidRPr="00463A79" w:rsidRDefault="00463A79" w:rsidP="0075058C">
      <w:pPr>
        <w:numPr>
          <w:ilvl w:val="0"/>
          <w:numId w:val="30"/>
        </w:numPr>
        <w:ind w:left="720" w:hanging="360"/>
        <w:jc w:val="both"/>
        <w:rPr>
          <w:rFonts w:ascii="Arial" w:eastAsia="Avenir Next" w:hAnsi="Arial" w:cs="Arial"/>
          <w:color w:val="808080"/>
          <w:sz w:val="22"/>
          <w:szCs w:val="22"/>
        </w:rPr>
      </w:pPr>
      <w:r w:rsidRPr="00463A79">
        <w:rPr>
          <w:rFonts w:ascii="Arial" w:eastAsia="Avenir Next" w:hAnsi="Arial" w:cs="Arial"/>
          <w:color w:val="808080"/>
          <w:sz w:val="22"/>
          <w:szCs w:val="22"/>
        </w:rPr>
        <w:t>there are provisions for electronic communications and voting.</w:t>
      </w:r>
    </w:p>
    <w:p w14:paraId="6AB84C4E" w14:textId="77777777" w:rsidR="008420F8" w:rsidRPr="00463A79" w:rsidRDefault="008420F8" w:rsidP="002476AF">
      <w:pPr>
        <w:jc w:val="both"/>
        <w:rPr>
          <w:rFonts w:ascii="Avenir Next" w:hAnsi="Avenir Next" w:cs="Arial"/>
          <w:sz w:val="22"/>
          <w:szCs w:val="22"/>
        </w:rPr>
      </w:pP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a debtor-friendly jurisdiction.“</w:t>
      </w:r>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1C597BA1" w14:textId="1ADC3B33"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I agree with the above statement. Generally speaking, Australia is considered a creditor friendly jurisdiction. However, as set out in the statement above, there have been recent reforms which have made Australia a more debtor friendly jurisdiction in principle. Ultimately however, in practice, Australia very much remains on the creditor friendly end of the scale. Indeed, there have also been a number of reforms which are debtor friendly in nature.</w:t>
      </w:r>
    </w:p>
    <w:p w14:paraId="2FE88B0F" w14:textId="77777777" w:rsidR="00463A79" w:rsidRPr="00463A79" w:rsidRDefault="00463A79" w:rsidP="0075058C">
      <w:pPr>
        <w:jc w:val="both"/>
        <w:rPr>
          <w:rFonts w:ascii="Arial" w:eastAsia="Avenir Next" w:hAnsi="Arial" w:cs="Arial"/>
          <w:color w:val="808080"/>
          <w:sz w:val="22"/>
          <w:szCs w:val="22"/>
        </w:rPr>
      </w:pPr>
    </w:p>
    <w:p w14:paraId="2EB18CB8" w14:textId="77777777" w:rsidR="00463A79" w:rsidRPr="00463A79" w:rsidRDefault="00463A79" w:rsidP="0075058C">
      <w:pPr>
        <w:jc w:val="both"/>
        <w:rPr>
          <w:rFonts w:ascii="Arial" w:eastAsia="Avenir Next" w:hAnsi="Arial" w:cs="Arial"/>
          <w:color w:val="808080"/>
          <w:sz w:val="22"/>
          <w:szCs w:val="22"/>
          <w:u w:val="single"/>
        </w:rPr>
      </w:pPr>
    </w:p>
    <w:p w14:paraId="072B8170" w14:textId="0DD7E67A"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u w:val="single"/>
        </w:rPr>
        <w:lastRenderedPageBreak/>
        <w:t>Creditor friendly jurisdiction</w:t>
      </w:r>
    </w:p>
    <w:p w14:paraId="2B116800" w14:textId="77777777" w:rsidR="00463A79" w:rsidRPr="00463A79" w:rsidRDefault="00463A79" w:rsidP="0075058C">
      <w:pPr>
        <w:jc w:val="both"/>
        <w:rPr>
          <w:rFonts w:ascii="Arial" w:eastAsia="Avenir Next" w:hAnsi="Arial" w:cs="Arial"/>
          <w:color w:val="808080"/>
          <w:sz w:val="22"/>
          <w:szCs w:val="22"/>
        </w:rPr>
      </w:pPr>
    </w:p>
    <w:p w14:paraId="55CF9852" w14:textId="62448344"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There are numerous reasons which support the position that Australia is a creditor friendly jurisdiction. Almost all of Australia's insolvency processes are creditor-in-possession processes which require the appointment of an external administrator. While schemes of arrangement and small business restructurings are debtor-in-possession processes, they still require the appointment of a qualified insolvency practitioner.</w:t>
      </w:r>
    </w:p>
    <w:p w14:paraId="18137734" w14:textId="77777777" w:rsidR="00463A79" w:rsidRPr="00463A79" w:rsidRDefault="00463A79" w:rsidP="0075058C">
      <w:pPr>
        <w:jc w:val="both"/>
        <w:rPr>
          <w:rFonts w:ascii="Arial" w:eastAsia="Avenir Next" w:hAnsi="Arial" w:cs="Arial"/>
          <w:color w:val="808080"/>
          <w:sz w:val="22"/>
          <w:szCs w:val="22"/>
        </w:rPr>
      </w:pPr>
    </w:p>
    <w:p w14:paraId="3DD0D192" w14:textId="60615FA2"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Secured creditors are entitled to enforce their rights in a liquidation or restructuring. In particular, the Australian liquidation Moratorium does not apply to secured creditors. Accordingly, a secured creditor may take priority and prevent a restructuring from being possible (unless they agree to co-operate) or significantly reduce assets available for distribution to debtors in a liquidation. </w:t>
      </w:r>
    </w:p>
    <w:p w14:paraId="0F04930D" w14:textId="77777777" w:rsidR="00463A79" w:rsidRPr="00463A79" w:rsidRDefault="00463A79" w:rsidP="0075058C">
      <w:pPr>
        <w:jc w:val="both"/>
        <w:rPr>
          <w:rFonts w:ascii="Arial" w:eastAsia="Avenir Next" w:hAnsi="Arial" w:cs="Arial"/>
          <w:color w:val="808080"/>
          <w:sz w:val="22"/>
          <w:szCs w:val="22"/>
        </w:rPr>
      </w:pPr>
    </w:p>
    <w:p w14:paraId="3D8A185D" w14:textId="77777777"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While restructuring and corporate rescue mechanisms are available in Australia, the primary rescue process of voluntary administration features an alternative aim of enabling a maximum return to be achieved for distribution to creditors. </w:t>
      </w:r>
    </w:p>
    <w:p w14:paraId="75D57BED" w14:textId="77777777" w:rsidR="00463A79" w:rsidRPr="00463A79" w:rsidRDefault="00463A79" w:rsidP="0075058C">
      <w:pPr>
        <w:jc w:val="both"/>
        <w:rPr>
          <w:rFonts w:ascii="Arial" w:eastAsia="Avenir Next" w:hAnsi="Arial" w:cs="Arial"/>
          <w:color w:val="808080"/>
          <w:sz w:val="22"/>
          <w:szCs w:val="22"/>
        </w:rPr>
      </w:pPr>
    </w:p>
    <w:p w14:paraId="1A0032A1" w14:textId="0A18C0A0"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Substantial secured creditors may apply for the appointment of a receiver regardless of the fact that a voluntary administrator has been appointed. Similarly, non-major secured creditors can continue enforcement action commenced prior to the appointment of a voluntary administrator, enforcement action in relation to perishable property, or with consent of the Court.</w:t>
      </w:r>
    </w:p>
    <w:p w14:paraId="14A303F6" w14:textId="77777777" w:rsidR="00463A79" w:rsidRPr="00463A79" w:rsidRDefault="00463A79" w:rsidP="0075058C">
      <w:pPr>
        <w:jc w:val="both"/>
        <w:rPr>
          <w:rFonts w:ascii="Arial" w:eastAsia="Avenir Next" w:hAnsi="Arial" w:cs="Arial"/>
          <w:color w:val="808080"/>
          <w:sz w:val="22"/>
          <w:szCs w:val="22"/>
        </w:rPr>
      </w:pPr>
    </w:p>
    <w:p w14:paraId="4CDBB40E" w14:textId="74E428D6"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Finally, Australia's insolvent trading and voidable transaction regime are broad which is a creditor friendly feature of the jurisdiction. The claw back periods are long and the provisions do not require an intention to defeat creditors. Both regimes may allow creditors to recover significant sums for the benefit of creditors.</w:t>
      </w:r>
    </w:p>
    <w:p w14:paraId="23976610" w14:textId="77777777" w:rsidR="00463A79" w:rsidRPr="00463A79" w:rsidRDefault="00463A79" w:rsidP="0075058C">
      <w:pPr>
        <w:jc w:val="both"/>
        <w:rPr>
          <w:rFonts w:ascii="Arial" w:eastAsia="Avenir Next" w:hAnsi="Arial" w:cs="Arial"/>
          <w:color w:val="808080"/>
          <w:sz w:val="22"/>
          <w:szCs w:val="22"/>
        </w:rPr>
      </w:pPr>
    </w:p>
    <w:p w14:paraId="023339A6" w14:textId="77777777" w:rsidR="00463A79" w:rsidRPr="00463A79" w:rsidRDefault="00463A79" w:rsidP="0075058C">
      <w:pPr>
        <w:jc w:val="both"/>
        <w:rPr>
          <w:rFonts w:ascii="Arial" w:eastAsia="Avenir Next" w:hAnsi="Arial" w:cs="Arial"/>
          <w:color w:val="808080"/>
          <w:sz w:val="22"/>
          <w:szCs w:val="22"/>
          <w:u w:val="single"/>
        </w:rPr>
      </w:pPr>
      <w:r w:rsidRPr="00463A79">
        <w:rPr>
          <w:rFonts w:ascii="Arial" w:eastAsia="Avenir Next" w:hAnsi="Arial" w:cs="Arial"/>
          <w:color w:val="808080"/>
          <w:sz w:val="22"/>
          <w:szCs w:val="22"/>
          <w:u w:val="single"/>
        </w:rPr>
        <w:t>Recent debtor friendly reforms</w:t>
      </w:r>
    </w:p>
    <w:p w14:paraId="023753E0" w14:textId="77777777" w:rsidR="00463A79" w:rsidRPr="00463A79" w:rsidRDefault="00463A79" w:rsidP="0075058C">
      <w:pPr>
        <w:jc w:val="both"/>
        <w:rPr>
          <w:rFonts w:ascii="Arial" w:eastAsia="Avenir Next" w:hAnsi="Arial" w:cs="Arial"/>
          <w:color w:val="808080"/>
          <w:sz w:val="22"/>
          <w:szCs w:val="22"/>
          <w:u w:val="single"/>
        </w:rPr>
      </w:pPr>
    </w:p>
    <w:p w14:paraId="1F995F31" w14:textId="77777777"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Despite the fact that Australia is largely a creditor friendly jurisdiction, there have been some developments which have debtor friendly features.</w:t>
      </w:r>
    </w:p>
    <w:p w14:paraId="59E5A8B8" w14:textId="77777777" w:rsidR="00463A79" w:rsidRPr="00463A79" w:rsidRDefault="00463A79" w:rsidP="0075058C">
      <w:pPr>
        <w:jc w:val="both"/>
        <w:rPr>
          <w:rFonts w:ascii="Arial" w:eastAsia="Avenir Next" w:hAnsi="Arial" w:cs="Arial"/>
          <w:color w:val="808080"/>
          <w:sz w:val="22"/>
          <w:szCs w:val="22"/>
        </w:rPr>
      </w:pPr>
    </w:p>
    <w:p w14:paraId="5A868FCE" w14:textId="3093EB69"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For example, the simplified liquidation process introduced for small companies limits the recovery of unfair preferences unless they exceed $30,000 paid to related parties three months prior to the commencement of liquidation. This limitation does not exist under the "standard" liquidation process and while the limitation was introduced to streamline smaller liquidations, the $30,000 minimum requirement could be seen as a debtor friendly development. </w:t>
      </w:r>
    </w:p>
    <w:p w14:paraId="7747C06D" w14:textId="77777777" w:rsidR="00463A79" w:rsidRPr="00463A79" w:rsidRDefault="00463A79" w:rsidP="0075058C">
      <w:pPr>
        <w:jc w:val="both"/>
        <w:rPr>
          <w:rFonts w:ascii="Arial" w:eastAsia="Avenir Next" w:hAnsi="Arial" w:cs="Arial"/>
          <w:color w:val="808080"/>
          <w:sz w:val="22"/>
          <w:szCs w:val="22"/>
        </w:rPr>
      </w:pPr>
    </w:p>
    <w:p w14:paraId="16AE19B3" w14:textId="50076590"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Notwithstanding that an alternative aim of the voluntary administration process is to maximise distribution to creditors as detailed above, the primary aim of the regime is to maximise the chance of an insolvent company continuing in existence under the terms of a deed of company arrangement.</w:t>
      </w:r>
    </w:p>
    <w:p w14:paraId="301CA47F" w14:textId="77777777" w:rsidR="00463A79" w:rsidRPr="00463A79" w:rsidRDefault="00463A79" w:rsidP="0075058C">
      <w:pPr>
        <w:jc w:val="both"/>
        <w:rPr>
          <w:rFonts w:ascii="Arial" w:eastAsia="Avenir Next" w:hAnsi="Arial" w:cs="Arial"/>
          <w:color w:val="808080"/>
          <w:sz w:val="22"/>
          <w:szCs w:val="22"/>
        </w:rPr>
      </w:pPr>
    </w:p>
    <w:p w14:paraId="55DF6604" w14:textId="59C12E9F"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The introduction of the ipso facto moratorium in 2018 prevents creditors from enforcing contractual ipso facto rights that are exclusively contingent on a company's insolvency. These reforms are likely to increase the chance that a corporation recovers from insolvency. However, it does so at the cost of limiting creditors rights indicating a shift towards a more debtor friendly jurisdiction. That being said, there are a number of exceptions to the ipso facto moratorium which limit its applicability. However, it is worth noting that the ipso facto moratorium applies in a range of insolvency processes: voluntary administrations, creditors' schemes of arrangement, receiverships and small company restructurings (with certain exceptions).  </w:t>
      </w:r>
    </w:p>
    <w:p w14:paraId="76598509" w14:textId="77777777" w:rsidR="00463A79" w:rsidRPr="00463A79" w:rsidRDefault="00463A79" w:rsidP="0075058C">
      <w:pPr>
        <w:jc w:val="both"/>
        <w:rPr>
          <w:rFonts w:ascii="Arial" w:eastAsia="Avenir Next" w:hAnsi="Arial" w:cs="Arial"/>
          <w:color w:val="808080"/>
          <w:sz w:val="22"/>
          <w:szCs w:val="22"/>
        </w:rPr>
      </w:pPr>
    </w:p>
    <w:p w14:paraId="6351A573" w14:textId="60C72216"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Another relatively recent development introduced in 2017 is the safe harbour provisions which allow company directors to avoid liability for insolvent trading. These reforms allow the company to continue to incur debts with a view to implementing an informal restructuring attempt under the supervision of an appointed restructuring expert. These provisions have the effect that the pool of assets available to creditors may be reduced compared to what might have been available prior to the introduction of the provisions and so are not likely to be viewed as creditor friendly developments.  </w:t>
      </w:r>
    </w:p>
    <w:p w14:paraId="4E451E4B" w14:textId="77777777" w:rsidR="00463A79" w:rsidRPr="00463A79" w:rsidRDefault="00463A79" w:rsidP="0075058C">
      <w:pPr>
        <w:jc w:val="both"/>
        <w:rPr>
          <w:rFonts w:ascii="Arial" w:eastAsia="Avenir Next" w:hAnsi="Arial" w:cs="Arial"/>
          <w:color w:val="808080"/>
          <w:sz w:val="22"/>
          <w:szCs w:val="22"/>
        </w:rPr>
      </w:pPr>
    </w:p>
    <w:p w14:paraId="4CA80434" w14:textId="77777777" w:rsidR="00463A79" w:rsidRPr="00463A79" w:rsidRDefault="00463A79" w:rsidP="0075058C">
      <w:pPr>
        <w:jc w:val="both"/>
        <w:rPr>
          <w:rFonts w:ascii="Arial" w:eastAsia="Avenir Next" w:hAnsi="Arial" w:cs="Arial"/>
          <w:color w:val="808080"/>
          <w:sz w:val="22"/>
          <w:szCs w:val="22"/>
          <w:u w:val="single"/>
        </w:rPr>
      </w:pPr>
      <w:r w:rsidRPr="00463A79">
        <w:rPr>
          <w:rFonts w:ascii="Arial" w:eastAsia="Avenir Next" w:hAnsi="Arial" w:cs="Arial"/>
          <w:color w:val="808080"/>
          <w:sz w:val="22"/>
          <w:szCs w:val="22"/>
          <w:u w:val="single"/>
        </w:rPr>
        <w:t>Debtor friendly reforms</w:t>
      </w:r>
    </w:p>
    <w:p w14:paraId="64B61A60" w14:textId="77777777" w:rsidR="00463A79" w:rsidRPr="00463A79" w:rsidRDefault="00463A79" w:rsidP="0075058C">
      <w:pPr>
        <w:jc w:val="both"/>
        <w:rPr>
          <w:rFonts w:ascii="Arial" w:eastAsia="Avenir Next" w:hAnsi="Arial" w:cs="Arial"/>
          <w:color w:val="808080"/>
          <w:sz w:val="22"/>
          <w:szCs w:val="22"/>
          <w:u w:val="single"/>
        </w:rPr>
      </w:pPr>
    </w:p>
    <w:p w14:paraId="391ECCC3" w14:textId="11B1B1E3" w:rsidR="00463A79" w:rsidRPr="00463A79" w:rsidRDefault="00463A79" w:rsidP="0075058C">
      <w:pPr>
        <w:jc w:val="both"/>
        <w:rPr>
          <w:rFonts w:ascii="Arial" w:eastAsia="Avenir Next" w:hAnsi="Arial" w:cs="Arial"/>
          <w:color w:val="808080"/>
          <w:sz w:val="22"/>
          <w:szCs w:val="22"/>
          <w:u w:val="single"/>
        </w:rPr>
      </w:pPr>
      <w:r w:rsidRPr="00463A79">
        <w:rPr>
          <w:rFonts w:ascii="Arial" w:eastAsia="Avenir Next" w:hAnsi="Arial" w:cs="Arial"/>
          <w:color w:val="808080"/>
          <w:sz w:val="22"/>
          <w:szCs w:val="22"/>
        </w:rPr>
        <w:t>As noted above, notwithstanding the introduction of debtor friendly reforms, there have also been a number of recent developments which further enhance the interests of creditors. For example, new anti pheonixing laws were introduced in 2019 and 2020 which prevent asset stripping of company's so that debtor company's may not continue to operate under a new name. The amendments expand the potential scope of personal director liability in addition to a range of other mechanisms which ultimately increase protection of creditors and deter certain acts of debtors.</w:t>
      </w:r>
    </w:p>
    <w:p w14:paraId="6DA2204A" w14:textId="77777777" w:rsidR="00463A79" w:rsidRPr="00463A79" w:rsidRDefault="00463A79" w:rsidP="0075058C">
      <w:pPr>
        <w:jc w:val="both"/>
        <w:rPr>
          <w:rFonts w:ascii="Arial" w:eastAsia="Avenir Next" w:hAnsi="Arial" w:cs="Arial"/>
          <w:color w:val="808080"/>
          <w:sz w:val="22"/>
          <w:szCs w:val="22"/>
          <w:u w:val="single"/>
        </w:rPr>
      </w:pPr>
    </w:p>
    <w:p w14:paraId="7FBDB3B6" w14:textId="77777777"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u w:val="single"/>
        </w:rPr>
        <w:t>Conclusion</w:t>
      </w:r>
    </w:p>
    <w:p w14:paraId="2BA43EA3" w14:textId="77777777" w:rsidR="00463A79" w:rsidRPr="00463A79" w:rsidRDefault="00463A79" w:rsidP="0075058C">
      <w:pPr>
        <w:jc w:val="both"/>
        <w:rPr>
          <w:rFonts w:ascii="Arial" w:eastAsia="Avenir Next" w:hAnsi="Arial" w:cs="Arial"/>
          <w:color w:val="808080"/>
          <w:sz w:val="22"/>
          <w:szCs w:val="22"/>
        </w:rPr>
      </w:pPr>
    </w:p>
    <w:p w14:paraId="5898180A" w14:textId="106A01DC" w:rsidR="008420F8"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Australia remains a creditor friendly jurisdiction and has a number of features that protect and priorities creditor's interests. However, recent developments have introduced debtor friendly provisions which have shifted its position slightly in favour of debtors, notwithstanding that creditors retain significant rights in liquidation and restructuring processes and there have also been a range of reforms increasing the protection afforded to creditors.</w:t>
      </w:r>
    </w:p>
    <w:p w14:paraId="5700E683" w14:textId="77777777" w:rsidR="008420F8" w:rsidRPr="00B2234F" w:rsidRDefault="008420F8" w:rsidP="002476AF">
      <w:pPr>
        <w:jc w:val="both"/>
        <w:rPr>
          <w:rFonts w:ascii="Avenir Next" w:hAnsi="Avenir Next" w:cs="Arial"/>
          <w:sz w:val="22"/>
          <w:szCs w:val="22"/>
          <w:lang w:val="en-GB"/>
        </w:rPr>
      </w:pP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lastRenderedPageBreak/>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2EC1AB4A" w14:textId="01E0108D" w:rsidR="007836C4" w:rsidRPr="0075058C" w:rsidRDefault="0075058C" w:rsidP="00463A79">
      <w:pPr>
        <w:jc w:val="both"/>
        <w:rPr>
          <w:rFonts w:ascii="Arial" w:eastAsia="Avenir Next" w:hAnsi="Arial" w:cs="Arial"/>
          <w:color w:val="808080"/>
          <w:sz w:val="22"/>
          <w:szCs w:val="32"/>
        </w:rPr>
      </w:pPr>
      <w:r>
        <w:rPr>
          <w:rFonts w:ascii="Arial" w:eastAsia="Avenir Next" w:hAnsi="Arial" w:cs="Arial"/>
          <w:color w:val="808080"/>
          <w:sz w:val="22"/>
          <w:szCs w:val="32"/>
          <w:lang w:val="en-GB"/>
        </w:rPr>
        <w:t>I</w:t>
      </w:r>
      <w:r w:rsidR="007836C4" w:rsidRPr="0075058C">
        <w:rPr>
          <w:rFonts w:ascii="Arial" w:eastAsia="Avenir Next" w:hAnsi="Arial" w:cs="Arial"/>
          <w:color w:val="808080"/>
          <w:sz w:val="22"/>
          <w:szCs w:val="32"/>
        </w:rPr>
        <w:t>t would not be in the ATO’s interests for the foreign liquidator to obtain control of Aussibee’s assets including the valuable NewYums shares</w:t>
      </w:r>
      <w:r w:rsidR="00F30E52" w:rsidRPr="0075058C">
        <w:rPr>
          <w:rFonts w:ascii="Arial" w:eastAsia="Avenir Next" w:hAnsi="Arial" w:cs="Arial"/>
          <w:color w:val="808080"/>
          <w:sz w:val="22"/>
          <w:szCs w:val="32"/>
        </w:rPr>
        <w:t xml:space="preserve"> without preserving the ATO’s position</w:t>
      </w:r>
      <w:r w:rsidR="007836C4" w:rsidRPr="0075058C">
        <w:rPr>
          <w:rFonts w:ascii="Arial" w:eastAsia="Avenir Next" w:hAnsi="Arial" w:cs="Arial"/>
          <w:color w:val="808080"/>
          <w:sz w:val="22"/>
          <w:szCs w:val="32"/>
        </w:rPr>
        <w:t>.  Realisation of the Newyums shares for the benefit of Lyonesse creditors may have the effect of leaving the debt to ATO unsatisfied</w:t>
      </w:r>
      <w:r w:rsidR="00F30E52" w:rsidRPr="0075058C">
        <w:rPr>
          <w:rFonts w:ascii="Arial" w:eastAsia="Avenir Next" w:hAnsi="Arial" w:cs="Arial"/>
          <w:color w:val="808080"/>
          <w:sz w:val="22"/>
          <w:szCs w:val="32"/>
        </w:rPr>
        <w:t xml:space="preserve"> to the extent that it ought to be</w:t>
      </w:r>
      <w:r w:rsidR="007836C4" w:rsidRPr="0075058C">
        <w:rPr>
          <w:rFonts w:ascii="Arial" w:eastAsia="Avenir Next" w:hAnsi="Arial" w:cs="Arial"/>
          <w:color w:val="808080"/>
          <w:sz w:val="22"/>
          <w:szCs w:val="32"/>
        </w:rPr>
        <w:t>.</w:t>
      </w:r>
      <w:r w:rsidR="005F0E2C" w:rsidRPr="0075058C">
        <w:rPr>
          <w:rFonts w:ascii="Arial" w:eastAsia="Avenir Next" w:hAnsi="Arial" w:cs="Arial"/>
          <w:color w:val="808080"/>
          <w:sz w:val="22"/>
          <w:szCs w:val="32"/>
        </w:rPr>
        <w:t xml:space="preserve"> I would advise the ATO to notify the foreign liquidator of the debt to ensure that they are aware that the ATO is a significant creditor.</w:t>
      </w:r>
    </w:p>
    <w:p w14:paraId="45984B96" w14:textId="77777777" w:rsidR="007836C4" w:rsidRPr="0075058C" w:rsidRDefault="007836C4" w:rsidP="00463A79">
      <w:pPr>
        <w:jc w:val="both"/>
        <w:rPr>
          <w:rFonts w:ascii="Arial" w:eastAsia="Avenir Next" w:hAnsi="Arial" w:cs="Arial"/>
          <w:color w:val="808080"/>
          <w:sz w:val="22"/>
          <w:szCs w:val="32"/>
        </w:rPr>
      </w:pPr>
    </w:p>
    <w:p w14:paraId="4B9CFA2F" w14:textId="3D6D8CDC" w:rsidR="005F62D1" w:rsidRPr="0075058C" w:rsidRDefault="004524BE" w:rsidP="00463A79">
      <w:pPr>
        <w:jc w:val="both"/>
        <w:rPr>
          <w:rFonts w:ascii="Arial" w:eastAsia="Avenir Next" w:hAnsi="Arial" w:cs="Arial"/>
          <w:color w:val="808080"/>
          <w:sz w:val="22"/>
          <w:szCs w:val="32"/>
        </w:rPr>
      </w:pPr>
      <w:r w:rsidRPr="0075058C">
        <w:rPr>
          <w:rFonts w:ascii="Arial" w:eastAsia="Avenir Next" w:hAnsi="Arial" w:cs="Arial"/>
          <w:color w:val="808080"/>
          <w:sz w:val="22"/>
          <w:szCs w:val="32"/>
        </w:rPr>
        <w:t xml:space="preserve">I would advise the ATO to issue a statutory demand on Aussibee for the tax debt and issue proceedings </w:t>
      </w:r>
      <w:r w:rsidR="007836C4" w:rsidRPr="0075058C">
        <w:rPr>
          <w:rFonts w:ascii="Arial" w:eastAsia="Avenir Next" w:hAnsi="Arial" w:cs="Arial"/>
          <w:color w:val="808080"/>
          <w:sz w:val="22"/>
          <w:szCs w:val="32"/>
        </w:rPr>
        <w:t xml:space="preserve">to wind up Aussiebee </w:t>
      </w:r>
      <w:r w:rsidRPr="0075058C">
        <w:rPr>
          <w:rFonts w:ascii="Arial" w:eastAsia="Avenir Next" w:hAnsi="Arial" w:cs="Arial"/>
          <w:color w:val="808080"/>
          <w:sz w:val="22"/>
          <w:szCs w:val="32"/>
        </w:rPr>
        <w:t xml:space="preserve">if it remains unpaid within 21 days. Having commenced proceedings, </w:t>
      </w:r>
      <w:r w:rsidR="00463A79" w:rsidRPr="0075058C">
        <w:rPr>
          <w:rFonts w:ascii="Arial" w:eastAsia="Avenir Next" w:hAnsi="Arial" w:cs="Arial"/>
          <w:color w:val="808080"/>
          <w:sz w:val="22"/>
          <w:szCs w:val="32"/>
        </w:rPr>
        <w:t xml:space="preserve">I would advise the ATO to consider opposing the </w:t>
      </w:r>
      <w:r w:rsidRPr="0075058C">
        <w:rPr>
          <w:rFonts w:ascii="Arial" w:eastAsia="Avenir Next" w:hAnsi="Arial" w:cs="Arial"/>
          <w:color w:val="808080"/>
          <w:sz w:val="22"/>
          <w:szCs w:val="32"/>
        </w:rPr>
        <w:t xml:space="preserve">foreign liquidators </w:t>
      </w:r>
      <w:r w:rsidR="00463A79" w:rsidRPr="0075058C">
        <w:rPr>
          <w:rFonts w:ascii="Arial" w:eastAsia="Avenir Next" w:hAnsi="Arial" w:cs="Arial"/>
          <w:color w:val="808080"/>
          <w:sz w:val="22"/>
          <w:szCs w:val="32"/>
        </w:rPr>
        <w:t xml:space="preserve">recognition application on the basis that </w:t>
      </w:r>
      <w:r w:rsidR="00EC2B80" w:rsidRPr="0075058C">
        <w:rPr>
          <w:rFonts w:ascii="Arial" w:eastAsia="Avenir Next" w:hAnsi="Arial" w:cs="Arial"/>
          <w:color w:val="808080"/>
          <w:sz w:val="22"/>
          <w:szCs w:val="32"/>
        </w:rPr>
        <w:t>the proceeding is not a foreign main proceeding but rather that recognition should only be granted on the basis that the liquidation is a foreign non-main proceeding</w:t>
      </w:r>
      <w:r w:rsidRPr="0075058C">
        <w:rPr>
          <w:rFonts w:ascii="Arial" w:eastAsia="Avenir Next" w:hAnsi="Arial" w:cs="Arial"/>
          <w:color w:val="808080"/>
          <w:sz w:val="22"/>
          <w:szCs w:val="32"/>
        </w:rPr>
        <w:t xml:space="preserve"> whereas the ATO’s liquidation of Aussibee could be considered as the main proceeding.</w:t>
      </w:r>
      <w:r w:rsidR="002139CC" w:rsidRPr="0075058C">
        <w:rPr>
          <w:rFonts w:ascii="Arial" w:eastAsia="Avenir Next" w:hAnsi="Arial" w:cs="Arial"/>
          <w:color w:val="808080"/>
          <w:sz w:val="22"/>
          <w:szCs w:val="32"/>
        </w:rPr>
        <w:t xml:space="preserve"> Primacy will therefore be given to the domestic, Australian proceeding pursuant to Article 29.</w:t>
      </w:r>
      <w:r w:rsidR="007836C4" w:rsidRPr="0075058C">
        <w:rPr>
          <w:rFonts w:ascii="Arial" w:eastAsia="Avenir Next" w:hAnsi="Arial" w:cs="Arial"/>
          <w:color w:val="808080"/>
          <w:sz w:val="22"/>
          <w:szCs w:val="32"/>
        </w:rPr>
        <w:t xml:space="preserve"> As a result, any relief granted in the non-main proceeding would therefore need to be consistent with the domestic Australian proceeding. </w:t>
      </w:r>
    </w:p>
    <w:p w14:paraId="64A1C684" w14:textId="77777777" w:rsidR="00EC2B80" w:rsidRPr="0075058C" w:rsidRDefault="00EC2B80" w:rsidP="00463A79">
      <w:pPr>
        <w:jc w:val="both"/>
        <w:rPr>
          <w:rFonts w:ascii="Arial" w:eastAsia="Avenir Next" w:hAnsi="Arial" w:cs="Arial"/>
          <w:color w:val="808080"/>
          <w:sz w:val="22"/>
          <w:szCs w:val="32"/>
        </w:rPr>
      </w:pPr>
    </w:p>
    <w:p w14:paraId="0DCF907B" w14:textId="3F39CC54" w:rsidR="003D156F" w:rsidRPr="0075058C" w:rsidRDefault="00EC2B80" w:rsidP="00463A79">
      <w:pPr>
        <w:jc w:val="both"/>
        <w:rPr>
          <w:rFonts w:ascii="Arial" w:eastAsia="Avenir Next" w:hAnsi="Arial" w:cs="Arial"/>
          <w:color w:val="808080"/>
          <w:sz w:val="22"/>
          <w:szCs w:val="32"/>
        </w:rPr>
      </w:pPr>
      <w:r w:rsidRPr="0075058C">
        <w:rPr>
          <w:rFonts w:ascii="Arial" w:eastAsia="Avenir Next" w:hAnsi="Arial" w:cs="Arial"/>
          <w:color w:val="808080"/>
          <w:sz w:val="22"/>
          <w:szCs w:val="32"/>
        </w:rPr>
        <w:t>The basis for this position would be that it is arguable that Lyonesse is not the COMI for Aussiebee</w:t>
      </w:r>
      <w:r w:rsidR="002139CC" w:rsidRPr="0075058C">
        <w:rPr>
          <w:rFonts w:ascii="Arial" w:eastAsia="Avenir Next" w:hAnsi="Arial" w:cs="Arial"/>
          <w:color w:val="808080"/>
          <w:sz w:val="22"/>
          <w:szCs w:val="32"/>
        </w:rPr>
        <w:t>, but rather, the COMI is located in Australia</w:t>
      </w:r>
      <w:r w:rsidR="007836C4" w:rsidRPr="0075058C">
        <w:rPr>
          <w:rFonts w:ascii="Arial" w:eastAsia="Avenir Next" w:hAnsi="Arial" w:cs="Arial"/>
          <w:color w:val="808080"/>
          <w:sz w:val="22"/>
          <w:szCs w:val="32"/>
        </w:rPr>
        <w:t xml:space="preserve"> (despite being incorporated in Lyoness)</w:t>
      </w:r>
      <w:r w:rsidRPr="0075058C">
        <w:rPr>
          <w:rFonts w:ascii="Arial" w:eastAsia="Avenir Next" w:hAnsi="Arial" w:cs="Arial"/>
          <w:color w:val="808080"/>
          <w:sz w:val="22"/>
          <w:szCs w:val="32"/>
        </w:rPr>
        <w:t xml:space="preserve">. </w:t>
      </w:r>
      <w:r w:rsidR="00463A79" w:rsidRPr="0075058C">
        <w:rPr>
          <w:rFonts w:ascii="Arial" w:eastAsia="Avenir Next" w:hAnsi="Arial" w:cs="Arial"/>
          <w:color w:val="808080"/>
          <w:sz w:val="22"/>
          <w:szCs w:val="32"/>
        </w:rPr>
        <w:t>While there are there are a number of neutral</w:t>
      </w:r>
      <w:r w:rsidRPr="0075058C">
        <w:rPr>
          <w:rFonts w:ascii="Arial" w:eastAsia="Avenir Next" w:hAnsi="Arial" w:cs="Arial"/>
          <w:color w:val="808080"/>
          <w:sz w:val="22"/>
          <w:szCs w:val="32"/>
        </w:rPr>
        <w:t xml:space="preserve">ly balanced </w:t>
      </w:r>
      <w:r w:rsidR="00463A79" w:rsidRPr="0075058C">
        <w:rPr>
          <w:rFonts w:ascii="Arial" w:eastAsia="Avenir Next" w:hAnsi="Arial" w:cs="Arial"/>
          <w:color w:val="808080"/>
          <w:sz w:val="22"/>
          <w:szCs w:val="32"/>
        </w:rPr>
        <w:t>considerations (for example, offices in Australia and Lyonesse and equal staff numbers in both jurisdictions) there are a number of factors that indicate that Australia is in fact the COMI. These include the fact that Au</w:t>
      </w:r>
      <w:r w:rsidRPr="0075058C">
        <w:rPr>
          <w:rFonts w:ascii="Arial" w:eastAsia="Avenir Next" w:hAnsi="Arial" w:cs="Arial"/>
          <w:color w:val="808080"/>
          <w:sz w:val="22"/>
          <w:szCs w:val="32"/>
        </w:rPr>
        <w:t>s</w:t>
      </w:r>
      <w:r w:rsidR="00463A79" w:rsidRPr="0075058C">
        <w:rPr>
          <w:rFonts w:ascii="Arial" w:eastAsia="Avenir Next" w:hAnsi="Arial" w:cs="Arial"/>
          <w:color w:val="808080"/>
          <w:sz w:val="22"/>
          <w:szCs w:val="32"/>
        </w:rPr>
        <w:t>si</w:t>
      </w:r>
      <w:r w:rsidRPr="0075058C">
        <w:rPr>
          <w:rFonts w:ascii="Arial" w:eastAsia="Avenir Next" w:hAnsi="Arial" w:cs="Arial"/>
          <w:color w:val="808080"/>
          <w:sz w:val="22"/>
          <w:szCs w:val="32"/>
        </w:rPr>
        <w:t>e</w:t>
      </w:r>
      <w:r w:rsidR="00463A79" w:rsidRPr="0075058C">
        <w:rPr>
          <w:rFonts w:ascii="Arial" w:eastAsia="Avenir Next" w:hAnsi="Arial" w:cs="Arial"/>
          <w:color w:val="808080"/>
          <w:sz w:val="22"/>
          <w:szCs w:val="32"/>
        </w:rPr>
        <w:t xml:space="preserve">bee only has warehouses in Australia, uses Australian flavoured native plants and also manufactures its products in Australia. Further, the majority of the directors are Australian, as are its CFO (resident in Australia) and its CEO (albeit resident in Lyonesse). Accordingly, there are reasonable grounds to </w:t>
      </w:r>
      <w:r w:rsidRPr="0075058C">
        <w:rPr>
          <w:rFonts w:ascii="Arial" w:eastAsia="Avenir Next" w:hAnsi="Arial" w:cs="Arial"/>
          <w:color w:val="808080"/>
          <w:sz w:val="22"/>
          <w:szCs w:val="32"/>
        </w:rPr>
        <w:t>persuade</w:t>
      </w:r>
      <w:r w:rsidR="00463A79" w:rsidRPr="0075058C">
        <w:rPr>
          <w:rFonts w:ascii="Arial" w:eastAsia="Avenir Next" w:hAnsi="Arial" w:cs="Arial"/>
          <w:color w:val="808080"/>
          <w:sz w:val="22"/>
          <w:szCs w:val="32"/>
        </w:rPr>
        <w:t xml:space="preserve"> an Australian Court that Australia is in fact Au</w:t>
      </w:r>
      <w:r w:rsidRPr="0075058C">
        <w:rPr>
          <w:rFonts w:ascii="Arial" w:eastAsia="Avenir Next" w:hAnsi="Arial" w:cs="Arial"/>
          <w:color w:val="808080"/>
          <w:sz w:val="22"/>
          <w:szCs w:val="32"/>
        </w:rPr>
        <w:t>s</w:t>
      </w:r>
      <w:r w:rsidR="00463A79" w:rsidRPr="0075058C">
        <w:rPr>
          <w:rFonts w:ascii="Arial" w:eastAsia="Avenir Next" w:hAnsi="Arial" w:cs="Arial"/>
          <w:color w:val="808080"/>
          <w:sz w:val="22"/>
          <w:szCs w:val="32"/>
        </w:rPr>
        <w:t xml:space="preserve">sibee's COMI such that </w:t>
      </w:r>
      <w:r w:rsidR="003D156F" w:rsidRPr="0075058C">
        <w:rPr>
          <w:rFonts w:ascii="Arial" w:eastAsia="Avenir Next" w:hAnsi="Arial" w:cs="Arial"/>
          <w:color w:val="808080"/>
          <w:sz w:val="22"/>
          <w:szCs w:val="32"/>
        </w:rPr>
        <w:t>such that the foreign liquidation is non-main</w:t>
      </w:r>
      <w:r w:rsidR="00463A79" w:rsidRPr="0075058C">
        <w:rPr>
          <w:rFonts w:ascii="Arial" w:eastAsia="Avenir Next" w:hAnsi="Arial" w:cs="Arial"/>
          <w:color w:val="808080"/>
          <w:sz w:val="22"/>
          <w:szCs w:val="32"/>
        </w:rPr>
        <w:t xml:space="preserve">. </w:t>
      </w:r>
    </w:p>
    <w:p w14:paraId="131D5BB5" w14:textId="77777777" w:rsidR="00463A79" w:rsidRPr="0075058C" w:rsidRDefault="00463A79" w:rsidP="00463A79">
      <w:pPr>
        <w:jc w:val="both"/>
        <w:rPr>
          <w:rFonts w:ascii="Arial" w:eastAsia="Avenir Next" w:hAnsi="Arial" w:cs="Arial"/>
          <w:color w:val="808080"/>
          <w:sz w:val="22"/>
          <w:szCs w:val="32"/>
        </w:rPr>
      </w:pPr>
    </w:p>
    <w:p w14:paraId="6853DDA8" w14:textId="4D279C7D" w:rsidR="00463A79" w:rsidRPr="0075058C" w:rsidRDefault="00237F91" w:rsidP="00463A79">
      <w:pPr>
        <w:jc w:val="both"/>
        <w:rPr>
          <w:rFonts w:ascii="Arial" w:eastAsia="Avenir Next" w:hAnsi="Arial" w:cs="Arial"/>
          <w:color w:val="808080"/>
          <w:sz w:val="22"/>
          <w:szCs w:val="32"/>
        </w:rPr>
      </w:pPr>
      <w:r w:rsidRPr="0075058C">
        <w:rPr>
          <w:rFonts w:ascii="Arial" w:eastAsia="Avenir Next" w:hAnsi="Arial" w:cs="Arial"/>
          <w:color w:val="808080"/>
          <w:sz w:val="22"/>
          <w:szCs w:val="32"/>
        </w:rPr>
        <w:t xml:space="preserve">Even if the Lyoness proceeding is recognised as the main proceeding, </w:t>
      </w:r>
      <w:r w:rsidR="00463A79" w:rsidRPr="0075058C">
        <w:rPr>
          <w:rFonts w:ascii="Arial" w:eastAsia="Avenir Next" w:hAnsi="Arial" w:cs="Arial"/>
          <w:color w:val="808080"/>
          <w:sz w:val="22"/>
          <w:szCs w:val="32"/>
        </w:rPr>
        <w:t xml:space="preserve">I </w:t>
      </w:r>
      <w:r w:rsidR="00EC2B80" w:rsidRPr="0075058C">
        <w:rPr>
          <w:rFonts w:ascii="Arial" w:eastAsia="Avenir Next" w:hAnsi="Arial" w:cs="Arial"/>
          <w:color w:val="808080"/>
          <w:sz w:val="22"/>
          <w:szCs w:val="32"/>
        </w:rPr>
        <w:t>would</w:t>
      </w:r>
      <w:r w:rsidR="00463A79" w:rsidRPr="0075058C">
        <w:rPr>
          <w:rFonts w:ascii="Arial" w:eastAsia="Avenir Next" w:hAnsi="Arial" w:cs="Arial"/>
          <w:color w:val="808080"/>
          <w:sz w:val="22"/>
          <w:szCs w:val="32"/>
        </w:rPr>
        <w:t xml:space="preserve"> advise the ATO of its ability to apply for the modification of any recognition orders</w:t>
      </w:r>
      <w:r w:rsidRPr="0075058C">
        <w:rPr>
          <w:rFonts w:ascii="Arial" w:eastAsia="Avenir Next" w:hAnsi="Arial" w:cs="Arial"/>
          <w:color w:val="808080"/>
          <w:sz w:val="22"/>
          <w:szCs w:val="32"/>
        </w:rPr>
        <w:t>. In particular, the orders may be modified</w:t>
      </w:r>
      <w:r w:rsidR="00463A79" w:rsidRPr="0075058C">
        <w:rPr>
          <w:rFonts w:ascii="Arial" w:eastAsia="Avenir Next" w:hAnsi="Arial" w:cs="Arial"/>
          <w:color w:val="808080"/>
          <w:sz w:val="22"/>
          <w:szCs w:val="32"/>
        </w:rPr>
        <w:t xml:space="preserve"> such that they expressly give leave to the ATO to take steps to enforce its claim for the unpaid taxes in Australia for the express purpose of recovering an amount up to the parri passu amount it would be entitled to have receive if it was entitled to prove the tax debts in the foreign main proceeding. I would inform the ATO that similar circumstances were considered by the Full Court of the Federal Court of </w:t>
      </w:r>
      <w:r w:rsidR="00463A79" w:rsidRPr="0075058C">
        <w:rPr>
          <w:rFonts w:ascii="Arial" w:eastAsia="Avenir Next" w:hAnsi="Arial" w:cs="Arial"/>
          <w:i/>
          <w:iCs/>
          <w:color w:val="808080"/>
          <w:sz w:val="22"/>
          <w:szCs w:val="32"/>
        </w:rPr>
        <w:t>Australia in Ackers v Deputy Commissioner of Taxation</w:t>
      </w:r>
      <w:r w:rsidR="00463A79" w:rsidRPr="0075058C">
        <w:rPr>
          <w:rFonts w:ascii="Arial" w:eastAsia="Avenir Next" w:hAnsi="Arial" w:cs="Arial"/>
          <w:color w:val="808080"/>
          <w:sz w:val="22"/>
          <w:szCs w:val="32"/>
        </w:rPr>
        <w:t xml:space="preserve"> and that the Court held that modification of recognition orders were an appropriate way to ensure that the interests of the DCT in that case were adequately protected. </w:t>
      </w:r>
    </w:p>
    <w:p w14:paraId="2067F8EB" w14:textId="77777777" w:rsidR="002139CC" w:rsidRPr="0075058C" w:rsidRDefault="002139CC" w:rsidP="00463A79">
      <w:pPr>
        <w:jc w:val="both"/>
        <w:rPr>
          <w:rFonts w:ascii="Arial" w:eastAsia="Avenir Next" w:hAnsi="Arial" w:cs="Arial"/>
          <w:color w:val="808080"/>
          <w:sz w:val="22"/>
          <w:szCs w:val="32"/>
        </w:rPr>
      </w:pPr>
    </w:p>
    <w:p w14:paraId="24CAD274" w14:textId="39AFEFEA" w:rsidR="002139CC" w:rsidRPr="0075058C" w:rsidRDefault="002139CC" w:rsidP="00E14FED">
      <w:pPr>
        <w:jc w:val="both"/>
        <w:rPr>
          <w:rFonts w:ascii="Arial" w:eastAsia="Avenir Next" w:hAnsi="Arial" w:cs="Arial"/>
          <w:color w:val="808080"/>
          <w:sz w:val="22"/>
          <w:szCs w:val="32"/>
        </w:rPr>
      </w:pPr>
      <w:r w:rsidRPr="0075058C">
        <w:rPr>
          <w:rFonts w:ascii="Arial" w:eastAsia="Avenir Next" w:hAnsi="Arial" w:cs="Arial"/>
          <w:color w:val="808080"/>
          <w:sz w:val="22"/>
          <w:szCs w:val="32"/>
        </w:rPr>
        <w:t>The ATO might also consider opposing recognition of the foreign proceeding on the basis that it would be a breach of the public policy safeguard. If the foreign representative realises the assets for the benefit of the Lyonesse based creditors, the ATO will prejudiced and the Australian public (as ultimate beneficiaries of tax money) would suffer as a result. However, I would note that the public policy exception is a high threshold.</w:t>
      </w:r>
      <w:r w:rsidR="00237F91" w:rsidRPr="0075058C">
        <w:rPr>
          <w:rFonts w:ascii="Arial" w:eastAsia="Avenir Next" w:hAnsi="Arial" w:cs="Arial"/>
          <w:color w:val="808080"/>
          <w:sz w:val="22"/>
          <w:szCs w:val="32"/>
        </w:rPr>
        <w:t xml:space="preserve"> </w:t>
      </w:r>
      <w:r w:rsidR="005F0E2C" w:rsidRPr="0075058C">
        <w:rPr>
          <w:rFonts w:ascii="Arial" w:eastAsia="Avenir Next" w:hAnsi="Arial" w:cs="Arial"/>
          <w:color w:val="808080"/>
          <w:sz w:val="22"/>
          <w:szCs w:val="32"/>
        </w:rPr>
        <w:t>I</w:t>
      </w:r>
      <w:r w:rsidR="00237F91" w:rsidRPr="0075058C">
        <w:rPr>
          <w:rFonts w:ascii="Arial" w:eastAsia="Avenir Next" w:hAnsi="Arial" w:cs="Arial"/>
          <w:color w:val="808080"/>
          <w:sz w:val="22"/>
          <w:szCs w:val="32"/>
        </w:rPr>
        <w:t>n circumstances where the recognition orders can be modified to protect the ATO, an application</w:t>
      </w:r>
      <w:r w:rsidR="005F0E2C" w:rsidRPr="0075058C">
        <w:rPr>
          <w:rFonts w:ascii="Arial" w:eastAsia="Avenir Next" w:hAnsi="Arial" w:cs="Arial"/>
          <w:color w:val="808080"/>
          <w:sz w:val="22"/>
          <w:szCs w:val="32"/>
        </w:rPr>
        <w:t xml:space="preserve"> to invoke the public policy exception</w:t>
      </w:r>
      <w:r w:rsidR="00237F91" w:rsidRPr="0075058C">
        <w:rPr>
          <w:rFonts w:ascii="Arial" w:eastAsia="Avenir Next" w:hAnsi="Arial" w:cs="Arial"/>
          <w:color w:val="808080"/>
          <w:sz w:val="22"/>
          <w:szCs w:val="32"/>
        </w:rPr>
        <w:t xml:space="preserve"> is unlikely to be necessary or successful.</w:t>
      </w:r>
    </w:p>
    <w:p w14:paraId="65F5F5B0" w14:textId="1894AE21" w:rsidR="00E14FED" w:rsidRPr="00B2234F" w:rsidRDefault="00E14FED" w:rsidP="002476AF">
      <w:pPr>
        <w:jc w:val="both"/>
        <w:rPr>
          <w:rFonts w:ascii="Avenir Next" w:hAnsi="Avenir Next" w:cs="Arial"/>
          <w:sz w:val="22"/>
          <w:szCs w:val="22"/>
          <w:lang w:val="en-GB"/>
        </w:rPr>
      </w:pPr>
    </w:p>
    <w:p w14:paraId="4F4A6859" w14:textId="77777777" w:rsidR="0075058C" w:rsidRDefault="0075058C" w:rsidP="00087F21">
      <w:pPr>
        <w:jc w:val="both"/>
        <w:rPr>
          <w:rFonts w:ascii="Avenir Next Demi Bold" w:hAnsi="Avenir Next Demi Bold" w:cs="Arial"/>
          <w:b/>
          <w:bCs/>
          <w:sz w:val="22"/>
          <w:szCs w:val="22"/>
          <w:lang w:val="en-GB"/>
        </w:rPr>
      </w:pPr>
    </w:p>
    <w:p w14:paraId="35E0F6E2" w14:textId="0BE79BA3"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lastRenderedPageBreak/>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directors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a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655DE701" w14:textId="33F6A1C0"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u w:val="single"/>
        </w:rPr>
        <w:t>What to do about HA?</w:t>
      </w:r>
    </w:p>
    <w:p w14:paraId="5E73FAC9" w14:textId="77777777" w:rsidR="00463A79" w:rsidRPr="00463A79" w:rsidRDefault="00463A79" w:rsidP="0075058C">
      <w:pPr>
        <w:jc w:val="both"/>
        <w:rPr>
          <w:rFonts w:ascii="Arial" w:eastAsia="Avenir Next" w:hAnsi="Arial" w:cs="Arial"/>
          <w:color w:val="808080"/>
          <w:sz w:val="22"/>
          <w:szCs w:val="22"/>
        </w:rPr>
      </w:pPr>
    </w:p>
    <w:p w14:paraId="2268E0AA" w14:textId="4A7C46FC"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HA needs to consider liquidation or a restructuring process. While the fact that the Perth re-refining plant may indicate it may be worth attempting a corporate rescue procedure, given there are no funds to continue operations and all refinancing options have been exhausted, informal or formal restructuring options do not seem to be viable options worth pursuing in the circumstances. </w:t>
      </w:r>
    </w:p>
    <w:p w14:paraId="2C7FA5F6" w14:textId="77777777" w:rsidR="00463A79" w:rsidRPr="00463A79" w:rsidRDefault="00463A79" w:rsidP="0075058C">
      <w:pPr>
        <w:jc w:val="both"/>
        <w:rPr>
          <w:rFonts w:ascii="Arial" w:eastAsia="Avenir Next" w:hAnsi="Arial" w:cs="Arial"/>
          <w:color w:val="808080"/>
          <w:sz w:val="22"/>
          <w:szCs w:val="22"/>
        </w:rPr>
      </w:pPr>
    </w:p>
    <w:p w14:paraId="380E9DCB" w14:textId="0FFE2A8C"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Realistically, the directors should immediately resolve that the company is insolvent and that an administrator should be appointed. In the circumstances, the appointment of administrators will be to preserve the business of the Perth re-refining plant such that it may be sold as a going concern. By preserving the Perth plant's business, a better sale price will likely be achieved so that </w:t>
      </w:r>
      <w:r w:rsidR="005F0E2C" w:rsidRPr="00463A79">
        <w:rPr>
          <w:rFonts w:ascii="Arial" w:eastAsia="Avenir Next" w:hAnsi="Arial" w:cs="Arial"/>
          <w:color w:val="808080"/>
          <w:sz w:val="22"/>
          <w:szCs w:val="22"/>
        </w:rPr>
        <w:t>creditors’</w:t>
      </w:r>
      <w:r w:rsidRPr="00463A79">
        <w:rPr>
          <w:rFonts w:ascii="Arial" w:eastAsia="Avenir Next" w:hAnsi="Arial" w:cs="Arial"/>
          <w:color w:val="808080"/>
          <w:sz w:val="22"/>
          <w:szCs w:val="22"/>
        </w:rPr>
        <w:t xml:space="preserve"> claims can be better satisfied upon the ultimate liquidation of HA. Ultimately, any decision to sell the Perth plant business will be the creditors</w:t>
      </w:r>
      <w:r w:rsidR="005F0E2C">
        <w:rPr>
          <w:rFonts w:ascii="Arial" w:eastAsia="Avenir Next" w:hAnsi="Arial" w:cs="Arial"/>
          <w:color w:val="808080"/>
          <w:sz w:val="22"/>
          <w:szCs w:val="22"/>
        </w:rPr>
        <w:t>’</w:t>
      </w:r>
      <w:r w:rsidRPr="00463A79">
        <w:rPr>
          <w:rFonts w:ascii="Arial" w:eastAsia="Avenir Next" w:hAnsi="Arial" w:cs="Arial"/>
          <w:color w:val="808080"/>
          <w:sz w:val="22"/>
          <w:szCs w:val="22"/>
        </w:rPr>
        <w:t xml:space="preserve"> decision unless there is no prospect of an alternative purchaser at a later time and an immediate sale of the business is in the interests of unsecured creditors.</w:t>
      </w:r>
    </w:p>
    <w:p w14:paraId="23C83CE7" w14:textId="77777777" w:rsidR="00463A79" w:rsidRPr="00463A79" w:rsidRDefault="00463A79" w:rsidP="0075058C">
      <w:pPr>
        <w:jc w:val="both"/>
        <w:rPr>
          <w:rFonts w:ascii="Arial" w:eastAsia="Avenir Next" w:hAnsi="Arial" w:cs="Arial"/>
          <w:color w:val="808080"/>
          <w:sz w:val="22"/>
          <w:szCs w:val="22"/>
        </w:rPr>
      </w:pPr>
    </w:p>
    <w:p w14:paraId="53D540AF" w14:textId="3C4D69B6"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The benefit to appointing an administrator is the secured and unsecured creditors will not be able to enforce their rights against HA, thereby permitting the possibility of a sale of the Perth plant as a going concern. In particular, I would advise the directors of HA that while the loan from HGL's shareholder records that the loan will become immediately repayable upon entry into either of these processes, the ipso facto moratorium provisions will prevent this clause from being actioned upon by appointment of an administrator given the contract was entered into after 1 July 2018. </w:t>
      </w:r>
    </w:p>
    <w:p w14:paraId="371F6074" w14:textId="77777777" w:rsidR="00463A79" w:rsidRPr="00463A79" w:rsidRDefault="00463A79" w:rsidP="0075058C">
      <w:pPr>
        <w:jc w:val="both"/>
        <w:rPr>
          <w:rFonts w:ascii="Arial" w:eastAsia="Avenir Next" w:hAnsi="Arial" w:cs="Arial"/>
          <w:color w:val="808080"/>
          <w:sz w:val="22"/>
          <w:szCs w:val="22"/>
          <w:u w:val="single"/>
        </w:rPr>
      </w:pPr>
    </w:p>
    <w:p w14:paraId="49C404AD" w14:textId="49CDA7BB"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u w:val="single"/>
        </w:rPr>
        <w:t>Main issues</w:t>
      </w:r>
      <w:r w:rsidRPr="00463A79">
        <w:rPr>
          <w:rFonts w:ascii="Arial" w:eastAsia="Avenir Next" w:hAnsi="Arial" w:cs="Arial"/>
          <w:color w:val="808080"/>
          <w:sz w:val="22"/>
          <w:szCs w:val="22"/>
        </w:rPr>
        <w:t xml:space="preserve"> </w:t>
      </w:r>
      <w:r w:rsidR="00BB6142">
        <w:rPr>
          <w:rFonts w:ascii="Arial" w:eastAsia="Avenir Next" w:hAnsi="Arial" w:cs="Arial"/>
          <w:color w:val="808080"/>
          <w:sz w:val="22"/>
          <w:szCs w:val="22"/>
        </w:rPr>
        <w:t xml:space="preserve"> </w:t>
      </w:r>
    </w:p>
    <w:p w14:paraId="7FF44612" w14:textId="77777777" w:rsidR="00463A79" w:rsidRPr="00463A79" w:rsidRDefault="00463A79" w:rsidP="0075058C">
      <w:pPr>
        <w:jc w:val="both"/>
        <w:rPr>
          <w:rFonts w:ascii="Arial" w:eastAsia="Avenir Next" w:hAnsi="Arial" w:cs="Arial"/>
          <w:color w:val="808080"/>
          <w:sz w:val="22"/>
          <w:szCs w:val="22"/>
        </w:rPr>
      </w:pPr>
    </w:p>
    <w:p w14:paraId="59312FF3" w14:textId="77777777"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I would advise the board of HA that as the mortgages of the trucks held by CBA were not registered on the Personal Property Securities Register, that the security interest was not perfected. Accordingly, the security interest will vest in HA upon commencement of voluntary administration or liquidation.  </w:t>
      </w:r>
    </w:p>
    <w:p w14:paraId="4F097097" w14:textId="77777777" w:rsidR="00463A79" w:rsidRPr="00463A79" w:rsidRDefault="00463A79" w:rsidP="0075058C">
      <w:pPr>
        <w:jc w:val="both"/>
        <w:rPr>
          <w:rFonts w:ascii="Arial" w:eastAsia="Avenir Next" w:hAnsi="Arial" w:cs="Arial"/>
          <w:color w:val="808080"/>
          <w:sz w:val="22"/>
          <w:szCs w:val="22"/>
        </w:rPr>
      </w:pPr>
    </w:p>
    <w:p w14:paraId="38313F9A" w14:textId="69581A72"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I would</w:t>
      </w:r>
      <w:r w:rsidR="005F0E2C">
        <w:rPr>
          <w:rFonts w:ascii="Arial" w:eastAsia="Avenir Next" w:hAnsi="Arial" w:cs="Arial"/>
          <w:color w:val="808080"/>
          <w:sz w:val="22"/>
          <w:szCs w:val="22"/>
        </w:rPr>
        <w:t xml:space="preserve"> also</w:t>
      </w:r>
      <w:r w:rsidRPr="00463A79">
        <w:rPr>
          <w:rFonts w:ascii="Arial" w:eastAsia="Avenir Next" w:hAnsi="Arial" w:cs="Arial"/>
          <w:color w:val="808080"/>
          <w:sz w:val="22"/>
          <w:szCs w:val="22"/>
        </w:rPr>
        <w:t xml:space="preserve"> advise the Board of HA that they are at risk of being pursued for permitting HA to continue trading while insolvent Pursuant to s 588G of the Corporations Act, such that they may be required to personally satisfy a compensation order (or be issued with civil/and or criminal penalties). As noted, HA has been insolvent since the judgment was handed down in October 2020, yet it continued trading and incurring debts for a year. Any of the directors that were on the board following the issuance of the judgment will be at risk of being pursued as debts were incurred at a time when the company was insolvent. The fact of the judgment provides reasonable grounds for suspecting that the company was insolvent yet the directors failed to prevent the company from incurring debts. The directors would have been aware of the judgment and if not, a reasonable person in a like position in the company's circumstances would be so aware. On the facts detailed above, the safe harbour provisions are unlikely to protect the directors. However, I would make full enquires with the directors as to whether the directors began developing one or more course of action that were reasonably likely to lead to a better outcome for HA</w:t>
      </w:r>
      <w:r w:rsidR="005F0E2C">
        <w:rPr>
          <w:rFonts w:ascii="Arial" w:eastAsia="Avenir Next" w:hAnsi="Arial" w:cs="Arial"/>
          <w:color w:val="808080"/>
          <w:sz w:val="22"/>
          <w:szCs w:val="22"/>
        </w:rPr>
        <w:t xml:space="preserve"> upon issuance of the judgment</w:t>
      </w:r>
      <w:r w:rsidRPr="00463A79">
        <w:rPr>
          <w:rFonts w:ascii="Arial" w:eastAsia="Avenir Next" w:hAnsi="Arial" w:cs="Arial"/>
          <w:color w:val="808080"/>
          <w:sz w:val="22"/>
          <w:szCs w:val="22"/>
        </w:rPr>
        <w:t>.</w:t>
      </w:r>
    </w:p>
    <w:p w14:paraId="5461BC41" w14:textId="77777777" w:rsidR="00463A79" w:rsidRPr="00463A79" w:rsidRDefault="00463A79" w:rsidP="0075058C">
      <w:pPr>
        <w:jc w:val="both"/>
        <w:rPr>
          <w:rFonts w:ascii="Arial" w:eastAsia="Avenir Next" w:hAnsi="Arial" w:cs="Arial"/>
          <w:color w:val="808080"/>
          <w:sz w:val="22"/>
          <w:szCs w:val="22"/>
        </w:rPr>
      </w:pPr>
    </w:p>
    <w:p w14:paraId="447FE420" w14:textId="77777777"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 xml:space="preserve">Equally, I would also advise the directors of HGL that the company is at risk of being liable for permitting/causing the insolvent trading of its subsidiary HA if it is held to be a holding company pursuant to 588V of the Corporations Act. </w:t>
      </w:r>
    </w:p>
    <w:p w14:paraId="795F89A5" w14:textId="77777777" w:rsidR="00463A79" w:rsidRPr="00463A79" w:rsidRDefault="00463A79" w:rsidP="0075058C">
      <w:pPr>
        <w:jc w:val="both"/>
        <w:rPr>
          <w:rFonts w:ascii="Arial" w:eastAsia="Avenir Next" w:hAnsi="Arial" w:cs="Arial"/>
          <w:color w:val="808080"/>
          <w:sz w:val="22"/>
          <w:szCs w:val="22"/>
        </w:rPr>
      </w:pPr>
    </w:p>
    <w:p w14:paraId="61307FF7" w14:textId="43A58866" w:rsidR="00463A79" w:rsidRPr="00463A79" w:rsidRDefault="00463A79" w:rsidP="0075058C">
      <w:pPr>
        <w:jc w:val="both"/>
        <w:rPr>
          <w:rFonts w:ascii="Arial" w:eastAsia="Avenir Next" w:hAnsi="Arial" w:cs="Arial"/>
          <w:color w:val="808080"/>
          <w:sz w:val="22"/>
          <w:szCs w:val="22"/>
        </w:rPr>
      </w:pPr>
      <w:r w:rsidRPr="00463A79">
        <w:rPr>
          <w:rFonts w:ascii="Arial" w:eastAsia="Avenir Next" w:hAnsi="Arial" w:cs="Arial"/>
          <w:color w:val="808080"/>
          <w:sz w:val="22"/>
          <w:szCs w:val="22"/>
        </w:rPr>
        <w:t>I would advise the Board of HGL that while it is not at risk of a general pooling order being made to satisfy the majority of unsatisfied claims made against HA. However, I would note there may be scope for the court to make an employment entitlements contribution order should HA be intentionally left with insufficient assets to meet its liabilities to such vulnerable parties.</w:t>
      </w:r>
    </w:p>
    <w:p w14:paraId="1B5F5F27" w14:textId="685F8823" w:rsidR="008420F8" w:rsidRPr="00B04780" w:rsidRDefault="008420F8" w:rsidP="008420F8">
      <w:pPr>
        <w:jc w:val="both"/>
        <w:rPr>
          <w:rFonts w:ascii="Avenir Next" w:hAnsi="Avenir Next" w:cs="Arial"/>
          <w:color w:val="808080" w:themeColor="background1" w:themeShade="80"/>
          <w:sz w:val="22"/>
          <w:szCs w:val="22"/>
          <w:lang w:val="en-GB"/>
        </w:rPr>
      </w:pP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25BD8E25" w14:textId="22487ED9" w:rsidR="00B240F9" w:rsidRPr="00B2234F" w:rsidRDefault="00C606C3" w:rsidP="00B240F9">
      <w:pPr>
        <w:jc w:val="center"/>
        <w:rPr>
          <w:rFonts w:ascii="Avenir Next" w:hAnsi="Avenir Next" w:cs="Arial"/>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6BBB" w14:textId="77777777" w:rsidR="00561A9D" w:rsidRDefault="00561A9D" w:rsidP="00241B44">
      <w:r>
        <w:separator/>
      </w:r>
    </w:p>
  </w:endnote>
  <w:endnote w:type="continuationSeparator" w:id="0">
    <w:p w14:paraId="5134E929" w14:textId="77777777" w:rsidR="00561A9D" w:rsidRDefault="00561A9D" w:rsidP="00241B44">
      <w:r>
        <w:continuationSeparator/>
      </w:r>
    </w:p>
  </w:endnote>
  <w:endnote w:type="continuationNotice" w:id="1">
    <w:p w14:paraId="6FD12CBF" w14:textId="77777777" w:rsidR="00561A9D" w:rsidRDefault="0056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665D4CF6" w:rsidR="00542A3A" w:rsidRPr="009B4976" w:rsidRDefault="00463A79" w:rsidP="009B4976">
    <w:pPr>
      <w:pStyle w:val="Footer"/>
      <w:ind w:right="360"/>
      <w:rPr>
        <w:rFonts w:ascii="Arial" w:hAnsi="Arial" w:cs="Arial"/>
        <w:sz w:val="18"/>
        <w:szCs w:val="18"/>
        <w:lang w:val="en-GB"/>
      </w:rPr>
    </w:pPr>
    <w:r w:rsidRPr="00463A79">
      <w:rPr>
        <w:rFonts w:ascii="Arial" w:hAnsi="Arial" w:cs="Arial"/>
        <w:sz w:val="18"/>
        <w:szCs w:val="18"/>
        <w:lang w:val="en-GB"/>
      </w:rPr>
      <w:t>202223-935</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3E86" w14:textId="77777777" w:rsidR="00561A9D" w:rsidRDefault="00561A9D" w:rsidP="00241B44">
      <w:r>
        <w:separator/>
      </w:r>
    </w:p>
  </w:footnote>
  <w:footnote w:type="continuationSeparator" w:id="0">
    <w:p w14:paraId="78C1020C" w14:textId="77777777" w:rsidR="00561A9D" w:rsidRDefault="00561A9D" w:rsidP="00241B44">
      <w:r>
        <w:continuationSeparator/>
      </w:r>
    </w:p>
  </w:footnote>
  <w:footnote w:type="continuationNotice" w:id="1">
    <w:p w14:paraId="6A3A1D3D" w14:textId="77777777" w:rsidR="00561A9D" w:rsidRDefault="00561A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E7D3D0F"/>
    <w:multiLevelType w:val="hybridMultilevel"/>
    <w:tmpl w:val="5D503A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49F3D7E"/>
    <w:multiLevelType w:val="multilevel"/>
    <w:tmpl w:val="A642CFA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B5DD8"/>
    <w:multiLevelType w:val="multilevel"/>
    <w:tmpl w:val="C5AA9C2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7328075">
    <w:abstractNumId w:val="24"/>
  </w:num>
  <w:num w:numId="2" w16cid:durableId="1312055325">
    <w:abstractNumId w:val="12"/>
  </w:num>
  <w:num w:numId="3" w16cid:durableId="219634711">
    <w:abstractNumId w:val="9"/>
  </w:num>
  <w:num w:numId="4" w16cid:durableId="1369063863">
    <w:abstractNumId w:val="21"/>
  </w:num>
  <w:num w:numId="5" w16cid:durableId="931821459">
    <w:abstractNumId w:val="10"/>
  </w:num>
  <w:num w:numId="6" w16cid:durableId="1502114447">
    <w:abstractNumId w:val="14"/>
  </w:num>
  <w:num w:numId="7" w16cid:durableId="606616393">
    <w:abstractNumId w:val="23"/>
  </w:num>
  <w:num w:numId="8" w16cid:durableId="258367108">
    <w:abstractNumId w:val="19"/>
  </w:num>
  <w:num w:numId="9" w16cid:durableId="698236824">
    <w:abstractNumId w:val="8"/>
  </w:num>
  <w:num w:numId="10" w16cid:durableId="90779077">
    <w:abstractNumId w:val="6"/>
  </w:num>
  <w:num w:numId="11" w16cid:durableId="2003073779">
    <w:abstractNumId w:val="0"/>
  </w:num>
  <w:num w:numId="12" w16cid:durableId="625039689">
    <w:abstractNumId w:val="20"/>
  </w:num>
  <w:num w:numId="13" w16cid:durableId="1200364438">
    <w:abstractNumId w:val="25"/>
  </w:num>
  <w:num w:numId="14" w16cid:durableId="997268252">
    <w:abstractNumId w:val="7"/>
  </w:num>
  <w:num w:numId="15" w16cid:durableId="1735204855">
    <w:abstractNumId w:val="3"/>
  </w:num>
  <w:num w:numId="16" w16cid:durableId="1095370108">
    <w:abstractNumId w:val="1"/>
  </w:num>
  <w:num w:numId="17" w16cid:durableId="1032996447">
    <w:abstractNumId w:val="27"/>
  </w:num>
  <w:num w:numId="18" w16cid:durableId="1577209284">
    <w:abstractNumId w:val="4"/>
  </w:num>
  <w:num w:numId="19" w16cid:durableId="100802215">
    <w:abstractNumId w:val="17"/>
  </w:num>
  <w:num w:numId="20" w16cid:durableId="687490271">
    <w:abstractNumId w:val="2"/>
  </w:num>
  <w:num w:numId="21" w16cid:durableId="1706061820">
    <w:abstractNumId w:val="15"/>
  </w:num>
  <w:num w:numId="22" w16cid:durableId="1725719718">
    <w:abstractNumId w:val="29"/>
  </w:num>
  <w:num w:numId="23" w16cid:durableId="1946619346">
    <w:abstractNumId w:val="13"/>
  </w:num>
  <w:num w:numId="24" w16cid:durableId="789008889">
    <w:abstractNumId w:val="16"/>
  </w:num>
  <w:num w:numId="25" w16cid:durableId="1376272651">
    <w:abstractNumId w:val="18"/>
  </w:num>
  <w:num w:numId="26" w16cid:durableId="1681465785">
    <w:abstractNumId w:val="22"/>
  </w:num>
  <w:num w:numId="27" w16cid:durableId="557472903">
    <w:abstractNumId w:val="5"/>
  </w:num>
  <w:num w:numId="28" w16cid:durableId="2084208457">
    <w:abstractNumId w:val="28"/>
    <w:lvlOverride w:ilvl="0">
      <w:startOverride w:val="1"/>
    </w:lvlOverride>
    <w:lvlOverride w:ilvl="1"/>
    <w:lvlOverride w:ilvl="2"/>
    <w:lvlOverride w:ilvl="3"/>
    <w:lvlOverride w:ilvl="4"/>
    <w:lvlOverride w:ilvl="5"/>
    <w:lvlOverride w:ilvl="6"/>
    <w:lvlOverride w:ilvl="7"/>
    <w:lvlOverride w:ilvl="8"/>
  </w:num>
  <w:num w:numId="29" w16cid:durableId="1758864560">
    <w:abstractNumId w:val="11"/>
  </w:num>
  <w:num w:numId="30" w16cid:durableId="1457917798">
    <w:abstractNumId w:val="26"/>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3356C"/>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39CC"/>
    <w:rsid w:val="00216FA9"/>
    <w:rsid w:val="002172B8"/>
    <w:rsid w:val="002356EA"/>
    <w:rsid w:val="00237F91"/>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B46C5"/>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D156F"/>
    <w:rsid w:val="003E0B16"/>
    <w:rsid w:val="003E67D1"/>
    <w:rsid w:val="00404329"/>
    <w:rsid w:val="00405DC1"/>
    <w:rsid w:val="00415F1F"/>
    <w:rsid w:val="00416D2B"/>
    <w:rsid w:val="0042108F"/>
    <w:rsid w:val="00422295"/>
    <w:rsid w:val="00430FED"/>
    <w:rsid w:val="00433844"/>
    <w:rsid w:val="00434A8C"/>
    <w:rsid w:val="00437297"/>
    <w:rsid w:val="00444284"/>
    <w:rsid w:val="00445CE6"/>
    <w:rsid w:val="004524BE"/>
    <w:rsid w:val="004534C2"/>
    <w:rsid w:val="0045446F"/>
    <w:rsid w:val="0045683E"/>
    <w:rsid w:val="00463A79"/>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1A9D"/>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0E2C"/>
    <w:rsid w:val="005F2AEA"/>
    <w:rsid w:val="005F2D0B"/>
    <w:rsid w:val="005F4B31"/>
    <w:rsid w:val="005F62D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058C"/>
    <w:rsid w:val="007522E8"/>
    <w:rsid w:val="007603F5"/>
    <w:rsid w:val="00764DB0"/>
    <w:rsid w:val="0076764D"/>
    <w:rsid w:val="0077498C"/>
    <w:rsid w:val="00775C59"/>
    <w:rsid w:val="007809BC"/>
    <w:rsid w:val="007836C4"/>
    <w:rsid w:val="00784128"/>
    <w:rsid w:val="00785534"/>
    <w:rsid w:val="00787BCC"/>
    <w:rsid w:val="00793173"/>
    <w:rsid w:val="00796B95"/>
    <w:rsid w:val="007A2A33"/>
    <w:rsid w:val="007B22CF"/>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E3339"/>
    <w:rsid w:val="008F20FC"/>
    <w:rsid w:val="008F240F"/>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96513"/>
    <w:rsid w:val="00BA3AE6"/>
    <w:rsid w:val="00BA4008"/>
    <w:rsid w:val="00BA5FCB"/>
    <w:rsid w:val="00BA7B65"/>
    <w:rsid w:val="00BB0F2B"/>
    <w:rsid w:val="00BB6142"/>
    <w:rsid w:val="00BC5A60"/>
    <w:rsid w:val="00BE4FF3"/>
    <w:rsid w:val="00BF0AFE"/>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079CC"/>
    <w:rsid w:val="00D148DC"/>
    <w:rsid w:val="00D17FDC"/>
    <w:rsid w:val="00D21D8C"/>
    <w:rsid w:val="00D45B4F"/>
    <w:rsid w:val="00D53719"/>
    <w:rsid w:val="00D6188D"/>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31DE"/>
    <w:rsid w:val="00E14FED"/>
    <w:rsid w:val="00E15BA9"/>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2B80"/>
    <w:rsid w:val="00EC441F"/>
    <w:rsid w:val="00EC4755"/>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0E52"/>
    <w:rsid w:val="00F32C2B"/>
    <w:rsid w:val="00F3323E"/>
    <w:rsid w:val="00F341F4"/>
    <w:rsid w:val="00F34F9D"/>
    <w:rsid w:val="00F35CCE"/>
    <w:rsid w:val="00F477C9"/>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24624726">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0963993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290667501">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08679716">
      <w:bodyDiv w:val="1"/>
      <w:marLeft w:val="0"/>
      <w:marRight w:val="0"/>
      <w:marTop w:val="0"/>
      <w:marBottom w:val="0"/>
      <w:divBdr>
        <w:top w:val="none" w:sz="0" w:space="0" w:color="auto"/>
        <w:left w:val="none" w:sz="0" w:space="0" w:color="auto"/>
        <w:bottom w:val="none" w:sz="0" w:space="0" w:color="auto"/>
        <w:right w:val="none" w:sz="0" w:space="0" w:color="auto"/>
      </w:divBdr>
    </w:div>
    <w:div w:id="1755008968">
      <w:bodyDiv w:val="1"/>
      <w:marLeft w:val="0"/>
      <w:marRight w:val="0"/>
      <w:marTop w:val="0"/>
      <w:marBottom w:val="0"/>
      <w:divBdr>
        <w:top w:val="none" w:sz="0" w:space="0" w:color="auto"/>
        <w:left w:val="none" w:sz="0" w:space="0" w:color="auto"/>
        <w:bottom w:val="none" w:sz="0" w:space="0" w:color="auto"/>
        <w:right w:val="none" w:sz="0" w:space="0" w:color="auto"/>
      </w:divBdr>
    </w:div>
    <w:div w:id="1794127976">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4774</Words>
  <Characters>24062</Characters>
  <Application>Microsoft Office Word</Application>
  <DocSecurity>0</DocSecurity>
  <Lines>650</Lines>
  <Paragraphs>436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Fraser, Luke</cp:lastModifiedBy>
  <cp:revision>12</cp:revision>
  <cp:lastPrinted>2019-08-27T05:42:00Z</cp:lastPrinted>
  <dcterms:created xsi:type="dcterms:W3CDTF">2022-09-12T13:55:00Z</dcterms:created>
  <dcterms:modified xsi:type="dcterms:W3CDTF">2023-07-28T21:36:00Z</dcterms:modified>
</cp:coreProperties>
</file>