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744037" w:rsidRDefault="00BA41E0" w:rsidP="004D2090">
      <w:pPr>
        <w:pStyle w:val="ListParagraph"/>
        <w:numPr>
          <w:ilvl w:val="0"/>
          <w:numId w:val="1"/>
        </w:numPr>
        <w:ind w:left="426"/>
        <w:jc w:val="both"/>
        <w:rPr>
          <w:rFonts w:ascii="Avenir Next" w:hAnsi="Avenir Next" w:cs="Arial"/>
          <w:sz w:val="22"/>
          <w:szCs w:val="22"/>
          <w:highlight w:val="yellow"/>
          <w:lang w:val="en-GB"/>
        </w:rPr>
      </w:pPr>
      <w:r w:rsidRPr="00744037">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617FAD" w:rsidRDefault="0052366A" w:rsidP="004D2090">
      <w:pPr>
        <w:pStyle w:val="ListParagraph"/>
        <w:numPr>
          <w:ilvl w:val="0"/>
          <w:numId w:val="2"/>
        </w:numPr>
        <w:ind w:left="426"/>
        <w:jc w:val="both"/>
        <w:rPr>
          <w:rFonts w:ascii="Avenir Next" w:hAnsi="Avenir Next" w:cs="Arial"/>
          <w:sz w:val="22"/>
          <w:szCs w:val="22"/>
          <w:highlight w:val="yellow"/>
          <w:lang w:val="en-GB"/>
        </w:rPr>
      </w:pPr>
      <w:r w:rsidRPr="00617FAD">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D5557">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8F2091" w:rsidRDefault="001A512B" w:rsidP="004D2090">
      <w:pPr>
        <w:pStyle w:val="ListParagraph"/>
        <w:numPr>
          <w:ilvl w:val="0"/>
          <w:numId w:val="4"/>
        </w:numPr>
        <w:ind w:left="426"/>
        <w:jc w:val="both"/>
        <w:rPr>
          <w:rFonts w:ascii="Avenir Next" w:hAnsi="Avenir Next" w:cs="Arial"/>
          <w:sz w:val="22"/>
          <w:szCs w:val="22"/>
          <w:highlight w:val="yellow"/>
          <w:lang w:val="en-GB"/>
        </w:rPr>
      </w:pPr>
      <w:r w:rsidRPr="008F2091">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985639" w:rsidRDefault="00DF1875" w:rsidP="004D2090">
      <w:pPr>
        <w:pStyle w:val="ListParagraph"/>
        <w:numPr>
          <w:ilvl w:val="0"/>
          <w:numId w:val="5"/>
        </w:numPr>
        <w:ind w:left="426"/>
        <w:jc w:val="both"/>
        <w:rPr>
          <w:rFonts w:ascii="Avenir Next" w:hAnsi="Avenir Next" w:cs="Arial"/>
          <w:sz w:val="22"/>
          <w:szCs w:val="22"/>
          <w:highlight w:val="yellow"/>
          <w:lang w:val="en-GB"/>
        </w:rPr>
      </w:pPr>
      <w:r w:rsidRPr="00985639">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7011C3">
        <w:rPr>
          <w:rFonts w:ascii="Avenir Next Demi Bold" w:hAnsi="Avenir Next Demi Bold" w:cs="Arial"/>
          <w:b/>
          <w:bCs/>
          <w:color w:val="000000" w:themeColor="text1"/>
          <w:sz w:val="22"/>
          <w:szCs w:val="22"/>
        </w:rPr>
        <w:t>Question 1.6</w:t>
      </w:r>
      <w:r w:rsidRPr="004F0CF9">
        <w:rPr>
          <w:rFonts w:ascii="Avenir Next Demi Bold" w:hAnsi="Avenir Next Demi Bold" w:cs="Arial"/>
          <w:b/>
          <w:bCs/>
          <w:color w:val="000000" w:themeColor="text1"/>
          <w:sz w:val="22"/>
          <w:szCs w:val="22"/>
        </w:rPr>
        <w:t xml:space="preserve">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7011C3" w:rsidRDefault="00025846" w:rsidP="004D2090">
      <w:pPr>
        <w:pStyle w:val="ListParagraph"/>
        <w:numPr>
          <w:ilvl w:val="0"/>
          <w:numId w:val="6"/>
        </w:numPr>
        <w:ind w:left="426"/>
        <w:jc w:val="both"/>
        <w:rPr>
          <w:rFonts w:ascii="Avenir Next" w:hAnsi="Avenir Next" w:cs="Arial"/>
          <w:sz w:val="22"/>
          <w:szCs w:val="22"/>
          <w:highlight w:val="yellow"/>
          <w:lang w:val="en-GB"/>
        </w:rPr>
      </w:pPr>
      <w:r w:rsidRPr="007011C3">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A86D86" w:rsidRDefault="00E631C5" w:rsidP="004D2090">
      <w:pPr>
        <w:pStyle w:val="ListParagraph"/>
        <w:numPr>
          <w:ilvl w:val="0"/>
          <w:numId w:val="7"/>
        </w:numPr>
        <w:ind w:left="426"/>
        <w:jc w:val="both"/>
        <w:rPr>
          <w:rFonts w:ascii="Avenir Next" w:hAnsi="Avenir Next" w:cs="Arial"/>
          <w:sz w:val="22"/>
          <w:szCs w:val="22"/>
          <w:highlight w:val="yellow"/>
          <w:lang w:val="en-GB"/>
        </w:rPr>
      </w:pPr>
      <w:r w:rsidRPr="00A86D86">
        <w:rPr>
          <w:rFonts w:ascii="Avenir Next" w:hAnsi="Avenir Next" w:cs="Arial"/>
          <w:sz w:val="22"/>
          <w:szCs w:val="22"/>
          <w:highlight w:val="yellow"/>
          <w:lang w:val="en-GB"/>
        </w:rPr>
        <w:t>To preserve</w:t>
      </w:r>
      <w:r w:rsidR="00FA2EAC" w:rsidRPr="00A86D86">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6F5926" w:rsidRDefault="001B3AEE" w:rsidP="004D2090">
      <w:pPr>
        <w:pStyle w:val="ListParagraph"/>
        <w:numPr>
          <w:ilvl w:val="0"/>
          <w:numId w:val="8"/>
        </w:numPr>
        <w:ind w:left="426"/>
        <w:jc w:val="both"/>
        <w:rPr>
          <w:rFonts w:ascii="Avenir Next" w:hAnsi="Avenir Next" w:cs="Arial"/>
          <w:sz w:val="22"/>
          <w:szCs w:val="22"/>
          <w:highlight w:val="yellow"/>
          <w:lang w:val="en-GB"/>
        </w:rPr>
      </w:pPr>
      <w:r w:rsidRPr="006F5926">
        <w:rPr>
          <w:rFonts w:ascii="Avenir Next" w:hAnsi="Avenir Next" w:cs="Arial"/>
          <w:sz w:val="22"/>
          <w:szCs w:val="22"/>
          <w:highlight w:val="yellow"/>
          <w:lang w:val="en-GB"/>
        </w:rPr>
        <w:t xml:space="preserve">An individual whose parents </w:t>
      </w:r>
      <w:r w:rsidR="000940F4" w:rsidRPr="006F5926">
        <w:rPr>
          <w:rFonts w:ascii="Avenir Next" w:hAnsi="Avenir Next" w:cs="Arial"/>
          <w:sz w:val="22"/>
          <w:szCs w:val="22"/>
          <w:highlight w:val="yellow"/>
          <w:lang w:val="en-GB"/>
        </w:rPr>
        <w:t>live</w:t>
      </w:r>
      <w:r w:rsidRPr="006F5926">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C161D9" w:rsidRDefault="003D142C" w:rsidP="004D2090">
      <w:pPr>
        <w:pStyle w:val="ListParagraph"/>
        <w:numPr>
          <w:ilvl w:val="0"/>
          <w:numId w:val="9"/>
        </w:numPr>
        <w:ind w:left="426"/>
        <w:jc w:val="both"/>
        <w:rPr>
          <w:rFonts w:ascii="Avenir Next" w:hAnsi="Avenir Next" w:cs="Arial"/>
          <w:sz w:val="22"/>
          <w:szCs w:val="22"/>
          <w:highlight w:val="yellow"/>
          <w:lang w:val="en-GB"/>
        </w:rPr>
      </w:pPr>
      <w:r w:rsidRPr="00C161D9">
        <w:rPr>
          <w:rFonts w:ascii="Avenir Next" w:hAnsi="Avenir Next" w:cs="Arial"/>
          <w:sz w:val="22"/>
          <w:szCs w:val="22"/>
          <w:highlight w:val="yellow"/>
          <w:lang w:val="en-GB"/>
        </w:rPr>
        <w:t xml:space="preserve">Rescue financing enjoys preferential treatment automatically without the sanction of </w:t>
      </w:r>
      <w:r w:rsidR="00CD338E" w:rsidRPr="00C161D9">
        <w:rPr>
          <w:rFonts w:ascii="Avenir Next" w:hAnsi="Avenir Next" w:cs="Arial"/>
          <w:sz w:val="22"/>
          <w:szCs w:val="22"/>
          <w:highlight w:val="yellow"/>
          <w:lang w:val="en-GB"/>
        </w:rPr>
        <w:t>c</w:t>
      </w:r>
      <w:r w:rsidRPr="00C161D9">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867856" w:rsidRDefault="00981ED1" w:rsidP="004D2090">
      <w:pPr>
        <w:pStyle w:val="ListParagraph"/>
        <w:numPr>
          <w:ilvl w:val="0"/>
          <w:numId w:val="10"/>
        </w:numPr>
        <w:ind w:left="426"/>
        <w:jc w:val="both"/>
        <w:rPr>
          <w:rFonts w:ascii="Avenir Next" w:hAnsi="Avenir Next" w:cs="Arial"/>
          <w:sz w:val="22"/>
          <w:szCs w:val="22"/>
          <w:highlight w:val="yellow"/>
          <w:lang w:val="en-GB"/>
        </w:rPr>
      </w:pPr>
      <w:r w:rsidRPr="00867856">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04C818F4" w14:textId="3ABBD2F5" w:rsidR="00CB75C5" w:rsidRPr="009052CD" w:rsidRDefault="00883ECB" w:rsidP="006420F5">
      <w:pPr>
        <w:ind w:right="851"/>
        <w:jc w:val="both"/>
        <w:rPr>
          <w:rFonts w:ascii="Avenir Next" w:hAnsi="Avenir Next" w:cs="Arial"/>
          <w:color w:val="808080" w:themeColor="background1" w:themeShade="80"/>
          <w:sz w:val="22"/>
          <w:szCs w:val="22"/>
          <w:lang w:val="en-GB"/>
        </w:rPr>
      </w:pPr>
      <w:r w:rsidRPr="009052CD">
        <w:rPr>
          <w:rFonts w:ascii="Avenir Next" w:hAnsi="Avenir Next" w:cs="Arial"/>
          <w:color w:val="808080" w:themeColor="background1" w:themeShade="80"/>
          <w:sz w:val="22"/>
          <w:szCs w:val="22"/>
          <w:lang w:val="en-GB"/>
        </w:rPr>
        <w:t xml:space="preserve">The concept of cross-class cram-down, allows for a scheme of arrangement </w:t>
      </w:r>
      <w:r w:rsidR="004755BA" w:rsidRPr="009052CD">
        <w:rPr>
          <w:rFonts w:ascii="Avenir Next" w:hAnsi="Avenir Next" w:cs="Arial"/>
          <w:color w:val="808080" w:themeColor="background1" w:themeShade="80"/>
          <w:sz w:val="22"/>
          <w:szCs w:val="22"/>
          <w:lang w:val="en-GB"/>
        </w:rPr>
        <w:t xml:space="preserve">with the creditors to be approved for implementation, even after one or more classes of creditors have voted against the same. </w:t>
      </w:r>
      <w:r w:rsidR="00027727" w:rsidRPr="009052CD">
        <w:rPr>
          <w:rFonts w:ascii="Avenir Next" w:hAnsi="Avenir Next" w:cs="Arial"/>
          <w:color w:val="808080" w:themeColor="background1" w:themeShade="80"/>
          <w:sz w:val="22"/>
          <w:szCs w:val="22"/>
          <w:lang w:val="en-GB"/>
        </w:rPr>
        <w:t xml:space="preserve">In the erstwhile scenario under the Companies Act, a cram-down could only be </w:t>
      </w:r>
      <w:r w:rsidR="006420F5" w:rsidRPr="009052CD">
        <w:rPr>
          <w:rFonts w:ascii="Avenir Next" w:hAnsi="Avenir Next" w:cs="Arial"/>
          <w:color w:val="808080" w:themeColor="background1" w:themeShade="80"/>
          <w:sz w:val="22"/>
          <w:szCs w:val="22"/>
          <w:lang w:val="en-GB"/>
        </w:rPr>
        <w:t>exercised</w:t>
      </w:r>
      <w:r w:rsidR="00027727" w:rsidRPr="009052CD">
        <w:rPr>
          <w:rFonts w:ascii="Avenir Next" w:hAnsi="Avenir Next" w:cs="Arial"/>
          <w:color w:val="808080" w:themeColor="background1" w:themeShade="80"/>
          <w:sz w:val="22"/>
          <w:szCs w:val="22"/>
          <w:lang w:val="en-GB"/>
        </w:rPr>
        <w:t>, if the membe</w:t>
      </w:r>
      <w:r w:rsidR="006420F5" w:rsidRPr="009052CD">
        <w:rPr>
          <w:rFonts w:ascii="Avenir Next" w:hAnsi="Avenir Next" w:cs="Arial"/>
          <w:color w:val="808080" w:themeColor="background1" w:themeShade="80"/>
          <w:sz w:val="22"/>
          <w:szCs w:val="22"/>
          <w:lang w:val="en-GB"/>
        </w:rPr>
        <w:t xml:space="preserve">rs of the debtor company were to divest their </w:t>
      </w:r>
      <w:r w:rsidR="006420F5" w:rsidRPr="009052CD">
        <w:rPr>
          <w:rFonts w:ascii="Avenir Next" w:hAnsi="Avenir Next" w:cs="Arial"/>
          <w:color w:val="808080" w:themeColor="background1" w:themeShade="80"/>
          <w:sz w:val="22"/>
          <w:szCs w:val="22"/>
          <w:lang w:val="en-GB"/>
        </w:rPr>
        <w:lastRenderedPageBreak/>
        <w:t xml:space="preserve">shareholding. However, no such requirement exists </w:t>
      </w:r>
      <w:r w:rsidR="00D042CC" w:rsidRPr="009052CD">
        <w:rPr>
          <w:rFonts w:ascii="Avenir Next" w:hAnsi="Avenir Next" w:cs="Arial"/>
          <w:color w:val="808080" w:themeColor="background1" w:themeShade="80"/>
          <w:sz w:val="22"/>
          <w:szCs w:val="22"/>
          <w:lang w:val="en-GB"/>
        </w:rPr>
        <w:t xml:space="preserve">now under the </w:t>
      </w:r>
      <w:r w:rsidR="001A0B03" w:rsidRPr="009052CD">
        <w:rPr>
          <w:rFonts w:ascii="Avenir Next" w:hAnsi="Avenir Next" w:cs="Arial"/>
          <w:color w:val="808080" w:themeColor="background1" w:themeShade="80"/>
          <w:sz w:val="22"/>
          <w:szCs w:val="22"/>
          <w:lang w:val="en-GB"/>
        </w:rPr>
        <w:t>Insolvency Restructuring and Dissolution Act</w:t>
      </w:r>
      <w:r w:rsidR="001A0B03" w:rsidRPr="009052CD">
        <w:rPr>
          <w:rFonts w:ascii="Avenir Next" w:hAnsi="Avenir Next" w:cs="Arial"/>
          <w:color w:val="808080" w:themeColor="background1" w:themeShade="80"/>
          <w:sz w:val="22"/>
          <w:szCs w:val="22"/>
          <w:lang w:val="en-GB"/>
        </w:rPr>
        <w:t xml:space="preserve"> (“IRD Act”)</w:t>
      </w:r>
      <w:r w:rsidR="001F011B" w:rsidRPr="009052CD">
        <w:rPr>
          <w:rFonts w:ascii="Avenir Next" w:hAnsi="Avenir Next" w:cs="Arial"/>
          <w:color w:val="808080" w:themeColor="background1" w:themeShade="80"/>
          <w:sz w:val="22"/>
          <w:szCs w:val="22"/>
          <w:lang w:val="en-GB"/>
        </w:rPr>
        <w:t>. In such circumstances, when one or more classes of creditors have voted against the scheme, the court can still approve the same, provided:</w:t>
      </w:r>
    </w:p>
    <w:p w14:paraId="4CA8E6CC" w14:textId="1A8D9865" w:rsidR="001F011B" w:rsidRPr="009052CD" w:rsidRDefault="00550CC7" w:rsidP="001F011B">
      <w:pPr>
        <w:pStyle w:val="ListParagraph"/>
        <w:numPr>
          <w:ilvl w:val="0"/>
          <w:numId w:val="19"/>
        </w:numPr>
        <w:ind w:right="851"/>
        <w:jc w:val="both"/>
        <w:rPr>
          <w:rFonts w:ascii="Avenir Next" w:hAnsi="Avenir Next" w:cs="Arial"/>
          <w:color w:val="808080" w:themeColor="background1" w:themeShade="80"/>
          <w:sz w:val="22"/>
          <w:szCs w:val="22"/>
          <w:lang w:val="en-GB"/>
        </w:rPr>
      </w:pPr>
      <w:r w:rsidRPr="009052CD">
        <w:rPr>
          <w:rFonts w:ascii="Avenir Next" w:hAnsi="Avenir Next" w:cs="Arial"/>
          <w:color w:val="808080" w:themeColor="background1" w:themeShade="80"/>
          <w:sz w:val="22"/>
          <w:szCs w:val="22"/>
          <w:lang w:val="en-GB"/>
        </w:rPr>
        <w:t xml:space="preserve">That the majority of creditors </w:t>
      </w:r>
      <w:r w:rsidR="00607591" w:rsidRPr="009052CD">
        <w:rPr>
          <w:rFonts w:ascii="Avenir Next" w:hAnsi="Avenir Next" w:cs="Arial"/>
          <w:color w:val="808080" w:themeColor="background1" w:themeShade="80"/>
          <w:sz w:val="22"/>
          <w:szCs w:val="22"/>
          <w:lang w:val="en-GB"/>
        </w:rPr>
        <w:t xml:space="preserve">who shall be bound by the scheme (present and voting) have approved the </w:t>
      </w:r>
      <w:r w:rsidR="00E93CBD" w:rsidRPr="009052CD">
        <w:rPr>
          <w:rFonts w:ascii="Avenir Next" w:hAnsi="Avenir Next" w:cs="Arial"/>
          <w:color w:val="808080" w:themeColor="background1" w:themeShade="80"/>
          <w:sz w:val="22"/>
          <w:szCs w:val="22"/>
          <w:lang w:val="en-GB"/>
        </w:rPr>
        <w:t>scheme;</w:t>
      </w:r>
    </w:p>
    <w:p w14:paraId="04B1F35F" w14:textId="0CA246DF" w:rsidR="00607591" w:rsidRPr="009052CD" w:rsidRDefault="00607591" w:rsidP="001F011B">
      <w:pPr>
        <w:pStyle w:val="ListParagraph"/>
        <w:numPr>
          <w:ilvl w:val="0"/>
          <w:numId w:val="19"/>
        </w:numPr>
        <w:ind w:right="851"/>
        <w:jc w:val="both"/>
        <w:rPr>
          <w:rFonts w:ascii="Avenir Next" w:hAnsi="Avenir Next" w:cs="Arial"/>
          <w:color w:val="808080" w:themeColor="background1" w:themeShade="80"/>
          <w:sz w:val="22"/>
          <w:szCs w:val="22"/>
          <w:lang w:val="en-GB"/>
        </w:rPr>
      </w:pPr>
      <w:r w:rsidRPr="009052CD">
        <w:rPr>
          <w:rFonts w:ascii="Avenir Next" w:hAnsi="Avenir Next" w:cs="Arial"/>
          <w:color w:val="808080" w:themeColor="background1" w:themeShade="80"/>
          <w:sz w:val="22"/>
          <w:szCs w:val="22"/>
          <w:lang w:val="en-GB"/>
        </w:rPr>
        <w:t>That 75% or more of the creditors</w:t>
      </w:r>
      <w:r w:rsidR="00E93CBD" w:rsidRPr="009052CD">
        <w:rPr>
          <w:rFonts w:ascii="Avenir Next" w:hAnsi="Avenir Next" w:cs="Arial"/>
          <w:color w:val="808080" w:themeColor="background1" w:themeShade="80"/>
          <w:sz w:val="22"/>
          <w:szCs w:val="22"/>
          <w:lang w:val="en-GB"/>
        </w:rPr>
        <w:t xml:space="preserve"> representing the outstanding debt in value</w:t>
      </w:r>
      <w:r w:rsidRPr="009052CD">
        <w:rPr>
          <w:rFonts w:ascii="Avenir Next" w:hAnsi="Avenir Next" w:cs="Arial"/>
          <w:color w:val="808080" w:themeColor="background1" w:themeShade="80"/>
          <w:sz w:val="22"/>
          <w:szCs w:val="22"/>
          <w:lang w:val="en-GB"/>
        </w:rPr>
        <w:t xml:space="preserve"> (present and voting)</w:t>
      </w:r>
      <w:r w:rsidR="00E93CBD" w:rsidRPr="009052CD">
        <w:rPr>
          <w:rFonts w:ascii="Avenir Next" w:hAnsi="Avenir Next" w:cs="Arial"/>
          <w:color w:val="808080" w:themeColor="background1" w:themeShade="80"/>
          <w:sz w:val="22"/>
          <w:szCs w:val="22"/>
          <w:lang w:val="en-GB"/>
        </w:rPr>
        <w:t>, have voted in favour of the scheme;</w:t>
      </w:r>
    </w:p>
    <w:p w14:paraId="28DB142E" w14:textId="4EAB978B" w:rsidR="00E93CBD" w:rsidRPr="009052CD" w:rsidRDefault="00B45F69" w:rsidP="001F011B">
      <w:pPr>
        <w:pStyle w:val="ListParagraph"/>
        <w:numPr>
          <w:ilvl w:val="0"/>
          <w:numId w:val="19"/>
        </w:numPr>
        <w:ind w:right="851"/>
        <w:jc w:val="both"/>
        <w:rPr>
          <w:rFonts w:ascii="Avenir Next" w:hAnsi="Avenir Next" w:cs="Arial"/>
          <w:color w:val="808080" w:themeColor="background1" w:themeShade="80"/>
          <w:sz w:val="22"/>
          <w:szCs w:val="22"/>
          <w:lang w:val="en-GB"/>
        </w:rPr>
      </w:pPr>
      <w:r w:rsidRPr="009052CD">
        <w:rPr>
          <w:rFonts w:ascii="Avenir Next" w:hAnsi="Avenir Next" w:cs="Arial"/>
          <w:color w:val="808080" w:themeColor="background1" w:themeShade="80"/>
          <w:sz w:val="22"/>
          <w:szCs w:val="22"/>
          <w:lang w:val="en-GB"/>
        </w:rPr>
        <w:t xml:space="preserve">That the court approving the scheme of arrangement, is satisfied that the scheme does not </w:t>
      </w:r>
      <w:r w:rsidR="00C26C16" w:rsidRPr="009052CD">
        <w:rPr>
          <w:rFonts w:ascii="Avenir Next" w:hAnsi="Avenir Next" w:cs="Arial"/>
          <w:color w:val="808080" w:themeColor="background1" w:themeShade="80"/>
          <w:sz w:val="22"/>
          <w:szCs w:val="22"/>
          <w:lang w:val="en-GB"/>
        </w:rPr>
        <w:t>discriminate between two or more classes of creditors and has treated every class of creditor</w:t>
      </w:r>
      <w:r w:rsidR="00EB7CDD" w:rsidRPr="009052CD">
        <w:rPr>
          <w:rFonts w:ascii="Avenir Next" w:hAnsi="Avenir Next" w:cs="Arial"/>
          <w:color w:val="808080" w:themeColor="background1" w:themeShade="80"/>
          <w:sz w:val="22"/>
          <w:szCs w:val="22"/>
          <w:lang w:val="en-GB"/>
        </w:rPr>
        <w:t xml:space="preserve"> in an equitable manner. The test</w:t>
      </w:r>
      <w:r w:rsidR="00667B62">
        <w:rPr>
          <w:rFonts w:ascii="Avenir Next" w:hAnsi="Avenir Next" w:cs="Arial"/>
          <w:color w:val="808080" w:themeColor="background1" w:themeShade="80"/>
          <w:sz w:val="22"/>
          <w:szCs w:val="22"/>
          <w:lang w:val="en-GB"/>
        </w:rPr>
        <w:t xml:space="preserve"> for</w:t>
      </w:r>
      <w:r w:rsidR="00EB7CDD" w:rsidRPr="009052CD">
        <w:rPr>
          <w:rFonts w:ascii="Avenir Next" w:hAnsi="Avenir Next" w:cs="Arial"/>
          <w:color w:val="808080" w:themeColor="background1" w:themeShade="80"/>
          <w:sz w:val="22"/>
          <w:szCs w:val="22"/>
          <w:lang w:val="en-GB"/>
        </w:rPr>
        <w:t xml:space="preserve"> if the has been no discrimination </w:t>
      </w:r>
      <w:r w:rsidR="00EB7CDD" w:rsidRPr="00667B62">
        <w:rPr>
          <w:rFonts w:ascii="Avenir Next" w:hAnsi="Avenir Next" w:cs="Arial"/>
          <w:i/>
          <w:iCs/>
          <w:color w:val="808080" w:themeColor="background1" w:themeShade="80"/>
          <w:sz w:val="22"/>
          <w:szCs w:val="22"/>
          <w:lang w:val="en-GB"/>
        </w:rPr>
        <w:t>inter</w:t>
      </w:r>
      <w:r w:rsidR="00667B62" w:rsidRPr="00667B62">
        <w:rPr>
          <w:rFonts w:ascii="Avenir Next" w:hAnsi="Avenir Next" w:cs="Arial"/>
          <w:i/>
          <w:iCs/>
          <w:color w:val="808080" w:themeColor="background1" w:themeShade="80"/>
          <w:sz w:val="22"/>
          <w:szCs w:val="22"/>
          <w:lang w:val="en-GB"/>
        </w:rPr>
        <w:t>-</w:t>
      </w:r>
      <w:r w:rsidR="00EB7CDD" w:rsidRPr="00667B62">
        <w:rPr>
          <w:rFonts w:ascii="Avenir Next" w:hAnsi="Avenir Next" w:cs="Arial"/>
          <w:i/>
          <w:iCs/>
          <w:color w:val="808080" w:themeColor="background1" w:themeShade="80"/>
          <w:sz w:val="22"/>
          <w:szCs w:val="22"/>
          <w:lang w:val="en-GB"/>
        </w:rPr>
        <w:t>se</w:t>
      </w:r>
      <w:r w:rsidR="00EB7CDD" w:rsidRPr="009052CD">
        <w:rPr>
          <w:rFonts w:ascii="Avenir Next" w:hAnsi="Avenir Next" w:cs="Arial"/>
          <w:color w:val="808080" w:themeColor="background1" w:themeShade="80"/>
          <w:sz w:val="22"/>
          <w:szCs w:val="22"/>
          <w:lang w:val="en-GB"/>
        </w:rPr>
        <w:t xml:space="preserve"> classes, </w:t>
      </w:r>
      <w:r w:rsidR="00B07658" w:rsidRPr="009052CD">
        <w:rPr>
          <w:rFonts w:ascii="Avenir Next" w:hAnsi="Avenir Next" w:cs="Arial"/>
          <w:color w:val="808080" w:themeColor="background1" w:themeShade="80"/>
          <w:sz w:val="22"/>
          <w:szCs w:val="22"/>
          <w:lang w:val="en-GB"/>
        </w:rPr>
        <w:t>is if</w:t>
      </w:r>
      <w:r w:rsidR="009A5D52" w:rsidRPr="009052CD">
        <w:rPr>
          <w:rFonts w:ascii="Avenir Next" w:hAnsi="Avenir Next" w:cs="Arial"/>
          <w:color w:val="808080" w:themeColor="background1" w:themeShade="80"/>
          <w:sz w:val="22"/>
          <w:szCs w:val="22"/>
          <w:lang w:val="en-GB"/>
        </w:rPr>
        <w:t xml:space="preserve">, the </w:t>
      </w:r>
      <w:r w:rsidR="00087453" w:rsidRPr="009052CD">
        <w:rPr>
          <w:rFonts w:ascii="Avenir Next" w:hAnsi="Avenir Next" w:cs="Arial"/>
          <w:color w:val="808080" w:themeColor="background1" w:themeShade="80"/>
          <w:sz w:val="22"/>
          <w:szCs w:val="22"/>
          <w:lang w:val="en-GB"/>
        </w:rPr>
        <w:t>dissenting class is not slated to get under the proposed scheme, an amount that is lower than the amount they would have received in the event the court d</w:t>
      </w:r>
      <w:r w:rsidR="00667B62">
        <w:rPr>
          <w:rFonts w:ascii="Avenir Next" w:hAnsi="Avenir Next" w:cs="Arial"/>
          <w:color w:val="808080" w:themeColor="background1" w:themeShade="80"/>
          <w:sz w:val="22"/>
          <w:szCs w:val="22"/>
          <w:lang w:val="en-GB"/>
        </w:rPr>
        <w:t xml:space="preserve">oes </w:t>
      </w:r>
      <w:r w:rsidR="00087453" w:rsidRPr="009052CD">
        <w:rPr>
          <w:rFonts w:ascii="Avenir Next" w:hAnsi="Avenir Next" w:cs="Arial"/>
          <w:color w:val="808080" w:themeColor="background1" w:themeShade="80"/>
          <w:sz w:val="22"/>
          <w:szCs w:val="22"/>
          <w:lang w:val="en-GB"/>
        </w:rPr>
        <w:t>not approve the scheme</w:t>
      </w:r>
      <w:r w:rsidR="007C4F97" w:rsidRPr="009052CD">
        <w:rPr>
          <w:rFonts w:ascii="Avenir Next" w:hAnsi="Avenir Next" w:cs="Arial"/>
          <w:color w:val="808080" w:themeColor="background1" w:themeShade="80"/>
          <w:sz w:val="22"/>
          <w:szCs w:val="22"/>
          <w:lang w:val="en-GB"/>
        </w:rPr>
        <w:t>. Additionally, in the event the dissenting class is that of unsecured creditors</w:t>
      </w:r>
      <w:r w:rsidR="00797F37" w:rsidRPr="009052CD">
        <w:rPr>
          <w:rFonts w:ascii="Avenir Next" w:hAnsi="Avenir Next" w:cs="Arial"/>
          <w:color w:val="808080" w:themeColor="background1" w:themeShade="80"/>
          <w:sz w:val="22"/>
          <w:szCs w:val="22"/>
          <w:lang w:val="en-GB"/>
        </w:rPr>
        <w:t>, the court has to further assess</w:t>
      </w:r>
      <w:r w:rsidR="003D1150" w:rsidRPr="009052CD">
        <w:rPr>
          <w:rFonts w:ascii="Avenir Next" w:hAnsi="Avenir Next" w:cs="Arial"/>
          <w:color w:val="808080" w:themeColor="background1" w:themeShade="80"/>
          <w:sz w:val="22"/>
          <w:szCs w:val="22"/>
          <w:lang w:val="en-GB"/>
        </w:rPr>
        <w:t xml:space="preserve"> whether the scheme</w:t>
      </w:r>
      <w:r w:rsidR="00AA792A" w:rsidRPr="009052CD">
        <w:rPr>
          <w:rFonts w:ascii="Avenir Next" w:hAnsi="Avenir Next" w:cs="Arial"/>
          <w:color w:val="808080" w:themeColor="background1" w:themeShade="80"/>
          <w:sz w:val="22"/>
          <w:szCs w:val="22"/>
          <w:lang w:val="en-GB"/>
        </w:rPr>
        <w:t xml:space="preserve"> provides </w:t>
      </w:r>
      <w:r w:rsidR="00667B62">
        <w:rPr>
          <w:rFonts w:ascii="Avenir Next" w:hAnsi="Avenir Next" w:cs="Arial"/>
          <w:color w:val="808080" w:themeColor="background1" w:themeShade="80"/>
          <w:sz w:val="22"/>
          <w:szCs w:val="22"/>
          <w:lang w:val="en-GB"/>
        </w:rPr>
        <w:t xml:space="preserve">an </w:t>
      </w:r>
      <w:r w:rsidR="00AA792A" w:rsidRPr="009052CD">
        <w:rPr>
          <w:rFonts w:ascii="Avenir Next" w:hAnsi="Avenir Next" w:cs="Arial"/>
          <w:color w:val="808080" w:themeColor="background1" w:themeShade="80"/>
          <w:sz w:val="22"/>
          <w:szCs w:val="22"/>
          <w:lang w:val="en-GB"/>
        </w:rPr>
        <w:t>amount or property value equal to such unsecured creditors</w:t>
      </w:r>
      <w:r w:rsidR="00667B62">
        <w:rPr>
          <w:rFonts w:ascii="Avenir Next" w:hAnsi="Avenir Next" w:cs="Arial"/>
          <w:color w:val="808080" w:themeColor="background1" w:themeShade="80"/>
          <w:sz w:val="22"/>
          <w:szCs w:val="22"/>
          <w:lang w:val="en-GB"/>
        </w:rPr>
        <w:t xml:space="preserve">’ </w:t>
      </w:r>
      <w:r w:rsidR="00AA792A" w:rsidRPr="009052CD">
        <w:rPr>
          <w:rFonts w:ascii="Avenir Next" w:hAnsi="Avenir Next" w:cs="Arial"/>
          <w:color w:val="808080" w:themeColor="background1" w:themeShade="80"/>
          <w:sz w:val="22"/>
          <w:szCs w:val="22"/>
          <w:lang w:val="en-GB"/>
        </w:rPr>
        <w:t xml:space="preserve">claim and that the scheme </w:t>
      </w:r>
      <w:r w:rsidR="00EC2B1B" w:rsidRPr="009052CD">
        <w:rPr>
          <w:rFonts w:ascii="Avenir Next" w:hAnsi="Avenir Next" w:cs="Arial"/>
          <w:color w:val="808080" w:themeColor="background1" w:themeShade="80"/>
          <w:sz w:val="22"/>
          <w:szCs w:val="22"/>
          <w:lang w:val="en-GB"/>
        </w:rPr>
        <w:t>should not provide any amount or property value to an unsecured creditor who has a subordinate claim</w:t>
      </w:r>
      <w:r w:rsidR="009052CD" w:rsidRPr="009052CD">
        <w:rPr>
          <w:rFonts w:ascii="Avenir Next" w:hAnsi="Avenir Next" w:cs="Arial"/>
          <w:color w:val="808080" w:themeColor="background1" w:themeShade="80"/>
          <w:sz w:val="22"/>
          <w:szCs w:val="22"/>
          <w:lang w:val="en-GB"/>
        </w:rPr>
        <w:t>, on that account</w:t>
      </w:r>
      <w:r w:rsidR="00667B62">
        <w:rPr>
          <w:rFonts w:ascii="Avenir Next" w:hAnsi="Avenir Next" w:cs="Arial"/>
          <w:color w:val="808080" w:themeColor="background1" w:themeShade="80"/>
          <w:sz w:val="22"/>
          <w:szCs w:val="22"/>
          <w:lang w:val="en-GB"/>
        </w:rPr>
        <w:t>/basis</w:t>
      </w:r>
      <w:r w:rsidR="009052CD" w:rsidRPr="009052CD">
        <w:rPr>
          <w:rFonts w:ascii="Avenir Next" w:hAnsi="Avenir Next" w:cs="Arial"/>
          <w:color w:val="808080" w:themeColor="background1" w:themeShade="80"/>
          <w:sz w:val="22"/>
          <w:szCs w:val="22"/>
          <w:lang w:val="en-GB"/>
        </w:rPr>
        <w:t xml:space="preserve"> itself. </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53F258C2" w:rsidR="008C35C9" w:rsidRDefault="000F36A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objectives of the IRD Act are:</w:t>
      </w:r>
    </w:p>
    <w:p w14:paraId="51A94A3F" w14:textId="5414A84E" w:rsidR="00F47A63" w:rsidRDefault="006112A2" w:rsidP="00100A09">
      <w:pPr>
        <w:pStyle w:val="ListParagraph"/>
        <w:numPr>
          <w:ilvl w:val="0"/>
          <w:numId w:val="20"/>
        </w:numPr>
        <w:jc w:val="both"/>
        <w:rPr>
          <w:rFonts w:ascii="Avenir Next" w:hAnsi="Avenir Next" w:cs="Arial"/>
          <w:color w:val="808080" w:themeColor="background1" w:themeShade="80"/>
          <w:sz w:val="22"/>
          <w:szCs w:val="22"/>
          <w:lang w:val="en-GB"/>
        </w:rPr>
      </w:pPr>
      <w:bookmarkStart w:id="0" w:name="_Hlk17709135"/>
      <w:r w:rsidRPr="006112A2">
        <w:rPr>
          <w:rFonts w:ascii="Avenir Next" w:hAnsi="Avenir Next" w:cs="Arial"/>
          <w:color w:val="808080" w:themeColor="background1" w:themeShade="80"/>
          <w:sz w:val="22"/>
          <w:szCs w:val="22"/>
          <w:lang w:val="en-GB"/>
        </w:rPr>
        <w:t>T</w:t>
      </w:r>
      <w:r w:rsidRPr="006112A2">
        <w:rPr>
          <w:rFonts w:ascii="Avenir Next" w:hAnsi="Avenir Next" w:cs="Arial"/>
          <w:color w:val="808080" w:themeColor="background1" w:themeShade="80"/>
          <w:sz w:val="22"/>
          <w:szCs w:val="22"/>
          <w:lang w:val="en-GB"/>
        </w:rPr>
        <w:t>o amend and consolidate the written laws relating to the making and approval of a compromise or an arrangement with the creditors of a company or an individual, receivership, corporate insolvency and winding up, individual insolvency and bankruptcy, and the public administration of insolvency</w:t>
      </w:r>
      <w:r>
        <w:rPr>
          <w:rStyle w:val="FootnoteReference"/>
          <w:rFonts w:ascii="Avenir Next" w:hAnsi="Avenir Next" w:cs="Arial"/>
          <w:color w:val="808080" w:themeColor="background1" w:themeShade="80"/>
          <w:sz w:val="22"/>
          <w:szCs w:val="22"/>
          <w:lang w:val="en-GB"/>
        </w:rPr>
        <w:footnoteReference w:id="1"/>
      </w:r>
      <w:r w:rsidR="007365E3">
        <w:rPr>
          <w:rFonts w:ascii="Avenir Next" w:hAnsi="Avenir Next" w:cs="Arial"/>
          <w:color w:val="808080" w:themeColor="background1" w:themeShade="80"/>
          <w:sz w:val="22"/>
          <w:szCs w:val="22"/>
          <w:lang w:val="en-GB"/>
        </w:rPr>
        <w:t>, and;</w:t>
      </w:r>
    </w:p>
    <w:p w14:paraId="36575BE3" w14:textId="0FD5611D" w:rsidR="007365E3" w:rsidRPr="006112A2" w:rsidRDefault="002545FC" w:rsidP="00100A0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2545FC">
        <w:rPr>
          <w:rFonts w:ascii="Avenir Next" w:hAnsi="Avenir Next" w:cs="Arial"/>
          <w:color w:val="808080" w:themeColor="background1" w:themeShade="80"/>
          <w:sz w:val="22"/>
          <w:szCs w:val="22"/>
          <w:lang w:val="en-GB"/>
        </w:rPr>
        <w:t>o provide for the regulation of insolvency practitioners, to provide for connected matters, to repeal the Bankruptcy Act (Chapter 20 of the 2009 Revised Edition) and to make consequential and related amendments to certain other Acts</w:t>
      </w:r>
      <w:r>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76BFB3D3" w:rsidR="008C35C9" w:rsidRDefault="0091482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accordance, with Section 125(2)(c) of the IRD Act, a company is </w:t>
      </w:r>
      <w:r w:rsidR="00602FBD">
        <w:rPr>
          <w:rFonts w:ascii="Avenir Next" w:hAnsi="Avenir Next" w:cs="Arial"/>
          <w:color w:val="808080" w:themeColor="background1" w:themeShade="80"/>
          <w:sz w:val="22"/>
          <w:szCs w:val="22"/>
          <w:lang w:val="en-GB"/>
        </w:rPr>
        <w:t>deemed to be unable to pay its debts if</w:t>
      </w:r>
      <w:r w:rsidR="00602FBD">
        <w:rPr>
          <w:rFonts w:ascii="Avenir Next" w:hAnsi="Avenir Next" w:cs="Arial"/>
          <w:color w:val="808080" w:themeColor="background1" w:themeShade="80"/>
          <w:sz w:val="22"/>
          <w:szCs w:val="22"/>
          <w:lang w:val="en-GB"/>
        </w:rPr>
        <w:tab/>
        <w:t xml:space="preserve">it is proved to the court that the company is in fact unable to pay its debt. </w:t>
      </w:r>
      <w:r w:rsidR="005C10D5">
        <w:rPr>
          <w:rFonts w:ascii="Avenir Next" w:hAnsi="Avenir Next" w:cs="Arial"/>
          <w:color w:val="808080" w:themeColor="background1" w:themeShade="80"/>
          <w:sz w:val="22"/>
          <w:szCs w:val="22"/>
          <w:lang w:val="en-GB"/>
        </w:rPr>
        <w:t xml:space="preserve">And further in determining the same, the court must take into account the contingent and prospective liabilities of the company. </w:t>
      </w:r>
      <w:r w:rsidR="00895225">
        <w:rPr>
          <w:rFonts w:ascii="Avenir Next" w:hAnsi="Avenir Next" w:cs="Arial"/>
          <w:color w:val="808080" w:themeColor="background1" w:themeShade="80"/>
          <w:sz w:val="22"/>
          <w:szCs w:val="22"/>
          <w:lang w:val="en-GB"/>
        </w:rPr>
        <w:t xml:space="preserve">The Singapore Court of Appeal has now held that </w:t>
      </w:r>
      <w:r w:rsidR="003A71D0">
        <w:rPr>
          <w:rFonts w:ascii="Avenir Next" w:hAnsi="Avenir Next" w:cs="Arial"/>
          <w:color w:val="808080" w:themeColor="background1" w:themeShade="80"/>
          <w:sz w:val="22"/>
          <w:szCs w:val="22"/>
          <w:lang w:val="en-GB"/>
        </w:rPr>
        <w:t>the</w:t>
      </w:r>
      <w:r w:rsidR="00895225">
        <w:rPr>
          <w:rFonts w:ascii="Avenir Next" w:hAnsi="Avenir Next" w:cs="Arial"/>
          <w:color w:val="808080" w:themeColor="background1" w:themeShade="80"/>
          <w:sz w:val="22"/>
          <w:szCs w:val="22"/>
          <w:lang w:val="en-GB"/>
        </w:rPr>
        <w:t xml:space="preserve"> cash-flow test </w:t>
      </w:r>
      <w:r w:rsidR="00B700DB">
        <w:rPr>
          <w:rFonts w:ascii="Avenir Next" w:hAnsi="Avenir Next" w:cs="Arial"/>
          <w:color w:val="808080" w:themeColor="background1" w:themeShade="80"/>
          <w:sz w:val="22"/>
          <w:szCs w:val="22"/>
          <w:lang w:val="en-GB"/>
        </w:rPr>
        <w:t>as</w:t>
      </w:r>
      <w:r w:rsidR="00895225">
        <w:rPr>
          <w:rFonts w:ascii="Avenir Next" w:hAnsi="Avenir Next" w:cs="Arial"/>
          <w:color w:val="808080" w:themeColor="background1" w:themeShade="80"/>
          <w:sz w:val="22"/>
          <w:szCs w:val="22"/>
          <w:lang w:val="en-GB"/>
        </w:rPr>
        <w:t xml:space="preserve"> the </w:t>
      </w:r>
      <w:r w:rsidR="005B7050">
        <w:rPr>
          <w:rFonts w:ascii="Avenir Next" w:hAnsi="Avenir Next" w:cs="Arial"/>
          <w:color w:val="808080" w:themeColor="background1" w:themeShade="80"/>
          <w:sz w:val="22"/>
          <w:szCs w:val="22"/>
          <w:lang w:val="en-GB"/>
        </w:rPr>
        <w:t>determining factor</w:t>
      </w:r>
      <w:r w:rsidR="003A71D0">
        <w:rPr>
          <w:rFonts w:ascii="Avenir Next" w:hAnsi="Avenir Next" w:cs="Arial"/>
          <w:color w:val="808080" w:themeColor="background1" w:themeShade="80"/>
          <w:sz w:val="22"/>
          <w:szCs w:val="22"/>
          <w:lang w:val="en-GB"/>
        </w:rPr>
        <w:t xml:space="preserve">, </w:t>
      </w:r>
      <w:r w:rsidR="005B7050">
        <w:rPr>
          <w:rFonts w:ascii="Avenir Next" w:hAnsi="Avenir Next" w:cs="Arial"/>
          <w:color w:val="808080" w:themeColor="background1" w:themeShade="80"/>
          <w:sz w:val="22"/>
          <w:szCs w:val="22"/>
          <w:lang w:val="en-GB"/>
        </w:rPr>
        <w:t xml:space="preserve">that the courts have </w:t>
      </w:r>
      <w:r w:rsidR="003A71D0">
        <w:rPr>
          <w:rFonts w:ascii="Avenir Next" w:hAnsi="Avenir Next" w:cs="Arial"/>
          <w:color w:val="808080" w:themeColor="background1" w:themeShade="80"/>
          <w:sz w:val="22"/>
          <w:szCs w:val="22"/>
          <w:lang w:val="en-GB"/>
        </w:rPr>
        <w:t>to apply</w:t>
      </w:r>
      <w:r w:rsidR="005B7050">
        <w:rPr>
          <w:rFonts w:ascii="Avenir Next" w:hAnsi="Avenir Next" w:cs="Arial"/>
          <w:color w:val="808080" w:themeColor="background1" w:themeShade="80"/>
          <w:sz w:val="22"/>
          <w:szCs w:val="22"/>
          <w:lang w:val="en-GB"/>
        </w:rPr>
        <w:t xml:space="preserve"> qua this section</w:t>
      </w:r>
      <w:r w:rsidR="005B7050">
        <w:rPr>
          <w:rStyle w:val="FootnoteReference"/>
          <w:rFonts w:ascii="Avenir Next" w:hAnsi="Avenir Next" w:cs="Arial"/>
          <w:color w:val="808080" w:themeColor="background1" w:themeShade="80"/>
          <w:sz w:val="22"/>
          <w:szCs w:val="22"/>
          <w:lang w:val="en-GB"/>
        </w:rPr>
        <w:footnoteReference w:id="3"/>
      </w:r>
      <w:r w:rsidR="00B700DB">
        <w:rPr>
          <w:rFonts w:ascii="Avenir Next" w:hAnsi="Avenir Next" w:cs="Arial"/>
          <w:color w:val="808080" w:themeColor="background1" w:themeShade="80"/>
          <w:sz w:val="22"/>
          <w:szCs w:val="22"/>
          <w:lang w:val="en-GB"/>
        </w:rPr>
        <w:t>, which consists of the following factors:</w:t>
      </w:r>
      <w:r w:rsidR="003A71D0">
        <w:rPr>
          <w:rFonts w:ascii="Avenir Next" w:hAnsi="Avenir Next" w:cs="Arial"/>
          <w:color w:val="808080" w:themeColor="background1" w:themeShade="80"/>
          <w:sz w:val="22"/>
          <w:szCs w:val="22"/>
          <w:lang w:val="en-GB"/>
        </w:rPr>
        <w:br/>
      </w:r>
    </w:p>
    <w:p w14:paraId="594CF710" w14:textId="2D562C50" w:rsidR="00B700DB" w:rsidRDefault="00CF7CAF" w:rsidP="00B700DB">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the assets of the debtor on date and the realisable value in the near future;</w:t>
      </w:r>
    </w:p>
    <w:p w14:paraId="2B12BCA4" w14:textId="3FF4041F" w:rsidR="00CF7CAF" w:rsidRDefault="00E30FE7" w:rsidP="00B700DB">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Aggregate of debts that are already due for payment and the ones which will become due in the near future;</w:t>
      </w:r>
    </w:p>
    <w:p w14:paraId="5FF3FF18" w14:textId="141AD214" w:rsidR="00E30FE7" w:rsidRDefault="008130E3" w:rsidP="00B700DB">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debtor has defaulted on its financial obligations, and if yes</w:t>
      </w:r>
      <w:r w:rsidR="003A71D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to what extent;</w:t>
      </w:r>
    </w:p>
    <w:p w14:paraId="59A71737" w14:textId="756E0A5E" w:rsidR="008130E3" w:rsidRPr="00B700DB" w:rsidRDefault="008130E3" w:rsidP="00B700DB">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Whether payments are being demanded under over due loans and what payment can</w:t>
      </w:r>
      <w:r w:rsidR="007F25A4">
        <w:rPr>
          <w:rFonts w:ascii="Avenir Next" w:hAnsi="Avenir Next" w:cs="Arial"/>
          <w:color w:val="808080" w:themeColor="background1" w:themeShade="80"/>
          <w:sz w:val="22"/>
          <w:szCs w:val="22"/>
          <w:lang w:val="en-GB"/>
        </w:rPr>
        <w:t>/will</w:t>
      </w:r>
      <w:r>
        <w:rPr>
          <w:rFonts w:ascii="Avenir Next" w:hAnsi="Avenir Next" w:cs="Arial"/>
          <w:color w:val="808080" w:themeColor="background1" w:themeShade="80"/>
          <w:sz w:val="22"/>
          <w:szCs w:val="22"/>
          <w:lang w:val="en-GB"/>
        </w:rPr>
        <w:t xml:space="preserve"> be accelerated in the near future.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0598DDF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2D7560F5" w14:textId="05B5D10C" w:rsidR="008C35C9" w:rsidRPr="0069725C" w:rsidRDefault="00400F73" w:rsidP="008C35C9">
      <w:pPr>
        <w:jc w:val="both"/>
        <w:rPr>
          <w:rFonts w:ascii="Avenir Next" w:hAnsi="Avenir Next" w:cs="Arial"/>
          <w:color w:val="808080" w:themeColor="background1" w:themeShade="80"/>
          <w:sz w:val="22"/>
          <w:szCs w:val="22"/>
          <w:lang w:val="en-GB"/>
        </w:rPr>
      </w:pPr>
      <w:r w:rsidRPr="000B4AC0">
        <w:rPr>
          <w:rFonts w:ascii="Avenir Next" w:hAnsi="Avenir Next" w:cs="Arial"/>
          <w:b/>
          <w:bCs/>
          <w:color w:val="808080" w:themeColor="background1" w:themeShade="80"/>
          <w:sz w:val="22"/>
          <w:szCs w:val="22"/>
          <w:lang w:val="en-GB"/>
        </w:rPr>
        <w:t>Rescue Financing</w:t>
      </w:r>
      <w:r w:rsidRPr="0069725C">
        <w:rPr>
          <w:rFonts w:ascii="Avenir Next" w:hAnsi="Avenir Next" w:cs="Arial"/>
          <w:color w:val="808080" w:themeColor="background1" w:themeShade="80"/>
          <w:sz w:val="22"/>
          <w:szCs w:val="22"/>
          <w:lang w:val="en-GB"/>
        </w:rPr>
        <w:t xml:space="preserve">: Rescue financing </w:t>
      </w:r>
      <w:r w:rsidR="00ED5A45" w:rsidRPr="0069725C">
        <w:rPr>
          <w:rFonts w:ascii="Avenir Next" w:hAnsi="Avenir Next" w:cs="Arial"/>
          <w:color w:val="808080" w:themeColor="background1" w:themeShade="80"/>
          <w:sz w:val="22"/>
          <w:szCs w:val="22"/>
          <w:lang w:val="en-GB"/>
        </w:rPr>
        <w:t xml:space="preserve">is a </w:t>
      </w:r>
      <w:r w:rsidR="00B85797" w:rsidRPr="0069725C">
        <w:rPr>
          <w:rFonts w:ascii="Avenir Next" w:hAnsi="Avenir Next" w:cs="Arial"/>
          <w:color w:val="808080" w:themeColor="background1" w:themeShade="80"/>
          <w:sz w:val="22"/>
          <w:szCs w:val="22"/>
          <w:lang w:val="en-GB"/>
        </w:rPr>
        <w:t>critical</w:t>
      </w:r>
      <w:r w:rsidR="00ED5A45" w:rsidRPr="0069725C">
        <w:rPr>
          <w:rFonts w:ascii="Avenir Next" w:hAnsi="Avenir Next" w:cs="Arial"/>
          <w:color w:val="808080" w:themeColor="background1" w:themeShade="80"/>
          <w:sz w:val="22"/>
          <w:szCs w:val="22"/>
          <w:lang w:val="en-GB"/>
        </w:rPr>
        <w:t xml:space="preserve"> element </w:t>
      </w:r>
      <w:r w:rsidR="00B85797" w:rsidRPr="0069725C">
        <w:rPr>
          <w:rFonts w:ascii="Avenir Next" w:hAnsi="Avenir Next" w:cs="Arial"/>
          <w:color w:val="808080" w:themeColor="background1" w:themeShade="80"/>
          <w:sz w:val="22"/>
          <w:szCs w:val="22"/>
          <w:lang w:val="en-GB"/>
        </w:rPr>
        <w:t xml:space="preserve">of a scheme of arrangement or a judicial management as it helps the debtor company to remain afloat and </w:t>
      </w:r>
      <w:r w:rsidR="00867ED3" w:rsidRPr="0069725C">
        <w:rPr>
          <w:rFonts w:ascii="Avenir Next" w:hAnsi="Avenir Next" w:cs="Arial"/>
          <w:color w:val="808080" w:themeColor="background1" w:themeShade="80"/>
          <w:sz w:val="22"/>
          <w:szCs w:val="22"/>
          <w:lang w:val="en-GB"/>
        </w:rPr>
        <w:t xml:space="preserve">as a going concern during </w:t>
      </w:r>
      <w:r w:rsidR="00EE419B" w:rsidRPr="0069725C">
        <w:rPr>
          <w:rFonts w:ascii="Avenir Next" w:hAnsi="Avenir Next" w:cs="Arial"/>
          <w:color w:val="808080" w:themeColor="background1" w:themeShade="80"/>
          <w:sz w:val="22"/>
          <w:szCs w:val="22"/>
          <w:lang w:val="en-GB"/>
        </w:rPr>
        <w:t>these</w:t>
      </w:r>
      <w:r w:rsidR="00867ED3" w:rsidRPr="0069725C">
        <w:rPr>
          <w:rFonts w:ascii="Avenir Next" w:hAnsi="Avenir Next" w:cs="Arial"/>
          <w:color w:val="808080" w:themeColor="background1" w:themeShade="80"/>
          <w:sz w:val="22"/>
          <w:szCs w:val="22"/>
          <w:lang w:val="en-GB"/>
        </w:rPr>
        <w:t xml:space="preserve"> rescue procedures. Additionally, </w:t>
      </w:r>
      <w:r w:rsidR="00EE419B" w:rsidRPr="0069725C">
        <w:rPr>
          <w:rFonts w:ascii="Avenir Next" w:hAnsi="Avenir Next" w:cs="Arial"/>
          <w:color w:val="808080" w:themeColor="background1" w:themeShade="80"/>
          <w:sz w:val="22"/>
          <w:szCs w:val="22"/>
          <w:lang w:val="en-GB"/>
        </w:rPr>
        <w:t xml:space="preserve">they also help maximise the value of the assets for all the stakeholder which would have otherwise </w:t>
      </w:r>
      <w:r w:rsidR="000B4AC0" w:rsidRPr="0069725C">
        <w:rPr>
          <w:rFonts w:ascii="Avenir Next" w:hAnsi="Avenir Next" w:cs="Arial"/>
          <w:color w:val="808080" w:themeColor="background1" w:themeShade="80"/>
          <w:sz w:val="22"/>
          <w:szCs w:val="22"/>
          <w:lang w:val="en-GB"/>
        </w:rPr>
        <w:t>been</w:t>
      </w:r>
      <w:r w:rsidR="00EE419B" w:rsidRPr="0069725C">
        <w:rPr>
          <w:rFonts w:ascii="Avenir Next" w:hAnsi="Avenir Next" w:cs="Arial"/>
          <w:color w:val="808080" w:themeColor="background1" w:themeShade="80"/>
          <w:sz w:val="22"/>
          <w:szCs w:val="22"/>
          <w:lang w:val="en-GB"/>
        </w:rPr>
        <w:t xml:space="preserve"> sold at a distressed value</w:t>
      </w:r>
      <w:r w:rsidR="007F25A4">
        <w:rPr>
          <w:rFonts w:ascii="Avenir Next" w:hAnsi="Avenir Next" w:cs="Arial"/>
          <w:color w:val="808080" w:themeColor="background1" w:themeShade="80"/>
          <w:sz w:val="22"/>
          <w:szCs w:val="22"/>
          <w:lang w:val="en-GB"/>
        </w:rPr>
        <w:t xml:space="preserve"> under winding-up</w:t>
      </w:r>
      <w:r w:rsidR="00EE419B" w:rsidRPr="0069725C">
        <w:rPr>
          <w:rFonts w:ascii="Avenir Next" w:hAnsi="Avenir Next" w:cs="Arial"/>
          <w:color w:val="808080" w:themeColor="background1" w:themeShade="80"/>
          <w:sz w:val="22"/>
          <w:szCs w:val="22"/>
          <w:lang w:val="en-GB"/>
        </w:rPr>
        <w:t xml:space="preserve">. During a </w:t>
      </w:r>
      <w:r w:rsidR="00603E9F" w:rsidRPr="0069725C">
        <w:rPr>
          <w:rFonts w:ascii="Avenir Next" w:hAnsi="Avenir Next" w:cs="Arial"/>
          <w:color w:val="808080" w:themeColor="background1" w:themeShade="80"/>
          <w:sz w:val="22"/>
          <w:szCs w:val="22"/>
          <w:lang w:val="en-GB"/>
        </w:rPr>
        <w:t>scheme of arrangement or a judicial management the debtor company on an application to the court</w:t>
      </w:r>
      <w:r w:rsidR="00BF1D91">
        <w:rPr>
          <w:rStyle w:val="FootnoteReference"/>
          <w:rFonts w:ascii="Avenir Next" w:hAnsi="Avenir Next" w:cs="Arial"/>
          <w:color w:val="808080" w:themeColor="background1" w:themeShade="80"/>
          <w:sz w:val="22"/>
          <w:szCs w:val="22"/>
          <w:lang w:val="en-GB"/>
        </w:rPr>
        <w:footnoteReference w:id="4"/>
      </w:r>
      <w:r w:rsidR="008764AA" w:rsidRPr="0069725C">
        <w:rPr>
          <w:rFonts w:ascii="Avenir Next" w:hAnsi="Avenir Next" w:cs="Arial"/>
          <w:color w:val="808080" w:themeColor="background1" w:themeShade="80"/>
          <w:sz w:val="22"/>
          <w:szCs w:val="22"/>
          <w:lang w:val="en-GB"/>
        </w:rPr>
        <w:t>, obtain approval to give these kinds of rescue financers a super priority status. However, the same should also pass the following threshold tests:</w:t>
      </w:r>
    </w:p>
    <w:p w14:paraId="1C7B5A71" w14:textId="77777777" w:rsidR="0069725C" w:rsidRPr="0069725C" w:rsidRDefault="0069725C" w:rsidP="008C35C9">
      <w:pPr>
        <w:jc w:val="both"/>
        <w:rPr>
          <w:rFonts w:ascii="Avenir Next" w:hAnsi="Avenir Next" w:cs="Arial"/>
          <w:color w:val="808080" w:themeColor="background1" w:themeShade="80"/>
          <w:sz w:val="22"/>
          <w:szCs w:val="22"/>
          <w:lang w:val="en-GB"/>
        </w:rPr>
      </w:pPr>
    </w:p>
    <w:p w14:paraId="1615B660" w14:textId="353AF1B9" w:rsidR="008764AA" w:rsidRPr="0069725C" w:rsidRDefault="0002788D" w:rsidP="0002788D">
      <w:pPr>
        <w:pStyle w:val="ListParagraph"/>
        <w:numPr>
          <w:ilvl w:val="0"/>
          <w:numId w:val="22"/>
        </w:numPr>
        <w:jc w:val="both"/>
        <w:rPr>
          <w:rFonts w:ascii="Avenir Next" w:hAnsi="Avenir Next" w:cs="Arial"/>
          <w:color w:val="808080" w:themeColor="background1" w:themeShade="80"/>
          <w:sz w:val="22"/>
          <w:szCs w:val="22"/>
          <w:lang w:val="en-GB"/>
        </w:rPr>
      </w:pPr>
      <w:r w:rsidRPr="0069725C">
        <w:rPr>
          <w:rFonts w:ascii="Avenir Next" w:hAnsi="Avenir Next" w:cs="Arial"/>
          <w:color w:val="808080" w:themeColor="background1" w:themeShade="80"/>
          <w:sz w:val="22"/>
          <w:szCs w:val="22"/>
          <w:lang w:val="en-GB"/>
        </w:rPr>
        <w:t>That in the even the debtor is wound up, then the amount of the rescue financing will be treated as winding-up costs</w:t>
      </w:r>
      <w:r w:rsidR="00D877A8">
        <w:rPr>
          <w:rStyle w:val="FootnoteReference"/>
          <w:rFonts w:ascii="Avenir Next" w:hAnsi="Avenir Next" w:cs="Arial"/>
          <w:color w:val="808080" w:themeColor="background1" w:themeShade="80"/>
          <w:sz w:val="22"/>
          <w:szCs w:val="22"/>
          <w:lang w:val="en-GB"/>
        </w:rPr>
        <w:footnoteReference w:id="5"/>
      </w:r>
      <w:r w:rsidRPr="0069725C">
        <w:rPr>
          <w:rFonts w:ascii="Avenir Next" w:hAnsi="Avenir Next" w:cs="Arial"/>
          <w:color w:val="808080" w:themeColor="background1" w:themeShade="80"/>
          <w:sz w:val="22"/>
          <w:szCs w:val="22"/>
          <w:lang w:val="en-GB"/>
        </w:rPr>
        <w:t>;</w:t>
      </w:r>
    </w:p>
    <w:p w14:paraId="086EB42B" w14:textId="4797FE8B" w:rsidR="0002788D" w:rsidRPr="0069725C" w:rsidRDefault="001545CC" w:rsidP="0002788D">
      <w:pPr>
        <w:pStyle w:val="ListParagraph"/>
        <w:numPr>
          <w:ilvl w:val="0"/>
          <w:numId w:val="22"/>
        </w:numPr>
        <w:jc w:val="both"/>
        <w:rPr>
          <w:rFonts w:ascii="Avenir Next" w:hAnsi="Avenir Next" w:cs="Arial"/>
          <w:color w:val="808080" w:themeColor="background1" w:themeShade="80"/>
          <w:sz w:val="22"/>
          <w:szCs w:val="22"/>
          <w:lang w:val="en-GB"/>
        </w:rPr>
      </w:pPr>
      <w:r w:rsidRPr="0069725C">
        <w:rPr>
          <w:rFonts w:ascii="Avenir Next" w:hAnsi="Avenir Next" w:cs="Arial"/>
          <w:color w:val="808080" w:themeColor="background1" w:themeShade="80"/>
          <w:sz w:val="22"/>
          <w:szCs w:val="22"/>
          <w:lang w:val="en-GB"/>
        </w:rPr>
        <w:t>That the rescue financing will have super priority over the unsecured claim and the preferential debts</w:t>
      </w:r>
      <w:r w:rsidR="00157E0B">
        <w:rPr>
          <w:rStyle w:val="FootnoteReference"/>
          <w:rFonts w:ascii="Avenir Next" w:hAnsi="Avenir Next" w:cs="Arial"/>
          <w:color w:val="808080" w:themeColor="background1" w:themeShade="80"/>
          <w:sz w:val="22"/>
          <w:szCs w:val="22"/>
          <w:lang w:val="en-GB"/>
        </w:rPr>
        <w:footnoteReference w:id="6"/>
      </w:r>
      <w:r w:rsidRPr="0069725C">
        <w:rPr>
          <w:rFonts w:ascii="Avenir Next" w:hAnsi="Avenir Next" w:cs="Arial"/>
          <w:color w:val="808080" w:themeColor="background1" w:themeShade="80"/>
          <w:sz w:val="22"/>
          <w:szCs w:val="22"/>
          <w:lang w:val="en-GB"/>
        </w:rPr>
        <w:t>;</w:t>
      </w:r>
    </w:p>
    <w:p w14:paraId="1E3DB0FD" w14:textId="3F5C5412" w:rsidR="001545CC" w:rsidRPr="0069725C" w:rsidRDefault="00207560" w:rsidP="0002788D">
      <w:pPr>
        <w:pStyle w:val="ListParagraph"/>
        <w:numPr>
          <w:ilvl w:val="0"/>
          <w:numId w:val="22"/>
        </w:numPr>
        <w:jc w:val="both"/>
        <w:rPr>
          <w:rFonts w:ascii="Avenir Next" w:hAnsi="Avenir Next" w:cs="Arial"/>
          <w:color w:val="808080" w:themeColor="background1" w:themeShade="80"/>
          <w:sz w:val="22"/>
          <w:szCs w:val="22"/>
          <w:lang w:val="en-GB"/>
        </w:rPr>
      </w:pPr>
      <w:r w:rsidRPr="0069725C">
        <w:rPr>
          <w:rFonts w:ascii="Avenir Next" w:hAnsi="Avenir Next" w:cs="Arial"/>
          <w:color w:val="808080" w:themeColor="background1" w:themeShade="80"/>
          <w:sz w:val="22"/>
          <w:szCs w:val="22"/>
          <w:lang w:val="en-GB"/>
        </w:rPr>
        <w:t>The rescue financing will be secured by a security interest on a property which did not have a pre-existing security interest</w:t>
      </w:r>
      <w:r w:rsidR="00406C58" w:rsidRPr="0069725C">
        <w:rPr>
          <w:rFonts w:ascii="Avenir Next" w:hAnsi="Avenir Next" w:cs="Arial"/>
          <w:color w:val="808080" w:themeColor="background1" w:themeShade="80"/>
          <w:sz w:val="22"/>
          <w:szCs w:val="22"/>
          <w:lang w:val="en-GB"/>
        </w:rPr>
        <w:t xml:space="preserve"> or </w:t>
      </w:r>
      <w:r w:rsidR="003D5B9B">
        <w:rPr>
          <w:rFonts w:ascii="Avenir Next" w:hAnsi="Avenir Next" w:cs="Arial"/>
          <w:color w:val="808080" w:themeColor="background1" w:themeShade="80"/>
          <w:sz w:val="22"/>
          <w:szCs w:val="22"/>
          <w:lang w:val="en-GB"/>
        </w:rPr>
        <w:t xml:space="preserve">is </w:t>
      </w:r>
      <w:r w:rsidR="00406C58" w:rsidRPr="0069725C">
        <w:rPr>
          <w:rFonts w:ascii="Avenir Next" w:hAnsi="Avenir Next" w:cs="Arial"/>
          <w:color w:val="808080" w:themeColor="background1" w:themeShade="80"/>
          <w:sz w:val="22"/>
          <w:szCs w:val="22"/>
          <w:lang w:val="en-GB"/>
        </w:rPr>
        <w:t>to be secured by a sub-ordinate security interest, in the even</w:t>
      </w:r>
      <w:r w:rsidR="00CB125F" w:rsidRPr="0069725C">
        <w:rPr>
          <w:rFonts w:ascii="Avenir Next" w:hAnsi="Avenir Next" w:cs="Arial"/>
          <w:color w:val="808080" w:themeColor="background1" w:themeShade="80"/>
          <w:sz w:val="22"/>
          <w:szCs w:val="22"/>
          <w:lang w:val="en-GB"/>
        </w:rPr>
        <w:t>t the concerned property already has a pre-existing security interest</w:t>
      </w:r>
      <w:r w:rsidR="00157E0B">
        <w:rPr>
          <w:rStyle w:val="FootnoteReference"/>
          <w:rFonts w:ascii="Avenir Next" w:hAnsi="Avenir Next" w:cs="Arial"/>
          <w:color w:val="808080" w:themeColor="background1" w:themeShade="80"/>
          <w:sz w:val="22"/>
          <w:szCs w:val="22"/>
          <w:lang w:val="en-GB"/>
        </w:rPr>
        <w:footnoteReference w:id="7"/>
      </w:r>
      <w:r w:rsidR="002D2C59" w:rsidRPr="0069725C">
        <w:rPr>
          <w:rFonts w:ascii="Avenir Next" w:hAnsi="Avenir Next" w:cs="Arial"/>
          <w:color w:val="808080" w:themeColor="background1" w:themeShade="80"/>
          <w:sz w:val="22"/>
          <w:szCs w:val="22"/>
          <w:lang w:val="en-GB"/>
        </w:rPr>
        <w:t>;</w:t>
      </w:r>
    </w:p>
    <w:p w14:paraId="306C34A5" w14:textId="3D6B3440" w:rsidR="002D2C59" w:rsidRPr="0069725C" w:rsidRDefault="003D5B9B" w:rsidP="0002788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F378B1">
        <w:rPr>
          <w:rFonts w:ascii="Avenir Next" w:hAnsi="Avenir Next" w:cs="Arial"/>
          <w:color w:val="808080" w:themeColor="background1" w:themeShade="80"/>
          <w:sz w:val="22"/>
          <w:szCs w:val="22"/>
          <w:lang w:val="en-GB"/>
        </w:rPr>
        <w:t>Last</w:t>
      </w:r>
      <w:r>
        <w:rPr>
          <w:rFonts w:ascii="Avenir Next" w:hAnsi="Avenir Next" w:cs="Arial"/>
          <w:color w:val="808080" w:themeColor="background1" w:themeShade="80"/>
          <w:sz w:val="22"/>
          <w:szCs w:val="22"/>
          <w:lang w:val="en-GB"/>
        </w:rPr>
        <w:t xml:space="preserve"> resort) </w:t>
      </w:r>
      <w:r w:rsidR="00C63565" w:rsidRPr="0069725C">
        <w:rPr>
          <w:rFonts w:ascii="Avenir Next" w:hAnsi="Avenir Next" w:cs="Arial"/>
          <w:color w:val="808080" w:themeColor="background1" w:themeShade="80"/>
          <w:sz w:val="22"/>
          <w:szCs w:val="22"/>
          <w:lang w:val="en-GB"/>
        </w:rPr>
        <w:t xml:space="preserve">In the event the debtor is not able to obtain </w:t>
      </w:r>
      <w:r w:rsidR="00DD238D" w:rsidRPr="0069725C">
        <w:rPr>
          <w:rFonts w:ascii="Avenir Next" w:hAnsi="Avenir Next" w:cs="Arial"/>
          <w:color w:val="808080" w:themeColor="background1" w:themeShade="80"/>
          <w:sz w:val="22"/>
          <w:szCs w:val="22"/>
          <w:lang w:val="en-GB"/>
        </w:rPr>
        <w:t xml:space="preserve">rescue financing </w:t>
      </w:r>
      <w:r>
        <w:rPr>
          <w:rFonts w:ascii="Avenir Next" w:hAnsi="Avenir Next" w:cs="Arial"/>
          <w:color w:val="808080" w:themeColor="background1" w:themeShade="80"/>
          <w:sz w:val="22"/>
          <w:szCs w:val="22"/>
          <w:lang w:val="en-GB"/>
        </w:rPr>
        <w:t xml:space="preserve">from </w:t>
      </w:r>
      <w:r w:rsidR="00DD238D" w:rsidRPr="0069725C">
        <w:rPr>
          <w:rFonts w:ascii="Avenir Next" w:hAnsi="Avenir Next" w:cs="Arial"/>
          <w:color w:val="808080" w:themeColor="background1" w:themeShade="80"/>
          <w:sz w:val="22"/>
          <w:szCs w:val="22"/>
          <w:lang w:val="en-GB"/>
        </w:rPr>
        <w:t xml:space="preserve">any other avenues, then the rescue financing </w:t>
      </w:r>
      <w:r w:rsidR="008D2501" w:rsidRPr="0069725C">
        <w:rPr>
          <w:rFonts w:ascii="Avenir Next" w:hAnsi="Avenir Next" w:cs="Arial"/>
          <w:color w:val="808080" w:themeColor="background1" w:themeShade="80"/>
          <w:sz w:val="22"/>
          <w:szCs w:val="22"/>
          <w:lang w:val="en-GB"/>
        </w:rPr>
        <w:t xml:space="preserve">is to be secured by security interest of the same or a high ranking on property which already has a pre-existing security interest, provided that the interest of the </w:t>
      </w:r>
      <w:r w:rsidR="00682B69" w:rsidRPr="0069725C">
        <w:rPr>
          <w:rFonts w:ascii="Avenir Next" w:hAnsi="Avenir Next" w:cs="Arial"/>
          <w:color w:val="808080" w:themeColor="background1" w:themeShade="80"/>
          <w:sz w:val="22"/>
          <w:szCs w:val="22"/>
          <w:lang w:val="en-GB"/>
        </w:rPr>
        <w:t>existing security holder</w:t>
      </w:r>
      <w:r w:rsidR="00C3405D">
        <w:rPr>
          <w:rStyle w:val="FootnoteReference"/>
          <w:rFonts w:ascii="Avenir Next" w:hAnsi="Avenir Next" w:cs="Arial"/>
          <w:color w:val="808080" w:themeColor="background1" w:themeShade="80"/>
          <w:sz w:val="22"/>
          <w:szCs w:val="22"/>
          <w:lang w:val="en-GB"/>
        </w:rPr>
        <w:footnoteReference w:id="8"/>
      </w:r>
      <w:r w:rsidR="00682B69" w:rsidRPr="0069725C">
        <w:rPr>
          <w:rFonts w:ascii="Avenir Next" w:hAnsi="Avenir Next" w:cs="Arial"/>
          <w:color w:val="808080" w:themeColor="background1" w:themeShade="80"/>
          <w:sz w:val="22"/>
          <w:szCs w:val="22"/>
          <w:lang w:val="en-GB"/>
        </w:rPr>
        <w:t xml:space="preserve"> are not prejudiced</w:t>
      </w:r>
      <w:r w:rsidR="00157E0B">
        <w:rPr>
          <w:rStyle w:val="FootnoteReference"/>
          <w:rFonts w:ascii="Avenir Next" w:hAnsi="Avenir Next" w:cs="Arial"/>
          <w:color w:val="808080" w:themeColor="background1" w:themeShade="80"/>
          <w:sz w:val="22"/>
          <w:szCs w:val="22"/>
          <w:lang w:val="en-GB"/>
        </w:rPr>
        <w:footnoteReference w:id="9"/>
      </w:r>
      <w:r w:rsidR="00682B69" w:rsidRPr="0069725C">
        <w:rPr>
          <w:rFonts w:ascii="Avenir Next" w:hAnsi="Avenir Next" w:cs="Arial"/>
          <w:color w:val="808080" w:themeColor="background1" w:themeShade="80"/>
          <w:sz w:val="22"/>
          <w:szCs w:val="22"/>
          <w:lang w:val="en-GB"/>
        </w:rPr>
        <w:t>.</w:t>
      </w:r>
    </w:p>
    <w:p w14:paraId="4BB03E6E" w14:textId="77777777" w:rsidR="0069725C" w:rsidRPr="0069725C" w:rsidRDefault="0069725C" w:rsidP="0069725C">
      <w:pPr>
        <w:pStyle w:val="ListParagraph"/>
        <w:jc w:val="both"/>
        <w:rPr>
          <w:rFonts w:ascii="Avenir Next" w:hAnsi="Avenir Next" w:cs="Arial"/>
          <w:color w:val="808080" w:themeColor="background1" w:themeShade="80"/>
          <w:sz w:val="22"/>
          <w:szCs w:val="22"/>
          <w:lang w:val="en-GB"/>
        </w:rPr>
      </w:pPr>
    </w:p>
    <w:p w14:paraId="0B0F44DA" w14:textId="47B54F98" w:rsidR="00A03506" w:rsidRDefault="00A0350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event, the debtor has two or more super priority claims then the same </w:t>
      </w:r>
      <w:r w:rsidR="005D2729">
        <w:rPr>
          <w:rFonts w:ascii="Avenir Next" w:hAnsi="Avenir Next" w:cs="Arial"/>
          <w:color w:val="808080" w:themeColor="background1" w:themeShade="80"/>
          <w:sz w:val="22"/>
          <w:szCs w:val="22"/>
          <w:lang w:val="en-GB"/>
        </w:rPr>
        <w:t>are to rank equally or abate proportionally between themselves</w:t>
      </w:r>
      <w:r w:rsidR="005D2729">
        <w:rPr>
          <w:rStyle w:val="FootnoteReference"/>
          <w:rFonts w:ascii="Avenir Next" w:hAnsi="Avenir Next" w:cs="Arial"/>
          <w:color w:val="808080" w:themeColor="background1" w:themeShade="80"/>
          <w:sz w:val="22"/>
          <w:szCs w:val="22"/>
          <w:lang w:val="en-GB"/>
        </w:rPr>
        <w:footnoteReference w:id="10"/>
      </w:r>
      <w:r w:rsidR="00974615">
        <w:rPr>
          <w:rFonts w:ascii="Avenir Next" w:hAnsi="Avenir Next" w:cs="Arial"/>
          <w:color w:val="808080" w:themeColor="background1" w:themeShade="80"/>
          <w:sz w:val="22"/>
          <w:szCs w:val="22"/>
          <w:lang w:val="en-GB"/>
        </w:rPr>
        <w:t>.</w:t>
      </w:r>
    </w:p>
    <w:p w14:paraId="5C57E0D1" w14:textId="77777777" w:rsidR="00974615" w:rsidRDefault="00974615" w:rsidP="008C35C9">
      <w:pPr>
        <w:jc w:val="both"/>
        <w:rPr>
          <w:rFonts w:ascii="Avenir Next" w:hAnsi="Avenir Next" w:cs="Arial"/>
          <w:color w:val="808080" w:themeColor="background1" w:themeShade="80"/>
          <w:sz w:val="22"/>
          <w:szCs w:val="22"/>
          <w:lang w:val="en-GB"/>
        </w:rPr>
      </w:pPr>
    </w:p>
    <w:p w14:paraId="53002D62" w14:textId="7877128B" w:rsidR="007A2831" w:rsidRDefault="00417870" w:rsidP="008C35C9">
      <w:pPr>
        <w:jc w:val="both"/>
        <w:rPr>
          <w:rFonts w:ascii="Avenir Next" w:hAnsi="Avenir Next" w:cs="Arial"/>
          <w:color w:val="808080" w:themeColor="background1" w:themeShade="80"/>
          <w:sz w:val="22"/>
          <w:szCs w:val="22"/>
          <w:lang w:val="en-GB"/>
        </w:rPr>
      </w:pPr>
      <w:r w:rsidRPr="0069725C">
        <w:rPr>
          <w:rFonts w:ascii="Avenir Next" w:hAnsi="Avenir Next" w:cs="Arial"/>
          <w:color w:val="808080" w:themeColor="background1" w:themeShade="80"/>
          <w:sz w:val="22"/>
          <w:szCs w:val="22"/>
          <w:lang w:val="en-GB"/>
        </w:rPr>
        <w:t xml:space="preserve">Another aspect of rescue financing that has been added to its realm is that of roll-ups. </w:t>
      </w:r>
      <w:r w:rsidR="004E5FEE" w:rsidRPr="0069725C">
        <w:rPr>
          <w:rFonts w:ascii="Avenir Next" w:hAnsi="Avenir Next" w:cs="Arial"/>
          <w:color w:val="808080" w:themeColor="background1" w:themeShade="80"/>
          <w:sz w:val="22"/>
          <w:szCs w:val="22"/>
          <w:lang w:val="en-GB"/>
        </w:rPr>
        <w:t>Di</w:t>
      </w:r>
      <w:r w:rsidR="004E5FEE" w:rsidRPr="00B30325">
        <w:rPr>
          <w:rFonts w:ascii="Avenir Next" w:hAnsi="Avenir Next" w:cs="Arial"/>
          <w:color w:val="808080" w:themeColor="background1" w:themeShade="80"/>
          <w:sz w:val="22"/>
          <w:szCs w:val="22"/>
          <w:lang w:val="en-GB"/>
        </w:rPr>
        <w:t xml:space="preserve">stressed debtors typically turned to their existing pre-petition lenders to obtain financing necessary to continue operations. Such pre-petition lenders often conditioned the provision of new debt on the roll-up of </w:t>
      </w:r>
      <w:r w:rsidR="004E5FEE" w:rsidRPr="00B30325">
        <w:rPr>
          <w:rFonts w:ascii="Avenir Next" w:hAnsi="Avenir Next" w:cs="Arial"/>
          <w:color w:val="808080" w:themeColor="background1" w:themeShade="80"/>
          <w:sz w:val="22"/>
          <w:szCs w:val="22"/>
          <w:lang w:val="en-GB"/>
        </w:rPr>
        <w:lastRenderedPageBreak/>
        <w:t>pre-petition debt</w:t>
      </w:r>
      <w:r w:rsidR="00B30325">
        <w:rPr>
          <w:rStyle w:val="FootnoteReference"/>
          <w:rFonts w:ascii="Avenir Next" w:hAnsi="Avenir Next" w:cs="Arial"/>
          <w:color w:val="808080" w:themeColor="background1" w:themeShade="80"/>
          <w:sz w:val="22"/>
          <w:szCs w:val="22"/>
          <w:lang w:val="en-GB"/>
        </w:rPr>
        <w:footnoteReference w:id="11"/>
      </w:r>
      <w:r w:rsidR="0069725C" w:rsidRPr="00B30325">
        <w:rPr>
          <w:rFonts w:ascii="Avenir Next" w:hAnsi="Avenir Next" w:cs="Arial"/>
          <w:color w:val="808080" w:themeColor="background1" w:themeShade="80"/>
          <w:sz w:val="22"/>
          <w:szCs w:val="22"/>
          <w:lang w:val="en-GB"/>
        </w:rPr>
        <w:t>, which phenomenon is referred to as roll-up, which is quite prevalent in the United States</w:t>
      </w:r>
      <w:r w:rsidR="0034607D" w:rsidRPr="00B30325">
        <w:rPr>
          <w:rFonts w:ascii="Avenir Next" w:hAnsi="Avenir Next" w:cs="Arial"/>
          <w:color w:val="808080" w:themeColor="background1" w:themeShade="80"/>
          <w:sz w:val="22"/>
          <w:szCs w:val="22"/>
          <w:lang w:val="en-GB"/>
        </w:rPr>
        <w:t xml:space="preserve">.  In the matter of </w:t>
      </w:r>
      <w:r w:rsidR="00135E75" w:rsidRPr="00B30325">
        <w:rPr>
          <w:rFonts w:ascii="Avenir Next" w:hAnsi="Avenir Next" w:cs="Arial"/>
          <w:color w:val="808080" w:themeColor="background1" w:themeShade="80"/>
          <w:sz w:val="22"/>
          <w:szCs w:val="22"/>
          <w:lang w:val="en-GB"/>
        </w:rPr>
        <w:t>R</w:t>
      </w:r>
      <w:r w:rsidR="00135E75" w:rsidRPr="00B30325">
        <w:rPr>
          <w:rFonts w:ascii="Avenir Next" w:hAnsi="Avenir Next" w:cs="Arial"/>
          <w:color w:val="808080" w:themeColor="background1" w:themeShade="80"/>
          <w:sz w:val="22"/>
          <w:szCs w:val="22"/>
          <w:lang w:val="en-GB"/>
        </w:rPr>
        <w:t>e Design Studio Group Ltd</w:t>
      </w:r>
      <w:r w:rsidR="00135E75" w:rsidRPr="00B30325">
        <w:rPr>
          <w:rFonts w:ascii="Avenir Next" w:hAnsi="Avenir Next" w:cs="Arial"/>
          <w:color w:val="808080" w:themeColor="background1" w:themeShade="80"/>
          <w:sz w:val="22"/>
          <w:szCs w:val="22"/>
          <w:lang w:val="en-GB"/>
        </w:rPr>
        <w:t>.</w:t>
      </w:r>
      <w:r w:rsidR="00B30325">
        <w:rPr>
          <w:rStyle w:val="FootnoteReference"/>
          <w:rFonts w:ascii="Avenir Next" w:hAnsi="Avenir Next" w:cs="Arial"/>
          <w:color w:val="808080" w:themeColor="background1" w:themeShade="80"/>
          <w:sz w:val="22"/>
          <w:szCs w:val="22"/>
          <w:lang w:val="en-GB"/>
        </w:rPr>
        <w:footnoteReference w:id="12"/>
      </w:r>
      <w:r w:rsidR="00135E75" w:rsidRPr="00B30325">
        <w:rPr>
          <w:rFonts w:ascii="Avenir Next" w:hAnsi="Avenir Next" w:cs="Arial"/>
          <w:color w:val="808080" w:themeColor="background1" w:themeShade="80"/>
          <w:sz w:val="22"/>
          <w:szCs w:val="22"/>
          <w:lang w:val="en-GB"/>
        </w:rPr>
        <w:t xml:space="preserve">, </w:t>
      </w:r>
      <w:r w:rsidR="002D7B52" w:rsidRPr="00B30325">
        <w:rPr>
          <w:rFonts w:ascii="Avenir Next" w:hAnsi="Avenir Next" w:cs="Arial"/>
          <w:color w:val="808080" w:themeColor="background1" w:themeShade="80"/>
          <w:sz w:val="22"/>
          <w:szCs w:val="22"/>
          <w:lang w:val="en-GB"/>
        </w:rPr>
        <w:t xml:space="preserve">the </w:t>
      </w:r>
      <w:r w:rsidR="00B30325" w:rsidRPr="00B30325">
        <w:rPr>
          <w:rFonts w:ascii="Avenir Next" w:hAnsi="Avenir Next" w:cs="Arial"/>
          <w:color w:val="808080" w:themeColor="background1" w:themeShade="80"/>
          <w:sz w:val="22"/>
          <w:szCs w:val="22"/>
          <w:lang w:val="en-GB"/>
        </w:rPr>
        <w:t>Singapore</w:t>
      </w:r>
      <w:r w:rsidR="002D7B52" w:rsidRPr="00B30325">
        <w:rPr>
          <w:rFonts w:ascii="Avenir Next" w:hAnsi="Avenir Next" w:cs="Arial"/>
          <w:color w:val="808080" w:themeColor="background1" w:themeShade="80"/>
          <w:sz w:val="22"/>
          <w:szCs w:val="22"/>
          <w:lang w:val="en-GB"/>
        </w:rPr>
        <w:t xml:space="preserve"> Court of Appeal</w:t>
      </w:r>
      <w:r w:rsidR="0069725C" w:rsidRPr="00B30325">
        <w:rPr>
          <w:rFonts w:ascii="Avenir Next" w:hAnsi="Avenir Next" w:cs="Arial"/>
          <w:color w:val="808080" w:themeColor="background1" w:themeShade="80"/>
          <w:sz w:val="22"/>
          <w:szCs w:val="22"/>
          <w:lang w:val="en-GB"/>
        </w:rPr>
        <w:t>, held that Se</w:t>
      </w:r>
      <w:r w:rsidR="0069725C" w:rsidRPr="00B30325">
        <w:rPr>
          <w:rFonts w:ascii="Avenir Next" w:hAnsi="Avenir Next" w:cs="Arial"/>
          <w:color w:val="808080" w:themeColor="background1" w:themeShade="80"/>
          <w:sz w:val="22"/>
          <w:szCs w:val="22"/>
          <w:lang w:val="en-GB"/>
        </w:rPr>
        <w:t xml:space="preserve">ction 67 of the </w:t>
      </w:r>
      <w:r w:rsidR="0069725C" w:rsidRPr="00B30325">
        <w:rPr>
          <w:rFonts w:ascii="Avenir Next" w:hAnsi="Avenir Next" w:cs="Arial"/>
          <w:color w:val="808080" w:themeColor="background1" w:themeShade="80"/>
          <w:sz w:val="22"/>
          <w:szCs w:val="22"/>
          <w:lang w:val="en-GB"/>
        </w:rPr>
        <w:t xml:space="preserve">IRD Act </w:t>
      </w:r>
      <w:r w:rsidR="0069725C" w:rsidRPr="00B30325">
        <w:rPr>
          <w:rFonts w:ascii="Avenir Next" w:hAnsi="Avenir Next" w:cs="Arial"/>
          <w:color w:val="808080" w:themeColor="background1" w:themeShade="80"/>
          <w:sz w:val="22"/>
          <w:szCs w:val="22"/>
          <w:lang w:val="en-GB"/>
        </w:rPr>
        <w:t xml:space="preserve">is "sufficiently broad" to allow for roll-ups. Nonetheless, the court </w:t>
      </w:r>
      <w:r w:rsidR="00B30325" w:rsidRPr="00B30325">
        <w:rPr>
          <w:rFonts w:ascii="Avenir Next" w:hAnsi="Avenir Next" w:cs="Arial"/>
          <w:color w:val="808080" w:themeColor="background1" w:themeShade="80"/>
          <w:sz w:val="22"/>
          <w:szCs w:val="22"/>
          <w:lang w:val="en-GB"/>
        </w:rPr>
        <w:t>emphasized</w:t>
      </w:r>
      <w:r w:rsidR="0069725C" w:rsidRPr="00B30325">
        <w:rPr>
          <w:rFonts w:ascii="Avenir Next" w:hAnsi="Avenir Next" w:cs="Arial"/>
          <w:color w:val="808080" w:themeColor="background1" w:themeShade="80"/>
          <w:sz w:val="22"/>
          <w:szCs w:val="22"/>
          <w:lang w:val="en-GB"/>
        </w:rPr>
        <w:t xml:space="preserve"> that the use of roll-ups is not without limits and the rescue financing must create "new value"</w:t>
      </w:r>
      <w:r w:rsidR="00B30325">
        <w:rPr>
          <w:rStyle w:val="FootnoteReference"/>
          <w:rFonts w:ascii="Avenir Next" w:hAnsi="Avenir Next" w:cs="Arial"/>
          <w:color w:val="808080" w:themeColor="background1" w:themeShade="80"/>
          <w:sz w:val="22"/>
          <w:szCs w:val="22"/>
          <w:lang w:val="en-GB"/>
        </w:rPr>
        <w:footnoteReference w:id="13"/>
      </w:r>
      <w:r w:rsidR="0082219D">
        <w:rPr>
          <w:rFonts w:ascii="Avenir Next" w:hAnsi="Avenir Next" w:cs="Arial"/>
          <w:color w:val="808080" w:themeColor="background1" w:themeShade="80"/>
          <w:sz w:val="22"/>
          <w:szCs w:val="22"/>
          <w:lang w:val="en-GB"/>
        </w:rPr>
        <w:t>.</w:t>
      </w:r>
    </w:p>
    <w:p w14:paraId="29CC04E4" w14:textId="77777777" w:rsidR="00DD3182" w:rsidRPr="0069725C" w:rsidRDefault="00DD3182" w:rsidP="008C35C9">
      <w:pPr>
        <w:jc w:val="both"/>
        <w:rPr>
          <w:rFonts w:ascii="Avenir Next" w:hAnsi="Avenir Next" w:cs="Arial"/>
          <w:color w:val="808080" w:themeColor="background1" w:themeShade="80"/>
          <w:sz w:val="22"/>
          <w:szCs w:val="22"/>
          <w:lang w:val="en-GB"/>
        </w:rPr>
      </w:pPr>
    </w:p>
    <w:p w14:paraId="3AD8ACBC" w14:textId="77777777" w:rsidR="00135E75" w:rsidRDefault="00135E75" w:rsidP="00135E75">
      <w:pPr>
        <w:pStyle w:val="INSOLstyleheading4"/>
        <w:rPr>
          <w:rFonts w:ascii="Avenir Next Demi Bold" w:hAnsi="Avenir Next Demi Bold"/>
          <w:b/>
          <w:bCs/>
          <w:iCs w:val="0"/>
          <w:u w:val="none"/>
        </w:rPr>
      </w:pPr>
    </w:p>
    <w:p w14:paraId="62428D05" w14:textId="740D164B" w:rsidR="000E3F5A" w:rsidRDefault="00E20521" w:rsidP="00900209">
      <w:pPr>
        <w:jc w:val="both"/>
        <w:rPr>
          <w:rFonts w:ascii="Avenir Next" w:hAnsi="Avenir Next" w:cs="Arial"/>
          <w:color w:val="808080" w:themeColor="background1" w:themeShade="80"/>
          <w:sz w:val="22"/>
          <w:szCs w:val="22"/>
          <w:lang w:val="en-GB"/>
        </w:rPr>
      </w:pPr>
      <w:r w:rsidRPr="00900209">
        <w:rPr>
          <w:rFonts w:ascii="Avenir Next" w:hAnsi="Avenir Next" w:cs="Arial"/>
          <w:b/>
          <w:bCs/>
          <w:color w:val="808080" w:themeColor="background1" w:themeShade="80"/>
          <w:sz w:val="22"/>
          <w:szCs w:val="22"/>
          <w:lang w:val="en-GB"/>
        </w:rPr>
        <w:t>Wrongful Trading</w:t>
      </w:r>
      <w:r w:rsidR="00974615">
        <w:rPr>
          <w:rFonts w:ascii="Avenir Next" w:hAnsi="Avenir Next" w:cs="Arial"/>
          <w:color w:val="808080" w:themeColor="background1" w:themeShade="80"/>
          <w:sz w:val="22"/>
          <w:szCs w:val="22"/>
          <w:lang w:val="en-GB"/>
        </w:rPr>
        <w:t>:</w:t>
      </w:r>
      <w:r w:rsidR="00645138">
        <w:rPr>
          <w:rFonts w:ascii="Avenir Next" w:hAnsi="Avenir Next" w:cs="Arial"/>
          <w:color w:val="808080" w:themeColor="background1" w:themeShade="80"/>
          <w:sz w:val="22"/>
          <w:szCs w:val="22"/>
          <w:lang w:val="en-GB"/>
        </w:rPr>
        <w:t xml:space="preserve"> In accordance with Section </w:t>
      </w:r>
      <w:r w:rsidR="00A52EDA">
        <w:rPr>
          <w:rFonts w:ascii="Avenir Next" w:hAnsi="Avenir Next" w:cs="Arial"/>
          <w:color w:val="808080" w:themeColor="background1" w:themeShade="80"/>
          <w:sz w:val="22"/>
          <w:szCs w:val="22"/>
          <w:lang w:val="en-GB"/>
        </w:rPr>
        <w:t>239 of the IRD Act</w:t>
      </w:r>
      <w:r w:rsidR="00900209">
        <w:rPr>
          <w:rFonts w:ascii="Avenir Next" w:hAnsi="Avenir Next" w:cs="Arial"/>
          <w:color w:val="808080" w:themeColor="background1" w:themeShade="80"/>
          <w:sz w:val="22"/>
          <w:szCs w:val="22"/>
          <w:lang w:val="en-GB"/>
        </w:rPr>
        <w:t xml:space="preserve"> whi</w:t>
      </w:r>
      <w:r w:rsidR="0055228B">
        <w:rPr>
          <w:rFonts w:ascii="Avenir Next" w:hAnsi="Avenir Next" w:cs="Arial"/>
          <w:color w:val="808080" w:themeColor="background1" w:themeShade="80"/>
          <w:sz w:val="22"/>
          <w:szCs w:val="22"/>
          <w:lang w:val="en-GB"/>
        </w:rPr>
        <w:t>ch has</w:t>
      </w:r>
      <w:r w:rsidR="00900209">
        <w:rPr>
          <w:rFonts w:ascii="Avenir Next" w:hAnsi="Avenir Next" w:cs="Arial"/>
          <w:color w:val="808080" w:themeColor="background1" w:themeShade="80"/>
          <w:sz w:val="22"/>
          <w:szCs w:val="22"/>
          <w:lang w:val="en-GB"/>
        </w:rPr>
        <w:t xml:space="preserve"> primarily been borrowed </w:t>
      </w:r>
      <w:r w:rsidR="0055228B">
        <w:rPr>
          <w:rFonts w:ascii="Avenir Next" w:hAnsi="Avenir Next" w:cs="Arial"/>
          <w:color w:val="808080" w:themeColor="background1" w:themeShade="80"/>
          <w:sz w:val="22"/>
          <w:szCs w:val="22"/>
          <w:lang w:val="en-GB"/>
        </w:rPr>
        <w:t xml:space="preserve">from </w:t>
      </w:r>
      <w:r w:rsidR="00900209">
        <w:rPr>
          <w:rFonts w:ascii="Avenir Next" w:hAnsi="Avenir Next" w:cs="Arial"/>
          <w:color w:val="808080" w:themeColor="background1" w:themeShade="80"/>
          <w:sz w:val="22"/>
          <w:szCs w:val="22"/>
          <w:lang w:val="en-GB"/>
        </w:rPr>
        <w:t>the insolvency act of the United Kingdom</w:t>
      </w:r>
      <w:r w:rsidR="00A52EDA">
        <w:rPr>
          <w:rFonts w:ascii="Avenir Next" w:hAnsi="Avenir Next" w:cs="Arial"/>
          <w:color w:val="808080" w:themeColor="background1" w:themeShade="80"/>
          <w:sz w:val="22"/>
          <w:szCs w:val="22"/>
          <w:lang w:val="en-GB"/>
        </w:rPr>
        <w:t xml:space="preserve">, a company is said to have traded </w:t>
      </w:r>
      <w:r w:rsidR="000E3F5A">
        <w:rPr>
          <w:rFonts w:ascii="Avenir Next" w:hAnsi="Avenir Next" w:cs="Arial"/>
          <w:color w:val="808080" w:themeColor="background1" w:themeShade="80"/>
          <w:sz w:val="22"/>
          <w:szCs w:val="22"/>
          <w:lang w:val="en-GB"/>
        </w:rPr>
        <w:t>wrongfully</w:t>
      </w:r>
      <w:r w:rsidR="000E3F5A">
        <w:rPr>
          <w:rStyle w:val="FootnoteReference"/>
          <w:rFonts w:ascii="Avenir Next" w:hAnsi="Avenir Next" w:cs="Arial"/>
          <w:color w:val="808080" w:themeColor="background1" w:themeShade="80"/>
          <w:sz w:val="22"/>
          <w:szCs w:val="22"/>
          <w:lang w:val="en-GB"/>
        </w:rPr>
        <w:footnoteReference w:id="14"/>
      </w:r>
      <w:r w:rsidR="000E3F5A">
        <w:rPr>
          <w:rFonts w:ascii="Avenir Next" w:hAnsi="Avenir Next" w:cs="Arial"/>
          <w:color w:val="808080" w:themeColor="background1" w:themeShade="80"/>
          <w:sz w:val="22"/>
          <w:szCs w:val="22"/>
          <w:lang w:val="en-GB"/>
        </w:rPr>
        <w:t xml:space="preserve">, if: </w:t>
      </w:r>
    </w:p>
    <w:p w14:paraId="3B53B58F" w14:textId="77777777" w:rsidR="0055228B" w:rsidRDefault="0055228B" w:rsidP="00900209">
      <w:pPr>
        <w:jc w:val="both"/>
        <w:rPr>
          <w:rFonts w:ascii="Avenir Next" w:hAnsi="Avenir Next" w:cs="Arial"/>
          <w:color w:val="808080" w:themeColor="background1" w:themeShade="80"/>
          <w:sz w:val="22"/>
          <w:szCs w:val="22"/>
          <w:lang w:val="en-GB"/>
        </w:rPr>
      </w:pPr>
    </w:p>
    <w:p w14:paraId="0EAE40C7" w14:textId="68F4D368" w:rsidR="00407A44" w:rsidRPr="00407A44" w:rsidRDefault="008877F6" w:rsidP="00900209">
      <w:pPr>
        <w:pStyle w:val="ListParagraph"/>
        <w:numPr>
          <w:ilvl w:val="0"/>
          <w:numId w:val="23"/>
        </w:numPr>
        <w:jc w:val="both"/>
        <w:rPr>
          <w:rFonts w:ascii="Avenir Next" w:hAnsi="Avenir Next" w:cs="Arial"/>
          <w:color w:val="808080" w:themeColor="background1" w:themeShade="80"/>
          <w:sz w:val="22"/>
          <w:szCs w:val="22"/>
          <w:lang w:val="en-GB"/>
        </w:rPr>
      </w:pPr>
      <w:r w:rsidRPr="00746D3E">
        <w:rPr>
          <w:rFonts w:ascii="Avenir Next" w:hAnsi="Avenir Next" w:cs="Arial"/>
          <w:color w:val="808080" w:themeColor="background1" w:themeShade="80"/>
          <w:sz w:val="22"/>
          <w:szCs w:val="22"/>
          <w:lang w:val="en-GB"/>
        </w:rPr>
        <w:t xml:space="preserve">The company, when </w:t>
      </w:r>
      <w:r w:rsidR="00746D3E" w:rsidRPr="00746D3E">
        <w:rPr>
          <w:rFonts w:ascii="Avenir Next" w:hAnsi="Avenir Next" w:cs="Arial"/>
          <w:color w:val="808080" w:themeColor="background1" w:themeShade="80"/>
          <w:sz w:val="22"/>
          <w:szCs w:val="22"/>
          <w:lang w:val="en-GB"/>
        </w:rPr>
        <w:t>insolvent</w:t>
      </w:r>
      <w:r w:rsidRPr="00746D3E">
        <w:rPr>
          <w:rFonts w:ascii="Avenir Next" w:hAnsi="Avenir Next" w:cs="Arial"/>
          <w:color w:val="808080" w:themeColor="background1" w:themeShade="80"/>
          <w:sz w:val="22"/>
          <w:szCs w:val="22"/>
          <w:lang w:val="en-GB"/>
        </w:rPr>
        <w:t>, incurs debts or other liabilities</w:t>
      </w:r>
      <w:r w:rsidR="00407A44" w:rsidRPr="00746D3E">
        <w:rPr>
          <w:rFonts w:ascii="Avenir Next" w:hAnsi="Avenir Next" w:cs="Arial"/>
          <w:color w:val="808080" w:themeColor="background1" w:themeShade="80"/>
          <w:sz w:val="22"/>
          <w:szCs w:val="22"/>
          <w:lang w:val="en-GB"/>
        </w:rPr>
        <w:t>, without any reasonable prospects of meeting them in full, or;</w:t>
      </w:r>
    </w:p>
    <w:p w14:paraId="7C5B1B81" w14:textId="77777777" w:rsidR="00BE3D5F" w:rsidRDefault="00BC2A81" w:rsidP="00900209">
      <w:pPr>
        <w:pStyle w:val="ListParagraph"/>
        <w:numPr>
          <w:ilvl w:val="0"/>
          <w:numId w:val="23"/>
        </w:numPr>
        <w:jc w:val="both"/>
        <w:rPr>
          <w:rFonts w:ascii="Avenir Next" w:hAnsi="Avenir Next" w:cs="Arial"/>
          <w:color w:val="808080" w:themeColor="background1" w:themeShade="80"/>
          <w:sz w:val="22"/>
          <w:szCs w:val="22"/>
          <w:lang w:val="en-GB"/>
        </w:rPr>
      </w:pPr>
      <w:r w:rsidRPr="00746D3E">
        <w:rPr>
          <w:rFonts w:ascii="Avenir Next" w:hAnsi="Avenir Next" w:cs="Arial"/>
          <w:color w:val="808080" w:themeColor="background1" w:themeShade="80"/>
          <w:sz w:val="22"/>
          <w:szCs w:val="22"/>
          <w:lang w:val="en-GB"/>
        </w:rPr>
        <w:t xml:space="preserve">The company </w:t>
      </w:r>
      <w:r w:rsidRPr="00746D3E">
        <w:rPr>
          <w:rFonts w:ascii="Avenir Next" w:hAnsi="Avenir Next" w:cs="Arial"/>
          <w:color w:val="808080" w:themeColor="background1" w:themeShade="80"/>
          <w:sz w:val="22"/>
          <w:szCs w:val="22"/>
          <w:lang w:val="en-GB"/>
        </w:rPr>
        <w:t>incurs debts or other liabilities</w:t>
      </w:r>
      <w:r w:rsidRPr="00746D3E">
        <w:rPr>
          <w:rFonts w:ascii="Avenir Next" w:hAnsi="Avenir Next" w:cs="Arial"/>
          <w:color w:val="808080" w:themeColor="background1" w:themeShade="80"/>
          <w:sz w:val="22"/>
          <w:szCs w:val="22"/>
          <w:lang w:val="en-GB"/>
        </w:rPr>
        <w:t xml:space="preserve"> </w:t>
      </w:r>
      <w:r w:rsidRPr="00746D3E">
        <w:rPr>
          <w:rFonts w:ascii="Avenir Next" w:hAnsi="Avenir Next" w:cs="Arial"/>
          <w:color w:val="808080" w:themeColor="background1" w:themeShade="80"/>
          <w:sz w:val="22"/>
          <w:szCs w:val="22"/>
          <w:lang w:val="en-GB"/>
        </w:rPr>
        <w:t>that it has no reasonable prospect of meeting in full; and</w:t>
      </w:r>
      <w:r w:rsidR="00746D3E" w:rsidRPr="00746D3E">
        <w:rPr>
          <w:rFonts w:ascii="Avenir Next" w:hAnsi="Avenir Next" w:cs="Arial"/>
          <w:color w:val="808080" w:themeColor="background1" w:themeShade="80"/>
          <w:sz w:val="22"/>
          <w:szCs w:val="22"/>
          <w:lang w:val="en-GB"/>
        </w:rPr>
        <w:t xml:space="preserve"> </w:t>
      </w:r>
      <w:r w:rsidR="00DF423C">
        <w:rPr>
          <w:rFonts w:ascii="Avenir Next" w:hAnsi="Avenir Next" w:cs="Arial"/>
          <w:color w:val="808080" w:themeColor="background1" w:themeShade="80"/>
          <w:sz w:val="22"/>
          <w:szCs w:val="22"/>
          <w:lang w:val="en-GB"/>
        </w:rPr>
        <w:t>t</w:t>
      </w:r>
      <w:r w:rsidR="00746D3E" w:rsidRPr="00746D3E">
        <w:rPr>
          <w:rFonts w:ascii="Avenir Next" w:hAnsi="Avenir Next" w:cs="Arial"/>
          <w:color w:val="808080" w:themeColor="background1" w:themeShade="80"/>
          <w:sz w:val="22"/>
          <w:szCs w:val="22"/>
          <w:lang w:val="en-GB"/>
        </w:rPr>
        <w:t>hat result</w:t>
      </w:r>
      <w:r w:rsidR="00DF423C">
        <w:rPr>
          <w:rFonts w:ascii="Avenir Next" w:hAnsi="Avenir Next" w:cs="Arial"/>
          <w:color w:val="808080" w:themeColor="background1" w:themeShade="80"/>
          <w:sz w:val="22"/>
          <w:szCs w:val="22"/>
          <w:lang w:val="en-GB"/>
        </w:rPr>
        <w:t>ed</w:t>
      </w:r>
      <w:r w:rsidR="00746D3E" w:rsidRPr="00746D3E">
        <w:rPr>
          <w:rFonts w:ascii="Avenir Next" w:hAnsi="Avenir Next" w:cs="Arial"/>
          <w:color w:val="808080" w:themeColor="background1" w:themeShade="80"/>
          <w:sz w:val="22"/>
          <w:szCs w:val="22"/>
          <w:lang w:val="en-GB"/>
        </w:rPr>
        <w:t xml:space="preserve"> in the company becoming insolvent.</w:t>
      </w:r>
    </w:p>
    <w:p w14:paraId="136B0D4F" w14:textId="77777777" w:rsidR="00900209" w:rsidRDefault="00900209" w:rsidP="00900209">
      <w:pPr>
        <w:jc w:val="both"/>
        <w:rPr>
          <w:rFonts w:ascii="Avenir Next" w:hAnsi="Avenir Next" w:cs="Arial"/>
          <w:color w:val="808080" w:themeColor="background1" w:themeShade="80"/>
          <w:sz w:val="22"/>
          <w:szCs w:val="22"/>
          <w:lang w:val="en-GB"/>
        </w:rPr>
      </w:pPr>
    </w:p>
    <w:p w14:paraId="02BBBBF1" w14:textId="74A77811" w:rsidR="00816515" w:rsidRDefault="00BE3D5F" w:rsidP="00900209">
      <w:pPr>
        <w:jc w:val="both"/>
        <w:rPr>
          <w:rFonts w:ascii="Avenir Next" w:hAnsi="Avenir Next" w:cs="Arial"/>
          <w:color w:val="808080" w:themeColor="background1" w:themeShade="80"/>
          <w:sz w:val="22"/>
          <w:szCs w:val="22"/>
          <w:lang w:val="en-GB"/>
        </w:rPr>
      </w:pPr>
      <w:r w:rsidRPr="00BE3D5F">
        <w:rPr>
          <w:rFonts w:ascii="Avenir Next" w:hAnsi="Avenir Next" w:cs="Arial"/>
          <w:color w:val="808080" w:themeColor="background1" w:themeShade="80"/>
          <w:sz w:val="22"/>
          <w:szCs w:val="22"/>
          <w:lang w:val="en-GB"/>
        </w:rPr>
        <w:t>In the course of ju</w:t>
      </w:r>
      <w:r w:rsidRPr="00BE3D5F">
        <w:rPr>
          <w:rFonts w:ascii="Avenir Next" w:hAnsi="Avenir Next" w:cs="Arial"/>
          <w:color w:val="808080" w:themeColor="background1" w:themeShade="80"/>
          <w:sz w:val="22"/>
          <w:szCs w:val="22"/>
          <w:lang w:val="en-GB"/>
        </w:rPr>
        <w:t>dicial management or winding up of a company or in any proceedings against a company,</w:t>
      </w:r>
      <w:r w:rsidR="00103433">
        <w:rPr>
          <w:rFonts w:ascii="Avenir Next" w:hAnsi="Avenir Next" w:cs="Arial"/>
          <w:color w:val="808080" w:themeColor="background1" w:themeShade="80"/>
          <w:sz w:val="22"/>
          <w:szCs w:val="22"/>
          <w:lang w:val="en-GB"/>
        </w:rPr>
        <w:t xml:space="preserve"> if it appears that the company has wrongfully traded</w:t>
      </w:r>
      <w:r w:rsidR="00FA03AE">
        <w:rPr>
          <w:rStyle w:val="FootnoteReference"/>
          <w:rFonts w:ascii="Avenir Next" w:hAnsi="Avenir Next" w:cs="Arial"/>
          <w:color w:val="808080" w:themeColor="background1" w:themeShade="80"/>
          <w:sz w:val="22"/>
          <w:szCs w:val="22"/>
          <w:lang w:val="en-GB"/>
        </w:rPr>
        <w:footnoteReference w:id="15"/>
      </w:r>
      <w:r w:rsidR="00103433">
        <w:rPr>
          <w:rFonts w:ascii="Avenir Next" w:hAnsi="Avenir Next" w:cs="Arial"/>
          <w:color w:val="808080" w:themeColor="background1" w:themeShade="80"/>
          <w:sz w:val="22"/>
          <w:szCs w:val="22"/>
          <w:lang w:val="en-GB"/>
        </w:rPr>
        <w:t>, then either the</w:t>
      </w:r>
      <w:r w:rsidR="00B51C16" w:rsidRPr="00FA03AE">
        <w:rPr>
          <w:rFonts w:ascii="Avenir Next" w:hAnsi="Avenir Next" w:cs="Arial"/>
          <w:color w:val="808080" w:themeColor="background1" w:themeShade="80"/>
          <w:sz w:val="22"/>
          <w:szCs w:val="22"/>
          <w:lang w:val="en-GB"/>
        </w:rPr>
        <w:t xml:space="preserve"> judicial manager of the company</w:t>
      </w:r>
      <w:r w:rsidR="00B51C16" w:rsidRPr="00FA03AE">
        <w:rPr>
          <w:rFonts w:ascii="Avenir Next" w:hAnsi="Avenir Next" w:cs="Arial"/>
          <w:color w:val="808080" w:themeColor="background1" w:themeShade="80"/>
          <w:sz w:val="22"/>
          <w:szCs w:val="22"/>
          <w:lang w:val="en-GB"/>
        </w:rPr>
        <w:t>, the liquidator, the official receiver, any creditor</w:t>
      </w:r>
      <w:r w:rsidR="00FA03AE" w:rsidRPr="00FA03AE">
        <w:rPr>
          <w:rFonts w:ascii="Avenir Next" w:hAnsi="Avenir Next" w:cs="Arial"/>
          <w:color w:val="808080" w:themeColor="background1" w:themeShade="80"/>
          <w:sz w:val="22"/>
          <w:szCs w:val="22"/>
          <w:lang w:val="en-GB"/>
        </w:rPr>
        <w:t xml:space="preserve"> (with leave)</w:t>
      </w:r>
      <w:r w:rsidR="002233CA">
        <w:rPr>
          <w:rStyle w:val="FootnoteReference"/>
          <w:rFonts w:ascii="Avenir Next" w:hAnsi="Avenir Next" w:cs="Arial"/>
          <w:color w:val="808080" w:themeColor="background1" w:themeShade="80"/>
          <w:sz w:val="22"/>
          <w:szCs w:val="22"/>
          <w:lang w:val="en-GB"/>
        </w:rPr>
        <w:footnoteReference w:id="16"/>
      </w:r>
      <w:r w:rsidR="000E31D6">
        <w:rPr>
          <w:rFonts w:ascii="Avenir Next" w:hAnsi="Avenir Next" w:cs="Arial"/>
          <w:color w:val="808080" w:themeColor="background1" w:themeShade="80"/>
          <w:sz w:val="22"/>
          <w:szCs w:val="22"/>
          <w:lang w:val="en-GB"/>
        </w:rPr>
        <w:t xml:space="preserve">, </w:t>
      </w:r>
      <w:r w:rsidR="0055228B">
        <w:rPr>
          <w:rFonts w:ascii="Avenir Next" w:hAnsi="Avenir Next" w:cs="Arial"/>
          <w:color w:val="808080" w:themeColor="background1" w:themeShade="80"/>
          <w:sz w:val="22"/>
          <w:szCs w:val="22"/>
          <w:lang w:val="en-GB"/>
        </w:rPr>
        <w:t xml:space="preserve">can file an application </w:t>
      </w:r>
      <w:r w:rsidR="000E31D6">
        <w:rPr>
          <w:rFonts w:ascii="Avenir Next" w:hAnsi="Avenir Next" w:cs="Arial"/>
          <w:color w:val="808080" w:themeColor="background1" w:themeShade="80"/>
          <w:sz w:val="22"/>
          <w:szCs w:val="22"/>
          <w:lang w:val="en-GB"/>
        </w:rPr>
        <w:t xml:space="preserve">to declare that any person who has </w:t>
      </w:r>
      <w:r w:rsidR="00466666">
        <w:rPr>
          <w:rFonts w:ascii="Avenir Next" w:hAnsi="Avenir Next" w:cs="Arial"/>
          <w:color w:val="808080" w:themeColor="background1" w:themeShade="80"/>
          <w:sz w:val="22"/>
          <w:szCs w:val="22"/>
          <w:lang w:val="en-GB"/>
        </w:rPr>
        <w:t xml:space="preserve">a party to such a wrongful trade or in any manner responsible for it, shall without limitation, be liable for all </w:t>
      </w:r>
      <w:r w:rsidR="00816515" w:rsidRPr="00816515">
        <w:rPr>
          <w:rFonts w:ascii="Avenir Next" w:hAnsi="Avenir Next" w:cs="Arial"/>
          <w:color w:val="808080" w:themeColor="background1" w:themeShade="80"/>
          <w:sz w:val="22"/>
          <w:szCs w:val="22"/>
          <w:lang w:val="en-GB"/>
        </w:rPr>
        <w:t>or any of the debts or other liabilities of the company as the Court directs</w:t>
      </w:r>
      <w:r w:rsidR="00816515">
        <w:rPr>
          <w:rStyle w:val="FootnoteReference"/>
          <w:rFonts w:ascii="Avenir Next" w:hAnsi="Avenir Next" w:cs="Arial"/>
          <w:color w:val="808080" w:themeColor="background1" w:themeShade="80"/>
          <w:sz w:val="22"/>
          <w:szCs w:val="22"/>
          <w:lang w:val="en-GB"/>
        </w:rPr>
        <w:footnoteReference w:id="17"/>
      </w:r>
      <w:r w:rsidR="00816515" w:rsidRPr="00816515">
        <w:rPr>
          <w:rFonts w:ascii="Avenir Next" w:hAnsi="Avenir Next" w:cs="Arial"/>
          <w:color w:val="808080" w:themeColor="background1" w:themeShade="80"/>
          <w:sz w:val="22"/>
          <w:szCs w:val="22"/>
          <w:lang w:val="en-GB"/>
        </w:rPr>
        <w:t>,</w:t>
      </w:r>
      <w:r w:rsidR="00816515">
        <w:rPr>
          <w:rFonts w:ascii="Avenir Next" w:hAnsi="Avenir Next" w:cs="Arial"/>
          <w:color w:val="808080" w:themeColor="background1" w:themeShade="80"/>
          <w:sz w:val="22"/>
          <w:szCs w:val="22"/>
          <w:lang w:val="en-GB"/>
        </w:rPr>
        <w:t xml:space="preserve"> if the said person:</w:t>
      </w:r>
    </w:p>
    <w:p w14:paraId="7FDE0328" w14:textId="77777777" w:rsidR="0055228B" w:rsidRDefault="0055228B" w:rsidP="00900209">
      <w:pPr>
        <w:jc w:val="both"/>
        <w:rPr>
          <w:rFonts w:ascii="Avenir Next" w:hAnsi="Avenir Next" w:cs="Arial"/>
          <w:color w:val="808080" w:themeColor="background1" w:themeShade="80"/>
          <w:sz w:val="22"/>
          <w:szCs w:val="22"/>
          <w:lang w:val="en-GB"/>
        </w:rPr>
      </w:pPr>
    </w:p>
    <w:p w14:paraId="28903A9A" w14:textId="767FC9E3" w:rsidR="00816515" w:rsidRDefault="00E631B6" w:rsidP="00900209">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Knew that the company was trading wrongfully</w:t>
      </w:r>
      <w:r w:rsidR="00B12162">
        <w:rPr>
          <w:rStyle w:val="FootnoteReference"/>
          <w:rFonts w:ascii="Avenir Next" w:hAnsi="Avenir Next" w:cs="Arial"/>
          <w:color w:val="808080" w:themeColor="background1" w:themeShade="80"/>
          <w:sz w:val="22"/>
          <w:szCs w:val="22"/>
          <w:lang w:val="en-GB"/>
        </w:rPr>
        <w:footnoteReference w:id="18"/>
      </w:r>
      <w:r>
        <w:rPr>
          <w:rFonts w:ascii="Avenir Next" w:hAnsi="Avenir Next" w:cs="Arial"/>
          <w:color w:val="808080" w:themeColor="background1" w:themeShade="80"/>
          <w:sz w:val="22"/>
          <w:szCs w:val="22"/>
          <w:lang w:val="en-GB"/>
        </w:rPr>
        <w:t>; or</w:t>
      </w:r>
    </w:p>
    <w:p w14:paraId="2952D1BD" w14:textId="4AED6F55" w:rsidR="00E631B6" w:rsidRDefault="00E631B6" w:rsidP="00900209">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an officer of the company, ought to have known that the company was trading wrongfully</w:t>
      </w:r>
      <w:r w:rsidR="00B12162">
        <w:rPr>
          <w:rStyle w:val="FootnoteReference"/>
          <w:rFonts w:ascii="Avenir Next" w:hAnsi="Avenir Next" w:cs="Arial"/>
          <w:color w:val="808080" w:themeColor="background1" w:themeShade="80"/>
          <w:sz w:val="22"/>
          <w:szCs w:val="22"/>
          <w:lang w:val="en-GB"/>
        </w:rPr>
        <w:footnoteReference w:id="19"/>
      </w:r>
      <w:r>
        <w:rPr>
          <w:rFonts w:ascii="Avenir Next" w:hAnsi="Avenir Next" w:cs="Arial"/>
          <w:color w:val="808080" w:themeColor="background1" w:themeShade="80"/>
          <w:sz w:val="22"/>
          <w:szCs w:val="22"/>
          <w:lang w:val="en-GB"/>
        </w:rPr>
        <w:t xml:space="preserve">. </w:t>
      </w:r>
    </w:p>
    <w:p w14:paraId="11C3EB29" w14:textId="77777777" w:rsidR="00900209" w:rsidRDefault="00900209" w:rsidP="00900209">
      <w:pPr>
        <w:jc w:val="both"/>
        <w:rPr>
          <w:rFonts w:ascii="Avenir Next" w:hAnsi="Avenir Next" w:cs="Arial"/>
          <w:color w:val="808080" w:themeColor="background1" w:themeShade="80"/>
          <w:sz w:val="22"/>
          <w:szCs w:val="22"/>
          <w:lang w:val="en-GB"/>
        </w:rPr>
      </w:pPr>
    </w:p>
    <w:p w14:paraId="39E77A3C" w14:textId="0CEA40C8" w:rsidR="00B12162" w:rsidRPr="00B12162" w:rsidRDefault="00B12162" w:rsidP="009002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person accused as such</w:t>
      </w:r>
      <w:r w:rsidR="0074746E">
        <w:rPr>
          <w:rFonts w:ascii="Avenir Next" w:hAnsi="Avenir Next" w:cs="Arial"/>
          <w:color w:val="808080" w:themeColor="background1" w:themeShade="80"/>
          <w:sz w:val="22"/>
          <w:szCs w:val="22"/>
          <w:lang w:val="en-GB"/>
        </w:rPr>
        <w:t>, as a defence demonstrate that the person acted honestly and tha</w:t>
      </w:r>
      <w:r w:rsidR="006512A6">
        <w:rPr>
          <w:rFonts w:ascii="Avenir Next" w:hAnsi="Avenir Next" w:cs="Arial"/>
          <w:color w:val="808080" w:themeColor="background1" w:themeShade="80"/>
          <w:sz w:val="22"/>
          <w:szCs w:val="22"/>
          <w:lang w:val="en-GB"/>
        </w:rPr>
        <w:t xml:space="preserve">t </w:t>
      </w:r>
      <w:r w:rsidR="00847597">
        <w:rPr>
          <w:rFonts w:ascii="Avenir Next" w:hAnsi="Avenir Next" w:cs="Arial"/>
          <w:color w:val="808080" w:themeColor="background1" w:themeShade="80"/>
          <w:sz w:val="22"/>
          <w:szCs w:val="22"/>
          <w:lang w:val="en-GB"/>
        </w:rPr>
        <w:t xml:space="preserve">given the circumstances, he/she, ought to be relieved from the personal liability </w:t>
      </w:r>
      <w:r w:rsidR="00DC56AA">
        <w:rPr>
          <w:rFonts w:ascii="Avenir Next" w:hAnsi="Avenir Next" w:cs="Arial"/>
          <w:color w:val="808080" w:themeColor="background1" w:themeShade="80"/>
          <w:sz w:val="22"/>
          <w:szCs w:val="22"/>
          <w:lang w:val="en-GB"/>
        </w:rPr>
        <w:t>under this section</w:t>
      </w:r>
      <w:r w:rsidR="00940DA2">
        <w:rPr>
          <w:rStyle w:val="FootnoteReference"/>
          <w:rFonts w:ascii="Avenir Next" w:hAnsi="Avenir Next" w:cs="Arial"/>
          <w:color w:val="808080" w:themeColor="background1" w:themeShade="80"/>
          <w:sz w:val="22"/>
          <w:szCs w:val="22"/>
          <w:lang w:val="en-GB"/>
        </w:rPr>
        <w:footnoteReference w:id="20"/>
      </w:r>
      <w:r w:rsidR="00DC56AA">
        <w:rPr>
          <w:rFonts w:ascii="Avenir Next" w:hAnsi="Avenir Next" w:cs="Arial"/>
          <w:color w:val="808080" w:themeColor="background1" w:themeShade="80"/>
          <w:sz w:val="22"/>
          <w:szCs w:val="22"/>
          <w:lang w:val="en-GB"/>
        </w:rPr>
        <w:t xml:space="preserve">. </w:t>
      </w:r>
    </w:p>
    <w:p w14:paraId="1073B952" w14:textId="251122B3" w:rsidR="00135E75" w:rsidRPr="00BE3D5F" w:rsidRDefault="00E20521" w:rsidP="00900209">
      <w:pPr>
        <w:jc w:val="both"/>
        <w:rPr>
          <w:rFonts w:ascii="Avenir Next" w:hAnsi="Avenir Next" w:cs="Arial"/>
          <w:color w:val="808080" w:themeColor="background1" w:themeShade="80"/>
          <w:sz w:val="22"/>
          <w:szCs w:val="22"/>
          <w:lang w:val="en-GB"/>
        </w:rPr>
      </w:pPr>
      <w:r w:rsidRPr="00BE3D5F">
        <w:rPr>
          <w:rFonts w:ascii="Avenir Next Demi Bold" w:hAnsi="Avenir Next Demi Bold"/>
          <w:b/>
          <w:bCs/>
          <w:iCs/>
        </w:rPr>
        <w:br/>
      </w:r>
      <w:r w:rsidR="00A27E79">
        <w:rPr>
          <w:rFonts w:ascii="Avenir Next" w:hAnsi="Avenir Next" w:cs="Arial"/>
          <w:color w:val="808080" w:themeColor="background1" w:themeShade="80"/>
          <w:sz w:val="22"/>
          <w:szCs w:val="22"/>
          <w:lang w:val="en-GB"/>
        </w:rPr>
        <w:t>The provisions regarding wrongful trading are notwithstanding, any criminal liability that the person may face under any laws for the time being in force</w:t>
      </w:r>
      <w:r w:rsidR="00A27E79">
        <w:rPr>
          <w:rStyle w:val="FootnoteReference"/>
          <w:rFonts w:ascii="Avenir Next" w:hAnsi="Avenir Next" w:cs="Arial"/>
          <w:color w:val="808080" w:themeColor="background1" w:themeShade="80"/>
          <w:sz w:val="22"/>
          <w:szCs w:val="22"/>
          <w:lang w:val="en-GB"/>
        </w:rPr>
        <w:footnoteReference w:id="21"/>
      </w:r>
      <w:r w:rsidR="00A27E79">
        <w:rPr>
          <w:rFonts w:ascii="Avenir Next" w:hAnsi="Avenir Next" w:cs="Arial"/>
          <w:color w:val="808080" w:themeColor="background1" w:themeShade="80"/>
          <w:sz w:val="22"/>
          <w:szCs w:val="22"/>
          <w:lang w:val="en-GB"/>
        </w:rPr>
        <w:t>.</w:t>
      </w:r>
      <w:r w:rsidR="00FA08B2">
        <w:rPr>
          <w:rFonts w:ascii="Avenir Next" w:hAnsi="Avenir Next" w:cs="Arial"/>
          <w:color w:val="808080" w:themeColor="background1" w:themeShade="80"/>
          <w:sz w:val="22"/>
          <w:szCs w:val="22"/>
          <w:lang w:val="en-GB"/>
        </w:rPr>
        <w:t xml:space="preserve"> Further, any court giving a declaration under this section can </w:t>
      </w:r>
      <w:r w:rsidR="00765666">
        <w:rPr>
          <w:rFonts w:ascii="Avenir Next" w:hAnsi="Avenir Next" w:cs="Arial"/>
          <w:color w:val="808080" w:themeColor="background1" w:themeShade="80"/>
          <w:sz w:val="22"/>
          <w:szCs w:val="22"/>
          <w:lang w:val="en-GB"/>
        </w:rPr>
        <w:t xml:space="preserve">give further orders to give </w:t>
      </w:r>
      <w:r w:rsidR="00900209">
        <w:rPr>
          <w:rFonts w:ascii="Avenir Next" w:hAnsi="Avenir Next" w:cs="Arial"/>
          <w:color w:val="808080" w:themeColor="background1" w:themeShade="80"/>
          <w:sz w:val="22"/>
          <w:szCs w:val="22"/>
          <w:lang w:val="en-GB"/>
        </w:rPr>
        <w:t>effect</w:t>
      </w:r>
      <w:r w:rsidR="00765666">
        <w:rPr>
          <w:rFonts w:ascii="Avenir Next" w:hAnsi="Avenir Next" w:cs="Arial"/>
          <w:color w:val="808080" w:themeColor="background1" w:themeShade="80"/>
          <w:sz w:val="22"/>
          <w:szCs w:val="22"/>
          <w:lang w:val="en-GB"/>
        </w:rPr>
        <w:t xml:space="preserve"> to the same</w:t>
      </w:r>
      <w:r w:rsidR="00157C8D">
        <w:rPr>
          <w:rStyle w:val="FootnoteReference"/>
          <w:rFonts w:ascii="Avenir Next" w:hAnsi="Avenir Next" w:cs="Arial"/>
          <w:color w:val="808080" w:themeColor="background1" w:themeShade="80"/>
          <w:sz w:val="22"/>
          <w:szCs w:val="22"/>
          <w:lang w:val="en-GB"/>
        </w:rPr>
        <w:footnoteReference w:id="22"/>
      </w:r>
      <w:r w:rsidR="00900209">
        <w:rPr>
          <w:rFonts w:ascii="Avenir Next" w:hAnsi="Avenir Next" w:cs="Arial"/>
          <w:color w:val="808080" w:themeColor="background1" w:themeShade="80"/>
          <w:sz w:val="22"/>
          <w:szCs w:val="22"/>
          <w:lang w:val="en-GB"/>
        </w:rPr>
        <w:t>.</w:t>
      </w:r>
    </w:p>
    <w:p w14:paraId="393EC440" w14:textId="77777777" w:rsidR="00E20521" w:rsidRDefault="00E20521" w:rsidP="00E20521">
      <w:pPr>
        <w:rPr>
          <w:lang w:val="en-GB"/>
        </w:rPr>
      </w:pPr>
    </w:p>
    <w:p w14:paraId="4C860EB1" w14:textId="77777777" w:rsidR="00E20521" w:rsidRPr="00E20521" w:rsidRDefault="00E20521" w:rsidP="00E20521">
      <w:pPr>
        <w:rPr>
          <w:lang w:val="en-GB"/>
        </w:rPr>
      </w:pPr>
    </w:p>
    <w:p w14:paraId="3ACD9503" w14:textId="25678C07" w:rsidR="00F47A63" w:rsidRDefault="00F47A63" w:rsidP="00135E75">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06D1E4D6" w14:textId="77777777" w:rsidR="00135E75" w:rsidRDefault="00135E75" w:rsidP="00135E75">
      <w:pPr>
        <w:rPr>
          <w:lang w:val="en-GB"/>
        </w:rPr>
      </w:pPr>
    </w:p>
    <w:p w14:paraId="0BE1E914" w14:textId="77777777" w:rsidR="00135E75" w:rsidRPr="00135E75" w:rsidRDefault="00135E75" w:rsidP="00135E75">
      <w:pPr>
        <w:rPr>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lastRenderedPageBreak/>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4968C5CA" w14:textId="77777777" w:rsidR="007D5B66" w:rsidRDefault="007D5B66" w:rsidP="001163B2">
      <w:pPr>
        <w:jc w:val="both"/>
        <w:rPr>
          <w:rFonts w:ascii="Avenir Next" w:hAnsi="Avenir Next" w:cs="Arial"/>
          <w:color w:val="808080" w:themeColor="background1" w:themeShade="80"/>
          <w:sz w:val="22"/>
          <w:szCs w:val="22"/>
          <w:lang w:val="en-GB"/>
        </w:rPr>
      </w:pPr>
    </w:p>
    <w:tbl>
      <w:tblPr>
        <w:tblStyle w:val="TableGrid"/>
        <w:tblW w:w="0" w:type="auto"/>
        <w:tblLook w:val="04A0" w:firstRow="1" w:lastRow="0" w:firstColumn="1" w:lastColumn="0" w:noHBand="0" w:noVBand="1"/>
      </w:tblPr>
      <w:tblGrid>
        <w:gridCol w:w="538"/>
        <w:gridCol w:w="2664"/>
        <w:gridCol w:w="3214"/>
        <w:gridCol w:w="2600"/>
      </w:tblGrid>
      <w:tr w:rsidR="00906C5D" w14:paraId="55D9EEE5" w14:textId="77777777" w:rsidTr="00566676">
        <w:tc>
          <w:tcPr>
            <w:tcW w:w="421" w:type="dxa"/>
          </w:tcPr>
          <w:p w14:paraId="47516FAF" w14:textId="0D4C4F72" w:rsidR="00566676" w:rsidRPr="00AC3B2F" w:rsidRDefault="00566676" w:rsidP="001A18E7">
            <w:pPr>
              <w:jc w:val="both"/>
              <w:rPr>
                <w:rFonts w:ascii="Avenir Next" w:hAnsi="Avenir Next" w:cs="Arial"/>
                <w:b/>
                <w:bCs/>
                <w:color w:val="808080" w:themeColor="background1" w:themeShade="80"/>
                <w:sz w:val="22"/>
                <w:szCs w:val="22"/>
                <w:lang w:val="en-GB"/>
              </w:rPr>
            </w:pPr>
            <w:r w:rsidRPr="00AC3B2F">
              <w:rPr>
                <w:rFonts w:ascii="Avenir Next" w:hAnsi="Avenir Next" w:cs="Arial"/>
                <w:b/>
                <w:bCs/>
                <w:color w:val="808080" w:themeColor="background1" w:themeShade="80"/>
                <w:sz w:val="22"/>
                <w:szCs w:val="22"/>
                <w:lang w:val="en-GB"/>
              </w:rPr>
              <w:t>Sr No.</w:t>
            </w:r>
          </w:p>
        </w:tc>
        <w:tc>
          <w:tcPr>
            <w:tcW w:w="3798" w:type="dxa"/>
          </w:tcPr>
          <w:p w14:paraId="382B0CB4" w14:textId="7BF02892" w:rsidR="00566676" w:rsidRPr="00AC3B2F" w:rsidRDefault="00566676" w:rsidP="001A18E7">
            <w:pPr>
              <w:jc w:val="both"/>
              <w:rPr>
                <w:rFonts w:ascii="Avenir Next" w:hAnsi="Avenir Next" w:cs="Arial"/>
                <w:b/>
                <w:bCs/>
                <w:color w:val="808080" w:themeColor="background1" w:themeShade="80"/>
                <w:sz w:val="22"/>
                <w:szCs w:val="22"/>
                <w:lang w:val="en-GB"/>
              </w:rPr>
            </w:pPr>
            <w:r w:rsidRPr="00AC3B2F">
              <w:rPr>
                <w:rFonts w:ascii="Avenir Next" w:hAnsi="Avenir Next" w:cs="Arial"/>
                <w:b/>
                <w:bCs/>
                <w:color w:val="808080" w:themeColor="background1" w:themeShade="80"/>
                <w:sz w:val="22"/>
                <w:szCs w:val="22"/>
                <w:lang w:val="en-GB"/>
              </w:rPr>
              <w:t xml:space="preserve">Parameter </w:t>
            </w:r>
          </w:p>
        </w:tc>
        <w:tc>
          <w:tcPr>
            <w:tcW w:w="2386" w:type="dxa"/>
          </w:tcPr>
          <w:p w14:paraId="66932736" w14:textId="2FFA927A" w:rsidR="00566676" w:rsidRPr="00AC3B2F" w:rsidRDefault="00566676" w:rsidP="001A18E7">
            <w:pPr>
              <w:jc w:val="both"/>
              <w:rPr>
                <w:rFonts w:ascii="Avenir Next" w:hAnsi="Avenir Next" w:cs="Arial"/>
                <w:b/>
                <w:bCs/>
                <w:color w:val="808080" w:themeColor="background1" w:themeShade="80"/>
                <w:sz w:val="22"/>
                <w:szCs w:val="22"/>
                <w:lang w:val="en-GB"/>
              </w:rPr>
            </w:pPr>
            <w:r w:rsidRPr="00AC3B2F">
              <w:rPr>
                <w:rFonts w:ascii="Avenir Next" w:hAnsi="Avenir Next" w:cs="Arial"/>
                <w:b/>
                <w:bCs/>
                <w:color w:val="808080" w:themeColor="background1" w:themeShade="80"/>
                <w:sz w:val="22"/>
                <w:szCs w:val="22"/>
                <w:lang w:val="en-GB"/>
              </w:rPr>
              <w:t xml:space="preserve">Scheme of Arrangement </w:t>
            </w:r>
          </w:p>
        </w:tc>
        <w:tc>
          <w:tcPr>
            <w:tcW w:w="2411" w:type="dxa"/>
          </w:tcPr>
          <w:p w14:paraId="365429F2" w14:textId="34B65106" w:rsidR="00566676" w:rsidRPr="00AC3B2F" w:rsidRDefault="00566676" w:rsidP="001A18E7">
            <w:pPr>
              <w:jc w:val="both"/>
              <w:rPr>
                <w:rFonts w:ascii="Avenir Next" w:hAnsi="Avenir Next" w:cs="Arial"/>
                <w:b/>
                <w:bCs/>
                <w:color w:val="808080" w:themeColor="background1" w:themeShade="80"/>
                <w:sz w:val="22"/>
                <w:szCs w:val="22"/>
                <w:lang w:val="en-GB"/>
              </w:rPr>
            </w:pPr>
            <w:r w:rsidRPr="00AC3B2F">
              <w:rPr>
                <w:rFonts w:ascii="Avenir Next" w:hAnsi="Avenir Next" w:cs="Arial"/>
                <w:b/>
                <w:bCs/>
                <w:color w:val="808080" w:themeColor="background1" w:themeShade="80"/>
                <w:sz w:val="22"/>
                <w:szCs w:val="22"/>
                <w:lang w:val="en-GB"/>
              </w:rPr>
              <w:t>Judicial Management</w:t>
            </w:r>
          </w:p>
        </w:tc>
      </w:tr>
      <w:tr w:rsidR="00906C5D" w14:paraId="628D447B" w14:textId="77777777" w:rsidTr="00566676">
        <w:tc>
          <w:tcPr>
            <w:tcW w:w="421" w:type="dxa"/>
          </w:tcPr>
          <w:p w14:paraId="6F37D640" w14:textId="18BFAD92" w:rsidR="00566676" w:rsidRPr="00AC3B2F"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1.</w:t>
            </w:r>
          </w:p>
        </w:tc>
        <w:tc>
          <w:tcPr>
            <w:tcW w:w="3798" w:type="dxa"/>
          </w:tcPr>
          <w:p w14:paraId="24AEBA0F" w14:textId="05001525" w:rsidR="00566676" w:rsidRPr="00AC3B2F"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Purpose</w:t>
            </w:r>
          </w:p>
        </w:tc>
        <w:tc>
          <w:tcPr>
            <w:tcW w:w="2386" w:type="dxa"/>
          </w:tcPr>
          <w:p w14:paraId="5E249662" w14:textId="4C043148" w:rsidR="00566676" w:rsidRPr="00AC3B2F"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 xml:space="preserve">Under this, an application is made, when the company proposes that a compromise or an arrangement </w:t>
            </w:r>
            <w:r w:rsidR="000D0B52">
              <w:rPr>
                <w:rFonts w:ascii="Avenir Next" w:hAnsi="Avenir Next" w:cs="Arial"/>
                <w:color w:val="808080" w:themeColor="background1" w:themeShade="80"/>
                <w:sz w:val="22"/>
                <w:szCs w:val="22"/>
                <w:lang w:val="en-GB"/>
              </w:rPr>
              <w:t xml:space="preserve">can be reached </w:t>
            </w:r>
            <w:r w:rsidRPr="00AC3B2F">
              <w:rPr>
                <w:rFonts w:ascii="Avenir Next" w:hAnsi="Avenir Next" w:cs="Arial"/>
                <w:color w:val="808080" w:themeColor="background1" w:themeShade="80"/>
                <w:sz w:val="22"/>
                <w:szCs w:val="22"/>
                <w:lang w:val="en-GB"/>
              </w:rPr>
              <w:t>between itself and its creditors</w:t>
            </w:r>
            <w:r w:rsidRPr="00AC3B2F">
              <w:rPr>
                <w:rStyle w:val="FootnoteReference"/>
                <w:rFonts w:ascii="Avenir Next" w:hAnsi="Avenir Next" w:cs="Arial"/>
                <w:color w:val="808080" w:themeColor="background1" w:themeShade="80"/>
                <w:sz w:val="22"/>
                <w:szCs w:val="22"/>
                <w:lang w:val="en-GB"/>
              </w:rPr>
              <w:footnoteReference w:id="23"/>
            </w:r>
            <w:r w:rsidRPr="00AC3B2F">
              <w:rPr>
                <w:rFonts w:ascii="Avenir Next" w:hAnsi="Avenir Next" w:cs="Arial"/>
                <w:color w:val="808080" w:themeColor="background1" w:themeShade="80"/>
                <w:sz w:val="22"/>
                <w:szCs w:val="22"/>
                <w:lang w:val="en-GB"/>
              </w:rPr>
              <w:t>.</w:t>
            </w:r>
          </w:p>
        </w:tc>
        <w:tc>
          <w:tcPr>
            <w:tcW w:w="2411" w:type="dxa"/>
          </w:tcPr>
          <w:p w14:paraId="3CAA0BA3" w14:textId="768DCE3C" w:rsidR="00566676" w:rsidRPr="00AC3B2F"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Judicial Management is to either achieve survival of the company or approval of a scheme of arrangement under section 210/71 of the IRD Act, a more advantageous realisation of the companies’ assets than under winding up</w:t>
            </w:r>
            <w:r w:rsidRPr="00AC3B2F">
              <w:rPr>
                <w:rStyle w:val="FootnoteReference"/>
                <w:rFonts w:ascii="Avenir Next" w:hAnsi="Avenir Next" w:cs="Arial"/>
                <w:color w:val="808080" w:themeColor="background1" w:themeShade="80"/>
                <w:sz w:val="22"/>
                <w:szCs w:val="22"/>
                <w:lang w:val="en-GB"/>
              </w:rPr>
              <w:footnoteReference w:id="24"/>
            </w:r>
          </w:p>
        </w:tc>
      </w:tr>
      <w:tr w:rsidR="00906C5D" w14:paraId="7A687761" w14:textId="77777777" w:rsidTr="00566676">
        <w:tc>
          <w:tcPr>
            <w:tcW w:w="421" w:type="dxa"/>
          </w:tcPr>
          <w:p w14:paraId="7A238DD7" w14:textId="20F0C3D0" w:rsidR="00566676" w:rsidRPr="00AC3B2F"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2.</w:t>
            </w:r>
          </w:p>
        </w:tc>
        <w:tc>
          <w:tcPr>
            <w:tcW w:w="3798" w:type="dxa"/>
          </w:tcPr>
          <w:p w14:paraId="6088FB79" w14:textId="2E603118" w:rsidR="00566676" w:rsidRPr="00AC3B2F"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Officer appointed</w:t>
            </w:r>
            <w:r w:rsidR="00425C7B">
              <w:rPr>
                <w:rFonts w:ascii="Avenir Next" w:hAnsi="Avenir Next" w:cs="Arial"/>
                <w:color w:val="808080" w:themeColor="background1" w:themeShade="80"/>
                <w:sz w:val="22"/>
                <w:szCs w:val="22"/>
                <w:lang w:val="en-GB"/>
              </w:rPr>
              <w:t xml:space="preserve"> and its powers</w:t>
            </w:r>
          </w:p>
        </w:tc>
        <w:tc>
          <w:tcPr>
            <w:tcW w:w="2386" w:type="dxa"/>
          </w:tcPr>
          <w:p w14:paraId="0224342B" w14:textId="2E2F6A35" w:rsidR="00566676" w:rsidRPr="00AC3B2F"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 xml:space="preserve">No </w:t>
            </w:r>
            <w:r w:rsidR="005C03D5">
              <w:rPr>
                <w:rFonts w:ascii="Avenir Next" w:hAnsi="Avenir Next" w:cs="Arial"/>
                <w:color w:val="808080" w:themeColor="background1" w:themeShade="80"/>
                <w:sz w:val="22"/>
                <w:szCs w:val="22"/>
                <w:lang w:val="en-GB"/>
              </w:rPr>
              <w:t xml:space="preserve">statutory </w:t>
            </w:r>
            <w:r w:rsidRPr="00AC3B2F">
              <w:rPr>
                <w:rFonts w:ascii="Avenir Next" w:hAnsi="Avenir Next" w:cs="Arial"/>
                <w:color w:val="808080" w:themeColor="background1" w:themeShade="80"/>
                <w:sz w:val="22"/>
                <w:szCs w:val="22"/>
                <w:lang w:val="en-GB"/>
              </w:rPr>
              <w:t xml:space="preserve">officer </w:t>
            </w:r>
            <w:r w:rsidR="0092379B">
              <w:rPr>
                <w:rFonts w:ascii="Avenir Next" w:hAnsi="Avenir Next" w:cs="Arial"/>
                <w:color w:val="808080" w:themeColor="background1" w:themeShade="80"/>
                <w:sz w:val="22"/>
                <w:szCs w:val="22"/>
                <w:lang w:val="en-GB"/>
              </w:rPr>
              <w:t>as such appointed, but a scheme manager can be appointed</w:t>
            </w:r>
            <w:r w:rsidR="00425C7B">
              <w:rPr>
                <w:rFonts w:ascii="Avenir Next" w:hAnsi="Avenir Next" w:cs="Arial"/>
                <w:color w:val="808080" w:themeColor="background1" w:themeShade="80"/>
                <w:sz w:val="22"/>
                <w:szCs w:val="22"/>
                <w:lang w:val="en-GB"/>
              </w:rPr>
              <w:t xml:space="preserve"> to administer/draft the scheme, liaison with the</w:t>
            </w:r>
            <w:r w:rsidR="00860E6D">
              <w:rPr>
                <w:rFonts w:ascii="Avenir Next" w:hAnsi="Avenir Next" w:cs="Arial"/>
                <w:color w:val="808080" w:themeColor="background1" w:themeShade="80"/>
                <w:sz w:val="22"/>
                <w:szCs w:val="22"/>
                <w:lang w:val="en-GB"/>
              </w:rPr>
              <w:t xml:space="preserve"> creditors etc. </w:t>
            </w:r>
            <w:r w:rsidR="00425C7B">
              <w:rPr>
                <w:rFonts w:ascii="Avenir Next" w:hAnsi="Avenir Next" w:cs="Arial"/>
                <w:color w:val="808080" w:themeColor="background1" w:themeShade="80"/>
                <w:sz w:val="22"/>
                <w:szCs w:val="22"/>
                <w:lang w:val="en-GB"/>
              </w:rPr>
              <w:t xml:space="preserve"> </w:t>
            </w:r>
          </w:p>
        </w:tc>
        <w:tc>
          <w:tcPr>
            <w:tcW w:w="2411" w:type="dxa"/>
          </w:tcPr>
          <w:p w14:paraId="27547662" w14:textId="435C7AA3" w:rsidR="00566676"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A judicial officer is appointed by the court on an application by the company</w:t>
            </w:r>
            <w:r w:rsidR="005C03D5">
              <w:rPr>
                <w:rFonts w:ascii="Avenir Next" w:hAnsi="Avenir Next" w:cs="Arial"/>
                <w:color w:val="808080" w:themeColor="background1" w:themeShade="80"/>
                <w:sz w:val="22"/>
                <w:szCs w:val="22"/>
                <w:lang w:val="en-GB"/>
              </w:rPr>
              <w:t>/creditors’</w:t>
            </w:r>
            <w:r w:rsidRPr="00AC3B2F">
              <w:rPr>
                <w:rFonts w:ascii="Avenir Next" w:hAnsi="Avenir Next" w:cs="Arial"/>
                <w:color w:val="808080" w:themeColor="background1" w:themeShade="80"/>
                <w:sz w:val="22"/>
                <w:szCs w:val="22"/>
                <w:lang w:val="en-GB"/>
              </w:rPr>
              <w:t xml:space="preserve"> for a period of 180 days, which period can be extended</w:t>
            </w:r>
            <w:r w:rsidRPr="00AC3B2F">
              <w:rPr>
                <w:rStyle w:val="FootnoteReference"/>
                <w:rFonts w:ascii="Avenir Next" w:hAnsi="Avenir Next" w:cs="Arial"/>
                <w:color w:val="808080" w:themeColor="background1" w:themeShade="80"/>
                <w:sz w:val="22"/>
                <w:szCs w:val="22"/>
                <w:lang w:val="en-GB"/>
              </w:rPr>
              <w:footnoteReference w:id="25"/>
            </w:r>
            <w:r w:rsidR="0092379B">
              <w:rPr>
                <w:rFonts w:ascii="Avenir Next" w:hAnsi="Avenir Next" w:cs="Arial"/>
                <w:color w:val="808080" w:themeColor="background1" w:themeShade="80"/>
                <w:sz w:val="22"/>
                <w:szCs w:val="22"/>
                <w:lang w:val="en-GB"/>
              </w:rPr>
              <w:t>. An interim judicial officer can also be appointed by the court</w:t>
            </w:r>
            <w:r w:rsidR="00B418A9">
              <w:rPr>
                <w:rFonts w:ascii="Avenir Next" w:hAnsi="Avenir Next" w:cs="Arial"/>
                <w:color w:val="808080" w:themeColor="background1" w:themeShade="80"/>
                <w:sz w:val="22"/>
                <w:szCs w:val="22"/>
                <w:lang w:val="en-GB"/>
              </w:rPr>
              <w:t>.</w:t>
            </w:r>
            <w:r w:rsidR="00860E6D">
              <w:rPr>
                <w:rFonts w:ascii="Avenir Next" w:hAnsi="Avenir Next" w:cs="Arial"/>
                <w:color w:val="808080" w:themeColor="background1" w:themeShade="80"/>
                <w:sz w:val="22"/>
                <w:szCs w:val="22"/>
                <w:lang w:val="en-GB"/>
              </w:rPr>
              <w:t xml:space="preserve"> </w:t>
            </w:r>
          </w:p>
          <w:p w14:paraId="2E0E3410" w14:textId="77777777" w:rsidR="005C03D5" w:rsidRDefault="005C03D5" w:rsidP="001A18E7">
            <w:pPr>
              <w:jc w:val="both"/>
              <w:rPr>
                <w:rFonts w:ascii="Avenir Next" w:hAnsi="Avenir Next" w:cs="Arial"/>
                <w:color w:val="808080" w:themeColor="background1" w:themeShade="80"/>
                <w:sz w:val="22"/>
                <w:szCs w:val="22"/>
                <w:lang w:val="en-GB"/>
              </w:rPr>
            </w:pPr>
          </w:p>
          <w:p w14:paraId="41F1F59E" w14:textId="3D3BCAF0" w:rsidR="00860E6D" w:rsidRPr="00860E6D" w:rsidRDefault="00860E6D" w:rsidP="001A18E7">
            <w:pPr>
              <w:jc w:val="both"/>
              <w:rPr>
                <w:rFonts w:ascii="Avenir Next" w:hAnsi="Avenir Next" w:cs="Arial"/>
                <w:color w:val="808080" w:themeColor="background1" w:themeShade="80"/>
                <w:sz w:val="22"/>
                <w:szCs w:val="22"/>
                <w:u w:val="double"/>
                <w:lang w:val="en-GB"/>
              </w:rPr>
            </w:pPr>
            <w:r>
              <w:rPr>
                <w:rFonts w:ascii="Avenir Next" w:hAnsi="Avenir Next" w:cs="Arial"/>
                <w:color w:val="808080" w:themeColor="background1" w:themeShade="80"/>
                <w:sz w:val="22"/>
                <w:szCs w:val="22"/>
                <w:lang w:val="en-GB"/>
              </w:rPr>
              <w:t xml:space="preserve">The judicial officer has vide statutory powers under the IRD Act, such as </w:t>
            </w:r>
            <w:r w:rsidR="008D53DA">
              <w:rPr>
                <w:rFonts w:ascii="Avenir Next" w:hAnsi="Avenir Next" w:cs="Arial"/>
                <w:color w:val="808080" w:themeColor="background1" w:themeShade="80"/>
                <w:sz w:val="22"/>
                <w:szCs w:val="22"/>
                <w:lang w:val="en-GB"/>
              </w:rPr>
              <w:t xml:space="preserve">that the judicial officer </w:t>
            </w:r>
            <w:r w:rsidR="00F86109">
              <w:rPr>
                <w:rFonts w:ascii="Avenir Next" w:hAnsi="Avenir Next" w:cs="Arial"/>
                <w:color w:val="808080" w:themeColor="background1" w:themeShade="80"/>
                <w:sz w:val="22"/>
                <w:szCs w:val="22"/>
                <w:lang w:val="en-GB"/>
              </w:rPr>
              <w:t xml:space="preserve">is </w:t>
            </w:r>
            <w:r w:rsidR="00BE45B4">
              <w:rPr>
                <w:rFonts w:ascii="Avenir Next" w:hAnsi="Avenir Next" w:cs="Arial"/>
                <w:color w:val="808080" w:themeColor="background1" w:themeShade="80"/>
                <w:sz w:val="22"/>
                <w:szCs w:val="22"/>
                <w:lang w:val="en-GB"/>
              </w:rPr>
              <w:t>required to take into control all the assets of the debtor</w:t>
            </w:r>
            <w:r w:rsidR="008D300F">
              <w:rPr>
                <w:rFonts w:ascii="Avenir Next" w:hAnsi="Avenir Next" w:cs="Arial"/>
                <w:color w:val="808080" w:themeColor="background1" w:themeShade="80"/>
                <w:sz w:val="22"/>
                <w:szCs w:val="22"/>
                <w:lang w:val="en-GB"/>
              </w:rPr>
              <w:t>, manage the affairs of the company, summon a meeting of creditors,</w:t>
            </w:r>
            <w:r w:rsidR="00AB287D">
              <w:rPr>
                <w:rFonts w:ascii="Avenir Next" w:hAnsi="Avenir Next" w:cs="Arial"/>
                <w:color w:val="808080" w:themeColor="background1" w:themeShade="80"/>
                <w:sz w:val="22"/>
                <w:szCs w:val="22"/>
                <w:lang w:val="en-GB"/>
              </w:rPr>
              <w:t xml:space="preserve"> has the power to deal with property, amend constitution documents</w:t>
            </w:r>
            <w:r w:rsidR="00662856">
              <w:rPr>
                <w:rFonts w:ascii="Avenir Next" w:hAnsi="Avenir Next" w:cs="Arial"/>
                <w:color w:val="808080" w:themeColor="background1" w:themeShade="80"/>
                <w:sz w:val="22"/>
                <w:szCs w:val="22"/>
                <w:lang w:val="en-GB"/>
              </w:rPr>
              <w:t>, power to defend suits or sue, power to borrow etc.</w:t>
            </w:r>
            <w:r w:rsidR="00662856">
              <w:rPr>
                <w:rStyle w:val="FootnoteReference"/>
                <w:rFonts w:ascii="Avenir Next" w:hAnsi="Avenir Next" w:cs="Arial"/>
                <w:color w:val="808080" w:themeColor="background1" w:themeShade="80"/>
                <w:sz w:val="22"/>
                <w:szCs w:val="22"/>
                <w:lang w:val="en-GB"/>
              </w:rPr>
              <w:footnoteReference w:id="26"/>
            </w:r>
          </w:p>
        </w:tc>
      </w:tr>
      <w:tr w:rsidR="00906C5D" w14:paraId="1DC2F7BA" w14:textId="77777777" w:rsidTr="00566676">
        <w:tc>
          <w:tcPr>
            <w:tcW w:w="421" w:type="dxa"/>
          </w:tcPr>
          <w:p w14:paraId="63A1A73B" w14:textId="17ADE895" w:rsidR="00566676" w:rsidRPr="00AC3B2F"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3.</w:t>
            </w:r>
          </w:p>
        </w:tc>
        <w:tc>
          <w:tcPr>
            <w:tcW w:w="3798" w:type="dxa"/>
          </w:tcPr>
          <w:p w14:paraId="14B8B1F0" w14:textId="1DE94CA8" w:rsidR="00566676" w:rsidRPr="00AC3B2F"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Entry</w:t>
            </w:r>
            <w:r w:rsidR="00FB279C" w:rsidRPr="00AC3B2F">
              <w:rPr>
                <w:rFonts w:ascii="Avenir Next" w:hAnsi="Avenir Next" w:cs="Arial"/>
                <w:color w:val="808080" w:themeColor="background1" w:themeShade="80"/>
                <w:sz w:val="22"/>
                <w:szCs w:val="22"/>
                <w:lang w:val="en-GB"/>
              </w:rPr>
              <w:t xml:space="preserve"> requirements</w:t>
            </w:r>
          </w:p>
        </w:tc>
        <w:tc>
          <w:tcPr>
            <w:tcW w:w="2386" w:type="dxa"/>
          </w:tcPr>
          <w:p w14:paraId="0C8EF4AB" w14:textId="74C8917A" w:rsidR="00566676" w:rsidRPr="00AC3B2F" w:rsidRDefault="00FC4E97"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The company can only</w:t>
            </w:r>
            <w:r w:rsidR="003D54CA" w:rsidRPr="00AC3B2F">
              <w:rPr>
                <w:rFonts w:ascii="Avenir Next" w:hAnsi="Avenir Next" w:cs="Arial"/>
                <w:color w:val="808080" w:themeColor="background1" w:themeShade="80"/>
                <w:sz w:val="22"/>
                <w:szCs w:val="22"/>
                <w:lang w:val="en-GB"/>
              </w:rPr>
              <w:t xml:space="preserve"> make an application hereunder </w:t>
            </w:r>
            <w:r w:rsidR="00D078F6" w:rsidRPr="00AC3B2F">
              <w:rPr>
                <w:rFonts w:ascii="Avenir Next" w:hAnsi="Avenir Next" w:cs="Arial"/>
                <w:color w:val="808080" w:themeColor="background1" w:themeShade="80"/>
                <w:sz w:val="22"/>
                <w:szCs w:val="22"/>
                <w:lang w:val="en-GB"/>
              </w:rPr>
              <w:t>if no</w:t>
            </w:r>
            <w:r w:rsidR="003D54CA" w:rsidRPr="00AC3B2F">
              <w:rPr>
                <w:rFonts w:ascii="Avenir Next" w:hAnsi="Avenir Next" w:cs="Arial"/>
                <w:color w:val="808080" w:themeColor="background1" w:themeShade="80"/>
                <w:sz w:val="22"/>
                <w:szCs w:val="22"/>
                <w:lang w:val="en-GB"/>
              </w:rPr>
              <w:t xml:space="preserve"> winding up order has been passed against it</w:t>
            </w:r>
            <w:r w:rsidR="00D078F6" w:rsidRPr="00AC3B2F">
              <w:rPr>
                <w:rFonts w:ascii="Avenir Next" w:hAnsi="Avenir Next" w:cs="Arial"/>
                <w:color w:val="808080" w:themeColor="background1" w:themeShade="80"/>
                <w:sz w:val="22"/>
                <w:szCs w:val="22"/>
                <w:lang w:val="en-GB"/>
              </w:rPr>
              <w:t xml:space="preserve"> and it undertakes to draft the scheme as soon as possible, and no moratorium </w:t>
            </w:r>
            <w:r w:rsidR="00D078F6" w:rsidRPr="00AC3B2F">
              <w:rPr>
                <w:rFonts w:ascii="Avenir Next" w:hAnsi="Avenir Next" w:cs="Arial"/>
                <w:color w:val="808080" w:themeColor="background1" w:themeShade="80"/>
                <w:sz w:val="22"/>
                <w:szCs w:val="22"/>
                <w:lang w:val="en-GB"/>
              </w:rPr>
              <w:lastRenderedPageBreak/>
              <w:t>protection has been granted to it under section 210 of the IRD Act</w:t>
            </w:r>
            <w:r w:rsidR="00D078F6" w:rsidRPr="00AC3B2F">
              <w:rPr>
                <w:rStyle w:val="FootnoteReference"/>
                <w:rFonts w:ascii="Avenir Next" w:hAnsi="Avenir Next" w:cs="Arial"/>
                <w:color w:val="808080" w:themeColor="background1" w:themeShade="80"/>
                <w:sz w:val="22"/>
                <w:szCs w:val="22"/>
                <w:lang w:val="en-GB"/>
              </w:rPr>
              <w:footnoteReference w:id="27"/>
            </w:r>
            <w:r w:rsidR="00D078F6" w:rsidRPr="00AC3B2F">
              <w:rPr>
                <w:rFonts w:ascii="Avenir Next" w:hAnsi="Avenir Next" w:cs="Arial"/>
                <w:color w:val="808080" w:themeColor="background1" w:themeShade="80"/>
                <w:sz w:val="22"/>
                <w:szCs w:val="22"/>
                <w:lang w:val="en-GB"/>
              </w:rPr>
              <w:t>.</w:t>
            </w:r>
            <w:r w:rsidR="00FB279C" w:rsidRPr="00AC3B2F">
              <w:rPr>
                <w:rFonts w:ascii="Avenir Next" w:hAnsi="Avenir Next" w:cs="Arial"/>
                <w:color w:val="808080" w:themeColor="background1" w:themeShade="80"/>
                <w:sz w:val="22"/>
                <w:szCs w:val="22"/>
                <w:lang w:val="en-GB"/>
              </w:rPr>
              <w:t xml:space="preserve"> The company must also </w:t>
            </w:r>
            <w:r w:rsidR="00F26620" w:rsidRPr="00AC3B2F">
              <w:rPr>
                <w:rFonts w:ascii="Avenir Next" w:hAnsi="Avenir Next" w:cs="Arial"/>
                <w:color w:val="808080" w:themeColor="background1" w:themeShade="80"/>
                <w:sz w:val="22"/>
                <w:szCs w:val="22"/>
                <w:lang w:val="en-GB"/>
              </w:rPr>
              <w:t xml:space="preserve">file evidence of support from its creditors or a </w:t>
            </w:r>
            <w:r w:rsidR="00AC3B2F" w:rsidRPr="00AC3B2F">
              <w:rPr>
                <w:rFonts w:ascii="Avenir Next" w:hAnsi="Avenir Next" w:cs="Arial"/>
                <w:color w:val="808080" w:themeColor="background1" w:themeShade="80"/>
                <w:sz w:val="22"/>
                <w:szCs w:val="22"/>
                <w:lang w:val="en-GB"/>
              </w:rPr>
              <w:t>feasibility</w:t>
            </w:r>
            <w:r w:rsidR="00AC3B2F" w:rsidRPr="00AC3B2F">
              <w:rPr>
                <w:rStyle w:val="FootnoteReference"/>
                <w:rFonts w:ascii="Avenir Next" w:hAnsi="Avenir Next" w:cs="Arial"/>
                <w:color w:val="808080" w:themeColor="background1" w:themeShade="80"/>
                <w:sz w:val="22"/>
                <w:szCs w:val="22"/>
                <w:lang w:val="en-GB"/>
              </w:rPr>
              <w:footnoteReference w:id="28"/>
            </w:r>
            <w:r w:rsidR="00F26620" w:rsidRPr="00AC3B2F">
              <w:rPr>
                <w:rFonts w:ascii="Avenir Next" w:hAnsi="Avenir Next" w:cs="Arial"/>
                <w:color w:val="808080" w:themeColor="background1" w:themeShade="80"/>
                <w:sz w:val="22"/>
                <w:szCs w:val="22"/>
                <w:lang w:val="en-GB"/>
              </w:rPr>
              <w:t xml:space="preserve"> report where no such support has been garnered</w:t>
            </w:r>
            <w:r w:rsidR="00AC3B2F" w:rsidRPr="00AC3B2F">
              <w:rPr>
                <w:rFonts w:ascii="Avenir Next" w:hAnsi="Avenir Next" w:cs="Arial"/>
                <w:color w:val="808080" w:themeColor="background1" w:themeShade="80"/>
                <w:sz w:val="22"/>
                <w:szCs w:val="22"/>
                <w:lang w:val="en-GB"/>
              </w:rPr>
              <w:t xml:space="preserve"> along with a list of the creditors.</w:t>
            </w:r>
          </w:p>
        </w:tc>
        <w:tc>
          <w:tcPr>
            <w:tcW w:w="2411" w:type="dxa"/>
          </w:tcPr>
          <w:p w14:paraId="05189DD3" w14:textId="77777777" w:rsidR="00566676" w:rsidRDefault="00566676"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lastRenderedPageBreak/>
              <w:t xml:space="preserve">A company, its directors, or its creditors can make an application hereunder, and if the court is satisfied that the company is likely to become insolvent or </w:t>
            </w:r>
            <w:r w:rsidR="00974A72" w:rsidRPr="00AC3B2F">
              <w:rPr>
                <w:rFonts w:ascii="Avenir Next" w:hAnsi="Avenir Next" w:cs="Arial"/>
                <w:color w:val="808080" w:themeColor="background1" w:themeShade="80"/>
                <w:sz w:val="22"/>
                <w:szCs w:val="22"/>
                <w:lang w:val="en-GB"/>
              </w:rPr>
              <w:t xml:space="preserve">is </w:t>
            </w:r>
            <w:r w:rsidR="00974A72" w:rsidRPr="00AC3B2F">
              <w:rPr>
                <w:rFonts w:ascii="Avenir Next" w:hAnsi="Avenir Next" w:cs="Arial"/>
                <w:color w:val="808080" w:themeColor="background1" w:themeShade="80"/>
                <w:sz w:val="22"/>
                <w:szCs w:val="22"/>
                <w:lang w:val="en-GB"/>
              </w:rPr>
              <w:lastRenderedPageBreak/>
              <w:t xml:space="preserve">likely to achieve the objectives laid out in Sr No. 1 hereinabove, the </w:t>
            </w:r>
            <w:r w:rsidR="001B6EE8" w:rsidRPr="00AC3B2F">
              <w:rPr>
                <w:rFonts w:ascii="Avenir Next" w:hAnsi="Avenir Next" w:cs="Arial"/>
                <w:color w:val="808080" w:themeColor="background1" w:themeShade="80"/>
                <w:sz w:val="22"/>
                <w:szCs w:val="22"/>
                <w:lang w:val="en-GB"/>
              </w:rPr>
              <w:t>court may pass a judicial management order</w:t>
            </w:r>
            <w:r w:rsidR="00FC4E97" w:rsidRPr="00AC3B2F">
              <w:rPr>
                <w:rStyle w:val="FootnoteReference"/>
                <w:rFonts w:ascii="Avenir Next" w:hAnsi="Avenir Next" w:cs="Arial"/>
                <w:color w:val="808080" w:themeColor="background1" w:themeShade="80"/>
                <w:sz w:val="22"/>
                <w:szCs w:val="22"/>
                <w:lang w:val="en-GB"/>
              </w:rPr>
              <w:footnoteReference w:id="29"/>
            </w:r>
            <w:r w:rsidR="001B6EE8" w:rsidRPr="00AC3B2F">
              <w:rPr>
                <w:rFonts w:ascii="Avenir Next" w:hAnsi="Avenir Next" w:cs="Arial"/>
                <w:color w:val="808080" w:themeColor="background1" w:themeShade="80"/>
                <w:sz w:val="22"/>
                <w:szCs w:val="22"/>
                <w:lang w:val="en-GB"/>
              </w:rPr>
              <w:t xml:space="preserve">. </w:t>
            </w:r>
          </w:p>
          <w:p w14:paraId="5C3AE22E" w14:textId="77777777" w:rsidR="004C1234" w:rsidRDefault="004C1234" w:rsidP="001A18E7">
            <w:pPr>
              <w:jc w:val="both"/>
              <w:rPr>
                <w:rFonts w:ascii="Avenir Next" w:hAnsi="Avenir Next" w:cs="Arial"/>
                <w:color w:val="808080" w:themeColor="background1" w:themeShade="80"/>
                <w:sz w:val="22"/>
                <w:szCs w:val="22"/>
                <w:lang w:val="en-GB"/>
              </w:rPr>
            </w:pPr>
          </w:p>
          <w:p w14:paraId="634D0B9A" w14:textId="5FCE2319" w:rsidR="004C1234" w:rsidRPr="00AC3B2F" w:rsidRDefault="00B17DC6"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B17DC6">
              <w:rPr>
                <w:rFonts w:ascii="Avenir Next" w:hAnsi="Avenir Next" w:cs="Arial"/>
                <w:i/>
                <w:iCs/>
                <w:color w:val="808080" w:themeColor="background1" w:themeShade="80"/>
                <w:sz w:val="22"/>
                <w:szCs w:val="22"/>
                <w:lang w:val="en-GB"/>
              </w:rPr>
              <w:t>can be triggered by a court order or by obtaining a creditors’ resolution for judicial management</w:t>
            </w:r>
            <w:r>
              <w:rPr>
                <w:rFonts w:ascii="Avenir Next" w:hAnsi="Avenir Next" w:cs="Arial"/>
                <w:color w:val="808080" w:themeColor="background1" w:themeShade="80"/>
                <w:sz w:val="22"/>
                <w:szCs w:val="22"/>
                <w:lang w:val="en-GB"/>
              </w:rPr>
              <w:t xml:space="preserve"> </w:t>
            </w:r>
          </w:p>
        </w:tc>
      </w:tr>
      <w:tr w:rsidR="00906C5D" w14:paraId="771751AA" w14:textId="77777777" w:rsidTr="00566676">
        <w:tc>
          <w:tcPr>
            <w:tcW w:w="421" w:type="dxa"/>
          </w:tcPr>
          <w:p w14:paraId="74FE0FBB" w14:textId="43A416EF" w:rsidR="00566676" w:rsidRPr="00AC3B2F" w:rsidRDefault="00B96AE5"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lastRenderedPageBreak/>
              <w:t>4.</w:t>
            </w:r>
          </w:p>
        </w:tc>
        <w:tc>
          <w:tcPr>
            <w:tcW w:w="3798" w:type="dxa"/>
          </w:tcPr>
          <w:p w14:paraId="5BA659CF" w14:textId="3B99333A" w:rsidR="00566676" w:rsidRPr="00AC3B2F" w:rsidRDefault="00B96AE5" w:rsidP="001A18E7">
            <w:pPr>
              <w:jc w:val="both"/>
              <w:rPr>
                <w:rFonts w:ascii="Avenir Next" w:hAnsi="Avenir Next" w:cs="Arial"/>
                <w:color w:val="808080" w:themeColor="background1" w:themeShade="80"/>
                <w:sz w:val="22"/>
                <w:szCs w:val="22"/>
                <w:lang w:val="en-GB"/>
              </w:rPr>
            </w:pPr>
            <w:r w:rsidRPr="00AC3B2F">
              <w:rPr>
                <w:rFonts w:ascii="Avenir Next" w:hAnsi="Avenir Next" w:cs="Arial"/>
                <w:color w:val="808080" w:themeColor="background1" w:themeShade="80"/>
                <w:sz w:val="22"/>
                <w:szCs w:val="22"/>
                <w:lang w:val="en-GB"/>
              </w:rPr>
              <w:t xml:space="preserve">Moratorium </w:t>
            </w:r>
          </w:p>
        </w:tc>
        <w:tc>
          <w:tcPr>
            <w:tcW w:w="2386" w:type="dxa"/>
          </w:tcPr>
          <w:p w14:paraId="17D03FBB" w14:textId="090C3987" w:rsidR="00566676" w:rsidRPr="00AC3B2F" w:rsidRDefault="00FC1972"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FD258A">
              <w:rPr>
                <w:rFonts w:ascii="Avenir Next" w:hAnsi="Avenir Next" w:cs="Arial"/>
                <w:color w:val="808080" w:themeColor="background1" w:themeShade="80"/>
                <w:sz w:val="22"/>
                <w:szCs w:val="22"/>
                <w:lang w:val="en-GB"/>
              </w:rPr>
              <w:t>30-day</w:t>
            </w:r>
            <w:r>
              <w:rPr>
                <w:rFonts w:ascii="Avenir Next" w:hAnsi="Avenir Next" w:cs="Arial"/>
                <w:color w:val="808080" w:themeColor="background1" w:themeShade="80"/>
                <w:sz w:val="22"/>
                <w:szCs w:val="22"/>
                <w:lang w:val="en-GB"/>
              </w:rPr>
              <w:t xml:space="preserve"> moratorium comes</w:t>
            </w:r>
            <w:r w:rsidR="005C03D5">
              <w:rPr>
                <w:rFonts w:ascii="Avenir Next" w:hAnsi="Avenir Next" w:cs="Arial"/>
                <w:color w:val="808080" w:themeColor="background1" w:themeShade="80"/>
                <w:sz w:val="22"/>
                <w:szCs w:val="22"/>
                <w:lang w:val="en-GB"/>
              </w:rPr>
              <w:t xml:space="preserve"> into effect</w:t>
            </w:r>
            <w:r w:rsidR="00FD258A">
              <w:rPr>
                <w:rFonts w:ascii="Avenir Next" w:hAnsi="Avenir Next" w:cs="Arial"/>
                <w:color w:val="808080" w:themeColor="background1" w:themeShade="80"/>
                <w:sz w:val="22"/>
                <w:szCs w:val="22"/>
                <w:lang w:val="en-GB"/>
              </w:rPr>
              <w:t>, when the application under Section 64 is filed, which can also be extended on the discretion of the court</w:t>
            </w:r>
            <w:r w:rsidR="00FD258A">
              <w:rPr>
                <w:rStyle w:val="FootnoteReference"/>
                <w:rFonts w:ascii="Avenir Next" w:hAnsi="Avenir Next" w:cs="Arial"/>
                <w:color w:val="808080" w:themeColor="background1" w:themeShade="80"/>
                <w:sz w:val="22"/>
                <w:szCs w:val="22"/>
                <w:lang w:val="en-GB"/>
              </w:rPr>
              <w:footnoteReference w:id="30"/>
            </w:r>
            <w:r w:rsidR="00234C3C">
              <w:rPr>
                <w:rFonts w:ascii="Avenir Next" w:hAnsi="Avenir Next" w:cs="Arial"/>
                <w:color w:val="808080" w:themeColor="background1" w:themeShade="80"/>
                <w:sz w:val="22"/>
                <w:szCs w:val="22"/>
                <w:lang w:val="en-GB"/>
              </w:rPr>
              <w:t>.</w:t>
            </w:r>
          </w:p>
        </w:tc>
        <w:tc>
          <w:tcPr>
            <w:tcW w:w="2411" w:type="dxa"/>
          </w:tcPr>
          <w:p w14:paraId="2B29A122" w14:textId="520A1C4E" w:rsidR="00566676" w:rsidRPr="00AC3B2F" w:rsidRDefault="00EB5B9A"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0D0B52">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automatic moratorium period begins when the application is made</w:t>
            </w:r>
            <w:r w:rsidR="00CD708F">
              <w:rPr>
                <w:rStyle w:val="FootnoteReference"/>
                <w:rFonts w:ascii="Avenir Next" w:hAnsi="Avenir Next" w:cs="Arial"/>
                <w:color w:val="808080" w:themeColor="background1" w:themeShade="80"/>
                <w:sz w:val="22"/>
                <w:szCs w:val="22"/>
                <w:lang w:val="en-GB"/>
              </w:rPr>
              <w:footnoteReference w:id="31"/>
            </w:r>
            <w:r w:rsidR="00C01DD9">
              <w:rPr>
                <w:rFonts w:ascii="Avenir Next" w:hAnsi="Avenir Next" w:cs="Arial"/>
                <w:color w:val="808080" w:themeColor="background1" w:themeShade="80"/>
                <w:sz w:val="22"/>
                <w:szCs w:val="22"/>
                <w:lang w:val="en-GB"/>
              </w:rPr>
              <w:t xml:space="preserve">. Further, during the period when the company is under judicial management, </w:t>
            </w:r>
            <w:r w:rsidR="00282646">
              <w:rPr>
                <w:rFonts w:ascii="Avenir Next" w:hAnsi="Avenir Next" w:cs="Arial"/>
                <w:color w:val="808080" w:themeColor="background1" w:themeShade="80"/>
                <w:sz w:val="22"/>
                <w:szCs w:val="22"/>
                <w:lang w:val="en-GB"/>
              </w:rPr>
              <w:t>a larger moratorium is ordered</w:t>
            </w:r>
            <w:r w:rsidR="00282646">
              <w:rPr>
                <w:rStyle w:val="FootnoteReference"/>
                <w:rFonts w:ascii="Avenir Next" w:hAnsi="Avenir Next" w:cs="Arial"/>
                <w:color w:val="808080" w:themeColor="background1" w:themeShade="80"/>
                <w:sz w:val="22"/>
                <w:szCs w:val="22"/>
                <w:lang w:val="en-GB"/>
              </w:rPr>
              <w:footnoteReference w:id="32"/>
            </w:r>
            <w:r w:rsidR="00234C3C">
              <w:rPr>
                <w:rFonts w:ascii="Avenir Next" w:hAnsi="Avenir Next" w:cs="Arial"/>
                <w:color w:val="808080" w:themeColor="background1" w:themeShade="80"/>
                <w:sz w:val="22"/>
                <w:szCs w:val="22"/>
                <w:lang w:val="en-GB"/>
              </w:rPr>
              <w:t>.</w:t>
            </w:r>
          </w:p>
        </w:tc>
      </w:tr>
      <w:tr w:rsidR="00906C5D" w14:paraId="2B475552" w14:textId="77777777" w:rsidTr="00566676">
        <w:tc>
          <w:tcPr>
            <w:tcW w:w="421" w:type="dxa"/>
          </w:tcPr>
          <w:p w14:paraId="7FEFD167" w14:textId="506D6EA9" w:rsidR="00566676" w:rsidRPr="00AC3B2F" w:rsidRDefault="00701051"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5.</w:t>
            </w:r>
          </w:p>
        </w:tc>
        <w:tc>
          <w:tcPr>
            <w:tcW w:w="3798" w:type="dxa"/>
          </w:tcPr>
          <w:p w14:paraId="54A4EF6D" w14:textId="0268B6A8" w:rsidR="00566676" w:rsidRPr="00AC3B2F" w:rsidRDefault="00701051"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Dealings with property</w:t>
            </w:r>
          </w:p>
        </w:tc>
        <w:tc>
          <w:tcPr>
            <w:tcW w:w="2386" w:type="dxa"/>
          </w:tcPr>
          <w:p w14:paraId="56820E6D" w14:textId="635F70AF" w:rsidR="00566676" w:rsidRPr="00AC3B2F" w:rsidRDefault="00DF1FF5"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can ask for details of any dealings with the property</w:t>
            </w:r>
            <w:r>
              <w:rPr>
                <w:rStyle w:val="FootnoteReference"/>
                <w:rFonts w:ascii="Avenir Next" w:hAnsi="Avenir Next" w:cs="Arial"/>
                <w:color w:val="808080" w:themeColor="background1" w:themeShade="80"/>
                <w:sz w:val="22"/>
                <w:szCs w:val="22"/>
                <w:lang w:val="en-GB"/>
              </w:rPr>
              <w:footnoteReference w:id="33"/>
            </w:r>
            <w:r w:rsidR="00171735">
              <w:rPr>
                <w:rFonts w:ascii="Avenir Next" w:hAnsi="Avenir Next" w:cs="Arial"/>
                <w:color w:val="808080" w:themeColor="background1" w:themeShade="80"/>
                <w:sz w:val="22"/>
                <w:szCs w:val="22"/>
                <w:lang w:val="en-GB"/>
              </w:rPr>
              <w:t>. Or a creditor can make an application restraining the company from dealing/disposing any property</w:t>
            </w:r>
            <w:r w:rsidR="00A569FC">
              <w:rPr>
                <w:rFonts w:ascii="Avenir Next" w:hAnsi="Avenir Next" w:cs="Arial"/>
                <w:color w:val="808080" w:themeColor="background1" w:themeShade="80"/>
                <w:sz w:val="22"/>
                <w:szCs w:val="22"/>
                <w:lang w:val="en-GB"/>
              </w:rPr>
              <w:t xml:space="preserve"> to the prejudice of the creditor or the scheme</w:t>
            </w:r>
            <w:r w:rsidR="00A569FC">
              <w:rPr>
                <w:rStyle w:val="FootnoteReference"/>
                <w:rFonts w:ascii="Avenir Next" w:hAnsi="Avenir Next" w:cs="Arial"/>
                <w:color w:val="808080" w:themeColor="background1" w:themeShade="80"/>
                <w:sz w:val="22"/>
                <w:szCs w:val="22"/>
                <w:lang w:val="en-GB"/>
              </w:rPr>
              <w:footnoteReference w:id="34"/>
            </w:r>
            <w:r w:rsidR="00234C3C">
              <w:rPr>
                <w:rFonts w:ascii="Avenir Next" w:hAnsi="Avenir Next" w:cs="Arial"/>
                <w:color w:val="808080" w:themeColor="background1" w:themeShade="80"/>
                <w:sz w:val="22"/>
                <w:szCs w:val="22"/>
                <w:lang w:val="en-GB"/>
              </w:rPr>
              <w:t>.</w:t>
            </w:r>
          </w:p>
        </w:tc>
        <w:tc>
          <w:tcPr>
            <w:tcW w:w="2411" w:type="dxa"/>
          </w:tcPr>
          <w:p w14:paraId="56703FAB" w14:textId="63CDA5D3" w:rsidR="00566676" w:rsidRPr="00AC3B2F" w:rsidRDefault="00234C3C"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mentioned above in Sr. No. 4, the judicial officer has powers to deal with the properties belonging to the company.</w:t>
            </w:r>
          </w:p>
        </w:tc>
      </w:tr>
      <w:tr w:rsidR="00906C5D" w14:paraId="31A85DE6" w14:textId="77777777" w:rsidTr="00566676">
        <w:tc>
          <w:tcPr>
            <w:tcW w:w="421" w:type="dxa"/>
          </w:tcPr>
          <w:p w14:paraId="0226580F" w14:textId="2F2A3628" w:rsidR="00566676" w:rsidRPr="00AC3B2F" w:rsidRDefault="00906C5D"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6. </w:t>
            </w:r>
          </w:p>
        </w:tc>
        <w:tc>
          <w:tcPr>
            <w:tcW w:w="3798" w:type="dxa"/>
          </w:tcPr>
          <w:p w14:paraId="6AA0E83A" w14:textId="646BBC89" w:rsidR="00566676" w:rsidRPr="00AC3B2F" w:rsidRDefault="00906C5D"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Administration of Claims</w:t>
            </w:r>
            <w:r w:rsidR="00B2147E">
              <w:rPr>
                <w:rFonts w:ascii="Avenir Next" w:hAnsi="Avenir Next" w:cs="Arial"/>
                <w:color w:val="808080" w:themeColor="background1" w:themeShade="80"/>
                <w:sz w:val="22"/>
                <w:szCs w:val="22"/>
                <w:lang w:val="en-GB"/>
              </w:rPr>
              <w:t>/creditors meeting</w:t>
            </w:r>
          </w:p>
        </w:tc>
        <w:tc>
          <w:tcPr>
            <w:tcW w:w="2386" w:type="dxa"/>
          </w:tcPr>
          <w:p w14:paraId="39F9F72D" w14:textId="6A978C4E" w:rsidR="00566676" w:rsidRPr="00AC3B2F" w:rsidRDefault="00E61E7D" w:rsidP="001A18E7">
            <w:pPr>
              <w:jc w:val="both"/>
              <w:rPr>
                <w:rFonts w:ascii="Avenir Next" w:hAnsi="Avenir Next" w:cs="Arial"/>
                <w:color w:val="808080" w:themeColor="background1" w:themeShade="80"/>
                <w:sz w:val="22"/>
                <w:szCs w:val="22"/>
                <w:lang w:val="en-GB"/>
              </w:rPr>
            </w:pPr>
            <w:r>
              <w:rPr>
                <w:rStyle w:val="FootnoteReference"/>
                <w:rFonts w:ascii="Avenir Next" w:hAnsi="Avenir Next" w:cs="Arial"/>
                <w:color w:val="808080" w:themeColor="background1" w:themeShade="80"/>
                <w:sz w:val="22"/>
                <w:szCs w:val="22"/>
                <w:lang w:val="en-GB"/>
              </w:rPr>
              <w:footnoteReference w:id="35"/>
            </w:r>
            <w:r w:rsidR="00A23E67">
              <w:rPr>
                <w:rFonts w:ascii="Avenir Next" w:hAnsi="Avenir Next" w:cs="Arial"/>
                <w:color w:val="808080" w:themeColor="background1" w:themeShade="80"/>
                <w:sz w:val="22"/>
                <w:szCs w:val="22"/>
                <w:lang w:val="en-GB"/>
              </w:rPr>
              <w:t xml:space="preserve">After court approval, the company can lay down the methodology and timelines of claim </w:t>
            </w:r>
            <w:r w:rsidR="00B96FE9">
              <w:rPr>
                <w:rFonts w:ascii="Avenir Next" w:hAnsi="Avenir Next" w:cs="Arial"/>
                <w:color w:val="808080" w:themeColor="background1" w:themeShade="80"/>
                <w:sz w:val="22"/>
                <w:szCs w:val="22"/>
                <w:lang w:val="en-GB"/>
              </w:rPr>
              <w:t>submissions</w:t>
            </w:r>
            <w:r w:rsidR="006A6DA2">
              <w:rPr>
                <w:rFonts w:ascii="Avenir Next" w:hAnsi="Avenir Next" w:cs="Arial"/>
                <w:color w:val="808080" w:themeColor="background1" w:themeShade="80"/>
                <w:sz w:val="22"/>
                <w:szCs w:val="22"/>
                <w:lang w:val="en-GB"/>
              </w:rPr>
              <w:t xml:space="preserve">, which can </w:t>
            </w:r>
            <w:r w:rsidR="00274A79">
              <w:rPr>
                <w:rFonts w:ascii="Avenir Next" w:hAnsi="Avenir Next" w:cs="Arial"/>
                <w:color w:val="808080" w:themeColor="background1" w:themeShade="80"/>
                <w:sz w:val="22"/>
                <w:szCs w:val="22"/>
                <w:lang w:val="en-GB"/>
              </w:rPr>
              <w:t>be extended</w:t>
            </w:r>
            <w:r w:rsidR="006A6DA2">
              <w:rPr>
                <w:rFonts w:ascii="Avenir Next" w:hAnsi="Avenir Next" w:cs="Arial"/>
                <w:color w:val="808080" w:themeColor="background1" w:themeShade="80"/>
                <w:sz w:val="22"/>
                <w:szCs w:val="22"/>
                <w:lang w:val="en-GB"/>
              </w:rPr>
              <w:t xml:space="preserve"> by the court</w:t>
            </w:r>
            <w:r w:rsidR="00B96FE9">
              <w:rPr>
                <w:rFonts w:ascii="Avenir Next" w:hAnsi="Avenir Next" w:cs="Arial"/>
                <w:color w:val="808080" w:themeColor="background1" w:themeShade="80"/>
                <w:sz w:val="22"/>
                <w:szCs w:val="22"/>
                <w:lang w:val="en-GB"/>
              </w:rPr>
              <w:t xml:space="preserve"> and is adjudicated </w:t>
            </w:r>
            <w:r w:rsidR="005C03D5">
              <w:rPr>
                <w:rFonts w:ascii="Avenir Next" w:hAnsi="Avenir Next" w:cs="Arial"/>
                <w:color w:val="808080" w:themeColor="background1" w:themeShade="80"/>
                <w:sz w:val="22"/>
                <w:szCs w:val="22"/>
                <w:lang w:val="en-GB"/>
              </w:rPr>
              <w:t xml:space="preserve">by </w:t>
            </w:r>
            <w:r w:rsidR="00B96FE9">
              <w:rPr>
                <w:rFonts w:ascii="Avenir Next" w:hAnsi="Avenir Next" w:cs="Arial"/>
                <w:color w:val="808080" w:themeColor="background1" w:themeShade="80"/>
                <w:sz w:val="22"/>
                <w:szCs w:val="22"/>
                <w:lang w:val="en-GB"/>
              </w:rPr>
              <w:t>a person wh</w:t>
            </w:r>
            <w:r w:rsidR="00B96FE9" w:rsidRPr="00B96FE9">
              <w:rPr>
                <w:rFonts w:ascii="Avenir Next" w:hAnsi="Avenir Next" w:cs="Arial"/>
                <w:color w:val="808080" w:themeColor="background1" w:themeShade="80"/>
                <w:sz w:val="22"/>
                <w:szCs w:val="22"/>
                <w:lang w:val="en-GB"/>
              </w:rPr>
              <w:t>o is appointed by the Court to serve as the chairperson of the meeting summoned</w:t>
            </w:r>
            <w:r w:rsidR="007B52CD">
              <w:rPr>
                <w:rFonts w:ascii="Avenir Next" w:hAnsi="Avenir Next" w:cs="Arial"/>
                <w:color w:val="808080" w:themeColor="background1" w:themeShade="80"/>
                <w:sz w:val="22"/>
                <w:szCs w:val="22"/>
                <w:lang w:val="en-GB"/>
              </w:rPr>
              <w:t xml:space="preserve">. Any dispute qua the claims can be </w:t>
            </w:r>
            <w:r>
              <w:rPr>
                <w:rFonts w:ascii="Avenir Next" w:hAnsi="Avenir Next" w:cs="Arial"/>
                <w:color w:val="808080" w:themeColor="background1" w:themeShade="80"/>
                <w:sz w:val="22"/>
                <w:szCs w:val="22"/>
                <w:lang w:val="en-GB"/>
              </w:rPr>
              <w:t>adjudicated by a mutually appointed assessor or by the court.</w:t>
            </w:r>
          </w:p>
        </w:tc>
        <w:tc>
          <w:tcPr>
            <w:tcW w:w="2411" w:type="dxa"/>
          </w:tcPr>
          <w:p w14:paraId="458C47B9" w14:textId="06E3852F" w:rsidR="00566676" w:rsidRPr="00AC3B2F" w:rsidRDefault="00B2147E" w:rsidP="001A18E7">
            <w:pPr>
              <w:jc w:val="both"/>
              <w:rPr>
                <w:rFonts w:ascii="Avenir Next" w:hAnsi="Avenir Next" w:cs="Arial"/>
                <w:color w:val="808080" w:themeColor="background1" w:themeShade="80"/>
                <w:sz w:val="22"/>
                <w:szCs w:val="22"/>
                <w:lang w:val="en-GB"/>
              </w:rPr>
            </w:pPr>
            <w:r>
              <w:rPr>
                <w:rStyle w:val="FootnoteReference"/>
                <w:rFonts w:ascii="Avenir Next" w:hAnsi="Avenir Next" w:cs="Arial"/>
                <w:color w:val="808080" w:themeColor="background1" w:themeShade="80"/>
                <w:sz w:val="22"/>
                <w:szCs w:val="22"/>
                <w:lang w:val="en-GB"/>
              </w:rPr>
              <w:footnoteReference w:id="36"/>
            </w:r>
            <w:r w:rsidR="004911A2">
              <w:rPr>
                <w:rFonts w:ascii="Avenir Next" w:hAnsi="Avenir Next" w:cs="Arial"/>
                <w:color w:val="808080" w:themeColor="background1" w:themeShade="80"/>
                <w:sz w:val="22"/>
                <w:szCs w:val="22"/>
                <w:lang w:val="en-GB"/>
              </w:rPr>
              <w:t>The judicial officer</w:t>
            </w:r>
            <w:r>
              <w:rPr>
                <w:rFonts w:ascii="Avenir Next" w:hAnsi="Avenir Next" w:cs="Arial"/>
                <w:color w:val="808080" w:themeColor="background1" w:themeShade="80"/>
                <w:sz w:val="22"/>
                <w:szCs w:val="22"/>
                <w:lang w:val="en-GB"/>
              </w:rPr>
              <w:t xml:space="preserve"> is supposed to administer a meeting of creditors and also collect claims</w:t>
            </w:r>
          </w:p>
        </w:tc>
      </w:tr>
      <w:tr w:rsidR="0067354E" w14:paraId="64EBBBE7" w14:textId="77777777" w:rsidTr="00566676">
        <w:tc>
          <w:tcPr>
            <w:tcW w:w="421" w:type="dxa"/>
          </w:tcPr>
          <w:p w14:paraId="06737DFF" w14:textId="54BAD52E" w:rsidR="0067354E" w:rsidRDefault="0067354E"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7.</w:t>
            </w:r>
          </w:p>
        </w:tc>
        <w:tc>
          <w:tcPr>
            <w:tcW w:w="3798" w:type="dxa"/>
          </w:tcPr>
          <w:p w14:paraId="17B55C42" w14:textId="2545F9A5" w:rsidR="0067354E" w:rsidRDefault="0067354E"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Approval threshold</w:t>
            </w:r>
          </w:p>
        </w:tc>
        <w:tc>
          <w:tcPr>
            <w:tcW w:w="2386" w:type="dxa"/>
          </w:tcPr>
          <w:p w14:paraId="23A1016E" w14:textId="371A8420" w:rsidR="0067354E" w:rsidRDefault="002771DF" w:rsidP="001A18E7">
            <w:pPr>
              <w:jc w:val="both"/>
              <w:rPr>
                <w:rStyle w:val="FootnoteReference"/>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Majority of 75% or more</w:t>
            </w:r>
            <w:r w:rsidR="008964C4">
              <w:rPr>
                <w:rFonts w:ascii="Avenir Next" w:hAnsi="Avenir Next" w:cs="Arial"/>
                <w:color w:val="808080" w:themeColor="background1" w:themeShade="80"/>
                <w:sz w:val="22"/>
                <w:szCs w:val="22"/>
                <w:lang w:val="en-GB"/>
              </w:rPr>
              <w:t xml:space="preserve"> in value of the respective classes of creditors present and voting</w:t>
            </w:r>
          </w:p>
        </w:tc>
        <w:tc>
          <w:tcPr>
            <w:tcW w:w="2411" w:type="dxa"/>
          </w:tcPr>
          <w:p w14:paraId="72C0AE4D" w14:textId="2D996F66" w:rsidR="0067354E" w:rsidRDefault="00543209" w:rsidP="001A18E7">
            <w:pPr>
              <w:jc w:val="both"/>
              <w:rPr>
                <w:rStyle w:val="FootnoteReference"/>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Majority of 75% or more in value of the respective classes of creditors present and voting</w:t>
            </w:r>
          </w:p>
        </w:tc>
      </w:tr>
      <w:tr w:rsidR="00906C5D" w14:paraId="42DE3BC2" w14:textId="77777777" w:rsidTr="00566676">
        <w:tc>
          <w:tcPr>
            <w:tcW w:w="421" w:type="dxa"/>
          </w:tcPr>
          <w:p w14:paraId="6F4470DD" w14:textId="5B5E4350" w:rsidR="00566676" w:rsidRPr="00AC3B2F" w:rsidRDefault="00D04293"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8.</w:t>
            </w:r>
          </w:p>
        </w:tc>
        <w:tc>
          <w:tcPr>
            <w:tcW w:w="3798" w:type="dxa"/>
          </w:tcPr>
          <w:p w14:paraId="2327044B" w14:textId="6CAC7FC6" w:rsidR="00566676" w:rsidRPr="00AC3B2F" w:rsidRDefault="00D04293"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Onerous Contracts</w:t>
            </w:r>
          </w:p>
        </w:tc>
        <w:tc>
          <w:tcPr>
            <w:tcW w:w="2386" w:type="dxa"/>
          </w:tcPr>
          <w:p w14:paraId="2ADC6C84" w14:textId="12521768" w:rsidR="00566676" w:rsidRPr="00AC3B2F" w:rsidRDefault="00D04293"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Can</w:t>
            </w:r>
            <w:r w:rsidR="000C241A">
              <w:rPr>
                <w:rFonts w:ascii="Avenir Next" w:hAnsi="Avenir Next" w:cs="Arial"/>
                <w:color w:val="808080" w:themeColor="background1" w:themeShade="80"/>
                <w:sz w:val="22"/>
                <w:szCs w:val="22"/>
                <w:lang w:val="en-GB"/>
              </w:rPr>
              <w:t>not be disclaimed</w:t>
            </w:r>
          </w:p>
        </w:tc>
        <w:tc>
          <w:tcPr>
            <w:tcW w:w="2411" w:type="dxa"/>
          </w:tcPr>
          <w:p w14:paraId="653BD16D" w14:textId="2E0DA9D7" w:rsidR="00566676" w:rsidRPr="00AC3B2F" w:rsidRDefault="000C241A"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officer has powers to disclaim onerous contracts</w:t>
            </w:r>
            <w:r w:rsidR="001F09F4">
              <w:rPr>
                <w:rFonts w:ascii="Avenir Next" w:hAnsi="Avenir Next" w:cs="Arial"/>
                <w:color w:val="808080" w:themeColor="background1" w:themeShade="80"/>
                <w:sz w:val="22"/>
                <w:szCs w:val="22"/>
                <w:lang w:val="en-GB"/>
              </w:rPr>
              <w:t>.</w:t>
            </w:r>
          </w:p>
        </w:tc>
      </w:tr>
      <w:tr w:rsidR="007826FB" w14:paraId="0CC14E53" w14:textId="77777777" w:rsidTr="00566676">
        <w:tc>
          <w:tcPr>
            <w:tcW w:w="421" w:type="dxa"/>
          </w:tcPr>
          <w:p w14:paraId="5C506A95" w14:textId="19EEF182" w:rsidR="007826FB" w:rsidRDefault="007826FB"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9.</w:t>
            </w:r>
          </w:p>
        </w:tc>
        <w:tc>
          <w:tcPr>
            <w:tcW w:w="3798" w:type="dxa"/>
          </w:tcPr>
          <w:p w14:paraId="1415BCDC" w14:textId="268A465A" w:rsidR="007826FB" w:rsidRDefault="007826FB"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 intervention</w:t>
            </w:r>
          </w:p>
        </w:tc>
        <w:tc>
          <w:tcPr>
            <w:tcW w:w="2386" w:type="dxa"/>
          </w:tcPr>
          <w:p w14:paraId="20FAF886" w14:textId="5C0E60AC" w:rsidR="007826FB" w:rsidRDefault="007826FB"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High</w:t>
            </w:r>
          </w:p>
        </w:tc>
        <w:tc>
          <w:tcPr>
            <w:tcW w:w="2411" w:type="dxa"/>
          </w:tcPr>
          <w:p w14:paraId="571CF3C9" w14:textId="0B99856A" w:rsidR="007826FB" w:rsidRDefault="001F09F4"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 as high as under a scheme of arrangement.</w:t>
            </w:r>
          </w:p>
        </w:tc>
      </w:tr>
      <w:tr w:rsidR="005A6B48" w14:paraId="2E2538E6" w14:textId="77777777" w:rsidTr="00566676">
        <w:tc>
          <w:tcPr>
            <w:tcW w:w="421" w:type="dxa"/>
          </w:tcPr>
          <w:p w14:paraId="5B1E3CB6" w14:textId="442000D2" w:rsidR="005A6B48" w:rsidRDefault="001A18E7"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10.</w:t>
            </w:r>
          </w:p>
        </w:tc>
        <w:tc>
          <w:tcPr>
            <w:tcW w:w="3798" w:type="dxa"/>
          </w:tcPr>
          <w:p w14:paraId="320BE98F" w14:textId="54CEB171" w:rsidR="005A6B48" w:rsidRDefault="00A96B70" w:rsidP="001A18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Benefits </w:t>
            </w:r>
          </w:p>
        </w:tc>
        <w:tc>
          <w:tcPr>
            <w:tcW w:w="2386" w:type="dxa"/>
          </w:tcPr>
          <w:p w14:paraId="3A554CE8" w14:textId="77777777" w:rsidR="005A6B48" w:rsidRDefault="00A96B70" w:rsidP="001A18E7">
            <w:pPr>
              <w:pStyle w:val="ListParagraph"/>
              <w:numPr>
                <w:ilvl w:val="0"/>
                <w:numId w:val="25"/>
              </w:numPr>
              <w:jc w:val="both"/>
              <w:rPr>
                <w:rFonts w:ascii="Avenir Next" w:hAnsi="Avenir Next" w:cs="Arial"/>
                <w:color w:val="808080" w:themeColor="background1" w:themeShade="80"/>
                <w:sz w:val="22"/>
                <w:szCs w:val="22"/>
                <w:lang w:val="en-GB"/>
              </w:rPr>
            </w:pPr>
            <w:r w:rsidRPr="00A96B70">
              <w:rPr>
                <w:rFonts w:ascii="Avenir Next" w:hAnsi="Avenir Next" w:cs="Arial"/>
                <w:color w:val="808080" w:themeColor="background1" w:themeShade="80"/>
                <w:sz w:val="22"/>
                <w:szCs w:val="22"/>
                <w:lang w:val="en-GB"/>
              </w:rPr>
              <w:t>I</w:t>
            </w:r>
            <w:r w:rsidRPr="00A96B70">
              <w:rPr>
                <w:rFonts w:ascii="Avenir Next" w:hAnsi="Avenir Next" w:cs="Arial"/>
                <w:color w:val="808080" w:themeColor="background1" w:themeShade="80"/>
                <w:sz w:val="22"/>
                <w:szCs w:val="22"/>
                <w:lang w:val="en-GB"/>
              </w:rPr>
              <w:t>n addition to its binding nature, the benefit of a scheme of arrangement to the company is that its current management remains in place with full powers to carry on the business, subject only in certain cases to oversight by an insolvency professional.</w:t>
            </w:r>
            <w:r>
              <w:rPr>
                <w:rStyle w:val="FootnoteReference"/>
                <w:rFonts w:ascii="Avenir Next" w:hAnsi="Avenir Next" w:cs="Arial"/>
                <w:color w:val="808080" w:themeColor="background1" w:themeShade="80"/>
                <w:sz w:val="22"/>
                <w:szCs w:val="22"/>
                <w:lang w:val="en-GB"/>
              </w:rPr>
              <w:footnoteReference w:id="37"/>
            </w:r>
          </w:p>
          <w:p w14:paraId="6D97A086" w14:textId="77777777" w:rsidR="009321B1" w:rsidRDefault="009321B1" w:rsidP="001A18E7">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Ipso facto clauses are stayed</w:t>
            </w:r>
          </w:p>
          <w:p w14:paraId="0E0BEBD1" w14:textId="03867B8D" w:rsidR="007610E4" w:rsidRPr="00A96B70" w:rsidRDefault="007610E4" w:rsidP="001A18E7">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 can cram-down on the dissenting creditors holding up the approval of the scheme </w:t>
            </w:r>
          </w:p>
        </w:tc>
        <w:tc>
          <w:tcPr>
            <w:tcW w:w="2411" w:type="dxa"/>
          </w:tcPr>
          <w:p w14:paraId="63EADBBF" w14:textId="3B764BB3" w:rsidR="004C6959" w:rsidRPr="004C6959" w:rsidRDefault="004C6959" w:rsidP="001A18E7">
            <w:pPr>
              <w:pStyle w:val="ListParagraph"/>
              <w:numPr>
                <w:ilvl w:val="0"/>
                <w:numId w:val="27"/>
              </w:numPr>
              <w:jc w:val="both"/>
              <w:rPr>
                <w:rFonts w:ascii="Avenir Next" w:hAnsi="Avenir Next" w:cs="Arial"/>
                <w:color w:val="808080" w:themeColor="background1" w:themeShade="80"/>
                <w:sz w:val="22"/>
                <w:szCs w:val="22"/>
                <w:lang w:val="en-GB"/>
              </w:rPr>
            </w:pPr>
            <w:r w:rsidRPr="004C6959">
              <w:rPr>
                <w:rFonts w:ascii="Avenir Next" w:hAnsi="Avenir Next" w:cs="Arial"/>
                <w:color w:val="808080" w:themeColor="background1" w:themeShade="80"/>
                <w:sz w:val="22"/>
                <w:szCs w:val="22"/>
                <w:lang w:val="en-GB"/>
              </w:rPr>
              <w:t>Ipso facto clauses are stayed</w:t>
            </w:r>
          </w:p>
          <w:p w14:paraId="7A6274BC" w14:textId="54D8BEB9" w:rsidR="005A6B48" w:rsidRPr="004C6959" w:rsidRDefault="008816CD" w:rsidP="001A18E7">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w:t>
            </w:r>
            <w:r w:rsidR="00D76FB2" w:rsidRPr="00D76FB2">
              <w:rPr>
                <w:rFonts w:ascii="Avenir Next" w:hAnsi="Avenir Next" w:cs="Arial"/>
                <w:color w:val="808080" w:themeColor="background1" w:themeShade="80"/>
                <w:sz w:val="22"/>
                <w:szCs w:val="22"/>
                <w:lang w:val="en-GB"/>
              </w:rPr>
              <w:t>ere an application to court for judicial management is made, the floating charge holder’s opposition will only block the judicial management if the court is of the view that the prejudice that would be caused to it if the order is made is disproportionately greater than the prejudice that would be caused to unsecured creditors of the company if the application is dismissed</w:t>
            </w:r>
            <w:r w:rsidR="00D76FB2">
              <w:rPr>
                <w:rStyle w:val="FootnoteReference"/>
                <w:rFonts w:ascii="Avenir Next" w:hAnsi="Avenir Next" w:cs="Arial"/>
                <w:color w:val="808080" w:themeColor="background1" w:themeShade="80"/>
                <w:sz w:val="22"/>
                <w:szCs w:val="22"/>
                <w:lang w:val="en-GB"/>
              </w:rPr>
              <w:footnoteReference w:id="38"/>
            </w:r>
          </w:p>
        </w:tc>
      </w:tr>
    </w:tbl>
    <w:p w14:paraId="2C61397A" w14:textId="3BFF4B5F"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w:t>
      </w:r>
      <w:r w:rsidRPr="0018452A">
        <w:rPr>
          <w:rFonts w:ascii="Avenir Next" w:hAnsi="Avenir Next"/>
          <w:sz w:val="22"/>
          <w:szCs w:val="22"/>
        </w:rPr>
        <w:lastRenderedPageBreak/>
        <w:t>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28C3B1CA" w14:textId="77777777" w:rsidR="00EA37B9" w:rsidRPr="00EA37B9" w:rsidRDefault="00EA37B9" w:rsidP="00CC0566">
      <w:pPr>
        <w:pStyle w:val="ListParagraph"/>
        <w:numPr>
          <w:ilvl w:val="0"/>
          <w:numId w:val="28"/>
        </w:numPr>
        <w:jc w:val="both"/>
        <w:rPr>
          <w:rFonts w:ascii="Avenir Next" w:eastAsia="Calibri" w:hAnsi="Avenir Next" w:cs="Arial"/>
          <w:sz w:val="22"/>
          <w:szCs w:val="22"/>
          <w:lang w:val="en-ZA"/>
        </w:rPr>
      </w:pPr>
    </w:p>
    <w:p w14:paraId="16CF35FE" w14:textId="2B8BAEF5" w:rsidR="00100A09" w:rsidRPr="00EA37B9" w:rsidRDefault="00CC0566" w:rsidP="00BF23A3">
      <w:pPr>
        <w:jc w:val="both"/>
        <w:rPr>
          <w:rFonts w:ascii="Avenir Next" w:eastAsia="Calibri" w:hAnsi="Avenir Next" w:cs="Arial"/>
          <w:sz w:val="22"/>
          <w:szCs w:val="22"/>
          <w:lang w:val="en-ZA"/>
        </w:rPr>
      </w:pPr>
      <w:r w:rsidRPr="00EA37B9">
        <w:rPr>
          <w:rFonts w:ascii="Avenir Next" w:eastAsia="Calibri" w:hAnsi="Avenir Next" w:cs="Arial"/>
          <w:color w:val="808080" w:themeColor="background1" w:themeShade="80"/>
          <w:sz w:val="22"/>
          <w:szCs w:val="22"/>
          <w:lang w:val="en-ZA"/>
        </w:rPr>
        <w:t>Th</w:t>
      </w:r>
      <w:r w:rsidRPr="00EA37B9">
        <w:rPr>
          <w:rFonts w:ascii="Avenir Next" w:hAnsi="Avenir Next" w:cs="Arial"/>
          <w:color w:val="808080" w:themeColor="background1" w:themeShade="80"/>
          <w:sz w:val="22"/>
          <w:szCs w:val="22"/>
          <w:lang w:val="en-GB"/>
        </w:rPr>
        <w:t>e purpose of judicial management is</w:t>
      </w:r>
      <w:r w:rsidR="001812BB" w:rsidRPr="001812BB">
        <w:rPr>
          <w:rStyle w:val="FootnoteReference"/>
          <w:rFonts w:ascii="Avenir Next" w:eastAsia="Calibri" w:hAnsi="Avenir Next" w:cs="Arial"/>
          <w:color w:val="808080" w:themeColor="background1" w:themeShade="80"/>
          <w:sz w:val="22"/>
          <w:szCs w:val="22"/>
          <w:lang w:val="en-ZA"/>
        </w:rPr>
        <w:footnoteReference w:id="39"/>
      </w:r>
      <w:r w:rsidRPr="00EA37B9">
        <w:rPr>
          <w:rFonts w:ascii="Avenir Next" w:eastAsia="Calibri" w:hAnsi="Avenir Next" w:cs="Arial"/>
          <w:sz w:val="22"/>
          <w:szCs w:val="22"/>
          <w:lang w:val="en-ZA"/>
        </w:rPr>
        <w:t>:</w:t>
      </w:r>
    </w:p>
    <w:p w14:paraId="57BBBE7E" w14:textId="7E279699" w:rsidR="00CC0566" w:rsidRPr="001812BB" w:rsidRDefault="00CC0566" w:rsidP="00CC0566">
      <w:pPr>
        <w:pStyle w:val="ListParagraph"/>
        <w:numPr>
          <w:ilvl w:val="0"/>
          <w:numId w:val="29"/>
        </w:numPr>
        <w:jc w:val="both"/>
        <w:rPr>
          <w:rFonts w:ascii="Avenir Next" w:hAnsi="Avenir Next" w:cs="Arial"/>
          <w:color w:val="808080" w:themeColor="background1" w:themeShade="80"/>
          <w:sz w:val="22"/>
          <w:szCs w:val="22"/>
          <w:lang w:val="en-GB"/>
        </w:rPr>
      </w:pPr>
      <w:r w:rsidRPr="001812BB">
        <w:rPr>
          <w:rFonts w:ascii="Avenir Next" w:hAnsi="Avenir Next" w:cs="Arial"/>
          <w:color w:val="808080" w:themeColor="background1" w:themeShade="80"/>
          <w:sz w:val="22"/>
          <w:szCs w:val="22"/>
          <w:lang w:val="en-GB"/>
        </w:rPr>
        <w:t xml:space="preserve">The survival of the company </w:t>
      </w:r>
      <w:r w:rsidR="000C6528" w:rsidRPr="001812BB">
        <w:rPr>
          <w:rFonts w:ascii="Avenir Next" w:hAnsi="Avenir Next" w:cs="Arial"/>
          <w:color w:val="808080" w:themeColor="background1" w:themeShade="80"/>
          <w:sz w:val="22"/>
          <w:szCs w:val="22"/>
          <w:lang w:val="en-GB"/>
        </w:rPr>
        <w:t>or the whole or part of its undertaking, as a going concern;</w:t>
      </w:r>
    </w:p>
    <w:p w14:paraId="606E6905" w14:textId="13B4DA0D" w:rsidR="000C6528" w:rsidRPr="000C6528" w:rsidRDefault="000C6528" w:rsidP="00CC0566">
      <w:pPr>
        <w:pStyle w:val="ListParagraph"/>
        <w:numPr>
          <w:ilvl w:val="0"/>
          <w:numId w:val="29"/>
        </w:numPr>
        <w:jc w:val="both"/>
        <w:rPr>
          <w:rFonts w:ascii="Avenir Next" w:eastAsia="Calibri" w:hAnsi="Avenir Next" w:cs="Arial"/>
          <w:sz w:val="22"/>
          <w:szCs w:val="22"/>
          <w:lang w:val="en-ZA"/>
        </w:rPr>
      </w:pPr>
      <w:r w:rsidRPr="00AC3B2F">
        <w:rPr>
          <w:rFonts w:ascii="Avenir Next" w:hAnsi="Avenir Next" w:cs="Arial"/>
          <w:color w:val="808080" w:themeColor="background1" w:themeShade="80"/>
          <w:sz w:val="22"/>
          <w:szCs w:val="22"/>
          <w:lang w:val="en-GB"/>
        </w:rPr>
        <w:t>or approval of a scheme of arrangement under section 210/71 of the IRD Act</w:t>
      </w:r>
      <w:r w:rsidR="001812BB">
        <w:rPr>
          <w:rFonts w:ascii="Avenir Next" w:hAnsi="Avenir Next" w:cs="Arial"/>
          <w:color w:val="808080" w:themeColor="background1" w:themeShade="80"/>
          <w:sz w:val="22"/>
          <w:szCs w:val="22"/>
          <w:lang w:val="en-GB"/>
        </w:rPr>
        <w:t>;</w:t>
      </w:r>
    </w:p>
    <w:p w14:paraId="40E64095" w14:textId="3EADFE03" w:rsidR="000C6528" w:rsidRPr="00CC0566" w:rsidRDefault="000C6528" w:rsidP="00CC0566">
      <w:pPr>
        <w:pStyle w:val="ListParagraph"/>
        <w:numPr>
          <w:ilvl w:val="0"/>
          <w:numId w:val="29"/>
        </w:numPr>
        <w:jc w:val="both"/>
        <w:rPr>
          <w:rFonts w:ascii="Avenir Next" w:eastAsia="Calibri" w:hAnsi="Avenir Next" w:cs="Arial"/>
          <w:sz w:val="22"/>
          <w:szCs w:val="22"/>
          <w:lang w:val="en-ZA"/>
        </w:rPr>
      </w:pPr>
      <w:r w:rsidRPr="00AC3B2F">
        <w:rPr>
          <w:rFonts w:ascii="Avenir Next" w:hAnsi="Avenir Next" w:cs="Arial"/>
          <w:color w:val="808080" w:themeColor="background1" w:themeShade="80"/>
          <w:sz w:val="22"/>
          <w:szCs w:val="22"/>
          <w:lang w:val="en-GB"/>
        </w:rPr>
        <w:t>a more advantageous realisation of the companies’ assets than under winding up</w:t>
      </w:r>
      <w:r w:rsidR="001812BB">
        <w:rPr>
          <w:rFonts w:ascii="Avenir Next" w:hAnsi="Avenir Next" w:cs="Arial"/>
          <w:color w:val="808080" w:themeColor="background1" w:themeShade="80"/>
          <w:sz w:val="22"/>
          <w:szCs w:val="22"/>
          <w:lang w:val="en-GB"/>
        </w:rPr>
        <w:t>.</w:t>
      </w:r>
    </w:p>
    <w:p w14:paraId="65C313FE" w14:textId="3A17FE0E" w:rsidR="008816CD" w:rsidRDefault="005F5865" w:rsidP="001812BB">
      <w:pPr>
        <w:jc w:val="both"/>
        <w:rPr>
          <w:rFonts w:ascii="Avenir Next" w:eastAsia="Calibri" w:hAnsi="Avenir Next" w:cs="Arial"/>
          <w:color w:val="808080" w:themeColor="background1" w:themeShade="80"/>
          <w:sz w:val="22"/>
          <w:szCs w:val="22"/>
          <w:lang w:val="en-ZA"/>
        </w:rPr>
      </w:pPr>
      <w:r w:rsidRPr="00BF23A3">
        <w:rPr>
          <w:rFonts w:ascii="Avenir Next" w:eastAsia="Calibri" w:hAnsi="Avenir Next" w:cs="Arial"/>
          <w:color w:val="808080" w:themeColor="background1" w:themeShade="80"/>
          <w:sz w:val="22"/>
          <w:szCs w:val="22"/>
          <w:lang w:val="en-ZA"/>
        </w:rPr>
        <w:lastRenderedPageBreak/>
        <w:t>T</w:t>
      </w:r>
      <w:r w:rsidR="00EA37B9" w:rsidRPr="00BF23A3">
        <w:rPr>
          <w:rFonts w:ascii="Avenir Next" w:eastAsia="Calibri" w:hAnsi="Avenir Next" w:cs="Arial"/>
          <w:color w:val="808080" w:themeColor="background1" w:themeShade="80"/>
          <w:sz w:val="22"/>
          <w:szCs w:val="22"/>
          <w:lang w:val="en-ZA"/>
        </w:rPr>
        <w:t>he</w:t>
      </w:r>
      <w:r w:rsidRPr="00BF23A3">
        <w:rPr>
          <w:rFonts w:ascii="Avenir Next" w:eastAsia="Calibri" w:hAnsi="Avenir Next" w:cs="Arial"/>
          <w:color w:val="808080" w:themeColor="background1" w:themeShade="80"/>
          <w:sz w:val="22"/>
          <w:szCs w:val="22"/>
          <w:lang w:val="en-ZA"/>
        </w:rPr>
        <w:t xml:space="preserve"> creditors should make an application to the court for placing the Company under judicial </w:t>
      </w:r>
      <w:r w:rsidR="007B78D1" w:rsidRPr="00BF23A3">
        <w:rPr>
          <w:rFonts w:ascii="Avenir Next" w:eastAsia="Calibri" w:hAnsi="Avenir Next" w:cs="Arial"/>
          <w:color w:val="808080" w:themeColor="background1" w:themeShade="80"/>
          <w:sz w:val="22"/>
          <w:szCs w:val="22"/>
          <w:lang w:val="en-ZA"/>
        </w:rPr>
        <w:t xml:space="preserve">management of judicial manager as per Section 90 of the IRD Act, where they consider that the Company is likely to be unable to pay its debts and that there is a reasonable </w:t>
      </w:r>
      <w:r w:rsidR="00BF23A3" w:rsidRPr="00BF23A3">
        <w:rPr>
          <w:rFonts w:ascii="Avenir Next" w:eastAsia="Calibri" w:hAnsi="Avenir Next" w:cs="Arial"/>
          <w:color w:val="808080" w:themeColor="background1" w:themeShade="80"/>
          <w:sz w:val="22"/>
          <w:szCs w:val="22"/>
          <w:lang w:val="en-ZA"/>
        </w:rPr>
        <w:t>of rehabilitation and rescue of business which is a better alternative to winding-up.</w:t>
      </w:r>
    </w:p>
    <w:p w14:paraId="7B5CDF7C" w14:textId="77777777" w:rsidR="008816CD" w:rsidRDefault="008816CD" w:rsidP="001812BB">
      <w:pPr>
        <w:jc w:val="both"/>
        <w:rPr>
          <w:rFonts w:ascii="Avenir Next" w:eastAsia="Calibri" w:hAnsi="Avenir Next" w:cs="Arial"/>
          <w:color w:val="808080" w:themeColor="background1" w:themeShade="80"/>
          <w:sz w:val="22"/>
          <w:szCs w:val="22"/>
          <w:lang w:val="en-ZA"/>
        </w:rPr>
      </w:pPr>
    </w:p>
    <w:p w14:paraId="71899473" w14:textId="77777777" w:rsidR="008816CD" w:rsidRDefault="008816CD" w:rsidP="001812BB">
      <w:pPr>
        <w:jc w:val="both"/>
        <w:rPr>
          <w:rFonts w:ascii="Avenir Next" w:eastAsia="Calibri" w:hAnsi="Avenir Next" w:cs="Arial"/>
          <w:color w:val="808080" w:themeColor="background1" w:themeShade="80"/>
          <w:sz w:val="22"/>
          <w:szCs w:val="22"/>
          <w:lang w:val="en-ZA"/>
        </w:rPr>
      </w:pPr>
    </w:p>
    <w:p w14:paraId="0E6ECCF9" w14:textId="3D13FBFB" w:rsidR="00B861A8" w:rsidRPr="00B861A8" w:rsidRDefault="00B861A8" w:rsidP="00B861A8">
      <w:pPr>
        <w:pStyle w:val="ListParagraph"/>
        <w:numPr>
          <w:ilvl w:val="0"/>
          <w:numId w:val="28"/>
        </w:numPr>
        <w:jc w:val="both"/>
        <w:rPr>
          <w:rFonts w:ascii="Avenir Next" w:eastAsia="Calibri" w:hAnsi="Avenir Next" w:cs="Arial"/>
          <w:color w:val="808080" w:themeColor="background1" w:themeShade="80"/>
          <w:sz w:val="22"/>
          <w:szCs w:val="22"/>
          <w:lang w:val="en-ZA"/>
        </w:rPr>
      </w:pPr>
    </w:p>
    <w:p w14:paraId="25C37AE9" w14:textId="77777777" w:rsidR="00B861A8" w:rsidRDefault="00B861A8" w:rsidP="00B861A8">
      <w:pPr>
        <w:jc w:val="both"/>
        <w:rPr>
          <w:rFonts w:ascii="Avenir Next" w:eastAsia="Calibri" w:hAnsi="Avenir Next" w:cs="Arial"/>
          <w:color w:val="808080" w:themeColor="background1" w:themeShade="80"/>
          <w:sz w:val="22"/>
          <w:szCs w:val="22"/>
          <w:lang w:val="en-ZA"/>
        </w:rPr>
      </w:pPr>
    </w:p>
    <w:p w14:paraId="4F010B61" w14:textId="54E66527" w:rsidR="00B861A8" w:rsidRDefault="00B861A8" w:rsidP="00B861A8">
      <w:pPr>
        <w:jc w:val="both"/>
        <w:rPr>
          <w:rFonts w:ascii="Avenir Next" w:eastAsia="Calibri" w:hAnsi="Avenir Next" w:cs="Arial"/>
          <w:color w:val="808080" w:themeColor="background1" w:themeShade="80"/>
          <w:sz w:val="22"/>
          <w:szCs w:val="22"/>
          <w:lang w:val="en-ZA"/>
        </w:rPr>
      </w:pPr>
      <w:r>
        <w:rPr>
          <w:rFonts w:ascii="Avenir Next" w:eastAsia="Calibri" w:hAnsi="Avenir Next" w:cs="Arial"/>
          <w:color w:val="808080" w:themeColor="background1" w:themeShade="80"/>
          <w:sz w:val="22"/>
          <w:szCs w:val="22"/>
          <w:lang w:val="en-ZA"/>
        </w:rPr>
        <w:t>For a court to order and approve rescue financing, the following conditions must be met:</w:t>
      </w:r>
    </w:p>
    <w:p w14:paraId="3755A94D" w14:textId="64358CBC" w:rsidR="00B861A8" w:rsidRPr="0069725C" w:rsidRDefault="00B861A8" w:rsidP="00B861A8">
      <w:pPr>
        <w:pStyle w:val="ListParagraph"/>
        <w:numPr>
          <w:ilvl w:val="0"/>
          <w:numId w:val="30"/>
        </w:numPr>
        <w:jc w:val="both"/>
        <w:rPr>
          <w:rFonts w:ascii="Avenir Next" w:hAnsi="Avenir Next" w:cs="Arial"/>
          <w:color w:val="808080" w:themeColor="background1" w:themeShade="80"/>
          <w:sz w:val="22"/>
          <w:szCs w:val="22"/>
          <w:lang w:val="en-GB"/>
        </w:rPr>
      </w:pPr>
      <w:r w:rsidRPr="0069725C">
        <w:rPr>
          <w:rFonts w:ascii="Avenir Next" w:hAnsi="Avenir Next" w:cs="Arial"/>
          <w:color w:val="808080" w:themeColor="background1" w:themeShade="80"/>
          <w:sz w:val="22"/>
          <w:szCs w:val="22"/>
          <w:lang w:val="en-GB"/>
        </w:rPr>
        <w:t>That in the even</w:t>
      </w:r>
      <w:r w:rsidR="00A66C87">
        <w:rPr>
          <w:rFonts w:ascii="Avenir Next" w:hAnsi="Avenir Next" w:cs="Arial"/>
          <w:color w:val="808080" w:themeColor="background1" w:themeShade="80"/>
          <w:sz w:val="22"/>
          <w:szCs w:val="22"/>
          <w:lang w:val="en-GB"/>
        </w:rPr>
        <w:t xml:space="preserve">t </w:t>
      </w:r>
      <w:r w:rsidRPr="0069725C">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Company</w:t>
      </w:r>
      <w:r w:rsidRPr="0069725C">
        <w:rPr>
          <w:rFonts w:ascii="Avenir Next" w:hAnsi="Avenir Next" w:cs="Arial"/>
          <w:color w:val="808080" w:themeColor="background1" w:themeShade="80"/>
          <w:sz w:val="22"/>
          <w:szCs w:val="22"/>
          <w:lang w:val="en-GB"/>
        </w:rPr>
        <w:t xml:space="preserve"> is wound up, then the amount of the rescue financing will be treated as winding-up costs</w:t>
      </w:r>
      <w:r>
        <w:rPr>
          <w:rStyle w:val="FootnoteReference"/>
          <w:rFonts w:ascii="Avenir Next" w:hAnsi="Avenir Next" w:cs="Arial"/>
          <w:color w:val="808080" w:themeColor="background1" w:themeShade="80"/>
          <w:sz w:val="22"/>
          <w:szCs w:val="22"/>
          <w:lang w:val="en-GB"/>
        </w:rPr>
        <w:footnoteReference w:id="40"/>
      </w:r>
      <w:r w:rsidRPr="0069725C">
        <w:rPr>
          <w:rFonts w:ascii="Avenir Next" w:hAnsi="Avenir Next" w:cs="Arial"/>
          <w:color w:val="808080" w:themeColor="background1" w:themeShade="80"/>
          <w:sz w:val="22"/>
          <w:szCs w:val="22"/>
          <w:lang w:val="en-GB"/>
        </w:rPr>
        <w:t>;</w:t>
      </w:r>
    </w:p>
    <w:p w14:paraId="6C4CC104" w14:textId="77777777" w:rsidR="00B861A8" w:rsidRPr="0069725C" w:rsidRDefault="00B861A8" w:rsidP="00B861A8">
      <w:pPr>
        <w:pStyle w:val="ListParagraph"/>
        <w:numPr>
          <w:ilvl w:val="0"/>
          <w:numId w:val="30"/>
        </w:numPr>
        <w:jc w:val="both"/>
        <w:rPr>
          <w:rFonts w:ascii="Avenir Next" w:hAnsi="Avenir Next" w:cs="Arial"/>
          <w:color w:val="808080" w:themeColor="background1" w:themeShade="80"/>
          <w:sz w:val="22"/>
          <w:szCs w:val="22"/>
          <w:lang w:val="en-GB"/>
        </w:rPr>
      </w:pPr>
      <w:r w:rsidRPr="0069725C">
        <w:rPr>
          <w:rFonts w:ascii="Avenir Next" w:hAnsi="Avenir Next" w:cs="Arial"/>
          <w:color w:val="808080" w:themeColor="background1" w:themeShade="80"/>
          <w:sz w:val="22"/>
          <w:szCs w:val="22"/>
          <w:lang w:val="en-GB"/>
        </w:rPr>
        <w:t>That the rescue financing will have super priority over the unsecured claim and the preferential debts</w:t>
      </w:r>
      <w:r>
        <w:rPr>
          <w:rStyle w:val="FootnoteReference"/>
          <w:rFonts w:ascii="Avenir Next" w:hAnsi="Avenir Next" w:cs="Arial"/>
          <w:color w:val="808080" w:themeColor="background1" w:themeShade="80"/>
          <w:sz w:val="22"/>
          <w:szCs w:val="22"/>
          <w:lang w:val="en-GB"/>
        </w:rPr>
        <w:footnoteReference w:id="41"/>
      </w:r>
      <w:r w:rsidRPr="0069725C">
        <w:rPr>
          <w:rFonts w:ascii="Avenir Next" w:hAnsi="Avenir Next" w:cs="Arial"/>
          <w:color w:val="808080" w:themeColor="background1" w:themeShade="80"/>
          <w:sz w:val="22"/>
          <w:szCs w:val="22"/>
          <w:lang w:val="en-GB"/>
        </w:rPr>
        <w:t>;</w:t>
      </w:r>
    </w:p>
    <w:p w14:paraId="5795B2AF" w14:textId="77777777" w:rsidR="00B861A8" w:rsidRPr="0069725C" w:rsidRDefault="00B861A8" w:rsidP="00B861A8">
      <w:pPr>
        <w:pStyle w:val="ListParagraph"/>
        <w:numPr>
          <w:ilvl w:val="0"/>
          <w:numId w:val="30"/>
        </w:numPr>
        <w:jc w:val="both"/>
        <w:rPr>
          <w:rFonts w:ascii="Avenir Next" w:hAnsi="Avenir Next" w:cs="Arial"/>
          <w:color w:val="808080" w:themeColor="background1" w:themeShade="80"/>
          <w:sz w:val="22"/>
          <w:szCs w:val="22"/>
          <w:lang w:val="en-GB"/>
        </w:rPr>
      </w:pPr>
      <w:r w:rsidRPr="0069725C">
        <w:rPr>
          <w:rFonts w:ascii="Avenir Next" w:hAnsi="Avenir Next" w:cs="Arial"/>
          <w:color w:val="808080" w:themeColor="background1" w:themeShade="80"/>
          <w:sz w:val="22"/>
          <w:szCs w:val="22"/>
          <w:lang w:val="en-GB"/>
        </w:rPr>
        <w:t>The rescue financing will be secured by a security interest on a property which did not have a pre-existing security interest or to be secured by a sub-ordinate security interest, in the event the concerned property already has a pre-existing security interest</w:t>
      </w:r>
      <w:r>
        <w:rPr>
          <w:rStyle w:val="FootnoteReference"/>
          <w:rFonts w:ascii="Avenir Next" w:hAnsi="Avenir Next" w:cs="Arial"/>
          <w:color w:val="808080" w:themeColor="background1" w:themeShade="80"/>
          <w:sz w:val="22"/>
          <w:szCs w:val="22"/>
          <w:lang w:val="en-GB"/>
        </w:rPr>
        <w:footnoteReference w:id="42"/>
      </w:r>
      <w:r w:rsidRPr="0069725C">
        <w:rPr>
          <w:rFonts w:ascii="Avenir Next" w:hAnsi="Avenir Next" w:cs="Arial"/>
          <w:color w:val="808080" w:themeColor="background1" w:themeShade="80"/>
          <w:sz w:val="22"/>
          <w:szCs w:val="22"/>
          <w:lang w:val="en-GB"/>
        </w:rPr>
        <w:t>;</w:t>
      </w:r>
    </w:p>
    <w:p w14:paraId="24F4C3B6" w14:textId="42E0629C" w:rsidR="00B861A8" w:rsidRPr="0069725C" w:rsidRDefault="00B861A8" w:rsidP="00B861A8">
      <w:pPr>
        <w:pStyle w:val="ListParagraph"/>
        <w:numPr>
          <w:ilvl w:val="0"/>
          <w:numId w:val="30"/>
        </w:numPr>
        <w:jc w:val="both"/>
        <w:rPr>
          <w:rFonts w:ascii="Avenir Next" w:hAnsi="Avenir Next" w:cs="Arial"/>
          <w:color w:val="808080" w:themeColor="background1" w:themeShade="80"/>
          <w:sz w:val="22"/>
          <w:szCs w:val="22"/>
          <w:lang w:val="en-GB"/>
        </w:rPr>
      </w:pPr>
      <w:r w:rsidRPr="0069725C">
        <w:rPr>
          <w:rFonts w:ascii="Avenir Next" w:hAnsi="Avenir Next" w:cs="Arial"/>
          <w:color w:val="808080" w:themeColor="background1" w:themeShade="80"/>
          <w:sz w:val="22"/>
          <w:szCs w:val="22"/>
          <w:lang w:val="en-GB"/>
        </w:rPr>
        <w:t xml:space="preserve">In the event the </w:t>
      </w:r>
      <w:r>
        <w:rPr>
          <w:rFonts w:ascii="Avenir Next" w:hAnsi="Avenir Next" w:cs="Arial"/>
          <w:color w:val="808080" w:themeColor="background1" w:themeShade="80"/>
          <w:sz w:val="22"/>
          <w:szCs w:val="22"/>
          <w:lang w:val="en-GB"/>
        </w:rPr>
        <w:t>Company</w:t>
      </w:r>
      <w:r w:rsidRPr="0069725C">
        <w:rPr>
          <w:rFonts w:ascii="Avenir Next" w:hAnsi="Avenir Next" w:cs="Arial"/>
          <w:color w:val="808080" w:themeColor="background1" w:themeShade="80"/>
          <w:sz w:val="22"/>
          <w:szCs w:val="22"/>
          <w:lang w:val="en-GB"/>
        </w:rPr>
        <w:t xml:space="preserve"> is not able to obtain rescue financing over any other avenues, then the rescue financing is to be secured by security interest of the same or a high ranking on property which already has a pre-existing security interest, provided that the interest of the existing security holder</w:t>
      </w:r>
      <w:r>
        <w:rPr>
          <w:rStyle w:val="FootnoteReference"/>
          <w:rFonts w:ascii="Avenir Next" w:hAnsi="Avenir Next" w:cs="Arial"/>
          <w:color w:val="808080" w:themeColor="background1" w:themeShade="80"/>
          <w:sz w:val="22"/>
          <w:szCs w:val="22"/>
          <w:lang w:val="en-GB"/>
        </w:rPr>
        <w:footnoteReference w:id="43"/>
      </w:r>
      <w:r w:rsidRPr="0069725C">
        <w:rPr>
          <w:rFonts w:ascii="Avenir Next" w:hAnsi="Avenir Next" w:cs="Arial"/>
          <w:color w:val="808080" w:themeColor="background1" w:themeShade="80"/>
          <w:sz w:val="22"/>
          <w:szCs w:val="22"/>
          <w:lang w:val="en-GB"/>
        </w:rPr>
        <w:t xml:space="preserve"> are not prejudiced</w:t>
      </w:r>
      <w:r>
        <w:rPr>
          <w:rStyle w:val="FootnoteReference"/>
          <w:rFonts w:ascii="Avenir Next" w:hAnsi="Avenir Next" w:cs="Arial"/>
          <w:color w:val="808080" w:themeColor="background1" w:themeShade="80"/>
          <w:sz w:val="22"/>
          <w:szCs w:val="22"/>
          <w:lang w:val="en-GB"/>
        </w:rPr>
        <w:footnoteReference w:id="44"/>
      </w:r>
      <w:r w:rsidRPr="0069725C">
        <w:rPr>
          <w:rFonts w:ascii="Avenir Next" w:hAnsi="Avenir Next" w:cs="Arial"/>
          <w:color w:val="808080" w:themeColor="background1" w:themeShade="80"/>
          <w:sz w:val="22"/>
          <w:szCs w:val="22"/>
          <w:lang w:val="en-GB"/>
        </w:rPr>
        <w:t>.</w:t>
      </w:r>
    </w:p>
    <w:p w14:paraId="354F1E99" w14:textId="77777777" w:rsidR="00B861A8" w:rsidRPr="00B861A8" w:rsidRDefault="00B861A8" w:rsidP="00B861A8">
      <w:pPr>
        <w:jc w:val="both"/>
        <w:rPr>
          <w:rFonts w:ascii="Avenir Next" w:eastAsia="Calibri" w:hAnsi="Avenir Next" w:cs="Arial"/>
          <w:color w:val="808080" w:themeColor="background1" w:themeShade="80"/>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4568ED2" w14:textId="56084B96" w:rsidR="00D9104B" w:rsidRPr="002B6B24" w:rsidRDefault="00841E4B" w:rsidP="00D9104B">
      <w:pPr>
        <w:ind w:left="66"/>
        <w:jc w:val="both"/>
        <w:rPr>
          <w:rFonts w:ascii="Avenir Next" w:hAnsi="Avenir Next" w:cs="Arial"/>
          <w:color w:val="808080" w:themeColor="background1" w:themeShade="80"/>
          <w:sz w:val="22"/>
          <w:szCs w:val="22"/>
          <w:lang w:val="en-GB"/>
        </w:rPr>
      </w:pPr>
      <w:r w:rsidRPr="002B6B24">
        <w:rPr>
          <w:rFonts w:ascii="Avenir Next" w:hAnsi="Avenir Next" w:cs="Arial"/>
          <w:color w:val="808080" w:themeColor="background1" w:themeShade="80"/>
          <w:sz w:val="22"/>
          <w:szCs w:val="22"/>
          <w:lang w:val="en-GB"/>
        </w:rPr>
        <w:t xml:space="preserve">The </w:t>
      </w:r>
      <w:r w:rsidR="00151105" w:rsidRPr="002B6B24">
        <w:rPr>
          <w:rFonts w:ascii="Avenir Next" w:hAnsi="Avenir Next" w:cs="Arial"/>
          <w:color w:val="808080" w:themeColor="background1" w:themeShade="80"/>
          <w:sz w:val="22"/>
          <w:szCs w:val="22"/>
          <w:lang w:val="en-GB"/>
        </w:rPr>
        <w:t>subsidiaries</w:t>
      </w:r>
      <w:r w:rsidRPr="002B6B24">
        <w:rPr>
          <w:rFonts w:ascii="Avenir Next" w:hAnsi="Avenir Next" w:cs="Arial"/>
          <w:color w:val="808080" w:themeColor="background1" w:themeShade="80"/>
          <w:sz w:val="22"/>
          <w:szCs w:val="22"/>
          <w:lang w:val="en-GB"/>
        </w:rPr>
        <w:t xml:space="preserve"> cannot automatically be placed under judicial </w:t>
      </w:r>
      <w:r w:rsidR="002B6B24" w:rsidRPr="002B6B24">
        <w:rPr>
          <w:rFonts w:ascii="Avenir Next" w:hAnsi="Avenir Next" w:cs="Arial"/>
          <w:color w:val="808080" w:themeColor="background1" w:themeShade="80"/>
          <w:sz w:val="22"/>
          <w:szCs w:val="22"/>
          <w:lang w:val="en-GB"/>
        </w:rPr>
        <w:t>management</w:t>
      </w:r>
      <w:r w:rsidRPr="002B6B24">
        <w:rPr>
          <w:rFonts w:ascii="Avenir Next" w:hAnsi="Avenir Next" w:cs="Arial"/>
          <w:color w:val="808080" w:themeColor="background1" w:themeShade="80"/>
          <w:sz w:val="22"/>
          <w:szCs w:val="22"/>
          <w:lang w:val="en-GB"/>
        </w:rPr>
        <w:t xml:space="preserve">, just because the </w:t>
      </w:r>
      <w:r w:rsidR="00151105" w:rsidRPr="002B6B24">
        <w:rPr>
          <w:rFonts w:ascii="Avenir Next" w:hAnsi="Avenir Next" w:cs="Arial"/>
          <w:color w:val="808080" w:themeColor="background1" w:themeShade="80"/>
          <w:sz w:val="22"/>
          <w:szCs w:val="22"/>
          <w:lang w:val="en-GB"/>
        </w:rPr>
        <w:t>holding or the parent company has gone under judicial management</w:t>
      </w:r>
      <w:r w:rsidR="00EF5800" w:rsidRPr="002B6B24">
        <w:rPr>
          <w:rFonts w:ascii="Avenir Next" w:hAnsi="Avenir Next" w:cs="Arial"/>
          <w:color w:val="808080" w:themeColor="background1" w:themeShade="80"/>
          <w:sz w:val="22"/>
          <w:szCs w:val="22"/>
          <w:lang w:val="en-GB"/>
        </w:rPr>
        <w:t xml:space="preserve">. There are no such provisions in the IRD Act. However, </w:t>
      </w:r>
      <w:r w:rsidR="00B91165" w:rsidRPr="002B6B24">
        <w:rPr>
          <w:rFonts w:ascii="Avenir Next" w:hAnsi="Avenir Next" w:cs="Arial"/>
          <w:color w:val="808080" w:themeColor="background1" w:themeShade="80"/>
          <w:sz w:val="22"/>
          <w:szCs w:val="22"/>
          <w:lang w:val="en-GB"/>
        </w:rPr>
        <w:t xml:space="preserve">the separate lenders of the two subsidiaries can move independent </w:t>
      </w:r>
      <w:r w:rsidR="002B6B24" w:rsidRPr="002B6B24">
        <w:rPr>
          <w:rFonts w:ascii="Avenir Next" w:hAnsi="Avenir Next" w:cs="Arial"/>
          <w:color w:val="808080" w:themeColor="background1" w:themeShade="80"/>
          <w:sz w:val="22"/>
          <w:szCs w:val="22"/>
          <w:lang w:val="en-GB"/>
        </w:rPr>
        <w:t>petitions</w:t>
      </w:r>
      <w:r w:rsidR="00B91165" w:rsidRPr="002B6B24">
        <w:rPr>
          <w:rFonts w:ascii="Avenir Next" w:hAnsi="Avenir Next" w:cs="Arial"/>
          <w:color w:val="808080" w:themeColor="background1" w:themeShade="80"/>
          <w:sz w:val="22"/>
          <w:szCs w:val="22"/>
          <w:lang w:val="en-GB"/>
        </w:rPr>
        <w:t xml:space="preserve"> if they are satisfied that the conditions warranting judicial management is being met. Also, coordination in that event will be warranted with the judicial officer of ABC Limited, as the possession and control of the </w:t>
      </w:r>
      <w:r w:rsidR="00DF14FE" w:rsidRPr="002B6B24">
        <w:rPr>
          <w:rFonts w:ascii="Avenir Next" w:hAnsi="Avenir Next" w:cs="Arial"/>
          <w:color w:val="808080" w:themeColor="background1" w:themeShade="80"/>
          <w:sz w:val="22"/>
          <w:szCs w:val="22"/>
          <w:lang w:val="en-GB"/>
        </w:rPr>
        <w:t xml:space="preserve">assets (being the subsidiaries here) will be with him/her. In its capacity as the judicial manager of ABC Limited, he can </w:t>
      </w:r>
      <w:r w:rsidR="00C64BBD" w:rsidRPr="002B6B24">
        <w:rPr>
          <w:rFonts w:ascii="Avenir Next" w:hAnsi="Avenir Next" w:cs="Arial"/>
          <w:color w:val="808080" w:themeColor="background1" w:themeShade="80"/>
          <w:sz w:val="22"/>
          <w:szCs w:val="22"/>
          <w:lang w:val="en-GB"/>
        </w:rPr>
        <w:t>convince the board o</w:t>
      </w:r>
      <w:r w:rsidR="00063652">
        <w:rPr>
          <w:rFonts w:ascii="Avenir Next" w:hAnsi="Avenir Next" w:cs="Arial"/>
          <w:color w:val="808080" w:themeColor="background1" w:themeShade="80"/>
          <w:sz w:val="22"/>
          <w:szCs w:val="22"/>
          <w:lang w:val="en-GB"/>
        </w:rPr>
        <w:t>f</w:t>
      </w:r>
      <w:r w:rsidR="00C64BBD" w:rsidRPr="002B6B24">
        <w:rPr>
          <w:rFonts w:ascii="Avenir Next" w:hAnsi="Avenir Next" w:cs="Arial"/>
          <w:color w:val="808080" w:themeColor="background1" w:themeShade="80"/>
          <w:sz w:val="22"/>
          <w:szCs w:val="22"/>
          <w:lang w:val="en-GB"/>
        </w:rPr>
        <w:t xml:space="preserve"> the subsidiaries</w:t>
      </w:r>
      <w:r w:rsidR="00063652">
        <w:rPr>
          <w:rFonts w:ascii="Avenir Next" w:hAnsi="Avenir Next" w:cs="Arial"/>
          <w:color w:val="808080" w:themeColor="background1" w:themeShade="80"/>
          <w:sz w:val="22"/>
          <w:szCs w:val="22"/>
          <w:lang w:val="en-GB"/>
        </w:rPr>
        <w:t>/or its creditors</w:t>
      </w:r>
      <w:r w:rsidR="00C64BBD" w:rsidRPr="002B6B24">
        <w:rPr>
          <w:rFonts w:ascii="Avenir Next" w:hAnsi="Avenir Next" w:cs="Arial"/>
          <w:color w:val="808080" w:themeColor="background1" w:themeShade="80"/>
          <w:sz w:val="22"/>
          <w:szCs w:val="22"/>
          <w:lang w:val="en-GB"/>
        </w:rPr>
        <w:t xml:space="preserve"> to move an application f</w:t>
      </w:r>
      <w:r w:rsidR="002B6B24" w:rsidRPr="002B6B24">
        <w:rPr>
          <w:rFonts w:ascii="Avenir Next" w:hAnsi="Avenir Next" w:cs="Arial"/>
          <w:color w:val="808080" w:themeColor="background1" w:themeShade="80"/>
          <w:sz w:val="22"/>
          <w:szCs w:val="22"/>
          <w:lang w:val="en-GB"/>
        </w:rPr>
        <w:t xml:space="preserve">or judicial management. </w:t>
      </w: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52C089FE" w:rsidR="008C35C9" w:rsidRPr="008C35C9" w:rsidRDefault="00087EF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per section 88 of the IRD Act, o</w:t>
      </w:r>
      <w:r w:rsidR="00F70D58">
        <w:rPr>
          <w:rFonts w:ascii="Avenir Next" w:hAnsi="Avenir Next" w:cs="Arial"/>
          <w:color w:val="808080" w:themeColor="background1" w:themeShade="80"/>
          <w:sz w:val="22"/>
          <w:szCs w:val="22"/>
          <w:lang w:val="en-GB"/>
        </w:rPr>
        <w:t xml:space="preserve">nly those debtors can be placed under judicial administration, </w:t>
      </w:r>
      <w:r>
        <w:rPr>
          <w:rFonts w:ascii="Avenir Next" w:hAnsi="Avenir Next" w:cs="Arial"/>
          <w:color w:val="808080" w:themeColor="background1" w:themeShade="80"/>
          <w:sz w:val="22"/>
          <w:szCs w:val="22"/>
          <w:lang w:val="en-GB"/>
        </w:rPr>
        <w:t>which are eligible to be wound up under the act. In the case of Charlie Pty Ltd, is to be noted that</w:t>
      </w:r>
      <w:r w:rsidR="000B0B27">
        <w:rPr>
          <w:rFonts w:ascii="Avenir Next" w:hAnsi="Avenir Next" w:cs="Arial"/>
          <w:color w:val="808080" w:themeColor="background1" w:themeShade="80"/>
          <w:sz w:val="22"/>
          <w:szCs w:val="22"/>
          <w:lang w:val="en-GB"/>
        </w:rPr>
        <w:t>, it is an Australian incorporated entity and hence the creditors will have to prove the eligibility (</w:t>
      </w:r>
      <w:r w:rsidR="000B0B27" w:rsidRPr="00CB35CA">
        <w:rPr>
          <w:rFonts w:ascii="Avenir Next" w:hAnsi="Avenir Next" w:cs="Arial"/>
          <w:i/>
          <w:iCs/>
          <w:color w:val="808080" w:themeColor="background1" w:themeShade="80"/>
          <w:sz w:val="22"/>
          <w:szCs w:val="22"/>
          <w:lang w:val="en-GB"/>
        </w:rPr>
        <w:t>int</w:t>
      </w:r>
      <w:r w:rsidR="00CB35CA" w:rsidRPr="00CB35CA">
        <w:rPr>
          <w:rFonts w:ascii="Avenir Next" w:hAnsi="Avenir Next" w:cs="Arial"/>
          <w:i/>
          <w:iCs/>
          <w:color w:val="808080" w:themeColor="background1" w:themeShade="80"/>
          <w:sz w:val="22"/>
          <w:szCs w:val="22"/>
          <w:lang w:val="en-GB"/>
        </w:rPr>
        <w:t>e</w:t>
      </w:r>
      <w:r w:rsidR="000B0B27" w:rsidRPr="00CB35CA">
        <w:rPr>
          <w:rFonts w:ascii="Avenir Next" w:hAnsi="Avenir Next" w:cs="Arial"/>
          <w:i/>
          <w:iCs/>
          <w:color w:val="808080" w:themeColor="background1" w:themeShade="80"/>
          <w:sz w:val="22"/>
          <w:szCs w:val="22"/>
          <w:lang w:val="en-GB"/>
        </w:rPr>
        <w:t>r-alia</w:t>
      </w:r>
      <w:r w:rsidR="000B0B27">
        <w:rPr>
          <w:rFonts w:ascii="Avenir Next" w:hAnsi="Avenir Next" w:cs="Arial"/>
          <w:color w:val="808080" w:themeColor="background1" w:themeShade="80"/>
          <w:sz w:val="22"/>
          <w:szCs w:val="22"/>
          <w:lang w:val="en-GB"/>
        </w:rPr>
        <w:t xml:space="preserve">, the </w:t>
      </w:r>
      <w:r w:rsidR="000B0B27">
        <w:rPr>
          <w:rFonts w:ascii="Avenir Next" w:hAnsi="Avenir Next" w:cs="Arial"/>
          <w:color w:val="808080" w:themeColor="background1" w:themeShade="80"/>
          <w:sz w:val="22"/>
          <w:szCs w:val="22"/>
          <w:lang w:val="en-GB"/>
        </w:rPr>
        <w:lastRenderedPageBreak/>
        <w:t xml:space="preserve">various other grounds which the creditors are required to prove for </w:t>
      </w:r>
      <w:r w:rsidR="005904B0">
        <w:rPr>
          <w:rFonts w:ascii="Avenir Next" w:hAnsi="Avenir Next" w:cs="Arial"/>
          <w:color w:val="808080" w:themeColor="background1" w:themeShade="80"/>
          <w:sz w:val="22"/>
          <w:szCs w:val="22"/>
          <w:lang w:val="en-GB"/>
        </w:rPr>
        <w:t xml:space="preserve">obtaining an order of judicial management under the IRD Act), by demonstrating that </w:t>
      </w:r>
      <w:r w:rsidR="00CB35CA">
        <w:rPr>
          <w:rFonts w:ascii="Avenir Next" w:hAnsi="Avenir Next" w:cs="Arial"/>
          <w:color w:val="808080" w:themeColor="background1" w:themeShade="80"/>
          <w:sz w:val="22"/>
          <w:szCs w:val="22"/>
          <w:lang w:val="en-GB"/>
        </w:rPr>
        <w:t>Charlie Pty Ltd.</w:t>
      </w:r>
      <w:r w:rsidR="00063652">
        <w:rPr>
          <w:rFonts w:ascii="Avenir Next" w:hAnsi="Avenir Next" w:cs="Arial"/>
          <w:color w:val="808080" w:themeColor="background1" w:themeShade="80"/>
          <w:sz w:val="22"/>
          <w:szCs w:val="22"/>
          <w:lang w:val="en-GB"/>
        </w:rPr>
        <w:t xml:space="preserve"> h</w:t>
      </w:r>
      <w:r w:rsidR="00CB35CA">
        <w:rPr>
          <w:rFonts w:ascii="Avenir Next" w:hAnsi="Avenir Next" w:cs="Arial"/>
          <w:color w:val="808080" w:themeColor="background1" w:themeShade="80"/>
          <w:sz w:val="22"/>
          <w:szCs w:val="22"/>
          <w:lang w:val="en-GB"/>
        </w:rPr>
        <w:t xml:space="preserve">as willingly submitted to the jurisdiction of Singapore in its financing documents under which it has obtained a loan a Singapore Bank to finance the properties it has purchased in Australia (all of which are mortgaged to the Singapore Bank).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43B10297" w:rsidR="00EE062F" w:rsidRDefault="00EE062F" w:rsidP="00EE062F">
      <w:pPr>
        <w:jc w:val="both"/>
        <w:rPr>
          <w:rFonts w:ascii="Avenir Next" w:hAnsi="Avenir Next" w:cs="Arial"/>
          <w:color w:val="808080" w:themeColor="background1" w:themeShade="80"/>
          <w:sz w:val="22"/>
          <w:szCs w:val="22"/>
          <w:lang w:val="en-GB"/>
        </w:rPr>
      </w:pPr>
    </w:p>
    <w:p w14:paraId="377A1280" w14:textId="5E064C7E" w:rsidR="00743D47" w:rsidRPr="008C35C9" w:rsidRDefault="00743D47"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rescue proceedings of </w:t>
      </w:r>
      <w:r w:rsidR="002C6B13">
        <w:rPr>
          <w:rFonts w:ascii="Avenir Next" w:hAnsi="Avenir Next" w:cs="Arial"/>
          <w:color w:val="808080" w:themeColor="background1" w:themeShade="80"/>
          <w:sz w:val="22"/>
          <w:szCs w:val="22"/>
          <w:lang w:val="en-GB"/>
        </w:rPr>
        <w:t xml:space="preserve">ABC </w:t>
      </w:r>
      <w:r w:rsidR="00995608">
        <w:rPr>
          <w:rFonts w:ascii="Avenir Next" w:hAnsi="Avenir Next" w:cs="Arial"/>
          <w:color w:val="808080" w:themeColor="background1" w:themeShade="80"/>
          <w:sz w:val="22"/>
          <w:szCs w:val="22"/>
          <w:lang w:val="en-GB"/>
        </w:rPr>
        <w:t xml:space="preserve">Limited, </w:t>
      </w:r>
      <w:r w:rsidR="005929AC">
        <w:rPr>
          <w:rFonts w:ascii="Avenir Next" w:hAnsi="Avenir Next" w:cs="Arial"/>
          <w:color w:val="808080" w:themeColor="background1" w:themeShade="80"/>
          <w:sz w:val="22"/>
          <w:szCs w:val="22"/>
          <w:lang w:val="en-GB"/>
        </w:rPr>
        <w:t xml:space="preserve">will have the characteristics of being recognised as ‘foreign main proceedings’ in the Australia and the UK, on an application of recognition by the judicial officer appointed under the </w:t>
      </w:r>
      <w:r w:rsidR="0060514C">
        <w:rPr>
          <w:rFonts w:ascii="Avenir Next" w:hAnsi="Avenir Next" w:cs="Arial"/>
          <w:color w:val="808080" w:themeColor="background1" w:themeShade="80"/>
          <w:sz w:val="22"/>
          <w:szCs w:val="22"/>
          <w:lang w:val="en-GB"/>
        </w:rPr>
        <w:t>judicial management</w:t>
      </w:r>
      <w:r w:rsidR="00834AA9">
        <w:rPr>
          <w:rFonts w:ascii="Avenir Next" w:hAnsi="Avenir Next" w:cs="Arial"/>
          <w:color w:val="808080" w:themeColor="background1" w:themeShade="80"/>
          <w:sz w:val="22"/>
          <w:szCs w:val="22"/>
          <w:lang w:val="en-GB"/>
        </w:rPr>
        <w:t>, given that the Centre of Main Interest of the company is very clearly Singapore. Given that th</w:t>
      </w:r>
      <w:r w:rsidR="00DF1F6D">
        <w:rPr>
          <w:rFonts w:ascii="Avenir Next" w:hAnsi="Avenir Next" w:cs="Arial"/>
          <w:color w:val="808080" w:themeColor="background1" w:themeShade="80"/>
          <w:sz w:val="22"/>
          <w:szCs w:val="22"/>
          <w:lang w:val="en-GB"/>
        </w:rPr>
        <w:t>at it has a lot of its own assets (subsidiaries) located in Australia and the UK, the same should get protection from creditor enforcement once the proceedings are recognised as foreign main proceedings, also given that both UK and Australia have adopted the UNCITRAL Model law (almost without major changes)</w:t>
      </w:r>
      <w:r w:rsidR="00035E4F">
        <w:rPr>
          <w:rFonts w:ascii="Avenir Next" w:hAnsi="Avenir Next" w:cs="Arial"/>
          <w:color w:val="808080" w:themeColor="background1" w:themeShade="80"/>
          <w:sz w:val="22"/>
          <w:szCs w:val="22"/>
          <w:lang w:val="en-GB"/>
        </w:rPr>
        <w:t xml:space="preserve">.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Univers">
    <w:charset w:val="00"/>
    <w:family w:val="swiss"/>
    <w:pitch w:val="variable"/>
    <w:sig w:usb0="80000287" w:usb1="00000000" w:usb2="00000000" w:usb3="00000000" w:csb0="0000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6C73EFAB" w:rsidR="00241FA3" w:rsidRPr="00CB75C5" w:rsidRDefault="00F378B1" w:rsidP="009B4976">
    <w:pPr>
      <w:pStyle w:val="Footer"/>
      <w:ind w:right="360"/>
      <w:rPr>
        <w:rFonts w:ascii="Avenir Next" w:hAnsi="Avenir Next" w:cs="Arial"/>
        <w:sz w:val="18"/>
        <w:szCs w:val="18"/>
        <w:lang w:val="en-GB"/>
      </w:rPr>
    </w:pPr>
    <w:r w:rsidRPr="00F378B1">
      <w:rPr>
        <w:rFonts w:ascii="Avenir Next" w:hAnsi="Avenir Next" w:cs="Arial"/>
        <w:sz w:val="18"/>
        <w:szCs w:val="18"/>
        <w:lang w:val="en-GB"/>
      </w:rPr>
      <w:t>202223-909</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 w:id="1">
    <w:p w14:paraId="21978034" w14:textId="67499521" w:rsidR="006112A2" w:rsidRPr="006112A2" w:rsidRDefault="006112A2">
      <w:pPr>
        <w:pStyle w:val="FootnoteText"/>
        <w:rPr>
          <w:lang w:val="en-IN"/>
        </w:rPr>
      </w:pPr>
      <w:r>
        <w:rPr>
          <w:rStyle w:val="FootnoteReference"/>
        </w:rPr>
        <w:footnoteRef/>
      </w:r>
      <w:r>
        <w:t xml:space="preserve"> </w:t>
      </w:r>
      <w:r w:rsidR="006F4DDA">
        <w:rPr>
          <w:lang w:val="en-IN"/>
        </w:rPr>
        <w:t>Preamble- Insolvency, Restructuring and Dissolution Act 2018 (No. 40 of 2018), &lt;&lt;</w:t>
      </w:r>
      <w:r w:rsidR="007365E3" w:rsidRPr="007365E3">
        <w:t xml:space="preserve"> </w:t>
      </w:r>
      <w:hyperlink r:id="rId1" w:history="1">
        <w:r w:rsidR="007365E3" w:rsidRPr="00B145FC">
          <w:rPr>
            <w:rStyle w:val="Hyperlink"/>
            <w:lang w:val="en-IN"/>
          </w:rPr>
          <w:t>https://sso.agc.gov.sg/Acts-Supp/40-2018/Published/20211231?DocDate=20181107&amp;WholeDoc=1</w:t>
        </w:r>
      </w:hyperlink>
      <w:r w:rsidR="007365E3">
        <w:rPr>
          <w:lang w:val="en-IN"/>
        </w:rPr>
        <w:t>&gt;&gt;, accessed on 28.07.2023</w:t>
      </w:r>
    </w:p>
  </w:footnote>
  <w:footnote w:id="2">
    <w:p w14:paraId="580BC7FC" w14:textId="4227E6FD" w:rsidR="002545FC" w:rsidRPr="002545FC" w:rsidRDefault="002545FC">
      <w:pPr>
        <w:pStyle w:val="FootnoteText"/>
        <w:rPr>
          <w:lang w:val="en-IN"/>
        </w:rPr>
      </w:pPr>
      <w:r>
        <w:rPr>
          <w:rStyle w:val="FootnoteReference"/>
        </w:rPr>
        <w:footnoteRef/>
      </w:r>
      <w:r>
        <w:t xml:space="preserve"> </w:t>
      </w:r>
      <w:r w:rsidRPr="002545FC">
        <w:rPr>
          <w:i/>
          <w:iCs/>
          <w:lang w:val="en-IN"/>
        </w:rPr>
        <w:t>Ibid</w:t>
      </w:r>
    </w:p>
  </w:footnote>
  <w:footnote w:id="3">
    <w:p w14:paraId="403FC800" w14:textId="1F0CE742" w:rsidR="005B7050" w:rsidRPr="005B7050" w:rsidRDefault="005B7050">
      <w:pPr>
        <w:pStyle w:val="FootnoteText"/>
        <w:rPr>
          <w:lang w:val="en-IN"/>
        </w:rPr>
      </w:pPr>
      <w:r>
        <w:rPr>
          <w:rStyle w:val="FootnoteReference"/>
        </w:rPr>
        <w:footnoteRef/>
      </w:r>
      <w:r>
        <w:t xml:space="preserve"> </w:t>
      </w:r>
      <w:r w:rsidR="008840CC">
        <w:rPr>
          <w:lang w:val="en-IN"/>
        </w:rPr>
        <w:t>Sun Electric Power Pte Ltd v RCMA Asia Pte Ltd (2021) SGCA 60</w:t>
      </w:r>
    </w:p>
  </w:footnote>
  <w:footnote w:id="4">
    <w:p w14:paraId="7170CF8A" w14:textId="225976AC" w:rsidR="00BF1D91" w:rsidRPr="00BF1D91" w:rsidRDefault="00BF1D91">
      <w:pPr>
        <w:pStyle w:val="FootnoteText"/>
        <w:rPr>
          <w:lang w:val="en-IN"/>
        </w:rPr>
      </w:pPr>
      <w:r>
        <w:rPr>
          <w:rStyle w:val="FootnoteReference"/>
        </w:rPr>
        <w:footnoteRef/>
      </w:r>
      <w:r>
        <w:t xml:space="preserve"> IRD Act, </w:t>
      </w:r>
      <w:r>
        <w:rPr>
          <w:lang w:val="en-IN"/>
        </w:rPr>
        <w:t xml:space="preserve">Section 67(1) </w:t>
      </w:r>
    </w:p>
  </w:footnote>
  <w:footnote w:id="5">
    <w:p w14:paraId="315821B2" w14:textId="3FDC751B" w:rsidR="00D877A8" w:rsidRPr="00D877A8" w:rsidRDefault="00D877A8">
      <w:pPr>
        <w:pStyle w:val="FootnoteText"/>
        <w:rPr>
          <w:lang w:val="en-IN"/>
        </w:rPr>
      </w:pPr>
      <w:r>
        <w:rPr>
          <w:rStyle w:val="FootnoteReference"/>
        </w:rPr>
        <w:footnoteRef/>
      </w:r>
      <w:r>
        <w:t xml:space="preserve"> </w:t>
      </w:r>
      <w:r>
        <w:rPr>
          <w:lang w:val="en-IN"/>
        </w:rPr>
        <w:t>IRD Act, Section 67(1) (a)</w:t>
      </w:r>
    </w:p>
  </w:footnote>
  <w:footnote w:id="6">
    <w:p w14:paraId="2D0D06C5" w14:textId="0BBD5770" w:rsidR="00157E0B" w:rsidRPr="00157E0B" w:rsidRDefault="00157E0B">
      <w:pPr>
        <w:pStyle w:val="FootnoteText"/>
        <w:rPr>
          <w:lang w:val="en-IN"/>
        </w:rPr>
      </w:pPr>
      <w:r>
        <w:rPr>
          <w:rStyle w:val="FootnoteReference"/>
        </w:rPr>
        <w:footnoteRef/>
      </w:r>
      <w:r>
        <w:t xml:space="preserve"> </w:t>
      </w:r>
      <w:r>
        <w:rPr>
          <w:lang w:val="en-IN"/>
        </w:rPr>
        <w:t>IRD Act, Section 67(1) (</w:t>
      </w:r>
      <w:r>
        <w:rPr>
          <w:lang w:val="en-IN"/>
        </w:rPr>
        <w:t>b</w:t>
      </w:r>
      <w:r>
        <w:rPr>
          <w:lang w:val="en-IN"/>
        </w:rPr>
        <w:t>)</w:t>
      </w:r>
    </w:p>
  </w:footnote>
  <w:footnote w:id="7">
    <w:p w14:paraId="408E06FD" w14:textId="270896F4" w:rsidR="00157E0B" w:rsidRPr="00157E0B" w:rsidRDefault="00157E0B">
      <w:pPr>
        <w:pStyle w:val="FootnoteText"/>
        <w:rPr>
          <w:lang w:val="en-IN"/>
        </w:rPr>
      </w:pPr>
      <w:r>
        <w:rPr>
          <w:rStyle w:val="FootnoteReference"/>
        </w:rPr>
        <w:footnoteRef/>
      </w:r>
      <w:r>
        <w:t xml:space="preserve"> </w:t>
      </w:r>
      <w:r>
        <w:rPr>
          <w:lang w:val="en-IN"/>
        </w:rPr>
        <w:t>IRD Act, Section 67(1) (</w:t>
      </w:r>
      <w:r>
        <w:rPr>
          <w:lang w:val="en-IN"/>
        </w:rPr>
        <w:t>c</w:t>
      </w:r>
      <w:r>
        <w:rPr>
          <w:lang w:val="en-IN"/>
        </w:rPr>
        <w:t>)</w:t>
      </w:r>
    </w:p>
  </w:footnote>
  <w:footnote w:id="8">
    <w:p w14:paraId="0EEF85C2" w14:textId="64025161" w:rsidR="00C3405D" w:rsidRPr="00C3405D" w:rsidRDefault="00C3405D">
      <w:pPr>
        <w:pStyle w:val="FootnoteText"/>
        <w:rPr>
          <w:lang w:val="en-IN"/>
        </w:rPr>
      </w:pPr>
      <w:r>
        <w:rPr>
          <w:rStyle w:val="FootnoteReference"/>
        </w:rPr>
        <w:footnoteRef/>
      </w:r>
      <w:r>
        <w:t xml:space="preserve"> </w:t>
      </w:r>
      <w:r>
        <w:rPr>
          <w:lang w:val="en-IN"/>
        </w:rPr>
        <w:t>IRD Act, Section 67(</w:t>
      </w:r>
      <w:r>
        <w:rPr>
          <w:lang w:val="en-IN"/>
        </w:rPr>
        <w:t>6)</w:t>
      </w:r>
    </w:p>
  </w:footnote>
  <w:footnote w:id="9">
    <w:p w14:paraId="11E5AAD5" w14:textId="60041D45" w:rsidR="00157E0B" w:rsidRPr="00157E0B" w:rsidRDefault="00157E0B">
      <w:pPr>
        <w:pStyle w:val="FootnoteText"/>
        <w:rPr>
          <w:lang w:val="en-IN"/>
        </w:rPr>
      </w:pPr>
      <w:r>
        <w:rPr>
          <w:rStyle w:val="FootnoteReference"/>
        </w:rPr>
        <w:footnoteRef/>
      </w:r>
      <w:r>
        <w:t xml:space="preserve"> </w:t>
      </w:r>
      <w:r>
        <w:rPr>
          <w:lang w:val="en-IN"/>
        </w:rPr>
        <w:t>IRD Act, Section 67(1) (</w:t>
      </w:r>
      <w:r>
        <w:rPr>
          <w:lang w:val="en-IN"/>
        </w:rPr>
        <w:t>d</w:t>
      </w:r>
      <w:r>
        <w:rPr>
          <w:lang w:val="en-IN"/>
        </w:rPr>
        <w:t>)</w:t>
      </w:r>
    </w:p>
  </w:footnote>
  <w:footnote w:id="10">
    <w:p w14:paraId="37CFBEA7" w14:textId="5DF3B480" w:rsidR="005D2729" w:rsidRPr="005D2729" w:rsidRDefault="005D2729">
      <w:pPr>
        <w:pStyle w:val="FootnoteText"/>
        <w:rPr>
          <w:lang w:val="en-IN"/>
        </w:rPr>
      </w:pPr>
      <w:r>
        <w:rPr>
          <w:rStyle w:val="FootnoteReference"/>
        </w:rPr>
        <w:footnoteRef/>
      </w:r>
      <w:r>
        <w:t xml:space="preserve"> </w:t>
      </w:r>
      <w:r>
        <w:rPr>
          <w:lang w:val="en-IN"/>
        </w:rPr>
        <w:t>IRD Act, Section 67(</w:t>
      </w:r>
      <w:r>
        <w:rPr>
          <w:lang w:val="en-IN"/>
        </w:rPr>
        <w:t>3)</w:t>
      </w:r>
    </w:p>
  </w:footnote>
  <w:footnote w:id="11">
    <w:p w14:paraId="04079556" w14:textId="17274D14" w:rsidR="00B30325" w:rsidRPr="00B30325" w:rsidRDefault="00B30325">
      <w:pPr>
        <w:pStyle w:val="FootnoteText"/>
        <w:rPr>
          <w:lang w:val="en-IN"/>
        </w:rPr>
      </w:pPr>
      <w:r>
        <w:rPr>
          <w:rStyle w:val="FootnoteReference"/>
        </w:rPr>
        <w:footnoteRef/>
      </w:r>
      <w:r>
        <w:t xml:space="preserve"> </w:t>
      </w:r>
      <w:r>
        <w:rPr>
          <w:lang w:val="en-IN"/>
        </w:rPr>
        <w:t>White &amp; Case- Singapore Rescue Financing- introducing roll-ups, &lt;&lt;</w:t>
      </w:r>
      <w:r w:rsidRPr="00870D58">
        <w:t xml:space="preserve"> </w:t>
      </w:r>
      <w:hyperlink r:id="rId2" w:history="1">
        <w:r w:rsidRPr="00B145FC">
          <w:rPr>
            <w:rStyle w:val="Hyperlink"/>
            <w:lang w:val="en-IN"/>
          </w:rPr>
          <w:t>https://www.whitecase.com/insight-alert/singapore-rescue-financings-introducing-roll-ups#:~:text=d)%20the%20rescue%20financing%20is,from%20any%20person%20unless%20the</w:t>
        </w:r>
      </w:hyperlink>
      <w:r>
        <w:rPr>
          <w:lang w:val="en-IN"/>
        </w:rPr>
        <w:t>&gt;&gt;, accessed on 28.07.2023</w:t>
      </w:r>
    </w:p>
  </w:footnote>
  <w:footnote w:id="12">
    <w:p w14:paraId="0C9E32A9" w14:textId="37A8FD8A" w:rsidR="00B30325" w:rsidRPr="00B30325" w:rsidRDefault="00B30325">
      <w:pPr>
        <w:pStyle w:val="FootnoteText"/>
        <w:rPr>
          <w:lang w:val="en-IN"/>
        </w:rPr>
      </w:pPr>
      <w:r>
        <w:rPr>
          <w:rStyle w:val="FootnoteReference"/>
        </w:rPr>
        <w:footnoteRef/>
      </w:r>
      <w:r>
        <w:t xml:space="preserve"> </w:t>
      </w:r>
      <w:r>
        <w:rPr>
          <w:rFonts w:ascii="Univers" w:hAnsi="Univers"/>
          <w:color w:val="212529"/>
          <w:sz w:val="18"/>
          <w:szCs w:val="18"/>
          <w:shd w:val="clear" w:color="auto" w:fill="FFFFFF"/>
        </w:rPr>
        <w:t>and other matters [2020] SGHC 148</w:t>
      </w:r>
    </w:p>
  </w:footnote>
  <w:footnote w:id="13">
    <w:p w14:paraId="276F2E53" w14:textId="64D2348F" w:rsidR="00B30325" w:rsidRPr="00B30325" w:rsidRDefault="00B30325">
      <w:pPr>
        <w:pStyle w:val="FootnoteText"/>
        <w:rPr>
          <w:lang w:val="en-IN"/>
        </w:rPr>
      </w:pPr>
      <w:r>
        <w:rPr>
          <w:rStyle w:val="FootnoteReference"/>
        </w:rPr>
        <w:footnoteRef/>
      </w:r>
      <w:r>
        <w:t xml:space="preserve"> </w:t>
      </w:r>
      <w:r>
        <w:rPr>
          <w:lang w:val="en-IN"/>
        </w:rPr>
        <w:t xml:space="preserve">Idem, </w:t>
      </w:r>
      <w:r w:rsidR="0082219D">
        <w:rPr>
          <w:lang w:val="en-IN"/>
        </w:rPr>
        <w:t>Pt</w:t>
      </w:r>
      <w:r w:rsidR="004D78D5">
        <w:rPr>
          <w:lang w:val="en-IN"/>
        </w:rPr>
        <w:t>.</w:t>
      </w:r>
      <w:r w:rsidR="0082219D">
        <w:rPr>
          <w:lang w:val="en-IN"/>
        </w:rPr>
        <w:t xml:space="preserve"> No. 4</w:t>
      </w:r>
    </w:p>
  </w:footnote>
  <w:footnote w:id="14">
    <w:p w14:paraId="54731014" w14:textId="6086E2CA" w:rsidR="000E3F5A" w:rsidRPr="000E3F5A" w:rsidRDefault="000E3F5A">
      <w:pPr>
        <w:pStyle w:val="FootnoteText"/>
        <w:rPr>
          <w:lang w:val="en-IN"/>
        </w:rPr>
      </w:pPr>
      <w:r>
        <w:rPr>
          <w:rStyle w:val="FootnoteReference"/>
        </w:rPr>
        <w:footnoteRef/>
      </w:r>
      <w:r>
        <w:t xml:space="preserve"> </w:t>
      </w:r>
      <w:r>
        <w:rPr>
          <w:lang w:val="en-IN"/>
        </w:rPr>
        <w:t>IRD Act, Section 239 (12)</w:t>
      </w:r>
    </w:p>
  </w:footnote>
  <w:footnote w:id="15">
    <w:p w14:paraId="6A6FE9F1" w14:textId="1DE7906E" w:rsidR="00FA03AE" w:rsidRPr="00FA03AE" w:rsidRDefault="00FA03AE">
      <w:pPr>
        <w:pStyle w:val="FootnoteText"/>
        <w:rPr>
          <w:lang w:val="en-IN"/>
        </w:rPr>
      </w:pPr>
      <w:r>
        <w:rPr>
          <w:rStyle w:val="FootnoteReference"/>
        </w:rPr>
        <w:footnoteRef/>
      </w:r>
      <w:r>
        <w:t xml:space="preserve"> </w:t>
      </w:r>
      <w:r>
        <w:rPr>
          <w:lang w:val="en-IN"/>
        </w:rPr>
        <w:t xml:space="preserve">IRD Act, Section </w:t>
      </w:r>
      <w:r w:rsidR="002233CA">
        <w:rPr>
          <w:lang w:val="en-IN"/>
        </w:rPr>
        <w:t>239 (1)</w:t>
      </w:r>
    </w:p>
  </w:footnote>
  <w:footnote w:id="16">
    <w:p w14:paraId="2AD191DA" w14:textId="69394DDE" w:rsidR="002233CA" w:rsidRPr="002233CA" w:rsidRDefault="002233CA">
      <w:pPr>
        <w:pStyle w:val="FootnoteText"/>
        <w:rPr>
          <w:lang w:val="en-IN"/>
        </w:rPr>
      </w:pPr>
      <w:r>
        <w:rPr>
          <w:rStyle w:val="FootnoteReference"/>
        </w:rPr>
        <w:footnoteRef/>
      </w:r>
      <w:r>
        <w:t xml:space="preserve"> </w:t>
      </w:r>
      <w:r>
        <w:rPr>
          <w:lang w:val="en-IN"/>
        </w:rPr>
        <w:t>IRD Act, Section 239 (</w:t>
      </w:r>
      <w:r>
        <w:rPr>
          <w:lang w:val="en-IN"/>
        </w:rPr>
        <w:t>5</w:t>
      </w:r>
      <w:r>
        <w:rPr>
          <w:lang w:val="en-IN"/>
        </w:rPr>
        <w:t>)</w:t>
      </w:r>
    </w:p>
  </w:footnote>
  <w:footnote w:id="17">
    <w:p w14:paraId="7E6FBC46" w14:textId="7E971178" w:rsidR="00816515" w:rsidRPr="00816515" w:rsidRDefault="00816515">
      <w:pPr>
        <w:pStyle w:val="FootnoteText"/>
        <w:rPr>
          <w:lang w:val="en-IN"/>
        </w:rPr>
      </w:pPr>
      <w:r>
        <w:rPr>
          <w:rStyle w:val="FootnoteReference"/>
        </w:rPr>
        <w:footnoteRef/>
      </w:r>
      <w:r>
        <w:t xml:space="preserve"> </w:t>
      </w:r>
      <w:r>
        <w:rPr>
          <w:lang w:val="en-IN"/>
        </w:rPr>
        <w:t>IRD Act, Section 239 (1)</w:t>
      </w:r>
    </w:p>
  </w:footnote>
  <w:footnote w:id="18">
    <w:p w14:paraId="1F710F10" w14:textId="202F200E" w:rsidR="00B12162" w:rsidRPr="00B12162" w:rsidRDefault="00B12162">
      <w:pPr>
        <w:pStyle w:val="FootnoteText"/>
        <w:rPr>
          <w:lang w:val="en-IN"/>
        </w:rPr>
      </w:pPr>
      <w:r>
        <w:rPr>
          <w:rStyle w:val="FootnoteReference"/>
        </w:rPr>
        <w:footnoteRef/>
      </w:r>
      <w:r>
        <w:t xml:space="preserve"> </w:t>
      </w:r>
      <w:r>
        <w:rPr>
          <w:lang w:val="en-IN"/>
        </w:rPr>
        <w:t>IRD Act, Section 239 (1)</w:t>
      </w:r>
      <w:r>
        <w:rPr>
          <w:lang w:val="en-IN"/>
        </w:rPr>
        <w:t xml:space="preserve"> (a)</w:t>
      </w:r>
    </w:p>
  </w:footnote>
  <w:footnote w:id="19">
    <w:p w14:paraId="11D4FD34" w14:textId="05FD5F21" w:rsidR="00B12162" w:rsidRPr="00B12162" w:rsidRDefault="00B12162">
      <w:pPr>
        <w:pStyle w:val="FootnoteText"/>
        <w:rPr>
          <w:lang w:val="en-IN"/>
        </w:rPr>
      </w:pPr>
      <w:r>
        <w:rPr>
          <w:rStyle w:val="FootnoteReference"/>
        </w:rPr>
        <w:footnoteRef/>
      </w:r>
      <w:r>
        <w:t xml:space="preserve"> </w:t>
      </w:r>
      <w:r>
        <w:rPr>
          <w:lang w:val="en-IN"/>
        </w:rPr>
        <w:t>IRD Act, Section 239 (1)</w:t>
      </w:r>
      <w:r>
        <w:rPr>
          <w:lang w:val="en-IN"/>
        </w:rPr>
        <w:t xml:space="preserve"> (b)</w:t>
      </w:r>
    </w:p>
  </w:footnote>
  <w:footnote w:id="20">
    <w:p w14:paraId="1388EFC5" w14:textId="7B6AB1DA" w:rsidR="00940DA2" w:rsidRPr="00940DA2" w:rsidRDefault="00940DA2">
      <w:pPr>
        <w:pStyle w:val="FootnoteText"/>
        <w:rPr>
          <w:lang w:val="en-IN"/>
        </w:rPr>
      </w:pPr>
      <w:r>
        <w:rPr>
          <w:rStyle w:val="FootnoteReference"/>
        </w:rPr>
        <w:footnoteRef/>
      </w:r>
      <w:r>
        <w:t xml:space="preserve"> </w:t>
      </w:r>
      <w:r>
        <w:rPr>
          <w:lang w:val="en-IN"/>
        </w:rPr>
        <w:t>IRD Act, Section 239 (</w:t>
      </w:r>
      <w:r>
        <w:rPr>
          <w:lang w:val="en-IN"/>
        </w:rPr>
        <w:t>2</w:t>
      </w:r>
      <w:r>
        <w:rPr>
          <w:lang w:val="en-IN"/>
        </w:rPr>
        <w:t>)</w:t>
      </w:r>
    </w:p>
  </w:footnote>
  <w:footnote w:id="21">
    <w:p w14:paraId="04719223" w14:textId="0DB71F0B" w:rsidR="00A27E79" w:rsidRPr="00A27E79" w:rsidRDefault="00A27E79">
      <w:pPr>
        <w:pStyle w:val="FootnoteText"/>
        <w:rPr>
          <w:lang w:val="en-IN"/>
        </w:rPr>
      </w:pPr>
      <w:r>
        <w:rPr>
          <w:rStyle w:val="FootnoteReference"/>
        </w:rPr>
        <w:footnoteRef/>
      </w:r>
      <w:r>
        <w:t xml:space="preserve"> </w:t>
      </w:r>
      <w:r>
        <w:rPr>
          <w:lang w:val="en-IN"/>
        </w:rPr>
        <w:t>IRD Act, Section 239 (</w:t>
      </w:r>
      <w:r>
        <w:rPr>
          <w:lang w:val="en-IN"/>
        </w:rPr>
        <w:t>8</w:t>
      </w:r>
      <w:r>
        <w:rPr>
          <w:lang w:val="en-IN"/>
        </w:rPr>
        <w:t>)</w:t>
      </w:r>
    </w:p>
  </w:footnote>
  <w:footnote w:id="22">
    <w:p w14:paraId="448CBB59" w14:textId="22E8CE5E" w:rsidR="00157C8D" w:rsidRPr="00157C8D" w:rsidRDefault="00157C8D">
      <w:pPr>
        <w:pStyle w:val="FootnoteText"/>
        <w:rPr>
          <w:lang w:val="en-IN"/>
        </w:rPr>
      </w:pPr>
      <w:r>
        <w:rPr>
          <w:rStyle w:val="FootnoteReference"/>
        </w:rPr>
        <w:footnoteRef/>
      </w:r>
      <w:r>
        <w:t xml:space="preserve"> </w:t>
      </w:r>
      <w:r>
        <w:rPr>
          <w:lang w:val="en-IN"/>
        </w:rPr>
        <w:t>IRD Act, Section 239 (</w:t>
      </w:r>
      <w:r>
        <w:rPr>
          <w:lang w:val="en-IN"/>
        </w:rPr>
        <w:t>3</w:t>
      </w:r>
      <w:r>
        <w:rPr>
          <w:lang w:val="en-IN"/>
        </w:rPr>
        <w:t>)</w:t>
      </w:r>
    </w:p>
  </w:footnote>
  <w:footnote w:id="23">
    <w:p w14:paraId="60FDF380" w14:textId="7C752EB7" w:rsidR="00566676" w:rsidRPr="00036E6E" w:rsidRDefault="00566676">
      <w:pPr>
        <w:pStyle w:val="FootnoteText"/>
        <w:rPr>
          <w:lang w:val="en-IN"/>
        </w:rPr>
      </w:pPr>
      <w:r>
        <w:rPr>
          <w:rStyle w:val="FootnoteReference"/>
        </w:rPr>
        <w:footnoteRef/>
      </w:r>
      <w:r>
        <w:t xml:space="preserve"> </w:t>
      </w:r>
      <w:r>
        <w:rPr>
          <w:lang w:val="en-IN"/>
        </w:rPr>
        <w:t>IRD Act, Section 64 (1)</w:t>
      </w:r>
    </w:p>
  </w:footnote>
  <w:footnote w:id="24">
    <w:p w14:paraId="5CC48329" w14:textId="07378B86" w:rsidR="00566676" w:rsidRPr="00252CBD" w:rsidRDefault="00566676">
      <w:pPr>
        <w:pStyle w:val="FootnoteText"/>
        <w:rPr>
          <w:lang w:val="en-IN"/>
        </w:rPr>
      </w:pPr>
      <w:r>
        <w:rPr>
          <w:rStyle w:val="FootnoteReference"/>
        </w:rPr>
        <w:footnoteRef/>
      </w:r>
      <w:r>
        <w:t xml:space="preserve"> </w:t>
      </w:r>
      <w:r>
        <w:rPr>
          <w:lang w:val="en-IN"/>
        </w:rPr>
        <w:t>IRD Act, Section 89 (1)</w:t>
      </w:r>
    </w:p>
  </w:footnote>
  <w:footnote w:id="25">
    <w:p w14:paraId="7C28AD4D" w14:textId="7C7CA42A" w:rsidR="00566676" w:rsidRPr="006C25A2" w:rsidRDefault="00566676">
      <w:pPr>
        <w:pStyle w:val="FootnoteText"/>
        <w:rPr>
          <w:lang w:val="en-IN"/>
        </w:rPr>
      </w:pPr>
      <w:r>
        <w:rPr>
          <w:rStyle w:val="FootnoteReference"/>
        </w:rPr>
        <w:footnoteRef/>
      </w:r>
      <w:r>
        <w:t xml:space="preserve"> </w:t>
      </w:r>
      <w:r>
        <w:rPr>
          <w:lang w:val="en-IN"/>
        </w:rPr>
        <w:t>IRD Act, Section 91</w:t>
      </w:r>
    </w:p>
  </w:footnote>
  <w:footnote w:id="26">
    <w:p w14:paraId="39E52970" w14:textId="37AE3E60" w:rsidR="00662856" w:rsidRPr="00662856" w:rsidRDefault="00662856">
      <w:pPr>
        <w:pStyle w:val="FootnoteText"/>
        <w:rPr>
          <w:lang w:val="en-IN"/>
        </w:rPr>
      </w:pPr>
      <w:r>
        <w:rPr>
          <w:rStyle w:val="FootnoteReference"/>
        </w:rPr>
        <w:footnoteRef/>
      </w:r>
      <w:r>
        <w:t xml:space="preserve"> </w:t>
      </w:r>
      <w:r>
        <w:rPr>
          <w:lang w:val="en-IN"/>
        </w:rPr>
        <w:t>IRD Act, Section 99 read with Section 100</w:t>
      </w:r>
    </w:p>
  </w:footnote>
  <w:footnote w:id="27">
    <w:p w14:paraId="7E1F1A2D" w14:textId="2E570591" w:rsidR="00D078F6" w:rsidRPr="00D078F6" w:rsidRDefault="00D078F6">
      <w:pPr>
        <w:pStyle w:val="FootnoteText"/>
        <w:rPr>
          <w:lang w:val="en-IN"/>
        </w:rPr>
      </w:pPr>
      <w:r>
        <w:rPr>
          <w:rStyle w:val="FootnoteReference"/>
        </w:rPr>
        <w:footnoteRef/>
      </w:r>
      <w:r>
        <w:t xml:space="preserve"> </w:t>
      </w:r>
      <w:r>
        <w:rPr>
          <w:lang w:val="en-IN"/>
        </w:rPr>
        <w:t>IRD Act, Section 64</w:t>
      </w:r>
    </w:p>
  </w:footnote>
  <w:footnote w:id="28">
    <w:p w14:paraId="7C89399D" w14:textId="46EF788D" w:rsidR="00AC3B2F" w:rsidRPr="00AC3B2F" w:rsidRDefault="00AC3B2F">
      <w:pPr>
        <w:pStyle w:val="FootnoteText"/>
        <w:rPr>
          <w:lang w:val="en-IN"/>
        </w:rPr>
      </w:pPr>
      <w:r>
        <w:rPr>
          <w:rStyle w:val="FootnoteReference"/>
        </w:rPr>
        <w:footnoteRef/>
      </w:r>
      <w:r>
        <w:t xml:space="preserve"> </w:t>
      </w:r>
      <w:r>
        <w:rPr>
          <w:lang w:val="en-IN"/>
        </w:rPr>
        <w:t>IRD Act, Section 64 (4)</w:t>
      </w:r>
    </w:p>
  </w:footnote>
  <w:footnote w:id="29">
    <w:p w14:paraId="12AC7C95" w14:textId="28C25529" w:rsidR="00FC4E97" w:rsidRPr="00FC4E97" w:rsidRDefault="00FC4E97">
      <w:pPr>
        <w:pStyle w:val="FootnoteText"/>
        <w:rPr>
          <w:lang w:val="en-IN"/>
        </w:rPr>
      </w:pPr>
      <w:r>
        <w:rPr>
          <w:rStyle w:val="FootnoteReference"/>
        </w:rPr>
        <w:footnoteRef/>
      </w:r>
      <w:r>
        <w:t xml:space="preserve"> </w:t>
      </w:r>
      <w:r w:rsidRPr="00FC4E97">
        <w:rPr>
          <w:i/>
          <w:iCs/>
          <w:lang w:val="en-IN"/>
        </w:rPr>
        <w:t>Ibid</w:t>
      </w:r>
    </w:p>
  </w:footnote>
  <w:footnote w:id="30">
    <w:p w14:paraId="1E0A32B8" w14:textId="40367D88" w:rsidR="00FD258A" w:rsidRPr="00FD258A" w:rsidRDefault="00FD258A">
      <w:pPr>
        <w:pStyle w:val="FootnoteText"/>
        <w:rPr>
          <w:lang w:val="en-IN"/>
        </w:rPr>
      </w:pPr>
      <w:r>
        <w:rPr>
          <w:rStyle w:val="FootnoteReference"/>
        </w:rPr>
        <w:footnoteRef/>
      </w:r>
      <w:r>
        <w:t xml:space="preserve"> </w:t>
      </w:r>
      <w:r>
        <w:rPr>
          <w:lang w:val="en-IN"/>
        </w:rPr>
        <w:t>IRD Act, Section 64 (7)</w:t>
      </w:r>
    </w:p>
  </w:footnote>
  <w:footnote w:id="31">
    <w:p w14:paraId="0FDC7F65" w14:textId="2A2BFE7C" w:rsidR="00CD708F" w:rsidRPr="00CD708F" w:rsidRDefault="00CD708F">
      <w:pPr>
        <w:pStyle w:val="FootnoteText"/>
        <w:rPr>
          <w:lang w:val="en-IN"/>
        </w:rPr>
      </w:pPr>
      <w:r>
        <w:rPr>
          <w:rStyle w:val="FootnoteReference"/>
        </w:rPr>
        <w:footnoteRef/>
      </w:r>
      <w:r>
        <w:t xml:space="preserve"> </w:t>
      </w:r>
      <w:r>
        <w:rPr>
          <w:lang w:val="en-IN"/>
        </w:rPr>
        <w:t xml:space="preserve">IRD Act, Section </w:t>
      </w:r>
      <w:r w:rsidR="00C01DD9">
        <w:rPr>
          <w:lang w:val="en-IN"/>
        </w:rPr>
        <w:t>95</w:t>
      </w:r>
    </w:p>
  </w:footnote>
  <w:footnote w:id="32">
    <w:p w14:paraId="40E72595" w14:textId="1971DE15" w:rsidR="00282646" w:rsidRPr="00282646" w:rsidRDefault="00282646">
      <w:pPr>
        <w:pStyle w:val="FootnoteText"/>
        <w:rPr>
          <w:lang w:val="en-IN"/>
        </w:rPr>
      </w:pPr>
      <w:r>
        <w:rPr>
          <w:rStyle w:val="FootnoteReference"/>
        </w:rPr>
        <w:footnoteRef/>
      </w:r>
      <w:r>
        <w:t xml:space="preserve"> </w:t>
      </w:r>
      <w:r>
        <w:rPr>
          <w:lang w:val="en-IN"/>
        </w:rPr>
        <w:t xml:space="preserve">IRD Act, Section </w:t>
      </w:r>
      <w:r w:rsidR="0092379B">
        <w:rPr>
          <w:lang w:val="en-IN"/>
        </w:rPr>
        <w:t>96 (4)</w:t>
      </w:r>
    </w:p>
  </w:footnote>
  <w:footnote w:id="33">
    <w:p w14:paraId="10FB3846" w14:textId="39E3298B" w:rsidR="00DF1FF5" w:rsidRPr="00DF1FF5" w:rsidRDefault="00DF1FF5">
      <w:pPr>
        <w:pStyle w:val="FootnoteText"/>
        <w:rPr>
          <w:lang w:val="en-IN"/>
        </w:rPr>
      </w:pPr>
      <w:r>
        <w:rPr>
          <w:rStyle w:val="FootnoteReference"/>
        </w:rPr>
        <w:footnoteRef/>
      </w:r>
      <w:r>
        <w:t xml:space="preserve"> </w:t>
      </w:r>
      <w:r>
        <w:rPr>
          <w:lang w:val="en-IN"/>
        </w:rPr>
        <w:t xml:space="preserve">IRD Act, </w:t>
      </w:r>
      <w:r w:rsidR="00171735">
        <w:rPr>
          <w:lang w:val="en-IN"/>
        </w:rPr>
        <w:t>Section 64 (6)</w:t>
      </w:r>
    </w:p>
  </w:footnote>
  <w:footnote w:id="34">
    <w:p w14:paraId="128E667A" w14:textId="31EF8CB2" w:rsidR="00A569FC" w:rsidRPr="00A569FC" w:rsidRDefault="00A569FC">
      <w:pPr>
        <w:pStyle w:val="FootnoteText"/>
        <w:rPr>
          <w:lang w:val="en-IN"/>
        </w:rPr>
      </w:pPr>
      <w:r>
        <w:rPr>
          <w:rStyle w:val="FootnoteReference"/>
        </w:rPr>
        <w:footnoteRef/>
      </w:r>
      <w:r>
        <w:t xml:space="preserve"> </w:t>
      </w:r>
      <w:r>
        <w:rPr>
          <w:lang w:val="en-IN"/>
        </w:rPr>
        <w:t>IRD Act, Section 66</w:t>
      </w:r>
    </w:p>
  </w:footnote>
  <w:footnote w:id="35">
    <w:p w14:paraId="38800966" w14:textId="0CA71648" w:rsidR="00E61E7D" w:rsidRPr="00E61E7D" w:rsidRDefault="00E61E7D">
      <w:pPr>
        <w:pStyle w:val="FootnoteText"/>
        <w:rPr>
          <w:lang w:val="en-IN"/>
        </w:rPr>
      </w:pPr>
      <w:r>
        <w:rPr>
          <w:rStyle w:val="FootnoteReference"/>
        </w:rPr>
        <w:footnoteRef/>
      </w:r>
      <w:r>
        <w:t xml:space="preserve"> </w:t>
      </w:r>
      <w:r>
        <w:rPr>
          <w:lang w:val="en-IN"/>
        </w:rPr>
        <w:t>IRD Act, Section 68</w:t>
      </w:r>
    </w:p>
  </w:footnote>
  <w:footnote w:id="36">
    <w:p w14:paraId="617920A2" w14:textId="3A3BF2B2" w:rsidR="00B2147E" w:rsidRPr="00B2147E" w:rsidRDefault="00B2147E">
      <w:pPr>
        <w:pStyle w:val="FootnoteText"/>
        <w:rPr>
          <w:lang w:val="en-IN"/>
        </w:rPr>
      </w:pPr>
      <w:r>
        <w:rPr>
          <w:rStyle w:val="FootnoteReference"/>
        </w:rPr>
        <w:footnoteRef/>
      </w:r>
      <w:r>
        <w:t xml:space="preserve"> </w:t>
      </w:r>
      <w:r>
        <w:rPr>
          <w:lang w:val="en-IN"/>
        </w:rPr>
        <w:t>IRD Act, Section 107</w:t>
      </w:r>
    </w:p>
  </w:footnote>
  <w:footnote w:id="37">
    <w:p w14:paraId="0B5597EC" w14:textId="12984427" w:rsidR="00A96B70" w:rsidRPr="00A96B70" w:rsidRDefault="00A96B70">
      <w:pPr>
        <w:pStyle w:val="FootnoteText"/>
        <w:rPr>
          <w:lang w:val="en-IN"/>
        </w:rPr>
      </w:pPr>
      <w:r>
        <w:rPr>
          <w:rStyle w:val="FootnoteReference"/>
        </w:rPr>
        <w:footnoteRef/>
      </w:r>
      <w:r>
        <w:t xml:space="preserve"> </w:t>
      </w:r>
      <w:r w:rsidR="00335C70">
        <w:rPr>
          <w:lang w:val="en-IN"/>
        </w:rPr>
        <w:t>Allen &amp; Overy- Restructuring Across Borders, &lt;&lt;</w:t>
      </w:r>
      <w:r w:rsidR="00CC2EFD" w:rsidRPr="00CC2EFD">
        <w:t xml:space="preserve"> </w:t>
      </w:r>
      <w:hyperlink r:id="rId3" w:history="1">
        <w:r w:rsidR="00CC2EFD" w:rsidRPr="00B145FC">
          <w:rPr>
            <w:rStyle w:val="Hyperlink"/>
            <w:lang w:val="en-IN"/>
          </w:rPr>
          <w:t>https://www.allenovery.com/en-gb/global/expertise/practices/restructuring/restructuring_across_borders</w:t>
        </w:r>
      </w:hyperlink>
      <w:r w:rsidR="00CC2EFD">
        <w:rPr>
          <w:lang w:val="en-IN"/>
        </w:rPr>
        <w:t>&gt;&gt;, accessed on 28.07.2023</w:t>
      </w:r>
    </w:p>
  </w:footnote>
  <w:footnote w:id="38">
    <w:p w14:paraId="47766216" w14:textId="50C01B47" w:rsidR="00D76FB2" w:rsidRPr="00D76FB2" w:rsidRDefault="00D76FB2">
      <w:pPr>
        <w:pStyle w:val="FootnoteText"/>
        <w:rPr>
          <w:lang w:val="en-IN"/>
        </w:rPr>
      </w:pPr>
      <w:r>
        <w:rPr>
          <w:rStyle w:val="FootnoteReference"/>
        </w:rPr>
        <w:footnoteRef/>
      </w:r>
      <w:r>
        <w:t xml:space="preserve"> </w:t>
      </w:r>
      <w:r w:rsidRPr="00D76FB2">
        <w:rPr>
          <w:i/>
          <w:iCs/>
          <w:lang w:val="en-IN"/>
        </w:rPr>
        <w:t>Ibid</w:t>
      </w:r>
    </w:p>
  </w:footnote>
  <w:footnote w:id="39">
    <w:p w14:paraId="70117299" w14:textId="6D792B2D" w:rsidR="001812BB" w:rsidRPr="001812BB" w:rsidRDefault="001812BB">
      <w:pPr>
        <w:pStyle w:val="FootnoteText"/>
        <w:rPr>
          <w:lang w:val="en-IN"/>
        </w:rPr>
      </w:pPr>
      <w:r>
        <w:rPr>
          <w:rStyle w:val="FootnoteReference"/>
        </w:rPr>
        <w:footnoteRef/>
      </w:r>
      <w:r>
        <w:t xml:space="preserve"> </w:t>
      </w:r>
      <w:r>
        <w:rPr>
          <w:lang w:val="en-IN"/>
        </w:rPr>
        <w:t>IRD Act, Section 89(1)</w:t>
      </w:r>
    </w:p>
  </w:footnote>
  <w:footnote w:id="40">
    <w:p w14:paraId="5D04D251" w14:textId="77777777" w:rsidR="00B861A8" w:rsidRPr="00D877A8" w:rsidRDefault="00B861A8" w:rsidP="00B861A8">
      <w:pPr>
        <w:pStyle w:val="FootnoteText"/>
        <w:rPr>
          <w:lang w:val="en-IN"/>
        </w:rPr>
      </w:pPr>
      <w:r>
        <w:rPr>
          <w:rStyle w:val="FootnoteReference"/>
        </w:rPr>
        <w:footnoteRef/>
      </w:r>
      <w:r>
        <w:t xml:space="preserve"> </w:t>
      </w:r>
      <w:r>
        <w:rPr>
          <w:lang w:val="en-IN"/>
        </w:rPr>
        <w:t>IRD Act, Section 67(1) (a)</w:t>
      </w:r>
    </w:p>
  </w:footnote>
  <w:footnote w:id="41">
    <w:p w14:paraId="1D0545EB" w14:textId="77777777" w:rsidR="00B861A8" w:rsidRPr="00157E0B" w:rsidRDefault="00B861A8" w:rsidP="00B861A8">
      <w:pPr>
        <w:pStyle w:val="FootnoteText"/>
        <w:rPr>
          <w:lang w:val="en-IN"/>
        </w:rPr>
      </w:pPr>
      <w:r>
        <w:rPr>
          <w:rStyle w:val="FootnoteReference"/>
        </w:rPr>
        <w:footnoteRef/>
      </w:r>
      <w:r>
        <w:t xml:space="preserve"> </w:t>
      </w:r>
      <w:r>
        <w:rPr>
          <w:lang w:val="en-IN"/>
        </w:rPr>
        <w:t>IRD Act, Section 67(1) (b)</w:t>
      </w:r>
    </w:p>
  </w:footnote>
  <w:footnote w:id="42">
    <w:p w14:paraId="6E580FB3" w14:textId="77777777" w:rsidR="00B861A8" w:rsidRPr="00157E0B" w:rsidRDefault="00B861A8" w:rsidP="00B861A8">
      <w:pPr>
        <w:pStyle w:val="FootnoteText"/>
        <w:rPr>
          <w:lang w:val="en-IN"/>
        </w:rPr>
      </w:pPr>
      <w:r>
        <w:rPr>
          <w:rStyle w:val="FootnoteReference"/>
        </w:rPr>
        <w:footnoteRef/>
      </w:r>
      <w:r>
        <w:t xml:space="preserve"> </w:t>
      </w:r>
      <w:r>
        <w:rPr>
          <w:lang w:val="en-IN"/>
        </w:rPr>
        <w:t>IRD Act, Section 67(1) (c)</w:t>
      </w:r>
    </w:p>
  </w:footnote>
  <w:footnote w:id="43">
    <w:p w14:paraId="435F433C" w14:textId="77777777" w:rsidR="00B861A8" w:rsidRPr="00C3405D" w:rsidRDefault="00B861A8" w:rsidP="00B861A8">
      <w:pPr>
        <w:pStyle w:val="FootnoteText"/>
        <w:rPr>
          <w:lang w:val="en-IN"/>
        </w:rPr>
      </w:pPr>
      <w:r>
        <w:rPr>
          <w:rStyle w:val="FootnoteReference"/>
        </w:rPr>
        <w:footnoteRef/>
      </w:r>
      <w:r>
        <w:t xml:space="preserve"> </w:t>
      </w:r>
      <w:r>
        <w:rPr>
          <w:lang w:val="en-IN"/>
        </w:rPr>
        <w:t>IRD Act, Section 67(6)</w:t>
      </w:r>
    </w:p>
  </w:footnote>
  <w:footnote w:id="44">
    <w:p w14:paraId="38A31C5B" w14:textId="77777777" w:rsidR="00B861A8" w:rsidRPr="00157E0B" w:rsidRDefault="00B861A8" w:rsidP="00B861A8">
      <w:pPr>
        <w:pStyle w:val="FootnoteText"/>
        <w:rPr>
          <w:lang w:val="en-IN"/>
        </w:rPr>
      </w:pPr>
      <w:r>
        <w:rPr>
          <w:rStyle w:val="FootnoteReference"/>
        </w:rPr>
        <w:footnoteRef/>
      </w:r>
      <w:r>
        <w:t xml:space="preserve"> </w:t>
      </w:r>
      <w:r>
        <w:rPr>
          <w:lang w:val="en-IN"/>
        </w:rPr>
        <w:t>IRD Act, Section 67(1)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1F7743B8"/>
    <w:multiLevelType w:val="hybridMultilevel"/>
    <w:tmpl w:val="2ACC55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F67E8D"/>
    <w:multiLevelType w:val="hybridMultilevel"/>
    <w:tmpl w:val="E6DABA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8C1BBA"/>
    <w:multiLevelType w:val="hybridMultilevel"/>
    <w:tmpl w:val="8B70E6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23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4E5B8B"/>
    <w:multiLevelType w:val="hybridMultilevel"/>
    <w:tmpl w:val="21C4D7CA"/>
    <w:lvl w:ilvl="0" w:tplc="833610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CEC7B58"/>
    <w:multiLevelType w:val="hybridMultilevel"/>
    <w:tmpl w:val="293AEF90"/>
    <w:lvl w:ilvl="0" w:tplc="1242B562">
      <w:start w:val="1"/>
      <w:numFmt w:val="decimal"/>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62FD5"/>
    <w:multiLevelType w:val="hybridMultilevel"/>
    <w:tmpl w:val="137E3E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D545722"/>
    <w:multiLevelType w:val="hybridMultilevel"/>
    <w:tmpl w:val="8F563B80"/>
    <w:lvl w:ilvl="0" w:tplc="EE62B420">
      <w:start w:val="1"/>
      <w:numFmt w:val="lowerRoman"/>
      <w:lvlText w:val="%1."/>
      <w:lvlJc w:val="left"/>
      <w:pPr>
        <w:ind w:left="1440" w:hanging="720"/>
      </w:pPr>
      <w:rPr>
        <w:rFonts w:hint="default"/>
        <w:color w:val="808080" w:themeColor="background1" w:themeShade="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5B1C0613"/>
    <w:multiLevelType w:val="hybridMultilevel"/>
    <w:tmpl w:val="293AEF90"/>
    <w:lvl w:ilvl="0" w:tplc="FFFFFFFF">
      <w:start w:val="1"/>
      <w:numFmt w:val="decimal"/>
      <w:lvlText w:val="%1."/>
      <w:lvlJc w:val="left"/>
      <w:pPr>
        <w:ind w:left="720" w:hanging="360"/>
      </w:pPr>
      <w:rPr>
        <w:rFonts w:hint="default"/>
        <w:color w:val="808080" w:themeColor="background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76C8D"/>
    <w:multiLevelType w:val="hybridMultilevel"/>
    <w:tmpl w:val="ED3A732E"/>
    <w:lvl w:ilvl="0" w:tplc="41C45E9C">
      <w:start w:val="1"/>
      <w:numFmt w:val="decimal"/>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511085"/>
    <w:multiLevelType w:val="hybridMultilevel"/>
    <w:tmpl w:val="7C646A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47855"/>
    <w:multiLevelType w:val="hybridMultilevel"/>
    <w:tmpl w:val="22AA266E"/>
    <w:lvl w:ilvl="0" w:tplc="B89A9532">
      <w:start w:val="1"/>
      <w:numFmt w:val="lowerLetter"/>
      <w:lvlText w:val="(%1)"/>
      <w:lvlJc w:val="left"/>
      <w:pPr>
        <w:ind w:left="720" w:hanging="360"/>
      </w:pPr>
      <w:rPr>
        <w:rFonts w:eastAsia="Times New Roman"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B20432"/>
    <w:multiLevelType w:val="hybridMultilevel"/>
    <w:tmpl w:val="8F8212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241766501">
    <w:abstractNumId w:val="1"/>
  </w:num>
  <w:num w:numId="2" w16cid:durableId="1945990342">
    <w:abstractNumId w:val="8"/>
  </w:num>
  <w:num w:numId="3" w16cid:durableId="879244064">
    <w:abstractNumId w:val="29"/>
  </w:num>
  <w:num w:numId="4" w16cid:durableId="1219971809">
    <w:abstractNumId w:val="2"/>
  </w:num>
  <w:num w:numId="5" w16cid:durableId="1059015450">
    <w:abstractNumId w:val="25"/>
  </w:num>
  <w:num w:numId="6" w16cid:durableId="323819544">
    <w:abstractNumId w:val="27"/>
  </w:num>
  <w:num w:numId="7" w16cid:durableId="1074550829">
    <w:abstractNumId w:val="6"/>
  </w:num>
  <w:num w:numId="8" w16cid:durableId="816919473">
    <w:abstractNumId w:val="24"/>
  </w:num>
  <w:num w:numId="9" w16cid:durableId="372851243">
    <w:abstractNumId w:val="9"/>
  </w:num>
  <w:num w:numId="10" w16cid:durableId="1261337039">
    <w:abstractNumId w:val="12"/>
  </w:num>
  <w:num w:numId="11" w16cid:durableId="2050639269">
    <w:abstractNumId w:val="0"/>
  </w:num>
  <w:num w:numId="12" w16cid:durableId="1646664710">
    <w:abstractNumId w:val="14"/>
  </w:num>
  <w:num w:numId="13" w16cid:durableId="1142649277">
    <w:abstractNumId w:val="7"/>
  </w:num>
  <w:num w:numId="14" w16cid:durableId="1959411873">
    <w:abstractNumId w:val="19"/>
  </w:num>
  <w:num w:numId="15" w16cid:durableId="393234364">
    <w:abstractNumId w:val="15"/>
  </w:num>
  <w:num w:numId="16" w16cid:durableId="981499546">
    <w:abstractNumId w:val="17"/>
  </w:num>
  <w:num w:numId="17" w16cid:durableId="1831828354">
    <w:abstractNumId w:val="23"/>
  </w:num>
  <w:num w:numId="18" w16cid:durableId="1225599152">
    <w:abstractNumId w:val="20"/>
  </w:num>
  <w:num w:numId="19" w16cid:durableId="596409711">
    <w:abstractNumId w:val="21"/>
  </w:num>
  <w:num w:numId="20" w16cid:durableId="1273628639">
    <w:abstractNumId w:val="3"/>
  </w:num>
  <w:num w:numId="21" w16cid:durableId="337008108">
    <w:abstractNumId w:val="13"/>
  </w:num>
  <w:num w:numId="22" w16cid:durableId="1144927938">
    <w:abstractNumId w:val="11"/>
  </w:num>
  <w:num w:numId="23" w16cid:durableId="1451783961">
    <w:abstractNumId w:val="10"/>
  </w:num>
  <w:num w:numId="24" w16cid:durableId="36010168">
    <w:abstractNumId w:val="4"/>
  </w:num>
  <w:num w:numId="25" w16cid:durableId="1563636937">
    <w:abstractNumId w:val="5"/>
  </w:num>
  <w:num w:numId="26" w16cid:durableId="1950744940">
    <w:abstractNumId w:val="28"/>
  </w:num>
  <w:num w:numId="27" w16cid:durableId="1127894506">
    <w:abstractNumId w:val="22"/>
  </w:num>
  <w:num w:numId="28" w16cid:durableId="2096129067">
    <w:abstractNumId w:val="26"/>
  </w:num>
  <w:num w:numId="29" w16cid:durableId="1139418439">
    <w:abstractNumId w:val="16"/>
  </w:num>
  <w:num w:numId="30" w16cid:durableId="65333817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397"/>
    <w:rsid w:val="00026897"/>
    <w:rsid w:val="00026F16"/>
    <w:rsid w:val="00027727"/>
    <w:rsid w:val="0002788D"/>
    <w:rsid w:val="00031603"/>
    <w:rsid w:val="000329AF"/>
    <w:rsid w:val="000358E5"/>
    <w:rsid w:val="00035E4F"/>
    <w:rsid w:val="00036E6E"/>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3652"/>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453"/>
    <w:rsid w:val="00087EF1"/>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0B27"/>
    <w:rsid w:val="000B1E92"/>
    <w:rsid w:val="000B4AC0"/>
    <w:rsid w:val="000B5FF1"/>
    <w:rsid w:val="000B609F"/>
    <w:rsid w:val="000C04F2"/>
    <w:rsid w:val="000C2244"/>
    <w:rsid w:val="000C241A"/>
    <w:rsid w:val="000C6528"/>
    <w:rsid w:val="000D0B52"/>
    <w:rsid w:val="000D41AB"/>
    <w:rsid w:val="000D454A"/>
    <w:rsid w:val="000D55A8"/>
    <w:rsid w:val="000D5AD9"/>
    <w:rsid w:val="000D6327"/>
    <w:rsid w:val="000D6339"/>
    <w:rsid w:val="000D65DB"/>
    <w:rsid w:val="000D6963"/>
    <w:rsid w:val="000E13F7"/>
    <w:rsid w:val="000E31D6"/>
    <w:rsid w:val="000E3F5A"/>
    <w:rsid w:val="000E4841"/>
    <w:rsid w:val="000E4FA3"/>
    <w:rsid w:val="000F1677"/>
    <w:rsid w:val="000F1FFD"/>
    <w:rsid w:val="000F36A5"/>
    <w:rsid w:val="000F3D6C"/>
    <w:rsid w:val="000F3F76"/>
    <w:rsid w:val="000F708F"/>
    <w:rsid w:val="00100A09"/>
    <w:rsid w:val="001010E3"/>
    <w:rsid w:val="00101707"/>
    <w:rsid w:val="0010170D"/>
    <w:rsid w:val="00102CC9"/>
    <w:rsid w:val="00103433"/>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5E75"/>
    <w:rsid w:val="00136839"/>
    <w:rsid w:val="0013760D"/>
    <w:rsid w:val="0014171F"/>
    <w:rsid w:val="001426A0"/>
    <w:rsid w:val="001433DC"/>
    <w:rsid w:val="001449AD"/>
    <w:rsid w:val="00144E3F"/>
    <w:rsid w:val="0014622C"/>
    <w:rsid w:val="0015020C"/>
    <w:rsid w:val="00151105"/>
    <w:rsid w:val="00151ACA"/>
    <w:rsid w:val="00151C0A"/>
    <w:rsid w:val="00152348"/>
    <w:rsid w:val="001525C8"/>
    <w:rsid w:val="0015456D"/>
    <w:rsid w:val="001545CC"/>
    <w:rsid w:val="00154A75"/>
    <w:rsid w:val="00155429"/>
    <w:rsid w:val="00155FA2"/>
    <w:rsid w:val="0015630F"/>
    <w:rsid w:val="00156559"/>
    <w:rsid w:val="00157544"/>
    <w:rsid w:val="00157C8D"/>
    <w:rsid w:val="00157E0B"/>
    <w:rsid w:val="00161F1B"/>
    <w:rsid w:val="00162829"/>
    <w:rsid w:val="001652A7"/>
    <w:rsid w:val="00170E0A"/>
    <w:rsid w:val="00171735"/>
    <w:rsid w:val="0017173B"/>
    <w:rsid w:val="0017226F"/>
    <w:rsid w:val="00173A3F"/>
    <w:rsid w:val="001749C3"/>
    <w:rsid w:val="001754D3"/>
    <w:rsid w:val="00180548"/>
    <w:rsid w:val="00180AC4"/>
    <w:rsid w:val="00180CCE"/>
    <w:rsid w:val="001812BB"/>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0B03"/>
    <w:rsid w:val="001A18E7"/>
    <w:rsid w:val="001A2205"/>
    <w:rsid w:val="001A2441"/>
    <w:rsid w:val="001A27E8"/>
    <w:rsid w:val="001A512B"/>
    <w:rsid w:val="001A7E9A"/>
    <w:rsid w:val="001B0F70"/>
    <w:rsid w:val="001B165B"/>
    <w:rsid w:val="001B3956"/>
    <w:rsid w:val="001B3AEE"/>
    <w:rsid w:val="001B462C"/>
    <w:rsid w:val="001B5016"/>
    <w:rsid w:val="001B5D64"/>
    <w:rsid w:val="001B5DC2"/>
    <w:rsid w:val="001B6EE8"/>
    <w:rsid w:val="001C04CD"/>
    <w:rsid w:val="001C1FE0"/>
    <w:rsid w:val="001C2635"/>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011B"/>
    <w:rsid w:val="001F09F4"/>
    <w:rsid w:val="001F2899"/>
    <w:rsid w:val="001F52A0"/>
    <w:rsid w:val="001F7412"/>
    <w:rsid w:val="001F7FCF"/>
    <w:rsid w:val="0020090A"/>
    <w:rsid w:val="00201840"/>
    <w:rsid w:val="00202DFE"/>
    <w:rsid w:val="0020537C"/>
    <w:rsid w:val="00206D5D"/>
    <w:rsid w:val="0020725B"/>
    <w:rsid w:val="00207560"/>
    <w:rsid w:val="00207C3D"/>
    <w:rsid w:val="002110F1"/>
    <w:rsid w:val="00212592"/>
    <w:rsid w:val="0021407D"/>
    <w:rsid w:val="0022116B"/>
    <w:rsid w:val="00221D20"/>
    <w:rsid w:val="002233CA"/>
    <w:rsid w:val="0022359C"/>
    <w:rsid w:val="00225CF1"/>
    <w:rsid w:val="00226CB6"/>
    <w:rsid w:val="00230812"/>
    <w:rsid w:val="00231FB2"/>
    <w:rsid w:val="00233B19"/>
    <w:rsid w:val="00234C3C"/>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BD"/>
    <w:rsid w:val="00252CDB"/>
    <w:rsid w:val="0025386E"/>
    <w:rsid w:val="002545FC"/>
    <w:rsid w:val="00254E10"/>
    <w:rsid w:val="00256E1E"/>
    <w:rsid w:val="002638B0"/>
    <w:rsid w:val="00263D03"/>
    <w:rsid w:val="0026647A"/>
    <w:rsid w:val="002668D3"/>
    <w:rsid w:val="00266C4D"/>
    <w:rsid w:val="00267804"/>
    <w:rsid w:val="00270438"/>
    <w:rsid w:val="002722CA"/>
    <w:rsid w:val="0027299F"/>
    <w:rsid w:val="002729FA"/>
    <w:rsid w:val="00274A79"/>
    <w:rsid w:val="002771DF"/>
    <w:rsid w:val="00277995"/>
    <w:rsid w:val="002804F1"/>
    <w:rsid w:val="00282646"/>
    <w:rsid w:val="00284EBE"/>
    <w:rsid w:val="0028777F"/>
    <w:rsid w:val="002903A7"/>
    <w:rsid w:val="002937F3"/>
    <w:rsid w:val="002938AD"/>
    <w:rsid w:val="00293C84"/>
    <w:rsid w:val="002942A6"/>
    <w:rsid w:val="0029433F"/>
    <w:rsid w:val="00294829"/>
    <w:rsid w:val="00295646"/>
    <w:rsid w:val="0029690F"/>
    <w:rsid w:val="00297C8A"/>
    <w:rsid w:val="002A22EA"/>
    <w:rsid w:val="002A29B0"/>
    <w:rsid w:val="002A2A60"/>
    <w:rsid w:val="002A37BB"/>
    <w:rsid w:val="002A3B3B"/>
    <w:rsid w:val="002A6E48"/>
    <w:rsid w:val="002B1C45"/>
    <w:rsid w:val="002B1F24"/>
    <w:rsid w:val="002B5711"/>
    <w:rsid w:val="002B6B24"/>
    <w:rsid w:val="002B6E91"/>
    <w:rsid w:val="002B725E"/>
    <w:rsid w:val="002C0DAA"/>
    <w:rsid w:val="002C13C8"/>
    <w:rsid w:val="002C1EC5"/>
    <w:rsid w:val="002C2B46"/>
    <w:rsid w:val="002C2FDA"/>
    <w:rsid w:val="002C3547"/>
    <w:rsid w:val="002C47C0"/>
    <w:rsid w:val="002C5EF6"/>
    <w:rsid w:val="002C69B4"/>
    <w:rsid w:val="002C6B13"/>
    <w:rsid w:val="002D0021"/>
    <w:rsid w:val="002D013A"/>
    <w:rsid w:val="002D1232"/>
    <w:rsid w:val="002D299D"/>
    <w:rsid w:val="002D2C59"/>
    <w:rsid w:val="002D3473"/>
    <w:rsid w:val="002D427E"/>
    <w:rsid w:val="002D4943"/>
    <w:rsid w:val="002D7B52"/>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38BE"/>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5C70"/>
    <w:rsid w:val="00336E00"/>
    <w:rsid w:val="0033768C"/>
    <w:rsid w:val="00337938"/>
    <w:rsid w:val="00340769"/>
    <w:rsid w:val="00341AA6"/>
    <w:rsid w:val="00343808"/>
    <w:rsid w:val="0034607D"/>
    <w:rsid w:val="00351246"/>
    <w:rsid w:val="00356A43"/>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0DD"/>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95D"/>
    <w:rsid w:val="003A2D1E"/>
    <w:rsid w:val="003A71D0"/>
    <w:rsid w:val="003B0EE9"/>
    <w:rsid w:val="003B166C"/>
    <w:rsid w:val="003B170F"/>
    <w:rsid w:val="003B36EA"/>
    <w:rsid w:val="003B3847"/>
    <w:rsid w:val="003B3C5F"/>
    <w:rsid w:val="003C20E8"/>
    <w:rsid w:val="003C3033"/>
    <w:rsid w:val="003C4471"/>
    <w:rsid w:val="003C5922"/>
    <w:rsid w:val="003C6597"/>
    <w:rsid w:val="003D0677"/>
    <w:rsid w:val="003D0A6D"/>
    <w:rsid w:val="003D1150"/>
    <w:rsid w:val="003D142C"/>
    <w:rsid w:val="003D16C4"/>
    <w:rsid w:val="003D3048"/>
    <w:rsid w:val="003D54CA"/>
    <w:rsid w:val="003D5B9B"/>
    <w:rsid w:val="003D6B6A"/>
    <w:rsid w:val="003D7241"/>
    <w:rsid w:val="003E0B16"/>
    <w:rsid w:val="003E39B5"/>
    <w:rsid w:val="003E67D1"/>
    <w:rsid w:val="003E7313"/>
    <w:rsid w:val="003E76D8"/>
    <w:rsid w:val="003F06D9"/>
    <w:rsid w:val="003F14A7"/>
    <w:rsid w:val="003F3F38"/>
    <w:rsid w:val="003F56C3"/>
    <w:rsid w:val="003F5D38"/>
    <w:rsid w:val="00400F73"/>
    <w:rsid w:val="0040332F"/>
    <w:rsid w:val="00404329"/>
    <w:rsid w:val="00405DC1"/>
    <w:rsid w:val="004065DA"/>
    <w:rsid w:val="0040696E"/>
    <w:rsid w:val="00406C58"/>
    <w:rsid w:val="00407A44"/>
    <w:rsid w:val="0041085C"/>
    <w:rsid w:val="00415F1F"/>
    <w:rsid w:val="00416EDA"/>
    <w:rsid w:val="00416FEB"/>
    <w:rsid w:val="00417870"/>
    <w:rsid w:val="0042108F"/>
    <w:rsid w:val="00424DFC"/>
    <w:rsid w:val="00425377"/>
    <w:rsid w:val="00425C7B"/>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66666"/>
    <w:rsid w:val="0047497A"/>
    <w:rsid w:val="004755BA"/>
    <w:rsid w:val="00475CC7"/>
    <w:rsid w:val="00477C72"/>
    <w:rsid w:val="00477D4E"/>
    <w:rsid w:val="00481D6B"/>
    <w:rsid w:val="00482465"/>
    <w:rsid w:val="004873F8"/>
    <w:rsid w:val="004909BA"/>
    <w:rsid w:val="00490FDA"/>
    <w:rsid w:val="004911A2"/>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1234"/>
    <w:rsid w:val="004C5A9F"/>
    <w:rsid w:val="004C6959"/>
    <w:rsid w:val="004D0603"/>
    <w:rsid w:val="004D17F6"/>
    <w:rsid w:val="004D1A5A"/>
    <w:rsid w:val="004D1DE3"/>
    <w:rsid w:val="004D2090"/>
    <w:rsid w:val="004D2FFF"/>
    <w:rsid w:val="004D3721"/>
    <w:rsid w:val="004D4543"/>
    <w:rsid w:val="004D5272"/>
    <w:rsid w:val="004D52A8"/>
    <w:rsid w:val="004D5557"/>
    <w:rsid w:val="004D64F9"/>
    <w:rsid w:val="004D67B3"/>
    <w:rsid w:val="004D78D5"/>
    <w:rsid w:val="004E185D"/>
    <w:rsid w:val="004E2F07"/>
    <w:rsid w:val="004E3A6B"/>
    <w:rsid w:val="004E408D"/>
    <w:rsid w:val="004E4ADF"/>
    <w:rsid w:val="004E5FEE"/>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3209"/>
    <w:rsid w:val="00544127"/>
    <w:rsid w:val="005463A9"/>
    <w:rsid w:val="0054663F"/>
    <w:rsid w:val="00547499"/>
    <w:rsid w:val="00547A77"/>
    <w:rsid w:val="00550568"/>
    <w:rsid w:val="00550CC7"/>
    <w:rsid w:val="00552006"/>
    <w:rsid w:val="0055228B"/>
    <w:rsid w:val="00552643"/>
    <w:rsid w:val="005537B4"/>
    <w:rsid w:val="00553EB2"/>
    <w:rsid w:val="005540AA"/>
    <w:rsid w:val="00554212"/>
    <w:rsid w:val="00560534"/>
    <w:rsid w:val="00563084"/>
    <w:rsid w:val="0056391B"/>
    <w:rsid w:val="00564DFE"/>
    <w:rsid w:val="005650E2"/>
    <w:rsid w:val="00565AD2"/>
    <w:rsid w:val="00566676"/>
    <w:rsid w:val="00567AD7"/>
    <w:rsid w:val="00567AE6"/>
    <w:rsid w:val="005739CA"/>
    <w:rsid w:val="00575B2D"/>
    <w:rsid w:val="00576A9C"/>
    <w:rsid w:val="00577B82"/>
    <w:rsid w:val="00580EA0"/>
    <w:rsid w:val="005833D0"/>
    <w:rsid w:val="005846F3"/>
    <w:rsid w:val="00586138"/>
    <w:rsid w:val="0058622F"/>
    <w:rsid w:val="00587660"/>
    <w:rsid w:val="005904B0"/>
    <w:rsid w:val="00590C49"/>
    <w:rsid w:val="00590D6D"/>
    <w:rsid w:val="005925C2"/>
    <w:rsid w:val="005929AC"/>
    <w:rsid w:val="00592F82"/>
    <w:rsid w:val="00595042"/>
    <w:rsid w:val="005A0CCA"/>
    <w:rsid w:val="005A0F32"/>
    <w:rsid w:val="005A464B"/>
    <w:rsid w:val="005A6B48"/>
    <w:rsid w:val="005A6FF2"/>
    <w:rsid w:val="005A726D"/>
    <w:rsid w:val="005B1E31"/>
    <w:rsid w:val="005B4219"/>
    <w:rsid w:val="005B5C5F"/>
    <w:rsid w:val="005B6016"/>
    <w:rsid w:val="005B6708"/>
    <w:rsid w:val="005B67AC"/>
    <w:rsid w:val="005B7050"/>
    <w:rsid w:val="005B79F4"/>
    <w:rsid w:val="005C03D5"/>
    <w:rsid w:val="005C10D5"/>
    <w:rsid w:val="005C2641"/>
    <w:rsid w:val="005C3312"/>
    <w:rsid w:val="005C6CFB"/>
    <w:rsid w:val="005C764D"/>
    <w:rsid w:val="005D0A0D"/>
    <w:rsid w:val="005D12BE"/>
    <w:rsid w:val="005D16DD"/>
    <w:rsid w:val="005D23BD"/>
    <w:rsid w:val="005D2729"/>
    <w:rsid w:val="005D43E0"/>
    <w:rsid w:val="005D47B7"/>
    <w:rsid w:val="005D5828"/>
    <w:rsid w:val="005D58A3"/>
    <w:rsid w:val="005E127D"/>
    <w:rsid w:val="005E15D3"/>
    <w:rsid w:val="005E1B79"/>
    <w:rsid w:val="005E2D3F"/>
    <w:rsid w:val="005E4E6B"/>
    <w:rsid w:val="005E6076"/>
    <w:rsid w:val="005E7008"/>
    <w:rsid w:val="005F026D"/>
    <w:rsid w:val="005F25A8"/>
    <w:rsid w:val="005F2AEA"/>
    <w:rsid w:val="005F2D0B"/>
    <w:rsid w:val="005F4B31"/>
    <w:rsid w:val="005F53AD"/>
    <w:rsid w:val="005F5865"/>
    <w:rsid w:val="005F643C"/>
    <w:rsid w:val="005F7B12"/>
    <w:rsid w:val="005F7B9A"/>
    <w:rsid w:val="00600529"/>
    <w:rsid w:val="00601D70"/>
    <w:rsid w:val="00602FBD"/>
    <w:rsid w:val="00603E9F"/>
    <w:rsid w:val="0060450F"/>
    <w:rsid w:val="0060478B"/>
    <w:rsid w:val="0060514C"/>
    <w:rsid w:val="00607591"/>
    <w:rsid w:val="0061036B"/>
    <w:rsid w:val="00610388"/>
    <w:rsid w:val="00610AC7"/>
    <w:rsid w:val="00610E39"/>
    <w:rsid w:val="006112A2"/>
    <w:rsid w:val="00612CA5"/>
    <w:rsid w:val="006153C7"/>
    <w:rsid w:val="006153EC"/>
    <w:rsid w:val="00617FAD"/>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20F5"/>
    <w:rsid w:val="00645138"/>
    <w:rsid w:val="006512A6"/>
    <w:rsid w:val="0065181E"/>
    <w:rsid w:val="00654C2F"/>
    <w:rsid w:val="00656ACA"/>
    <w:rsid w:val="00657087"/>
    <w:rsid w:val="00662251"/>
    <w:rsid w:val="00662856"/>
    <w:rsid w:val="00662BC3"/>
    <w:rsid w:val="00662EDA"/>
    <w:rsid w:val="00663879"/>
    <w:rsid w:val="006639DB"/>
    <w:rsid w:val="006661EF"/>
    <w:rsid w:val="00667B62"/>
    <w:rsid w:val="006719DB"/>
    <w:rsid w:val="0067354E"/>
    <w:rsid w:val="00673642"/>
    <w:rsid w:val="00675666"/>
    <w:rsid w:val="006768F3"/>
    <w:rsid w:val="00677AEB"/>
    <w:rsid w:val="00680EF2"/>
    <w:rsid w:val="00682B69"/>
    <w:rsid w:val="00687A1D"/>
    <w:rsid w:val="00687EA0"/>
    <w:rsid w:val="00691D5F"/>
    <w:rsid w:val="0069476B"/>
    <w:rsid w:val="0069725C"/>
    <w:rsid w:val="00697C0F"/>
    <w:rsid w:val="00697EA1"/>
    <w:rsid w:val="006A2646"/>
    <w:rsid w:val="006A4823"/>
    <w:rsid w:val="006A6530"/>
    <w:rsid w:val="006A6DA2"/>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5A2"/>
    <w:rsid w:val="006C2BBF"/>
    <w:rsid w:val="006C361E"/>
    <w:rsid w:val="006D2BE7"/>
    <w:rsid w:val="006D5EC7"/>
    <w:rsid w:val="006D6BD5"/>
    <w:rsid w:val="006E1C0E"/>
    <w:rsid w:val="006E21C4"/>
    <w:rsid w:val="006E481A"/>
    <w:rsid w:val="006E5298"/>
    <w:rsid w:val="006F400A"/>
    <w:rsid w:val="006F41CC"/>
    <w:rsid w:val="006F456C"/>
    <w:rsid w:val="006F4A78"/>
    <w:rsid w:val="006F4DDA"/>
    <w:rsid w:val="006F5926"/>
    <w:rsid w:val="006F734A"/>
    <w:rsid w:val="00700D83"/>
    <w:rsid w:val="00701051"/>
    <w:rsid w:val="007011C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5E3"/>
    <w:rsid w:val="00736D5D"/>
    <w:rsid w:val="00737C86"/>
    <w:rsid w:val="00740DAD"/>
    <w:rsid w:val="00743D47"/>
    <w:rsid w:val="00744037"/>
    <w:rsid w:val="00746C92"/>
    <w:rsid w:val="00746D3E"/>
    <w:rsid w:val="00747162"/>
    <w:rsid w:val="0074746E"/>
    <w:rsid w:val="007537B8"/>
    <w:rsid w:val="00754BBC"/>
    <w:rsid w:val="00756C74"/>
    <w:rsid w:val="007603F5"/>
    <w:rsid w:val="007610E4"/>
    <w:rsid w:val="007620D0"/>
    <w:rsid w:val="007637DE"/>
    <w:rsid w:val="00764DB0"/>
    <w:rsid w:val="00765666"/>
    <w:rsid w:val="00765A8B"/>
    <w:rsid w:val="00765AE9"/>
    <w:rsid w:val="0076764D"/>
    <w:rsid w:val="0077498C"/>
    <w:rsid w:val="00775BCC"/>
    <w:rsid w:val="0077686D"/>
    <w:rsid w:val="007809BC"/>
    <w:rsid w:val="007826FB"/>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97F37"/>
    <w:rsid w:val="007A15CC"/>
    <w:rsid w:val="007A1C65"/>
    <w:rsid w:val="007A2831"/>
    <w:rsid w:val="007A2A33"/>
    <w:rsid w:val="007A4DDD"/>
    <w:rsid w:val="007B067D"/>
    <w:rsid w:val="007B119E"/>
    <w:rsid w:val="007B1AC4"/>
    <w:rsid w:val="007B1B85"/>
    <w:rsid w:val="007B4CA1"/>
    <w:rsid w:val="007B52CD"/>
    <w:rsid w:val="007B5538"/>
    <w:rsid w:val="007B5AFB"/>
    <w:rsid w:val="007B5C89"/>
    <w:rsid w:val="007B6BFA"/>
    <w:rsid w:val="007B78D1"/>
    <w:rsid w:val="007B7E06"/>
    <w:rsid w:val="007B7FAB"/>
    <w:rsid w:val="007C1FCC"/>
    <w:rsid w:val="007C4F97"/>
    <w:rsid w:val="007C6201"/>
    <w:rsid w:val="007D227D"/>
    <w:rsid w:val="007D407F"/>
    <w:rsid w:val="007D4A65"/>
    <w:rsid w:val="007D5B66"/>
    <w:rsid w:val="007D63C5"/>
    <w:rsid w:val="007D6C96"/>
    <w:rsid w:val="007D6DF1"/>
    <w:rsid w:val="007D7C92"/>
    <w:rsid w:val="007E042D"/>
    <w:rsid w:val="007E1154"/>
    <w:rsid w:val="007E3C8F"/>
    <w:rsid w:val="007E54A1"/>
    <w:rsid w:val="007E66FD"/>
    <w:rsid w:val="007E6BA4"/>
    <w:rsid w:val="007E70EC"/>
    <w:rsid w:val="007F1022"/>
    <w:rsid w:val="007F1A39"/>
    <w:rsid w:val="007F25A4"/>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0E3"/>
    <w:rsid w:val="00813A8D"/>
    <w:rsid w:val="00815AC9"/>
    <w:rsid w:val="008162ED"/>
    <w:rsid w:val="00816515"/>
    <w:rsid w:val="00816D04"/>
    <w:rsid w:val="00820278"/>
    <w:rsid w:val="0082219D"/>
    <w:rsid w:val="00822751"/>
    <w:rsid w:val="008234B4"/>
    <w:rsid w:val="0082483F"/>
    <w:rsid w:val="00825B36"/>
    <w:rsid w:val="008279C0"/>
    <w:rsid w:val="00830097"/>
    <w:rsid w:val="008307FE"/>
    <w:rsid w:val="00831DCC"/>
    <w:rsid w:val="00832877"/>
    <w:rsid w:val="00834AA9"/>
    <w:rsid w:val="0084042E"/>
    <w:rsid w:val="00841074"/>
    <w:rsid w:val="008415BE"/>
    <w:rsid w:val="00841E4B"/>
    <w:rsid w:val="0084282E"/>
    <w:rsid w:val="00843563"/>
    <w:rsid w:val="00844879"/>
    <w:rsid w:val="00847597"/>
    <w:rsid w:val="008504EE"/>
    <w:rsid w:val="00851B6A"/>
    <w:rsid w:val="0085270E"/>
    <w:rsid w:val="00854C71"/>
    <w:rsid w:val="00855F61"/>
    <w:rsid w:val="00860E6D"/>
    <w:rsid w:val="008619A1"/>
    <w:rsid w:val="00864762"/>
    <w:rsid w:val="008648D2"/>
    <w:rsid w:val="0086705F"/>
    <w:rsid w:val="00867701"/>
    <w:rsid w:val="00867856"/>
    <w:rsid w:val="00867ED3"/>
    <w:rsid w:val="00870D58"/>
    <w:rsid w:val="008723F3"/>
    <w:rsid w:val="00874FFA"/>
    <w:rsid w:val="00875427"/>
    <w:rsid w:val="008759B7"/>
    <w:rsid w:val="008764AA"/>
    <w:rsid w:val="00876F56"/>
    <w:rsid w:val="00880683"/>
    <w:rsid w:val="008808F5"/>
    <w:rsid w:val="008816CD"/>
    <w:rsid w:val="00881DE6"/>
    <w:rsid w:val="008837A6"/>
    <w:rsid w:val="00883ECB"/>
    <w:rsid w:val="008840CC"/>
    <w:rsid w:val="008876C0"/>
    <w:rsid w:val="008877F6"/>
    <w:rsid w:val="00887A07"/>
    <w:rsid w:val="0089145D"/>
    <w:rsid w:val="008924BF"/>
    <w:rsid w:val="00892971"/>
    <w:rsid w:val="00893A17"/>
    <w:rsid w:val="008942AB"/>
    <w:rsid w:val="00895225"/>
    <w:rsid w:val="00895343"/>
    <w:rsid w:val="008964C4"/>
    <w:rsid w:val="00897EF7"/>
    <w:rsid w:val="008A0AD3"/>
    <w:rsid w:val="008A4DF2"/>
    <w:rsid w:val="008A6CFE"/>
    <w:rsid w:val="008B4E45"/>
    <w:rsid w:val="008B5165"/>
    <w:rsid w:val="008B5333"/>
    <w:rsid w:val="008B6223"/>
    <w:rsid w:val="008C06AD"/>
    <w:rsid w:val="008C0A02"/>
    <w:rsid w:val="008C35C9"/>
    <w:rsid w:val="008C64F4"/>
    <w:rsid w:val="008C66E0"/>
    <w:rsid w:val="008C7904"/>
    <w:rsid w:val="008D2501"/>
    <w:rsid w:val="008D300F"/>
    <w:rsid w:val="008D53DA"/>
    <w:rsid w:val="008D769A"/>
    <w:rsid w:val="008E3339"/>
    <w:rsid w:val="008E6116"/>
    <w:rsid w:val="008E7AAE"/>
    <w:rsid w:val="008E7F55"/>
    <w:rsid w:val="008F2091"/>
    <w:rsid w:val="008F20FC"/>
    <w:rsid w:val="008F4A35"/>
    <w:rsid w:val="008F5FFE"/>
    <w:rsid w:val="008F6170"/>
    <w:rsid w:val="008F6C22"/>
    <w:rsid w:val="00900209"/>
    <w:rsid w:val="009010B0"/>
    <w:rsid w:val="00903422"/>
    <w:rsid w:val="0090376F"/>
    <w:rsid w:val="009052CD"/>
    <w:rsid w:val="00905A43"/>
    <w:rsid w:val="00906C5D"/>
    <w:rsid w:val="00911F8A"/>
    <w:rsid w:val="0091251C"/>
    <w:rsid w:val="00912C79"/>
    <w:rsid w:val="0091482C"/>
    <w:rsid w:val="0091633B"/>
    <w:rsid w:val="0091693A"/>
    <w:rsid w:val="00921B8C"/>
    <w:rsid w:val="0092379B"/>
    <w:rsid w:val="00923EAD"/>
    <w:rsid w:val="00924D26"/>
    <w:rsid w:val="00925B71"/>
    <w:rsid w:val="00927CE4"/>
    <w:rsid w:val="009309A0"/>
    <w:rsid w:val="009310A2"/>
    <w:rsid w:val="009314AD"/>
    <w:rsid w:val="00931E20"/>
    <w:rsid w:val="009321B1"/>
    <w:rsid w:val="00940120"/>
    <w:rsid w:val="00940DA2"/>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4615"/>
    <w:rsid w:val="00974A72"/>
    <w:rsid w:val="00975CBB"/>
    <w:rsid w:val="00976AA8"/>
    <w:rsid w:val="00980E61"/>
    <w:rsid w:val="00981ED1"/>
    <w:rsid w:val="00982B1B"/>
    <w:rsid w:val="00983761"/>
    <w:rsid w:val="00985477"/>
    <w:rsid w:val="009854E0"/>
    <w:rsid w:val="00985639"/>
    <w:rsid w:val="00985BF5"/>
    <w:rsid w:val="00986233"/>
    <w:rsid w:val="009874AD"/>
    <w:rsid w:val="009911DF"/>
    <w:rsid w:val="00991428"/>
    <w:rsid w:val="00992676"/>
    <w:rsid w:val="00993F91"/>
    <w:rsid w:val="009954B2"/>
    <w:rsid w:val="00995608"/>
    <w:rsid w:val="00996691"/>
    <w:rsid w:val="009975C1"/>
    <w:rsid w:val="009979A0"/>
    <w:rsid w:val="009A1702"/>
    <w:rsid w:val="009A3AB7"/>
    <w:rsid w:val="009A528F"/>
    <w:rsid w:val="009A55EE"/>
    <w:rsid w:val="009A5993"/>
    <w:rsid w:val="009A5D52"/>
    <w:rsid w:val="009A7639"/>
    <w:rsid w:val="009A7B9B"/>
    <w:rsid w:val="009B0723"/>
    <w:rsid w:val="009B07AD"/>
    <w:rsid w:val="009B0883"/>
    <w:rsid w:val="009B15E2"/>
    <w:rsid w:val="009B1C63"/>
    <w:rsid w:val="009B4976"/>
    <w:rsid w:val="009B7C9D"/>
    <w:rsid w:val="009C0B8E"/>
    <w:rsid w:val="009C1BC8"/>
    <w:rsid w:val="009C2442"/>
    <w:rsid w:val="009C603E"/>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506"/>
    <w:rsid w:val="00A039BC"/>
    <w:rsid w:val="00A047EE"/>
    <w:rsid w:val="00A05F35"/>
    <w:rsid w:val="00A06C2B"/>
    <w:rsid w:val="00A13100"/>
    <w:rsid w:val="00A14542"/>
    <w:rsid w:val="00A14B54"/>
    <w:rsid w:val="00A17C10"/>
    <w:rsid w:val="00A21A65"/>
    <w:rsid w:val="00A2274A"/>
    <w:rsid w:val="00A235B7"/>
    <w:rsid w:val="00A23E67"/>
    <w:rsid w:val="00A24443"/>
    <w:rsid w:val="00A27A7A"/>
    <w:rsid w:val="00A27D47"/>
    <w:rsid w:val="00A27E79"/>
    <w:rsid w:val="00A3105E"/>
    <w:rsid w:val="00A322F6"/>
    <w:rsid w:val="00A3292F"/>
    <w:rsid w:val="00A34ABE"/>
    <w:rsid w:val="00A35DA7"/>
    <w:rsid w:val="00A407EF"/>
    <w:rsid w:val="00A41122"/>
    <w:rsid w:val="00A431DB"/>
    <w:rsid w:val="00A44146"/>
    <w:rsid w:val="00A44EE1"/>
    <w:rsid w:val="00A46B4C"/>
    <w:rsid w:val="00A50F0E"/>
    <w:rsid w:val="00A5117B"/>
    <w:rsid w:val="00A52EDA"/>
    <w:rsid w:val="00A54B03"/>
    <w:rsid w:val="00A54C2C"/>
    <w:rsid w:val="00A55A47"/>
    <w:rsid w:val="00A569FC"/>
    <w:rsid w:val="00A56D34"/>
    <w:rsid w:val="00A60074"/>
    <w:rsid w:val="00A60A36"/>
    <w:rsid w:val="00A631DB"/>
    <w:rsid w:val="00A6617D"/>
    <w:rsid w:val="00A6627C"/>
    <w:rsid w:val="00A66C87"/>
    <w:rsid w:val="00A7023F"/>
    <w:rsid w:val="00A71019"/>
    <w:rsid w:val="00A764B9"/>
    <w:rsid w:val="00A7673A"/>
    <w:rsid w:val="00A76786"/>
    <w:rsid w:val="00A77FB4"/>
    <w:rsid w:val="00A80144"/>
    <w:rsid w:val="00A81029"/>
    <w:rsid w:val="00A82010"/>
    <w:rsid w:val="00A845F5"/>
    <w:rsid w:val="00A85685"/>
    <w:rsid w:val="00A86D86"/>
    <w:rsid w:val="00A86EA2"/>
    <w:rsid w:val="00A93FD4"/>
    <w:rsid w:val="00A96489"/>
    <w:rsid w:val="00A96B70"/>
    <w:rsid w:val="00AA0ADB"/>
    <w:rsid w:val="00AA4EEA"/>
    <w:rsid w:val="00AA50B6"/>
    <w:rsid w:val="00AA67A8"/>
    <w:rsid w:val="00AA792A"/>
    <w:rsid w:val="00AA7FFA"/>
    <w:rsid w:val="00AB0045"/>
    <w:rsid w:val="00AB0170"/>
    <w:rsid w:val="00AB0821"/>
    <w:rsid w:val="00AB2425"/>
    <w:rsid w:val="00AB287D"/>
    <w:rsid w:val="00AB685C"/>
    <w:rsid w:val="00AB6C2D"/>
    <w:rsid w:val="00AC08F7"/>
    <w:rsid w:val="00AC12C3"/>
    <w:rsid w:val="00AC3839"/>
    <w:rsid w:val="00AC3B2F"/>
    <w:rsid w:val="00AC4270"/>
    <w:rsid w:val="00AC7082"/>
    <w:rsid w:val="00AC7550"/>
    <w:rsid w:val="00AD08BD"/>
    <w:rsid w:val="00AD1D19"/>
    <w:rsid w:val="00AD4BE8"/>
    <w:rsid w:val="00AD6545"/>
    <w:rsid w:val="00AE1A12"/>
    <w:rsid w:val="00AE1DA9"/>
    <w:rsid w:val="00AE3DA8"/>
    <w:rsid w:val="00AE5EB6"/>
    <w:rsid w:val="00AF02E5"/>
    <w:rsid w:val="00AF195B"/>
    <w:rsid w:val="00AF228E"/>
    <w:rsid w:val="00AF3172"/>
    <w:rsid w:val="00AF4CE5"/>
    <w:rsid w:val="00B016A8"/>
    <w:rsid w:val="00B05601"/>
    <w:rsid w:val="00B07658"/>
    <w:rsid w:val="00B12162"/>
    <w:rsid w:val="00B12AAE"/>
    <w:rsid w:val="00B130D3"/>
    <w:rsid w:val="00B1461F"/>
    <w:rsid w:val="00B14819"/>
    <w:rsid w:val="00B14A52"/>
    <w:rsid w:val="00B15E2F"/>
    <w:rsid w:val="00B17AA9"/>
    <w:rsid w:val="00B17DC6"/>
    <w:rsid w:val="00B2147E"/>
    <w:rsid w:val="00B21A23"/>
    <w:rsid w:val="00B21E13"/>
    <w:rsid w:val="00B22A28"/>
    <w:rsid w:val="00B24839"/>
    <w:rsid w:val="00B30294"/>
    <w:rsid w:val="00B30325"/>
    <w:rsid w:val="00B34619"/>
    <w:rsid w:val="00B3727B"/>
    <w:rsid w:val="00B401D6"/>
    <w:rsid w:val="00B404F6"/>
    <w:rsid w:val="00B418A9"/>
    <w:rsid w:val="00B44713"/>
    <w:rsid w:val="00B45F69"/>
    <w:rsid w:val="00B46C4B"/>
    <w:rsid w:val="00B50944"/>
    <w:rsid w:val="00B517AE"/>
    <w:rsid w:val="00B51B95"/>
    <w:rsid w:val="00B51C16"/>
    <w:rsid w:val="00B540AD"/>
    <w:rsid w:val="00B56103"/>
    <w:rsid w:val="00B61534"/>
    <w:rsid w:val="00B63933"/>
    <w:rsid w:val="00B64929"/>
    <w:rsid w:val="00B66E53"/>
    <w:rsid w:val="00B6780F"/>
    <w:rsid w:val="00B700DB"/>
    <w:rsid w:val="00B71885"/>
    <w:rsid w:val="00B71BE6"/>
    <w:rsid w:val="00B71E56"/>
    <w:rsid w:val="00B736DF"/>
    <w:rsid w:val="00B743D6"/>
    <w:rsid w:val="00B74FBD"/>
    <w:rsid w:val="00B76187"/>
    <w:rsid w:val="00B77F46"/>
    <w:rsid w:val="00B82586"/>
    <w:rsid w:val="00B829A3"/>
    <w:rsid w:val="00B82A15"/>
    <w:rsid w:val="00B83513"/>
    <w:rsid w:val="00B85797"/>
    <w:rsid w:val="00B861A8"/>
    <w:rsid w:val="00B86DB1"/>
    <w:rsid w:val="00B87869"/>
    <w:rsid w:val="00B87A29"/>
    <w:rsid w:val="00B87DBA"/>
    <w:rsid w:val="00B91165"/>
    <w:rsid w:val="00B91544"/>
    <w:rsid w:val="00B94841"/>
    <w:rsid w:val="00B960A8"/>
    <w:rsid w:val="00B9639B"/>
    <w:rsid w:val="00B96AE5"/>
    <w:rsid w:val="00B96FE9"/>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2A81"/>
    <w:rsid w:val="00BC56F4"/>
    <w:rsid w:val="00BC6005"/>
    <w:rsid w:val="00BC7AD4"/>
    <w:rsid w:val="00BD3F78"/>
    <w:rsid w:val="00BD4A3D"/>
    <w:rsid w:val="00BD545E"/>
    <w:rsid w:val="00BD5C7A"/>
    <w:rsid w:val="00BE3D5F"/>
    <w:rsid w:val="00BE4005"/>
    <w:rsid w:val="00BE45B4"/>
    <w:rsid w:val="00BE4FF3"/>
    <w:rsid w:val="00BF1D91"/>
    <w:rsid w:val="00BF1E73"/>
    <w:rsid w:val="00BF2335"/>
    <w:rsid w:val="00BF23A3"/>
    <w:rsid w:val="00BF499E"/>
    <w:rsid w:val="00BF49E3"/>
    <w:rsid w:val="00BF50F7"/>
    <w:rsid w:val="00BF7606"/>
    <w:rsid w:val="00C01DD9"/>
    <w:rsid w:val="00C0252A"/>
    <w:rsid w:val="00C02F29"/>
    <w:rsid w:val="00C03A89"/>
    <w:rsid w:val="00C03B69"/>
    <w:rsid w:val="00C03ED0"/>
    <w:rsid w:val="00C100C3"/>
    <w:rsid w:val="00C14675"/>
    <w:rsid w:val="00C161D9"/>
    <w:rsid w:val="00C16631"/>
    <w:rsid w:val="00C17718"/>
    <w:rsid w:val="00C20AFE"/>
    <w:rsid w:val="00C2193B"/>
    <w:rsid w:val="00C22A25"/>
    <w:rsid w:val="00C24907"/>
    <w:rsid w:val="00C24D9B"/>
    <w:rsid w:val="00C26C16"/>
    <w:rsid w:val="00C27B6A"/>
    <w:rsid w:val="00C3405D"/>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565"/>
    <w:rsid w:val="00C63FAD"/>
    <w:rsid w:val="00C6409D"/>
    <w:rsid w:val="00C64575"/>
    <w:rsid w:val="00C64BBD"/>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25F"/>
    <w:rsid w:val="00CB1983"/>
    <w:rsid w:val="00CB2CBB"/>
    <w:rsid w:val="00CB35CA"/>
    <w:rsid w:val="00CB6BB0"/>
    <w:rsid w:val="00CB6CCB"/>
    <w:rsid w:val="00CB729F"/>
    <w:rsid w:val="00CB75C5"/>
    <w:rsid w:val="00CB7CAC"/>
    <w:rsid w:val="00CC0566"/>
    <w:rsid w:val="00CC2EFD"/>
    <w:rsid w:val="00CC4C50"/>
    <w:rsid w:val="00CC5335"/>
    <w:rsid w:val="00CC5451"/>
    <w:rsid w:val="00CC5BA4"/>
    <w:rsid w:val="00CC6F73"/>
    <w:rsid w:val="00CD338E"/>
    <w:rsid w:val="00CD35C8"/>
    <w:rsid w:val="00CD41F1"/>
    <w:rsid w:val="00CD4998"/>
    <w:rsid w:val="00CD5058"/>
    <w:rsid w:val="00CD5884"/>
    <w:rsid w:val="00CD6184"/>
    <w:rsid w:val="00CD707C"/>
    <w:rsid w:val="00CD708F"/>
    <w:rsid w:val="00CE1035"/>
    <w:rsid w:val="00CE1CA6"/>
    <w:rsid w:val="00CE1D6B"/>
    <w:rsid w:val="00CE2C2A"/>
    <w:rsid w:val="00CE6E50"/>
    <w:rsid w:val="00CE70C6"/>
    <w:rsid w:val="00CF0079"/>
    <w:rsid w:val="00CF2819"/>
    <w:rsid w:val="00CF4F9D"/>
    <w:rsid w:val="00CF6AFC"/>
    <w:rsid w:val="00CF70DC"/>
    <w:rsid w:val="00CF7CAF"/>
    <w:rsid w:val="00D0121D"/>
    <w:rsid w:val="00D03926"/>
    <w:rsid w:val="00D04293"/>
    <w:rsid w:val="00D042CC"/>
    <w:rsid w:val="00D0690B"/>
    <w:rsid w:val="00D078F6"/>
    <w:rsid w:val="00D1025B"/>
    <w:rsid w:val="00D109DE"/>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76113"/>
    <w:rsid w:val="00D76FB2"/>
    <w:rsid w:val="00D8393A"/>
    <w:rsid w:val="00D84752"/>
    <w:rsid w:val="00D85481"/>
    <w:rsid w:val="00D86B3B"/>
    <w:rsid w:val="00D8745B"/>
    <w:rsid w:val="00D8748A"/>
    <w:rsid w:val="00D877A8"/>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78D"/>
    <w:rsid w:val="00DA6AF8"/>
    <w:rsid w:val="00DB0AC2"/>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C56AA"/>
    <w:rsid w:val="00DD0802"/>
    <w:rsid w:val="00DD1465"/>
    <w:rsid w:val="00DD238D"/>
    <w:rsid w:val="00DD2E11"/>
    <w:rsid w:val="00DD3182"/>
    <w:rsid w:val="00DD40CD"/>
    <w:rsid w:val="00DD6BB5"/>
    <w:rsid w:val="00DE03AF"/>
    <w:rsid w:val="00DE05BA"/>
    <w:rsid w:val="00DE121C"/>
    <w:rsid w:val="00DE34A9"/>
    <w:rsid w:val="00DE366A"/>
    <w:rsid w:val="00DE4387"/>
    <w:rsid w:val="00DE498F"/>
    <w:rsid w:val="00DE6633"/>
    <w:rsid w:val="00DE6A6E"/>
    <w:rsid w:val="00DE7516"/>
    <w:rsid w:val="00DF14FE"/>
    <w:rsid w:val="00DF1875"/>
    <w:rsid w:val="00DF1F6D"/>
    <w:rsid w:val="00DF1FF5"/>
    <w:rsid w:val="00DF2D3C"/>
    <w:rsid w:val="00DF3293"/>
    <w:rsid w:val="00DF423C"/>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521"/>
    <w:rsid w:val="00E20A7B"/>
    <w:rsid w:val="00E20F31"/>
    <w:rsid w:val="00E220AA"/>
    <w:rsid w:val="00E2260B"/>
    <w:rsid w:val="00E24D25"/>
    <w:rsid w:val="00E2553D"/>
    <w:rsid w:val="00E26272"/>
    <w:rsid w:val="00E2629E"/>
    <w:rsid w:val="00E26337"/>
    <w:rsid w:val="00E26468"/>
    <w:rsid w:val="00E26E19"/>
    <w:rsid w:val="00E27E7E"/>
    <w:rsid w:val="00E30995"/>
    <w:rsid w:val="00E30FE7"/>
    <w:rsid w:val="00E31DF3"/>
    <w:rsid w:val="00E3244F"/>
    <w:rsid w:val="00E36127"/>
    <w:rsid w:val="00E450A4"/>
    <w:rsid w:val="00E46C58"/>
    <w:rsid w:val="00E47E5C"/>
    <w:rsid w:val="00E506BE"/>
    <w:rsid w:val="00E50881"/>
    <w:rsid w:val="00E548AC"/>
    <w:rsid w:val="00E549D8"/>
    <w:rsid w:val="00E55547"/>
    <w:rsid w:val="00E56D74"/>
    <w:rsid w:val="00E61E7D"/>
    <w:rsid w:val="00E62FE8"/>
    <w:rsid w:val="00E6302B"/>
    <w:rsid w:val="00E631B6"/>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3CBD"/>
    <w:rsid w:val="00E9426A"/>
    <w:rsid w:val="00E9451A"/>
    <w:rsid w:val="00E94BBA"/>
    <w:rsid w:val="00E9597C"/>
    <w:rsid w:val="00E96283"/>
    <w:rsid w:val="00EA062B"/>
    <w:rsid w:val="00EA06DA"/>
    <w:rsid w:val="00EA0913"/>
    <w:rsid w:val="00EA1069"/>
    <w:rsid w:val="00EA1179"/>
    <w:rsid w:val="00EA37B9"/>
    <w:rsid w:val="00EA4B1E"/>
    <w:rsid w:val="00EA5B00"/>
    <w:rsid w:val="00EA6D87"/>
    <w:rsid w:val="00EB146B"/>
    <w:rsid w:val="00EB2A16"/>
    <w:rsid w:val="00EB31B0"/>
    <w:rsid w:val="00EB421B"/>
    <w:rsid w:val="00EB45AC"/>
    <w:rsid w:val="00EB5B9A"/>
    <w:rsid w:val="00EB77AD"/>
    <w:rsid w:val="00EB7CDD"/>
    <w:rsid w:val="00EC10DE"/>
    <w:rsid w:val="00EC1E6D"/>
    <w:rsid w:val="00EC2B1B"/>
    <w:rsid w:val="00EC388D"/>
    <w:rsid w:val="00EC441F"/>
    <w:rsid w:val="00EC4755"/>
    <w:rsid w:val="00ED0445"/>
    <w:rsid w:val="00ED0BC4"/>
    <w:rsid w:val="00ED2492"/>
    <w:rsid w:val="00ED3A06"/>
    <w:rsid w:val="00ED447D"/>
    <w:rsid w:val="00ED4B4D"/>
    <w:rsid w:val="00ED5A45"/>
    <w:rsid w:val="00ED6085"/>
    <w:rsid w:val="00EE00AC"/>
    <w:rsid w:val="00EE0481"/>
    <w:rsid w:val="00EE062F"/>
    <w:rsid w:val="00EE1A0C"/>
    <w:rsid w:val="00EE1E8B"/>
    <w:rsid w:val="00EE391F"/>
    <w:rsid w:val="00EE419B"/>
    <w:rsid w:val="00EE4971"/>
    <w:rsid w:val="00EE5D82"/>
    <w:rsid w:val="00EE6CB0"/>
    <w:rsid w:val="00EF0489"/>
    <w:rsid w:val="00EF090E"/>
    <w:rsid w:val="00EF119C"/>
    <w:rsid w:val="00EF17F4"/>
    <w:rsid w:val="00EF5572"/>
    <w:rsid w:val="00EF5800"/>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662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1"/>
    <w:rsid w:val="00F378B3"/>
    <w:rsid w:val="00F4017E"/>
    <w:rsid w:val="00F41C97"/>
    <w:rsid w:val="00F43F7A"/>
    <w:rsid w:val="00F462A6"/>
    <w:rsid w:val="00F47A63"/>
    <w:rsid w:val="00F51F75"/>
    <w:rsid w:val="00F5524B"/>
    <w:rsid w:val="00F60538"/>
    <w:rsid w:val="00F60FDF"/>
    <w:rsid w:val="00F61DD2"/>
    <w:rsid w:val="00F648DF"/>
    <w:rsid w:val="00F66AFF"/>
    <w:rsid w:val="00F67DAD"/>
    <w:rsid w:val="00F67EA8"/>
    <w:rsid w:val="00F70573"/>
    <w:rsid w:val="00F70D58"/>
    <w:rsid w:val="00F71433"/>
    <w:rsid w:val="00F71568"/>
    <w:rsid w:val="00F7160A"/>
    <w:rsid w:val="00F7423D"/>
    <w:rsid w:val="00F76CBA"/>
    <w:rsid w:val="00F814B1"/>
    <w:rsid w:val="00F83DBA"/>
    <w:rsid w:val="00F840B2"/>
    <w:rsid w:val="00F85679"/>
    <w:rsid w:val="00F86109"/>
    <w:rsid w:val="00F8668C"/>
    <w:rsid w:val="00F90C34"/>
    <w:rsid w:val="00F93E2A"/>
    <w:rsid w:val="00F95410"/>
    <w:rsid w:val="00F97C5B"/>
    <w:rsid w:val="00FA03AE"/>
    <w:rsid w:val="00FA08B2"/>
    <w:rsid w:val="00FA2EAC"/>
    <w:rsid w:val="00FA3D50"/>
    <w:rsid w:val="00FA6E25"/>
    <w:rsid w:val="00FA7F45"/>
    <w:rsid w:val="00FB279C"/>
    <w:rsid w:val="00FB715C"/>
    <w:rsid w:val="00FB7FBD"/>
    <w:rsid w:val="00FC0C23"/>
    <w:rsid w:val="00FC1972"/>
    <w:rsid w:val="00FC374A"/>
    <w:rsid w:val="00FC4E97"/>
    <w:rsid w:val="00FC74C8"/>
    <w:rsid w:val="00FC7B47"/>
    <w:rsid w:val="00FD035C"/>
    <w:rsid w:val="00FD039E"/>
    <w:rsid w:val="00FD1A35"/>
    <w:rsid w:val="00FD258A"/>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character" w:styleId="UnresolvedMention">
    <w:name w:val="Unresolved Mention"/>
    <w:basedOn w:val="DefaultParagraphFont"/>
    <w:uiPriority w:val="99"/>
    <w:semiHidden/>
    <w:unhideWhenUsed/>
    <w:rsid w:val="007365E3"/>
    <w:rPr>
      <w:color w:val="605E5C"/>
      <w:shd w:val="clear" w:color="auto" w:fill="E1DFDD"/>
    </w:rPr>
  </w:style>
  <w:style w:type="table" w:styleId="TableGrid">
    <w:name w:val="Table Grid"/>
    <w:basedOn w:val="TableNormal"/>
    <w:uiPriority w:val="39"/>
    <w:rsid w:val="006E1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llenovery.com/en-gb/global/expertise/practices/restructuring/restructuring_across_borders" TargetMode="External"/><Relationship Id="rId2" Type="http://schemas.openxmlformats.org/officeDocument/2006/relationships/hyperlink" Target="https://www.whitecase.com/insight-alert/singapore-rescue-financings-introducing-roll-ups#:~:text=d)%20the%20rescue%20financing%20is,from%20any%20person%20unless%20the" TargetMode="External"/><Relationship Id="rId1" Type="http://schemas.openxmlformats.org/officeDocument/2006/relationships/hyperlink" Target="https://sso.agc.gov.sg/Acts-Supp/40-2018/Published/20211231?DocDate=20181107&amp;WholeD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14</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Rashika Sharma</cp:lastModifiedBy>
  <cp:revision>250</cp:revision>
  <cp:lastPrinted>2019-08-27T05:42:00Z</cp:lastPrinted>
  <dcterms:created xsi:type="dcterms:W3CDTF">2023-07-28T05:44:00Z</dcterms:created>
  <dcterms:modified xsi:type="dcterms:W3CDTF">2023-07-28T16:33:00Z</dcterms:modified>
</cp:coreProperties>
</file>