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5A752C" w:rsidRDefault="00AD12C7" w:rsidP="00265D2D">
      <w:pPr>
        <w:pStyle w:val="ListParagraph"/>
        <w:numPr>
          <w:ilvl w:val="0"/>
          <w:numId w:val="11"/>
        </w:numPr>
        <w:ind w:left="426"/>
        <w:jc w:val="both"/>
        <w:rPr>
          <w:rFonts w:ascii="Avenir Next" w:hAnsi="Avenir Next"/>
          <w:sz w:val="22"/>
          <w:szCs w:val="22"/>
          <w:highlight w:val="yellow"/>
          <w:lang w:val="en-GB"/>
        </w:rPr>
      </w:pPr>
      <w:r w:rsidRPr="005A752C">
        <w:rPr>
          <w:rFonts w:ascii="Avenir Next" w:hAnsi="Avenir Next"/>
          <w:sz w:val="22"/>
          <w:szCs w:val="22"/>
          <w:highlight w:val="yellow"/>
          <w:lang w:val="en-GB"/>
        </w:rPr>
        <w:t>apply to the court for the decision to be reversed or varied</w:t>
      </w:r>
      <w:r w:rsidR="005A2E18" w:rsidRPr="005A752C">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C97DC1" w:rsidRDefault="00B2234F" w:rsidP="00265D2D">
      <w:pPr>
        <w:pStyle w:val="ListParagraph"/>
        <w:numPr>
          <w:ilvl w:val="0"/>
          <w:numId w:val="12"/>
        </w:numPr>
        <w:ind w:left="426"/>
        <w:rPr>
          <w:rFonts w:ascii="Avenir Next" w:hAnsi="Avenir Next" w:cs="Arial"/>
          <w:sz w:val="22"/>
          <w:szCs w:val="22"/>
          <w:highlight w:val="yellow"/>
          <w:lang w:val="en-GB"/>
        </w:rPr>
      </w:pPr>
      <w:r w:rsidRPr="00C97DC1">
        <w:rPr>
          <w:rFonts w:ascii="Avenir Next" w:hAnsi="Avenir Next" w:cs="Arial"/>
          <w:sz w:val="22"/>
          <w:szCs w:val="22"/>
          <w:highlight w:val="yellow"/>
          <w:lang w:val="en-GB"/>
        </w:rPr>
        <w:t>S</w:t>
      </w:r>
      <w:r w:rsidR="00422295" w:rsidRPr="00C97DC1">
        <w:rPr>
          <w:rFonts w:ascii="Avenir Next" w:hAnsi="Avenir Next" w:cs="Arial"/>
          <w:sz w:val="22"/>
          <w:szCs w:val="22"/>
          <w:highlight w:val="yellow"/>
          <w:lang w:val="en-GB"/>
        </w:rPr>
        <w:t>mall company restructuring</w:t>
      </w:r>
      <w:r w:rsidR="005A2E18" w:rsidRPr="00C97DC1">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6F8C608F" w14:textId="7761399E" w:rsidR="009B01E9" w:rsidRDefault="009B01E9" w:rsidP="00C55824">
      <w:pPr>
        <w:ind w:left="66"/>
        <w:jc w:val="both"/>
        <w:rPr>
          <w:rFonts w:ascii="Avenir Next" w:hAnsi="Avenir Next" w:cs="Arial"/>
          <w:iCs/>
          <w:sz w:val="22"/>
          <w:szCs w:val="22"/>
          <w:lang w:val="en-GB"/>
        </w:rPr>
      </w:pPr>
    </w:p>
    <w:p w14:paraId="67EC6359" w14:textId="72AC3E65" w:rsidR="009B01E9" w:rsidRDefault="009B01E9" w:rsidP="00C55824">
      <w:pPr>
        <w:ind w:left="66"/>
        <w:jc w:val="both"/>
        <w:rPr>
          <w:rFonts w:ascii="Avenir Next" w:hAnsi="Avenir Next" w:cs="Arial"/>
          <w:iCs/>
          <w:sz w:val="22"/>
          <w:szCs w:val="22"/>
          <w:lang w:val="en-GB"/>
        </w:rPr>
      </w:pPr>
    </w:p>
    <w:p w14:paraId="54E2AC90" w14:textId="17030487" w:rsidR="009B01E9" w:rsidRDefault="009B01E9" w:rsidP="00C55824">
      <w:pPr>
        <w:ind w:left="66"/>
        <w:jc w:val="both"/>
        <w:rPr>
          <w:rFonts w:ascii="Avenir Next" w:hAnsi="Avenir Next" w:cs="Arial"/>
          <w:iCs/>
          <w:sz w:val="22"/>
          <w:szCs w:val="22"/>
          <w:lang w:val="en-GB"/>
        </w:rPr>
      </w:pPr>
    </w:p>
    <w:p w14:paraId="69D17E51" w14:textId="24E7CA03" w:rsidR="009B01E9" w:rsidRDefault="009B01E9" w:rsidP="00C55824">
      <w:pPr>
        <w:ind w:left="66"/>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D04C72" w:rsidRDefault="009B01E9" w:rsidP="00265D2D">
      <w:pPr>
        <w:pStyle w:val="ListParagraph"/>
        <w:numPr>
          <w:ilvl w:val="0"/>
          <w:numId w:val="13"/>
        </w:numPr>
        <w:ind w:left="426"/>
        <w:jc w:val="both"/>
        <w:rPr>
          <w:rFonts w:ascii="Avenir Next" w:hAnsi="Avenir Next" w:cs="Arial"/>
          <w:sz w:val="22"/>
          <w:szCs w:val="22"/>
          <w:highlight w:val="yellow"/>
          <w:lang w:val="en-GB"/>
        </w:rPr>
      </w:pPr>
      <w:r w:rsidRPr="00D04C72">
        <w:rPr>
          <w:rFonts w:ascii="Avenir Next" w:hAnsi="Avenir Next" w:cs="Arial"/>
          <w:sz w:val="22"/>
          <w:szCs w:val="22"/>
          <w:highlight w:val="yellow"/>
          <w:lang w:val="en-GB"/>
        </w:rPr>
        <w:lastRenderedPageBreak/>
        <w:t>C</w:t>
      </w:r>
      <w:r w:rsidR="0089536F" w:rsidRPr="00D04C72">
        <w:rPr>
          <w:rFonts w:ascii="Avenir Next" w:hAnsi="Avenir Next" w:cs="Arial"/>
          <w:sz w:val="22"/>
          <w:szCs w:val="22"/>
          <w:highlight w:val="yellow"/>
          <w:lang w:val="en-GB"/>
        </w:rPr>
        <w:t>reditors’ scheme of arrangement</w:t>
      </w:r>
      <w:r w:rsidR="00265D2D" w:rsidRPr="00D04C72">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a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6A1DEC" w:rsidRDefault="009B01E9" w:rsidP="00265D2D">
      <w:pPr>
        <w:pStyle w:val="ListParagraph"/>
        <w:numPr>
          <w:ilvl w:val="0"/>
          <w:numId w:val="14"/>
        </w:numPr>
        <w:ind w:left="426"/>
        <w:rPr>
          <w:rFonts w:ascii="Avenir Next" w:hAnsi="Avenir Next" w:cs="Arial"/>
          <w:sz w:val="22"/>
          <w:szCs w:val="22"/>
          <w:highlight w:val="yellow"/>
          <w:lang w:val="en-GB"/>
        </w:rPr>
      </w:pPr>
      <w:r w:rsidRPr="006A1DEC">
        <w:rPr>
          <w:rFonts w:ascii="Avenir Next" w:hAnsi="Avenir Next" w:cs="Arial"/>
          <w:sz w:val="22"/>
          <w:szCs w:val="22"/>
          <w:highlight w:val="yellow"/>
          <w:lang w:val="en-GB"/>
        </w:rPr>
        <w:t>A</w:t>
      </w:r>
      <w:r w:rsidR="00AE20EB" w:rsidRPr="006A1DEC">
        <w:rPr>
          <w:rFonts w:ascii="Avenir Next" w:hAnsi="Avenir Next" w:cs="Arial"/>
          <w:sz w:val="22"/>
          <w:szCs w:val="22"/>
          <w:highlight w:val="yellow"/>
          <w:lang w:val="en-GB"/>
        </w:rPr>
        <w:t xml:space="preserve"> debt agreement under Part IX</w:t>
      </w:r>
      <w:r w:rsidR="00E131DE" w:rsidRPr="006A1DEC">
        <w:rPr>
          <w:rFonts w:ascii="Avenir Next" w:hAnsi="Avenir Next" w:cs="Arial"/>
          <w:sz w:val="22"/>
          <w:szCs w:val="22"/>
          <w:highlight w:val="yellow"/>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5ED413D" w14:textId="7BEB6548"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68C2D7AD" w14:textId="46CE4CD7" w:rsidR="00265D2D" w:rsidRDefault="00265D2D"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9252F6"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9252F6">
        <w:rPr>
          <w:rFonts w:ascii="Avenir Next" w:hAnsi="Avenir Next" w:cs="Arial"/>
          <w:sz w:val="22"/>
          <w:szCs w:val="22"/>
          <w:highlight w:val="yellow"/>
          <w:lang w:val="en-GB"/>
        </w:rPr>
        <w:t>S</w:t>
      </w:r>
      <w:r w:rsidR="00AD12C7" w:rsidRPr="009252F6">
        <w:rPr>
          <w:rFonts w:ascii="Avenir Next" w:hAnsi="Avenir Next" w:cs="Arial"/>
          <w:sz w:val="22"/>
          <w:szCs w:val="22"/>
          <w:highlight w:val="yellow"/>
          <w:lang w:val="en-GB"/>
        </w:rPr>
        <w:t>uperannuation funds</w:t>
      </w:r>
      <w:r w:rsidR="007B3A5E" w:rsidRPr="009252F6">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B4228D" w:rsidRDefault="008465BE" w:rsidP="00265D2D">
      <w:pPr>
        <w:pStyle w:val="ListParagraph"/>
        <w:numPr>
          <w:ilvl w:val="0"/>
          <w:numId w:val="16"/>
        </w:numPr>
        <w:ind w:left="426"/>
        <w:jc w:val="both"/>
        <w:rPr>
          <w:rFonts w:ascii="Avenir Next" w:hAnsi="Avenir Next" w:cs="Arial"/>
          <w:sz w:val="22"/>
          <w:szCs w:val="22"/>
          <w:highlight w:val="yellow"/>
          <w:lang w:val="en-GB"/>
        </w:rPr>
      </w:pPr>
      <w:r w:rsidRPr="00B4228D">
        <w:rPr>
          <w:rFonts w:ascii="Avenir Next" w:hAnsi="Avenir Next" w:cs="Arial"/>
          <w:sz w:val="22"/>
          <w:szCs w:val="22"/>
          <w:highlight w:val="yellow"/>
          <w:lang w:val="en-GB"/>
        </w:rPr>
        <w:t>P</w:t>
      </w:r>
      <w:r w:rsidR="00BF0AFE" w:rsidRPr="00B4228D">
        <w:rPr>
          <w:rFonts w:ascii="Avenir Next" w:hAnsi="Avenir Next" w:cs="Arial"/>
          <w:sz w:val="22"/>
          <w:szCs w:val="22"/>
          <w:highlight w:val="yellow"/>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A026CC" w:rsidRDefault="0089536F" w:rsidP="00265D2D">
      <w:pPr>
        <w:pStyle w:val="ListParagraph"/>
        <w:numPr>
          <w:ilvl w:val="0"/>
          <w:numId w:val="17"/>
        </w:numPr>
        <w:ind w:left="426"/>
        <w:rPr>
          <w:rFonts w:ascii="Avenir Next" w:hAnsi="Avenir Next" w:cs="Arial"/>
          <w:sz w:val="22"/>
          <w:szCs w:val="22"/>
          <w:highlight w:val="yellow"/>
          <w:lang w:val="en-GB"/>
        </w:rPr>
      </w:pPr>
      <w:r w:rsidRPr="00A026CC">
        <w:rPr>
          <w:rFonts w:ascii="Avenir Next" w:hAnsi="Avenir Next" w:cs="Arial"/>
          <w:sz w:val="22"/>
          <w:szCs w:val="22"/>
          <w:highlight w:val="yellow"/>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0F7A21" w:rsidRDefault="00AD12C7" w:rsidP="00265D2D">
      <w:pPr>
        <w:pStyle w:val="ListParagraph"/>
        <w:numPr>
          <w:ilvl w:val="0"/>
          <w:numId w:val="19"/>
        </w:numPr>
        <w:ind w:left="426"/>
        <w:jc w:val="both"/>
        <w:rPr>
          <w:rFonts w:ascii="Avenir Next" w:hAnsi="Avenir Next" w:cs="Arial"/>
          <w:sz w:val="22"/>
          <w:szCs w:val="22"/>
          <w:highlight w:val="yellow"/>
          <w:lang w:val="en-GB"/>
        </w:rPr>
      </w:pPr>
      <w:r w:rsidRPr="000F7A21">
        <w:rPr>
          <w:rFonts w:ascii="Avenir Next" w:hAnsi="Avenir Next" w:cs="Arial"/>
          <w:sz w:val="22"/>
          <w:szCs w:val="22"/>
          <w:highlight w:val="yellow"/>
          <w:lang w:val="en-GB"/>
        </w:rPr>
        <w:t>is an agent of the company and not of the secured creditor that appointed the receiver.</w:t>
      </w:r>
    </w:p>
    <w:p w14:paraId="2C3F121F" w14:textId="6BE36C22" w:rsidR="00265D2D" w:rsidRDefault="00265D2D" w:rsidP="00265D2D">
      <w:pPr>
        <w:ind w:left="66"/>
        <w:jc w:val="both"/>
        <w:rPr>
          <w:rFonts w:ascii="Avenir Next" w:hAnsi="Avenir Next" w:cs="Arial"/>
          <w:sz w:val="22"/>
          <w:szCs w:val="22"/>
          <w:lang w:val="en-GB"/>
        </w:rPr>
      </w:pPr>
    </w:p>
    <w:p w14:paraId="556D0871" w14:textId="7905C91D" w:rsidR="00023705"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w:t>
      </w:r>
      <w:r w:rsidR="00796B95" w:rsidRPr="00B2234F">
        <w:rPr>
          <w:rFonts w:ascii="Avenir Next" w:hAnsi="Avenir Next" w:cs="Arial"/>
          <w:sz w:val="22"/>
          <w:szCs w:val="22"/>
          <w:lang w:val="en-GB"/>
        </w:rPr>
        <w:t>,</w:t>
      </w:r>
      <w:r w:rsidRPr="00B2234F">
        <w:rPr>
          <w:rFonts w:ascii="Avenir Next" w:hAnsi="Avenir Next" w:cs="Arial"/>
          <w:sz w:val="22"/>
          <w:szCs w:val="22"/>
          <w:lang w:val="en-GB"/>
        </w:rPr>
        <w:t xml:space="preserve"> until the appointment of a liquidator to </w:t>
      </w:r>
      <w:r w:rsidR="00023705" w:rsidRPr="00B2234F">
        <w:rPr>
          <w:rFonts w:ascii="Avenir Next" w:hAnsi="Avenir Next" w:cs="Arial"/>
          <w:sz w:val="22"/>
          <w:szCs w:val="22"/>
          <w:lang w:val="en-GB"/>
        </w:rPr>
        <w:t xml:space="preserve">the </w:t>
      </w:r>
      <w:r w:rsidRPr="00B2234F">
        <w:rPr>
          <w:rFonts w:ascii="Avenir Next" w:hAnsi="Avenir Next" w:cs="Arial"/>
          <w:sz w:val="22"/>
          <w:szCs w:val="22"/>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D33831" w:rsidRDefault="00E131DE" w:rsidP="00265D2D">
      <w:pPr>
        <w:pStyle w:val="ListParagraph"/>
        <w:numPr>
          <w:ilvl w:val="0"/>
          <w:numId w:val="20"/>
        </w:numPr>
        <w:ind w:left="426"/>
        <w:jc w:val="both"/>
        <w:rPr>
          <w:rFonts w:ascii="Avenir Next" w:hAnsi="Avenir Next" w:cs="Arial"/>
          <w:sz w:val="22"/>
          <w:szCs w:val="22"/>
          <w:highlight w:val="yellow"/>
          <w:lang w:val="en-GB"/>
        </w:rPr>
      </w:pPr>
      <w:r w:rsidRPr="00D33831">
        <w:rPr>
          <w:rFonts w:ascii="Avenir Next" w:hAnsi="Avenir Next" w:cs="Arial"/>
          <w:sz w:val="22"/>
          <w:szCs w:val="22"/>
          <w:highlight w:val="yellow"/>
          <w:lang w:val="en-GB"/>
        </w:rPr>
        <w:t>t</w:t>
      </w:r>
      <w:r w:rsidR="002476AF" w:rsidRPr="00D33831">
        <w:rPr>
          <w:rFonts w:ascii="Avenir Next" w:hAnsi="Avenir Next" w:cs="Arial"/>
          <w:sz w:val="22"/>
          <w:szCs w:val="22"/>
          <w:highlight w:val="yellow"/>
          <w:lang w:val="en-GB"/>
        </w:rPr>
        <w:t xml:space="preserve">he part dealing with receivers, and other controllers, of property of </w:t>
      </w:r>
      <w:r w:rsidR="00416D2B" w:rsidRPr="00D33831">
        <w:rPr>
          <w:rFonts w:ascii="Avenir Next" w:hAnsi="Avenir Next" w:cs="Arial"/>
          <w:sz w:val="22"/>
          <w:szCs w:val="22"/>
          <w:highlight w:val="yellow"/>
          <w:lang w:val="en-GB"/>
        </w:rPr>
        <w:t xml:space="preserve">the </w:t>
      </w:r>
      <w:r w:rsidR="002476AF" w:rsidRPr="00D33831">
        <w:rPr>
          <w:rFonts w:ascii="Avenir Next" w:hAnsi="Avenir Next" w:cs="Arial"/>
          <w:sz w:val="22"/>
          <w:szCs w:val="22"/>
          <w:highlight w:val="yellow"/>
          <w:lang w:val="en-GB"/>
        </w:rPr>
        <w:t>corporation</w:t>
      </w:r>
      <w:r w:rsidR="00416D2B" w:rsidRPr="00D33831">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lastRenderedPageBreak/>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C22E2A" w:rsidRDefault="008465BE" w:rsidP="00265D2D">
      <w:pPr>
        <w:pStyle w:val="ListParagraph"/>
        <w:numPr>
          <w:ilvl w:val="0"/>
          <w:numId w:val="21"/>
        </w:numPr>
        <w:ind w:left="426"/>
        <w:jc w:val="both"/>
        <w:rPr>
          <w:rFonts w:ascii="Avenir Next" w:hAnsi="Avenir Next" w:cs="Arial"/>
          <w:sz w:val="22"/>
          <w:szCs w:val="22"/>
          <w:highlight w:val="yellow"/>
          <w:lang w:val="en-GB"/>
        </w:rPr>
      </w:pPr>
      <w:r w:rsidRPr="00C22E2A">
        <w:rPr>
          <w:rFonts w:ascii="Avenir Next" w:hAnsi="Avenir Next" w:cs="Arial"/>
          <w:sz w:val="22"/>
          <w:szCs w:val="22"/>
          <w:highlight w:val="yellow"/>
          <w:lang w:val="en-GB"/>
        </w:rPr>
        <w:t>S</w:t>
      </w:r>
      <w:r w:rsidR="002476AF" w:rsidRPr="00C22E2A">
        <w:rPr>
          <w:rFonts w:ascii="Avenir Next" w:hAnsi="Avenir Next" w:cs="Arial"/>
          <w:sz w:val="22"/>
          <w:szCs w:val="22"/>
          <w:highlight w:val="yellow"/>
          <w:lang w:val="en-GB"/>
        </w:rPr>
        <w:t xml:space="preserve">implified </w:t>
      </w:r>
      <w:r w:rsidR="008235B7" w:rsidRPr="00C22E2A">
        <w:rPr>
          <w:rFonts w:ascii="Avenir Next" w:hAnsi="Avenir Next" w:cs="Arial"/>
          <w:sz w:val="22"/>
          <w:szCs w:val="22"/>
          <w:highlight w:val="yellow"/>
          <w:lang w:val="en-GB"/>
        </w:rPr>
        <w:t>restructuring and liquidation regimes for small companies</w:t>
      </w:r>
      <w:r w:rsidR="002476AF" w:rsidRPr="00C22E2A">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reversed by a liquidator on application to the court,</w:t>
      </w:r>
      <w:r w:rsidR="00823B29" w:rsidRPr="00B2234F">
        <w:rPr>
          <w:rFonts w:ascii="Avenir Next" w:hAnsi="Avenir Next" w:cs="Arial"/>
          <w:sz w:val="22"/>
          <w:szCs w:val="22"/>
          <w:lang w:val="en-GB"/>
        </w:rPr>
        <w:t xml:space="preserve"> and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66FCBB75" w14:textId="1FDC3684" w:rsidR="00526091" w:rsidRDefault="00526091" w:rsidP="002476AF">
      <w:pPr>
        <w:jc w:val="both"/>
        <w:rPr>
          <w:rFonts w:ascii="Avenir Next" w:hAnsi="Avenir Next" w:cs="Arial"/>
          <w:color w:val="808080" w:themeColor="background1" w:themeShade="80"/>
          <w:sz w:val="22"/>
          <w:szCs w:val="22"/>
          <w:lang w:val="en-GB"/>
        </w:rPr>
      </w:pPr>
    </w:p>
    <w:p w14:paraId="7FE8FA7F" w14:textId="51DC6FAC" w:rsidR="00987B70" w:rsidRDefault="001D4687" w:rsidP="000202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types of transactions can be reversed by the liquidator</w:t>
      </w:r>
      <w:r w:rsidR="00F54BDA">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w:t>
      </w:r>
      <w:r w:rsidR="003E62B2">
        <w:rPr>
          <w:rFonts w:ascii="Avenir Next" w:hAnsi="Avenir Next" w:cs="Arial"/>
          <w:color w:val="808080" w:themeColor="background1" w:themeShade="80"/>
          <w:sz w:val="22"/>
          <w:szCs w:val="22"/>
          <w:lang w:val="en-GB"/>
        </w:rPr>
        <w:t xml:space="preserve">under the </w:t>
      </w:r>
      <w:r w:rsidR="00D873A4">
        <w:rPr>
          <w:rFonts w:ascii="Avenir Next" w:hAnsi="Avenir Next" w:cs="Arial"/>
          <w:color w:val="808080" w:themeColor="background1" w:themeShade="80"/>
          <w:sz w:val="22"/>
          <w:szCs w:val="22"/>
          <w:lang w:val="en-GB"/>
        </w:rPr>
        <w:t>Corporations</w:t>
      </w:r>
      <w:r w:rsidR="00F36246">
        <w:rPr>
          <w:rFonts w:ascii="Avenir Next" w:hAnsi="Avenir Next" w:cs="Arial"/>
          <w:color w:val="808080" w:themeColor="background1" w:themeShade="80"/>
          <w:sz w:val="22"/>
          <w:szCs w:val="22"/>
          <w:lang w:val="en-GB"/>
        </w:rPr>
        <w:t xml:space="preserve"> Act 2001 (Cth) (“Corporations Act”)</w:t>
      </w:r>
      <w:r w:rsidR="00987B70">
        <w:rPr>
          <w:rFonts w:ascii="Avenir Next" w:hAnsi="Avenir Next" w:cs="Arial"/>
          <w:color w:val="808080" w:themeColor="background1" w:themeShade="80"/>
          <w:sz w:val="22"/>
          <w:szCs w:val="22"/>
          <w:lang w:val="en-GB"/>
        </w:rPr>
        <w:t>:</w:t>
      </w:r>
    </w:p>
    <w:p w14:paraId="063EFA84" w14:textId="325789A1" w:rsidR="00020280" w:rsidRDefault="00020280" w:rsidP="00020280">
      <w:pPr>
        <w:pStyle w:val="ListParagraph"/>
        <w:numPr>
          <w:ilvl w:val="0"/>
          <w:numId w:val="29"/>
        </w:numPr>
        <w:jc w:val="both"/>
        <w:rPr>
          <w:rFonts w:ascii="Avenir Next" w:hAnsi="Avenir Next" w:cs="Arial"/>
          <w:color w:val="808080" w:themeColor="background1" w:themeShade="80"/>
          <w:sz w:val="22"/>
          <w:szCs w:val="22"/>
          <w:lang w:val="en-GB"/>
        </w:rPr>
      </w:pPr>
      <w:r w:rsidRPr="00AD1D36">
        <w:rPr>
          <w:rFonts w:ascii="Avenir Next" w:hAnsi="Avenir Next" w:cs="Arial"/>
          <w:b/>
          <w:bCs/>
          <w:color w:val="808080" w:themeColor="background1" w:themeShade="80"/>
          <w:sz w:val="22"/>
          <w:szCs w:val="22"/>
          <w:lang w:val="en-GB"/>
        </w:rPr>
        <w:t>Unfair preferences or preferential transactions</w:t>
      </w:r>
      <w:r>
        <w:rPr>
          <w:rFonts w:ascii="Avenir Next" w:hAnsi="Avenir Next" w:cs="Arial"/>
          <w:color w:val="808080" w:themeColor="background1" w:themeShade="80"/>
          <w:sz w:val="22"/>
          <w:szCs w:val="22"/>
          <w:lang w:val="en-GB"/>
        </w:rPr>
        <w:t xml:space="preserve">: </w:t>
      </w:r>
      <w:r w:rsidR="00371EA7">
        <w:rPr>
          <w:rFonts w:ascii="Avenir Next" w:hAnsi="Avenir Next" w:cs="Arial"/>
          <w:color w:val="808080" w:themeColor="background1" w:themeShade="80"/>
          <w:sz w:val="22"/>
          <w:szCs w:val="22"/>
          <w:lang w:val="en-GB"/>
        </w:rPr>
        <w:t>These are transactions</w:t>
      </w:r>
      <w:r w:rsidR="00371EA7" w:rsidRPr="00B164DB">
        <w:rPr>
          <w:rFonts w:ascii="Avenir Next" w:hAnsi="Avenir Next" w:cs="Arial"/>
          <w:color w:val="808080" w:themeColor="background1" w:themeShade="80"/>
          <w:sz w:val="22"/>
          <w:szCs w:val="22"/>
          <w:lang w:val="en-GB"/>
        </w:rPr>
        <w:t xml:space="preserve"> which enable a creditor to receive more than what they would have received if they would have stood under the </w:t>
      </w:r>
      <w:r w:rsidR="004A02FF" w:rsidRPr="00B164DB">
        <w:rPr>
          <w:rFonts w:ascii="Avenir Next" w:hAnsi="Avenir Next" w:cs="Arial"/>
          <w:color w:val="808080" w:themeColor="background1" w:themeShade="80"/>
          <w:sz w:val="22"/>
          <w:szCs w:val="22"/>
          <w:lang w:val="en-GB"/>
        </w:rPr>
        <w:t>liquidation</w:t>
      </w:r>
      <w:r w:rsidR="00371EA7" w:rsidRPr="00B164DB">
        <w:rPr>
          <w:rFonts w:ascii="Avenir Next" w:hAnsi="Avenir Next" w:cs="Arial"/>
          <w:color w:val="808080" w:themeColor="background1" w:themeShade="80"/>
          <w:sz w:val="22"/>
          <w:szCs w:val="22"/>
          <w:lang w:val="en-GB"/>
        </w:rPr>
        <w:t xml:space="preserve"> waterfall as an unsecured creditor</w:t>
      </w:r>
      <w:r w:rsidR="00492018">
        <w:rPr>
          <w:rStyle w:val="FootnoteReference"/>
          <w:rFonts w:ascii="Avenir Next" w:hAnsi="Avenir Next" w:cs="Arial"/>
          <w:color w:val="808080" w:themeColor="background1" w:themeShade="80"/>
          <w:sz w:val="22"/>
          <w:szCs w:val="22"/>
          <w:lang w:val="en-GB"/>
        </w:rPr>
        <w:footnoteReference w:id="3"/>
      </w:r>
      <w:r w:rsidR="00371EA7" w:rsidRPr="00B164DB">
        <w:rPr>
          <w:rFonts w:ascii="Avenir Next" w:hAnsi="Avenir Next" w:cs="Arial"/>
          <w:color w:val="808080" w:themeColor="background1" w:themeShade="80"/>
          <w:sz w:val="22"/>
          <w:szCs w:val="22"/>
          <w:lang w:val="en-GB"/>
        </w:rPr>
        <w:t>, thereby grossly prejudicing the other stakeholders</w:t>
      </w:r>
      <w:r w:rsidR="00B63456" w:rsidRPr="00B164DB">
        <w:rPr>
          <w:rFonts w:ascii="Avenir Next" w:hAnsi="Avenir Next" w:cs="Arial"/>
          <w:color w:val="808080" w:themeColor="background1" w:themeShade="80"/>
          <w:sz w:val="22"/>
          <w:szCs w:val="22"/>
          <w:lang w:val="en-GB"/>
        </w:rPr>
        <w:t>, which was made at a time when the debtor was insolvent (or the act in question caused the debtor to become insolvent)</w:t>
      </w:r>
      <w:r w:rsidR="00492018">
        <w:rPr>
          <w:rStyle w:val="FootnoteReference"/>
          <w:rFonts w:ascii="Avenir Next" w:hAnsi="Avenir Next" w:cs="Arial"/>
          <w:color w:val="808080" w:themeColor="background1" w:themeShade="80"/>
          <w:sz w:val="22"/>
          <w:szCs w:val="22"/>
          <w:lang w:val="en-GB"/>
        </w:rPr>
        <w:footnoteReference w:id="4"/>
      </w:r>
      <w:r w:rsidR="00882944" w:rsidRPr="00B164DB">
        <w:rPr>
          <w:rFonts w:ascii="Avenir Next" w:hAnsi="Avenir Next" w:cs="Arial"/>
          <w:color w:val="808080" w:themeColor="background1" w:themeShade="80"/>
          <w:sz w:val="22"/>
          <w:szCs w:val="22"/>
          <w:lang w:val="en-GB"/>
        </w:rPr>
        <w:t xml:space="preserve">, which was either made in the 6 month period ending on the relation back day, </w:t>
      </w:r>
      <w:r w:rsidR="002C2FFF" w:rsidRPr="00B164DB">
        <w:rPr>
          <w:rFonts w:ascii="Avenir Next" w:hAnsi="Avenir Next" w:cs="Arial"/>
          <w:color w:val="808080" w:themeColor="background1" w:themeShade="80"/>
          <w:sz w:val="22"/>
          <w:szCs w:val="22"/>
          <w:lang w:val="en-GB"/>
        </w:rPr>
        <w:t>or in the four</w:t>
      </w:r>
      <w:r w:rsidR="00D873A4" w:rsidRPr="00B164DB">
        <w:rPr>
          <w:rFonts w:ascii="Avenir Next" w:hAnsi="Avenir Next" w:cs="Arial"/>
          <w:color w:val="808080" w:themeColor="background1" w:themeShade="80"/>
          <w:sz w:val="22"/>
          <w:szCs w:val="22"/>
          <w:lang w:val="en-GB"/>
        </w:rPr>
        <w:t xml:space="preserve">-year period (in case of a related party), </w:t>
      </w:r>
      <w:r w:rsidR="00D263C0" w:rsidRPr="00B164DB">
        <w:rPr>
          <w:rFonts w:ascii="Avenir Next" w:hAnsi="Avenir Next" w:cs="Arial"/>
          <w:color w:val="808080" w:themeColor="background1" w:themeShade="80"/>
          <w:sz w:val="22"/>
          <w:szCs w:val="22"/>
          <w:lang w:val="en-GB"/>
        </w:rPr>
        <w:t xml:space="preserve">or a ten-year period (in case the action was </w:t>
      </w:r>
      <w:r w:rsidR="00CD7ED6" w:rsidRPr="00B164DB">
        <w:rPr>
          <w:rFonts w:ascii="Avenir Next" w:hAnsi="Avenir Next" w:cs="Arial"/>
          <w:color w:val="808080" w:themeColor="background1" w:themeShade="80"/>
          <w:sz w:val="22"/>
          <w:szCs w:val="22"/>
          <w:lang w:val="en-GB"/>
        </w:rPr>
        <w:t>taken</w:t>
      </w:r>
      <w:r w:rsidR="00D263C0" w:rsidRPr="00B164DB">
        <w:rPr>
          <w:rFonts w:ascii="Avenir Next" w:hAnsi="Avenir Next" w:cs="Arial"/>
          <w:color w:val="808080" w:themeColor="background1" w:themeShade="80"/>
          <w:sz w:val="22"/>
          <w:szCs w:val="22"/>
          <w:lang w:val="en-GB"/>
        </w:rPr>
        <w:t xml:space="preserve"> to prejudice or defeat the rights of creditors), </w:t>
      </w:r>
      <w:r w:rsidR="00CA28A7" w:rsidRPr="00B164DB">
        <w:rPr>
          <w:rFonts w:ascii="Avenir Next" w:hAnsi="Avenir Next" w:cs="Arial"/>
          <w:color w:val="808080" w:themeColor="background1" w:themeShade="80"/>
          <w:sz w:val="22"/>
          <w:szCs w:val="22"/>
          <w:lang w:val="en-GB"/>
        </w:rPr>
        <w:t>or after the relation back day and before the liquidator appointment.</w:t>
      </w:r>
    </w:p>
    <w:p w14:paraId="17C3A5B3" w14:textId="77777777" w:rsidR="00E9243D" w:rsidRDefault="00E9243D" w:rsidP="00E9243D">
      <w:pPr>
        <w:pStyle w:val="ListParagraph"/>
        <w:jc w:val="both"/>
        <w:rPr>
          <w:rFonts w:ascii="Avenir Next" w:hAnsi="Avenir Next" w:cs="Arial"/>
          <w:color w:val="808080" w:themeColor="background1" w:themeShade="80"/>
          <w:sz w:val="22"/>
          <w:szCs w:val="22"/>
          <w:lang w:val="en-GB"/>
        </w:rPr>
      </w:pPr>
    </w:p>
    <w:p w14:paraId="5931BF5E" w14:textId="6347AC38" w:rsidR="005C1C13" w:rsidRDefault="00B3103D" w:rsidP="005C1C13">
      <w:pPr>
        <w:pStyle w:val="ListParagraph"/>
        <w:numPr>
          <w:ilvl w:val="0"/>
          <w:numId w:val="29"/>
        </w:numPr>
        <w:jc w:val="both"/>
        <w:rPr>
          <w:rFonts w:ascii="Avenir Next" w:hAnsi="Avenir Next" w:cs="Arial"/>
          <w:color w:val="808080" w:themeColor="background1" w:themeShade="80"/>
          <w:sz w:val="22"/>
          <w:szCs w:val="22"/>
          <w:lang w:val="en-GB"/>
        </w:rPr>
      </w:pPr>
      <w:r w:rsidRPr="00A134D9">
        <w:rPr>
          <w:rFonts w:ascii="Avenir Next" w:hAnsi="Avenir Next" w:cs="Arial"/>
          <w:b/>
          <w:bCs/>
          <w:color w:val="808080" w:themeColor="background1" w:themeShade="80"/>
          <w:sz w:val="22"/>
          <w:szCs w:val="22"/>
          <w:lang w:val="en-GB"/>
        </w:rPr>
        <w:t>Uncommercial Transactions</w:t>
      </w:r>
      <w:r>
        <w:rPr>
          <w:rFonts w:ascii="Avenir Next" w:hAnsi="Avenir Next" w:cs="Arial"/>
          <w:color w:val="808080" w:themeColor="background1" w:themeShade="80"/>
          <w:sz w:val="22"/>
          <w:szCs w:val="22"/>
          <w:lang w:val="en-GB"/>
        </w:rPr>
        <w:t>: These are transaction</w:t>
      </w:r>
      <w:r w:rsidR="005F6993">
        <w:rPr>
          <w:rFonts w:ascii="Avenir Next" w:hAnsi="Avenir Next" w:cs="Arial"/>
          <w:color w:val="808080" w:themeColor="background1" w:themeShade="80"/>
          <w:sz w:val="22"/>
          <w:szCs w:val="22"/>
          <w:lang w:val="en-GB"/>
        </w:rPr>
        <w:t xml:space="preserve">s that any reasonable person would not have entered into considering the consequences thereof to the health of the company, which were entered into by the debtor company when it was insolvent </w:t>
      </w:r>
      <w:r w:rsidR="005F6993" w:rsidRPr="00B164DB">
        <w:rPr>
          <w:rFonts w:ascii="Avenir Next" w:hAnsi="Avenir Next" w:cs="Arial"/>
          <w:color w:val="808080" w:themeColor="background1" w:themeShade="80"/>
          <w:sz w:val="22"/>
          <w:szCs w:val="22"/>
          <w:lang w:val="en-GB"/>
        </w:rPr>
        <w:t>or the act in question caused the debtor to become insolvent</w:t>
      </w:r>
      <w:r w:rsidR="005C1C13">
        <w:rPr>
          <w:rFonts w:ascii="Avenir Next" w:hAnsi="Avenir Next" w:cs="Arial"/>
          <w:color w:val="808080" w:themeColor="background1" w:themeShade="80"/>
          <w:sz w:val="22"/>
          <w:szCs w:val="22"/>
          <w:lang w:val="en-GB"/>
        </w:rPr>
        <w:t xml:space="preserve">, </w:t>
      </w:r>
      <w:r w:rsidR="005C1C13" w:rsidRPr="00B164DB">
        <w:rPr>
          <w:rFonts w:ascii="Avenir Next" w:hAnsi="Avenir Next" w:cs="Arial"/>
          <w:color w:val="808080" w:themeColor="background1" w:themeShade="80"/>
          <w:sz w:val="22"/>
          <w:szCs w:val="22"/>
          <w:lang w:val="en-GB"/>
        </w:rPr>
        <w:t>which was either made in the 6 month period ending on the relation back day, or in the four-year period (in case of a related party), or a ten-year period (in case the action was taken to prejudice or defeat the rights of creditors), or after the relation back day and before the liquidator appointment.</w:t>
      </w:r>
    </w:p>
    <w:p w14:paraId="2B457566" w14:textId="77777777" w:rsidR="00E9243D" w:rsidRPr="00E9243D" w:rsidRDefault="00E9243D" w:rsidP="00E9243D">
      <w:pPr>
        <w:pStyle w:val="ListParagraph"/>
        <w:rPr>
          <w:rFonts w:ascii="Avenir Next" w:hAnsi="Avenir Next" w:cs="Arial"/>
          <w:color w:val="808080" w:themeColor="background1" w:themeShade="80"/>
          <w:sz w:val="22"/>
          <w:szCs w:val="22"/>
          <w:lang w:val="en-GB"/>
        </w:rPr>
      </w:pPr>
    </w:p>
    <w:p w14:paraId="0C517014" w14:textId="77777777" w:rsidR="00E9243D" w:rsidRDefault="00E9243D" w:rsidP="00E9243D">
      <w:pPr>
        <w:pStyle w:val="ListParagraph"/>
        <w:jc w:val="both"/>
        <w:rPr>
          <w:rFonts w:ascii="Avenir Next" w:hAnsi="Avenir Next" w:cs="Arial"/>
          <w:color w:val="808080" w:themeColor="background1" w:themeShade="80"/>
          <w:sz w:val="22"/>
          <w:szCs w:val="22"/>
          <w:lang w:val="en-GB"/>
        </w:rPr>
      </w:pPr>
    </w:p>
    <w:p w14:paraId="5432A944" w14:textId="4CF34FB5" w:rsidR="00CD7ED6" w:rsidRDefault="009F21B8" w:rsidP="00020280">
      <w:pPr>
        <w:pStyle w:val="ListParagraph"/>
        <w:numPr>
          <w:ilvl w:val="0"/>
          <w:numId w:val="29"/>
        </w:numPr>
        <w:jc w:val="both"/>
        <w:rPr>
          <w:rFonts w:ascii="Avenir Next" w:hAnsi="Avenir Next" w:cs="Arial"/>
          <w:color w:val="808080" w:themeColor="background1" w:themeShade="80"/>
          <w:sz w:val="22"/>
          <w:szCs w:val="22"/>
          <w:lang w:val="en-GB"/>
        </w:rPr>
      </w:pPr>
      <w:r w:rsidRPr="00A134D9">
        <w:rPr>
          <w:rFonts w:ascii="Avenir Next" w:hAnsi="Avenir Next" w:cs="Arial"/>
          <w:b/>
          <w:bCs/>
          <w:color w:val="808080" w:themeColor="background1" w:themeShade="80"/>
          <w:sz w:val="22"/>
          <w:szCs w:val="22"/>
          <w:lang w:val="en-GB"/>
        </w:rPr>
        <w:t>Unreasonable d</w:t>
      </w:r>
      <w:r w:rsidR="009B6B09" w:rsidRPr="00A134D9">
        <w:rPr>
          <w:rFonts w:ascii="Avenir Next" w:hAnsi="Avenir Next" w:cs="Arial"/>
          <w:b/>
          <w:bCs/>
          <w:color w:val="808080" w:themeColor="background1" w:themeShade="80"/>
          <w:sz w:val="22"/>
          <w:szCs w:val="22"/>
          <w:lang w:val="en-GB"/>
        </w:rPr>
        <w:t>irector</w:t>
      </w:r>
      <w:r w:rsidRPr="00A134D9">
        <w:rPr>
          <w:rFonts w:ascii="Avenir Next" w:hAnsi="Avenir Next" w:cs="Arial"/>
          <w:b/>
          <w:bCs/>
          <w:color w:val="808080" w:themeColor="background1" w:themeShade="80"/>
          <w:sz w:val="22"/>
          <w:szCs w:val="22"/>
          <w:lang w:val="en-GB"/>
        </w:rPr>
        <w:t>-related transaction</w:t>
      </w:r>
      <w:r>
        <w:rPr>
          <w:rFonts w:ascii="Avenir Next" w:hAnsi="Avenir Next" w:cs="Arial"/>
          <w:color w:val="808080" w:themeColor="background1" w:themeShade="80"/>
          <w:sz w:val="22"/>
          <w:szCs w:val="22"/>
          <w:lang w:val="en-GB"/>
        </w:rPr>
        <w:t>:</w:t>
      </w:r>
      <w:r w:rsidR="009B6B09">
        <w:rPr>
          <w:rFonts w:ascii="Avenir Next" w:hAnsi="Avenir Next" w:cs="Arial"/>
          <w:color w:val="808080" w:themeColor="background1" w:themeShade="80"/>
          <w:sz w:val="22"/>
          <w:szCs w:val="22"/>
          <w:lang w:val="en-GB"/>
        </w:rPr>
        <w:t xml:space="preserve"> These transaction</w:t>
      </w:r>
      <w:r w:rsidR="007D43AA">
        <w:rPr>
          <w:rFonts w:ascii="Avenir Next" w:hAnsi="Avenir Next" w:cs="Arial"/>
          <w:color w:val="808080" w:themeColor="background1" w:themeShade="80"/>
          <w:sz w:val="22"/>
          <w:szCs w:val="22"/>
          <w:lang w:val="en-GB"/>
        </w:rPr>
        <w:t>s</w:t>
      </w:r>
      <w:r w:rsidR="009B6B09">
        <w:rPr>
          <w:rFonts w:ascii="Avenir Next" w:hAnsi="Avenir Next" w:cs="Arial"/>
          <w:color w:val="808080" w:themeColor="background1" w:themeShade="80"/>
          <w:sz w:val="22"/>
          <w:szCs w:val="22"/>
          <w:lang w:val="en-GB"/>
        </w:rPr>
        <w:t xml:space="preserve"> can pertain to </w:t>
      </w:r>
      <w:r w:rsidR="007D43AA">
        <w:rPr>
          <w:rFonts w:ascii="Avenir Next" w:hAnsi="Avenir Next" w:cs="Arial"/>
          <w:color w:val="808080" w:themeColor="background1" w:themeShade="80"/>
          <w:sz w:val="22"/>
          <w:szCs w:val="22"/>
          <w:lang w:val="en-GB"/>
        </w:rPr>
        <w:t xml:space="preserve">transfer of property/interest, of undertaking of an obligation, </w:t>
      </w:r>
      <w:r w:rsidR="00A134D9">
        <w:rPr>
          <w:rFonts w:ascii="Avenir Next" w:hAnsi="Avenir Next" w:cs="Arial"/>
          <w:color w:val="808080" w:themeColor="background1" w:themeShade="80"/>
          <w:sz w:val="22"/>
          <w:szCs w:val="22"/>
          <w:lang w:val="en-GB"/>
        </w:rPr>
        <w:t>i</w:t>
      </w:r>
      <w:r w:rsidR="007D43AA">
        <w:rPr>
          <w:rFonts w:ascii="Avenir Next" w:hAnsi="Avenir Next" w:cs="Arial"/>
          <w:color w:val="808080" w:themeColor="background1" w:themeShade="80"/>
          <w:sz w:val="22"/>
          <w:szCs w:val="22"/>
          <w:lang w:val="en-GB"/>
        </w:rPr>
        <w:t xml:space="preserve">n favour or for the benefit of a director of a company debtor or a related party of the director, which would have not have been entered </w:t>
      </w:r>
      <w:r w:rsidR="007D43AA">
        <w:rPr>
          <w:rFonts w:ascii="Avenir Next" w:hAnsi="Avenir Next" w:cs="Arial"/>
          <w:color w:val="808080" w:themeColor="background1" w:themeShade="80"/>
          <w:sz w:val="22"/>
          <w:szCs w:val="22"/>
          <w:lang w:val="en-GB"/>
        </w:rPr>
        <w:lastRenderedPageBreak/>
        <w:t>into by a reasonable person given the consequences thereof to the health of the company. For clawing back any amounts hereunder the liquidator does not have to prove that the company was insolvent at the time or went insolvent due to the nature of the transaction.</w:t>
      </w:r>
    </w:p>
    <w:p w14:paraId="1F591AD9" w14:textId="77777777" w:rsidR="00E9243D" w:rsidRDefault="00E9243D" w:rsidP="00E9243D">
      <w:pPr>
        <w:pStyle w:val="ListParagraph"/>
        <w:jc w:val="both"/>
        <w:rPr>
          <w:rFonts w:ascii="Avenir Next" w:hAnsi="Avenir Next" w:cs="Arial"/>
          <w:color w:val="808080" w:themeColor="background1" w:themeShade="80"/>
          <w:sz w:val="22"/>
          <w:szCs w:val="22"/>
          <w:lang w:val="en-GB"/>
        </w:rPr>
      </w:pPr>
    </w:p>
    <w:p w14:paraId="7C7114CB" w14:textId="7D143DD3" w:rsidR="009E271C" w:rsidRDefault="00A838D1" w:rsidP="009E271C">
      <w:pPr>
        <w:pStyle w:val="ListParagraph"/>
        <w:numPr>
          <w:ilvl w:val="0"/>
          <w:numId w:val="29"/>
        </w:numPr>
        <w:jc w:val="both"/>
        <w:rPr>
          <w:rFonts w:ascii="Avenir Next" w:hAnsi="Avenir Next" w:cs="Arial"/>
          <w:color w:val="808080" w:themeColor="background1" w:themeShade="80"/>
          <w:sz w:val="22"/>
          <w:szCs w:val="22"/>
          <w:lang w:val="en-GB"/>
        </w:rPr>
      </w:pPr>
      <w:r w:rsidRPr="00A134D9">
        <w:rPr>
          <w:rFonts w:ascii="Avenir Next" w:hAnsi="Avenir Next" w:cs="Arial"/>
          <w:b/>
          <w:bCs/>
          <w:color w:val="808080" w:themeColor="background1" w:themeShade="80"/>
          <w:sz w:val="22"/>
          <w:szCs w:val="22"/>
          <w:lang w:val="en-GB"/>
        </w:rPr>
        <w:t>Unfair Loans</w:t>
      </w:r>
      <w:r>
        <w:rPr>
          <w:rFonts w:ascii="Avenir Next" w:hAnsi="Avenir Next" w:cs="Arial"/>
          <w:color w:val="808080" w:themeColor="background1" w:themeShade="80"/>
          <w:sz w:val="22"/>
          <w:szCs w:val="22"/>
          <w:lang w:val="en-GB"/>
        </w:rPr>
        <w:t xml:space="preserve">: Any loan given by the company debtor before the appointment of the liquidator which in its opinion is </w:t>
      </w:r>
      <w:r w:rsidR="009E271C">
        <w:rPr>
          <w:rFonts w:ascii="Avenir Next" w:hAnsi="Avenir Next" w:cs="Arial"/>
          <w:color w:val="808080" w:themeColor="background1" w:themeShade="80"/>
          <w:sz w:val="22"/>
          <w:szCs w:val="22"/>
          <w:lang w:val="en-GB"/>
        </w:rPr>
        <w:t>extortionate</w:t>
      </w:r>
      <w:r>
        <w:rPr>
          <w:rFonts w:ascii="Avenir Next" w:hAnsi="Avenir Next" w:cs="Arial"/>
          <w:color w:val="808080" w:themeColor="background1" w:themeShade="80"/>
          <w:sz w:val="22"/>
          <w:szCs w:val="22"/>
          <w:lang w:val="en-GB"/>
        </w:rPr>
        <w:t xml:space="preserve"> in its </w:t>
      </w:r>
      <w:r w:rsidR="009E271C">
        <w:rPr>
          <w:rFonts w:ascii="Avenir Next" w:hAnsi="Avenir Next" w:cs="Arial"/>
          <w:color w:val="808080" w:themeColor="background1" w:themeShade="80"/>
          <w:sz w:val="22"/>
          <w:szCs w:val="22"/>
          <w:lang w:val="en-GB"/>
        </w:rPr>
        <w:t>clauses, nature, interest etc. can be avoided by the liquidator, whether or not the company was insolvent at the time or went insolvent due to the nature of the transaction</w:t>
      </w:r>
      <w:r w:rsidR="00E9243D">
        <w:rPr>
          <w:rFonts w:ascii="Avenir Next" w:hAnsi="Avenir Next" w:cs="Arial"/>
          <w:color w:val="808080" w:themeColor="background1" w:themeShade="80"/>
          <w:sz w:val="22"/>
          <w:szCs w:val="22"/>
          <w:lang w:val="en-GB"/>
        </w:rPr>
        <w:t>.</w:t>
      </w:r>
    </w:p>
    <w:p w14:paraId="4048AAF6" w14:textId="77777777" w:rsidR="00E9243D" w:rsidRPr="00E9243D" w:rsidRDefault="00E9243D" w:rsidP="00E9243D">
      <w:pPr>
        <w:jc w:val="both"/>
        <w:rPr>
          <w:rFonts w:ascii="Avenir Next" w:hAnsi="Avenir Next" w:cs="Arial"/>
          <w:color w:val="808080" w:themeColor="background1" w:themeShade="80"/>
          <w:sz w:val="22"/>
          <w:szCs w:val="22"/>
          <w:lang w:val="en-GB"/>
        </w:rPr>
      </w:pPr>
    </w:p>
    <w:p w14:paraId="635656DE" w14:textId="1080B794" w:rsidR="00E9243D" w:rsidRDefault="00A549B7" w:rsidP="00F36246">
      <w:pPr>
        <w:pStyle w:val="ListParagraph"/>
        <w:numPr>
          <w:ilvl w:val="0"/>
          <w:numId w:val="29"/>
        </w:numPr>
        <w:jc w:val="both"/>
        <w:rPr>
          <w:rFonts w:ascii="Avenir Next" w:hAnsi="Avenir Next" w:cs="Arial"/>
          <w:color w:val="808080" w:themeColor="background1" w:themeShade="80"/>
          <w:sz w:val="22"/>
          <w:szCs w:val="22"/>
          <w:lang w:val="en-GB"/>
        </w:rPr>
      </w:pPr>
      <w:r w:rsidRPr="00A134D9">
        <w:rPr>
          <w:rFonts w:ascii="Avenir Next" w:hAnsi="Avenir Next" w:cs="Arial"/>
          <w:b/>
          <w:bCs/>
          <w:color w:val="808080" w:themeColor="background1" w:themeShade="80"/>
          <w:sz w:val="22"/>
          <w:szCs w:val="22"/>
          <w:lang w:val="en-GB"/>
        </w:rPr>
        <w:t>Circulation security interest</w:t>
      </w:r>
      <w:r>
        <w:rPr>
          <w:rFonts w:ascii="Avenir Next" w:hAnsi="Avenir Next" w:cs="Arial"/>
          <w:color w:val="808080" w:themeColor="background1" w:themeShade="80"/>
          <w:sz w:val="22"/>
          <w:szCs w:val="22"/>
          <w:lang w:val="en-GB"/>
        </w:rPr>
        <w:t xml:space="preserve">: Any floating charge or a circulating security interest created on the property of the debtor company in the </w:t>
      </w:r>
      <w:r w:rsidR="00E9243D">
        <w:rPr>
          <w:rFonts w:ascii="Avenir Next" w:hAnsi="Avenir Next" w:cs="Arial"/>
          <w:color w:val="808080" w:themeColor="background1" w:themeShade="80"/>
          <w:sz w:val="22"/>
          <w:szCs w:val="22"/>
          <w:lang w:val="en-GB"/>
        </w:rPr>
        <w:t>6-month</w:t>
      </w:r>
      <w:r>
        <w:rPr>
          <w:rFonts w:ascii="Avenir Next" w:hAnsi="Avenir Next" w:cs="Arial"/>
          <w:color w:val="808080" w:themeColor="background1" w:themeShade="80"/>
          <w:sz w:val="22"/>
          <w:szCs w:val="22"/>
          <w:lang w:val="en-GB"/>
        </w:rPr>
        <w:t xml:space="preserve"> period </w:t>
      </w:r>
      <w:r w:rsidR="00FD25CA">
        <w:rPr>
          <w:rFonts w:ascii="Avenir Next" w:hAnsi="Avenir Next" w:cs="Arial"/>
          <w:color w:val="808080" w:themeColor="background1" w:themeShade="80"/>
          <w:sz w:val="22"/>
          <w:szCs w:val="22"/>
          <w:lang w:val="en-GB"/>
        </w:rPr>
        <w:t xml:space="preserve">before the </w:t>
      </w:r>
      <w:r w:rsidR="00EE73AD">
        <w:rPr>
          <w:rFonts w:ascii="Avenir Next" w:hAnsi="Avenir Next" w:cs="Arial"/>
          <w:color w:val="808080" w:themeColor="background1" w:themeShade="80"/>
          <w:sz w:val="22"/>
          <w:szCs w:val="22"/>
          <w:lang w:val="en-GB"/>
        </w:rPr>
        <w:t>commencement</w:t>
      </w:r>
      <w:r w:rsidR="00FD25CA">
        <w:rPr>
          <w:rFonts w:ascii="Avenir Next" w:hAnsi="Avenir Next" w:cs="Arial"/>
          <w:color w:val="808080" w:themeColor="background1" w:themeShade="80"/>
          <w:sz w:val="22"/>
          <w:szCs w:val="22"/>
          <w:lang w:val="en-GB"/>
        </w:rPr>
        <w:t xml:space="preserve"> of liquidation, provided that the company was and still remained </w:t>
      </w:r>
      <w:r w:rsidR="00EE73AD">
        <w:rPr>
          <w:rFonts w:ascii="Avenir Next" w:hAnsi="Avenir Next" w:cs="Arial"/>
          <w:color w:val="808080" w:themeColor="background1" w:themeShade="80"/>
          <w:sz w:val="22"/>
          <w:szCs w:val="22"/>
          <w:lang w:val="en-GB"/>
        </w:rPr>
        <w:t>solvent after the transaction was consummated, can be avoided by the liquidator</w:t>
      </w:r>
      <w:r w:rsidR="00375297">
        <w:rPr>
          <w:rFonts w:ascii="Avenir Next" w:hAnsi="Avenir Next" w:cs="Arial"/>
          <w:color w:val="808080" w:themeColor="background1" w:themeShade="80"/>
          <w:sz w:val="22"/>
          <w:szCs w:val="22"/>
          <w:lang w:val="en-GB"/>
        </w:rPr>
        <w:t>, which can only be done in compulsory liquidation.</w:t>
      </w:r>
    </w:p>
    <w:p w14:paraId="6D5A5D80" w14:textId="77777777" w:rsidR="00E9243D" w:rsidRPr="00E9243D" w:rsidRDefault="00E9243D" w:rsidP="00E9243D">
      <w:pPr>
        <w:jc w:val="both"/>
        <w:rPr>
          <w:rFonts w:ascii="Avenir Next" w:hAnsi="Avenir Next" w:cs="Arial"/>
          <w:color w:val="808080" w:themeColor="background1" w:themeShade="80"/>
          <w:sz w:val="22"/>
          <w:szCs w:val="22"/>
          <w:lang w:val="en-GB"/>
        </w:rPr>
      </w:pPr>
    </w:p>
    <w:p w14:paraId="3E20B133" w14:textId="7C408BE7" w:rsidR="00E9243D" w:rsidRPr="00E9243D" w:rsidRDefault="00E9243D" w:rsidP="00E9243D">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Applications to set aside any preferential transaction of any uncommercial transaction can be defended </w:t>
      </w:r>
      <w:r w:rsidR="00A134D9">
        <w:rPr>
          <w:rFonts w:ascii="Avenir Next" w:hAnsi="Avenir Next" w:cs="Arial"/>
          <w:color w:val="808080" w:themeColor="background1" w:themeShade="80"/>
          <w:sz w:val="22"/>
          <w:szCs w:val="22"/>
          <w:lang w:val="en-GB"/>
        </w:rPr>
        <w:t>if</w:t>
      </w:r>
      <w:r>
        <w:rPr>
          <w:rFonts w:ascii="Avenir Next" w:hAnsi="Avenir Next" w:cs="Arial"/>
          <w:color w:val="808080" w:themeColor="background1" w:themeShade="80"/>
          <w:sz w:val="22"/>
          <w:szCs w:val="22"/>
          <w:lang w:val="en-GB"/>
        </w:rPr>
        <w:t xml:space="preserve"> the part</w:t>
      </w:r>
      <w:r w:rsidR="00A134D9">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is able to show that they were not aware that the company was insolvent while entering into it. No such defence is available for the other voidable transactions.</w:t>
      </w:r>
    </w:p>
    <w:p w14:paraId="63EF985F" w14:textId="77777777" w:rsidR="00F36246" w:rsidRDefault="00F36246" w:rsidP="00F36246">
      <w:pPr>
        <w:jc w:val="both"/>
        <w:rPr>
          <w:rFonts w:ascii="Avenir Next" w:hAnsi="Avenir Next" w:cs="Arial"/>
          <w:caps/>
          <w:color w:val="808080" w:themeColor="background1" w:themeShade="80"/>
          <w:sz w:val="22"/>
          <w:szCs w:val="22"/>
          <w:lang w:val="en-GB"/>
        </w:rPr>
      </w:pPr>
    </w:p>
    <w:p w14:paraId="3E415B49" w14:textId="77777777" w:rsidR="00F36246" w:rsidRPr="00F36246" w:rsidRDefault="00F36246" w:rsidP="00F36246">
      <w:pPr>
        <w:jc w:val="both"/>
        <w:rPr>
          <w:rFonts w:ascii="Avenir Next" w:hAnsi="Avenir Next" w:cs="Arial"/>
          <w:caps/>
          <w:color w:val="808080" w:themeColor="background1" w:themeShade="80"/>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48DD1B04" w14:textId="4C29F8C6" w:rsidR="00B04780" w:rsidRPr="004149F3" w:rsidRDefault="002C3283"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accordance </w:t>
      </w:r>
      <w:r w:rsidR="000A24C5">
        <w:rPr>
          <w:rFonts w:ascii="Avenir Next" w:hAnsi="Avenir Next" w:cs="Arial"/>
          <w:color w:val="808080" w:themeColor="background1" w:themeShade="80"/>
          <w:sz w:val="22"/>
          <w:szCs w:val="22"/>
          <w:lang w:val="en-GB"/>
        </w:rPr>
        <w:t>with</w:t>
      </w:r>
      <w:r w:rsidR="00A72CF2">
        <w:rPr>
          <w:rFonts w:ascii="Avenir Next" w:hAnsi="Avenir Next" w:cs="Arial"/>
          <w:color w:val="808080" w:themeColor="background1" w:themeShade="80"/>
          <w:sz w:val="22"/>
          <w:szCs w:val="22"/>
          <w:lang w:val="en-GB"/>
        </w:rPr>
        <w:t xml:space="preserve"> Section 16 of</w:t>
      </w:r>
      <w:r w:rsidR="000A24C5">
        <w:rPr>
          <w:rFonts w:ascii="Avenir Next" w:hAnsi="Avenir Next" w:cs="Arial"/>
          <w:color w:val="808080" w:themeColor="background1" w:themeShade="80"/>
          <w:sz w:val="22"/>
          <w:szCs w:val="22"/>
          <w:lang w:val="en-GB"/>
        </w:rPr>
        <w:t xml:space="preserve"> the </w:t>
      </w:r>
      <w:r w:rsidR="00A72CF2">
        <w:rPr>
          <w:rFonts w:ascii="Avenir Next" w:hAnsi="Avenir Next" w:cs="Arial"/>
          <w:color w:val="808080" w:themeColor="background1" w:themeShade="80"/>
          <w:sz w:val="22"/>
          <w:szCs w:val="22"/>
          <w:lang w:val="en-GB"/>
        </w:rPr>
        <w:t>Cross-Border Insolvency Act 2008</w:t>
      </w:r>
      <w:r w:rsidR="00A72CF2">
        <w:rPr>
          <w:rStyle w:val="FootnoteReference"/>
          <w:rFonts w:ascii="Avenir Next" w:hAnsi="Avenir Next" w:cs="Arial"/>
          <w:color w:val="808080" w:themeColor="background1" w:themeShade="80"/>
          <w:sz w:val="22"/>
          <w:szCs w:val="22"/>
          <w:lang w:val="en-GB"/>
        </w:rPr>
        <w:footnoteReference w:id="5"/>
      </w:r>
      <w:r w:rsidR="007306CA">
        <w:rPr>
          <w:rFonts w:ascii="Avenir Next" w:hAnsi="Avenir Next" w:cs="Arial"/>
          <w:color w:val="808080" w:themeColor="background1" w:themeShade="80"/>
          <w:sz w:val="22"/>
          <w:szCs w:val="22"/>
          <w:lang w:val="en-GB"/>
        </w:rPr>
        <w:t xml:space="preserve">, </w:t>
      </w:r>
      <w:r w:rsidR="00A852C4">
        <w:rPr>
          <w:rFonts w:ascii="Avenir Next" w:hAnsi="Avenir Next" w:cs="Arial"/>
          <w:color w:val="808080" w:themeColor="background1" w:themeShade="80"/>
          <w:sz w:val="22"/>
          <w:szCs w:val="22"/>
          <w:lang w:val="en-GB"/>
        </w:rPr>
        <w:t>in relation to Article 20</w:t>
      </w:r>
      <w:r w:rsidR="00A852C4">
        <w:rPr>
          <w:rStyle w:val="FootnoteReference"/>
          <w:rFonts w:ascii="Avenir Next" w:hAnsi="Avenir Next" w:cs="Arial"/>
          <w:color w:val="808080" w:themeColor="background1" w:themeShade="80"/>
          <w:sz w:val="22"/>
          <w:szCs w:val="22"/>
          <w:lang w:val="en-GB"/>
        </w:rPr>
        <w:footnoteReference w:id="6"/>
      </w:r>
      <w:r w:rsidR="00046DEB">
        <w:rPr>
          <w:rFonts w:ascii="Avenir Next" w:hAnsi="Avenir Next" w:cs="Arial"/>
          <w:color w:val="808080" w:themeColor="background1" w:themeShade="80"/>
          <w:sz w:val="22"/>
          <w:szCs w:val="22"/>
          <w:lang w:val="en-GB"/>
        </w:rPr>
        <w:t xml:space="preserve"> of the UNCITRAL Model Law on Cross-Border Insolvenc</w:t>
      </w:r>
      <w:r w:rsidR="00284082">
        <w:rPr>
          <w:rFonts w:ascii="Avenir Next" w:hAnsi="Avenir Next" w:cs="Arial"/>
          <w:color w:val="808080" w:themeColor="background1" w:themeShade="80"/>
          <w:sz w:val="22"/>
          <w:szCs w:val="22"/>
          <w:lang w:val="en-GB"/>
        </w:rPr>
        <w:t>y</w:t>
      </w:r>
      <w:r w:rsidR="0012358E">
        <w:rPr>
          <w:rFonts w:ascii="Avenir Next" w:hAnsi="Avenir Next" w:cs="Arial"/>
          <w:color w:val="808080" w:themeColor="background1" w:themeShade="80"/>
          <w:sz w:val="22"/>
          <w:szCs w:val="22"/>
          <w:lang w:val="en-GB"/>
        </w:rPr>
        <w:t xml:space="preserve"> (“Model Law”)</w:t>
      </w:r>
      <w:r w:rsidR="00530C02">
        <w:rPr>
          <w:rFonts w:ascii="Avenir Next" w:hAnsi="Avenir Next" w:cs="Arial"/>
          <w:color w:val="808080" w:themeColor="background1" w:themeShade="80"/>
          <w:sz w:val="22"/>
          <w:szCs w:val="22"/>
          <w:lang w:val="en-GB"/>
        </w:rPr>
        <w:t>, which essentially lays down the nature and the extent of stay on the recognition of a proceeding as foreign main proceedings, provides that, in Australia, on the same happenin</w:t>
      </w:r>
      <w:r w:rsidR="00D42F9E">
        <w:rPr>
          <w:rFonts w:ascii="Avenir Next" w:hAnsi="Avenir Next" w:cs="Arial"/>
          <w:color w:val="808080" w:themeColor="background1" w:themeShade="80"/>
          <w:sz w:val="22"/>
          <w:szCs w:val="22"/>
          <w:lang w:val="en-GB"/>
        </w:rPr>
        <w:t xml:space="preserve">g, the stay or suspension </w:t>
      </w:r>
      <w:r w:rsidR="008D19DD">
        <w:rPr>
          <w:rFonts w:ascii="Avenir Next" w:hAnsi="Avenir Next" w:cs="Arial"/>
          <w:color w:val="808080" w:themeColor="background1" w:themeShade="80"/>
          <w:sz w:val="22"/>
          <w:szCs w:val="22"/>
          <w:lang w:val="en-GB"/>
        </w:rPr>
        <w:t>a</w:t>
      </w:r>
      <w:r w:rsidR="008D19DD" w:rsidRPr="004149F3">
        <w:rPr>
          <w:rFonts w:ascii="Avenir Next" w:hAnsi="Avenir Next" w:cs="Arial"/>
          <w:color w:val="808080" w:themeColor="background1" w:themeShade="80"/>
          <w:sz w:val="22"/>
          <w:szCs w:val="22"/>
          <w:lang w:val="en-GB"/>
        </w:rPr>
        <w:t>re the same as would apply if the stay or suspension arose under:</w:t>
      </w:r>
    </w:p>
    <w:p w14:paraId="18A034AD" w14:textId="3C54E803" w:rsidR="008D19DD" w:rsidRPr="004149F3" w:rsidRDefault="004149F3" w:rsidP="008D19DD">
      <w:pPr>
        <w:pStyle w:val="ListParagraph"/>
        <w:numPr>
          <w:ilvl w:val="0"/>
          <w:numId w:val="30"/>
        </w:numPr>
        <w:jc w:val="both"/>
        <w:rPr>
          <w:rFonts w:ascii="Avenir Next" w:hAnsi="Avenir Next" w:cs="Arial"/>
          <w:color w:val="808080" w:themeColor="background1" w:themeShade="80"/>
          <w:sz w:val="22"/>
          <w:szCs w:val="22"/>
          <w:lang w:val="en-GB"/>
        </w:rPr>
      </w:pPr>
      <w:r w:rsidRPr="004149F3">
        <w:rPr>
          <w:rFonts w:ascii="Avenir Next" w:hAnsi="Avenir Next" w:cs="Arial"/>
          <w:color w:val="808080" w:themeColor="background1" w:themeShade="80"/>
          <w:sz w:val="22"/>
          <w:szCs w:val="22"/>
          <w:lang w:val="en-GB"/>
        </w:rPr>
        <w:t>the Bankruptcy Act 1966; or</w:t>
      </w:r>
    </w:p>
    <w:p w14:paraId="0D9E4761" w14:textId="3E3AEA7B" w:rsidR="004149F3" w:rsidRPr="004149F3" w:rsidRDefault="004149F3" w:rsidP="004149F3">
      <w:pPr>
        <w:pStyle w:val="paragraph"/>
        <w:numPr>
          <w:ilvl w:val="0"/>
          <w:numId w:val="30"/>
        </w:numPr>
        <w:shd w:val="clear" w:color="auto" w:fill="FFFFFF"/>
        <w:spacing w:before="40" w:beforeAutospacing="0" w:after="0" w:afterAutospacing="0"/>
        <w:rPr>
          <w:rFonts w:ascii="Avenir Next" w:hAnsi="Avenir Next" w:cs="Arial"/>
          <w:color w:val="808080" w:themeColor="background1" w:themeShade="80"/>
          <w:sz w:val="22"/>
          <w:szCs w:val="22"/>
          <w:lang w:val="en-GB" w:eastAsia="en-US"/>
        </w:rPr>
      </w:pPr>
      <w:r w:rsidRPr="004149F3">
        <w:rPr>
          <w:rFonts w:ascii="Avenir Next" w:hAnsi="Avenir Next" w:cs="Arial"/>
          <w:color w:val="808080" w:themeColor="background1" w:themeShade="80"/>
          <w:sz w:val="22"/>
          <w:szCs w:val="22"/>
          <w:lang w:val="en-GB" w:eastAsia="en-US"/>
        </w:rPr>
        <w:t>Chapter 5 (other than Parts 5.2 and 5.4A) of the Corporations Act 2001;</w:t>
      </w:r>
      <w:r>
        <w:rPr>
          <w:rFonts w:ascii="Avenir Next" w:hAnsi="Avenir Next" w:cs="Arial"/>
          <w:color w:val="808080" w:themeColor="background1" w:themeShade="80"/>
          <w:sz w:val="22"/>
          <w:szCs w:val="22"/>
          <w:lang w:val="en-GB" w:eastAsia="en-US"/>
        </w:rPr>
        <w:t xml:space="preserve"> </w:t>
      </w:r>
      <w:r w:rsidRPr="004149F3">
        <w:rPr>
          <w:rFonts w:ascii="Avenir Next" w:hAnsi="Avenir Next" w:cs="Arial"/>
          <w:color w:val="808080" w:themeColor="background1" w:themeShade="80"/>
          <w:sz w:val="22"/>
          <w:szCs w:val="22"/>
          <w:lang w:val="en-GB" w:eastAsia="en-US"/>
        </w:rPr>
        <w:t>as the case requires.</w:t>
      </w:r>
    </w:p>
    <w:p w14:paraId="5DC09D5B" w14:textId="77777777" w:rsidR="004229F4" w:rsidRDefault="004229F4" w:rsidP="004229F4">
      <w:pPr>
        <w:jc w:val="both"/>
        <w:rPr>
          <w:rFonts w:ascii="Avenir Next" w:hAnsi="Avenir Next" w:cs="Arial"/>
          <w:sz w:val="22"/>
          <w:szCs w:val="22"/>
        </w:rPr>
      </w:pPr>
    </w:p>
    <w:p w14:paraId="56F5AEB7" w14:textId="0B3085F7" w:rsidR="006F3A2F" w:rsidRPr="004229F4" w:rsidRDefault="006F3A2F" w:rsidP="004229F4">
      <w:pPr>
        <w:jc w:val="both"/>
        <w:rPr>
          <w:rFonts w:ascii="Avenir Next" w:hAnsi="Avenir Next" w:cs="Arial"/>
          <w:color w:val="808080" w:themeColor="background1" w:themeShade="80"/>
          <w:sz w:val="22"/>
          <w:szCs w:val="22"/>
        </w:rPr>
      </w:pPr>
      <w:r w:rsidRPr="004229F4">
        <w:rPr>
          <w:rFonts w:ascii="Avenir Next" w:hAnsi="Avenir Next" w:cs="Arial"/>
          <w:color w:val="808080" w:themeColor="background1" w:themeShade="80"/>
          <w:sz w:val="22"/>
          <w:szCs w:val="22"/>
        </w:rPr>
        <w:t>The application of the aforementioned Section 16 is on a case-to-case basis. It should be noted that</w:t>
      </w:r>
      <w:r w:rsidR="004229F4" w:rsidRPr="004229F4">
        <w:rPr>
          <w:rFonts w:ascii="Avenir Next" w:hAnsi="Avenir Next" w:cs="Arial"/>
          <w:color w:val="808080" w:themeColor="background1" w:themeShade="80"/>
          <w:sz w:val="22"/>
          <w:szCs w:val="22"/>
        </w:rPr>
        <w:t xml:space="preserve"> </w:t>
      </w:r>
      <w:r w:rsidR="00FD167E" w:rsidRPr="004229F4">
        <w:rPr>
          <w:rFonts w:ascii="Avenir Next" w:hAnsi="Avenir Next" w:cs="Arial"/>
          <w:color w:val="808080" w:themeColor="background1" w:themeShade="80"/>
          <w:sz w:val="22"/>
          <w:szCs w:val="22"/>
        </w:rPr>
        <w:t xml:space="preserve">the stay </w:t>
      </w:r>
      <w:r w:rsidR="00287A25" w:rsidRPr="004229F4">
        <w:rPr>
          <w:rFonts w:ascii="Avenir Next" w:hAnsi="Avenir Next" w:cs="Arial"/>
          <w:color w:val="808080" w:themeColor="background1" w:themeShade="80"/>
          <w:sz w:val="22"/>
          <w:szCs w:val="22"/>
        </w:rPr>
        <w:t xml:space="preserve">under the Bankruptcy Act, 1966, is more blanket, in the sense that the same </w:t>
      </w:r>
      <w:r w:rsidR="00B52819" w:rsidRPr="004229F4">
        <w:rPr>
          <w:rFonts w:ascii="Avenir Next" w:hAnsi="Avenir Next" w:cs="Arial"/>
          <w:color w:val="808080" w:themeColor="background1" w:themeShade="80"/>
          <w:sz w:val="22"/>
          <w:szCs w:val="22"/>
        </w:rPr>
        <w:t>is extended over the actions of secured as well as unsecured creditors. While the stay under Chapter 5, is the one whereby only unsecured creditor actions are stayed, whilst secured creditors are free to enforce their claim/security interest.</w:t>
      </w:r>
      <w:r w:rsidR="00341876" w:rsidRPr="004229F4">
        <w:rPr>
          <w:rFonts w:ascii="Avenir Next" w:hAnsi="Avenir Next" w:cs="Arial"/>
          <w:color w:val="808080" w:themeColor="background1" w:themeShade="80"/>
          <w:sz w:val="22"/>
          <w:szCs w:val="22"/>
        </w:rPr>
        <w:t xml:space="preserve"> The </w:t>
      </w:r>
      <w:r w:rsidR="005518AD" w:rsidRPr="004229F4">
        <w:rPr>
          <w:rFonts w:ascii="Avenir Next" w:hAnsi="Avenir Next" w:cs="Arial"/>
          <w:color w:val="808080" w:themeColor="background1" w:themeShade="80"/>
          <w:sz w:val="22"/>
          <w:szCs w:val="22"/>
        </w:rPr>
        <w:t>Australian</w:t>
      </w:r>
      <w:r w:rsidR="00341876" w:rsidRPr="004229F4">
        <w:rPr>
          <w:rFonts w:ascii="Avenir Next" w:hAnsi="Avenir Next" w:cs="Arial"/>
          <w:color w:val="808080" w:themeColor="background1" w:themeShade="80"/>
          <w:sz w:val="22"/>
          <w:szCs w:val="22"/>
        </w:rPr>
        <w:t xml:space="preserve"> courts are left to determine, depending on the nature and scope of the foreign proceeding which has been recognized, </w:t>
      </w:r>
      <w:r w:rsidR="00D659CE" w:rsidRPr="004229F4">
        <w:rPr>
          <w:rFonts w:ascii="Avenir Next" w:hAnsi="Avenir Next" w:cs="Arial"/>
          <w:color w:val="808080" w:themeColor="background1" w:themeShade="80"/>
          <w:sz w:val="22"/>
          <w:szCs w:val="22"/>
        </w:rPr>
        <w:t xml:space="preserve">to grant stays under the aforementioned two statutes. Traditionally, </w:t>
      </w:r>
      <w:r w:rsidR="006F1992" w:rsidRPr="004229F4">
        <w:rPr>
          <w:rFonts w:ascii="Avenir Next" w:hAnsi="Avenir Next" w:cs="Arial"/>
          <w:color w:val="808080" w:themeColor="background1" w:themeShade="80"/>
          <w:sz w:val="22"/>
          <w:szCs w:val="22"/>
        </w:rPr>
        <w:t>the proceedings which are more rescue or restructuring centric and thus warrant a higher degree of protection from creditor and other action</w:t>
      </w:r>
      <w:r w:rsidR="00D84246">
        <w:rPr>
          <w:rFonts w:ascii="Avenir Next" w:hAnsi="Avenir Next" w:cs="Arial"/>
          <w:color w:val="808080" w:themeColor="background1" w:themeShade="80"/>
          <w:sz w:val="22"/>
          <w:szCs w:val="22"/>
        </w:rPr>
        <w:t>s</w:t>
      </w:r>
      <w:r w:rsidR="006F1992" w:rsidRPr="004229F4">
        <w:rPr>
          <w:rFonts w:ascii="Avenir Next" w:hAnsi="Avenir Next" w:cs="Arial"/>
          <w:color w:val="808080" w:themeColor="background1" w:themeShade="80"/>
          <w:sz w:val="22"/>
          <w:szCs w:val="22"/>
        </w:rPr>
        <w:t xml:space="preserve">, </w:t>
      </w:r>
      <w:r w:rsidR="00310A01" w:rsidRPr="004229F4">
        <w:rPr>
          <w:rFonts w:ascii="Avenir Next" w:hAnsi="Avenir Next" w:cs="Arial"/>
          <w:color w:val="808080" w:themeColor="background1" w:themeShade="80"/>
          <w:sz w:val="22"/>
          <w:szCs w:val="22"/>
        </w:rPr>
        <w:t xml:space="preserve">the courts tend to apply the wider stay which is available under the Bankruptcy Act, 1966. While the ones which carry the </w:t>
      </w:r>
      <w:r w:rsidR="007267C7" w:rsidRPr="004229F4">
        <w:rPr>
          <w:rFonts w:ascii="Avenir Next" w:hAnsi="Avenir Next" w:cs="Arial"/>
          <w:color w:val="808080" w:themeColor="background1" w:themeShade="80"/>
          <w:sz w:val="22"/>
          <w:szCs w:val="22"/>
        </w:rPr>
        <w:t>color</w:t>
      </w:r>
      <w:r w:rsidR="00556EE4" w:rsidRPr="004229F4">
        <w:rPr>
          <w:rFonts w:ascii="Avenir Next" w:hAnsi="Avenir Next" w:cs="Arial"/>
          <w:color w:val="808080" w:themeColor="background1" w:themeShade="80"/>
          <w:sz w:val="22"/>
          <w:szCs w:val="22"/>
        </w:rPr>
        <w:t xml:space="preserve"> or are more leaning towards a liquidation scenario, which entails sale of assets and distribution of monies to the stakeholders</w:t>
      </w:r>
      <w:r w:rsidR="007267C7" w:rsidRPr="004229F4">
        <w:rPr>
          <w:rFonts w:ascii="Avenir Next" w:hAnsi="Avenir Next" w:cs="Arial"/>
          <w:color w:val="808080" w:themeColor="background1" w:themeShade="80"/>
          <w:sz w:val="22"/>
          <w:szCs w:val="22"/>
        </w:rPr>
        <w:t>, the court tend the apply or extend the stay which is available under the Corporation Act 2001.</w:t>
      </w:r>
      <w:r w:rsidR="00120BED" w:rsidRPr="004229F4">
        <w:rPr>
          <w:rFonts w:ascii="Avenir Next" w:hAnsi="Avenir Next" w:cs="Arial"/>
          <w:color w:val="808080" w:themeColor="background1" w:themeShade="80"/>
          <w:sz w:val="22"/>
          <w:szCs w:val="22"/>
        </w:rPr>
        <w:t xml:space="preserve"> The same can be demonstrated from </w:t>
      </w:r>
      <w:r w:rsidR="00153A07" w:rsidRPr="004229F4">
        <w:rPr>
          <w:rFonts w:ascii="Avenir Next" w:hAnsi="Avenir Next" w:cs="Arial"/>
          <w:color w:val="808080" w:themeColor="background1" w:themeShade="80"/>
          <w:sz w:val="22"/>
          <w:szCs w:val="22"/>
        </w:rPr>
        <w:t xml:space="preserve">very </w:t>
      </w:r>
      <w:r w:rsidR="00696E88" w:rsidRPr="004229F4">
        <w:rPr>
          <w:rFonts w:ascii="Avenir Next" w:hAnsi="Avenir Next" w:cs="Arial"/>
          <w:color w:val="808080" w:themeColor="background1" w:themeShade="80"/>
          <w:sz w:val="22"/>
          <w:szCs w:val="22"/>
        </w:rPr>
        <w:t>iconic matter</w:t>
      </w:r>
      <w:r w:rsidR="00153A07" w:rsidRPr="004229F4">
        <w:rPr>
          <w:rFonts w:ascii="Avenir Next" w:hAnsi="Avenir Next" w:cs="Arial"/>
          <w:color w:val="808080" w:themeColor="background1" w:themeShade="80"/>
          <w:sz w:val="22"/>
          <w:szCs w:val="22"/>
        </w:rPr>
        <w:t xml:space="preserve">s </w:t>
      </w:r>
      <w:r w:rsidR="00696E88" w:rsidRPr="004229F4">
        <w:rPr>
          <w:rFonts w:ascii="Avenir Next" w:hAnsi="Avenir Next" w:cs="Arial"/>
          <w:color w:val="808080" w:themeColor="background1" w:themeShade="80"/>
          <w:sz w:val="22"/>
          <w:szCs w:val="22"/>
        </w:rPr>
        <w:t>of</w:t>
      </w:r>
      <w:r w:rsidR="008B1CEC" w:rsidRPr="004229F4">
        <w:rPr>
          <w:rFonts w:ascii="Avenir Next" w:hAnsi="Avenir Next" w:cs="Arial"/>
          <w:color w:val="808080" w:themeColor="background1" w:themeShade="80"/>
          <w:sz w:val="22"/>
          <w:szCs w:val="22"/>
        </w:rPr>
        <w:t xml:space="preserve"> </w:t>
      </w:r>
      <w:r w:rsidR="008B1CEC" w:rsidRPr="004229F4">
        <w:rPr>
          <w:rFonts w:ascii="Avenir Next" w:hAnsi="Avenir Next" w:cs="Arial"/>
          <w:i/>
          <w:iCs/>
          <w:color w:val="808080" w:themeColor="background1" w:themeShade="80"/>
          <w:sz w:val="22"/>
          <w:szCs w:val="22"/>
        </w:rPr>
        <w:t>The-Rizzo-Bottiglieri-de Carlini</w:t>
      </w:r>
      <w:r w:rsidR="00B4375F" w:rsidRPr="004229F4">
        <w:rPr>
          <w:rFonts w:ascii="Avenir Next" w:hAnsi="Avenir Next" w:cs="Arial"/>
          <w:i/>
          <w:iCs/>
          <w:color w:val="808080" w:themeColor="background1" w:themeShade="80"/>
          <w:sz w:val="22"/>
          <w:szCs w:val="22"/>
        </w:rPr>
        <w:t xml:space="preserve"> Armatori</w:t>
      </w:r>
      <w:r w:rsidR="009C329B" w:rsidRPr="004229F4">
        <w:rPr>
          <w:rStyle w:val="FootnoteReference"/>
          <w:rFonts w:ascii="Avenir Next" w:hAnsi="Avenir Next" w:cs="Arial"/>
          <w:i/>
          <w:iCs/>
          <w:color w:val="808080" w:themeColor="background1" w:themeShade="80"/>
          <w:sz w:val="22"/>
          <w:szCs w:val="22"/>
        </w:rPr>
        <w:footnoteReference w:id="7"/>
      </w:r>
      <w:r w:rsidR="00153A07" w:rsidRPr="004229F4">
        <w:rPr>
          <w:rFonts w:ascii="Avenir Next" w:hAnsi="Avenir Next" w:cs="Arial"/>
          <w:i/>
          <w:iCs/>
          <w:color w:val="808080" w:themeColor="background1" w:themeShade="80"/>
          <w:sz w:val="22"/>
          <w:szCs w:val="22"/>
        </w:rPr>
        <w:t xml:space="preserve">, </w:t>
      </w:r>
      <w:r w:rsidR="00153A07" w:rsidRPr="004229F4">
        <w:rPr>
          <w:rFonts w:ascii="Avenir Next" w:hAnsi="Avenir Next" w:cs="Arial"/>
          <w:color w:val="808080" w:themeColor="background1" w:themeShade="80"/>
          <w:sz w:val="22"/>
          <w:szCs w:val="22"/>
        </w:rPr>
        <w:t xml:space="preserve">in which the judge refused to grant the stays as under the Bankruptcy Act, 1966, </w:t>
      </w:r>
      <w:r w:rsidR="000079D4">
        <w:rPr>
          <w:rFonts w:ascii="Avenir Next" w:hAnsi="Avenir Next" w:cs="Arial"/>
          <w:color w:val="808080" w:themeColor="background1" w:themeShade="80"/>
          <w:sz w:val="22"/>
          <w:szCs w:val="22"/>
        </w:rPr>
        <w:t>even when</w:t>
      </w:r>
      <w:r w:rsidR="000F26BC" w:rsidRPr="004229F4">
        <w:rPr>
          <w:rFonts w:ascii="Avenir Next" w:hAnsi="Avenir Next" w:cs="Arial"/>
          <w:color w:val="808080" w:themeColor="background1" w:themeShade="80"/>
          <w:sz w:val="22"/>
          <w:szCs w:val="22"/>
        </w:rPr>
        <w:t xml:space="preserve"> in the state of COMI, being Italy, both unsecured and secured creditor actions </w:t>
      </w:r>
      <w:r w:rsidR="000F26BC" w:rsidRPr="004229F4">
        <w:rPr>
          <w:rFonts w:ascii="Avenir Next" w:hAnsi="Avenir Next" w:cs="Arial"/>
          <w:color w:val="808080" w:themeColor="background1" w:themeShade="80"/>
          <w:sz w:val="22"/>
          <w:szCs w:val="22"/>
        </w:rPr>
        <w:lastRenderedPageBreak/>
        <w:t>were stayed</w:t>
      </w:r>
      <w:r w:rsidR="004229F4" w:rsidRPr="004229F4">
        <w:rPr>
          <w:rFonts w:ascii="Avenir Next" w:hAnsi="Avenir Next" w:cs="Arial"/>
          <w:color w:val="808080" w:themeColor="background1" w:themeShade="80"/>
          <w:sz w:val="22"/>
          <w:szCs w:val="22"/>
        </w:rPr>
        <w:t xml:space="preserve">, </w:t>
      </w:r>
      <w:r w:rsidR="000079D4">
        <w:rPr>
          <w:rFonts w:ascii="Avenir Next" w:hAnsi="Avenir Next" w:cs="Arial"/>
          <w:color w:val="808080" w:themeColor="background1" w:themeShade="80"/>
          <w:sz w:val="22"/>
          <w:szCs w:val="22"/>
        </w:rPr>
        <w:t>and</w:t>
      </w:r>
      <w:r w:rsidR="004229F4" w:rsidRPr="004229F4">
        <w:rPr>
          <w:rFonts w:ascii="Avenir Next" w:hAnsi="Avenir Next" w:cs="Arial"/>
          <w:color w:val="808080" w:themeColor="background1" w:themeShade="80"/>
          <w:sz w:val="22"/>
          <w:szCs w:val="22"/>
        </w:rPr>
        <w:t xml:space="preserve"> extended the stay only as per the Corporations Act, 2001, as the nature of the foreign main proceedings was more like that of a liquidation. </w:t>
      </w:r>
    </w:p>
    <w:p w14:paraId="13C58407" w14:textId="77777777" w:rsidR="006F3A2F" w:rsidRDefault="006F3A2F" w:rsidP="002A37BB">
      <w:pPr>
        <w:ind w:left="720" w:hanging="720"/>
        <w:jc w:val="both"/>
        <w:rPr>
          <w:rFonts w:ascii="Avenir Next Demi Bold" w:hAnsi="Avenir Next Demi Bold" w:cs="Arial"/>
          <w:b/>
          <w:bCs/>
          <w:sz w:val="22"/>
          <w:szCs w:val="22"/>
          <w:lang w:val="en-GB"/>
        </w:rPr>
      </w:pPr>
    </w:p>
    <w:p w14:paraId="2AFF9470" w14:textId="2D2C33A1"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6AB84C4E" w14:textId="22BA454F" w:rsidR="008420F8" w:rsidRDefault="008420F8" w:rsidP="002476AF">
      <w:pPr>
        <w:jc w:val="both"/>
        <w:rPr>
          <w:rFonts w:ascii="Avenir Next" w:hAnsi="Avenir Next" w:cs="Arial"/>
          <w:sz w:val="22"/>
          <w:szCs w:val="22"/>
          <w:lang w:val="en-GB"/>
        </w:rPr>
      </w:pPr>
    </w:p>
    <w:p w14:paraId="01F4B41F" w14:textId="15758EF0" w:rsidR="00763DA4" w:rsidRPr="008177B4" w:rsidRDefault="00763DA4" w:rsidP="002476AF">
      <w:pPr>
        <w:jc w:val="both"/>
        <w:rPr>
          <w:rFonts w:ascii="Avenir Next" w:hAnsi="Avenir Next" w:cs="Arial"/>
          <w:color w:val="808080" w:themeColor="background1" w:themeShade="80"/>
          <w:sz w:val="22"/>
          <w:szCs w:val="22"/>
          <w:lang w:val="en-GB"/>
        </w:rPr>
      </w:pPr>
      <w:r w:rsidRPr="008177B4">
        <w:rPr>
          <w:rFonts w:ascii="Avenir Next" w:hAnsi="Avenir Next" w:cs="Arial"/>
          <w:color w:val="808080" w:themeColor="background1" w:themeShade="80"/>
          <w:sz w:val="22"/>
          <w:szCs w:val="22"/>
          <w:lang w:val="en-GB"/>
        </w:rPr>
        <w:t>The small company liquidations are applica</w:t>
      </w:r>
      <w:r w:rsidR="004B7BB4" w:rsidRPr="008177B4">
        <w:rPr>
          <w:rFonts w:ascii="Avenir Next" w:hAnsi="Avenir Next" w:cs="Arial"/>
          <w:color w:val="808080" w:themeColor="background1" w:themeShade="80"/>
          <w:sz w:val="22"/>
          <w:szCs w:val="22"/>
          <w:lang w:val="en-GB"/>
        </w:rPr>
        <w:t>ble</w:t>
      </w:r>
      <w:r w:rsidRPr="008177B4">
        <w:rPr>
          <w:rFonts w:ascii="Avenir Next" w:hAnsi="Avenir Next" w:cs="Arial"/>
          <w:color w:val="808080" w:themeColor="background1" w:themeShade="80"/>
          <w:sz w:val="22"/>
          <w:szCs w:val="22"/>
          <w:lang w:val="en-GB"/>
        </w:rPr>
        <w:t xml:space="preserve"> from January 1, 2021</w:t>
      </w:r>
      <w:r w:rsidR="00D730C1" w:rsidRPr="008177B4">
        <w:rPr>
          <w:rFonts w:ascii="Avenir Next" w:hAnsi="Avenir Next" w:cs="Arial"/>
          <w:color w:val="808080" w:themeColor="background1" w:themeShade="80"/>
          <w:sz w:val="22"/>
          <w:szCs w:val="22"/>
          <w:lang w:val="en-GB"/>
        </w:rPr>
        <w:t>, and can only be availed by businesses with total outstanding liabilities of less th</w:t>
      </w:r>
      <w:r w:rsidR="00A134D9">
        <w:rPr>
          <w:rFonts w:ascii="Avenir Next" w:hAnsi="Avenir Next" w:cs="Arial"/>
          <w:color w:val="808080" w:themeColor="background1" w:themeShade="80"/>
          <w:sz w:val="22"/>
          <w:szCs w:val="22"/>
          <w:lang w:val="en-GB"/>
        </w:rPr>
        <w:t>a</w:t>
      </w:r>
      <w:r w:rsidR="00D730C1" w:rsidRPr="008177B4">
        <w:rPr>
          <w:rFonts w:ascii="Avenir Next" w:hAnsi="Avenir Next" w:cs="Arial"/>
          <w:color w:val="808080" w:themeColor="background1" w:themeShade="80"/>
          <w:sz w:val="22"/>
          <w:szCs w:val="22"/>
          <w:lang w:val="en-GB"/>
        </w:rPr>
        <w:t>n AUD 1 million</w:t>
      </w:r>
      <w:r w:rsidR="004B7BB4" w:rsidRPr="008177B4">
        <w:rPr>
          <w:rFonts w:ascii="Avenir Next" w:hAnsi="Avenir Next" w:cs="Arial"/>
          <w:color w:val="808080" w:themeColor="background1" w:themeShade="80"/>
          <w:sz w:val="22"/>
          <w:szCs w:val="22"/>
          <w:lang w:val="en-GB"/>
        </w:rPr>
        <w:t xml:space="preserve"> for matters under </w:t>
      </w:r>
      <w:r w:rsidR="003B0B35" w:rsidRPr="008177B4">
        <w:rPr>
          <w:rFonts w:ascii="Avenir Next" w:hAnsi="Avenir Next" w:cs="Arial"/>
          <w:color w:val="808080" w:themeColor="background1" w:themeShade="80"/>
          <w:sz w:val="22"/>
          <w:szCs w:val="22"/>
          <w:lang w:val="en-GB"/>
        </w:rPr>
        <w:t>creditors</w:t>
      </w:r>
      <w:r w:rsidR="00A134D9">
        <w:rPr>
          <w:rFonts w:ascii="Avenir Next" w:hAnsi="Avenir Next" w:cs="Arial"/>
          <w:color w:val="808080" w:themeColor="background1" w:themeShade="80"/>
          <w:sz w:val="22"/>
          <w:szCs w:val="22"/>
          <w:lang w:val="en-GB"/>
        </w:rPr>
        <w:t>’</w:t>
      </w:r>
      <w:r w:rsidR="003B0B35" w:rsidRPr="008177B4">
        <w:rPr>
          <w:rFonts w:ascii="Avenir Next" w:hAnsi="Avenir Next" w:cs="Arial"/>
          <w:color w:val="808080" w:themeColor="background1" w:themeShade="80"/>
          <w:sz w:val="22"/>
          <w:szCs w:val="22"/>
          <w:lang w:val="en-GB"/>
        </w:rPr>
        <w:t xml:space="preserve"> voluntary liquidation</w:t>
      </w:r>
      <w:r w:rsidR="00164AEE" w:rsidRPr="008177B4">
        <w:rPr>
          <w:rFonts w:ascii="Avenir Next" w:hAnsi="Avenir Next" w:cs="Arial"/>
          <w:color w:val="808080" w:themeColor="background1" w:themeShade="80"/>
          <w:sz w:val="22"/>
          <w:szCs w:val="22"/>
          <w:lang w:val="en-GB"/>
        </w:rPr>
        <w:t xml:space="preserve">. The procedure is swifter, more </w:t>
      </w:r>
      <w:r w:rsidR="001A2CD0" w:rsidRPr="008177B4">
        <w:rPr>
          <w:rFonts w:ascii="Avenir Next" w:hAnsi="Avenir Next" w:cs="Arial"/>
          <w:color w:val="808080" w:themeColor="background1" w:themeShade="80"/>
          <w:sz w:val="22"/>
          <w:szCs w:val="22"/>
          <w:lang w:val="en-GB"/>
        </w:rPr>
        <w:t xml:space="preserve">time and cost effective, given the nature and the size of the companies its </w:t>
      </w:r>
      <w:r w:rsidR="008C4AD2" w:rsidRPr="008177B4">
        <w:rPr>
          <w:rFonts w:ascii="Avenir Next" w:hAnsi="Avenir Next" w:cs="Arial"/>
          <w:color w:val="808080" w:themeColor="background1" w:themeShade="80"/>
          <w:sz w:val="22"/>
          <w:szCs w:val="22"/>
          <w:lang w:val="en-GB"/>
        </w:rPr>
        <w:t>catering to</w:t>
      </w:r>
      <w:r w:rsidR="007058B9" w:rsidRPr="008177B4">
        <w:rPr>
          <w:rFonts w:ascii="Avenir Next" w:hAnsi="Avenir Next" w:cs="Arial"/>
          <w:color w:val="808080" w:themeColor="background1" w:themeShade="80"/>
          <w:sz w:val="22"/>
          <w:szCs w:val="22"/>
          <w:lang w:val="en-GB"/>
        </w:rPr>
        <w:t xml:space="preserve">. </w:t>
      </w:r>
      <w:r w:rsidR="004003BF" w:rsidRPr="008177B4">
        <w:rPr>
          <w:rFonts w:ascii="Avenir Next" w:hAnsi="Avenir Next" w:cs="Arial"/>
          <w:color w:val="808080" w:themeColor="background1" w:themeShade="80"/>
          <w:sz w:val="22"/>
          <w:szCs w:val="22"/>
          <w:lang w:val="en-GB"/>
        </w:rPr>
        <w:t xml:space="preserve">The main differences between traditional and small company liquidation </w:t>
      </w:r>
      <w:r w:rsidR="008177B4" w:rsidRPr="008177B4">
        <w:rPr>
          <w:rFonts w:ascii="Avenir Next" w:hAnsi="Avenir Next" w:cs="Arial"/>
          <w:color w:val="808080" w:themeColor="background1" w:themeShade="80"/>
          <w:sz w:val="22"/>
          <w:szCs w:val="22"/>
          <w:lang w:val="en-GB"/>
        </w:rPr>
        <w:t>have</w:t>
      </w:r>
      <w:r w:rsidR="004003BF" w:rsidRPr="008177B4">
        <w:rPr>
          <w:rFonts w:ascii="Avenir Next" w:hAnsi="Avenir Next" w:cs="Arial"/>
          <w:color w:val="808080" w:themeColor="background1" w:themeShade="80"/>
          <w:sz w:val="22"/>
          <w:szCs w:val="22"/>
          <w:lang w:val="en-GB"/>
        </w:rPr>
        <w:t xml:space="preserve"> been highlighted below:</w:t>
      </w:r>
    </w:p>
    <w:p w14:paraId="0B85715A" w14:textId="77777777" w:rsidR="008177B4" w:rsidRPr="008177B4" w:rsidRDefault="008177B4" w:rsidP="002476AF">
      <w:pPr>
        <w:jc w:val="both"/>
        <w:rPr>
          <w:rFonts w:ascii="Avenir Next" w:hAnsi="Avenir Next" w:cs="Arial"/>
          <w:color w:val="808080" w:themeColor="background1" w:themeShade="80"/>
          <w:sz w:val="22"/>
          <w:szCs w:val="22"/>
          <w:lang w:val="en-GB"/>
        </w:rPr>
      </w:pPr>
    </w:p>
    <w:p w14:paraId="450A4372" w14:textId="7C3FFD67" w:rsidR="00502CBD" w:rsidRDefault="00502CBD" w:rsidP="00E75EFA">
      <w:pPr>
        <w:pStyle w:val="ListParagraph"/>
        <w:numPr>
          <w:ilvl w:val="0"/>
          <w:numId w:val="31"/>
        </w:numPr>
        <w:jc w:val="both"/>
        <w:rPr>
          <w:rFonts w:ascii="Avenir Next" w:hAnsi="Avenir Next" w:cs="Arial"/>
          <w:color w:val="808080" w:themeColor="background1" w:themeShade="80"/>
          <w:sz w:val="22"/>
          <w:szCs w:val="22"/>
          <w:lang w:val="en-GB"/>
        </w:rPr>
      </w:pPr>
      <w:r w:rsidRPr="008177B4">
        <w:rPr>
          <w:rFonts w:ascii="Avenir Next" w:hAnsi="Avenir Next" w:cs="Arial"/>
          <w:color w:val="808080" w:themeColor="background1" w:themeShade="80"/>
          <w:sz w:val="22"/>
          <w:szCs w:val="22"/>
          <w:lang w:val="en-GB"/>
        </w:rPr>
        <w:t xml:space="preserve">The eligibility </w:t>
      </w:r>
      <w:r w:rsidR="008177B4" w:rsidRPr="008177B4">
        <w:rPr>
          <w:rFonts w:ascii="Avenir Next" w:hAnsi="Avenir Next" w:cs="Arial"/>
          <w:color w:val="808080" w:themeColor="background1" w:themeShade="80"/>
          <w:sz w:val="22"/>
          <w:szCs w:val="22"/>
          <w:lang w:val="en-GB"/>
        </w:rPr>
        <w:t>criteria</w:t>
      </w:r>
      <w:r w:rsidRPr="008177B4">
        <w:rPr>
          <w:rFonts w:ascii="Avenir Next" w:hAnsi="Avenir Next" w:cs="Arial"/>
          <w:color w:val="808080" w:themeColor="background1" w:themeShade="80"/>
          <w:sz w:val="22"/>
          <w:szCs w:val="22"/>
          <w:lang w:val="en-GB"/>
        </w:rPr>
        <w:t xml:space="preserve"> </w:t>
      </w:r>
      <w:r w:rsidR="008177B4" w:rsidRPr="008177B4">
        <w:rPr>
          <w:rFonts w:ascii="Avenir Next" w:hAnsi="Avenir Next" w:cs="Arial"/>
          <w:color w:val="808080" w:themeColor="background1" w:themeShade="80"/>
          <w:sz w:val="22"/>
          <w:szCs w:val="22"/>
          <w:lang w:val="en-GB"/>
        </w:rPr>
        <w:t>require</w:t>
      </w:r>
      <w:r w:rsidR="00B454BA" w:rsidRPr="008177B4">
        <w:rPr>
          <w:rFonts w:ascii="Avenir Next" w:hAnsi="Avenir Next" w:cs="Arial"/>
          <w:color w:val="808080" w:themeColor="background1" w:themeShade="80"/>
          <w:sz w:val="22"/>
          <w:szCs w:val="22"/>
          <w:lang w:val="en-GB"/>
        </w:rPr>
        <w:t xml:space="preserve"> the directors of the company to give a report to the liquidator certifying that in their mind the company is </w:t>
      </w:r>
      <w:r w:rsidR="008177B4" w:rsidRPr="008177B4">
        <w:rPr>
          <w:rFonts w:ascii="Avenir Next" w:hAnsi="Avenir Next" w:cs="Arial"/>
          <w:color w:val="808080" w:themeColor="background1" w:themeShade="80"/>
          <w:sz w:val="22"/>
          <w:szCs w:val="22"/>
          <w:lang w:val="en-GB"/>
        </w:rPr>
        <w:t>eligible</w:t>
      </w:r>
      <w:r w:rsidR="00B454BA" w:rsidRPr="008177B4">
        <w:rPr>
          <w:rFonts w:ascii="Avenir Next" w:hAnsi="Avenir Next" w:cs="Arial"/>
          <w:color w:val="808080" w:themeColor="background1" w:themeShade="80"/>
          <w:sz w:val="22"/>
          <w:szCs w:val="22"/>
          <w:lang w:val="en-GB"/>
        </w:rPr>
        <w:t xml:space="preserve"> for small </w:t>
      </w:r>
      <w:r w:rsidR="008177B4" w:rsidRPr="008177B4">
        <w:rPr>
          <w:rFonts w:ascii="Avenir Next" w:hAnsi="Avenir Next" w:cs="Arial"/>
          <w:color w:val="808080" w:themeColor="background1" w:themeShade="80"/>
          <w:sz w:val="22"/>
          <w:szCs w:val="22"/>
          <w:lang w:val="en-GB"/>
        </w:rPr>
        <w:t>companies’</w:t>
      </w:r>
      <w:r w:rsidR="00B454BA" w:rsidRPr="008177B4">
        <w:rPr>
          <w:rFonts w:ascii="Avenir Next" w:hAnsi="Avenir Next" w:cs="Arial"/>
          <w:color w:val="808080" w:themeColor="background1" w:themeShade="80"/>
          <w:sz w:val="22"/>
          <w:szCs w:val="22"/>
          <w:lang w:val="en-GB"/>
        </w:rPr>
        <w:t xml:space="preserve"> liquidation</w:t>
      </w:r>
      <w:r w:rsidR="008177B4">
        <w:rPr>
          <w:rFonts w:ascii="Avenir Next" w:hAnsi="Avenir Next" w:cs="Arial"/>
          <w:color w:val="808080" w:themeColor="background1" w:themeShade="80"/>
          <w:sz w:val="22"/>
          <w:szCs w:val="22"/>
          <w:lang w:val="en-GB"/>
        </w:rPr>
        <w:t>;</w:t>
      </w:r>
    </w:p>
    <w:p w14:paraId="7B0293CA" w14:textId="77777777" w:rsidR="008177B4" w:rsidRPr="008177B4" w:rsidRDefault="008177B4" w:rsidP="008177B4">
      <w:pPr>
        <w:pStyle w:val="ListParagraph"/>
        <w:jc w:val="both"/>
        <w:rPr>
          <w:rFonts w:ascii="Avenir Next" w:hAnsi="Avenir Next" w:cs="Arial"/>
          <w:color w:val="808080" w:themeColor="background1" w:themeShade="80"/>
          <w:sz w:val="22"/>
          <w:szCs w:val="22"/>
          <w:lang w:val="en-GB"/>
        </w:rPr>
      </w:pPr>
    </w:p>
    <w:p w14:paraId="34617453" w14:textId="10F46073" w:rsidR="00E92AC3" w:rsidRDefault="00E15666" w:rsidP="00E75EFA">
      <w:pPr>
        <w:pStyle w:val="ListParagraph"/>
        <w:numPr>
          <w:ilvl w:val="0"/>
          <w:numId w:val="31"/>
        </w:numPr>
        <w:jc w:val="both"/>
        <w:rPr>
          <w:rFonts w:ascii="Avenir Next" w:hAnsi="Avenir Next" w:cs="Arial"/>
          <w:color w:val="808080" w:themeColor="background1" w:themeShade="80"/>
          <w:sz w:val="22"/>
          <w:szCs w:val="22"/>
          <w:lang w:val="en-GB"/>
        </w:rPr>
      </w:pPr>
      <w:r w:rsidRPr="008177B4">
        <w:rPr>
          <w:rFonts w:ascii="Avenir Next" w:hAnsi="Avenir Next" w:cs="Arial"/>
          <w:color w:val="808080" w:themeColor="background1" w:themeShade="80"/>
          <w:sz w:val="22"/>
          <w:szCs w:val="22"/>
          <w:lang w:val="en-GB"/>
        </w:rPr>
        <w:t xml:space="preserve">The preparation and submission of the Section 533 </w:t>
      </w:r>
      <w:r w:rsidR="00616FB3" w:rsidRPr="008177B4">
        <w:rPr>
          <w:rFonts w:ascii="Avenir Next" w:hAnsi="Avenir Next" w:cs="Arial"/>
          <w:color w:val="808080" w:themeColor="background1" w:themeShade="80"/>
          <w:sz w:val="22"/>
          <w:szCs w:val="22"/>
          <w:lang w:val="en-GB"/>
        </w:rPr>
        <w:t>report (Corporations Act 2001)</w:t>
      </w:r>
      <w:r w:rsidR="00A67517" w:rsidRPr="008177B4">
        <w:rPr>
          <w:rFonts w:ascii="Avenir Next" w:hAnsi="Avenir Next" w:cs="Arial"/>
          <w:color w:val="808080" w:themeColor="background1" w:themeShade="80"/>
          <w:sz w:val="22"/>
          <w:szCs w:val="22"/>
          <w:lang w:val="en-GB"/>
        </w:rPr>
        <w:t xml:space="preserve">, </w:t>
      </w:r>
      <w:r w:rsidR="00DF635F" w:rsidRPr="008177B4">
        <w:rPr>
          <w:rFonts w:ascii="Avenir Next" w:hAnsi="Avenir Next" w:cs="Arial"/>
          <w:color w:val="808080" w:themeColor="background1" w:themeShade="80"/>
          <w:sz w:val="22"/>
          <w:szCs w:val="22"/>
          <w:lang w:val="en-GB"/>
        </w:rPr>
        <w:t>under which the liquidator</w:t>
      </w:r>
      <w:r w:rsidR="003C1DB7" w:rsidRPr="008177B4">
        <w:rPr>
          <w:rFonts w:ascii="Avenir Next" w:hAnsi="Avenir Next" w:cs="Arial"/>
          <w:color w:val="808080" w:themeColor="background1" w:themeShade="80"/>
          <w:sz w:val="22"/>
          <w:szCs w:val="22"/>
          <w:lang w:val="en-GB"/>
        </w:rPr>
        <w:t xml:space="preserve"> is required to report </w:t>
      </w:r>
      <w:r w:rsidR="00107643" w:rsidRPr="008177B4">
        <w:rPr>
          <w:rFonts w:ascii="Avenir Next" w:hAnsi="Avenir Next" w:cs="Arial"/>
          <w:color w:val="808080" w:themeColor="background1" w:themeShade="80"/>
          <w:sz w:val="22"/>
          <w:szCs w:val="22"/>
          <w:lang w:val="en-GB"/>
        </w:rPr>
        <w:t xml:space="preserve">wrongdoings to the </w:t>
      </w:r>
      <w:r w:rsidR="008177B4" w:rsidRPr="008177B4">
        <w:rPr>
          <w:rFonts w:ascii="Avenir Next" w:hAnsi="Avenir Next" w:cs="Arial"/>
          <w:color w:val="808080" w:themeColor="background1" w:themeShade="80"/>
          <w:sz w:val="22"/>
          <w:szCs w:val="22"/>
          <w:lang w:val="en-GB"/>
        </w:rPr>
        <w:t>Australian</w:t>
      </w:r>
      <w:r w:rsidR="00DC7C64" w:rsidRPr="008177B4">
        <w:rPr>
          <w:rFonts w:ascii="Avenir Next" w:hAnsi="Avenir Next" w:cs="Arial"/>
          <w:color w:val="808080" w:themeColor="background1" w:themeShade="80"/>
          <w:sz w:val="22"/>
          <w:szCs w:val="22"/>
          <w:lang w:val="en-GB"/>
        </w:rPr>
        <w:t xml:space="preserve"> </w:t>
      </w:r>
      <w:r w:rsidR="008177B4" w:rsidRPr="008177B4">
        <w:rPr>
          <w:rFonts w:ascii="Avenir Next" w:hAnsi="Avenir Next" w:cs="Arial"/>
          <w:color w:val="808080" w:themeColor="background1" w:themeShade="80"/>
          <w:sz w:val="22"/>
          <w:szCs w:val="22"/>
          <w:lang w:val="en-GB"/>
        </w:rPr>
        <w:t>Security</w:t>
      </w:r>
      <w:r w:rsidR="00DC7C64" w:rsidRPr="008177B4">
        <w:rPr>
          <w:rFonts w:ascii="Avenir Next" w:hAnsi="Avenir Next" w:cs="Arial"/>
          <w:color w:val="808080" w:themeColor="background1" w:themeShade="80"/>
          <w:sz w:val="22"/>
          <w:szCs w:val="22"/>
          <w:lang w:val="en-GB"/>
        </w:rPr>
        <w:t xml:space="preserve"> </w:t>
      </w:r>
      <w:r w:rsidR="00993E1C" w:rsidRPr="008177B4">
        <w:rPr>
          <w:rFonts w:ascii="Avenir Next" w:hAnsi="Avenir Next" w:cs="Arial"/>
          <w:color w:val="808080" w:themeColor="background1" w:themeShade="80"/>
          <w:sz w:val="22"/>
          <w:szCs w:val="22"/>
          <w:lang w:val="en-GB"/>
        </w:rPr>
        <w:t>and Investments Commissions (ASIC)</w:t>
      </w:r>
      <w:r w:rsidR="00E92AC3" w:rsidRPr="008177B4">
        <w:rPr>
          <w:rFonts w:ascii="Avenir Next" w:hAnsi="Avenir Next" w:cs="Arial"/>
          <w:color w:val="808080" w:themeColor="background1" w:themeShade="80"/>
          <w:sz w:val="22"/>
          <w:szCs w:val="22"/>
          <w:lang w:val="en-GB"/>
        </w:rPr>
        <w:t>, is not a requirement under the small company liquidation proces</w:t>
      </w:r>
      <w:r w:rsidR="00E75EFA" w:rsidRPr="008177B4">
        <w:rPr>
          <w:rFonts w:ascii="Avenir Next" w:hAnsi="Avenir Next" w:cs="Arial"/>
          <w:color w:val="808080" w:themeColor="background1" w:themeShade="80"/>
          <w:sz w:val="22"/>
          <w:szCs w:val="22"/>
          <w:lang w:val="en-GB"/>
        </w:rPr>
        <w:t>s, which makes it more time and cost effective;</w:t>
      </w:r>
    </w:p>
    <w:p w14:paraId="44549E13" w14:textId="77777777" w:rsidR="008177B4" w:rsidRPr="008177B4" w:rsidRDefault="008177B4" w:rsidP="008177B4">
      <w:pPr>
        <w:jc w:val="both"/>
        <w:rPr>
          <w:rFonts w:ascii="Avenir Next" w:hAnsi="Avenir Next" w:cs="Arial"/>
          <w:color w:val="808080" w:themeColor="background1" w:themeShade="80"/>
          <w:sz w:val="22"/>
          <w:szCs w:val="22"/>
          <w:lang w:val="en-GB"/>
        </w:rPr>
      </w:pPr>
    </w:p>
    <w:p w14:paraId="45CC5FC2" w14:textId="7A59C3CB" w:rsidR="00E75EFA" w:rsidRDefault="004D46D7" w:rsidP="00E75EFA">
      <w:pPr>
        <w:pStyle w:val="ListParagraph"/>
        <w:numPr>
          <w:ilvl w:val="0"/>
          <w:numId w:val="31"/>
        </w:numPr>
        <w:jc w:val="both"/>
        <w:rPr>
          <w:rFonts w:ascii="Avenir Next" w:hAnsi="Avenir Next" w:cs="Arial"/>
          <w:color w:val="808080" w:themeColor="background1" w:themeShade="80"/>
          <w:sz w:val="22"/>
          <w:szCs w:val="22"/>
          <w:lang w:val="en-GB"/>
        </w:rPr>
      </w:pPr>
      <w:r w:rsidRPr="008177B4">
        <w:rPr>
          <w:rFonts w:ascii="Avenir Next" w:hAnsi="Avenir Next" w:cs="Arial"/>
          <w:color w:val="808080" w:themeColor="background1" w:themeShade="80"/>
          <w:sz w:val="22"/>
          <w:szCs w:val="22"/>
          <w:lang w:val="en-GB"/>
        </w:rPr>
        <w:t xml:space="preserve">No creditors meeting is required as per the Insolvency Practice Rules. </w:t>
      </w:r>
      <w:r w:rsidR="007E2D58" w:rsidRPr="008177B4">
        <w:rPr>
          <w:rFonts w:ascii="Avenir Next" w:hAnsi="Avenir Next" w:cs="Arial"/>
          <w:color w:val="808080" w:themeColor="background1" w:themeShade="80"/>
          <w:sz w:val="22"/>
          <w:szCs w:val="22"/>
          <w:lang w:val="en-GB"/>
        </w:rPr>
        <w:t>Here the liquidators supply the required information to the creditors electronically and voting is also done electronically;</w:t>
      </w:r>
    </w:p>
    <w:p w14:paraId="27153893" w14:textId="77777777" w:rsidR="008177B4" w:rsidRPr="008177B4" w:rsidRDefault="008177B4" w:rsidP="008177B4">
      <w:pPr>
        <w:jc w:val="both"/>
        <w:rPr>
          <w:rFonts w:ascii="Avenir Next" w:hAnsi="Avenir Next" w:cs="Arial"/>
          <w:color w:val="808080" w:themeColor="background1" w:themeShade="80"/>
          <w:sz w:val="22"/>
          <w:szCs w:val="22"/>
          <w:lang w:val="en-GB"/>
        </w:rPr>
      </w:pPr>
    </w:p>
    <w:p w14:paraId="2CCD55CB" w14:textId="696BA0AA" w:rsidR="008177B4" w:rsidRDefault="000252B8" w:rsidP="008177B4">
      <w:pPr>
        <w:pStyle w:val="ListParagraph"/>
        <w:numPr>
          <w:ilvl w:val="0"/>
          <w:numId w:val="31"/>
        </w:numPr>
        <w:jc w:val="both"/>
        <w:rPr>
          <w:rFonts w:ascii="Avenir Next" w:hAnsi="Avenir Next" w:cs="Arial"/>
          <w:color w:val="808080" w:themeColor="background1" w:themeShade="80"/>
          <w:sz w:val="22"/>
          <w:szCs w:val="22"/>
          <w:lang w:val="en-GB"/>
        </w:rPr>
      </w:pPr>
      <w:r w:rsidRPr="008177B4">
        <w:rPr>
          <w:rFonts w:ascii="Avenir Next" w:hAnsi="Avenir Next" w:cs="Arial"/>
          <w:color w:val="808080" w:themeColor="background1" w:themeShade="80"/>
          <w:sz w:val="22"/>
          <w:szCs w:val="22"/>
          <w:lang w:val="en-GB"/>
        </w:rPr>
        <w:t xml:space="preserve">In terms of voidable transactions, unlike the traditional lengthy look back period and strict voidability ratios, a </w:t>
      </w:r>
      <w:r w:rsidR="007C465F" w:rsidRPr="008177B4">
        <w:rPr>
          <w:rFonts w:ascii="Avenir Next" w:hAnsi="Avenir Next" w:cs="Arial"/>
          <w:color w:val="808080" w:themeColor="background1" w:themeShade="80"/>
          <w:sz w:val="22"/>
          <w:szCs w:val="22"/>
          <w:lang w:val="en-GB"/>
        </w:rPr>
        <w:t>preferential transaction is only voidable if the same was made more than three months before the relation back date</w:t>
      </w:r>
      <w:r w:rsidR="008F551C" w:rsidRPr="008177B4">
        <w:rPr>
          <w:rFonts w:ascii="Avenir Next" w:hAnsi="Avenir Next" w:cs="Arial"/>
          <w:color w:val="808080" w:themeColor="background1" w:themeShade="80"/>
          <w:sz w:val="22"/>
          <w:szCs w:val="22"/>
          <w:lang w:val="en-GB"/>
        </w:rPr>
        <w:t xml:space="preserve"> qua a creditor who was a related party</w:t>
      </w:r>
      <w:r w:rsidR="007F1B03" w:rsidRPr="008177B4">
        <w:rPr>
          <w:rFonts w:ascii="Avenir Next" w:hAnsi="Avenir Next" w:cs="Arial"/>
          <w:color w:val="808080" w:themeColor="background1" w:themeShade="80"/>
          <w:sz w:val="22"/>
          <w:szCs w:val="22"/>
          <w:lang w:val="en-GB"/>
        </w:rPr>
        <w:t xml:space="preserve">. And further more qua </w:t>
      </w:r>
      <w:r w:rsidR="008177B4" w:rsidRPr="008177B4">
        <w:rPr>
          <w:rFonts w:ascii="Avenir Next" w:hAnsi="Avenir Next" w:cs="Arial"/>
          <w:color w:val="808080" w:themeColor="background1" w:themeShade="80"/>
          <w:sz w:val="22"/>
          <w:szCs w:val="22"/>
          <w:lang w:val="en-GB"/>
        </w:rPr>
        <w:t>preferential</w:t>
      </w:r>
      <w:r w:rsidR="007F1B03" w:rsidRPr="008177B4">
        <w:rPr>
          <w:rFonts w:ascii="Avenir Next" w:hAnsi="Avenir Next" w:cs="Arial"/>
          <w:color w:val="808080" w:themeColor="background1" w:themeShade="80"/>
          <w:sz w:val="22"/>
          <w:szCs w:val="22"/>
          <w:lang w:val="en-GB"/>
        </w:rPr>
        <w:t xml:space="preserve"> </w:t>
      </w:r>
      <w:r w:rsidR="008177B4" w:rsidRPr="008177B4">
        <w:rPr>
          <w:rFonts w:ascii="Avenir Next" w:hAnsi="Avenir Next" w:cs="Arial"/>
          <w:color w:val="808080" w:themeColor="background1" w:themeShade="80"/>
          <w:sz w:val="22"/>
          <w:szCs w:val="22"/>
          <w:lang w:val="en-GB"/>
        </w:rPr>
        <w:t>transactions</w:t>
      </w:r>
      <w:r w:rsidR="007F1B03" w:rsidRPr="008177B4">
        <w:rPr>
          <w:rFonts w:ascii="Avenir Next" w:hAnsi="Avenir Next" w:cs="Arial"/>
          <w:color w:val="808080" w:themeColor="background1" w:themeShade="80"/>
          <w:sz w:val="22"/>
          <w:szCs w:val="22"/>
          <w:lang w:val="en-GB"/>
        </w:rPr>
        <w:t xml:space="preserve"> with related parties within the three months, the same is </w:t>
      </w:r>
      <w:r w:rsidR="006B3392" w:rsidRPr="008177B4">
        <w:rPr>
          <w:rFonts w:ascii="Avenir Next" w:hAnsi="Avenir Next" w:cs="Arial"/>
          <w:color w:val="808080" w:themeColor="background1" w:themeShade="80"/>
          <w:sz w:val="22"/>
          <w:szCs w:val="22"/>
          <w:lang w:val="en-GB"/>
        </w:rPr>
        <w:t>voidable only if the same is more than AUD 30,000</w:t>
      </w:r>
      <w:r w:rsidR="008177B4">
        <w:rPr>
          <w:rFonts w:ascii="Avenir Next" w:hAnsi="Avenir Next" w:cs="Arial"/>
          <w:color w:val="808080" w:themeColor="background1" w:themeShade="80"/>
          <w:sz w:val="22"/>
          <w:szCs w:val="22"/>
          <w:lang w:val="en-GB"/>
        </w:rPr>
        <w:t>;</w:t>
      </w:r>
    </w:p>
    <w:p w14:paraId="5DA3ACFD" w14:textId="77777777" w:rsidR="008177B4" w:rsidRPr="008177B4" w:rsidRDefault="008177B4" w:rsidP="008177B4">
      <w:pPr>
        <w:jc w:val="both"/>
        <w:rPr>
          <w:rFonts w:ascii="Avenir Next" w:hAnsi="Avenir Next" w:cs="Arial"/>
          <w:color w:val="808080" w:themeColor="background1" w:themeShade="80"/>
          <w:sz w:val="22"/>
          <w:szCs w:val="22"/>
          <w:lang w:val="en-GB"/>
        </w:rPr>
      </w:pPr>
    </w:p>
    <w:p w14:paraId="23A1DCCD" w14:textId="60FF8979" w:rsidR="00504703" w:rsidRDefault="00504703" w:rsidP="007F1B03">
      <w:pPr>
        <w:pStyle w:val="ListParagraph"/>
        <w:numPr>
          <w:ilvl w:val="0"/>
          <w:numId w:val="31"/>
        </w:numPr>
        <w:jc w:val="both"/>
        <w:rPr>
          <w:rFonts w:ascii="Avenir Next" w:hAnsi="Avenir Next" w:cs="Arial"/>
          <w:color w:val="808080" w:themeColor="background1" w:themeShade="80"/>
          <w:sz w:val="22"/>
          <w:szCs w:val="22"/>
          <w:lang w:val="en-GB"/>
        </w:rPr>
      </w:pPr>
      <w:r w:rsidRPr="008177B4">
        <w:rPr>
          <w:rFonts w:ascii="Avenir Next" w:hAnsi="Avenir Next" w:cs="Arial"/>
          <w:color w:val="808080" w:themeColor="background1" w:themeShade="80"/>
          <w:sz w:val="22"/>
          <w:szCs w:val="22"/>
          <w:lang w:val="en-GB"/>
        </w:rPr>
        <w:t>As is natural, there is also a more simplified claim ver</w:t>
      </w:r>
      <w:r w:rsidR="00D35C09" w:rsidRPr="008177B4">
        <w:rPr>
          <w:rFonts w:ascii="Avenir Next" w:hAnsi="Avenir Next" w:cs="Arial"/>
          <w:color w:val="808080" w:themeColor="background1" w:themeShade="80"/>
          <w:sz w:val="22"/>
          <w:szCs w:val="22"/>
          <w:lang w:val="en-GB"/>
        </w:rPr>
        <w:t>ification process</w:t>
      </w:r>
      <w:r w:rsidR="008177B4">
        <w:rPr>
          <w:rFonts w:ascii="Avenir Next" w:hAnsi="Avenir Next" w:cs="Arial"/>
          <w:color w:val="808080" w:themeColor="background1" w:themeShade="80"/>
          <w:sz w:val="22"/>
          <w:szCs w:val="22"/>
          <w:lang w:val="en-GB"/>
        </w:rPr>
        <w:t>;</w:t>
      </w:r>
    </w:p>
    <w:p w14:paraId="1B360D14" w14:textId="77777777" w:rsidR="008177B4" w:rsidRPr="008177B4" w:rsidRDefault="008177B4" w:rsidP="008177B4">
      <w:pPr>
        <w:jc w:val="both"/>
        <w:rPr>
          <w:rFonts w:ascii="Avenir Next" w:hAnsi="Avenir Next" w:cs="Arial"/>
          <w:color w:val="808080" w:themeColor="background1" w:themeShade="80"/>
          <w:sz w:val="22"/>
          <w:szCs w:val="22"/>
          <w:lang w:val="en-GB"/>
        </w:rPr>
      </w:pPr>
    </w:p>
    <w:p w14:paraId="7180D312" w14:textId="567F9A8E" w:rsidR="00D35C09" w:rsidRPr="008177B4" w:rsidRDefault="00D35C09" w:rsidP="007F1B03">
      <w:pPr>
        <w:pStyle w:val="ListParagraph"/>
        <w:numPr>
          <w:ilvl w:val="0"/>
          <w:numId w:val="31"/>
        </w:numPr>
        <w:jc w:val="both"/>
        <w:rPr>
          <w:rFonts w:ascii="Avenir Next" w:hAnsi="Avenir Next" w:cs="Arial"/>
          <w:color w:val="808080" w:themeColor="background1" w:themeShade="80"/>
          <w:sz w:val="22"/>
          <w:szCs w:val="22"/>
          <w:lang w:val="en-GB"/>
        </w:rPr>
      </w:pPr>
      <w:r w:rsidRPr="008177B4">
        <w:rPr>
          <w:rFonts w:ascii="Avenir Next" w:hAnsi="Avenir Next" w:cs="Arial"/>
          <w:color w:val="808080" w:themeColor="background1" w:themeShade="80"/>
          <w:sz w:val="22"/>
          <w:szCs w:val="22"/>
          <w:lang w:val="en-GB"/>
        </w:rPr>
        <w:t xml:space="preserve">Unlike under a traditional liquidation, the liquidator has to be continuously mindful that the eligibility </w:t>
      </w:r>
      <w:r w:rsidR="008177B4" w:rsidRPr="008177B4">
        <w:rPr>
          <w:rFonts w:ascii="Avenir Next" w:hAnsi="Avenir Next" w:cs="Arial"/>
          <w:color w:val="808080" w:themeColor="background1" w:themeShade="80"/>
          <w:sz w:val="22"/>
          <w:szCs w:val="22"/>
          <w:lang w:val="en-GB"/>
        </w:rPr>
        <w:t>criteria</w:t>
      </w:r>
      <w:r w:rsidRPr="008177B4">
        <w:rPr>
          <w:rFonts w:ascii="Avenir Next" w:hAnsi="Avenir Next" w:cs="Arial"/>
          <w:color w:val="808080" w:themeColor="background1" w:themeShade="80"/>
          <w:sz w:val="22"/>
          <w:szCs w:val="22"/>
          <w:lang w:val="en-GB"/>
        </w:rPr>
        <w:t xml:space="preserve"> </w:t>
      </w:r>
      <w:r w:rsidR="00951A92" w:rsidRPr="008177B4">
        <w:rPr>
          <w:rFonts w:ascii="Avenir Next" w:hAnsi="Avenir Next" w:cs="Arial"/>
          <w:color w:val="808080" w:themeColor="background1" w:themeShade="80"/>
          <w:sz w:val="22"/>
          <w:szCs w:val="22"/>
          <w:lang w:val="en-GB"/>
        </w:rPr>
        <w:t>are</w:t>
      </w:r>
      <w:r w:rsidRPr="008177B4">
        <w:rPr>
          <w:rFonts w:ascii="Avenir Next" w:hAnsi="Avenir Next" w:cs="Arial"/>
          <w:color w:val="808080" w:themeColor="background1" w:themeShade="80"/>
          <w:sz w:val="22"/>
          <w:szCs w:val="22"/>
          <w:lang w:val="en-GB"/>
        </w:rPr>
        <w:t xml:space="preserve"> being met, because the moment the same are not met, the </w:t>
      </w:r>
      <w:r w:rsidR="008177B4" w:rsidRPr="008177B4">
        <w:rPr>
          <w:rFonts w:ascii="Avenir Next" w:hAnsi="Avenir Next" w:cs="Arial"/>
          <w:color w:val="808080" w:themeColor="background1" w:themeShade="80"/>
          <w:sz w:val="22"/>
          <w:szCs w:val="22"/>
          <w:lang w:val="en-GB"/>
        </w:rPr>
        <w:t>liquidat</w:t>
      </w:r>
      <w:r w:rsidR="008177B4">
        <w:rPr>
          <w:rFonts w:ascii="Avenir Next" w:hAnsi="Avenir Next" w:cs="Arial"/>
          <w:color w:val="808080" w:themeColor="background1" w:themeShade="80"/>
          <w:sz w:val="22"/>
          <w:szCs w:val="22"/>
          <w:lang w:val="en-GB"/>
        </w:rPr>
        <w:t>or</w:t>
      </w:r>
      <w:r w:rsidRPr="008177B4">
        <w:rPr>
          <w:rFonts w:ascii="Avenir Next" w:hAnsi="Avenir Next" w:cs="Arial"/>
          <w:color w:val="808080" w:themeColor="background1" w:themeShade="80"/>
          <w:sz w:val="22"/>
          <w:szCs w:val="22"/>
          <w:lang w:val="en-GB"/>
        </w:rPr>
        <w:t xml:space="preserve"> is required to exit the small com</w:t>
      </w:r>
      <w:r w:rsidR="008177B4">
        <w:rPr>
          <w:rFonts w:ascii="Avenir Next" w:hAnsi="Avenir Next" w:cs="Arial"/>
          <w:color w:val="808080" w:themeColor="background1" w:themeShade="80"/>
          <w:sz w:val="22"/>
          <w:szCs w:val="22"/>
          <w:lang w:val="en-GB"/>
        </w:rPr>
        <w:t>panies’</w:t>
      </w:r>
      <w:r w:rsidRPr="008177B4">
        <w:rPr>
          <w:rFonts w:ascii="Avenir Next" w:hAnsi="Avenir Next" w:cs="Arial"/>
          <w:color w:val="808080" w:themeColor="background1" w:themeShade="80"/>
          <w:sz w:val="22"/>
          <w:szCs w:val="22"/>
          <w:lang w:val="en-GB"/>
        </w:rPr>
        <w:t xml:space="preserve"> liquidation process. The same is also ought to be exited, if the liquidator </w:t>
      </w:r>
      <w:r w:rsidR="00502CBD" w:rsidRPr="008177B4">
        <w:rPr>
          <w:rFonts w:ascii="Avenir Next" w:hAnsi="Avenir Next" w:cs="Arial"/>
          <w:color w:val="808080" w:themeColor="background1" w:themeShade="80"/>
          <w:sz w:val="22"/>
          <w:szCs w:val="22"/>
          <w:lang w:val="en-GB"/>
        </w:rPr>
        <w:t xml:space="preserve">has more than </w:t>
      </w:r>
      <w:r w:rsidR="008177B4" w:rsidRPr="008177B4">
        <w:rPr>
          <w:rFonts w:ascii="Avenir Next" w:hAnsi="Avenir Next" w:cs="Arial"/>
          <w:color w:val="808080" w:themeColor="background1" w:themeShade="80"/>
          <w:sz w:val="22"/>
          <w:szCs w:val="22"/>
          <w:lang w:val="en-GB"/>
        </w:rPr>
        <w:t>reasonable</w:t>
      </w:r>
      <w:r w:rsidR="00502CBD" w:rsidRPr="008177B4">
        <w:rPr>
          <w:rFonts w:ascii="Avenir Next" w:hAnsi="Avenir Next" w:cs="Arial"/>
          <w:color w:val="808080" w:themeColor="background1" w:themeShade="80"/>
          <w:sz w:val="22"/>
          <w:szCs w:val="22"/>
          <w:lang w:val="en-GB"/>
        </w:rPr>
        <w:t xml:space="preserve"> </w:t>
      </w:r>
      <w:r w:rsidR="008177B4" w:rsidRPr="008177B4">
        <w:rPr>
          <w:rFonts w:ascii="Avenir Next" w:hAnsi="Avenir Next" w:cs="Arial"/>
          <w:color w:val="808080" w:themeColor="background1" w:themeShade="80"/>
          <w:sz w:val="22"/>
          <w:szCs w:val="22"/>
          <w:lang w:val="en-GB"/>
        </w:rPr>
        <w:t>grounds</w:t>
      </w:r>
      <w:r w:rsidR="00502CBD" w:rsidRPr="008177B4">
        <w:rPr>
          <w:rFonts w:ascii="Avenir Next" w:hAnsi="Avenir Next" w:cs="Arial"/>
          <w:color w:val="808080" w:themeColor="background1" w:themeShade="80"/>
          <w:sz w:val="22"/>
          <w:szCs w:val="22"/>
          <w:lang w:val="en-GB"/>
        </w:rPr>
        <w:t xml:space="preserve"> to believe that the directors have engaged in mis conduct so as to cause a material adverse effect and prejudice the rights of a creditor. </w:t>
      </w:r>
    </w:p>
    <w:p w14:paraId="35D6C164" w14:textId="6511C12F" w:rsidR="008C4AD2" w:rsidRPr="008177B4" w:rsidRDefault="008C4AD2" w:rsidP="002476AF">
      <w:pPr>
        <w:jc w:val="both"/>
        <w:rPr>
          <w:rFonts w:ascii="Avenir Next" w:hAnsi="Avenir Next" w:cs="Arial"/>
          <w:color w:val="808080" w:themeColor="background1" w:themeShade="80"/>
          <w:sz w:val="22"/>
          <w:szCs w:val="22"/>
          <w:lang w:val="en-IN"/>
        </w:rPr>
      </w:pPr>
    </w:p>
    <w:p w14:paraId="6035801B" w14:textId="201AD05F" w:rsidR="002476AF" w:rsidRPr="008177B4" w:rsidRDefault="002476AF" w:rsidP="002476AF">
      <w:pPr>
        <w:jc w:val="both"/>
        <w:rPr>
          <w:rFonts w:ascii="Avenir Next" w:hAnsi="Avenir Next" w:cs="Arial"/>
          <w:color w:val="808080" w:themeColor="background1" w:themeShade="80"/>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253B952D"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r w:rsidR="0089536F" w:rsidRPr="00B2234F">
        <w:rPr>
          <w:rFonts w:ascii="Avenir Next" w:hAnsi="Avenir Next" w:cs="Arial"/>
          <w:sz w:val="22"/>
          <w:szCs w:val="22"/>
          <w:lang w:val="en-GB"/>
        </w:rPr>
        <w:t xml:space="preserve">creditor-friendly.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 xml:space="preserve">a debtor-friendly </w:t>
      </w:r>
      <w:r w:rsidR="007306CA" w:rsidRPr="00B2234F">
        <w:rPr>
          <w:rFonts w:ascii="Avenir Next" w:hAnsi="Avenir Next" w:cs="Arial"/>
          <w:sz w:val="22"/>
          <w:szCs w:val="22"/>
          <w:lang w:val="en-GB"/>
        </w:rPr>
        <w:t>jurisdiction. “</w:t>
      </w:r>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5700E683" w14:textId="2D8B2A4A" w:rsidR="008420F8" w:rsidRDefault="008420F8" w:rsidP="002476AF">
      <w:pPr>
        <w:jc w:val="both"/>
        <w:rPr>
          <w:rFonts w:ascii="Avenir Next" w:hAnsi="Avenir Next" w:cs="Arial"/>
          <w:color w:val="808080" w:themeColor="background1" w:themeShade="80"/>
          <w:sz w:val="22"/>
          <w:szCs w:val="22"/>
          <w:lang w:val="en-GB"/>
        </w:rPr>
      </w:pPr>
    </w:p>
    <w:p w14:paraId="6F7B6F8E" w14:textId="77777777" w:rsidR="00680830" w:rsidRDefault="00680830" w:rsidP="002476AF">
      <w:pPr>
        <w:jc w:val="both"/>
        <w:rPr>
          <w:rFonts w:ascii="Avenir Next" w:hAnsi="Avenir Next" w:cs="Arial"/>
          <w:color w:val="808080" w:themeColor="background1" w:themeShade="80"/>
          <w:sz w:val="22"/>
          <w:szCs w:val="22"/>
          <w:lang w:val="en-GB"/>
        </w:rPr>
      </w:pPr>
    </w:p>
    <w:p w14:paraId="0279DD96" w14:textId="0609FD27" w:rsidR="00680830" w:rsidRDefault="00680830" w:rsidP="00416A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Historically, </w:t>
      </w:r>
      <w:r w:rsidR="00077DB4">
        <w:rPr>
          <w:rFonts w:ascii="Avenir Next" w:hAnsi="Avenir Next" w:cs="Arial"/>
          <w:color w:val="808080" w:themeColor="background1" w:themeShade="80"/>
          <w:sz w:val="22"/>
          <w:szCs w:val="22"/>
          <w:lang w:val="en-GB"/>
        </w:rPr>
        <w:t>Australia has been a creditor-in-possession insolvency system</w:t>
      </w:r>
      <w:r w:rsidR="00FE7581">
        <w:rPr>
          <w:rFonts w:ascii="Avenir Next" w:hAnsi="Avenir Next" w:cs="Arial"/>
          <w:color w:val="808080" w:themeColor="background1" w:themeShade="80"/>
          <w:sz w:val="22"/>
          <w:szCs w:val="22"/>
          <w:lang w:val="en-GB"/>
        </w:rPr>
        <w:t>, with only two procedures being debtor-in-possession</w:t>
      </w:r>
      <w:r w:rsidR="00FE7581">
        <w:rPr>
          <w:rStyle w:val="FootnoteReference"/>
          <w:rFonts w:ascii="Avenir Next" w:hAnsi="Avenir Next" w:cs="Arial"/>
          <w:color w:val="808080" w:themeColor="background1" w:themeShade="80"/>
          <w:sz w:val="22"/>
          <w:szCs w:val="22"/>
          <w:lang w:val="en-GB"/>
        </w:rPr>
        <w:footnoteReference w:id="8"/>
      </w:r>
      <w:r w:rsidR="00FE7581">
        <w:rPr>
          <w:rFonts w:ascii="Avenir Next" w:hAnsi="Avenir Next" w:cs="Arial"/>
          <w:color w:val="808080" w:themeColor="background1" w:themeShade="80"/>
          <w:sz w:val="22"/>
          <w:szCs w:val="22"/>
          <w:lang w:val="en-GB"/>
        </w:rPr>
        <w:t>.</w:t>
      </w:r>
    </w:p>
    <w:p w14:paraId="0FBAC26A" w14:textId="77777777" w:rsidR="00FE7581" w:rsidRDefault="00FE7581" w:rsidP="00416A20">
      <w:pPr>
        <w:jc w:val="both"/>
        <w:rPr>
          <w:rFonts w:ascii="Avenir Next" w:hAnsi="Avenir Next" w:cs="Arial"/>
          <w:color w:val="808080" w:themeColor="background1" w:themeShade="80"/>
          <w:sz w:val="22"/>
          <w:szCs w:val="22"/>
          <w:lang w:val="en-GB"/>
        </w:rPr>
      </w:pPr>
    </w:p>
    <w:p w14:paraId="273628BB" w14:textId="1B7DA11C" w:rsidR="008B2AFE" w:rsidRDefault="00F97EC2" w:rsidP="00416A20">
      <w:pPr>
        <w:pStyle w:val="NormalWeb"/>
        <w:shd w:val="clear" w:color="auto" w:fill="FFFFFF"/>
        <w:spacing w:before="0" w:beforeAutospacing="0" w:after="450" w:afterAutospacing="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begin with, its noteworthy to mention that </w:t>
      </w:r>
      <w:r w:rsidR="007B7269">
        <w:rPr>
          <w:rFonts w:ascii="Avenir Next" w:hAnsi="Avenir Next" w:cs="Arial"/>
          <w:color w:val="808080" w:themeColor="background1" w:themeShade="80"/>
          <w:sz w:val="22"/>
          <w:szCs w:val="22"/>
          <w:lang w:val="en-GB"/>
        </w:rPr>
        <w:t xml:space="preserve">more than </w:t>
      </w:r>
      <w:r>
        <w:rPr>
          <w:rFonts w:ascii="Avenir Next" w:hAnsi="Avenir Next" w:cs="Arial"/>
          <w:color w:val="808080" w:themeColor="background1" w:themeShade="80"/>
          <w:sz w:val="22"/>
          <w:szCs w:val="22"/>
          <w:lang w:val="en-GB"/>
        </w:rPr>
        <w:t>9</w:t>
      </w:r>
      <w:r w:rsidR="007B7269">
        <w:rPr>
          <w:rFonts w:ascii="Avenir Next" w:hAnsi="Avenir Next" w:cs="Arial"/>
          <w:color w:val="808080" w:themeColor="background1" w:themeShade="80"/>
          <w:sz w:val="22"/>
          <w:szCs w:val="22"/>
          <w:lang w:val="en-GB"/>
        </w:rPr>
        <w:t>8</w:t>
      </w:r>
      <w:r>
        <w:rPr>
          <w:rFonts w:ascii="Avenir Next" w:hAnsi="Avenir Next" w:cs="Arial"/>
          <w:color w:val="808080" w:themeColor="background1" w:themeShade="80"/>
          <w:sz w:val="22"/>
          <w:szCs w:val="22"/>
          <w:lang w:val="en-GB"/>
        </w:rPr>
        <w:t xml:space="preserve">% of the business </w:t>
      </w:r>
      <w:r w:rsidR="00E56584">
        <w:rPr>
          <w:rFonts w:ascii="Avenir Next" w:hAnsi="Avenir Next" w:cs="Arial"/>
          <w:color w:val="808080" w:themeColor="background1" w:themeShade="80"/>
          <w:sz w:val="22"/>
          <w:szCs w:val="22"/>
          <w:lang w:val="en-GB"/>
        </w:rPr>
        <w:t>are small or medium businesses</w:t>
      </w:r>
      <w:r w:rsidR="008A09E1">
        <w:rPr>
          <w:rStyle w:val="FootnoteReference"/>
          <w:rFonts w:ascii="Avenir Next" w:hAnsi="Avenir Next" w:cs="Arial"/>
          <w:color w:val="808080" w:themeColor="background1" w:themeShade="80"/>
          <w:sz w:val="22"/>
          <w:szCs w:val="22"/>
          <w:lang w:val="en-GB"/>
        </w:rPr>
        <w:footnoteReference w:id="9"/>
      </w:r>
      <w:r w:rsidR="00680830">
        <w:rPr>
          <w:rFonts w:ascii="Avenir Next" w:hAnsi="Avenir Next" w:cs="Arial"/>
          <w:color w:val="808080" w:themeColor="background1" w:themeShade="80"/>
          <w:sz w:val="22"/>
          <w:szCs w:val="22"/>
          <w:lang w:val="en-GB"/>
        </w:rPr>
        <w:t>.</w:t>
      </w:r>
      <w:r w:rsidR="00E56584">
        <w:rPr>
          <w:rFonts w:ascii="Avenir Next" w:hAnsi="Avenir Next" w:cs="Arial"/>
          <w:color w:val="808080" w:themeColor="background1" w:themeShade="80"/>
          <w:sz w:val="22"/>
          <w:szCs w:val="22"/>
          <w:lang w:val="en-GB"/>
        </w:rPr>
        <w:t xml:space="preserve"> </w:t>
      </w:r>
      <w:r w:rsidR="00E56584" w:rsidRPr="00E56584">
        <w:rPr>
          <w:rFonts w:ascii="Avenir Next" w:hAnsi="Avenir Next" w:cs="Arial"/>
          <w:color w:val="808080" w:themeColor="background1" w:themeShade="80"/>
          <w:sz w:val="22"/>
          <w:szCs w:val="22"/>
          <w:lang w:val="en-GB"/>
        </w:rPr>
        <w:t>Micro businesses were the largest proportion of all Australian business, with 1.55 million (60 per cent) of businesses employing no staff. A further 955,000 businesses (37 per cent) employed 1-19 staff</w:t>
      </w:r>
      <w:r w:rsidR="00E56584">
        <w:rPr>
          <w:rStyle w:val="FootnoteReference"/>
          <w:rFonts w:ascii="Avenir Next" w:hAnsi="Avenir Next" w:cs="Arial"/>
          <w:color w:val="808080" w:themeColor="background1" w:themeShade="80"/>
          <w:sz w:val="22"/>
          <w:szCs w:val="22"/>
          <w:lang w:val="en-GB"/>
        </w:rPr>
        <w:footnoteReference w:id="10"/>
      </w:r>
      <w:r w:rsidR="00E56584">
        <w:rPr>
          <w:rFonts w:ascii="Avenir Next" w:hAnsi="Avenir Next" w:cs="Arial"/>
          <w:color w:val="808080" w:themeColor="background1" w:themeShade="80"/>
          <w:sz w:val="22"/>
          <w:szCs w:val="22"/>
          <w:lang w:val="en-GB"/>
        </w:rPr>
        <w:t xml:space="preserve">. </w:t>
      </w:r>
      <w:r w:rsidR="000C7080">
        <w:rPr>
          <w:rFonts w:ascii="Avenir Next" w:hAnsi="Avenir Next" w:cs="Arial"/>
          <w:color w:val="808080" w:themeColor="background1" w:themeShade="80"/>
          <w:sz w:val="22"/>
          <w:szCs w:val="22"/>
          <w:lang w:val="en-GB"/>
        </w:rPr>
        <w:t xml:space="preserve">Given that, the country had had to pay a steeper price in terms of impact of Covid-19 pandemic. </w:t>
      </w:r>
      <w:r w:rsidR="00416A20" w:rsidRPr="00416A20">
        <w:rPr>
          <w:rFonts w:ascii="Avenir Next" w:hAnsi="Avenir Next" w:cs="Arial"/>
          <w:color w:val="808080" w:themeColor="background1" w:themeShade="80"/>
          <w:sz w:val="22"/>
          <w:szCs w:val="22"/>
          <w:lang w:val="en-GB"/>
        </w:rPr>
        <w:t>In April 2020 as many as 73% of SMEs reported a decrease in revenue from the previous month. Some industries recovered quickly from this contraction while others were harder hit. SMEs in hospitality, tourism and accommodation suffered an extended period of revenue reduction with three quarters or more continually reporting a reduction in revenue each month for an entire year to March 2021</w:t>
      </w:r>
      <w:r w:rsidR="00416A20">
        <w:rPr>
          <w:rStyle w:val="FootnoteReference"/>
          <w:rFonts w:ascii="Avenir Next" w:hAnsi="Avenir Next" w:cs="Arial"/>
          <w:color w:val="808080" w:themeColor="background1" w:themeShade="80"/>
          <w:sz w:val="22"/>
          <w:szCs w:val="22"/>
          <w:lang w:val="en-GB"/>
        </w:rPr>
        <w:footnoteReference w:id="11"/>
      </w:r>
      <w:r w:rsidR="00416A20" w:rsidRPr="00416A20">
        <w:rPr>
          <w:rFonts w:ascii="Avenir Next" w:hAnsi="Avenir Next" w:cs="Arial"/>
          <w:color w:val="808080" w:themeColor="background1" w:themeShade="80"/>
          <w:sz w:val="22"/>
          <w:szCs w:val="22"/>
          <w:lang w:val="en-GB"/>
        </w:rPr>
        <w:t>.</w:t>
      </w:r>
      <w:r w:rsidR="00D7704C">
        <w:rPr>
          <w:rFonts w:ascii="Avenir Next" w:hAnsi="Avenir Next" w:cs="Arial"/>
          <w:color w:val="808080" w:themeColor="background1" w:themeShade="80"/>
          <w:sz w:val="22"/>
          <w:szCs w:val="22"/>
          <w:lang w:val="en-GB"/>
        </w:rPr>
        <w:t xml:space="preserve"> Pursuant to this, the need was felt to help foster, faster small business rescues and to </w:t>
      </w:r>
      <w:r w:rsidR="00452A23">
        <w:rPr>
          <w:rFonts w:ascii="Avenir Next" w:hAnsi="Avenir Next" w:cs="Arial"/>
          <w:color w:val="808080" w:themeColor="background1" w:themeShade="80"/>
          <w:sz w:val="22"/>
          <w:szCs w:val="22"/>
          <w:lang w:val="en-GB"/>
        </w:rPr>
        <w:t>est</w:t>
      </w:r>
      <w:r w:rsidR="00452A23" w:rsidRPr="00452A23">
        <w:rPr>
          <w:rFonts w:ascii="Avenir Next" w:hAnsi="Avenir Next" w:cs="Arial"/>
          <w:color w:val="808080" w:themeColor="background1" w:themeShade="80"/>
          <w:sz w:val="22"/>
          <w:szCs w:val="22"/>
          <w:lang w:val="en-GB"/>
        </w:rPr>
        <w:t>ablish a debt restructuring process for eligible small companies and provide temporary relief for eligible companies seeking to enter the process</w:t>
      </w:r>
      <w:r w:rsidR="00452A23">
        <w:rPr>
          <w:rStyle w:val="FootnoteReference"/>
          <w:rFonts w:ascii="Avenir Next" w:hAnsi="Avenir Next" w:cs="Arial"/>
          <w:color w:val="808080" w:themeColor="background1" w:themeShade="80"/>
          <w:sz w:val="22"/>
          <w:szCs w:val="22"/>
          <w:lang w:val="en-GB"/>
        </w:rPr>
        <w:footnoteReference w:id="12"/>
      </w:r>
      <w:r w:rsidR="003D30BD">
        <w:rPr>
          <w:rFonts w:ascii="Avenir Next" w:hAnsi="Avenir Next" w:cs="Arial"/>
          <w:color w:val="808080" w:themeColor="background1" w:themeShade="80"/>
          <w:sz w:val="22"/>
          <w:szCs w:val="22"/>
          <w:lang w:val="en-GB"/>
        </w:rPr>
        <w:t>.</w:t>
      </w:r>
    </w:p>
    <w:p w14:paraId="6939D699" w14:textId="06FFEBF7" w:rsidR="00901320" w:rsidRDefault="008B2AFE" w:rsidP="00663EB3">
      <w:pPr>
        <w:pStyle w:val="Heading3"/>
        <w:jc w:val="both"/>
        <w:rPr>
          <w:rFonts w:ascii="Avenir Next" w:hAnsi="Avenir Next" w:cs="Arial"/>
          <w:b w:val="0"/>
          <w:bCs w:val="0"/>
          <w:color w:val="808080" w:themeColor="background1" w:themeShade="80"/>
          <w:sz w:val="22"/>
          <w:szCs w:val="22"/>
          <w:lang w:val="en-GB" w:eastAsia="en-US"/>
        </w:rPr>
      </w:pPr>
      <w:r w:rsidRPr="00901320">
        <w:rPr>
          <w:rFonts w:ascii="Avenir Next" w:hAnsi="Avenir Next" w:cs="Arial"/>
          <w:b w:val="0"/>
          <w:bCs w:val="0"/>
          <w:color w:val="808080" w:themeColor="background1" w:themeShade="80"/>
          <w:sz w:val="22"/>
          <w:szCs w:val="22"/>
          <w:lang w:val="en-GB"/>
        </w:rPr>
        <w:t xml:space="preserve">In light of the above, the </w:t>
      </w:r>
      <w:r w:rsidR="00901320" w:rsidRPr="00901320">
        <w:rPr>
          <w:rFonts w:ascii="Avenir Next" w:hAnsi="Avenir Next" w:cs="Arial"/>
          <w:b w:val="0"/>
          <w:bCs w:val="0"/>
          <w:color w:val="808080" w:themeColor="background1" w:themeShade="80"/>
          <w:sz w:val="22"/>
          <w:szCs w:val="22"/>
          <w:lang w:val="en-GB" w:eastAsia="en-US"/>
        </w:rPr>
        <w:t>Corporations Amendment (Corporate Insolvency Reforms) Regulations 2020 (F2020l01654)</w:t>
      </w:r>
      <w:r w:rsidR="009279A9">
        <w:rPr>
          <w:rFonts w:ascii="Avenir Next" w:hAnsi="Avenir Next" w:cs="Arial"/>
          <w:b w:val="0"/>
          <w:bCs w:val="0"/>
          <w:color w:val="808080" w:themeColor="background1" w:themeShade="80"/>
          <w:sz w:val="22"/>
          <w:szCs w:val="22"/>
          <w:lang w:val="en-GB" w:eastAsia="en-US"/>
        </w:rPr>
        <w:t xml:space="preserve"> (“Regulations”)</w:t>
      </w:r>
      <w:r w:rsidR="00901320">
        <w:rPr>
          <w:rFonts w:ascii="Avenir Next" w:hAnsi="Avenir Next" w:cs="Arial"/>
          <w:b w:val="0"/>
          <w:bCs w:val="0"/>
          <w:color w:val="808080" w:themeColor="background1" w:themeShade="80"/>
          <w:sz w:val="22"/>
          <w:szCs w:val="22"/>
          <w:lang w:val="en-GB" w:eastAsia="en-US"/>
        </w:rPr>
        <w:t xml:space="preserve"> was enacted with effect from January 1, 2021.</w:t>
      </w:r>
      <w:r w:rsidR="00FA32A2">
        <w:rPr>
          <w:rFonts w:ascii="Avenir Next" w:hAnsi="Avenir Next" w:cs="Arial"/>
          <w:b w:val="0"/>
          <w:bCs w:val="0"/>
          <w:color w:val="808080" w:themeColor="background1" w:themeShade="80"/>
          <w:sz w:val="22"/>
          <w:szCs w:val="22"/>
          <w:lang w:val="en-GB" w:eastAsia="en-US"/>
        </w:rPr>
        <w:t xml:space="preserve"> While Covid-19 may have triggered the action, there ha</w:t>
      </w:r>
      <w:r w:rsidR="009D123B">
        <w:rPr>
          <w:rFonts w:ascii="Avenir Next" w:hAnsi="Avenir Next" w:cs="Arial"/>
          <w:b w:val="0"/>
          <w:bCs w:val="0"/>
          <w:color w:val="808080" w:themeColor="background1" w:themeShade="80"/>
          <w:sz w:val="22"/>
          <w:szCs w:val="22"/>
          <w:lang w:val="en-GB" w:eastAsia="en-US"/>
        </w:rPr>
        <w:t>s</w:t>
      </w:r>
      <w:r w:rsidR="00FA32A2">
        <w:rPr>
          <w:rFonts w:ascii="Avenir Next" w:hAnsi="Avenir Next" w:cs="Arial"/>
          <w:b w:val="0"/>
          <w:bCs w:val="0"/>
          <w:color w:val="808080" w:themeColor="background1" w:themeShade="80"/>
          <w:sz w:val="22"/>
          <w:szCs w:val="22"/>
          <w:lang w:val="en-GB" w:eastAsia="en-US"/>
        </w:rPr>
        <w:t xml:space="preserve"> always been pressure from the legislation to </w:t>
      </w:r>
      <w:r w:rsidR="0079630A">
        <w:rPr>
          <w:rFonts w:ascii="Avenir Next" w:hAnsi="Avenir Next" w:cs="Arial"/>
          <w:b w:val="0"/>
          <w:bCs w:val="0"/>
          <w:color w:val="808080" w:themeColor="background1" w:themeShade="80"/>
          <w:sz w:val="22"/>
          <w:szCs w:val="22"/>
          <w:lang w:val="en-GB" w:eastAsia="en-US"/>
        </w:rPr>
        <w:t>provide</w:t>
      </w:r>
      <w:r w:rsidR="00842653">
        <w:rPr>
          <w:rFonts w:ascii="Avenir Next" w:hAnsi="Avenir Next" w:cs="Arial"/>
          <w:b w:val="0"/>
          <w:bCs w:val="0"/>
          <w:color w:val="808080" w:themeColor="background1" w:themeShade="80"/>
          <w:sz w:val="22"/>
          <w:szCs w:val="22"/>
          <w:lang w:val="en-GB" w:eastAsia="en-US"/>
        </w:rPr>
        <w:t xml:space="preserve"> different approaches to different needs that may arise in the realm of insolvency. </w:t>
      </w:r>
      <w:r w:rsidR="00FA32A2">
        <w:rPr>
          <w:rFonts w:ascii="Avenir Next" w:hAnsi="Avenir Next" w:cs="Arial"/>
          <w:b w:val="0"/>
          <w:bCs w:val="0"/>
          <w:color w:val="808080" w:themeColor="background1" w:themeShade="80"/>
          <w:sz w:val="22"/>
          <w:szCs w:val="22"/>
          <w:lang w:val="en-GB" w:eastAsia="en-US"/>
        </w:rPr>
        <w:t xml:space="preserve"> </w:t>
      </w:r>
      <w:r w:rsidR="000238B1">
        <w:rPr>
          <w:rFonts w:ascii="Avenir Next" w:hAnsi="Avenir Next" w:cs="Arial"/>
          <w:b w:val="0"/>
          <w:bCs w:val="0"/>
          <w:color w:val="808080" w:themeColor="background1" w:themeShade="80"/>
          <w:sz w:val="22"/>
          <w:szCs w:val="22"/>
          <w:lang w:val="en-GB" w:eastAsia="en-US"/>
        </w:rPr>
        <w:t xml:space="preserve">The Regulations introduced a </w:t>
      </w:r>
      <w:r w:rsidR="009D123B">
        <w:rPr>
          <w:rFonts w:ascii="Avenir Next" w:hAnsi="Avenir Next" w:cs="Arial"/>
          <w:b w:val="0"/>
          <w:bCs w:val="0"/>
          <w:color w:val="808080" w:themeColor="background1" w:themeShade="80"/>
          <w:sz w:val="22"/>
          <w:szCs w:val="22"/>
          <w:lang w:val="en-GB" w:eastAsia="en-US"/>
        </w:rPr>
        <w:t>C</w:t>
      </w:r>
      <w:r w:rsidR="000238B1">
        <w:rPr>
          <w:rFonts w:ascii="Avenir Next" w:hAnsi="Avenir Next" w:cs="Arial"/>
          <w:b w:val="0"/>
          <w:bCs w:val="0"/>
          <w:color w:val="808080" w:themeColor="background1" w:themeShade="80"/>
          <w:sz w:val="22"/>
          <w:szCs w:val="22"/>
          <w:lang w:val="en-GB" w:eastAsia="en-US"/>
        </w:rPr>
        <w:t>hapter 11 like debtor-in-possession model</w:t>
      </w:r>
      <w:r w:rsidR="0080276A">
        <w:rPr>
          <w:rFonts w:ascii="Avenir Next" w:hAnsi="Avenir Next" w:cs="Arial"/>
          <w:b w:val="0"/>
          <w:bCs w:val="0"/>
          <w:color w:val="808080" w:themeColor="background1" w:themeShade="80"/>
          <w:sz w:val="22"/>
          <w:szCs w:val="22"/>
          <w:lang w:val="en-GB" w:eastAsia="en-US"/>
        </w:rPr>
        <w:t>, where b</w:t>
      </w:r>
      <w:r w:rsidR="0080276A" w:rsidRPr="0080276A">
        <w:rPr>
          <w:rFonts w:ascii="Avenir Next" w:hAnsi="Avenir Next" w:cs="Arial"/>
          <w:b w:val="0"/>
          <w:bCs w:val="0"/>
          <w:color w:val="808080" w:themeColor="background1" w:themeShade="80"/>
          <w:sz w:val="22"/>
          <w:szCs w:val="22"/>
          <w:lang w:val="en-GB" w:eastAsia="en-US"/>
        </w:rPr>
        <w:t>usiness owners continu</w:t>
      </w:r>
      <w:r w:rsidR="009D123B">
        <w:rPr>
          <w:rFonts w:ascii="Avenir Next" w:hAnsi="Avenir Next" w:cs="Arial"/>
          <w:b w:val="0"/>
          <w:bCs w:val="0"/>
          <w:color w:val="808080" w:themeColor="background1" w:themeShade="80"/>
          <w:sz w:val="22"/>
          <w:szCs w:val="22"/>
          <w:lang w:val="en-GB" w:eastAsia="en-US"/>
        </w:rPr>
        <w:t>ed</w:t>
      </w:r>
      <w:r w:rsidR="0080276A" w:rsidRPr="0080276A">
        <w:rPr>
          <w:rFonts w:ascii="Avenir Next" w:hAnsi="Avenir Next" w:cs="Arial"/>
          <w:b w:val="0"/>
          <w:bCs w:val="0"/>
          <w:color w:val="808080" w:themeColor="background1" w:themeShade="80"/>
          <w:sz w:val="22"/>
          <w:szCs w:val="22"/>
          <w:lang w:val="en-GB" w:eastAsia="en-US"/>
        </w:rPr>
        <w:t xml:space="preserve"> to operate the business under a moratorium whilst they develop a restructuring plan with the assistance of (and, ultimately, certification by) an independent “small business restructuring practitioner” (</w:t>
      </w:r>
      <w:r w:rsidR="0080276A" w:rsidRPr="0080276A">
        <w:rPr>
          <w:rFonts w:ascii="Avenir Next" w:hAnsi="Avenir Next" w:cs="Arial"/>
          <w:color w:val="808080" w:themeColor="background1" w:themeShade="80"/>
          <w:sz w:val="22"/>
          <w:szCs w:val="22"/>
          <w:lang w:val="en-GB" w:eastAsia="en-US"/>
        </w:rPr>
        <w:t>SBRP</w:t>
      </w:r>
      <w:r w:rsidR="0080276A" w:rsidRPr="0080276A">
        <w:rPr>
          <w:rFonts w:ascii="Avenir Next" w:hAnsi="Avenir Next" w:cs="Arial"/>
          <w:b w:val="0"/>
          <w:bCs w:val="0"/>
          <w:color w:val="808080" w:themeColor="background1" w:themeShade="80"/>
          <w:sz w:val="22"/>
          <w:szCs w:val="22"/>
          <w:lang w:val="en-GB" w:eastAsia="en-US"/>
        </w:rPr>
        <w:t>). The restructuring plan is then put to the company’s creditors (within 20 business days) and voted on by them (within a further 15 business days). The company must pay its employee entitlements before the creditor vote</w:t>
      </w:r>
      <w:r w:rsidR="00EE75FF">
        <w:rPr>
          <w:rStyle w:val="FootnoteReference"/>
          <w:rFonts w:ascii="Avenir Next" w:hAnsi="Avenir Next" w:cs="Arial"/>
          <w:b w:val="0"/>
          <w:bCs w:val="0"/>
          <w:color w:val="808080" w:themeColor="background1" w:themeShade="80"/>
          <w:sz w:val="22"/>
          <w:szCs w:val="22"/>
          <w:lang w:val="en-GB" w:eastAsia="en-US"/>
        </w:rPr>
        <w:footnoteReference w:id="13"/>
      </w:r>
      <w:r w:rsidR="0080276A" w:rsidRPr="0080276A">
        <w:rPr>
          <w:rFonts w:ascii="Avenir Next" w:hAnsi="Avenir Next" w:cs="Arial"/>
          <w:b w:val="0"/>
          <w:bCs w:val="0"/>
          <w:color w:val="808080" w:themeColor="background1" w:themeShade="80"/>
          <w:sz w:val="22"/>
          <w:szCs w:val="22"/>
          <w:lang w:val="en-GB" w:eastAsia="en-US"/>
        </w:rPr>
        <w:t>.</w:t>
      </w:r>
      <w:r w:rsidR="008D1E27">
        <w:rPr>
          <w:rFonts w:ascii="Avenir Next" w:hAnsi="Avenir Next" w:cs="Arial"/>
          <w:b w:val="0"/>
          <w:bCs w:val="0"/>
          <w:color w:val="808080" w:themeColor="background1" w:themeShade="80"/>
          <w:sz w:val="22"/>
          <w:szCs w:val="22"/>
          <w:lang w:val="en-GB" w:eastAsia="en-US"/>
        </w:rPr>
        <w:t xml:space="preserve"> Moreover, the Regulations also introduce a simplified liquidation process, where a lot of requirements under a traditional liquidation are relaxed, hence making it swifter and more time and cost effective. </w:t>
      </w:r>
      <w:r w:rsidR="00CB5BFA">
        <w:rPr>
          <w:rFonts w:ascii="Avenir Next" w:hAnsi="Avenir Next" w:cs="Arial"/>
          <w:b w:val="0"/>
          <w:bCs w:val="0"/>
          <w:color w:val="808080" w:themeColor="background1" w:themeShade="80"/>
          <w:sz w:val="22"/>
          <w:szCs w:val="22"/>
          <w:lang w:val="en-GB" w:eastAsia="en-US"/>
        </w:rPr>
        <w:t xml:space="preserve">Another form of debtor-in-possession procedure available in Australia is the </w:t>
      </w:r>
      <w:r w:rsidR="00CE0191">
        <w:rPr>
          <w:rFonts w:ascii="Avenir Next" w:hAnsi="Avenir Next" w:cs="Arial"/>
          <w:b w:val="0"/>
          <w:bCs w:val="0"/>
          <w:color w:val="808080" w:themeColor="background1" w:themeShade="80"/>
          <w:sz w:val="22"/>
          <w:szCs w:val="22"/>
          <w:lang w:val="en-GB" w:eastAsia="en-US"/>
        </w:rPr>
        <w:t>Creditors’ Scheme of Arrangement</w:t>
      </w:r>
      <w:r w:rsidR="002977B7">
        <w:rPr>
          <w:rFonts w:ascii="Avenir Next" w:hAnsi="Avenir Next" w:cs="Arial"/>
          <w:b w:val="0"/>
          <w:bCs w:val="0"/>
          <w:color w:val="808080" w:themeColor="background1" w:themeShade="80"/>
          <w:sz w:val="22"/>
          <w:szCs w:val="22"/>
          <w:lang w:val="en-GB" w:eastAsia="en-US"/>
        </w:rPr>
        <w:t xml:space="preserve">, where even before the event of insolvency, </w:t>
      </w:r>
      <w:r w:rsidR="002109E3">
        <w:rPr>
          <w:rFonts w:ascii="Avenir Next" w:hAnsi="Avenir Next" w:cs="Arial"/>
          <w:b w:val="0"/>
          <w:bCs w:val="0"/>
          <w:color w:val="808080" w:themeColor="background1" w:themeShade="80"/>
          <w:sz w:val="22"/>
          <w:szCs w:val="22"/>
          <w:lang w:val="en-GB" w:eastAsia="en-US"/>
        </w:rPr>
        <w:t>the directors of the debtor enter into negotiations with the creditors as to how best restructure their debt</w:t>
      </w:r>
      <w:r w:rsidR="006E0869">
        <w:rPr>
          <w:rFonts w:ascii="Avenir Next" w:hAnsi="Avenir Next" w:cs="Arial"/>
          <w:b w:val="0"/>
          <w:bCs w:val="0"/>
          <w:color w:val="808080" w:themeColor="background1" w:themeShade="80"/>
          <w:sz w:val="22"/>
          <w:szCs w:val="22"/>
          <w:lang w:val="en-GB" w:eastAsia="en-US"/>
        </w:rPr>
        <w:t xml:space="preserve"> and streamline operations and cashflows</w:t>
      </w:r>
      <w:r w:rsidR="00D25628">
        <w:rPr>
          <w:rFonts w:ascii="Avenir Next" w:hAnsi="Avenir Next" w:cs="Arial"/>
          <w:b w:val="0"/>
          <w:bCs w:val="0"/>
          <w:color w:val="808080" w:themeColor="background1" w:themeShade="80"/>
          <w:sz w:val="22"/>
          <w:szCs w:val="22"/>
          <w:lang w:val="en-GB" w:eastAsia="en-US"/>
        </w:rPr>
        <w:t xml:space="preserve">. The debtor will then apply to the court for orders on convening a creditors meeting, where </w:t>
      </w:r>
      <w:r w:rsidR="001234CD">
        <w:rPr>
          <w:rFonts w:ascii="Avenir Next" w:hAnsi="Avenir Next" w:cs="Arial"/>
          <w:b w:val="0"/>
          <w:bCs w:val="0"/>
          <w:color w:val="808080" w:themeColor="background1" w:themeShade="80"/>
          <w:sz w:val="22"/>
          <w:szCs w:val="22"/>
          <w:lang w:val="en-GB" w:eastAsia="en-US"/>
        </w:rPr>
        <w:t xml:space="preserve">the scheme has to be </w:t>
      </w:r>
      <w:r w:rsidR="0028422D">
        <w:rPr>
          <w:rFonts w:ascii="Avenir Next" w:hAnsi="Avenir Next" w:cs="Arial"/>
          <w:b w:val="0"/>
          <w:bCs w:val="0"/>
          <w:color w:val="808080" w:themeColor="background1" w:themeShade="80"/>
          <w:sz w:val="22"/>
          <w:szCs w:val="22"/>
          <w:lang w:val="en-GB" w:eastAsia="en-US"/>
        </w:rPr>
        <w:t xml:space="preserve">approved by creditors representing 75% of the outstanding debt of the debtor, post which, court approval is again required </w:t>
      </w:r>
      <w:r w:rsidR="00700CA1">
        <w:rPr>
          <w:rFonts w:ascii="Avenir Next" w:hAnsi="Avenir Next" w:cs="Arial"/>
          <w:b w:val="0"/>
          <w:bCs w:val="0"/>
          <w:color w:val="808080" w:themeColor="background1" w:themeShade="80"/>
          <w:sz w:val="22"/>
          <w:szCs w:val="22"/>
          <w:lang w:val="en-GB" w:eastAsia="en-US"/>
        </w:rPr>
        <w:t xml:space="preserve">before implementation of the scheme begins. </w:t>
      </w:r>
    </w:p>
    <w:p w14:paraId="0F41AE1F" w14:textId="79BB7FD2" w:rsidR="008114F7" w:rsidRPr="00DA4C30" w:rsidRDefault="00700CA1" w:rsidP="00663EB3">
      <w:pPr>
        <w:pStyle w:val="Heading3"/>
        <w:jc w:val="both"/>
        <w:rPr>
          <w:rFonts w:ascii="Avenir Next" w:hAnsi="Avenir Next" w:cs="Arial"/>
          <w:b w:val="0"/>
          <w:bCs w:val="0"/>
          <w:color w:val="808080" w:themeColor="background1" w:themeShade="80"/>
          <w:sz w:val="22"/>
          <w:szCs w:val="22"/>
          <w:lang w:val="en-GB" w:eastAsia="en-US"/>
        </w:rPr>
      </w:pPr>
      <w:r>
        <w:rPr>
          <w:rFonts w:ascii="Avenir Next" w:hAnsi="Avenir Next" w:cs="Arial"/>
          <w:b w:val="0"/>
          <w:bCs w:val="0"/>
          <w:color w:val="808080" w:themeColor="background1" w:themeShade="80"/>
          <w:sz w:val="22"/>
          <w:szCs w:val="22"/>
          <w:lang w:val="en-GB" w:eastAsia="en-US"/>
        </w:rPr>
        <w:t xml:space="preserve">It is quite clear from the above that debtor-in-possession is a concept that Australia is trying to familiarize itself starting very recently, which </w:t>
      </w:r>
      <w:r w:rsidR="00DA4C30">
        <w:rPr>
          <w:rFonts w:ascii="Avenir Next" w:hAnsi="Avenir Next" w:cs="Arial"/>
          <w:b w:val="0"/>
          <w:bCs w:val="0"/>
          <w:color w:val="808080" w:themeColor="background1" w:themeShade="80"/>
          <w:sz w:val="22"/>
          <w:szCs w:val="22"/>
          <w:lang w:val="en-GB" w:eastAsia="en-US"/>
        </w:rPr>
        <w:t>momentum</w:t>
      </w:r>
      <w:r w:rsidR="00A36BDE">
        <w:rPr>
          <w:rFonts w:ascii="Avenir Next" w:hAnsi="Avenir Next" w:cs="Arial"/>
          <w:b w:val="0"/>
          <w:bCs w:val="0"/>
          <w:color w:val="808080" w:themeColor="background1" w:themeShade="80"/>
          <w:sz w:val="22"/>
          <w:szCs w:val="22"/>
          <w:lang w:val="en-GB" w:eastAsia="en-US"/>
        </w:rPr>
        <w:t xml:space="preserve"> was propelled due to the happenings of the pandemic. </w:t>
      </w:r>
      <w:r w:rsidR="005A27B1">
        <w:rPr>
          <w:rFonts w:ascii="Avenir Next" w:hAnsi="Avenir Next" w:cs="Arial"/>
          <w:b w:val="0"/>
          <w:bCs w:val="0"/>
          <w:color w:val="808080" w:themeColor="background1" w:themeShade="80"/>
          <w:sz w:val="22"/>
          <w:szCs w:val="22"/>
          <w:lang w:val="en-GB" w:eastAsia="en-US"/>
        </w:rPr>
        <w:t>The applicability of the benefits given to the SME are majorly restrictive</w:t>
      </w:r>
      <w:r w:rsidR="00A120B1">
        <w:rPr>
          <w:rFonts w:ascii="Avenir Next" w:hAnsi="Avenir Next" w:cs="Arial"/>
          <w:b w:val="0"/>
          <w:bCs w:val="0"/>
          <w:color w:val="808080" w:themeColor="background1" w:themeShade="80"/>
          <w:sz w:val="22"/>
          <w:szCs w:val="22"/>
          <w:lang w:val="en-GB" w:eastAsia="en-US"/>
        </w:rPr>
        <w:t xml:space="preserve"> as compared to Chapter V of the US. </w:t>
      </w:r>
      <w:r w:rsidR="00DA4C30" w:rsidRPr="00DA4C30">
        <w:rPr>
          <w:rFonts w:ascii="Avenir Next" w:hAnsi="Avenir Next" w:cs="Arial"/>
          <w:b w:val="0"/>
          <w:bCs w:val="0"/>
          <w:color w:val="808080" w:themeColor="background1" w:themeShade="80"/>
          <w:sz w:val="22"/>
          <w:szCs w:val="22"/>
          <w:lang w:val="en-GB" w:eastAsia="en-US"/>
        </w:rPr>
        <w:t>The Legislation is not a full-scale adoption of all the powers afforded to a debtor-</w:t>
      </w:r>
      <w:r w:rsidR="00DA4C30" w:rsidRPr="00DA4C30">
        <w:rPr>
          <w:rFonts w:ascii="Avenir Next" w:hAnsi="Avenir Next" w:cs="Arial"/>
          <w:b w:val="0"/>
          <w:bCs w:val="0"/>
          <w:color w:val="808080" w:themeColor="background1" w:themeShade="80"/>
          <w:sz w:val="22"/>
          <w:szCs w:val="22"/>
          <w:lang w:val="en-GB" w:eastAsia="en-US"/>
        </w:rPr>
        <w:lastRenderedPageBreak/>
        <w:t>in-possession under Subchapter V. However, certain features of Subchapter V, which are not presently contemplated by the Legislation, may be also beneficial for Australian SMEs and perhaps the focus of further legislation—particularly, the ability to reject burdensome contracts and pay administrative expenses over the life of the restructuring plan</w:t>
      </w:r>
      <w:r w:rsidR="00DA4C30">
        <w:rPr>
          <w:rStyle w:val="FootnoteReference"/>
          <w:rFonts w:ascii="Avenir Next" w:hAnsi="Avenir Next" w:cs="Arial"/>
          <w:b w:val="0"/>
          <w:bCs w:val="0"/>
          <w:color w:val="808080" w:themeColor="background1" w:themeShade="80"/>
          <w:sz w:val="22"/>
          <w:szCs w:val="22"/>
          <w:lang w:val="en-GB" w:eastAsia="en-US"/>
        </w:rPr>
        <w:footnoteReference w:id="14"/>
      </w:r>
      <w:r w:rsidR="00DA4C30" w:rsidRPr="00DA4C30">
        <w:rPr>
          <w:rFonts w:ascii="Avenir Next" w:hAnsi="Avenir Next" w:cs="Arial"/>
          <w:b w:val="0"/>
          <w:bCs w:val="0"/>
          <w:color w:val="808080" w:themeColor="background1" w:themeShade="80"/>
          <w:sz w:val="22"/>
          <w:szCs w:val="22"/>
          <w:lang w:val="en-GB" w:eastAsia="en-US"/>
        </w:rPr>
        <w:t>.</w:t>
      </w:r>
      <w:r w:rsidR="00DA4C30">
        <w:rPr>
          <w:rFonts w:ascii="Avenir Next" w:hAnsi="Avenir Next" w:cs="Arial"/>
          <w:b w:val="0"/>
          <w:bCs w:val="0"/>
          <w:color w:val="808080" w:themeColor="background1" w:themeShade="80"/>
          <w:sz w:val="22"/>
          <w:szCs w:val="22"/>
          <w:lang w:val="en-GB" w:eastAsia="en-US"/>
        </w:rPr>
        <w:t xml:space="preserve"> Even under the creditors’ scheme of arrangement, </w:t>
      </w:r>
      <w:r w:rsidR="00B72824">
        <w:rPr>
          <w:rFonts w:ascii="Avenir Next" w:hAnsi="Avenir Next" w:cs="Arial"/>
          <w:b w:val="0"/>
          <w:bCs w:val="0"/>
          <w:color w:val="808080" w:themeColor="background1" w:themeShade="80"/>
          <w:sz w:val="22"/>
          <w:szCs w:val="22"/>
          <w:lang w:val="en-GB" w:eastAsia="en-US"/>
        </w:rPr>
        <w:t>the lack of much creditor involvement is made up by the extent of court involvement</w:t>
      </w:r>
      <w:r w:rsidR="008114F7">
        <w:rPr>
          <w:rFonts w:ascii="Avenir Next" w:hAnsi="Avenir Next" w:cs="Arial"/>
          <w:b w:val="0"/>
          <w:bCs w:val="0"/>
          <w:color w:val="808080" w:themeColor="background1" w:themeShade="80"/>
          <w:sz w:val="22"/>
          <w:szCs w:val="22"/>
          <w:lang w:val="en-GB" w:eastAsia="en-US"/>
        </w:rPr>
        <w:t xml:space="preserve">, which makes the process expensive and cumbersome. Hence, while Australia, is on the way to fully appreciate the benefits of a </w:t>
      </w:r>
      <w:r w:rsidR="00957261">
        <w:rPr>
          <w:rFonts w:ascii="Avenir Next" w:hAnsi="Avenir Next" w:cs="Arial"/>
          <w:b w:val="0"/>
          <w:bCs w:val="0"/>
          <w:color w:val="808080" w:themeColor="background1" w:themeShade="80"/>
          <w:sz w:val="22"/>
          <w:szCs w:val="22"/>
          <w:lang w:val="en-GB" w:eastAsia="en-US"/>
        </w:rPr>
        <w:t xml:space="preserve">debtor-in-possession regime, or a debtor-friendly regime, its still a long way off compared to other more pro-business jurisdictions. </w:t>
      </w: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Pty Ltd (</w:t>
      </w:r>
      <w:r w:rsidRPr="00B2234F">
        <w:rPr>
          <w:rFonts w:ascii="Avenir Next" w:hAnsi="Avenir Next" w:cs="Arial"/>
          <w:bCs/>
          <w:sz w:val="22"/>
          <w:szCs w:val="22"/>
          <w:lang w:val="en-GB"/>
        </w:rPr>
        <w:t>Aussiebee</w:t>
      </w:r>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wholly-owned subsidiary of Aussiebee. </w:t>
      </w:r>
    </w:p>
    <w:p w14:paraId="3DCCC8B4" w14:textId="77777777" w:rsidR="00E14FED" w:rsidRPr="007F2CCB" w:rsidRDefault="00E14FED" w:rsidP="00E14FED">
      <w:pPr>
        <w:jc w:val="both"/>
        <w:rPr>
          <w:rFonts w:ascii="Avenir Next" w:hAnsi="Avenir Next" w:cs="Arial"/>
          <w:sz w:val="22"/>
          <w:szCs w:val="22"/>
          <w:lang w:val="en-IN"/>
        </w:rPr>
      </w:pPr>
    </w:p>
    <w:p w14:paraId="743C63D9" w14:textId="42844776"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Aussiebee has offices in both Sydney and in Lyonesse. </w:t>
      </w:r>
      <w:r w:rsidR="00F477C9" w:rsidRPr="00B2234F">
        <w:rPr>
          <w:rFonts w:ascii="Avenir Next" w:hAnsi="Avenir Next" w:cs="Arial"/>
          <w:sz w:val="22"/>
          <w:szCs w:val="22"/>
          <w:lang w:val="en-GB"/>
        </w:rPr>
        <w:t xml:space="preserve">Its warehouses are only in Sydney. </w:t>
      </w:r>
      <w:r w:rsidRPr="00B2234F">
        <w:rPr>
          <w:rFonts w:ascii="Avenir Next" w:hAnsi="Avenir Next" w:cs="Arial"/>
          <w:sz w:val="22"/>
          <w:szCs w:val="22"/>
          <w:lang w:val="en-GB"/>
        </w:rPr>
        <w:t>Aussiebee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 and NewYums share a board of directors, made up of six Australians and one Lyonessian. 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20 in Sydney and 20 in Lyonesse. Aussiebee’s CEO is an Australian, but resident in Lyonesse. Aussiebee’s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is insolvent. NewYums,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 liquidator has been appointed to Aussiebee in Lyonesse. She applies to the Federal Court of Australia for recognition of the Lyonessian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and for orders entrusting Aussiebee’s assets (including Aussiebee’s shares in NewYums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20 million) to her, so that she can realise them for the benefit of creditors in the Lyonessian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65F5F5B0" w14:textId="6CBB9CBE" w:rsidR="00E14FED" w:rsidRDefault="00C36484" w:rsidP="002476AF">
      <w:pPr>
        <w:jc w:val="both"/>
        <w:rPr>
          <w:rFonts w:ascii="Avenir Next" w:hAnsi="Avenir Next" w:cs="Arial"/>
          <w:color w:val="808080" w:themeColor="background1" w:themeShade="80"/>
          <w:sz w:val="22"/>
          <w:szCs w:val="22"/>
          <w:lang w:val="en-GB"/>
        </w:rPr>
      </w:pPr>
      <w:r w:rsidRPr="004F4814">
        <w:rPr>
          <w:rFonts w:ascii="Avenir Next" w:hAnsi="Avenir Next" w:cs="Arial"/>
          <w:color w:val="808080" w:themeColor="background1" w:themeShade="80"/>
          <w:sz w:val="22"/>
          <w:szCs w:val="22"/>
          <w:lang w:val="en-GB"/>
        </w:rPr>
        <w:t xml:space="preserve">The following steps should be taken by the </w:t>
      </w:r>
      <w:r w:rsidR="005A0436">
        <w:rPr>
          <w:rFonts w:ascii="Avenir Next" w:hAnsi="Avenir Next" w:cs="Arial"/>
          <w:color w:val="808080" w:themeColor="background1" w:themeShade="80"/>
          <w:sz w:val="22"/>
          <w:szCs w:val="22"/>
          <w:lang w:val="en-GB"/>
        </w:rPr>
        <w:t>AT</w:t>
      </w:r>
      <w:r w:rsidRPr="004F4814">
        <w:rPr>
          <w:rFonts w:ascii="Avenir Next" w:hAnsi="Avenir Next" w:cs="Arial"/>
          <w:color w:val="808080" w:themeColor="background1" w:themeShade="80"/>
          <w:sz w:val="22"/>
          <w:szCs w:val="22"/>
          <w:lang w:val="en-GB"/>
        </w:rPr>
        <w:t>O to protect and improve its position:</w:t>
      </w:r>
    </w:p>
    <w:p w14:paraId="34858933" w14:textId="77777777" w:rsidR="00810785" w:rsidRDefault="00810785" w:rsidP="002476AF">
      <w:pPr>
        <w:jc w:val="both"/>
        <w:rPr>
          <w:rFonts w:ascii="Avenir Next" w:hAnsi="Avenir Next" w:cs="Arial"/>
          <w:color w:val="808080" w:themeColor="background1" w:themeShade="80"/>
          <w:sz w:val="22"/>
          <w:szCs w:val="22"/>
          <w:lang w:val="en-GB"/>
        </w:rPr>
      </w:pPr>
    </w:p>
    <w:p w14:paraId="4960262F" w14:textId="134226F3" w:rsidR="004F4814" w:rsidRDefault="000C57EC" w:rsidP="004F481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ATO should file an interlocutory application in the recognition proceedings filed by the foreign representative, with reliefs that make </w:t>
      </w:r>
      <w:r w:rsidR="005A0436">
        <w:rPr>
          <w:rFonts w:ascii="Avenir Next" w:hAnsi="Avenir Next" w:cs="Arial"/>
          <w:color w:val="808080" w:themeColor="background1" w:themeShade="80"/>
          <w:sz w:val="22"/>
          <w:szCs w:val="22"/>
          <w:lang w:val="en-GB"/>
        </w:rPr>
        <w:t>the recognition application</w:t>
      </w:r>
      <w:r w:rsidR="00610DE5">
        <w:rPr>
          <w:rFonts w:ascii="Avenir Next" w:hAnsi="Avenir Next" w:cs="Arial"/>
          <w:color w:val="808080" w:themeColor="background1" w:themeShade="80"/>
          <w:sz w:val="22"/>
          <w:szCs w:val="22"/>
          <w:lang w:val="en-GB"/>
        </w:rPr>
        <w:t xml:space="preserve"> </w:t>
      </w:r>
      <w:r w:rsidR="00460EE9">
        <w:rPr>
          <w:rFonts w:ascii="Avenir Next" w:hAnsi="Avenir Next" w:cs="Arial"/>
          <w:color w:val="808080" w:themeColor="background1" w:themeShade="80"/>
          <w:sz w:val="22"/>
          <w:szCs w:val="22"/>
          <w:lang w:val="en-GB"/>
        </w:rPr>
        <w:t>subject</w:t>
      </w:r>
      <w:r w:rsidR="00610DE5">
        <w:rPr>
          <w:rFonts w:ascii="Avenir Next" w:hAnsi="Avenir Next" w:cs="Arial"/>
          <w:color w:val="808080" w:themeColor="background1" w:themeShade="80"/>
          <w:sz w:val="22"/>
          <w:szCs w:val="22"/>
          <w:lang w:val="en-GB"/>
        </w:rPr>
        <w:t xml:space="preserve"> </w:t>
      </w:r>
      <w:r w:rsidR="008E2F6E">
        <w:rPr>
          <w:rFonts w:ascii="Avenir Next" w:hAnsi="Avenir Next" w:cs="Arial"/>
          <w:color w:val="808080" w:themeColor="background1" w:themeShade="80"/>
          <w:sz w:val="22"/>
          <w:szCs w:val="22"/>
          <w:lang w:val="en-GB"/>
        </w:rPr>
        <w:t xml:space="preserve">to </w:t>
      </w:r>
      <w:r w:rsidR="00610DE5">
        <w:rPr>
          <w:rFonts w:ascii="Avenir Next" w:hAnsi="Avenir Next" w:cs="Arial"/>
          <w:color w:val="808080" w:themeColor="background1" w:themeShade="80"/>
          <w:sz w:val="22"/>
          <w:szCs w:val="22"/>
          <w:lang w:val="en-GB"/>
        </w:rPr>
        <w:t>and conditional</w:t>
      </w:r>
      <w:r w:rsidR="008E2F6E">
        <w:rPr>
          <w:rFonts w:ascii="Avenir Next" w:hAnsi="Avenir Next" w:cs="Arial"/>
          <w:color w:val="808080" w:themeColor="background1" w:themeShade="80"/>
          <w:sz w:val="22"/>
          <w:szCs w:val="22"/>
          <w:lang w:val="en-GB"/>
        </w:rPr>
        <w:t xml:space="preserve"> on notice to the ATO, before the foreign representative deals with the assets of the </w:t>
      </w:r>
      <w:r w:rsidR="005F3299">
        <w:rPr>
          <w:rFonts w:ascii="Avenir Next" w:hAnsi="Avenir Next" w:cs="Arial"/>
          <w:color w:val="808080" w:themeColor="background1" w:themeShade="80"/>
          <w:sz w:val="22"/>
          <w:szCs w:val="22"/>
          <w:lang w:val="en-GB"/>
        </w:rPr>
        <w:t>Aussiebee located in Australia.</w:t>
      </w:r>
    </w:p>
    <w:p w14:paraId="61517377" w14:textId="2DACD979" w:rsidR="005F3299" w:rsidRDefault="005F3299" w:rsidP="004F481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intention of the foreign representative, as clear from the </w:t>
      </w:r>
      <w:r w:rsidR="000E2311">
        <w:rPr>
          <w:rFonts w:ascii="Avenir Next" w:hAnsi="Avenir Next" w:cs="Arial"/>
          <w:color w:val="808080" w:themeColor="background1" w:themeShade="80"/>
          <w:sz w:val="22"/>
          <w:szCs w:val="22"/>
          <w:lang w:val="en-GB"/>
        </w:rPr>
        <w:t xml:space="preserve">factset, is to </w:t>
      </w:r>
      <w:r w:rsidR="00BA416A">
        <w:rPr>
          <w:rFonts w:ascii="Avenir Next" w:hAnsi="Avenir Next" w:cs="Arial"/>
          <w:color w:val="808080" w:themeColor="background1" w:themeShade="80"/>
          <w:sz w:val="22"/>
          <w:szCs w:val="22"/>
          <w:lang w:val="en-GB"/>
        </w:rPr>
        <w:t>take possession and control of all of Aussiebees’s assets located in Australia for the benefit of th</w:t>
      </w:r>
      <w:r w:rsidR="006B5EF9">
        <w:rPr>
          <w:rFonts w:ascii="Avenir Next" w:hAnsi="Avenir Next" w:cs="Arial"/>
          <w:color w:val="808080" w:themeColor="background1" w:themeShade="80"/>
          <w:sz w:val="22"/>
          <w:szCs w:val="22"/>
          <w:lang w:val="en-GB"/>
        </w:rPr>
        <w:t xml:space="preserve">e Lyonessian creditors, its important to bear in mind </w:t>
      </w:r>
      <w:r w:rsidR="00810785">
        <w:rPr>
          <w:rFonts w:ascii="Avenir Next" w:hAnsi="Avenir Next" w:cs="Arial"/>
          <w:color w:val="808080" w:themeColor="background1" w:themeShade="80"/>
          <w:sz w:val="22"/>
          <w:szCs w:val="22"/>
          <w:lang w:val="en-GB"/>
        </w:rPr>
        <w:t>the ration of</w:t>
      </w:r>
      <w:r w:rsidR="006B5EF9">
        <w:rPr>
          <w:rFonts w:ascii="Avenir Next" w:hAnsi="Avenir Next" w:cs="Arial"/>
          <w:color w:val="808080" w:themeColor="background1" w:themeShade="80"/>
          <w:sz w:val="22"/>
          <w:szCs w:val="22"/>
          <w:lang w:val="en-GB"/>
        </w:rPr>
        <w:t xml:space="preserve"> </w:t>
      </w:r>
      <w:r w:rsidR="006B5EF9" w:rsidRPr="00982D92">
        <w:rPr>
          <w:rFonts w:ascii="Avenir Next" w:hAnsi="Avenir Next" w:cs="Arial"/>
          <w:i/>
          <w:iCs/>
          <w:color w:val="808080" w:themeColor="background1" w:themeShade="80"/>
          <w:sz w:val="22"/>
          <w:szCs w:val="22"/>
          <w:lang w:val="en-GB"/>
        </w:rPr>
        <w:t xml:space="preserve">Ackers v Deputy Commissioner of </w:t>
      </w:r>
      <w:r w:rsidR="006B5EF9" w:rsidRPr="00982D92">
        <w:rPr>
          <w:rFonts w:ascii="Avenir Next" w:hAnsi="Avenir Next" w:cs="Arial"/>
          <w:i/>
          <w:iCs/>
          <w:color w:val="808080" w:themeColor="background1" w:themeShade="80"/>
          <w:sz w:val="22"/>
          <w:szCs w:val="22"/>
          <w:lang w:val="en-GB"/>
        </w:rPr>
        <w:lastRenderedPageBreak/>
        <w:t>Taxation</w:t>
      </w:r>
      <w:r w:rsidR="00982D92">
        <w:rPr>
          <w:rStyle w:val="FootnoteReference"/>
          <w:rFonts w:ascii="Avenir Next" w:hAnsi="Avenir Next" w:cs="Arial"/>
          <w:i/>
          <w:iCs/>
          <w:color w:val="808080" w:themeColor="background1" w:themeShade="80"/>
          <w:sz w:val="22"/>
          <w:szCs w:val="22"/>
          <w:lang w:val="en-GB"/>
        </w:rPr>
        <w:footnoteReference w:id="15"/>
      </w:r>
      <w:r w:rsidR="002535BA">
        <w:rPr>
          <w:rFonts w:ascii="Avenir Next" w:hAnsi="Avenir Next" w:cs="Arial"/>
          <w:color w:val="808080" w:themeColor="background1" w:themeShade="80"/>
          <w:sz w:val="22"/>
          <w:szCs w:val="22"/>
          <w:lang w:val="en-GB"/>
        </w:rPr>
        <w:t>,</w:t>
      </w:r>
      <w:r w:rsidR="00460EE9">
        <w:rPr>
          <w:rFonts w:ascii="Avenir Next" w:hAnsi="Avenir Next" w:cs="Arial"/>
          <w:color w:val="808080" w:themeColor="background1" w:themeShade="80"/>
          <w:sz w:val="22"/>
          <w:szCs w:val="22"/>
          <w:lang w:val="en-GB"/>
        </w:rPr>
        <w:t xml:space="preserve"> “</w:t>
      </w:r>
      <w:r w:rsidR="00460EE9" w:rsidRPr="00460EE9">
        <w:rPr>
          <w:rFonts w:ascii="Avenir Next" w:hAnsi="Avenir Next" w:cs="Arial"/>
          <w:color w:val="808080" w:themeColor="background1" w:themeShade="80"/>
          <w:sz w:val="22"/>
          <w:szCs w:val="22"/>
          <w:lang w:val="en-GB"/>
        </w:rPr>
        <w:t>When granting or modifying relief under the Model Law, the Court must ensure that the interest of local creditors are protected</w:t>
      </w:r>
      <w:r w:rsidR="003C4EC7">
        <w:rPr>
          <w:rStyle w:val="FootnoteReference"/>
          <w:rFonts w:ascii="Avenir Next" w:hAnsi="Avenir Next" w:cs="Arial"/>
          <w:color w:val="808080" w:themeColor="background1" w:themeShade="80"/>
          <w:sz w:val="22"/>
          <w:szCs w:val="22"/>
          <w:lang w:val="en-GB"/>
        </w:rPr>
        <w:footnoteReference w:id="16"/>
      </w:r>
      <w:r w:rsidR="00460EE9" w:rsidRPr="00460EE9">
        <w:rPr>
          <w:rFonts w:ascii="Avenir Next" w:hAnsi="Avenir Next" w:cs="Arial"/>
          <w:color w:val="808080" w:themeColor="background1" w:themeShade="80"/>
          <w:sz w:val="22"/>
          <w:szCs w:val="22"/>
          <w:lang w:val="en-GB"/>
        </w:rPr>
        <w:t>”</w:t>
      </w:r>
      <w:r w:rsidR="00B40074">
        <w:rPr>
          <w:rFonts w:ascii="Avenir Next" w:hAnsi="Avenir Next" w:cs="Arial"/>
          <w:color w:val="808080" w:themeColor="background1" w:themeShade="80"/>
          <w:sz w:val="22"/>
          <w:szCs w:val="22"/>
          <w:lang w:val="en-GB"/>
        </w:rPr>
        <w:t xml:space="preserve">. </w:t>
      </w:r>
    </w:p>
    <w:p w14:paraId="5307C4DF" w14:textId="55FD0552" w:rsidR="00B40074" w:rsidRPr="008713CB" w:rsidRDefault="00B40074" w:rsidP="004F481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was further held in the above matter that,</w:t>
      </w:r>
      <w:r w:rsidR="002B1720">
        <w:rPr>
          <w:rFonts w:ascii="Avenir Next" w:hAnsi="Avenir Next" w:cs="Arial"/>
          <w:color w:val="808080" w:themeColor="background1" w:themeShade="80"/>
          <w:sz w:val="22"/>
          <w:szCs w:val="22"/>
          <w:lang w:val="en-GB"/>
        </w:rPr>
        <w:t xml:space="preserve"> “</w:t>
      </w:r>
      <w:r w:rsidR="002B1720" w:rsidRPr="002B1720">
        <w:rPr>
          <w:rFonts w:ascii="Avenir Next" w:hAnsi="Avenir Next" w:cs="Arial"/>
          <w:i/>
          <w:iCs/>
          <w:color w:val="808080" w:themeColor="background1" w:themeShade="80"/>
          <w:sz w:val="22"/>
          <w:szCs w:val="22"/>
          <w:lang w:val="en-GB"/>
        </w:rPr>
        <w:t>Australian Courts have the power to make orders under the Model Law to protect the Commissioner's ability to recover revenue liabilities from assets located in Australia in circumstances where the revenue liability would not be admitted in a foreign liquidation.</w:t>
      </w:r>
      <w:r w:rsidR="002B1720" w:rsidRPr="002B1720">
        <w:rPr>
          <w:rFonts w:ascii="Avenir Next" w:hAnsi="Avenir Next" w:cs="Arial"/>
          <w:i/>
          <w:iCs/>
          <w:color w:val="808080" w:themeColor="background1" w:themeShade="80"/>
          <w:sz w:val="22"/>
          <w:szCs w:val="22"/>
          <w:lang w:val="en-GB"/>
        </w:rPr>
        <w:t>”</w:t>
      </w:r>
    </w:p>
    <w:p w14:paraId="3CF44A9A" w14:textId="6B970858" w:rsidR="008713CB" w:rsidRPr="004F4814" w:rsidRDefault="008713CB" w:rsidP="004F4814">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ATO hence on the basis of the </w:t>
      </w:r>
      <w:r w:rsidR="00741C36">
        <w:rPr>
          <w:rFonts w:ascii="Avenir Next" w:hAnsi="Avenir Next" w:cs="Arial"/>
          <w:color w:val="808080" w:themeColor="background1" w:themeShade="80"/>
          <w:sz w:val="22"/>
          <w:szCs w:val="22"/>
          <w:lang w:val="en-GB"/>
        </w:rPr>
        <w:t xml:space="preserve">judgement, very well claim to be held pari passu from the proceeds of the Australian assets, as </w:t>
      </w:r>
      <w:r w:rsidR="00D645DB">
        <w:rPr>
          <w:rFonts w:ascii="Avenir Next" w:hAnsi="Avenir Next" w:cs="Arial"/>
          <w:color w:val="808080" w:themeColor="background1" w:themeShade="80"/>
          <w:sz w:val="22"/>
          <w:szCs w:val="22"/>
          <w:lang w:val="en-GB"/>
        </w:rPr>
        <w:t>its claim cannot be enforced in Lyonesse nor can the claims of the foreign creditors b</w:t>
      </w:r>
      <w:r w:rsidR="00C00277">
        <w:rPr>
          <w:rFonts w:ascii="Avenir Next" w:hAnsi="Avenir Next" w:cs="Arial"/>
          <w:color w:val="808080" w:themeColor="background1" w:themeShade="80"/>
          <w:sz w:val="22"/>
          <w:szCs w:val="22"/>
          <w:lang w:val="en-GB"/>
        </w:rPr>
        <w:t xml:space="preserve">e </w:t>
      </w:r>
      <w:r w:rsidR="00D645DB">
        <w:rPr>
          <w:rFonts w:ascii="Avenir Next" w:hAnsi="Avenir Next" w:cs="Arial"/>
          <w:color w:val="808080" w:themeColor="background1" w:themeShade="80"/>
          <w:sz w:val="22"/>
          <w:szCs w:val="22"/>
          <w:lang w:val="en-GB"/>
        </w:rPr>
        <w:t>made good from the Australian assets of Aussiebees.</w:t>
      </w:r>
    </w:p>
    <w:p w14:paraId="39FAE43D" w14:textId="77777777" w:rsidR="004F4814" w:rsidRPr="004F4814" w:rsidRDefault="004F4814" w:rsidP="004F4814">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r w:rsidRPr="00B2234F">
        <w:rPr>
          <w:rFonts w:ascii="Avenir Next" w:hAnsi="Avenir Next" w:cs="Arial"/>
          <w:sz w:val="22"/>
          <w:szCs w:val="22"/>
          <w:lang w:val="en-GB"/>
        </w:rPr>
        <w:t>Hy</w:t>
      </w:r>
      <w:r w:rsidR="00E409FC" w:rsidRPr="00B2234F">
        <w:rPr>
          <w:rFonts w:ascii="Avenir Next" w:hAnsi="Avenir Next" w:cs="Arial"/>
          <w:sz w:val="22"/>
          <w:szCs w:val="22"/>
          <w:lang w:val="en-GB"/>
        </w:rPr>
        <w:t xml:space="preserve">rofine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r w:rsidR="00533704" w:rsidRPr="00B2234F">
        <w:rPr>
          <w:rFonts w:ascii="Avenir Next" w:hAnsi="Avenir Next" w:cs="Arial"/>
          <w:sz w:val="22"/>
          <w:szCs w:val="22"/>
          <w:lang w:val="en-GB"/>
        </w:rPr>
        <w:t xml:space="preserve">All of the shares in HA are owned by HA’s parent company, Hyrofine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directors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r w:rsidR="00FC7249" w:rsidRPr="00B2234F">
        <w:rPr>
          <w:rFonts w:ascii="Avenir Next" w:hAnsi="Avenir Next" w:cs="Arial"/>
          <w:sz w:val="22"/>
          <w:szCs w:val="22"/>
          <w:lang w:val="en-GB"/>
        </w:rPr>
        <w:t>unprofitable</w:t>
      </w:r>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w:t>
      </w:r>
      <w:r w:rsidR="00FA0CE9" w:rsidRPr="00AD1D36">
        <w:rPr>
          <w:rFonts w:ascii="Avenir Next" w:hAnsi="Avenir Next" w:cs="Arial"/>
          <w:sz w:val="22"/>
          <w:szCs w:val="22"/>
          <w:lang w:val="en-GB"/>
        </w:rPr>
        <w:t xml:space="preserve">by a </w:t>
      </w:r>
      <w:r w:rsidR="002A2C11" w:rsidRPr="00AD1D36">
        <w:rPr>
          <w:rFonts w:ascii="Avenir Next" w:hAnsi="Avenir Next" w:cs="Arial"/>
          <w:sz w:val="22"/>
          <w:szCs w:val="22"/>
          <w:lang w:val="en-GB"/>
        </w:rPr>
        <w:t xml:space="preserve">major shareholder of </w:t>
      </w:r>
      <w:r w:rsidR="00BC5A60" w:rsidRPr="00AD1D36">
        <w:rPr>
          <w:rFonts w:ascii="Avenir Next" w:hAnsi="Avenir Next" w:cs="Arial"/>
          <w:sz w:val="22"/>
          <w:szCs w:val="22"/>
          <w:lang w:val="en-GB"/>
        </w:rPr>
        <w:t>HGL</w:t>
      </w:r>
      <w:r w:rsidR="00FA0CE9" w:rsidRPr="00AD1D36">
        <w:rPr>
          <w:rFonts w:ascii="Avenir Next" w:hAnsi="Avenir Next" w:cs="Arial"/>
          <w:sz w:val="22"/>
          <w:szCs w:val="22"/>
          <w:lang w:val="en-GB"/>
        </w:rPr>
        <w:t xml:space="preserve"> as an unsecured loan for </w:t>
      </w:r>
      <w:r w:rsidR="001316B3" w:rsidRPr="00AD1D36">
        <w:rPr>
          <w:rFonts w:ascii="Avenir Next" w:hAnsi="Avenir Next" w:cs="Arial"/>
          <w:sz w:val="22"/>
          <w:szCs w:val="22"/>
          <w:lang w:val="en-GB"/>
        </w:rPr>
        <w:t xml:space="preserve">AUD </w:t>
      </w:r>
      <w:r w:rsidR="00FA0CE9" w:rsidRPr="00AD1D36">
        <w:rPr>
          <w:rFonts w:ascii="Avenir Next" w:hAnsi="Avenir Next" w:cs="Arial"/>
          <w:sz w:val="22"/>
          <w:szCs w:val="22"/>
          <w:lang w:val="en-GB"/>
        </w:rPr>
        <w:t>30</w:t>
      </w:r>
      <w:r w:rsidR="00867C22" w:rsidRPr="00AD1D36">
        <w:rPr>
          <w:rFonts w:ascii="Avenir Next" w:hAnsi="Avenir Next" w:cs="Arial"/>
          <w:sz w:val="22"/>
          <w:szCs w:val="22"/>
          <w:lang w:val="en-GB"/>
        </w:rPr>
        <w:t> </w:t>
      </w:r>
      <w:r w:rsidR="00FA0CE9" w:rsidRPr="00AD1D36">
        <w:rPr>
          <w:rFonts w:ascii="Avenir Next" w:hAnsi="Avenir Next" w:cs="Arial"/>
          <w:sz w:val="22"/>
          <w:szCs w:val="22"/>
          <w:lang w:val="en-GB"/>
        </w:rPr>
        <w:t>million</w:t>
      </w:r>
      <w:r w:rsidR="00FA0CE9" w:rsidRPr="00B2234F">
        <w:rPr>
          <w:rFonts w:ascii="Avenir Next" w:hAnsi="Avenir Next" w:cs="Arial"/>
          <w:sz w:val="22"/>
          <w:szCs w:val="22"/>
          <w:lang w:val="en-GB"/>
        </w:rPr>
        <w:t>.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r w:rsidR="00FA0CE9" w:rsidRPr="00B2234F">
        <w:rPr>
          <w:rFonts w:ascii="Avenir Next" w:hAnsi="Avenir Next" w:cs="Arial"/>
          <w:sz w:val="22"/>
          <w:szCs w:val="22"/>
          <w:lang w:val="en-GB"/>
        </w:rPr>
        <w:t>enters into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a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w:t>
      </w:r>
      <w:r w:rsidR="00627A10" w:rsidRPr="00B2234F">
        <w:rPr>
          <w:rFonts w:ascii="Avenir Next" w:hAnsi="Avenir Next" w:cs="Arial"/>
          <w:sz w:val="22"/>
          <w:szCs w:val="22"/>
          <w:lang w:val="en-GB"/>
        </w:rPr>
        <w:lastRenderedPageBreak/>
        <w:t xml:space="preserve">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in </w:t>
      </w:r>
      <w:r w:rsidR="00FC7249" w:rsidRPr="00B2234F">
        <w:rPr>
          <w:rFonts w:ascii="Avenir Next" w:hAnsi="Avenir Next" w:cs="Arial"/>
          <w:sz w:val="22"/>
          <w:szCs w:val="22"/>
          <w:lang w:val="en-GB"/>
        </w:rPr>
        <w:t>light of the facts set out above?</w:t>
      </w:r>
    </w:p>
    <w:p w14:paraId="0B429D70" w14:textId="159E8D2F" w:rsidR="008420F8" w:rsidRDefault="008420F8" w:rsidP="00FC7249">
      <w:pPr>
        <w:jc w:val="both"/>
        <w:rPr>
          <w:rFonts w:ascii="Avenir Next" w:hAnsi="Avenir Next" w:cs="Arial"/>
          <w:sz w:val="22"/>
          <w:szCs w:val="22"/>
          <w:lang w:val="en-GB"/>
        </w:rPr>
      </w:pPr>
    </w:p>
    <w:p w14:paraId="7E9B0017" w14:textId="56D70C1D" w:rsidR="008420F8" w:rsidRDefault="00574D41" w:rsidP="00FC72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advice to the Board should be to accept the attractive offer of the competition, for purchase of the second re-refining plant in Perth, due to the following reasons:</w:t>
      </w:r>
    </w:p>
    <w:p w14:paraId="6B60F8E5" w14:textId="77777777" w:rsidR="00810785" w:rsidRDefault="00810785" w:rsidP="00FC7249">
      <w:pPr>
        <w:jc w:val="both"/>
        <w:rPr>
          <w:rFonts w:ascii="Avenir Next" w:hAnsi="Avenir Next" w:cs="Arial"/>
          <w:color w:val="808080" w:themeColor="background1" w:themeShade="80"/>
          <w:sz w:val="22"/>
          <w:szCs w:val="22"/>
          <w:lang w:val="en-GB"/>
        </w:rPr>
      </w:pPr>
    </w:p>
    <w:p w14:paraId="5C237841" w14:textId="75CD928E" w:rsidR="00574D41" w:rsidRPr="00F50531" w:rsidRDefault="00651074" w:rsidP="00574D41">
      <w:pPr>
        <w:pStyle w:val="ListParagraph"/>
        <w:numPr>
          <w:ilvl w:val="0"/>
          <w:numId w:val="34"/>
        </w:numPr>
        <w:jc w:val="both"/>
        <w:rPr>
          <w:rFonts w:ascii="Avenir Next" w:hAnsi="Avenir Next" w:cs="Arial"/>
          <w:color w:val="808080" w:themeColor="background1" w:themeShade="80"/>
          <w:sz w:val="22"/>
          <w:szCs w:val="22"/>
          <w:lang w:val="en-GB"/>
        </w:rPr>
      </w:pPr>
      <w:r w:rsidRPr="00F50531">
        <w:rPr>
          <w:rFonts w:ascii="Avenir Next" w:hAnsi="Avenir Next" w:cs="Arial"/>
          <w:color w:val="808080" w:themeColor="background1" w:themeShade="80"/>
          <w:sz w:val="22"/>
          <w:szCs w:val="22"/>
          <w:lang w:val="en-GB"/>
        </w:rPr>
        <w:t>The unsecured loan</w:t>
      </w:r>
      <w:r w:rsidR="00184DAE" w:rsidRPr="00F50531">
        <w:rPr>
          <w:rFonts w:ascii="Avenir Next" w:hAnsi="Avenir Next" w:cs="Arial"/>
          <w:color w:val="808080" w:themeColor="background1" w:themeShade="80"/>
          <w:sz w:val="22"/>
          <w:szCs w:val="22"/>
          <w:lang w:val="en-GB"/>
        </w:rPr>
        <w:t xml:space="preserve"> of AUD 30 million, which has been provided by the major shareholder of HGL, </w:t>
      </w:r>
      <w:r w:rsidR="00885540" w:rsidRPr="00F50531">
        <w:rPr>
          <w:rFonts w:ascii="Avenir Next" w:hAnsi="Avenir Next" w:cs="Arial"/>
          <w:color w:val="808080" w:themeColor="background1" w:themeShade="80"/>
          <w:sz w:val="22"/>
          <w:szCs w:val="22"/>
          <w:lang w:val="en-GB"/>
        </w:rPr>
        <w:t>which has been the primary financing</w:t>
      </w:r>
      <w:r w:rsidR="00504C42" w:rsidRPr="00F50531">
        <w:rPr>
          <w:rFonts w:ascii="Avenir Next" w:hAnsi="Avenir Next" w:cs="Arial"/>
          <w:color w:val="808080" w:themeColor="background1" w:themeShade="80"/>
          <w:sz w:val="22"/>
          <w:szCs w:val="22"/>
          <w:lang w:val="en-GB"/>
        </w:rPr>
        <w:t xml:space="preserve">, of </w:t>
      </w:r>
      <w:r w:rsidR="00617C9A" w:rsidRPr="00F50531">
        <w:rPr>
          <w:rFonts w:ascii="Avenir Next" w:hAnsi="Avenir Next" w:cs="Arial"/>
          <w:color w:val="808080" w:themeColor="background1" w:themeShade="80"/>
          <w:sz w:val="22"/>
          <w:szCs w:val="22"/>
          <w:lang w:val="en-GB"/>
        </w:rPr>
        <w:t>t</w:t>
      </w:r>
      <w:r w:rsidR="00504C42" w:rsidRPr="00F50531">
        <w:rPr>
          <w:rFonts w:ascii="Avenir Next" w:hAnsi="Avenir Next" w:cs="Arial"/>
          <w:color w:val="808080" w:themeColor="background1" w:themeShade="80"/>
          <w:sz w:val="22"/>
          <w:szCs w:val="22"/>
          <w:lang w:val="en-GB"/>
        </w:rPr>
        <w:t xml:space="preserve">he Perth re-refinement plant, becomes due for first instalment </w:t>
      </w:r>
      <w:r w:rsidR="00617C9A" w:rsidRPr="00F50531">
        <w:rPr>
          <w:rFonts w:ascii="Avenir Next" w:hAnsi="Avenir Next" w:cs="Arial"/>
          <w:color w:val="808080" w:themeColor="background1" w:themeShade="80"/>
          <w:sz w:val="22"/>
          <w:szCs w:val="22"/>
          <w:lang w:val="en-GB"/>
        </w:rPr>
        <w:t xml:space="preserve">at the end of </w:t>
      </w:r>
      <w:r w:rsidR="008B0332" w:rsidRPr="00F50531">
        <w:rPr>
          <w:rFonts w:ascii="Avenir Next" w:hAnsi="Avenir Next" w:cs="Arial"/>
          <w:color w:val="808080" w:themeColor="background1" w:themeShade="80"/>
          <w:sz w:val="22"/>
          <w:szCs w:val="22"/>
          <w:lang w:val="en-GB"/>
        </w:rPr>
        <w:t xml:space="preserve">2021. By the information supplied by the Board </w:t>
      </w:r>
      <w:r w:rsidR="00FA4F1D" w:rsidRPr="00F50531">
        <w:rPr>
          <w:rFonts w:ascii="Avenir Next" w:hAnsi="Avenir Next" w:cs="Arial"/>
          <w:color w:val="808080" w:themeColor="background1" w:themeShade="80"/>
          <w:sz w:val="22"/>
          <w:szCs w:val="22"/>
          <w:lang w:val="en-GB"/>
        </w:rPr>
        <w:t>HA, the company does not have enough liquidity to service this loan;</w:t>
      </w:r>
    </w:p>
    <w:p w14:paraId="3F715783" w14:textId="14636D87" w:rsidR="00FA4F1D" w:rsidRPr="00F50531" w:rsidRDefault="00FA4F1D" w:rsidP="00574D41">
      <w:pPr>
        <w:pStyle w:val="ListParagraph"/>
        <w:numPr>
          <w:ilvl w:val="0"/>
          <w:numId w:val="34"/>
        </w:numPr>
        <w:jc w:val="both"/>
        <w:rPr>
          <w:rFonts w:ascii="Avenir Next" w:hAnsi="Avenir Next" w:cs="Arial"/>
          <w:color w:val="808080" w:themeColor="background1" w:themeShade="80"/>
          <w:sz w:val="22"/>
          <w:szCs w:val="22"/>
          <w:lang w:val="en-GB"/>
        </w:rPr>
      </w:pPr>
      <w:r w:rsidRPr="00F50531">
        <w:rPr>
          <w:rFonts w:ascii="Avenir Next" w:hAnsi="Avenir Next" w:cs="Arial"/>
          <w:color w:val="808080" w:themeColor="background1" w:themeShade="80"/>
          <w:sz w:val="22"/>
          <w:szCs w:val="22"/>
          <w:lang w:val="en-GB"/>
        </w:rPr>
        <w:t xml:space="preserve">In the event, </w:t>
      </w:r>
      <w:r w:rsidR="001F6D41" w:rsidRPr="00F50531">
        <w:rPr>
          <w:rFonts w:ascii="Avenir Next" w:hAnsi="Avenir Next" w:cs="Arial"/>
          <w:color w:val="808080" w:themeColor="background1" w:themeShade="80"/>
          <w:sz w:val="22"/>
          <w:szCs w:val="22"/>
          <w:lang w:val="en-GB"/>
        </w:rPr>
        <w:t>HA does enter into insolvency, then the entire aforementioned unsecured loan is accelerated and becomes due and payable. To make which accelerate payment, of AUD 30 million, HA is not in the capacity of;</w:t>
      </w:r>
    </w:p>
    <w:p w14:paraId="7D5E858D" w14:textId="0DDED3DE" w:rsidR="00D90E04" w:rsidRPr="00F50531" w:rsidRDefault="00D90E04" w:rsidP="00574D41">
      <w:pPr>
        <w:pStyle w:val="ListParagraph"/>
        <w:numPr>
          <w:ilvl w:val="0"/>
          <w:numId w:val="34"/>
        </w:numPr>
        <w:jc w:val="both"/>
        <w:rPr>
          <w:rFonts w:ascii="Avenir Next" w:hAnsi="Avenir Next" w:cs="Arial"/>
          <w:color w:val="808080" w:themeColor="background1" w:themeShade="80"/>
          <w:sz w:val="22"/>
          <w:szCs w:val="22"/>
          <w:lang w:val="en-GB"/>
        </w:rPr>
      </w:pPr>
      <w:r w:rsidRPr="00F50531">
        <w:rPr>
          <w:rFonts w:ascii="Avenir Next" w:hAnsi="Avenir Next" w:cs="Arial"/>
          <w:color w:val="808080" w:themeColor="background1" w:themeShade="80"/>
          <w:sz w:val="22"/>
          <w:szCs w:val="22"/>
          <w:lang w:val="en-GB"/>
        </w:rPr>
        <w:t>Any such acceleration of loan granted by a major shareholder of HGL, can also pose significant threats to HGL, being the parent company.</w:t>
      </w:r>
    </w:p>
    <w:p w14:paraId="180E52CF" w14:textId="726AE6D5" w:rsidR="001F6D41" w:rsidRPr="00F50531" w:rsidRDefault="001F6D41" w:rsidP="00574D41">
      <w:pPr>
        <w:pStyle w:val="ListParagraph"/>
        <w:numPr>
          <w:ilvl w:val="0"/>
          <w:numId w:val="34"/>
        </w:numPr>
        <w:jc w:val="both"/>
        <w:rPr>
          <w:rFonts w:ascii="Avenir Next" w:hAnsi="Avenir Next" w:cs="Arial"/>
          <w:color w:val="808080" w:themeColor="background1" w:themeShade="80"/>
          <w:sz w:val="22"/>
          <w:szCs w:val="22"/>
          <w:lang w:val="en-GB"/>
        </w:rPr>
      </w:pPr>
      <w:r w:rsidRPr="00F50531">
        <w:rPr>
          <w:rFonts w:ascii="Avenir Next" w:hAnsi="Avenir Next" w:cs="Arial"/>
          <w:color w:val="808080" w:themeColor="background1" w:themeShade="80"/>
          <w:sz w:val="22"/>
          <w:szCs w:val="22"/>
          <w:lang w:val="en-GB"/>
        </w:rPr>
        <w:t xml:space="preserve">The </w:t>
      </w:r>
      <w:r w:rsidR="001809A9" w:rsidRPr="00F50531">
        <w:rPr>
          <w:rFonts w:ascii="Avenir Next" w:hAnsi="Avenir Next" w:cs="Arial"/>
          <w:color w:val="808080" w:themeColor="background1" w:themeShade="80"/>
          <w:sz w:val="22"/>
          <w:szCs w:val="22"/>
          <w:lang w:val="en-GB"/>
        </w:rPr>
        <w:t xml:space="preserve">loan on hypothecation taken from CBA is also due for its first </w:t>
      </w:r>
      <w:r w:rsidR="00D90E04" w:rsidRPr="00F50531">
        <w:rPr>
          <w:rFonts w:ascii="Avenir Next" w:hAnsi="Avenir Next" w:cs="Arial"/>
          <w:color w:val="808080" w:themeColor="background1" w:themeShade="80"/>
          <w:sz w:val="22"/>
          <w:szCs w:val="22"/>
          <w:lang w:val="en-GB"/>
        </w:rPr>
        <w:t>instalment</w:t>
      </w:r>
      <w:r w:rsidR="001809A9" w:rsidRPr="00F50531">
        <w:rPr>
          <w:rFonts w:ascii="Avenir Next" w:hAnsi="Avenir Next" w:cs="Arial"/>
          <w:color w:val="808080" w:themeColor="background1" w:themeShade="80"/>
          <w:sz w:val="22"/>
          <w:szCs w:val="22"/>
          <w:lang w:val="en-GB"/>
        </w:rPr>
        <w:t xml:space="preserve"> at the end of 2021</w:t>
      </w:r>
      <w:r w:rsidR="00D90E04" w:rsidRPr="00F50531">
        <w:rPr>
          <w:rFonts w:ascii="Avenir Next" w:hAnsi="Avenir Next" w:cs="Arial"/>
          <w:color w:val="808080" w:themeColor="background1" w:themeShade="80"/>
          <w:sz w:val="22"/>
          <w:szCs w:val="22"/>
          <w:lang w:val="en-GB"/>
        </w:rPr>
        <w:t>. Though as the security is not registered as required, it shall not take priority over the other secured security interest.</w:t>
      </w:r>
    </w:p>
    <w:p w14:paraId="2B32EA83" w14:textId="65EBC1C4" w:rsidR="001C58A4" w:rsidRPr="00F50531" w:rsidRDefault="001C58A4" w:rsidP="00574D41">
      <w:pPr>
        <w:pStyle w:val="ListParagraph"/>
        <w:numPr>
          <w:ilvl w:val="0"/>
          <w:numId w:val="34"/>
        </w:numPr>
        <w:jc w:val="both"/>
        <w:rPr>
          <w:rFonts w:ascii="Avenir Next" w:hAnsi="Avenir Next" w:cs="Arial"/>
          <w:color w:val="808080" w:themeColor="background1" w:themeShade="80"/>
          <w:sz w:val="22"/>
          <w:szCs w:val="22"/>
          <w:lang w:val="en-GB"/>
        </w:rPr>
      </w:pPr>
      <w:r w:rsidRPr="00F50531">
        <w:rPr>
          <w:rFonts w:ascii="Avenir Next" w:hAnsi="Avenir Next" w:cs="Arial"/>
          <w:color w:val="808080" w:themeColor="background1" w:themeShade="80"/>
          <w:sz w:val="22"/>
          <w:szCs w:val="22"/>
          <w:lang w:val="en-GB"/>
        </w:rPr>
        <w:t xml:space="preserve">Given the amount of related party (inter company loans) that HA has taken, the same will all fall under scrutiny as voidable transactions and the chances of a clawback of the same are high. </w:t>
      </w:r>
    </w:p>
    <w:p w14:paraId="51BD46CB" w14:textId="603713A2" w:rsidR="001C58A4" w:rsidRPr="00F50531" w:rsidRDefault="001C58A4" w:rsidP="00574D41">
      <w:pPr>
        <w:pStyle w:val="ListParagraph"/>
        <w:numPr>
          <w:ilvl w:val="0"/>
          <w:numId w:val="34"/>
        </w:numPr>
        <w:jc w:val="both"/>
        <w:rPr>
          <w:rFonts w:ascii="Avenir Next" w:hAnsi="Avenir Next" w:cs="Arial"/>
          <w:color w:val="808080" w:themeColor="background1" w:themeShade="80"/>
          <w:sz w:val="22"/>
          <w:szCs w:val="22"/>
          <w:lang w:val="en-GB"/>
        </w:rPr>
      </w:pPr>
      <w:r w:rsidRPr="00F50531">
        <w:rPr>
          <w:rFonts w:ascii="Avenir Next" w:hAnsi="Avenir Next" w:cs="Arial"/>
          <w:color w:val="808080" w:themeColor="background1" w:themeShade="80"/>
          <w:sz w:val="22"/>
          <w:szCs w:val="22"/>
          <w:lang w:val="en-GB"/>
        </w:rPr>
        <w:t xml:space="preserve">HA has already faced a significant blow to its reputation, </w:t>
      </w:r>
      <w:r w:rsidR="00F469BB" w:rsidRPr="00F50531">
        <w:rPr>
          <w:rFonts w:ascii="Avenir Next" w:hAnsi="Avenir Next" w:cs="Arial"/>
          <w:color w:val="808080" w:themeColor="background1" w:themeShade="80"/>
          <w:sz w:val="22"/>
          <w:szCs w:val="22"/>
          <w:lang w:val="en-GB"/>
        </w:rPr>
        <w:t xml:space="preserve">given the defeat in the lawsuit. Any </w:t>
      </w:r>
      <w:r w:rsidR="00613B5D" w:rsidRPr="00F50531">
        <w:rPr>
          <w:rFonts w:ascii="Avenir Next" w:hAnsi="Avenir Next" w:cs="Arial"/>
          <w:color w:val="808080" w:themeColor="background1" w:themeShade="80"/>
          <w:sz w:val="22"/>
          <w:szCs w:val="22"/>
          <w:lang w:val="en-GB"/>
        </w:rPr>
        <w:t>defect in payment of damages can cause contempt, which should be avoided at all costs.</w:t>
      </w:r>
    </w:p>
    <w:p w14:paraId="16FC271D" w14:textId="4B8D44E9" w:rsidR="00F469BB" w:rsidRPr="00F50531" w:rsidRDefault="00F469BB" w:rsidP="00574D41">
      <w:pPr>
        <w:pStyle w:val="ListParagraph"/>
        <w:numPr>
          <w:ilvl w:val="0"/>
          <w:numId w:val="34"/>
        </w:numPr>
        <w:jc w:val="both"/>
        <w:rPr>
          <w:rFonts w:ascii="Avenir Next" w:hAnsi="Avenir Next" w:cs="Arial"/>
          <w:color w:val="808080" w:themeColor="background1" w:themeShade="80"/>
          <w:sz w:val="22"/>
          <w:szCs w:val="22"/>
          <w:lang w:val="en-GB"/>
        </w:rPr>
      </w:pPr>
      <w:r w:rsidRPr="00F50531">
        <w:rPr>
          <w:rFonts w:ascii="Avenir Next" w:hAnsi="Avenir Next" w:cs="Arial"/>
          <w:color w:val="808080" w:themeColor="background1" w:themeShade="80"/>
          <w:sz w:val="22"/>
          <w:szCs w:val="22"/>
          <w:lang w:val="en-GB"/>
        </w:rPr>
        <w:t>Further, no more avenues of refinancing are available.</w:t>
      </w:r>
    </w:p>
    <w:p w14:paraId="6EC95B06" w14:textId="347772E8" w:rsidR="00F469BB" w:rsidRDefault="00F469BB" w:rsidP="00574D41">
      <w:pPr>
        <w:pStyle w:val="ListParagraph"/>
        <w:numPr>
          <w:ilvl w:val="0"/>
          <w:numId w:val="34"/>
        </w:numPr>
        <w:jc w:val="both"/>
        <w:rPr>
          <w:rFonts w:ascii="Avenir Next" w:hAnsi="Avenir Next" w:cs="Arial"/>
          <w:color w:val="808080" w:themeColor="background1" w:themeShade="80"/>
          <w:sz w:val="22"/>
          <w:szCs w:val="22"/>
          <w:lang w:val="en-GB"/>
        </w:rPr>
      </w:pPr>
      <w:r w:rsidRPr="00F50531">
        <w:rPr>
          <w:rFonts w:ascii="Avenir Next" w:hAnsi="Avenir Next" w:cs="Arial"/>
          <w:color w:val="808080" w:themeColor="background1" w:themeShade="80"/>
          <w:sz w:val="22"/>
          <w:szCs w:val="22"/>
          <w:lang w:val="en-GB"/>
        </w:rPr>
        <w:t>The second pant has only made marginal profits</w:t>
      </w:r>
      <w:r w:rsidR="00613B5D" w:rsidRPr="00F50531">
        <w:rPr>
          <w:rFonts w:ascii="Avenir Next" w:hAnsi="Avenir Next" w:cs="Arial"/>
          <w:color w:val="808080" w:themeColor="background1" w:themeShade="80"/>
          <w:sz w:val="22"/>
          <w:szCs w:val="22"/>
          <w:lang w:val="en-GB"/>
        </w:rPr>
        <w:t xml:space="preserve"> and no visibility of higher profits has been </w:t>
      </w:r>
      <w:r w:rsidR="00F50531" w:rsidRPr="00F50531">
        <w:rPr>
          <w:rFonts w:ascii="Avenir Next" w:hAnsi="Avenir Next" w:cs="Arial"/>
          <w:color w:val="808080" w:themeColor="background1" w:themeShade="80"/>
          <w:sz w:val="22"/>
          <w:szCs w:val="22"/>
          <w:lang w:val="en-GB"/>
        </w:rPr>
        <w:t xml:space="preserve">foresighted by the Board. </w:t>
      </w:r>
    </w:p>
    <w:p w14:paraId="67C65EF7" w14:textId="122871A7" w:rsidR="00F50531" w:rsidRPr="00F50531" w:rsidRDefault="00AA28F1" w:rsidP="00574D41">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channels of the restructuring or liquidation that the Board will adopt, will nevertheless be </w:t>
      </w:r>
      <w:r w:rsidR="00925B8E">
        <w:rPr>
          <w:rFonts w:ascii="Avenir Next" w:hAnsi="Avenir Next" w:cs="Arial"/>
          <w:color w:val="808080" w:themeColor="background1" w:themeShade="80"/>
          <w:sz w:val="22"/>
          <w:szCs w:val="22"/>
          <w:lang w:val="en-GB"/>
        </w:rPr>
        <w:t>expensive and time consuming. And given that that the assets are not enough to satisfy all the debt, the company will be liquidated and hence the chances of revival are next to nil.</w:t>
      </w: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F4A5" w14:textId="77777777" w:rsidR="00ED6316" w:rsidRDefault="00ED6316" w:rsidP="00241B44">
      <w:r>
        <w:separator/>
      </w:r>
    </w:p>
  </w:endnote>
  <w:endnote w:type="continuationSeparator" w:id="0">
    <w:p w14:paraId="30D02CE7" w14:textId="77777777" w:rsidR="00ED6316" w:rsidRDefault="00ED6316" w:rsidP="00241B44">
      <w:r>
        <w:continuationSeparator/>
      </w:r>
    </w:p>
  </w:endnote>
  <w:endnote w:type="continuationNotice" w:id="1">
    <w:p w14:paraId="5E31B475" w14:textId="77777777" w:rsidR="00ED6316" w:rsidRDefault="00ED6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0729F7A" w:rsidR="00542A3A" w:rsidRPr="009B4976" w:rsidRDefault="00A47484" w:rsidP="009B4976">
    <w:pPr>
      <w:pStyle w:val="Footer"/>
      <w:ind w:right="360"/>
      <w:rPr>
        <w:rFonts w:ascii="Arial" w:hAnsi="Arial" w:cs="Arial"/>
        <w:sz w:val="18"/>
        <w:szCs w:val="18"/>
        <w:lang w:val="en-GB"/>
      </w:rPr>
    </w:pPr>
    <w:r>
      <w:rPr>
        <w:rFonts w:ascii="Avenir Next" w:hAnsi="Avenir Next" w:cs="Arial"/>
        <w:sz w:val="22"/>
        <w:szCs w:val="22"/>
        <w:lang w:val="en-GB"/>
      </w:rPr>
      <w:t>202223-909</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FE02" w14:textId="77777777" w:rsidR="00ED6316" w:rsidRDefault="00ED6316" w:rsidP="00241B44">
      <w:r>
        <w:separator/>
      </w:r>
    </w:p>
  </w:footnote>
  <w:footnote w:type="continuationSeparator" w:id="0">
    <w:p w14:paraId="54470CA1" w14:textId="77777777" w:rsidR="00ED6316" w:rsidRDefault="00ED6316" w:rsidP="00241B44">
      <w:r>
        <w:continuationSeparator/>
      </w:r>
    </w:p>
  </w:footnote>
  <w:footnote w:type="continuationNotice" w:id="1">
    <w:p w14:paraId="0C593760" w14:textId="77777777" w:rsidR="00ED6316" w:rsidRDefault="00ED6316"/>
  </w:footnote>
  <w:footnote w:id="2">
    <w:p w14:paraId="10B4F2F4" w14:textId="74D220C1" w:rsidR="00F54BDA" w:rsidRPr="00F54BDA" w:rsidRDefault="00F54BDA">
      <w:pPr>
        <w:pStyle w:val="FootnoteText"/>
        <w:rPr>
          <w:lang w:val="en-IN"/>
        </w:rPr>
      </w:pPr>
      <w:r>
        <w:rPr>
          <w:rStyle w:val="FootnoteReference"/>
        </w:rPr>
        <w:footnoteRef/>
      </w:r>
      <w:r>
        <w:t>Corporation Act</w:t>
      </w:r>
      <w:r w:rsidR="00BC251E">
        <w:t>- Part 5.7B</w:t>
      </w:r>
      <w:r w:rsidR="00B164DB">
        <w:t xml:space="preserve">- </w:t>
      </w:r>
      <w:r w:rsidR="00B164DB" w:rsidRPr="00B164DB">
        <w:t>Recovering property or compensation for the benefit of creditors of insolvent company </w:t>
      </w:r>
    </w:p>
  </w:footnote>
  <w:footnote w:id="3">
    <w:p w14:paraId="3E4907F5" w14:textId="354B1E2D" w:rsidR="00492018" w:rsidRPr="00492018" w:rsidRDefault="00492018">
      <w:pPr>
        <w:pStyle w:val="FootnoteText"/>
        <w:rPr>
          <w:lang w:val="en-IN"/>
        </w:rPr>
      </w:pPr>
      <w:r>
        <w:rPr>
          <w:rStyle w:val="FootnoteReference"/>
        </w:rPr>
        <w:footnoteRef/>
      </w:r>
      <w:r>
        <w:t xml:space="preserve"> </w:t>
      </w:r>
      <w:r>
        <w:rPr>
          <w:lang w:val="en-IN"/>
        </w:rPr>
        <w:t>Idem, Section 588</w:t>
      </w:r>
      <w:r w:rsidR="00355148">
        <w:rPr>
          <w:lang w:val="en-IN"/>
        </w:rPr>
        <w:t>FA (</w:t>
      </w:r>
      <w:r>
        <w:rPr>
          <w:lang w:val="en-IN"/>
        </w:rPr>
        <w:t>1)</w:t>
      </w:r>
    </w:p>
  </w:footnote>
  <w:footnote w:id="4">
    <w:p w14:paraId="019C17CB" w14:textId="540DFC87" w:rsidR="00492018" w:rsidRPr="00492018" w:rsidRDefault="00492018">
      <w:pPr>
        <w:pStyle w:val="FootnoteText"/>
        <w:rPr>
          <w:lang w:val="en-IN"/>
        </w:rPr>
      </w:pPr>
    </w:p>
  </w:footnote>
  <w:footnote w:id="5">
    <w:p w14:paraId="46104D04" w14:textId="767EE97F" w:rsidR="00A72CF2" w:rsidRPr="00A72CF2" w:rsidRDefault="00A72CF2">
      <w:pPr>
        <w:pStyle w:val="FootnoteText"/>
        <w:rPr>
          <w:lang w:val="en-IN"/>
        </w:rPr>
      </w:pPr>
      <w:r>
        <w:rPr>
          <w:rStyle w:val="FootnoteReference"/>
        </w:rPr>
        <w:footnoteRef/>
      </w:r>
      <w:r>
        <w:t xml:space="preserve"> </w:t>
      </w:r>
      <w:r>
        <w:rPr>
          <w:lang w:val="en-IN"/>
        </w:rPr>
        <w:t xml:space="preserve">Act </w:t>
      </w:r>
      <w:r w:rsidR="00837175" w:rsidRPr="00837175">
        <w:rPr>
          <w:lang w:val="en-IN"/>
        </w:rPr>
        <w:t>No. 24 of 2008</w:t>
      </w:r>
    </w:p>
  </w:footnote>
  <w:footnote w:id="6">
    <w:p w14:paraId="44E39C13" w14:textId="2944EA1F" w:rsidR="00A852C4" w:rsidRPr="00A852C4" w:rsidRDefault="00A852C4">
      <w:pPr>
        <w:pStyle w:val="FootnoteText"/>
        <w:rPr>
          <w:lang w:val="en-IN"/>
        </w:rPr>
      </w:pPr>
      <w:r>
        <w:rPr>
          <w:rStyle w:val="FootnoteReference"/>
        </w:rPr>
        <w:footnoteRef/>
      </w:r>
      <w:r>
        <w:t xml:space="preserve"> </w:t>
      </w:r>
      <w:r w:rsidR="00046DEB">
        <w:rPr>
          <w:lang w:val="en-IN"/>
        </w:rPr>
        <w:t xml:space="preserve">Effects of Recognition of Foreign Main Proceedings </w:t>
      </w:r>
    </w:p>
  </w:footnote>
  <w:footnote w:id="7">
    <w:p w14:paraId="2F1CA15B" w14:textId="22E80BE7" w:rsidR="009C329B" w:rsidRPr="009C329B" w:rsidRDefault="009C329B">
      <w:pPr>
        <w:pStyle w:val="FootnoteText"/>
        <w:rPr>
          <w:lang w:val="en-IN"/>
        </w:rPr>
      </w:pPr>
      <w:r>
        <w:rPr>
          <w:rStyle w:val="FootnoteReference"/>
        </w:rPr>
        <w:footnoteRef/>
      </w:r>
      <w:r>
        <w:t xml:space="preserve"> </w:t>
      </w:r>
      <w:r w:rsidR="00870C13" w:rsidRPr="00D84246">
        <w:rPr>
          <w:lang w:val="en-IN"/>
        </w:rPr>
        <w:t>Board of Directors of The-Rizzo-Bottiglieri-de Carlini Armatori SpA v. The-Rizzo-Bottiglieri-de Carlini Armatori</w:t>
      </w:r>
      <w:r w:rsidR="00EF7E25" w:rsidRPr="00D84246">
        <w:rPr>
          <w:lang w:val="en-IN"/>
        </w:rPr>
        <w:t xml:space="preserve"> SpA (2018) FCA 153; Alari v The-Rizzo-Bottiglieri-de Carlini Armatori SpA (2018) FCA 1067</w:t>
      </w:r>
    </w:p>
  </w:footnote>
  <w:footnote w:id="8">
    <w:p w14:paraId="5A6EF0CC" w14:textId="01CF3AA8" w:rsidR="00FE7581" w:rsidRPr="00FE7581" w:rsidRDefault="00FE7581">
      <w:pPr>
        <w:pStyle w:val="FootnoteText"/>
        <w:rPr>
          <w:lang w:val="en-IN"/>
        </w:rPr>
      </w:pPr>
      <w:r>
        <w:rPr>
          <w:rStyle w:val="FootnoteReference"/>
        </w:rPr>
        <w:footnoteRef/>
      </w:r>
      <w:r>
        <w:t xml:space="preserve"> </w:t>
      </w:r>
      <w:r>
        <w:rPr>
          <w:lang w:val="en-IN"/>
        </w:rPr>
        <w:t>Scheme of arrangement and small companies’ liquidation</w:t>
      </w:r>
    </w:p>
  </w:footnote>
  <w:footnote w:id="9">
    <w:p w14:paraId="0E416757" w14:textId="33383C1F" w:rsidR="008A09E1" w:rsidRPr="008A09E1" w:rsidRDefault="008A09E1">
      <w:pPr>
        <w:pStyle w:val="FootnoteText"/>
        <w:rPr>
          <w:lang w:val="en-IN"/>
        </w:rPr>
      </w:pPr>
      <w:r>
        <w:rPr>
          <w:rStyle w:val="FootnoteReference"/>
        </w:rPr>
        <w:footnoteRef/>
      </w:r>
      <w:r>
        <w:t xml:space="preserve"> </w:t>
      </w:r>
      <w:r>
        <w:rPr>
          <w:lang w:val="en-IN"/>
        </w:rPr>
        <w:t>Australian Banking Association- Small Businesses, &lt;&lt;</w:t>
      </w:r>
      <w:r w:rsidRPr="008A09E1">
        <w:t xml:space="preserve"> </w:t>
      </w:r>
      <w:hyperlink r:id="rId1" w:anchor=":~:text=SMEs%20are%20the%20lifeblood%20of,jobs%20and%20stimulate%20economic%20growth" w:history="1">
        <w:r w:rsidRPr="008D60AC">
          <w:rPr>
            <w:rStyle w:val="Hyperlink"/>
            <w:lang w:val="en-IN"/>
          </w:rPr>
          <w:t>https://www.ausbanking.org.au/small-business/#:~:text=SMEs%20are%20the%20lifeblood%20of,jobs%20and%20stimulate%20economic%20growth</w:t>
        </w:r>
      </w:hyperlink>
      <w:r w:rsidRPr="008A09E1">
        <w:rPr>
          <w:lang w:val="en-IN"/>
        </w:rPr>
        <w:t>.</w:t>
      </w:r>
      <w:r>
        <w:rPr>
          <w:lang w:val="en-IN"/>
        </w:rPr>
        <w:t>&gt;&gt;, accessed on 27.07.2023</w:t>
      </w:r>
    </w:p>
  </w:footnote>
  <w:footnote w:id="10">
    <w:p w14:paraId="073B9E6F" w14:textId="7B3234BF" w:rsidR="00E56584" w:rsidRPr="00E56584" w:rsidRDefault="00E56584">
      <w:pPr>
        <w:pStyle w:val="FootnoteText"/>
        <w:rPr>
          <w:lang w:val="en-IN"/>
        </w:rPr>
      </w:pPr>
      <w:r>
        <w:rPr>
          <w:rStyle w:val="FootnoteReference"/>
        </w:rPr>
        <w:footnoteRef/>
      </w:r>
      <w:r>
        <w:t xml:space="preserve"> </w:t>
      </w:r>
      <w:r w:rsidRPr="00E56584">
        <w:rPr>
          <w:i/>
          <w:iCs/>
          <w:lang w:val="en-IN"/>
        </w:rPr>
        <w:t>Ibid</w:t>
      </w:r>
    </w:p>
  </w:footnote>
  <w:footnote w:id="11">
    <w:p w14:paraId="614F47FC" w14:textId="4823FB23" w:rsidR="00416A20" w:rsidRPr="00416A20" w:rsidRDefault="00416A20">
      <w:pPr>
        <w:pStyle w:val="FootnoteText"/>
        <w:rPr>
          <w:lang w:val="en-IN"/>
        </w:rPr>
      </w:pPr>
      <w:r>
        <w:rPr>
          <w:rStyle w:val="FootnoteReference"/>
        </w:rPr>
        <w:footnoteRef/>
      </w:r>
      <w:r>
        <w:t xml:space="preserve"> </w:t>
      </w:r>
      <w:r w:rsidRPr="00416A20">
        <w:rPr>
          <w:i/>
          <w:iCs/>
          <w:lang w:val="en-IN"/>
        </w:rPr>
        <w:t>Ibid</w:t>
      </w:r>
    </w:p>
  </w:footnote>
  <w:footnote w:id="12">
    <w:p w14:paraId="6516E877" w14:textId="6DECEE4D" w:rsidR="00DE4744" w:rsidRPr="00452A23" w:rsidRDefault="00452A23">
      <w:pPr>
        <w:pStyle w:val="FootnoteText"/>
        <w:rPr>
          <w:lang w:val="en-IN"/>
        </w:rPr>
      </w:pPr>
      <w:r>
        <w:rPr>
          <w:rStyle w:val="FootnoteReference"/>
        </w:rPr>
        <w:footnoteRef/>
      </w:r>
      <w:r>
        <w:t xml:space="preserve"> </w:t>
      </w:r>
      <w:r w:rsidR="00DE4744">
        <w:rPr>
          <w:lang w:val="en-IN"/>
        </w:rPr>
        <w:t xml:space="preserve">Parliament of Australia – Corporations Amendment (Corporate Insolvency Reforms) Bill 2020, </w:t>
      </w:r>
      <w:r w:rsidR="003D30BD">
        <w:rPr>
          <w:lang w:val="en-IN"/>
        </w:rPr>
        <w:t>&lt;&lt;</w:t>
      </w:r>
      <w:r w:rsidR="003D30BD" w:rsidRPr="003D30BD">
        <w:t xml:space="preserve"> </w:t>
      </w:r>
      <w:hyperlink r:id="rId2" w:anchor=":~:text=Amends%20the%3A%20Corporations%20Act%202001,be%20given%20electronically%20and%20allow" w:history="1">
        <w:r w:rsidR="003D30BD" w:rsidRPr="008D60AC">
          <w:rPr>
            <w:rStyle w:val="Hyperlink"/>
            <w:lang w:val="en-IN"/>
          </w:rPr>
          <w:t>https://www.aph.gov.au/Parliamentary_Business/Bills_Legislation/Bills_Search_Results/Result?bId=r6626#:~:text=Amends%20the%3A%20Corporations%20Act%202001,be%20given%20electronically%20and%20allow</w:t>
        </w:r>
      </w:hyperlink>
      <w:r w:rsidR="003D30BD">
        <w:rPr>
          <w:lang w:val="en-IN"/>
        </w:rPr>
        <w:t>&gt;&gt;, accessed on 27.07.2023</w:t>
      </w:r>
    </w:p>
  </w:footnote>
  <w:footnote w:id="13">
    <w:p w14:paraId="3DBBA579" w14:textId="44711A5D" w:rsidR="00EE75FF" w:rsidRDefault="00EE75FF">
      <w:pPr>
        <w:pStyle w:val="FootnoteText"/>
      </w:pPr>
      <w:r>
        <w:rPr>
          <w:rStyle w:val="FootnoteReference"/>
        </w:rPr>
        <w:footnoteRef/>
      </w:r>
      <w:r>
        <w:t xml:space="preserve"> Norton Rose Fulbright- </w:t>
      </w:r>
      <w:r w:rsidR="009F2BD7">
        <w:t>Insolvency Law reform in Australia: Big benefit for small and medium enterprises</w:t>
      </w:r>
      <w:r w:rsidR="001E23F6">
        <w:t>, &lt;</w:t>
      </w:r>
      <w:hyperlink r:id="rId3" w:history="1">
        <w:r w:rsidR="001E23F6" w:rsidRPr="0073428E">
          <w:rPr>
            <w:rStyle w:val="Hyperlink"/>
          </w:rPr>
          <w:t>https://www.nortonrosefulbright.com/en/knowledge/publications/cd46e9a1/insolvency-law-reform-in-australia</w:t>
        </w:r>
      </w:hyperlink>
      <w:r w:rsidR="001E23F6">
        <w:t xml:space="preserve">&gt;&gt;, </w:t>
      </w:r>
      <w:r w:rsidR="004D76A9">
        <w:t>accessed on 27.07.2023</w:t>
      </w:r>
    </w:p>
  </w:footnote>
  <w:footnote w:id="14">
    <w:p w14:paraId="39D65C7D" w14:textId="0845D7B8" w:rsidR="00DA4C30" w:rsidRDefault="00DA4C30">
      <w:pPr>
        <w:pStyle w:val="FootnoteText"/>
      </w:pPr>
      <w:r>
        <w:rPr>
          <w:rStyle w:val="FootnoteReference"/>
        </w:rPr>
        <w:footnoteRef/>
      </w:r>
      <w:r>
        <w:t xml:space="preserve"> </w:t>
      </w:r>
      <w:r w:rsidRPr="00DA4C30">
        <w:rPr>
          <w:i/>
          <w:iCs/>
        </w:rPr>
        <w:t>Ibid</w:t>
      </w:r>
    </w:p>
  </w:footnote>
  <w:footnote w:id="15">
    <w:p w14:paraId="4DA36F27" w14:textId="0825BFF8" w:rsidR="00982D92" w:rsidRPr="00982D92" w:rsidRDefault="00982D92">
      <w:pPr>
        <w:pStyle w:val="FootnoteText"/>
        <w:rPr>
          <w:lang w:val="en-IN"/>
        </w:rPr>
      </w:pPr>
      <w:r>
        <w:rPr>
          <w:rStyle w:val="FootnoteReference"/>
        </w:rPr>
        <w:footnoteRef/>
      </w:r>
      <w:r>
        <w:t xml:space="preserve"> </w:t>
      </w:r>
      <w:r w:rsidR="00963809" w:rsidRPr="00963809">
        <w:t>[2014] FCAFC 57</w:t>
      </w:r>
      <w:r w:rsidR="00963809" w:rsidRPr="00963809">
        <w:t xml:space="preserve">, </w:t>
      </w:r>
      <w:r w:rsidR="00963809" w:rsidRPr="00963809">
        <w:t>(2014) 311 ALR 167</w:t>
      </w:r>
      <w:r w:rsidR="00963809" w:rsidRPr="00963809">
        <w:t xml:space="preserve">, </w:t>
      </w:r>
      <w:r w:rsidR="00963809" w:rsidRPr="00963809">
        <w:t>(2014) 223 FCR 8</w:t>
      </w:r>
    </w:p>
  </w:footnote>
  <w:footnote w:id="16">
    <w:p w14:paraId="57E9C910" w14:textId="49ABDE3A" w:rsidR="003C4EC7" w:rsidRPr="003C4EC7" w:rsidRDefault="003C4EC7">
      <w:pPr>
        <w:pStyle w:val="FootnoteText"/>
        <w:rPr>
          <w:lang w:val="en-IN"/>
        </w:rPr>
      </w:pPr>
      <w:r>
        <w:rPr>
          <w:rStyle w:val="FootnoteReference"/>
        </w:rPr>
        <w:footnoteRef/>
      </w:r>
      <w:r>
        <w:t xml:space="preserve"> </w:t>
      </w:r>
      <w:r>
        <w:rPr>
          <w:lang w:val="en-IN"/>
        </w:rPr>
        <w:t xml:space="preserve">Australian Taxation Office- </w:t>
      </w:r>
      <w:r w:rsidR="00FD05DC">
        <w:rPr>
          <w:lang w:val="en-IN"/>
        </w:rPr>
        <w:t>Akers &amp; Ors. V Deputy Commissioner of Taxation</w:t>
      </w:r>
      <w:r w:rsidR="00D74A15">
        <w:rPr>
          <w:lang w:val="en-IN"/>
        </w:rPr>
        <w:t>, &lt;</w:t>
      </w:r>
      <w:hyperlink r:id="rId4" w:history="1">
        <w:r w:rsidR="00D74A15" w:rsidRPr="0073428E">
          <w:rPr>
            <w:rStyle w:val="Hyperlink"/>
            <w:lang w:val="en-IN"/>
          </w:rPr>
          <w:t>https://www.ato.gov.au/law/view/view.htm?docid=LIT/ICD/NSD1933-2013/00001&amp;PiT=99991231235958</w:t>
        </w:r>
      </w:hyperlink>
      <w:r w:rsidR="00D74A15">
        <w:rPr>
          <w:lang w:val="en-IN"/>
        </w:rPr>
        <w:t>&gt;&gt;, accessed on 28.07.2023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32C557C"/>
    <w:multiLevelType w:val="hybridMultilevel"/>
    <w:tmpl w:val="152C97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714AC9"/>
    <w:multiLevelType w:val="hybridMultilevel"/>
    <w:tmpl w:val="369C77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33C17C8"/>
    <w:multiLevelType w:val="hybridMultilevel"/>
    <w:tmpl w:val="BF92EDCE"/>
    <w:lvl w:ilvl="0" w:tplc="AE883954">
      <w:start w:val="1"/>
      <w:numFmt w:val="decimal"/>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833C0"/>
    <w:multiLevelType w:val="hybridMultilevel"/>
    <w:tmpl w:val="932A5F0A"/>
    <w:lvl w:ilvl="0" w:tplc="6FE072E4">
      <w:start w:val="1"/>
      <w:numFmt w:val="lowerLetter"/>
      <w:lvlText w:val="(%1)"/>
      <w:lvlJc w:val="left"/>
      <w:pPr>
        <w:ind w:left="720" w:hanging="360"/>
      </w:pPr>
      <w:rPr>
        <w:rFonts w:asciiTheme="minorHAnsi" w:hAnsiTheme="minorHAnsi" w:cstheme="minorBidi"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42E2B13"/>
    <w:multiLevelType w:val="hybridMultilevel"/>
    <w:tmpl w:val="C924DD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155818"/>
    <w:multiLevelType w:val="hybridMultilevel"/>
    <w:tmpl w:val="B2CA88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48444F3"/>
    <w:multiLevelType w:val="hybridMultilevel"/>
    <w:tmpl w:val="AB44BE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739790">
    <w:abstractNumId w:val="29"/>
  </w:num>
  <w:num w:numId="2" w16cid:durableId="178853875">
    <w:abstractNumId w:val="15"/>
  </w:num>
  <w:num w:numId="3" w16cid:durableId="1863130399">
    <w:abstractNumId w:val="13"/>
  </w:num>
  <w:num w:numId="4" w16cid:durableId="1484471915">
    <w:abstractNumId w:val="26"/>
  </w:num>
  <w:num w:numId="5" w16cid:durableId="175581786">
    <w:abstractNumId w:val="14"/>
  </w:num>
  <w:num w:numId="6" w16cid:durableId="1829591639">
    <w:abstractNumId w:val="17"/>
  </w:num>
  <w:num w:numId="7" w16cid:durableId="2104766567">
    <w:abstractNumId w:val="28"/>
  </w:num>
  <w:num w:numId="8" w16cid:durableId="539822898">
    <w:abstractNumId w:val="24"/>
  </w:num>
  <w:num w:numId="9" w16cid:durableId="2084837767">
    <w:abstractNumId w:val="12"/>
  </w:num>
  <w:num w:numId="10" w16cid:durableId="1830440471">
    <w:abstractNumId w:val="10"/>
  </w:num>
  <w:num w:numId="11" w16cid:durableId="1040203662">
    <w:abstractNumId w:val="0"/>
  </w:num>
  <w:num w:numId="12" w16cid:durableId="2015065036">
    <w:abstractNumId w:val="25"/>
  </w:num>
  <w:num w:numId="13" w16cid:durableId="1064180583">
    <w:abstractNumId w:val="30"/>
  </w:num>
  <w:num w:numId="14" w16cid:durableId="1160076978">
    <w:abstractNumId w:val="11"/>
  </w:num>
  <w:num w:numId="15" w16cid:durableId="1647783146">
    <w:abstractNumId w:val="5"/>
  </w:num>
  <w:num w:numId="16" w16cid:durableId="629744699">
    <w:abstractNumId w:val="3"/>
  </w:num>
  <w:num w:numId="17" w16cid:durableId="1052076268">
    <w:abstractNumId w:val="32"/>
  </w:num>
  <w:num w:numId="18" w16cid:durableId="1088842350">
    <w:abstractNumId w:val="7"/>
  </w:num>
  <w:num w:numId="19" w16cid:durableId="2053578041">
    <w:abstractNumId w:val="21"/>
  </w:num>
  <w:num w:numId="20" w16cid:durableId="16276998">
    <w:abstractNumId w:val="4"/>
  </w:num>
  <w:num w:numId="21" w16cid:durableId="1249540880">
    <w:abstractNumId w:val="18"/>
  </w:num>
  <w:num w:numId="22" w16cid:durableId="1187527722">
    <w:abstractNumId w:val="33"/>
  </w:num>
  <w:num w:numId="23" w16cid:durableId="1524202379">
    <w:abstractNumId w:val="16"/>
  </w:num>
  <w:num w:numId="24" w16cid:durableId="1638102075">
    <w:abstractNumId w:val="20"/>
  </w:num>
  <w:num w:numId="25" w16cid:durableId="330454751">
    <w:abstractNumId w:val="22"/>
  </w:num>
  <w:num w:numId="26" w16cid:durableId="956645365">
    <w:abstractNumId w:val="27"/>
  </w:num>
  <w:num w:numId="27" w16cid:durableId="862673487">
    <w:abstractNumId w:val="8"/>
  </w:num>
  <w:num w:numId="28" w16cid:durableId="1122580503">
    <w:abstractNumId w:val="2"/>
  </w:num>
  <w:num w:numId="29" w16cid:durableId="1764764988">
    <w:abstractNumId w:val="1"/>
  </w:num>
  <w:num w:numId="30" w16cid:durableId="471294187">
    <w:abstractNumId w:val="9"/>
  </w:num>
  <w:num w:numId="31" w16cid:durableId="179394390">
    <w:abstractNumId w:val="23"/>
  </w:num>
  <w:num w:numId="32" w16cid:durableId="178739778">
    <w:abstractNumId w:val="19"/>
  </w:num>
  <w:num w:numId="33" w16cid:durableId="1654680608">
    <w:abstractNumId w:val="31"/>
  </w:num>
  <w:num w:numId="34" w16cid:durableId="3081059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9D4"/>
    <w:rsid w:val="00007BF3"/>
    <w:rsid w:val="00010BA0"/>
    <w:rsid w:val="00020280"/>
    <w:rsid w:val="00020557"/>
    <w:rsid w:val="000209AA"/>
    <w:rsid w:val="00021FC2"/>
    <w:rsid w:val="00023284"/>
    <w:rsid w:val="00023705"/>
    <w:rsid w:val="000238B1"/>
    <w:rsid w:val="000250C7"/>
    <w:rsid w:val="000252B8"/>
    <w:rsid w:val="00026686"/>
    <w:rsid w:val="00026F16"/>
    <w:rsid w:val="00037621"/>
    <w:rsid w:val="00044D46"/>
    <w:rsid w:val="00045088"/>
    <w:rsid w:val="00045904"/>
    <w:rsid w:val="00046DEB"/>
    <w:rsid w:val="000502FD"/>
    <w:rsid w:val="00054BD6"/>
    <w:rsid w:val="00065166"/>
    <w:rsid w:val="00077DB4"/>
    <w:rsid w:val="00082609"/>
    <w:rsid w:val="000851CC"/>
    <w:rsid w:val="00087F21"/>
    <w:rsid w:val="00093BE8"/>
    <w:rsid w:val="000A24C5"/>
    <w:rsid w:val="000A407B"/>
    <w:rsid w:val="000A68ED"/>
    <w:rsid w:val="000B5FF1"/>
    <w:rsid w:val="000B609F"/>
    <w:rsid w:val="000B7836"/>
    <w:rsid w:val="000C57EC"/>
    <w:rsid w:val="000C648D"/>
    <w:rsid w:val="000C7080"/>
    <w:rsid w:val="000D2487"/>
    <w:rsid w:val="000D55A8"/>
    <w:rsid w:val="000E2311"/>
    <w:rsid w:val="000E4841"/>
    <w:rsid w:val="000E5762"/>
    <w:rsid w:val="000F1677"/>
    <w:rsid w:val="000F26BC"/>
    <w:rsid w:val="000F3D6C"/>
    <w:rsid w:val="000F7A21"/>
    <w:rsid w:val="00101707"/>
    <w:rsid w:val="00102CC9"/>
    <w:rsid w:val="0010593A"/>
    <w:rsid w:val="00107643"/>
    <w:rsid w:val="0011473D"/>
    <w:rsid w:val="00115C85"/>
    <w:rsid w:val="00120BED"/>
    <w:rsid w:val="001234CD"/>
    <w:rsid w:val="0012358E"/>
    <w:rsid w:val="00123855"/>
    <w:rsid w:val="00126A4D"/>
    <w:rsid w:val="001271B5"/>
    <w:rsid w:val="001316B3"/>
    <w:rsid w:val="0013356C"/>
    <w:rsid w:val="0014171F"/>
    <w:rsid w:val="0014622C"/>
    <w:rsid w:val="00152348"/>
    <w:rsid w:val="00153A07"/>
    <w:rsid w:val="0015456D"/>
    <w:rsid w:val="00155FA2"/>
    <w:rsid w:val="00161F1B"/>
    <w:rsid w:val="00162829"/>
    <w:rsid w:val="00164AEE"/>
    <w:rsid w:val="00176286"/>
    <w:rsid w:val="00180548"/>
    <w:rsid w:val="001809A9"/>
    <w:rsid w:val="00180AC4"/>
    <w:rsid w:val="00180CCE"/>
    <w:rsid w:val="0018267A"/>
    <w:rsid w:val="00182779"/>
    <w:rsid w:val="001830DF"/>
    <w:rsid w:val="00184DAE"/>
    <w:rsid w:val="001966D9"/>
    <w:rsid w:val="001A007A"/>
    <w:rsid w:val="001A2CD0"/>
    <w:rsid w:val="001A7E9A"/>
    <w:rsid w:val="001B0F70"/>
    <w:rsid w:val="001B5016"/>
    <w:rsid w:val="001C45FC"/>
    <w:rsid w:val="001C58A4"/>
    <w:rsid w:val="001D0469"/>
    <w:rsid w:val="001D29C0"/>
    <w:rsid w:val="001D4687"/>
    <w:rsid w:val="001D4862"/>
    <w:rsid w:val="001D6CA3"/>
    <w:rsid w:val="001E23F6"/>
    <w:rsid w:val="001E25B9"/>
    <w:rsid w:val="001E49E0"/>
    <w:rsid w:val="001E7B5A"/>
    <w:rsid w:val="001F6D41"/>
    <w:rsid w:val="001F7412"/>
    <w:rsid w:val="0020090A"/>
    <w:rsid w:val="00202DFE"/>
    <w:rsid w:val="0020653B"/>
    <w:rsid w:val="0020725B"/>
    <w:rsid w:val="002109E3"/>
    <w:rsid w:val="002110F1"/>
    <w:rsid w:val="00216FA9"/>
    <w:rsid w:val="002172B8"/>
    <w:rsid w:val="002356EA"/>
    <w:rsid w:val="0024116D"/>
    <w:rsid w:val="00241B44"/>
    <w:rsid w:val="00241FA3"/>
    <w:rsid w:val="00245EFB"/>
    <w:rsid w:val="002476AF"/>
    <w:rsid w:val="002535BA"/>
    <w:rsid w:val="0025386E"/>
    <w:rsid w:val="002638B0"/>
    <w:rsid w:val="00265D2D"/>
    <w:rsid w:val="0026647A"/>
    <w:rsid w:val="002668D3"/>
    <w:rsid w:val="0027299F"/>
    <w:rsid w:val="00277678"/>
    <w:rsid w:val="0028219C"/>
    <w:rsid w:val="00284082"/>
    <w:rsid w:val="0028422D"/>
    <w:rsid w:val="00284EBE"/>
    <w:rsid w:val="00287A25"/>
    <w:rsid w:val="002903A7"/>
    <w:rsid w:val="0029433F"/>
    <w:rsid w:val="00294829"/>
    <w:rsid w:val="002956E6"/>
    <w:rsid w:val="0029690F"/>
    <w:rsid w:val="002977B7"/>
    <w:rsid w:val="00297C8A"/>
    <w:rsid w:val="002A2A60"/>
    <w:rsid w:val="002A2C11"/>
    <w:rsid w:val="002A37BB"/>
    <w:rsid w:val="002A4B95"/>
    <w:rsid w:val="002B1720"/>
    <w:rsid w:val="002B1C45"/>
    <w:rsid w:val="002C13C8"/>
    <w:rsid w:val="002C2FFF"/>
    <w:rsid w:val="002C3283"/>
    <w:rsid w:val="002C3547"/>
    <w:rsid w:val="002D0021"/>
    <w:rsid w:val="002D299D"/>
    <w:rsid w:val="002D3473"/>
    <w:rsid w:val="002F1956"/>
    <w:rsid w:val="002F3440"/>
    <w:rsid w:val="002F75A3"/>
    <w:rsid w:val="00303C2F"/>
    <w:rsid w:val="003042CB"/>
    <w:rsid w:val="00310A01"/>
    <w:rsid w:val="00313CD9"/>
    <w:rsid w:val="003144EF"/>
    <w:rsid w:val="0031579E"/>
    <w:rsid w:val="00321D73"/>
    <w:rsid w:val="00326292"/>
    <w:rsid w:val="00326415"/>
    <w:rsid w:val="00330937"/>
    <w:rsid w:val="00330F31"/>
    <w:rsid w:val="00334648"/>
    <w:rsid w:val="003361F2"/>
    <w:rsid w:val="0033768C"/>
    <w:rsid w:val="00337938"/>
    <w:rsid w:val="00340769"/>
    <w:rsid w:val="00341876"/>
    <w:rsid w:val="00341AA6"/>
    <w:rsid w:val="0035372F"/>
    <w:rsid w:val="00355148"/>
    <w:rsid w:val="00361A0A"/>
    <w:rsid w:val="00364836"/>
    <w:rsid w:val="0036565C"/>
    <w:rsid w:val="0036625E"/>
    <w:rsid w:val="00371EA7"/>
    <w:rsid w:val="0037465A"/>
    <w:rsid w:val="00375297"/>
    <w:rsid w:val="00382C98"/>
    <w:rsid w:val="0038533C"/>
    <w:rsid w:val="00386568"/>
    <w:rsid w:val="00390B57"/>
    <w:rsid w:val="003948D5"/>
    <w:rsid w:val="00396821"/>
    <w:rsid w:val="00397D3A"/>
    <w:rsid w:val="003A051E"/>
    <w:rsid w:val="003A540E"/>
    <w:rsid w:val="003B0B35"/>
    <w:rsid w:val="003B170F"/>
    <w:rsid w:val="003B3C5F"/>
    <w:rsid w:val="003C1DB7"/>
    <w:rsid w:val="003C4471"/>
    <w:rsid w:val="003C4EC7"/>
    <w:rsid w:val="003D0A6D"/>
    <w:rsid w:val="003D30BD"/>
    <w:rsid w:val="003E0B16"/>
    <w:rsid w:val="003E5F0C"/>
    <w:rsid w:val="003E62B2"/>
    <w:rsid w:val="003E67D1"/>
    <w:rsid w:val="004003BF"/>
    <w:rsid w:val="00404329"/>
    <w:rsid w:val="00405DC1"/>
    <w:rsid w:val="004149F3"/>
    <w:rsid w:val="00415F1F"/>
    <w:rsid w:val="00416A20"/>
    <w:rsid w:val="00416D2B"/>
    <w:rsid w:val="0042108F"/>
    <w:rsid w:val="00422295"/>
    <w:rsid w:val="004229F4"/>
    <w:rsid w:val="00430FED"/>
    <w:rsid w:val="00433844"/>
    <w:rsid w:val="00434A8C"/>
    <w:rsid w:val="00437297"/>
    <w:rsid w:val="00444284"/>
    <w:rsid w:val="00445CE6"/>
    <w:rsid w:val="00452A23"/>
    <w:rsid w:val="004534C2"/>
    <w:rsid w:val="0045446F"/>
    <w:rsid w:val="0045683E"/>
    <w:rsid w:val="00460EE9"/>
    <w:rsid w:val="00477C72"/>
    <w:rsid w:val="00491675"/>
    <w:rsid w:val="00492018"/>
    <w:rsid w:val="00493855"/>
    <w:rsid w:val="00495E79"/>
    <w:rsid w:val="004A02FF"/>
    <w:rsid w:val="004A09EE"/>
    <w:rsid w:val="004A2D83"/>
    <w:rsid w:val="004A57DD"/>
    <w:rsid w:val="004A7B51"/>
    <w:rsid w:val="004A7D71"/>
    <w:rsid w:val="004A7EF3"/>
    <w:rsid w:val="004B11FD"/>
    <w:rsid w:val="004B23A2"/>
    <w:rsid w:val="004B7BB4"/>
    <w:rsid w:val="004C15FB"/>
    <w:rsid w:val="004D05ED"/>
    <w:rsid w:val="004D1A5A"/>
    <w:rsid w:val="004D2FFF"/>
    <w:rsid w:val="004D3721"/>
    <w:rsid w:val="004D468D"/>
    <w:rsid w:val="004D46D7"/>
    <w:rsid w:val="004D64F9"/>
    <w:rsid w:val="004D76A9"/>
    <w:rsid w:val="004E3A6B"/>
    <w:rsid w:val="004E622C"/>
    <w:rsid w:val="004F4814"/>
    <w:rsid w:val="004F5FDF"/>
    <w:rsid w:val="00502CBD"/>
    <w:rsid w:val="00504703"/>
    <w:rsid w:val="00504C42"/>
    <w:rsid w:val="005177FE"/>
    <w:rsid w:val="0052263B"/>
    <w:rsid w:val="00524728"/>
    <w:rsid w:val="00526091"/>
    <w:rsid w:val="00527C44"/>
    <w:rsid w:val="00530C02"/>
    <w:rsid w:val="00532230"/>
    <w:rsid w:val="005331CA"/>
    <w:rsid w:val="00533704"/>
    <w:rsid w:val="00537970"/>
    <w:rsid w:val="00540E3A"/>
    <w:rsid w:val="00542A3A"/>
    <w:rsid w:val="00544127"/>
    <w:rsid w:val="00544FF6"/>
    <w:rsid w:val="005463A9"/>
    <w:rsid w:val="00551038"/>
    <w:rsid w:val="005518AD"/>
    <w:rsid w:val="005522C4"/>
    <w:rsid w:val="00553EB2"/>
    <w:rsid w:val="00556EE4"/>
    <w:rsid w:val="00560534"/>
    <w:rsid w:val="0056391B"/>
    <w:rsid w:val="005650E2"/>
    <w:rsid w:val="00567AD7"/>
    <w:rsid w:val="00574D41"/>
    <w:rsid w:val="00575B2D"/>
    <w:rsid w:val="005833D0"/>
    <w:rsid w:val="00583C34"/>
    <w:rsid w:val="005846F3"/>
    <w:rsid w:val="0058622F"/>
    <w:rsid w:val="00592F82"/>
    <w:rsid w:val="005A0436"/>
    <w:rsid w:val="005A0CCA"/>
    <w:rsid w:val="005A27B1"/>
    <w:rsid w:val="005A2E18"/>
    <w:rsid w:val="005A6FF2"/>
    <w:rsid w:val="005A726D"/>
    <w:rsid w:val="005A752C"/>
    <w:rsid w:val="005B67AC"/>
    <w:rsid w:val="005B79F4"/>
    <w:rsid w:val="005C1C13"/>
    <w:rsid w:val="005C5A6D"/>
    <w:rsid w:val="005D16DD"/>
    <w:rsid w:val="005D43E0"/>
    <w:rsid w:val="005D58A3"/>
    <w:rsid w:val="005E1B79"/>
    <w:rsid w:val="005E6076"/>
    <w:rsid w:val="005E7008"/>
    <w:rsid w:val="005F026D"/>
    <w:rsid w:val="005F2AEA"/>
    <w:rsid w:val="005F2D0B"/>
    <w:rsid w:val="005F3299"/>
    <w:rsid w:val="005F4B31"/>
    <w:rsid w:val="005F6993"/>
    <w:rsid w:val="005F74F5"/>
    <w:rsid w:val="00610388"/>
    <w:rsid w:val="00610AC7"/>
    <w:rsid w:val="00610DE5"/>
    <w:rsid w:val="00612CA5"/>
    <w:rsid w:val="00613B5D"/>
    <w:rsid w:val="006153EC"/>
    <w:rsid w:val="00616FB3"/>
    <w:rsid w:val="00617C9A"/>
    <w:rsid w:val="00621A17"/>
    <w:rsid w:val="00627A10"/>
    <w:rsid w:val="00627CC9"/>
    <w:rsid w:val="00627E7B"/>
    <w:rsid w:val="00630542"/>
    <w:rsid w:val="00632E44"/>
    <w:rsid w:val="00634622"/>
    <w:rsid w:val="00636808"/>
    <w:rsid w:val="00641515"/>
    <w:rsid w:val="00651074"/>
    <w:rsid w:val="00654C2F"/>
    <w:rsid w:val="00657087"/>
    <w:rsid w:val="006639DB"/>
    <w:rsid w:val="00663EB3"/>
    <w:rsid w:val="006661EF"/>
    <w:rsid w:val="00671AF1"/>
    <w:rsid w:val="00677AEB"/>
    <w:rsid w:val="00680830"/>
    <w:rsid w:val="00680EF2"/>
    <w:rsid w:val="00680EF5"/>
    <w:rsid w:val="00687A1D"/>
    <w:rsid w:val="00690AFA"/>
    <w:rsid w:val="00696E88"/>
    <w:rsid w:val="00697EA1"/>
    <w:rsid w:val="006A1DEC"/>
    <w:rsid w:val="006A2646"/>
    <w:rsid w:val="006A4280"/>
    <w:rsid w:val="006A5375"/>
    <w:rsid w:val="006A6530"/>
    <w:rsid w:val="006B3392"/>
    <w:rsid w:val="006B435A"/>
    <w:rsid w:val="006B4C64"/>
    <w:rsid w:val="006B5EF9"/>
    <w:rsid w:val="006B7879"/>
    <w:rsid w:val="006D6BD5"/>
    <w:rsid w:val="006E0869"/>
    <w:rsid w:val="006E481A"/>
    <w:rsid w:val="006E5298"/>
    <w:rsid w:val="006E6760"/>
    <w:rsid w:val="006F1992"/>
    <w:rsid w:val="006F3A2F"/>
    <w:rsid w:val="006F4A78"/>
    <w:rsid w:val="006F734A"/>
    <w:rsid w:val="00700CA1"/>
    <w:rsid w:val="00700D83"/>
    <w:rsid w:val="00704852"/>
    <w:rsid w:val="007058B9"/>
    <w:rsid w:val="007074E9"/>
    <w:rsid w:val="00713DA4"/>
    <w:rsid w:val="00714BF1"/>
    <w:rsid w:val="00721383"/>
    <w:rsid w:val="0072360C"/>
    <w:rsid w:val="007267C7"/>
    <w:rsid w:val="007306CA"/>
    <w:rsid w:val="0073158B"/>
    <w:rsid w:val="007333CC"/>
    <w:rsid w:val="0073399A"/>
    <w:rsid w:val="0074088D"/>
    <w:rsid w:val="00740DAD"/>
    <w:rsid w:val="00741C36"/>
    <w:rsid w:val="007522E8"/>
    <w:rsid w:val="007603F5"/>
    <w:rsid w:val="00763DA4"/>
    <w:rsid w:val="00764DB0"/>
    <w:rsid w:val="0076764D"/>
    <w:rsid w:val="0077498C"/>
    <w:rsid w:val="00775C59"/>
    <w:rsid w:val="007809BC"/>
    <w:rsid w:val="00784128"/>
    <w:rsid w:val="00785534"/>
    <w:rsid w:val="00787BCC"/>
    <w:rsid w:val="00793173"/>
    <w:rsid w:val="0079630A"/>
    <w:rsid w:val="00796B95"/>
    <w:rsid w:val="007A2A33"/>
    <w:rsid w:val="007B22CF"/>
    <w:rsid w:val="007B3A5E"/>
    <w:rsid w:val="007B5C89"/>
    <w:rsid w:val="007B7269"/>
    <w:rsid w:val="007C11C6"/>
    <w:rsid w:val="007C1FCC"/>
    <w:rsid w:val="007C465F"/>
    <w:rsid w:val="007C6201"/>
    <w:rsid w:val="007D43AA"/>
    <w:rsid w:val="007D7C92"/>
    <w:rsid w:val="007E1154"/>
    <w:rsid w:val="007E2D58"/>
    <w:rsid w:val="007E6BA4"/>
    <w:rsid w:val="007E7432"/>
    <w:rsid w:val="007F1B03"/>
    <w:rsid w:val="007F2CCB"/>
    <w:rsid w:val="007F41F8"/>
    <w:rsid w:val="007F659B"/>
    <w:rsid w:val="00800BA5"/>
    <w:rsid w:val="0080276A"/>
    <w:rsid w:val="0080454E"/>
    <w:rsid w:val="00804C32"/>
    <w:rsid w:val="00806302"/>
    <w:rsid w:val="00807119"/>
    <w:rsid w:val="00810785"/>
    <w:rsid w:val="008114F7"/>
    <w:rsid w:val="008177B4"/>
    <w:rsid w:val="008235B7"/>
    <w:rsid w:val="00823B29"/>
    <w:rsid w:val="0082483F"/>
    <w:rsid w:val="008279C0"/>
    <w:rsid w:val="00837175"/>
    <w:rsid w:val="008420F8"/>
    <w:rsid w:val="00842653"/>
    <w:rsid w:val="008465BE"/>
    <w:rsid w:val="00867701"/>
    <w:rsid w:val="00867C22"/>
    <w:rsid w:val="00870C13"/>
    <w:rsid w:val="008713CB"/>
    <w:rsid w:val="008723F3"/>
    <w:rsid w:val="00874875"/>
    <w:rsid w:val="0087682F"/>
    <w:rsid w:val="00876F56"/>
    <w:rsid w:val="00881DE6"/>
    <w:rsid w:val="00882944"/>
    <w:rsid w:val="008837A6"/>
    <w:rsid w:val="00885540"/>
    <w:rsid w:val="0089145D"/>
    <w:rsid w:val="0089536F"/>
    <w:rsid w:val="008A09E1"/>
    <w:rsid w:val="008A3075"/>
    <w:rsid w:val="008A4DF2"/>
    <w:rsid w:val="008A6CFE"/>
    <w:rsid w:val="008A7666"/>
    <w:rsid w:val="008B0332"/>
    <w:rsid w:val="008B1CEC"/>
    <w:rsid w:val="008B2AFE"/>
    <w:rsid w:val="008B5333"/>
    <w:rsid w:val="008B6223"/>
    <w:rsid w:val="008C3FB9"/>
    <w:rsid w:val="008C4AD2"/>
    <w:rsid w:val="008C66E0"/>
    <w:rsid w:val="008D19DD"/>
    <w:rsid w:val="008D1E27"/>
    <w:rsid w:val="008D4D4A"/>
    <w:rsid w:val="008E2F6E"/>
    <w:rsid w:val="008E3339"/>
    <w:rsid w:val="008F20FC"/>
    <w:rsid w:val="008F240F"/>
    <w:rsid w:val="008F2C4E"/>
    <w:rsid w:val="008F551C"/>
    <w:rsid w:val="008F5FFE"/>
    <w:rsid w:val="00901320"/>
    <w:rsid w:val="00905A43"/>
    <w:rsid w:val="00912C79"/>
    <w:rsid w:val="00921B8C"/>
    <w:rsid w:val="009252F6"/>
    <w:rsid w:val="00925B8E"/>
    <w:rsid w:val="009279A9"/>
    <w:rsid w:val="00942123"/>
    <w:rsid w:val="009512E1"/>
    <w:rsid w:val="00951A92"/>
    <w:rsid w:val="0095207B"/>
    <w:rsid w:val="00957261"/>
    <w:rsid w:val="00962045"/>
    <w:rsid w:val="00963809"/>
    <w:rsid w:val="00980E61"/>
    <w:rsid w:val="00982D92"/>
    <w:rsid w:val="00987B70"/>
    <w:rsid w:val="00991428"/>
    <w:rsid w:val="0099169D"/>
    <w:rsid w:val="00992676"/>
    <w:rsid w:val="00993E1C"/>
    <w:rsid w:val="009954B2"/>
    <w:rsid w:val="00996691"/>
    <w:rsid w:val="009A3AB7"/>
    <w:rsid w:val="009B01E9"/>
    <w:rsid w:val="009B0723"/>
    <w:rsid w:val="009B07AD"/>
    <w:rsid w:val="009B0883"/>
    <w:rsid w:val="009B15E2"/>
    <w:rsid w:val="009B4976"/>
    <w:rsid w:val="009B6B09"/>
    <w:rsid w:val="009C0B8E"/>
    <w:rsid w:val="009C1BC8"/>
    <w:rsid w:val="009C2442"/>
    <w:rsid w:val="009C329B"/>
    <w:rsid w:val="009D0811"/>
    <w:rsid w:val="009D0EE1"/>
    <w:rsid w:val="009D123B"/>
    <w:rsid w:val="009D20B1"/>
    <w:rsid w:val="009D3F45"/>
    <w:rsid w:val="009E271C"/>
    <w:rsid w:val="009E2AEB"/>
    <w:rsid w:val="009E2E27"/>
    <w:rsid w:val="009E45DF"/>
    <w:rsid w:val="009E4DE3"/>
    <w:rsid w:val="009F21B8"/>
    <w:rsid w:val="009F275E"/>
    <w:rsid w:val="009F2BD7"/>
    <w:rsid w:val="009F2E51"/>
    <w:rsid w:val="00A026CC"/>
    <w:rsid w:val="00A047EE"/>
    <w:rsid w:val="00A120B1"/>
    <w:rsid w:val="00A134D9"/>
    <w:rsid w:val="00A15DC7"/>
    <w:rsid w:val="00A21FA5"/>
    <w:rsid w:val="00A2274A"/>
    <w:rsid w:val="00A235B7"/>
    <w:rsid w:val="00A27A7A"/>
    <w:rsid w:val="00A27DC9"/>
    <w:rsid w:val="00A34ABE"/>
    <w:rsid w:val="00A36BDE"/>
    <w:rsid w:val="00A407EF"/>
    <w:rsid w:val="00A46B4C"/>
    <w:rsid w:val="00A47484"/>
    <w:rsid w:val="00A4748D"/>
    <w:rsid w:val="00A5117B"/>
    <w:rsid w:val="00A549B7"/>
    <w:rsid w:val="00A55389"/>
    <w:rsid w:val="00A56D34"/>
    <w:rsid w:val="00A60074"/>
    <w:rsid w:val="00A6627C"/>
    <w:rsid w:val="00A67517"/>
    <w:rsid w:val="00A71019"/>
    <w:rsid w:val="00A72CF2"/>
    <w:rsid w:val="00A81029"/>
    <w:rsid w:val="00A838D1"/>
    <w:rsid w:val="00A845F5"/>
    <w:rsid w:val="00A852C4"/>
    <w:rsid w:val="00A96489"/>
    <w:rsid w:val="00AA28F1"/>
    <w:rsid w:val="00AB2425"/>
    <w:rsid w:val="00AB685C"/>
    <w:rsid w:val="00AB6C2D"/>
    <w:rsid w:val="00AC08F7"/>
    <w:rsid w:val="00AC2F1F"/>
    <w:rsid w:val="00AC3839"/>
    <w:rsid w:val="00AC43F8"/>
    <w:rsid w:val="00AC68D5"/>
    <w:rsid w:val="00AC7082"/>
    <w:rsid w:val="00AD12C7"/>
    <w:rsid w:val="00AD1D36"/>
    <w:rsid w:val="00AD4BE8"/>
    <w:rsid w:val="00AE20EB"/>
    <w:rsid w:val="00AE21A8"/>
    <w:rsid w:val="00AF228E"/>
    <w:rsid w:val="00B016A8"/>
    <w:rsid w:val="00B04780"/>
    <w:rsid w:val="00B108A5"/>
    <w:rsid w:val="00B14819"/>
    <w:rsid w:val="00B15E2F"/>
    <w:rsid w:val="00B164DB"/>
    <w:rsid w:val="00B17AA9"/>
    <w:rsid w:val="00B2234F"/>
    <w:rsid w:val="00B240F9"/>
    <w:rsid w:val="00B3103D"/>
    <w:rsid w:val="00B37C3C"/>
    <w:rsid w:val="00B40074"/>
    <w:rsid w:val="00B4228D"/>
    <w:rsid w:val="00B4375F"/>
    <w:rsid w:val="00B44713"/>
    <w:rsid w:val="00B454BA"/>
    <w:rsid w:val="00B51B95"/>
    <w:rsid w:val="00B52819"/>
    <w:rsid w:val="00B53FBE"/>
    <w:rsid w:val="00B56103"/>
    <w:rsid w:val="00B63456"/>
    <w:rsid w:val="00B64929"/>
    <w:rsid w:val="00B659B9"/>
    <w:rsid w:val="00B665F2"/>
    <w:rsid w:val="00B72824"/>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416A"/>
    <w:rsid w:val="00BA5FCB"/>
    <w:rsid w:val="00BA7B65"/>
    <w:rsid w:val="00BB0F2B"/>
    <w:rsid w:val="00BC251E"/>
    <w:rsid w:val="00BC5A60"/>
    <w:rsid w:val="00BE4FF3"/>
    <w:rsid w:val="00BF0AFE"/>
    <w:rsid w:val="00BF50F7"/>
    <w:rsid w:val="00C00277"/>
    <w:rsid w:val="00C02F29"/>
    <w:rsid w:val="00C06B6D"/>
    <w:rsid w:val="00C15EA3"/>
    <w:rsid w:val="00C17718"/>
    <w:rsid w:val="00C20AFE"/>
    <w:rsid w:val="00C22A25"/>
    <w:rsid w:val="00C22E2A"/>
    <w:rsid w:val="00C26E97"/>
    <w:rsid w:val="00C35671"/>
    <w:rsid w:val="00C35B77"/>
    <w:rsid w:val="00C36484"/>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97DC1"/>
    <w:rsid w:val="00CA28A7"/>
    <w:rsid w:val="00CB1983"/>
    <w:rsid w:val="00CB2CBB"/>
    <w:rsid w:val="00CB5057"/>
    <w:rsid w:val="00CB5BFA"/>
    <w:rsid w:val="00CB7CAC"/>
    <w:rsid w:val="00CC5335"/>
    <w:rsid w:val="00CC5BA4"/>
    <w:rsid w:val="00CC6748"/>
    <w:rsid w:val="00CD4998"/>
    <w:rsid w:val="00CD7ED6"/>
    <w:rsid w:val="00CE0191"/>
    <w:rsid w:val="00CE1035"/>
    <w:rsid w:val="00CE6E50"/>
    <w:rsid w:val="00CF128D"/>
    <w:rsid w:val="00CF2819"/>
    <w:rsid w:val="00CF4F9D"/>
    <w:rsid w:val="00CF70DC"/>
    <w:rsid w:val="00D04C72"/>
    <w:rsid w:val="00D079CC"/>
    <w:rsid w:val="00D148DC"/>
    <w:rsid w:val="00D17FDC"/>
    <w:rsid w:val="00D21D8C"/>
    <w:rsid w:val="00D22E5B"/>
    <w:rsid w:val="00D25628"/>
    <w:rsid w:val="00D263C0"/>
    <w:rsid w:val="00D33831"/>
    <w:rsid w:val="00D35C09"/>
    <w:rsid w:val="00D42F9E"/>
    <w:rsid w:val="00D45B4F"/>
    <w:rsid w:val="00D53719"/>
    <w:rsid w:val="00D6188D"/>
    <w:rsid w:val="00D63EFD"/>
    <w:rsid w:val="00D645DB"/>
    <w:rsid w:val="00D659CE"/>
    <w:rsid w:val="00D730C1"/>
    <w:rsid w:val="00D74A15"/>
    <w:rsid w:val="00D7704C"/>
    <w:rsid w:val="00D801B5"/>
    <w:rsid w:val="00D84246"/>
    <w:rsid w:val="00D84752"/>
    <w:rsid w:val="00D86B3B"/>
    <w:rsid w:val="00D873A4"/>
    <w:rsid w:val="00D8748A"/>
    <w:rsid w:val="00D90E04"/>
    <w:rsid w:val="00D91BE8"/>
    <w:rsid w:val="00D93196"/>
    <w:rsid w:val="00DA078F"/>
    <w:rsid w:val="00DA0DC0"/>
    <w:rsid w:val="00DA4C30"/>
    <w:rsid w:val="00DB243C"/>
    <w:rsid w:val="00DB482A"/>
    <w:rsid w:val="00DB50FB"/>
    <w:rsid w:val="00DB56F2"/>
    <w:rsid w:val="00DB6EF5"/>
    <w:rsid w:val="00DC3089"/>
    <w:rsid w:val="00DC4420"/>
    <w:rsid w:val="00DC7C64"/>
    <w:rsid w:val="00DD0802"/>
    <w:rsid w:val="00DD2E11"/>
    <w:rsid w:val="00DE03AF"/>
    <w:rsid w:val="00DE121C"/>
    <w:rsid w:val="00DE4744"/>
    <w:rsid w:val="00DE6633"/>
    <w:rsid w:val="00DF635F"/>
    <w:rsid w:val="00DF75F8"/>
    <w:rsid w:val="00DF7A3A"/>
    <w:rsid w:val="00E00C00"/>
    <w:rsid w:val="00E05C07"/>
    <w:rsid w:val="00E07C5A"/>
    <w:rsid w:val="00E11C54"/>
    <w:rsid w:val="00E11EB4"/>
    <w:rsid w:val="00E131DE"/>
    <w:rsid w:val="00E14FED"/>
    <w:rsid w:val="00E15666"/>
    <w:rsid w:val="00E15BA9"/>
    <w:rsid w:val="00E20096"/>
    <w:rsid w:val="00E26E19"/>
    <w:rsid w:val="00E27C4D"/>
    <w:rsid w:val="00E31DF3"/>
    <w:rsid w:val="00E409FC"/>
    <w:rsid w:val="00E43938"/>
    <w:rsid w:val="00E450A4"/>
    <w:rsid w:val="00E47E46"/>
    <w:rsid w:val="00E506BE"/>
    <w:rsid w:val="00E55547"/>
    <w:rsid w:val="00E56584"/>
    <w:rsid w:val="00E6302B"/>
    <w:rsid w:val="00E6452F"/>
    <w:rsid w:val="00E64F45"/>
    <w:rsid w:val="00E6742D"/>
    <w:rsid w:val="00E71CB0"/>
    <w:rsid w:val="00E7563D"/>
    <w:rsid w:val="00E75EFA"/>
    <w:rsid w:val="00E77C3D"/>
    <w:rsid w:val="00E90991"/>
    <w:rsid w:val="00E909F0"/>
    <w:rsid w:val="00E90D47"/>
    <w:rsid w:val="00E9169F"/>
    <w:rsid w:val="00E9243D"/>
    <w:rsid w:val="00E92AC3"/>
    <w:rsid w:val="00E93993"/>
    <w:rsid w:val="00E9597C"/>
    <w:rsid w:val="00EA0913"/>
    <w:rsid w:val="00EA5B00"/>
    <w:rsid w:val="00EB080B"/>
    <w:rsid w:val="00EB146B"/>
    <w:rsid w:val="00EB45AC"/>
    <w:rsid w:val="00EC441F"/>
    <w:rsid w:val="00EC4755"/>
    <w:rsid w:val="00ED0BC4"/>
    <w:rsid w:val="00ED14CB"/>
    <w:rsid w:val="00ED447D"/>
    <w:rsid w:val="00ED5BDC"/>
    <w:rsid w:val="00ED6316"/>
    <w:rsid w:val="00EE4971"/>
    <w:rsid w:val="00EE6CB0"/>
    <w:rsid w:val="00EE73AD"/>
    <w:rsid w:val="00EE75FF"/>
    <w:rsid w:val="00EF090E"/>
    <w:rsid w:val="00EF5572"/>
    <w:rsid w:val="00EF7E25"/>
    <w:rsid w:val="00F033DA"/>
    <w:rsid w:val="00F134FE"/>
    <w:rsid w:val="00F13691"/>
    <w:rsid w:val="00F13FB1"/>
    <w:rsid w:val="00F27CD8"/>
    <w:rsid w:val="00F30351"/>
    <w:rsid w:val="00F32C2B"/>
    <w:rsid w:val="00F3323E"/>
    <w:rsid w:val="00F341F4"/>
    <w:rsid w:val="00F34F9D"/>
    <w:rsid w:val="00F35CCE"/>
    <w:rsid w:val="00F36246"/>
    <w:rsid w:val="00F469BB"/>
    <w:rsid w:val="00F477C9"/>
    <w:rsid w:val="00F50531"/>
    <w:rsid w:val="00F5165C"/>
    <w:rsid w:val="00F54BDA"/>
    <w:rsid w:val="00F5524B"/>
    <w:rsid w:val="00F60531"/>
    <w:rsid w:val="00F60538"/>
    <w:rsid w:val="00F61DD2"/>
    <w:rsid w:val="00F66AFF"/>
    <w:rsid w:val="00F71433"/>
    <w:rsid w:val="00F97C5B"/>
    <w:rsid w:val="00F97EC2"/>
    <w:rsid w:val="00FA0CE9"/>
    <w:rsid w:val="00FA18CF"/>
    <w:rsid w:val="00FA32A2"/>
    <w:rsid w:val="00FA3D50"/>
    <w:rsid w:val="00FA4F1D"/>
    <w:rsid w:val="00FB4C6B"/>
    <w:rsid w:val="00FB7FBD"/>
    <w:rsid w:val="00FC374A"/>
    <w:rsid w:val="00FC490B"/>
    <w:rsid w:val="00FC7249"/>
    <w:rsid w:val="00FC74C8"/>
    <w:rsid w:val="00FC7B47"/>
    <w:rsid w:val="00FD035C"/>
    <w:rsid w:val="00FD05DC"/>
    <w:rsid w:val="00FD167E"/>
    <w:rsid w:val="00FD1A35"/>
    <w:rsid w:val="00FD25CA"/>
    <w:rsid w:val="00FD2EA4"/>
    <w:rsid w:val="00FD36C5"/>
    <w:rsid w:val="00FD6310"/>
    <w:rsid w:val="00FD7C7B"/>
    <w:rsid w:val="00FE1D12"/>
    <w:rsid w:val="00FE2122"/>
    <w:rsid w:val="00FE2A86"/>
    <w:rsid w:val="00FE2DE2"/>
    <w:rsid w:val="00FE4EDE"/>
    <w:rsid w:val="00FE758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3">
    <w:name w:val="heading 3"/>
    <w:basedOn w:val="Normal"/>
    <w:link w:val="Heading3Char"/>
    <w:uiPriority w:val="9"/>
    <w:qFormat/>
    <w:rsid w:val="00901320"/>
    <w:pPr>
      <w:spacing w:before="100" w:beforeAutospacing="1" w:after="100" w:afterAutospacing="1"/>
      <w:outlineLvl w:val="2"/>
    </w:pPr>
    <w:rPr>
      <w:rFonts w:ascii="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 w:type="paragraph" w:customStyle="1" w:styleId="paragraph">
    <w:name w:val="paragraph"/>
    <w:basedOn w:val="Normal"/>
    <w:rsid w:val="004149F3"/>
    <w:pPr>
      <w:spacing w:before="100" w:beforeAutospacing="1" w:after="100" w:afterAutospacing="1"/>
    </w:pPr>
    <w:rPr>
      <w:rFonts w:ascii="Times New Roman" w:hAnsi="Times New Roman" w:cs="Times New Roman"/>
      <w:sz w:val="24"/>
      <w:lang w:val="en-IN" w:eastAsia="en-IN"/>
    </w:rPr>
  </w:style>
  <w:style w:type="paragraph" w:customStyle="1" w:styleId="subsection2">
    <w:name w:val="subsection2"/>
    <w:basedOn w:val="Normal"/>
    <w:rsid w:val="004149F3"/>
    <w:pPr>
      <w:spacing w:before="100" w:beforeAutospacing="1" w:after="100" w:afterAutospacing="1"/>
    </w:pPr>
    <w:rPr>
      <w:rFonts w:ascii="Times New Roman" w:hAnsi="Times New Roman" w:cs="Times New Roman"/>
      <w:sz w:val="24"/>
      <w:lang w:val="en-IN" w:eastAsia="en-IN"/>
    </w:rPr>
  </w:style>
  <w:style w:type="character" w:styleId="UnresolvedMention">
    <w:name w:val="Unresolved Mention"/>
    <w:basedOn w:val="DefaultParagraphFont"/>
    <w:uiPriority w:val="99"/>
    <w:semiHidden/>
    <w:unhideWhenUsed/>
    <w:rsid w:val="008A09E1"/>
    <w:rPr>
      <w:color w:val="605E5C"/>
      <w:shd w:val="clear" w:color="auto" w:fill="E1DFDD"/>
    </w:rPr>
  </w:style>
  <w:style w:type="character" w:customStyle="1" w:styleId="Heading3Char">
    <w:name w:val="Heading 3 Char"/>
    <w:basedOn w:val="DefaultParagraphFont"/>
    <w:link w:val="Heading3"/>
    <w:uiPriority w:val="9"/>
    <w:rsid w:val="00901320"/>
    <w:rPr>
      <w:rFonts w:ascii="Times New Roman" w:eastAsia="Times New Roman" w:hAnsi="Times New Roman" w:cs="Times New Roman"/>
      <w:b/>
      <w:bCs/>
      <w:sz w:val="27"/>
      <w:szCs w:val="27"/>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07085840">
      <w:bodyDiv w:val="1"/>
      <w:marLeft w:val="0"/>
      <w:marRight w:val="0"/>
      <w:marTop w:val="0"/>
      <w:marBottom w:val="0"/>
      <w:divBdr>
        <w:top w:val="none" w:sz="0" w:space="0" w:color="auto"/>
        <w:left w:val="none" w:sz="0" w:space="0" w:color="auto"/>
        <w:bottom w:val="none" w:sz="0" w:space="0" w:color="auto"/>
        <w:right w:val="none" w:sz="0" w:space="0" w:color="auto"/>
      </w:divBdr>
      <w:divsChild>
        <w:div w:id="1980257988">
          <w:marLeft w:val="0"/>
          <w:marRight w:val="0"/>
          <w:marTop w:val="0"/>
          <w:marBottom w:val="0"/>
          <w:divBdr>
            <w:top w:val="none" w:sz="0" w:space="0" w:color="auto"/>
            <w:left w:val="none" w:sz="0" w:space="0" w:color="auto"/>
            <w:bottom w:val="single" w:sz="6" w:space="0" w:color="1E71B7"/>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562129799">
      <w:bodyDiv w:val="1"/>
      <w:marLeft w:val="0"/>
      <w:marRight w:val="0"/>
      <w:marTop w:val="0"/>
      <w:marBottom w:val="0"/>
      <w:divBdr>
        <w:top w:val="none" w:sz="0" w:space="0" w:color="auto"/>
        <w:left w:val="none" w:sz="0" w:space="0" w:color="auto"/>
        <w:bottom w:val="none" w:sz="0" w:space="0" w:color="auto"/>
        <w:right w:val="none" w:sz="0" w:space="0" w:color="auto"/>
      </w:divBdr>
    </w:div>
    <w:div w:id="1722709851">
      <w:bodyDiv w:val="1"/>
      <w:marLeft w:val="0"/>
      <w:marRight w:val="0"/>
      <w:marTop w:val="0"/>
      <w:marBottom w:val="0"/>
      <w:divBdr>
        <w:top w:val="none" w:sz="0" w:space="0" w:color="auto"/>
        <w:left w:val="none" w:sz="0" w:space="0" w:color="auto"/>
        <w:bottom w:val="none" w:sz="0" w:space="0" w:color="auto"/>
        <w:right w:val="none" w:sz="0" w:space="0" w:color="auto"/>
      </w:divBdr>
    </w:div>
    <w:div w:id="1984117758">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191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ortonrosefulbright.com/en/knowledge/publications/cd46e9a1/insolvency-law-reform-in-australia" TargetMode="External"/><Relationship Id="rId2" Type="http://schemas.openxmlformats.org/officeDocument/2006/relationships/hyperlink" Target="https://www.aph.gov.au/Parliamentary_Business/Bills_Legislation/Bills_Search_Results/Result?bId=r6626" TargetMode="External"/><Relationship Id="rId1" Type="http://schemas.openxmlformats.org/officeDocument/2006/relationships/hyperlink" Target="https://www.ausbanking.org.au/small-business/" TargetMode="External"/><Relationship Id="rId4" Type="http://schemas.openxmlformats.org/officeDocument/2006/relationships/hyperlink" Target="https://www.ato.gov.au/law/view/view.htm?docid=LIT/ICD/NSD1933-2013/00001&amp;PiT=99991231235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12</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Rashika Sharma</cp:lastModifiedBy>
  <cp:revision>228</cp:revision>
  <cp:lastPrinted>2019-08-27T05:42:00Z</cp:lastPrinted>
  <dcterms:created xsi:type="dcterms:W3CDTF">2023-07-26T11:18:00Z</dcterms:created>
  <dcterms:modified xsi:type="dcterms:W3CDTF">2023-07-28T06:47:00Z</dcterms:modified>
</cp:coreProperties>
</file>