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CC5C93" w:rsidRDefault="00BA41E0" w:rsidP="004D2090">
      <w:pPr>
        <w:pStyle w:val="ListParagraph"/>
        <w:numPr>
          <w:ilvl w:val="0"/>
          <w:numId w:val="1"/>
        </w:numPr>
        <w:ind w:left="426"/>
        <w:jc w:val="both"/>
        <w:rPr>
          <w:rFonts w:ascii="Avenir Next" w:hAnsi="Avenir Next" w:cs="Arial"/>
          <w:sz w:val="22"/>
          <w:szCs w:val="22"/>
          <w:highlight w:val="yellow"/>
          <w:lang w:val="en-GB"/>
        </w:rPr>
      </w:pPr>
      <w:r w:rsidRPr="00CC5C93">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F54CAB" w:rsidRDefault="0052366A" w:rsidP="004D2090">
      <w:pPr>
        <w:pStyle w:val="ListParagraph"/>
        <w:numPr>
          <w:ilvl w:val="0"/>
          <w:numId w:val="2"/>
        </w:numPr>
        <w:ind w:left="426"/>
        <w:jc w:val="both"/>
        <w:rPr>
          <w:rFonts w:ascii="Avenir Next" w:hAnsi="Avenir Next" w:cs="Arial"/>
          <w:sz w:val="22"/>
          <w:szCs w:val="22"/>
          <w:highlight w:val="yellow"/>
          <w:lang w:val="en-GB"/>
        </w:rPr>
      </w:pPr>
      <w:r w:rsidRPr="00F54CAB">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A823E6" w:rsidRDefault="002938AD" w:rsidP="004D2090">
      <w:pPr>
        <w:pStyle w:val="ListParagraph"/>
        <w:numPr>
          <w:ilvl w:val="0"/>
          <w:numId w:val="3"/>
        </w:numPr>
        <w:ind w:left="426"/>
        <w:jc w:val="both"/>
        <w:rPr>
          <w:rFonts w:ascii="Avenir Next" w:hAnsi="Avenir Next" w:cs="Arial"/>
          <w:sz w:val="22"/>
          <w:szCs w:val="22"/>
          <w:highlight w:val="yellow"/>
          <w:lang w:val="en-GB"/>
        </w:rPr>
      </w:pPr>
      <w:r w:rsidRPr="00A823E6">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D54462" w:rsidRDefault="001A512B" w:rsidP="004D2090">
      <w:pPr>
        <w:pStyle w:val="ListParagraph"/>
        <w:numPr>
          <w:ilvl w:val="0"/>
          <w:numId w:val="4"/>
        </w:numPr>
        <w:ind w:left="426"/>
        <w:jc w:val="both"/>
        <w:rPr>
          <w:rFonts w:ascii="Avenir Next" w:hAnsi="Avenir Next" w:cs="Arial"/>
          <w:sz w:val="22"/>
          <w:szCs w:val="22"/>
          <w:highlight w:val="yellow"/>
          <w:lang w:val="en-GB"/>
        </w:rPr>
      </w:pPr>
      <w:r w:rsidRPr="00D54462">
        <w:rPr>
          <w:rFonts w:ascii="Avenir Next" w:hAnsi="Avenir Next" w:cs="Arial"/>
          <w:sz w:val="22"/>
          <w:szCs w:val="22"/>
          <w:highlight w:val="yellow"/>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205D5C" w:rsidRDefault="00DF1875" w:rsidP="004D2090">
      <w:pPr>
        <w:pStyle w:val="ListParagraph"/>
        <w:numPr>
          <w:ilvl w:val="0"/>
          <w:numId w:val="5"/>
        </w:numPr>
        <w:ind w:left="426"/>
        <w:jc w:val="both"/>
        <w:rPr>
          <w:rFonts w:ascii="Avenir Next" w:hAnsi="Avenir Next" w:cs="Arial"/>
          <w:sz w:val="22"/>
          <w:szCs w:val="22"/>
          <w:highlight w:val="yellow"/>
          <w:lang w:val="en-GB"/>
        </w:rPr>
      </w:pPr>
      <w:r w:rsidRPr="00205D5C">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CA0D74">
        <w:rPr>
          <w:rFonts w:ascii="Avenir Next" w:hAnsi="Avenir Next" w:cs="Arial"/>
          <w:sz w:val="22"/>
          <w:szCs w:val="22"/>
          <w:highlight w:val="yellow"/>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CA0D74" w:rsidRDefault="00EE1A0C" w:rsidP="004D2090">
      <w:pPr>
        <w:pStyle w:val="ListParagraph"/>
        <w:numPr>
          <w:ilvl w:val="0"/>
          <w:numId w:val="6"/>
        </w:numPr>
        <w:ind w:left="426"/>
        <w:jc w:val="both"/>
        <w:rPr>
          <w:rFonts w:ascii="Avenir Next" w:hAnsi="Avenir Next" w:cs="Arial"/>
          <w:sz w:val="22"/>
          <w:szCs w:val="22"/>
          <w:highlight w:val="yellow"/>
          <w:lang w:val="en-GB"/>
        </w:rPr>
      </w:pPr>
      <w:r w:rsidRPr="00CA0D74">
        <w:rPr>
          <w:rFonts w:ascii="Avenir Next" w:hAnsi="Avenir Next" w:cs="Arial"/>
          <w:sz w:val="22"/>
          <w:szCs w:val="22"/>
          <w:highlight w:val="yellow"/>
          <w:lang w:val="en-GB"/>
        </w:rPr>
        <w:t>A</w:t>
      </w:r>
      <w:r w:rsidR="00025846" w:rsidRPr="00CA0D74">
        <w:rPr>
          <w:rFonts w:ascii="Avenir Next" w:hAnsi="Avenir Next" w:cs="Arial"/>
          <w:sz w:val="22"/>
          <w:szCs w:val="22"/>
          <w:highlight w:val="yellow"/>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9D49A5" w:rsidRDefault="00EE1A0C" w:rsidP="004D2090">
      <w:pPr>
        <w:pStyle w:val="ListParagraph"/>
        <w:numPr>
          <w:ilvl w:val="0"/>
          <w:numId w:val="6"/>
        </w:numPr>
        <w:ind w:left="426"/>
        <w:jc w:val="both"/>
        <w:rPr>
          <w:rFonts w:ascii="Avenir Next" w:hAnsi="Avenir Next" w:cs="Arial"/>
          <w:sz w:val="22"/>
          <w:szCs w:val="22"/>
          <w:highlight w:val="yellow"/>
          <w:lang w:val="en-GB"/>
        </w:rPr>
      </w:pPr>
      <w:r w:rsidRPr="009D49A5">
        <w:rPr>
          <w:rFonts w:ascii="Avenir Next" w:hAnsi="Avenir Next" w:cs="Arial"/>
          <w:sz w:val="22"/>
          <w:szCs w:val="22"/>
          <w:highlight w:val="yellow"/>
          <w:lang w:val="en-GB"/>
        </w:rPr>
        <w:t>A</w:t>
      </w:r>
      <w:r w:rsidR="00025846" w:rsidRPr="009D49A5">
        <w:rPr>
          <w:rFonts w:ascii="Avenir Next" w:hAnsi="Avenir Next" w:cs="Arial"/>
          <w:sz w:val="22"/>
          <w:szCs w:val="22"/>
          <w:highlight w:val="yellow"/>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D50258" w:rsidRDefault="00E631C5" w:rsidP="004D2090">
      <w:pPr>
        <w:pStyle w:val="ListParagraph"/>
        <w:numPr>
          <w:ilvl w:val="0"/>
          <w:numId w:val="7"/>
        </w:numPr>
        <w:ind w:left="426"/>
        <w:jc w:val="both"/>
        <w:rPr>
          <w:rFonts w:ascii="Avenir Next" w:hAnsi="Avenir Next" w:cs="Arial"/>
          <w:sz w:val="22"/>
          <w:szCs w:val="22"/>
          <w:highlight w:val="yellow"/>
          <w:lang w:val="en-GB"/>
        </w:rPr>
      </w:pPr>
      <w:r w:rsidRPr="00D50258">
        <w:rPr>
          <w:rFonts w:ascii="Avenir Next" w:hAnsi="Avenir Next" w:cs="Arial"/>
          <w:sz w:val="22"/>
          <w:szCs w:val="22"/>
          <w:highlight w:val="yellow"/>
          <w:lang w:val="en-GB"/>
        </w:rPr>
        <w:t>To preserve</w:t>
      </w:r>
      <w:r w:rsidR="00FA2EAC" w:rsidRPr="00D50258">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B84F74" w:rsidRDefault="001B3AEE" w:rsidP="004D2090">
      <w:pPr>
        <w:pStyle w:val="ListParagraph"/>
        <w:numPr>
          <w:ilvl w:val="0"/>
          <w:numId w:val="8"/>
        </w:numPr>
        <w:ind w:left="426"/>
        <w:jc w:val="both"/>
        <w:rPr>
          <w:rFonts w:ascii="Avenir Next" w:hAnsi="Avenir Next" w:cs="Arial"/>
          <w:sz w:val="22"/>
          <w:szCs w:val="22"/>
          <w:highlight w:val="yellow"/>
          <w:lang w:val="en-GB"/>
        </w:rPr>
      </w:pPr>
      <w:r w:rsidRPr="00B84F74">
        <w:rPr>
          <w:rFonts w:ascii="Avenir Next" w:hAnsi="Avenir Next" w:cs="Arial"/>
          <w:sz w:val="22"/>
          <w:szCs w:val="22"/>
          <w:highlight w:val="yellow"/>
          <w:lang w:val="en-GB"/>
        </w:rPr>
        <w:t xml:space="preserve">An individual whose parents </w:t>
      </w:r>
      <w:r w:rsidR="000940F4" w:rsidRPr="00B84F74">
        <w:rPr>
          <w:rFonts w:ascii="Avenir Next" w:hAnsi="Avenir Next" w:cs="Arial"/>
          <w:sz w:val="22"/>
          <w:szCs w:val="22"/>
          <w:highlight w:val="yellow"/>
          <w:lang w:val="en-GB"/>
        </w:rPr>
        <w:t>live</w:t>
      </w:r>
      <w:r w:rsidRPr="00B84F74">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183EC4" w:rsidRDefault="003D142C" w:rsidP="004D2090">
      <w:pPr>
        <w:pStyle w:val="ListParagraph"/>
        <w:numPr>
          <w:ilvl w:val="0"/>
          <w:numId w:val="9"/>
        </w:numPr>
        <w:ind w:left="426"/>
        <w:jc w:val="both"/>
        <w:rPr>
          <w:rFonts w:ascii="Avenir Next" w:hAnsi="Avenir Next" w:cs="Arial"/>
          <w:sz w:val="22"/>
          <w:szCs w:val="22"/>
          <w:highlight w:val="yellow"/>
          <w:lang w:val="en-GB"/>
        </w:rPr>
      </w:pPr>
      <w:r w:rsidRPr="00183EC4">
        <w:rPr>
          <w:rFonts w:ascii="Avenir Next" w:hAnsi="Avenir Next" w:cs="Arial"/>
          <w:sz w:val="22"/>
          <w:szCs w:val="22"/>
          <w:highlight w:val="yellow"/>
          <w:lang w:val="en-GB"/>
        </w:rPr>
        <w:t xml:space="preserve">Rescue financing enjoys preferential treatment automatically without the sanction of </w:t>
      </w:r>
      <w:r w:rsidR="00CD338E" w:rsidRPr="00183EC4">
        <w:rPr>
          <w:rFonts w:ascii="Avenir Next" w:hAnsi="Avenir Next" w:cs="Arial"/>
          <w:sz w:val="22"/>
          <w:szCs w:val="22"/>
          <w:highlight w:val="yellow"/>
          <w:lang w:val="en-GB"/>
        </w:rPr>
        <w:t>c</w:t>
      </w:r>
      <w:r w:rsidRPr="00183EC4">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7102F5">
        <w:rPr>
          <w:rFonts w:ascii="Avenir Next" w:hAnsi="Avenir Next" w:cs="Arial"/>
          <w:sz w:val="22"/>
          <w:szCs w:val="22"/>
          <w:highlight w:val="yellow"/>
          <w:lang w:val="en-GB"/>
        </w:rPr>
        <w:t>Any of the above</w:t>
      </w:r>
      <w:r w:rsidRPr="004F0CF9">
        <w:rPr>
          <w:rFonts w:ascii="Avenir Next" w:hAnsi="Avenir Next" w:cs="Arial"/>
          <w:sz w:val="22"/>
          <w:szCs w:val="22"/>
          <w:lang w:val="en-GB"/>
        </w:rPr>
        <w:t>.</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6BB20890" w:rsidR="008C35C9" w:rsidRDefault="00CE625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Cross-class cram down </w:t>
      </w:r>
      <w:r w:rsidR="003E4BD4">
        <w:rPr>
          <w:rFonts w:ascii="Avenir Next" w:hAnsi="Avenir Next" w:cs="Arial"/>
          <w:color w:val="808080" w:themeColor="background1" w:themeShade="80"/>
          <w:sz w:val="22"/>
          <w:szCs w:val="22"/>
          <w:lang w:val="en-GB"/>
        </w:rPr>
        <w:t xml:space="preserve">in schemes of arrangement involves the </w:t>
      </w:r>
      <w:r w:rsidR="007B66B2">
        <w:rPr>
          <w:rFonts w:ascii="Avenir Next" w:hAnsi="Avenir Next" w:cs="Arial"/>
          <w:color w:val="808080" w:themeColor="background1" w:themeShade="80"/>
          <w:sz w:val="22"/>
          <w:szCs w:val="22"/>
          <w:lang w:val="en-GB"/>
        </w:rPr>
        <w:t>court’s</w:t>
      </w:r>
      <w:r w:rsidR="003E4BD4">
        <w:rPr>
          <w:rFonts w:ascii="Avenir Next" w:hAnsi="Avenir Next" w:cs="Arial"/>
          <w:color w:val="808080" w:themeColor="background1" w:themeShade="80"/>
          <w:sz w:val="22"/>
          <w:szCs w:val="22"/>
          <w:lang w:val="en-GB"/>
        </w:rPr>
        <w:t xml:space="preserve"> ability to impose a scheme to all classes of creditors if </w:t>
      </w:r>
      <w:r w:rsidR="005F50CD">
        <w:rPr>
          <w:rFonts w:ascii="Avenir Next" w:hAnsi="Avenir Next" w:cs="Arial"/>
          <w:color w:val="808080" w:themeColor="background1" w:themeShade="80"/>
          <w:sz w:val="22"/>
          <w:szCs w:val="22"/>
          <w:lang w:val="en-GB"/>
        </w:rPr>
        <w:t>the requirements are met.</w:t>
      </w:r>
      <w:r w:rsidR="005F50CD">
        <w:rPr>
          <w:rStyle w:val="FootnoteReference"/>
          <w:rFonts w:ascii="Avenir Next" w:hAnsi="Avenir Next" w:cs="Arial"/>
          <w:color w:val="808080" w:themeColor="background1" w:themeShade="80"/>
          <w:sz w:val="22"/>
          <w:szCs w:val="22"/>
          <w:lang w:val="en-GB"/>
        </w:rPr>
        <w:footnoteReference w:id="1"/>
      </w:r>
      <w:r w:rsidR="00317843">
        <w:rPr>
          <w:rFonts w:ascii="Avenir Next" w:hAnsi="Avenir Next" w:cs="Arial"/>
          <w:color w:val="808080" w:themeColor="background1" w:themeShade="80"/>
          <w:sz w:val="22"/>
          <w:szCs w:val="22"/>
          <w:lang w:val="en-GB"/>
        </w:rPr>
        <w:t xml:space="preserve"> Some classes of creditors may vote not the be </w:t>
      </w:r>
      <w:r w:rsidR="00317843">
        <w:rPr>
          <w:rFonts w:ascii="Avenir Next" w:hAnsi="Avenir Next" w:cs="Arial"/>
          <w:color w:val="808080" w:themeColor="background1" w:themeShade="80"/>
          <w:sz w:val="22"/>
          <w:szCs w:val="22"/>
          <w:lang w:val="en-GB"/>
        </w:rPr>
        <w:lastRenderedPageBreak/>
        <w:t xml:space="preserve">bound by the </w:t>
      </w:r>
      <w:r w:rsidR="00510F16">
        <w:rPr>
          <w:rFonts w:ascii="Avenir Next" w:hAnsi="Avenir Next" w:cs="Arial"/>
          <w:color w:val="808080" w:themeColor="background1" w:themeShade="80"/>
          <w:sz w:val="22"/>
          <w:szCs w:val="22"/>
          <w:lang w:val="en-GB"/>
        </w:rPr>
        <w:t>scheme,</w:t>
      </w:r>
      <w:r w:rsidR="00317843">
        <w:rPr>
          <w:rFonts w:ascii="Avenir Next" w:hAnsi="Avenir Next" w:cs="Arial"/>
          <w:color w:val="808080" w:themeColor="background1" w:themeShade="80"/>
          <w:sz w:val="22"/>
          <w:szCs w:val="22"/>
          <w:lang w:val="en-GB"/>
        </w:rPr>
        <w:t xml:space="preserve"> but the effect of the cross-class cram down is th</w:t>
      </w:r>
      <w:r w:rsidR="00DA6DBA">
        <w:rPr>
          <w:rFonts w:ascii="Avenir Next" w:hAnsi="Avenir Next" w:cs="Arial"/>
          <w:color w:val="808080" w:themeColor="background1" w:themeShade="80"/>
          <w:sz w:val="22"/>
          <w:szCs w:val="22"/>
          <w:lang w:val="en-GB"/>
        </w:rPr>
        <w:t xml:space="preserve">ose classes pf creditors will be bound. </w:t>
      </w:r>
      <w:r w:rsidR="001861E9">
        <w:rPr>
          <w:rFonts w:ascii="Avenir Next" w:hAnsi="Avenir Next" w:cs="Arial"/>
          <w:color w:val="808080" w:themeColor="background1" w:themeShade="80"/>
          <w:sz w:val="22"/>
          <w:szCs w:val="22"/>
          <w:lang w:val="en-GB"/>
        </w:rPr>
        <w:t>For the cross-</w:t>
      </w:r>
      <w:r w:rsidR="00F45B8E">
        <w:rPr>
          <w:rFonts w:ascii="Avenir Next" w:hAnsi="Avenir Next" w:cs="Arial"/>
          <w:color w:val="808080" w:themeColor="background1" w:themeShade="80"/>
          <w:sz w:val="22"/>
          <w:szCs w:val="22"/>
          <w:lang w:val="en-GB"/>
        </w:rPr>
        <w:t xml:space="preserve">class cram-down to </w:t>
      </w:r>
      <w:r w:rsidR="00F14CA5">
        <w:rPr>
          <w:rFonts w:ascii="Avenir Next" w:hAnsi="Avenir Next" w:cs="Arial"/>
          <w:color w:val="808080" w:themeColor="background1" w:themeShade="80"/>
          <w:sz w:val="22"/>
          <w:szCs w:val="22"/>
          <w:lang w:val="en-GB"/>
        </w:rPr>
        <w:t xml:space="preserve">be </w:t>
      </w:r>
      <w:r w:rsidR="00F45B8E">
        <w:rPr>
          <w:rFonts w:ascii="Avenir Next" w:hAnsi="Avenir Next" w:cs="Arial"/>
          <w:color w:val="808080" w:themeColor="background1" w:themeShade="80"/>
          <w:sz w:val="22"/>
          <w:szCs w:val="22"/>
          <w:lang w:val="en-GB"/>
        </w:rPr>
        <w:t>appl</w:t>
      </w:r>
      <w:r w:rsidR="00F14CA5">
        <w:rPr>
          <w:rFonts w:ascii="Avenir Next" w:hAnsi="Avenir Next" w:cs="Arial"/>
          <w:color w:val="808080" w:themeColor="background1" w:themeShade="80"/>
          <w:sz w:val="22"/>
          <w:szCs w:val="22"/>
          <w:lang w:val="en-GB"/>
        </w:rPr>
        <w:t xml:space="preserve">ies the </w:t>
      </w:r>
      <w:r w:rsidR="00B42A2B">
        <w:rPr>
          <w:rFonts w:ascii="Avenir Next" w:hAnsi="Avenir Next" w:cs="Arial"/>
          <w:color w:val="808080" w:themeColor="background1" w:themeShade="80"/>
          <w:sz w:val="22"/>
          <w:szCs w:val="22"/>
          <w:lang w:val="en-GB"/>
        </w:rPr>
        <w:t>courts</w:t>
      </w:r>
      <w:r w:rsidR="00F45B8E">
        <w:rPr>
          <w:rFonts w:ascii="Avenir Next" w:hAnsi="Avenir Next" w:cs="Arial"/>
          <w:color w:val="808080" w:themeColor="background1" w:themeShade="80"/>
          <w:sz w:val="22"/>
          <w:szCs w:val="22"/>
          <w:lang w:val="en-GB"/>
        </w:rPr>
        <w:t xml:space="preserve"> there are certain requirements which must be fulfilled</w:t>
      </w:r>
      <w:r w:rsidR="00343150">
        <w:rPr>
          <w:rFonts w:ascii="Avenir Next" w:hAnsi="Avenir Next" w:cs="Arial"/>
          <w:color w:val="808080" w:themeColor="background1" w:themeShade="80"/>
          <w:sz w:val="22"/>
          <w:szCs w:val="22"/>
          <w:lang w:val="en-GB"/>
        </w:rPr>
        <w:t>:</w:t>
      </w:r>
      <w:r w:rsidR="007C3735">
        <w:rPr>
          <w:rStyle w:val="FootnoteReference"/>
          <w:rFonts w:ascii="Avenir Next" w:hAnsi="Avenir Next" w:cs="Arial"/>
          <w:color w:val="808080" w:themeColor="background1" w:themeShade="80"/>
          <w:sz w:val="22"/>
          <w:szCs w:val="22"/>
          <w:lang w:val="en-GB"/>
        </w:rPr>
        <w:footnoteReference w:id="2"/>
      </w:r>
    </w:p>
    <w:p w14:paraId="7CDD39FB" w14:textId="494B2DB9" w:rsidR="00343150" w:rsidRDefault="00B34AE4" w:rsidP="00865EC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than 50% of the </w:t>
      </w:r>
      <w:r w:rsidR="00C44E23">
        <w:rPr>
          <w:rFonts w:ascii="Avenir Next" w:hAnsi="Avenir Next" w:cs="Arial"/>
          <w:color w:val="808080" w:themeColor="background1" w:themeShade="80"/>
          <w:sz w:val="22"/>
          <w:szCs w:val="22"/>
          <w:lang w:val="en-GB"/>
        </w:rPr>
        <w:t xml:space="preserve">total number of creditors </w:t>
      </w:r>
      <w:r w:rsidR="00D176E5">
        <w:rPr>
          <w:rFonts w:ascii="Avenir Next" w:hAnsi="Avenir Next" w:cs="Arial"/>
          <w:color w:val="808080" w:themeColor="background1" w:themeShade="80"/>
          <w:sz w:val="22"/>
          <w:szCs w:val="22"/>
          <w:lang w:val="en-GB"/>
        </w:rPr>
        <w:t xml:space="preserve">who were </w:t>
      </w:r>
      <w:r w:rsidR="00B42A2B">
        <w:rPr>
          <w:rFonts w:ascii="Avenir Next" w:hAnsi="Avenir Next" w:cs="Arial"/>
          <w:color w:val="808080" w:themeColor="background1" w:themeShade="80"/>
          <w:sz w:val="22"/>
          <w:szCs w:val="22"/>
          <w:lang w:val="en-GB"/>
        </w:rPr>
        <w:t>present,</w:t>
      </w:r>
      <w:r w:rsidR="00D176E5">
        <w:rPr>
          <w:rFonts w:ascii="Avenir Next" w:hAnsi="Avenir Next" w:cs="Arial"/>
          <w:color w:val="808080" w:themeColor="background1" w:themeShade="80"/>
          <w:sz w:val="22"/>
          <w:szCs w:val="22"/>
          <w:lang w:val="en-GB"/>
        </w:rPr>
        <w:t xml:space="preserve"> and voting must agree to the scheme</w:t>
      </w:r>
      <w:r w:rsidR="008C2D21">
        <w:rPr>
          <w:rFonts w:ascii="Avenir Next" w:hAnsi="Avenir Next" w:cs="Arial"/>
          <w:color w:val="808080" w:themeColor="background1" w:themeShade="80"/>
          <w:sz w:val="22"/>
          <w:szCs w:val="22"/>
          <w:lang w:val="en-GB"/>
        </w:rPr>
        <w:t>;</w:t>
      </w:r>
    </w:p>
    <w:p w14:paraId="21211A66" w14:textId="574176BA" w:rsidR="00D176E5" w:rsidRDefault="00D176E5" w:rsidP="00865EC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present and voting creditors must represent 75% in value of the total claim by the creditors</w:t>
      </w:r>
      <w:r w:rsidR="008C2D21">
        <w:rPr>
          <w:rFonts w:ascii="Avenir Next" w:hAnsi="Avenir Next" w:cs="Arial"/>
          <w:color w:val="808080" w:themeColor="background1" w:themeShade="80"/>
          <w:sz w:val="22"/>
          <w:szCs w:val="22"/>
          <w:lang w:val="en-GB"/>
        </w:rPr>
        <w:t>;</w:t>
      </w:r>
      <w:r w:rsidR="00B42A2B">
        <w:rPr>
          <w:rFonts w:ascii="Avenir Next" w:hAnsi="Avenir Next" w:cs="Arial"/>
          <w:color w:val="808080" w:themeColor="background1" w:themeShade="80"/>
          <w:sz w:val="22"/>
          <w:szCs w:val="22"/>
          <w:lang w:val="en-GB"/>
        </w:rPr>
        <w:t xml:space="preserve"> and </w:t>
      </w:r>
    </w:p>
    <w:p w14:paraId="7CA14B5A" w14:textId="4098F080" w:rsidR="008C2D21" w:rsidRPr="00343150" w:rsidRDefault="00D646E8" w:rsidP="00865EC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Classes of creditors cannot be unfairly discriminated against by the scheme</w:t>
      </w:r>
      <w:r w:rsidR="00017BE8">
        <w:rPr>
          <w:rFonts w:ascii="Avenir Next" w:hAnsi="Avenir Next" w:cs="Arial"/>
          <w:color w:val="808080" w:themeColor="background1" w:themeShade="80"/>
          <w:sz w:val="22"/>
          <w:szCs w:val="22"/>
          <w:lang w:val="en-GB"/>
        </w:rPr>
        <w:t xml:space="preserve">. For </w:t>
      </w:r>
      <w:r w:rsidR="00B42A2B">
        <w:rPr>
          <w:rFonts w:ascii="Avenir Next" w:hAnsi="Avenir Next" w:cs="Arial"/>
          <w:color w:val="808080" w:themeColor="background1" w:themeShade="80"/>
          <w:sz w:val="22"/>
          <w:szCs w:val="22"/>
          <w:lang w:val="en-GB"/>
        </w:rPr>
        <w:t>example,</w:t>
      </w:r>
      <w:r w:rsidR="00017BE8">
        <w:rPr>
          <w:rFonts w:ascii="Avenir Next" w:hAnsi="Avenir Next" w:cs="Arial"/>
          <w:color w:val="808080" w:themeColor="background1" w:themeShade="80"/>
          <w:sz w:val="22"/>
          <w:szCs w:val="22"/>
          <w:lang w:val="en-GB"/>
        </w:rPr>
        <w:t xml:space="preserve"> the scheme should not offer less than what the creditors </w:t>
      </w:r>
      <w:r w:rsidR="008C6451">
        <w:rPr>
          <w:rFonts w:ascii="Avenir Next" w:hAnsi="Avenir Next" w:cs="Arial"/>
          <w:color w:val="808080" w:themeColor="background1" w:themeShade="80"/>
          <w:sz w:val="22"/>
          <w:szCs w:val="22"/>
          <w:lang w:val="en-GB"/>
        </w:rPr>
        <w:t xml:space="preserve">is entitled to or </w:t>
      </w:r>
      <w:r w:rsidR="00017BE8">
        <w:rPr>
          <w:rFonts w:ascii="Avenir Next" w:hAnsi="Avenir Next" w:cs="Arial"/>
          <w:color w:val="808080" w:themeColor="background1" w:themeShade="80"/>
          <w:sz w:val="22"/>
          <w:szCs w:val="22"/>
          <w:lang w:val="en-GB"/>
        </w:rPr>
        <w:t>could have received if the scheme does not work.</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4E3F36D1" w:rsidR="008C35C9" w:rsidRDefault="00A7357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repeal and replace </w:t>
      </w:r>
      <w:r w:rsidR="0022249A">
        <w:rPr>
          <w:rFonts w:ascii="Avenir Next" w:hAnsi="Avenir Next" w:cs="Arial"/>
          <w:color w:val="808080" w:themeColor="background1" w:themeShade="80"/>
          <w:sz w:val="22"/>
          <w:szCs w:val="22"/>
          <w:lang w:val="en-GB"/>
        </w:rPr>
        <w:t xml:space="preserve">prior existing legislative regimes </w:t>
      </w:r>
      <w:r w:rsidR="00DE6D8C">
        <w:rPr>
          <w:rFonts w:ascii="Avenir Next" w:hAnsi="Avenir Next" w:cs="Arial"/>
          <w:color w:val="808080" w:themeColor="background1" w:themeShade="80"/>
          <w:sz w:val="22"/>
          <w:szCs w:val="22"/>
          <w:lang w:val="en-GB"/>
        </w:rPr>
        <w:t xml:space="preserve">(for example Bankruptcy Act and the Companies Act) </w:t>
      </w:r>
      <w:r w:rsidR="0022249A">
        <w:rPr>
          <w:rFonts w:ascii="Avenir Next" w:hAnsi="Avenir Next" w:cs="Arial"/>
          <w:color w:val="808080" w:themeColor="background1" w:themeShade="80"/>
          <w:sz w:val="22"/>
          <w:szCs w:val="22"/>
          <w:lang w:val="en-GB"/>
        </w:rPr>
        <w:t xml:space="preserve">and consolidate personal and </w:t>
      </w:r>
      <w:r w:rsidR="00142D84">
        <w:rPr>
          <w:rFonts w:ascii="Avenir Next" w:hAnsi="Avenir Next" w:cs="Arial"/>
          <w:color w:val="808080" w:themeColor="background1" w:themeShade="80"/>
          <w:sz w:val="22"/>
          <w:szCs w:val="22"/>
          <w:lang w:val="en-GB"/>
        </w:rPr>
        <w:t>corporate insolvency laws and laws relating to debt restructuring b y individuals and companies</w:t>
      </w:r>
      <w:r w:rsidR="00DE6D8C">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71A5CED4" w:rsidR="008C35C9" w:rsidRDefault="0021208C" w:rsidP="002120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case of </w:t>
      </w:r>
      <w:r>
        <w:rPr>
          <w:rFonts w:ascii="Avenir Next" w:hAnsi="Avenir Next" w:cs="Arial"/>
          <w:i/>
          <w:iCs/>
          <w:color w:val="808080" w:themeColor="background1" w:themeShade="80"/>
          <w:sz w:val="22"/>
          <w:szCs w:val="22"/>
          <w:lang w:val="en-GB"/>
        </w:rPr>
        <w:t>Sun Electric Power Pte Ltd v RCMA</w:t>
      </w:r>
      <w:r w:rsidR="004A7589">
        <w:rPr>
          <w:rStyle w:val="FootnoteReference"/>
          <w:rFonts w:ascii="Avenir Next" w:hAnsi="Avenir Next" w:cs="Arial"/>
          <w:i/>
          <w:iCs/>
          <w:color w:val="808080" w:themeColor="background1" w:themeShade="80"/>
          <w:sz w:val="22"/>
          <w:szCs w:val="22"/>
          <w:lang w:val="en-GB"/>
        </w:rPr>
        <w:footnoteReference w:id="3"/>
      </w:r>
      <w:r w:rsidR="00913678">
        <w:rPr>
          <w:rFonts w:ascii="Avenir Next" w:hAnsi="Avenir Next" w:cs="Arial"/>
          <w:i/>
          <w:iCs/>
          <w:color w:val="808080" w:themeColor="background1" w:themeShade="80"/>
          <w:sz w:val="22"/>
          <w:szCs w:val="22"/>
          <w:lang w:val="en-GB"/>
        </w:rPr>
        <w:t xml:space="preserve"> </w:t>
      </w:r>
      <w:r w:rsidR="00913678">
        <w:rPr>
          <w:rFonts w:ascii="Avenir Next" w:hAnsi="Avenir Next" w:cs="Arial"/>
          <w:color w:val="808080" w:themeColor="background1" w:themeShade="80"/>
          <w:sz w:val="22"/>
          <w:szCs w:val="22"/>
          <w:lang w:val="en-GB"/>
        </w:rPr>
        <w:t xml:space="preserve">gave examples of factors </w:t>
      </w:r>
      <w:r w:rsidR="0042691D">
        <w:rPr>
          <w:rFonts w:ascii="Avenir Next" w:hAnsi="Avenir Next" w:cs="Arial"/>
          <w:color w:val="808080" w:themeColor="background1" w:themeShade="80"/>
          <w:sz w:val="22"/>
          <w:szCs w:val="22"/>
          <w:lang w:val="en-GB"/>
        </w:rPr>
        <w:t>that can be considered under t</w:t>
      </w:r>
      <w:r w:rsidR="00D961EC">
        <w:rPr>
          <w:rFonts w:ascii="Avenir Next" w:hAnsi="Avenir Next" w:cs="Arial"/>
          <w:color w:val="808080" w:themeColor="background1" w:themeShade="80"/>
          <w:sz w:val="22"/>
          <w:szCs w:val="22"/>
          <w:lang w:val="en-GB"/>
        </w:rPr>
        <w:t xml:space="preserve">he cash flow test </w:t>
      </w:r>
      <w:r w:rsidR="0042691D">
        <w:rPr>
          <w:rFonts w:ascii="Avenir Next" w:hAnsi="Avenir Next" w:cs="Arial"/>
          <w:color w:val="808080" w:themeColor="background1" w:themeShade="80"/>
          <w:sz w:val="22"/>
          <w:szCs w:val="22"/>
          <w:lang w:val="en-GB"/>
        </w:rPr>
        <w:t>in</w:t>
      </w:r>
      <w:r w:rsidR="00D961EC">
        <w:rPr>
          <w:rFonts w:ascii="Avenir Next" w:hAnsi="Avenir Next" w:cs="Arial"/>
          <w:color w:val="808080" w:themeColor="background1" w:themeShade="80"/>
          <w:sz w:val="22"/>
          <w:szCs w:val="22"/>
          <w:lang w:val="en-GB"/>
        </w:rPr>
        <w:t xml:space="preserve"> </w:t>
      </w:r>
      <w:r w:rsidR="00954AFA">
        <w:rPr>
          <w:rFonts w:ascii="Avenir Next" w:hAnsi="Avenir Next" w:cs="Arial"/>
          <w:color w:val="808080" w:themeColor="background1" w:themeShade="80"/>
          <w:sz w:val="22"/>
          <w:szCs w:val="22"/>
          <w:lang w:val="en-GB"/>
        </w:rPr>
        <w:t>s.125(2)(c) IDR Act</w:t>
      </w:r>
      <w:r w:rsidR="0042691D">
        <w:rPr>
          <w:rFonts w:ascii="Avenir Next" w:hAnsi="Avenir Next" w:cs="Arial"/>
          <w:color w:val="808080" w:themeColor="background1" w:themeShade="80"/>
          <w:sz w:val="22"/>
          <w:szCs w:val="22"/>
          <w:lang w:val="en-GB"/>
        </w:rPr>
        <w:t>:</w:t>
      </w:r>
    </w:p>
    <w:p w14:paraId="71B3F4F0" w14:textId="5EB8F288" w:rsidR="0042691D" w:rsidRDefault="008F5ADD" w:rsidP="0042691D">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payment is</w:t>
      </w:r>
      <w:r w:rsidR="00300D4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being demanded or </w:t>
      </w:r>
      <w:r w:rsidR="005160D0">
        <w:rPr>
          <w:rFonts w:ascii="Avenir Next" w:hAnsi="Avenir Next" w:cs="Arial"/>
          <w:color w:val="808080" w:themeColor="background1" w:themeShade="80"/>
          <w:sz w:val="22"/>
          <w:szCs w:val="22"/>
          <w:lang w:val="en-GB"/>
        </w:rPr>
        <w:t>is likely to be demanded for those debts</w:t>
      </w:r>
      <w:r w:rsidR="007C754D">
        <w:rPr>
          <w:rFonts w:ascii="Avenir Next" w:hAnsi="Avenir Next" w:cs="Arial"/>
          <w:color w:val="808080" w:themeColor="background1" w:themeShade="80"/>
          <w:sz w:val="22"/>
          <w:szCs w:val="22"/>
          <w:lang w:val="en-GB"/>
        </w:rPr>
        <w:t>.</w:t>
      </w:r>
    </w:p>
    <w:p w14:paraId="5E35579E" w14:textId="5F2C2F25" w:rsidR="005E0ECE" w:rsidRDefault="00300D46" w:rsidP="005E0EC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income or payment </w:t>
      </w:r>
      <w:r w:rsidR="005E0ECE">
        <w:rPr>
          <w:rFonts w:ascii="Avenir Next" w:hAnsi="Avenir Next" w:cs="Arial"/>
          <w:color w:val="808080" w:themeColor="background1" w:themeShade="80"/>
          <w:sz w:val="22"/>
          <w:szCs w:val="22"/>
          <w:lang w:val="en-GB"/>
        </w:rPr>
        <w:t>which the company may receive in the reasonably near future</w:t>
      </w:r>
      <w:r w:rsidR="007C754D">
        <w:rPr>
          <w:rFonts w:ascii="Avenir Next" w:hAnsi="Avenir Next" w:cs="Arial"/>
          <w:color w:val="808080" w:themeColor="background1" w:themeShade="80"/>
          <w:sz w:val="22"/>
          <w:szCs w:val="22"/>
          <w:lang w:val="en-GB"/>
        </w:rPr>
        <w:t>.</w:t>
      </w:r>
    </w:p>
    <w:p w14:paraId="5298F3CC" w14:textId="2372B8E9" w:rsidR="005E0ECE" w:rsidRDefault="005E0ECE" w:rsidP="005E0EC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length of time that has passed since </w:t>
      </w:r>
      <w:r w:rsidR="00152128">
        <w:rPr>
          <w:rFonts w:ascii="Avenir Next" w:hAnsi="Avenir Next" w:cs="Arial"/>
          <w:color w:val="808080" w:themeColor="background1" w:themeShade="80"/>
          <w:sz w:val="22"/>
          <w:szCs w:val="22"/>
          <w:lang w:val="en-GB"/>
        </w:rPr>
        <w:t>the commencement of the winding up proceedings</w:t>
      </w:r>
      <w:r w:rsidR="007C754D">
        <w:rPr>
          <w:rFonts w:ascii="Avenir Next" w:hAnsi="Avenir Next" w:cs="Arial"/>
          <w:color w:val="808080" w:themeColor="background1" w:themeShade="80"/>
          <w:sz w:val="22"/>
          <w:szCs w:val="22"/>
          <w:lang w:val="en-GB"/>
        </w:rPr>
        <w:t>.</w:t>
      </w:r>
    </w:p>
    <w:p w14:paraId="726A916A" w14:textId="347E45C3" w:rsidR="00152128" w:rsidRPr="005E0ECE" w:rsidRDefault="00152128" w:rsidP="005E0EC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value of the company’s current assets and assets </w:t>
      </w:r>
      <w:r w:rsidR="007C754D">
        <w:rPr>
          <w:rFonts w:ascii="Avenir Next" w:hAnsi="Avenir Next" w:cs="Arial"/>
          <w:color w:val="808080" w:themeColor="background1" w:themeShade="80"/>
          <w:sz w:val="22"/>
          <w:szCs w:val="22"/>
          <w:lang w:val="en-GB"/>
        </w:rPr>
        <w:t>that will be realisable in the reasonably near future.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555373">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713E7EAD" w14:textId="00827125" w:rsidR="00BF5BDA" w:rsidRDefault="006B54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IRD Act</w:t>
      </w:r>
      <w:r w:rsidR="00CA63F3">
        <w:rPr>
          <w:rStyle w:val="FootnoteReference"/>
          <w:rFonts w:ascii="Avenir Next" w:hAnsi="Avenir Next" w:cs="Arial"/>
          <w:color w:val="808080" w:themeColor="background1" w:themeShade="80"/>
          <w:sz w:val="22"/>
          <w:szCs w:val="22"/>
          <w:lang w:val="en-GB"/>
        </w:rPr>
        <w:footnoteReference w:id="4"/>
      </w:r>
      <w:r w:rsidR="00CA63F3">
        <w:rPr>
          <w:rFonts w:ascii="Avenir Next" w:hAnsi="Avenir Next" w:cs="Arial"/>
          <w:color w:val="808080" w:themeColor="background1" w:themeShade="80"/>
          <w:sz w:val="22"/>
          <w:szCs w:val="22"/>
          <w:lang w:val="en-GB"/>
        </w:rPr>
        <w:t xml:space="preserve"> which came into force on </w:t>
      </w:r>
      <w:r w:rsidR="007C4D39">
        <w:rPr>
          <w:rFonts w:ascii="Avenir Next" w:hAnsi="Avenir Next" w:cs="Arial"/>
          <w:color w:val="808080" w:themeColor="background1" w:themeShade="80"/>
          <w:sz w:val="22"/>
          <w:szCs w:val="22"/>
          <w:lang w:val="en-GB"/>
        </w:rPr>
        <w:t>30 July 2020</w:t>
      </w:r>
      <w:r w:rsidR="003F0213">
        <w:rPr>
          <w:rFonts w:ascii="Avenir Next" w:hAnsi="Avenir Next" w:cs="Arial"/>
          <w:color w:val="808080" w:themeColor="background1" w:themeShade="80"/>
          <w:sz w:val="22"/>
          <w:szCs w:val="22"/>
          <w:lang w:val="en-GB"/>
        </w:rPr>
        <w:t xml:space="preserve"> consolidated various acts dealing wi</w:t>
      </w:r>
      <w:r w:rsidR="005D1A37">
        <w:rPr>
          <w:rFonts w:ascii="Avenir Next" w:hAnsi="Avenir Next" w:cs="Arial"/>
          <w:color w:val="808080" w:themeColor="background1" w:themeShade="80"/>
          <w:sz w:val="22"/>
          <w:szCs w:val="22"/>
          <w:lang w:val="en-GB"/>
        </w:rPr>
        <w:t xml:space="preserve">th corporate </w:t>
      </w:r>
      <w:r w:rsidR="002A29D9">
        <w:rPr>
          <w:rFonts w:ascii="Avenir Next" w:hAnsi="Avenir Next" w:cs="Arial"/>
          <w:color w:val="808080" w:themeColor="background1" w:themeShade="80"/>
          <w:sz w:val="22"/>
          <w:szCs w:val="22"/>
          <w:lang w:val="en-GB"/>
        </w:rPr>
        <w:t xml:space="preserve">insolvency and restructuring laws. </w:t>
      </w:r>
      <w:r w:rsidR="00C34E1A">
        <w:rPr>
          <w:rFonts w:ascii="Avenir Next" w:hAnsi="Avenir Next" w:cs="Arial"/>
          <w:color w:val="808080" w:themeColor="background1" w:themeShade="80"/>
          <w:sz w:val="22"/>
          <w:szCs w:val="22"/>
          <w:lang w:val="en-GB"/>
        </w:rPr>
        <w:t xml:space="preserve">The IRD Act also introduced </w:t>
      </w:r>
      <w:r w:rsidR="00DF45B0">
        <w:rPr>
          <w:rFonts w:ascii="Avenir Next" w:hAnsi="Avenir Next" w:cs="Arial"/>
          <w:color w:val="808080" w:themeColor="background1" w:themeShade="80"/>
          <w:sz w:val="22"/>
          <w:szCs w:val="22"/>
          <w:lang w:val="en-GB"/>
        </w:rPr>
        <w:t>new changes to the law, such as rescue financing</w:t>
      </w:r>
      <w:r w:rsidR="006004BB">
        <w:rPr>
          <w:rFonts w:ascii="Avenir Next" w:hAnsi="Avenir Next" w:cs="Arial"/>
          <w:color w:val="808080" w:themeColor="background1" w:themeShade="80"/>
          <w:sz w:val="22"/>
          <w:szCs w:val="22"/>
          <w:lang w:val="en-GB"/>
        </w:rPr>
        <w:t>.</w:t>
      </w:r>
      <w:r w:rsidR="006004BB">
        <w:rPr>
          <w:rStyle w:val="FootnoteReference"/>
          <w:rFonts w:ascii="Avenir Next" w:hAnsi="Avenir Next" w:cs="Arial"/>
          <w:color w:val="808080" w:themeColor="background1" w:themeShade="80"/>
          <w:sz w:val="22"/>
          <w:szCs w:val="22"/>
          <w:lang w:val="en-GB"/>
        </w:rPr>
        <w:footnoteReference w:id="5"/>
      </w:r>
      <w:r w:rsidR="006004BB">
        <w:rPr>
          <w:rFonts w:ascii="Avenir Next" w:hAnsi="Avenir Next" w:cs="Arial"/>
          <w:color w:val="808080" w:themeColor="background1" w:themeShade="80"/>
          <w:sz w:val="22"/>
          <w:szCs w:val="22"/>
          <w:lang w:val="en-GB"/>
        </w:rPr>
        <w:t xml:space="preserve"> </w:t>
      </w:r>
      <w:r w:rsidR="00834092">
        <w:rPr>
          <w:rFonts w:ascii="Avenir Next" w:hAnsi="Avenir Next" w:cs="Arial"/>
          <w:color w:val="808080" w:themeColor="background1" w:themeShade="80"/>
          <w:sz w:val="22"/>
          <w:szCs w:val="22"/>
          <w:lang w:val="en-GB"/>
        </w:rPr>
        <w:t xml:space="preserve">The following short essay will look at </w:t>
      </w:r>
      <w:r w:rsidR="00DA0E41">
        <w:rPr>
          <w:rFonts w:ascii="Avenir Next" w:hAnsi="Avenir Next" w:cs="Arial"/>
          <w:color w:val="808080" w:themeColor="background1" w:themeShade="80"/>
          <w:sz w:val="22"/>
          <w:szCs w:val="22"/>
          <w:lang w:val="en-GB"/>
        </w:rPr>
        <w:t>rescue financing and wrongful trading under IRD Act.</w:t>
      </w:r>
    </w:p>
    <w:p w14:paraId="6165CD17" w14:textId="77777777" w:rsidR="001D54FB" w:rsidRDefault="001D54FB" w:rsidP="008C35C9">
      <w:pPr>
        <w:jc w:val="both"/>
        <w:rPr>
          <w:rFonts w:ascii="Avenir Next" w:hAnsi="Avenir Next" w:cs="Arial"/>
          <w:color w:val="808080" w:themeColor="background1" w:themeShade="80"/>
          <w:sz w:val="22"/>
          <w:szCs w:val="22"/>
          <w:lang w:val="en-GB"/>
        </w:rPr>
      </w:pPr>
    </w:p>
    <w:p w14:paraId="1BAA74E9" w14:textId="0C854F43" w:rsidR="008C35C9" w:rsidRDefault="0021356C" w:rsidP="008C35C9">
      <w:pPr>
        <w:jc w:val="both"/>
        <w:rPr>
          <w:rFonts w:ascii="Avenir Next" w:hAnsi="Avenir Next" w:cs="Arial"/>
          <w:b/>
          <w:bCs/>
          <w:color w:val="808080" w:themeColor="background1" w:themeShade="80"/>
          <w:sz w:val="22"/>
          <w:szCs w:val="22"/>
          <w:lang w:val="en-GB"/>
        </w:rPr>
      </w:pPr>
      <w:r w:rsidRPr="001D54FB">
        <w:rPr>
          <w:rFonts w:ascii="Avenir Next" w:hAnsi="Avenir Next" w:cs="Arial"/>
          <w:b/>
          <w:bCs/>
          <w:color w:val="808080" w:themeColor="background1" w:themeShade="80"/>
          <w:sz w:val="22"/>
          <w:szCs w:val="22"/>
          <w:lang w:val="en-GB"/>
        </w:rPr>
        <w:t>Rescue financing</w:t>
      </w:r>
    </w:p>
    <w:p w14:paraId="74BEE516" w14:textId="471256A2" w:rsidR="001D54FB" w:rsidRDefault="001D54F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w:t>
      </w:r>
      <w:r w:rsidR="00C63163">
        <w:rPr>
          <w:rFonts w:ascii="Avenir Next" w:hAnsi="Avenir Next" w:cs="Arial"/>
          <w:color w:val="808080" w:themeColor="background1" w:themeShade="80"/>
          <w:sz w:val="22"/>
          <w:szCs w:val="22"/>
          <w:lang w:val="en-GB"/>
        </w:rPr>
        <w:t xml:space="preserve">cue financing is also referred to as </w:t>
      </w:r>
      <w:r w:rsidR="007A3B2D">
        <w:rPr>
          <w:rFonts w:ascii="Avenir Next" w:hAnsi="Avenir Next" w:cs="Arial"/>
          <w:color w:val="808080" w:themeColor="background1" w:themeShade="80"/>
          <w:sz w:val="22"/>
          <w:szCs w:val="22"/>
          <w:lang w:val="en-GB"/>
        </w:rPr>
        <w:t xml:space="preserve">debtor-in-possession financing (DIP </w:t>
      </w:r>
      <w:r w:rsidR="007D73C6">
        <w:rPr>
          <w:rFonts w:ascii="Avenir Next" w:hAnsi="Avenir Next" w:cs="Arial"/>
          <w:color w:val="808080" w:themeColor="background1" w:themeShade="80"/>
          <w:sz w:val="22"/>
          <w:szCs w:val="22"/>
          <w:lang w:val="en-GB"/>
        </w:rPr>
        <w:t>financing).</w:t>
      </w:r>
      <w:r w:rsidR="007D73C6">
        <w:rPr>
          <w:rStyle w:val="FootnoteReference"/>
          <w:rFonts w:ascii="Avenir Next" w:hAnsi="Avenir Next" w:cs="Arial"/>
          <w:color w:val="808080" w:themeColor="background1" w:themeShade="80"/>
          <w:sz w:val="22"/>
          <w:szCs w:val="22"/>
          <w:lang w:val="en-GB"/>
        </w:rPr>
        <w:footnoteReference w:id="6"/>
      </w:r>
      <w:r w:rsidR="00C53513">
        <w:rPr>
          <w:rFonts w:ascii="Avenir Next" w:hAnsi="Avenir Next" w:cs="Arial"/>
          <w:color w:val="808080" w:themeColor="background1" w:themeShade="80"/>
          <w:sz w:val="22"/>
          <w:szCs w:val="22"/>
          <w:lang w:val="en-GB"/>
        </w:rPr>
        <w:t xml:space="preserve"> </w:t>
      </w:r>
      <w:r w:rsidR="00795AE2">
        <w:rPr>
          <w:rFonts w:ascii="Avenir Next" w:hAnsi="Avenir Next" w:cs="Arial"/>
          <w:color w:val="808080" w:themeColor="background1" w:themeShade="80"/>
          <w:sz w:val="22"/>
          <w:szCs w:val="22"/>
          <w:lang w:val="en-GB"/>
        </w:rPr>
        <w:t>The IRD Act describes rescue financing in two ways</w:t>
      </w:r>
      <w:r w:rsidR="00853991">
        <w:rPr>
          <w:rFonts w:ascii="Avenir Next" w:hAnsi="Avenir Next" w:cs="Arial"/>
          <w:color w:val="808080" w:themeColor="background1" w:themeShade="80"/>
          <w:sz w:val="22"/>
          <w:szCs w:val="22"/>
          <w:lang w:val="en-GB"/>
        </w:rPr>
        <w:t xml:space="preserve"> and both meaning can be applied together or </w:t>
      </w:r>
      <w:r w:rsidR="009850FE">
        <w:rPr>
          <w:rFonts w:ascii="Avenir Next" w:hAnsi="Avenir Next" w:cs="Arial"/>
          <w:color w:val="808080" w:themeColor="background1" w:themeShade="80"/>
          <w:sz w:val="22"/>
          <w:szCs w:val="22"/>
          <w:lang w:val="en-GB"/>
        </w:rPr>
        <w:t>separately</w:t>
      </w:r>
      <w:r w:rsidR="00EE517E">
        <w:rPr>
          <w:rFonts w:ascii="Avenir Next" w:hAnsi="Avenir Next" w:cs="Arial"/>
          <w:color w:val="808080" w:themeColor="background1" w:themeShade="80"/>
          <w:sz w:val="22"/>
          <w:szCs w:val="22"/>
          <w:lang w:val="en-GB"/>
        </w:rPr>
        <w:t xml:space="preserve">. One is </w:t>
      </w:r>
      <w:proofErr w:type="gramStart"/>
      <w:r w:rsidR="00EE517E">
        <w:rPr>
          <w:rFonts w:ascii="Avenir Next" w:hAnsi="Avenir Next" w:cs="Arial"/>
          <w:color w:val="808080" w:themeColor="background1" w:themeShade="80"/>
          <w:sz w:val="22"/>
          <w:szCs w:val="22"/>
          <w:lang w:val="en-GB"/>
        </w:rPr>
        <w:t>re</w:t>
      </w:r>
      <w:r w:rsidR="00984413">
        <w:rPr>
          <w:rFonts w:ascii="Avenir Next" w:hAnsi="Avenir Next" w:cs="Arial"/>
          <w:color w:val="808080" w:themeColor="background1" w:themeShade="80"/>
          <w:sz w:val="22"/>
          <w:szCs w:val="22"/>
          <w:lang w:val="en-GB"/>
        </w:rPr>
        <w:t>scue</w:t>
      </w:r>
      <w:proofErr w:type="gramEnd"/>
      <w:r w:rsidR="00984413">
        <w:rPr>
          <w:rFonts w:ascii="Avenir Next" w:hAnsi="Avenir Next" w:cs="Arial"/>
          <w:color w:val="808080" w:themeColor="background1" w:themeShade="80"/>
          <w:sz w:val="22"/>
          <w:szCs w:val="22"/>
          <w:lang w:val="en-GB"/>
        </w:rPr>
        <w:t xml:space="preserve"> financing is the fina</w:t>
      </w:r>
      <w:r w:rsidR="006359E1">
        <w:rPr>
          <w:rFonts w:ascii="Avenir Next" w:hAnsi="Avenir Next" w:cs="Arial"/>
          <w:color w:val="808080" w:themeColor="background1" w:themeShade="80"/>
          <w:sz w:val="22"/>
          <w:szCs w:val="22"/>
          <w:lang w:val="en-GB"/>
        </w:rPr>
        <w:t>nc</w:t>
      </w:r>
      <w:r w:rsidR="009850FE">
        <w:rPr>
          <w:rFonts w:ascii="Avenir Next" w:hAnsi="Avenir Next" w:cs="Arial"/>
          <w:color w:val="808080" w:themeColor="background1" w:themeShade="80"/>
          <w:sz w:val="22"/>
          <w:szCs w:val="22"/>
          <w:lang w:val="en-GB"/>
        </w:rPr>
        <w:t>ing</w:t>
      </w:r>
      <w:r w:rsidR="006359E1">
        <w:rPr>
          <w:rFonts w:ascii="Avenir Next" w:hAnsi="Avenir Next" w:cs="Arial"/>
          <w:color w:val="808080" w:themeColor="background1" w:themeShade="80"/>
          <w:sz w:val="22"/>
          <w:szCs w:val="22"/>
          <w:lang w:val="en-GB"/>
        </w:rPr>
        <w:t xml:space="preserve"> that is essential for a company to survive either as a</w:t>
      </w:r>
      <w:r w:rsidR="00382A26">
        <w:rPr>
          <w:rFonts w:ascii="Avenir Next" w:hAnsi="Avenir Next" w:cs="Arial"/>
          <w:color w:val="808080" w:themeColor="background1" w:themeShade="80"/>
          <w:sz w:val="22"/>
          <w:szCs w:val="22"/>
          <w:lang w:val="en-GB"/>
        </w:rPr>
        <w:t xml:space="preserve"> whole or </w:t>
      </w:r>
      <w:r w:rsidR="00134E0D">
        <w:rPr>
          <w:rFonts w:ascii="Avenir Next" w:hAnsi="Avenir Next" w:cs="Arial"/>
          <w:color w:val="808080" w:themeColor="background1" w:themeShade="80"/>
          <w:sz w:val="22"/>
          <w:szCs w:val="22"/>
          <w:lang w:val="en-GB"/>
        </w:rPr>
        <w:t xml:space="preserve">the survival of </w:t>
      </w:r>
      <w:r w:rsidR="00542E13">
        <w:rPr>
          <w:rFonts w:ascii="Avenir Next" w:hAnsi="Avenir Next" w:cs="Arial"/>
          <w:color w:val="808080" w:themeColor="background1" w:themeShade="80"/>
          <w:sz w:val="22"/>
          <w:szCs w:val="22"/>
          <w:lang w:val="en-GB"/>
        </w:rPr>
        <w:t xml:space="preserve">part of the business of the company </w:t>
      </w:r>
      <w:r w:rsidR="00382A26">
        <w:rPr>
          <w:rFonts w:ascii="Avenir Next" w:hAnsi="Avenir Next" w:cs="Arial"/>
          <w:color w:val="808080" w:themeColor="background1" w:themeShade="80"/>
          <w:sz w:val="22"/>
          <w:szCs w:val="22"/>
          <w:lang w:val="en-GB"/>
        </w:rPr>
        <w:t>as an ongoing concern</w:t>
      </w:r>
      <w:r w:rsidR="00542E13">
        <w:rPr>
          <w:rFonts w:ascii="Avenir Next" w:hAnsi="Avenir Next" w:cs="Arial"/>
          <w:color w:val="808080" w:themeColor="background1" w:themeShade="80"/>
          <w:sz w:val="22"/>
          <w:szCs w:val="22"/>
          <w:lang w:val="en-GB"/>
        </w:rPr>
        <w:t>.</w:t>
      </w:r>
      <w:r w:rsidR="00542E13">
        <w:rPr>
          <w:rStyle w:val="FootnoteReference"/>
          <w:rFonts w:ascii="Avenir Next" w:hAnsi="Avenir Next" w:cs="Arial"/>
          <w:color w:val="808080" w:themeColor="background1" w:themeShade="80"/>
          <w:sz w:val="22"/>
          <w:szCs w:val="22"/>
          <w:lang w:val="en-GB"/>
        </w:rPr>
        <w:footnoteReference w:id="7"/>
      </w:r>
      <w:r w:rsidR="00EE517E">
        <w:rPr>
          <w:rFonts w:ascii="Avenir Next" w:hAnsi="Avenir Next" w:cs="Arial"/>
          <w:color w:val="808080" w:themeColor="background1" w:themeShade="80"/>
          <w:sz w:val="22"/>
          <w:szCs w:val="22"/>
          <w:lang w:val="en-GB"/>
        </w:rPr>
        <w:t xml:space="preserve"> </w:t>
      </w:r>
      <w:r w:rsidR="0056501E">
        <w:rPr>
          <w:rFonts w:ascii="Avenir Next" w:hAnsi="Avenir Next" w:cs="Arial"/>
          <w:color w:val="808080" w:themeColor="background1" w:themeShade="80"/>
          <w:sz w:val="22"/>
          <w:szCs w:val="22"/>
          <w:lang w:val="en-GB"/>
        </w:rPr>
        <w:t>The other meaning of rescue finance</w:t>
      </w:r>
      <w:r w:rsidR="006135FB">
        <w:rPr>
          <w:rFonts w:ascii="Avenir Next" w:hAnsi="Avenir Next" w:cs="Arial"/>
          <w:color w:val="808080" w:themeColor="background1" w:themeShade="80"/>
          <w:sz w:val="22"/>
          <w:szCs w:val="22"/>
          <w:lang w:val="en-GB"/>
        </w:rPr>
        <w:t xml:space="preserve"> is financing which is essential in achieving a </w:t>
      </w:r>
      <w:r w:rsidR="005544FA">
        <w:rPr>
          <w:rFonts w:ascii="Avenir Next" w:hAnsi="Avenir Next" w:cs="Arial"/>
          <w:color w:val="808080" w:themeColor="background1" w:themeShade="80"/>
          <w:sz w:val="22"/>
          <w:szCs w:val="22"/>
          <w:lang w:val="en-GB"/>
        </w:rPr>
        <w:t xml:space="preserve">better </w:t>
      </w:r>
      <w:r w:rsidR="00225661">
        <w:rPr>
          <w:rFonts w:ascii="Avenir Next" w:hAnsi="Avenir Next" w:cs="Arial"/>
          <w:color w:val="808080" w:themeColor="background1" w:themeShade="80"/>
          <w:sz w:val="22"/>
          <w:szCs w:val="22"/>
          <w:lang w:val="en-GB"/>
        </w:rPr>
        <w:t>realisation</w:t>
      </w:r>
      <w:r w:rsidR="005544FA">
        <w:rPr>
          <w:rFonts w:ascii="Avenir Next" w:hAnsi="Avenir Next" w:cs="Arial"/>
          <w:color w:val="808080" w:themeColor="background1" w:themeShade="80"/>
          <w:sz w:val="22"/>
          <w:szCs w:val="22"/>
          <w:lang w:val="en-GB"/>
        </w:rPr>
        <w:t xml:space="preserve"> of the </w:t>
      </w:r>
      <w:r w:rsidR="00225661">
        <w:rPr>
          <w:rFonts w:ascii="Avenir Next" w:hAnsi="Avenir Next" w:cs="Arial"/>
          <w:color w:val="808080" w:themeColor="background1" w:themeShade="80"/>
          <w:sz w:val="22"/>
          <w:szCs w:val="22"/>
          <w:lang w:val="en-GB"/>
        </w:rPr>
        <w:t>compan</w:t>
      </w:r>
      <w:r w:rsidR="00853991">
        <w:rPr>
          <w:rFonts w:ascii="Avenir Next" w:hAnsi="Avenir Next" w:cs="Arial"/>
          <w:color w:val="808080" w:themeColor="background1" w:themeShade="80"/>
          <w:sz w:val="22"/>
          <w:szCs w:val="22"/>
          <w:lang w:val="en-GB"/>
        </w:rPr>
        <w:t>y’s</w:t>
      </w:r>
      <w:r w:rsidR="005544FA">
        <w:rPr>
          <w:rFonts w:ascii="Avenir Next" w:hAnsi="Avenir Next" w:cs="Arial"/>
          <w:color w:val="808080" w:themeColor="background1" w:themeShade="80"/>
          <w:sz w:val="22"/>
          <w:szCs w:val="22"/>
          <w:lang w:val="en-GB"/>
        </w:rPr>
        <w:t xml:space="preserve"> assets than would have been achi</w:t>
      </w:r>
      <w:r w:rsidR="00225661">
        <w:rPr>
          <w:rFonts w:ascii="Avenir Next" w:hAnsi="Avenir Next" w:cs="Arial"/>
          <w:color w:val="808080" w:themeColor="background1" w:themeShade="80"/>
          <w:sz w:val="22"/>
          <w:szCs w:val="22"/>
          <w:lang w:val="en-GB"/>
        </w:rPr>
        <w:t>eved if the company was wound up.</w:t>
      </w:r>
      <w:r w:rsidR="00134E0D">
        <w:rPr>
          <w:rStyle w:val="FootnoteReference"/>
          <w:rFonts w:ascii="Avenir Next" w:hAnsi="Avenir Next" w:cs="Arial"/>
          <w:color w:val="808080" w:themeColor="background1" w:themeShade="80"/>
          <w:sz w:val="22"/>
          <w:szCs w:val="22"/>
          <w:lang w:val="en-GB"/>
        </w:rPr>
        <w:footnoteReference w:id="8"/>
      </w:r>
      <w:r w:rsidR="00134E0D">
        <w:rPr>
          <w:rFonts w:ascii="Avenir Next" w:hAnsi="Avenir Next" w:cs="Arial"/>
          <w:color w:val="808080" w:themeColor="background1" w:themeShade="80"/>
          <w:sz w:val="22"/>
          <w:szCs w:val="22"/>
          <w:lang w:val="en-GB"/>
        </w:rPr>
        <w:t xml:space="preserve"> </w:t>
      </w:r>
      <w:r w:rsidR="005C79F6">
        <w:rPr>
          <w:rFonts w:ascii="Avenir Next" w:hAnsi="Avenir Next" w:cs="Arial"/>
          <w:color w:val="808080" w:themeColor="background1" w:themeShade="80"/>
          <w:sz w:val="22"/>
          <w:szCs w:val="22"/>
          <w:lang w:val="en-GB"/>
        </w:rPr>
        <w:t xml:space="preserve">The essence of rescue financing </w:t>
      </w:r>
      <w:r w:rsidR="00E87A3F">
        <w:rPr>
          <w:rFonts w:ascii="Avenir Next" w:hAnsi="Avenir Next" w:cs="Arial"/>
          <w:color w:val="808080" w:themeColor="background1" w:themeShade="80"/>
          <w:sz w:val="22"/>
          <w:szCs w:val="22"/>
          <w:lang w:val="en-GB"/>
        </w:rPr>
        <w:t>is to allow the company to continue trading, pay for services rendered</w:t>
      </w:r>
      <w:r w:rsidR="00165CA4">
        <w:rPr>
          <w:rFonts w:ascii="Avenir Next" w:hAnsi="Avenir Next" w:cs="Arial"/>
          <w:color w:val="808080" w:themeColor="background1" w:themeShade="80"/>
          <w:sz w:val="22"/>
          <w:szCs w:val="22"/>
          <w:lang w:val="en-GB"/>
        </w:rPr>
        <w:t xml:space="preserve"> and other essential services in order to give the company </w:t>
      </w:r>
      <w:r w:rsidR="00BA54BD">
        <w:rPr>
          <w:rFonts w:ascii="Avenir Next" w:hAnsi="Avenir Next" w:cs="Arial"/>
          <w:color w:val="808080" w:themeColor="background1" w:themeShade="80"/>
          <w:sz w:val="22"/>
          <w:szCs w:val="22"/>
          <w:lang w:val="en-GB"/>
        </w:rPr>
        <w:t>a chance</w:t>
      </w:r>
      <w:r w:rsidR="005070D0">
        <w:rPr>
          <w:rFonts w:ascii="Avenir Next" w:hAnsi="Avenir Next" w:cs="Arial"/>
          <w:color w:val="808080" w:themeColor="background1" w:themeShade="80"/>
          <w:sz w:val="22"/>
          <w:szCs w:val="22"/>
          <w:lang w:val="en-GB"/>
        </w:rPr>
        <w:t xml:space="preserve"> and that is why it is used together with the </w:t>
      </w:r>
      <w:r w:rsidR="0091255A">
        <w:rPr>
          <w:rFonts w:ascii="Avenir Next" w:hAnsi="Avenir Next" w:cs="Arial"/>
          <w:color w:val="808080" w:themeColor="background1" w:themeShade="80"/>
          <w:sz w:val="22"/>
          <w:szCs w:val="22"/>
          <w:lang w:val="en-GB"/>
        </w:rPr>
        <w:t>two rescue procedures, schemes of arrangement and judicial management.</w:t>
      </w:r>
      <w:r w:rsidR="0091255A">
        <w:rPr>
          <w:rStyle w:val="FootnoteReference"/>
          <w:rFonts w:ascii="Avenir Next" w:hAnsi="Avenir Next" w:cs="Arial"/>
          <w:color w:val="808080" w:themeColor="background1" w:themeShade="80"/>
          <w:sz w:val="22"/>
          <w:szCs w:val="22"/>
          <w:lang w:val="en-GB"/>
        </w:rPr>
        <w:footnoteReference w:id="9"/>
      </w:r>
    </w:p>
    <w:p w14:paraId="5AD3EEDF" w14:textId="77777777" w:rsidR="0093497F" w:rsidRDefault="0093497F" w:rsidP="008C35C9">
      <w:pPr>
        <w:jc w:val="both"/>
        <w:rPr>
          <w:rFonts w:ascii="Avenir Next" w:hAnsi="Avenir Next" w:cs="Arial"/>
          <w:color w:val="808080" w:themeColor="background1" w:themeShade="80"/>
          <w:sz w:val="22"/>
          <w:szCs w:val="22"/>
          <w:lang w:val="en-GB"/>
        </w:rPr>
      </w:pPr>
    </w:p>
    <w:p w14:paraId="33B9DD27" w14:textId="293F6181" w:rsidR="0093497F" w:rsidRDefault="0093497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requires permission from the court</w:t>
      </w:r>
      <w:r w:rsidR="00AB1C12">
        <w:rPr>
          <w:rFonts w:ascii="Avenir Next" w:hAnsi="Avenir Next" w:cs="Arial"/>
          <w:color w:val="808080" w:themeColor="background1" w:themeShade="80"/>
          <w:sz w:val="22"/>
          <w:szCs w:val="22"/>
          <w:lang w:val="en-GB"/>
        </w:rPr>
        <w:t xml:space="preserve"> for the debtor to obtain it.</w:t>
      </w:r>
      <w:r w:rsidR="00AB1C12">
        <w:rPr>
          <w:rStyle w:val="FootnoteReference"/>
          <w:rFonts w:ascii="Avenir Next" w:hAnsi="Avenir Next" w:cs="Arial"/>
          <w:color w:val="808080" w:themeColor="background1" w:themeShade="80"/>
          <w:sz w:val="22"/>
          <w:szCs w:val="22"/>
          <w:lang w:val="en-GB"/>
        </w:rPr>
        <w:footnoteReference w:id="10"/>
      </w:r>
      <w:r w:rsidR="00A2545F">
        <w:rPr>
          <w:rFonts w:ascii="Avenir Next" w:hAnsi="Avenir Next" w:cs="Arial"/>
          <w:color w:val="808080" w:themeColor="background1" w:themeShade="80"/>
          <w:sz w:val="22"/>
          <w:szCs w:val="22"/>
          <w:lang w:val="en-GB"/>
        </w:rPr>
        <w:t xml:space="preserve"> Once the </w:t>
      </w:r>
      <w:r w:rsidR="002C2FF6">
        <w:rPr>
          <w:rFonts w:ascii="Avenir Next" w:hAnsi="Avenir Next" w:cs="Arial"/>
          <w:color w:val="808080" w:themeColor="background1" w:themeShade="80"/>
          <w:sz w:val="22"/>
          <w:szCs w:val="22"/>
          <w:lang w:val="en-GB"/>
        </w:rPr>
        <w:t xml:space="preserve">rescue financing order is obtained the </w:t>
      </w:r>
      <w:r w:rsidR="003114BD">
        <w:rPr>
          <w:rFonts w:ascii="Avenir Next" w:hAnsi="Avenir Next" w:cs="Arial"/>
          <w:color w:val="808080" w:themeColor="background1" w:themeShade="80"/>
          <w:sz w:val="22"/>
          <w:szCs w:val="22"/>
          <w:lang w:val="en-GB"/>
        </w:rPr>
        <w:t xml:space="preserve">financing acquires certain </w:t>
      </w:r>
      <w:r w:rsidR="00597067">
        <w:rPr>
          <w:rFonts w:ascii="Avenir Next" w:hAnsi="Avenir Next" w:cs="Arial"/>
          <w:color w:val="808080" w:themeColor="background1" w:themeShade="80"/>
          <w:sz w:val="22"/>
          <w:szCs w:val="22"/>
          <w:lang w:val="en-GB"/>
        </w:rPr>
        <w:t>priorities under the IRD Act.</w:t>
      </w:r>
      <w:r w:rsidR="00597067">
        <w:rPr>
          <w:rStyle w:val="FootnoteReference"/>
          <w:rFonts w:ascii="Avenir Next" w:hAnsi="Avenir Next" w:cs="Arial"/>
          <w:color w:val="808080" w:themeColor="background1" w:themeShade="80"/>
          <w:sz w:val="22"/>
          <w:szCs w:val="22"/>
          <w:lang w:val="en-GB"/>
        </w:rPr>
        <w:footnoteReference w:id="11"/>
      </w:r>
      <w:r w:rsidR="0012495C">
        <w:rPr>
          <w:rFonts w:ascii="Avenir Next" w:hAnsi="Avenir Next" w:cs="Arial"/>
          <w:color w:val="808080" w:themeColor="background1" w:themeShade="80"/>
          <w:sz w:val="22"/>
          <w:szCs w:val="22"/>
          <w:lang w:val="en-GB"/>
        </w:rPr>
        <w:t xml:space="preserve"> </w:t>
      </w:r>
      <w:r w:rsidR="00AB5C18">
        <w:rPr>
          <w:rFonts w:ascii="Avenir Next" w:hAnsi="Avenir Next" w:cs="Arial"/>
          <w:color w:val="808080" w:themeColor="background1" w:themeShade="80"/>
          <w:sz w:val="22"/>
          <w:szCs w:val="22"/>
          <w:lang w:val="en-GB"/>
        </w:rPr>
        <w:t xml:space="preserve">In the event that the debtor is wound up the </w:t>
      </w:r>
      <w:r w:rsidR="00F80189">
        <w:rPr>
          <w:rFonts w:ascii="Avenir Next" w:hAnsi="Avenir Next" w:cs="Arial"/>
          <w:color w:val="808080" w:themeColor="background1" w:themeShade="80"/>
          <w:sz w:val="22"/>
          <w:szCs w:val="22"/>
          <w:lang w:val="en-GB"/>
        </w:rPr>
        <w:t xml:space="preserve">repayment of the rescue financing is treated as </w:t>
      </w:r>
      <w:r w:rsidR="00B533B1">
        <w:rPr>
          <w:rFonts w:ascii="Avenir Next" w:hAnsi="Avenir Next" w:cs="Arial"/>
          <w:color w:val="808080" w:themeColor="background1" w:themeShade="80"/>
          <w:sz w:val="22"/>
          <w:szCs w:val="22"/>
          <w:lang w:val="en-GB"/>
        </w:rPr>
        <w:t>part of the costs and expenses</w:t>
      </w:r>
      <w:r w:rsidR="00AB5C18">
        <w:rPr>
          <w:rFonts w:ascii="Avenir Next" w:hAnsi="Avenir Next" w:cs="Arial"/>
          <w:color w:val="808080" w:themeColor="background1" w:themeShade="80"/>
          <w:sz w:val="22"/>
          <w:szCs w:val="22"/>
          <w:lang w:val="en-GB"/>
        </w:rPr>
        <w:t xml:space="preserve"> </w:t>
      </w:r>
      <w:r w:rsidR="006B6CC4">
        <w:rPr>
          <w:rFonts w:ascii="Avenir Next" w:hAnsi="Avenir Next" w:cs="Arial"/>
          <w:color w:val="808080" w:themeColor="background1" w:themeShade="80"/>
          <w:sz w:val="22"/>
          <w:szCs w:val="22"/>
          <w:lang w:val="en-GB"/>
        </w:rPr>
        <w:t xml:space="preserve">and </w:t>
      </w:r>
      <w:r w:rsidR="00FE5593">
        <w:rPr>
          <w:rFonts w:ascii="Avenir Next" w:hAnsi="Avenir Next" w:cs="Arial"/>
          <w:color w:val="808080" w:themeColor="background1" w:themeShade="80"/>
          <w:sz w:val="22"/>
          <w:szCs w:val="22"/>
          <w:lang w:val="en-GB"/>
        </w:rPr>
        <w:t>has a priority over preferential debts</w:t>
      </w:r>
      <w:r w:rsidR="00350EC6">
        <w:rPr>
          <w:rFonts w:ascii="Avenir Next" w:hAnsi="Avenir Next" w:cs="Arial"/>
          <w:color w:val="808080" w:themeColor="background1" w:themeShade="80"/>
          <w:sz w:val="22"/>
          <w:szCs w:val="22"/>
          <w:lang w:val="en-GB"/>
        </w:rPr>
        <w:t>.</w:t>
      </w:r>
      <w:r w:rsidR="00026591">
        <w:rPr>
          <w:rStyle w:val="FootnoteReference"/>
          <w:rFonts w:ascii="Avenir Next" w:hAnsi="Avenir Next" w:cs="Arial"/>
          <w:color w:val="808080" w:themeColor="background1" w:themeShade="80"/>
          <w:sz w:val="22"/>
          <w:szCs w:val="22"/>
          <w:lang w:val="en-GB"/>
        </w:rPr>
        <w:footnoteReference w:id="12"/>
      </w:r>
      <w:r w:rsidR="00350EC6">
        <w:rPr>
          <w:rFonts w:ascii="Avenir Next" w:hAnsi="Avenir Next" w:cs="Arial"/>
          <w:color w:val="808080" w:themeColor="background1" w:themeShade="80"/>
          <w:sz w:val="22"/>
          <w:szCs w:val="22"/>
          <w:lang w:val="en-GB"/>
        </w:rPr>
        <w:t xml:space="preserve"> </w:t>
      </w:r>
      <w:r w:rsidR="006A5052">
        <w:rPr>
          <w:rFonts w:ascii="Avenir Next" w:hAnsi="Avenir Next" w:cs="Arial"/>
          <w:color w:val="808080" w:themeColor="background1" w:themeShade="80"/>
          <w:sz w:val="22"/>
          <w:szCs w:val="22"/>
          <w:lang w:val="en-GB"/>
        </w:rPr>
        <w:t xml:space="preserve">Creditor who provide rescue financing obtain security </w:t>
      </w:r>
      <w:r w:rsidR="00AF6465">
        <w:rPr>
          <w:rFonts w:ascii="Avenir Next" w:hAnsi="Avenir Next" w:cs="Arial"/>
          <w:color w:val="808080" w:themeColor="background1" w:themeShade="80"/>
          <w:sz w:val="22"/>
          <w:szCs w:val="22"/>
          <w:lang w:val="en-GB"/>
        </w:rPr>
        <w:t>over the assets of the debtor</w:t>
      </w:r>
      <w:r w:rsidR="00F77790">
        <w:rPr>
          <w:rFonts w:ascii="Avenir Next" w:hAnsi="Avenir Next" w:cs="Arial"/>
          <w:color w:val="808080" w:themeColor="background1" w:themeShade="80"/>
          <w:sz w:val="22"/>
          <w:szCs w:val="22"/>
          <w:lang w:val="en-GB"/>
        </w:rPr>
        <w:t>.</w:t>
      </w:r>
      <w:r w:rsidR="002C59FA">
        <w:rPr>
          <w:rStyle w:val="FootnoteReference"/>
          <w:rFonts w:ascii="Avenir Next" w:hAnsi="Avenir Next" w:cs="Arial"/>
          <w:color w:val="808080" w:themeColor="background1" w:themeShade="80"/>
          <w:sz w:val="22"/>
          <w:szCs w:val="22"/>
          <w:lang w:val="en-GB"/>
        </w:rPr>
        <w:footnoteReference w:id="13"/>
      </w:r>
      <w:r w:rsidR="00F77790">
        <w:rPr>
          <w:rFonts w:ascii="Avenir Next" w:hAnsi="Avenir Next" w:cs="Arial"/>
          <w:color w:val="808080" w:themeColor="background1" w:themeShade="80"/>
          <w:sz w:val="22"/>
          <w:szCs w:val="22"/>
          <w:lang w:val="en-GB"/>
        </w:rPr>
        <w:t xml:space="preserve"> There are various ways that security can be obtained. One </w:t>
      </w:r>
      <w:r w:rsidR="00043A71">
        <w:rPr>
          <w:rFonts w:ascii="Avenir Next" w:hAnsi="Avenir Next" w:cs="Arial"/>
          <w:color w:val="808080" w:themeColor="background1" w:themeShade="80"/>
          <w:sz w:val="22"/>
          <w:szCs w:val="22"/>
          <w:lang w:val="en-GB"/>
        </w:rPr>
        <w:t xml:space="preserve">security is </w:t>
      </w:r>
      <w:r w:rsidR="00B22F28">
        <w:rPr>
          <w:rFonts w:ascii="Avenir Next" w:hAnsi="Avenir Next" w:cs="Arial"/>
          <w:color w:val="808080" w:themeColor="background1" w:themeShade="80"/>
          <w:sz w:val="22"/>
          <w:szCs w:val="22"/>
          <w:lang w:val="en-GB"/>
        </w:rPr>
        <w:t>by secured interest over the debtor’s assets with no other secured interest.</w:t>
      </w:r>
      <w:r w:rsidR="00942FAB">
        <w:rPr>
          <w:rStyle w:val="FootnoteReference"/>
          <w:rFonts w:ascii="Avenir Next" w:hAnsi="Avenir Next" w:cs="Arial"/>
          <w:color w:val="808080" w:themeColor="background1" w:themeShade="80"/>
          <w:sz w:val="22"/>
          <w:szCs w:val="22"/>
          <w:lang w:val="en-GB"/>
        </w:rPr>
        <w:footnoteReference w:id="14"/>
      </w:r>
      <w:r w:rsidR="00B22F28">
        <w:rPr>
          <w:rFonts w:ascii="Avenir Next" w:hAnsi="Avenir Next" w:cs="Arial"/>
          <w:color w:val="808080" w:themeColor="background1" w:themeShade="80"/>
          <w:sz w:val="22"/>
          <w:szCs w:val="22"/>
          <w:lang w:val="en-GB"/>
        </w:rPr>
        <w:t xml:space="preserve"> If the </w:t>
      </w:r>
      <w:r w:rsidR="002F2BEC">
        <w:rPr>
          <w:rFonts w:ascii="Avenir Next" w:hAnsi="Avenir Next" w:cs="Arial"/>
          <w:color w:val="808080" w:themeColor="background1" w:themeShade="80"/>
          <w:sz w:val="22"/>
          <w:szCs w:val="22"/>
          <w:lang w:val="en-GB"/>
        </w:rPr>
        <w:t>security of the rescue finan</w:t>
      </w:r>
      <w:r w:rsidR="002C59FA">
        <w:rPr>
          <w:rFonts w:ascii="Avenir Next" w:hAnsi="Avenir Next" w:cs="Arial"/>
          <w:color w:val="808080" w:themeColor="background1" w:themeShade="80"/>
          <w:sz w:val="22"/>
          <w:szCs w:val="22"/>
          <w:lang w:val="en-GB"/>
        </w:rPr>
        <w:t>c</w:t>
      </w:r>
      <w:r w:rsidR="002F2BEC">
        <w:rPr>
          <w:rFonts w:ascii="Avenir Next" w:hAnsi="Avenir Next" w:cs="Arial"/>
          <w:color w:val="808080" w:themeColor="background1" w:themeShade="80"/>
          <w:sz w:val="22"/>
          <w:szCs w:val="22"/>
          <w:lang w:val="en-GB"/>
        </w:rPr>
        <w:t xml:space="preserve">ing is achieved over assets with already existing </w:t>
      </w:r>
      <w:r w:rsidR="00461B9C">
        <w:rPr>
          <w:rFonts w:ascii="Avenir Next" w:hAnsi="Avenir Next" w:cs="Arial"/>
          <w:color w:val="808080" w:themeColor="background1" w:themeShade="80"/>
          <w:sz w:val="22"/>
          <w:szCs w:val="22"/>
          <w:lang w:val="en-GB"/>
        </w:rPr>
        <w:t>security interests</w:t>
      </w:r>
      <w:r w:rsidR="001B460F">
        <w:rPr>
          <w:rFonts w:ascii="Avenir Next" w:hAnsi="Avenir Next" w:cs="Arial"/>
          <w:color w:val="808080" w:themeColor="background1" w:themeShade="80"/>
          <w:sz w:val="22"/>
          <w:szCs w:val="22"/>
          <w:lang w:val="en-GB"/>
        </w:rPr>
        <w:t xml:space="preserve">, the rescue financing secured interest can be a </w:t>
      </w:r>
      <w:r w:rsidR="00F70E60">
        <w:rPr>
          <w:rFonts w:ascii="Avenir Next" w:hAnsi="Avenir Next" w:cs="Arial"/>
          <w:color w:val="808080" w:themeColor="background1" w:themeShade="80"/>
          <w:sz w:val="22"/>
          <w:szCs w:val="22"/>
          <w:lang w:val="en-GB"/>
        </w:rPr>
        <w:t>subordinate subject to the other interests.</w:t>
      </w:r>
      <w:r w:rsidR="001776C9">
        <w:rPr>
          <w:rStyle w:val="FootnoteReference"/>
          <w:rFonts w:ascii="Avenir Next" w:hAnsi="Avenir Next" w:cs="Arial"/>
          <w:color w:val="808080" w:themeColor="background1" w:themeShade="80"/>
          <w:sz w:val="22"/>
          <w:szCs w:val="22"/>
          <w:lang w:val="en-GB"/>
        </w:rPr>
        <w:footnoteReference w:id="15"/>
      </w:r>
      <w:r w:rsidR="00511541">
        <w:rPr>
          <w:rFonts w:ascii="Avenir Next" w:hAnsi="Avenir Next" w:cs="Arial"/>
          <w:color w:val="808080" w:themeColor="background1" w:themeShade="80"/>
          <w:sz w:val="22"/>
          <w:szCs w:val="22"/>
          <w:lang w:val="en-GB"/>
        </w:rPr>
        <w:t xml:space="preserve"> The above mentioned methods of securing the rescue financing </w:t>
      </w:r>
      <w:r w:rsidR="0018605C">
        <w:rPr>
          <w:rFonts w:ascii="Avenir Next" w:hAnsi="Avenir Next" w:cs="Arial"/>
          <w:color w:val="808080" w:themeColor="background1" w:themeShade="80"/>
          <w:sz w:val="22"/>
          <w:szCs w:val="22"/>
          <w:lang w:val="en-GB"/>
        </w:rPr>
        <w:t xml:space="preserve">are dependent </w:t>
      </w:r>
      <w:r w:rsidR="00FC202F">
        <w:rPr>
          <w:rFonts w:ascii="Avenir Next" w:hAnsi="Avenir Next" w:cs="Arial"/>
          <w:color w:val="808080" w:themeColor="background1" w:themeShade="80"/>
          <w:sz w:val="22"/>
          <w:szCs w:val="22"/>
          <w:lang w:val="en-GB"/>
        </w:rPr>
        <w:t xml:space="preserve">on </w:t>
      </w:r>
      <w:r w:rsidR="00C26CB1">
        <w:rPr>
          <w:rFonts w:ascii="Avenir Next" w:hAnsi="Avenir Next" w:cs="Arial"/>
          <w:color w:val="808080" w:themeColor="background1" w:themeShade="80"/>
          <w:sz w:val="22"/>
          <w:szCs w:val="22"/>
          <w:lang w:val="en-GB"/>
        </w:rPr>
        <w:t xml:space="preserve">the facts that the only way that the company would have </w:t>
      </w:r>
      <w:r w:rsidR="00133799">
        <w:rPr>
          <w:rFonts w:ascii="Avenir Next" w:hAnsi="Avenir Next" w:cs="Arial"/>
          <w:color w:val="808080" w:themeColor="background1" w:themeShade="80"/>
          <w:sz w:val="22"/>
          <w:szCs w:val="22"/>
          <w:lang w:val="en-GB"/>
        </w:rPr>
        <w:t>obtained further financing was to ask for rescue financing order</w:t>
      </w:r>
      <w:r w:rsidR="00CB3B53">
        <w:rPr>
          <w:rFonts w:ascii="Avenir Next" w:hAnsi="Avenir Next" w:cs="Arial"/>
          <w:color w:val="808080" w:themeColor="background1" w:themeShade="80"/>
          <w:sz w:val="22"/>
          <w:szCs w:val="22"/>
          <w:lang w:val="en-GB"/>
        </w:rPr>
        <w:t xml:space="preserve"> hence the security.</w:t>
      </w:r>
      <w:r w:rsidR="00CB3B53">
        <w:rPr>
          <w:rStyle w:val="FootnoteReference"/>
          <w:rFonts w:ascii="Avenir Next" w:hAnsi="Avenir Next" w:cs="Arial"/>
          <w:color w:val="808080" w:themeColor="background1" w:themeShade="80"/>
          <w:sz w:val="22"/>
          <w:szCs w:val="22"/>
          <w:lang w:val="en-GB"/>
        </w:rPr>
        <w:footnoteReference w:id="16"/>
      </w:r>
      <w:r w:rsidR="00D9764B">
        <w:rPr>
          <w:rFonts w:ascii="Avenir Next" w:hAnsi="Avenir Next" w:cs="Arial"/>
          <w:color w:val="808080" w:themeColor="background1" w:themeShade="80"/>
          <w:sz w:val="22"/>
          <w:szCs w:val="22"/>
          <w:lang w:val="en-GB"/>
        </w:rPr>
        <w:t xml:space="preserve"> There are instances where the rescue finance can be </w:t>
      </w:r>
      <w:r w:rsidR="0047052A">
        <w:rPr>
          <w:rFonts w:ascii="Avenir Next" w:hAnsi="Avenir Next" w:cs="Arial"/>
          <w:color w:val="808080" w:themeColor="background1" w:themeShade="80"/>
          <w:sz w:val="22"/>
          <w:szCs w:val="22"/>
          <w:lang w:val="en-GB"/>
        </w:rPr>
        <w:t>secured over assets with pre-existing secured interest at the same priority or higher than the pre-existing secured interests.</w:t>
      </w:r>
      <w:r w:rsidR="0047052A">
        <w:rPr>
          <w:rStyle w:val="FootnoteReference"/>
          <w:rFonts w:ascii="Avenir Next" w:hAnsi="Avenir Next" w:cs="Arial"/>
          <w:color w:val="808080" w:themeColor="background1" w:themeShade="80"/>
          <w:sz w:val="22"/>
          <w:szCs w:val="22"/>
          <w:lang w:val="en-GB"/>
        </w:rPr>
        <w:footnoteReference w:id="17"/>
      </w:r>
      <w:r w:rsidR="00CC75D2">
        <w:rPr>
          <w:rFonts w:ascii="Avenir Next" w:hAnsi="Avenir Next" w:cs="Arial"/>
          <w:color w:val="808080" w:themeColor="background1" w:themeShade="80"/>
          <w:sz w:val="22"/>
          <w:szCs w:val="22"/>
          <w:lang w:val="en-GB"/>
        </w:rPr>
        <w:t xml:space="preserve"> This is subject to two conditions.</w:t>
      </w:r>
      <w:r w:rsidR="00CC75D2">
        <w:rPr>
          <w:rStyle w:val="FootnoteReference"/>
          <w:rFonts w:ascii="Avenir Next" w:hAnsi="Avenir Next" w:cs="Arial"/>
          <w:color w:val="808080" w:themeColor="background1" w:themeShade="80"/>
          <w:sz w:val="22"/>
          <w:szCs w:val="22"/>
          <w:lang w:val="en-GB"/>
        </w:rPr>
        <w:footnoteReference w:id="18"/>
      </w:r>
      <w:r w:rsidR="00464CD9">
        <w:rPr>
          <w:rFonts w:ascii="Avenir Next" w:hAnsi="Avenir Next" w:cs="Arial"/>
          <w:color w:val="808080" w:themeColor="background1" w:themeShade="80"/>
          <w:sz w:val="22"/>
          <w:szCs w:val="22"/>
          <w:lang w:val="en-GB"/>
        </w:rPr>
        <w:t xml:space="preserve"> One</w:t>
      </w:r>
      <w:r w:rsidR="006F4E5A">
        <w:rPr>
          <w:rFonts w:ascii="Avenir Next" w:hAnsi="Avenir Next" w:cs="Arial"/>
          <w:color w:val="808080" w:themeColor="background1" w:themeShade="80"/>
          <w:sz w:val="22"/>
          <w:szCs w:val="22"/>
          <w:lang w:val="en-GB"/>
        </w:rPr>
        <w:t xml:space="preserve"> condition</w:t>
      </w:r>
      <w:r w:rsidR="00464CD9">
        <w:rPr>
          <w:rFonts w:ascii="Avenir Next" w:hAnsi="Avenir Next" w:cs="Arial"/>
          <w:color w:val="808080" w:themeColor="background1" w:themeShade="80"/>
          <w:sz w:val="22"/>
          <w:szCs w:val="22"/>
          <w:lang w:val="en-GB"/>
        </w:rPr>
        <w:t xml:space="preserve"> </w:t>
      </w:r>
      <w:r w:rsidR="007D56E8">
        <w:rPr>
          <w:rFonts w:ascii="Avenir Next" w:hAnsi="Avenir Next" w:cs="Arial"/>
          <w:color w:val="808080" w:themeColor="background1" w:themeShade="80"/>
          <w:sz w:val="22"/>
          <w:szCs w:val="22"/>
          <w:lang w:val="en-GB"/>
        </w:rPr>
        <w:t xml:space="preserve">is </w:t>
      </w:r>
      <w:r w:rsidR="0059718C">
        <w:rPr>
          <w:rFonts w:ascii="Avenir Next" w:hAnsi="Avenir Next" w:cs="Arial"/>
          <w:color w:val="808080" w:themeColor="background1" w:themeShade="80"/>
          <w:sz w:val="22"/>
          <w:szCs w:val="22"/>
          <w:lang w:val="en-GB"/>
        </w:rPr>
        <w:t xml:space="preserve">that the company would not have </w:t>
      </w:r>
      <w:r w:rsidR="007D56E8">
        <w:rPr>
          <w:rFonts w:ascii="Avenir Next" w:hAnsi="Avenir Next" w:cs="Arial"/>
          <w:color w:val="808080" w:themeColor="background1" w:themeShade="80"/>
          <w:sz w:val="22"/>
          <w:szCs w:val="22"/>
          <w:lang w:val="en-GB"/>
        </w:rPr>
        <w:t xml:space="preserve">acquired the financing unless the debt is </w:t>
      </w:r>
      <w:r w:rsidR="006F4E5A">
        <w:rPr>
          <w:rFonts w:ascii="Avenir Next" w:hAnsi="Avenir Next" w:cs="Arial"/>
          <w:color w:val="808080" w:themeColor="background1" w:themeShade="80"/>
          <w:sz w:val="22"/>
          <w:szCs w:val="22"/>
          <w:lang w:val="en-GB"/>
        </w:rPr>
        <w:t>secured in the manner described above.</w:t>
      </w:r>
      <w:r w:rsidR="00881A8C">
        <w:rPr>
          <w:rStyle w:val="FootnoteReference"/>
          <w:rFonts w:ascii="Avenir Next" w:hAnsi="Avenir Next" w:cs="Arial"/>
          <w:color w:val="808080" w:themeColor="background1" w:themeShade="80"/>
          <w:sz w:val="22"/>
          <w:szCs w:val="22"/>
          <w:lang w:val="en-GB"/>
        </w:rPr>
        <w:footnoteReference w:id="19"/>
      </w:r>
      <w:r w:rsidR="006F4E5A">
        <w:rPr>
          <w:rFonts w:ascii="Avenir Next" w:hAnsi="Avenir Next" w:cs="Arial"/>
          <w:color w:val="808080" w:themeColor="background1" w:themeShade="80"/>
          <w:sz w:val="22"/>
          <w:szCs w:val="22"/>
          <w:lang w:val="en-GB"/>
        </w:rPr>
        <w:t xml:space="preserve"> The second condition is t</w:t>
      </w:r>
      <w:r w:rsidR="007D52F8">
        <w:rPr>
          <w:rFonts w:ascii="Avenir Next" w:hAnsi="Avenir Next" w:cs="Arial"/>
          <w:color w:val="808080" w:themeColor="background1" w:themeShade="80"/>
          <w:sz w:val="22"/>
          <w:szCs w:val="22"/>
          <w:lang w:val="en-GB"/>
        </w:rPr>
        <w:t xml:space="preserve">hat there are adequate protection of </w:t>
      </w:r>
      <w:r w:rsidR="00F16333">
        <w:rPr>
          <w:rFonts w:ascii="Avenir Next" w:hAnsi="Avenir Next" w:cs="Arial"/>
          <w:color w:val="808080" w:themeColor="background1" w:themeShade="80"/>
          <w:sz w:val="22"/>
          <w:szCs w:val="22"/>
          <w:lang w:val="en-GB"/>
        </w:rPr>
        <w:t xml:space="preserve">other </w:t>
      </w:r>
      <w:r w:rsidR="007D52F8">
        <w:rPr>
          <w:rFonts w:ascii="Avenir Next" w:hAnsi="Avenir Next" w:cs="Arial"/>
          <w:color w:val="808080" w:themeColor="background1" w:themeShade="80"/>
          <w:sz w:val="22"/>
          <w:szCs w:val="22"/>
          <w:lang w:val="en-GB"/>
        </w:rPr>
        <w:t>the secured interests</w:t>
      </w:r>
      <w:r w:rsidR="00F16333">
        <w:rPr>
          <w:rFonts w:ascii="Avenir Next" w:hAnsi="Avenir Next" w:cs="Arial"/>
          <w:color w:val="808080" w:themeColor="background1" w:themeShade="80"/>
          <w:sz w:val="22"/>
          <w:szCs w:val="22"/>
          <w:lang w:val="en-GB"/>
        </w:rPr>
        <w:t>.</w:t>
      </w:r>
      <w:r w:rsidR="00F16333">
        <w:rPr>
          <w:rStyle w:val="FootnoteReference"/>
          <w:rFonts w:ascii="Avenir Next" w:hAnsi="Avenir Next" w:cs="Arial"/>
          <w:color w:val="808080" w:themeColor="background1" w:themeShade="80"/>
          <w:sz w:val="22"/>
          <w:szCs w:val="22"/>
          <w:lang w:val="en-GB"/>
        </w:rPr>
        <w:footnoteReference w:id="20"/>
      </w:r>
      <w:r w:rsidR="00B35035">
        <w:rPr>
          <w:rFonts w:ascii="Avenir Next" w:hAnsi="Avenir Next" w:cs="Arial"/>
          <w:color w:val="808080" w:themeColor="background1" w:themeShade="80"/>
          <w:sz w:val="22"/>
          <w:szCs w:val="22"/>
          <w:lang w:val="en-GB"/>
        </w:rPr>
        <w:t xml:space="preserve"> </w:t>
      </w:r>
      <w:r w:rsidR="00B44113">
        <w:rPr>
          <w:rFonts w:ascii="Avenir Next" w:hAnsi="Avenir Next" w:cs="Arial"/>
          <w:color w:val="808080" w:themeColor="background1" w:themeShade="80"/>
          <w:sz w:val="22"/>
          <w:szCs w:val="22"/>
          <w:lang w:val="en-GB"/>
        </w:rPr>
        <w:t xml:space="preserve">The IRD Act provides for the courts to approve application for </w:t>
      </w:r>
      <w:r w:rsidR="005C5B58">
        <w:rPr>
          <w:rFonts w:ascii="Avenir Next" w:hAnsi="Avenir Next" w:cs="Arial"/>
          <w:color w:val="808080" w:themeColor="background1" w:themeShade="80"/>
          <w:sz w:val="22"/>
          <w:szCs w:val="22"/>
          <w:lang w:val="en-GB"/>
        </w:rPr>
        <w:t xml:space="preserve">rescue financing and creditors who provide rescue financing to </w:t>
      </w:r>
      <w:r w:rsidR="008F7F7B">
        <w:rPr>
          <w:rFonts w:ascii="Avenir Next" w:hAnsi="Avenir Next" w:cs="Arial"/>
          <w:color w:val="808080" w:themeColor="background1" w:themeShade="80"/>
          <w:sz w:val="22"/>
          <w:szCs w:val="22"/>
          <w:lang w:val="en-GB"/>
        </w:rPr>
        <w:t>struggling debtors are afforded protecting under the IRD Act.</w:t>
      </w:r>
    </w:p>
    <w:p w14:paraId="2687B909" w14:textId="77777777" w:rsidR="00BB42F3" w:rsidRDefault="00BB42F3" w:rsidP="008C35C9">
      <w:pPr>
        <w:jc w:val="both"/>
        <w:rPr>
          <w:rFonts w:ascii="Avenir Next" w:hAnsi="Avenir Next" w:cs="Arial"/>
          <w:color w:val="808080" w:themeColor="background1" w:themeShade="80"/>
          <w:sz w:val="22"/>
          <w:szCs w:val="22"/>
          <w:lang w:val="en-GB"/>
        </w:rPr>
      </w:pPr>
    </w:p>
    <w:p w14:paraId="11DB6485" w14:textId="722A4648" w:rsidR="0021356C" w:rsidRDefault="0021356C" w:rsidP="008C35C9">
      <w:pPr>
        <w:jc w:val="both"/>
        <w:rPr>
          <w:rFonts w:ascii="Avenir Next" w:hAnsi="Avenir Next" w:cs="Arial"/>
          <w:b/>
          <w:bCs/>
          <w:color w:val="808080" w:themeColor="background1" w:themeShade="80"/>
          <w:sz w:val="22"/>
          <w:szCs w:val="22"/>
          <w:lang w:val="en-GB"/>
        </w:rPr>
      </w:pPr>
      <w:r w:rsidRPr="001D54FB">
        <w:rPr>
          <w:rFonts w:ascii="Avenir Next" w:hAnsi="Avenir Next" w:cs="Arial"/>
          <w:b/>
          <w:bCs/>
          <w:color w:val="808080" w:themeColor="background1" w:themeShade="80"/>
          <w:sz w:val="22"/>
          <w:szCs w:val="22"/>
          <w:lang w:val="en-GB"/>
        </w:rPr>
        <w:lastRenderedPageBreak/>
        <w:t>Wrongful trading</w:t>
      </w:r>
    </w:p>
    <w:p w14:paraId="73AEC53B" w14:textId="6DF5BFA7" w:rsidR="00544E1C" w:rsidRDefault="00551C78"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the event that</w:t>
      </w:r>
      <w:proofErr w:type="gramEnd"/>
      <w:r>
        <w:rPr>
          <w:rFonts w:ascii="Avenir Next" w:hAnsi="Avenir Next" w:cs="Arial"/>
          <w:color w:val="808080" w:themeColor="background1" w:themeShade="80"/>
          <w:sz w:val="22"/>
          <w:szCs w:val="22"/>
          <w:lang w:val="en-GB"/>
        </w:rPr>
        <w:t xml:space="preserve"> a company trades wrongly, the IRD Act makes provisions for the parties that were party to those transa</w:t>
      </w:r>
      <w:r w:rsidR="00055688">
        <w:rPr>
          <w:rFonts w:ascii="Avenir Next" w:hAnsi="Avenir Next" w:cs="Arial"/>
          <w:color w:val="808080" w:themeColor="background1" w:themeShade="80"/>
          <w:sz w:val="22"/>
          <w:szCs w:val="22"/>
          <w:lang w:val="en-GB"/>
        </w:rPr>
        <w:t>ctions.</w:t>
      </w:r>
      <w:r w:rsidR="00055688">
        <w:rPr>
          <w:rStyle w:val="FootnoteReference"/>
          <w:rFonts w:ascii="Avenir Next" w:hAnsi="Avenir Next" w:cs="Arial"/>
          <w:color w:val="808080" w:themeColor="background1" w:themeShade="80"/>
          <w:sz w:val="22"/>
          <w:szCs w:val="22"/>
          <w:lang w:val="en-GB"/>
        </w:rPr>
        <w:footnoteReference w:id="21"/>
      </w:r>
      <w:r w:rsidR="00AF4606">
        <w:rPr>
          <w:rFonts w:ascii="Avenir Next" w:hAnsi="Avenir Next" w:cs="Arial"/>
          <w:color w:val="808080" w:themeColor="background1" w:themeShade="80"/>
          <w:sz w:val="22"/>
          <w:szCs w:val="22"/>
          <w:lang w:val="en-GB"/>
        </w:rPr>
        <w:t xml:space="preserve"> </w:t>
      </w:r>
      <w:r w:rsidR="00457A5C">
        <w:rPr>
          <w:rFonts w:ascii="Avenir Next" w:hAnsi="Avenir Next" w:cs="Arial"/>
          <w:color w:val="808080" w:themeColor="background1" w:themeShade="80"/>
          <w:sz w:val="22"/>
          <w:szCs w:val="22"/>
          <w:lang w:val="en-GB"/>
        </w:rPr>
        <w:t xml:space="preserve">Wrongful trading is describes as </w:t>
      </w:r>
      <w:r w:rsidR="007009A0">
        <w:rPr>
          <w:rFonts w:ascii="Avenir Next" w:hAnsi="Avenir Next" w:cs="Arial"/>
          <w:color w:val="808080" w:themeColor="background1" w:themeShade="80"/>
          <w:sz w:val="22"/>
          <w:szCs w:val="22"/>
          <w:lang w:val="en-GB"/>
        </w:rPr>
        <w:t xml:space="preserve">where the company incurs debt </w:t>
      </w:r>
      <w:r w:rsidR="00243F7B">
        <w:rPr>
          <w:rFonts w:ascii="Avenir Next" w:hAnsi="Avenir Next" w:cs="Arial"/>
          <w:color w:val="808080" w:themeColor="background1" w:themeShade="80"/>
          <w:sz w:val="22"/>
          <w:szCs w:val="22"/>
          <w:lang w:val="en-GB"/>
        </w:rPr>
        <w:t>which it would not reasonably be expected</w:t>
      </w:r>
      <w:r w:rsidR="00491B3A">
        <w:rPr>
          <w:rFonts w:ascii="Avenir Next" w:hAnsi="Avenir Next" w:cs="Arial"/>
          <w:color w:val="808080" w:themeColor="background1" w:themeShade="80"/>
          <w:sz w:val="22"/>
          <w:szCs w:val="22"/>
          <w:lang w:val="en-GB"/>
        </w:rPr>
        <w:t xml:space="preserve"> to pay or </w:t>
      </w:r>
      <w:r w:rsidR="00034156">
        <w:rPr>
          <w:rFonts w:ascii="Avenir Next" w:hAnsi="Avenir Next" w:cs="Arial"/>
          <w:color w:val="808080" w:themeColor="background1" w:themeShade="80"/>
          <w:sz w:val="22"/>
          <w:szCs w:val="22"/>
          <w:lang w:val="en-GB"/>
        </w:rPr>
        <w:t xml:space="preserve">incurs more debt </w:t>
      </w:r>
      <w:r w:rsidR="00892171">
        <w:rPr>
          <w:rFonts w:ascii="Avenir Next" w:hAnsi="Avenir Next" w:cs="Arial"/>
          <w:color w:val="808080" w:themeColor="background1" w:themeShade="80"/>
          <w:sz w:val="22"/>
          <w:szCs w:val="22"/>
          <w:lang w:val="en-GB"/>
        </w:rPr>
        <w:t>which the company has no reasonable prospect of paying</w:t>
      </w:r>
      <w:r w:rsidR="00491B3A">
        <w:rPr>
          <w:rFonts w:ascii="Avenir Next" w:hAnsi="Avenir Next" w:cs="Arial"/>
          <w:color w:val="808080" w:themeColor="background1" w:themeShade="80"/>
          <w:sz w:val="22"/>
          <w:szCs w:val="22"/>
          <w:lang w:val="en-GB"/>
        </w:rPr>
        <w:t xml:space="preserve">. </w:t>
      </w:r>
      <w:r w:rsidR="00A2157D">
        <w:rPr>
          <w:rFonts w:ascii="Avenir Next" w:hAnsi="Avenir Next" w:cs="Arial"/>
          <w:color w:val="808080" w:themeColor="background1" w:themeShade="80"/>
          <w:sz w:val="22"/>
          <w:szCs w:val="22"/>
          <w:lang w:val="en-GB"/>
        </w:rPr>
        <w:t>Wrongful trading places liabili</w:t>
      </w:r>
      <w:r w:rsidR="001E5421">
        <w:rPr>
          <w:rFonts w:ascii="Avenir Next" w:hAnsi="Avenir Next" w:cs="Arial"/>
          <w:color w:val="808080" w:themeColor="background1" w:themeShade="80"/>
          <w:sz w:val="22"/>
          <w:szCs w:val="22"/>
          <w:lang w:val="en-GB"/>
        </w:rPr>
        <w:t>ty against persons who participated in the wrongful trading</w:t>
      </w:r>
      <w:r w:rsidR="00816A94">
        <w:rPr>
          <w:rFonts w:ascii="Avenir Next" w:hAnsi="Avenir Next" w:cs="Arial"/>
          <w:color w:val="808080" w:themeColor="background1" w:themeShade="80"/>
          <w:sz w:val="22"/>
          <w:szCs w:val="22"/>
          <w:lang w:val="en-GB"/>
        </w:rPr>
        <w:t>.</w:t>
      </w:r>
      <w:r w:rsidR="00816A94">
        <w:rPr>
          <w:rStyle w:val="FootnoteReference"/>
          <w:rFonts w:ascii="Avenir Next" w:hAnsi="Avenir Next" w:cs="Arial"/>
          <w:color w:val="808080" w:themeColor="background1" w:themeShade="80"/>
          <w:sz w:val="22"/>
          <w:szCs w:val="22"/>
          <w:lang w:val="en-GB"/>
        </w:rPr>
        <w:footnoteReference w:id="22"/>
      </w:r>
      <w:r w:rsidR="005F33F9">
        <w:rPr>
          <w:rFonts w:ascii="Avenir Next" w:hAnsi="Avenir Next" w:cs="Arial"/>
          <w:color w:val="808080" w:themeColor="background1" w:themeShade="80"/>
          <w:sz w:val="22"/>
          <w:szCs w:val="22"/>
          <w:lang w:val="en-GB"/>
        </w:rPr>
        <w:t xml:space="preserve"> Not all participants of wrongful trading are liable. For the courts to </w:t>
      </w:r>
      <w:r w:rsidR="00774DC5">
        <w:rPr>
          <w:rFonts w:ascii="Avenir Next" w:hAnsi="Avenir Next" w:cs="Arial"/>
          <w:color w:val="808080" w:themeColor="background1" w:themeShade="80"/>
          <w:sz w:val="22"/>
          <w:szCs w:val="22"/>
          <w:lang w:val="en-GB"/>
        </w:rPr>
        <w:t>find a person is liable for wrongful trading</w:t>
      </w:r>
      <w:r w:rsidR="00D24113">
        <w:rPr>
          <w:rFonts w:ascii="Avenir Next" w:hAnsi="Avenir Next" w:cs="Arial"/>
          <w:color w:val="808080" w:themeColor="background1" w:themeShade="80"/>
          <w:sz w:val="22"/>
          <w:szCs w:val="22"/>
          <w:lang w:val="en-GB"/>
        </w:rPr>
        <w:t xml:space="preserve"> the person either knew or ought to have known </w:t>
      </w:r>
      <w:r w:rsidR="001F0649">
        <w:rPr>
          <w:rFonts w:ascii="Avenir Next" w:hAnsi="Avenir Next" w:cs="Arial"/>
          <w:color w:val="808080" w:themeColor="background1" w:themeShade="80"/>
          <w:sz w:val="22"/>
          <w:szCs w:val="22"/>
          <w:lang w:val="en-GB"/>
        </w:rPr>
        <w:t>the company was trading wrongly.</w:t>
      </w:r>
      <w:r w:rsidR="001F0649">
        <w:rPr>
          <w:rStyle w:val="FootnoteReference"/>
          <w:rFonts w:ascii="Avenir Next" w:hAnsi="Avenir Next" w:cs="Arial"/>
          <w:color w:val="808080" w:themeColor="background1" w:themeShade="80"/>
          <w:sz w:val="22"/>
          <w:szCs w:val="22"/>
          <w:lang w:val="en-GB"/>
        </w:rPr>
        <w:footnoteReference w:id="23"/>
      </w:r>
      <w:r w:rsidR="007603B7">
        <w:rPr>
          <w:rFonts w:ascii="Avenir Next" w:hAnsi="Avenir Next" w:cs="Arial"/>
          <w:color w:val="808080" w:themeColor="background1" w:themeShade="80"/>
          <w:sz w:val="22"/>
          <w:szCs w:val="22"/>
          <w:lang w:val="en-GB"/>
        </w:rPr>
        <w:t xml:space="preserve"> </w:t>
      </w:r>
      <w:r w:rsidR="00AF2DFD">
        <w:rPr>
          <w:rFonts w:ascii="Avenir Next" w:hAnsi="Avenir Next" w:cs="Arial"/>
          <w:color w:val="808080" w:themeColor="background1" w:themeShade="80"/>
          <w:sz w:val="22"/>
          <w:szCs w:val="22"/>
          <w:lang w:val="en-GB"/>
        </w:rPr>
        <w:t>Ought to have known is mostly associated with the officers of the company, that is, directors</w:t>
      </w:r>
      <w:r w:rsidR="003F0CF5">
        <w:rPr>
          <w:rFonts w:ascii="Avenir Next" w:hAnsi="Avenir Next" w:cs="Arial"/>
          <w:color w:val="808080" w:themeColor="background1" w:themeShade="80"/>
          <w:sz w:val="22"/>
          <w:szCs w:val="22"/>
          <w:lang w:val="en-GB"/>
        </w:rPr>
        <w:t xml:space="preserve"> as they are they carry out the day-to-day running of the company</w:t>
      </w:r>
      <w:r w:rsidR="00254D70">
        <w:rPr>
          <w:rFonts w:ascii="Avenir Next" w:hAnsi="Avenir Next" w:cs="Arial"/>
          <w:color w:val="808080" w:themeColor="background1" w:themeShade="80"/>
          <w:sz w:val="22"/>
          <w:szCs w:val="22"/>
          <w:lang w:val="en-GB"/>
        </w:rPr>
        <w:t>.</w:t>
      </w:r>
      <w:r w:rsidR="00254D70">
        <w:rPr>
          <w:rStyle w:val="FootnoteReference"/>
          <w:rFonts w:ascii="Avenir Next" w:hAnsi="Avenir Next" w:cs="Arial"/>
          <w:color w:val="808080" w:themeColor="background1" w:themeShade="80"/>
          <w:sz w:val="22"/>
          <w:szCs w:val="22"/>
          <w:lang w:val="en-GB"/>
        </w:rPr>
        <w:footnoteReference w:id="24"/>
      </w:r>
      <w:r w:rsidR="00D160F4">
        <w:rPr>
          <w:rFonts w:ascii="Avenir Next" w:hAnsi="Avenir Next" w:cs="Arial"/>
          <w:color w:val="808080" w:themeColor="background1" w:themeShade="80"/>
          <w:sz w:val="22"/>
          <w:szCs w:val="22"/>
          <w:lang w:val="en-GB"/>
        </w:rPr>
        <w:t xml:space="preserve"> </w:t>
      </w:r>
    </w:p>
    <w:p w14:paraId="028356C3" w14:textId="77777777" w:rsidR="00544E1C" w:rsidRDefault="00544E1C" w:rsidP="008C35C9">
      <w:pPr>
        <w:jc w:val="both"/>
        <w:rPr>
          <w:rFonts w:ascii="Avenir Next" w:hAnsi="Avenir Next" w:cs="Arial"/>
          <w:color w:val="808080" w:themeColor="background1" w:themeShade="80"/>
          <w:sz w:val="22"/>
          <w:szCs w:val="22"/>
          <w:lang w:val="en-GB"/>
        </w:rPr>
      </w:pPr>
    </w:p>
    <w:p w14:paraId="53002D62" w14:textId="034E8A1A" w:rsidR="007A2831" w:rsidRDefault="00544E1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Individuals who are knew or ought t</w:t>
      </w:r>
      <w:r w:rsidR="00846D6D">
        <w:rPr>
          <w:rFonts w:ascii="Avenir Next" w:hAnsi="Avenir Next" w:cs="Arial"/>
          <w:color w:val="808080" w:themeColor="background1" w:themeShade="80"/>
          <w:sz w:val="22"/>
          <w:szCs w:val="22"/>
          <w:lang w:val="en-GB"/>
        </w:rPr>
        <w:t>o have know the company is wrongfully trading are personally liable.</w:t>
      </w:r>
      <w:r w:rsidR="00846D6D">
        <w:rPr>
          <w:rStyle w:val="FootnoteReference"/>
          <w:rFonts w:ascii="Avenir Next" w:hAnsi="Avenir Next" w:cs="Arial"/>
          <w:color w:val="808080" w:themeColor="background1" w:themeShade="80"/>
          <w:sz w:val="22"/>
          <w:szCs w:val="22"/>
          <w:lang w:val="en-GB"/>
        </w:rPr>
        <w:footnoteReference w:id="25"/>
      </w:r>
      <w:r w:rsidR="00590B1E">
        <w:rPr>
          <w:rFonts w:ascii="Avenir Next" w:hAnsi="Avenir Next" w:cs="Arial"/>
          <w:color w:val="808080" w:themeColor="background1" w:themeShade="80"/>
          <w:sz w:val="22"/>
          <w:szCs w:val="22"/>
          <w:lang w:val="en-GB"/>
        </w:rPr>
        <w:t xml:space="preserve"> The person can be rel</w:t>
      </w:r>
      <w:r w:rsidR="00D00D39">
        <w:rPr>
          <w:rFonts w:ascii="Avenir Next" w:hAnsi="Avenir Next" w:cs="Arial"/>
          <w:color w:val="808080" w:themeColor="background1" w:themeShade="80"/>
          <w:sz w:val="22"/>
          <w:szCs w:val="22"/>
          <w:lang w:val="en-GB"/>
        </w:rPr>
        <w:t xml:space="preserve">ieved from liability if the show they acted honestly and </w:t>
      </w:r>
      <w:r w:rsidR="00C8009C">
        <w:rPr>
          <w:rFonts w:ascii="Avenir Next" w:hAnsi="Avenir Next" w:cs="Arial"/>
          <w:color w:val="808080" w:themeColor="background1" w:themeShade="80"/>
          <w:sz w:val="22"/>
          <w:szCs w:val="22"/>
          <w:lang w:val="en-GB"/>
        </w:rPr>
        <w:t xml:space="preserve">looking at all the circumstances </w:t>
      </w:r>
      <w:r w:rsidR="008F24CB">
        <w:rPr>
          <w:rFonts w:ascii="Avenir Next" w:hAnsi="Avenir Next" w:cs="Arial"/>
          <w:color w:val="808080" w:themeColor="background1" w:themeShade="80"/>
          <w:sz w:val="22"/>
          <w:szCs w:val="22"/>
          <w:lang w:val="en-GB"/>
        </w:rPr>
        <w:t>it is fair for the courts to relieve the person from liability</w:t>
      </w:r>
      <w:r w:rsidR="008A19A3">
        <w:rPr>
          <w:rFonts w:ascii="Avenir Next" w:hAnsi="Avenir Next" w:cs="Arial"/>
          <w:color w:val="808080" w:themeColor="background1" w:themeShade="80"/>
          <w:sz w:val="22"/>
          <w:szCs w:val="22"/>
          <w:lang w:val="en-GB"/>
        </w:rPr>
        <w:t>.</w:t>
      </w:r>
      <w:r w:rsidR="008A19A3">
        <w:rPr>
          <w:rStyle w:val="FootnoteReference"/>
          <w:rFonts w:ascii="Avenir Next" w:hAnsi="Avenir Next" w:cs="Arial"/>
          <w:color w:val="808080" w:themeColor="background1" w:themeShade="80"/>
          <w:sz w:val="22"/>
          <w:szCs w:val="22"/>
          <w:lang w:val="en-GB"/>
        </w:rPr>
        <w:footnoteReference w:id="26"/>
      </w:r>
      <w:r w:rsidR="008A19A3">
        <w:rPr>
          <w:rFonts w:ascii="Avenir Next" w:hAnsi="Avenir Next" w:cs="Arial"/>
          <w:color w:val="808080" w:themeColor="background1" w:themeShade="80"/>
          <w:sz w:val="22"/>
          <w:szCs w:val="22"/>
          <w:lang w:val="en-GB"/>
        </w:rPr>
        <w:t xml:space="preserve"> </w:t>
      </w:r>
      <w:r w:rsidR="00A75B0C">
        <w:rPr>
          <w:rFonts w:ascii="Avenir Next" w:hAnsi="Avenir Next" w:cs="Arial"/>
          <w:color w:val="808080" w:themeColor="background1" w:themeShade="80"/>
          <w:sz w:val="22"/>
          <w:szCs w:val="22"/>
          <w:lang w:val="en-GB"/>
        </w:rPr>
        <w:t xml:space="preserve">The person can show that the transactions, conduct </w:t>
      </w:r>
      <w:r w:rsidR="00681A3E">
        <w:rPr>
          <w:rFonts w:ascii="Avenir Next" w:hAnsi="Avenir Next" w:cs="Arial"/>
          <w:color w:val="808080" w:themeColor="background1" w:themeShade="80"/>
          <w:sz w:val="22"/>
          <w:szCs w:val="22"/>
          <w:lang w:val="en-GB"/>
        </w:rPr>
        <w:t>or other actions should not be considered as wrongful trading in the defence</w:t>
      </w:r>
      <w:r w:rsidR="00AA63AE">
        <w:rPr>
          <w:rFonts w:ascii="Avenir Next" w:hAnsi="Avenir Next" w:cs="Arial"/>
          <w:color w:val="808080" w:themeColor="background1" w:themeShade="80"/>
          <w:sz w:val="22"/>
          <w:szCs w:val="22"/>
          <w:lang w:val="en-GB"/>
        </w:rPr>
        <w:t xml:space="preserve">. The courts will make the final judgement to relieve them of liability. </w:t>
      </w:r>
      <w:r w:rsidR="008A19A3">
        <w:rPr>
          <w:rFonts w:ascii="Avenir Next" w:hAnsi="Avenir Next" w:cs="Arial"/>
          <w:color w:val="808080" w:themeColor="background1" w:themeShade="80"/>
          <w:sz w:val="22"/>
          <w:szCs w:val="22"/>
          <w:lang w:val="en-GB"/>
        </w:rPr>
        <w:t>If the person is not able to a</w:t>
      </w:r>
      <w:r w:rsidR="00126942">
        <w:rPr>
          <w:rFonts w:ascii="Avenir Next" w:hAnsi="Avenir Next" w:cs="Arial"/>
          <w:color w:val="808080" w:themeColor="background1" w:themeShade="80"/>
          <w:sz w:val="22"/>
          <w:szCs w:val="22"/>
          <w:lang w:val="en-GB"/>
        </w:rPr>
        <w:t>pply the defence</w:t>
      </w:r>
      <w:r w:rsidR="009C7DB7">
        <w:rPr>
          <w:rFonts w:ascii="Avenir Next" w:hAnsi="Avenir Next" w:cs="Arial"/>
          <w:color w:val="808080" w:themeColor="background1" w:themeShade="80"/>
          <w:sz w:val="22"/>
          <w:szCs w:val="22"/>
          <w:lang w:val="en-GB"/>
        </w:rPr>
        <w:t>,</w:t>
      </w:r>
      <w:r w:rsidR="00126942">
        <w:rPr>
          <w:rFonts w:ascii="Avenir Next" w:hAnsi="Avenir Next" w:cs="Arial"/>
          <w:color w:val="808080" w:themeColor="background1" w:themeShade="80"/>
          <w:sz w:val="22"/>
          <w:szCs w:val="22"/>
          <w:lang w:val="en-GB"/>
        </w:rPr>
        <w:t xml:space="preserve"> they are </w:t>
      </w:r>
      <w:r w:rsidR="002163E8">
        <w:rPr>
          <w:rFonts w:ascii="Avenir Next" w:hAnsi="Avenir Next" w:cs="Arial"/>
          <w:color w:val="808080" w:themeColor="background1" w:themeShade="80"/>
          <w:sz w:val="22"/>
          <w:szCs w:val="22"/>
          <w:lang w:val="en-GB"/>
        </w:rPr>
        <w:t xml:space="preserve">personally liable </w:t>
      </w:r>
      <w:r w:rsidR="00CD1C29">
        <w:rPr>
          <w:rFonts w:ascii="Avenir Next" w:hAnsi="Avenir Next" w:cs="Arial"/>
          <w:color w:val="808080" w:themeColor="background1" w:themeShade="80"/>
          <w:sz w:val="22"/>
          <w:szCs w:val="22"/>
          <w:lang w:val="en-GB"/>
        </w:rPr>
        <w:t>for the debt or the liability of the company during the wrongful trading.</w:t>
      </w:r>
      <w:r w:rsidR="00CD1C29">
        <w:rPr>
          <w:rStyle w:val="FootnoteReference"/>
          <w:rFonts w:ascii="Avenir Next" w:hAnsi="Avenir Next" w:cs="Arial"/>
          <w:color w:val="808080" w:themeColor="background1" w:themeShade="80"/>
          <w:sz w:val="22"/>
          <w:szCs w:val="22"/>
          <w:lang w:val="en-GB"/>
        </w:rPr>
        <w:footnoteReference w:id="27"/>
      </w:r>
    </w:p>
    <w:p w14:paraId="628AD65D" w14:textId="77777777" w:rsidR="00CD1C29" w:rsidRDefault="00CD1C29"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2C61397A" w14:textId="66A6E5E2" w:rsidR="008C35C9" w:rsidRDefault="009B1FAA" w:rsidP="008C35C9">
      <w:pPr>
        <w:jc w:val="both"/>
        <w:rPr>
          <w:rFonts w:ascii="Avenir Next" w:hAnsi="Avenir Next" w:cs="Arial"/>
          <w:color w:val="808080" w:themeColor="background1" w:themeShade="80"/>
          <w:sz w:val="22"/>
          <w:szCs w:val="22"/>
          <w:lang w:val="en-GB"/>
        </w:rPr>
      </w:pPr>
      <w:r w:rsidRPr="00792492">
        <w:rPr>
          <w:rFonts w:ascii="Avenir Next" w:hAnsi="Avenir Next" w:cs="Arial"/>
          <w:color w:val="808080" w:themeColor="background1" w:themeShade="80"/>
          <w:sz w:val="22"/>
          <w:szCs w:val="22"/>
          <w:lang w:val="en-GB"/>
        </w:rPr>
        <w:t>Judicial mana</w:t>
      </w:r>
      <w:r w:rsidR="00792492">
        <w:rPr>
          <w:rFonts w:ascii="Avenir Next" w:hAnsi="Avenir Next" w:cs="Arial"/>
          <w:color w:val="808080" w:themeColor="background1" w:themeShade="80"/>
          <w:sz w:val="22"/>
          <w:szCs w:val="22"/>
          <w:lang w:val="en-GB"/>
        </w:rPr>
        <w:t>gement and schemes of a</w:t>
      </w:r>
      <w:r w:rsidR="004D0657">
        <w:rPr>
          <w:rFonts w:ascii="Avenir Next" w:hAnsi="Avenir Next" w:cs="Arial"/>
          <w:color w:val="808080" w:themeColor="background1" w:themeShade="80"/>
          <w:sz w:val="22"/>
          <w:szCs w:val="22"/>
          <w:lang w:val="en-GB"/>
        </w:rPr>
        <w:t>rrangement are rescue procedures ava</w:t>
      </w:r>
      <w:r w:rsidR="00E546FF">
        <w:rPr>
          <w:rFonts w:ascii="Avenir Next" w:hAnsi="Avenir Next" w:cs="Arial"/>
          <w:color w:val="808080" w:themeColor="background1" w:themeShade="80"/>
          <w:sz w:val="22"/>
          <w:szCs w:val="22"/>
          <w:lang w:val="en-GB"/>
        </w:rPr>
        <w:t>ilable to companies in Singapore. This brie</w:t>
      </w:r>
      <w:r w:rsidR="00AF56E3">
        <w:rPr>
          <w:rFonts w:ascii="Avenir Next" w:hAnsi="Avenir Next" w:cs="Arial"/>
          <w:color w:val="808080" w:themeColor="background1" w:themeShade="80"/>
          <w:sz w:val="22"/>
          <w:szCs w:val="22"/>
          <w:lang w:val="en-GB"/>
        </w:rPr>
        <w:t>f</w:t>
      </w:r>
      <w:r w:rsidR="00E546FF">
        <w:rPr>
          <w:rFonts w:ascii="Avenir Next" w:hAnsi="Avenir Next" w:cs="Arial"/>
          <w:color w:val="808080" w:themeColor="background1" w:themeShade="80"/>
          <w:sz w:val="22"/>
          <w:szCs w:val="22"/>
          <w:lang w:val="en-GB"/>
        </w:rPr>
        <w:t xml:space="preserve"> essay will </w:t>
      </w:r>
      <w:r w:rsidR="00AF56E3">
        <w:rPr>
          <w:rFonts w:ascii="Avenir Next" w:hAnsi="Avenir Next" w:cs="Arial"/>
          <w:color w:val="808080" w:themeColor="background1" w:themeShade="80"/>
          <w:sz w:val="22"/>
          <w:szCs w:val="22"/>
          <w:lang w:val="en-GB"/>
        </w:rPr>
        <w:t xml:space="preserve">provide brief discussions of the differences between the two procedures. </w:t>
      </w:r>
    </w:p>
    <w:p w14:paraId="15B613FE" w14:textId="77777777" w:rsidR="0086797E" w:rsidRDefault="0086797E" w:rsidP="008C35C9">
      <w:pPr>
        <w:jc w:val="both"/>
        <w:rPr>
          <w:rFonts w:ascii="Avenir Next" w:hAnsi="Avenir Next" w:cs="Arial"/>
          <w:color w:val="808080" w:themeColor="background1" w:themeShade="80"/>
          <w:sz w:val="22"/>
          <w:szCs w:val="22"/>
          <w:lang w:val="en-GB"/>
        </w:rPr>
      </w:pPr>
    </w:p>
    <w:p w14:paraId="76FE20D1" w14:textId="6FF03D08" w:rsidR="0034062C" w:rsidRDefault="0086797E" w:rsidP="00E514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differenc</w:t>
      </w:r>
      <w:r w:rsidR="009469C8">
        <w:rPr>
          <w:rFonts w:ascii="Avenir Next" w:hAnsi="Avenir Next" w:cs="Arial"/>
          <w:color w:val="808080" w:themeColor="background1" w:themeShade="80"/>
          <w:sz w:val="22"/>
          <w:szCs w:val="22"/>
          <w:lang w:val="en-GB"/>
        </w:rPr>
        <w:t>es is scheme of arrangement</w:t>
      </w:r>
      <w:r w:rsidR="0034062C">
        <w:rPr>
          <w:rFonts w:ascii="Avenir Next" w:hAnsi="Avenir Next" w:cs="Arial"/>
          <w:color w:val="808080" w:themeColor="background1" w:themeShade="80"/>
          <w:sz w:val="22"/>
          <w:szCs w:val="22"/>
          <w:lang w:val="en-GB"/>
        </w:rPr>
        <w:t xml:space="preserve"> and </w:t>
      </w:r>
      <w:r w:rsidR="00DF32A5">
        <w:rPr>
          <w:rFonts w:ascii="Avenir Next" w:hAnsi="Avenir Next" w:cs="Arial"/>
          <w:color w:val="808080" w:themeColor="background1" w:themeShade="80"/>
          <w:sz w:val="22"/>
          <w:szCs w:val="22"/>
          <w:lang w:val="en-GB"/>
        </w:rPr>
        <w:t xml:space="preserve">judicial management is who is in charge of the company during the two insolvency procedures. </w:t>
      </w:r>
      <w:r w:rsidR="00EF444A">
        <w:rPr>
          <w:rFonts w:ascii="Avenir Next" w:hAnsi="Avenir Next" w:cs="Arial"/>
          <w:color w:val="808080" w:themeColor="background1" w:themeShade="80"/>
          <w:sz w:val="22"/>
          <w:szCs w:val="22"/>
          <w:lang w:val="en-GB"/>
        </w:rPr>
        <w:t xml:space="preserve">In a scheme of arrangement, which is a debtor-in-possession procedure, the pre-existing management of the debtor continue </w:t>
      </w:r>
      <w:r w:rsidR="0002347A">
        <w:rPr>
          <w:rFonts w:ascii="Avenir Next" w:hAnsi="Avenir Next" w:cs="Arial"/>
          <w:color w:val="808080" w:themeColor="background1" w:themeShade="80"/>
          <w:sz w:val="22"/>
          <w:szCs w:val="22"/>
          <w:lang w:val="en-GB"/>
        </w:rPr>
        <w:t>to manage the company.</w:t>
      </w:r>
      <w:r w:rsidR="0002347A">
        <w:rPr>
          <w:rStyle w:val="FootnoteReference"/>
          <w:rFonts w:ascii="Avenir Next" w:hAnsi="Avenir Next" w:cs="Arial"/>
          <w:color w:val="808080" w:themeColor="background1" w:themeShade="80"/>
          <w:sz w:val="22"/>
          <w:szCs w:val="22"/>
          <w:lang w:val="en-GB"/>
        </w:rPr>
        <w:footnoteReference w:id="28"/>
      </w:r>
      <w:r w:rsidR="0002347A">
        <w:rPr>
          <w:rFonts w:ascii="Avenir Next" w:hAnsi="Avenir Next" w:cs="Arial"/>
          <w:color w:val="808080" w:themeColor="background1" w:themeShade="80"/>
          <w:sz w:val="22"/>
          <w:szCs w:val="22"/>
          <w:lang w:val="en-GB"/>
        </w:rPr>
        <w:t xml:space="preserve"> </w:t>
      </w:r>
      <w:r w:rsidR="00FD34B6">
        <w:rPr>
          <w:rFonts w:ascii="Avenir Next" w:hAnsi="Avenir Next" w:cs="Arial"/>
          <w:color w:val="808080" w:themeColor="background1" w:themeShade="80"/>
          <w:sz w:val="22"/>
          <w:szCs w:val="22"/>
          <w:lang w:val="en-GB"/>
        </w:rPr>
        <w:t xml:space="preserve">However, </w:t>
      </w:r>
      <w:r w:rsidR="00E23AA6">
        <w:rPr>
          <w:rFonts w:ascii="Avenir Next" w:hAnsi="Avenir Next" w:cs="Arial"/>
          <w:color w:val="808080" w:themeColor="background1" w:themeShade="80"/>
          <w:sz w:val="22"/>
          <w:szCs w:val="22"/>
          <w:lang w:val="en-GB"/>
        </w:rPr>
        <w:t xml:space="preserve">a judicial manager is appointed by the courts </w:t>
      </w:r>
      <w:r w:rsidR="00F7519E">
        <w:rPr>
          <w:rFonts w:ascii="Avenir Next" w:hAnsi="Avenir Next" w:cs="Arial"/>
          <w:color w:val="808080" w:themeColor="background1" w:themeShade="80"/>
          <w:sz w:val="22"/>
          <w:szCs w:val="22"/>
          <w:lang w:val="en-GB"/>
        </w:rPr>
        <w:t xml:space="preserve">to control the company during the </w:t>
      </w:r>
      <w:r w:rsidR="00F579BF">
        <w:rPr>
          <w:rFonts w:ascii="Avenir Next" w:hAnsi="Avenir Next" w:cs="Arial"/>
          <w:color w:val="808080" w:themeColor="background1" w:themeShade="80"/>
          <w:sz w:val="22"/>
          <w:szCs w:val="22"/>
          <w:lang w:val="en-GB"/>
        </w:rPr>
        <w:t>judicial management.</w:t>
      </w:r>
      <w:r w:rsidR="00F579BF">
        <w:rPr>
          <w:rStyle w:val="FootnoteReference"/>
          <w:rFonts w:ascii="Avenir Next" w:hAnsi="Avenir Next" w:cs="Arial"/>
          <w:color w:val="808080" w:themeColor="background1" w:themeShade="80"/>
          <w:sz w:val="22"/>
          <w:szCs w:val="22"/>
          <w:lang w:val="en-GB"/>
        </w:rPr>
        <w:footnoteReference w:id="29"/>
      </w:r>
      <w:r w:rsidR="000A6E43">
        <w:rPr>
          <w:rFonts w:ascii="Avenir Next" w:hAnsi="Avenir Next" w:cs="Arial"/>
          <w:color w:val="808080" w:themeColor="background1" w:themeShade="80"/>
          <w:sz w:val="22"/>
          <w:szCs w:val="22"/>
          <w:lang w:val="en-GB"/>
        </w:rPr>
        <w:t xml:space="preserve"> The judicial manager</w:t>
      </w:r>
      <w:r w:rsidR="008474B4">
        <w:rPr>
          <w:rFonts w:ascii="Avenir Next" w:hAnsi="Avenir Next" w:cs="Arial"/>
          <w:color w:val="808080" w:themeColor="background1" w:themeShade="80"/>
          <w:sz w:val="22"/>
          <w:szCs w:val="22"/>
          <w:lang w:val="en-GB"/>
        </w:rPr>
        <w:t xml:space="preserve"> is an independent party who will control the company for </w:t>
      </w:r>
      <w:r w:rsidR="00CD66F3">
        <w:rPr>
          <w:rFonts w:ascii="Avenir Next" w:hAnsi="Avenir Next" w:cs="Arial"/>
          <w:color w:val="808080" w:themeColor="background1" w:themeShade="80"/>
          <w:sz w:val="22"/>
          <w:szCs w:val="22"/>
          <w:lang w:val="en-GB"/>
        </w:rPr>
        <w:t xml:space="preserve">180 days subject </w:t>
      </w:r>
      <w:proofErr w:type="spellStart"/>
      <w:r w:rsidR="00CD66F3">
        <w:rPr>
          <w:rFonts w:ascii="Avenir Next" w:hAnsi="Avenir Next" w:cs="Arial"/>
          <w:color w:val="808080" w:themeColor="background1" w:themeShade="80"/>
          <w:sz w:val="22"/>
          <w:szCs w:val="22"/>
          <w:lang w:val="en-GB"/>
        </w:rPr>
        <w:t>o</w:t>
      </w:r>
      <w:proofErr w:type="spellEnd"/>
      <w:r w:rsidR="00CD66F3">
        <w:rPr>
          <w:rFonts w:ascii="Avenir Next" w:hAnsi="Avenir Next" w:cs="Arial"/>
          <w:color w:val="808080" w:themeColor="background1" w:themeShade="80"/>
          <w:sz w:val="22"/>
          <w:szCs w:val="22"/>
          <w:lang w:val="en-GB"/>
        </w:rPr>
        <w:t xml:space="preserve"> further extensions.</w:t>
      </w:r>
      <w:r w:rsidR="00CD66F3">
        <w:rPr>
          <w:rStyle w:val="FootnoteReference"/>
          <w:rFonts w:ascii="Avenir Next" w:hAnsi="Avenir Next" w:cs="Arial"/>
          <w:color w:val="808080" w:themeColor="background1" w:themeShade="80"/>
          <w:sz w:val="22"/>
          <w:szCs w:val="22"/>
          <w:lang w:val="en-GB"/>
        </w:rPr>
        <w:footnoteReference w:id="30"/>
      </w:r>
    </w:p>
    <w:p w14:paraId="45088D73" w14:textId="77777777" w:rsidR="00D8435D" w:rsidRDefault="00D8435D" w:rsidP="00E514DC">
      <w:pPr>
        <w:jc w:val="both"/>
        <w:rPr>
          <w:rFonts w:ascii="Avenir Next" w:hAnsi="Avenir Next" w:cs="Arial"/>
          <w:color w:val="808080" w:themeColor="background1" w:themeShade="80"/>
          <w:sz w:val="22"/>
          <w:szCs w:val="22"/>
          <w:lang w:val="en-GB"/>
        </w:rPr>
      </w:pPr>
    </w:p>
    <w:p w14:paraId="26356E7F" w14:textId="3EE52F00" w:rsidR="00D8435D" w:rsidRDefault="00D8435D" w:rsidP="00E514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difference between schemes of </w:t>
      </w:r>
      <w:r w:rsidR="005707B2">
        <w:rPr>
          <w:rFonts w:ascii="Avenir Next" w:hAnsi="Avenir Next" w:cs="Arial"/>
          <w:color w:val="808080" w:themeColor="background1" w:themeShade="80"/>
          <w:sz w:val="22"/>
          <w:szCs w:val="22"/>
          <w:lang w:val="en-GB"/>
        </w:rPr>
        <w:t xml:space="preserve">arrangement and judicial management is in relation to who can commence the procedures. </w:t>
      </w:r>
      <w:r w:rsidR="00990EB1">
        <w:rPr>
          <w:rFonts w:ascii="Avenir Next" w:hAnsi="Avenir Next" w:cs="Arial"/>
          <w:color w:val="808080" w:themeColor="background1" w:themeShade="80"/>
          <w:sz w:val="22"/>
          <w:szCs w:val="22"/>
          <w:lang w:val="en-GB"/>
        </w:rPr>
        <w:t>In schemes of arrangement the company applies to the court</w:t>
      </w:r>
      <w:r w:rsidR="007B3BA6">
        <w:rPr>
          <w:rFonts w:ascii="Avenir Next" w:hAnsi="Avenir Next" w:cs="Arial"/>
          <w:color w:val="808080" w:themeColor="background1" w:themeShade="80"/>
          <w:sz w:val="22"/>
          <w:szCs w:val="22"/>
          <w:lang w:val="en-GB"/>
        </w:rPr>
        <w:t xml:space="preserve"> to </w:t>
      </w:r>
      <w:r w:rsidR="009E6273">
        <w:rPr>
          <w:rFonts w:ascii="Avenir Next" w:hAnsi="Avenir Next" w:cs="Arial"/>
          <w:color w:val="808080" w:themeColor="background1" w:themeShade="80"/>
          <w:sz w:val="22"/>
          <w:szCs w:val="22"/>
          <w:lang w:val="en-GB"/>
        </w:rPr>
        <w:t>sanction</w:t>
      </w:r>
      <w:r w:rsidR="007B3BA6">
        <w:rPr>
          <w:rFonts w:ascii="Avenir Next" w:hAnsi="Avenir Next" w:cs="Arial"/>
          <w:color w:val="808080" w:themeColor="background1" w:themeShade="80"/>
          <w:sz w:val="22"/>
          <w:szCs w:val="22"/>
          <w:lang w:val="en-GB"/>
        </w:rPr>
        <w:t xml:space="preserve"> the proposal of its compromise with the creditor</w:t>
      </w:r>
      <w:r w:rsidR="009E6273">
        <w:rPr>
          <w:rFonts w:ascii="Avenir Next" w:hAnsi="Avenir Next" w:cs="Arial"/>
          <w:color w:val="808080" w:themeColor="background1" w:themeShade="80"/>
          <w:sz w:val="22"/>
          <w:szCs w:val="22"/>
          <w:lang w:val="en-GB"/>
        </w:rPr>
        <w:t>s.</w:t>
      </w:r>
      <w:r w:rsidR="009E6273">
        <w:rPr>
          <w:rStyle w:val="FootnoteReference"/>
          <w:rFonts w:ascii="Avenir Next" w:hAnsi="Avenir Next" w:cs="Arial"/>
          <w:color w:val="808080" w:themeColor="background1" w:themeShade="80"/>
          <w:sz w:val="22"/>
          <w:szCs w:val="22"/>
          <w:lang w:val="en-GB"/>
        </w:rPr>
        <w:footnoteReference w:id="31"/>
      </w:r>
      <w:r w:rsidR="00D73678">
        <w:rPr>
          <w:rFonts w:ascii="Avenir Next" w:hAnsi="Avenir Next" w:cs="Arial"/>
          <w:color w:val="808080" w:themeColor="background1" w:themeShade="80"/>
          <w:sz w:val="22"/>
          <w:szCs w:val="22"/>
          <w:lang w:val="en-GB"/>
        </w:rPr>
        <w:t xml:space="preserve"> </w:t>
      </w:r>
      <w:r w:rsidR="005831CC">
        <w:rPr>
          <w:rFonts w:ascii="Avenir Next" w:hAnsi="Avenir Next" w:cs="Arial"/>
          <w:color w:val="808080" w:themeColor="background1" w:themeShade="80"/>
          <w:sz w:val="22"/>
          <w:szCs w:val="22"/>
          <w:lang w:val="en-GB"/>
        </w:rPr>
        <w:t>The debtor may apply to the court to appoint a judicial manager</w:t>
      </w:r>
      <w:r w:rsidR="009349FA">
        <w:rPr>
          <w:rFonts w:ascii="Avenir Next" w:hAnsi="Avenir Next" w:cs="Arial"/>
          <w:color w:val="808080" w:themeColor="background1" w:themeShade="80"/>
          <w:sz w:val="22"/>
          <w:szCs w:val="22"/>
          <w:lang w:val="en-GB"/>
        </w:rPr>
        <w:t xml:space="preserve"> </w:t>
      </w:r>
      <w:proofErr w:type="gramStart"/>
      <w:r w:rsidR="009349FA">
        <w:rPr>
          <w:rFonts w:ascii="Avenir Next" w:hAnsi="Avenir Next" w:cs="Arial"/>
          <w:color w:val="808080" w:themeColor="background1" w:themeShade="80"/>
          <w:sz w:val="22"/>
          <w:szCs w:val="22"/>
          <w:lang w:val="en-GB"/>
        </w:rPr>
        <w:t>similar to</w:t>
      </w:r>
      <w:proofErr w:type="gramEnd"/>
      <w:r w:rsidR="009349FA">
        <w:rPr>
          <w:rFonts w:ascii="Avenir Next" w:hAnsi="Avenir Next" w:cs="Arial"/>
          <w:color w:val="808080" w:themeColor="background1" w:themeShade="80"/>
          <w:sz w:val="22"/>
          <w:szCs w:val="22"/>
          <w:lang w:val="en-GB"/>
        </w:rPr>
        <w:t xml:space="preserve"> a scheme of arrangement.</w:t>
      </w:r>
      <w:r w:rsidR="00E522CB">
        <w:rPr>
          <w:rStyle w:val="FootnoteReference"/>
          <w:rFonts w:ascii="Avenir Next" w:hAnsi="Avenir Next" w:cs="Arial"/>
          <w:color w:val="808080" w:themeColor="background1" w:themeShade="80"/>
          <w:sz w:val="22"/>
          <w:szCs w:val="22"/>
          <w:lang w:val="en-GB"/>
        </w:rPr>
        <w:footnoteReference w:id="32"/>
      </w:r>
      <w:r w:rsidR="009349FA">
        <w:rPr>
          <w:rFonts w:ascii="Avenir Next" w:hAnsi="Avenir Next" w:cs="Arial"/>
          <w:color w:val="808080" w:themeColor="background1" w:themeShade="80"/>
          <w:sz w:val="22"/>
          <w:szCs w:val="22"/>
          <w:lang w:val="en-GB"/>
        </w:rPr>
        <w:t xml:space="preserve"> However, </w:t>
      </w:r>
      <w:r w:rsidR="00946FA1">
        <w:rPr>
          <w:rFonts w:ascii="Avenir Next" w:hAnsi="Avenir Next" w:cs="Arial"/>
          <w:color w:val="808080" w:themeColor="background1" w:themeShade="80"/>
          <w:sz w:val="22"/>
          <w:szCs w:val="22"/>
          <w:lang w:val="en-GB"/>
        </w:rPr>
        <w:t xml:space="preserve">the creditors </w:t>
      </w:r>
      <w:r w:rsidR="00E522CB">
        <w:rPr>
          <w:rFonts w:ascii="Avenir Next" w:hAnsi="Avenir Next" w:cs="Arial"/>
          <w:color w:val="808080" w:themeColor="background1" w:themeShade="80"/>
          <w:sz w:val="22"/>
          <w:szCs w:val="22"/>
          <w:lang w:val="en-GB"/>
        </w:rPr>
        <w:t>can</w:t>
      </w:r>
      <w:r w:rsidR="00946FA1">
        <w:rPr>
          <w:rFonts w:ascii="Avenir Next" w:hAnsi="Avenir Next" w:cs="Arial"/>
          <w:color w:val="808080" w:themeColor="background1" w:themeShade="80"/>
          <w:sz w:val="22"/>
          <w:szCs w:val="22"/>
          <w:lang w:val="en-GB"/>
        </w:rPr>
        <w:t xml:space="preserve"> apply to </w:t>
      </w:r>
      <w:r w:rsidR="00946FA1">
        <w:rPr>
          <w:rFonts w:ascii="Avenir Next" w:hAnsi="Avenir Next" w:cs="Arial"/>
          <w:color w:val="808080" w:themeColor="background1" w:themeShade="80"/>
          <w:sz w:val="22"/>
          <w:szCs w:val="22"/>
          <w:lang w:val="en-GB"/>
        </w:rPr>
        <w:lastRenderedPageBreak/>
        <w:t>the court for a judicial manager to be appointment</w:t>
      </w:r>
      <w:r w:rsidR="00346586">
        <w:rPr>
          <w:rFonts w:ascii="Avenir Next" w:hAnsi="Avenir Next" w:cs="Arial"/>
          <w:color w:val="808080" w:themeColor="background1" w:themeShade="80"/>
          <w:sz w:val="22"/>
          <w:szCs w:val="22"/>
          <w:lang w:val="en-GB"/>
        </w:rPr>
        <w:t xml:space="preserve"> where they would not be able to do so in schemes of arrangement.</w:t>
      </w:r>
      <w:r w:rsidR="006706A9">
        <w:rPr>
          <w:rStyle w:val="FootnoteReference"/>
          <w:rFonts w:ascii="Avenir Next" w:hAnsi="Avenir Next" w:cs="Arial"/>
          <w:color w:val="808080" w:themeColor="background1" w:themeShade="80"/>
          <w:sz w:val="22"/>
          <w:szCs w:val="22"/>
          <w:lang w:val="en-GB"/>
        </w:rPr>
        <w:footnoteReference w:id="33"/>
      </w:r>
      <w:r w:rsidR="00346586">
        <w:rPr>
          <w:rFonts w:ascii="Avenir Next" w:hAnsi="Avenir Next" w:cs="Arial"/>
          <w:color w:val="808080" w:themeColor="background1" w:themeShade="80"/>
          <w:sz w:val="22"/>
          <w:szCs w:val="22"/>
          <w:lang w:val="en-GB"/>
        </w:rPr>
        <w:t xml:space="preserve"> </w:t>
      </w:r>
    </w:p>
    <w:p w14:paraId="59A1B8A2" w14:textId="77777777" w:rsidR="00D80CAE" w:rsidRDefault="00D80CAE" w:rsidP="00E514DC">
      <w:pPr>
        <w:jc w:val="both"/>
        <w:rPr>
          <w:rFonts w:ascii="Avenir Next" w:hAnsi="Avenir Next" w:cs="Arial"/>
          <w:color w:val="808080" w:themeColor="background1" w:themeShade="80"/>
          <w:sz w:val="22"/>
          <w:szCs w:val="22"/>
          <w:lang w:val="en-GB"/>
        </w:rPr>
      </w:pPr>
    </w:p>
    <w:p w14:paraId="07384FD9" w14:textId="51FE2659" w:rsidR="00D80CAE" w:rsidRDefault="009173C7" w:rsidP="00E514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third difference between schemes of arrangement and judicial management relates to the requirements to commence either </w:t>
      </w:r>
      <w:r w:rsidR="006D0B40">
        <w:rPr>
          <w:rFonts w:ascii="Avenir Next" w:hAnsi="Avenir Next" w:cs="Arial"/>
          <w:color w:val="808080" w:themeColor="background1" w:themeShade="80"/>
          <w:sz w:val="22"/>
          <w:szCs w:val="22"/>
          <w:lang w:val="en-GB"/>
        </w:rPr>
        <w:t>of the procedures. To commence</w:t>
      </w:r>
      <w:r w:rsidR="00B8242B">
        <w:rPr>
          <w:rFonts w:ascii="Avenir Next" w:hAnsi="Avenir Next" w:cs="Arial"/>
          <w:color w:val="808080" w:themeColor="background1" w:themeShade="80"/>
          <w:sz w:val="22"/>
          <w:szCs w:val="22"/>
          <w:lang w:val="en-GB"/>
        </w:rPr>
        <w:t xml:space="preserve"> judicial management, </w:t>
      </w:r>
      <w:r w:rsidR="000024BC">
        <w:rPr>
          <w:rFonts w:ascii="Avenir Next" w:hAnsi="Avenir Next" w:cs="Arial"/>
          <w:color w:val="808080" w:themeColor="background1" w:themeShade="80"/>
          <w:sz w:val="22"/>
          <w:szCs w:val="22"/>
          <w:lang w:val="en-GB"/>
        </w:rPr>
        <w:t>it must be shown that the debtor is unable to pay its debt or likely to become unable to pay its debt.</w:t>
      </w:r>
      <w:r w:rsidR="000024BC">
        <w:rPr>
          <w:rStyle w:val="FootnoteReference"/>
          <w:rFonts w:ascii="Avenir Next" w:hAnsi="Avenir Next" w:cs="Arial"/>
          <w:color w:val="808080" w:themeColor="background1" w:themeShade="80"/>
          <w:sz w:val="22"/>
          <w:szCs w:val="22"/>
          <w:lang w:val="en-GB"/>
        </w:rPr>
        <w:footnoteReference w:id="34"/>
      </w:r>
      <w:r w:rsidR="006D0B40">
        <w:rPr>
          <w:rFonts w:ascii="Avenir Next" w:hAnsi="Avenir Next" w:cs="Arial"/>
          <w:color w:val="808080" w:themeColor="background1" w:themeShade="80"/>
          <w:sz w:val="22"/>
          <w:szCs w:val="22"/>
          <w:lang w:val="en-GB"/>
        </w:rPr>
        <w:t xml:space="preserve"> </w:t>
      </w:r>
      <w:r w:rsidR="00211DCA">
        <w:rPr>
          <w:rFonts w:ascii="Avenir Next" w:hAnsi="Avenir Next" w:cs="Arial"/>
          <w:color w:val="808080" w:themeColor="background1" w:themeShade="80"/>
          <w:sz w:val="22"/>
          <w:szCs w:val="22"/>
          <w:lang w:val="en-GB"/>
        </w:rPr>
        <w:t>A similar requir</w:t>
      </w:r>
      <w:r w:rsidR="00E746AF">
        <w:rPr>
          <w:rFonts w:ascii="Avenir Next" w:hAnsi="Avenir Next" w:cs="Arial"/>
          <w:color w:val="808080" w:themeColor="background1" w:themeShade="80"/>
          <w:sz w:val="22"/>
          <w:szCs w:val="22"/>
          <w:lang w:val="en-GB"/>
        </w:rPr>
        <w:t xml:space="preserve">ement is not considered under the schemes of arrangement. </w:t>
      </w:r>
    </w:p>
    <w:p w14:paraId="222FA950" w14:textId="398A0ECB" w:rsidR="005A3B29" w:rsidRDefault="005A3B29" w:rsidP="00E514DC">
      <w:pPr>
        <w:jc w:val="both"/>
        <w:rPr>
          <w:rFonts w:ascii="Avenir Next" w:hAnsi="Avenir Next" w:cs="Arial"/>
          <w:color w:val="808080" w:themeColor="background1" w:themeShade="80"/>
          <w:sz w:val="22"/>
          <w:szCs w:val="22"/>
          <w:lang w:val="en-GB"/>
        </w:rPr>
      </w:pPr>
    </w:p>
    <w:p w14:paraId="45E13F1C" w14:textId="5999622A" w:rsidR="00392191" w:rsidRDefault="00392191" w:rsidP="00E514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w:t>
      </w:r>
      <w:r w:rsidR="00791EBE">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 xml:space="preserve">rth difference relates to the procedures of approving the </w:t>
      </w:r>
      <w:r w:rsidR="009845F1">
        <w:rPr>
          <w:rFonts w:ascii="Avenir Next" w:hAnsi="Avenir Next" w:cs="Arial"/>
          <w:color w:val="808080" w:themeColor="background1" w:themeShade="80"/>
          <w:sz w:val="22"/>
          <w:szCs w:val="22"/>
          <w:lang w:val="en-GB"/>
        </w:rPr>
        <w:t xml:space="preserve">schemes of arrangement and judicial management. </w:t>
      </w:r>
      <w:r w:rsidR="00791EBE">
        <w:rPr>
          <w:rFonts w:ascii="Avenir Next" w:hAnsi="Avenir Next" w:cs="Arial"/>
          <w:color w:val="808080" w:themeColor="background1" w:themeShade="80"/>
          <w:sz w:val="22"/>
          <w:szCs w:val="22"/>
          <w:lang w:val="en-GB"/>
        </w:rPr>
        <w:t>An advertisement must be made in the Government Gazette</w:t>
      </w:r>
      <w:r w:rsidR="00293B3A">
        <w:rPr>
          <w:rFonts w:ascii="Avenir Next" w:hAnsi="Avenir Next" w:cs="Arial"/>
          <w:color w:val="808080" w:themeColor="background1" w:themeShade="80"/>
          <w:sz w:val="22"/>
          <w:szCs w:val="22"/>
          <w:lang w:val="en-GB"/>
        </w:rPr>
        <w:t xml:space="preserve"> and at</w:t>
      </w:r>
      <w:r w:rsidR="00B43836">
        <w:rPr>
          <w:rFonts w:ascii="Avenir Next" w:hAnsi="Avenir Next" w:cs="Arial"/>
          <w:color w:val="808080" w:themeColor="background1" w:themeShade="80"/>
          <w:sz w:val="22"/>
          <w:szCs w:val="22"/>
          <w:lang w:val="en-GB"/>
        </w:rPr>
        <w:t xml:space="preserve"> </w:t>
      </w:r>
      <w:r w:rsidR="00293B3A">
        <w:rPr>
          <w:rFonts w:ascii="Avenir Next" w:hAnsi="Avenir Next" w:cs="Arial"/>
          <w:color w:val="808080" w:themeColor="background1" w:themeShade="80"/>
          <w:sz w:val="22"/>
          <w:szCs w:val="22"/>
          <w:lang w:val="en-GB"/>
        </w:rPr>
        <w:t xml:space="preserve">least </w:t>
      </w:r>
      <w:r w:rsidR="00B43836">
        <w:rPr>
          <w:rFonts w:ascii="Avenir Next" w:hAnsi="Avenir Next" w:cs="Arial"/>
          <w:color w:val="808080" w:themeColor="background1" w:themeShade="80"/>
          <w:sz w:val="22"/>
          <w:szCs w:val="22"/>
          <w:lang w:val="en-GB"/>
        </w:rPr>
        <w:t>on English local daily newspaper</w:t>
      </w:r>
      <w:r w:rsidR="00C4222D">
        <w:rPr>
          <w:rFonts w:ascii="Avenir Next" w:hAnsi="Avenir Next" w:cs="Arial"/>
          <w:color w:val="808080" w:themeColor="background1" w:themeShade="80"/>
          <w:sz w:val="22"/>
          <w:szCs w:val="22"/>
          <w:lang w:val="en-GB"/>
        </w:rPr>
        <w:t xml:space="preserve"> regarding the proposed scheme</w:t>
      </w:r>
      <w:r w:rsidR="00B43836">
        <w:rPr>
          <w:rFonts w:ascii="Avenir Next" w:hAnsi="Avenir Next" w:cs="Arial"/>
          <w:color w:val="808080" w:themeColor="background1" w:themeShade="80"/>
          <w:sz w:val="22"/>
          <w:szCs w:val="22"/>
          <w:lang w:val="en-GB"/>
        </w:rPr>
        <w:t>.</w:t>
      </w:r>
      <w:r w:rsidR="00B43836">
        <w:rPr>
          <w:rStyle w:val="FootnoteReference"/>
          <w:rFonts w:ascii="Avenir Next" w:hAnsi="Avenir Next" w:cs="Arial"/>
          <w:color w:val="808080" w:themeColor="background1" w:themeShade="80"/>
          <w:sz w:val="22"/>
          <w:szCs w:val="22"/>
          <w:lang w:val="en-GB"/>
        </w:rPr>
        <w:footnoteReference w:id="35"/>
      </w:r>
      <w:r w:rsidR="00AE20EE">
        <w:rPr>
          <w:rFonts w:ascii="Avenir Next" w:hAnsi="Avenir Next" w:cs="Arial"/>
          <w:color w:val="808080" w:themeColor="background1" w:themeShade="80"/>
          <w:sz w:val="22"/>
          <w:szCs w:val="22"/>
          <w:lang w:val="en-GB"/>
        </w:rPr>
        <w:t xml:space="preserve"> There is no</w:t>
      </w:r>
      <w:r w:rsidR="00FA2E14">
        <w:rPr>
          <w:rFonts w:ascii="Avenir Next" w:hAnsi="Avenir Next" w:cs="Arial"/>
          <w:color w:val="808080" w:themeColor="background1" w:themeShade="80"/>
          <w:sz w:val="22"/>
          <w:szCs w:val="22"/>
          <w:lang w:val="en-GB"/>
        </w:rPr>
        <w:t xml:space="preserve"> publishing requirement for judicial management</w:t>
      </w:r>
      <w:r w:rsidR="00934723">
        <w:rPr>
          <w:rFonts w:ascii="Avenir Next" w:hAnsi="Avenir Next" w:cs="Arial"/>
          <w:color w:val="808080" w:themeColor="background1" w:themeShade="80"/>
          <w:sz w:val="22"/>
          <w:szCs w:val="22"/>
          <w:lang w:val="en-GB"/>
        </w:rPr>
        <w:t xml:space="preserve">. </w:t>
      </w:r>
    </w:p>
    <w:p w14:paraId="7B90FACC" w14:textId="77777777" w:rsidR="00AB15A2" w:rsidRDefault="00AB15A2" w:rsidP="00E514DC">
      <w:pPr>
        <w:jc w:val="both"/>
        <w:rPr>
          <w:rFonts w:ascii="Avenir Next" w:hAnsi="Avenir Next" w:cs="Arial"/>
          <w:color w:val="808080" w:themeColor="background1" w:themeShade="80"/>
          <w:sz w:val="22"/>
          <w:szCs w:val="22"/>
          <w:lang w:val="en-GB"/>
        </w:rPr>
      </w:pPr>
    </w:p>
    <w:p w14:paraId="3CBDFBCE" w14:textId="1D51922D" w:rsidR="00AF56E3" w:rsidRDefault="00831C3F" w:rsidP="003E30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though schemes of arrangement and judicial management are </w:t>
      </w:r>
      <w:r w:rsidR="003E30E5">
        <w:rPr>
          <w:rFonts w:ascii="Avenir Next" w:hAnsi="Avenir Next" w:cs="Arial"/>
          <w:color w:val="808080" w:themeColor="background1" w:themeShade="80"/>
          <w:sz w:val="22"/>
          <w:szCs w:val="22"/>
          <w:lang w:val="en-GB"/>
        </w:rPr>
        <w:t>rescue</w:t>
      </w:r>
      <w:r>
        <w:rPr>
          <w:rFonts w:ascii="Avenir Next" w:hAnsi="Avenir Next" w:cs="Arial"/>
          <w:color w:val="808080" w:themeColor="background1" w:themeShade="80"/>
          <w:sz w:val="22"/>
          <w:szCs w:val="22"/>
          <w:lang w:val="en-GB"/>
        </w:rPr>
        <w:t xml:space="preserve"> </w:t>
      </w:r>
      <w:r w:rsidR="003E30E5">
        <w:rPr>
          <w:rFonts w:ascii="Avenir Next" w:hAnsi="Avenir Next" w:cs="Arial"/>
          <w:color w:val="808080" w:themeColor="background1" w:themeShade="80"/>
          <w:sz w:val="22"/>
          <w:szCs w:val="22"/>
          <w:lang w:val="en-GB"/>
        </w:rPr>
        <w:t xml:space="preserve">procedures they differ in effect and procedure. </w:t>
      </w:r>
      <w:r w:rsidR="00AF5661">
        <w:rPr>
          <w:rFonts w:ascii="Avenir Next" w:hAnsi="Avenir Next" w:cs="Arial"/>
          <w:color w:val="808080" w:themeColor="background1" w:themeShade="80"/>
          <w:sz w:val="22"/>
          <w:szCs w:val="22"/>
          <w:lang w:val="en-GB"/>
        </w:rPr>
        <w:t>0</w:t>
      </w:r>
      <w:r w:rsidR="009469C8">
        <w:rPr>
          <w:rFonts w:ascii="Avenir Next" w:hAnsi="Avenir Next" w:cs="Arial"/>
          <w:color w:val="808080" w:themeColor="background1" w:themeShade="80"/>
          <w:sz w:val="22"/>
          <w:szCs w:val="22"/>
          <w:lang w:val="en-GB"/>
        </w:rPr>
        <w:t xml:space="preserve"> </w:t>
      </w:r>
    </w:p>
    <w:p w14:paraId="2FF14819" w14:textId="77777777" w:rsidR="00AF56E3" w:rsidRPr="00792492" w:rsidRDefault="00AF56E3" w:rsidP="008C35C9">
      <w:pPr>
        <w:jc w:val="both"/>
        <w:rPr>
          <w:rFonts w:ascii="Avenir Next" w:hAnsi="Avenir Next" w:cs="Arial"/>
          <w:color w:val="808080" w:themeColor="background1" w:themeShade="80"/>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007875E5">
        <w:rPr>
          <w:rFonts w:ascii="Avenir Next" w:hAnsi="Avenir Next"/>
          <w:sz w:val="22"/>
          <w:szCs w:val="22"/>
        </w:rPr>
        <w:t xml:space="preserve"> </w:t>
      </w:r>
      <w:r w:rsidRPr="0018452A">
        <w:rPr>
          <w:rFonts w:ascii="Avenir Next" w:hAnsi="Avenir Next"/>
          <w:sz w:val="22"/>
          <w:szCs w:val="22"/>
        </w:rPr>
        <w:t xml:space="preserve">Y, who collectively own 57% of the shares in the Company.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Pr="0018452A">
        <w:rPr>
          <w:rFonts w:ascii="Avenir Next" w:hAnsi="Avenir Next"/>
          <w:sz w:val="22"/>
          <w:szCs w:val="22"/>
        </w:rPr>
        <w:lastRenderedPageBreak/>
        <w:t>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 xml:space="preserve">120 million from </w:t>
      </w:r>
      <w:proofErr w:type="spellStart"/>
      <w:r w:rsidRPr="0018452A">
        <w:rPr>
          <w:rFonts w:ascii="Avenir Next" w:hAnsi="Avenir Next"/>
          <w:sz w:val="22"/>
          <w:szCs w:val="22"/>
        </w:rPr>
        <w:t>Mr</w:t>
      </w:r>
      <w:proofErr w:type="spellEnd"/>
      <w:r w:rsidR="003D3048">
        <w:rPr>
          <w:rFonts w:ascii="Avenir Next" w:hAnsi="Avenir Next"/>
          <w:sz w:val="22"/>
          <w:szCs w:val="22"/>
        </w:rPr>
        <w:t xml:space="preserve"> </w:t>
      </w:r>
      <w:r w:rsidRPr="0018452A">
        <w:rPr>
          <w:rFonts w:ascii="Avenir Next" w:hAnsi="Avenir Next"/>
          <w:sz w:val="22"/>
          <w:szCs w:val="22"/>
        </w:rPr>
        <w:t xml:space="preserve">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DD14BD" w:rsidRDefault="00F7160A" w:rsidP="004D2090">
      <w:pPr>
        <w:pStyle w:val="ListParagraph"/>
        <w:numPr>
          <w:ilvl w:val="0"/>
          <w:numId w:val="12"/>
        </w:numPr>
        <w:ind w:left="426"/>
        <w:jc w:val="both"/>
        <w:rPr>
          <w:rFonts w:ascii="Avenir Next" w:hAnsi="Avenir Next" w:cs="Arial"/>
          <w:sz w:val="22"/>
          <w:szCs w:val="22"/>
          <w:lang w:val="en-GB"/>
        </w:rPr>
      </w:pPr>
      <w:r w:rsidRPr="00DD14BD">
        <w:rPr>
          <w:rFonts w:ascii="Avenir Next" w:hAnsi="Avenir Next" w:cs="Arial"/>
          <w:sz w:val="22"/>
          <w:szCs w:val="22"/>
          <w:lang w:val="en-GB"/>
        </w:rPr>
        <w:t xml:space="preserve">Confirmation of the purpose of judicial management proceedings and what must be presented to the court </w:t>
      </w:r>
      <w:proofErr w:type="gramStart"/>
      <w:r w:rsidRPr="00DD14BD">
        <w:rPr>
          <w:rFonts w:ascii="Avenir Next" w:hAnsi="Avenir Next" w:cs="Arial"/>
          <w:sz w:val="22"/>
          <w:szCs w:val="22"/>
          <w:lang w:val="en-GB"/>
        </w:rPr>
        <w:t>in order to</w:t>
      </w:r>
      <w:proofErr w:type="gramEnd"/>
      <w:r w:rsidRPr="00DD14BD">
        <w:rPr>
          <w:rFonts w:ascii="Avenir Next" w:hAnsi="Avenir Next" w:cs="Arial"/>
          <w:sz w:val="22"/>
          <w:szCs w:val="22"/>
          <w:lang w:val="en-GB"/>
        </w:rPr>
        <w:t xml:space="preserve"> obtain a judicial management order</w:t>
      </w:r>
      <w:r w:rsidR="003726E3" w:rsidRPr="00DD14BD">
        <w:rPr>
          <w:rFonts w:ascii="Avenir Next" w:hAnsi="Avenir Next" w:cs="Arial"/>
          <w:sz w:val="22"/>
          <w:szCs w:val="22"/>
          <w:lang w:val="en-GB"/>
        </w:rPr>
        <w:t>.</w:t>
      </w:r>
      <w:r w:rsidRPr="00DD14BD">
        <w:rPr>
          <w:rFonts w:ascii="Avenir Next" w:hAnsi="Avenir Next" w:cs="Arial"/>
          <w:sz w:val="22"/>
          <w:szCs w:val="22"/>
          <w:lang w:val="en-GB"/>
        </w:rPr>
        <w:t xml:space="preserve"> (2 marks)</w:t>
      </w:r>
    </w:p>
    <w:p w14:paraId="57EE7E68" w14:textId="77777777" w:rsidR="005F19E5" w:rsidRDefault="005F19E5" w:rsidP="00027800">
      <w:pPr>
        <w:pStyle w:val="ListParagraph"/>
        <w:ind w:left="426"/>
        <w:jc w:val="both"/>
        <w:rPr>
          <w:rFonts w:ascii="Avenir Next" w:hAnsi="Avenir Next" w:cs="Arial"/>
          <w:sz w:val="22"/>
          <w:szCs w:val="22"/>
          <w:lang w:val="en-GB"/>
        </w:rPr>
      </w:pPr>
    </w:p>
    <w:p w14:paraId="04323464" w14:textId="77777777" w:rsidR="00544F7E" w:rsidRDefault="00974549" w:rsidP="00027800">
      <w:pPr>
        <w:pStyle w:val="ListParagraph"/>
        <w:ind w:left="426"/>
        <w:jc w:val="both"/>
        <w:rPr>
          <w:rFonts w:ascii="Avenir Next" w:hAnsi="Avenir Next" w:cs="Arial"/>
          <w:color w:val="808080" w:themeColor="background1" w:themeShade="80"/>
          <w:sz w:val="22"/>
          <w:szCs w:val="22"/>
          <w:lang w:val="en-GB"/>
        </w:rPr>
      </w:pPr>
      <w:r w:rsidRPr="00E87603">
        <w:rPr>
          <w:rFonts w:ascii="Avenir Next" w:hAnsi="Avenir Next" w:cs="Arial"/>
          <w:color w:val="808080" w:themeColor="background1" w:themeShade="80"/>
          <w:sz w:val="22"/>
          <w:szCs w:val="22"/>
          <w:lang w:val="en-GB"/>
        </w:rPr>
        <w:t xml:space="preserve">The purpose of the judicial </w:t>
      </w:r>
      <w:r w:rsidR="00E904E8" w:rsidRPr="00E87603">
        <w:rPr>
          <w:rFonts w:ascii="Avenir Next" w:hAnsi="Avenir Next" w:cs="Arial"/>
          <w:color w:val="808080" w:themeColor="background1" w:themeShade="80"/>
          <w:sz w:val="22"/>
          <w:szCs w:val="22"/>
          <w:lang w:val="en-GB"/>
        </w:rPr>
        <w:t xml:space="preserve">management </w:t>
      </w:r>
      <w:r w:rsidRPr="00E87603">
        <w:rPr>
          <w:rFonts w:ascii="Avenir Next" w:hAnsi="Avenir Next" w:cs="Arial"/>
          <w:color w:val="808080" w:themeColor="background1" w:themeShade="80"/>
          <w:sz w:val="22"/>
          <w:szCs w:val="22"/>
          <w:lang w:val="en-GB"/>
        </w:rPr>
        <w:t>order is</w:t>
      </w:r>
      <w:r w:rsidR="000E2A9A" w:rsidRPr="00E87603">
        <w:rPr>
          <w:rFonts w:ascii="Avenir Next" w:hAnsi="Avenir Next" w:cs="Arial"/>
          <w:color w:val="808080" w:themeColor="background1" w:themeShade="80"/>
          <w:sz w:val="22"/>
          <w:szCs w:val="22"/>
          <w:lang w:val="en-GB"/>
        </w:rPr>
        <w:t xml:space="preserve"> for a judicial manager to be appointed </w:t>
      </w:r>
      <w:r w:rsidR="003E2724" w:rsidRPr="00E87603">
        <w:rPr>
          <w:rFonts w:ascii="Avenir Next" w:hAnsi="Avenir Next" w:cs="Arial"/>
          <w:color w:val="808080" w:themeColor="background1" w:themeShade="80"/>
          <w:sz w:val="22"/>
          <w:szCs w:val="22"/>
          <w:lang w:val="en-GB"/>
        </w:rPr>
        <w:t>over the affairs</w:t>
      </w:r>
      <w:r w:rsidR="002B2202" w:rsidRPr="00E87603">
        <w:rPr>
          <w:rFonts w:ascii="Avenir Next" w:hAnsi="Avenir Next" w:cs="Arial"/>
          <w:color w:val="808080" w:themeColor="background1" w:themeShade="80"/>
          <w:sz w:val="22"/>
          <w:szCs w:val="22"/>
          <w:lang w:val="en-GB"/>
        </w:rPr>
        <w:t xml:space="preserve">, </w:t>
      </w:r>
      <w:proofErr w:type="gramStart"/>
      <w:r w:rsidR="002B2202" w:rsidRPr="00E87603">
        <w:rPr>
          <w:rFonts w:ascii="Avenir Next" w:hAnsi="Avenir Next" w:cs="Arial"/>
          <w:color w:val="808080" w:themeColor="background1" w:themeShade="80"/>
          <w:sz w:val="22"/>
          <w:szCs w:val="22"/>
          <w:lang w:val="en-GB"/>
        </w:rPr>
        <w:t>business</w:t>
      </w:r>
      <w:proofErr w:type="gramEnd"/>
      <w:r w:rsidR="002B2202" w:rsidRPr="00E87603">
        <w:rPr>
          <w:rFonts w:ascii="Avenir Next" w:hAnsi="Avenir Next" w:cs="Arial"/>
          <w:color w:val="808080" w:themeColor="background1" w:themeShade="80"/>
          <w:sz w:val="22"/>
          <w:szCs w:val="22"/>
          <w:lang w:val="en-GB"/>
        </w:rPr>
        <w:t xml:space="preserve"> and property</w:t>
      </w:r>
      <w:r w:rsidR="003E2724" w:rsidRPr="00E87603">
        <w:rPr>
          <w:rFonts w:ascii="Avenir Next" w:hAnsi="Avenir Next" w:cs="Arial"/>
          <w:color w:val="808080" w:themeColor="background1" w:themeShade="80"/>
          <w:sz w:val="22"/>
          <w:szCs w:val="22"/>
          <w:lang w:val="en-GB"/>
        </w:rPr>
        <w:t xml:space="preserve"> of the Company. The aim of the order is to facilitate debt restructuring</w:t>
      </w:r>
      <w:r w:rsidR="00F973B4" w:rsidRPr="00E87603">
        <w:rPr>
          <w:rFonts w:ascii="Avenir Next" w:hAnsi="Avenir Next" w:cs="Arial"/>
          <w:color w:val="808080" w:themeColor="background1" w:themeShade="80"/>
          <w:sz w:val="22"/>
          <w:szCs w:val="22"/>
          <w:lang w:val="en-GB"/>
        </w:rPr>
        <w:t xml:space="preserve">. </w:t>
      </w:r>
      <w:r w:rsidR="003E2724" w:rsidRPr="00E87603">
        <w:rPr>
          <w:rFonts w:ascii="Avenir Next" w:hAnsi="Avenir Next" w:cs="Arial"/>
          <w:color w:val="808080" w:themeColor="background1" w:themeShade="80"/>
          <w:sz w:val="22"/>
          <w:szCs w:val="22"/>
          <w:lang w:val="en-GB"/>
        </w:rPr>
        <w:t xml:space="preserve"> </w:t>
      </w:r>
    </w:p>
    <w:p w14:paraId="3E5FCD6E" w14:textId="77777777" w:rsidR="00544F7E" w:rsidRDefault="00544F7E" w:rsidP="00027800">
      <w:pPr>
        <w:pStyle w:val="ListParagraph"/>
        <w:ind w:left="426"/>
        <w:jc w:val="both"/>
        <w:rPr>
          <w:rFonts w:ascii="Avenir Next" w:hAnsi="Avenir Next" w:cs="Arial"/>
          <w:color w:val="808080" w:themeColor="background1" w:themeShade="80"/>
          <w:sz w:val="22"/>
          <w:szCs w:val="22"/>
          <w:lang w:val="en-GB"/>
        </w:rPr>
      </w:pPr>
    </w:p>
    <w:p w14:paraId="47D3903F" w14:textId="1C09ADF6" w:rsidR="00FE5CBA" w:rsidRPr="00FE5CBA" w:rsidRDefault="00544F7E" w:rsidP="00FE5CBA">
      <w:pPr>
        <w:ind w:left="426"/>
        <w:jc w:val="both"/>
        <w:rPr>
          <w:rFonts w:ascii="Avenir Next" w:hAnsi="Avenir Next" w:cs="Arial"/>
          <w:color w:val="808080" w:themeColor="background1" w:themeShade="80"/>
          <w:sz w:val="22"/>
          <w:szCs w:val="22"/>
          <w:lang w:val="en-GB"/>
        </w:rPr>
      </w:pPr>
      <w:r w:rsidRPr="00FE5CBA">
        <w:rPr>
          <w:rFonts w:ascii="Avenir Next" w:hAnsi="Avenir Next" w:cs="Arial"/>
          <w:color w:val="808080" w:themeColor="background1" w:themeShade="80"/>
          <w:sz w:val="22"/>
          <w:szCs w:val="22"/>
          <w:lang w:val="en-GB"/>
        </w:rPr>
        <w:t xml:space="preserve">The bank lenders, who are creditors of the Company, are able together </w:t>
      </w:r>
      <w:r w:rsidR="00D51DFC" w:rsidRPr="00FE5CBA">
        <w:rPr>
          <w:rFonts w:ascii="Avenir Next" w:hAnsi="Avenir Next" w:cs="Arial"/>
          <w:color w:val="808080" w:themeColor="background1" w:themeShade="80"/>
          <w:sz w:val="22"/>
          <w:szCs w:val="22"/>
          <w:lang w:val="en-GB"/>
        </w:rPr>
        <w:t>via the working group to apply for a judicial management order.</w:t>
      </w:r>
      <w:r w:rsidR="00D51DFC">
        <w:rPr>
          <w:rStyle w:val="FootnoteReference"/>
          <w:rFonts w:ascii="Avenir Next" w:hAnsi="Avenir Next" w:cs="Arial"/>
          <w:color w:val="808080" w:themeColor="background1" w:themeShade="80"/>
          <w:sz w:val="22"/>
          <w:szCs w:val="22"/>
          <w:lang w:val="en-GB"/>
        </w:rPr>
        <w:footnoteReference w:id="36"/>
      </w:r>
      <w:r w:rsidR="0094027B" w:rsidRPr="00FE5CBA">
        <w:rPr>
          <w:rFonts w:ascii="Avenir Next" w:hAnsi="Avenir Next" w:cs="Arial"/>
          <w:color w:val="808080" w:themeColor="background1" w:themeShade="80"/>
          <w:sz w:val="22"/>
          <w:szCs w:val="22"/>
          <w:lang w:val="en-GB"/>
        </w:rPr>
        <w:t xml:space="preserve">  </w:t>
      </w:r>
      <w:r w:rsidR="00682373" w:rsidRPr="00FE5CBA">
        <w:rPr>
          <w:rFonts w:ascii="Avenir Next" w:hAnsi="Avenir Next" w:cs="Arial"/>
          <w:color w:val="808080" w:themeColor="background1" w:themeShade="80"/>
          <w:sz w:val="22"/>
          <w:szCs w:val="22"/>
          <w:lang w:val="en-GB"/>
        </w:rPr>
        <w:t xml:space="preserve">The working group will require to show that the Company is or will be unable to pay its debt. </w:t>
      </w:r>
      <w:r w:rsidR="006C739B" w:rsidRPr="00FE5CBA">
        <w:rPr>
          <w:rFonts w:ascii="Avenir Next" w:hAnsi="Avenir Next" w:cs="Arial"/>
          <w:color w:val="808080" w:themeColor="background1" w:themeShade="80"/>
          <w:sz w:val="22"/>
          <w:szCs w:val="22"/>
          <w:lang w:val="en-GB"/>
        </w:rPr>
        <w:t xml:space="preserve">There is no concrete evidence to show the Company currently is unable to pau its debt as they have fallen due. However, the </w:t>
      </w:r>
      <w:r w:rsidR="004655DB" w:rsidRPr="00FE5CBA">
        <w:rPr>
          <w:rFonts w:ascii="Avenir Next" w:hAnsi="Avenir Next" w:cs="Arial"/>
          <w:color w:val="808080" w:themeColor="background1" w:themeShade="80"/>
          <w:sz w:val="22"/>
          <w:szCs w:val="22"/>
          <w:lang w:val="en-GB"/>
        </w:rPr>
        <w:t xml:space="preserve">bank lender can show that the business activities of the subsidiaries under ABC Group, which the Company is the </w:t>
      </w:r>
      <w:r w:rsidR="00374207" w:rsidRPr="00FE5CBA">
        <w:rPr>
          <w:rFonts w:ascii="Avenir Next" w:hAnsi="Avenir Next" w:cs="Arial"/>
          <w:color w:val="808080" w:themeColor="background1" w:themeShade="80"/>
          <w:sz w:val="22"/>
          <w:szCs w:val="22"/>
          <w:lang w:val="en-GB"/>
        </w:rPr>
        <w:t xml:space="preserve">holding company from, is affected by recent </w:t>
      </w:r>
      <w:r w:rsidR="00A54ACE" w:rsidRPr="00FE5CBA">
        <w:rPr>
          <w:rFonts w:ascii="Avenir Next" w:hAnsi="Avenir Next" w:cs="Arial"/>
          <w:color w:val="808080" w:themeColor="background1" w:themeShade="80"/>
          <w:sz w:val="22"/>
          <w:szCs w:val="22"/>
          <w:lang w:val="en-GB"/>
        </w:rPr>
        <w:t>extremely challenging operating envir</w:t>
      </w:r>
      <w:r w:rsidR="002C2C91" w:rsidRPr="00FE5CBA">
        <w:rPr>
          <w:rFonts w:ascii="Avenir Next" w:hAnsi="Avenir Next" w:cs="Arial"/>
          <w:color w:val="808080" w:themeColor="background1" w:themeShade="80"/>
          <w:sz w:val="22"/>
          <w:szCs w:val="22"/>
          <w:lang w:val="en-GB"/>
        </w:rPr>
        <w:t>onment and stability. The impact on the ABC Group affec</w:t>
      </w:r>
      <w:r w:rsidR="00857C69" w:rsidRPr="00FE5CBA">
        <w:rPr>
          <w:rFonts w:ascii="Avenir Next" w:hAnsi="Avenir Next" w:cs="Arial"/>
          <w:color w:val="808080" w:themeColor="background1" w:themeShade="80"/>
          <w:sz w:val="22"/>
          <w:szCs w:val="22"/>
          <w:lang w:val="en-GB"/>
        </w:rPr>
        <w:t xml:space="preserve">ts the Company because to relies on the return on investment and </w:t>
      </w:r>
      <w:r w:rsidR="00332D5B" w:rsidRPr="00FE5CBA">
        <w:rPr>
          <w:rFonts w:ascii="Avenir Next" w:hAnsi="Avenir Next" w:cs="Arial"/>
          <w:color w:val="808080" w:themeColor="background1" w:themeShade="80"/>
          <w:sz w:val="22"/>
          <w:szCs w:val="22"/>
          <w:lang w:val="en-GB"/>
        </w:rPr>
        <w:t>receivable from the subsidiaries hence likely to be unable to pay its debt.</w:t>
      </w:r>
      <w:r w:rsidR="00FE5CBA" w:rsidRPr="00FE5CBA">
        <w:rPr>
          <w:rFonts w:ascii="Avenir Next" w:hAnsi="Avenir Next" w:cs="Arial"/>
          <w:color w:val="808080" w:themeColor="background1" w:themeShade="80"/>
          <w:sz w:val="22"/>
          <w:szCs w:val="22"/>
          <w:lang w:val="en-GB"/>
        </w:rPr>
        <w:t xml:space="preserve"> </w:t>
      </w:r>
      <w:r w:rsidR="00FE5CBA" w:rsidRPr="00FE5CBA">
        <w:rPr>
          <w:rFonts w:ascii="Avenir Next" w:hAnsi="Avenir Next" w:cs="Arial"/>
          <w:color w:val="808080" w:themeColor="background1" w:themeShade="80"/>
          <w:sz w:val="22"/>
          <w:szCs w:val="22"/>
          <w:lang w:val="en-GB"/>
        </w:rPr>
        <w:t xml:space="preserve">The bank lenders of the Company must show that it is possible to rescue the Company or the business of the Company as an on-going concern or show that the interest of the Company’s creditors </w:t>
      </w:r>
      <w:r w:rsidR="00FE5CBA" w:rsidRPr="00FE5CBA">
        <w:rPr>
          <w:rFonts w:ascii="Avenir Next" w:hAnsi="Avenir Next" w:cs="Arial"/>
          <w:color w:val="808080" w:themeColor="background1" w:themeShade="80"/>
          <w:sz w:val="22"/>
          <w:szCs w:val="22"/>
          <w:lang w:val="en-GB"/>
        </w:rPr>
        <w:t>is</w:t>
      </w:r>
      <w:r w:rsidR="00FE5CBA" w:rsidRPr="00FE5CBA">
        <w:rPr>
          <w:rFonts w:ascii="Avenir Next" w:hAnsi="Avenir Next" w:cs="Arial"/>
          <w:color w:val="808080" w:themeColor="background1" w:themeShade="80"/>
          <w:sz w:val="22"/>
          <w:szCs w:val="22"/>
          <w:lang w:val="en-GB"/>
        </w:rPr>
        <w:t xml:space="preserve"> better via judicial management order than winding up.</w:t>
      </w:r>
    </w:p>
    <w:p w14:paraId="0B8060B0" w14:textId="77777777" w:rsidR="009A7239" w:rsidRDefault="009A7239" w:rsidP="00027800">
      <w:pPr>
        <w:pStyle w:val="ListParagraph"/>
        <w:ind w:left="426"/>
        <w:jc w:val="both"/>
        <w:rPr>
          <w:rFonts w:ascii="Avenir Next" w:hAnsi="Avenir Next" w:cs="Arial"/>
          <w:color w:val="808080" w:themeColor="background1" w:themeShade="80"/>
          <w:sz w:val="22"/>
          <w:szCs w:val="22"/>
          <w:lang w:val="en-GB"/>
        </w:rPr>
      </w:pPr>
    </w:p>
    <w:p w14:paraId="343C2513" w14:textId="6FEFFBF8" w:rsidR="00027800" w:rsidRPr="00E87603" w:rsidRDefault="009A7239" w:rsidP="00027800">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the</w:t>
      </w:r>
      <w:r w:rsidR="008B7EAA">
        <w:rPr>
          <w:rFonts w:ascii="Avenir Next" w:hAnsi="Avenir Next" w:cs="Arial"/>
          <w:color w:val="808080" w:themeColor="background1" w:themeShade="80"/>
          <w:sz w:val="22"/>
          <w:szCs w:val="22"/>
          <w:lang w:val="en-GB"/>
        </w:rPr>
        <w:t xml:space="preserve">re has </w:t>
      </w:r>
      <w:proofErr w:type="gramStart"/>
      <w:r w:rsidR="008B7EAA">
        <w:rPr>
          <w:rFonts w:ascii="Avenir Next" w:hAnsi="Avenir Next" w:cs="Arial"/>
          <w:color w:val="808080" w:themeColor="background1" w:themeShade="80"/>
          <w:sz w:val="22"/>
          <w:szCs w:val="22"/>
          <w:lang w:val="en-GB"/>
        </w:rPr>
        <w:t>be</w:t>
      </w:r>
      <w:proofErr w:type="gramEnd"/>
      <w:r w:rsidR="008B7EAA">
        <w:rPr>
          <w:rFonts w:ascii="Avenir Next" w:hAnsi="Avenir Next" w:cs="Arial"/>
          <w:color w:val="808080" w:themeColor="background1" w:themeShade="80"/>
          <w:sz w:val="22"/>
          <w:szCs w:val="22"/>
          <w:lang w:val="en-GB"/>
        </w:rPr>
        <w:t xml:space="preserve"> a resolution of the </w:t>
      </w:r>
      <w:r w:rsidR="00433986">
        <w:rPr>
          <w:rFonts w:ascii="Avenir Next" w:hAnsi="Avenir Next" w:cs="Arial"/>
          <w:color w:val="808080" w:themeColor="background1" w:themeShade="80"/>
          <w:sz w:val="22"/>
          <w:szCs w:val="22"/>
          <w:lang w:val="en-GB"/>
        </w:rPr>
        <w:t>creditors. This will include</w:t>
      </w:r>
      <w:r w:rsidR="00A039C8">
        <w:rPr>
          <w:rFonts w:ascii="Avenir Next" w:hAnsi="Avenir Next" w:cs="Arial"/>
          <w:color w:val="808080" w:themeColor="background1" w:themeShade="80"/>
          <w:sz w:val="22"/>
          <w:szCs w:val="22"/>
          <w:lang w:val="en-GB"/>
        </w:rPr>
        <w:t xml:space="preserve"> the holders of the various guarantees </w:t>
      </w:r>
      <w:r w:rsidR="002E1940">
        <w:rPr>
          <w:rFonts w:ascii="Avenir Next" w:hAnsi="Avenir Next" w:cs="Arial"/>
          <w:color w:val="808080" w:themeColor="background1" w:themeShade="80"/>
          <w:sz w:val="22"/>
          <w:szCs w:val="22"/>
          <w:lang w:val="en-GB"/>
        </w:rPr>
        <w:t>and the majority shareholders (Mr X and Mr Y, as they have provided a loan</w:t>
      </w:r>
      <w:r w:rsidR="00772979">
        <w:rPr>
          <w:rFonts w:ascii="Avenir Next" w:hAnsi="Avenir Next" w:cs="Arial"/>
          <w:color w:val="808080" w:themeColor="background1" w:themeShade="80"/>
          <w:sz w:val="22"/>
          <w:szCs w:val="22"/>
          <w:lang w:val="en-GB"/>
        </w:rPr>
        <w:t>).</w:t>
      </w:r>
      <w:r w:rsidR="00433986">
        <w:rPr>
          <w:rFonts w:ascii="Avenir Next" w:hAnsi="Avenir Next" w:cs="Arial"/>
          <w:color w:val="808080" w:themeColor="background1" w:themeShade="80"/>
          <w:sz w:val="22"/>
          <w:szCs w:val="22"/>
          <w:lang w:val="en-GB"/>
        </w:rPr>
        <w:t xml:space="preserve"> </w:t>
      </w:r>
      <w:r w:rsidR="0094027B">
        <w:rPr>
          <w:rFonts w:ascii="Avenir Next" w:hAnsi="Avenir Next" w:cs="Arial"/>
          <w:color w:val="808080" w:themeColor="background1" w:themeShade="80"/>
          <w:sz w:val="22"/>
          <w:szCs w:val="22"/>
          <w:lang w:val="en-GB"/>
        </w:rPr>
        <w:t xml:space="preserve">                             </w:t>
      </w:r>
    </w:p>
    <w:p w14:paraId="3F4116C9" w14:textId="77777777" w:rsidR="006B6E34" w:rsidRDefault="006B6E34" w:rsidP="00027800">
      <w:pPr>
        <w:pStyle w:val="ListParagraph"/>
        <w:ind w:left="426"/>
        <w:jc w:val="both"/>
        <w:rPr>
          <w:rFonts w:ascii="Avenir Next" w:hAnsi="Avenir Next" w:cs="Arial"/>
          <w:sz w:val="22"/>
          <w:szCs w:val="22"/>
          <w:lang w:val="en-GB"/>
        </w:rPr>
      </w:pP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530E6B" w:rsidRDefault="00F7160A" w:rsidP="004D2090">
      <w:pPr>
        <w:pStyle w:val="ListParagraph"/>
        <w:numPr>
          <w:ilvl w:val="0"/>
          <w:numId w:val="12"/>
        </w:numPr>
        <w:ind w:left="426"/>
        <w:jc w:val="both"/>
        <w:rPr>
          <w:rFonts w:ascii="Avenir Next" w:hAnsi="Avenir Next"/>
          <w:lang w:val="en-GB"/>
        </w:rPr>
      </w:pPr>
      <w:r w:rsidRPr="00530E6B">
        <w:rPr>
          <w:rFonts w:ascii="Avenir Next" w:hAnsi="Avenir Next" w:cs="Arial"/>
          <w:sz w:val="22"/>
          <w:szCs w:val="22"/>
          <w:lang w:val="en-GB"/>
        </w:rPr>
        <w:t xml:space="preserve">Assuming that the Company is placed under judicial management, what requirements must be satisfied </w:t>
      </w:r>
      <w:proofErr w:type="gramStart"/>
      <w:r w:rsidRPr="00530E6B">
        <w:rPr>
          <w:rFonts w:ascii="Avenir Next" w:hAnsi="Avenir Next" w:cs="Arial"/>
          <w:sz w:val="22"/>
          <w:szCs w:val="22"/>
          <w:lang w:val="en-GB"/>
        </w:rPr>
        <w:t>in order for</w:t>
      </w:r>
      <w:proofErr w:type="gramEnd"/>
      <w:r w:rsidR="00F4017E" w:rsidRPr="00530E6B">
        <w:rPr>
          <w:rFonts w:ascii="Avenir Next" w:hAnsi="Avenir Next" w:cs="Arial"/>
          <w:sz w:val="22"/>
          <w:szCs w:val="22"/>
          <w:lang w:val="en-GB"/>
        </w:rPr>
        <w:t xml:space="preserve"> the Company </w:t>
      </w:r>
      <w:r w:rsidRPr="00530E6B">
        <w:rPr>
          <w:rFonts w:ascii="Avenir Next" w:hAnsi="Avenir Next" w:cs="Arial"/>
          <w:sz w:val="22"/>
          <w:szCs w:val="22"/>
          <w:lang w:val="en-GB"/>
        </w:rPr>
        <w:t>to be able to access rescue financing under the IRD Act? (2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33D5A5BC" w:rsidR="008C35C9" w:rsidRPr="008C35C9" w:rsidRDefault="00C2088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w:t>
      </w:r>
      <w:r w:rsidR="00C072AD">
        <w:rPr>
          <w:rFonts w:ascii="Avenir Next" w:hAnsi="Avenir Next" w:cs="Arial"/>
          <w:color w:val="808080" w:themeColor="background1" w:themeShade="80"/>
          <w:sz w:val="22"/>
          <w:szCs w:val="22"/>
          <w:lang w:val="en-GB"/>
        </w:rPr>
        <w:t xml:space="preserve"> s.101(10) IRD Act, the courts must be satisfied that the </w:t>
      </w:r>
      <w:r w:rsidR="006D1E1E">
        <w:rPr>
          <w:rFonts w:ascii="Avenir Next" w:hAnsi="Avenir Next" w:cs="Arial"/>
          <w:color w:val="808080" w:themeColor="background1" w:themeShade="80"/>
          <w:sz w:val="22"/>
          <w:szCs w:val="22"/>
          <w:lang w:val="en-GB"/>
        </w:rPr>
        <w:t>recue financing is necessary for the survival of the Company</w:t>
      </w:r>
      <w:r w:rsidR="00512092">
        <w:rPr>
          <w:rFonts w:ascii="Avenir Next" w:hAnsi="Avenir Next" w:cs="Arial"/>
          <w:color w:val="808080" w:themeColor="background1" w:themeShade="80"/>
          <w:sz w:val="22"/>
          <w:szCs w:val="22"/>
          <w:lang w:val="en-GB"/>
        </w:rPr>
        <w:t xml:space="preserve"> and/or necessary to achieve a more advantageous </w:t>
      </w:r>
      <w:r w:rsidR="006B79A3">
        <w:rPr>
          <w:rFonts w:ascii="Avenir Next" w:hAnsi="Avenir Next" w:cs="Arial"/>
          <w:color w:val="808080" w:themeColor="background1" w:themeShade="80"/>
          <w:sz w:val="22"/>
          <w:szCs w:val="22"/>
          <w:lang w:val="en-GB"/>
        </w:rPr>
        <w:t>realisation</w:t>
      </w:r>
      <w:r w:rsidR="00512092">
        <w:rPr>
          <w:rFonts w:ascii="Avenir Next" w:hAnsi="Avenir Next" w:cs="Arial"/>
          <w:color w:val="808080" w:themeColor="background1" w:themeShade="80"/>
          <w:sz w:val="22"/>
          <w:szCs w:val="22"/>
          <w:lang w:val="en-GB"/>
        </w:rPr>
        <w:t xml:space="preserve"> of the assets </w:t>
      </w:r>
      <w:r w:rsidR="006B79A3">
        <w:rPr>
          <w:rFonts w:ascii="Avenir Next" w:hAnsi="Avenir Next" w:cs="Arial"/>
          <w:color w:val="808080" w:themeColor="background1" w:themeShade="80"/>
          <w:sz w:val="22"/>
          <w:szCs w:val="22"/>
          <w:lang w:val="en-GB"/>
        </w:rPr>
        <w:t>of the Company than winding-up the Company.</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825945">
        <w:rPr>
          <w:rFonts w:ascii="Avenir Next Demi Bold" w:hAnsi="Avenir Next Demi Bold"/>
          <w:b/>
          <w:bCs/>
          <w:iCs w:val="0"/>
          <w:u w:val="none"/>
        </w:rPr>
        <w:t xml:space="preserve">Question 4.2 [maximum </w:t>
      </w:r>
      <w:r w:rsidR="00100A09" w:rsidRPr="00825945">
        <w:rPr>
          <w:rFonts w:ascii="Avenir Next Demi Bold" w:hAnsi="Avenir Next Demi Bold"/>
          <w:b/>
          <w:bCs/>
          <w:iCs w:val="0"/>
          <w:u w:val="none"/>
        </w:rPr>
        <w:t>6</w:t>
      </w:r>
      <w:r w:rsidRPr="00825945">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4568ED2" w14:textId="4B852812" w:rsidR="00D9104B" w:rsidRDefault="00153089" w:rsidP="00D9104B">
      <w:pPr>
        <w:ind w:left="66"/>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bank lenders as creditors of Alpha Pte Ltd and Beta Pte Ltd must </w:t>
      </w:r>
      <w:r w:rsidR="00017A75">
        <w:rPr>
          <w:rFonts w:ascii="Avenir Next" w:hAnsi="Avenir Next"/>
          <w:color w:val="808080" w:themeColor="background1" w:themeShade="80"/>
          <w:lang w:val="en-GB"/>
        </w:rPr>
        <w:t>fulfil the following conditions:</w:t>
      </w:r>
    </w:p>
    <w:p w14:paraId="2EF4320D" w14:textId="01A40317" w:rsidR="00017A75" w:rsidRDefault="001B51D5" w:rsidP="00017A75">
      <w:pPr>
        <w:pStyle w:val="ListParagraph"/>
        <w:numPr>
          <w:ilvl w:val="0"/>
          <w:numId w:val="22"/>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Show that both Companies are unable to pay their debt. </w:t>
      </w:r>
      <w:r w:rsidR="008C5D5F">
        <w:rPr>
          <w:rFonts w:ascii="Avenir Next" w:hAnsi="Avenir Next"/>
          <w:color w:val="808080" w:themeColor="background1" w:themeShade="80"/>
          <w:lang w:val="en-GB"/>
        </w:rPr>
        <w:t xml:space="preserve">More information is required on whether both of </w:t>
      </w:r>
      <w:r w:rsidR="00A95F8E">
        <w:rPr>
          <w:rFonts w:ascii="Avenir Next" w:hAnsi="Avenir Next"/>
          <w:color w:val="808080" w:themeColor="background1" w:themeShade="80"/>
          <w:lang w:val="en-GB"/>
        </w:rPr>
        <w:t xml:space="preserve">companies are part of ABC Group subsidiaries that have defaulted on loans or </w:t>
      </w:r>
      <w:r w:rsidR="002B7D6B">
        <w:rPr>
          <w:rFonts w:ascii="Avenir Next" w:hAnsi="Avenir Next"/>
          <w:color w:val="808080" w:themeColor="background1" w:themeShade="80"/>
          <w:lang w:val="en-GB"/>
        </w:rPr>
        <w:t>affected by the economic climate;</w:t>
      </w:r>
    </w:p>
    <w:p w14:paraId="48626406" w14:textId="38AEC971" w:rsidR="002B7D6B" w:rsidRDefault="00BC7297" w:rsidP="00017A75">
      <w:pPr>
        <w:pStyle w:val="ListParagraph"/>
        <w:numPr>
          <w:ilvl w:val="0"/>
          <w:numId w:val="22"/>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court must be shown there is a reasonable </w:t>
      </w:r>
      <w:r w:rsidR="00222D4F">
        <w:rPr>
          <w:rFonts w:ascii="Avenir Next" w:hAnsi="Avenir Next"/>
          <w:color w:val="808080" w:themeColor="background1" w:themeShade="80"/>
          <w:lang w:val="en-GB"/>
        </w:rPr>
        <w:t xml:space="preserve">probability of achieving one or more of the purposes of judicial management under s 89(1); and </w:t>
      </w:r>
    </w:p>
    <w:p w14:paraId="628B1E6C" w14:textId="7BCC3B61" w:rsidR="00222D4F" w:rsidRPr="00017A75" w:rsidRDefault="00E96C08" w:rsidP="00017A75">
      <w:pPr>
        <w:pStyle w:val="ListParagraph"/>
        <w:numPr>
          <w:ilvl w:val="0"/>
          <w:numId w:val="22"/>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creditors of both companies have made a resolution to </w:t>
      </w:r>
      <w:r w:rsidR="000C095C">
        <w:rPr>
          <w:rFonts w:ascii="Avenir Next" w:hAnsi="Avenir Next"/>
          <w:color w:val="808080" w:themeColor="background1" w:themeShade="80"/>
          <w:lang w:val="en-GB"/>
        </w:rPr>
        <w:t>utilise judicial management.</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0F7B6383" w14:textId="0EE53E30" w:rsidR="005670D8" w:rsidRPr="000D6DAA" w:rsidRDefault="000D6DAA" w:rsidP="005670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Charlie Pye </w:t>
      </w:r>
      <w:r w:rsidR="00AA44F1">
        <w:rPr>
          <w:rFonts w:ascii="Avenir Next" w:hAnsi="Avenir Next" w:cs="Arial"/>
          <w:color w:val="808080" w:themeColor="background1" w:themeShade="80"/>
          <w:sz w:val="22"/>
          <w:szCs w:val="22"/>
          <w:lang w:val="en-GB"/>
        </w:rPr>
        <w:t xml:space="preserve">Ltd </w:t>
      </w:r>
      <w:r>
        <w:rPr>
          <w:rFonts w:ascii="Avenir Next" w:hAnsi="Avenir Next" w:cs="Arial"/>
          <w:color w:val="808080" w:themeColor="background1" w:themeShade="80"/>
          <w:sz w:val="22"/>
          <w:szCs w:val="22"/>
          <w:lang w:val="en-GB"/>
        </w:rPr>
        <w:t>is incorporated</w:t>
      </w:r>
      <w:r w:rsidR="00BD2364">
        <w:rPr>
          <w:rFonts w:ascii="Avenir Next" w:hAnsi="Avenir Next" w:cs="Arial"/>
          <w:color w:val="808080" w:themeColor="background1" w:themeShade="80"/>
          <w:sz w:val="22"/>
          <w:szCs w:val="22"/>
          <w:lang w:val="en-GB"/>
        </w:rPr>
        <w:t xml:space="preserve"> in Australia it is considered a foreign company. </w:t>
      </w:r>
      <w:r w:rsidR="004C4FA0">
        <w:rPr>
          <w:rFonts w:ascii="Avenir Next" w:hAnsi="Avenir Next" w:cs="Arial"/>
          <w:color w:val="808080" w:themeColor="background1" w:themeShade="80"/>
          <w:sz w:val="22"/>
          <w:szCs w:val="22"/>
          <w:lang w:val="en-GB"/>
        </w:rPr>
        <w:t xml:space="preserve">As a foreign company, Charlie Pty Ltd can </w:t>
      </w:r>
      <w:r w:rsidR="00265AA0">
        <w:rPr>
          <w:rFonts w:ascii="Avenir Next" w:hAnsi="Avenir Next" w:cs="Arial"/>
          <w:color w:val="808080" w:themeColor="background1" w:themeShade="80"/>
          <w:sz w:val="22"/>
          <w:szCs w:val="22"/>
          <w:lang w:val="en-GB"/>
        </w:rPr>
        <w:t xml:space="preserve">be placed into </w:t>
      </w:r>
      <w:r w:rsidR="009D30F4">
        <w:rPr>
          <w:rFonts w:ascii="Avenir Next" w:hAnsi="Avenir Next" w:cs="Arial"/>
          <w:color w:val="808080" w:themeColor="background1" w:themeShade="80"/>
          <w:sz w:val="22"/>
          <w:szCs w:val="22"/>
          <w:lang w:val="en-GB"/>
        </w:rPr>
        <w:t>judicial management as a foreign company</w:t>
      </w:r>
      <w:r w:rsidR="00EB48F0">
        <w:rPr>
          <w:rFonts w:ascii="Avenir Next" w:hAnsi="Avenir Next" w:cs="Arial"/>
          <w:color w:val="808080" w:themeColor="background1" w:themeShade="80"/>
          <w:sz w:val="22"/>
          <w:szCs w:val="22"/>
          <w:lang w:val="en-GB"/>
        </w:rPr>
        <w:t xml:space="preserve"> if it among the companies that can be wound up in Singapore.</w:t>
      </w:r>
      <w:r w:rsidR="00EB48F0">
        <w:rPr>
          <w:rStyle w:val="FootnoteReference"/>
          <w:rFonts w:ascii="Avenir Next" w:hAnsi="Avenir Next" w:cs="Arial"/>
          <w:color w:val="808080" w:themeColor="background1" w:themeShade="80"/>
          <w:sz w:val="22"/>
          <w:szCs w:val="22"/>
          <w:lang w:val="en-GB"/>
        </w:rPr>
        <w:footnoteReference w:id="37"/>
      </w:r>
      <w:r w:rsidR="00E705F9">
        <w:rPr>
          <w:rFonts w:ascii="Avenir Next" w:hAnsi="Avenir Next" w:cs="Arial"/>
          <w:color w:val="808080" w:themeColor="background1" w:themeShade="80"/>
          <w:sz w:val="22"/>
          <w:szCs w:val="22"/>
          <w:lang w:val="en-GB"/>
        </w:rPr>
        <w:t xml:space="preserve"> </w:t>
      </w:r>
      <w:r w:rsidR="000543A7">
        <w:rPr>
          <w:rFonts w:ascii="Avenir Next" w:hAnsi="Avenir Next" w:cs="Arial"/>
          <w:color w:val="808080" w:themeColor="background1" w:themeShade="80"/>
          <w:sz w:val="22"/>
          <w:szCs w:val="22"/>
          <w:lang w:val="en-GB"/>
        </w:rPr>
        <w:t xml:space="preserve">There is no evidence that </w:t>
      </w:r>
      <w:r w:rsidR="00BE1791">
        <w:rPr>
          <w:rFonts w:ascii="Avenir Next" w:hAnsi="Avenir Next" w:cs="Arial"/>
          <w:color w:val="808080" w:themeColor="background1" w:themeShade="80"/>
          <w:sz w:val="22"/>
          <w:szCs w:val="22"/>
          <w:lang w:val="en-GB"/>
        </w:rPr>
        <w:t xml:space="preserve">Charlie Pye Ltd is registered as a foreign company in Singapore hence will be considered an unregistered company. </w:t>
      </w:r>
      <w:r w:rsidR="00171014">
        <w:rPr>
          <w:rFonts w:ascii="Avenir Next" w:hAnsi="Avenir Next" w:cs="Arial"/>
          <w:color w:val="808080" w:themeColor="background1" w:themeShade="80"/>
          <w:sz w:val="22"/>
          <w:szCs w:val="22"/>
          <w:lang w:val="en-GB"/>
        </w:rPr>
        <w:t>Since, Cha</w:t>
      </w:r>
      <w:r w:rsidR="00BA4320">
        <w:rPr>
          <w:rFonts w:ascii="Avenir Next" w:hAnsi="Avenir Next" w:cs="Arial"/>
          <w:color w:val="808080" w:themeColor="background1" w:themeShade="80"/>
          <w:sz w:val="22"/>
          <w:szCs w:val="22"/>
          <w:lang w:val="en-GB"/>
        </w:rPr>
        <w:t xml:space="preserve">rlie </w:t>
      </w:r>
      <w:r w:rsidR="00AA44F1">
        <w:rPr>
          <w:rFonts w:ascii="Avenir Next" w:hAnsi="Avenir Next" w:cs="Arial"/>
          <w:color w:val="808080" w:themeColor="background1" w:themeShade="80"/>
          <w:sz w:val="22"/>
          <w:szCs w:val="22"/>
          <w:lang w:val="en-GB"/>
        </w:rPr>
        <w:t>P</w:t>
      </w:r>
      <w:r w:rsidR="005670D8">
        <w:rPr>
          <w:rFonts w:ascii="Avenir Next" w:hAnsi="Avenir Next" w:cs="Arial"/>
          <w:color w:val="808080" w:themeColor="background1" w:themeShade="80"/>
          <w:sz w:val="22"/>
          <w:szCs w:val="22"/>
          <w:lang w:val="en-GB"/>
        </w:rPr>
        <w:t xml:space="preserve">ty </w:t>
      </w:r>
      <w:r w:rsidR="00BA4320">
        <w:rPr>
          <w:rFonts w:ascii="Avenir Next" w:hAnsi="Avenir Next" w:cs="Arial"/>
          <w:color w:val="808080" w:themeColor="background1" w:themeShade="80"/>
          <w:sz w:val="22"/>
          <w:szCs w:val="22"/>
          <w:lang w:val="en-GB"/>
        </w:rPr>
        <w:t xml:space="preserve">is an unregistered company </w:t>
      </w:r>
      <w:r w:rsidR="00AA44F1">
        <w:rPr>
          <w:rFonts w:ascii="Avenir Next" w:hAnsi="Avenir Next" w:cs="Arial"/>
          <w:color w:val="808080" w:themeColor="background1" w:themeShade="80"/>
          <w:sz w:val="22"/>
          <w:szCs w:val="22"/>
          <w:lang w:val="en-GB"/>
        </w:rPr>
        <w:t xml:space="preserve">it must be shown that Charlie </w:t>
      </w:r>
      <w:r w:rsidR="005670D8">
        <w:rPr>
          <w:rFonts w:ascii="Avenir Next" w:hAnsi="Avenir Next" w:cs="Arial"/>
          <w:color w:val="808080" w:themeColor="background1" w:themeShade="80"/>
          <w:sz w:val="22"/>
          <w:szCs w:val="22"/>
          <w:lang w:val="en-GB"/>
        </w:rPr>
        <w:t xml:space="preserve">Pty Ltd </w:t>
      </w:r>
      <w:r w:rsidR="00AA44F1">
        <w:rPr>
          <w:rFonts w:ascii="Avenir Next" w:hAnsi="Avenir Next" w:cs="Arial"/>
          <w:color w:val="808080" w:themeColor="background1" w:themeShade="80"/>
          <w:sz w:val="22"/>
          <w:szCs w:val="22"/>
          <w:lang w:val="en-GB"/>
        </w:rPr>
        <w:t xml:space="preserve">has </w:t>
      </w:r>
      <w:r w:rsidR="005670D8">
        <w:rPr>
          <w:rFonts w:ascii="Avenir Next" w:hAnsi="Avenir Next" w:cs="Arial"/>
          <w:color w:val="808080" w:themeColor="background1" w:themeShade="80"/>
          <w:sz w:val="22"/>
          <w:szCs w:val="22"/>
          <w:lang w:val="en-GB"/>
        </w:rPr>
        <w:t>‘a substantial connection’ connection to Singapore</w:t>
      </w:r>
      <w:r w:rsidR="007F0165">
        <w:rPr>
          <w:rFonts w:ascii="Avenir Next" w:hAnsi="Avenir Next" w:cs="Arial"/>
          <w:color w:val="808080" w:themeColor="background1" w:themeShade="80"/>
          <w:sz w:val="22"/>
          <w:szCs w:val="22"/>
          <w:lang w:val="en-GB"/>
        </w:rPr>
        <w:t>.</w:t>
      </w:r>
      <w:r w:rsidR="007F0165">
        <w:rPr>
          <w:rStyle w:val="FootnoteReference"/>
          <w:rFonts w:ascii="Avenir Next" w:hAnsi="Avenir Next" w:cs="Arial"/>
          <w:color w:val="808080" w:themeColor="background1" w:themeShade="80"/>
          <w:sz w:val="22"/>
          <w:szCs w:val="22"/>
          <w:lang w:val="en-GB"/>
        </w:rPr>
        <w:footnoteReference w:id="38"/>
      </w:r>
      <w:r w:rsidR="00227B16">
        <w:rPr>
          <w:rFonts w:ascii="Avenir Next" w:hAnsi="Avenir Next" w:cs="Arial"/>
          <w:color w:val="808080" w:themeColor="background1" w:themeShade="80"/>
          <w:sz w:val="22"/>
          <w:szCs w:val="22"/>
          <w:lang w:val="en-GB"/>
        </w:rPr>
        <w:t xml:space="preserve"> </w:t>
      </w:r>
      <w:r w:rsidR="00370631">
        <w:rPr>
          <w:rFonts w:ascii="Avenir Next" w:hAnsi="Avenir Next" w:cs="Arial"/>
          <w:color w:val="808080" w:themeColor="background1" w:themeShade="80"/>
          <w:sz w:val="22"/>
          <w:szCs w:val="22"/>
          <w:lang w:val="en-GB"/>
        </w:rPr>
        <w:t xml:space="preserve">The assets, function </w:t>
      </w:r>
      <w:r w:rsidR="005C0961">
        <w:rPr>
          <w:rFonts w:ascii="Avenir Next" w:hAnsi="Avenir Next" w:cs="Arial"/>
          <w:color w:val="808080" w:themeColor="background1" w:themeShade="80"/>
          <w:sz w:val="22"/>
          <w:szCs w:val="22"/>
          <w:lang w:val="en-GB"/>
        </w:rPr>
        <w:t xml:space="preserve">and place of incorporation is in </w:t>
      </w:r>
      <w:r w:rsidR="00825945">
        <w:rPr>
          <w:rFonts w:ascii="Avenir Next" w:hAnsi="Avenir Next" w:cs="Arial"/>
          <w:color w:val="808080" w:themeColor="background1" w:themeShade="80"/>
          <w:sz w:val="22"/>
          <w:szCs w:val="22"/>
          <w:lang w:val="en-GB"/>
        </w:rPr>
        <w:t>Australia,</w:t>
      </w:r>
      <w:r w:rsidR="00DD7B7D">
        <w:rPr>
          <w:rFonts w:ascii="Avenir Next" w:hAnsi="Avenir Next" w:cs="Arial"/>
          <w:color w:val="808080" w:themeColor="background1" w:themeShade="80"/>
          <w:sz w:val="22"/>
          <w:szCs w:val="22"/>
          <w:lang w:val="en-GB"/>
        </w:rPr>
        <w:t xml:space="preserve"> and these cannot be used to s</w:t>
      </w:r>
      <w:r w:rsidR="00F036D5">
        <w:rPr>
          <w:rFonts w:ascii="Avenir Next" w:hAnsi="Avenir Next" w:cs="Arial"/>
          <w:color w:val="808080" w:themeColor="background1" w:themeShade="80"/>
          <w:sz w:val="22"/>
          <w:szCs w:val="22"/>
          <w:lang w:val="en-GB"/>
        </w:rPr>
        <w:t xml:space="preserve">o show substantial connection to Singapore. </w:t>
      </w:r>
      <w:r w:rsidR="00661B2B">
        <w:rPr>
          <w:rFonts w:ascii="Avenir Next" w:hAnsi="Avenir Next" w:cs="Arial"/>
          <w:color w:val="808080" w:themeColor="background1" w:themeShade="80"/>
          <w:sz w:val="22"/>
          <w:szCs w:val="22"/>
          <w:lang w:val="en-GB"/>
        </w:rPr>
        <w:t xml:space="preserve">However, the </w:t>
      </w:r>
      <w:r w:rsidR="00CC11E1">
        <w:rPr>
          <w:rFonts w:ascii="Avenir Next" w:hAnsi="Avenir Next" w:cs="Arial"/>
          <w:color w:val="808080" w:themeColor="background1" w:themeShade="80"/>
          <w:sz w:val="22"/>
          <w:szCs w:val="22"/>
          <w:lang w:val="en-GB"/>
        </w:rPr>
        <w:t xml:space="preserve">mortgage of the assets of Charlie Pty Ltd are with a Singapore Bank and governed </w:t>
      </w:r>
      <w:r w:rsidR="000B5074">
        <w:rPr>
          <w:rFonts w:ascii="Avenir Next" w:hAnsi="Avenir Next" w:cs="Arial"/>
          <w:color w:val="808080" w:themeColor="background1" w:themeShade="80"/>
          <w:sz w:val="22"/>
          <w:szCs w:val="22"/>
          <w:lang w:val="en-GB"/>
        </w:rPr>
        <w:t>by Singapore law</w:t>
      </w:r>
      <w:r w:rsidR="00C623C6">
        <w:rPr>
          <w:rFonts w:ascii="Avenir Next" w:hAnsi="Avenir Next" w:cs="Arial"/>
          <w:color w:val="808080" w:themeColor="background1" w:themeShade="80"/>
          <w:sz w:val="22"/>
          <w:szCs w:val="22"/>
          <w:lang w:val="en-GB"/>
        </w:rPr>
        <w:t xml:space="preserve"> which can be used to establish substantial connection to Singapore</w:t>
      </w:r>
      <w:r w:rsidR="00825945">
        <w:rPr>
          <w:rFonts w:ascii="Avenir Next" w:hAnsi="Avenir Next" w:cs="Arial"/>
          <w:color w:val="808080" w:themeColor="background1" w:themeShade="80"/>
          <w:sz w:val="22"/>
          <w:szCs w:val="22"/>
          <w:lang w:val="en-GB"/>
        </w:rPr>
        <w:t xml:space="preserve"> for the purposes of judicial management.</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BA7191">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633C7F6C" w:rsidR="00F47A63" w:rsidRPr="00882275" w:rsidRDefault="0088227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assets are not automatically protected. </w:t>
      </w:r>
      <w:r w:rsidR="001369EC">
        <w:rPr>
          <w:rFonts w:ascii="Avenir Next" w:hAnsi="Avenir Next" w:cs="Arial"/>
          <w:color w:val="808080" w:themeColor="background1" w:themeShade="80"/>
          <w:sz w:val="22"/>
          <w:szCs w:val="22"/>
          <w:lang w:val="en-GB"/>
        </w:rPr>
        <w:t xml:space="preserve">A judgement from UK and Australian law where </w:t>
      </w:r>
      <w:r w:rsidR="00CB216F">
        <w:rPr>
          <w:rFonts w:ascii="Avenir Next" w:hAnsi="Avenir Next" w:cs="Arial"/>
          <w:color w:val="808080" w:themeColor="background1" w:themeShade="80"/>
          <w:sz w:val="22"/>
          <w:szCs w:val="22"/>
          <w:lang w:val="en-GB"/>
        </w:rPr>
        <w:t>the assets are located must be registered under RECJA</w:t>
      </w:r>
      <w:r w:rsidR="00FD26E8">
        <w:rPr>
          <w:rFonts w:ascii="Avenir Next" w:hAnsi="Avenir Next" w:cs="Arial"/>
          <w:color w:val="808080" w:themeColor="background1" w:themeShade="80"/>
          <w:sz w:val="22"/>
          <w:szCs w:val="22"/>
          <w:lang w:val="en-GB"/>
        </w:rPr>
        <w:t xml:space="preserve"> with Singapore High Court. </w:t>
      </w:r>
      <w:r w:rsidR="00405A10">
        <w:rPr>
          <w:rFonts w:ascii="Avenir Next" w:hAnsi="Avenir Next" w:cs="Arial"/>
          <w:color w:val="808080" w:themeColor="background1" w:themeShade="80"/>
          <w:sz w:val="22"/>
          <w:szCs w:val="22"/>
          <w:lang w:val="en-GB"/>
        </w:rPr>
        <w:t>Once the order of prot</w:t>
      </w:r>
      <w:r w:rsidR="007979C4">
        <w:rPr>
          <w:rFonts w:ascii="Avenir Next" w:hAnsi="Avenir Next" w:cs="Arial"/>
          <w:color w:val="808080" w:themeColor="background1" w:themeShade="80"/>
          <w:sz w:val="22"/>
          <w:szCs w:val="22"/>
          <w:lang w:val="en-GB"/>
        </w:rPr>
        <w:t>e</w:t>
      </w:r>
      <w:r w:rsidR="00405A10">
        <w:rPr>
          <w:rFonts w:ascii="Avenir Next" w:hAnsi="Avenir Next" w:cs="Arial"/>
          <w:color w:val="808080" w:themeColor="background1" w:themeShade="80"/>
          <w:sz w:val="22"/>
          <w:szCs w:val="22"/>
          <w:lang w:val="en-GB"/>
        </w:rPr>
        <w:t>ction is registered in Si</w:t>
      </w:r>
      <w:r w:rsidR="007979C4">
        <w:rPr>
          <w:rFonts w:ascii="Avenir Next" w:hAnsi="Avenir Next" w:cs="Arial"/>
          <w:color w:val="808080" w:themeColor="background1" w:themeShade="80"/>
          <w:sz w:val="22"/>
          <w:szCs w:val="22"/>
          <w:lang w:val="en-GB"/>
        </w:rPr>
        <w:t>n</w:t>
      </w:r>
      <w:r w:rsidR="00405A10">
        <w:rPr>
          <w:rFonts w:ascii="Avenir Next" w:hAnsi="Avenir Next" w:cs="Arial"/>
          <w:color w:val="808080" w:themeColor="background1" w:themeShade="80"/>
          <w:sz w:val="22"/>
          <w:szCs w:val="22"/>
          <w:lang w:val="en-GB"/>
        </w:rPr>
        <w:t>gapore it will be enforce</w:t>
      </w:r>
      <w:r w:rsidR="007979C4">
        <w:rPr>
          <w:rFonts w:ascii="Avenir Next" w:hAnsi="Avenir Next" w:cs="Arial"/>
          <w:color w:val="808080" w:themeColor="background1" w:themeShade="80"/>
          <w:sz w:val="22"/>
          <w:szCs w:val="22"/>
          <w:lang w:val="en-GB"/>
        </w:rPr>
        <w:t>d as if it was made in Singapore.</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D43D" w14:textId="77777777" w:rsidR="00C36318" w:rsidRDefault="00C36318" w:rsidP="00241B44">
      <w:r>
        <w:separator/>
      </w:r>
    </w:p>
  </w:endnote>
  <w:endnote w:type="continuationSeparator" w:id="0">
    <w:p w14:paraId="5963B108" w14:textId="77777777" w:rsidR="00C36318" w:rsidRDefault="00C363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545C6EE" w:rsidR="00241FA3" w:rsidRPr="00CB75C5" w:rsidRDefault="00EB48F0" w:rsidP="009B4976">
    <w:pPr>
      <w:pStyle w:val="Footer"/>
      <w:ind w:right="360"/>
      <w:rPr>
        <w:rFonts w:ascii="Avenir Next" w:hAnsi="Avenir Next" w:cs="Arial"/>
        <w:sz w:val="18"/>
        <w:szCs w:val="18"/>
        <w:lang w:val="en-GB"/>
      </w:rPr>
    </w:pPr>
    <w:r>
      <w:rPr>
        <w:rFonts w:ascii="Avenir Next" w:hAnsi="Avenir Next" w:cs="Arial"/>
        <w:sz w:val="18"/>
        <w:szCs w:val="18"/>
        <w:lang w:val="en-GB"/>
      </w:rPr>
      <w:t>2022</w:t>
    </w:r>
    <w:r w:rsidR="00222F8F">
      <w:rPr>
        <w:rFonts w:ascii="Avenir Next" w:hAnsi="Avenir Next" w:cs="Arial"/>
        <w:sz w:val="18"/>
        <w:szCs w:val="18"/>
        <w:lang w:val="en-GB"/>
      </w:rPr>
      <w:t>23-964</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41EA" w14:textId="77777777" w:rsidR="00C36318" w:rsidRDefault="00C36318" w:rsidP="00241B44">
      <w:r>
        <w:separator/>
      </w:r>
    </w:p>
  </w:footnote>
  <w:footnote w:type="continuationSeparator" w:id="0">
    <w:p w14:paraId="2AC6F2B1" w14:textId="77777777" w:rsidR="00C36318" w:rsidRDefault="00C36318" w:rsidP="00241B44">
      <w:r>
        <w:continuationSeparator/>
      </w:r>
    </w:p>
  </w:footnote>
  <w:footnote w:id="1">
    <w:p w14:paraId="4FEDAB9E" w14:textId="5C03E865" w:rsidR="005F50CD" w:rsidRPr="005F50CD" w:rsidRDefault="005F50CD">
      <w:pPr>
        <w:pStyle w:val="FootnoteText"/>
        <w:rPr>
          <w:lang w:val="en-GB"/>
        </w:rPr>
      </w:pPr>
      <w:r>
        <w:rPr>
          <w:rStyle w:val="FootnoteReference"/>
        </w:rPr>
        <w:footnoteRef/>
      </w:r>
      <w:r>
        <w:t xml:space="preserve"> </w:t>
      </w:r>
      <w:r>
        <w:rPr>
          <w:lang w:val="en-GB"/>
        </w:rPr>
        <w:t xml:space="preserve">Insolvency, Restructuring and Dissolution Act 2018, </w:t>
      </w:r>
      <w:r w:rsidR="007B66B2">
        <w:rPr>
          <w:lang w:val="en-GB"/>
        </w:rPr>
        <w:t>s 70.</w:t>
      </w:r>
    </w:p>
  </w:footnote>
  <w:footnote w:id="2">
    <w:p w14:paraId="6331DAEC" w14:textId="68D06A3E" w:rsidR="007C3735" w:rsidRPr="007C3735" w:rsidRDefault="007C3735">
      <w:pPr>
        <w:pStyle w:val="FootnoteText"/>
        <w:rPr>
          <w:lang w:val="en-GB"/>
        </w:rPr>
      </w:pPr>
      <w:r>
        <w:rPr>
          <w:rStyle w:val="FootnoteReference"/>
        </w:rPr>
        <w:footnoteRef/>
      </w:r>
      <w:r>
        <w:t xml:space="preserve"> </w:t>
      </w:r>
      <w:r>
        <w:rPr>
          <w:lang w:val="en-GB"/>
        </w:rPr>
        <w:t>Insolvency, Restructuring and Dissolution Act 2018, s 70</w:t>
      </w:r>
      <w:r>
        <w:rPr>
          <w:lang w:val="en-GB"/>
        </w:rPr>
        <w:t xml:space="preserve"> (3)</w:t>
      </w:r>
      <w:r w:rsidR="008005DD">
        <w:rPr>
          <w:lang w:val="en-GB"/>
        </w:rPr>
        <w:t xml:space="preserve">; Terry Xu </w:t>
      </w:r>
      <w:proofErr w:type="spellStart"/>
      <w:r w:rsidR="008005DD">
        <w:rPr>
          <w:lang w:val="en-GB"/>
        </w:rPr>
        <w:t>Hongli</w:t>
      </w:r>
      <w:proofErr w:type="spellEnd"/>
      <w:r w:rsidR="008005DD">
        <w:rPr>
          <w:lang w:val="en-GB"/>
        </w:rPr>
        <w:t>, ‘Cramd</w:t>
      </w:r>
      <w:r w:rsidR="00962685">
        <w:rPr>
          <w:lang w:val="en-GB"/>
        </w:rPr>
        <w:t>own Powers Under Singapore’s Scheme Of Arrangement</w:t>
      </w:r>
      <w:proofErr w:type="gramStart"/>
      <w:r w:rsidR="00962685">
        <w:rPr>
          <w:lang w:val="en-GB"/>
        </w:rPr>
        <w:t>’  (</w:t>
      </w:r>
      <w:proofErr w:type="gramEnd"/>
      <w:r w:rsidR="00962685">
        <w:rPr>
          <w:lang w:val="en-GB"/>
        </w:rPr>
        <w:t xml:space="preserve">2021) </w:t>
      </w:r>
      <w:r w:rsidR="006E42ED">
        <w:rPr>
          <w:lang w:val="en-GB"/>
        </w:rPr>
        <w:t>Centre for Commercial Law in Asia &lt;</w:t>
      </w:r>
      <w:r w:rsidR="00F14CA5" w:rsidRPr="00F14CA5">
        <w:t xml:space="preserve"> </w:t>
      </w:r>
      <w:r w:rsidR="00F14CA5" w:rsidRPr="00F14CA5">
        <w:rPr>
          <w:lang w:val="en-GB"/>
        </w:rPr>
        <w:t>https://ccla.smu.edu.sg/sgri/blog/2021/02/26/cramdown-powers-under-singapores-scheme</w:t>
      </w:r>
      <w:r w:rsidR="006E42ED">
        <w:rPr>
          <w:lang w:val="en-GB"/>
        </w:rPr>
        <w:t>&gt; accessed</w:t>
      </w:r>
      <w:r w:rsidR="00F14CA5">
        <w:rPr>
          <w:lang w:val="en-GB"/>
        </w:rPr>
        <w:t xml:space="preserve"> 10 July 2023.</w:t>
      </w:r>
    </w:p>
  </w:footnote>
  <w:footnote w:id="3">
    <w:p w14:paraId="5EAF59C7" w14:textId="3EC552C5" w:rsidR="004A7589" w:rsidRPr="004A7589" w:rsidRDefault="004A7589">
      <w:pPr>
        <w:pStyle w:val="FootnoteText"/>
        <w:rPr>
          <w:lang w:val="en-GB"/>
        </w:rPr>
      </w:pPr>
      <w:r>
        <w:rPr>
          <w:rStyle w:val="FootnoteReference"/>
        </w:rPr>
        <w:footnoteRef/>
      </w:r>
      <w:r>
        <w:t xml:space="preserve"> </w:t>
      </w:r>
      <w:r>
        <w:rPr>
          <w:lang w:val="en-GB"/>
        </w:rPr>
        <w:t>[2021] SGCA 60.</w:t>
      </w:r>
    </w:p>
  </w:footnote>
  <w:footnote w:id="4">
    <w:p w14:paraId="323F7085" w14:textId="50376535" w:rsidR="00CA63F3" w:rsidRPr="00CA63F3" w:rsidRDefault="00CA63F3">
      <w:pPr>
        <w:pStyle w:val="FootnoteText"/>
        <w:rPr>
          <w:lang w:val="en-GB"/>
        </w:rPr>
      </w:pPr>
      <w:r>
        <w:rPr>
          <w:rStyle w:val="FootnoteReference"/>
        </w:rPr>
        <w:footnoteRef/>
      </w:r>
      <w:r>
        <w:t xml:space="preserve"> </w:t>
      </w:r>
      <w:r>
        <w:rPr>
          <w:lang w:val="en-GB"/>
        </w:rPr>
        <w:t>Insolvency, Restructuring and Dissolution Act 2018</w:t>
      </w:r>
      <w:r>
        <w:rPr>
          <w:lang w:val="en-GB"/>
        </w:rPr>
        <w:t>.</w:t>
      </w:r>
    </w:p>
  </w:footnote>
  <w:footnote w:id="5">
    <w:p w14:paraId="07E78B68" w14:textId="45942A24" w:rsidR="006004BB" w:rsidRPr="006004BB" w:rsidRDefault="006004BB">
      <w:pPr>
        <w:pStyle w:val="FootnoteText"/>
        <w:rPr>
          <w:lang w:val="en-GB"/>
        </w:rPr>
      </w:pPr>
      <w:r>
        <w:rPr>
          <w:rStyle w:val="FootnoteReference"/>
        </w:rPr>
        <w:footnoteRef/>
      </w:r>
      <w:r>
        <w:t xml:space="preserve"> </w:t>
      </w:r>
      <w:r w:rsidRPr="006004BB">
        <w:t>Insolvency, Restructuring and Dissolution Act 2018</w:t>
      </w:r>
      <w:r>
        <w:t>, s 67 (9).</w:t>
      </w:r>
    </w:p>
  </w:footnote>
  <w:footnote w:id="6">
    <w:p w14:paraId="3180C66C" w14:textId="11F24DD3" w:rsidR="007D73C6" w:rsidRPr="007D73C6" w:rsidRDefault="007D73C6">
      <w:pPr>
        <w:pStyle w:val="FootnoteText"/>
        <w:rPr>
          <w:lang w:val="en-GB"/>
        </w:rPr>
      </w:pPr>
      <w:r>
        <w:rPr>
          <w:rStyle w:val="FootnoteReference"/>
        </w:rPr>
        <w:footnoteRef/>
      </w:r>
      <w:r>
        <w:t xml:space="preserve"> </w:t>
      </w:r>
      <w:proofErr w:type="spellStart"/>
      <w:r>
        <w:rPr>
          <w:lang w:val="en-GB"/>
        </w:rPr>
        <w:t>Ajinderpal</w:t>
      </w:r>
      <w:proofErr w:type="spellEnd"/>
      <w:r>
        <w:rPr>
          <w:lang w:val="en-GB"/>
        </w:rPr>
        <w:t xml:space="preserve"> Singh and </w:t>
      </w:r>
      <w:r w:rsidR="00704A8E">
        <w:rPr>
          <w:lang w:val="en-GB"/>
        </w:rPr>
        <w:t xml:space="preserve">Adriel </w:t>
      </w:r>
      <w:proofErr w:type="spellStart"/>
      <w:r w:rsidR="00704A8E">
        <w:rPr>
          <w:lang w:val="en-GB"/>
        </w:rPr>
        <w:t>Chioh</w:t>
      </w:r>
      <w:proofErr w:type="spellEnd"/>
      <w:r w:rsidR="00704A8E">
        <w:rPr>
          <w:lang w:val="en-GB"/>
        </w:rPr>
        <w:t>, ‘Rescue Financing in Singapore Navigating Uncha</w:t>
      </w:r>
      <w:r w:rsidR="004B5E3F">
        <w:rPr>
          <w:lang w:val="en-GB"/>
        </w:rPr>
        <w:t xml:space="preserve">rtered Waters’ (2020) SAL </w:t>
      </w:r>
      <w:proofErr w:type="spellStart"/>
      <w:r w:rsidR="004B5E3F">
        <w:rPr>
          <w:lang w:val="en-GB"/>
        </w:rPr>
        <w:t>Prac</w:t>
      </w:r>
      <w:proofErr w:type="spellEnd"/>
      <w:r w:rsidR="004B5E3F">
        <w:rPr>
          <w:lang w:val="en-GB"/>
        </w:rPr>
        <w:t xml:space="preserve"> 1.</w:t>
      </w:r>
    </w:p>
  </w:footnote>
  <w:footnote w:id="7">
    <w:p w14:paraId="05A81B20" w14:textId="06A88679" w:rsidR="00542E13" w:rsidRPr="00542E13" w:rsidRDefault="00542E13" w:rsidP="00542E13">
      <w:pPr>
        <w:pStyle w:val="FootnoteText"/>
        <w:rPr>
          <w:lang w:val="en-GB"/>
        </w:rPr>
      </w:pPr>
      <w:r>
        <w:rPr>
          <w:rStyle w:val="FootnoteReference"/>
        </w:rPr>
        <w:footnoteRef/>
      </w:r>
      <w:r>
        <w:t xml:space="preserve"> </w:t>
      </w:r>
      <w:r w:rsidRPr="006004BB">
        <w:t>Insolvency, Restructuring and Dissolution Act 2018</w:t>
      </w:r>
      <w:r>
        <w:t>, s 67 (9)</w:t>
      </w:r>
      <w:r>
        <w:t>(a)</w:t>
      </w:r>
      <w:r>
        <w:t>.</w:t>
      </w:r>
    </w:p>
  </w:footnote>
  <w:footnote w:id="8">
    <w:p w14:paraId="21010F04" w14:textId="65D5F8AA" w:rsidR="00134E0D" w:rsidRPr="00134E0D" w:rsidRDefault="00134E0D">
      <w:pPr>
        <w:pStyle w:val="FootnoteText"/>
        <w:rPr>
          <w:lang w:val="en-GB"/>
        </w:rPr>
      </w:pPr>
      <w:r>
        <w:rPr>
          <w:rStyle w:val="FootnoteReference"/>
        </w:rPr>
        <w:footnoteRef/>
      </w:r>
      <w:r>
        <w:t xml:space="preserve"> </w:t>
      </w:r>
      <w:r w:rsidRPr="00134E0D">
        <w:t>Insolvency, Restructuring and Dissolution Act 2018, s 67 (9)</w:t>
      </w:r>
      <w:r>
        <w:t>(b)</w:t>
      </w:r>
      <w:r w:rsidRPr="00134E0D">
        <w:t>.</w:t>
      </w:r>
    </w:p>
  </w:footnote>
  <w:footnote w:id="9">
    <w:p w14:paraId="2592576D" w14:textId="7277EC5F" w:rsidR="0091255A" w:rsidRPr="0091255A" w:rsidRDefault="0091255A">
      <w:pPr>
        <w:pStyle w:val="FootnoteText"/>
        <w:rPr>
          <w:lang w:val="en-GB"/>
        </w:rPr>
      </w:pPr>
      <w:r>
        <w:rPr>
          <w:rStyle w:val="FootnoteReference"/>
        </w:rPr>
        <w:footnoteRef/>
      </w:r>
      <w:r>
        <w:t xml:space="preserve"> </w:t>
      </w:r>
      <w:r w:rsidR="009E7AFF" w:rsidRPr="009E7AFF">
        <w:t>Insolvency, Restructuring and Dissolution Act 2018, s</w:t>
      </w:r>
      <w:r w:rsidR="009E7AFF">
        <w:t>s</w:t>
      </w:r>
      <w:r w:rsidR="009E7AFF" w:rsidRPr="009E7AFF">
        <w:t xml:space="preserve"> 67 </w:t>
      </w:r>
      <w:r w:rsidR="009E7AFF">
        <w:t>and 101</w:t>
      </w:r>
      <w:r w:rsidR="009E7AFF" w:rsidRPr="009E7AFF">
        <w:t>.</w:t>
      </w:r>
    </w:p>
  </w:footnote>
  <w:footnote w:id="10">
    <w:p w14:paraId="082313CE" w14:textId="7678CCAB" w:rsidR="00AB1C12" w:rsidRPr="00AB1C12" w:rsidRDefault="00AB1C12">
      <w:pPr>
        <w:pStyle w:val="FootnoteText"/>
        <w:rPr>
          <w:lang w:val="en-GB"/>
        </w:rPr>
      </w:pPr>
      <w:r>
        <w:rPr>
          <w:rStyle w:val="FootnoteReference"/>
        </w:rPr>
        <w:footnoteRef/>
      </w:r>
      <w:r>
        <w:t xml:space="preserve"> </w:t>
      </w:r>
      <w:r w:rsidR="005C49C2" w:rsidRPr="005C49C2">
        <w:t>Insolvency, Restructuring and Dissolution Act 2018, ss 67</w:t>
      </w:r>
      <w:r w:rsidR="005C49C2">
        <w:t>(1)</w:t>
      </w:r>
      <w:r w:rsidR="005C49C2" w:rsidRPr="005C49C2">
        <w:t xml:space="preserve"> and 101</w:t>
      </w:r>
      <w:r w:rsidR="005C49C2">
        <w:t>(1)</w:t>
      </w:r>
      <w:r w:rsidR="005C49C2" w:rsidRPr="005C49C2">
        <w:t>.</w:t>
      </w:r>
    </w:p>
  </w:footnote>
  <w:footnote w:id="11">
    <w:p w14:paraId="7C0AEE7E" w14:textId="507729B2" w:rsidR="00597067" w:rsidRPr="00597067" w:rsidRDefault="00597067">
      <w:pPr>
        <w:pStyle w:val="FootnoteText"/>
        <w:rPr>
          <w:lang w:val="en-GB"/>
        </w:rPr>
      </w:pPr>
      <w:bookmarkStart w:id="1" w:name="_Hlk141254474"/>
      <w:r>
        <w:rPr>
          <w:rStyle w:val="FootnoteReference"/>
        </w:rPr>
        <w:footnoteRef/>
      </w:r>
      <w:r>
        <w:t xml:space="preserve"> </w:t>
      </w:r>
      <w:r w:rsidR="00235A0F" w:rsidRPr="009E7AFF">
        <w:t>Insolvency, Restructuring and Dissolution Act 2018, s 67</w:t>
      </w:r>
      <w:r w:rsidR="00235A0F">
        <w:t xml:space="preserve"> (1)</w:t>
      </w:r>
      <w:r w:rsidR="00235A0F" w:rsidRPr="009E7AFF">
        <w:t>.</w:t>
      </w:r>
    </w:p>
    <w:bookmarkEnd w:id="1"/>
  </w:footnote>
  <w:footnote w:id="12">
    <w:p w14:paraId="0DB76EF5" w14:textId="1DD4404F" w:rsidR="00026591" w:rsidRPr="00026591" w:rsidRDefault="00026591">
      <w:pPr>
        <w:pStyle w:val="FootnoteText"/>
        <w:rPr>
          <w:lang w:val="en-GB"/>
        </w:rPr>
      </w:pPr>
      <w:r>
        <w:rPr>
          <w:rStyle w:val="FootnoteReference"/>
        </w:rPr>
        <w:footnoteRef/>
      </w:r>
      <w:r>
        <w:t xml:space="preserve"> </w:t>
      </w:r>
      <w:bookmarkStart w:id="2" w:name="_Hlk141256891"/>
      <w:r w:rsidRPr="009E7AFF">
        <w:t>Insolvency, Restructuring and Dissolution Act 2018</w:t>
      </w:r>
      <w:bookmarkEnd w:id="2"/>
      <w:r w:rsidRPr="009E7AFF">
        <w:t>, s</w:t>
      </w:r>
      <w:r>
        <w:t>s</w:t>
      </w:r>
      <w:r w:rsidRPr="009E7AFF">
        <w:t xml:space="preserve"> 67</w:t>
      </w:r>
      <w:r>
        <w:t xml:space="preserve"> (1)(a) and (b)</w:t>
      </w:r>
      <w:r w:rsidRPr="009E7AFF">
        <w:t>.</w:t>
      </w:r>
    </w:p>
  </w:footnote>
  <w:footnote w:id="13">
    <w:p w14:paraId="3595ED6B" w14:textId="04518366" w:rsidR="002C59FA" w:rsidRPr="002C59FA" w:rsidRDefault="002C59FA">
      <w:pPr>
        <w:pStyle w:val="FootnoteText"/>
        <w:rPr>
          <w:lang w:val="en-GB"/>
        </w:rPr>
      </w:pPr>
      <w:r>
        <w:rPr>
          <w:rStyle w:val="FootnoteReference"/>
        </w:rPr>
        <w:footnoteRef/>
      </w:r>
      <w:r>
        <w:t xml:space="preserve"> </w:t>
      </w:r>
      <w:r w:rsidRPr="002C59FA">
        <w:t>Insolvency, Restructuring and Dissolution Act 2018, ss 67</w:t>
      </w:r>
      <w:r w:rsidR="001B05E1">
        <w:t xml:space="preserve"> (1)(c) and (d)</w:t>
      </w:r>
      <w:r w:rsidRPr="002C59FA">
        <w:t>.</w:t>
      </w:r>
    </w:p>
  </w:footnote>
  <w:footnote w:id="14">
    <w:p w14:paraId="0A4F42B9" w14:textId="6F126700" w:rsidR="00942FAB" w:rsidRPr="00942FAB" w:rsidRDefault="00942FAB">
      <w:pPr>
        <w:pStyle w:val="FootnoteText"/>
        <w:rPr>
          <w:lang w:val="en-GB"/>
        </w:rPr>
      </w:pPr>
      <w:r>
        <w:rPr>
          <w:rStyle w:val="FootnoteReference"/>
        </w:rPr>
        <w:footnoteRef/>
      </w:r>
      <w:r>
        <w:t xml:space="preserve"> </w:t>
      </w:r>
      <w:r w:rsidRPr="00942FAB">
        <w:t>Insolvency, Restructuring and Dissolution Act 2018, s 67 (1)</w:t>
      </w:r>
      <w:r>
        <w:t xml:space="preserve"> (c)</w:t>
      </w:r>
      <w:r w:rsidR="001776C9">
        <w:t>(</w:t>
      </w:r>
      <w:proofErr w:type="spellStart"/>
      <w:r w:rsidR="001776C9">
        <w:t>i</w:t>
      </w:r>
      <w:proofErr w:type="spellEnd"/>
      <w:r w:rsidR="001776C9">
        <w:t>)</w:t>
      </w:r>
      <w:r w:rsidRPr="00942FAB">
        <w:t>.</w:t>
      </w:r>
    </w:p>
  </w:footnote>
  <w:footnote w:id="15">
    <w:p w14:paraId="67F636CD" w14:textId="254DBD20" w:rsidR="001776C9" w:rsidRPr="001776C9" w:rsidRDefault="001776C9">
      <w:pPr>
        <w:pStyle w:val="FootnoteText"/>
        <w:rPr>
          <w:lang w:val="en-GB"/>
        </w:rPr>
      </w:pPr>
      <w:r>
        <w:rPr>
          <w:rStyle w:val="FootnoteReference"/>
        </w:rPr>
        <w:footnoteRef/>
      </w:r>
      <w:r>
        <w:t xml:space="preserve"> </w:t>
      </w:r>
      <w:r w:rsidRPr="001776C9">
        <w:t>Insolvency, Restructuring and Dissolution Act 2018, s 67 (1)</w:t>
      </w:r>
      <w:r>
        <w:t xml:space="preserve"> (c)(ii)</w:t>
      </w:r>
      <w:r w:rsidRPr="001776C9">
        <w:t>.</w:t>
      </w:r>
    </w:p>
  </w:footnote>
  <w:footnote w:id="16">
    <w:p w14:paraId="4E8FA987" w14:textId="325D48B2" w:rsidR="00CB3B53" w:rsidRPr="00CB3B53" w:rsidRDefault="00CB3B53">
      <w:pPr>
        <w:pStyle w:val="FootnoteText"/>
        <w:rPr>
          <w:lang w:val="en-GB"/>
        </w:rPr>
      </w:pPr>
      <w:r>
        <w:rPr>
          <w:rStyle w:val="FootnoteReference"/>
        </w:rPr>
        <w:footnoteRef/>
      </w:r>
      <w:r>
        <w:t xml:space="preserve"> </w:t>
      </w:r>
      <w:r w:rsidRPr="00CB3B53">
        <w:t>Insolvency, Restructuring and Dissolution Act 2018, s 67 (1)</w:t>
      </w:r>
      <w:r>
        <w:t>(c)</w:t>
      </w:r>
      <w:r w:rsidRPr="00CB3B53">
        <w:t>.</w:t>
      </w:r>
    </w:p>
  </w:footnote>
  <w:footnote w:id="17">
    <w:p w14:paraId="5091B449" w14:textId="3FBAA6DC" w:rsidR="0047052A" w:rsidRPr="0047052A" w:rsidRDefault="0047052A" w:rsidP="0047052A">
      <w:pPr>
        <w:pStyle w:val="FootnoteText"/>
        <w:rPr>
          <w:lang w:val="en-GB"/>
        </w:rPr>
      </w:pPr>
      <w:r>
        <w:rPr>
          <w:rStyle w:val="FootnoteReference"/>
        </w:rPr>
        <w:footnoteRef/>
      </w:r>
      <w:r>
        <w:t xml:space="preserve"> </w:t>
      </w:r>
      <w:r w:rsidRPr="009E7AFF">
        <w:t>Insolvency, Restructuring and Dissolution Act 2018, s 67</w:t>
      </w:r>
      <w:r>
        <w:t xml:space="preserve"> (1)</w:t>
      </w:r>
      <w:r>
        <w:t xml:space="preserve"> (d)</w:t>
      </w:r>
      <w:r w:rsidRPr="009E7AFF">
        <w:t>.</w:t>
      </w:r>
    </w:p>
  </w:footnote>
  <w:footnote w:id="18">
    <w:p w14:paraId="335E4A83" w14:textId="7ADC952D" w:rsidR="00CC75D2" w:rsidRPr="00CC75D2" w:rsidRDefault="00CC75D2">
      <w:pPr>
        <w:pStyle w:val="FootnoteText"/>
        <w:rPr>
          <w:lang w:val="en-GB"/>
        </w:rPr>
      </w:pPr>
      <w:r>
        <w:rPr>
          <w:rStyle w:val="FootnoteReference"/>
        </w:rPr>
        <w:footnoteRef/>
      </w:r>
      <w:r>
        <w:t xml:space="preserve"> </w:t>
      </w:r>
      <w:r w:rsidRPr="00CC75D2">
        <w:t>Insolvency, Restructuring and Dissolution Act 2018, s 67 (1).</w:t>
      </w:r>
    </w:p>
  </w:footnote>
  <w:footnote w:id="19">
    <w:p w14:paraId="635C66B8" w14:textId="7B53D129" w:rsidR="00881A8C" w:rsidRPr="00881A8C" w:rsidRDefault="00881A8C">
      <w:pPr>
        <w:pStyle w:val="FootnoteText"/>
      </w:pPr>
      <w:r>
        <w:rPr>
          <w:rStyle w:val="FootnoteReference"/>
        </w:rPr>
        <w:footnoteRef/>
      </w:r>
      <w:r>
        <w:t xml:space="preserve"> </w:t>
      </w:r>
      <w:r w:rsidRPr="00881A8C">
        <w:t>Insolvency, Restructuring and Dissolution Act 2018, s 67 (1)</w:t>
      </w:r>
      <w:r>
        <w:t>(d)(</w:t>
      </w:r>
      <w:proofErr w:type="spellStart"/>
      <w:r>
        <w:t>i</w:t>
      </w:r>
      <w:proofErr w:type="spellEnd"/>
      <w:r>
        <w:t>)</w:t>
      </w:r>
      <w:r w:rsidRPr="00881A8C">
        <w:t>.</w:t>
      </w:r>
    </w:p>
  </w:footnote>
  <w:footnote w:id="20">
    <w:p w14:paraId="714D7000" w14:textId="598C0ECC" w:rsidR="00F16333" w:rsidRPr="00F16333" w:rsidRDefault="00F16333">
      <w:pPr>
        <w:pStyle w:val="FootnoteText"/>
        <w:rPr>
          <w:lang w:val="en-GB"/>
        </w:rPr>
      </w:pPr>
      <w:r>
        <w:rPr>
          <w:rStyle w:val="FootnoteReference"/>
        </w:rPr>
        <w:footnoteRef/>
      </w:r>
      <w:r>
        <w:t xml:space="preserve"> </w:t>
      </w:r>
      <w:r w:rsidRPr="00F16333">
        <w:t>Insolvency, Restructuring and Dissolution Act 2018, s 67 (1)</w:t>
      </w:r>
      <w:r>
        <w:t xml:space="preserve"> (d)(ii)</w:t>
      </w:r>
      <w:r w:rsidRPr="00F16333">
        <w:t>.</w:t>
      </w:r>
    </w:p>
  </w:footnote>
  <w:footnote w:id="21">
    <w:p w14:paraId="2C1B10F1" w14:textId="27B6A7BD" w:rsidR="00055688" w:rsidRPr="00055688" w:rsidRDefault="00055688">
      <w:pPr>
        <w:pStyle w:val="FootnoteText"/>
        <w:rPr>
          <w:lang w:val="en-GB"/>
        </w:rPr>
      </w:pPr>
      <w:r>
        <w:rPr>
          <w:rStyle w:val="FootnoteReference"/>
        </w:rPr>
        <w:footnoteRef/>
      </w:r>
      <w:r w:rsidRPr="00055688">
        <w:t>Insolvency, Restructuring and Dissolution Act 2018</w:t>
      </w:r>
      <w:r>
        <w:t xml:space="preserve">, 239. </w:t>
      </w:r>
    </w:p>
  </w:footnote>
  <w:footnote w:id="22">
    <w:p w14:paraId="2DCBD6A0" w14:textId="384ECE6C" w:rsidR="00816A94" w:rsidRPr="00816A94" w:rsidRDefault="00816A94">
      <w:pPr>
        <w:pStyle w:val="FootnoteText"/>
        <w:rPr>
          <w:lang w:val="en-GB"/>
        </w:rPr>
      </w:pPr>
      <w:r>
        <w:rPr>
          <w:rStyle w:val="FootnoteReference"/>
        </w:rPr>
        <w:footnoteRef/>
      </w:r>
      <w:r w:rsidRPr="009E7AFF">
        <w:t>Insolvency, Restructuring and Dissolution Act 2018</w:t>
      </w:r>
      <w:r>
        <w:t>, 239</w:t>
      </w:r>
      <w:r w:rsidR="005F33F9">
        <w:t>(1).</w:t>
      </w:r>
    </w:p>
  </w:footnote>
  <w:footnote w:id="23">
    <w:p w14:paraId="4A32FD6A" w14:textId="2E39B868" w:rsidR="001F0649" w:rsidRPr="001F0649" w:rsidRDefault="001F0649" w:rsidP="001F0649">
      <w:pPr>
        <w:pStyle w:val="FootnoteText"/>
        <w:rPr>
          <w:lang w:val="en-GB"/>
        </w:rPr>
      </w:pPr>
      <w:r>
        <w:rPr>
          <w:rStyle w:val="FootnoteReference"/>
        </w:rPr>
        <w:footnoteRef/>
      </w:r>
      <w:r w:rsidRPr="009E7AFF">
        <w:t>Insolvency, Restructuring and Dissolution Act 2018</w:t>
      </w:r>
      <w:r>
        <w:t xml:space="preserve">, s </w:t>
      </w:r>
      <w:r w:rsidR="007603B7">
        <w:t>239(1).</w:t>
      </w:r>
    </w:p>
  </w:footnote>
  <w:footnote w:id="24">
    <w:p w14:paraId="77639898" w14:textId="48B6D3D3" w:rsidR="00254D70" w:rsidRPr="00254D70" w:rsidRDefault="00254D70">
      <w:pPr>
        <w:pStyle w:val="FootnoteText"/>
        <w:rPr>
          <w:lang w:val="en-GB"/>
        </w:rPr>
      </w:pPr>
      <w:r>
        <w:rPr>
          <w:rStyle w:val="FootnoteReference"/>
        </w:rPr>
        <w:footnoteRef/>
      </w:r>
      <w:r>
        <w:t xml:space="preserve"> </w:t>
      </w:r>
      <w:r w:rsidRPr="00254D70">
        <w:t>Insolvency, Restructuring and Dissolution Act 2018</w:t>
      </w:r>
      <w:r>
        <w:t>, s 239(1)(</w:t>
      </w:r>
      <w:r w:rsidR="003F0CF5">
        <w:t>b).</w:t>
      </w:r>
    </w:p>
  </w:footnote>
  <w:footnote w:id="25">
    <w:p w14:paraId="3C00486C" w14:textId="329EEA97" w:rsidR="00846D6D" w:rsidRPr="00846D6D" w:rsidRDefault="00846D6D">
      <w:pPr>
        <w:pStyle w:val="FootnoteText"/>
        <w:rPr>
          <w:lang w:val="en-GB"/>
        </w:rPr>
      </w:pPr>
      <w:r>
        <w:rPr>
          <w:rStyle w:val="FootnoteReference"/>
        </w:rPr>
        <w:footnoteRef/>
      </w:r>
      <w:r>
        <w:t xml:space="preserve"> </w:t>
      </w:r>
      <w:r w:rsidR="008E4753" w:rsidRPr="008E4753">
        <w:t>Insolvency, Restructuring and Dissolution Act 2018</w:t>
      </w:r>
      <w:r w:rsidR="008E4753">
        <w:t>, s 239 (1)</w:t>
      </w:r>
      <w:r w:rsidR="00590B1E">
        <w:t>.</w:t>
      </w:r>
    </w:p>
  </w:footnote>
  <w:footnote w:id="26">
    <w:p w14:paraId="120601A2" w14:textId="7C63929A" w:rsidR="008A19A3" w:rsidRPr="008A19A3" w:rsidRDefault="008A19A3">
      <w:pPr>
        <w:pStyle w:val="FootnoteText"/>
        <w:rPr>
          <w:lang w:val="en-GB"/>
        </w:rPr>
      </w:pPr>
      <w:r>
        <w:rPr>
          <w:rStyle w:val="FootnoteReference"/>
        </w:rPr>
        <w:footnoteRef/>
      </w:r>
      <w:r>
        <w:t xml:space="preserve"> </w:t>
      </w:r>
      <w:bookmarkStart w:id="3" w:name="_Hlk141261872"/>
      <w:r w:rsidRPr="008A19A3">
        <w:t>Insolvency, Restructuring and Dissolution Act 2018</w:t>
      </w:r>
      <w:bookmarkEnd w:id="3"/>
      <w:r>
        <w:t>. 239(2).</w:t>
      </w:r>
    </w:p>
  </w:footnote>
  <w:footnote w:id="27">
    <w:p w14:paraId="7714B287" w14:textId="7A6D9D02" w:rsidR="00CD1C29" w:rsidRPr="00CD1C29" w:rsidRDefault="00CD1C29">
      <w:pPr>
        <w:pStyle w:val="FootnoteText"/>
        <w:rPr>
          <w:lang w:val="en-GB"/>
        </w:rPr>
      </w:pPr>
      <w:r>
        <w:rPr>
          <w:rStyle w:val="FootnoteReference"/>
        </w:rPr>
        <w:footnoteRef/>
      </w:r>
      <w:r>
        <w:t xml:space="preserve"> </w:t>
      </w:r>
      <w:r w:rsidR="0057543F" w:rsidRPr="0057543F">
        <w:t>Insolvency, Restructuring and Dissolution Act 2018</w:t>
      </w:r>
      <w:r w:rsidR="0057543F">
        <w:t>. 239 (</w:t>
      </w:r>
      <w:r w:rsidR="00165F2C">
        <w:t>1) and (3).</w:t>
      </w:r>
    </w:p>
  </w:footnote>
  <w:footnote w:id="28">
    <w:p w14:paraId="72D72728" w14:textId="1C323CA1" w:rsidR="0002347A" w:rsidRPr="0002347A" w:rsidRDefault="0002347A">
      <w:pPr>
        <w:pStyle w:val="FootnoteText"/>
      </w:pPr>
      <w:r>
        <w:rPr>
          <w:rStyle w:val="FootnoteReference"/>
        </w:rPr>
        <w:footnoteRef/>
      </w:r>
      <w:r>
        <w:t xml:space="preserve"> </w:t>
      </w:r>
      <w:r w:rsidRPr="0002347A">
        <w:t>Insolvency, Restructuring and Dissolution Act 2018</w:t>
      </w:r>
      <w:r>
        <w:t xml:space="preserve">, s </w:t>
      </w:r>
      <w:r w:rsidR="00FD34B6">
        <w:t>64(1)</w:t>
      </w:r>
    </w:p>
  </w:footnote>
  <w:footnote w:id="29">
    <w:p w14:paraId="4A60F26F" w14:textId="4F5FB67E" w:rsidR="00F579BF" w:rsidRPr="00F579BF" w:rsidRDefault="00F579BF">
      <w:pPr>
        <w:pStyle w:val="FootnoteText"/>
      </w:pPr>
      <w:r>
        <w:rPr>
          <w:rStyle w:val="FootnoteReference"/>
        </w:rPr>
        <w:footnoteRef/>
      </w:r>
      <w:r>
        <w:t xml:space="preserve"> </w:t>
      </w:r>
      <w:r w:rsidRPr="008A19A3">
        <w:t>Insolvency, Restructuring and Dissolution Act 2018</w:t>
      </w:r>
      <w:r>
        <w:t>, s 94(1)</w:t>
      </w:r>
    </w:p>
  </w:footnote>
  <w:footnote w:id="30">
    <w:p w14:paraId="6E625F07" w14:textId="7B8A62E4" w:rsidR="00CD66F3" w:rsidRPr="00CD66F3" w:rsidRDefault="00CD66F3">
      <w:pPr>
        <w:pStyle w:val="FootnoteText"/>
      </w:pPr>
      <w:r>
        <w:rPr>
          <w:rStyle w:val="FootnoteReference"/>
        </w:rPr>
        <w:footnoteRef/>
      </w:r>
      <w:r>
        <w:t xml:space="preserve"> </w:t>
      </w:r>
      <w:r w:rsidR="00E87BD3" w:rsidRPr="008A19A3">
        <w:t>Insolvency, Restructuring and Dissolution Act 2018</w:t>
      </w:r>
      <w:r w:rsidR="00E87BD3">
        <w:t>, s</w:t>
      </w:r>
      <w:r w:rsidR="00C40116">
        <w:t xml:space="preserve"> </w:t>
      </w:r>
      <w:r w:rsidR="00E87BD3">
        <w:t>94</w:t>
      </w:r>
      <w:r w:rsidR="00C40116">
        <w:t>.</w:t>
      </w:r>
    </w:p>
  </w:footnote>
  <w:footnote w:id="31">
    <w:p w14:paraId="4B0EF7DA" w14:textId="23E33DC4" w:rsidR="009E6273" w:rsidRPr="009E6273" w:rsidRDefault="009E6273">
      <w:pPr>
        <w:pStyle w:val="FootnoteText"/>
        <w:rPr>
          <w:lang w:val="en-GB"/>
        </w:rPr>
      </w:pPr>
      <w:r>
        <w:rPr>
          <w:rStyle w:val="FootnoteReference"/>
        </w:rPr>
        <w:footnoteRef/>
      </w:r>
      <w:r>
        <w:t xml:space="preserve"> </w:t>
      </w:r>
      <w:r w:rsidRPr="008A19A3">
        <w:t>Insolvency, Restructuring and Dissolution Act 2018</w:t>
      </w:r>
      <w:r>
        <w:t>, 64(1).</w:t>
      </w:r>
    </w:p>
  </w:footnote>
  <w:footnote w:id="32">
    <w:p w14:paraId="5D79852A" w14:textId="18EDBC32" w:rsidR="00E522CB" w:rsidRPr="00E522CB" w:rsidRDefault="00E522CB">
      <w:pPr>
        <w:pStyle w:val="FootnoteText"/>
        <w:rPr>
          <w:lang w:val="en-GB"/>
        </w:rPr>
      </w:pPr>
      <w:r>
        <w:rPr>
          <w:rStyle w:val="FootnoteReference"/>
        </w:rPr>
        <w:footnoteRef/>
      </w:r>
      <w:r>
        <w:t xml:space="preserve"> </w:t>
      </w:r>
      <w:r w:rsidR="00E13328" w:rsidRPr="008A19A3">
        <w:t>Insolvency, Restructuring and Dissolution Act 2018</w:t>
      </w:r>
      <w:r w:rsidR="00E13328">
        <w:t>, 94.</w:t>
      </w:r>
    </w:p>
  </w:footnote>
  <w:footnote w:id="33">
    <w:p w14:paraId="7948DE4D" w14:textId="58DEF98C" w:rsidR="006706A9" w:rsidRPr="006706A9" w:rsidRDefault="006706A9">
      <w:pPr>
        <w:pStyle w:val="FootnoteText"/>
        <w:rPr>
          <w:lang w:val="en-GB"/>
        </w:rPr>
      </w:pPr>
      <w:r>
        <w:rPr>
          <w:rStyle w:val="FootnoteReference"/>
        </w:rPr>
        <w:footnoteRef/>
      </w:r>
      <w:r>
        <w:t xml:space="preserve"> </w:t>
      </w:r>
      <w:r w:rsidRPr="008A19A3">
        <w:t>Insolvency, Restructuring and Dissolution Act 2018</w:t>
      </w:r>
      <w:r>
        <w:t>, s 94.</w:t>
      </w:r>
    </w:p>
  </w:footnote>
  <w:footnote w:id="34">
    <w:p w14:paraId="7DE54E71" w14:textId="3324D82A" w:rsidR="000024BC" w:rsidRPr="000024BC" w:rsidRDefault="000024BC">
      <w:pPr>
        <w:pStyle w:val="FootnoteText"/>
        <w:rPr>
          <w:lang w:val="en-GB"/>
        </w:rPr>
      </w:pPr>
      <w:r>
        <w:rPr>
          <w:rStyle w:val="FootnoteReference"/>
        </w:rPr>
        <w:footnoteRef/>
      </w:r>
      <w:r>
        <w:t xml:space="preserve"> </w:t>
      </w:r>
      <w:r w:rsidR="00211DCA" w:rsidRPr="008A19A3">
        <w:t>Insolvency, Restructuring and Dissolution Act 2018</w:t>
      </w:r>
      <w:r w:rsidR="00211DCA">
        <w:t>, s 94(1).</w:t>
      </w:r>
    </w:p>
  </w:footnote>
  <w:footnote w:id="35">
    <w:p w14:paraId="7CE3129A" w14:textId="467E6DA2" w:rsidR="00B43836" w:rsidRPr="00B43836" w:rsidRDefault="00B43836">
      <w:pPr>
        <w:pStyle w:val="FootnoteText"/>
        <w:rPr>
          <w:lang w:val="en-GB"/>
        </w:rPr>
      </w:pPr>
      <w:r>
        <w:rPr>
          <w:rStyle w:val="FootnoteReference"/>
        </w:rPr>
        <w:footnoteRef/>
      </w:r>
      <w:r>
        <w:t xml:space="preserve"> </w:t>
      </w:r>
      <w:r w:rsidR="001C2851" w:rsidRPr="001C2851">
        <w:t>Insolvency, Restructuring and Dissolution Act 2018</w:t>
      </w:r>
      <w:r w:rsidR="001C2851">
        <w:t>, s 64 (3).</w:t>
      </w:r>
    </w:p>
  </w:footnote>
  <w:footnote w:id="36">
    <w:p w14:paraId="3A841E11" w14:textId="19F8EC85" w:rsidR="00D51DFC" w:rsidRPr="00D51DFC" w:rsidRDefault="00D51DFC">
      <w:pPr>
        <w:pStyle w:val="FootnoteText"/>
        <w:rPr>
          <w:lang w:val="en-GB"/>
        </w:rPr>
      </w:pPr>
      <w:r>
        <w:rPr>
          <w:rStyle w:val="FootnoteReference"/>
        </w:rPr>
        <w:footnoteRef/>
      </w:r>
      <w:r>
        <w:t xml:space="preserve"> </w:t>
      </w:r>
      <w:r w:rsidRPr="008A19A3">
        <w:t>Insolvency, Restructuring and Dissolution Act 2018</w:t>
      </w:r>
      <w:r w:rsidR="008B48F3">
        <w:t>, s 91.</w:t>
      </w:r>
    </w:p>
  </w:footnote>
  <w:footnote w:id="37">
    <w:p w14:paraId="53F15A9A" w14:textId="3A20F3B2" w:rsidR="00EB48F0" w:rsidRPr="00EB48F0" w:rsidRDefault="00EB48F0">
      <w:pPr>
        <w:pStyle w:val="FootnoteText"/>
        <w:rPr>
          <w:lang w:val="en-GB"/>
        </w:rPr>
      </w:pPr>
      <w:r>
        <w:rPr>
          <w:rStyle w:val="FootnoteReference"/>
        </w:rPr>
        <w:footnoteRef/>
      </w:r>
      <w:r>
        <w:t xml:space="preserve"> </w:t>
      </w:r>
      <w:r w:rsidR="00222F8F" w:rsidRPr="00222F8F">
        <w:t xml:space="preserve">Insolvency, Restructuring and Dissolution Act 2018, s </w:t>
      </w:r>
      <w:r w:rsidR="00222F8F">
        <w:t>88.</w:t>
      </w:r>
    </w:p>
  </w:footnote>
  <w:footnote w:id="38">
    <w:p w14:paraId="1EBA9524" w14:textId="747DDA2D" w:rsidR="007F0165" w:rsidRPr="007F0165" w:rsidRDefault="007F0165">
      <w:pPr>
        <w:pStyle w:val="FootnoteText"/>
        <w:rPr>
          <w:lang w:val="en-GB"/>
        </w:rPr>
      </w:pPr>
      <w:r>
        <w:rPr>
          <w:rStyle w:val="FootnoteReference"/>
        </w:rPr>
        <w:footnoteRef/>
      </w:r>
      <w:r>
        <w:t xml:space="preserve"> </w:t>
      </w:r>
      <w:r w:rsidRPr="008A19A3">
        <w:t>Insolvency, Restructuring and Dissolution Act 2018</w:t>
      </w:r>
      <w:r>
        <w:t xml:space="preserve">, s </w:t>
      </w:r>
      <w:r>
        <w:t>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164"/>
    <w:multiLevelType w:val="hybridMultilevel"/>
    <w:tmpl w:val="3D4C03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CEB77B3"/>
    <w:multiLevelType w:val="hybridMultilevel"/>
    <w:tmpl w:val="C860AF28"/>
    <w:lvl w:ilvl="0" w:tplc="C85E45C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10D5B"/>
    <w:multiLevelType w:val="hybridMultilevel"/>
    <w:tmpl w:val="740C9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86D86"/>
    <w:multiLevelType w:val="hybridMultilevel"/>
    <w:tmpl w:val="5DCA8C3C"/>
    <w:lvl w:ilvl="0" w:tplc="131A0A3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651782956">
    <w:abstractNumId w:val="2"/>
  </w:num>
  <w:num w:numId="2" w16cid:durableId="1217621285">
    <w:abstractNumId w:val="7"/>
  </w:num>
  <w:num w:numId="3" w16cid:durableId="666637397">
    <w:abstractNumId w:val="21"/>
  </w:num>
  <w:num w:numId="4" w16cid:durableId="1657612196">
    <w:abstractNumId w:val="3"/>
  </w:num>
  <w:num w:numId="5" w16cid:durableId="2025356126">
    <w:abstractNumId w:val="19"/>
  </w:num>
  <w:num w:numId="6" w16cid:durableId="1883789817">
    <w:abstractNumId w:val="20"/>
  </w:num>
  <w:num w:numId="7" w16cid:durableId="810175229">
    <w:abstractNumId w:val="5"/>
  </w:num>
  <w:num w:numId="8" w16cid:durableId="1924950042">
    <w:abstractNumId w:val="18"/>
  </w:num>
  <w:num w:numId="9" w16cid:durableId="1659840332">
    <w:abstractNumId w:val="8"/>
  </w:num>
  <w:num w:numId="10" w16cid:durableId="542639890">
    <w:abstractNumId w:val="11"/>
  </w:num>
  <w:num w:numId="11" w16cid:durableId="948122277">
    <w:abstractNumId w:val="1"/>
  </w:num>
  <w:num w:numId="12" w16cid:durableId="1577009662">
    <w:abstractNumId w:val="12"/>
  </w:num>
  <w:num w:numId="13" w16cid:durableId="854615312">
    <w:abstractNumId w:val="6"/>
  </w:num>
  <w:num w:numId="14" w16cid:durableId="1120219279">
    <w:abstractNumId w:val="15"/>
  </w:num>
  <w:num w:numId="15" w16cid:durableId="1148091639">
    <w:abstractNumId w:val="13"/>
  </w:num>
  <w:num w:numId="16" w16cid:durableId="785854501">
    <w:abstractNumId w:val="14"/>
  </w:num>
  <w:num w:numId="17" w16cid:durableId="901983859">
    <w:abstractNumId w:val="17"/>
  </w:num>
  <w:num w:numId="18" w16cid:durableId="530730380">
    <w:abstractNumId w:val="16"/>
  </w:num>
  <w:num w:numId="19" w16cid:durableId="1126779155">
    <w:abstractNumId w:val="0"/>
  </w:num>
  <w:num w:numId="20" w16cid:durableId="1247809511">
    <w:abstractNumId w:val="9"/>
  </w:num>
  <w:num w:numId="21" w16cid:durableId="2047828130">
    <w:abstractNumId w:val="4"/>
  </w:num>
  <w:num w:numId="22" w16cid:durableId="74187398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2MDEzMzE2MjU1MTEyUdpeDU4uLM/DyQAqNaACissJQsAAAA"/>
  </w:docVars>
  <w:rsids>
    <w:rsidRoot w:val="00045088"/>
    <w:rsid w:val="000024BC"/>
    <w:rsid w:val="00003B15"/>
    <w:rsid w:val="00006371"/>
    <w:rsid w:val="000071A3"/>
    <w:rsid w:val="00007BF3"/>
    <w:rsid w:val="00007C38"/>
    <w:rsid w:val="00007C6D"/>
    <w:rsid w:val="000101F5"/>
    <w:rsid w:val="0001050B"/>
    <w:rsid w:val="00010BA0"/>
    <w:rsid w:val="00016847"/>
    <w:rsid w:val="00017A75"/>
    <w:rsid w:val="00017BE8"/>
    <w:rsid w:val="00017E7C"/>
    <w:rsid w:val="00017FCC"/>
    <w:rsid w:val="00020557"/>
    <w:rsid w:val="00021FC2"/>
    <w:rsid w:val="00022F57"/>
    <w:rsid w:val="0002347A"/>
    <w:rsid w:val="00023F85"/>
    <w:rsid w:val="000250C7"/>
    <w:rsid w:val="00025377"/>
    <w:rsid w:val="00025846"/>
    <w:rsid w:val="00025872"/>
    <w:rsid w:val="00026591"/>
    <w:rsid w:val="00026897"/>
    <w:rsid w:val="00026F16"/>
    <w:rsid w:val="00027800"/>
    <w:rsid w:val="00031603"/>
    <w:rsid w:val="000329AF"/>
    <w:rsid w:val="00034156"/>
    <w:rsid w:val="000358E5"/>
    <w:rsid w:val="000373FB"/>
    <w:rsid w:val="00037621"/>
    <w:rsid w:val="000400B5"/>
    <w:rsid w:val="00042D6A"/>
    <w:rsid w:val="00043022"/>
    <w:rsid w:val="0004323A"/>
    <w:rsid w:val="0004367D"/>
    <w:rsid w:val="00043A71"/>
    <w:rsid w:val="00044663"/>
    <w:rsid w:val="000446FF"/>
    <w:rsid w:val="00044D46"/>
    <w:rsid w:val="00045088"/>
    <w:rsid w:val="00045904"/>
    <w:rsid w:val="00045B31"/>
    <w:rsid w:val="00046AA0"/>
    <w:rsid w:val="000502FD"/>
    <w:rsid w:val="000531FC"/>
    <w:rsid w:val="00053A36"/>
    <w:rsid w:val="000543A7"/>
    <w:rsid w:val="000548DC"/>
    <w:rsid w:val="00055688"/>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6E43"/>
    <w:rsid w:val="000A7438"/>
    <w:rsid w:val="000B1E92"/>
    <w:rsid w:val="000B5074"/>
    <w:rsid w:val="000B5FF1"/>
    <w:rsid w:val="000B609F"/>
    <w:rsid w:val="000C04F2"/>
    <w:rsid w:val="000C095C"/>
    <w:rsid w:val="000C2244"/>
    <w:rsid w:val="000D41AB"/>
    <w:rsid w:val="000D55A8"/>
    <w:rsid w:val="000D5AD9"/>
    <w:rsid w:val="000D6327"/>
    <w:rsid w:val="000D6339"/>
    <w:rsid w:val="000D65DB"/>
    <w:rsid w:val="000D6963"/>
    <w:rsid w:val="000D6DAA"/>
    <w:rsid w:val="000E0840"/>
    <w:rsid w:val="000E13F7"/>
    <w:rsid w:val="000E19E0"/>
    <w:rsid w:val="000E2A9A"/>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20E"/>
    <w:rsid w:val="0012495C"/>
    <w:rsid w:val="00124EAE"/>
    <w:rsid w:val="00126942"/>
    <w:rsid w:val="00126A4D"/>
    <w:rsid w:val="00127195"/>
    <w:rsid w:val="00127E45"/>
    <w:rsid w:val="00130813"/>
    <w:rsid w:val="0013180D"/>
    <w:rsid w:val="00133799"/>
    <w:rsid w:val="00133976"/>
    <w:rsid w:val="00134E0D"/>
    <w:rsid w:val="00136839"/>
    <w:rsid w:val="001369EC"/>
    <w:rsid w:val="0013760D"/>
    <w:rsid w:val="0014171F"/>
    <w:rsid w:val="001426A0"/>
    <w:rsid w:val="00142D84"/>
    <w:rsid w:val="001433DC"/>
    <w:rsid w:val="001449AD"/>
    <w:rsid w:val="00144E3F"/>
    <w:rsid w:val="0014622C"/>
    <w:rsid w:val="0015020C"/>
    <w:rsid w:val="00151C0A"/>
    <w:rsid w:val="00152128"/>
    <w:rsid w:val="00152348"/>
    <w:rsid w:val="001525C8"/>
    <w:rsid w:val="00153089"/>
    <w:rsid w:val="0015456D"/>
    <w:rsid w:val="00154A75"/>
    <w:rsid w:val="00154E53"/>
    <w:rsid w:val="00155429"/>
    <w:rsid w:val="00155FA2"/>
    <w:rsid w:val="0015630F"/>
    <w:rsid w:val="00157544"/>
    <w:rsid w:val="00161F1B"/>
    <w:rsid w:val="00162829"/>
    <w:rsid w:val="001652A7"/>
    <w:rsid w:val="00165CA4"/>
    <w:rsid w:val="00165F2C"/>
    <w:rsid w:val="00170E0A"/>
    <w:rsid w:val="00171014"/>
    <w:rsid w:val="0017173B"/>
    <w:rsid w:val="0017226F"/>
    <w:rsid w:val="00173A3F"/>
    <w:rsid w:val="001749C3"/>
    <w:rsid w:val="001754D3"/>
    <w:rsid w:val="001776C9"/>
    <w:rsid w:val="00180548"/>
    <w:rsid w:val="00180AC4"/>
    <w:rsid w:val="00180CCE"/>
    <w:rsid w:val="0018267A"/>
    <w:rsid w:val="00182779"/>
    <w:rsid w:val="001830DF"/>
    <w:rsid w:val="00183EC4"/>
    <w:rsid w:val="001840F5"/>
    <w:rsid w:val="0018452A"/>
    <w:rsid w:val="00186035"/>
    <w:rsid w:val="0018605C"/>
    <w:rsid w:val="001861E9"/>
    <w:rsid w:val="00186F3A"/>
    <w:rsid w:val="001908EB"/>
    <w:rsid w:val="00190CF7"/>
    <w:rsid w:val="00191387"/>
    <w:rsid w:val="00195644"/>
    <w:rsid w:val="001966D9"/>
    <w:rsid w:val="001A007A"/>
    <w:rsid w:val="001A01CD"/>
    <w:rsid w:val="001A02F7"/>
    <w:rsid w:val="001A0ABE"/>
    <w:rsid w:val="001A2205"/>
    <w:rsid w:val="001A2441"/>
    <w:rsid w:val="001A27E8"/>
    <w:rsid w:val="001A512B"/>
    <w:rsid w:val="001A7E9A"/>
    <w:rsid w:val="001B05E1"/>
    <w:rsid w:val="001B0F70"/>
    <w:rsid w:val="001B165B"/>
    <w:rsid w:val="001B3956"/>
    <w:rsid w:val="001B3AEE"/>
    <w:rsid w:val="001B460F"/>
    <w:rsid w:val="001B462C"/>
    <w:rsid w:val="001B5016"/>
    <w:rsid w:val="001B51D5"/>
    <w:rsid w:val="001B5D64"/>
    <w:rsid w:val="001B5DC2"/>
    <w:rsid w:val="001C04CD"/>
    <w:rsid w:val="001C1FE0"/>
    <w:rsid w:val="001C2851"/>
    <w:rsid w:val="001C2AC2"/>
    <w:rsid w:val="001C45FC"/>
    <w:rsid w:val="001D0469"/>
    <w:rsid w:val="001D29C0"/>
    <w:rsid w:val="001D4862"/>
    <w:rsid w:val="001D4BA3"/>
    <w:rsid w:val="001D4CF9"/>
    <w:rsid w:val="001D54FB"/>
    <w:rsid w:val="001D572A"/>
    <w:rsid w:val="001D72DE"/>
    <w:rsid w:val="001D780C"/>
    <w:rsid w:val="001E087D"/>
    <w:rsid w:val="001E1429"/>
    <w:rsid w:val="001E25B9"/>
    <w:rsid w:val="001E49B0"/>
    <w:rsid w:val="001E49E0"/>
    <w:rsid w:val="001E5421"/>
    <w:rsid w:val="001E748A"/>
    <w:rsid w:val="001E7B5A"/>
    <w:rsid w:val="001F0649"/>
    <w:rsid w:val="001F2899"/>
    <w:rsid w:val="001F52A0"/>
    <w:rsid w:val="001F7412"/>
    <w:rsid w:val="001F7FCF"/>
    <w:rsid w:val="0020090A"/>
    <w:rsid w:val="00201840"/>
    <w:rsid w:val="00202DFE"/>
    <w:rsid w:val="0020537C"/>
    <w:rsid w:val="00205D5C"/>
    <w:rsid w:val="00206D5D"/>
    <w:rsid w:val="0020725B"/>
    <w:rsid w:val="00207C3D"/>
    <w:rsid w:val="002110F1"/>
    <w:rsid w:val="00211DCA"/>
    <w:rsid w:val="0021208C"/>
    <w:rsid w:val="00212592"/>
    <w:rsid w:val="0021356C"/>
    <w:rsid w:val="0021407D"/>
    <w:rsid w:val="002163E8"/>
    <w:rsid w:val="0022116B"/>
    <w:rsid w:val="00221D20"/>
    <w:rsid w:val="0022249A"/>
    <w:rsid w:val="00222D4F"/>
    <w:rsid w:val="00222F8F"/>
    <w:rsid w:val="0022359C"/>
    <w:rsid w:val="002243DE"/>
    <w:rsid w:val="00225661"/>
    <w:rsid w:val="00225CF1"/>
    <w:rsid w:val="00226CB6"/>
    <w:rsid w:val="00227B16"/>
    <w:rsid w:val="00230812"/>
    <w:rsid w:val="00231FB2"/>
    <w:rsid w:val="00233B19"/>
    <w:rsid w:val="002356EA"/>
    <w:rsid w:val="00235A0F"/>
    <w:rsid w:val="002373A3"/>
    <w:rsid w:val="00237777"/>
    <w:rsid w:val="00240B2E"/>
    <w:rsid w:val="00240C87"/>
    <w:rsid w:val="0024116D"/>
    <w:rsid w:val="00241B44"/>
    <w:rsid w:val="00241FA3"/>
    <w:rsid w:val="00243F7B"/>
    <w:rsid w:val="00244911"/>
    <w:rsid w:val="00245EFB"/>
    <w:rsid w:val="00246F07"/>
    <w:rsid w:val="002476C0"/>
    <w:rsid w:val="00250DC9"/>
    <w:rsid w:val="002516D6"/>
    <w:rsid w:val="00251E6D"/>
    <w:rsid w:val="0025208A"/>
    <w:rsid w:val="00252CDB"/>
    <w:rsid w:val="0025386E"/>
    <w:rsid w:val="00254D70"/>
    <w:rsid w:val="00254E10"/>
    <w:rsid w:val="00256E1E"/>
    <w:rsid w:val="002638B0"/>
    <w:rsid w:val="00263D03"/>
    <w:rsid w:val="00265AA0"/>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B3A"/>
    <w:rsid w:val="00293C84"/>
    <w:rsid w:val="002942A6"/>
    <w:rsid w:val="0029433F"/>
    <w:rsid w:val="00294829"/>
    <w:rsid w:val="00295646"/>
    <w:rsid w:val="0029690F"/>
    <w:rsid w:val="00297C8A"/>
    <w:rsid w:val="002A29B0"/>
    <w:rsid w:val="002A29D9"/>
    <w:rsid w:val="002A2A60"/>
    <w:rsid w:val="002A37BB"/>
    <w:rsid w:val="002A3B3B"/>
    <w:rsid w:val="002A6E48"/>
    <w:rsid w:val="002B1C45"/>
    <w:rsid w:val="002B1F24"/>
    <w:rsid w:val="002B2202"/>
    <w:rsid w:val="002B5711"/>
    <w:rsid w:val="002B6E91"/>
    <w:rsid w:val="002B725E"/>
    <w:rsid w:val="002B7D6B"/>
    <w:rsid w:val="002C0DAA"/>
    <w:rsid w:val="002C13C8"/>
    <w:rsid w:val="002C1EC5"/>
    <w:rsid w:val="002C2B46"/>
    <w:rsid w:val="002C2C91"/>
    <w:rsid w:val="002C2FDA"/>
    <w:rsid w:val="002C2FF6"/>
    <w:rsid w:val="002C3547"/>
    <w:rsid w:val="002C47C0"/>
    <w:rsid w:val="002C59FA"/>
    <w:rsid w:val="002C5EF6"/>
    <w:rsid w:val="002C673E"/>
    <w:rsid w:val="002C69B4"/>
    <w:rsid w:val="002D0021"/>
    <w:rsid w:val="002D1232"/>
    <w:rsid w:val="002D299D"/>
    <w:rsid w:val="002D3473"/>
    <w:rsid w:val="002D427E"/>
    <w:rsid w:val="002D4943"/>
    <w:rsid w:val="002E00E5"/>
    <w:rsid w:val="002E1940"/>
    <w:rsid w:val="002E1A20"/>
    <w:rsid w:val="002E3CEB"/>
    <w:rsid w:val="002F0882"/>
    <w:rsid w:val="002F1956"/>
    <w:rsid w:val="002F2BEC"/>
    <w:rsid w:val="002F3440"/>
    <w:rsid w:val="002F46C8"/>
    <w:rsid w:val="002F75A3"/>
    <w:rsid w:val="002F7711"/>
    <w:rsid w:val="00300D46"/>
    <w:rsid w:val="00303C2F"/>
    <w:rsid w:val="00305E53"/>
    <w:rsid w:val="003067CD"/>
    <w:rsid w:val="00307C79"/>
    <w:rsid w:val="00307D85"/>
    <w:rsid w:val="00310CD9"/>
    <w:rsid w:val="003114BD"/>
    <w:rsid w:val="003144EF"/>
    <w:rsid w:val="00315123"/>
    <w:rsid w:val="00317843"/>
    <w:rsid w:val="00320DBF"/>
    <w:rsid w:val="00323960"/>
    <w:rsid w:val="00326292"/>
    <w:rsid w:val="0032636F"/>
    <w:rsid w:val="00326415"/>
    <w:rsid w:val="0032762C"/>
    <w:rsid w:val="00330937"/>
    <w:rsid w:val="00330F31"/>
    <w:rsid w:val="003323A9"/>
    <w:rsid w:val="00332D5B"/>
    <w:rsid w:val="00334648"/>
    <w:rsid w:val="00335B16"/>
    <w:rsid w:val="00335B33"/>
    <w:rsid w:val="0033768C"/>
    <w:rsid w:val="00337938"/>
    <w:rsid w:val="0034062C"/>
    <w:rsid w:val="00340769"/>
    <w:rsid w:val="00341AA6"/>
    <w:rsid w:val="00341D54"/>
    <w:rsid w:val="003424C1"/>
    <w:rsid w:val="00343150"/>
    <w:rsid w:val="00343808"/>
    <w:rsid w:val="00346586"/>
    <w:rsid w:val="00350EC6"/>
    <w:rsid w:val="00351246"/>
    <w:rsid w:val="0035510A"/>
    <w:rsid w:val="00361A0A"/>
    <w:rsid w:val="0036358E"/>
    <w:rsid w:val="00364369"/>
    <w:rsid w:val="0036458E"/>
    <w:rsid w:val="00364836"/>
    <w:rsid w:val="0036565C"/>
    <w:rsid w:val="0036625E"/>
    <w:rsid w:val="00366ACE"/>
    <w:rsid w:val="00366BC5"/>
    <w:rsid w:val="003703F4"/>
    <w:rsid w:val="00370631"/>
    <w:rsid w:val="00370844"/>
    <w:rsid w:val="00370BDA"/>
    <w:rsid w:val="003726E3"/>
    <w:rsid w:val="00374207"/>
    <w:rsid w:val="003744C8"/>
    <w:rsid w:val="0037465A"/>
    <w:rsid w:val="003757F3"/>
    <w:rsid w:val="0037646D"/>
    <w:rsid w:val="00376639"/>
    <w:rsid w:val="00376CEC"/>
    <w:rsid w:val="003777BF"/>
    <w:rsid w:val="003804AE"/>
    <w:rsid w:val="00381819"/>
    <w:rsid w:val="00381BA3"/>
    <w:rsid w:val="00382A26"/>
    <w:rsid w:val="00382C98"/>
    <w:rsid w:val="0038533C"/>
    <w:rsid w:val="003859F1"/>
    <w:rsid w:val="00385BC5"/>
    <w:rsid w:val="00386568"/>
    <w:rsid w:val="003908E2"/>
    <w:rsid w:val="00390B57"/>
    <w:rsid w:val="00392191"/>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25EB"/>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2724"/>
    <w:rsid w:val="003E30E5"/>
    <w:rsid w:val="003E39B5"/>
    <w:rsid w:val="003E4BD4"/>
    <w:rsid w:val="003E67D1"/>
    <w:rsid w:val="003E7313"/>
    <w:rsid w:val="003E76D8"/>
    <w:rsid w:val="003F0213"/>
    <w:rsid w:val="003F06D9"/>
    <w:rsid w:val="003F0CF5"/>
    <w:rsid w:val="003F14A7"/>
    <w:rsid w:val="003F3F38"/>
    <w:rsid w:val="003F56C3"/>
    <w:rsid w:val="003F5D38"/>
    <w:rsid w:val="00400615"/>
    <w:rsid w:val="0040332F"/>
    <w:rsid w:val="00404329"/>
    <w:rsid w:val="00405A10"/>
    <w:rsid w:val="00405DC1"/>
    <w:rsid w:val="004065DA"/>
    <w:rsid w:val="0040696E"/>
    <w:rsid w:val="0041085C"/>
    <w:rsid w:val="00415F1F"/>
    <w:rsid w:val="00416EDA"/>
    <w:rsid w:val="00416FEB"/>
    <w:rsid w:val="0042108F"/>
    <w:rsid w:val="00424DFC"/>
    <w:rsid w:val="00425377"/>
    <w:rsid w:val="004264D0"/>
    <w:rsid w:val="0042691D"/>
    <w:rsid w:val="004275B2"/>
    <w:rsid w:val="00430FED"/>
    <w:rsid w:val="00431F31"/>
    <w:rsid w:val="004326EC"/>
    <w:rsid w:val="00433986"/>
    <w:rsid w:val="00434A8C"/>
    <w:rsid w:val="00437297"/>
    <w:rsid w:val="004402DC"/>
    <w:rsid w:val="004428DC"/>
    <w:rsid w:val="00444284"/>
    <w:rsid w:val="00444FA0"/>
    <w:rsid w:val="00445CE6"/>
    <w:rsid w:val="00447698"/>
    <w:rsid w:val="00450A62"/>
    <w:rsid w:val="004534C2"/>
    <w:rsid w:val="00453658"/>
    <w:rsid w:val="00454113"/>
    <w:rsid w:val="00454129"/>
    <w:rsid w:val="0045446F"/>
    <w:rsid w:val="00454E2B"/>
    <w:rsid w:val="0045683E"/>
    <w:rsid w:val="00457A5C"/>
    <w:rsid w:val="00461B9C"/>
    <w:rsid w:val="00464CD9"/>
    <w:rsid w:val="004655DB"/>
    <w:rsid w:val="0047052A"/>
    <w:rsid w:val="0047497A"/>
    <w:rsid w:val="00475CC7"/>
    <w:rsid w:val="00477C72"/>
    <w:rsid w:val="00477D4E"/>
    <w:rsid w:val="00481D6B"/>
    <w:rsid w:val="00482465"/>
    <w:rsid w:val="004873F8"/>
    <w:rsid w:val="004909BA"/>
    <w:rsid w:val="00490FDA"/>
    <w:rsid w:val="00491675"/>
    <w:rsid w:val="00491B3A"/>
    <w:rsid w:val="00491C29"/>
    <w:rsid w:val="004932AD"/>
    <w:rsid w:val="00493855"/>
    <w:rsid w:val="00494C98"/>
    <w:rsid w:val="00495305"/>
    <w:rsid w:val="00495E79"/>
    <w:rsid w:val="0049714D"/>
    <w:rsid w:val="004A09CB"/>
    <w:rsid w:val="004A2D83"/>
    <w:rsid w:val="004A3793"/>
    <w:rsid w:val="004A51A5"/>
    <w:rsid w:val="004A57DD"/>
    <w:rsid w:val="004A57FB"/>
    <w:rsid w:val="004A60CB"/>
    <w:rsid w:val="004A7589"/>
    <w:rsid w:val="004A7B51"/>
    <w:rsid w:val="004A7D71"/>
    <w:rsid w:val="004A7EF3"/>
    <w:rsid w:val="004B005C"/>
    <w:rsid w:val="004B11FD"/>
    <w:rsid w:val="004B23A2"/>
    <w:rsid w:val="004B250F"/>
    <w:rsid w:val="004B5E3F"/>
    <w:rsid w:val="004B6651"/>
    <w:rsid w:val="004B7DFB"/>
    <w:rsid w:val="004C4FA0"/>
    <w:rsid w:val="004C5A9F"/>
    <w:rsid w:val="004D0603"/>
    <w:rsid w:val="004D0657"/>
    <w:rsid w:val="004D17F6"/>
    <w:rsid w:val="004D1A5A"/>
    <w:rsid w:val="004D1DE3"/>
    <w:rsid w:val="004D2090"/>
    <w:rsid w:val="004D2FFF"/>
    <w:rsid w:val="004D3721"/>
    <w:rsid w:val="004D4543"/>
    <w:rsid w:val="004D5272"/>
    <w:rsid w:val="004D52A8"/>
    <w:rsid w:val="004D64F9"/>
    <w:rsid w:val="004D67B3"/>
    <w:rsid w:val="004E185D"/>
    <w:rsid w:val="004E2F07"/>
    <w:rsid w:val="004E39B6"/>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0D0"/>
    <w:rsid w:val="005076E4"/>
    <w:rsid w:val="00510F16"/>
    <w:rsid w:val="00511541"/>
    <w:rsid w:val="00512092"/>
    <w:rsid w:val="00515C35"/>
    <w:rsid w:val="005160D0"/>
    <w:rsid w:val="005177FE"/>
    <w:rsid w:val="0052263B"/>
    <w:rsid w:val="005235A0"/>
    <w:rsid w:val="0052366A"/>
    <w:rsid w:val="00524728"/>
    <w:rsid w:val="00524C09"/>
    <w:rsid w:val="00530E6B"/>
    <w:rsid w:val="00532F16"/>
    <w:rsid w:val="005331CA"/>
    <w:rsid w:val="00533B9E"/>
    <w:rsid w:val="005356BF"/>
    <w:rsid w:val="00537970"/>
    <w:rsid w:val="00540E3A"/>
    <w:rsid w:val="00542882"/>
    <w:rsid w:val="00542E13"/>
    <w:rsid w:val="00544127"/>
    <w:rsid w:val="00544E1C"/>
    <w:rsid w:val="00544F7E"/>
    <w:rsid w:val="005463A9"/>
    <w:rsid w:val="0054663F"/>
    <w:rsid w:val="00547499"/>
    <w:rsid w:val="00547A77"/>
    <w:rsid w:val="00551C78"/>
    <w:rsid w:val="00551D99"/>
    <w:rsid w:val="00552006"/>
    <w:rsid w:val="00552643"/>
    <w:rsid w:val="005537B4"/>
    <w:rsid w:val="00553EB2"/>
    <w:rsid w:val="005540AA"/>
    <w:rsid w:val="00554212"/>
    <w:rsid w:val="005544FA"/>
    <w:rsid w:val="00555373"/>
    <w:rsid w:val="00560534"/>
    <w:rsid w:val="00563084"/>
    <w:rsid w:val="0056391B"/>
    <w:rsid w:val="00564DFE"/>
    <w:rsid w:val="0056501E"/>
    <w:rsid w:val="005650E2"/>
    <w:rsid w:val="00565AD2"/>
    <w:rsid w:val="005670D8"/>
    <w:rsid w:val="00567AD7"/>
    <w:rsid w:val="00567AE6"/>
    <w:rsid w:val="005707B2"/>
    <w:rsid w:val="005739CA"/>
    <w:rsid w:val="0057543F"/>
    <w:rsid w:val="00575B2D"/>
    <w:rsid w:val="00576A9C"/>
    <w:rsid w:val="00577B82"/>
    <w:rsid w:val="00580EA0"/>
    <w:rsid w:val="005831CC"/>
    <w:rsid w:val="005833D0"/>
    <w:rsid w:val="0058433B"/>
    <w:rsid w:val="005846F3"/>
    <w:rsid w:val="00586138"/>
    <w:rsid w:val="0058622F"/>
    <w:rsid w:val="00587660"/>
    <w:rsid w:val="00590B1E"/>
    <w:rsid w:val="00590C49"/>
    <w:rsid w:val="00590D6D"/>
    <w:rsid w:val="005925C2"/>
    <w:rsid w:val="00592F82"/>
    <w:rsid w:val="00595042"/>
    <w:rsid w:val="00597067"/>
    <w:rsid w:val="0059718C"/>
    <w:rsid w:val="005A0BB0"/>
    <w:rsid w:val="005A0CCA"/>
    <w:rsid w:val="005A0F32"/>
    <w:rsid w:val="005A3B29"/>
    <w:rsid w:val="005A464B"/>
    <w:rsid w:val="005A6FF2"/>
    <w:rsid w:val="005A726D"/>
    <w:rsid w:val="005A7AEF"/>
    <w:rsid w:val="005B1E31"/>
    <w:rsid w:val="005B4219"/>
    <w:rsid w:val="005B5C5F"/>
    <w:rsid w:val="005B6016"/>
    <w:rsid w:val="005B6708"/>
    <w:rsid w:val="005B67AC"/>
    <w:rsid w:val="005B79F4"/>
    <w:rsid w:val="005C0961"/>
    <w:rsid w:val="005C2641"/>
    <w:rsid w:val="005C3312"/>
    <w:rsid w:val="005C49C2"/>
    <w:rsid w:val="005C5B58"/>
    <w:rsid w:val="005C6AEB"/>
    <w:rsid w:val="005C6CFB"/>
    <w:rsid w:val="005C764D"/>
    <w:rsid w:val="005C79F6"/>
    <w:rsid w:val="005D0A0D"/>
    <w:rsid w:val="005D12BE"/>
    <w:rsid w:val="005D16DD"/>
    <w:rsid w:val="005D1A37"/>
    <w:rsid w:val="005D23BD"/>
    <w:rsid w:val="005D3316"/>
    <w:rsid w:val="005D43E0"/>
    <w:rsid w:val="005D47B7"/>
    <w:rsid w:val="005D5828"/>
    <w:rsid w:val="005D58A3"/>
    <w:rsid w:val="005E0ECE"/>
    <w:rsid w:val="005E127D"/>
    <w:rsid w:val="005E15D3"/>
    <w:rsid w:val="005E1B79"/>
    <w:rsid w:val="005E2D3F"/>
    <w:rsid w:val="005E6076"/>
    <w:rsid w:val="005E7008"/>
    <w:rsid w:val="005F026D"/>
    <w:rsid w:val="005F19E5"/>
    <w:rsid w:val="005F25A8"/>
    <w:rsid w:val="005F2AEA"/>
    <w:rsid w:val="005F2D0B"/>
    <w:rsid w:val="005F33F9"/>
    <w:rsid w:val="005F4B31"/>
    <w:rsid w:val="005F50CD"/>
    <w:rsid w:val="005F53AD"/>
    <w:rsid w:val="005F643C"/>
    <w:rsid w:val="005F7B12"/>
    <w:rsid w:val="005F7B9A"/>
    <w:rsid w:val="006004BB"/>
    <w:rsid w:val="00600529"/>
    <w:rsid w:val="00601D70"/>
    <w:rsid w:val="0060450F"/>
    <w:rsid w:val="0060478B"/>
    <w:rsid w:val="0061036B"/>
    <w:rsid w:val="00610388"/>
    <w:rsid w:val="00610AC7"/>
    <w:rsid w:val="00610E39"/>
    <w:rsid w:val="00610EDB"/>
    <w:rsid w:val="00612CA5"/>
    <w:rsid w:val="006135FB"/>
    <w:rsid w:val="006153C7"/>
    <w:rsid w:val="006153EC"/>
    <w:rsid w:val="00621A17"/>
    <w:rsid w:val="00623C19"/>
    <w:rsid w:val="00624C99"/>
    <w:rsid w:val="00625AF6"/>
    <w:rsid w:val="00626834"/>
    <w:rsid w:val="00626ADE"/>
    <w:rsid w:val="00627883"/>
    <w:rsid w:val="00627CC9"/>
    <w:rsid w:val="00627E7B"/>
    <w:rsid w:val="00627FEA"/>
    <w:rsid w:val="00630542"/>
    <w:rsid w:val="00632E44"/>
    <w:rsid w:val="00633654"/>
    <w:rsid w:val="00634446"/>
    <w:rsid w:val="00634622"/>
    <w:rsid w:val="00635349"/>
    <w:rsid w:val="006359E1"/>
    <w:rsid w:val="00636808"/>
    <w:rsid w:val="00641515"/>
    <w:rsid w:val="00641C46"/>
    <w:rsid w:val="0065181E"/>
    <w:rsid w:val="00654C2F"/>
    <w:rsid w:val="00656ACA"/>
    <w:rsid w:val="00657087"/>
    <w:rsid w:val="00661B2B"/>
    <w:rsid w:val="00662251"/>
    <w:rsid w:val="00662BC3"/>
    <w:rsid w:val="00662EDA"/>
    <w:rsid w:val="00663879"/>
    <w:rsid w:val="006639DB"/>
    <w:rsid w:val="006661EF"/>
    <w:rsid w:val="006706A9"/>
    <w:rsid w:val="006719DB"/>
    <w:rsid w:val="00673642"/>
    <w:rsid w:val="00675666"/>
    <w:rsid w:val="006768F3"/>
    <w:rsid w:val="00677AEB"/>
    <w:rsid w:val="00680EF2"/>
    <w:rsid w:val="00681A3E"/>
    <w:rsid w:val="00682373"/>
    <w:rsid w:val="00687A1D"/>
    <w:rsid w:val="00687EA0"/>
    <w:rsid w:val="00691D5F"/>
    <w:rsid w:val="0069476B"/>
    <w:rsid w:val="00697C0F"/>
    <w:rsid w:val="00697EA1"/>
    <w:rsid w:val="006A2646"/>
    <w:rsid w:val="006A4823"/>
    <w:rsid w:val="006A5052"/>
    <w:rsid w:val="006A6530"/>
    <w:rsid w:val="006A7F25"/>
    <w:rsid w:val="006B1876"/>
    <w:rsid w:val="006B29EB"/>
    <w:rsid w:val="006B2D95"/>
    <w:rsid w:val="006B300C"/>
    <w:rsid w:val="006B435A"/>
    <w:rsid w:val="006B43A3"/>
    <w:rsid w:val="006B4C64"/>
    <w:rsid w:val="006B503E"/>
    <w:rsid w:val="006B5463"/>
    <w:rsid w:val="006B5626"/>
    <w:rsid w:val="006B676A"/>
    <w:rsid w:val="006B67AC"/>
    <w:rsid w:val="006B6CC4"/>
    <w:rsid w:val="006B6E34"/>
    <w:rsid w:val="006B79A3"/>
    <w:rsid w:val="006C0D17"/>
    <w:rsid w:val="006C1470"/>
    <w:rsid w:val="006C21F3"/>
    <w:rsid w:val="006C2BBF"/>
    <w:rsid w:val="006C361E"/>
    <w:rsid w:val="006C739B"/>
    <w:rsid w:val="006D0B40"/>
    <w:rsid w:val="006D1E1E"/>
    <w:rsid w:val="006D2BE7"/>
    <w:rsid w:val="006D5EC7"/>
    <w:rsid w:val="006D6BD5"/>
    <w:rsid w:val="006E21C4"/>
    <w:rsid w:val="006E42ED"/>
    <w:rsid w:val="006E481A"/>
    <w:rsid w:val="006E5298"/>
    <w:rsid w:val="006F400A"/>
    <w:rsid w:val="006F41CC"/>
    <w:rsid w:val="006F456C"/>
    <w:rsid w:val="006F4A78"/>
    <w:rsid w:val="006F4E5A"/>
    <w:rsid w:val="006F6FD9"/>
    <w:rsid w:val="006F70E1"/>
    <w:rsid w:val="006F734A"/>
    <w:rsid w:val="006F77F0"/>
    <w:rsid w:val="007009A0"/>
    <w:rsid w:val="00700D83"/>
    <w:rsid w:val="00704852"/>
    <w:rsid w:val="00704A8E"/>
    <w:rsid w:val="00705104"/>
    <w:rsid w:val="0070609E"/>
    <w:rsid w:val="007074E9"/>
    <w:rsid w:val="00710126"/>
    <w:rsid w:val="007102F5"/>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5453"/>
    <w:rsid w:val="00746C92"/>
    <w:rsid w:val="00747162"/>
    <w:rsid w:val="007537B8"/>
    <w:rsid w:val="00754BBC"/>
    <w:rsid w:val="00756C74"/>
    <w:rsid w:val="007603B7"/>
    <w:rsid w:val="007603F5"/>
    <w:rsid w:val="007620D0"/>
    <w:rsid w:val="007637DE"/>
    <w:rsid w:val="00764DB0"/>
    <w:rsid w:val="00765A8B"/>
    <w:rsid w:val="00765AE9"/>
    <w:rsid w:val="0076764D"/>
    <w:rsid w:val="00772979"/>
    <w:rsid w:val="0077498C"/>
    <w:rsid w:val="00774DC5"/>
    <w:rsid w:val="00775BCC"/>
    <w:rsid w:val="0077686D"/>
    <w:rsid w:val="007809BC"/>
    <w:rsid w:val="00784128"/>
    <w:rsid w:val="00785C03"/>
    <w:rsid w:val="00785FE5"/>
    <w:rsid w:val="00786E84"/>
    <w:rsid w:val="007875E5"/>
    <w:rsid w:val="00787A23"/>
    <w:rsid w:val="00787BCC"/>
    <w:rsid w:val="00791EBE"/>
    <w:rsid w:val="00792492"/>
    <w:rsid w:val="00792E0B"/>
    <w:rsid w:val="00793173"/>
    <w:rsid w:val="0079455A"/>
    <w:rsid w:val="00795AE2"/>
    <w:rsid w:val="00796E9A"/>
    <w:rsid w:val="00796F12"/>
    <w:rsid w:val="00796FC9"/>
    <w:rsid w:val="007978EC"/>
    <w:rsid w:val="007979C4"/>
    <w:rsid w:val="007A15CC"/>
    <w:rsid w:val="007A1C65"/>
    <w:rsid w:val="007A2831"/>
    <w:rsid w:val="007A2A33"/>
    <w:rsid w:val="007A3B2D"/>
    <w:rsid w:val="007A4B91"/>
    <w:rsid w:val="007A4DDD"/>
    <w:rsid w:val="007B067D"/>
    <w:rsid w:val="007B119E"/>
    <w:rsid w:val="007B1AC4"/>
    <w:rsid w:val="007B1B85"/>
    <w:rsid w:val="007B3BA6"/>
    <w:rsid w:val="007B4CA1"/>
    <w:rsid w:val="007B5538"/>
    <w:rsid w:val="007B5AFB"/>
    <w:rsid w:val="007B5C89"/>
    <w:rsid w:val="007B66B2"/>
    <w:rsid w:val="007B6BFA"/>
    <w:rsid w:val="007B7E06"/>
    <w:rsid w:val="007B7FAB"/>
    <w:rsid w:val="007C1FCC"/>
    <w:rsid w:val="007C3735"/>
    <w:rsid w:val="007C4D39"/>
    <w:rsid w:val="007C6201"/>
    <w:rsid w:val="007C754D"/>
    <w:rsid w:val="007D227D"/>
    <w:rsid w:val="007D407F"/>
    <w:rsid w:val="007D4A65"/>
    <w:rsid w:val="007D52F8"/>
    <w:rsid w:val="007D56E8"/>
    <w:rsid w:val="007D5DC8"/>
    <w:rsid w:val="007D63C5"/>
    <w:rsid w:val="007D6C96"/>
    <w:rsid w:val="007D6DF1"/>
    <w:rsid w:val="007D73C6"/>
    <w:rsid w:val="007D7C92"/>
    <w:rsid w:val="007E042D"/>
    <w:rsid w:val="007E1154"/>
    <w:rsid w:val="007E3C8F"/>
    <w:rsid w:val="007E54A1"/>
    <w:rsid w:val="007E66FD"/>
    <w:rsid w:val="007E6BA4"/>
    <w:rsid w:val="007E70EC"/>
    <w:rsid w:val="007F0165"/>
    <w:rsid w:val="007F1022"/>
    <w:rsid w:val="007F1A39"/>
    <w:rsid w:val="007F39A0"/>
    <w:rsid w:val="007F41F8"/>
    <w:rsid w:val="007F48BB"/>
    <w:rsid w:val="007F659B"/>
    <w:rsid w:val="008005DD"/>
    <w:rsid w:val="00801DDF"/>
    <w:rsid w:val="00803040"/>
    <w:rsid w:val="0080454E"/>
    <w:rsid w:val="00804C17"/>
    <w:rsid w:val="00804C32"/>
    <w:rsid w:val="008056EF"/>
    <w:rsid w:val="00805998"/>
    <w:rsid w:val="008059B0"/>
    <w:rsid w:val="00805EE5"/>
    <w:rsid w:val="00806302"/>
    <w:rsid w:val="00806E0A"/>
    <w:rsid w:val="00807119"/>
    <w:rsid w:val="00807F12"/>
    <w:rsid w:val="00811B85"/>
    <w:rsid w:val="00813A8D"/>
    <w:rsid w:val="00815AC9"/>
    <w:rsid w:val="008162ED"/>
    <w:rsid w:val="00816A94"/>
    <w:rsid w:val="00816D04"/>
    <w:rsid w:val="00820278"/>
    <w:rsid w:val="00822751"/>
    <w:rsid w:val="008234B4"/>
    <w:rsid w:val="0082483F"/>
    <w:rsid w:val="00825945"/>
    <w:rsid w:val="00825B36"/>
    <w:rsid w:val="008279C0"/>
    <w:rsid w:val="00830097"/>
    <w:rsid w:val="008307FE"/>
    <w:rsid w:val="00831C3F"/>
    <w:rsid w:val="00831DCC"/>
    <w:rsid w:val="00832877"/>
    <w:rsid w:val="00834092"/>
    <w:rsid w:val="0084042E"/>
    <w:rsid w:val="00841074"/>
    <w:rsid w:val="008415BE"/>
    <w:rsid w:val="0084282E"/>
    <w:rsid w:val="00844879"/>
    <w:rsid w:val="00846D6D"/>
    <w:rsid w:val="008474B4"/>
    <w:rsid w:val="008504EE"/>
    <w:rsid w:val="00851B6A"/>
    <w:rsid w:val="0085270E"/>
    <w:rsid w:val="00853991"/>
    <w:rsid w:val="00855F61"/>
    <w:rsid w:val="00857C69"/>
    <w:rsid w:val="008619A1"/>
    <w:rsid w:val="00864762"/>
    <w:rsid w:val="008648D2"/>
    <w:rsid w:val="00865EC2"/>
    <w:rsid w:val="00866FB2"/>
    <w:rsid w:val="0086705F"/>
    <w:rsid w:val="00867701"/>
    <w:rsid w:val="0086797E"/>
    <w:rsid w:val="008723F3"/>
    <w:rsid w:val="00874FFA"/>
    <w:rsid w:val="00875427"/>
    <w:rsid w:val="008759B7"/>
    <w:rsid w:val="00876F56"/>
    <w:rsid w:val="00880683"/>
    <w:rsid w:val="008808F5"/>
    <w:rsid w:val="00881A8C"/>
    <w:rsid w:val="00881DE6"/>
    <w:rsid w:val="00882275"/>
    <w:rsid w:val="008837A6"/>
    <w:rsid w:val="008876C0"/>
    <w:rsid w:val="00887A07"/>
    <w:rsid w:val="0089145D"/>
    <w:rsid w:val="00892171"/>
    <w:rsid w:val="008924BF"/>
    <w:rsid w:val="00892971"/>
    <w:rsid w:val="00893A17"/>
    <w:rsid w:val="008942AB"/>
    <w:rsid w:val="00895343"/>
    <w:rsid w:val="00897EF7"/>
    <w:rsid w:val="008A0AD3"/>
    <w:rsid w:val="008A19A3"/>
    <w:rsid w:val="008A4DF2"/>
    <w:rsid w:val="008A6CFE"/>
    <w:rsid w:val="008B48F3"/>
    <w:rsid w:val="008B4E45"/>
    <w:rsid w:val="008B5165"/>
    <w:rsid w:val="008B5333"/>
    <w:rsid w:val="008B6223"/>
    <w:rsid w:val="008B7EAA"/>
    <w:rsid w:val="008C06AD"/>
    <w:rsid w:val="008C0A02"/>
    <w:rsid w:val="008C2D21"/>
    <w:rsid w:val="008C35C9"/>
    <w:rsid w:val="008C5D5F"/>
    <w:rsid w:val="008C6451"/>
    <w:rsid w:val="008C66E0"/>
    <w:rsid w:val="008C7904"/>
    <w:rsid w:val="008D769A"/>
    <w:rsid w:val="008E183E"/>
    <w:rsid w:val="008E3339"/>
    <w:rsid w:val="008E4753"/>
    <w:rsid w:val="008E6116"/>
    <w:rsid w:val="008E7AAE"/>
    <w:rsid w:val="008E7F55"/>
    <w:rsid w:val="008F20FC"/>
    <w:rsid w:val="008F24CB"/>
    <w:rsid w:val="008F4A35"/>
    <w:rsid w:val="008F5ADD"/>
    <w:rsid w:val="008F5FFE"/>
    <w:rsid w:val="008F6C22"/>
    <w:rsid w:val="008F7F7B"/>
    <w:rsid w:val="009010B0"/>
    <w:rsid w:val="00903247"/>
    <w:rsid w:val="00903422"/>
    <w:rsid w:val="00903731"/>
    <w:rsid w:val="0090376F"/>
    <w:rsid w:val="00905A43"/>
    <w:rsid w:val="00911F8A"/>
    <w:rsid w:val="0091251C"/>
    <w:rsid w:val="0091255A"/>
    <w:rsid w:val="00912C79"/>
    <w:rsid w:val="00913678"/>
    <w:rsid w:val="0091633B"/>
    <w:rsid w:val="0091693A"/>
    <w:rsid w:val="009173C7"/>
    <w:rsid w:val="00921B8C"/>
    <w:rsid w:val="00923EAD"/>
    <w:rsid w:val="00924D26"/>
    <w:rsid w:val="00925B71"/>
    <w:rsid w:val="00927CE4"/>
    <w:rsid w:val="009309A0"/>
    <w:rsid w:val="009310A2"/>
    <w:rsid w:val="009314AD"/>
    <w:rsid w:val="00931E20"/>
    <w:rsid w:val="00934723"/>
    <w:rsid w:val="0093497F"/>
    <w:rsid w:val="009349FA"/>
    <w:rsid w:val="00940120"/>
    <w:rsid w:val="0094027B"/>
    <w:rsid w:val="0094117F"/>
    <w:rsid w:val="00942123"/>
    <w:rsid w:val="00942FAB"/>
    <w:rsid w:val="009434CB"/>
    <w:rsid w:val="00943F9D"/>
    <w:rsid w:val="00945BCC"/>
    <w:rsid w:val="00945EF1"/>
    <w:rsid w:val="009469C8"/>
    <w:rsid w:val="00946FA1"/>
    <w:rsid w:val="00950426"/>
    <w:rsid w:val="0095207B"/>
    <w:rsid w:val="0095255F"/>
    <w:rsid w:val="009528EE"/>
    <w:rsid w:val="00952E42"/>
    <w:rsid w:val="00953349"/>
    <w:rsid w:val="00954AFA"/>
    <w:rsid w:val="00954B98"/>
    <w:rsid w:val="00954CBB"/>
    <w:rsid w:val="0096000C"/>
    <w:rsid w:val="009603E5"/>
    <w:rsid w:val="00961E00"/>
    <w:rsid w:val="00962045"/>
    <w:rsid w:val="00962513"/>
    <w:rsid w:val="00962685"/>
    <w:rsid w:val="00962A92"/>
    <w:rsid w:val="009631DC"/>
    <w:rsid w:val="00965804"/>
    <w:rsid w:val="0096727F"/>
    <w:rsid w:val="00967876"/>
    <w:rsid w:val="00970790"/>
    <w:rsid w:val="00973BEB"/>
    <w:rsid w:val="00973D65"/>
    <w:rsid w:val="00974549"/>
    <w:rsid w:val="00975CBB"/>
    <w:rsid w:val="00976AA8"/>
    <w:rsid w:val="00980E61"/>
    <w:rsid w:val="00981ED1"/>
    <w:rsid w:val="00982B1B"/>
    <w:rsid w:val="00983761"/>
    <w:rsid w:val="00984413"/>
    <w:rsid w:val="009845F1"/>
    <w:rsid w:val="009850FE"/>
    <w:rsid w:val="00985477"/>
    <w:rsid w:val="009854E0"/>
    <w:rsid w:val="00985BF5"/>
    <w:rsid w:val="00986233"/>
    <w:rsid w:val="009874AD"/>
    <w:rsid w:val="00990EB1"/>
    <w:rsid w:val="009911DF"/>
    <w:rsid w:val="00991428"/>
    <w:rsid w:val="00992676"/>
    <w:rsid w:val="00993F91"/>
    <w:rsid w:val="009954B2"/>
    <w:rsid w:val="00996691"/>
    <w:rsid w:val="009975C1"/>
    <w:rsid w:val="009979A0"/>
    <w:rsid w:val="009A1702"/>
    <w:rsid w:val="009A3AB7"/>
    <w:rsid w:val="009A528F"/>
    <w:rsid w:val="009A55EE"/>
    <w:rsid w:val="009A5993"/>
    <w:rsid w:val="009A5DDA"/>
    <w:rsid w:val="009A7239"/>
    <w:rsid w:val="009A7639"/>
    <w:rsid w:val="009A7B9B"/>
    <w:rsid w:val="009B0723"/>
    <w:rsid w:val="009B07AD"/>
    <w:rsid w:val="009B0883"/>
    <w:rsid w:val="009B15E2"/>
    <w:rsid w:val="009B1C63"/>
    <w:rsid w:val="009B1FAA"/>
    <w:rsid w:val="009B4976"/>
    <w:rsid w:val="009B7C9D"/>
    <w:rsid w:val="009C0B8E"/>
    <w:rsid w:val="009C1BC8"/>
    <w:rsid w:val="009C2442"/>
    <w:rsid w:val="009C6EB8"/>
    <w:rsid w:val="009C7DB7"/>
    <w:rsid w:val="009D0811"/>
    <w:rsid w:val="009D0EE1"/>
    <w:rsid w:val="009D1139"/>
    <w:rsid w:val="009D30F4"/>
    <w:rsid w:val="009D49A5"/>
    <w:rsid w:val="009D6501"/>
    <w:rsid w:val="009E2AEB"/>
    <w:rsid w:val="009E2E27"/>
    <w:rsid w:val="009E45DF"/>
    <w:rsid w:val="009E4DE3"/>
    <w:rsid w:val="009E6273"/>
    <w:rsid w:val="009E6997"/>
    <w:rsid w:val="009E69E8"/>
    <w:rsid w:val="009E77CD"/>
    <w:rsid w:val="009E7AFF"/>
    <w:rsid w:val="009F275E"/>
    <w:rsid w:val="009F384C"/>
    <w:rsid w:val="009F40BB"/>
    <w:rsid w:val="009F4DCF"/>
    <w:rsid w:val="009F5B42"/>
    <w:rsid w:val="009F6604"/>
    <w:rsid w:val="00A0259E"/>
    <w:rsid w:val="00A039BC"/>
    <w:rsid w:val="00A039C8"/>
    <w:rsid w:val="00A047EE"/>
    <w:rsid w:val="00A05F35"/>
    <w:rsid w:val="00A06C2B"/>
    <w:rsid w:val="00A13100"/>
    <w:rsid w:val="00A14542"/>
    <w:rsid w:val="00A14B54"/>
    <w:rsid w:val="00A17C10"/>
    <w:rsid w:val="00A2157D"/>
    <w:rsid w:val="00A21A65"/>
    <w:rsid w:val="00A2274A"/>
    <w:rsid w:val="00A235B7"/>
    <w:rsid w:val="00A24443"/>
    <w:rsid w:val="00A2545F"/>
    <w:rsid w:val="00A27A7A"/>
    <w:rsid w:val="00A27D47"/>
    <w:rsid w:val="00A3105E"/>
    <w:rsid w:val="00A32115"/>
    <w:rsid w:val="00A322F6"/>
    <w:rsid w:val="00A3292F"/>
    <w:rsid w:val="00A34ABE"/>
    <w:rsid w:val="00A35DA7"/>
    <w:rsid w:val="00A40552"/>
    <w:rsid w:val="00A407EF"/>
    <w:rsid w:val="00A41122"/>
    <w:rsid w:val="00A431DB"/>
    <w:rsid w:val="00A44146"/>
    <w:rsid w:val="00A44EE1"/>
    <w:rsid w:val="00A46B4C"/>
    <w:rsid w:val="00A50F0E"/>
    <w:rsid w:val="00A5117B"/>
    <w:rsid w:val="00A54ACE"/>
    <w:rsid w:val="00A54B03"/>
    <w:rsid w:val="00A54C2C"/>
    <w:rsid w:val="00A55A47"/>
    <w:rsid w:val="00A56D34"/>
    <w:rsid w:val="00A579CA"/>
    <w:rsid w:val="00A60074"/>
    <w:rsid w:val="00A60A36"/>
    <w:rsid w:val="00A631DB"/>
    <w:rsid w:val="00A6617D"/>
    <w:rsid w:val="00A6627C"/>
    <w:rsid w:val="00A7023F"/>
    <w:rsid w:val="00A71019"/>
    <w:rsid w:val="00A7357D"/>
    <w:rsid w:val="00A75B0C"/>
    <w:rsid w:val="00A764B9"/>
    <w:rsid w:val="00A7673A"/>
    <w:rsid w:val="00A76786"/>
    <w:rsid w:val="00A77FB4"/>
    <w:rsid w:val="00A80144"/>
    <w:rsid w:val="00A81029"/>
    <w:rsid w:val="00A82010"/>
    <w:rsid w:val="00A823E6"/>
    <w:rsid w:val="00A845F5"/>
    <w:rsid w:val="00A85685"/>
    <w:rsid w:val="00A86EA2"/>
    <w:rsid w:val="00A93FAE"/>
    <w:rsid w:val="00A93FD4"/>
    <w:rsid w:val="00A95F8E"/>
    <w:rsid w:val="00A96489"/>
    <w:rsid w:val="00AA0ADB"/>
    <w:rsid w:val="00AA44F1"/>
    <w:rsid w:val="00AA4EEA"/>
    <w:rsid w:val="00AA50B6"/>
    <w:rsid w:val="00AA63AE"/>
    <w:rsid w:val="00AA67A8"/>
    <w:rsid w:val="00AB0045"/>
    <w:rsid w:val="00AB0170"/>
    <w:rsid w:val="00AB0821"/>
    <w:rsid w:val="00AB15A2"/>
    <w:rsid w:val="00AB1C12"/>
    <w:rsid w:val="00AB2425"/>
    <w:rsid w:val="00AB5C18"/>
    <w:rsid w:val="00AB685C"/>
    <w:rsid w:val="00AB6C2D"/>
    <w:rsid w:val="00AC08F7"/>
    <w:rsid w:val="00AC12C3"/>
    <w:rsid w:val="00AC3839"/>
    <w:rsid w:val="00AC7082"/>
    <w:rsid w:val="00AC7550"/>
    <w:rsid w:val="00AD08BD"/>
    <w:rsid w:val="00AD1D19"/>
    <w:rsid w:val="00AD4BE8"/>
    <w:rsid w:val="00AD6545"/>
    <w:rsid w:val="00AE1A12"/>
    <w:rsid w:val="00AE1DA9"/>
    <w:rsid w:val="00AE20EE"/>
    <w:rsid w:val="00AE3DA8"/>
    <w:rsid w:val="00AE5EB6"/>
    <w:rsid w:val="00AF02E5"/>
    <w:rsid w:val="00AF04E4"/>
    <w:rsid w:val="00AF195B"/>
    <w:rsid w:val="00AF228E"/>
    <w:rsid w:val="00AF2DFD"/>
    <w:rsid w:val="00AF4606"/>
    <w:rsid w:val="00AF4CE5"/>
    <w:rsid w:val="00AF5661"/>
    <w:rsid w:val="00AF56E3"/>
    <w:rsid w:val="00AF6465"/>
    <w:rsid w:val="00B016A8"/>
    <w:rsid w:val="00B05601"/>
    <w:rsid w:val="00B12AAE"/>
    <w:rsid w:val="00B130D3"/>
    <w:rsid w:val="00B1461F"/>
    <w:rsid w:val="00B14819"/>
    <w:rsid w:val="00B14A52"/>
    <w:rsid w:val="00B15E2F"/>
    <w:rsid w:val="00B17AA9"/>
    <w:rsid w:val="00B21A23"/>
    <w:rsid w:val="00B21E13"/>
    <w:rsid w:val="00B22A28"/>
    <w:rsid w:val="00B22F28"/>
    <w:rsid w:val="00B24839"/>
    <w:rsid w:val="00B30294"/>
    <w:rsid w:val="00B34619"/>
    <w:rsid w:val="00B34AE4"/>
    <w:rsid w:val="00B35035"/>
    <w:rsid w:val="00B3727B"/>
    <w:rsid w:val="00B401D6"/>
    <w:rsid w:val="00B404F6"/>
    <w:rsid w:val="00B41223"/>
    <w:rsid w:val="00B42A2B"/>
    <w:rsid w:val="00B43836"/>
    <w:rsid w:val="00B44113"/>
    <w:rsid w:val="00B44713"/>
    <w:rsid w:val="00B46C4B"/>
    <w:rsid w:val="00B50944"/>
    <w:rsid w:val="00B517AE"/>
    <w:rsid w:val="00B51B95"/>
    <w:rsid w:val="00B533B1"/>
    <w:rsid w:val="00B540AD"/>
    <w:rsid w:val="00B56103"/>
    <w:rsid w:val="00B61534"/>
    <w:rsid w:val="00B63933"/>
    <w:rsid w:val="00B64929"/>
    <w:rsid w:val="00B66E53"/>
    <w:rsid w:val="00B6780F"/>
    <w:rsid w:val="00B71885"/>
    <w:rsid w:val="00B71BE6"/>
    <w:rsid w:val="00B71E56"/>
    <w:rsid w:val="00B736DF"/>
    <w:rsid w:val="00B743D6"/>
    <w:rsid w:val="00B74FBD"/>
    <w:rsid w:val="00B751A4"/>
    <w:rsid w:val="00B76187"/>
    <w:rsid w:val="00B77817"/>
    <w:rsid w:val="00B77F46"/>
    <w:rsid w:val="00B8242B"/>
    <w:rsid w:val="00B82586"/>
    <w:rsid w:val="00B829A3"/>
    <w:rsid w:val="00B82A15"/>
    <w:rsid w:val="00B83513"/>
    <w:rsid w:val="00B84F74"/>
    <w:rsid w:val="00B86DB1"/>
    <w:rsid w:val="00B87869"/>
    <w:rsid w:val="00B87A29"/>
    <w:rsid w:val="00B87DBA"/>
    <w:rsid w:val="00B91544"/>
    <w:rsid w:val="00B94841"/>
    <w:rsid w:val="00B960A8"/>
    <w:rsid w:val="00B9639B"/>
    <w:rsid w:val="00B97759"/>
    <w:rsid w:val="00BA20D9"/>
    <w:rsid w:val="00BA3682"/>
    <w:rsid w:val="00BA41E0"/>
    <w:rsid w:val="00BA4320"/>
    <w:rsid w:val="00BA4CAA"/>
    <w:rsid w:val="00BA4D0F"/>
    <w:rsid w:val="00BA4E28"/>
    <w:rsid w:val="00BA54BD"/>
    <w:rsid w:val="00BA70DA"/>
    <w:rsid w:val="00BA7191"/>
    <w:rsid w:val="00BA7E2F"/>
    <w:rsid w:val="00BB0E34"/>
    <w:rsid w:val="00BB0E4B"/>
    <w:rsid w:val="00BB0F2B"/>
    <w:rsid w:val="00BB244E"/>
    <w:rsid w:val="00BB37F6"/>
    <w:rsid w:val="00BB3EC9"/>
    <w:rsid w:val="00BB42F3"/>
    <w:rsid w:val="00BB7DFD"/>
    <w:rsid w:val="00BC24AD"/>
    <w:rsid w:val="00BC56F4"/>
    <w:rsid w:val="00BC6005"/>
    <w:rsid w:val="00BC7297"/>
    <w:rsid w:val="00BC7AD4"/>
    <w:rsid w:val="00BD2364"/>
    <w:rsid w:val="00BD3F78"/>
    <w:rsid w:val="00BD4A3D"/>
    <w:rsid w:val="00BD545E"/>
    <w:rsid w:val="00BD5C7A"/>
    <w:rsid w:val="00BE1791"/>
    <w:rsid w:val="00BE4005"/>
    <w:rsid w:val="00BE4FF3"/>
    <w:rsid w:val="00BF1E73"/>
    <w:rsid w:val="00BF2335"/>
    <w:rsid w:val="00BF499E"/>
    <w:rsid w:val="00BF49E3"/>
    <w:rsid w:val="00BF50F7"/>
    <w:rsid w:val="00BF5BDA"/>
    <w:rsid w:val="00BF7606"/>
    <w:rsid w:val="00C0252A"/>
    <w:rsid w:val="00C02F29"/>
    <w:rsid w:val="00C03A89"/>
    <w:rsid w:val="00C03B69"/>
    <w:rsid w:val="00C03ED0"/>
    <w:rsid w:val="00C072AD"/>
    <w:rsid w:val="00C100C3"/>
    <w:rsid w:val="00C12F4C"/>
    <w:rsid w:val="00C132EB"/>
    <w:rsid w:val="00C14675"/>
    <w:rsid w:val="00C16631"/>
    <w:rsid w:val="00C17718"/>
    <w:rsid w:val="00C20880"/>
    <w:rsid w:val="00C20AFE"/>
    <w:rsid w:val="00C2193B"/>
    <w:rsid w:val="00C22A25"/>
    <w:rsid w:val="00C24907"/>
    <w:rsid w:val="00C24D9B"/>
    <w:rsid w:val="00C26522"/>
    <w:rsid w:val="00C26CB1"/>
    <w:rsid w:val="00C27B6A"/>
    <w:rsid w:val="00C34E1A"/>
    <w:rsid w:val="00C3516E"/>
    <w:rsid w:val="00C35671"/>
    <w:rsid w:val="00C35B77"/>
    <w:rsid w:val="00C3600E"/>
    <w:rsid w:val="00C36318"/>
    <w:rsid w:val="00C376EB"/>
    <w:rsid w:val="00C40116"/>
    <w:rsid w:val="00C40666"/>
    <w:rsid w:val="00C41B6B"/>
    <w:rsid w:val="00C41D2B"/>
    <w:rsid w:val="00C4222D"/>
    <w:rsid w:val="00C434C3"/>
    <w:rsid w:val="00C44E23"/>
    <w:rsid w:val="00C45305"/>
    <w:rsid w:val="00C46A92"/>
    <w:rsid w:val="00C46EC1"/>
    <w:rsid w:val="00C52796"/>
    <w:rsid w:val="00C52A47"/>
    <w:rsid w:val="00C53513"/>
    <w:rsid w:val="00C53E2C"/>
    <w:rsid w:val="00C550C8"/>
    <w:rsid w:val="00C55824"/>
    <w:rsid w:val="00C56AB2"/>
    <w:rsid w:val="00C56B61"/>
    <w:rsid w:val="00C57273"/>
    <w:rsid w:val="00C60003"/>
    <w:rsid w:val="00C606C3"/>
    <w:rsid w:val="00C61146"/>
    <w:rsid w:val="00C619D3"/>
    <w:rsid w:val="00C620F4"/>
    <w:rsid w:val="00C623C6"/>
    <w:rsid w:val="00C63163"/>
    <w:rsid w:val="00C63FAD"/>
    <w:rsid w:val="00C6409D"/>
    <w:rsid w:val="00C64575"/>
    <w:rsid w:val="00C7173F"/>
    <w:rsid w:val="00C72848"/>
    <w:rsid w:val="00C7736C"/>
    <w:rsid w:val="00C8009C"/>
    <w:rsid w:val="00C8080C"/>
    <w:rsid w:val="00C81387"/>
    <w:rsid w:val="00C82D87"/>
    <w:rsid w:val="00C83657"/>
    <w:rsid w:val="00C83FAF"/>
    <w:rsid w:val="00C8712A"/>
    <w:rsid w:val="00C902C8"/>
    <w:rsid w:val="00C919D1"/>
    <w:rsid w:val="00C95696"/>
    <w:rsid w:val="00C963D3"/>
    <w:rsid w:val="00CA0D74"/>
    <w:rsid w:val="00CA254C"/>
    <w:rsid w:val="00CA63F3"/>
    <w:rsid w:val="00CA7B50"/>
    <w:rsid w:val="00CB1983"/>
    <w:rsid w:val="00CB216F"/>
    <w:rsid w:val="00CB2CBB"/>
    <w:rsid w:val="00CB3B53"/>
    <w:rsid w:val="00CB6BB0"/>
    <w:rsid w:val="00CB6CCB"/>
    <w:rsid w:val="00CB729F"/>
    <w:rsid w:val="00CB75C5"/>
    <w:rsid w:val="00CB7CAC"/>
    <w:rsid w:val="00CC11E1"/>
    <w:rsid w:val="00CC4C50"/>
    <w:rsid w:val="00CC5335"/>
    <w:rsid w:val="00CC5451"/>
    <w:rsid w:val="00CC5BA4"/>
    <w:rsid w:val="00CC5C93"/>
    <w:rsid w:val="00CC6F73"/>
    <w:rsid w:val="00CC75D2"/>
    <w:rsid w:val="00CD1C29"/>
    <w:rsid w:val="00CD338E"/>
    <w:rsid w:val="00CD35C8"/>
    <w:rsid w:val="00CD41F1"/>
    <w:rsid w:val="00CD4998"/>
    <w:rsid w:val="00CD5058"/>
    <w:rsid w:val="00CD5884"/>
    <w:rsid w:val="00CD6184"/>
    <w:rsid w:val="00CD66F3"/>
    <w:rsid w:val="00CD707C"/>
    <w:rsid w:val="00CE1035"/>
    <w:rsid w:val="00CE1CA6"/>
    <w:rsid w:val="00CE1D6B"/>
    <w:rsid w:val="00CE2C2A"/>
    <w:rsid w:val="00CE625F"/>
    <w:rsid w:val="00CE6E50"/>
    <w:rsid w:val="00CE70C6"/>
    <w:rsid w:val="00CF0079"/>
    <w:rsid w:val="00CF2819"/>
    <w:rsid w:val="00CF4F9D"/>
    <w:rsid w:val="00CF6AFC"/>
    <w:rsid w:val="00CF70DC"/>
    <w:rsid w:val="00D0084B"/>
    <w:rsid w:val="00D00D39"/>
    <w:rsid w:val="00D0121D"/>
    <w:rsid w:val="00D03926"/>
    <w:rsid w:val="00D0690B"/>
    <w:rsid w:val="00D1025B"/>
    <w:rsid w:val="00D12ED4"/>
    <w:rsid w:val="00D148DC"/>
    <w:rsid w:val="00D1516E"/>
    <w:rsid w:val="00D15890"/>
    <w:rsid w:val="00D160F4"/>
    <w:rsid w:val="00D16F06"/>
    <w:rsid w:val="00D176E5"/>
    <w:rsid w:val="00D17859"/>
    <w:rsid w:val="00D17FDC"/>
    <w:rsid w:val="00D21D8C"/>
    <w:rsid w:val="00D22362"/>
    <w:rsid w:val="00D23C70"/>
    <w:rsid w:val="00D24113"/>
    <w:rsid w:val="00D40B41"/>
    <w:rsid w:val="00D41FDB"/>
    <w:rsid w:val="00D42444"/>
    <w:rsid w:val="00D4250F"/>
    <w:rsid w:val="00D47FBB"/>
    <w:rsid w:val="00D50258"/>
    <w:rsid w:val="00D513BB"/>
    <w:rsid w:val="00D51DFC"/>
    <w:rsid w:val="00D522CF"/>
    <w:rsid w:val="00D53719"/>
    <w:rsid w:val="00D54462"/>
    <w:rsid w:val="00D54645"/>
    <w:rsid w:val="00D571ED"/>
    <w:rsid w:val="00D61596"/>
    <w:rsid w:val="00D62306"/>
    <w:rsid w:val="00D63EFD"/>
    <w:rsid w:val="00D646E8"/>
    <w:rsid w:val="00D66B7D"/>
    <w:rsid w:val="00D70954"/>
    <w:rsid w:val="00D71018"/>
    <w:rsid w:val="00D716CF"/>
    <w:rsid w:val="00D73678"/>
    <w:rsid w:val="00D7602E"/>
    <w:rsid w:val="00D765CC"/>
    <w:rsid w:val="00D80439"/>
    <w:rsid w:val="00D80CAE"/>
    <w:rsid w:val="00D8393A"/>
    <w:rsid w:val="00D8435D"/>
    <w:rsid w:val="00D84752"/>
    <w:rsid w:val="00D85481"/>
    <w:rsid w:val="00D86B3B"/>
    <w:rsid w:val="00D8745B"/>
    <w:rsid w:val="00D8748A"/>
    <w:rsid w:val="00D9104B"/>
    <w:rsid w:val="00D91AFC"/>
    <w:rsid w:val="00D923AA"/>
    <w:rsid w:val="00D926E1"/>
    <w:rsid w:val="00D9274B"/>
    <w:rsid w:val="00D93196"/>
    <w:rsid w:val="00D93DCB"/>
    <w:rsid w:val="00D93DF0"/>
    <w:rsid w:val="00D961EC"/>
    <w:rsid w:val="00D97448"/>
    <w:rsid w:val="00D9764B"/>
    <w:rsid w:val="00D97A68"/>
    <w:rsid w:val="00DA0DC0"/>
    <w:rsid w:val="00DA0E41"/>
    <w:rsid w:val="00DA15AD"/>
    <w:rsid w:val="00DA3183"/>
    <w:rsid w:val="00DA5234"/>
    <w:rsid w:val="00DA6AF8"/>
    <w:rsid w:val="00DA6DBA"/>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3D53"/>
    <w:rsid w:val="00DC4420"/>
    <w:rsid w:val="00DD0802"/>
    <w:rsid w:val="00DD1465"/>
    <w:rsid w:val="00DD14BD"/>
    <w:rsid w:val="00DD2E11"/>
    <w:rsid w:val="00DD40CD"/>
    <w:rsid w:val="00DD6BB5"/>
    <w:rsid w:val="00DD7B7D"/>
    <w:rsid w:val="00DE03AF"/>
    <w:rsid w:val="00DE05BA"/>
    <w:rsid w:val="00DE121C"/>
    <w:rsid w:val="00DE34A9"/>
    <w:rsid w:val="00DE366A"/>
    <w:rsid w:val="00DE4387"/>
    <w:rsid w:val="00DE498F"/>
    <w:rsid w:val="00DE6633"/>
    <w:rsid w:val="00DE6A6E"/>
    <w:rsid w:val="00DE6A9D"/>
    <w:rsid w:val="00DE6D8C"/>
    <w:rsid w:val="00DE7516"/>
    <w:rsid w:val="00DF1875"/>
    <w:rsid w:val="00DF2D3C"/>
    <w:rsid w:val="00DF3293"/>
    <w:rsid w:val="00DF32A5"/>
    <w:rsid w:val="00DF45B0"/>
    <w:rsid w:val="00DF4B6C"/>
    <w:rsid w:val="00DF75F8"/>
    <w:rsid w:val="00DF7A3A"/>
    <w:rsid w:val="00E00A0F"/>
    <w:rsid w:val="00E00C00"/>
    <w:rsid w:val="00E01304"/>
    <w:rsid w:val="00E04B79"/>
    <w:rsid w:val="00E07C5A"/>
    <w:rsid w:val="00E13328"/>
    <w:rsid w:val="00E15215"/>
    <w:rsid w:val="00E159ED"/>
    <w:rsid w:val="00E15B75"/>
    <w:rsid w:val="00E15BA9"/>
    <w:rsid w:val="00E15F1C"/>
    <w:rsid w:val="00E1755B"/>
    <w:rsid w:val="00E1761E"/>
    <w:rsid w:val="00E17693"/>
    <w:rsid w:val="00E2038D"/>
    <w:rsid w:val="00E20A7B"/>
    <w:rsid w:val="00E20F31"/>
    <w:rsid w:val="00E220AA"/>
    <w:rsid w:val="00E2260B"/>
    <w:rsid w:val="00E23AA6"/>
    <w:rsid w:val="00E24D25"/>
    <w:rsid w:val="00E2553D"/>
    <w:rsid w:val="00E26272"/>
    <w:rsid w:val="00E2629E"/>
    <w:rsid w:val="00E26337"/>
    <w:rsid w:val="00E26468"/>
    <w:rsid w:val="00E26E19"/>
    <w:rsid w:val="00E27E7E"/>
    <w:rsid w:val="00E30995"/>
    <w:rsid w:val="00E31DF3"/>
    <w:rsid w:val="00E3244F"/>
    <w:rsid w:val="00E36127"/>
    <w:rsid w:val="00E364DC"/>
    <w:rsid w:val="00E450A4"/>
    <w:rsid w:val="00E46C58"/>
    <w:rsid w:val="00E47E5C"/>
    <w:rsid w:val="00E506BE"/>
    <w:rsid w:val="00E514DC"/>
    <w:rsid w:val="00E522CB"/>
    <w:rsid w:val="00E546FF"/>
    <w:rsid w:val="00E548AC"/>
    <w:rsid w:val="00E549D8"/>
    <w:rsid w:val="00E54A3F"/>
    <w:rsid w:val="00E55547"/>
    <w:rsid w:val="00E56D74"/>
    <w:rsid w:val="00E62FE8"/>
    <w:rsid w:val="00E6302B"/>
    <w:rsid w:val="00E631C5"/>
    <w:rsid w:val="00E6452F"/>
    <w:rsid w:val="00E64F45"/>
    <w:rsid w:val="00E6742D"/>
    <w:rsid w:val="00E705F9"/>
    <w:rsid w:val="00E71CB0"/>
    <w:rsid w:val="00E73FB9"/>
    <w:rsid w:val="00E746AF"/>
    <w:rsid w:val="00E750D0"/>
    <w:rsid w:val="00E7629A"/>
    <w:rsid w:val="00E77C3D"/>
    <w:rsid w:val="00E8240E"/>
    <w:rsid w:val="00E85922"/>
    <w:rsid w:val="00E87603"/>
    <w:rsid w:val="00E87A3F"/>
    <w:rsid w:val="00E87BD3"/>
    <w:rsid w:val="00E904E8"/>
    <w:rsid w:val="00E90971"/>
    <w:rsid w:val="00E90991"/>
    <w:rsid w:val="00E909F0"/>
    <w:rsid w:val="00E90D47"/>
    <w:rsid w:val="00E91FAB"/>
    <w:rsid w:val="00E93993"/>
    <w:rsid w:val="00E9426A"/>
    <w:rsid w:val="00E9451A"/>
    <w:rsid w:val="00E94BBA"/>
    <w:rsid w:val="00E9597C"/>
    <w:rsid w:val="00E96283"/>
    <w:rsid w:val="00E96C08"/>
    <w:rsid w:val="00EA062B"/>
    <w:rsid w:val="00EA06DA"/>
    <w:rsid w:val="00EA0913"/>
    <w:rsid w:val="00EA1069"/>
    <w:rsid w:val="00EA1179"/>
    <w:rsid w:val="00EA4B1E"/>
    <w:rsid w:val="00EA5B00"/>
    <w:rsid w:val="00EA6D87"/>
    <w:rsid w:val="00EB146B"/>
    <w:rsid w:val="00EB2A16"/>
    <w:rsid w:val="00EB31B0"/>
    <w:rsid w:val="00EB421B"/>
    <w:rsid w:val="00EB45AC"/>
    <w:rsid w:val="00EB48F0"/>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17E"/>
    <w:rsid w:val="00EE5D82"/>
    <w:rsid w:val="00EE6CB0"/>
    <w:rsid w:val="00EF0489"/>
    <w:rsid w:val="00EF090E"/>
    <w:rsid w:val="00EF119C"/>
    <w:rsid w:val="00EF17F4"/>
    <w:rsid w:val="00EF444A"/>
    <w:rsid w:val="00EF5572"/>
    <w:rsid w:val="00EF6D63"/>
    <w:rsid w:val="00F02278"/>
    <w:rsid w:val="00F033DA"/>
    <w:rsid w:val="00F036D5"/>
    <w:rsid w:val="00F05174"/>
    <w:rsid w:val="00F05DFD"/>
    <w:rsid w:val="00F11F17"/>
    <w:rsid w:val="00F123A4"/>
    <w:rsid w:val="00F13691"/>
    <w:rsid w:val="00F13FB1"/>
    <w:rsid w:val="00F14629"/>
    <w:rsid w:val="00F14CA5"/>
    <w:rsid w:val="00F15588"/>
    <w:rsid w:val="00F16333"/>
    <w:rsid w:val="00F16CCA"/>
    <w:rsid w:val="00F1747D"/>
    <w:rsid w:val="00F2005D"/>
    <w:rsid w:val="00F20363"/>
    <w:rsid w:val="00F220A7"/>
    <w:rsid w:val="00F22350"/>
    <w:rsid w:val="00F24C09"/>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5B8E"/>
    <w:rsid w:val="00F47A63"/>
    <w:rsid w:val="00F51F75"/>
    <w:rsid w:val="00F54CAB"/>
    <w:rsid w:val="00F5524B"/>
    <w:rsid w:val="00F579BF"/>
    <w:rsid w:val="00F60538"/>
    <w:rsid w:val="00F60FDF"/>
    <w:rsid w:val="00F61DD2"/>
    <w:rsid w:val="00F63A4B"/>
    <w:rsid w:val="00F648DF"/>
    <w:rsid w:val="00F66AFF"/>
    <w:rsid w:val="00F67DAD"/>
    <w:rsid w:val="00F67EA8"/>
    <w:rsid w:val="00F70573"/>
    <w:rsid w:val="00F70E60"/>
    <w:rsid w:val="00F71433"/>
    <w:rsid w:val="00F71568"/>
    <w:rsid w:val="00F7160A"/>
    <w:rsid w:val="00F7423D"/>
    <w:rsid w:val="00F7519E"/>
    <w:rsid w:val="00F76CBA"/>
    <w:rsid w:val="00F77790"/>
    <w:rsid w:val="00F80189"/>
    <w:rsid w:val="00F814B1"/>
    <w:rsid w:val="00F83DBA"/>
    <w:rsid w:val="00F840B2"/>
    <w:rsid w:val="00F85679"/>
    <w:rsid w:val="00F8668C"/>
    <w:rsid w:val="00F90C34"/>
    <w:rsid w:val="00F93E2A"/>
    <w:rsid w:val="00F95410"/>
    <w:rsid w:val="00F973B4"/>
    <w:rsid w:val="00F97C5B"/>
    <w:rsid w:val="00FA2E14"/>
    <w:rsid w:val="00FA2EAC"/>
    <w:rsid w:val="00FA3D50"/>
    <w:rsid w:val="00FA6E25"/>
    <w:rsid w:val="00FA7F45"/>
    <w:rsid w:val="00FB715C"/>
    <w:rsid w:val="00FB7C65"/>
    <w:rsid w:val="00FB7FBD"/>
    <w:rsid w:val="00FC0C23"/>
    <w:rsid w:val="00FC202F"/>
    <w:rsid w:val="00FC374A"/>
    <w:rsid w:val="00FC3D19"/>
    <w:rsid w:val="00FC74C8"/>
    <w:rsid w:val="00FC7B47"/>
    <w:rsid w:val="00FD035C"/>
    <w:rsid w:val="00FD039E"/>
    <w:rsid w:val="00FD1A35"/>
    <w:rsid w:val="00FD26E8"/>
    <w:rsid w:val="00FD2EA4"/>
    <w:rsid w:val="00FD34B6"/>
    <w:rsid w:val="00FD36C5"/>
    <w:rsid w:val="00FD5ECD"/>
    <w:rsid w:val="00FD5EE1"/>
    <w:rsid w:val="00FD6310"/>
    <w:rsid w:val="00FD7C7B"/>
    <w:rsid w:val="00FD7CA4"/>
    <w:rsid w:val="00FE1D12"/>
    <w:rsid w:val="00FE2122"/>
    <w:rsid w:val="00FE2A86"/>
    <w:rsid w:val="00FE2DE2"/>
    <w:rsid w:val="00FE2F0E"/>
    <w:rsid w:val="00FE5593"/>
    <w:rsid w:val="00FE5CBA"/>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Gatoto, Phoebe</cp:lastModifiedBy>
  <cp:revision>388</cp:revision>
  <cp:lastPrinted>2019-08-27T05:42:00Z</cp:lastPrinted>
  <dcterms:created xsi:type="dcterms:W3CDTF">2023-07-12T10:15:00Z</dcterms:created>
  <dcterms:modified xsi:type="dcterms:W3CDTF">2023-07-26T15:36:00Z</dcterms:modified>
</cp:coreProperties>
</file>