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A87965">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D30310">
      <w:pPr>
        <w:jc w:val="both"/>
        <w:rPr>
          <w:rFonts w:ascii="Arial" w:hAnsi="Arial" w:cs="Arial"/>
          <w:b/>
          <w:sz w:val="22"/>
          <w:szCs w:val="22"/>
          <w:lang w:val="en-GB"/>
        </w:rPr>
      </w:pPr>
    </w:p>
    <w:p w14:paraId="4179622F" w14:textId="68E3C07D" w:rsidR="00397D3A" w:rsidRDefault="00397D3A" w:rsidP="00D30310">
      <w:pPr>
        <w:jc w:val="both"/>
        <w:rPr>
          <w:rFonts w:ascii="Arial" w:hAnsi="Arial" w:cs="Arial"/>
          <w:b/>
          <w:sz w:val="22"/>
          <w:szCs w:val="22"/>
          <w:lang w:val="en-GB"/>
        </w:rPr>
      </w:pPr>
    </w:p>
    <w:p w14:paraId="045C7386" w14:textId="06C377C6" w:rsidR="00437297" w:rsidRDefault="00437297" w:rsidP="00D30310">
      <w:pPr>
        <w:jc w:val="both"/>
        <w:rPr>
          <w:rFonts w:ascii="Arial" w:hAnsi="Arial" w:cs="Arial"/>
          <w:b/>
          <w:sz w:val="22"/>
          <w:szCs w:val="22"/>
          <w:lang w:val="en-GB"/>
        </w:rPr>
      </w:pPr>
    </w:p>
    <w:p w14:paraId="13D68906" w14:textId="77777777" w:rsidR="00437297" w:rsidRDefault="00437297" w:rsidP="00D30310">
      <w:pPr>
        <w:jc w:val="both"/>
        <w:rPr>
          <w:rFonts w:ascii="Arial" w:hAnsi="Arial" w:cs="Arial"/>
          <w:b/>
          <w:sz w:val="22"/>
          <w:szCs w:val="22"/>
          <w:lang w:val="en-GB"/>
        </w:rPr>
      </w:pPr>
    </w:p>
    <w:p w14:paraId="076E39C1" w14:textId="2AAA5B09" w:rsidR="00397D3A" w:rsidRDefault="00397D3A" w:rsidP="00D30310">
      <w:pPr>
        <w:jc w:val="both"/>
        <w:rPr>
          <w:rFonts w:ascii="Arial" w:hAnsi="Arial" w:cs="Arial"/>
          <w:b/>
          <w:sz w:val="22"/>
          <w:szCs w:val="22"/>
          <w:lang w:val="en-GB"/>
        </w:rPr>
      </w:pPr>
    </w:p>
    <w:p w14:paraId="64732B67" w14:textId="77777777" w:rsidR="00397D3A" w:rsidRDefault="00397D3A" w:rsidP="00D30310">
      <w:pPr>
        <w:jc w:val="both"/>
        <w:rPr>
          <w:rFonts w:ascii="Arial" w:hAnsi="Arial" w:cs="Arial"/>
          <w:b/>
          <w:sz w:val="22"/>
          <w:szCs w:val="22"/>
          <w:lang w:val="en-GB"/>
        </w:rPr>
      </w:pPr>
    </w:p>
    <w:p w14:paraId="14C6FED8" w14:textId="77777777" w:rsidR="00E93993" w:rsidRDefault="00E93993" w:rsidP="00D30310">
      <w:pPr>
        <w:jc w:val="both"/>
        <w:rPr>
          <w:rFonts w:ascii="Arial" w:hAnsi="Arial" w:cs="Arial"/>
          <w:b/>
          <w:sz w:val="22"/>
          <w:szCs w:val="22"/>
          <w:lang w:val="en-GB"/>
        </w:rPr>
      </w:pPr>
    </w:p>
    <w:p w14:paraId="16393F7E" w14:textId="77777777" w:rsidR="00434A8C" w:rsidRPr="006C65F4" w:rsidRDefault="00434A8C" w:rsidP="00D30310">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venir Next Demi Bold" w:hAnsi="Avenir Next Demi Bold" w:cs="Arial"/>
          <w:b/>
          <w:bCs/>
          <w:color w:val="4472C4" w:themeColor="accent1"/>
          <w:sz w:val="24"/>
          <w:lang w:val="en-GB"/>
        </w:rPr>
      </w:pPr>
    </w:p>
    <w:p w14:paraId="59317C17" w14:textId="3BD5933A" w:rsidR="0011473D" w:rsidRPr="006C65F4" w:rsidRDefault="00C56B61" w:rsidP="00DE75B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DE75B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DE75B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D30310">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venir Next Demi Bold" w:hAnsi="Avenir Next Demi Bold" w:cs="Arial"/>
          <w:b/>
          <w:bCs/>
          <w:color w:val="4472C4" w:themeColor="accent1"/>
          <w:sz w:val="24"/>
          <w:lang w:val="en-GB"/>
        </w:rPr>
      </w:pPr>
    </w:p>
    <w:p w14:paraId="2BAA8639" w14:textId="312B667B" w:rsidR="009D0811" w:rsidRDefault="009D0811" w:rsidP="00D30310">
      <w:pPr>
        <w:jc w:val="both"/>
        <w:rPr>
          <w:rFonts w:ascii="Arial" w:hAnsi="Arial" w:cs="Arial"/>
          <w:b/>
          <w:sz w:val="22"/>
          <w:szCs w:val="22"/>
          <w:lang w:val="en-GB"/>
        </w:rPr>
      </w:pPr>
    </w:p>
    <w:p w14:paraId="6907577F" w14:textId="6E1EAE22" w:rsidR="00E93993" w:rsidRDefault="00E93993" w:rsidP="00D30310">
      <w:pPr>
        <w:jc w:val="both"/>
        <w:rPr>
          <w:rFonts w:ascii="Arial" w:hAnsi="Arial" w:cs="Arial"/>
          <w:b/>
          <w:sz w:val="22"/>
          <w:szCs w:val="22"/>
          <w:lang w:val="en-GB"/>
        </w:rPr>
      </w:pPr>
    </w:p>
    <w:p w14:paraId="2A0B50F4" w14:textId="0F2D6B33" w:rsidR="00397D3A" w:rsidRDefault="00397D3A" w:rsidP="00D30310">
      <w:pPr>
        <w:jc w:val="both"/>
        <w:rPr>
          <w:rFonts w:ascii="Arial" w:hAnsi="Arial" w:cs="Arial"/>
          <w:b/>
          <w:sz w:val="22"/>
          <w:szCs w:val="22"/>
          <w:lang w:val="en-GB"/>
        </w:rPr>
      </w:pPr>
    </w:p>
    <w:p w14:paraId="5C762CBD" w14:textId="28537775" w:rsidR="00397D3A" w:rsidRDefault="00397D3A" w:rsidP="00D30310">
      <w:pPr>
        <w:jc w:val="both"/>
        <w:rPr>
          <w:rFonts w:ascii="Arial" w:hAnsi="Arial" w:cs="Arial"/>
          <w:b/>
          <w:sz w:val="22"/>
          <w:szCs w:val="22"/>
          <w:lang w:val="en-GB"/>
        </w:rPr>
      </w:pPr>
    </w:p>
    <w:p w14:paraId="4051CEA3" w14:textId="31550508" w:rsidR="00397D3A" w:rsidRDefault="00397D3A" w:rsidP="00D30310">
      <w:pPr>
        <w:jc w:val="both"/>
        <w:rPr>
          <w:rFonts w:ascii="Arial" w:hAnsi="Arial" w:cs="Arial"/>
          <w:b/>
          <w:sz w:val="22"/>
          <w:szCs w:val="22"/>
          <w:lang w:val="en-GB"/>
        </w:rPr>
      </w:pPr>
    </w:p>
    <w:p w14:paraId="25AECBFD" w14:textId="77777777" w:rsidR="00397D3A" w:rsidRDefault="00397D3A" w:rsidP="00D30310">
      <w:pPr>
        <w:jc w:val="both"/>
        <w:rPr>
          <w:rFonts w:ascii="Arial" w:hAnsi="Arial" w:cs="Arial"/>
          <w:b/>
          <w:sz w:val="22"/>
          <w:szCs w:val="22"/>
          <w:lang w:val="en-GB"/>
        </w:rPr>
      </w:pPr>
    </w:p>
    <w:p w14:paraId="19855BF7" w14:textId="77777777" w:rsidR="00397D3A" w:rsidRDefault="00397D3A" w:rsidP="00D30310">
      <w:pPr>
        <w:jc w:val="both"/>
        <w:rPr>
          <w:rFonts w:ascii="Arial" w:hAnsi="Arial" w:cs="Arial"/>
          <w:b/>
          <w:sz w:val="22"/>
          <w:szCs w:val="22"/>
          <w:lang w:val="en-GB"/>
        </w:rPr>
      </w:pPr>
    </w:p>
    <w:p w14:paraId="0ED3DA75" w14:textId="77777777" w:rsidR="00DB56F2" w:rsidRPr="006C65F4" w:rsidRDefault="00DB56F2"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30310">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D30310">
      <w:pPr>
        <w:jc w:val="both"/>
        <w:rPr>
          <w:rFonts w:ascii="Arial" w:hAnsi="Arial" w:cs="Arial"/>
          <w:b/>
          <w:sz w:val="22"/>
          <w:szCs w:val="22"/>
          <w:lang w:val="en-GB"/>
        </w:rPr>
      </w:pPr>
    </w:p>
    <w:p w14:paraId="5A8E70B6" w14:textId="3DD478B6" w:rsidR="00DB56F2" w:rsidRDefault="00DB56F2" w:rsidP="00D30310">
      <w:pPr>
        <w:jc w:val="both"/>
        <w:rPr>
          <w:rFonts w:ascii="Arial" w:hAnsi="Arial" w:cs="Arial"/>
          <w:b/>
          <w:sz w:val="22"/>
          <w:szCs w:val="22"/>
          <w:lang w:val="en-GB"/>
        </w:rPr>
      </w:pPr>
    </w:p>
    <w:p w14:paraId="2E742C69" w14:textId="77777777" w:rsidR="00537424" w:rsidRDefault="00537424" w:rsidP="00D30310">
      <w:pPr>
        <w:jc w:val="both"/>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D30310">
      <w:pPr>
        <w:jc w:val="both"/>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D30310">
      <w:pPr>
        <w:jc w:val="both"/>
        <w:rPr>
          <w:rFonts w:ascii="Avenir Next" w:hAnsi="Avenir Next" w:cs="Arial"/>
          <w:sz w:val="22"/>
          <w:szCs w:val="22"/>
          <w:lang w:val="en-GB"/>
        </w:rPr>
      </w:pPr>
    </w:p>
    <w:p w14:paraId="173B0B40" w14:textId="77777777" w:rsidR="00397D3A" w:rsidRPr="006C65F4" w:rsidRDefault="00397D3A" w:rsidP="00D30310">
      <w:pPr>
        <w:jc w:val="both"/>
        <w:rPr>
          <w:rFonts w:ascii="Avenir Next" w:hAnsi="Avenir Next" w:cs="Arial"/>
          <w:b/>
          <w:sz w:val="22"/>
          <w:szCs w:val="22"/>
          <w:lang w:val="en-GB"/>
        </w:rPr>
      </w:pPr>
    </w:p>
    <w:p w14:paraId="21CFB3AD" w14:textId="77777777" w:rsidR="00C651D6" w:rsidRPr="006C65F4" w:rsidRDefault="00C651D6" w:rsidP="00D30310">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D30310">
      <w:pPr>
        <w:jc w:val="both"/>
        <w:rPr>
          <w:rFonts w:ascii="Avenir Next" w:hAnsi="Avenir Next" w:cs="Arial"/>
          <w:b/>
          <w:sz w:val="22"/>
          <w:szCs w:val="22"/>
          <w:lang w:val="en-GB"/>
        </w:rPr>
      </w:pPr>
    </w:p>
    <w:p w14:paraId="26A86F78" w14:textId="77777777"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D30310">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D30310">
      <w:pPr>
        <w:ind w:left="720" w:hanging="720"/>
        <w:jc w:val="both"/>
        <w:rPr>
          <w:rFonts w:ascii="Arial" w:hAnsi="Arial" w:cs="Arial"/>
          <w:sz w:val="22"/>
          <w:szCs w:val="22"/>
          <w:lang w:val="en-GB"/>
        </w:rPr>
      </w:pPr>
    </w:p>
    <w:p w14:paraId="2966AAD4" w14:textId="443A837F" w:rsidR="00F3323E" w:rsidRPr="00CE0ECD" w:rsidRDefault="00F3323E" w:rsidP="00D30310">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D30310">
      <w:pPr>
        <w:ind w:left="720" w:hanging="720"/>
        <w:jc w:val="both"/>
        <w:rPr>
          <w:rFonts w:ascii="Avenir Next" w:hAnsi="Avenir Next" w:cs="Arial"/>
          <w:sz w:val="22"/>
          <w:szCs w:val="22"/>
          <w:lang w:val="en-GB"/>
        </w:rPr>
      </w:pPr>
    </w:p>
    <w:p w14:paraId="7855E8A8" w14:textId="3F6B427A" w:rsidR="005D43E0" w:rsidRPr="00CE0ECD" w:rsidRDefault="0029433F" w:rsidP="00D30310">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D30310">
      <w:pPr>
        <w:ind w:left="720" w:hanging="720"/>
        <w:jc w:val="both"/>
        <w:rPr>
          <w:rFonts w:ascii="Avenir Next" w:hAnsi="Avenir Next" w:cs="Arial"/>
          <w:sz w:val="22"/>
          <w:szCs w:val="22"/>
          <w:lang w:val="en-GB"/>
        </w:rPr>
      </w:pPr>
    </w:p>
    <w:p w14:paraId="52F192E0" w14:textId="4F9975C1" w:rsidR="005D43E0" w:rsidRPr="00CE0ECD" w:rsidRDefault="005D43E0" w:rsidP="00D30310">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D30310">
      <w:pPr>
        <w:autoSpaceDE w:val="0"/>
        <w:autoSpaceDN w:val="0"/>
        <w:adjustRightInd w:val="0"/>
        <w:jc w:val="both"/>
        <w:rPr>
          <w:rFonts w:ascii="Avenir Next" w:hAnsi="Avenir Next" w:cs="Arial"/>
          <w:sz w:val="22"/>
          <w:szCs w:val="22"/>
        </w:rPr>
      </w:pPr>
    </w:p>
    <w:p w14:paraId="768EBB8A" w14:textId="77777777" w:rsidR="00CE0ECD" w:rsidRPr="00B77B19" w:rsidRDefault="00CE0ECD" w:rsidP="00D30310">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D30310">
      <w:pPr>
        <w:pStyle w:val="AODocTxt"/>
        <w:spacing w:before="0" w:line="240" w:lineRule="auto"/>
        <w:rPr>
          <w:rFonts w:ascii="Avenir Next" w:hAnsi="Avenir Next"/>
        </w:rPr>
      </w:pPr>
    </w:p>
    <w:p w14:paraId="6DB7A71D" w14:textId="77777777" w:rsidR="00CE0ECD" w:rsidRPr="00B77B19" w:rsidRDefault="00CE0ECD" w:rsidP="00D30310">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D30310">
      <w:pPr>
        <w:pStyle w:val="AODocTxt"/>
        <w:spacing w:before="0" w:line="240" w:lineRule="auto"/>
        <w:rPr>
          <w:rFonts w:ascii="Avenir Next" w:hAnsi="Avenir Next"/>
        </w:rPr>
      </w:pPr>
    </w:p>
    <w:p w14:paraId="542947B1" w14:textId="17131201" w:rsidR="00CE0ECD" w:rsidRDefault="00CE0ECD" w:rsidP="00D30310">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D30310">
      <w:pPr>
        <w:pStyle w:val="AODocTxt"/>
        <w:spacing w:before="0" w:line="240" w:lineRule="auto"/>
        <w:rPr>
          <w:rFonts w:ascii="Avenir Next" w:hAnsi="Avenir Next"/>
        </w:rPr>
      </w:pPr>
    </w:p>
    <w:p w14:paraId="4EB024C5" w14:textId="76EF452C" w:rsidR="00CE0ECD" w:rsidRDefault="00CE0ECD" w:rsidP="00D30310">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D30310">
      <w:pPr>
        <w:pStyle w:val="AODocTxt"/>
        <w:spacing w:before="0" w:line="240" w:lineRule="auto"/>
        <w:rPr>
          <w:rFonts w:ascii="Avenir Next" w:hAnsi="Avenir Next"/>
        </w:rPr>
      </w:pPr>
    </w:p>
    <w:p w14:paraId="567F80BE" w14:textId="5A7F7FFB" w:rsidR="00CE0ECD" w:rsidRDefault="00CE0ECD" w:rsidP="00D30310">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D30310">
      <w:pPr>
        <w:pStyle w:val="AODocTxt"/>
        <w:spacing w:before="0" w:line="240" w:lineRule="auto"/>
        <w:rPr>
          <w:rFonts w:ascii="Avenir Next" w:hAnsi="Avenir Next"/>
        </w:rPr>
      </w:pPr>
    </w:p>
    <w:p w14:paraId="747AD76E" w14:textId="698BCE1E" w:rsidR="00CE0ECD" w:rsidRPr="002C4932" w:rsidRDefault="00CE0ECD" w:rsidP="00D30310">
      <w:pPr>
        <w:pStyle w:val="AODocTxt"/>
        <w:numPr>
          <w:ilvl w:val="0"/>
          <w:numId w:val="14"/>
        </w:numPr>
        <w:spacing w:before="0" w:line="240" w:lineRule="auto"/>
        <w:ind w:left="426"/>
        <w:rPr>
          <w:rFonts w:ascii="Avenir Next" w:hAnsi="Avenir Next"/>
        </w:rPr>
      </w:pPr>
      <w:r w:rsidRPr="001F6560">
        <w:rPr>
          <w:rFonts w:ascii="Avenir Next" w:hAnsi="Avenir Next"/>
          <w:highlight w:val="yellow"/>
        </w:rPr>
        <w:t>All of the above satisfy the minimum requirement for presence in the United States.</w:t>
      </w:r>
    </w:p>
    <w:p w14:paraId="336F4332" w14:textId="77777777" w:rsidR="00B77B19" w:rsidRPr="00B77B19" w:rsidRDefault="00B77B19" w:rsidP="00D30310">
      <w:pPr>
        <w:pStyle w:val="AODocTxt"/>
        <w:spacing w:before="0" w:line="240" w:lineRule="auto"/>
        <w:rPr>
          <w:rFonts w:ascii="Avenir Next" w:hAnsi="Avenir Next"/>
        </w:rPr>
      </w:pPr>
    </w:p>
    <w:p w14:paraId="27A79212" w14:textId="04C1BA41" w:rsidR="00CE0ECD" w:rsidRPr="00B77B19" w:rsidRDefault="00CE0ECD" w:rsidP="00D30310">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D30310">
      <w:pPr>
        <w:pStyle w:val="AODocTxt"/>
        <w:spacing w:before="0" w:line="240" w:lineRule="auto"/>
        <w:rPr>
          <w:rFonts w:ascii="Avenir Next" w:hAnsi="Avenir Next"/>
        </w:rPr>
      </w:pPr>
    </w:p>
    <w:p w14:paraId="02A8FE29" w14:textId="77777777" w:rsidR="00CE0ECD" w:rsidRPr="00B77B19" w:rsidRDefault="00CE0ECD" w:rsidP="00D30310">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D30310">
      <w:pPr>
        <w:pStyle w:val="AODocTxt"/>
        <w:spacing w:before="0" w:line="240" w:lineRule="auto"/>
        <w:rPr>
          <w:rFonts w:ascii="Avenir Next" w:hAnsi="Avenir Next"/>
        </w:rPr>
      </w:pPr>
    </w:p>
    <w:p w14:paraId="282B1B86" w14:textId="60CFD10C" w:rsidR="00CE0ECD" w:rsidRDefault="00CE0ECD" w:rsidP="00D30310">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D30310">
      <w:pPr>
        <w:pStyle w:val="AODocTxt"/>
        <w:spacing w:before="0" w:line="240" w:lineRule="auto"/>
        <w:rPr>
          <w:rFonts w:ascii="Avenir Next" w:hAnsi="Avenir Next"/>
        </w:rPr>
      </w:pPr>
    </w:p>
    <w:p w14:paraId="18CBB91A" w14:textId="256198DC" w:rsidR="00CE0ECD" w:rsidRDefault="00CE0ECD" w:rsidP="00D30310">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D30310">
      <w:pPr>
        <w:pStyle w:val="AODocTxt"/>
        <w:spacing w:before="0" w:line="240" w:lineRule="auto"/>
        <w:ind w:left="720" w:hanging="720"/>
        <w:rPr>
          <w:rFonts w:ascii="Avenir Next" w:hAnsi="Avenir Next"/>
        </w:rPr>
      </w:pPr>
    </w:p>
    <w:p w14:paraId="5A88E79F" w14:textId="5EC42238" w:rsidR="00CE0ECD" w:rsidRDefault="00CE0ECD" w:rsidP="00D30310">
      <w:pPr>
        <w:pStyle w:val="AODocTxt"/>
        <w:spacing w:before="0" w:line="240" w:lineRule="auto"/>
        <w:ind w:left="720" w:hanging="720"/>
        <w:rPr>
          <w:rFonts w:ascii="Avenir Next" w:hAnsi="Avenir Next"/>
        </w:rPr>
      </w:pPr>
      <w:r w:rsidRPr="00295E44">
        <w:rPr>
          <w:rFonts w:ascii="Avenir Next" w:hAnsi="Avenir Next"/>
          <w:highlight w:val="yellow"/>
        </w:rPr>
        <w:t>(b)</w:t>
      </w:r>
      <w:r w:rsidRPr="00295E44">
        <w:rPr>
          <w:rFonts w:ascii="Avenir Next" w:hAnsi="Avenir Next"/>
          <w:highlight w:val="yellow"/>
        </w:rPr>
        <w:tab/>
        <w:t>An environmental advocacy group that opposes ABC Corp’s operations.</w:t>
      </w:r>
    </w:p>
    <w:p w14:paraId="0CCA1087" w14:textId="77777777" w:rsidR="00197E4B" w:rsidRPr="00B77B19" w:rsidRDefault="00197E4B" w:rsidP="00D30310">
      <w:pPr>
        <w:pStyle w:val="AODocTxt"/>
        <w:spacing w:before="0" w:line="240" w:lineRule="auto"/>
        <w:ind w:left="720" w:hanging="720"/>
        <w:rPr>
          <w:rFonts w:ascii="Avenir Next" w:hAnsi="Avenir Next"/>
        </w:rPr>
      </w:pPr>
    </w:p>
    <w:p w14:paraId="512A9C0C" w14:textId="2C31F395" w:rsidR="00CE0ECD" w:rsidRDefault="00CE0ECD" w:rsidP="00D30310">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D30310">
      <w:pPr>
        <w:pStyle w:val="AODocTxt"/>
        <w:spacing w:before="0" w:line="240" w:lineRule="auto"/>
        <w:ind w:left="720" w:hanging="720"/>
        <w:rPr>
          <w:rFonts w:ascii="Avenir Next" w:hAnsi="Avenir Next"/>
        </w:rPr>
      </w:pPr>
    </w:p>
    <w:p w14:paraId="6AB157AA" w14:textId="135A75CC" w:rsidR="00CE0ECD" w:rsidRDefault="00CE0ECD" w:rsidP="00D30310">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D30310">
      <w:pPr>
        <w:pStyle w:val="AODocTxt"/>
        <w:spacing w:before="0" w:line="240" w:lineRule="auto"/>
        <w:ind w:left="720" w:hanging="720"/>
        <w:rPr>
          <w:rFonts w:ascii="Avenir Next" w:hAnsi="Avenir Next"/>
        </w:rPr>
      </w:pPr>
    </w:p>
    <w:p w14:paraId="307D16C2" w14:textId="41E75CC2" w:rsidR="00CE0ECD" w:rsidRDefault="00CE0ECD" w:rsidP="00D30310">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D30310">
      <w:pPr>
        <w:pStyle w:val="AODocTxt"/>
        <w:spacing w:before="0" w:line="240" w:lineRule="auto"/>
        <w:ind w:left="720" w:hanging="720"/>
        <w:rPr>
          <w:rFonts w:ascii="Avenir Next" w:hAnsi="Avenir Next"/>
        </w:rPr>
      </w:pPr>
    </w:p>
    <w:p w14:paraId="6F17CC0D" w14:textId="77777777" w:rsidR="00D04AFE" w:rsidRPr="00B77B19" w:rsidRDefault="00D04AFE" w:rsidP="00D30310">
      <w:pPr>
        <w:pStyle w:val="AODocTxt"/>
        <w:spacing w:before="0" w:line="240" w:lineRule="auto"/>
        <w:ind w:left="720" w:hanging="720"/>
        <w:rPr>
          <w:rFonts w:ascii="Avenir Next" w:hAnsi="Avenir Next"/>
        </w:rPr>
      </w:pPr>
    </w:p>
    <w:p w14:paraId="49DEEFEF" w14:textId="77777777" w:rsidR="00CE0ECD" w:rsidRPr="00D04AFE" w:rsidRDefault="00CE0ECD" w:rsidP="00D30310">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D30310">
      <w:pPr>
        <w:pStyle w:val="AODocTxt"/>
        <w:spacing w:before="0" w:line="240" w:lineRule="auto"/>
        <w:rPr>
          <w:rFonts w:ascii="Avenir Next" w:hAnsi="Avenir Next"/>
        </w:rPr>
      </w:pPr>
    </w:p>
    <w:p w14:paraId="08A78D67" w14:textId="7EFBF8AB" w:rsidR="00CE0ECD" w:rsidRDefault="00CE0ECD" w:rsidP="00D30310">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D30310">
      <w:pPr>
        <w:pStyle w:val="AODocTxt"/>
        <w:spacing w:before="0" w:line="240" w:lineRule="auto"/>
        <w:rPr>
          <w:rFonts w:ascii="Avenir Next" w:hAnsi="Avenir Next"/>
        </w:rPr>
      </w:pPr>
    </w:p>
    <w:p w14:paraId="1EE85946" w14:textId="1815964B" w:rsidR="00CE0ECD" w:rsidRPr="002C4932" w:rsidRDefault="00CE0ECD" w:rsidP="00D30310">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D30310">
      <w:pPr>
        <w:pStyle w:val="AODocTxt"/>
        <w:spacing w:before="0" w:line="240" w:lineRule="auto"/>
        <w:ind w:left="426" w:hanging="720"/>
        <w:rPr>
          <w:rFonts w:ascii="Avenir Next" w:hAnsi="Avenir Next"/>
        </w:rPr>
      </w:pPr>
    </w:p>
    <w:p w14:paraId="52B59664" w14:textId="0A17F18C" w:rsidR="00CE0ECD" w:rsidRDefault="00CE0ECD" w:rsidP="00D30310">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D30310">
      <w:pPr>
        <w:pStyle w:val="AODocTxt"/>
        <w:spacing w:before="0" w:line="240" w:lineRule="auto"/>
        <w:ind w:left="426" w:hanging="720"/>
        <w:rPr>
          <w:rFonts w:ascii="Avenir Next" w:hAnsi="Avenir Next"/>
        </w:rPr>
      </w:pPr>
    </w:p>
    <w:p w14:paraId="1B574A81" w14:textId="314D3C4B" w:rsidR="00CE0ECD" w:rsidRPr="00FF3465" w:rsidRDefault="00CE0ECD" w:rsidP="00D30310">
      <w:pPr>
        <w:pStyle w:val="AODocTxt"/>
        <w:numPr>
          <w:ilvl w:val="0"/>
          <w:numId w:val="16"/>
        </w:numPr>
        <w:spacing w:before="0" w:line="240" w:lineRule="auto"/>
        <w:ind w:left="426"/>
        <w:rPr>
          <w:rFonts w:ascii="Avenir Next" w:hAnsi="Avenir Next"/>
          <w:highlight w:val="yellow"/>
        </w:rPr>
      </w:pPr>
      <w:r w:rsidRPr="00FF3465">
        <w:rPr>
          <w:rFonts w:ascii="Avenir Next" w:hAnsi="Avenir Next"/>
          <w:highlight w:val="yellow"/>
        </w:rPr>
        <w:t xml:space="preserve">A </w:t>
      </w:r>
      <w:r w:rsidR="00D06A30" w:rsidRPr="00FF3465">
        <w:rPr>
          <w:rFonts w:ascii="Avenir Next" w:hAnsi="Avenir Next"/>
          <w:highlight w:val="yellow"/>
        </w:rPr>
        <w:t>10</w:t>
      </w:r>
      <w:r w:rsidRPr="00FF3465">
        <w:rPr>
          <w:rFonts w:ascii="Avenir Next" w:hAnsi="Avenir Next"/>
          <w:highlight w:val="yellow"/>
        </w:rPr>
        <w:t>-year software licensing agreement with XYZ Corp that is three years into performance.</w:t>
      </w:r>
    </w:p>
    <w:p w14:paraId="28B14F62" w14:textId="77777777" w:rsidR="00D04AFE" w:rsidRPr="00B77B19" w:rsidRDefault="00D04AFE" w:rsidP="00D30310">
      <w:pPr>
        <w:pStyle w:val="AODocTxt"/>
        <w:spacing w:before="0" w:line="240" w:lineRule="auto"/>
        <w:ind w:left="426" w:hanging="720"/>
        <w:rPr>
          <w:rFonts w:ascii="Avenir Next" w:hAnsi="Avenir Next"/>
        </w:rPr>
      </w:pPr>
    </w:p>
    <w:p w14:paraId="7ED1F7F9" w14:textId="6178462B" w:rsidR="00CE0ECD" w:rsidRDefault="00CE0ECD" w:rsidP="00D30310">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D30310">
      <w:pPr>
        <w:pStyle w:val="AODocTxt"/>
        <w:spacing w:before="0" w:line="240" w:lineRule="auto"/>
        <w:ind w:left="426" w:hanging="720"/>
        <w:rPr>
          <w:rFonts w:ascii="Avenir Next" w:hAnsi="Avenir Next"/>
        </w:rPr>
      </w:pPr>
    </w:p>
    <w:p w14:paraId="582305BD" w14:textId="470083A6" w:rsidR="00CE0ECD" w:rsidRDefault="00CE0ECD" w:rsidP="00D30310">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D30310">
      <w:pPr>
        <w:pStyle w:val="AODocTxt"/>
        <w:spacing w:before="0" w:line="240" w:lineRule="auto"/>
        <w:ind w:left="720" w:hanging="720"/>
        <w:rPr>
          <w:rFonts w:ascii="Avenir Next" w:hAnsi="Avenir Next"/>
        </w:rPr>
      </w:pPr>
    </w:p>
    <w:p w14:paraId="52A00E48" w14:textId="77777777" w:rsidR="00CE0ECD" w:rsidRPr="00097D56" w:rsidRDefault="00CE0ECD" w:rsidP="00D30310">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D30310">
      <w:pPr>
        <w:pStyle w:val="AODocTxt"/>
        <w:spacing w:before="0" w:line="240" w:lineRule="auto"/>
        <w:rPr>
          <w:rFonts w:ascii="Avenir Next" w:hAnsi="Avenir Next"/>
        </w:rPr>
      </w:pPr>
    </w:p>
    <w:p w14:paraId="6150CC33" w14:textId="5E5561DA" w:rsidR="00CE0ECD" w:rsidRDefault="00CE0ECD" w:rsidP="00D30310">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D30310">
      <w:pPr>
        <w:pStyle w:val="AODocTxt"/>
        <w:spacing w:before="0" w:line="240" w:lineRule="auto"/>
        <w:rPr>
          <w:rFonts w:ascii="Avenir Next" w:hAnsi="Avenir Next"/>
        </w:rPr>
      </w:pPr>
    </w:p>
    <w:p w14:paraId="73B6BDE1" w14:textId="2CE7F5C7" w:rsidR="00CE0ECD" w:rsidRDefault="00CE0ECD" w:rsidP="00D30310">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D30310">
      <w:pPr>
        <w:pStyle w:val="AODocTxt"/>
        <w:spacing w:before="0" w:line="240" w:lineRule="auto"/>
        <w:ind w:left="426" w:hanging="720"/>
        <w:rPr>
          <w:rFonts w:ascii="Avenir Next" w:hAnsi="Avenir Next"/>
        </w:rPr>
      </w:pPr>
    </w:p>
    <w:p w14:paraId="449F5C85" w14:textId="7120BF4A" w:rsidR="00CE0ECD" w:rsidRPr="0084247A" w:rsidRDefault="00CE0ECD" w:rsidP="00D30310">
      <w:pPr>
        <w:pStyle w:val="AODocTxt"/>
        <w:numPr>
          <w:ilvl w:val="0"/>
          <w:numId w:val="18"/>
        </w:numPr>
        <w:spacing w:before="0" w:line="240" w:lineRule="auto"/>
        <w:ind w:left="426"/>
        <w:rPr>
          <w:rFonts w:ascii="Avenir Next" w:hAnsi="Avenir Next"/>
          <w:highlight w:val="yellow"/>
        </w:rPr>
      </w:pPr>
      <w:r w:rsidRPr="0084247A">
        <w:rPr>
          <w:rFonts w:ascii="Avenir Next" w:hAnsi="Avenir Next"/>
          <w:highlight w:val="yellow"/>
        </w:rPr>
        <w:t>The plan is not likely to be followed by liquidation.</w:t>
      </w:r>
    </w:p>
    <w:p w14:paraId="7AFCB9FD" w14:textId="77777777" w:rsidR="00D04AFE" w:rsidRPr="00B77B19" w:rsidRDefault="00D04AFE" w:rsidP="00D30310">
      <w:pPr>
        <w:pStyle w:val="AODocTxt"/>
        <w:spacing w:before="0" w:line="240" w:lineRule="auto"/>
        <w:ind w:left="426" w:hanging="720"/>
        <w:rPr>
          <w:rFonts w:ascii="Avenir Next" w:hAnsi="Avenir Next"/>
        </w:rPr>
      </w:pPr>
    </w:p>
    <w:p w14:paraId="30AD36DB" w14:textId="10576C00" w:rsidR="00CE0ECD" w:rsidRDefault="00CE0ECD" w:rsidP="00D30310">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D30310">
      <w:pPr>
        <w:pStyle w:val="AODocTxt"/>
        <w:spacing w:before="0" w:line="240" w:lineRule="auto"/>
        <w:ind w:left="426" w:hanging="720"/>
        <w:rPr>
          <w:rFonts w:ascii="Avenir Next" w:hAnsi="Avenir Next"/>
        </w:rPr>
      </w:pPr>
    </w:p>
    <w:p w14:paraId="001E2F8D" w14:textId="04D7080E" w:rsidR="00CE0ECD" w:rsidRDefault="00CE0ECD" w:rsidP="00D30310">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D30310">
      <w:pPr>
        <w:pStyle w:val="AODocTxt"/>
        <w:spacing w:before="0" w:line="240" w:lineRule="auto"/>
        <w:ind w:left="426" w:hanging="720"/>
        <w:rPr>
          <w:rFonts w:ascii="Avenir Next" w:hAnsi="Avenir Next"/>
        </w:rPr>
      </w:pPr>
    </w:p>
    <w:p w14:paraId="2112EC59" w14:textId="485CC293" w:rsidR="00CE0ECD" w:rsidRDefault="00CE0ECD" w:rsidP="00D30310">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D30310">
      <w:pPr>
        <w:pStyle w:val="AODocTxt"/>
        <w:spacing w:before="0" w:line="240" w:lineRule="auto"/>
        <w:ind w:left="720" w:hanging="720"/>
        <w:rPr>
          <w:rFonts w:ascii="Avenir Next" w:hAnsi="Avenir Next"/>
        </w:rPr>
      </w:pPr>
    </w:p>
    <w:p w14:paraId="6E01C7AE" w14:textId="77777777" w:rsidR="00CE0ECD" w:rsidRPr="00A82B32" w:rsidRDefault="00CE0ECD" w:rsidP="00D30310">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D30310">
      <w:pPr>
        <w:pStyle w:val="AODocTxt"/>
        <w:spacing w:before="0" w:line="240" w:lineRule="auto"/>
        <w:rPr>
          <w:rFonts w:ascii="Avenir Next" w:hAnsi="Avenir Next"/>
        </w:rPr>
      </w:pPr>
    </w:p>
    <w:p w14:paraId="55565306" w14:textId="508B5639" w:rsidR="00CE0ECD" w:rsidRDefault="00CE0ECD" w:rsidP="00D30310">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D30310">
      <w:pPr>
        <w:pStyle w:val="AODocTxt"/>
        <w:spacing w:before="0" w:line="240" w:lineRule="auto"/>
        <w:rPr>
          <w:rFonts w:ascii="Avenir Next" w:hAnsi="Avenir Next"/>
        </w:rPr>
      </w:pPr>
    </w:p>
    <w:p w14:paraId="6BBBEDE9" w14:textId="04C6A962" w:rsidR="00CE0ECD" w:rsidRDefault="00CE0ECD" w:rsidP="00D30310">
      <w:pPr>
        <w:pStyle w:val="AODocTxt"/>
        <w:numPr>
          <w:ilvl w:val="0"/>
          <w:numId w:val="20"/>
        </w:numPr>
        <w:spacing w:before="0" w:line="240" w:lineRule="auto"/>
        <w:ind w:left="426"/>
        <w:rPr>
          <w:rFonts w:ascii="Avenir Next" w:hAnsi="Avenir Next"/>
        </w:rPr>
      </w:pPr>
      <w:r w:rsidRPr="0084247A">
        <w:rPr>
          <w:rFonts w:ascii="Avenir Next" w:hAnsi="Avenir Next"/>
          <w:highlight w:val="yellow"/>
        </w:rPr>
        <w:t>The plan of reorganization must be fair and equitable to all impaired classes.</w:t>
      </w:r>
    </w:p>
    <w:p w14:paraId="179902ED" w14:textId="77777777" w:rsidR="00D04AFE" w:rsidRPr="00B77B19" w:rsidRDefault="00D04AFE" w:rsidP="00D30310">
      <w:pPr>
        <w:pStyle w:val="AODocTxt"/>
        <w:spacing w:before="0" w:line="240" w:lineRule="auto"/>
        <w:ind w:left="426" w:hanging="720"/>
        <w:rPr>
          <w:rFonts w:ascii="Avenir Next" w:hAnsi="Avenir Next"/>
        </w:rPr>
      </w:pPr>
    </w:p>
    <w:p w14:paraId="23A2F098" w14:textId="19CBD51F" w:rsidR="00CE0ECD" w:rsidRDefault="00CE0ECD" w:rsidP="00D30310">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D30310">
      <w:pPr>
        <w:pStyle w:val="AODocTxt"/>
        <w:spacing w:before="0" w:line="240" w:lineRule="auto"/>
        <w:ind w:left="426" w:hanging="720"/>
        <w:rPr>
          <w:rFonts w:ascii="Avenir Next" w:hAnsi="Avenir Next"/>
        </w:rPr>
      </w:pPr>
    </w:p>
    <w:p w14:paraId="3CF4AEE4" w14:textId="3BBBCD4B" w:rsidR="00CE0ECD" w:rsidRDefault="00CE0ECD" w:rsidP="00D30310">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D30310">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D30310">
      <w:pPr>
        <w:pStyle w:val="AODocTxt"/>
        <w:spacing w:before="0" w:line="240" w:lineRule="auto"/>
        <w:ind w:left="426" w:hanging="720"/>
        <w:rPr>
          <w:rFonts w:ascii="Avenir Next" w:hAnsi="Avenir Next"/>
        </w:rPr>
      </w:pPr>
    </w:p>
    <w:p w14:paraId="48292682" w14:textId="0726E0BC" w:rsidR="00CE0ECD" w:rsidRPr="002C4932" w:rsidRDefault="00CE0ECD" w:rsidP="00D30310">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D30310">
      <w:pPr>
        <w:pStyle w:val="AODocTxt"/>
        <w:spacing w:before="0" w:line="240" w:lineRule="auto"/>
        <w:ind w:left="720" w:hanging="720"/>
        <w:rPr>
          <w:rFonts w:ascii="Avenir Next" w:hAnsi="Avenir Next"/>
        </w:rPr>
      </w:pPr>
    </w:p>
    <w:p w14:paraId="6DB72C6E" w14:textId="77777777" w:rsidR="00CE0ECD" w:rsidRPr="00E421C6" w:rsidRDefault="00CE0ECD" w:rsidP="00D30310">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D30310">
      <w:pPr>
        <w:pStyle w:val="AODocTxt"/>
        <w:spacing w:before="0" w:line="240" w:lineRule="auto"/>
        <w:rPr>
          <w:rFonts w:ascii="Avenir Next" w:hAnsi="Avenir Next"/>
        </w:rPr>
      </w:pPr>
    </w:p>
    <w:p w14:paraId="273064AF" w14:textId="422891D7" w:rsidR="00CE0ECD" w:rsidRDefault="00CE0ECD" w:rsidP="00D30310">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D30310">
      <w:pPr>
        <w:pStyle w:val="AODocTxt"/>
        <w:spacing w:before="0" w:line="240" w:lineRule="auto"/>
        <w:rPr>
          <w:rFonts w:ascii="Avenir Next" w:hAnsi="Avenir Next"/>
        </w:rPr>
      </w:pPr>
    </w:p>
    <w:p w14:paraId="069356A2" w14:textId="5925E9B6" w:rsidR="00CE0ECD" w:rsidRDefault="00CE0ECD" w:rsidP="00D30310">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D30310">
      <w:pPr>
        <w:pStyle w:val="AODocTxt"/>
        <w:spacing w:before="0" w:line="240" w:lineRule="auto"/>
        <w:ind w:left="426" w:hanging="720"/>
        <w:rPr>
          <w:rFonts w:ascii="Avenir Next" w:hAnsi="Avenir Next"/>
        </w:rPr>
      </w:pPr>
    </w:p>
    <w:p w14:paraId="5D6F3C26" w14:textId="73AC9C34" w:rsidR="00CE0ECD" w:rsidRDefault="00CE0ECD" w:rsidP="00D30310">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D30310">
      <w:pPr>
        <w:pStyle w:val="AODocTxt"/>
        <w:spacing w:before="0" w:line="240" w:lineRule="auto"/>
        <w:ind w:left="426" w:hanging="720"/>
        <w:rPr>
          <w:rFonts w:ascii="Avenir Next" w:hAnsi="Avenir Next"/>
        </w:rPr>
      </w:pPr>
    </w:p>
    <w:p w14:paraId="0F635998" w14:textId="3FF162F0" w:rsidR="00CE0ECD" w:rsidRPr="002C4932" w:rsidRDefault="00CE0ECD" w:rsidP="00D30310">
      <w:pPr>
        <w:pStyle w:val="AODocTxt"/>
        <w:numPr>
          <w:ilvl w:val="0"/>
          <w:numId w:val="22"/>
        </w:numPr>
        <w:spacing w:before="0" w:line="240" w:lineRule="auto"/>
        <w:ind w:left="426"/>
        <w:rPr>
          <w:rFonts w:ascii="Avenir Next" w:hAnsi="Avenir Next"/>
        </w:rPr>
      </w:pPr>
      <w:r w:rsidRPr="0084247A">
        <w:rPr>
          <w:rFonts w:ascii="Avenir Next" w:hAnsi="Avenir Next"/>
          <w:highlight w:val="yellow"/>
        </w:rPr>
        <w:t>In chapter 15 proceedings, a foreign court’s approval alone suffices for a 363 sale.</w:t>
      </w:r>
    </w:p>
    <w:p w14:paraId="0F24E1F6" w14:textId="77777777" w:rsidR="00D04AFE" w:rsidRPr="00B77B19" w:rsidRDefault="00D04AFE" w:rsidP="00D30310">
      <w:pPr>
        <w:pStyle w:val="AODocTxt"/>
        <w:spacing w:before="0" w:line="240" w:lineRule="auto"/>
        <w:ind w:left="426" w:hanging="720"/>
        <w:rPr>
          <w:rFonts w:ascii="Avenir Next" w:hAnsi="Avenir Next"/>
        </w:rPr>
      </w:pPr>
    </w:p>
    <w:p w14:paraId="7170E340" w14:textId="2A6D6855" w:rsidR="00CE0ECD" w:rsidRDefault="00CE0ECD" w:rsidP="00D30310">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D30310">
      <w:pPr>
        <w:pStyle w:val="AODocTxt"/>
        <w:spacing w:before="0" w:line="240" w:lineRule="auto"/>
        <w:ind w:left="426" w:hanging="720"/>
        <w:rPr>
          <w:rFonts w:ascii="Avenir Next" w:hAnsi="Avenir Next"/>
        </w:rPr>
      </w:pPr>
    </w:p>
    <w:p w14:paraId="12CAEF96" w14:textId="424841DF" w:rsidR="00CE0ECD" w:rsidRDefault="00CE0ECD" w:rsidP="00D30310">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D30310">
      <w:pPr>
        <w:pStyle w:val="AODocTxt"/>
        <w:spacing w:before="0" w:line="240" w:lineRule="auto"/>
        <w:rPr>
          <w:rFonts w:ascii="Avenir Next" w:hAnsi="Avenir Next"/>
        </w:rPr>
      </w:pPr>
    </w:p>
    <w:p w14:paraId="0E55FF2C" w14:textId="77777777" w:rsidR="00CE0ECD" w:rsidRPr="000346E7" w:rsidRDefault="00CE0ECD" w:rsidP="00D30310">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D30310">
      <w:pPr>
        <w:pStyle w:val="AODocTxt"/>
        <w:keepNext/>
        <w:spacing w:before="0" w:line="240" w:lineRule="auto"/>
        <w:rPr>
          <w:rFonts w:ascii="Avenir Next" w:hAnsi="Avenir Next"/>
        </w:rPr>
      </w:pPr>
    </w:p>
    <w:p w14:paraId="142AFEDF" w14:textId="320D71A2" w:rsidR="00CE0ECD" w:rsidRDefault="00CE0ECD" w:rsidP="00D30310">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D30310">
      <w:pPr>
        <w:pStyle w:val="AODocTxt"/>
        <w:keepNext/>
        <w:spacing w:before="0" w:line="240" w:lineRule="auto"/>
        <w:rPr>
          <w:rFonts w:ascii="Avenir Next" w:hAnsi="Avenir Next"/>
        </w:rPr>
      </w:pPr>
    </w:p>
    <w:p w14:paraId="50807A37" w14:textId="0EB7C0AC" w:rsidR="00CE0ECD" w:rsidRDefault="00CE0ECD" w:rsidP="00D30310">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D30310">
      <w:pPr>
        <w:pStyle w:val="AODocTxt"/>
        <w:spacing w:before="0" w:line="240" w:lineRule="auto"/>
        <w:ind w:left="426" w:hanging="720"/>
        <w:rPr>
          <w:rFonts w:ascii="Avenir Next" w:hAnsi="Avenir Next"/>
        </w:rPr>
      </w:pPr>
    </w:p>
    <w:p w14:paraId="6BDD7B93" w14:textId="689DD83B" w:rsidR="00CE0ECD" w:rsidRDefault="00CE0ECD" w:rsidP="00D30310">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D30310">
      <w:pPr>
        <w:pStyle w:val="AODocTxt"/>
        <w:spacing w:before="0" w:line="240" w:lineRule="auto"/>
        <w:ind w:left="426" w:hanging="720"/>
        <w:rPr>
          <w:rFonts w:ascii="Avenir Next" w:hAnsi="Avenir Next"/>
        </w:rPr>
      </w:pPr>
    </w:p>
    <w:p w14:paraId="2ADAB050" w14:textId="0A7D49A5" w:rsidR="00CE0ECD" w:rsidRDefault="00CE0ECD" w:rsidP="00D30310">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D30310">
      <w:pPr>
        <w:pStyle w:val="AODocTxt"/>
        <w:spacing w:before="0" w:line="240" w:lineRule="auto"/>
        <w:ind w:left="426" w:hanging="720"/>
        <w:rPr>
          <w:rFonts w:ascii="Avenir Next" w:hAnsi="Avenir Next"/>
        </w:rPr>
      </w:pPr>
    </w:p>
    <w:p w14:paraId="22AAB4EC" w14:textId="037EFC3D" w:rsidR="00CE0ECD" w:rsidRPr="004C7BF0" w:rsidRDefault="00CE0ECD" w:rsidP="00D30310">
      <w:pPr>
        <w:pStyle w:val="AODocTxt"/>
        <w:numPr>
          <w:ilvl w:val="0"/>
          <w:numId w:val="24"/>
        </w:numPr>
        <w:spacing w:before="0" w:line="240" w:lineRule="auto"/>
        <w:ind w:left="426"/>
        <w:rPr>
          <w:rFonts w:ascii="Avenir Next" w:hAnsi="Avenir Next"/>
          <w:highlight w:val="yellow"/>
        </w:rPr>
      </w:pPr>
      <w:r w:rsidRPr="004C7BF0">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D30310">
      <w:pPr>
        <w:pStyle w:val="AODocTxt"/>
        <w:spacing w:before="0" w:line="240" w:lineRule="auto"/>
        <w:ind w:left="426" w:hanging="720"/>
        <w:rPr>
          <w:rFonts w:ascii="Avenir Next" w:hAnsi="Avenir Next"/>
        </w:rPr>
      </w:pPr>
    </w:p>
    <w:p w14:paraId="09EB7CA2" w14:textId="399F539A" w:rsidR="00CE0ECD" w:rsidRDefault="00CE0ECD" w:rsidP="00D30310">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D30310">
      <w:pPr>
        <w:pStyle w:val="AODocTxt"/>
        <w:spacing w:before="0" w:line="240" w:lineRule="auto"/>
        <w:rPr>
          <w:rFonts w:ascii="Avenir Next" w:hAnsi="Avenir Next"/>
        </w:rPr>
      </w:pPr>
    </w:p>
    <w:p w14:paraId="2A18FD7D" w14:textId="77777777" w:rsidR="00CE0ECD" w:rsidRPr="000346E7" w:rsidRDefault="00CE0ECD" w:rsidP="00D30310">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D30310">
      <w:pPr>
        <w:pStyle w:val="AODocTxt"/>
        <w:keepNext/>
        <w:spacing w:before="0" w:line="240" w:lineRule="auto"/>
        <w:rPr>
          <w:rFonts w:ascii="Avenir Next" w:hAnsi="Avenir Next"/>
        </w:rPr>
      </w:pPr>
    </w:p>
    <w:p w14:paraId="1BC16573" w14:textId="5CDA2534" w:rsidR="00CE0ECD" w:rsidRDefault="00CE0ECD" w:rsidP="00D30310">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D30310">
      <w:pPr>
        <w:pStyle w:val="AODocTxt"/>
        <w:keepNext/>
        <w:spacing w:before="0" w:line="240" w:lineRule="auto"/>
        <w:rPr>
          <w:rFonts w:ascii="Avenir Next" w:hAnsi="Avenir Next"/>
        </w:rPr>
      </w:pPr>
    </w:p>
    <w:p w14:paraId="655DB9BA" w14:textId="46BB8DBD" w:rsidR="00CE0ECD" w:rsidRPr="004C7BF0" w:rsidRDefault="00CE0ECD" w:rsidP="00D30310">
      <w:pPr>
        <w:pStyle w:val="AODocTxt"/>
        <w:numPr>
          <w:ilvl w:val="0"/>
          <w:numId w:val="26"/>
        </w:numPr>
        <w:spacing w:before="0" w:line="240" w:lineRule="auto"/>
        <w:ind w:left="426"/>
        <w:rPr>
          <w:rFonts w:ascii="Avenir Next" w:hAnsi="Avenir Next"/>
          <w:highlight w:val="yellow"/>
        </w:rPr>
      </w:pPr>
      <w:r w:rsidRPr="004C7BF0">
        <w:rPr>
          <w:rFonts w:ascii="Avenir Next" w:hAnsi="Avenir Next"/>
          <w:highlight w:val="yellow"/>
        </w:rPr>
        <w:t>Immediately on the filing of any plenary petition.</w:t>
      </w:r>
    </w:p>
    <w:p w14:paraId="096CF4F9" w14:textId="77777777" w:rsidR="00D04AFE" w:rsidRPr="00B77B19" w:rsidRDefault="00D04AFE" w:rsidP="00D30310">
      <w:pPr>
        <w:pStyle w:val="AODocTxt"/>
        <w:spacing w:before="0" w:line="240" w:lineRule="auto"/>
        <w:ind w:left="426" w:hanging="720"/>
        <w:rPr>
          <w:rFonts w:ascii="Avenir Next" w:hAnsi="Avenir Next"/>
        </w:rPr>
      </w:pPr>
    </w:p>
    <w:p w14:paraId="57AB0350" w14:textId="45F648D1" w:rsidR="00CE0ECD" w:rsidRDefault="00CE0ECD" w:rsidP="00D30310">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D30310">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D30310">
      <w:pPr>
        <w:pStyle w:val="AODocTxt"/>
        <w:spacing w:before="0" w:line="240" w:lineRule="auto"/>
        <w:ind w:left="426" w:hanging="720"/>
        <w:rPr>
          <w:rFonts w:ascii="Avenir Next" w:hAnsi="Avenir Next"/>
        </w:rPr>
      </w:pPr>
    </w:p>
    <w:p w14:paraId="7921A9CF" w14:textId="03DEC3B4" w:rsidR="00CE0ECD" w:rsidRDefault="00CE0ECD" w:rsidP="00D30310">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D30310">
      <w:pPr>
        <w:pStyle w:val="AODocTxt"/>
        <w:spacing w:before="0" w:line="240" w:lineRule="auto"/>
        <w:ind w:left="426" w:hanging="720"/>
        <w:rPr>
          <w:rFonts w:ascii="Avenir Next" w:hAnsi="Avenir Next"/>
        </w:rPr>
      </w:pPr>
    </w:p>
    <w:p w14:paraId="1B7C543A" w14:textId="14068CB6" w:rsidR="00CE0ECD" w:rsidRDefault="00CE0ECD" w:rsidP="00D30310">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D30310">
      <w:pPr>
        <w:pStyle w:val="AODocTxt"/>
        <w:spacing w:before="0" w:line="240" w:lineRule="auto"/>
        <w:rPr>
          <w:rFonts w:ascii="Avenir Next" w:hAnsi="Avenir Next"/>
        </w:rPr>
      </w:pPr>
    </w:p>
    <w:p w14:paraId="0BB7E973" w14:textId="77777777" w:rsidR="00CE0ECD" w:rsidRPr="004830F8" w:rsidRDefault="00CE0ECD" w:rsidP="00D30310">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D30310">
      <w:pPr>
        <w:pStyle w:val="AODocTxt"/>
        <w:keepNext/>
        <w:spacing w:before="0" w:line="240" w:lineRule="auto"/>
        <w:rPr>
          <w:rFonts w:ascii="Avenir Next" w:hAnsi="Avenir Next"/>
        </w:rPr>
      </w:pPr>
    </w:p>
    <w:p w14:paraId="298392FB" w14:textId="569AEF3F" w:rsidR="00CE0ECD" w:rsidRDefault="00CE0ECD" w:rsidP="00D30310">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D30310">
      <w:pPr>
        <w:pStyle w:val="AODocTxt"/>
        <w:keepNext/>
        <w:spacing w:before="0" w:line="240" w:lineRule="auto"/>
        <w:rPr>
          <w:rFonts w:ascii="Avenir Next" w:hAnsi="Avenir Next"/>
        </w:rPr>
      </w:pPr>
    </w:p>
    <w:p w14:paraId="37AA757C" w14:textId="0C433FD8" w:rsidR="00CE0ECD" w:rsidRDefault="00CE0ECD" w:rsidP="00D30310">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D30310">
      <w:pPr>
        <w:pStyle w:val="AODocTxt"/>
        <w:spacing w:before="0" w:line="240" w:lineRule="auto"/>
        <w:ind w:left="426" w:hanging="720"/>
        <w:rPr>
          <w:rFonts w:ascii="Avenir Next" w:hAnsi="Avenir Next"/>
        </w:rPr>
      </w:pPr>
    </w:p>
    <w:p w14:paraId="2169E8C5" w14:textId="3891A14B" w:rsidR="00CE0ECD" w:rsidRDefault="00CE0ECD" w:rsidP="00D30310">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D30310">
      <w:pPr>
        <w:pStyle w:val="AODocTxt"/>
        <w:spacing w:before="0" w:line="240" w:lineRule="auto"/>
        <w:ind w:left="426" w:hanging="720"/>
        <w:rPr>
          <w:rFonts w:ascii="Avenir Next" w:hAnsi="Avenir Next"/>
        </w:rPr>
      </w:pPr>
    </w:p>
    <w:p w14:paraId="7713956B" w14:textId="45E5967C" w:rsidR="00CE0ECD" w:rsidRPr="004C7BF0" w:rsidRDefault="00CE0ECD" w:rsidP="00D30310">
      <w:pPr>
        <w:pStyle w:val="AODocTxt"/>
        <w:numPr>
          <w:ilvl w:val="0"/>
          <w:numId w:val="28"/>
        </w:numPr>
        <w:spacing w:before="0" w:line="240" w:lineRule="auto"/>
        <w:ind w:left="426"/>
        <w:rPr>
          <w:rFonts w:ascii="Avenir Next" w:hAnsi="Avenir Next"/>
          <w:highlight w:val="yellow"/>
        </w:rPr>
      </w:pPr>
      <w:r w:rsidRPr="004C7BF0">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D30310">
      <w:pPr>
        <w:pStyle w:val="AODocTxt"/>
        <w:spacing w:before="0" w:line="240" w:lineRule="auto"/>
        <w:ind w:left="426" w:hanging="720"/>
        <w:rPr>
          <w:rFonts w:ascii="Avenir Next" w:hAnsi="Avenir Next"/>
        </w:rPr>
      </w:pPr>
    </w:p>
    <w:p w14:paraId="4558317E" w14:textId="13CADD87" w:rsidR="00CE0ECD" w:rsidRDefault="00CE0ECD" w:rsidP="00D30310">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D30310">
      <w:pPr>
        <w:pStyle w:val="AODocTxt"/>
        <w:spacing w:before="0" w:line="240" w:lineRule="auto"/>
        <w:ind w:left="426" w:hanging="720"/>
        <w:rPr>
          <w:rFonts w:ascii="Avenir Next" w:hAnsi="Avenir Next"/>
        </w:rPr>
      </w:pPr>
    </w:p>
    <w:p w14:paraId="636F7FEB" w14:textId="68A14CA5" w:rsidR="00CE0ECD" w:rsidRDefault="00CE0ECD" w:rsidP="00D30310">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D30310">
      <w:pPr>
        <w:pStyle w:val="AODocTxt"/>
        <w:spacing w:before="0" w:line="240" w:lineRule="auto"/>
        <w:rPr>
          <w:rFonts w:ascii="Avenir Next" w:hAnsi="Avenir Next"/>
        </w:rPr>
      </w:pPr>
    </w:p>
    <w:p w14:paraId="478B4FB5" w14:textId="77777777" w:rsidR="00CE0ECD" w:rsidRPr="00AA0280" w:rsidRDefault="00CE0ECD" w:rsidP="00D30310">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D30310">
      <w:pPr>
        <w:pStyle w:val="AODocTxt"/>
        <w:keepNext/>
        <w:spacing w:before="0" w:line="240" w:lineRule="auto"/>
        <w:rPr>
          <w:rFonts w:ascii="Avenir Next" w:hAnsi="Avenir Next"/>
        </w:rPr>
      </w:pPr>
    </w:p>
    <w:p w14:paraId="467DBDD4" w14:textId="2633DF57" w:rsidR="00CE0ECD" w:rsidRDefault="00CE0ECD" w:rsidP="00D30310">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D30310">
      <w:pPr>
        <w:pStyle w:val="AODocTxt"/>
        <w:keepNext/>
        <w:spacing w:before="0" w:line="240" w:lineRule="auto"/>
        <w:rPr>
          <w:rFonts w:ascii="Avenir Next" w:hAnsi="Avenir Next"/>
        </w:rPr>
      </w:pPr>
    </w:p>
    <w:p w14:paraId="60E83725" w14:textId="48C83E1D" w:rsidR="00CE0ECD" w:rsidRDefault="00CE0ECD" w:rsidP="00D3031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D30310">
      <w:pPr>
        <w:pStyle w:val="AODocTxt"/>
        <w:keepNext/>
        <w:spacing w:before="0" w:line="240" w:lineRule="auto"/>
        <w:ind w:left="426" w:hanging="720"/>
        <w:rPr>
          <w:rFonts w:ascii="Avenir Next" w:hAnsi="Avenir Next"/>
        </w:rPr>
      </w:pPr>
    </w:p>
    <w:p w14:paraId="47986B12" w14:textId="5972A92C" w:rsidR="00CE0ECD" w:rsidRDefault="00CE0ECD" w:rsidP="00D3031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D30310">
      <w:pPr>
        <w:pStyle w:val="AODocTxt"/>
        <w:spacing w:before="0" w:line="240" w:lineRule="auto"/>
        <w:ind w:left="426" w:hanging="720"/>
        <w:rPr>
          <w:rFonts w:ascii="Avenir Next" w:hAnsi="Avenir Next"/>
        </w:rPr>
      </w:pPr>
    </w:p>
    <w:p w14:paraId="3D506935" w14:textId="1ED0E8BC" w:rsidR="00CE0ECD" w:rsidRDefault="00CE0ECD" w:rsidP="00D3031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D30310">
      <w:pPr>
        <w:pStyle w:val="AODocTxt"/>
        <w:spacing w:before="0" w:line="240" w:lineRule="auto"/>
        <w:ind w:left="426" w:hanging="720"/>
        <w:rPr>
          <w:rFonts w:ascii="Avenir Next" w:hAnsi="Avenir Next"/>
        </w:rPr>
      </w:pPr>
    </w:p>
    <w:p w14:paraId="50E0DDA9" w14:textId="4F7D2F6A" w:rsidR="00CE0ECD" w:rsidRDefault="00CE0ECD" w:rsidP="00D3031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D30310">
      <w:pPr>
        <w:pStyle w:val="AODocTxt"/>
        <w:spacing w:before="0" w:line="240" w:lineRule="auto"/>
        <w:ind w:left="426" w:hanging="720"/>
        <w:rPr>
          <w:rFonts w:ascii="Avenir Next" w:hAnsi="Avenir Next"/>
        </w:rPr>
      </w:pPr>
    </w:p>
    <w:p w14:paraId="5DA47A34" w14:textId="1090DB6A" w:rsidR="00CE0ECD" w:rsidRPr="00AB56BB" w:rsidRDefault="00CE0ECD" w:rsidP="00D30310">
      <w:pPr>
        <w:pStyle w:val="AODocTxt"/>
        <w:numPr>
          <w:ilvl w:val="0"/>
          <w:numId w:val="30"/>
        </w:numPr>
        <w:spacing w:before="0" w:line="240" w:lineRule="auto"/>
        <w:ind w:left="426"/>
        <w:rPr>
          <w:rFonts w:ascii="Avenir Next" w:hAnsi="Avenir Next"/>
          <w:highlight w:val="yellow"/>
        </w:rPr>
      </w:pPr>
      <w:r w:rsidRPr="00AB56BB">
        <w:rPr>
          <w:rFonts w:ascii="Avenir Next" w:hAnsi="Avenir Next"/>
          <w:highlight w:val="yellow"/>
        </w:rPr>
        <w:t>All of the above.</w:t>
      </w:r>
    </w:p>
    <w:p w14:paraId="09F1069E" w14:textId="77777777" w:rsidR="00CE0ECD" w:rsidRPr="00B77B19" w:rsidRDefault="00CE0ECD" w:rsidP="00D30310">
      <w:pPr>
        <w:pStyle w:val="AODocTxt"/>
        <w:spacing w:before="0" w:line="240" w:lineRule="auto"/>
        <w:rPr>
          <w:rFonts w:ascii="Avenir Next" w:hAnsi="Avenir Next"/>
        </w:rPr>
      </w:pPr>
    </w:p>
    <w:p w14:paraId="53420A26" w14:textId="77777777" w:rsidR="00ED74BC" w:rsidRPr="00323167" w:rsidRDefault="00ED74BC" w:rsidP="00D30310">
      <w:pPr>
        <w:pStyle w:val="AODocTxt"/>
        <w:spacing w:before="0" w:line="240" w:lineRule="auto"/>
        <w:rPr>
          <w:rFonts w:ascii="Arial" w:hAnsi="Arial" w:cs="Arial"/>
        </w:rPr>
      </w:pPr>
    </w:p>
    <w:p w14:paraId="5E17678D" w14:textId="77777777" w:rsidR="00323167" w:rsidRPr="00AA0280" w:rsidRDefault="00323167" w:rsidP="00D30310">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D30310">
      <w:pPr>
        <w:pStyle w:val="AODocTxt"/>
        <w:spacing w:before="0" w:line="240" w:lineRule="auto"/>
        <w:rPr>
          <w:rFonts w:ascii="Avenir Next Demi Bold" w:hAnsi="Avenir Next Demi Bold" w:cs="Arial"/>
          <w:b/>
          <w:bCs/>
        </w:rPr>
      </w:pPr>
    </w:p>
    <w:p w14:paraId="42EC6769" w14:textId="1B13C710" w:rsidR="00323167" w:rsidRPr="00AA0280" w:rsidRDefault="00323167" w:rsidP="00D30310">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D30310">
      <w:pPr>
        <w:pStyle w:val="AODocTxt"/>
        <w:spacing w:before="0" w:line="240" w:lineRule="auto"/>
        <w:rPr>
          <w:rFonts w:ascii="Avenir Next" w:hAnsi="Avenir Next" w:cs="Arial"/>
        </w:rPr>
      </w:pPr>
    </w:p>
    <w:p w14:paraId="0ABDCCBB" w14:textId="77777777" w:rsidR="00AA0280" w:rsidRPr="00AA0280" w:rsidRDefault="00AA0280" w:rsidP="00D3031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D30310">
      <w:pPr>
        <w:pStyle w:val="AODocTxt"/>
        <w:spacing w:before="0"/>
        <w:rPr>
          <w:rFonts w:ascii="Avenir Next" w:hAnsi="Avenir Next"/>
        </w:rPr>
      </w:pPr>
    </w:p>
    <w:p w14:paraId="3E67FBD8" w14:textId="5DFF4671" w:rsidR="00E41578" w:rsidRPr="00E41578" w:rsidRDefault="00E15CFA"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C50603">
        <w:rPr>
          <w:rFonts w:ascii="Avenir Next" w:hAnsi="Avenir Next" w:cs="Arial"/>
          <w:color w:val="7B7B7B" w:themeColor="accent3" w:themeShade="BF"/>
          <w:sz w:val="22"/>
          <w:szCs w:val="22"/>
          <w:lang w:val="en-GB"/>
        </w:rPr>
        <w:t xml:space="preserve">situation of setoff arises when the debtor owes monies to the creditor, and also in turn the creditor owes monies to the debtor. </w:t>
      </w:r>
      <w:r w:rsidR="0054307E">
        <w:rPr>
          <w:rFonts w:ascii="Avenir Next" w:hAnsi="Avenir Next" w:cs="Arial"/>
          <w:color w:val="7B7B7B" w:themeColor="accent3" w:themeShade="BF"/>
          <w:sz w:val="22"/>
          <w:szCs w:val="22"/>
          <w:lang w:val="en-GB"/>
        </w:rPr>
        <w:t>So,</w:t>
      </w:r>
      <w:r w:rsidR="00C50603">
        <w:rPr>
          <w:rFonts w:ascii="Avenir Next" w:hAnsi="Avenir Next" w:cs="Arial"/>
          <w:color w:val="7B7B7B" w:themeColor="accent3" w:themeShade="BF"/>
          <w:sz w:val="22"/>
          <w:szCs w:val="22"/>
          <w:lang w:val="en-GB"/>
        </w:rPr>
        <w:t xml:space="preserve"> when in such circumstances,</w:t>
      </w:r>
      <w:r w:rsidR="00F50D22">
        <w:rPr>
          <w:rFonts w:ascii="Avenir Next" w:hAnsi="Avenir Next" w:cs="Arial"/>
          <w:color w:val="7B7B7B" w:themeColor="accent3" w:themeShade="BF"/>
          <w:sz w:val="22"/>
          <w:szCs w:val="22"/>
          <w:lang w:val="en-GB"/>
        </w:rPr>
        <w:t xml:space="preserve"> the times comes </w:t>
      </w:r>
      <w:r w:rsidR="00CF0BBC">
        <w:rPr>
          <w:rFonts w:ascii="Avenir Next" w:hAnsi="Avenir Next" w:cs="Arial"/>
          <w:color w:val="7B7B7B" w:themeColor="accent3" w:themeShade="BF"/>
          <w:sz w:val="22"/>
          <w:szCs w:val="22"/>
          <w:lang w:val="en-GB"/>
        </w:rPr>
        <w:t xml:space="preserve">for the creditor to file its claim in the </w:t>
      </w:r>
      <w:r w:rsidR="009C67D1">
        <w:rPr>
          <w:rFonts w:ascii="Avenir Next" w:hAnsi="Avenir Next" w:cs="Arial"/>
          <w:color w:val="7B7B7B" w:themeColor="accent3" w:themeShade="BF"/>
          <w:sz w:val="22"/>
          <w:szCs w:val="22"/>
          <w:lang w:val="en-GB"/>
        </w:rPr>
        <w:t xml:space="preserve">bankruptcy proceedings of the debtor, </w:t>
      </w:r>
      <w:r w:rsidR="00DF3BC1">
        <w:rPr>
          <w:rFonts w:ascii="Avenir Next" w:hAnsi="Avenir Next" w:cs="Arial"/>
          <w:color w:val="7B7B7B" w:themeColor="accent3" w:themeShade="BF"/>
          <w:sz w:val="22"/>
          <w:szCs w:val="22"/>
          <w:lang w:val="en-GB"/>
        </w:rPr>
        <w:t>the creditor reduces its claim amount to the extent it owes the debtor monies</w:t>
      </w:r>
      <w:r w:rsidR="00003874">
        <w:rPr>
          <w:rFonts w:ascii="Avenir Next" w:hAnsi="Avenir Next" w:cs="Arial"/>
          <w:color w:val="7B7B7B" w:themeColor="accent3" w:themeShade="BF"/>
          <w:sz w:val="22"/>
          <w:szCs w:val="22"/>
          <w:lang w:val="en-GB"/>
        </w:rPr>
        <w:t xml:space="preserve">. The same is not permitted </w:t>
      </w:r>
      <w:r w:rsidR="00B85F4A">
        <w:rPr>
          <w:rFonts w:ascii="Avenir Next" w:hAnsi="Avenir Next" w:cs="Arial"/>
          <w:color w:val="7B7B7B" w:themeColor="accent3" w:themeShade="BF"/>
          <w:sz w:val="22"/>
          <w:szCs w:val="22"/>
          <w:lang w:val="en-GB"/>
        </w:rPr>
        <w:t xml:space="preserve">as its deemed unfair to the other unsecured creditors. </w:t>
      </w:r>
      <w:r w:rsidR="00A10094">
        <w:rPr>
          <w:rFonts w:ascii="Avenir Next" w:hAnsi="Avenir Next" w:cs="Arial"/>
          <w:color w:val="7B7B7B" w:themeColor="accent3" w:themeShade="BF"/>
          <w:sz w:val="22"/>
          <w:szCs w:val="22"/>
          <w:lang w:val="en-GB"/>
        </w:rPr>
        <w:t xml:space="preserve">This is because it in a way guarantees almost full payment of </w:t>
      </w:r>
      <w:r w:rsidR="00990DFB">
        <w:rPr>
          <w:rFonts w:ascii="Avenir Next" w:hAnsi="Avenir Next" w:cs="Arial"/>
          <w:color w:val="7B7B7B" w:themeColor="accent3" w:themeShade="BF"/>
          <w:sz w:val="22"/>
          <w:szCs w:val="22"/>
          <w:lang w:val="en-GB"/>
        </w:rPr>
        <w:t xml:space="preserve">a part </w:t>
      </w:r>
      <w:r w:rsidR="00E93328">
        <w:rPr>
          <w:rFonts w:ascii="Avenir Next" w:hAnsi="Avenir Next" w:cs="Arial"/>
          <w:color w:val="7B7B7B" w:themeColor="accent3" w:themeShade="BF"/>
          <w:sz w:val="22"/>
          <w:szCs w:val="22"/>
          <w:lang w:val="en-GB"/>
        </w:rPr>
        <w:t xml:space="preserve">of </w:t>
      </w:r>
      <w:r w:rsidR="00BB02BF">
        <w:rPr>
          <w:rFonts w:ascii="Avenir Next" w:hAnsi="Avenir Next" w:cs="Arial"/>
          <w:color w:val="7B7B7B" w:themeColor="accent3" w:themeShade="BF"/>
          <w:sz w:val="22"/>
          <w:szCs w:val="22"/>
          <w:lang w:val="en-GB"/>
        </w:rPr>
        <w:t>such creditors</w:t>
      </w:r>
      <w:r w:rsidR="00990DFB">
        <w:rPr>
          <w:rFonts w:ascii="Avenir Next" w:hAnsi="Avenir Next" w:cs="Arial"/>
          <w:color w:val="7B7B7B" w:themeColor="accent3" w:themeShade="BF"/>
          <w:sz w:val="22"/>
          <w:szCs w:val="22"/>
          <w:lang w:val="en-GB"/>
        </w:rPr>
        <w:t xml:space="preserve"> </w:t>
      </w:r>
      <w:r w:rsidR="00E93328">
        <w:rPr>
          <w:rFonts w:ascii="Avenir Next" w:hAnsi="Avenir Next" w:cs="Arial"/>
          <w:color w:val="7B7B7B" w:themeColor="accent3" w:themeShade="BF"/>
          <w:sz w:val="22"/>
          <w:szCs w:val="22"/>
          <w:lang w:val="en-GB"/>
        </w:rPr>
        <w:t xml:space="preserve">claim and reduces its </w:t>
      </w:r>
      <w:r w:rsidR="00BB02BF">
        <w:rPr>
          <w:rFonts w:ascii="Avenir Next" w:hAnsi="Avenir Next" w:cs="Arial"/>
          <w:color w:val="7B7B7B" w:themeColor="accent3" w:themeShade="BF"/>
          <w:sz w:val="22"/>
          <w:szCs w:val="22"/>
          <w:lang w:val="en-GB"/>
        </w:rPr>
        <w:t>commitment to the bankruptcy estate</w:t>
      </w:r>
      <w:r w:rsidR="008402AB">
        <w:rPr>
          <w:rFonts w:ascii="Avenir Next" w:hAnsi="Avenir Next" w:cs="Arial"/>
          <w:color w:val="7B7B7B" w:themeColor="accent3" w:themeShade="BF"/>
          <w:sz w:val="22"/>
          <w:szCs w:val="22"/>
          <w:lang w:val="en-GB"/>
        </w:rPr>
        <w:t xml:space="preserve">, whilst the other unsecured creditors may be then entitled to a much lower amount form the estate </w:t>
      </w:r>
      <w:r w:rsidR="0054307E">
        <w:rPr>
          <w:rFonts w:ascii="Avenir Next" w:hAnsi="Avenir Next" w:cs="Arial"/>
          <w:color w:val="7B7B7B" w:themeColor="accent3" w:themeShade="BF"/>
          <w:sz w:val="22"/>
          <w:szCs w:val="22"/>
          <w:lang w:val="en-GB"/>
        </w:rPr>
        <w:t xml:space="preserve">vis a vis their claims. </w:t>
      </w:r>
    </w:p>
    <w:p w14:paraId="1B04C020" w14:textId="77777777" w:rsidR="00E41578" w:rsidRPr="00323167" w:rsidRDefault="00E41578" w:rsidP="00D30310">
      <w:pPr>
        <w:pStyle w:val="AODocTxt"/>
        <w:spacing w:before="0" w:line="240" w:lineRule="auto"/>
        <w:rPr>
          <w:rFonts w:ascii="Arial" w:hAnsi="Arial" w:cs="Arial"/>
        </w:rPr>
      </w:pPr>
    </w:p>
    <w:p w14:paraId="5B668A45" w14:textId="77777777" w:rsidR="00622C36" w:rsidRPr="00622C36" w:rsidRDefault="00622C36" w:rsidP="00D30310">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D30310">
      <w:pPr>
        <w:pStyle w:val="AODocTxt"/>
        <w:spacing w:before="0" w:line="240" w:lineRule="auto"/>
        <w:rPr>
          <w:rFonts w:ascii="Avenir Next" w:hAnsi="Avenir Next"/>
        </w:rPr>
      </w:pPr>
    </w:p>
    <w:p w14:paraId="558CECFF" w14:textId="684312E7" w:rsidR="00622C36" w:rsidRDefault="00622C36" w:rsidP="00D30310">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D30310">
      <w:pPr>
        <w:pStyle w:val="AODocTxt"/>
        <w:spacing w:before="0" w:line="240" w:lineRule="auto"/>
        <w:rPr>
          <w:rFonts w:ascii="Avenir Next" w:hAnsi="Avenir Next"/>
        </w:rPr>
      </w:pPr>
    </w:p>
    <w:p w14:paraId="16B233C2" w14:textId="6DCAB246" w:rsidR="00E41578" w:rsidRDefault="006F123E"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are required to be review whilst preparing for a bankruptcy court filing:</w:t>
      </w:r>
    </w:p>
    <w:p w14:paraId="11D4BCC3" w14:textId="02F71474" w:rsidR="006F123E" w:rsidRDefault="00331516" w:rsidP="00D3031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Bankruptcy Procedure, whi</w:t>
      </w:r>
      <w:r w:rsidR="006B26CC">
        <w:rPr>
          <w:rFonts w:ascii="Avenir Next" w:hAnsi="Avenir Next" w:cs="Arial"/>
          <w:color w:val="7B7B7B" w:themeColor="accent3" w:themeShade="BF"/>
          <w:sz w:val="22"/>
          <w:szCs w:val="22"/>
          <w:lang w:val="en-GB"/>
        </w:rPr>
        <w:t>ch are and have been influenced by the Federal Rules of Civil Procedur</w:t>
      </w:r>
      <w:r w:rsidR="00FD395A">
        <w:rPr>
          <w:rFonts w:ascii="Avenir Next" w:hAnsi="Avenir Next" w:cs="Arial"/>
          <w:color w:val="7B7B7B" w:themeColor="accent3" w:themeShade="BF"/>
          <w:sz w:val="22"/>
          <w:szCs w:val="22"/>
          <w:lang w:val="en-GB"/>
        </w:rPr>
        <w:t xml:space="preserve">e, which in turn govern the most basic and fundamental procedural </w:t>
      </w:r>
      <w:r w:rsidR="009631A9">
        <w:rPr>
          <w:rFonts w:ascii="Avenir Next" w:hAnsi="Avenir Next" w:cs="Arial"/>
          <w:color w:val="7B7B7B" w:themeColor="accent3" w:themeShade="BF"/>
          <w:sz w:val="22"/>
          <w:szCs w:val="22"/>
          <w:lang w:val="en-GB"/>
        </w:rPr>
        <w:t>rules of common civil proceedings and litigation;</w:t>
      </w:r>
    </w:p>
    <w:p w14:paraId="16828D9C" w14:textId="64ADBDF5" w:rsidR="009631A9" w:rsidRDefault="009631A9" w:rsidP="00D3031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For</w:t>
      </w:r>
      <w:r w:rsidR="00D92700">
        <w:rPr>
          <w:rFonts w:ascii="Avenir Next" w:hAnsi="Avenir Next" w:cs="Arial"/>
          <w:color w:val="7B7B7B" w:themeColor="accent3" w:themeShade="BF"/>
          <w:sz w:val="22"/>
          <w:szCs w:val="22"/>
          <w:lang w:val="en-GB"/>
        </w:rPr>
        <w:t xml:space="preserve">ms, which incorporate the different formats of the various filings envisaged under </w:t>
      </w:r>
      <w:r w:rsidR="001639B8">
        <w:rPr>
          <w:rFonts w:ascii="Avenir Next" w:hAnsi="Avenir Next" w:cs="Arial"/>
          <w:color w:val="7B7B7B" w:themeColor="accent3" w:themeShade="BF"/>
          <w:sz w:val="22"/>
          <w:szCs w:val="22"/>
          <w:lang w:val="en-GB"/>
        </w:rPr>
        <w:t>the law;</w:t>
      </w:r>
    </w:p>
    <w:p w14:paraId="30F5E64A" w14:textId="0CDA72D0" w:rsidR="001639B8" w:rsidRDefault="001639B8" w:rsidP="00D3031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Rules of procedures of each bankruptcy court, as they</w:t>
      </w:r>
      <w:r w:rsidR="00A8796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all have their own;</w:t>
      </w:r>
    </w:p>
    <w:p w14:paraId="53B5E1A7" w14:textId="684D08B3" w:rsidR="001639B8" w:rsidRPr="006F123E" w:rsidRDefault="003E7303" w:rsidP="00D3031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Personal Practices of Judges</w:t>
      </w:r>
      <w:r w:rsidR="00B93D83">
        <w:rPr>
          <w:rFonts w:ascii="Avenir Next" w:hAnsi="Avenir Next" w:cs="Arial"/>
          <w:color w:val="7B7B7B" w:themeColor="accent3" w:themeShade="BF"/>
          <w:sz w:val="22"/>
          <w:szCs w:val="22"/>
          <w:lang w:val="en-GB"/>
        </w:rPr>
        <w:t>, of the bankruptcy court, which are periodically updated on the</w:t>
      </w:r>
      <w:r w:rsidR="00F9095C">
        <w:rPr>
          <w:rFonts w:ascii="Avenir Next" w:hAnsi="Avenir Next" w:cs="Arial"/>
          <w:color w:val="7B7B7B" w:themeColor="accent3" w:themeShade="BF"/>
          <w:sz w:val="22"/>
          <w:szCs w:val="22"/>
          <w:lang w:val="en-GB"/>
        </w:rPr>
        <w:t xml:space="preserve"> website of each respective court.</w:t>
      </w:r>
    </w:p>
    <w:p w14:paraId="4EC1CD7D" w14:textId="204B51FC" w:rsidR="00622C36" w:rsidRDefault="00622C36" w:rsidP="00D30310">
      <w:pPr>
        <w:pStyle w:val="AODocTxt"/>
        <w:spacing w:before="0" w:line="240" w:lineRule="auto"/>
        <w:rPr>
          <w:rFonts w:ascii="Avenir Next" w:hAnsi="Avenir Next"/>
        </w:rPr>
      </w:pPr>
    </w:p>
    <w:p w14:paraId="0494F988" w14:textId="77777777" w:rsidR="00E41578" w:rsidRPr="00622C36" w:rsidRDefault="00E41578" w:rsidP="00D30310">
      <w:pPr>
        <w:pStyle w:val="AODocTxt"/>
        <w:spacing w:before="0" w:line="240" w:lineRule="auto"/>
        <w:rPr>
          <w:rFonts w:ascii="Avenir Next" w:hAnsi="Avenir Next"/>
        </w:rPr>
      </w:pPr>
    </w:p>
    <w:p w14:paraId="7BF50EEC" w14:textId="77777777" w:rsidR="00622C36" w:rsidRPr="00622C36" w:rsidRDefault="00622C36" w:rsidP="00D30310">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D30310">
      <w:pPr>
        <w:pStyle w:val="AODocTxt"/>
        <w:spacing w:before="0" w:line="240" w:lineRule="auto"/>
        <w:rPr>
          <w:rFonts w:ascii="Avenir Next" w:hAnsi="Avenir Next"/>
        </w:rPr>
      </w:pPr>
    </w:p>
    <w:p w14:paraId="56FBB637" w14:textId="5E19D0E8" w:rsidR="00622C36" w:rsidRDefault="00622C36" w:rsidP="00D30310">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D30310">
      <w:pPr>
        <w:pStyle w:val="AODocTxt"/>
        <w:spacing w:before="0" w:line="240" w:lineRule="auto"/>
        <w:rPr>
          <w:rFonts w:ascii="Avenir Next" w:hAnsi="Avenir Next"/>
        </w:rPr>
      </w:pPr>
    </w:p>
    <w:p w14:paraId="59DEE22A" w14:textId="33D295C8" w:rsidR="00320F30" w:rsidRPr="00BB3AB2" w:rsidRDefault="00320F30" w:rsidP="00D30310">
      <w:pPr>
        <w:pStyle w:val="AODocTxt"/>
        <w:spacing w:before="0" w:line="240" w:lineRule="auto"/>
        <w:rPr>
          <w:rFonts w:ascii="Avenir Next" w:eastAsia="Times New Roman" w:hAnsi="Avenir Next" w:cs="Arial"/>
          <w:color w:val="7B7B7B" w:themeColor="accent3" w:themeShade="BF"/>
          <w:lang w:val="en-GB"/>
        </w:rPr>
      </w:pPr>
      <w:r w:rsidRPr="00BB3AB2">
        <w:rPr>
          <w:rFonts w:ascii="Avenir Next" w:eastAsia="Times New Roman" w:hAnsi="Avenir Next" w:cs="Arial"/>
          <w:color w:val="7B7B7B" w:themeColor="accent3" w:themeShade="BF"/>
          <w:lang w:val="en-GB"/>
        </w:rPr>
        <w:t xml:space="preserve">The </w:t>
      </w:r>
      <w:r w:rsidR="00F4509D" w:rsidRPr="00BB3AB2">
        <w:rPr>
          <w:rFonts w:ascii="Avenir Next" w:eastAsia="Times New Roman" w:hAnsi="Avenir Next" w:cs="Arial"/>
          <w:color w:val="7B7B7B" w:themeColor="accent3" w:themeShade="BF"/>
          <w:lang w:val="en-GB"/>
        </w:rPr>
        <w:t xml:space="preserve">absolute priority </w:t>
      </w:r>
      <w:r w:rsidR="00B02BDB" w:rsidRPr="00BB3AB2">
        <w:rPr>
          <w:rFonts w:ascii="Avenir Next" w:eastAsia="Times New Roman" w:hAnsi="Avenir Next" w:cs="Arial"/>
          <w:color w:val="7B7B7B" w:themeColor="accent3" w:themeShade="BF"/>
          <w:lang w:val="en-GB"/>
        </w:rPr>
        <w:t xml:space="preserve">rule essentially requires that that claims in a single class must be paid in full </w:t>
      </w:r>
      <w:r w:rsidR="00E571E2" w:rsidRPr="00BB3AB2">
        <w:rPr>
          <w:rFonts w:ascii="Avenir Next" w:eastAsia="Times New Roman" w:hAnsi="Avenir Next" w:cs="Arial"/>
          <w:color w:val="7B7B7B" w:themeColor="accent3" w:themeShade="BF"/>
          <w:lang w:val="en-GB"/>
        </w:rPr>
        <w:t>before moving on to the next category as per the waterfall</w:t>
      </w:r>
      <w:r w:rsidR="00956F15" w:rsidRPr="00BB3AB2">
        <w:rPr>
          <w:rFonts w:ascii="Avenir Next" w:eastAsia="Times New Roman" w:hAnsi="Avenir Next" w:cs="Arial"/>
          <w:color w:val="7B7B7B" w:themeColor="accent3" w:themeShade="BF"/>
          <w:lang w:val="en-GB"/>
        </w:rPr>
        <w:t xml:space="preserve"> </w:t>
      </w:r>
      <w:r w:rsidR="00E571E2" w:rsidRPr="00BB3AB2">
        <w:rPr>
          <w:rFonts w:ascii="Avenir Next" w:eastAsia="Times New Roman" w:hAnsi="Avenir Next" w:cs="Arial"/>
          <w:color w:val="7B7B7B" w:themeColor="accent3" w:themeShade="BF"/>
          <w:lang w:val="en-GB"/>
        </w:rPr>
        <w:t xml:space="preserve">and that </w:t>
      </w:r>
      <w:r w:rsidR="00956F15" w:rsidRPr="00BB3AB2">
        <w:rPr>
          <w:rFonts w:ascii="Avenir Next" w:eastAsia="Times New Roman" w:hAnsi="Avenir Next" w:cs="Arial"/>
          <w:color w:val="7B7B7B" w:themeColor="accent3" w:themeShade="BF"/>
          <w:lang w:val="en-GB"/>
        </w:rPr>
        <w:t xml:space="preserve">in a chapter 11 </w:t>
      </w:r>
      <w:r w:rsidR="007B74EA" w:rsidRPr="00BB3AB2">
        <w:rPr>
          <w:rFonts w:ascii="Avenir Next" w:eastAsia="Times New Roman" w:hAnsi="Avenir Next" w:cs="Arial"/>
          <w:color w:val="7B7B7B" w:themeColor="accent3" w:themeShade="BF"/>
          <w:lang w:val="en-GB"/>
        </w:rPr>
        <w:t>reorganization</w:t>
      </w:r>
      <w:r w:rsidR="00956F15" w:rsidRPr="00BB3AB2">
        <w:rPr>
          <w:rFonts w:ascii="Avenir Next" w:eastAsia="Times New Roman" w:hAnsi="Avenir Next" w:cs="Arial"/>
          <w:color w:val="7B7B7B" w:themeColor="accent3" w:themeShade="BF"/>
          <w:lang w:val="en-GB"/>
        </w:rPr>
        <w:t xml:space="preserve">, no class/creditor </w:t>
      </w:r>
      <w:r w:rsidR="00B303E8" w:rsidRPr="00BB3AB2">
        <w:rPr>
          <w:rFonts w:ascii="Avenir Next" w:eastAsia="Times New Roman" w:hAnsi="Avenir Next" w:cs="Arial"/>
          <w:color w:val="7B7B7B" w:themeColor="accent3" w:themeShade="BF"/>
          <w:lang w:val="en-GB"/>
        </w:rPr>
        <w:t xml:space="preserve">should be paid less than what they would be entitled to in a hypothetical chapter 7 </w:t>
      </w:r>
      <w:r w:rsidR="00B303E8" w:rsidRPr="00BB3AB2">
        <w:rPr>
          <w:rFonts w:ascii="Avenir Next" w:eastAsia="Times New Roman" w:hAnsi="Avenir Next" w:cs="Arial"/>
          <w:color w:val="7B7B7B" w:themeColor="accent3" w:themeShade="BF"/>
          <w:lang w:val="en-GB"/>
        </w:rPr>
        <w:lastRenderedPageBreak/>
        <w:t xml:space="preserve">liquidation. Deviation from the absolute priority rule is only </w:t>
      </w:r>
      <w:r w:rsidR="007142B8" w:rsidRPr="00BB3AB2">
        <w:rPr>
          <w:rFonts w:ascii="Avenir Next" w:eastAsia="Times New Roman" w:hAnsi="Avenir Next" w:cs="Arial"/>
          <w:color w:val="7B7B7B" w:themeColor="accent3" w:themeShade="BF"/>
          <w:lang w:val="en-GB"/>
        </w:rPr>
        <w:t xml:space="preserve">permitted under chapter 11 </w:t>
      </w:r>
      <w:r w:rsidR="007B74EA" w:rsidRPr="00BB3AB2">
        <w:rPr>
          <w:rFonts w:ascii="Avenir Next" w:eastAsia="Times New Roman" w:hAnsi="Avenir Next" w:cs="Arial"/>
          <w:color w:val="7B7B7B" w:themeColor="accent3" w:themeShade="BF"/>
          <w:lang w:val="en-GB"/>
        </w:rPr>
        <w:t>reorganization</w:t>
      </w:r>
      <w:r w:rsidR="007142B8" w:rsidRPr="00BB3AB2">
        <w:rPr>
          <w:rFonts w:ascii="Avenir Next" w:eastAsia="Times New Roman" w:hAnsi="Avenir Next" w:cs="Arial"/>
          <w:color w:val="7B7B7B" w:themeColor="accent3" w:themeShade="BF"/>
          <w:lang w:val="en-GB"/>
        </w:rPr>
        <w:t xml:space="preserve"> with the </w:t>
      </w:r>
      <w:r w:rsidR="007B74EA" w:rsidRPr="00BB3AB2">
        <w:rPr>
          <w:rFonts w:ascii="Avenir Next" w:eastAsia="Times New Roman" w:hAnsi="Avenir Next" w:cs="Arial"/>
          <w:color w:val="7B7B7B" w:themeColor="accent3" w:themeShade="BF"/>
          <w:lang w:val="en-GB"/>
        </w:rPr>
        <w:t xml:space="preserve">consent of the affected creditors/class, while no such deviation is permitted under chapter 7. </w:t>
      </w:r>
    </w:p>
    <w:p w14:paraId="53E1720C" w14:textId="53039929" w:rsidR="003A5537" w:rsidRDefault="003A5537" w:rsidP="00D30310">
      <w:pPr>
        <w:pStyle w:val="AODocTxt"/>
        <w:spacing w:before="0" w:line="240" w:lineRule="auto"/>
        <w:rPr>
          <w:rFonts w:ascii="Avenir Next" w:hAnsi="Avenir Next"/>
        </w:rPr>
      </w:pPr>
    </w:p>
    <w:p w14:paraId="4C1798D4" w14:textId="77777777" w:rsidR="00E41578" w:rsidRPr="00622C36" w:rsidRDefault="00E41578" w:rsidP="00D30310">
      <w:pPr>
        <w:pStyle w:val="AODocTxt"/>
        <w:spacing w:before="0" w:line="240" w:lineRule="auto"/>
        <w:rPr>
          <w:rFonts w:ascii="Avenir Next" w:hAnsi="Avenir Next"/>
        </w:rPr>
      </w:pPr>
    </w:p>
    <w:p w14:paraId="178848EA" w14:textId="77777777" w:rsidR="00622C36" w:rsidRPr="00622C36" w:rsidRDefault="00622C36" w:rsidP="00D30310">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D30310">
      <w:pPr>
        <w:pStyle w:val="AODocTxt"/>
        <w:spacing w:before="0" w:line="240" w:lineRule="auto"/>
        <w:rPr>
          <w:rFonts w:ascii="Avenir Next" w:hAnsi="Avenir Next"/>
        </w:rPr>
      </w:pPr>
    </w:p>
    <w:p w14:paraId="626201C3" w14:textId="51305FD4" w:rsidR="00622C36" w:rsidRDefault="00622C36" w:rsidP="00D30310">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D30310">
      <w:pPr>
        <w:pStyle w:val="AODocTxt"/>
        <w:spacing w:before="0" w:line="240" w:lineRule="auto"/>
        <w:rPr>
          <w:rFonts w:ascii="Avenir Next" w:hAnsi="Avenir Next"/>
        </w:rPr>
      </w:pPr>
    </w:p>
    <w:p w14:paraId="3B82BAA0" w14:textId="7A20EA27" w:rsidR="003A5537" w:rsidRPr="00EC7C60" w:rsidRDefault="00B73386" w:rsidP="00D30310">
      <w:pPr>
        <w:pStyle w:val="AODocTxt"/>
        <w:spacing w:before="0" w:line="240" w:lineRule="auto"/>
        <w:rPr>
          <w:rFonts w:ascii="Avenir Next" w:eastAsia="Times New Roman" w:hAnsi="Avenir Next" w:cs="Arial"/>
          <w:color w:val="7B7B7B" w:themeColor="accent3" w:themeShade="BF"/>
          <w:lang w:val="en-GB"/>
        </w:rPr>
      </w:pPr>
      <w:r w:rsidRPr="00EC7C60">
        <w:rPr>
          <w:rFonts w:ascii="Avenir Next" w:eastAsia="Times New Roman" w:hAnsi="Avenir Next" w:cs="Arial"/>
          <w:color w:val="7B7B7B" w:themeColor="accent3" w:themeShade="BF"/>
          <w:lang w:val="en-GB"/>
        </w:rPr>
        <w:t xml:space="preserve">The court in chapter 11 proceedings may grant approval for a priming lien, </w:t>
      </w:r>
      <w:r w:rsidR="00B04EB9" w:rsidRPr="00EC7C60">
        <w:rPr>
          <w:rFonts w:ascii="Avenir Next" w:eastAsia="Times New Roman" w:hAnsi="Avenir Next" w:cs="Arial"/>
          <w:color w:val="7B7B7B" w:themeColor="accent3" w:themeShade="BF"/>
          <w:lang w:val="en-GB"/>
        </w:rPr>
        <w:t>which shall grant a</w:t>
      </w:r>
      <w:r w:rsidR="0012349B" w:rsidRPr="00EC7C60">
        <w:rPr>
          <w:rFonts w:ascii="Avenir Next" w:eastAsia="Times New Roman" w:hAnsi="Avenir Next" w:cs="Arial"/>
          <w:color w:val="7B7B7B" w:themeColor="accent3" w:themeShade="BF"/>
          <w:lang w:val="en-GB"/>
        </w:rPr>
        <w:t xml:space="preserve"> primed creditor a </w:t>
      </w:r>
      <w:r w:rsidR="00B04EB9" w:rsidRPr="00EC7C60">
        <w:rPr>
          <w:rFonts w:ascii="Avenir Next" w:eastAsia="Times New Roman" w:hAnsi="Avenir Next" w:cs="Arial"/>
          <w:color w:val="7B7B7B" w:themeColor="accent3" w:themeShade="BF"/>
          <w:lang w:val="en-GB"/>
        </w:rPr>
        <w:t xml:space="preserve">higher priority or an equal priority </w:t>
      </w:r>
      <w:r w:rsidR="00B06131">
        <w:rPr>
          <w:rFonts w:ascii="Avenir Next" w:eastAsia="Times New Roman" w:hAnsi="Avenir Next" w:cs="Arial"/>
          <w:color w:val="7B7B7B" w:themeColor="accent3" w:themeShade="BF"/>
          <w:lang w:val="en-GB"/>
        </w:rPr>
        <w:t>with</w:t>
      </w:r>
      <w:r w:rsidR="00B04EB9" w:rsidRPr="00EC7C60">
        <w:rPr>
          <w:rFonts w:ascii="Avenir Next" w:eastAsia="Times New Roman" w:hAnsi="Avenir Next" w:cs="Arial"/>
          <w:color w:val="7B7B7B" w:themeColor="accent3" w:themeShade="BF"/>
          <w:lang w:val="en-GB"/>
        </w:rPr>
        <w:t xml:space="preserve"> </w:t>
      </w:r>
      <w:r w:rsidR="0012349B" w:rsidRPr="00EC7C60">
        <w:rPr>
          <w:rFonts w:ascii="Avenir Next" w:eastAsia="Times New Roman" w:hAnsi="Avenir Next" w:cs="Arial"/>
          <w:color w:val="7B7B7B" w:themeColor="accent3" w:themeShade="BF"/>
          <w:lang w:val="en-GB"/>
        </w:rPr>
        <w:t xml:space="preserve">other secured creditors from the estate property. The debtor when resorting to such modes of </w:t>
      </w:r>
      <w:r w:rsidR="00581BEC" w:rsidRPr="00EC7C60">
        <w:rPr>
          <w:rFonts w:ascii="Avenir Next" w:eastAsia="Times New Roman" w:hAnsi="Avenir Next" w:cs="Arial"/>
          <w:color w:val="7B7B7B" w:themeColor="accent3" w:themeShade="BF"/>
          <w:lang w:val="en-GB"/>
        </w:rPr>
        <w:t>debtor</w:t>
      </w:r>
      <w:r w:rsidR="00B06131">
        <w:rPr>
          <w:rFonts w:ascii="Avenir Next" w:eastAsia="Times New Roman" w:hAnsi="Avenir Next" w:cs="Arial"/>
          <w:color w:val="7B7B7B" w:themeColor="accent3" w:themeShade="BF"/>
          <w:lang w:val="en-GB"/>
        </w:rPr>
        <w:t>-</w:t>
      </w:r>
      <w:r w:rsidR="00581BEC" w:rsidRPr="00EC7C60">
        <w:rPr>
          <w:rFonts w:ascii="Avenir Next" w:eastAsia="Times New Roman" w:hAnsi="Avenir Next" w:cs="Arial"/>
          <w:color w:val="7B7B7B" w:themeColor="accent3" w:themeShade="BF"/>
          <w:lang w:val="en-GB"/>
        </w:rPr>
        <w:t>in</w:t>
      </w:r>
      <w:r w:rsidR="00B06131">
        <w:rPr>
          <w:rFonts w:ascii="Avenir Next" w:eastAsia="Times New Roman" w:hAnsi="Avenir Next" w:cs="Arial"/>
          <w:color w:val="7B7B7B" w:themeColor="accent3" w:themeShade="BF"/>
          <w:lang w:val="en-GB"/>
        </w:rPr>
        <w:t>-</w:t>
      </w:r>
      <w:r w:rsidR="00581BEC" w:rsidRPr="00EC7C60">
        <w:rPr>
          <w:rFonts w:ascii="Avenir Next" w:eastAsia="Times New Roman" w:hAnsi="Avenir Next" w:cs="Arial"/>
          <w:color w:val="7B7B7B" w:themeColor="accent3" w:themeShade="BF"/>
          <w:lang w:val="en-GB"/>
        </w:rPr>
        <w:t>possession financing, have to demonstrate that the claims or the monies of such a primed lender are sufficiently protected and secured by the estate property. Priming lien is the last resort post</w:t>
      </w:r>
      <w:r w:rsidR="004244D5">
        <w:rPr>
          <w:rFonts w:ascii="Avenir Next" w:eastAsia="Times New Roman" w:hAnsi="Avenir Next" w:cs="Arial"/>
          <w:color w:val="7B7B7B" w:themeColor="accent3" w:themeShade="BF"/>
          <w:lang w:val="en-GB"/>
        </w:rPr>
        <w:t>-</w:t>
      </w:r>
      <w:r w:rsidR="00581BEC" w:rsidRPr="00EC7C60">
        <w:rPr>
          <w:rFonts w:ascii="Avenir Next" w:eastAsia="Times New Roman" w:hAnsi="Avenir Next" w:cs="Arial"/>
          <w:color w:val="7B7B7B" w:themeColor="accent3" w:themeShade="BF"/>
          <w:lang w:val="en-GB"/>
        </w:rPr>
        <w:t>ad</w:t>
      </w:r>
      <w:r w:rsidR="00C30F85" w:rsidRPr="00EC7C60">
        <w:rPr>
          <w:rFonts w:ascii="Avenir Next" w:eastAsia="Times New Roman" w:hAnsi="Avenir Next" w:cs="Arial"/>
          <w:color w:val="7B7B7B" w:themeColor="accent3" w:themeShade="BF"/>
          <w:lang w:val="en-GB"/>
        </w:rPr>
        <w:t xml:space="preserve">mission financing which the court resorts to as it requires encumbering the estate property. </w:t>
      </w:r>
      <w:r w:rsidR="002A6912" w:rsidRPr="00EC7C60">
        <w:rPr>
          <w:rFonts w:ascii="Avenir Next" w:eastAsia="Times New Roman" w:hAnsi="Avenir Next" w:cs="Arial"/>
          <w:color w:val="7B7B7B" w:themeColor="accent3" w:themeShade="BF"/>
          <w:lang w:val="en-GB"/>
        </w:rPr>
        <w:t>Such priming lien then has priority</w:t>
      </w:r>
      <w:r w:rsidR="004244D5">
        <w:rPr>
          <w:rFonts w:ascii="Avenir Next" w:eastAsia="Times New Roman" w:hAnsi="Avenir Next" w:cs="Arial"/>
          <w:color w:val="7B7B7B" w:themeColor="accent3" w:themeShade="BF"/>
          <w:lang w:val="en-GB"/>
        </w:rPr>
        <w:t xml:space="preserve"> on</w:t>
      </w:r>
      <w:r w:rsidR="002A6912" w:rsidRPr="00EC7C60">
        <w:rPr>
          <w:rFonts w:ascii="Avenir Next" w:eastAsia="Times New Roman" w:hAnsi="Avenir Next" w:cs="Arial"/>
          <w:color w:val="7B7B7B" w:themeColor="accent3" w:themeShade="BF"/>
          <w:lang w:val="en-GB"/>
        </w:rPr>
        <w:t xml:space="preserve"> the estate over the </w:t>
      </w:r>
      <w:r w:rsidR="00EC7C60" w:rsidRPr="00EC7C60">
        <w:rPr>
          <w:rFonts w:ascii="Avenir Next" w:eastAsia="Times New Roman" w:hAnsi="Avenir Next" w:cs="Arial"/>
          <w:color w:val="7B7B7B" w:themeColor="accent3" w:themeShade="BF"/>
          <w:lang w:val="en-GB"/>
        </w:rPr>
        <w:t xml:space="preserve">other secured lenders even under </w:t>
      </w:r>
      <w:r w:rsidR="004244D5">
        <w:rPr>
          <w:rFonts w:ascii="Avenir Next" w:eastAsia="Times New Roman" w:hAnsi="Avenir Next" w:cs="Arial"/>
          <w:color w:val="7B7B7B" w:themeColor="accent3" w:themeShade="BF"/>
          <w:lang w:val="en-GB"/>
        </w:rPr>
        <w:t xml:space="preserve">a </w:t>
      </w:r>
      <w:r w:rsidR="00EC7C60" w:rsidRPr="00EC7C60">
        <w:rPr>
          <w:rFonts w:ascii="Avenir Next" w:eastAsia="Times New Roman" w:hAnsi="Avenir Next" w:cs="Arial"/>
          <w:color w:val="7B7B7B" w:themeColor="accent3" w:themeShade="BF"/>
          <w:lang w:val="en-GB"/>
        </w:rPr>
        <w:t xml:space="preserve">chapter 7 liquidation. </w:t>
      </w:r>
    </w:p>
    <w:p w14:paraId="48A5FE57" w14:textId="77777777" w:rsidR="00E41578" w:rsidRPr="00622C36" w:rsidRDefault="00E41578" w:rsidP="00D30310">
      <w:pPr>
        <w:pStyle w:val="AODocTxt"/>
        <w:spacing w:before="0" w:line="240" w:lineRule="auto"/>
        <w:rPr>
          <w:rFonts w:ascii="Avenir Next" w:hAnsi="Avenir Next"/>
        </w:rPr>
      </w:pPr>
    </w:p>
    <w:p w14:paraId="12F03F2F" w14:textId="77777777" w:rsidR="00622C36" w:rsidRPr="00622C36" w:rsidRDefault="00622C36" w:rsidP="00D30310">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D30310">
      <w:pPr>
        <w:pStyle w:val="AODocTxt"/>
        <w:spacing w:before="0" w:line="240" w:lineRule="auto"/>
        <w:rPr>
          <w:rFonts w:ascii="Avenir Next" w:hAnsi="Avenir Next"/>
        </w:rPr>
      </w:pPr>
    </w:p>
    <w:p w14:paraId="25B4B39C" w14:textId="5F6A0F3B" w:rsidR="00622C36" w:rsidRDefault="00622C36" w:rsidP="00D30310">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D30310">
      <w:pPr>
        <w:pStyle w:val="AODocTxt"/>
        <w:spacing w:before="0" w:line="240" w:lineRule="auto"/>
        <w:rPr>
          <w:rFonts w:ascii="Avenir Next" w:hAnsi="Avenir Next"/>
        </w:rPr>
      </w:pPr>
    </w:p>
    <w:p w14:paraId="122A97D6" w14:textId="5BC3C1A4" w:rsidR="00E41578" w:rsidRDefault="00D75D88"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the </w:t>
      </w:r>
      <w:r w:rsidR="00731444">
        <w:rPr>
          <w:rFonts w:ascii="Avenir Next" w:hAnsi="Avenir Next" w:cs="Arial"/>
          <w:color w:val="7B7B7B" w:themeColor="accent3" w:themeShade="BF"/>
          <w:sz w:val="22"/>
          <w:szCs w:val="22"/>
          <w:lang w:val="en-GB"/>
        </w:rPr>
        <w:t xml:space="preserve">transfer of an interest of the debtor in the property to </w:t>
      </w:r>
      <w:r w:rsidR="002A7CB0">
        <w:rPr>
          <w:rFonts w:ascii="Avenir Next" w:hAnsi="Avenir Next" w:cs="Arial"/>
          <w:color w:val="7B7B7B" w:themeColor="accent3" w:themeShade="BF"/>
          <w:sz w:val="22"/>
          <w:szCs w:val="22"/>
          <w:lang w:val="en-GB"/>
        </w:rPr>
        <w:t xml:space="preserve">a creditor for a debt owed </w:t>
      </w:r>
      <w:r w:rsidR="00AC65C1">
        <w:rPr>
          <w:rFonts w:ascii="Avenir Next" w:hAnsi="Avenir Next" w:cs="Arial"/>
          <w:color w:val="7B7B7B" w:themeColor="accent3" w:themeShade="BF"/>
          <w:sz w:val="22"/>
          <w:szCs w:val="22"/>
          <w:lang w:val="en-GB"/>
        </w:rPr>
        <w:t xml:space="preserve">(or a related party as the case may be) </w:t>
      </w:r>
      <w:r w:rsidR="002A7CB0">
        <w:rPr>
          <w:rFonts w:ascii="Avenir Next" w:hAnsi="Avenir Next" w:cs="Arial"/>
          <w:color w:val="7B7B7B" w:themeColor="accent3" w:themeShade="BF"/>
          <w:sz w:val="22"/>
          <w:szCs w:val="22"/>
          <w:lang w:val="en-GB"/>
        </w:rPr>
        <w:t xml:space="preserve">in the suspect period, </w:t>
      </w:r>
      <w:r w:rsidR="00811C04">
        <w:rPr>
          <w:rFonts w:ascii="Avenir Next" w:hAnsi="Avenir Next" w:cs="Arial"/>
          <w:color w:val="7B7B7B" w:themeColor="accent3" w:themeShade="BF"/>
          <w:sz w:val="22"/>
          <w:szCs w:val="22"/>
          <w:lang w:val="en-GB"/>
        </w:rPr>
        <w:t>which exceeds the value the said creditor would have received in the event the creditor would have stood in the waterfall under a chapter 7 liquidation</w:t>
      </w:r>
      <w:r w:rsidR="0090515E">
        <w:rPr>
          <w:rFonts w:ascii="Avenir Next" w:hAnsi="Avenir Next" w:cs="Arial"/>
          <w:color w:val="7B7B7B" w:themeColor="accent3" w:themeShade="BF"/>
          <w:sz w:val="22"/>
          <w:szCs w:val="22"/>
          <w:lang w:val="en-GB"/>
        </w:rPr>
        <w:t>, which ought to be avoided by the trustee</w:t>
      </w:r>
      <w:r w:rsidR="0090515E">
        <w:rPr>
          <w:rStyle w:val="FootnoteReference"/>
          <w:rFonts w:ascii="Avenir Next" w:hAnsi="Avenir Next" w:cs="Arial"/>
          <w:color w:val="7B7B7B" w:themeColor="accent3" w:themeShade="BF"/>
          <w:sz w:val="22"/>
          <w:szCs w:val="22"/>
          <w:lang w:val="en-GB"/>
        </w:rPr>
        <w:footnoteReference w:id="1"/>
      </w:r>
      <w:r w:rsidR="00AD77E0">
        <w:rPr>
          <w:rFonts w:ascii="Avenir Next" w:hAnsi="Avenir Next" w:cs="Arial"/>
          <w:color w:val="7B7B7B" w:themeColor="accent3" w:themeShade="BF"/>
          <w:sz w:val="22"/>
          <w:szCs w:val="22"/>
          <w:lang w:val="en-GB"/>
        </w:rPr>
        <w:t>. The element</w:t>
      </w:r>
      <w:r w:rsidR="004244D5">
        <w:rPr>
          <w:rFonts w:ascii="Avenir Next" w:hAnsi="Avenir Next" w:cs="Arial"/>
          <w:color w:val="7B7B7B" w:themeColor="accent3" w:themeShade="BF"/>
          <w:sz w:val="22"/>
          <w:szCs w:val="22"/>
          <w:lang w:val="en-GB"/>
        </w:rPr>
        <w:t>s</w:t>
      </w:r>
      <w:r w:rsidR="008D7700">
        <w:rPr>
          <w:rFonts w:ascii="Avenir Next" w:hAnsi="Avenir Next" w:cs="Arial"/>
          <w:color w:val="7B7B7B" w:themeColor="accent3" w:themeShade="BF"/>
          <w:sz w:val="22"/>
          <w:szCs w:val="22"/>
          <w:lang w:val="en-GB"/>
        </w:rPr>
        <w:t xml:space="preserve"> of the same are:</w:t>
      </w:r>
    </w:p>
    <w:p w14:paraId="4149F8B2" w14:textId="031A68F6" w:rsidR="008D7700" w:rsidRDefault="008D7700" w:rsidP="00D3031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the property or the interest in the property ought </w:t>
      </w:r>
      <w:r w:rsidR="00C25718">
        <w:rPr>
          <w:rFonts w:ascii="Avenir Next" w:hAnsi="Avenir Next" w:cs="Arial"/>
          <w:color w:val="7B7B7B" w:themeColor="accent3" w:themeShade="BF"/>
          <w:sz w:val="22"/>
          <w:szCs w:val="22"/>
          <w:lang w:val="en-GB"/>
        </w:rPr>
        <w:t>to be for the benefit of a creditor</w:t>
      </w:r>
      <w:r w:rsidR="00C25718">
        <w:rPr>
          <w:rStyle w:val="FootnoteReference"/>
          <w:rFonts w:ascii="Avenir Next" w:hAnsi="Avenir Next" w:cs="Arial"/>
          <w:color w:val="7B7B7B" w:themeColor="accent3" w:themeShade="BF"/>
          <w:sz w:val="22"/>
          <w:szCs w:val="22"/>
          <w:lang w:val="en-GB"/>
        </w:rPr>
        <w:footnoteReference w:id="2"/>
      </w:r>
      <w:r w:rsidR="009D1357">
        <w:rPr>
          <w:rFonts w:ascii="Avenir Next" w:hAnsi="Avenir Next" w:cs="Arial"/>
          <w:color w:val="7B7B7B" w:themeColor="accent3" w:themeShade="BF"/>
          <w:sz w:val="22"/>
          <w:szCs w:val="22"/>
          <w:lang w:val="en-GB"/>
        </w:rPr>
        <w:t>;</w:t>
      </w:r>
    </w:p>
    <w:p w14:paraId="5C79FA81" w14:textId="5BEE4EC8" w:rsidR="009D1357" w:rsidRDefault="009D1357" w:rsidP="00D3031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same should be on account of an antecedent or a pre-petition debt </w:t>
      </w:r>
      <w:r w:rsidR="00D03CF4">
        <w:rPr>
          <w:rFonts w:ascii="Avenir Next" w:hAnsi="Avenir Next" w:cs="Arial"/>
          <w:color w:val="7B7B7B" w:themeColor="accent3" w:themeShade="BF"/>
          <w:sz w:val="22"/>
          <w:szCs w:val="22"/>
          <w:lang w:val="en-GB"/>
        </w:rPr>
        <w:t>owed by the debtor before such a transfer was made</w:t>
      </w:r>
      <w:r w:rsidR="008354C8">
        <w:rPr>
          <w:rStyle w:val="FootnoteReference"/>
          <w:rFonts w:ascii="Avenir Next" w:hAnsi="Avenir Next" w:cs="Arial"/>
          <w:color w:val="7B7B7B" w:themeColor="accent3" w:themeShade="BF"/>
          <w:sz w:val="22"/>
          <w:szCs w:val="22"/>
          <w:lang w:val="en-GB"/>
        </w:rPr>
        <w:footnoteReference w:id="3"/>
      </w:r>
      <w:r w:rsidR="008354C8">
        <w:rPr>
          <w:rFonts w:ascii="Avenir Next" w:hAnsi="Avenir Next" w:cs="Arial"/>
          <w:color w:val="7B7B7B" w:themeColor="accent3" w:themeShade="BF"/>
          <w:sz w:val="22"/>
          <w:szCs w:val="22"/>
          <w:lang w:val="en-GB"/>
        </w:rPr>
        <w:t>;</w:t>
      </w:r>
    </w:p>
    <w:p w14:paraId="28963341" w14:textId="71055F8E" w:rsidR="008354C8" w:rsidRDefault="00215256" w:rsidP="00D3031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transfer wad made when the debtor was insolvent</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which </w:t>
      </w:r>
      <w:r w:rsidR="006477B6">
        <w:rPr>
          <w:rFonts w:ascii="Avenir Next" w:hAnsi="Avenir Next" w:cs="Arial"/>
          <w:color w:val="7B7B7B" w:themeColor="accent3" w:themeShade="BF"/>
          <w:sz w:val="22"/>
          <w:szCs w:val="22"/>
          <w:lang w:val="en-GB"/>
        </w:rPr>
        <w:t>is almost in all cases proved vide the balance sheet test;</w:t>
      </w:r>
    </w:p>
    <w:p w14:paraId="22BA16C0" w14:textId="47F1D812" w:rsidR="006477B6" w:rsidRDefault="006477B6" w:rsidP="00D3031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transfer ought to have been made to a third party (financial creditors)</w:t>
      </w:r>
      <w:r w:rsidR="00AB5F86">
        <w:rPr>
          <w:rFonts w:ascii="Avenir Next" w:hAnsi="Avenir Next" w:cs="Arial"/>
          <w:color w:val="7B7B7B" w:themeColor="accent3" w:themeShade="BF"/>
          <w:sz w:val="22"/>
          <w:szCs w:val="22"/>
          <w:lang w:val="en-GB"/>
        </w:rPr>
        <w:t xml:space="preserve"> within 90 days from the date of the petition, and to the insiders and related parties within one year from the date of the petition, which period is known as the ‘suspect period’</w:t>
      </w:r>
      <w:r w:rsidR="005279F5">
        <w:rPr>
          <w:rStyle w:val="FootnoteReference"/>
          <w:rFonts w:ascii="Avenir Next" w:hAnsi="Avenir Next" w:cs="Arial"/>
          <w:color w:val="7B7B7B" w:themeColor="accent3" w:themeShade="BF"/>
          <w:sz w:val="22"/>
          <w:szCs w:val="22"/>
          <w:lang w:val="en-GB"/>
        </w:rPr>
        <w:footnoteReference w:id="5"/>
      </w:r>
      <w:r w:rsidR="005279F5">
        <w:rPr>
          <w:rFonts w:ascii="Avenir Next" w:hAnsi="Avenir Next" w:cs="Arial"/>
          <w:color w:val="7B7B7B" w:themeColor="accent3" w:themeShade="BF"/>
          <w:sz w:val="22"/>
          <w:szCs w:val="22"/>
          <w:lang w:val="en-GB"/>
        </w:rPr>
        <w:t>;</w:t>
      </w:r>
    </w:p>
    <w:p w14:paraId="70230C10" w14:textId="7E78CE7F" w:rsidR="005279F5" w:rsidRDefault="00AC65C1" w:rsidP="00D3031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enables suc</w:t>
      </w:r>
      <w:r w:rsidR="003761EB">
        <w:rPr>
          <w:rFonts w:ascii="Avenir Next" w:hAnsi="Avenir Next" w:cs="Arial"/>
          <w:color w:val="7B7B7B" w:themeColor="accent3" w:themeShade="BF"/>
          <w:sz w:val="22"/>
          <w:szCs w:val="22"/>
          <w:lang w:val="en-GB"/>
        </w:rPr>
        <w:t xml:space="preserve">h a creditor or a related party/insider to </w:t>
      </w:r>
      <w:r w:rsidR="008D7665">
        <w:rPr>
          <w:rFonts w:ascii="Avenir Next" w:hAnsi="Avenir Next" w:cs="Arial"/>
          <w:color w:val="7B7B7B" w:themeColor="accent3" w:themeShade="BF"/>
          <w:sz w:val="22"/>
          <w:szCs w:val="22"/>
          <w:lang w:val="en-GB"/>
        </w:rPr>
        <w:t xml:space="preserve">receive more than what they would have </w:t>
      </w:r>
      <w:r w:rsidR="002A752F">
        <w:rPr>
          <w:rFonts w:ascii="Avenir Next" w:hAnsi="Avenir Next" w:cs="Arial"/>
          <w:color w:val="7B7B7B" w:themeColor="accent3" w:themeShade="BF"/>
          <w:sz w:val="22"/>
          <w:szCs w:val="22"/>
          <w:lang w:val="en-GB"/>
        </w:rPr>
        <w:t>received under a chapter 7 liquidation, or if such a transfer would not have been made</w:t>
      </w:r>
      <w:r w:rsidR="002A752F">
        <w:rPr>
          <w:rStyle w:val="FootnoteReference"/>
          <w:rFonts w:ascii="Avenir Next" w:hAnsi="Avenir Next" w:cs="Arial"/>
          <w:color w:val="7B7B7B" w:themeColor="accent3" w:themeShade="BF"/>
          <w:sz w:val="22"/>
          <w:szCs w:val="22"/>
          <w:lang w:val="en-GB"/>
        </w:rPr>
        <w:footnoteReference w:id="6"/>
      </w:r>
      <w:r w:rsidR="00A9727A">
        <w:rPr>
          <w:rFonts w:ascii="Avenir Next" w:hAnsi="Avenir Next" w:cs="Arial"/>
          <w:color w:val="7B7B7B" w:themeColor="accent3" w:themeShade="BF"/>
          <w:sz w:val="22"/>
          <w:szCs w:val="22"/>
          <w:lang w:val="en-GB"/>
        </w:rPr>
        <w:t>.</w:t>
      </w:r>
    </w:p>
    <w:p w14:paraId="63A91AB3" w14:textId="77777777" w:rsidR="00A9727A" w:rsidRDefault="00A9727A" w:rsidP="00D30310">
      <w:pPr>
        <w:jc w:val="both"/>
        <w:rPr>
          <w:rFonts w:ascii="Avenir Next" w:hAnsi="Avenir Next" w:cs="Arial"/>
          <w:color w:val="7B7B7B" w:themeColor="accent3" w:themeShade="BF"/>
          <w:sz w:val="22"/>
          <w:szCs w:val="22"/>
          <w:lang w:val="en-GB"/>
        </w:rPr>
      </w:pPr>
    </w:p>
    <w:p w14:paraId="67C97DD7" w14:textId="37BED684" w:rsidR="00A9727A" w:rsidRPr="00A9727A" w:rsidRDefault="00A9727A"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 of </w:t>
      </w:r>
      <w:r w:rsidRPr="00BB3CC8">
        <w:rPr>
          <w:rFonts w:ascii="Avenir Next" w:hAnsi="Avenir Next" w:cs="Arial"/>
          <w:i/>
          <w:iCs/>
          <w:color w:val="7B7B7B" w:themeColor="accent3" w:themeShade="BF"/>
          <w:sz w:val="22"/>
          <w:szCs w:val="22"/>
          <w:lang w:val="en-GB"/>
        </w:rPr>
        <w:t>mens rea</w:t>
      </w:r>
      <w:r w:rsidR="00BB3CC8">
        <w:rPr>
          <w:rFonts w:ascii="Avenir Next" w:hAnsi="Avenir Next" w:cs="Arial"/>
          <w:color w:val="7B7B7B" w:themeColor="accent3" w:themeShade="BF"/>
          <w:sz w:val="22"/>
          <w:szCs w:val="22"/>
          <w:lang w:val="en-GB"/>
        </w:rPr>
        <w:t xml:space="preserve">, or showing of fault, is not required in proving preferential transaction, as the same operated as a deeming fiction. </w:t>
      </w:r>
    </w:p>
    <w:p w14:paraId="017348A0" w14:textId="77777777" w:rsidR="00E41578" w:rsidRPr="00E41578" w:rsidRDefault="00E41578" w:rsidP="00D30310">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D30310">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D30310">
      <w:pPr>
        <w:pStyle w:val="AODocTxt"/>
        <w:spacing w:before="0" w:line="240" w:lineRule="auto"/>
        <w:rPr>
          <w:rFonts w:ascii="Avenir Next Demi Bold" w:hAnsi="Avenir Next Demi Bold"/>
          <w:b/>
          <w:bCs/>
        </w:rPr>
      </w:pPr>
    </w:p>
    <w:p w14:paraId="34CA2846" w14:textId="77777777" w:rsidR="00E01803" w:rsidRPr="00E01803" w:rsidRDefault="00E01803" w:rsidP="00D30310">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D30310">
      <w:pPr>
        <w:pStyle w:val="AODocTxt"/>
        <w:spacing w:before="0" w:line="240" w:lineRule="auto"/>
        <w:rPr>
          <w:rFonts w:ascii="Avenir Next" w:hAnsi="Avenir Next"/>
        </w:rPr>
      </w:pPr>
      <w:r w:rsidRPr="00E01803">
        <w:rPr>
          <w:rFonts w:ascii="Avenir Next" w:hAnsi="Avenir Next"/>
        </w:rPr>
        <w:lastRenderedPageBreak/>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D30310">
      <w:pPr>
        <w:pStyle w:val="AODocTxt"/>
        <w:spacing w:before="0" w:line="240" w:lineRule="auto"/>
        <w:rPr>
          <w:rFonts w:ascii="Avenir Next" w:hAnsi="Avenir Next"/>
        </w:rPr>
      </w:pPr>
    </w:p>
    <w:p w14:paraId="0F2F0A99" w14:textId="0BF2824F" w:rsidR="00E41578" w:rsidRPr="003715E6" w:rsidRDefault="002D410C"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2F1C5E">
        <w:rPr>
          <w:rFonts w:ascii="Avenir Next" w:hAnsi="Avenir Next" w:cs="Arial"/>
          <w:color w:val="7B7B7B" w:themeColor="accent3" w:themeShade="BF"/>
          <w:sz w:val="22"/>
          <w:szCs w:val="22"/>
          <w:lang w:val="en-GB"/>
        </w:rPr>
        <w:t xml:space="preserve">bankruptcy court may render a final order if the same </w:t>
      </w:r>
      <w:r w:rsidR="002D17A4">
        <w:rPr>
          <w:rFonts w:ascii="Avenir Next" w:hAnsi="Avenir Next" w:cs="Arial"/>
          <w:color w:val="7B7B7B" w:themeColor="accent3" w:themeShade="BF"/>
          <w:sz w:val="22"/>
          <w:szCs w:val="22"/>
          <w:lang w:val="en-GB"/>
        </w:rPr>
        <w:t xml:space="preserve">pertains to a core matter related to bankruptcy which does not </w:t>
      </w:r>
      <w:r w:rsidR="00F70A10">
        <w:rPr>
          <w:rFonts w:ascii="Avenir Next" w:hAnsi="Avenir Next" w:cs="Arial"/>
          <w:color w:val="7B7B7B" w:themeColor="accent3" w:themeShade="BF"/>
          <w:sz w:val="22"/>
          <w:szCs w:val="22"/>
          <w:lang w:val="en-GB"/>
        </w:rPr>
        <w:t>invade the jurisdiction of Article III</w:t>
      </w:r>
      <w:r w:rsidR="00F70A10">
        <w:rPr>
          <w:rStyle w:val="FootnoteReference"/>
          <w:rFonts w:ascii="Avenir Next" w:hAnsi="Avenir Next" w:cs="Arial"/>
          <w:color w:val="7B7B7B" w:themeColor="accent3" w:themeShade="BF"/>
          <w:sz w:val="22"/>
          <w:szCs w:val="22"/>
          <w:lang w:val="en-GB"/>
        </w:rPr>
        <w:footnoteReference w:id="7"/>
      </w:r>
      <w:r w:rsidR="00C2034B">
        <w:rPr>
          <w:rFonts w:ascii="Avenir Next" w:hAnsi="Avenir Next" w:cs="Arial"/>
          <w:color w:val="7B7B7B" w:themeColor="accent3" w:themeShade="BF"/>
          <w:sz w:val="22"/>
          <w:szCs w:val="22"/>
          <w:lang w:val="en-GB"/>
        </w:rPr>
        <w:t xml:space="preserve">. </w:t>
      </w:r>
      <w:r w:rsidR="00E4097B">
        <w:rPr>
          <w:rFonts w:ascii="Avenir Next" w:hAnsi="Avenir Next" w:cs="Arial"/>
          <w:color w:val="7B7B7B" w:themeColor="accent3" w:themeShade="BF"/>
          <w:sz w:val="22"/>
          <w:szCs w:val="22"/>
          <w:lang w:val="en-GB"/>
        </w:rPr>
        <w:t xml:space="preserve">Core matters may include </w:t>
      </w:r>
      <w:r w:rsidR="00641980">
        <w:rPr>
          <w:rFonts w:ascii="Avenir Next" w:hAnsi="Avenir Next" w:cs="Arial"/>
          <w:color w:val="7B7B7B" w:themeColor="accent3" w:themeShade="BF"/>
          <w:sz w:val="22"/>
          <w:szCs w:val="22"/>
          <w:lang w:val="en-GB"/>
        </w:rPr>
        <w:t>matter p</w:t>
      </w:r>
      <w:r w:rsidR="00CA5EB7">
        <w:rPr>
          <w:rFonts w:ascii="Avenir Next" w:hAnsi="Avenir Next" w:cs="Arial"/>
          <w:color w:val="7B7B7B" w:themeColor="accent3" w:themeShade="BF"/>
          <w:sz w:val="22"/>
          <w:szCs w:val="22"/>
          <w:lang w:val="en-GB"/>
        </w:rPr>
        <w:t xml:space="preserve">ertaining to the administration of the estate, </w:t>
      </w:r>
      <w:r w:rsidR="00F63566">
        <w:rPr>
          <w:rFonts w:ascii="Avenir Next" w:hAnsi="Avenir Next" w:cs="Arial"/>
          <w:color w:val="7B7B7B" w:themeColor="accent3" w:themeShade="BF"/>
          <w:sz w:val="22"/>
          <w:szCs w:val="22"/>
          <w:lang w:val="en-GB"/>
        </w:rPr>
        <w:t xml:space="preserve">of preferences, of </w:t>
      </w:r>
      <w:r w:rsidR="008A2D04">
        <w:rPr>
          <w:rFonts w:ascii="Avenir Next" w:hAnsi="Avenir Next" w:cs="Arial"/>
          <w:color w:val="7B7B7B" w:themeColor="accent3" w:themeShade="BF"/>
          <w:sz w:val="22"/>
          <w:szCs w:val="22"/>
          <w:lang w:val="en-GB"/>
        </w:rPr>
        <w:t xml:space="preserve">treatment of claims, of obtaining credit, for </w:t>
      </w:r>
      <w:r w:rsidR="00D21B23">
        <w:rPr>
          <w:rFonts w:ascii="Avenir Next" w:hAnsi="Avenir Next" w:cs="Arial"/>
          <w:color w:val="7B7B7B" w:themeColor="accent3" w:themeShade="BF"/>
          <w:sz w:val="22"/>
          <w:szCs w:val="22"/>
          <w:lang w:val="en-GB"/>
        </w:rPr>
        <w:t xml:space="preserve">setting aside of stays and injunctions, for determination of priority of claims, </w:t>
      </w:r>
      <w:r w:rsidR="00D844D1">
        <w:rPr>
          <w:rFonts w:ascii="Avenir Next" w:hAnsi="Avenir Next" w:cs="Arial"/>
          <w:color w:val="7B7B7B" w:themeColor="accent3" w:themeShade="BF"/>
          <w:sz w:val="22"/>
          <w:szCs w:val="22"/>
          <w:lang w:val="en-GB"/>
        </w:rPr>
        <w:t xml:space="preserve">etc. </w:t>
      </w:r>
      <w:r w:rsidR="00F22A1D" w:rsidRPr="00F22A1D">
        <w:rPr>
          <w:rFonts w:ascii="Avenir Next" w:hAnsi="Avenir Next" w:cs="Arial"/>
          <w:color w:val="7B7B7B" w:themeColor="accent3" w:themeShade="BF"/>
          <w:sz w:val="22"/>
          <w:szCs w:val="22"/>
          <w:lang w:val="en-GB"/>
        </w:rPr>
        <w:t>Appeals from all final judgments, orders and decrees of a bankruptcy court, as well as discretionary interlocutory appeals, are heard in the district court,</w:t>
      </w:r>
      <w:r w:rsidR="00F22A1D" w:rsidRPr="00F22A1D">
        <w:rPr>
          <w:rFonts w:ascii="Avenir Next" w:hAnsi="Avenir Next" w:cs="Arial"/>
          <w:i/>
          <w:iCs/>
          <w:color w:val="7B7B7B" w:themeColor="accent3" w:themeShade="BF"/>
          <w:sz w:val="22"/>
          <w:szCs w:val="22"/>
          <w:lang w:val="en-GB"/>
        </w:rPr>
        <w:t> 28 U.S.C. § 158(a) </w:t>
      </w:r>
      <w:r w:rsidR="00F22A1D" w:rsidRPr="00F22A1D">
        <w:rPr>
          <w:rFonts w:ascii="Avenir Next" w:hAnsi="Avenir Next" w:cs="Arial"/>
          <w:color w:val="7B7B7B" w:themeColor="accent3" w:themeShade="BF"/>
          <w:sz w:val="22"/>
          <w:szCs w:val="22"/>
          <w:lang w:val="en-GB"/>
        </w:rPr>
        <w:t>or in a bankruptcy appellate panel</w:t>
      </w:r>
      <w:r w:rsidR="00F22A1D" w:rsidRPr="00F22A1D">
        <w:rPr>
          <w:rFonts w:ascii="Avenir Next" w:hAnsi="Avenir Next" w:cs="Arial"/>
          <w:i/>
          <w:iCs/>
          <w:color w:val="7B7B7B" w:themeColor="accent3" w:themeShade="BF"/>
          <w:sz w:val="22"/>
          <w:szCs w:val="22"/>
          <w:lang w:val="en-GB"/>
        </w:rPr>
        <w:t xml:space="preserve">, 28 U.S.C. § 158(b), unless </w:t>
      </w:r>
      <w:r w:rsidR="00F22A1D" w:rsidRPr="00C006E0">
        <w:rPr>
          <w:rFonts w:ascii="Avenir Next" w:hAnsi="Avenir Next" w:cs="Arial"/>
          <w:color w:val="7B7B7B" w:themeColor="accent3" w:themeShade="BF"/>
          <w:sz w:val="22"/>
          <w:szCs w:val="22"/>
          <w:lang w:val="en-GB"/>
        </w:rPr>
        <w:t>otherwise provided by the Bankruptcy Abuse Prevention and Consumer Protection Act of 2005 ("BAPCPA")</w:t>
      </w:r>
      <w:r w:rsidR="00F22A1D" w:rsidRPr="00C006E0">
        <w:rPr>
          <w:rStyle w:val="FootnoteReference"/>
          <w:rFonts w:ascii="Avenir Next" w:hAnsi="Avenir Next" w:cs="Arial"/>
          <w:color w:val="7B7B7B" w:themeColor="accent3" w:themeShade="BF"/>
          <w:sz w:val="22"/>
          <w:szCs w:val="22"/>
          <w:lang w:val="en-GB"/>
        </w:rPr>
        <w:footnoteReference w:id="8"/>
      </w:r>
      <w:r w:rsidR="00F22A1D" w:rsidRPr="00C006E0">
        <w:rPr>
          <w:rFonts w:ascii="Avenir Next" w:hAnsi="Avenir Next" w:cs="Arial"/>
          <w:color w:val="7B7B7B" w:themeColor="accent3" w:themeShade="BF"/>
          <w:sz w:val="22"/>
          <w:szCs w:val="22"/>
          <w:lang w:val="en-GB"/>
        </w:rPr>
        <w:t>. </w:t>
      </w:r>
      <w:r w:rsidR="00C006E0" w:rsidRPr="00C006E0">
        <w:rPr>
          <w:rFonts w:ascii="Avenir Next" w:hAnsi="Avenir Next" w:cs="Arial"/>
          <w:color w:val="7B7B7B" w:themeColor="accent3" w:themeShade="BF"/>
          <w:sz w:val="22"/>
          <w:szCs w:val="22"/>
          <w:lang w:val="en-GB"/>
        </w:rPr>
        <w:t>In the Ninth Circuit, appeals from the bankruptcy courts may also go to a Bankruptcy Appellate Panel ("BAP"), consisting of three bankruptcy judges from another district within the circuit</w:t>
      </w:r>
      <w:r w:rsidR="00784303">
        <w:rPr>
          <w:rStyle w:val="FootnoteReference"/>
          <w:rFonts w:ascii="Avenir Next" w:hAnsi="Avenir Next" w:cs="Arial"/>
          <w:color w:val="7B7B7B" w:themeColor="accent3" w:themeShade="BF"/>
          <w:sz w:val="22"/>
          <w:szCs w:val="22"/>
          <w:lang w:val="en-GB"/>
        </w:rPr>
        <w:footnoteReference w:id="9"/>
      </w:r>
      <w:r w:rsidR="00784303">
        <w:rPr>
          <w:rFonts w:ascii="Avenir Next" w:hAnsi="Avenir Next" w:cs="Arial"/>
          <w:color w:val="7B7B7B" w:themeColor="accent3" w:themeShade="BF"/>
          <w:sz w:val="22"/>
          <w:szCs w:val="22"/>
          <w:lang w:val="en-GB"/>
        </w:rPr>
        <w:t>.</w:t>
      </w:r>
      <w:r w:rsidR="002029E5">
        <w:rPr>
          <w:rFonts w:ascii="Avenir Next" w:hAnsi="Avenir Next" w:cs="Arial"/>
          <w:color w:val="7B7B7B" w:themeColor="accent3" w:themeShade="BF"/>
          <w:sz w:val="22"/>
          <w:szCs w:val="22"/>
          <w:lang w:val="en-GB"/>
        </w:rPr>
        <w:tab/>
      </w:r>
      <w:r w:rsidR="00F836A8">
        <w:rPr>
          <w:rFonts w:ascii="Avenir Next" w:hAnsi="Avenir Next" w:cs="Arial"/>
          <w:color w:val="7B7B7B" w:themeColor="accent3" w:themeShade="BF"/>
          <w:sz w:val="22"/>
          <w:szCs w:val="22"/>
          <w:lang w:val="en-GB"/>
        </w:rPr>
        <w:t xml:space="preserve">Interlocutory orders can only be appealed with the leave/permission of the </w:t>
      </w:r>
      <w:r w:rsidR="00847B66">
        <w:rPr>
          <w:rFonts w:ascii="Avenir Next" w:hAnsi="Avenir Next" w:cs="Arial"/>
          <w:color w:val="7B7B7B" w:themeColor="accent3" w:themeShade="BF"/>
          <w:sz w:val="22"/>
          <w:szCs w:val="22"/>
          <w:lang w:val="en-GB"/>
        </w:rPr>
        <w:t>appellate</w:t>
      </w:r>
      <w:r w:rsidR="00F836A8">
        <w:rPr>
          <w:rFonts w:ascii="Avenir Next" w:hAnsi="Avenir Next" w:cs="Arial"/>
          <w:color w:val="7B7B7B" w:themeColor="accent3" w:themeShade="BF"/>
          <w:sz w:val="22"/>
          <w:szCs w:val="22"/>
          <w:lang w:val="en-GB"/>
        </w:rPr>
        <w:t xml:space="preserve"> court</w:t>
      </w:r>
      <w:r w:rsidR="003715E6">
        <w:rPr>
          <w:rFonts w:ascii="Avenir Next" w:hAnsi="Avenir Next" w:cs="Arial"/>
          <w:color w:val="7B7B7B" w:themeColor="accent3" w:themeShade="BF"/>
          <w:sz w:val="22"/>
          <w:szCs w:val="22"/>
          <w:lang w:val="en-GB"/>
        </w:rPr>
        <w:t>. Hence</w:t>
      </w:r>
      <w:r w:rsidR="003715E6" w:rsidRPr="003715E6">
        <w:rPr>
          <w:rFonts w:ascii="Avenir Next" w:hAnsi="Avenir Next" w:cs="Arial"/>
          <w:color w:val="7B7B7B" w:themeColor="accent3" w:themeShade="BF"/>
          <w:sz w:val="22"/>
          <w:szCs w:val="22"/>
          <w:lang w:val="en-GB"/>
        </w:rPr>
        <w:t xml:space="preserve"> district courts can an hear an appeal from any interlocutory order, as long as they are willing</w:t>
      </w:r>
      <w:r w:rsidR="003715E6">
        <w:rPr>
          <w:rStyle w:val="FootnoteReference"/>
          <w:rFonts w:ascii="Avenir Next" w:hAnsi="Avenir Next" w:cs="Arial"/>
          <w:color w:val="7B7B7B" w:themeColor="accent3" w:themeShade="BF"/>
          <w:sz w:val="22"/>
          <w:szCs w:val="22"/>
          <w:lang w:val="en-GB"/>
        </w:rPr>
        <w:footnoteReference w:id="10"/>
      </w:r>
      <w:r w:rsidR="003715E6" w:rsidRPr="003715E6">
        <w:rPr>
          <w:rFonts w:ascii="Avenir Next" w:hAnsi="Avenir Next" w:cs="Arial"/>
          <w:color w:val="7B7B7B" w:themeColor="accent3" w:themeShade="BF"/>
          <w:sz w:val="22"/>
          <w:szCs w:val="22"/>
          <w:lang w:val="en-GB"/>
        </w:rPr>
        <w:t>.</w:t>
      </w:r>
    </w:p>
    <w:p w14:paraId="37B4DE3A" w14:textId="1AB63B0B" w:rsidR="00E01803" w:rsidRPr="00F22A1D" w:rsidRDefault="00E01803" w:rsidP="00D30310">
      <w:pPr>
        <w:pStyle w:val="AODocTxt"/>
        <w:spacing w:before="0" w:line="240" w:lineRule="auto"/>
        <w:rPr>
          <w:rFonts w:ascii="Avenir Next" w:hAnsi="Avenir Next"/>
        </w:rPr>
      </w:pPr>
    </w:p>
    <w:p w14:paraId="5C03D5F5" w14:textId="77777777" w:rsidR="00E41578" w:rsidRPr="00E01803" w:rsidRDefault="00E41578" w:rsidP="00D30310">
      <w:pPr>
        <w:pStyle w:val="AODocTxt"/>
        <w:spacing w:before="0" w:line="240" w:lineRule="auto"/>
        <w:rPr>
          <w:rFonts w:ascii="Avenir Next" w:hAnsi="Avenir Next"/>
        </w:rPr>
      </w:pPr>
    </w:p>
    <w:p w14:paraId="30BE2020" w14:textId="77777777" w:rsidR="00E01803" w:rsidRPr="00DE7E9B" w:rsidRDefault="00E01803" w:rsidP="00D30310">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D30310">
      <w:pPr>
        <w:pStyle w:val="AODocTxt"/>
        <w:spacing w:before="0" w:line="240" w:lineRule="auto"/>
        <w:rPr>
          <w:rFonts w:ascii="Avenir Next" w:hAnsi="Avenir Next"/>
        </w:rPr>
      </w:pPr>
    </w:p>
    <w:p w14:paraId="127F514F" w14:textId="17A7E070" w:rsidR="00E01803" w:rsidRDefault="00E01803" w:rsidP="00D30310">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Default="00F84270" w:rsidP="00D30310">
      <w:pPr>
        <w:pStyle w:val="AODocTxt"/>
        <w:spacing w:before="0" w:line="240" w:lineRule="auto"/>
        <w:rPr>
          <w:rFonts w:ascii="Avenir Next" w:hAnsi="Avenir Next"/>
        </w:rPr>
      </w:pPr>
    </w:p>
    <w:p w14:paraId="40B8C65B" w14:textId="777FB569" w:rsidR="00E43067" w:rsidRPr="00976A89" w:rsidRDefault="00E43067" w:rsidP="00D30310">
      <w:pPr>
        <w:pStyle w:val="AODocTxt"/>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The following provisions of the Bankruptcy Code automatically appl</w:t>
      </w:r>
      <w:r w:rsidR="00152947" w:rsidRPr="00976A89">
        <w:rPr>
          <w:rFonts w:ascii="Avenir Next" w:hAnsi="Avenir Next"/>
          <w:color w:val="808080" w:themeColor="background1" w:themeShade="80"/>
        </w:rPr>
        <w:t>y upon the recognition of a foreign main proceedings:</w:t>
      </w:r>
    </w:p>
    <w:p w14:paraId="5CCC0E5C" w14:textId="53BBA6C1" w:rsidR="00152947" w:rsidRPr="00976A89" w:rsidRDefault="001B765E" w:rsidP="00D30310">
      <w:pPr>
        <w:pStyle w:val="AODocTxt"/>
        <w:numPr>
          <w:ilvl w:val="0"/>
          <w:numId w:val="34"/>
        </w:numPr>
        <w:spacing w:before="0" w:line="240" w:lineRule="auto"/>
        <w:rPr>
          <w:rFonts w:ascii="Avenir Next" w:hAnsi="Avenir Next"/>
          <w:color w:val="808080" w:themeColor="background1" w:themeShade="80"/>
        </w:rPr>
      </w:pPr>
      <w:r w:rsidRPr="004244D5">
        <w:rPr>
          <w:rFonts w:ascii="Avenir Next" w:hAnsi="Avenir Next"/>
          <w:b/>
          <w:bCs/>
          <w:color w:val="808080" w:themeColor="background1" w:themeShade="80"/>
        </w:rPr>
        <w:t>Section 36</w:t>
      </w:r>
      <w:r w:rsidR="002246F6" w:rsidRPr="004244D5">
        <w:rPr>
          <w:rFonts w:ascii="Avenir Next" w:hAnsi="Avenir Next"/>
          <w:b/>
          <w:bCs/>
          <w:color w:val="808080" w:themeColor="background1" w:themeShade="80"/>
        </w:rPr>
        <w:t>2</w:t>
      </w:r>
      <w:r w:rsidR="002246F6" w:rsidRPr="00976A89">
        <w:rPr>
          <w:rFonts w:ascii="Avenir Next" w:hAnsi="Avenir Next"/>
          <w:color w:val="808080" w:themeColor="background1" w:themeShade="80"/>
        </w:rPr>
        <w:t xml:space="preserve">- </w:t>
      </w:r>
      <w:r w:rsidR="00614052" w:rsidRPr="00976A89">
        <w:rPr>
          <w:rFonts w:ascii="Avenir Next" w:hAnsi="Avenir Next"/>
          <w:color w:val="808080" w:themeColor="background1" w:themeShade="80"/>
        </w:rPr>
        <w:t>‘</w:t>
      </w:r>
      <w:r w:rsidR="002246F6" w:rsidRPr="00976A89">
        <w:rPr>
          <w:rFonts w:ascii="Avenir Next" w:hAnsi="Avenir Next"/>
          <w:color w:val="808080" w:themeColor="background1" w:themeShade="80"/>
        </w:rPr>
        <w:t>Automatic Stay</w:t>
      </w:r>
      <w:r w:rsidR="00614052" w:rsidRPr="00976A89">
        <w:rPr>
          <w:rFonts w:ascii="Avenir Next" w:hAnsi="Avenir Next"/>
          <w:color w:val="808080" w:themeColor="background1" w:themeShade="80"/>
        </w:rPr>
        <w:t>’ is applicable in its entirety but mainly the stay qua the property of the debtor is</w:t>
      </w:r>
      <w:r w:rsidR="002F5BAC" w:rsidRPr="00976A89">
        <w:rPr>
          <w:rFonts w:ascii="Avenir Next" w:hAnsi="Avenir Next"/>
          <w:color w:val="808080" w:themeColor="background1" w:themeShade="80"/>
        </w:rPr>
        <w:t xml:space="preserve"> on the </w:t>
      </w:r>
      <w:r w:rsidR="004B2487" w:rsidRPr="00976A89">
        <w:rPr>
          <w:rFonts w:ascii="Avenir Next" w:hAnsi="Avenir Next"/>
          <w:color w:val="808080" w:themeColor="background1" w:themeShade="80"/>
        </w:rPr>
        <w:t>commencement or the continuation of, including the issuance or employment of process, of a judicial, administrative, or other action or proceeding against the debtor</w:t>
      </w:r>
      <w:r w:rsidR="004B2487" w:rsidRPr="00976A89">
        <w:rPr>
          <w:rStyle w:val="FootnoteReference"/>
          <w:rFonts w:ascii="Avenir Next" w:hAnsi="Avenir Next"/>
          <w:color w:val="808080" w:themeColor="background1" w:themeShade="80"/>
        </w:rPr>
        <w:footnoteReference w:id="11"/>
      </w:r>
      <w:r w:rsidR="00494519" w:rsidRPr="00976A89">
        <w:rPr>
          <w:rFonts w:ascii="Avenir Next" w:hAnsi="Avenir Next"/>
          <w:color w:val="808080" w:themeColor="background1" w:themeShade="80"/>
        </w:rPr>
        <w:t>, the enforcement, against the debtor or against property of the estate</w:t>
      </w:r>
      <w:r w:rsidR="00494519" w:rsidRPr="00976A89">
        <w:rPr>
          <w:rStyle w:val="FootnoteReference"/>
          <w:rFonts w:ascii="Avenir Next" w:hAnsi="Avenir Next"/>
          <w:color w:val="808080" w:themeColor="background1" w:themeShade="80"/>
        </w:rPr>
        <w:footnoteReference w:id="12"/>
      </w:r>
      <w:r w:rsidR="00494519" w:rsidRPr="00976A89">
        <w:rPr>
          <w:rFonts w:ascii="Avenir Next" w:hAnsi="Avenir Next"/>
          <w:color w:val="808080" w:themeColor="background1" w:themeShade="80"/>
        </w:rPr>
        <w:t xml:space="preserve">, </w:t>
      </w:r>
      <w:r w:rsidR="006C383A" w:rsidRPr="00976A89">
        <w:rPr>
          <w:rFonts w:ascii="Avenir Next" w:hAnsi="Avenir Next"/>
          <w:color w:val="808080" w:themeColor="background1" w:themeShade="80"/>
        </w:rPr>
        <w:t>any act to obtain possession of property of the estate or of property from the estate or to exercise control over property of the estate</w:t>
      </w:r>
      <w:r w:rsidR="006C383A" w:rsidRPr="00976A89">
        <w:rPr>
          <w:rStyle w:val="FootnoteReference"/>
          <w:rFonts w:ascii="Avenir Next" w:hAnsi="Avenir Next"/>
          <w:color w:val="808080" w:themeColor="background1" w:themeShade="80"/>
        </w:rPr>
        <w:footnoteReference w:id="13"/>
      </w:r>
      <w:r w:rsidR="006C383A" w:rsidRPr="00976A89">
        <w:rPr>
          <w:rFonts w:ascii="Avenir Next" w:hAnsi="Avenir Next"/>
          <w:color w:val="808080" w:themeColor="background1" w:themeShade="80"/>
        </w:rPr>
        <w:t xml:space="preserve">, </w:t>
      </w:r>
      <w:r w:rsidR="00171784" w:rsidRPr="00976A89">
        <w:rPr>
          <w:rFonts w:ascii="Avenir Next" w:hAnsi="Avenir Next"/>
          <w:color w:val="808080" w:themeColor="background1" w:themeShade="80"/>
        </w:rPr>
        <w:t> any act to create, perfect, or enforce any lien against property of the estate</w:t>
      </w:r>
      <w:r w:rsidR="00171784" w:rsidRPr="00976A89">
        <w:rPr>
          <w:rStyle w:val="FootnoteReference"/>
          <w:rFonts w:ascii="Avenir Next" w:hAnsi="Avenir Next"/>
          <w:color w:val="808080" w:themeColor="background1" w:themeShade="80"/>
        </w:rPr>
        <w:footnoteReference w:id="14"/>
      </w:r>
      <w:r w:rsidR="00171784" w:rsidRPr="00976A89">
        <w:rPr>
          <w:rFonts w:ascii="Avenir Next" w:hAnsi="Avenir Next"/>
          <w:color w:val="808080" w:themeColor="background1" w:themeShade="80"/>
        </w:rPr>
        <w:t xml:space="preserve">, </w:t>
      </w:r>
      <w:r w:rsidR="00423DD4" w:rsidRPr="00976A89">
        <w:rPr>
          <w:color w:val="808080" w:themeColor="background1" w:themeShade="80"/>
          <w:sz w:val="27"/>
          <w:szCs w:val="27"/>
        </w:rPr>
        <w:t> </w:t>
      </w:r>
      <w:r w:rsidR="00423DD4" w:rsidRPr="00976A89">
        <w:rPr>
          <w:rFonts w:ascii="Avenir Next" w:hAnsi="Avenir Next"/>
          <w:color w:val="808080" w:themeColor="background1" w:themeShade="80"/>
        </w:rPr>
        <w:t>any act to create, perfect, or enforce against property of the debtor any lien to the extent that such lien secures a claim that arose before the commencement of Chapter 15 proceedings</w:t>
      </w:r>
      <w:r w:rsidR="00423DD4" w:rsidRPr="00976A89">
        <w:rPr>
          <w:rStyle w:val="FootnoteReference"/>
          <w:rFonts w:ascii="Avenir Next" w:hAnsi="Avenir Next"/>
          <w:color w:val="808080" w:themeColor="background1" w:themeShade="80"/>
        </w:rPr>
        <w:footnoteReference w:id="15"/>
      </w:r>
      <w:r w:rsidR="00423DD4" w:rsidRPr="00976A89">
        <w:rPr>
          <w:rFonts w:ascii="Avenir Next" w:hAnsi="Avenir Next"/>
          <w:color w:val="808080" w:themeColor="background1" w:themeShade="80"/>
        </w:rPr>
        <w:t xml:space="preserve">, </w:t>
      </w:r>
      <w:r w:rsidR="00435BAB" w:rsidRPr="00976A89">
        <w:rPr>
          <w:rFonts w:ascii="Avenir Next" w:hAnsi="Avenir Next"/>
          <w:color w:val="808080" w:themeColor="background1" w:themeShade="80"/>
        </w:rPr>
        <w:t>any act to collect, assess, or recover a claim against the debtor that arose before the commencement of the case</w:t>
      </w:r>
      <w:r w:rsidR="00435BAB" w:rsidRPr="00976A89">
        <w:rPr>
          <w:rStyle w:val="FootnoteReference"/>
          <w:rFonts w:ascii="Avenir Next" w:hAnsi="Avenir Next"/>
          <w:color w:val="808080" w:themeColor="background1" w:themeShade="80"/>
        </w:rPr>
        <w:footnoteReference w:id="16"/>
      </w:r>
      <w:r w:rsidR="00435BAB" w:rsidRPr="00976A89">
        <w:rPr>
          <w:rFonts w:ascii="Avenir Next" w:hAnsi="Avenir Next"/>
          <w:color w:val="808080" w:themeColor="background1" w:themeShade="80"/>
        </w:rPr>
        <w:t xml:space="preserve">, </w:t>
      </w:r>
      <w:r w:rsidR="00C1391F" w:rsidRPr="00976A89">
        <w:rPr>
          <w:rFonts w:ascii="Avenir Next" w:hAnsi="Avenir Next"/>
          <w:color w:val="808080" w:themeColor="background1" w:themeShade="80"/>
        </w:rPr>
        <w:t>setoff of any claim</w:t>
      </w:r>
      <w:r w:rsidR="00C1391F" w:rsidRPr="00976A89">
        <w:rPr>
          <w:rStyle w:val="FootnoteReference"/>
          <w:rFonts w:ascii="Avenir Next" w:hAnsi="Avenir Next"/>
          <w:color w:val="808080" w:themeColor="background1" w:themeShade="80"/>
        </w:rPr>
        <w:footnoteReference w:id="17"/>
      </w:r>
      <w:r w:rsidR="00C1391F" w:rsidRPr="00976A89">
        <w:rPr>
          <w:rFonts w:ascii="Avenir Next" w:hAnsi="Avenir Next"/>
          <w:color w:val="808080" w:themeColor="background1" w:themeShade="80"/>
        </w:rPr>
        <w:t>,</w:t>
      </w:r>
      <w:r w:rsidR="00530DD2" w:rsidRPr="00976A89">
        <w:rPr>
          <w:rFonts w:ascii="Avenir Next" w:hAnsi="Avenir Next"/>
          <w:color w:val="808080" w:themeColor="background1" w:themeShade="80"/>
        </w:rPr>
        <w:t xml:space="preserve"> commencement or continuation of any tax proceedings</w:t>
      </w:r>
      <w:r w:rsidR="00530DD2" w:rsidRPr="00976A89">
        <w:rPr>
          <w:rStyle w:val="FootnoteReference"/>
          <w:rFonts w:ascii="Avenir Next" w:hAnsi="Avenir Next"/>
          <w:color w:val="808080" w:themeColor="background1" w:themeShade="80"/>
        </w:rPr>
        <w:footnoteReference w:id="18"/>
      </w:r>
      <w:r w:rsidR="00530DD2" w:rsidRPr="00976A89">
        <w:rPr>
          <w:rFonts w:ascii="Avenir Next" w:hAnsi="Avenir Next"/>
          <w:color w:val="808080" w:themeColor="background1" w:themeShade="80"/>
        </w:rPr>
        <w:t xml:space="preserve">. </w:t>
      </w:r>
    </w:p>
    <w:p w14:paraId="514B091C" w14:textId="1D385D19" w:rsidR="00614052" w:rsidRPr="00976A89" w:rsidRDefault="00614052" w:rsidP="00D30310">
      <w:pPr>
        <w:pStyle w:val="AODocTxt"/>
        <w:numPr>
          <w:ilvl w:val="0"/>
          <w:numId w:val="34"/>
        </w:numPr>
        <w:spacing w:before="0" w:line="240" w:lineRule="auto"/>
        <w:rPr>
          <w:rFonts w:ascii="Avenir Next" w:hAnsi="Avenir Next"/>
          <w:color w:val="808080" w:themeColor="background1" w:themeShade="80"/>
        </w:rPr>
      </w:pPr>
      <w:r w:rsidRPr="004244D5">
        <w:rPr>
          <w:rFonts w:ascii="Avenir Next" w:hAnsi="Avenir Next"/>
          <w:b/>
          <w:bCs/>
          <w:color w:val="808080" w:themeColor="background1" w:themeShade="80"/>
        </w:rPr>
        <w:t xml:space="preserve">Section </w:t>
      </w:r>
      <w:r w:rsidR="00014E81" w:rsidRPr="004244D5">
        <w:rPr>
          <w:rFonts w:ascii="Avenir Next" w:hAnsi="Avenir Next"/>
          <w:b/>
          <w:bCs/>
          <w:color w:val="808080" w:themeColor="background1" w:themeShade="80"/>
        </w:rPr>
        <w:t>361</w:t>
      </w:r>
      <w:r w:rsidR="00014E81" w:rsidRPr="00976A89">
        <w:rPr>
          <w:rFonts w:ascii="Avenir Next" w:hAnsi="Avenir Next"/>
          <w:color w:val="808080" w:themeColor="background1" w:themeShade="80"/>
        </w:rPr>
        <w:t>- “Adequate Protection</w:t>
      </w:r>
      <w:r w:rsidR="00A6152B" w:rsidRPr="00976A89">
        <w:rPr>
          <w:rFonts w:ascii="Avenir Next" w:hAnsi="Avenir Next"/>
          <w:color w:val="808080" w:themeColor="background1" w:themeShade="80"/>
        </w:rPr>
        <w:t>’</w:t>
      </w:r>
      <w:r w:rsidR="00091645" w:rsidRPr="00976A89">
        <w:rPr>
          <w:rFonts w:ascii="Avenir Next" w:hAnsi="Avenir Next"/>
          <w:color w:val="808080" w:themeColor="background1" w:themeShade="80"/>
        </w:rPr>
        <w:t xml:space="preserve">, are the acts which are needed to be provide certain additional comfort or the protection to the events envisaged in Section 362 (Automatic Stay), </w:t>
      </w:r>
      <w:r w:rsidR="00091645" w:rsidRPr="00976A89">
        <w:rPr>
          <w:rFonts w:ascii="Avenir Next" w:hAnsi="Avenir Next"/>
          <w:color w:val="808080" w:themeColor="background1" w:themeShade="80"/>
        </w:rPr>
        <w:lastRenderedPageBreak/>
        <w:t>Section 3</w:t>
      </w:r>
      <w:r w:rsidR="0017750C" w:rsidRPr="00976A89">
        <w:rPr>
          <w:rFonts w:ascii="Avenir Next" w:hAnsi="Avenir Next"/>
          <w:color w:val="808080" w:themeColor="background1" w:themeShade="80"/>
        </w:rPr>
        <w:t>63 (Use, sale, or lease of property) &amp; Section 364 (Obtaining credit). Under this section, qua the property of the debtor located in the US jurisdiction</w:t>
      </w:r>
      <w:r w:rsidR="00FF4AB9" w:rsidRPr="00976A89">
        <w:rPr>
          <w:rFonts w:ascii="Avenir Next" w:hAnsi="Avenir Next"/>
          <w:color w:val="808080" w:themeColor="background1" w:themeShade="80"/>
        </w:rPr>
        <w:t xml:space="preserve">, </w:t>
      </w:r>
      <w:r w:rsidR="000E7EA8" w:rsidRPr="00976A89">
        <w:rPr>
          <w:rFonts w:ascii="Avenir Next" w:hAnsi="Avenir Next"/>
          <w:color w:val="808080" w:themeColor="background1" w:themeShade="80"/>
        </w:rPr>
        <w:t xml:space="preserve">the trustee can be asked to make payments to any entity, making good their loss qua their interest in any such property </w:t>
      </w:r>
      <w:r w:rsidR="00020DEC" w:rsidRPr="00976A89">
        <w:rPr>
          <w:rFonts w:ascii="Avenir Next" w:hAnsi="Avenir Next"/>
          <w:color w:val="808080" w:themeColor="background1" w:themeShade="80"/>
        </w:rPr>
        <w:t>which has been hit by the aforementioned sections</w:t>
      </w:r>
      <w:r w:rsidR="00020DEC" w:rsidRPr="00976A89">
        <w:rPr>
          <w:rStyle w:val="FootnoteReference"/>
          <w:rFonts w:ascii="Avenir Next" w:hAnsi="Avenir Next"/>
          <w:color w:val="808080" w:themeColor="background1" w:themeShade="80"/>
        </w:rPr>
        <w:footnoteReference w:id="19"/>
      </w:r>
      <w:r w:rsidR="00020DEC" w:rsidRPr="00976A89">
        <w:rPr>
          <w:rFonts w:ascii="Avenir Next" w:hAnsi="Avenir Next"/>
          <w:color w:val="808080" w:themeColor="background1" w:themeShade="80"/>
        </w:rPr>
        <w:t>,</w:t>
      </w:r>
      <w:r w:rsidR="00C40BC1" w:rsidRPr="00976A89">
        <w:rPr>
          <w:rFonts w:ascii="Avenir Next" w:hAnsi="Avenir Next"/>
          <w:color w:val="808080" w:themeColor="background1" w:themeShade="80"/>
        </w:rPr>
        <w:t>providing additional or replacement lien to such an entity</w:t>
      </w:r>
      <w:r w:rsidR="00C40BC1" w:rsidRPr="00976A89">
        <w:rPr>
          <w:rStyle w:val="FootnoteReference"/>
          <w:rFonts w:ascii="Avenir Next" w:hAnsi="Avenir Next"/>
          <w:color w:val="808080" w:themeColor="background1" w:themeShade="80"/>
        </w:rPr>
        <w:footnoteReference w:id="20"/>
      </w:r>
      <w:r w:rsidR="00C419A3" w:rsidRPr="00976A89">
        <w:rPr>
          <w:rFonts w:ascii="Avenir Next" w:hAnsi="Avenir Next"/>
          <w:color w:val="808080" w:themeColor="background1" w:themeShade="80"/>
        </w:rPr>
        <w:t>, or granting of such other relief or compensation</w:t>
      </w:r>
      <w:r w:rsidR="00C419A3" w:rsidRPr="00976A89">
        <w:rPr>
          <w:rStyle w:val="FootnoteReference"/>
          <w:rFonts w:ascii="Avenir Next" w:hAnsi="Avenir Next"/>
          <w:color w:val="808080" w:themeColor="background1" w:themeShade="80"/>
        </w:rPr>
        <w:footnoteReference w:id="21"/>
      </w:r>
    </w:p>
    <w:p w14:paraId="3B8FBC67" w14:textId="0821BA07" w:rsidR="00C677F1" w:rsidRPr="00976A89" w:rsidRDefault="00C677F1" w:rsidP="00D30310">
      <w:pPr>
        <w:pStyle w:val="AODocTxt"/>
        <w:numPr>
          <w:ilvl w:val="0"/>
          <w:numId w:val="34"/>
        </w:numPr>
        <w:spacing w:before="0" w:line="240" w:lineRule="auto"/>
        <w:rPr>
          <w:rFonts w:ascii="Avenir Next" w:hAnsi="Avenir Next"/>
          <w:color w:val="808080" w:themeColor="background1" w:themeShade="80"/>
        </w:rPr>
      </w:pPr>
      <w:r w:rsidRPr="004244D5">
        <w:rPr>
          <w:rFonts w:ascii="Avenir Next" w:hAnsi="Avenir Next"/>
          <w:b/>
          <w:bCs/>
          <w:color w:val="808080" w:themeColor="background1" w:themeShade="80"/>
        </w:rPr>
        <w:t>Sections 363</w:t>
      </w:r>
      <w:r w:rsidR="006F4A24" w:rsidRPr="00976A89">
        <w:rPr>
          <w:rFonts w:ascii="Avenir Next" w:hAnsi="Avenir Next"/>
          <w:color w:val="808080" w:themeColor="background1" w:themeShade="80"/>
        </w:rPr>
        <w:t xml:space="preserve"> (Use, sale, or lease of property)</w:t>
      </w:r>
      <w:r w:rsidRPr="00976A89">
        <w:rPr>
          <w:rFonts w:ascii="Avenir Next" w:hAnsi="Avenir Next"/>
          <w:color w:val="808080" w:themeColor="background1" w:themeShade="80"/>
        </w:rPr>
        <w:t>, 549</w:t>
      </w:r>
      <w:r w:rsidR="00301EC0" w:rsidRPr="00976A89">
        <w:rPr>
          <w:rFonts w:ascii="Avenir Next" w:hAnsi="Avenir Next"/>
          <w:color w:val="808080" w:themeColor="background1" w:themeShade="80"/>
        </w:rPr>
        <w:t xml:space="preserve"> (</w:t>
      </w:r>
      <w:r w:rsidR="00E66C13" w:rsidRPr="00976A89">
        <w:rPr>
          <w:rFonts w:ascii="Avenir Next" w:hAnsi="Avenir Next"/>
          <w:color w:val="808080" w:themeColor="background1" w:themeShade="80"/>
        </w:rPr>
        <w:t xml:space="preserve">avoidance of </w:t>
      </w:r>
      <w:r w:rsidR="0097706D" w:rsidRPr="00976A89">
        <w:rPr>
          <w:rFonts w:ascii="Avenir Next" w:hAnsi="Avenir Next"/>
          <w:color w:val="808080" w:themeColor="background1" w:themeShade="80"/>
        </w:rPr>
        <w:t>post-petition</w:t>
      </w:r>
      <w:r w:rsidR="00301EC0" w:rsidRPr="00976A89">
        <w:rPr>
          <w:rFonts w:ascii="Avenir Next" w:hAnsi="Avenir Next"/>
          <w:color w:val="808080" w:themeColor="background1" w:themeShade="80"/>
        </w:rPr>
        <w:t xml:space="preserve"> transactions)</w:t>
      </w:r>
      <w:r w:rsidRPr="00976A89">
        <w:rPr>
          <w:rFonts w:ascii="Avenir Next" w:hAnsi="Avenir Next"/>
          <w:color w:val="808080" w:themeColor="background1" w:themeShade="80"/>
        </w:rPr>
        <w:t>, and 552</w:t>
      </w:r>
      <w:r w:rsidR="00895B91" w:rsidRPr="00976A89">
        <w:rPr>
          <w:rFonts w:ascii="Avenir Next" w:hAnsi="Avenir Next"/>
          <w:color w:val="808080" w:themeColor="background1" w:themeShade="80"/>
        </w:rPr>
        <w:t xml:space="preserve"> (</w:t>
      </w:r>
      <w:r w:rsidR="00E66C13" w:rsidRPr="00976A89">
        <w:rPr>
          <w:rFonts w:ascii="Avenir Next" w:hAnsi="Avenir Next"/>
          <w:color w:val="808080" w:themeColor="background1" w:themeShade="80"/>
        </w:rPr>
        <w:t xml:space="preserve">avoidance of </w:t>
      </w:r>
      <w:r w:rsidR="0097706D" w:rsidRPr="00976A89">
        <w:rPr>
          <w:rFonts w:ascii="Avenir Next" w:hAnsi="Avenir Next"/>
          <w:color w:val="808080" w:themeColor="background1" w:themeShade="80"/>
        </w:rPr>
        <w:t>post-petition</w:t>
      </w:r>
      <w:r w:rsidR="00895B91" w:rsidRPr="00976A89">
        <w:rPr>
          <w:rFonts w:ascii="Avenir Next" w:hAnsi="Avenir Next"/>
          <w:color w:val="808080" w:themeColor="background1" w:themeShade="80"/>
        </w:rPr>
        <w:t xml:space="preserve"> effect of security interest)</w:t>
      </w:r>
      <w:r w:rsidRPr="00976A89">
        <w:rPr>
          <w:rFonts w:ascii="Avenir Next" w:hAnsi="Avenir Next"/>
          <w:color w:val="808080" w:themeColor="background1" w:themeShade="80"/>
        </w:rPr>
        <w:t xml:space="preserve"> apply to a transfer of an interest of the debtor in property that is within the territorial jurisdiction of the United States to the same extent that the sections would apply to property of an estate</w:t>
      </w:r>
      <w:r w:rsidR="00895B91" w:rsidRPr="00976A89">
        <w:rPr>
          <w:rStyle w:val="FootnoteReference"/>
          <w:rFonts w:ascii="Avenir Next" w:hAnsi="Avenir Next"/>
          <w:color w:val="808080" w:themeColor="background1" w:themeShade="80"/>
        </w:rPr>
        <w:footnoteReference w:id="22"/>
      </w:r>
      <w:r w:rsidRPr="00976A89">
        <w:rPr>
          <w:rFonts w:ascii="Avenir Next" w:hAnsi="Avenir Next"/>
          <w:color w:val="808080" w:themeColor="background1" w:themeShade="80"/>
        </w:rPr>
        <w:t>;</w:t>
      </w:r>
    </w:p>
    <w:p w14:paraId="711A9A60" w14:textId="070F9FE1" w:rsidR="00E41578" w:rsidRPr="00976A89" w:rsidRDefault="00E41578" w:rsidP="00D30310">
      <w:pPr>
        <w:jc w:val="both"/>
        <w:rPr>
          <w:rFonts w:ascii="Avenir Next" w:hAnsi="Avenir Next" w:cs="Arial"/>
          <w:color w:val="808080" w:themeColor="background1" w:themeShade="80"/>
          <w:sz w:val="22"/>
          <w:szCs w:val="22"/>
          <w:lang w:val="en-GB"/>
        </w:rPr>
      </w:pPr>
    </w:p>
    <w:p w14:paraId="23D1E0EB" w14:textId="667A1839" w:rsidR="000E0DAA" w:rsidRPr="00976A89" w:rsidRDefault="000E0DAA" w:rsidP="00D30310">
      <w:pPr>
        <w:pStyle w:val="AODocTxt"/>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 xml:space="preserve">Further, upon recognition of a foreign proceeding under Chapter 15b, whether main </w:t>
      </w:r>
      <w:r w:rsidR="0057630E" w:rsidRPr="00976A89">
        <w:rPr>
          <w:rFonts w:ascii="Avenir Next" w:hAnsi="Avenir Next"/>
          <w:color w:val="808080" w:themeColor="background1" w:themeShade="80"/>
        </w:rPr>
        <w:t xml:space="preserve">or non-main proceedings, </w:t>
      </w:r>
      <w:r w:rsidR="000A6B35" w:rsidRPr="00976A89">
        <w:rPr>
          <w:rFonts w:ascii="Avenir Next" w:hAnsi="Avenir Next"/>
          <w:color w:val="808080" w:themeColor="background1" w:themeShade="80"/>
        </w:rPr>
        <w:t xml:space="preserve">at the request of the foreign representative, to protect the asserts of the debtor, </w:t>
      </w:r>
      <w:r w:rsidR="003E7FCC" w:rsidRPr="00976A89">
        <w:rPr>
          <w:rFonts w:ascii="Avenir Next" w:hAnsi="Avenir Next"/>
          <w:color w:val="808080" w:themeColor="background1" w:themeShade="80"/>
        </w:rPr>
        <w:t>the court may at its discretion, also (in addition to the reliefs listed above), grant the following:</w:t>
      </w:r>
    </w:p>
    <w:p w14:paraId="238453CE" w14:textId="526F98E9" w:rsidR="003E7FCC" w:rsidRPr="00976A89" w:rsidRDefault="005648DA"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Stay any commencement or continuation of any individual rights to the extent they have not been stayed under Section 1520</w:t>
      </w:r>
      <w:r w:rsidRPr="00976A89">
        <w:rPr>
          <w:rStyle w:val="FootnoteReference"/>
          <w:rFonts w:ascii="Avenir Next" w:hAnsi="Avenir Next"/>
          <w:color w:val="808080" w:themeColor="background1" w:themeShade="80"/>
        </w:rPr>
        <w:footnoteReference w:id="23"/>
      </w:r>
      <w:r w:rsidRPr="00976A89">
        <w:rPr>
          <w:rFonts w:ascii="Avenir Next" w:hAnsi="Avenir Next"/>
          <w:color w:val="808080" w:themeColor="background1" w:themeShade="80"/>
        </w:rPr>
        <w:t>;</w:t>
      </w:r>
    </w:p>
    <w:p w14:paraId="162BC0F3" w14:textId="3D2C91B3" w:rsidR="005648DA" w:rsidRPr="00976A89" w:rsidRDefault="00964EB1"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 xml:space="preserve">Stay execution of the </w:t>
      </w:r>
      <w:r w:rsidR="00DD3469" w:rsidRPr="00976A89">
        <w:rPr>
          <w:rFonts w:ascii="Avenir Next" w:hAnsi="Avenir Next"/>
          <w:color w:val="808080" w:themeColor="background1" w:themeShade="80"/>
        </w:rPr>
        <w:t>debtors’</w:t>
      </w:r>
      <w:r w:rsidRPr="00976A89">
        <w:rPr>
          <w:rFonts w:ascii="Avenir Next" w:hAnsi="Avenir Next"/>
          <w:color w:val="808080" w:themeColor="background1" w:themeShade="80"/>
        </w:rPr>
        <w:t xml:space="preserve"> assets to the extent they have not been stayed under Section 1520</w:t>
      </w:r>
      <w:r w:rsidRPr="00976A89">
        <w:rPr>
          <w:rStyle w:val="FootnoteReference"/>
          <w:rFonts w:ascii="Avenir Next" w:hAnsi="Avenir Next"/>
          <w:color w:val="808080" w:themeColor="background1" w:themeShade="80"/>
        </w:rPr>
        <w:footnoteReference w:id="24"/>
      </w:r>
      <w:r w:rsidRPr="00976A89">
        <w:rPr>
          <w:rFonts w:ascii="Avenir Next" w:hAnsi="Avenir Next"/>
          <w:color w:val="808080" w:themeColor="background1" w:themeShade="80"/>
        </w:rPr>
        <w:t>;</w:t>
      </w:r>
    </w:p>
    <w:p w14:paraId="1F9EE6B8" w14:textId="599058C5" w:rsidR="00964EB1" w:rsidRPr="00976A89" w:rsidRDefault="002E779C"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Suspend any right to transfer, alienate or dispose of any asset to the extend not stayed by Section 1520</w:t>
      </w:r>
      <w:r w:rsidRPr="00976A89">
        <w:rPr>
          <w:rStyle w:val="FootnoteReference"/>
          <w:rFonts w:ascii="Avenir Next" w:hAnsi="Avenir Next"/>
          <w:color w:val="808080" w:themeColor="background1" w:themeShade="80"/>
        </w:rPr>
        <w:footnoteReference w:id="25"/>
      </w:r>
      <w:r w:rsidR="00FA6466" w:rsidRPr="00976A89">
        <w:rPr>
          <w:rFonts w:ascii="Avenir Next" w:hAnsi="Avenir Next"/>
          <w:color w:val="808080" w:themeColor="background1" w:themeShade="80"/>
        </w:rPr>
        <w:t>;</w:t>
      </w:r>
    </w:p>
    <w:p w14:paraId="4FCB183C" w14:textId="6C248B0C" w:rsidR="00FA6466" w:rsidRPr="00976A89" w:rsidRDefault="00FA6466"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 xml:space="preserve">Provide for examination of witness, </w:t>
      </w:r>
      <w:r w:rsidR="003C2464" w:rsidRPr="00976A89">
        <w:rPr>
          <w:rFonts w:ascii="Avenir Next" w:hAnsi="Avenir Next"/>
          <w:color w:val="808080" w:themeColor="background1" w:themeShade="80"/>
        </w:rPr>
        <w:t xml:space="preserve">taking of evidence, </w:t>
      </w:r>
      <w:r w:rsidR="00B86E5B" w:rsidRPr="00976A89">
        <w:rPr>
          <w:rFonts w:ascii="Avenir Next" w:hAnsi="Avenir Next"/>
          <w:color w:val="808080" w:themeColor="background1" w:themeShade="80"/>
        </w:rPr>
        <w:t xml:space="preserve">delivery of information regarding the </w:t>
      </w:r>
      <w:r w:rsidR="00DD3469" w:rsidRPr="00976A89">
        <w:rPr>
          <w:rFonts w:ascii="Avenir Next" w:hAnsi="Avenir Next"/>
          <w:color w:val="808080" w:themeColor="background1" w:themeShade="80"/>
        </w:rPr>
        <w:t>debtor’s</w:t>
      </w:r>
      <w:r w:rsidR="00B86E5B" w:rsidRPr="00976A89">
        <w:rPr>
          <w:rFonts w:ascii="Avenir Next" w:hAnsi="Avenir Next"/>
          <w:color w:val="808080" w:themeColor="background1" w:themeShade="80"/>
        </w:rPr>
        <w:t xml:space="preserve"> assets, liabilities, obligations etc.</w:t>
      </w:r>
      <w:r w:rsidR="00B86E5B" w:rsidRPr="00976A89">
        <w:rPr>
          <w:rStyle w:val="FootnoteReference"/>
          <w:rFonts w:ascii="Avenir Next" w:hAnsi="Avenir Next"/>
          <w:color w:val="808080" w:themeColor="background1" w:themeShade="80"/>
        </w:rPr>
        <w:footnoteReference w:id="26"/>
      </w:r>
      <w:r w:rsidR="00B86E5B" w:rsidRPr="00976A89">
        <w:rPr>
          <w:rFonts w:ascii="Avenir Next" w:hAnsi="Avenir Next"/>
          <w:color w:val="808080" w:themeColor="background1" w:themeShade="80"/>
        </w:rPr>
        <w:t>;</w:t>
      </w:r>
    </w:p>
    <w:p w14:paraId="0C020606" w14:textId="25C49ED5" w:rsidR="00021D41" w:rsidRPr="00976A89" w:rsidRDefault="00021D41"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Entrusting the responsibility of the management</w:t>
      </w:r>
      <w:r w:rsidR="00E27F6E" w:rsidRPr="00976A89">
        <w:rPr>
          <w:rFonts w:ascii="Avenir Next" w:hAnsi="Avenir Next"/>
          <w:color w:val="808080" w:themeColor="background1" w:themeShade="80"/>
        </w:rPr>
        <w:t>/realization</w:t>
      </w:r>
      <w:r w:rsidRPr="00976A89">
        <w:rPr>
          <w:rFonts w:ascii="Avenir Next" w:hAnsi="Avenir Next"/>
          <w:color w:val="808080" w:themeColor="background1" w:themeShade="80"/>
        </w:rPr>
        <w:t xml:space="preserve"> of the </w:t>
      </w:r>
      <w:r w:rsidR="00DD3469" w:rsidRPr="00976A89">
        <w:rPr>
          <w:rFonts w:ascii="Avenir Next" w:hAnsi="Avenir Next"/>
          <w:color w:val="808080" w:themeColor="background1" w:themeShade="80"/>
        </w:rPr>
        <w:t>debtors’</w:t>
      </w:r>
      <w:r w:rsidRPr="00976A89">
        <w:rPr>
          <w:rFonts w:ascii="Avenir Next" w:hAnsi="Avenir Next"/>
          <w:color w:val="808080" w:themeColor="background1" w:themeShade="80"/>
        </w:rPr>
        <w:t xml:space="preserve"> </w:t>
      </w:r>
      <w:r w:rsidR="00E27F6E" w:rsidRPr="00976A89">
        <w:rPr>
          <w:rFonts w:ascii="Avenir Next" w:hAnsi="Avenir Next"/>
          <w:color w:val="808080" w:themeColor="background1" w:themeShade="80"/>
        </w:rPr>
        <w:t>assets within the US to the foreign representative or a receiver etc.</w:t>
      </w:r>
      <w:r w:rsidR="00E27F6E" w:rsidRPr="00976A89">
        <w:rPr>
          <w:rStyle w:val="FootnoteReference"/>
          <w:rFonts w:ascii="Avenir Next" w:hAnsi="Avenir Next"/>
          <w:color w:val="808080" w:themeColor="background1" w:themeShade="80"/>
        </w:rPr>
        <w:footnoteReference w:id="27"/>
      </w:r>
      <w:r w:rsidR="00E27F6E" w:rsidRPr="00976A89">
        <w:rPr>
          <w:rFonts w:ascii="Avenir Next" w:hAnsi="Avenir Next"/>
          <w:color w:val="808080" w:themeColor="background1" w:themeShade="80"/>
        </w:rPr>
        <w:t>;</w:t>
      </w:r>
    </w:p>
    <w:p w14:paraId="68DED04A" w14:textId="259CAD97" w:rsidR="00E27F6E" w:rsidRPr="00976A89" w:rsidRDefault="00C52BF8"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 xml:space="preserve">Entrust distribution of the </w:t>
      </w:r>
      <w:r w:rsidR="00570214" w:rsidRPr="00976A89">
        <w:rPr>
          <w:rFonts w:ascii="Avenir Next" w:hAnsi="Avenir Next"/>
          <w:color w:val="808080" w:themeColor="background1" w:themeShade="80"/>
        </w:rPr>
        <w:t>all or ant part of the assets of the debtor located in the US to the foreign representative</w:t>
      </w:r>
      <w:r w:rsidR="00570214" w:rsidRPr="00976A89">
        <w:rPr>
          <w:rStyle w:val="FootnoteReference"/>
          <w:rFonts w:ascii="Avenir Next" w:hAnsi="Avenir Next"/>
          <w:color w:val="808080" w:themeColor="background1" w:themeShade="80"/>
        </w:rPr>
        <w:footnoteReference w:id="28"/>
      </w:r>
      <w:r w:rsidR="00570214" w:rsidRPr="00976A89">
        <w:rPr>
          <w:rFonts w:ascii="Avenir Next" w:hAnsi="Avenir Next"/>
          <w:color w:val="808080" w:themeColor="background1" w:themeShade="80"/>
        </w:rPr>
        <w:t>;</w:t>
      </w:r>
    </w:p>
    <w:p w14:paraId="7E011214" w14:textId="13BBE404" w:rsidR="00570214" w:rsidRPr="00976A89" w:rsidRDefault="00AE0B65" w:rsidP="00D30310">
      <w:pPr>
        <w:pStyle w:val="AODocTxt"/>
        <w:numPr>
          <w:ilvl w:val="0"/>
          <w:numId w:val="35"/>
        </w:numPr>
        <w:spacing w:before="0" w:line="240" w:lineRule="auto"/>
        <w:rPr>
          <w:rFonts w:ascii="Avenir Next" w:hAnsi="Avenir Next"/>
          <w:color w:val="808080" w:themeColor="background1" w:themeShade="80"/>
        </w:rPr>
      </w:pPr>
      <w:r w:rsidRPr="00976A89">
        <w:rPr>
          <w:rFonts w:ascii="Avenir Next" w:hAnsi="Avenir Next"/>
          <w:color w:val="808080" w:themeColor="background1" w:themeShade="80"/>
        </w:rPr>
        <w:t xml:space="preserve">Grant or extend any relief under sections 1519(a), </w:t>
      </w:r>
      <w:r w:rsidR="00976A89" w:rsidRPr="00976A89">
        <w:rPr>
          <w:rFonts w:ascii="Avenir Next" w:hAnsi="Avenir Next"/>
          <w:color w:val="808080" w:themeColor="background1" w:themeShade="80"/>
        </w:rPr>
        <w:t>522, 544, 545, 547, 548, 550, and 724(a)</w:t>
      </w:r>
      <w:r w:rsidR="00976A89" w:rsidRPr="00976A89">
        <w:rPr>
          <w:rStyle w:val="FootnoteReference"/>
          <w:rFonts w:ascii="Avenir Next" w:hAnsi="Avenir Next"/>
          <w:color w:val="808080" w:themeColor="background1" w:themeShade="80"/>
        </w:rPr>
        <w:footnoteReference w:id="29"/>
      </w:r>
    </w:p>
    <w:p w14:paraId="13E7906E" w14:textId="77777777" w:rsidR="00B86E5B" w:rsidRDefault="00B86E5B" w:rsidP="00D30310">
      <w:pPr>
        <w:pStyle w:val="AODocTxt"/>
        <w:spacing w:before="0" w:line="240" w:lineRule="auto"/>
        <w:ind w:left="360"/>
        <w:rPr>
          <w:rFonts w:ascii="Avenir Next" w:hAnsi="Avenir Next"/>
        </w:rPr>
      </w:pPr>
    </w:p>
    <w:p w14:paraId="5AF3A153" w14:textId="77777777" w:rsidR="00E41578" w:rsidRPr="00E01803" w:rsidRDefault="00E41578" w:rsidP="00D30310">
      <w:pPr>
        <w:pStyle w:val="AODocTxt"/>
        <w:spacing w:before="0" w:line="240" w:lineRule="auto"/>
        <w:rPr>
          <w:rFonts w:ascii="Avenir Next" w:hAnsi="Avenir Next"/>
        </w:rPr>
      </w:pPr>
    </w:p>
    <w:p w14:paraId="2F7CA42E" w14:textId="77777777" w:rsidR="00E01803" w:rsidRPr="000778B1" w:rsidRDefault="00E01803" w:rsidP="00D30310">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D30310">
      <w:pPr>
        <w:pStyle w:val="AODocTxt"/>
        <w:spacing w:before="0" w:line="240" w:lineRule="auto"/>
        <w:rPr>
          <w:rFonts w:ascii="Avenir Next" w:hAnsi="Avenir Next"/>
        </w:rPr>
      </w:pPr>
    </w:p>
    <w:p w14:paraId="05930984" w14:textId="77777777" w:rsidR="00E01803" w:rsidRPr="00E01803" w:rsidRDefault="00E01803" w:rsidP="00D30310">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D30310">
      <w:pPr>
        <w:pStyle w:val="AODocTxt"/>
        <w:spacing w:before="0" w:line="240" w:lineRule="auto"/>
        <w:rPr>
          <w:rFonts w:ascii="Avenir Next" w:hAnsi="Avenir Next"/>
        </w:rPr>
      </w:pPr>
    </w:p>
    <w:p w14:paraId="3F639179" w14:textId="5E4A1E75" w:rsidR="00F03051" w:rsidRDefault="00AE0981" w:rsidP="00D30310">
      <w:pPr>
        <w:pStyle w:val="AODocTxt"/>
        <w:spacing w:before="0" w:line="240" w:lineRule="auto"/>
        <w:rPr>
          <w:rFonts w:ascii="Avenir Next" w:hAnsi="Avenir Next"/>
          <w:color w:val="808080" w:themeColor="background1" w:themeShade="80"/>
        </w:rPr>
      </w:pPr>
      <w:r w:rsidRPr="00133081">
        <w:rPr>
          <w:rFonts w:ascii="Avenir Next" w:hAnsi="Avenir Next"/>
          <w:color w:val="808080" w:themeColor="background1" w:themeShade="80"/>
        </w:rPr>
        <w:t xml:space="preserve">Directors </w:t>
      </w:r>
      <w:r w:rsidR="00953CF3" w:rsidRPr="00133081">
        <w:rPr>
          <w:rFonts w:ascii="Avenir Next" w:hAnsi="Avenir Next"/>
          <w:color w:val="808080" w:themeColor="background1" w:themeShade="80"/>
        </w:rPr>
        <w:t xml:space="preserve">of a Delaware Corporation, in the ordinary course of business, owe duties of care and </w:t>
      </w:r>
      <w:r w:rsidR="00281A96" w:rsidRPr="00133081">
        <w:rPr>
          <w:rFonts w:ascii="Avenir Next" w:hAnsi="Avenir Next"/>
          <w:color w:val="808080" w:themeColor="background1" w:themeShade="80"/>
        </w:rPr>
        <w:t>loyalty</w:t>
      </w:r>
      <w:r w:rsidR="00AF02F1" w:rsidRPr="00133081">
        <w:rPr>
          <w:rFonts w:ascii="Avenir Next" w:hAnsi="Avenir Next"/>
          <w:color w:val="808080" w:themeColor="background1" w:themeShade="80"/>
        </w:rPr>
        <w:t>. Duty of care requires informed and deliberate decision making in the light of reasonably available facts</w:t>
      </w:r>
      <w:r w:rsidR="002C0E16" w:rsidRPr="00133081">
        <w:rPr>
          <w:rFonts w:ascii="Avenir Next" w:hAnsi="Avenir Next"/>
          <w:color w:val="808080" w:themeColor="background1" w:themeShade="80"/>
        </w:rPr>
        <w:t xml:space="preserve">. Hence directors are </w:t>
      </w:r>
      <w:r w:rsidR="002B0F8C" w:rsidRPr="00133081">
        <w:rPr>
          <w:rFonts w:ascii="Open Sans" w:hAnsi="Open Sans" w:cs="Open Sans"/>
          <w:color w:val="808080" w:themeColor="background1" w:themeShade="80"/>
          <w:shd w:val="clear" w:color="auto" w:fill="FFFFFF"/>
        </w:rPr>
        <w:t> </w:t>
      </w:r>
      <w:r w:rsidR="002B0F8C" w:rsidRPr="00133081">
        <w:rPr>
          <w:rFonts w:ascii="Avenir Next" w:hAnsi="Avenir Next"/>
          <w:color w:val="808080" w:themeColor="background1" w:themeShade="80"/>
        </w:rPr>
        <w:t xml:space="preserve">not required to review all information in making their decisions—only the information that is material to the decision before them. Nevertheless, in evaluating information provided to them by management, directors are expected to review the information critically and not </w:t>
      </w:r>
      <w:r w:rsidR="002B0F8C" w:rsidRPr="00133081">
        <w:rPr>
          <w:rFonts w:ascii="Avenir Next" w:hAnsi="Avenir Next"/>
          <w:color w:val="808080" w:themeColor="background1" w:themeShade="80"/>
        </w:rPr>
        <w:lastRenderedPageBreak/>
        <w:t>accept it blindly</w:t>
      </w:r>
      <w:r w:rsidR="002B0F8C" w:rsidRPr="00133081">
        <w:rPr>
          <w:rStyle w:val="FootnoteReference"/>
          <w:rFonts w:ascii="Avenir Next" w:hAnsi="Avenir Next"/>
          <w:color w:val="808080" w:themeColor="background1" w:themeShade="80"/>
        </w:rPr>
        <w:footnoteReference w:id="30"/>
      </w:r>
      <w:r w:rsidR="002B0F8C" w:rsidRPr="00133081">
        <w:rPr>
          <w:rFonts w:ascii="Avenir Next" w:hAnsi="Avenir Next"/>
          <w:color w:val="808080" w:themeColor="background1" w:themeShade="80"/>
        </w:rPr>
        <w:t>.</w:t>
      </w:r>
      <w:r w:rsidR="002D6333" w:rsidRPr="00133081">
        <w:rPr>
          <w:rFonts w:ascii="Avenir Next" w:hAnsi="Avenir Next"/>
          <w:color w:val="808080" w:themeColor="background1" w:themeShade="80"/>
        </w:rPr>
        <w:t xml:space="preserve"> While the </w:t>
      </w:r>
      <w:r w:rsidR="00DD3469">
        <w:rPr>
          <w:rFonts w:ascii="Avenir Next" w:hAnsi="Avenir Next"/>
          <w:color w:val="808080" w:themeColor="background1" w:themeShade="80"/>
        </w:rPr>
        <w:t>D</w:t>
      </w:r>
      <w:r w:rsidR="002D6333" w:rsidRPr="00133081">
        <w:rPr>
          <w:rFonts w:ascii="Avenir Next" w:hAnsi="Avenir Next"/>
          <w:color w:val="808080" w:themeColor="background1" w:themeShade="80"/>
        </w:rPr>
        <w:t xml:space="preserve">uty of </w:t>
      </w:r>
      <w:r w:rsidR="00DD3469">
        <w:rPr>
          <w:rFonts w:ascii="Avenir Next" w:hAnsi="Avenir Next"/>
          <w:color w:val="808080" w:themeColor="background1" w:themeShade="80"/>
        </w:rPr>
        <w:t>R</w:t>
      </w:r>
      <w:r w:rsidR="002D6333" w:rsidRPr="00133081">
        <w:rPr>
          <w:rFonts w:ascii="Avenir Next" w:hAnsi="Avenir Next"/>
          <w:color w:val="808080" w:themeColor="background1" w:themeShade="80"/>
        </w:rPr>
        <w:t xml:space="preserve">oyalty entails acting in good faith, </w:t>
      </w:r>
      <w:r w:rsidR="007746E1" w:rsidRPr="00133081">
        <w:rPr>
          <w:rFonts w:ascii="Avenir Next" w:hAnsi="Avenir Next"/>
          <w:color w:val="808080" w:themeColor="background1" w:themeShade="80"/>
        </w:rPr>
        <w:t>whilst being disinterested and independent with a reasonable belief that the actions and decision taken are in the best interest of the shareholders of the corporation.</w:t>
      </w:r>
      <w:r w:rsidR="00133081" w:rsidRPr="00133081">
        <w:rPr>
          <w:rFonts w:ascii="Avenir Next" w:hAnsi="Avenir Next"/>
          <w:color w:val="808080" w:themeColor="background1" w:themeShade="80"/>
        </w:rPr>
        <w:t xml:space="preserve"> </w:t>
      </w:r>
      <w:r w:rsidR="00133081" w:rsidRPr="00133081">
        <w:rPr>
          <w:rFonts w:ascii="Avenir Next" w:hAnsi="Avenir Next"/>
          <w:color w:val="808080" w:themeColor="background1" w:themeShade="80"/>
        </w:rPr>
        <w:t>Broadly stated, the duty of loyalty requires directors to act in good faith to advance the best interests of the corporation and, similarly, to refrain from conduct that injures the corporation</w:t>
      </w:r>
      <w:r w:rsidR="00133081" w:rsidRPr="00133081">
        <w:rPr>
          <w:rStyle w:val="FootnoteReference"/>
          <w:rFonts w:ascii="Avenir Next" w:hAnsi="Avenir Next"/>
          <w:color w:val="808080" w:themeColor="background1" w:themeShade="80"/>
        </w:rPr>
        <w:footnoteReference w:id="31"/>
      </w:r>
      <w:r w:rsidR="00133081" w:rsidRPr="00133081">
        <w:rPr>
          <w:rFonts w:ascii="Avenir Next" w:hAnsi="Avenir Next"/>
          <w:color w:val="808080" w:themeColor="background1" w:themeShade="80"/>
        </w:rPr>
        <w:t xml:space="preserve">. </w:t>
      </w:r>
    </w:p>
    <w:p w14:paraId="74FB877A" w14:textId="77777777" w:rsidR="00A26DC2" w:rsidRPr="007F78D7" w:rsidRDefault="00A26DC2" w:rsidP="00D30310">
      <w:pPr>
        <w:pStyle w:val="AODocTxt"/>
        <w:spacing w:before="0" w:line="240" w:lineRule="auto"/>
        <w:rPr>
          <w:rFonts w:ascii="Avenir Next" w:hAnsi="Avenir Next"/>
          <w:color w:val="808080" w:themeColor="background1" w:themeShade="80"/>
        </w:rPr>
      </w:pPr>
    </w:p>
    <w:p w14:paraId="4B40F9D6" w14:textId="3F909956" w:rsidR="00044B74" w:rsidRPr="00D27777" w:rsidRDefault="00044B74" w:rsidP="00D30310">
      <w:pPr>
        <w:pStyle w:val="AODocTxt"/>
        <w:spacing w:before="0" w:line="240" w:lineRule="auto"/>
        <w:rPr>
          <w:rFonts w:ascii="Avenir Next" w:hAnsi="Avenir Next"/>
          <w:color w:val="808080" w:themeColor="background1" w:themeShade="80"/>
        </w:rPr>
      </w:pPr>
      <w:r w:rsidRPr="00D27777">
        <w:rPr>
          <w:rFonts w:ascii="Avenir Next" w:hAnsi="Avenir Next"/>
          <w:color w:val="808080" w:themeColor="background1" w:themeShade="80"/>
        </w:rPr>
        <w:t xml:space="preserve">The duties of care and loyalty are owed to the </w:t>
      </w:r>
      <w:r w:rsidR="007F78D7" w:rsidRPr="00D27777">
        <w:rPr>
          <w:rFonts w:ascii="Avenir Next" w:hAnsi="Avenir Next"/>
          <w:color w:val="808080" w:themeColor="background1" w:themeShade="80"/>
        </w:rPr>
        <w:t>corporation and its shareholders even when the corporation is insolvent or insolvency is imminent.</w:t>
      </w:r>
      <w:r w:rsidR="00A26DC2" w:rsidRPr="00D27777">
        <w:rPr>
          <w:rFonts w:ascii="Avenir Next" w:hAnsi="Avenir Next"/>
          <w:color w:val="808080" w:themeColor="background1" w:themeShade="80"/>
        </w:rPr>
        <w:t xml:space="preserve"> Hence unlike many other jurisdictions, </w:t>
      </w:r>
      <w:r w:rsidR="000C43E7" w:rsidRPr="00D27777">
        <w:rPr>
          <w:rFonts w:ascii="Avenir Next" w:hAnsi="Avenir Next"/>
          <w:color w:val="808080" w:themeColor="background1" w:themeShade="80"/>
        </w:rPr>
        <w:t xml:space="preserve">these duties are not owed to the creditors of the corporation even when insolvency is imminent or a very real possibility. The same has also been confirmed by the US Supreme Court in the matter </w:t>
      </w:r>
      <w:r w:rsidR="000C43E7" w:rsidRPr="00DD3469">
        <w:rPr>
          <w:rFonts w:ascii="Avenir Next" w:hAnsi="Avenir Next"/>
          <w:i/>
          <w:iCs/>
          <w:color w:val="808080" w:themeColor="background1" w:themeShade="80"/>
        </w:rPr>
        <w:t xml:space="preserve">of </w:t>
      </w:r>
      <w:r w:rsidR="00D27777" w:rsidRPr="00DD3469">
        <w:rPr>
          <w:rFonts w:ascii="Avenir Next" w:hAnsi="Avenir Next"/>
          <w:i/>
          <w:iCs/>
          <w:color w:val="808080" w:themeColor="background1" w:themeShade="80"/>
        </w:rPr>
        <w:t>North Am Catholic Educational Programming Foundation, Inc v Gheewala</w:t>
      </w:r>
      <w:r w:rsidR="00D27777" w:rsidRPr="00DD3469">
        <w:rPr>
          <w:rStyle w:val="FootnoteReference"/>
          <w:rFonts w:ascii="Avenir Next" w:hAnsi="Avenir Next"/>
          <w:i/>
          <w:iCs/>
          <w:color w:val="808080" w:themeColor="background1" w:themeShade="80"/>
        </w:rPr>
        <w:footnoteReference w:id="32"/>
      </w:r>
      <w:r w:rsidR="00D27777" w:rsidRPr="00DD3469">
        <w:rPr>
          <w:rFonts w:ascii="Avenir Next" w:hAnsi="Avenir Next"/>
          <w:i/>
          <w:iCs/>
          <w:color w:val="808080" w:themeColor="background1" w:themeShade="80"/>
        </w:rPr>
        <w:t>.</w:t>
      </w:r>
    </w:p>
    <w:p w14:paraId="17A10E09" w14:textId="77777777" w:rsidR="00D27777" w:rsidRPr="00230791" w:rsidRDefault="00D27777" w:rsidP="00D30310">
      <w:pPr>
        <w:pStyle w:val="AODocTxt"/>
        <w:spacing w:before="0" w:line="240" w:lineRule="auto"/>
        <w:rPr>
          <w:rFonts w:ascii="Avenir Next" w:hAnsi="Avenir Next"/>
          <w:color w:val="808080" w:themeColor="background1" w:themeShade="80"/>
        </w:rPr>
      </w:pPr>
    </w:p>
    <w:p w14:paraId="06454F82" w14:textId="6F234803" w:rsidR="00D27777" w:rsidRPr="00230791" w:rsidRDefault="008F4159" w:rsidP="00D30310">
      <w:pPr>
        <w:pStyle w:val="AODocTxt"/>
        <w:spacing w:before="0" w:line="240" w:lineRule="auto"/>
        <w:rPr>
          <w:rFonts w:ascii="Avenir Next" w:hAnsi="Avenir Next"/>
          <w:color w:val="808080" w:themeColor="background1" w:themeShade="80"/>
        </w:rPr>
      </w:pPr>
      <w:r w:rsidRPr="00230791">
        <w:rPr>
          <w:rFonts w:ascii="Avenir Next" w:hAnsi="Avenir Next"/>
          <w:color w:val="808080" w:themeColor="background1" w:themeShade="80"/>
        </w:rPr>
        <w:t>The courts that are evaluating the board decisions in Delaware will first and foremost apply the ‘Business Judgement Rule’ (“BJR”)</w:t>
      </w:r>
      <w:r w:rsidR="00006F0D" w:rsidRPr="00230791">
        <w:rPr>
          <w:rFonts w:ascii="Avenir Next" w:hAnsi="Avenir Next"/>
          <w:color w:val="808080" w:themeColor="background1" w:themeShade="80"/>
        </w:rPr>
        <w:t>. BJR is essentially a broad spectrum of presumptions that the directors are allowed to function</w:t>
      </w:r>
      <w:r w:rsidR="00DD3469">
        <w:rPr>
          <w:rFonts w:ascii="Avenir Next" w:hAnsi="Avenir Next"/>
          <w:color w:val="808080" w:themeColor="background1" w:themeShade="80"/>
        </w:rPr>
        <w:t xml:space="preserve"> within the contours of</w:t>
      </w:r>
      <w:r w:rsidR="00006F0D" w:rsidRPr="00230791">
        <w:rPr>
          <w:rFonts w:ascii="Avenir Next" w:hAnsi="Avenir Next"/>
          <w:color w:val="808080" w:themeColor="background1" w:themeShade="80"/>
        </w:rPr>
        <w:t xml:space="preserve"> whilst making business deci</w:t>
      </w:r>
      <w:r w:rsidR="003E2749" w:rsidRPr="00230791">
        <w:rPr>
          <w:rFonts w:ascii="Avenir Next" w:hAnsi="Avenir Next"/>
          <w:color w:val="808080" w:themeColor="background1" w:themeShade="80"/>
        </w:rPr>
        <w:t xml:space="preserve">sions and so long there is no conflict of interest, their </w:t>
      </w:r>
      <w:r w:rsidR="00230791" w:rsidRPr="00230791">
        <w:rPr>
          <w:rFonts w:ascii="Avenir Next" w:hAnsi="Avenir Next"/>
          <w:color w:val="808080" w:themeColor="background1" w:themeShade="80"/>
        </w:rPr>
        <w:t>decisions</w:t>
      </w:r>
      <w:r w:rsidR="003E2749" w:rsidRPr="00230791">
        <w:rPr>
          <w:rFonts w:ascii="Avenir Next" w:hAnsi="Avenir Next"/>
          <w:color w:val="808080" w:themeColor="background1" w:themeShade="80"/>
        </w:rPr>
        <w:t xml:space="preserve"> will not be</w:t>
      </w:r>
      <w:r w:rsidR="00707638" w:rsidRPr="00230791">
        <w:rPr>
          <w:rFonts w:ascii="Avenir Next" w:hAnsi="Avenir Next"/>
          <w:color w:val="808080" w:themeColor="background1" w:themeShade="80"/>
        </w:rPr>
        <w:t xml:space="preserve"> second-</w:t>
      </w:r>
      <w:r w:rsidR="00230791" w:rsidRPr="00230791">
        <w:rPr>
          <w:rFonts w:ascii="Avenir Next" w:hAnsi="Avenir Next"/>
          <w:color w:val="808080" w:themeColor="background1" w:themeShade="80"/>
        </w:rPr>
        <w:t>guessed</w:t>
      </w:r>
      <w:r w:rsidR="00707638" w:rsidRPr="00230791">
        <w:rPr>
          <w:rFonts w:ascii="Avenir Next" w:hAnsi="Avenir Next"/>
          <w:color w:val="808080" w:themeColor="background1" w:themeShade="80"/>
        </w:rPr>
        <w:t xml:space="preserve"> unless found to be not rational</w:t>
      </w:r>
      <w:r w:rsidR="00057D48" w:rsidRPr="00230791">
        <w:rPr>
          <w:rFonts w:ascii="Avenir Next" w:hAnsi="Avenir Next"/>
          <w:color w:val="808080" w:themeColor="background1" w:themeShade="80"/>
        </w:rPr>
        <w:t xml:space="preserve">. The burden of proof of someone claiming otherwise is on the plaintiff itself to prove </w:t>
      </w:r>
      <w:r w:rsidR="00D17570" w:rsidRPr="00230791">
        <w:rPr>
          <w:rFonts w:ascii="Avenir Next" w:hAnsi="Avenir Next"/>
          <w:color w:val="808080" w:themeColor="background1" w:themeShade="80"/>
        </w:rPr>
        <w:t>that the acts were grossly negligent and that the directors were motivate by bad faith</w:t>
      </w:r>
      <w:r w:rsidR="00383DBD" w:rsidRPr="00230791">
        <w:rPr>
          <w:rStyle w:val="FootnoteReference"/>
          <w:rFonts w:ascii="Avenir Next" w:hAnsi="Avenir Next"/>
          <w:color w:val="808080" w:themeColor="background1" w:themeShade="80"/>
        </w:rPr>
        <w:footnoteReference w:id="33"/>
      </w:r>
      <w:r w:rsidR="00230791" w:rsidRPr="00230791">
        <w:rPr>
          <w:rFonts w:ascii="Avenir Next" w:hAnsi="Avenir Next"/>
          <w:color w:val="808080" w:themeColor="background1" w:themeShade="80"/>
        </w:rPr>
        <w:t>.</w:t>
      </w:r>
    </w:p>
    <w:p w14:paraId="6BBBEC38" w14:textId="77777777" w:rsidR="00D27777" w:rsidRPr="00E01803" w:rsidRDefault="00D27777" w:rsidP="00D30310">
      <w:pPr>
        <w:pStyle w:val="AODocTxt"/>
        <w:spacing w:before="0" w:line="240" w:lineRule="auto"/>
        <w:rPr>
          <w:rFonts w:ascii="Avenir Next" w:hAnsi="Avenir Next"/>
        </w:rPr>
      </w:pPr>
    </w:p>
    <w:p w14:paraId="21FBFC7E" w14:textId="77777777" w:rsidR="00E01803" w:rsidRPr="00484B73" w:rsidRDefault="00E01803" w:rsidP="00D30310">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D30310">
      <w:pPr>
        <w:pStyle w:val="AODocTxt"/>
        <w:spacing w:before="0" w:line="240" w:lineRule="auto"/>
        <w:rPr>
          <w:rFonts w:ascii="Avenir Next" w:hAnsi="Avenir Next"/>
        </w:rPr>
      </w:pPr>
    </w:p>
    <w:p w14:paraId="62391E6B" w14:textId="3D18AAD1" w:rsidR="00E01803" w:rsidRPr="00E01803" w:rsidRDefault="00E01803" w:rsidP="00D30310">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492E8955" w:rsidR="00E01803" w:rsidRDefault="00E01803" w:rsidP="00D30310">
      <w:pPr>
        <w:pStyle w:val="AODocTxt"/>
        <w:spacing w:before="0" w:line="240" w:lineRule="auto"/>
        <w:rPr>
          <w:rFonts w:ascii="Avenir Next" w:hAnsi="Avenir Next"/>
        </w:rPr>
      </w:pPr>
    </w:p>
    <w:p w14:paraId="3A833F16" w14:textId="6269CC9F" w:rsidR="00E01803" w:rsidRPr="005B6A37" w:rsidRDefault="005B6A37" w:rsidP="00D30310">
      <w:pPr>
        <w:pStyle w:val="AODocTxt"/>
        <w:spacing w:before="0" w:line="240" w:lineRule="auto"/>
        <w:rPr>
          <w:rFonts w:ascii="Avenir Next" w:hAnsi="Avenir Next"/>
          <w:color w:val="808080" w:themeColor="background1" w:themeShade="80"/>
          <w:lang w:val="en-IN"/>
        </w:rPr>
      </w:pPr>
      <w:r w:rsidRPr="005B6A37">
        <w:rPr>
          <w:rFonts w:ascii="Avenir Next" w:hAnsi="Avenir Next"/>
          <w:color w:val="808080" w:themeColor="background1" w:themeShade="80"/>
          <w:lang w:val="en-IN"/>
        </w:rPr>
        <w:t>Firstly,</w:t>
      </w:r>
      <w:r w:rsidR="0063522E" w:rsidRPr="005B6A37">
        <w:rPr>
          <w:rFonts w:ascii="Avenir Next" w:hAnsi="Avenir Next"/>
          <w:color w:val="808080" w:themeColor="background1" w:themeShade="80"/>
          <w:lang w:val="en-IN"/>
        </w:rPr>
        <w:t xml:space="preserve"> in accordance with Section 303(b)(1) of the Bankruptcy Code, </w:t>
      </w:r>
      <w:r w:rsidR="0072621C" w:rsidRPr="005B6A37">
        <w:rPr>
          <w:rFonts w:ascii="Avenir Next" w:hAnsi="Avenir Next"/>
          <w:color w:val="808080" w:themeColor="background1" w:themeShade="80"/>
          <w:lang w:val="en-IN"/>
        </w:rPr>
        <w:t xml:space="preserve">the </w:t>
      </w:r>
      <w:r w:rsidR="00F41E27" w:rsidRPr="005B6A37">
        <w:rPr>
          <w:rFonts w:ascii="Avenir Next" w:hAnsi="Avenir Next"/>
          <w:color w:val="808080" w:themeColor="background1" w:themeShade="80"/>
          <w:lang w:val="en-IN"/>
        </w:rPr>
        <w:t xml:space="preserve">requisite number of </w:t>
      </w:r>
      <w:r w:rsidR="00143911" w:rsidRPr="005B6A37">
        <w:rPr>
          <w:rFonts w:ascii="Avenir Next" w:hAnsi="Avenir Next"/>
          <w:color w:val="808080" w:themeColor="background1" w:themeShade="80"/>
          <w:lang w:val="en-IN"/>
        </w:rPr>
        <w:t xml:space="preserve">petitioning </w:t>
      </w:r>
      <w:r w:rsidRPr="005B6A37">
        <w:rPr>
          <w:rFonts w:ascii="Avenir Next" w:hAnsi="Avenir Next"/>
          <w:color w:val="808080" w:themeColor="background1" w:themeShade="80"/>
          <w:lang w:val="en-IN"/>
        </w:rPr>
        <w:t>creditors</w:t>
      </w:r>
      <w:r w:rsidR="00143911" w:rsidRPr="005B6A37">
        <w:rPr>
          <w:rFonts w:ascii="Avenir Next" w:hAnsi="Avenir Next"/>
          <w:color w:val="808080" w:themeColor="background1" w:themeShade="80"/>
          <w:lang w:val="en-IN"/>
        </w:rPr>
        <w:t xml:space="preserve"> holding non-</w:t>
      </w:r>
      <w:r w:rsidRPr="005B6A37">
        <w:rPr>
          <w:rFonts w:ascii="Avenir Next" w:hAnsi="Avenir Next"/>
          <w:color w:val="808080" w:themeColor="background1" w:themeShade="80"/>
          <w:lang w:val="en-IN"/>
        </w:rPr>
        <w:t>contingent</w:t>
      </w:r>
      <w:r w:rsidR="00143911" w:rsidRPr="005B6A37">
        <w:rPr>
          <w:rFonts w:ascii="Avenir Next" w:hAnsi="Avenir Next"/>
          <w:color w:val="808080" w:themeColor="background1" w:themeShade="80"/>
          <w:lang w:val="en-IN"/>
        </w:rPr>
        <w:t xml:space="preserve"> debt, undisputed, unsecured claims must </w:t>
      </w:r>
      <w:r w:rsidR="00DD7043" w:rsidRPr="005B6A37">
        <w:rPr>
          <w:rFonts w:ascii="Avenir Next" w:hAnsi="Avenir Next"/>
          <w:color w:val="808080" w:themeColor="background1" w:themeShade="80"/>
          <w:lang w:val="en-IN"/>
        </w:rPr>
        <w:t>hold an aggregate debt of $16,750</w:t>
      </w:r>
      <w:r w:rsidR="005B5B63" w:rsidRPr="005B6A37">
        <w:rPr>
          <w:rFonts w:ascii="Avenir Next" w:hAnsi="Avenir Next"/>
          <w:color w:val="808080" w:themeColor="background1" w:themeShade="80"/>
          <w:lang w:val="en-IN"/>
        </w:rPr>
        <w:t xml:space="preserve">. A qualifying debt from the </w:t>
      </w:r>
      <w:r w:rsidRPr="005B6A37">
        <w:rPr>
          <w:rFonts w:ascii="Avenir Next" w:hAnsi="Avenir Next"/>
          <w:color w:val="808080" w:themeColor="background1" w:themeShade="80"/>
          <w:lang w:val="en-IN"/>
        </w:rPr>
        <w:t>perspective</w:t>
      </w:r>
      <w:r w:rsidR="005B5B63" w:rsidRPr="005B6A37">
        <w:rPr>
          <w:rFonts w:ascii="Avenir Next" w:hAnsi="Avenir Next"/>
          <w:color w:val="808080" w:themeColor="background1" w:themeShade="80"/>
          <w:lang w:val="en-IN"/>
        </w:rPr>
        <w:t xml:space="preserve"> of a petitioning creditor is the one which is:</w:t>
      </w:r>
    </w:p>
    <w:p w14:paraId="456267D7" w14:textId="7161C699" w:rsidR="005B5B63" w:rsidRPr="005B6A37" w:rsidRDefault="005B5B63" w:rsidP="00D30310">
      <w:pPr>
        <w:pStyle w:val="AODocTxt"/>
        <w:numPr>
          <w:ilvl w:val="0"/>
          <w:numId w:val="36"/>
        </w:numPr>
        <w:spacing w:before="0" w:line="240" w:lineRule="auto"/>
        <w:rPr>
          <w:rFonts w:ascii="Avenir Next" w:hAnsi="Avenir Next"/>
          <w:color w:val="808080" w:themeColor="background1" w:themeShade="80"/>
          <w:lang w:val="en-IN"/>
        </w:rPr>
      </w:pPr>
      <w:r w:rsidRPr="00DD3469">
        <w:rPr>
          <w:rFonts w:ascii="Avenir Next" w:hAnsi="Avenir Next"/>
          <w:b/>
          <w:bCs/>
          <w:color w:val="808080" w:themeColor="background1" w:themeShade="80"/>
          <w:lang w:val="en-IN"/>
        </w:rPr>
        <w:t>Non-contingent</w:t>
      </w:r>
      <w:r w:rsidRPr="005B6A37">
        <w:rPr>
          <w:rFonts w:ascii="Avenir Next" w:hAnsi="Avenir Next"/>
          <w:color w:val="808080" w:themeColor="background1" w:themeShade="80"/>
          <w:lang w:val="en-IN"/>
        </w:rPr>
        <w:t xml:space="preserve">- </w:t>
      </w:r>
      <w:r w:rsidR="00ED47B6" w:rsidRPr="005B6A37">
        <w:rPr>
          <w:rFonts w:ascii="Avenir Next" w:hAnsi="Avenir Next"/>
          <w:color w:val="808080" w:themeColor="background1" w:themeShade="80"/>
          <w:lang w:val="en-IN"/>
        </w:rPr>
        <w:t>The debt should be distinct, clear and non-contingent. A claim is contingent i</w:t>
      </w:r>
      <w:r w:rsidR="00DD3469">
        <w:rPr>
          <w:rFonts w:ascii="Avenir Next" w:hAnsi="Avenir Next"/>
          <w:color w:val="808080" w:themeColor="background1" w:themeShade="80"/>
          <w:lang w:val="en-IN"/>
        </w:rPr>
        <w:t>f</w:t>
      </w:r>
      <w:r w:rsidR="00ED47B6" w:rsidRPr="005B6A37">
        <w:rPr>
          <w:rFonts w:ascii="Avenir Next" w:hAnsi="Avenir Next"/>
          <w:color w:val="808080" w:themeColor="background1" w:themeShade="80"/>
          <w:lang w:val="en-IN"/>
        </w:rPr>
        <w:t xml:space="preserve"> the sam</w:t>
      </w:r>
      <w:r w:rsidR="00BB7187" w:rsidRPr="005B6A37">
        <w:rPr>
          <w:rFonts w:ascii="Avenir Next" w:hAnsi="Avenir Next"/>
          <w:color w:val="808080" w:themeColor="background1" w:themeShade="80"/>
          <w:lang w:val="en-IN"/>
        </w:rPr>
        <w:t>e is set to become due in the future on the happening of a certain event/s</w:t>
      </w:r>
      <w:r w:rsidR="008D5BED" w:rsidRPr="005B6A37">
        <w:rPr>
          <w:rFonts w:ascii="Avenir Next" w:hAnsi="Avenir Next"/>
          <w:color w:val="808080" w:themeColor="background1" w:themeShade="80"/>
          <w:lang w:val="en-IN"/>
        </w:rPr>
        <w:t>.</w:t>
      </w:r>
      <w:r w:rsidR="005A1C36" w:rsidRPr="005B6A37">
        <w:rPr>
          <w:rFonts w:ascii="Avenir Next" w:hAnsi="Avenir Next"/>
          <w:color w:val="808080" w:themeColor="background1" w:themeShade="80"/>
          <w:lang w:val="en-IN"/>
        </w:rPr>
        <w:t xml:space="preserve"> For </w:t>
      </w:r>
      <w:r w:rsidR="005B6A37" w:rsidRPr="005B6A37">
        <w:rPr>
          <w:rFonts w:ascii="Avenir Next" w:hAnsi="Avenir Next"/>
          <w:color w:val="808080" w:themeColor="background1" w:themeShade="80"/>
          <w:lang w:val="en-IN"/>
        </w:rPr>
        <w:t>example,</w:t>
      </w:r>
      <w:r w:rsidR="005A1C36" w:rsidRPr="005B6A37">
        <w:rPr>
          <w:rFonts w:ascii="Avenir Next" w:hAnsi="Avenir Next"/>
          <w:color w:val="808080" w:themeColor="background1" w:themeShade="80"/>
          <w:lang w:val="en-IN"/>
        </w:rPr>
        <w:t xml:space="preserve"> a contract of suretyship is contingent qua the surety, to the extent that the default of the principal debtor is </w:t>
      </w:r>
      <w:r w:rsidR="007C0CF9" w:rsidRPr="005B6A37">
        <w:rPr>
          <w:rFonts w:ascii="Avenir Next" w:hAnsi="Avenir Next"/>
          <w:color w:val="808080" w:themeColor="background1" w:themeShade="80"/>
          <w:lang w:val="en-IN"/>
        </w:rPr>
        <w:t xml:space="preserve">the trigger event. </w:t>
      </w:r>
    </w:p>
    <w:p w14:paraId="273F5D89" w14:textId="55206A44" w:rsidR="008D5BED" w:rsidRPr="005B6A37" w:rsidRDefault="008D5BED" w:rsidP="00D30310">
      <w:pPr>
        <w:pStyle w:val="AODocTxt"/>
        <w:numPr>
          <w:ilvl w:val="0"/>
          <w:numId w:val="36"/>
        </w:numPr>
        <w:spacing w:before="0" w:line="240" w:lineRule="auto"/>
        <w:rPr>
          <w:rFonts w:ascii="Avenir Next" w:hAnsi="Avenir Next"/>
          <w:color w:val="808080" w:themeColor="background1" w:themeShade="80"/>
          <w:lang w:val="en-IN"/>
        </w:rPr>
      </w:pPr>
      <w:r w:rsidRPr="00DD3469">
        <w:rPr>
          <w:rFonts w:ascii="Avenir Next" w:hAnsi="Avenir Next"/>
          <w:b/>
          <w:bCs/>
          <w:color w:val="808080" w:themeColor="background1" w:themeShade="80"/>
          <w:lang w:val="en-IN"/>
        </w:rPr>
        <w:t>Not disputed</w:t>
      </w:r>
      <w:r w:rsidRPr="005B6A37">
        <w:rPr>
          <w:rFonts w:ascii="Avenir Next" w:hAnsi="Avenir Next"/>
          <w:color w:val="808080" w:themeColor="background1" w:themeShade="80"/>
          <w:lang w:val="en-IN"/>
        </w:rPr>
        <w:t xml:space="preserve">- the debt should not be disputed. Though the </w:t>
      </w:r>
      <w:r w:rsidR="005B6A37" w:rsidRPr="005B6A37">
        <w:rPr>
          <w:rFonts w:ascii="Avenir Next" w:hAnsi="Avenir Next"/>
          <w:color w:val="808080" w:themeColor="background1" w:themeShade="80"/>
          <w:lang w:val="en-IN"/>
        </w:rPr>
        <w:t>Bankruptcy</w:t>
      </w:r>
      <w:r w:rsidRPr="005B6A37">
        <w:rPr>
          <w:rFonts w:ascii="Avenir Next" w:hAnsi="Avenir Next"/>
          <w:color w:val="808080" w:themeColor="background1" w:themeShade="80"/>
          <w:lang w:val="en-IN"/>
        </w:rPr>
        <w:t xml:space="preserve"> Code does not define the term ‘dispute</w:t>
      </w:r>
      <w:r w:rsidR="00110752" w:rsidRPr="005B6A37">
        <w:rPr>
          <w:rFonts w:ascii="Avenir Next" w:hAnsi="Avenir Next"/>
          <w:color w:val="808080" w:themeColor="background1" w:themeShade="80"/>
          <w:lang w:val="en-IN"/>
        </w:rPr>
        <w:t>d</w:t>
      </w:r>
      <w:r w:rsidR="00DD3469">
        <w:rPr>
          <w:rFonts w:ascii="Avenir Next" w:hAnsi="Avenir Next"/>
          <w:color w:val="808080" w:themeColor="background1" w:themeShade="80"/>
          <w:lang w:val="en-IN"/>
        </w:rPr>
        <w:t>’</w:t>
      </w:r>
      <w:r w:rsidR="00110752" w:rsidRPr="005B6A37">
        <w:rPr>
          <w:rFonts w:ascii="Avenir Next" w:hAnsi="Avenir Next"/>
          <w:color w:val="808080" w:themeColor="background1" w:themeShade="80"/>
          <w:lang w:val="en-IN"/>
        </w:rPr>
        <w:t>, courts generally have a more objective outlook to suc</w:t>
      </w:r>
      <w:r w:rsidR="005B6A37" w:rsidRPr="005B6A37">
        <w:rPr>
          <w:rFonts w:ascii="Avenir Next" w:hAnsi="Avenir Next"/>
          <w:color w:val="808080" w:themeColor="background1" w:themeShade="80"/>
          <w:lang w:val="en-IN"/>
        </w:rPr>
        <w:t>h</w:t>
      </w:r>
      <w:r w:rsidR="00110752" w:rsidRPr="005B6A37">
        <w:rPr>
          <w:rFonts w:ascii="Avenir Next" w:hAnsi="Avenir Next"/>
          <w:color w:val="808080" w:themeColor="background1" w:themeShade="80"/>
          <w:lang w:val="en-IN"/>
        </w:rPr>
        <w:t xml:space="preserve"> matters. For </w:t>
      </w:r>
      <w:r w:rsidR="005B6A37" w:rsidRPr="005B6A37">
        <w:rPr>
          <w:rFonts w:ascii="Avenir Next" w:hAnsi="Avenir Next"/>
          <w:color w:val="808080" w:themeColor="background1" w:themeShade="80"/>
          <w:lang w:val="en-IN"/>
        </w:rPr>
        <w:t>instance,</w:t>
      </w:r>
      <w:r w:rsidR="00110752" w:rsidRPr="005B6A37">
        <w:rPr>
          <w:rFonts w:ascii="Avenir Next" w:hAnsi="Avenir Next"/>
          <w:color w:val="808080" w:themeColor="background1" w:themeShade="80"/>
          <w:lang w:val="en-IN"/>
        </w:rPr>
        <w:t xml:space="preserve"> in one matter</w:t>
      </w:r>
      <w:r w:rsidR="00276960" w:rsidRPr="005B6A37">
        <w:rPr>
          <w:rFonts w:ascii="Avenir Next" w:hAnsi="Avenir Next"/>
          <w:color w:val="808080" w:themeColor="background1" w:themeShade="80"/>
          <w:lang w:val="en-IN"/>
        </w:rPr>
        <w:t xml:space="preserve">, </w:t>
      </w:r>
      <w:r w:rsidR="0030737C" w:rsidRPr="005B6A37">
        <w:rPr>
          <w:rFonts w:ascii="Avenir Next" w:hAnsi="Avenir Next"/>
          <w:color w:val="808080" w:themeColor="background1" w:themeShade="80"/>
          <w:lang w:val="en-IN"/>
        </w:rPr>
        <w:t xml:space="preserve">a </w:t>
      </w:r>
      <w:r w:rsidR="0030737C" w:rsidRPr="005B6A37">
        <w:rPr>
          <w:rFonts w:ascii="Avenir Next" w:hAnsi="Avenir Next"/>
          <w:color w:val="808080" w:themeColor="background1" w:themeShade="80"/>
          <w:lang w:val="en-IN"/>
        </w:rPr>
        <w:t>bankruptcy court found a bona fide dispute existed as to the enforceability of the contract the debt was based upon, and therefore the creditor was not eligible to be a petitioning creditor in the involuntary bankruptcy proceeding</w:t>
      </w:r>
      <w:r w:rsidR="0030737C" w:rsidRPr="005B6A37">
        <w:rPr>
          <w:rStyle w:val="FootnoteReference"/>
          <w:rFonts w:ascii="Avenir Next" w:hAnsi="Avenir Next"/>
          <w:color w:val="808080" w:themeColor="background1" w:themeShade="80"/>
          <w:lang w:val="en-IN"/>
        </w:rPr>
        <w:footnoteReference w:id="34"/>
      </w:r>
      <w:r w:rsidR="00C26FA6" w:rsidRPr="005B6A37">
        <w:rPr>
          <w:rFonts w:ascii="Avenir Next" w:hAnsi="Avenir Next"/>
          <w:color w:val="808080" w:themeColor="background1" w:themeShade="80"/>
          <w:lang w:val="en-IN"/>
        </w:rPr>
        <w:t xml:space="preserve">. </w:t>
      </w:r>
    </w:p>
    <w:p w14:paraId="20CFB957" w14:textId="31B620E7" w:rsidR="007C0CF9" w:rsidRPr="005B6A37" w:rsidRDefault="007C0CF9" w:rsidP="00D30310">
      <w:pPr>
        <w:pStyle w:val="AODocTxt"/>
        <w:numPr>
          <w:ilvl w:val="0"/>
          <w:numId w:val="36"/>
        </w:numPr>
        <w:spacing w:before="0" w:line="240" w:lineRule="auto"/>
        <w:rPr>
          <w:rFonts w:ascii="Avenir Next" w:hAnsi="Avenir Next"/>
          <w:color w:val="808080" w:themeColor="background1" w:themeShade="80"/>
          <w:lang w:val="en-IN"/>
        </w:rPr>
      </w:pPr>
      <w:r w:rsidRPr="00DD3469">
        <w:rPr>
          <w:rFonts w:ascii="Avenir Next" w:hAnsi="Avenir Next"/>
          <w:b/>
          <w:bCs/>
          <w:color w:val="808080" w:themeColor="background1" w:themeShade="80"/>
          <w:lang w:val="en-IN"/>
        </w:rPr>
        <w:t>Any Person</w:t>
      </w:r>
      <w:r w:rsidRPr="005B6A37">
        <w:rPr>
          <w:rFonts w:ascii="Avenir Next" w:hAnsi="Avenir Next"/>
          <w:color w:val="808080" w:themeColor="background1" w:themeShade="80"/>
          <w:lang w:val="en-IN"/>
        </w:rPr>
        <w:t xml:space="preserve">- </w:t>
      </w:r>
      <w:r w:rsidR="00E26CE2" w:rsidRPr="005B6A37">
        <w:rPr>
          <w:rFonts w:ascii="Avenir Next" w:hAnsi="Avenir Next"/>
          <w:color w:val="808080" w:themeColor="background1" w:themeShade="80"/>
          <w:lang w:val="en-IN"/>
        </w:rPr>
        <w:t>Person is defined to mean both individuals and corporates</w:t>
      </w:r>
      <w:r w:rsidR="00E26CE2" w:rsidRPr="005B6A37">
        <w:rPr>
          <w:rStyle w:val="FootnoteReference"/>
          <w:rFonts w:ascii="Avenir Next" w:hAnsi="Avenir Next"/>
          <w:color w:val="808080" w:themeColor="background1" w:themeShade="80"/>
          <w:lang w:val="en-IN"/>
        </w:rPr>
        <w:footnoteReference w:id="35"/>
      </w:r>
      <w:r w:rsidR="00320885" w:rsidRPr="005B6A37">
        <w:rPr>
          <w:rFonts w:ascii="Avenir Next" w:hAnsi="Avenir Next"/>
          <w:color w:val="808080" w:themeColor="background1" w:themeShade="80"/>
          <w:lang w:val="en-IN"/>
        </w:rPr>
        <w:t xml:space="preserve">. </w:t>
      </w:r>
      <w:r w:rsidR="00486950" w:rsidRPr="005B6A37">
        <w:rPr>
          <w:rFonts w:ascii="Avenir Next" w:hAnsi="Avenir Next"/>
          <w:color w:val="808080" w:themeColor="background1" w:themeShade="80"/>
          <w:lang w:val="en-IN"/>
        </w:rPr>
        <w:t xml:space="preserve">Hence any person who can be a voluntary petitioner can be an </w:t>
      </w:r>
      <w:r w:rsidR="005B6A37" w:rsidRPr="005B6A37">
        <w:rPr>
          <w:rFonts w:ascii="Avenir Next" w:hAnsi="Avenir Next"/>
          <w:color w:val="808080" w:themeColor="background1" w:themeShade="80"/>
          <w:lang w:val="en-IN"/>
        </w:rPr>
        <w:t>involuntary</w:t>
      </w:r>
      <w:r w:rsidR="00486950" w:rsidRPr="005B6A37">
        <w:rPr>
          <w:rFonts w:ascii="Avenir Next" w:hAnsi="Avenir Next"/>
          <w:color w:val="808080" w:themeColor="background1" w:themeShade="80"/>
          <w:lang w:val="en-IN"/>
        </w:rPr>
        <w:t xml:space="preserve"> petitioner.</w:t>
      </w:r>
    </w:p>
    <w:p w14:paraId="03226659" w14:textId="19B15432" w:rsidR="00486950" w:rsidRPr="005B6A37" w:rsidRDefault="0063173D" w:rsidP="00D30310">
      <w:pPr>
        <w:pStyle w:val="AODocTxt"/>
        <w:numPr>
          <w:ilvl w:val="0"/>
          <w:numId w:val="36"/>
        </w:numPr>
        <w:spacing w:before="0" w:line="240" w:lineRule="auto"/>
        <w:rPr>
          <w:rFonts w:ascii="Avenir Next" w:hAnsi="Avenir Next"/>
          <w:color w:val="808080" w:themeColor="background1" w:themeShade="80"/>
          <w:lang w:val="en-IN"/>
        </w:rPr>
      </w:pPr>
      <w:r w:rsidRPr="00DD3469">
        <w:rPr>
          <w:rFonts w:ascii="Avenir Next" w:hAnsi="Avenir Next"/>
          <w:b/>
          <w:bCs/>
          <w:color w:val="808080" w:themeColor="background1" w:themeShade="80"/>
          <w:lang w:val="en-IN"/>
        </w:rPr>
        <w:t>Number of creditors</w:t>
      </w:r>
      <w:r w:rsidRPr="005B6A37">
        <w:rPr>
          <w:rFonts w:ascii="Avenir Next" w:hAnsi="Avenir Next"/>
          <w:color w:val="808080" w:themeColor="background1" w:themeShade="80"/>
          <w:lang w:val="en-IN"/>
        </w:rPr>
        <w:t xml:space="preserve">- </w:t>
      </w:r>
      <w:r w:rsidRPr="005B6A37">
        <w:rPr>
          <w:rFonts w:ascii="Avenir Next" w:hAnsi="Avenir Next"/>
          <w:color w:val="808080" w:themeColor="background1" w:themeShade="80"/>
          <w:lang w:val="en-IN"/>
        </w:rPr>
        <w:t xml:space="preserve">If the putative debtor has twelve or more creditors, at least three qualifying creditors must join as petitioning creditors to collectively file the involuntary </w:t>
      </w:r>
      <w:r w:rsidRPr="005B6A37">
        <w:rPr>
          <w:rFonts w:ascii="Avenir Next" w:hAnsi="Avenir Next"/>
          <w:color w:val="808080" w:themeColor="background1" w:themeShade="80"/>
          <w:lang w:val="en-IN"/>
        </w:rPr>
        <w:lastRenderedPageBreak/>
        <w:t>petition. However, the Bankruptcy Code requires only one petitioning qualifying creditor in instances where the putative debtor has less than twelve creditors</w:t>
      </w:r>
      <w:r w:rsidRPr="005B6A37">
        <w:rPr>
          <w:rStyle w:val="FootnoteReference"/>
          <w:rFonts w:ascii="Avenir Next" w:hAnsi="Avenir Next"/>
          <w:color w:val="808080" w:themeColor="background1" w:themeShade="80"/>
          <w:lang w:val="en-IN"/>
        </w:rPr>
        <w:footnoteReference w:id="36"/>
      </w:r>
      <w:r w:rsidR="00E022B4" w:rsidRPr="005B6A37">
        <w:rPr>
          <w:rFonts w:ascii="Avenir Next" w:hAnsi="Avenir Next"/>
          <w:color w:val="808080" w:themeColor="background1" w:themeShade="80"/>
          <w:lang w:val="en-IN"/>
        </w:rPr>
        <w:t>.</w:t>
      </w:r>
    </w:p>
    <w:p w14:paraId="5157B954" w14:textId="456002BE" w:rsidR="00F03051" w:rsidRPr="005B6A37" w:rsidRDefault="00BA2565" w:rsidP="00D30310">
      <w:pPr>
        <w:pStyle w:val="AODocTxt"/>
        <w:numPr>
          <w:ilvl w:val="0"/>
          <w:numId w:val="36"/>
        </w:numPr>
        <w:spacing w:before="0" w:line="240" w:lineRule="auto"/>
        <w:rPr>
          <w:rFonts w:ascii="Avenir Next" w:hAnsi="Avenir Next"/>
          <w:color w:val="808080" w:themeColor="background1" w:themeShade="80"/>
          <w:lang w:val="en-IN"/>
        </w:rPr>
      </w:pPr>
      <w:r w:rsidRPr="00E6675A">
        <w:rPr>
          <w:rFonts w:ascii="Avenir Next" w:hAnsi="Avenir Next"/>
          <w:b/>
          <w:bCs/>
          <w:color w:val="808080" w:themeColor="background1" w:themeShade="80"/>
          <w:lang w:val="en-IN"/>
        </w:rPr>
        <w:t>Ground</w:t>
      </w:r>
      <w:r w:rsidR="00E6675A">
        <w:rPr>
          <w:rFonts w:ascii="Avenir Next" w:hAnsi="Avenir Next"/>
          <w:b/>
          <w:bCs/>
          <w:color w:val="808080" w:themeColor="background1" w:themeShade="80"/>
          <w:lang w:val="en-IN"/>
        </w:rPr>
        <w:t>s</w:t>
      </w:r>
      <w:r w:rsidRPr="00E6675A">
        <w:rPr>
          <w:rFonts w:ascii="Avenir Next" w:hAnsi="Avenir Next"/>
          <w:b/>
          <w:bCs/>
          <w:color w:val="808080" w:themeColor="background1" w:themeShade="80"/>
          <w:lang w:val="en-IN"/>
        </w:rPr>
        <w:t xml:space="preserve"> of Relief</w:t>
      </w:r>
      <w:r w:rsidRPr="005B6A37">
        <w:rPr>
          <w:rFonts w:ascii="Avenir Next" w:hAnsi="Avenir Next"/>
          <w:color w:val="808080" w:themeColor="background1" w:themeShade="80"/>
          <w:lang w:val="en-IN"/>
        </w:rPr>
        <w:t xml:space="preserve">- In accordance with </w:t>
      </w:r>
      <w:r w:rsidR="005C321B" w:rsidRPr="005B6A37">
        <w:rPr>
          <w:rFonts w:ascii="Avenir Next" w:hAnsi="Avenir Next"/>
          <w:color w:val="808080" w:themeColor="background1" w:themeShade="80"/>
          <w:lang w:val="en-IN"/>
        </w:rPr>
        <w:t>Section 303(h)</w:t>
      </w:r>
      <w:r w:rsidR="00E621C4" w:rsidRPr="005B6A37">
        <w:rPr>
          <w:rFonts w:ascii="Avenir Next" w:hAnsi="Avenir Next"/>
          <w:color w:val="808080" w:themeColor="background1" w:themeShade="80"/>
          <w:lang w:val="en-IN"/>
        </w:rPr>
        <w:t xml:space="preserve"> of the </w:t>
      </w:r>
      <w:r w:rsidR="005B6A37" w:rsidRPr="005B6A37">
        <w:rPr>
          <w:rFonts w:ascii="Avenir Next" w:hAnsi="Avenir Next"/>
          <w:color w:val="808080" w:themeColor="background1" w:themeShade="80"/>
          <w:lang w:val="en-IN"/>
        </w:rPr>
        <w:t>Bankruptcy</w:t>
      </w:r>
      <w:r w:rsidR="00E621C4" w:rsidRPr="005B6A37">
        <w:rPr>
          <w:rFonts w:ascii="Avenir Next" w:hAnsi="Avenir Next"/>
          <w:color w:val="808080" w:themeColor="background1" w:themeShade="80"/>
          <w:lang w:val="en-IN"/>
        </w:rPr>
        <w:t xml:space="preserve"> Code, the involuntary petition, </w:t>
      </w:r>
      <w:r w:rsidR="002B0EDB" w:rsidRPr="005B6A37">
        <w:rPr>
          <w:rFonts w:ascii="Avenir Next" w:hAnsi="Avenir Next"/>
          <w:color w:val="808080" w:themeColor="background1" w:themeShade="80"/>
          <w:lang w:val="en-IN"/>
        </w:rPr>
        <w:t xml:space="preserve">should demonstrate that the </w:t>
      </w:r>
      <w:r w:rsidR="002B0EDB" w:rsidRPr="005B6A37">
        <w:rPr>
          <w:rFonts w:ascii="Avenir Next" w:hAnsi="Avenir Next"/>
          <w:color w:val="808080" w:themeColor="background1" w:themeShade="80"/>
          <w:lang w:val="en-IN"/>
        </w:rPr>
        <w:t>debtor is generally not paying such debtor's debts as such debts become due unless such debts are the subject of a bona fide dispute as to liability or amount</w:t>
      </w:r>
      <w:r w:rsidR="00484B93" w:rsidRPr="005B6A37">
        <w:rPr>
          <w:rFonts w:ascii="Avenir Next" w:hAnsi="Avenir Next"/>
          <w:color w:val="808080" w:themeColor="background1" w:themeShade="80"/>
          <w:lang w:val="en-IN"/>
        </w:rPr>
        <w:t xml:space="preserve"> </w:t>
      </w:r>
      <w:r w:rsidR="00484B93" w:rsidRPr="005B6A37">
        <w:rPr>
          <w:rFonts w:ascii="Avenir Next" w:hAnsi="Avenir Next"/>
          <w:i/>
          <w:iCs/>
          <w:color w:val="808080" w:themeColor="background1" w:themeShade="80"/>
          <w:lang w:val="en-IN"/>
        </w:rPr>
        <w:t>or</w:t>
      </w:r>
      <w:r w:rsidR="00484B93" w:rsidRPr="005B6A37">
        <w:rPr>
          <w:rFonts w:ascii="Avenir Next" w:hAnsi="Avenir Next"/>
          <w:color w:val="808080" w:themeColor="background1" w:themeShade="80"/>
          <w:lang w:val="en-IN"/>
        </w:rPr>
        <w:t xml:space="preserve"> that w</w:t>
      </w:r>
      <w:r w:rsidR="00484B93" w:rsidRPr="005B6A37">
        <w:rPr>
          <w:rFonts w:ascii="Avenir Next" w:hAnsi="Avenir Next"/>
          <w:color w:val="808080" w:themeColor="background1" w:themeShade="80"/>
          <w:lang w:val="en-IN"/>
        </w:rPr>
        <w:t>ithin 120 days before the filing of the involuntary petition, a custodian, other than a trustee, receiver, or an agent appointed or authorized to take charge of less than substantially all of the property of the debtor for the purpose of enforcing a lien against such property, was appointed or took possession</w:t>
      </w:r>
      <w:r w:rsidR="00484B93" w:rsidRPr="005B6A37">
        <w:rPr>
          <w:rFonts w:ascii="Avenir Next" w:hAnsi="Avenir Next"/>
          <w:color w:val="808080" w:themeColor="background1" w:themeShade="80"/>
          <w:lang w:val="en-IN"/>
        </w:rPr>
        <w:t xml:space="preserve">. </w:t>
      </w:r>
      <w:r w:rsidR="00287A73" w:rsidRPr="005B6A37">
        <w:rPr>
          <w:rFonts w:ascii="Avenir Next" w:hAnsi="Avenir Next"/>
          <w:color w:val="808080" w:themeColor="background1" w:themeShade="80"/>
          <w:lang w:val="en-IN"/>
        </w:rPr>
        <w:t>Proving of either of the aforementioned two requirements signify</w:t>
      </w:r>
      <w:r w:rsidR="003E58D9" w:rsidRPr="005B6A37">
        <w:rPr>
          <w:rFonts w:ascii="Avenir Next" w:hAnsi="Avenir Next"/>
          <w:color w:val="808080" w:themeColor="background1" w:themeShade="80"/>
          <w:lang w:val="en-IN"/>
        </w:rPr>
        <w:t xml:space="preserve"> major financial duress qua the debtor.</w:t>
      </w:r>
    </w:p>
    <w:p w14:paraId="5C5873F8" w14:textId="77777777" w:rsidR="003E58D9" w:rsidRPr="00484B93" w:rsidRDefault="003E58D9" w:rsidP="005B6A37">
      <w:pPr>
        <w:pStyle w:val="AODocTxt"/>
        <w:spacing w:before="0" w:line="240" w:lineRule="auto"/>
        <w:ind w:left="360"/>
        <w:rPr>
          <w:rFonts w:ascii="Avenir Next" w:hAnsi="Avenir Next"/>
          <w:lang w:val="en-IN"/>
        </w:rPr>
      </w:pPr>
    </w:p>
    <w:p w14:paraId="58180E3A" w14:textId="77777777" w:rsidR="00E01803" w:rsidRPr="00484B73" w:rsidRDefault="00E01803" w:rsidP="00D30310">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D30310">
      <w:pPr>
        <w:pStyle w:val="AODocTxt"/>
        <w:spacing w:before="0" w:line="240" w:lineRule="auto"/>
        <w:rPr>
          <w:rFonts w:ascii="Avenir Next Demi Bold" w:hAnsi="Avenir Next Demi Bold"/>
          <w:b/>
          <w:bCs/>
        </w:rPr>
      </w:pPr>
    </w:p>
    <w:p w14:paraId="02F1853E" w14:textId="77777777" w:rsidR="00E01803" w:rsidRPr="00484B73" w:rsidRDefault="00E01803" w:rsidP="00D30310">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D30310">
      <w:pPr>
        <w:pStyle w:val="AODocTxt"/>
        <w:spacing w:before="0" w:line="240" w:lineRule="auto"/>
        <w:rPr>
          <w:rFonts w:ascii="Avenir Next" w:hAnsi="Avenir Next"/>
        </w:rPr>
      </w:pPr>
    </w:p>
    <w:p w14:paraId="11DDCA2A" w14:textId="544875DC" w:rsidR="00E01803" w:rsidRDefault="00E01803" w:rsidP="00D30310">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D30310">
      <w:pPr>
        <w:pStyle w:val="AODocTxt"/>
        <w:spacing w:before="0" w:line="240" w:lineRule="auto"/>
        <w:rPr>
          <w:rFonts w:ascii="Avenir Next" w:hAnsi="Avenir Next"/>
        </w:rPr>
      </w:pPr>
    </w:p>
    <w:p w14:paraId="04A17675" w14:textId="483825C4" w:rsidR="00E01803" w:rsidRDefault="00E01803" w:rsidP="00D30310">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D30310">
      <w:pPr>
        <w:pStyle w:val="AODocTxt"/>
        <w:spacing w:before="0" w:line="240" w:lineRule="auto"/>
        <w:rPr>
          <w:rFonts w:ascii="Avenir Next" w:hAnsi="Avenir Next"/>
        </w:rPr>
      </w:pPr>
    </w:p>
    <w:p w14:paraId="2CD3B0B8" w14:textId="7440066E" w:rsidR="00F829BD" w:rsidRPr="00DF4FA9" w:rsidRDefault="00F829BD" w:rsidP="00D30310">
      <w:pPr>
        <w:pStyle w:val="AODocTxt"/>
        <w:spacing w:before="0" w:line="240" w:lineRule="auto"/>
        <w:rPr>
          <w:rFonts w:ascii="Avenir Next" w:hAnsi="Avenir Next"/>
          <w:color w:val="808080" w:themeColor="background1" w:themeShade="80"/>
        </w:rPr>
      </w:pPr>
      <w:r w:rsidRPr="00DF4FA9">
        <w:rPr>
          <w:rFonts w:ascii="Avenir Next" w:hAnsi="Avenir Next"/>
          <w:color w:val="808080" w:themeColor="background1" w:themeShade="80"/>
        </w:rPr>
        <w:t>In accordance with Section 303 of the Bankruptcy Code:</w:t>
      </w:r>
    </w:p>
    <w:p w14:paraId="1747F499" w14:textId="33E8EB25" w:rsidR="00F03051" w:rsidRDefault="00BE4E9E" w:rsidP="00BE4E9E">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DOJ investigation: </w:t>
      </w:r>
      <w:r w:rsidR="00F44AF5">
        <w:rPr>
          <w:rFonts w:ascii="Avenir Next" w:hAnsi="Avenir Next" w:cs="Arial"/>
          <w:color w:val="7B7B7B" w:themeColor="accent3" w:themeShade="BF"/>
          <w:sz w:val="22"/>
          <w:szCs w:val="22"/>
          <w:lang w:val="en-GB"/>
        </w:rPr>
        <w:t>Regulatory investigations are not stayed as a result of the automatic stay on filing of a chapter 11 proceeding</w:t>
      </w:r>
      <w:r w:rsidR="00C60F78">
        <w:rPr>
          <w:rFonts w:ascii="Avenir Next" w:hAnsi="Avenir Next" w:cs="Arial"/>
          <w:color w:val="7B7B7B" w:themeColor="accent3" w:themeShade="BF"/>
          <w:sz w:val="22"/>
          <w:szCs w:val="22"/>
          <w:lang w:val="en-GB"/>
        </w:rPr>
        <w:t>;</w:t>
      </w:r>
    </w:p>
    <w:p w14:paraId="38D607D0" w14:textId="15B8EEC3" w:rsidR="00C60F78" w:rsidRDefault="00C60F78" w:rsidP="00BE4E9E">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Margin loan default: any action by the credito</w:t>
      </w:r>
      <w:r w:rsidR="00E6675A">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holder of the margin loan claim</w:t>
      </w:r>
      <w:r w:rsidR="005D22F6">
        <w:rPr>
          <w:rFonts w:ascii="Avenir Next" w:hAnsi="Avenir Next" w:cs="Arial"/>
          <w:color w:val="7B7B7B" w:themeColor="accent3" w:themeShade="BF"/>
          <w:sz w:val="22"/>
          <w:szCs w:val="22"/>
          <w:lang w:val="en-GB"/>
        </w:rPr>
        <w:t xml:space="preserve">, or any </w:t>
      </w:r>
      <w:r w:rsidR="005D0768">
        <w:rPr>
          <w:rFonts w:ascii="Avenir Next" w:hAnsi="Avenir Next" w:cs="Arial"/>
          <w:color w:val="7B7B7B" w:themeColor="accent3" w:themeShade="BF"/>
          <w:sz w:val="22"/>
          <w:szCs w:val="22"/>
          <w:lang w:val="en-GB"/>
        </w:rPr>
        <w:t>enforcement</w:t>
      </w:r>
      <w:r w:rsidR="005D22F6">
        <w:rPr>
          <w:rFonts w:ascii="Avenir Next" w:hAnsi="Avenir Next" w:cs="Arial"/>
          <w:color w:val="7B7B7B" w:themeColor="accent3" w:themeShade="BF"/>
          <w:sz w:val="22"/>
          <w:szCs w:val="22"/>
          <w:lang w:val="en-GB"/>
        </w:rPr>
        <w:t xml:space="preserve"> </w:t>
      </w:r>
      <w:r w:rsidR="00733083">
        <w:rPr>
          <w:rFonts w:ascii="Avenir Next" w:hAnsi="Avenir Next" w:cs="Arial"/>
          <w:color w:val="7B7B7B" w:themeColor="accent3" w:themeShade="BF"/>
          <w:sz w:val="22"/>
          <w:szCs w:val="22"/>
          <w:lang w:val="en-GB"/>
        </w:rPr>
        <w:t xml:space="preserve">against the debtor or </w:t>
      </w:r>
      <w:r w:rsidR="005D0768">
        <w:rPr>
          <w:rFonts w:ascii="Avenir Next" w:hAnsi="Avenir Next" w:cs="Arial"/>
          <w:color w:val="7B7B7B" w:themeColor="accent3" w:themeShade="BF"/>
          <w:sz w:val="22"/>
          <w:szCs w:val="22"/>
          <w:lang w:val="en-GB"/>
        </w:rPr>
        <w:t>against</w:t>
      </w:r>
      <w:r w:rsidR="00733083">
        <w:rPr>
          <w:rFonts w:ascii="Avenir Next" w:hAnsi="Avenir Next" w:cs="Arial"/>
          <w:color w:val="7B7B7B" w:themeColor="accent3" w:themeShade="BF"/>
          <w:sz w:val="22"/>
          <w:szCs w:val="22"/>
          <w:lang w:val="en-GB"/>
        </w:rPr>
        <w:t xml:space="preserve"> its property</w:t>
      </w:r>
      <w:r w:rsidR="00E6675A">
        <w:rPr>
          <w:rFonts w:ascii="Avenir Next" w:hAnsi="Avenir Next" w:cs="Arial"/>
          <w:color w:val="7B7B7B" w:themeColor="accent3" w:themeShade="BF"/>
          <w:sz w:val="22"/>
          <w:szCs w:val="22"/>
          <w:lang w:val="en-GB"/>
        </w:rPr>
        <w:t xml:space="preserve"> for </w:t>
      </w:r>
      <w:r w:rsidR="002A6C9C">
        <w:rPr>
          <w:rFonts w:ascii="Avenir Next" w:hAnsi="Avenir Next" w:cs="Arial"/>
          <w:color w:val="7B7B7B" w:themeColor="accent3" w:themeShade="BF"/>
          <w:sz w:val="22"/>
          <w:szCs w:val="22"/>
          <w:lang w:val="en-GB"/>
        </w:rPr>
        <w:t>recovery of claim</w:t>
      </w:r>
      <w:r w:rsidR="00E6675A">
        <w:rPr>
          <w:rFonts w:ascii="Avenir Next" w:hAnsi="Avenir Next" w:cs="Arial"/>
          <w:color w:val="7B7B7B" w:themeColor="accent3" w:themeShade="BF"/>
          <w:sz w:val="22"/>
          <w:szCs w:val="22"/>
          <w:lang w:val="en-GB"/>
        </w:rPr>
        <w:t xml:space="preserve"> or </w:t>
      </w:r>
      <w:r w:rsidR="002A6C9C">
        <w:rPr>
          <w:rFonts w:ascii="Avenir Next" w:hAnsi="Avenir Next" w:cs="Arial"/>
          <w:color w:val="7B7B7B" w:themeColor="accent3" w:themeShade="BF"/>
          <w:sz w:val="22"/>
          <w:szCs w:val="22"/>
          <w:lang w:val="en-GB"/>
        </w:rPr>
        <w:t>enforcement of such a clam is stayed;</w:t>
      </w:r>
    </w:p>
    <w:p w14:paraId="039BAF65" w14:textId="56B141C4" w:rsidR="002A6C9C" w:rsidRDefault="002A6C9C" w:rsidP="00BE4E9E">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Delinquent lease: The fact set states that </w:t>
      </w:r>
      <w:r w:rsidR="0005466F">
        <w:rPr>
          <w:rFonts w:ascii="Avenir Next" w:hAnsi="Avenir Next" w:cs="Arial"/>
          <w:color w:val="7B7B7B" w:themeColor="accent3" w:themeShade="BF"/>
          <w:sz w:val="22"/>
          <w:szCs w:val="22"/>
          <w:lang w:val="en-GB"/>
        </w:rPr>
        <w:t xml:space="preserve">Speculation Inc. was </w:t>
      </w:r>
      <w:r w:rsidR="00856817">
        <w:rPr>
          <w:rFonts w:ascii="Avenir Next" w:hAnsi="Avenir Next" w:cs="Arial"/>
          <w:color w:val="7B7B7B" w:themeColor="accent3" w:themeShade="BF"/>
          <w:sz w:val="22"/>
          <w:szCs w:val="22"/>
          <w:lang w:val="en-GB"/>
        </w:rPr>
        <w:t xml:space="preserve">dealing with overdue rent and not that the lease had expired. Hence in this case, any claim of the </w:t>
      </w:r>
      <w:r w:rsidR="000F14F7">
        <w:rPr>
          <w:rFonts w:ascii="Avenir Next" w:hAnsi="Avenir Next" w:cs="Arial"/>
          <w:color w:val="7B7B7B" w:themeColor="accent3" w:themeShade="BF"/>
          <w:sz w:val="22"/>
          <w:szCs w:val="22"/>
          <w:lang w:val="en-GB"/>
        </w:rPr>
        <w:t>landlord qua the overdue rent will be stayed and be treated as an unsecured claim in the chapter 11 proceedings.</w:t>
      </w:r>
    </w:p>
    <w:p w14:paraId="2D9957ED" w14:textId="3C31CDAB" w:rsidR="006C21C6" w:rsidRPr="00BE4E9E" w:rsidRDefault="005D0768" w:rsidP="00BE4E9E">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Employment</w:t>
      </w:r>
      <w:r w:rsidR="006C21C6">
        <w:rPr>
          <w:rFonts w:ascii="Avenir Next" w:hAnsi="Avenir Next" w:cs="Arial"/>
          <w:color w:val="7B7B7B" w:themeColor="accent3" w:themeShade="BF"/>
          <w:sz w:val="22"/>
          <w:szCs w:val="22"/>
          <w:lang w:val="en-GB"/>
        </w:rPr>
        <w:t xml:space="preserve"> discrimination lawsuit:</w:t>
      </w:r>
      <w:r w:rsidR="005E2780">
        <w:rPr>
          <w:rFonts w:ascii="Avenir Next" w:hAnsi="Avenir Next" w:cs="Arial"/>
          <w:color w:val="7B7B7B" w:themeColor="accent3" w:themeShade="BF"/>
          <w:sz w:val="22"/>
          <w:szCs w:val="22"/>
          <w:lang w:val="en-GB"/>
        </w:rPr>
        <w:t xml:space="preserve"> the filing of a wrongful termination suit (civil) is an </w:t>
      </w:r>
      <w:r>
        <w:rPr>
          <w:rFonts w:ascii="Avenir Next" w:hAnsi="Avenir Next" w:cs="Arial"/>
          <w:color w:val="7B7B7B" w:themeColor="accent3" w:themeShade="BF"/>
          <w:sz w:val="22"/>
          <w:szCs w:val="22"/>
          <w:lang w:val="en-GB"/>
        </w:rPr>
        <w:t>employment</w:t>
      </w:r>
      <w:r w:rsidR="005E2780">
        <w:rPr>
          <w:rFonts w:ascii="Avenir Next" w:hAnsi="Avenir Next" w:cs="Arial"/>
          <w:color w:val="7B7B7B" w:themeColor="accent3" w:themeShade="BF"/>
          <w:sz w:val="22"/>
          <w:szCs w:val="22"/>
          <w:lang w:val="en-GB"/>
        </w:rPr>
        <w:t xml:space="preserve"> suit </w:t>
      </w:r>
      <w:r>
        <w:rPr>
          <w:rFonts w:ascii="Avenir Next" w:hAnsi="Avenir Next" w:cs="Arial"/>
          <w:color w:val="7B7B7B" w:themeColor="accent3" w:themeShade="BF"/>
          <w:sz w:val="22"/>
          <w:szCs w:val="22"/>
          <w:lang w:val="en-GB"/>
        </w:rPr>
        <w:t>against</w:t>
      </w:r>
      <w:r w:rsidR="003929E7">
        <w:rPr>
          <w:rFonts w:ascii="Avenir Next" w:hAnsi="Avenir Next" w:cs="Arial"/>
          <w:color w:val="7B7B7B" w:themeColor="accent3" w:themeShade="BF"/>
          <w:sz w:val="22"/>
          <w:szCs w:val="22"/>
          <w:lang w:val="en-GB"/>
        </w:rPr>
        <w:t xml:space="preserve"> the </w:t>
      </w:r>
      <w:r w:rsidR="00DF4FA9">
        <w:rPr>
          <w:rFonts w:ascii="Avenir Next" w:hAnsi="Avenir Next" w:cs="Arial"/>
          <w:color w:val="7B7B7B" w:themeColor="accent3" w:themeShade="BF"/>
          <w:sz w:val="22"/>
          <w:szCs w:val="22"/>
          <w:lang w:val="en-GB"/>
        </w:rPr>
        <w:t>corporation</w:t>
      </w:r>
      <w:r w:rsidR="003929E7">
        <w:rPr>
          <w:rFonts w:ascii="Avenir Next" w:hAnsi="Avenir Next" w:cs="Arial"/>
          <w:color w:val="7B7B7B" w:themeColor="accent3" w:themeShade="BF"/>
          <w:sz w:val="22"/>
          <w:szCs w:val="22"/>
          <w:lang w:val="en-GB"/>
        </w:rPr>
        <w:t xml:space="preserve">. </w:t>
      </w:r>
      <w:r w:rsidR="006F017A">
        <w:rPr>
          <w:rFonts w:ascii="Avenir Next" w:hAnsi="Avenir Next" w:cs="Arial"/>
          <w:color w:val="7B7B7B" w:themeColor="accent3" w:themeShade="BF"/>
          <w:sz w:val="22"/>
          <w:szCs w:val="22"/>
          <w:lang w:val="en-GB"/>
        </w:rPr>
        <w:t>T</w:t>
      </w:r>
      <w:r w:rsidR="003929E7" w:rsidRPr="006F017A">
        <w:rPr>
          <w:rFonts w:ascii="Avenir Next" w:hAnsi="Avenir Next" w:cs="Arial"/>
          <w:color w:val="7B7B7B" w:themeColor="accent3" w:themeShade="BF"/>
          <w:sz w:val="22"/>
          <w:szCs w:val="22"/>
          <w:lang w:val="en-GB"/>
        </w:rPr>
        <w:t>he filing of a bankruptcy petition by a defendant triggers an automatic stay of all litigation against the defendant/debtor.</w:t>
      </w:r>
      <w:r w:rsidR="006F017A" w:rsidRPr="006F017A">
        <w:rPr>
          <w:rFonts w:ascii="Avenir Next" w:hAnsi="Avenir Next" w:cs="Arial"/>
          <w:color w:val="7B7B7B" w:themeColor="accent3" w:themeShade="BF"/>
          <w:sz w:val="22"/>
          <w:szCs w:val="22"/>
          <w:lang w:val="en-GB"/>
        </w:rPr>
        <w:t xml:space="preserve"> </w:t>
      </w:r>
      <w:r w:rsidR="006F017A" w:rsidRPr="006F017A">
        <w:rPr>
          <w:rFonts w:ascii="Avenir Next" w:hAnsi="Avenir Next" w:cs="Arial"/>
          <w:color w:val="7B7B7B" w:themeColor="accent3" w:themeShade="BF"/>
          <w:sz w:val="22"/>
          <w:szCs w:val="22"/>
          <w:lang w:val="en-GB"/>
        </w:rPr>
        <w:t>A plaintiff in an ongoing employment case is a creditor of the defendant employer, because under the Bankruptcy Code, a creditor includes any person who has a claim that arose against the debtor at the time of or before the filing of the bankruptcy petition</w:t>
      </w:r>
      <w:r w:rsidR="00C20427">
        <w:rPr>
          <w:rStyle w:val="FootnoteReference"/>
          <w:rFonts w:ascii="Avenir Next" w:hAnsi="Avenir Next" w:cs="Arial"/>
          <w:color w:val="7B7B7B" w:themeColor="accent3" w:themeShade="BF"/>
          <w:sz w:val="22"/>
          <w:szCs w:val="22"/>
          <w:lang w:val="en-GB"/>
        </w:rPr>
        <w:footnoteReference w:id="37"/>
      </w:r>
      <w:r w:rsidR="00DF4FA9">
        <w:rPr>
          <w:rFonts w:ascii="Avenir Next" w:hAnsi="Avenir Next" w:cs="Arial"/>
          <w:color w:val="7B7B7B" w:themeColor="accent3" w:themeShade="BF"/>
          <w:sz w:val="22"/>
          <w:szCs w:val="22"/>
          <w:lang w:val="en-GB"/>
        </w:rPr>
        <w:t>.</w:t>
      </w:r>
    </w:p>
    <w:p w14:paraId="5C793B3F" w14:textId="3E7F4B81" w:rsidR="00E01803" w:rsidRDefault="00E01803" w:rsidP="00D30310">
      <w:pPr>
        <w:pStyle w:val="AODocTxt"/>
        <w:spacing w:before="0" w:line="240" w:lineRule="auto"/>
        <w:rPr>
          <w:rFonts w:ascii="Avenir Next" w:hAnsi="Avenir Next"/>
        </w:rPr>
      </w:pPr>
    </w:p>
    <w:p w14:paraId="34805700" w14:textId="3A966B40" w:rsidR="00F03051" w:rsidRDefault="00F03051" w:rsidP="00D30310">
      <w:pPr>
        <w:pStyle w:val="AODocTxt"/>
        <w:spacing w:before="0" w:line="240" w:lineRule="auto"/>
        <w:rPr>
          <w:rFonts w:ascii="Avenir Next" w:hAnsi="Avenir Next"/>
        </w:rPr>
      </w:pPr>
    </w:p>
    <w:p w14:paraId="4E2F51E3" w14:textId="77777777" w:rsidR="00DF4FA9" w:rsidRDefault="00DF4FA9" w:rsidP="00D30310">
      <w:pPr>
        <w:pStyle w:val="AODocTxt"/>
        <w:spacing w:before="0" w:line="240" w:lineRule="auto"/>
        <w:rPr>
          <w:rFonts w:ascii="Avenir Next Demi Bold" w:hAnsi="Avenir Next Demi Bold"/>
          <w:b/>
          <w:bCs/>
        </w:rPr>
      </w:pPr>
    </w:p>
    <w:p w14:paraId="31E2C378" w14:textId="165B78A0" w:rsidR="00E01803" w:rsidRPr="00D9565D" w:rsidRDefault="00E01803" w:rsidP="00D30310">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371956E" w14:textId="77777777" w:rsidR="00E01803" w:rsidRPr="00E01803" w:rsidRDefault="00E01803" w:rsidP="00D30310">
      <w:pPr>
        <w:pStyle w:val="AODocTxt"/>
        <w:spacing w:before="0" w:line="240" w:lineRule="auto"/>
        <w:rPr>
          <w:rFonts w:ascii="Avenir Next" w:hAnsi="Avenir Next"/>
        </w:rPr>
      </w:pPr>
    </w:p>
    <w:p w14:paraId="177E77B4" w14:textId="7C75163C" w:rsidR="00E01803" w:rsidRPr="00E01803" w:rsidRDefault="00E01803" w:rsidP="00D30310">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4700780A" w14:textId="6ECEC9B6" w:rsidR="00E01803" w:rsidRDefault="00E01803" w:rsidP="00D30310">
      <w:pPr>
        <w:pStyle w:val="AODocTxt"/>
        <w:spacing w:before="0" w:line="240" w:lineRule="auto"/>
        <w:rPr>
          <w:rFonts w:ascii="Avenir Next" w:eastAsia="Times New Roman" w:hAnsi="Avenir Next" w:cs="Arial"/>
          <w:color w:val="7B7B7B" w:themeColor="accent3" w:themeShade="BF"/>
          <w:lang w:val="en-GB"/>
        </w:rPr>
      </w:pPr>
    </w:p>
    <w:p w14:paraId="11924090" w14:textId="51C78FEC" w:rsidR="006E03AE" w:rsidRDefault="006E03AE" w:rsidP="00D30310">
      <w:pPr>
        <w:pStyle w:val="AODocTxt"/>
        <w:spacing w:before="0" w:line="240" w:lineRule="auto"/>
        <w:rPr>
          <w:rFonts w:ascii="Avenir Next" w:eastAsia="Times New Roman" w:hAnsi="Avenir Next" w:cs="Arial"/>
          <w:i/>
          <w:iCs/>
          <w:color w:val="7B7B7B" w:themeColor="accent3" w:themeShade="BF"/>
          <w:lang w:val="en-GB"/>
        </w:rPr>
      </w:pPr>
      <w:r>
        <w:rPr>
          <w:rFonts w:ascii="Avenir Next" w:eastAsia="Times New Roman" w:hAnsi="Avenir Next" w:cs="Arial"/>
          <w:color w:val="7B7B7B" w:themeColor="accent3" w:themeShade="BF"/>
          <w:lang w:val="en-GB"/>
        </w:rPr>
        <w:t>According to Section 101 (</w:t>
      </w:r>
      <w:r w:rsidR="007208B8">
        <w:rPr>
          <w:rFonts w:ascii="Avenir Next" w:eastAsia="Times New Roman" w:hAnsi="Avenir Next" w:cs="Arial"/>
          <w:color w:val="7B7B7B" w:themeColor="accent3" w:themeShade="BF"/>
          <w:lang w:val="en-GB"/>
        </w:rPr>
        <w:t xml:space="preserve">23) of the Bankruptcy Code, a ‘foreign proceeding’ </w:t>
      </w:r>
      <w:r w:rsidR="00DB7104" w:rsidRPr="00DB7104">
        <w:rPr>
          <w:rFonts w:ascii="Avenir Next" w:eastAsia="Times New Roman" w:hAnsi="Avenir Next" w:cs="Arial"/>
          <w:i/>
          <w:iCs/>
          <w:color w:val="7B7B7B" w:themeColor="accent3" w:themeShade="BF"/>
          <w:lang w:val="en-GB"/>
        </w:rPr>
        <w:t>m</w:t>
      </w:r>
      <w:r w:rsidR="00DB7104" w:rsidRPr="00DB7104">
        <w:rPr>
          <w:rFonts w:ascii="Avenir Next" w:eastAsia="Times New Roman" w:hAnsi="Avenir Next" w:cs="Arial"/>
          <w:i/>
          <w:iCs/>
          <w:color w:val="7B7B7B" w:themeColor="accent3" w:themeShade="BF"/>
          <w:lang w:val="en-GB"/>
        </w:rPr>
        <w:t>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p>
    <w:p w14:paraId="2A50278F" w14:textId="703D9200" w:rsidR="00DB7104" w:rsidRDefault="00DB7104" w:rsidP="00D30310">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Hence by its definition, the scope of Chapter 15, </w:t>
      </w:r>
      <w:r w:rsidR="00350A65">
        <w:rPr>
          <w:rFonts w:ascii="Avenir Next" w:eastAsia="Times New Roman" w:hAnsi="Avenir Next" w:cs="Arial"/>
          <w:color w:val="7B7B7B" w:themeColor="accent3" w:themeShade="BF"/>
          <w:lang w:val="en-GB"/>
        </w:rPr>
        <w:t xml:space="preserve">does cover an English Scheme of Arrangement. </w:t>
      </w:r>
    </w:p>
    <w:p w14:paraId="5C0CAB62" w14:textId="77777777" w:rsidR="00350A65" w:rsidRDefault="00350A65" w:rsidP="00D30310">
      <w:pPr>
        <w:pStyle w:val="AODocTxt"/>
        <w:spacing w:before="0" w:line="240" w:lineRule="auto"/>
        <w:rPr>
          <w:rFonts w:ascii="Avenir Next" w:eastAsia="Times New Roman" w:hAnsi="Avenir Next" w:cs="Arial"/>
          <w:color w:val="7B7B7B" w:themeColor="accent3" w:themeShade="BF"/>
          <w:lang w:val="en-GB"/>
        </w:rPr>
      </w:pPr>
    </w:p>
    <w:p w14:paraId="2DCD22D2" w14:textId="4D5121D6" w:rsidR="00871BDC" w:rsidRDefault="009639C7" w:rsidP="00D30310">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Whether the foreign proceedings will be recognised and main or non-main, depends on its </w:t>
      </w:r>
      <w:r w:rsidR="00505E75">
        <w:rPr>
          <w:rFonts w:ascii="Avenir Next" w:eastAsia="Times New Roman" w:hAnsi="Avenir Next" w:cs="Arial"/>
          <w:color w:val="7B7B7B" w:themeColor="accent3" w:themeShade="BF"/>
          <w:lang w:val="en-GB"/>
        </w:rPr>
        <w:t>Centre</w:t>
      </w:r>
      <w:r>
        <w:rPr>
          <w:rFonts w:ascii="Avenir Next" w:eastAsia="Times New Roman" w:hAnsi="Avenir Next" w:cs="Arial"/>
          <w:color w:val="7B7B7B" w:themeColor="accent3" w:themeShade="BF"/>
          <w:lang w:val="en-GB"/>
        </w:rPr>
        <w:t xml:space="preserve"> of Main Interest (“COMI”), on the date of the US petition. The COMI is </w:t>
      </w:r>
      <w:r w:rsidR="000C78EA">
        <w:rPr>
          <w:rFonts w:ascii="Avenir Next" w:eastAsia="Times New Roman" w:hAnsi="Avenir Next" w:cs="Arial"/>
          <w:color w:val="7B7B7B" w:themeColor="accent3" w:themeShade="BF"/>
          <w:lang w:val="en-GB"/>
        </w:rPr>
        <w:t xml:space="preserve">ascertainable by various factors, such as its headquarters, the location of its </w:t>
      </w:r>
      <w:r w:rsidR="00A46037">
        <w:rPr>
          <w:rFonts w:ascii="Avenir Next" w:eastAsia="Times New Roman" w:hAnsi="Avenir Next" w:cs="Arial"/>
          <w:color w:val="7B7B7B" w:themeColor="accent3" w:themeShade="BF"/>
          <w:lang w:val="en-GB"/>
        </w:rPr>
        <w:t>management</w:t>
      </w:r>
      <w:r w:rsidR="00FE4FE4">
        <w:rPr>
          <w:rFonts w:ascii="Avenir Next" w:eastAsia="Times New Roman" w:hAnsi="Avenir Next" w:cs="Arial"/>
          <w:color w:val="7B7B7B" w:themeColor="accent3" w:themeShade="BF"/>
          <w:lang w:val="en-GB"/>
        </w:rPr>
        <w:t xml:space="preserve">, the place which is objectively </w:t>
      </w:r>
      <w:r w:rsidR="00505E75">
        <w:rPr>
          <w:rFonts w:ascii="Avenir Next" w:eastAsia="Times New Roman" w:hAnsi="Avenir Next" w:cs="Arial"/>
          <w:color w:val="7B7B7B" w:themeColor="accent3" w:themeShade="BF"/>
          <w:lang w:val="en-GB"/>
        </w:rPr>
        <w:t>perceived</w:t>
      </w:r>
      <w:r w:rsidR="00FE4FE4">
        <w:rPr>
          <w:rFonts w:ascii="Avenir Next" w:eastAsia="Times New Roman" w:hAnsi="Avenir Next" w:cs="Arial"/>
          <w:color w:val="7B7B7B" w:themeColor="accent3" w:themeShade="BF"/>
          <w:lang w:val="en-GB"/>
        </w:rPr>
        <w:t xml:space="preserve"> by its creditors as its COMI</w:t>
      </w:r>
      <w:r w:rsidR="00AA02BD">
        <w:rPr>
          <w:rFonts w:ascii="Avenir Next" w:eastAsia="Times New Roman" w:hAnsi="Avenir Next" w:cs="Arial"/>
          <w:color w:val="7B7B7B" w:themeColor="accent3" w:themeShade="BF"/>
          <w:lang w:val="en-GB"/>
        </w:rPr>
        <w:t xml:space="preserve">, location of registered office, main assets etc. From the fact set its clear that it had an establishment in England in the nature of a retail store, and had financial relationships with </w:t>
      </w:r>
      <w:r w:rsidR="00505E75">
        <w:rPr>
          <w:rFonts w:ascii="Avenir Next" w:eastAsia="Times New Roman" w:hAnsi="Avenir Next" w:cs="Arial"/>
          <w:color w:val="7B7B7B" w:themeColor="accent3" w:themeShade="BF"/>
          <w:lang w:val="en-GB"/>
        </w:rPr>
        <w:t>monetary institutions there, while rest of all management/headquarters/other contracts, were not primarily based in the England. Hence the scheme of English arrangement can be recognised a foreign non-main proceeding under Chapter 15.</w:t>
      </w:r>
    </w:p>
    <w:p w14:paraId="41971259" w14:textId="77777777" w:rsidR="00350A65" w:rsidRPr="00DB7104" w:rsidRDefault="00350A65" w:rsidP="00D30310">
      <w:pPr>
        <w:pStyle w:val="AODocTxt"/>
        <w:spacing w:before="0" w:line="240" w:lineRule="auto"/>
        <w:rPr>
          <w:rFonts w:ascii="Avenir Next" w:hAnsi="Avenir Next"/>
        </w:rPr>
      </w:pPr>
    </w:p>
    <w:p w14:paraId="4206237C" w14:textId="77777777" w:rsidR="00F03051" w:rsidRPr="00E01803" w:rsidRDefault="00F03051" w:rsidP="00D30310">
      <w:pPr>
        <w:pStyle w:val="AODocTxt"/>
        <w:spacing w:before="0" w:line="240" w:lineRule="auto"/>
        <w:rPr>
          <w:rFonts w:ascii="Avenir Next" w:hAnsi="Avenir Next"/>
        </w:rPr>
      </w:pPr>
    </w:p>
    <w:p w14:paraId="2DCF9FAB" w14:textId="77777777" w:rsidR="00E01803" w:rsidRPr="004D4255" w:rsidRDefault="00E01803" w:rsidP="00D30310">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D30310">
      <w:pPr>
        <w:pStyle w:val="AODocTxt"/>
        <w:spacing w:before="0" w:line="240" w:lineRule="auto"/>
        <w:rPr>
          <w:rFonts w:ascii="Avenir Next" w:hAnsi="Avenir Next"/>
        </w:rPr>
      </w:pPr>
    </w:p>
    <w:p w14:paraId="0E3B0A0B" w14:textId="39A0A4A5" w:rsidR="00E01803" w:rsidRPr="00E01803" w:rsidRDefault="00E01803" w:rsidP="00D30310">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has a 10-year exclusive license to manufacture Xblox and pays ToyCo monthly royalties.  GameMart operates a factory in California that it leases from Land Corp on a longer</w:t>
      </w:r>
      <w:r w:rsidR="003144FF">
        <w:rPr>
          <w:rFonts w:ascii="Avenir Next" w:hAnsi="Avenir Next"/>
        </w:rPr>
        <w:t>-</w:t>
      </w:r>
      <w:r w:rsidRPr="00E01803">
        <w:rPr>
          <w:rFonts w:ascii="Avenir Next" w:hAnsi="Avenir Next"/>
        </w:rPr>
        <w:t xml:space="preserve">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D30310">
      <w:pPr>
        <w:pStyle w:val="AODocTxt"/>
        <w:spacing w:before="0" w:line="240" w:lineRule="auto"/>
        <w:rPr>
          <w:rFonts w:ascii="Avenir Next" w:hAnsi="Avenir Next"/>
        </w:rPr>
      </w:pPr>
    </w:p>
    <w:p w14:paraId="4BDD44E2" w14:textId="77777777" w:rsidR="00E01803" w:rsidRPr="00E01803" w:rsidRDefault="00E01803" w:rsidP="00D30310">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D30310">
      <w:pPr>
        <w:pStyle w:val="AODocTxt"/>
        <w:spacing w:before="0" w:line="240" w:lineRule="auto"/>
        <w:rPr>
          <w:rFonts w:ascii="Avenir Next" w:hAnsi="Avenir Next"/>
        </w:rPr>
      </w:pPr>
    </w:p>
    <w:p w14:paraId="5C112279" w14:textId="2EA0F5B4" w:rsidR="00F03051" w:rsidRPr="00E41578" w:rsidRDefault="00320608" w:rsidP="00D303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w:t>
      </w:r>
    </w:p>
    <w:p w14:paraId="092CCA5C" w14:textId="186450DB" w:rsidR="00E01803" w:rsidRDefault="00E01803" w:rsidP="00D30310">
      <w:pPr>
        <w:pStyle w:val="AODocTxt"/>
        <w:spacing w:before="0" w:line="240" w:lineRule="auto"/>
        <w:rPr>
          <w:rFonts w:ascii="Avenir Next" w:hAnsi="Avenir Next"/>
        </w:rPr>
      </w:pPr>
    </w:p>
    <w:p w14:paraId="5B7E8D51" w14:textId="77777777" w:rsidR="00F03051" w:rsidRPr="00E01803" w:rsidRDefault="00F03051" w:rsidP="00D30310">
      <w:pPr>
        <w:pStyle w:val="AODocTxt"/>
        <w:spacing w:before="0" w:line="240" w:lineRule="auto"/>
        <w:rPr>
          <w:rFonts w:ascii="Avenir Next" w:hAnsi="Avenir Next"/>
        </w:rPr>
      </w:pPr>
    </w:p>
    <w:p w14:paraId="165BD383" w14:textId="77777777" w:rsidR="00E01803" w:rsidRPr="00E01803" w:rsidRDefault="00E01803" w:rsidP="00D30310">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46F02A9A" w:rsidR="00E01803" w:rsidRDefault="00E01803" w:rsidP="00D30310">
      <w:pPr>
        <w:pStyle w:val="AODocTxt"/>
        <w:spacing w:before="0" w:line="240" w:lineRule="auto"/>
        <w:rPr>
          <w:rFonts w:ascii="Avenir Next" w:hAnsi="Avenir Next"/>
        </w:rPr>
      </w:pPr>
    </w:p>
    <w:p w14:paraId="165EA746" w14:textId="4C7D5F7B" w:rsidR="00E01803" w:rsidRPr="00B41253" w:rsidRDefault="00A54D4F" w:rsidP="00D30310">
      <w:pPr>
        <w:pStyle w:val="AODocTxt"/>
        <w:spacing w:before="0" w:line="240" w:lineRule="auto"/>
        <w:rPr>
          <w:rFonts w:ascii="Avenir Next" w:hAnsi="Avenir Next"/>
          <w:color w:val="808080" w:themeColor="background1" w:themeShade="80"/>
        </w:rPr>
      </w:pPr>
      <w:r w:rsidRPr="00B41253">
        <w:rPr>
          <w:rFonts w:ascii="Avenir Next" w:hAnsi="Avenir Next"/>
          <w:color w:val="808080" w:themeColor="background1" w:themeShade="80"/>
        </w:rPr>
        <w:t xml:space="preserve">No, because as is followed in the </w:t>
      </w:r>
      <w:r w:rsidR="00123513" w:rsidRPr="00B41253">
        <w:rPr>
          <w:rFonts w:ascii="Avenir Next" w:hAnsi="Avenir Next"/>
          <w:color w:val="808080" w:themeColor="background1" w:themeShade="80"/>
        </w:rPr>
        <w:t>many circuits, the licensee of a third part intellectual property cannot assign the same without the consent of the intellectual property holder.</w:t>
      </w:r>
    </w:p>
    <w:p w14:paraId="2D819B37" w14:textId="77777777" w:rsidR="00F03051" w:rsidRPr="00E01803" w:rsidRDefault="00F03051" w:rsidP="00D30310">
      <w:pPr>
        <w:pStyle w:val="AODocTxt"/>
        <w:spacing w:before="0" w:line="240" w:lineRule="auto"/>
        <w:rPr>
          <w:rFonts w:ascii="Avenir Next" w:hAnsi="Avenir Next"/>
        </w:rPr>
      </w:pPr>
    </w:p>
    <w:p w14:paraId="4843F262" w14:textId="77777777" w:rsidR="00E01803" w:rsidRPr="00E01803" w:rsidRDefault="00E01803" w:rsidP="00D30310">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D30310">
      <w:pPr>
        <w:pStyle w:val="AODocTxt"/>
        <w:spacing w:before="0" w:line="240" w:lineRule="auto"/>
        <w:ind w:left="720" w:hanging="720"/>
        <w:rPr>
          <w:rFonts w:ascii="Avenir Next" w:hAnsi="Avenir Next"/>
        </w:rPr>
      </w:pPr>
    </w:p>
    <w:p w14:paraId="6D2BE29F" w14:textId="4A821F3E" w:rsidR="00F6201B" w:rsidRPr="00F6201B" w:rsidRDefault="00F6201B" w:rsidP="00D30310">
      <w:pPr>
        <w:pStyle w:val="AODocTxt"/>
        <w:spacing w:before="0" w:line="240" w:lineRule="auto"/>
        <w:ind w:left="720" w:hanging="720"/>
        <w:rPr>
          <w:rFonts w:ascii="Avenir Next" w:hAnsi="Avenir Next"/>
          <w:color w:val="808080" w:themeColor="background1" w:themeShade="80"/>
        </w:rPr>
      </w:pPr>
      <w:r w:rsidRPr="00F6201B">
        <w:rPr>
          <w:rFonts w:ascii="Avenir Next" w:hAnsi="Avenir Next"/>
          <w:color w:val="808080" w:themeColor="background1" w:themeShade="80"/>
        </w:rPr>
        <w:lastRenderedPageBreak/>
        <w:t xml:space="preserve"> No, the factory lease cannot be transferred without Land Corp’s consent as the lease prohibits any transfer/assignment in general without the landlord’s consent.</w:t>
      </w:r>
    </w:p>
    <w:p w14:paraId="56FC0B75" w14:textId="77777777" w:rsidR="00B66D7C" w:rsidRDefault="00B66D7C" w:rsidP="00D30310">
      <w:pPr>
        <w:pStyle w:val="AODocTxt"/>
        <w:spacing w:before="0" w:line="240" w:lineRule="auto"/>
        <w:ind w:left="720" w:hanging="720"/>
        <w:rPr>
          <w:rFonts w:ascii="Avenir Next" w:hAnsi="Avenir Next"/>
        </w:rPr>
      </w:pPr>
    </w:p>
    <w:bookmarkEnd w:id="0"/>
    <w:p w14:paraId="7B275592" w14:textId="639AAD17" w:rsidR="00B77F46" w:rsidRPr="00C05A9F" w:rsidRDefault="00C606C3" w:rsidP="00D30310">
      <w:pPr>
        <w:jc w:val="both"/>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rsidP="00D30310">
      <w:pPr>
        <w:jc w:val="both"/>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F28E" w14:textId="77777777" w:rsidR="00892BD2" w:rsidRDefault="00892BD2" w:rsidP="00241B44">
      <w:r>
        <w:separator/>
      </w:r>
    </w:p>
  </w:endnote>
  <w:endnote w:type="continuationSeparator" w:id="0">
    <w:p w14:paraId="43D9BCB8" w14:textId="77777777" w:rsidR="00892BD2" w:rsidRDefault="00892B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872D83E" w:rsidR="00241FA3" w:rsidRPr="00494B81" w:rsidRDefault="00BB1A1B" w:rsidP="009B4976">
    <w:pPr>
      <w:pStyle w:val="Footer"/>
      <w:ind w:right="360"/>
      <w:rPr>
        <w:rFonts w:ascii="Avenir Next" w:hAnsi="Avenir Next" w:cs="Arial"/>
        <w:sz w:val="22"/>
        <w:szCs w:val="22"/>
        <w:lang w:val="en-GB"/>
      </w:rPr>
    </w:pPr>
    <w:r>
      <w:rPr>
        <w:rFonts w:ascii="Avenir Next" w:hAnsi="Avenir Next" w:cs="Arial"/>
        <w:sz w:val="22"/>
        <w:szCs w:val="22"/>
        <w:lang w:val="en-GB"/>
      </w:rPr>
      <w:t>202223-909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1561" w14:textId="77777777" w:rsidR="00892BD2" w:rsidRDefault="00892BD2" w:rsidP="00241B44">
      <w:r>
        <w:separator/>
      </w:r>
    </w:p>
  </w:footnote>
  <w:footnote w:type="continuationSeparator" w:id="0">
    <w:p w14:paraId="79E2AD99" w14:textId="77777777" w:rsidR="00892BD2" w:rsidRDefault="00892BD2" w:rsidP="00241B44">
      <w:r>
        <w:continuationSeparator/>
      </w:r>
    </w:p>
  </w:footnote>
  <w:footnote w:id="1">
    <w:p w14:paraId="4BE33E1E" w14:textId="3A87A383" w:rsidR="0090515E" w:rsidRPr="0090515E" w:rsidRDefault="0090515E">
      <w:pPr>
        <w:pStyle w:val="FootnoteText"/>
        <w:rPr>
          <w:lang w:val="en-IN"/>
        </w:rPr>
      </w:pPr>
      <w:r>
        <w:rPr>
          <w:rStyle w:val="FootnoteReference"/>
        </w:rPr>
        <w:footnoteRef/>
      </w:r>
      <w:r>
        <w:t xml:space="preserve"> </w:t>
      </w:r>
      <w:r w:rsidR="00AD77E0">
        <w:rPr>
          <w:lang w:val="en-IN"/>
        </w:rPr>
        <w:t>USC Title 11, Section 547(b)</w:t>
      </w:r>
    </w:p>
  </w:footnote>
  <w:footnote w:id="2">
    <w:p w14:paraId="353C6BB8" w14:textId="447CCEE8" w:rsidR="00C25718" w:rsidRPr="009D1357" w:rsidRDefault="00C25718">
      <w:pPr>
        <w:pStyle w:val="FootnoteText"/>
        <w:rPr>
          <w:lang w:val="en-IN"/>
        </w:rPr>
      </w:pPr>
      <w:r>
        <w:rPr>
          <w:rStyle w:val="FootnoteReference"/>
        </w:rPr>
        <w:footnoteRef/>
      </w:r>
      <w:r>
        <w:t xml:space="preserve"> </w:t>
      </w:r>
      <w:r w:rsidR="009F5E3D" w:rsidRPr="009F5E3D">
        <w:rPr>
          <w:i/>
          <w:iCs/>
        </w:rPr>
        <w:t>Idem</w:t>
      </w:r>
      <w:r w:rsidR="009F5E3D">
        <w:rPr>
          <w:i/>
          <w:iCs/>
        </w:rPr>
        <w:t xml:space="preserve">, </w:t>
      </w:r>
      <w:r w:rsidR="009D1357">
        <w:t>Section 547(b)(1)</w:t>
      </w:r>
    </w:p>
  </w:footnote>
  <w:footnote w:id="3">
    <w:p w14:paraId="7DFF8C22" w14:textId="10605D77" w:rsidR="008354C8" w:rsidRPr="008354C8" w:rsidRDefault="008354C8">
      <w:pPr>
        <w:pStyle w:val="FootnoteText"/>
        <w:rPr>
          <w:lang w:val="en-IN"/>
        </w:rPr>
      </w:pPr>
      <w:r>
        <w:rPr>
          <w:rStyle w:val="FootnoteReference"/>
        </w:rPr>
        <w:footnoteRef/>
      </w:r>
      <w:r>
        <w:t xml:space="preserve"> </w:t>
      </w:r>
      <w:r>
        <w:rPr>
          <w:lang w:val="en-IN"/>
        </w:rPr>
        <w:t>Idem, Section 547(b)(2)</w:t>
      </w:r>
    </w:p>
  </w:footnote>
  <w:footnote w:id="4">
    <w:p w14:paraId="497E663C" w14:textId="0101749F" w:rsidR="00215256" w:rsidRPr="00215256" w:rsidRDefault="00215256">
      <w:pPr>
        <w:pStyle w:val="FootnoteText"/>
        <w:rPr>
          <w:lang w:val="en-IN"/>
        </w:rPr>
      </w:pPr>
      <w:r>
        <w:rPr>
          <w:rStyle w:val="FootnoteReference"/>
        </w:rPr>
        <w:footnoteRef/>
      </w:r>
      <w:r>
        <w:t xml:space="preserve"> </w:t>
      </w:r>
      <w:r>
        <w:rPr>
          <w:lang w:val="en-IN"/>
        </w:rPr>
        <w:t>Idem, Section 547(b)(3)</w:t>
      </w:r>
    </w:p>
  </w:footnote>
  <w:footnote w:id="5">
    <w:p w14:paraId="7EE3C201" w14:textId="37F187C1" w:rsidR="005279F5" w:rsidRPr="005279F5" w:rsidRDefault="005279F5">
      <w:pPr>
        <w:pStyle w:val="FootnoteText"/>
        <w:rPr>
          <w:lang w:val="en-IN"/>
        </w:rPr>
      </w:pPr>
      <w:r>
        <w:rPr>
          <w:rStyle w:val="FootnoteReference"/>
        </w:rPr>
        <w:footnoteRef/>
      </w:r>
      <w:r>
        <w:t xml:space="preserve"> </w:t>
      </w:r>
      <w:r>
        <w:rPr>
          <w:lang w:val="en-IN"/>
        </w:rPr>
        <w:t>Idem, Section 547(b)(4)</w:t>
      </w:r>
    </w:p>
  </w:footnote>
  <w:footnote w:id="6">
    <w:p w14:paraId="2BAD2DA5" w14:textId="2E4F7F57" w:rsidR="002A752F" w:rsidRPr="002A752F" w:rsidRDefault="002A752F">
      <w:pPr>
        <w:pStyle w:val="FootnoteText"/>
        <w:rPr>
          <w:lang w:val="en-IN"/>
        </w:rPr>
      </w:pPr>
      <w:r>
        <w:rPr>
          <w:rStyle w:val="FootnoteReference"/>
        </w:rPr>
        <w:footnoteRef/>
      </w:r>
      <w:r>
        <w:t xml:space="preserve"> </w:t>
      </w:r>
      <w:r>
        <w:rPr>
          <w:lang w:val="en-IN"/>
        </w:rPr>
        <w:t>Idem, Section 547(b)(5)</w:t>
      </w:r>
    </w:p>
  </w:footnote>
  <w:footnote w:id="7">
    <w:p w14:paraId="2A05E4DC" w14:textId="463BA5C9" w:rsidR="00F70A10" w:rsidRPr="00F70A10" w:rsidRDefault="00F70A10">
      <w:pPr>
        <w:pStyle w:val="FootnoteText"/>
        <w:rPr>
          <w:lang w:val="en-IN"/>
        </w:rPr>
      </w:pPr>
      <w:r>
        <w:rPr>
          <w:rStyle w:val="FootnoteReference"/>
        </w:rPr>
        <w:footnoteRef/>
      </w:r>
      <w:r>
        <w:t xml:space="preserve"> </w:t>
      </w:r>
      <w:r w:rsidR="00C2034B" w:rsidRPr="00C2034B">
        <w:rPr>
          <w:i/>
          <w:iCs/>
          <w:lang w:val="en-IN"/>
        </w:rPr>
        <w:t>Stern v Marshal</w:t>
      </w:r>
      <w:r w:rsidR="00C2034B">
        <w:rPr>
          <w:lang w:val="en-IN"/>
        </w:rPr>
        <w:t xml:space="preserve"> 564 US 462(2011)</w:t>
      </w:r>
    </w:p>
  </w:footnote>
  <w:footnote w:id="8">
    <w:p w14:paraId="178A1E72" w14:textId="35A08E45" w:rsidR="00F22A1D" w:rsidRPr="00F22A1D" w:rsidRDefault="00F22A1D">
      <w:pPr>
        <w:pStyle w:val="FootnoteText"/>
        <w:rPr>
          <w:lang w:val="en-IN"/>
        </w:rPr>
      </w:pPr>
      <w:r>
        <w:rPr>
          <w:rStyle w:val="FootnoteReference"/>
        </w:rPr>
        <w:footnoteRef/>
      </w:r>
      <w:r>
        <w:t xml:space="preserve"> </w:t>
      </w:r>
      <w:r w:rsidR="00197117">
        <w:rPr>
          <w:lang w:val="en-IN"/>
        </w:rPr>
        <w:t xml:space="preserve">The United States Department of Justice- </w:t>
      </w:r>
      <w:r w:rsidR="00197117" w:rsidRPr="006748A6">
        <w:rPr>
          <w:i/>
          <w:iCs/>
          <w:lang w:val="en-IN"/>
        </w:rPr>
        <w:t>“</w:t>
      </w:r>
      <w:r w:rsidR="006748A6" w:rsidRPr="006748A6">
        <w:rPr>
          <w:i/>
          <w:iCs/>
          <w:lang w:val="en-IN"/>
        </w:rPr>
        <w:t>The Who , What, When, Where, When and How of Appeals in Bankruptcy Proceedings-Generally”</w:t>
      </w:r>
      <w:r w:rsidR="006748A6">
        <w:rPr>
          <w:i/>
          <w:iCs/>
          <w:lang w:val="en-IN"/>
        </w:rPr>
        <w:t>, &lt;</w:t>
      </w:r>
      <w:hyperlink r:id="rId1" w:history="1">
        <w:r w:rsidR="004B09C5" w:rsidRPr="004B09C5">
          <w:rPr>
            <w:rStyle w:val="Hyperlink"/>
            <w:lang w:val="en-IN"/>
          </w:rPr>
          <w:t>https://www.justice.gov/jm/civil-resource-manual-96-who-what-when-where-why-and-how-appeals-bankruptcy-proceedings</w:t>
        </w:r>
      </w:hyperlink>
      <w:r w:rsidR="004B09C5">
        <w:rPr>
          <w:i/>
          <w:iCs/>
          <w:lang w:val="en-IN"/>
        </w:rPr>
        <w:t xml:space="preserve">&gt;&gt;, </w:t>
      </w:r>
      <w:r w:rsidR="004B09C5" w:rsidRPr="004B09C5">
        <w:rPr>
          <w:lang w:val="en-IN"/>
        </w:rPr>
        <w:t>accessed on July 23, 2023.</w:t>
      </w:r>
    </w:p>
  </w:footnote>
  <w:footnote w:id="9">
    <w:p w14:paraId="63F54FE1" w14:textId="05F8B6E4" w:rsidR="00784303" w:rsidRPr="00784303" w:rsidRDefault="00784303">
      <w:pPr>
        <w:pStyle w:val="FootnoteText"/>
        <w:rPr>
          <w:lang w:val="en-IN"/>
        </w:rPr>
      </w:pPr>
      <w:r>
        <w:rPr>
          <w:rStyle w:val="FootnoteReference"/>
        </w:rPr>
        <w:footnoteRef/>
      </w:r>
      <w:r>
        <w:t xml:space="preserve"> </w:t>
      </w:r>
      <w:r>
        <w:rPr>
          <w:rStyle w:val="Emphasis"/>
          <w:rFonts w:ascii="Georgia" w:hAnsi="Georgia"/>
          <w:color w:val="171E24"/>
          <w:shd w:val="clear" w:color="auto" w:fill="F8F9F4"/>
        </w:rPr>
        <w:t> </w:t>
      </w:r>
      <w:r w:rsidRPr="00784303">
        <w:rPr>
          <w:lang w:val="en-IN"/>
        </w:rPr>
        <w:t>28 U.S.C. § 158(c)(1)</w:t>
      </w:r>
    </w:p>
  </w:footnote>
  <w:footnote w:id="10">
    <w:p w14:paraId="717DCBF7" w14:textId="5C7158DA" w:rsidR="003715E6" w:rsidRPr="003715E6" w:rsidRDefault="003715E6">
      <w:pPr>
        <w:pStyle w:val="FootnoteText"/>
        <w:rPr>
          <w:lang w:val="en-IN"/>
        </w:rPr>
      </w:pPr>
      <w:r>
        <w:rPr>
          <w:rStyle w:val="FootnoteReference"/>
        </w:rPr>
        <w:footnoteRef/>
      </w:r>
      <w:r>
        <w:t xml:space="preserve"> </w:t>
      </w:r>
      <w:r w:rsidR="00862BF9">
        <w:rPr>
          <w:lang w:val="en-IN"/>
        </w:rPr>
        <w:t>Idem, Section 158(a)(3</w:t>
      </w:r>
      <w:r w:rsidR="005E4F16">
        <w:rPr>
          <w:lang w:val="en-IN"/>
        </w:rPr>
        <w:t>), (</w:t>
      </w:r>
      <w:r w:rsidR="00862BF9">
        <w:rPr>
          <w:lang w:val="en-IN"/>
        </w:rPr>
        <w:t>c)</w:t>
      </w:r>
    </w:p>
  </w:footnote>
  <w:footnote w:id="11">
    <w:p w14:paraId="7BF505C6" w14:textId="0CA9A021" w:rsidR="004B2487" w:rsidRPr="004B2487" w:rsidRDefault="004B2487">
      <w:pPr>
        <w:pStyle w:val="FootnoteText"/>
        <w:rPr>
          <w:lang w:val="en-IN"/>
        </w:rPr>
      </w:pPr>
      <w:r>
        <w:rPr>
          <w:rStyle w:val="FootnoteReference"/>
        </w:rPr>
        <w:footnoteRef/>
      </w:r>
      <w:r>
        <w:t xml:space="preserve"> </w:t>
      </w:r>
      <w:r>
        <w:rPr>
          <w:lang w:val="en-IN"/>
        </w:rPr>
        <w:t xml:space="preserve">Idem, Section </w:t>
      </w:r>
      <w:r w:rsidR="00494519">
        <w:rPr>
          <w:lang w:val="en-IN"/>
        </w:rPr>
        <w:t>362(a), (1)</w:t>
      </w:r>
    </w:p>
  </w:footnote>
  <w:footnote w:id="12">
    <w:p w14:paraId="08492A85" w14:textId="7F7DEFB5" w:rsidR="00494519" w:rsidRPr="00494519" w:rsidRDefault="00494519">
      <w:pPr>
        <w:pStyle w:val="FootnoteText"/>
        <w:rPr>
          <w:lang w:val="en-IN"/>
        </w:rPr>
      </w:pPr>
      <w:r>
        <w:rPr>
          <w:rStyle w:val="FootnoteReference"/>
        </w:rPr>
        <w:footnoteRef/>
      </w:r>
      <w:r>
        <w:t xml:space="preserve"> </w:t>
      </w:r>
      <w:r>
        <w:rPr>
          <w:lang w:val="en-IN"/>
        </w:rPr>
        <w:t>Idem, Section 362(a), (2)</w:t>
      </w:r>
    </w:p>
  </w:footnote>
  <w:footnote w:id="13">
    <w:p w14:paraId="67FD66D7" w14:textId="2235650D" w:rsidR="006C383A" w:rsidRPr="006C383A" w:rsidRDefault="006C383A">
      <w:pPr>
        <w:pStyle w:val="FootnoteText"/>
        <w:rPr>
          <w:lang w:val="en-IN"/>
        </w:rPr>
      </w:pPr>
      <w:r>
        <w:rPr>
          <w:rStyle w:val="FootnoteReference"/>
        </w:rPr>
        <w:footnoteRef/>
      </w:r>
      <w:r>
        <w:t xml:space="preserve"> </w:t>
      </w:r>
      <w:r>
        <w:rPr>
          <w:lang w:val="en-IN"/>
        </w:rPr>
        <w:t>Idem, Section 362(a), (3)</w:t>
      </w:r>
    </w:p>
  </w:footnote>
  <w:footnote w:id="14">
    <w:p w14:paraId="26D71A19" w14:textId="3B90E8CD" w:rsidR="00171784" w:rsidRPr="00171784" w:rsidRDefault="00171784">
      <w:pPr>
        <w:pStyle w:val="FootnoteText"/>
        <w:rPr>
          <w:lang w:val="en-IN"/>
        </w:rPr>
      </w:pPr>
      <w:r>
        <w:rPr>
          <w:rStyle w:val="FootnoteReference"/>
        </w:rPr>
        <w:footnoteRef/>
      </w:r>
      <w:r>
        <w:t xml:space="preserve"> </w:t>
      </w:r>
      <w:r>
        <w:rPr>
          <w:lang w:val="en-IN"/>
        </w:rPr>
        <w:t>Idem, Section 362(a), (4)</w:t>
      </w:r>
    </w:p>
  </w:footnote>
  <w:footnote w:id="15">
    <w:p w14:paraId="77C308A5" w14:textId="4F3A94AF" w:rsidR="00423DD4" w:rsidRPr="00423DD4" w:rsidRDefault="00423DD4">
      <w:pPr>
        <w:pStyle w:val="FootnoteText"/>
        <w:rPr>
          <w:lang w:val="en-IN"/>
        </w:rPr>
      </w:pPr>
      <w:r>
        <w:rPr>
          <w:rStyle w:val="FootnoteReference"/>
        </w:rPr>
        <w:footnoteRef/>
      </w:r>
      <w:r>
        <w:t xml:space="preserve"> </w:t>
      </w:r>
      <w:r>
        <w:rPr>
          <w:lang w:val="en-IN"/>
        </w:rPr>
        <w:t>Idem, Section 362(a), (5)</w:t>
      </w:r>
    </w:p>
  </w:footnote>
  <w:footnote w:id="16">
    <w:p w14:paraId="30D40820" w14:textId="453A0D20" w:rsidR="00435BAB" w:rsidRPr="00435BAB" w:rsidRDefault="00435BAB">
      <w:pPr>
        <w:pStyle w:val="FootnoteText"/>
        <w:rPr>
          <w:lang w:val="en-IN"/>
        </w:rPr>
      </w:pPr>
      <w:r>
        <w:rPr>
          <w:rStyle w:val="FootnoteReference"/>
        </w:rPr>
        <w:footnoteRef/>
      </w:r>
      <w:r>
        <w:t xml:space="preserve"> </w:t>
      </w:r>
      <w:r>
        <w:rPr>
          <w:lang w:val="en-IN"/>
        </w:rPr>
        <w:t>Idem, Section 362(a), (6)</w:t>
      </w:r>
    </w:p>
  </w:footnote>
  <w:footnote w:id="17">
    <w:p w14:paraId="13F01C1E" w14:textId="22B5DACF" w:rsidR="00C1391F" w:rsidRPr="00C1391F" w:rsidRDefault="00C1391F">
      <w:pPr>
        <w:pStyle w:val="FootnoteText"/>
        <w:rPr>
          <w:lang w:val="en-IN"/>
        </w:rPr>
      </w:pPr>
      <w:r>
        <w:rPr>
          <w:rStyle w:val="FootnoteReference"/>
        </w:rPr>
        <w:footnoteRef/>
      </w:r>
      <w:r>
        <w:t xml:space="preserve"> </w:t>
      </w:r>
      <w:r>
        <w:rPr>
          <w:lang w:val="en-IN"/>
        </w:rPr>
        <w:t>Idem, Section 362(a), (7)</w:t>
      </w:r>
    </w:p>
  </w:footnote>
  <w:footnote w:id="18">
    <w:p w14:paraId="4FA64079" w14:textId="75DC612C" w:rsidR="00530DD2" w:rsidRPr="00530DD2" w:rsidRDefault="00530DD2">
      <w:pPr>
        <w:pStyle w:val="FootnoteText"/>
        <w:rPr>
          <w:lang w:val="en-IN"/>
        </w:rPr>
      </w:pPr>
      <w:r>
        <w:rPr>
          <w:rStyle w:val="FootnoteReference"/>
        </w:rPr>
        <w:footnoteRef/>
      </w:r>
      <w:r>
        <w:t xml:space="preserve"> </w:t>
      </w:r>
      <w:r>
        <w:rPr>
          <w:lang w:val="en-IN"/>
        </w:rPr>
        <w:t>Idem, Section 362(a), (8)</w:t>
      </w:r>
    </w:p>
  </w:footnote>
  <w:footnote w:id="19">
    <w:p w14:paraId="58C3A7AB" w14:textId="3E6FCB2A" w:rsidR="00020DEC" w:rsidRPr="00020DEC" w:rsidRDefault="00020DEC">
      <w:pPr>
        <w:pStyle w:val="FootnoteText"/>
        <w:rPr>
          <w:lang w:val="en-IN"/>
        </w:rPr>
      </w:pPr>
      <w:r>
        <w:rPr>
          <w:rStyle w:val="FootnoteReference"/>
        </w:rPr>
        <w:footnoteRef/>
      </w:r>
      <w:r>
        <w:t xml:space="preserve"> </w:t>
      </w:r>
      <w:r>
        <w:rPr>
          <w:lang w:val="en-IN"/>
        </w:rPr>
        <w:t>Idem, Section 361(1)</w:t>
      </w:r>
    </w:p>
  </w:footnote>
  <w:footnote w:id="20">
    <w:p w14:paraId="7F67111C" w14:textId="0901A446" w:rsidR="00C40BC1" w:rsidRPr="00C40BC1" w:rsidRDefault="00C40BC1">
      <w:pPr>
        <w:pStyle w:val="FootnoteText"/>
        <w:rPr>
          <w:lang w:val="en-IN"/>
        </w:rPr>
      </w:pPr>
      <w:r>
        <w:rPr>
          <w:rStyle w:val="FootnoteReference"/>
        </w:rPr>
        <w:footnoteRef/>
      </w:r>
      <w:r>
        <w:t xml:space="preserve"> </w:t>
      </w:r>
      <w:r>
        <w:rPr>
          <w:lang w:val="en-IN"/>
        </w:rPr>
        <w:t>Idem, Section 361</w:t>
      </w:r>
      <w:r w:rsidR="00C419A3">
        <w:rPr>
          <w:lang w:val="en-IN"/>
        </w:rPr>
        <w:t>(2</w:t>
      </w:r>
      <w:r>
        <w:rPr>
          <w:lang w:val="en-IN"/>
        </w:rPr>
        <w:t>)</w:t>
      </w:r>
    </w:p>
  </w:footnote>
  <w:footnote w:id="21">
    <w:p w14:paraId="16584F31" w14:textId="484FE21F" w:rsidR="00C419A3" w:rsidRPr="00C419A3" w:rsidRDefault="00C419A3">
      <w:pPr>
        <w:pStyle w:val="FootnoteText"/>
        <w:rPr>
          <w:lang w:val="en-IN"/>
        </w:rPr>
      </w:pPr>
      <w:r>
        <w:rPr>
          <w:rStyle w:val="FootnoteReference"/>
        </w:rPr>
        <w:footnoteRef/>
      </w:r>
      <w:r>
        <w:t xml:space="preserve"> </w:t>
      </w:r>
      <w:r>
        <w:rPr>
          <w:lang w:val="en-IN"/>
        </w:rPr>
        <w:t>Idem, Section 361(2)</w:t>
      </w:r>
    </w:p>
  </w:footnote>
  <w:footnote w:id="22">
    <w:p w14:paraId="2667B9BD" w14:textId="5985F75B" w:rsidR="00895B91" w:rsidRPr="00895B91" w:rsidRDefault="00895B91">
      <w:pPr>
        <w:pStyle w:val="FootnoteText"/>
        <w:rPr>
          <w:lang w:val="en-IN"/>
        </w:rPr>
      </w:pPr>
      <w:r>
        <w:rPr>
          <w:rStyle w:val="FootnoteReference"/>
        </w:rPr>
        <w:footnoteRef/>
      </w:r>
      <w:r>
        <w:t xml:space="preserve"> </w:t>
      </w:r>
      <w:r>
        <w:rPr>
          <w:lang w:val="en-IN"/>
        </w:rPr>
        <w:t xml:space="preserve">Idem, Section </w:t>
      </w:r>
      <w:r w:rsidR="00D6053C">
        <w:rPr>
          <w:lang w:val="en-IN"/>
        </w:rPr>
        <w:t>1520 (a), (2)</w:t>
      </w:r>
    </w:p>
  </w:footnote>
  <w:footnote w:id="23">
    <w:p w14:paraId="6BE7B2A6" w14:textId="4FE77E27" w:rsidR="005648DA" w:rsidRPr="005648DA" w:rsidRDefault="005648DA">
      <w:pPr>
        <w:pStyle w:val="FootnoteText"/>
        <w:rPr>
          <w:lang w:val="en-IN"/>
        </w:rPr>
      </w:pPr>
      <w:r>
        <w:rPr>
          <w:rStyle w:val="FootnoteReference"/>
        </w:rPr>
        <w:footnoteRef/>
      </w:r>
      <w:r>
        <w:t xml:space="preserve"> </w:t>
      </w:r>
      <w:r>
        <w:rPr>
          <w:lang w:val="en-IN"/>
        </w:rPr>
        <w:t xml:space="preserve">Idem, </w:t>
      </w:r>
      <w:r w:rsidR="002D6333">
        <w:rPr>
          <w:lang w:val="en-IN"/>
        </w:rPr>
        <w:t>Section 1521</w:t>
      </w:r>
      <w:r>
        <w:rPr>
          <w:lang w:val="en-IN"/>
        </w:rPr>
        <w:t xml:space="preserve"> (a), (1) </w:t>
      </w:r>
    </w:p>
  </w:footnote>
  <w:footnote w:id="24">
    <w:p w14:paraId="5CCB7ED4" w14:textId="373CB846" w:rsidR="00964EB1" w:rsidRPr="00964EB1" w:rsidRDefault="00964EB1">
      <w:pPr>
        <w:pStyle w:val="FootnoteText"/>
        <w:rPr>
          <w:lang w:val="en-IN"/>
        </w:rPr>
      </w:pPr>
      <w:r>
        <w:rPr>
          <w:rStyle w:val="FootnoteReference"/>
        </w:rPr>
        <w:footnoteRef/>
      </w:r>
      <w:r>
        <w:t xml:space="preserve"> </w:t>
      </w:r>
      <w:r>
        <w:rPr>
          <w:lang w:val="en-IN"/>
        </w:rPr>
        <w:t>Idem, Section 1521 (a), (2)</w:t>
      </w:r>
    </w:p>
  </w:footnote>
  <w:footnote w:id="25">
    <w:p w14:paraId="1D65D6BE" w14:textId="37C3088B" w:rsidR="002E779C" w:rsidRPr="002E779C" w:rsidRDefault="002E779C">
      <w:pPr>
        <w:pStyle w:val="FootnoteText"/>
        <w:rPr>
          <w:lang w:val="en-IN"/>
        </w:rPr>
      </w:pPr>
      <w:r>
        <w:rPr>
          <w:rStyle w:val="FootnoteReference"/>
        </w:rPr>
        <w:footnoteRef/>
      </w:r>
      <w:r>
        <w:t xml:space="preserve"> </w:t>
      </w:r>
      <w:r>
        <w:rPr>
          <w:lang w:val="en-IN"/>
        </w:rPr>
        <w:t>Idem, Section 1521 (a), (3)</w:t>
      </w:r>
    </w:p>
  </w:footnote>
  <w:footnote w:id="26">
    <w:p w14:paraId="3A40B519" w14:textId="572AF269" w:rsidR="00B86E5B" w:rsidRPr="00B86E5B" w:rsidRDefault="00B86E5B">
      <w:pPr>
        <w:pStyle w:val="FootnoteText"/>
        <w:rPr>
          <w:lang w:val="en-IN"/>
        </w:rPr>
      </w:pPr>
      <w:r>
        <w:rPr>
          <w:rStyle w:val="FootnoteReference"/>
        </w:rPr>
        <w:footnoteRef/>
      </w:r>
      <w:r>
        <w:t xml:space="preserve"> </w:t>
      </w:r>
      <w:r>
        <w:rPr>
          <w:lang w:val="en-IN"/>
        </w:rPr>
        <w:t>Idem, Section 1521 (a), (4)</w:t>
      </w:r>
    </w:p>
  </w:footnote>
  <w:footnote w:id="27">
    <w:p w14:paraId="204D55F4" w14:textId="5B8B8EA9" w:rsidR="00E27F6E" w:rsidRPr="00E27F6E" w:rsidRDefault="00E27F6E">
      <w:pPr>
        <w:pStyle w:val="FootnoteText"/>
        <w:rPr>
          <w:lang w:val="en-IN"/>
        </w:rPr>
      </w:pPr>
      <w:r>
        <w:rPr>
          <w:rStyle w:val="FootnoteReference"/>
        </w:rPr>
        <w:footnoteRef/>
      </w:r>
      <w:r>
        <w:t xml:space="preserve"> </w:t>
      </w:r>
      <w:r>
        <w:rPr>
          <w:lang w:val="en-IN"/>
        </w:rPr>
        <w:t>Idem, Section 1521 (a), (5)</w:t>
      </w:r>
    </w:p>
  </w:footnote>
  <w:footnote w:id="28">
    <w:p w14:paraId="797029DD" w14:textId="135E5983" w:rsidR="00570214" w:rsidRPr="00570214" w:rsidRDefault="00570214">
      <w:pPr>
        <w:pStyle w:val="FootnoteText"/>
        <w:rPr>
          <w:lang w:val="en-IN"/>
        </w:rPr>
      </w:pPr>
      <w:r>
        <w:rPr>
          <w:rStyle w:val="FootnoteReference"/>
        </w:rPr>
        <w:footnoteRef/>
      </w:r>
      <w:r>
        <w:t xml:space="preserve"> </w:t>
      </w:r>
      <w:r>
        <w:rPr>
          <w:lang w:val="en-IN"/>
        </w:rPr>
        <w:t>Idem, Section 1521 (b)</w:t>
      </w:r>
    </w:p>
  </w:footnote>
  <w:footnote w:id="29">
    <w:p w14:paraId="2A273C34" w14:textId="64808436" w:rsidR="00976A89" w:rsidRPr="00976A89" w:rsidRDefault="00976A89">
      <w:pPr>
        <w:pStyle w:val="FootnoteText"/>
        <w:rPr>
          <w:lang w:val="en-IN"/>
        </w:rPr>
      </w:pPr>
      <w:r>
        <w:rPr>
          <w:rStyle w:val="FootnoteReference"/>
        </w:rPr>
        <w:footnoteRef/>
      </w:r>
      <w:r>
        <w:t xml:space="preserve"> </w:t>
      </w:r>
      <w:r>
        <w:rPr>
          <w:lang w:val="en-IN"/>
        </w:rPr>
        <w:t>Idem, Section 1521 (a), (6) &amp; (7)</w:t>
      </w:r>
    </w:p>
  </w:footnote>
  <w:footnote w:id="30">
    <w:p w14:paraId="20116E45" w14:textId="3702EF19" w:rsidR="002B0F8C" w:rsidRPr="00941879" w:rsidRDefault="002B0F8C">
      <w:pPr>
        <w:pStyle w:val="FootnoteText"/>
      </w:pPr>
      <w:r>
        <w:rPr>
          <w:rStyle w:val="FootnoteReference"/>
        </w:rPr>
        <w:footnoteRef/>
      </w:r>
      <w:r>
        <w:t xml:space="preserve"> </w:t>
      </w:r>
      <w:r w:rsidR="00941879">
        <w:rPr>
          <w:lang w:val="en-IN"/>
        </w:rPr>
        <w:t xml:space="preserve">The Delaware Way: Deference to the Business Judgement of Directors who act Carefully and </w:t>
      </w:r>
      <w:r w:rsidR="005E4F16">
        <w:rPr>
          <w:lang w:val="en-IN"/>
        </w:rPr>
        <w:t>Loyally, &lt;</w:t>
      </w:r>
      <w:r w:rsidR="00941879">
        <w:rPr>
          <w:lang w:val="en-IN"/>
        </w:rPr>
        <w:t>&lt;</w:t>
      </w:r>
      <w:r w:rsidR="00026E8A" w:rsidRPr="00026E8A">
        <w:t xml:space="preserve"> </w:t>
      </w:r>
      <w:hyperlink r:id="rId2" w:history="1">
        <w:r w:rsidR="00026E8A" w:rsidRPr="000B323C">
          <w:rPr>
            <w:rStyle w:val="Hyperlink"/>
            <w:lang w:val="en-IN"/>
          </w:rPr>
          <w:t>https://corplaw.delaware.gov/delaware-way-business-judgment/</w:t>
        </w:r>
      </w:hyperlink>
      <w:r w:rsidR="00026E8A">
        <w:rPr>
          <w:lang w:val="en-IN"/>
        </w:rPr>
        <w:t>&gt;&gt;, accessed on July 26.07.2023</w:t>
      </w:r>
    </w:p>
  </w:footnote>
  <w:footnote w:id="31">
    <w:p w14:paraId="01D386BF" w14:textId="4F67DDB5" w:rsidR="00133081" w:rsidRDefault="00133081">
      <w:pPr>
        <w:pStyle w:val="FootnoteText"/>
      </w:pPr>
      <w:r>
        <w:rPr>
          <w:rStyle w:val="FootnoteReference"/>
        </w:rPr>
        <w:footnoteRef/>
      </w:r>
      <w:r>
        <w:t xml:space="preserve"> </w:t>
      </w:r>
      <w:r w:rsidRPr="00133081">
        <w:rPr>
          <w:i/>
          <w:iCs/>
        </w:rPr>
        <w:t>Ibid</w:t>
      </w:r>
    </w:p>
  </w:footnote>
  <w:footnote w:id="32">
    <w:p w14:paraId="5AC8D0D6" w14:textId="1A4AB864" w:rsidR="00D27777" w:rsidRDefault="00D27777">
      <w:pPr>
        <w:pStyle w:val="FootnoteText"/>
      </w:pPr>
      <w:r>
        <w:rPr>
          <w:rStyle w:val="FootnoteReference"/>
        </w:rPr>
        <w:footnoteRef/>
      </w:r>
      <w:r>
        <w:t xml:space="preserve"> 930 A.2d 92, 103 (Del 2007)</w:t>
      </w:r>
    </w:p>
  </w:footnote>
  <w:footnote w:id="33">
    <w:p w14:paraId="5AEAB34E" w14:textId="2B482060" w:rsidR="00383DBD" w:rsidRDefault="00383DBD">
      <w:pPr>
        <w:pStyle w:val="FootnoteText"/>
      </w:pPr>
      <w:r>
        <w:rPr>
          <w:rStyle w:val="FootnoteReference"/>
        </w:rPr>
        <w:footnoteRef/>
      </w:r>
      <w:r>
        <w:t xml:space="preserve"> Directors Fiduciary Duties: Back to Delaware Law Basics, &lt;</w:t>
      </w:r>
      <w:hyperlink r:id="rId3" w:history="1">
        <w:r w:rsidR="00230791" w:rsidRPr="000B323C">
          <w:rPr>
            <w:rStyle w:val="Hyperlink"/>
          </w:rPr>
          <w:t>https://www.skadden.com/-/media/files/publications/2020/02/directorsfiduciarydutiesbacktodelawarelawbasics.pdf</w:t>
        </w:r>
      </w:hyperlink>
      <w:r w:rsidR="00230791">
        <w:t>&gt;, accessed on 26.07.2023</w:t>
      </w:r>
    </w:p>
  </w:footnote>
  <w:footnote w:id="34">
    <w:p w14:paraId="6D3F57B4" w14:textId="64D8B597" w:rsidR="0030737C" w:rsidRPr="0030737C" w:rsidRDefault="0030737C">
      <w:pPr>
        <w:pStyle w:val="FootnoteText"/>
        <w:rPr>
          <w:lang w:val="en-IN"/>
        </w:rPr>
      </w:pPr>
      <w:r>
        <w:rPr>
          <w:rStyle w:val="FootnoteReference"/>
        </w:rPr>
        <w:footnoteRef/>
      </w:r>
      <w:r>
        <w:t xml:space="preserve"> </w:t>
      </w:r>
      <w:r w:rsidR="00C26FA6" w:rsidRPr="00C26FA6">
        <w:rPr>
          <w:i/>
          <w:iCs/>
        </w:rPr>
        <w:t xml:space="preserve">Re </w:t>
      </w:r>
      <w:r w:rsidR="00C26FA6" w:rsidRPr="00C26FA6">
        <w:rPr>
          <w:i/>
          <w:iCs/>
        </w:rPr>
        <w:t>Biogenetic Techs., Inc., 248 B.R. 852, 856–57 (Bankr. M.D. Fla. 1999)</w:t>
      </w:r>
    </w:p>
  </w:footnote>
  <w:footnote w:id="35">
    <w:p w14:paraId="5AD06D3A" w14:textId="15BDB3C2" w:rsidR="00E26CE2" w:rsidRPr="00E26CE2" w:rsidRDefault="00E26CE2">
      <w:pPr>
        <w:pStyle w:val="FootnoteText"/>
        <w:rPr>
          <w:lang w:val="en-IN"/>
        </w:rPr>
      </w:pPr>
      <w:r>
        <w:rPr>
          <w:rStyle w:val="FootnoteReference"/>
        </w:rPr>
        <w:footnoteRef/>
      </w:r>
      <w:r>
        <w:t xml:space="preserve"> </w:t>
      </w:r>
      <w:r w:rsidR="009C21BA">
        <w:rPr>
          <w:rFonts w:ascii="Open Sans" w:hAnsi="Open Sans" w:cs="Open Sans"/>
          <w:color w:val="212529"/>
          <w:sz w:val="17"/>
          <w:szCs w:val="17"/>
          <w:shd w:val="clear" w:color="auto" w:fill="FFFFFF"/>
        </w:rPr>
        <w:t>11 U.S.C. § 101(41).</w:t>
      </w:r>
    </w:p>
  </w:footnote>
  <w:footnote w:id="36">
    <w:p w14:paraId="349FA8C3" w14:textId="46D28C41" w:rsidR="0063173D" w:rsidRPr="0063173D" w:rsidRDefault="0063173D" w:rsidP="00DF4FA9">
      <w:pPr>
        <w:pStyle w:val="Heading1"/>
        <w:shd w:val="clear" w:color="auto" w:fill="FFFFFF"/>
        <w:spacing w:before="0" w:beforeAutospacing="0"/>
      </w:pPr>
      <w:r w:rsidRPr="00E20AC4">
        <w:rPr>
          <w:rStyle w:val="FootnoteReference"/>
          <w:rFonts w:asciiTheme="minorHAnsi" w:hAnsiTheme="minorHAnsi" w:cstheme="minorBidi"/>
          <w:b w:val="0"/>
          <w:bCs w:val="0"/>
          <w:kern w:val="0"/>
          <w:sz w:val="20"/>
          <w:szCs w:val="20"/>
          <w:lang w:val="en-US" w:eastAsia="en-US"/>
        </w:rPr>
        <w:footnoteRef/>
      </w:r>
      <w:r>
        <w:t xml:space="preserve"> </w:t>
      </w:r>
      <w:r w:rsidR="00E20AC4" w:rsidRPr="00E20AC4">
        <w:rPr>
          <w:rFonts w:asciiTheme="minorHAnsi" w:hAnsiTheme="minorHAnsi" w:cstheme="minorBidi"/>
          <w:b w:val="0"/>
          <w:bCs w:val="0"/>
          <w:kern w:val="0"/>
          <w:sz w:val="20"/>
          <w:szCs w:val="20"/>
          <w:lang w:eastAsia="en-US"/>
        </w:rPr>
        <w:t>United States: Requirements And Risks In Petitioning For An Involuntary Bankruptcy Case</w:t>
      </w:r>
      <w:r w:rsidR="00E20AC4">
        <w:rPr>
          <w:rFonts w:asciiTheme="minorHAnsi" w:hAnsiTheme="minorHAnsi" w:cstheme="minorBidi"/>
          <w:b w:val="0"/>
          <w:bCs w:val="0"/>
          <w:kern w:val="0"/>
          <w:sz w:val="20"/>
          <w:szCs w:val="20"/>
          <w:lang w:eastAsia="en-US"/>
        </w:rPr>
        <w:t>, &lt;</w:t>
      </w:r>
      <w:hyperlink r:id="rId4" w:history="1">
        <w:r w:rsidR="00D30310" w:rsidRPr="000B323C">
          <w:rPr>
            <w:rStyle w:val="Hyperlink"/>
            <w:rFonts w:asciiTheme="minorHAnsi" w:hAnsiTheme="minorHAnsi" w:cstheme="minorBidi"/>
            <w:b w:val="0"/>
            <w:bCs w:val="0"/>
            <w:kern w:val="0"/>
            <w:sz w:val="20"/>
            <w:szCs w:val="20"/>
            <w:lang w:eastAsia="en-US"/>
          </w:rPr>
          <w:t>https://www.mondaq.com/unitedstates/insolvencybankruptcy/1346022/requirements-and-risks-in-petitioning-for-an-involuntary-bankruptcy-case</w:t>
        </w:r>
      </w:hyperlink>
      <w:r w:rsidR="00D30310">
        <w:rPr>
          <w:rFonts w:asciiTheme="minorHAnsi" w:hAnsiTheme="minorHAnsi" w:cstheme="minorBidi"/>
          <w:b w:val="0"/>
          <w:bCs w:val="0"/>
          <w:kern w:val="0"/>
          <w:sz w:val="20"/>
          <w:szCs w:val="20"/>
          <w:lang w:eastAsia="en-US"/>
        </w:rPr>
        <w:t>&gt;, accessed on 26.07.2023</w:t>
      </w:r>
    </w:p>
  </w:footnote>
  <w:footnote w:id="37">
    <w:p w14:paraId="5941BFD6" w14:textId="4F2A05ED" w:rsidR="00C20427" w:rsidRPr="00C20427" w:rsidRDefault="00C20427">
      <w:pPr>
        <w:pStyle w:val="FootnoteText"/>
        <w:rPr>
          <w:lang w:val="en-IN"/>
        </w:rPr>
      </w:pPr>
      <w:r>
        <w:rPr>
          <w:rStyle w:val="FootnoteReference"/>
        </w:rPr>
        <w:footnoteRef/>
      </w:r>
      <w:r>
        <w:t xml:space="preserve"> </w:t>
      </w:r>
      <w:r>
        <w:rPr>
          <w:lang w:val="en-IN"/>
        </w:rPr>
        <w:t>Employer Bankruptcy and Lawsuits, &lt;</w:t>
      </w:r>
      <w:hyperlink r:id="rId5" w:history="1">
        <w:r w:rsidR="005D0768" w:rsidRPr="000B323C">
          <w:rPr>
            <w:rStyle w:val="Hyperlink"/>
            <w:lang w:val="en-IN"/>
          </w:rPr>
          <w:t>https://gitteslaw.com/employee-rights/employer-bankruptcy-lawsuits/</w:t>
        </w:r>
      </w:hyperlink>
      <w:r w:rsidR="005D0768">
        <w:rPr>
          <w:lang w:val="en-IN"/>
        </w:rPr>
        <w:t>&gt;&gt;, accessed on 26.07.2023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C4C7A"/>
    <w:multiLevelType w:val="hybridMultilevel"/>
    <w:tmpl w:val="69B4A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451F4"/>
    <w:multiLevelType w:val="hybridMultilevel"/>
    <w:tmpl w:val="ED1E2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68584F"/>
    <w:multiLevelType w:val="hybridMultilevel"/>
    <w:tmpl w:val="D39205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F2B6D"/>
    <w:multiLevelType w:val="hybridMultilevel"/>
    <w:tmpl w:val="29505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15666"/>
    <w:multiLevelType w:val="hybridMultilevel"/>
    <w:tmpl w:val="F71227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D7D76"/>
    <w:multiLevelType w:val="hybridMultilevel"/>
    <w:tmpl w:val="D0A4C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413668">
    <w:abstractNumId w:val="24"/>
  </w:num>
  <w:num w:numId="2" w16cid:durableId="768087641">
    <w:abstractNumId w:val="28"/>
  </w:num>
  <w:num w:numId="3" w16cid:durableId="1302268958">
    <w:abstractNumId w:val="4"/>
  </w:num>
  <w:num w:numId="4" w16cid:durableId="1203908769">
    <w:abstractNumId w:val="8"/>
  </w:num>
  <w:num w:numId="5" w16cid:durableId="1766464490">
    <w:abstractNumId w:val="10"/>
  </w:num>
  <w:num w:numId="6" w16cid:durableId="472065006">
    <w:abstractNumId w:val="32"/>
  </w:num>
  <w:num w:numId="7" w16cid:durableId="151876376">
    <w:abstractNumId w:val="5"/>
  </w:num>
  <w:num w:numId="8" w16cid:durableId="399449330">
    <w:abstractNumId w:val="35"/>
  </w:num>
  <w:num w:numId="9" w16cid:durableId="994722159">
    <w:abstractNumId w:val="11"/>
  </w:num>
  <w:num w:numId="10" w16cid:durableId="1323505351">
    <w:abstractNumId w:val="27"/>
  </w:num>
  <w:num w:numId="11" w16cid:durableId="1099791050">
    <w:abstractNumId w:val="13"/>
  </w:num>
  <w:num w:numId="12" w16cid:durableId="211817446">
    <w:abstractNumId w:val="23"/>
  </w:num>
  <w:num w:numId="13" w16cid:durableId="541286526">
    <w:abstractNumId w:val="0"/>
  </w:num>
  <w:num w:numId="14" w16cid:durableId="1976449778">
    <w:abstractNumId w:val="9"/>
  </w:num>
  <w:num w:numId="15" w16cid:durableId="1097559225">
    <w:abstractNumId w:val="16"/>
  </w:num>
  <w:num w:numId="16" w16cid:durableId="905147240">
    <w:abstractNumId w:val="7"/>
  </w:num>
  <w:num w:numId="17" w16cid:durableId="647125827">
    <w:abstractNumId w:val="3"/>
  </w:num>
  <w:num w:numId="18" w16cid:durableId="1636987610">
    <w:abstractNumId w:val="2"/>
  </w:num>
  <w:num w:numId="19" w16cid:durableId="1439106642">
    <w:abstractNumId w:val="29"/>
  </w:num>
  <w:num w:numId="20" w16cid:durableId="1499076652">
    <w:abstractNumId w:val="6"/>
  </w:num>
  <w:num w:numId="21" w16cid:durableId="1304847335">
    <w:abstractNumId w:val="26"/>
  </w:num>
  <w:num w:numId="22" w16cid:durableId="375813460">
    <w:abstractNumId w:val="36"/>
  </w:num>
  <w:num w:numId="23" w16cid:durableId="1677685095">
    <w:abstractNumId w:val="12"/>
  </w:num>
  <w:num w:numId="24" w16cid:durableId="1198741263">
    <w:abstractNumId w:val="30"/>
  </w:num>
  <w:num w:numId="25" w16cid:durableId="839270043">
    <w:abstractNumId w:val="18"/>
  </w:num>
  <w:num w:numId="26" w16cid:durableId="1714504618">
    <w:abstractNumId w:val="21"/>
  </w:num>
  <w:num w:numId="27" w16cid:durableId="112211136">
    <w:abstractNumId w:val="14"/>
  </w:num>
  <w:num w:numId="28" w16cid:durableId="535583641">
    <w:abstractNumId w:val="34"/>
  </w:num>
  <w:num w:numId="29" w16cid:durableId="1860124506">
    <w:abstractNumId w:val="1"/>
  </w:num>
  <w:num w:numId="30" w16cid:durableId="520975540">
    <w:abstractNumId w:val="15"/>
  </w:num>
  <w:num w:numId="31" w16cid:durableId="1277174222">
    <w:abstractNumId w:val="22"/>
  </w:num>
  <w:num w:numId="32" w16cid:durableId="115607301">
    <w:abstractNumId w:val="33"/>
  </w:num>
  <w:num w:numId="33" w16cid:durableId="1164123690">
    <w:abstractNumId w:val="31"/>
  </w:num>
  <w:num w:numId="34" w16cid:durableId="1404642128">
    <w:abstractNumId w:val="20"/>
  </w:num>
  <w:num w:numId="35" w16cid:durableId="482427751">
    <w:abstractNumId w:val="25"/>
  </w:num>
  <w:num w:numId="36" w16cid:durableId="2099448052">
    <w:abstractNumId w:val="17"/>
  </w:num>
  <w:num w:numId="37" w16cid:durableId="50871839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874"/>
    <w:rsid w:val="00006F0D"/>
    <w:rsid w:val="00010BA0"/>
    <w:rsid w:val="00014E81"/>
    <w:rsid w:val="00020557"/>
    <w:rsid w:val="00020DEC"/>
    <w:rsid w:val="00021D41"/>
    <w:rsid w:val="00021FC2"/>
    <w:rsid w:val="00022E00"/>
    <w:rsid w:val="000250C7"/>
    <w:rsid w:val="00026E8A"/>
    <w:rsid w:val="00026F16"/>
    <w:rsid w:val="000346E7"/>
    <w:rsid w:val="00037621"/>
    <w:rsid w:val="00037671"/>
    <w:rsid w:val="00042C87"/>
    <w:rsid w:val="00044B74"/>
    <w:rsid w:val="00044D46"/>
    <w:rsid w:val="00045088"/>
    <w:rsid w:val="00045904"/>
    <w:rsid w:val="000502FD"/>
    <w:rsid w:val="0005466F"/>
    <w:rsid w:val="00057D48"/>
    <w:rsid w:val="00065166"/>
    <w:rsid w:val="000778B1"/>
    <w:rsid w:val="00082609"/>
    <w:rsid w:val="000851CC"/>
    <w:rsid w:val="00091645"/>
    <w:rsid w:val="00093BE8"/>
    <w:rsid w:val="00097B45"/>
    <w:rsid w:val="00097D56"/>
    <w:rsid w:val="000A407B"/>
    <w:rsid w:val="000A636A"/>
    <w:rsid w:val="000A68ED"/>
    <w:rsid w:val="000A6B35"/>
    <w:rsid w:val="000A7A3D"/>
    <w:rsid w:val="000B5FF1"/>
    <w:rsid w:val="000B609F"/>
    <w:rsid w:val="000C43E7"/>
    <w:rsid w:val="000C4C5B"/>
    <w:rsid w:val="000C78EA"/>
    <w:rsid w:val="000D55A8"/>
    <w:rsid w:val="000E0DAA"/>
    <w:rsid w:val="000E4841"/>
    <w:rsid w:val="000E7EA8"/>
    <w:rsid w:val="000F14F7"/>
    <w:rsid w:val="000F1677"/>
    <w:rsid w:val="000F3D6C"/>
    <w:rsid w:val="000F7FC2"/>
    <w:rsid w:val="00101707"/>
    <w:rsid w:val="00102CC9"/>
    <w:rsid w:val="00110752"/>
    <w:rsid w:val="0011473D"/>
    <w:rsid w:val="00115C85"/>
    <w:rsid w:val="0012224B"/>
    <w:rsid w:val="0012349B"/>
    <w:rsid w:val="00123513"/>
    <w:rsid w:val="00123855"/>
    <w:rsid w:val="00126A4D"/>
    <w:rsid w:val="00133081"/>
    <w:rsid w:val="0014171F"/>
    <w:rsid w:val="00143911"/>
    <w:rsid w:val="0014622C"/>
    <w:rsid w:val="00152348"/>
    <w:rsid w:val="00152947"/>
    <w:rsid w:val="0015456D"/>
    <w:rsid w:val="00155FA2"/>
    <w:rsid w:val="00160679"/>
    <w:rsid w:val="00161F1B"/>
    <w:rsid w:val="00162829"/>
    <w:rsid w:val="001639B8"/>
    <w:rsid w:val="00171784"/>
    <w:rsid w:val="0017750C"/>
    <w:rsid w:val="00180548"/>
    <w:rsid w:val="00180AC4"/>
    <w:rsid w:val="00180CCE"/>
    <w:rsid w:val="0018267A"/>
    <w:rsid w:val="00182779"/>
    <w:rsid w:val="001830DF"/>
    <w:rsid w:val="001966D9"/>
    <w:rsid w:val="00197117"/>
    <w:rsid w:val="00197E4B"/>
    <w:rsid w:val="001A7E9A"/>
    <w:rsid w:val="001B0F70"/>
    <w:rsid w:val="001B5016"/>
    <w:rsid w:val="001B765E"/>
    <w:rsid w:val="001C45FC"/>
    <w:rsid w:val="001D0469"/>
    <w:rsid w:val="001D4862"/>
    <w:rsid w:val="001E25B9"/>
    <w:rsid w:val="001E49E0"/>
    <w:rsid w:val="001E7B5A"/>
    <w:rsid w:val="001F6560"/>
    <w:rsid w:val="001F7412"/>
    <w:rsid w:val="002029E5"/>
    <w:rsid w:val="00202DFE"/>
    <w:rsid w:val="0020725B"/>
    <w:rsid w:val="002110F1"/>
    <w:rsid w:val="00215256"/>
    <w:rsid w:val="00220A24"/>
    <w:rsid w:val="00223917"/>
    <w:rsid w:val="002246F6"/>
    <w:rsid w:val="00230791"/>
    <w:rsid w:val="0024116D"/>
    <w:rsid w:val="00241B44"/>
    <w:rsid w:val="00241FA3"/>
    <w:rsid w:val="00245EFB"/>
    <w:rsid w:val="00252651"/>
    <w:rsid w:val="0025386E"/>
    <w:rsid w:val="00256B74"/>
    <w:rsid w:val="002638B0"/>
    <w:rsid w:val="0026647A"/>
    <w:rsid w:val="002668D3"/>
    <w:rsid w:val="0027299F"/>
    <w:rsid w:val="00276960"/>
    <w:rsid w:val="00281A96"/>
    <w:rsid w:val="00284EBE"/>
    <w:rsid w:val="00287A73"/>
    <w:rsid w:val="002903A7"/>
    <w:rsid w:val="0029433F"/>
    <w:rsid w:val="00294829"/>
    <w:rsid w:val="00295E44"/>
    <w:rsid w:val="0029690F"/>
    <w:rsid w:val="00297C8A"/>
    <w:rsid w:val="002A2A60"/>
    <w:rsid w:val="002A37BB"/>
    <w:rsid w:val="002A6912"/>
    <w:rsid w:val="002A6C9C"/>
    <w:rsid w:val="002A752F"/>
    <w:rsid w:val="002A7CB0"/>
    <w:rsid w:val="002B0EDB"/>
    <w:rsid w:val="002B0F8C"/>
    <w:rsid w:val="002B1C45"/>
    <w:rsid w:val="002B5D64"/>
    <w:rsid w:val="002C0E16"/>
    <w:rsid w:val="002C13C8"/>
    <w:rsid w:val="002C3547"/>
    <w:rsid w:val="002C4932"/>
    <w:rsid w:val="002D0021"/>
    <w:rsid w:val="002D17A4"/>
    <w:rsid w:val="002D299D"/>
    <w:rsid w:val="002D3473"/>
    <w:rsid w:val="002D410C"/>
    <w:rsid w:val="002D6333"/>
    <w:rsid w:val="002D6789"/>
    <w:rsid w:val="002D78C5"/>
    <w:rsid w:val="002E779C"/>
    <w:rsid w:val="002F1956"/>
    <w:rsid w:val="002F1C5E"/>
    <w:rsid w:val="002F3440"/>
    <w:rsid w:val="002F5BAC"/>
    <w:rsid w:val="002F75A3"/>
    <w:rsid w:val="00301D2B"/>
    <w:rsid w:val="00301EC0"/>
    <w:rsid w:val="00303C2F"/>
    <w:rsid w:val="0030737C"/>
    <w:rsid w:val="00313BA7"/>
    <w:rsid w:val="003144EF"/>
    <w:rsid w:val="003144FF"/>
    <w:rsid w:val="00320608"/>
    <w:rsid w:val="00320885"/>
    <w:rsid w:val="00320F30"/>
    <w:rsid w:val="00323167"/>
    <w:rsid w:val="00325A8F"/>
    <w:rsid w:val="00326292"/>
    <w:rsid w:val="00326415"/>
    <w:rsid w:val="00330937"/>
    <w:rsid w:val="00330F31"/>
    <w:rsid w:val="00331516"/>
    <w:rsid w:val="00334648"/>
    <w:rsid w:val="0033768C"/>
    <w:rsid w:val="00337938"/>
    <w:rsid w:val="00340769"/>
    <w:rsid w:val="00341AA6"/>
    <w:rsid w:val="003502EB"/>
    <w:rsid w:val="00350A65"/>
    <w:rsid w:val="00361A0A"/>
    <w:rsid w:val="00364836"/>
    <w:rsid w:val="0036565C"/>
    <w:rsid w:val="0036625E"/>
    <w:rsid w:val="003715E6"/>
    <w:rsid w:val="0037465A"/>
    <w:rsid w:val="003761EB"/>
    <w:rsid w:val="00382C98"/>
    <w:rsid w:val="00383DBD"/>
    <w:rsid w:val="00383E0A"/>
    <w:rsid w:val="0038411A"/>
    <w:rsid w:val="0038533C"/>
    <w:rsid w:val="00386568"/>
    <w:rsid w:val="00390B57"/>
    <w:rsid w:val="003929E7"/>
    <w:rsid w:val="003948D5"/>
    <w:rsid w:val="00396821"/>
    <w:rsid w:val="00397D3A"/>
    <w:rsid w:val="003A051E"/>
    <w:rsid w:val="003A5537"/>
    <w:rsid w:val="003A75F4"/>
    <w:rsid w:val="003B170F"/>
    <w:rsid w:val="003B3C5F"/>
    <w:rsid w:val="003B7184"/>
    <w:rsid w:val="003C2464"/>
    <w:rsid w:val="003C3388"/>
    <w:rsid w:val="003C4471"/>
    <w:rsid w:val="003C53FE"/>
    <w:rsid w:val="003D0A6D"/>
    <w:rsid w:val="003E0B16"/>
    <w:rsid w:val="003E2749"/>
    <w:rsid w:val="003E58D9"/>
    <w:rsid w:val="003E67D1"/>
    <w:rsid w:val="003E7303"/>
    <w:rsid w:val="003E7FCC"/>
    <w:rsid w:val="00404329"/>
    <w:rsid w:val="00405DC1"/>
    <w:rsid w:val="00415F1F"/>
    <w:rsid w:val="0042108F"/>
    <w:rsid w:val="00423DD4"/>
    <w:rsid w:val="004244D5"/>
    <w:rsid w:val="004248F6"/>
    <w:rsid w:val="004273B0"/>
    <w:rsid w:val="00430FED"/>
    <w:rsid w:val="00434A8C"/>
    <w:rsid w:val="00435BAB"/>
    <w:rsid w:val="00437297"/>
    <w:rsid w:val="00444284"/>
    <w:rsid w:val="00445CE6"/>
    <w:rsid w:val="004534C2"/>
    <w:rsid w:val="0045446F"/>
    <w:rsid w:val="00455018"/>
    <w:rsid w:val="0045683E"/>
    <w:rsid w:val="00477C72"/>
    <w:rsid w:val="004830F8"/>
    <w:rsid w:val="00484B73"/>
    <w:rsid w:val="00484B93"/>
    <w:rsid w:val="00486950"/>
    <w:rsid w:val="00491675"/>
    <w:rsid w:val="00493855"/>
    <w:rsid w:val="00494519"/>
    <w:rsid w:val="00494B81"/>
    <w:rsid w:val="00495E79"/>
    <w:rsid w:val="004A57DD"/>
    <w:rsid w:val="004A7B51"/>
    <w:rsid w:val="004A7D71"/>
    <w:rsid w:val="004A7EF3"/>
    <w:rsid w:val="004B09C5"/>
    <w:rsid w:val="004B11FD"/>
    <w:rsid w:val="004B23A2"/>
    <w:rsid w:val="004B2487"/>
    <w:rsid w:val="004C7BF0"/>
    <w:rsid w:val="004D1A5A"/>
    <w:rsid w:val="004D2FFF"/>
    <w:rsid w:val="004D3721"/>
    <w:rsid w:val="004D4255"/>
    <w:rsid w:val="004D64F9"/>
    <w:rsid w:val="004E3A6B"/>
    <w:rsid w:val="004E5AF5"/>
    <w:rsid w:val="004E622C"/>
    <w:rsid w:val="004F49B5"/>
    <w:rsid w:val="004F5FDF"/>
    <w:rsid w:val="004F7B99"/>
    <w:rsid w:val="00505E75"/>
    <w:rsid w:val="00515810"/>
    <w:rsid w:val="005177FE"/>
    <w:rsid w:val="0052263B"/>
    <w:rsid w:val="00524728"/>
    <w:rsid w:val="005279F5"/>
    <w:rsid w:val="00530DD2"/>
    <w:rsid w:val="005331CA"/>
    <w:rsid w:val="00537424"/>
    <w:rsid w:val="00537970"/>
    <w:rsid w:val="00540E3A"/>
    <w:rsid w:val="0054307E"/>
    <w:rsid w:val="00544127"/>
    <w:rsid w:val="005463A9"/>
    <w:rsid w:val="00553EB2"/>
    <w:rsid w:val="00560534"/>
    <w:rsid w:val="0056391B"/>
    <w:rsid w:val="005648DA"/>
    <w:rsid w:val="005650E2"/>
    <w:rsid w:val="00567AD7"/>
    <w:rsid w:val="00570214"/>
    <w:rsid w:val="00575B2D"/>
    <w:rsid w:val="0057630E"/>
    <w:rsid w:val="00581BEC"/>
    <w:rsid w:val="005833D0"/>
    <w:rsid w:val="00583D8E"/>
    <w:rsid w:val="005846F3"/>
    <w:rsid w:val="0058622F"/>
    <w:rsid w:val="00587019"/>
    <w:rsid w:val="00592F82"/>
    <w:rsid w:val="005A0CCA"/>
    <w:rsid w:val="005A1C36"/>
    <w:rsid w:val="005A6FF2"/>
    <w:rsid w:val="005A726D"/>
    <w:rsid w:val="005B5B63"/>
    <w:rsid w:val="005B67AC"/>
    <w:rsid w:val="005B6A37"/>
    <w:rsid w:val="005B79F4"/>
    <w:rsid w:val="005C321B"/>
    <w:rsid w:val="005D0768"/>
    <w:rsid w:val="005D1293"/>
    <w:rsid w:val="005D22F6"/>
    <w:rsid w:val="005D43E0"/>
    <w:rsid w:val="005D58A3"/>
    <w:rsid w:val="005D6642"/>
    <w:rsid w:val="005E1B79"/>
    <w:rsid w:val="005E2780"/>
    <w:rsid w:val="005E4F16"/>
    <w:rsid w:val="005E6076"/>
    <w:rsid w:val="005E7008"/>
    <w:rsid w:val="005F026D"/>
    <w:rsid w:val="005F2AEA"/>
    <w:rsid w:val="005F2D0B"/>
    <w:rsid w:val="005F4B31"/>
    <w:rsid w:val="00610388"/>
    <w:rsid w:val="00610AC7"/>
    <w:rsid w:val="0061188A"/>
    <w:rsid w:val="00612CA5"/>
    <w:rsid w:val="00614052"/>
    <w:rsid w:val="006153EC"/>
    <w:rsid w:val="00621A17"/>
    <w:rsid w:val="00622C36"/>
    <w:rsid w:val="006245E3"/>
    <w:rsid w:val="00627CC9"/>
    <w:rsid w:val="00627E7B"/>
    <w:rsid w:val="00630542"/>
    <w:rsid w:val="0063173D"/>
    <w:rsid w:val="0063251D"/>
    <w:rsid w:val="00632E44"/>
    <w:rsid w:val="00634622"/>
    <w:rsid w:val="0063522E"/>
    <w:rsid w:val="00635ACC"/>
    <w:rsid w:val="00636808"/>
    <w:rsid w:val="00641515"/>
    <w:rsid w:val="00641980"/>
    <w:rsid w:val="006477B6"/>
    <w:rsid w:val="00654C2F"/>
    <w:rsid w:val="00657087"/>
    <w:rsid w:val="006639DB"/>
    <w:rsid w:val="006661EF"/>
    <w:rsid w:val="006748A6"/>
    <w:rsid w:val="00677AEB"/>
    <w:rsid w:val="00680EF2"/>
    <w:rsid w:val="00687A1D"/>
    <w:rsid w:val="00697EA1"/>
    <w:rsid w:val="006A2646"/>
    <w:rsid w:val="006A6530"/>
    <w:rsid w:val="006B26CC"/>
    <w:rsid w:val="006B3571"/>
    <w:rsid w:val="006B435A"/>
    <w:rsid w:val="006B4C64"/>
    <w:rsid w:val="006C21C6"/>
    <w:rsid w:val="006C383A"/>
    <w:rsid w:val="006C65F4"/>
    <w:rsid w:val="006D6BD5"/>
    <w:rsid w:val="006E03AE"/>
    <w:rsid w:val="006E481A"/>
    <w:rsid w:val="006E5298"/>
    <w:rsid w:val="006F017A"/>
    <w:rsid w:val="006F123E"/>
    <w:rsid w:val="006F4A24"/>
    <w:rsid w:val="006F4A78"/>
    <w:rsid w:val="006F734A"/>
    <w:rsid w:val="00700D83"/>
    <w:rsid w:val="00704852"/>
    <w:rsid w:val="007074E9"/>
    <w:rsid w:val="00707638"/>
    <w:rsid w:val="00713DA4"/>
    <w:rsid w:val="007142B8"/>
    <w:rsid w:val="00714BF1"/>
    <w:rsid w:val="00717C2C"/>
    <w:rsid w:val="007208B8"/>
    <w:rsid w:val="00721383"/>
    <w:rsid w:val="0072621C"/>
    <w:rsid w:val="00726B98"/>
    <w:rsid w:val="00731444"/>
    <w:rsid w:val="0073158B"/>
    <w:rsid w:val="00733083"/>
    <w:rsid w:val="007333CC"/>
    <w:rsid w:val="0073399A"/>
    <w:rsid w:val="007603F5"/>
    <w:rsid w:val="00763C75"/>
    <w:rsid w:val="00764DB0"/>
    <w:rsid w:val="0076764D"/>
    <w:rsid w:val="007746E1"/>
    <w:rsid w:val="0077498C"/>
    <w:rsid w:val="00775666"/>
    <w:rsid w:val="00777C53"/>
    <w:rsid w:val="007809BC"/>
    <w:rsid w:val="00784128"/>
    <w:rsid w:val="00784303"/>
    <w:rsid w:val="00787BCC"/>
    <w:rsid w:val="00793173"/>
    <w:rsid w:val="007A2A33"/>
    <w:rsid w:val="007B0809"/>
    <w:rsid w:val="007B5C89"/>
    <w:rsid w:val="007B74EA"/>
    <w:rsid w:val="007C0CF9"/>
    <w:rsid w:val="007C1FCC"/>
    <w:rsid w:val="007C6201"/>
    <w:rsid w:val="007D0192"/>
    <w:rsid w:val="007D7C92"/>
    <w:rsid w:val="007E1154"/>
    <w:rsid w:val="007E6BA4"/>
    <w:rsid w:val="007F12AB"/>
    <w:rsid w:val="007F41F8"/>
    <w:rsid w:val="007F659B"/>
    <w:rsid w:val="007F78D7"/>
    <w:rsid w:val="0080454E"/>
    <w:rsid w:val="00804C32"/>
    <w:rsid w:val="00805305"/>
    <w:rsid w:val="00806302"/>
    <w:rsid w:val="00807119"/>
    <w:rsid w:val="00811C04"/>
    <w:rsid w:val="0082483F"/>
    <w:rsid w:val="008279C0"/>
    <w:rsid w:val="00834F92"/>
    <w:rsid w:val="008354C8"/>
    <w:rsid w:val="008402AB"/>
    <w:rsid w:val="0084247A"/>
    <w:rsid w:val="00847B66"/>
    <w:rsid w:val="00856817"/>
    <w:rsid w:val="00862BF9"/>
    <w:rsid w:val="00871BDC"/>
    <w:rsid w:val="008723F3"/>
    <w:rsid w:val="00881DE6"/>
    <w:rsid w:val="008837A6"/>
    <w:rsid w:val="0089145D"/>
    <w:rsid w:val="00892BD2"/>
    <w:rsid w:val="00895B91"/>
    <w:rsid w:val="00895EF1"/>
    <w:rsid w:val="008A2D04"/>
    <w:rsid w:val="008A4DF2"/>
    <w:rsid w:val="008A6CFE"/>
    <w:rsid w:val="008A771D"/>
    <w:rsid w:val="008B4F15"/>
    <w:rsid w:val="008B5333"/>
    <w:rsid w:val="008B6223"/>
    <w:rsid w:val="008C66E0"/>
    <w:rsid w:val="008D5BED"/>
    <w:rsid w:val="008D7665"/>
    <w:rsid w:val="008D7700"/>
    <w:rsid w:val="008E3339"/>
    <w:rsid w:val="008F20FC"/>
    <w:rsid w:val="008F4159"/>
    <w:rsid w:val="008F5FFE"/>
    <w:rsid w:val="00902FA7"/>
    <w:rsid w:val="0090515E"/>
    <w:rsid w:val="00905A43"/>
    <w:rsid w:val="00912C79"/>
    <w:rsid w:val="00921B8C"/>
    <w:rsid w:val="0092565E"/>
    <w:rsid w:val="0093467C"/>
    <w:rsid w:val="00941879"/>
    <w:rsid w:val="00942123"/>
    <w:rsid w:val="0095207B"/>
    <w:rsid w:val="00953CF3"/>
    <w:rsid w:val="00956F15"/>
    <w:rsid w:val="00962045"/>
    <w:rsid w:val="009631A9"/>
    <w:rsid w:val="009639C7"/>
    <w:rsid w:val="00964EB1"/>
    <w:rsid w:val="00976A89"/>
    <w:rsid w:val="0097706D"/>
    <w:rsid w:val="00980E61"/>
    <w:rsid w:val="00990DFB"/>
    <w:rsid w:val="00991428"/>
    <w:rsid w:val="00992676"/>
    <w:rsid w:val="009954B2"/>
    <w:rsid w:val="00996691"/>
    <w:rsid w:val="009B0723"/>
    <w:rsid w:val="009B07AD"/>
    <w:rsid w:val="009B0883"/>
    <w:rsid w:val="009B15E2"/>
    <w:rsid w:val="009B366C"/>
    <w:rsid w:val="009B4976"/>
    <w:rsid w:val="009C0B8E"/>
    <w:rsid w:val="009C1BC8"/>
    <w:rsid w:val="009C21BA"/>
    <w:rsid w:val="009C2442"/>
    <w:rsid w:val="009C67D1"/>
    <w:rsid w:val="009D0811"/>
    <w:rsid w:val="009D0EE1"/>
    <w:rsid w:val="009D1357"/>
    <w:rsid w:val="009D5B73"/>
    <w:rsid w:val="009E2AEB"/>
    <w:rsid w:val="009E2E27"/>
    <w:rsid w:val="009E45DF"/>
    <w:rsid w:val="009E4DE3"/>
    <w:rsid w:val="009F275E"/>
    <w:rsid w:val="009F5E3D"/>
    <w:rsid w:val="00A024E7"/>
    <w:rsid w:val="00A047EE"/>
    <w:rsid w:val="00A04D79"/>
    <w:rsid w:val="00A10094"/>
    <w:rsid w:val="00A2274A"/>
    <w:rsid w:val="00A235B7"/>
    <w:rsid w:val="00A26DC2"/>
    <w:rsid w:val="00A27A7A"/>
    <w:rsid w:val="00A3165E"/>
    <w:rsid w:val="00A34ABE"/>
    <w:rsid w:val="00A407EF"/>
    <w:rsid w:val="00A46037"/>
    <w:rsid w:val="00A46B4C"/>
    <w:rsid w:val="00A47A16"/>
    <w:rsid w:val="00A5117B"/>
    <w:rsid w:val="00A54D4F"/>
    <w:rsid w:val="00A56D34"/>
    <w:rsid w:val="00A60074"/>
    <w:rsid w:val="00A6152B"/>
    <w:rsid w:val="00A6627C"/>
    <w:rsid w:val="00A71019"/>
    <w:rsid w:val="00A81029"/>
    <w:rsid w:val="00A82B32"/>
    <w:rsid w:val="00A87965"/>
    <w:rsid w:val="00A921CA"/>
    <w:rsid w:val="00A94F58"/>
    <w:rsid w:val="00A95463"/>
    <w:rsid w:val="00A96489"/>
    <w:rsid w:val="00A9727A"/>
    <w:rsid w:val="00AA0280"/>
    <w:rsid w:val="00AA02BD"/>
    <w:rsid w:val="00AA7BE3"/>
    <w:rsid w:val="00AB1B65"/>
    <w:rsid w:val="00AB2425"/>
    <w:rsid w:val="00AB56BB"/>
    <w:rsid w:val="00AB5F86"/>
    <w:rsid w:val="00AB685C"/>
    <w:rsid w:val="00AB6C2D"/>
    <w:rsid w:val="00AC08F7"/>
    <w:rsid w:val="00AC2137"/>
    <w:rsid w:val="00AC3839"/>
    <w:rsid w:val="00AC65C1"/>
    <w:rsid w:val="00AC7082"/>
    <w:rsid w:val="00AD4BE8"/>
    <w:rsid w:val="00AD77E0"/>
    <w:rsid w:val="00AE0981"/>
    <w:rsid w:val="00AE0B65"/>
    <w:rsid w:val="00AF02F1"/>
    <w:rsid w:val="00AF228E"/>
    <w:rsid w:val="00B016A8"/>
    <w:rsid w:val="00B01E81"/>
    <w:rsid w:val="00B02BDB"/>
    <w:rsid w:val="00B04EB9"/>
    <w:rsid w:val="00B06131"/>
    <w:rsid w:val="00B10961"/>
    <w:rsid w:val="00B14819"/>
    <w:rsid w:val="00B15E2F"/>
    <w:rsid w:val="00B17AA9"/>
    <w:rsid w:val="00B27E6E"/>
    <w:rsid w:val="00B303E8"/>
    <w:rsid w:val="00B41253"/>
    <w:rsid w:val="00B44713"/>
    <w:rsid w:val="00B56103"/>
    <w:rsid w:val="00B64929"/>
    <w:rsid w:val="00B66811"/>
    <w:rsid w:val="00B66D7C"/>
    <w:rsid w:val="00B73386"/>
    <w:rsid w:val="00B736DF"/>
    <w:rsid w:val="00B743D6"/>
    <w:rsid w:val="00B74FBD"/>
    <w:rsid w:val="00B77B19"/>
    <w:rsid w:val="00B77F46"/>
    <w:rsid w:val="00B82586"/>
    <w:rsid w:val="00B829A3"/>
    <w:rsid w:val="00B85F4A"/>
    <w:rsid w:val="00B86DB1"/>
    <w:rsid w:val="00B86E5B"/>
    <w:rsid w:val="00B87869"/>
    <w:rsid w:val="00B93D83"/>
    <w:rsid w:val="00B9639B"/>
    <w:rsid w:val="00BA2565"/>
    <w:rsid w:val="00BB02BF"/>
    <w:rsid w:val="00BB0F2B"/>
    <w:rsid w:val="00BB1A1B"/>
    <w:rsid w:val="00BB3AB2"/>
    <w:rsid w:val="00BB3CC8"/>
    <w:rsid w:val="00BB7187"/>
    <w:rsid w:val="00BD4A58"/>
    <w:rsid w:val="00BD7337"/>
    <w:rsid w:val="00BE082F"/>
    <w:rsid w:val="00BE4E9E"/>
    <w:rsid w:val="00BE4FF3"/>
    <w:rsid w:val="00BF50F7"/>
    <w:rsid w:val="00C006E0"/>
    <w:rsid w:val="00C02F29"/>
    <w:rsid w:val="00C05A9F"/>
    <w:rsid w:val="00C1391F"/>
    <w:rsid w:val="00C2034B"/>
    <w:rsid w:val="00C20427"/>
    <w:rsid w:val="00C20AFE"/>
    <w:rsid w:val="00C22A25"/>
    <w:rsid w:val="00C25718"/>
    <w:rsid w:val="00C26FA6"/>
    <w:rsid w:val="00C30F85"/>
    <w:rsid w:val="00C35671"/>
    <w:rsid w:val="00C35B77"/>
    <w:rsid w:val="00C362AA"/>
    <w:rsid w:val="00C376EB"/>
    <w:rsid w:val="00C40BC1"/>
    <w:rsid w:val="00C419A3"/>
    <w:rsid w:val="00C452BC"/>
    <w:rsid w:val="00C46A92"/>
    <w:rsid w:val="00C46EC1"/>
    <w:rsid w:val="00C50603"/>
    <w:rsid w:val="00C51EA5"/>
    <w:rsid w:val="00C52796"/>
    <w:rsid w:val="00C52BF8"/>
    <w:rsid w:val="00C53E2C"/>
    <w:rsid w:val="00C550C8"/>
    <w:rsid w:val="00C56B61"/>
    <w:rsid w:val="00C606C3"/>
    <w:rsid w:val="00C60F78"/>
    <w:rsid w:val="00C620F4"/>
    <w:rsid w:val="00C651D6"/>
    <w:rsid w:val="00C677F1"/>
    <w:rsid w:val="00C72848"/>
    <w:rsid w:val="00C7736C"/>
    <w:rsid w:val="00C82D87"/>
    <w:rsid w:val="00C8712A"/>
    <w:rsid w:val="00C87E0A"/>
    <w:rsid w:val="00C902C8"/>
    <w:rsid w:val="00C919D1"/>
    <w:rsid w:val="00C963D3"/>
    <w:rsid w:val="00CA0235"/>
    <w:rsid w:val="00CA0ABB"/>
    <w:rsid w:val="00CA23FF"/>
    <w:rsid w:val="00CA5EB7"/>
    <w:rsid w:val="00CB1983"/>
    <w:rsid w:val="00CB2CBB"/>
    <w:rsid w:val="00CB6578"/>
    <w:rsid w:val="00CB7CAC"/>
    <w:rsid w:val="00CC4818"/>
    <w:rsid w:val="00CC5335"/>
    <w:rsid w:val="00CC5BA4"/>
    <w:rsid w:val="00CD4998"/>
    <w:rsid w:val="00CE0ECD"/>
    <w:rsid w:val="00CE1035"/>
    <w:rsid w:val="00CE6E50"/>
    <w:rsid w:val="00CF0BBC"/>
    <w:rsid w:val="00CF2819"/>
    <w:rsid w:val="00CF4F9D"/>
    <w:rsid w:val="00CF70DC"/>
    <w:rsid w:val="00D03CF4"/>
    <w:rsid w:val="00D041E0"/>
    <w:rsid w:val="00D04AFE"/>
    <w:rsid w:val="00D06A30"/>
    <w:rsid w:val="00D14336"/>
    <w:rsid w:val="00D148DC"/>
    <w:rsid w:val="00D17570"/>
    <w:rsid w:val="00D17FDC"/>
    <w:rsid w:val="00D21021"/>
    <w:rsid w:val="00D21B23"/>
    <w:rsid w:val="00D21D8C"/>
    <w:rsid w:val="00D27777"/>
    <w:rsid w:val="00D30310"/>
    <w:rsid w:val="00D316F2"/>
    <w:rsid w:val="00D34584"/>
    <w:rsid w:val="00D53719"/>
    <w:rsid w:val="00D6053C"/>
    <w:rsid w:val="00D61CC1"/>
    <w:rsid w:val="00D63EFD"/>
    <w:rsid w:val="00D75D88"/>
    <w:rsid w:val="00D844D1"/>
    <w:rsid w:val="00D84752"/>
    <w:rsid w:val="00D86B3B"/>
    <w:rsid w:val="00D8748A"/>
    <w:rsid w:val="00D92700"/>
    <w:rsid w:val="00D93196"/>
    <w:rsid w:val="00D9565D"/>
    <w:rsid w:val="00DA0DC0"/>
    <w:rsid w:val="00DA1D45"/>
    <w:rsid w:val="00DB243C"/>
    <w:rsid w:val="00DB482A"/>
    <w:rsid w:val="00DB50FB"/>
    <w:rsid w:val="00DB56F2"/>
    <w:rsid w:val="00DB6EF5"/>
    <w:rsid w:val="00DB7104"/>
    <w:rsid w:val="00DC3089"/>
    <w:rsid w:val="00DC359F"/>
    <w:rsid w:val="00DC4420"/>
    <w:rsid w:val="00DD0802"/>
    <w:rsid w:val="00DD2E11"/>
    <w:rsid w:val="00DD3469"/>
    <w:rsid w:val="00DD7043"/>
    <w:rsid w:val="00DE03AF"/>
    <w:rsid w:val="00DE121C"/>
    <w:rsid w:val="00DE5357"/>
    <w:rsid w:val="00DE6633"/>
    <w:rsid w:val="00DE75BD"/>
    <w:rsid w:val="00DE7E9B"/>
    <w:rsid w:val="00DF158F"/>
    <w:rsid w:val="00DF3BC1"/>
    <w:rsid w:val="00DF4FA9"/>
    <w:rsid w:val="00DF75F8"/>
    <w:rsid w:val="00DF7A3A"/>
    <w:rsid w:val="00E00C00"/>
    <w:rsid w:val="00E01803"/>
    <w:rsid w:val="00E022B4"/>
    <w:rsid w:val="00E07C5A"/>
    <w:rsid w:val="00E15BA9"/>
    <w:rsid w:val="00E15CFA"/>
    <w:rsid w:val="00E20AC4"/>
    <w:rsid w:val="00E26CE2"/>
    <w:rsid w:val="00E26E10"/>
    <w:rsid w:val="00E26E19"/>
    <w:rsid w:val="00E27F6E"/>
    <w:rsid w:val="00E30E60"/>
    <w:rsid w:val="00E31DF3"/>
    <w:rsid w:val="00E4097B"/>
    <w:rsid w:val="00E41578"/>
    <w:rsid w:val="00E421C6"/>
    <w:rsid w:val="00E43067"/>
    <w:rsid w:val="00E450A4"/>
    <w:rsid w:val="00E506BE"/>
    <w:rsid w:val="00E55547"/>
    <w:rsid w:val="00E571E2"/>
    <w:rsid w:val="00E621C4"/>
    <w:rsid w:val="00E6302B"/>
    <w:rsid w:val="00E6452F"/>
    <w:rsid w:val="00E64F45"/>
    <w:rsid w:val="00E6675A"/>
    <w:rsid w:val="00E66C13"/>
    <w:rsid w:val="00E6742D"/>
    <w:rsid w:val="00E71CB0"/>
    <w:rsid w:val="00E77C3D"/>
    <w:rsid w:val="00E90991"/>
    <w:rsid w:val="00E909F0"/>
    <w:rsid w:val="00E90D47"/>
    <w:rsid w:val="00E93328"/>
    <w:rsid w:val="00E93993"/>
    <w:rsid w:val="00E9597C"/>
    <w:rsid w:val="00EA0913"/>
    <w:rsid w:val="00EA5B00"/>
    <w:rsid w:val="00EA78AC"/>
    <w:rsid w:val="00EB146B"/>
    <w:rsid w:val="00EB45AC"/>
    <w:rsid w:val="00EC441F"/>
    <w:rsid w:val="00EC4755"/>
    <w:rsid w:val="00EC7C60"/>
    <w:rsid w:val="00ED0BC4"/>
    <w:rsid w:val="00ED447D"/>
    <w:rsid w:val="00ED47B6"/>
    <w:rsid w:val="00ED738F"/>
    <w:rsid w:val="00ED74BC"/>
    <w:rsid w:val="00EE0996"/>
    <w:rsid w:val="00EE4971"/>
    <w:rsid w:val="00EF090E"/>
    <w:rsid w:val="00EF5572"/>
    <w:rsid w:val="00F03051"/>
    <w:rsid w:val="00F033DA"/>
    <w:rsid w:val="00F13691"/>
    <w:rsid w:val="00F13FB1"/>
    <w:rsid w:val="00F22A1D"/>
    <w:rsid w:val="00F27CD8"/>
    <w:rsid w:val="00F30351"/>
    <w:rsid w:val="00F3323E"/>
    <w:rsid w:val="00F341F4"/>
    <w:rsid w:val="00F34F9D"/>
    <w:rsid w:val="00F35CCE"/>
    <w:rsid w:val="00F41E27"/>
    <w:rsid w:val="00F44AF5"/>
    <w:rsid w:val="00F4509D"/>
    <w:rsid w:val="00F50D22"/>
    <w:rsid w:val="00F5524B"/>
    <w:rsid w:val="00F60538"/>
    <w:rsid w:val="00F61DD2"/>
    <w:rsid w:val="00F6201B"/>
    <w:rsid w:val="00F63566"/>
    <w:rsid w:val="00F66AFF"/>
    <w:rsid w:val="00F70A10"/>
    <w:rsid w:val="00F71433"/>
    <w:rsid w:val="00F829BD"/>
    <w:rsid w:val="00F836A8"/>
    <w:rsid w:val="00F84270"/>
    <w:rsid w:val="00F9095C"/>
    <w:rsid w:val="00F92140"/>
    <w:rsid w:val="00F97C5B"/>
    <w:rsid w:val="00FA3D50"/>
    <w:rsid w:val="00FA6466"/>
    <w:rsid w:val="00FB6479"/>
    <w:rsid w:val="00FB7FBD"/>
    <w:rsid w:val="00FC374A"/>
    <w:rsid w:val="00FC43EC"/>
    <w:rsid w:val="00FC7AC7"/>
    <w:rsid w:val="00FC7B47"/>
    <w:rsid w:val="00FD035C"/>
    <w:rsid w:val="00FD1A35"/>
    <w:rsid w:val="00FD2EA4"/>
    <w:rsid w:val="00FD36C5"/>
    <w:rsid w:val="00FD395A"/>
    <w:rsid w:val="00FD6310"/>
    <w:rsid w:val="00FD768C"/>
    <w:rsid w:val="00FD7C7B"/>
    <w:rsid w:val="00FE1D12"/>
    <w:rsid w:val="00FE2122"/>
    <w:rsid w:val="00FE2A86"/>
    <w:rsid w:val="00FE2DE2"/>
    <w:rsid w:val="00FE45A4"/>
    <w:rsid w:val="00FE4FE4"/>
    <w:rsid w:val="00FE5DB8"/>
    <w:rsid w:val="00FF296F"/>
    <w:rsid w:val="00FF3465"/>
    <w:rsid w:val="00FF4AB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E20AC4"/>
    <w:pPr>
      <w:spacing w:before="100" w:beforeAutospacing="1" w:after="100" w:afterAutospacing="1"/>
      <w:outlineLvl w:val="0"/>
    </w:pPr>
    <w:rPr>
      <w:rFonts w:ascii="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Emphasis">
    <w:name w:val="Emphasis"/>
    <w:basedOn w:val="DefaultParagraphFont"/>
    <w:uiPriority w:val="20"/>
    <w:qFormat/>
    <w:rsid w:val="00F22A1D"/>
    <w:rPr>
      <w:i/>
      <w:iCs/>
    </w:rPr>
  </w:style>
  <w:style w:type="character" w:styleId="UnresolvedMention">
    <w:name w:val="Unresolved Mention"/>
    <w:basedOn w:val="DefaultParagraphFont"/>
    <w:uiPriority w:val="99"/>
    <w:semiHidden/>
    <w:unhideWhenUsed/>
    <w:rsid w:val="004B09C5"/>
    <w:rPr>
      <w:color w:val="605E5C"/>
      <w:shd w:val="clear" w:color="auto" w:fill="E1DFDD"/>
    </w:rPr>
  </w:style>
  <w:style w:type="character" w:customStyle="1" w:styleId="Heading1Char">
    <w:name w:val="Heading 1 Char"/>
    <w:basedOn w:val="DefaultParagraphFont"/>
    <w:link w:val="Heading1"/>
    <w:uiPriority w:val="9"/>
    <w:rsid w:val="00E20AC4"/>
    <w:rPr>
      <w:rFonts w:ascii="Times New Roman" w:eastAsia="Times New Roman" w:hAnsi="Times New Roman" w:cs="Times New Roman"/>
      <w:b/>
      <w:bCs/>
      <w:kern w:val="36"/>
      <w:sz w:val="48"/>
      <w:szCs w:val="48"/>
      <w:lang w:val="en-IN" w:eastAsia="en-IN"/>
    </w:rPr>
  </w:style>
  <w:style w:type="character" w:customStyle="1" w:styleId="region-heading">
    <w:name w:val="region-heading"/>
    <w:basedOn w:val="DefaultParagraphFont"/>
    <w:rsid w:val="00E2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10370650">
      <w:bodyDiv w:val="1"/>
      <w:marLeft w:val="0"/>
      <w:marRight w:val="0"/>
      <w:marTop w:val="0"/>
      <w:marBottom w:val="0"/>
      <w:divBdr>
        <w:top w:val="none" w:sz="0" w:space="0" w:color="auto"/>
        <w:left w:val="none" w:sz="0" w:space="0" w:color="auto"/>
        <w:bottom w:val="none" w:sz="0" w:space="0" w:color="auto"/>
        <w:right w:val="none" w:sz="0" w:space="0" w:color="auto"/>
      </w:divBdr>
    </w:div>
    <w:div w:id="18914508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kadden.com/-/media/files/publications/2020/02/directorsfiduciarydutiesbacktodelawarelawbasics.pdf" TargetMode="External"/><Relationship Id="rId2" Type="http://schemas.openxmlformats.org/officeDocument/2006/relationships/hyperlink" Target="https://corplaw.delaware.gov/delaware-way-business-judgment/" TargetMode="External"/><Relationship Id="rId1" Type="http://schemas.openxmlformats.org/officeDocument/2006/relationships/hyperlink" Target="https://www.justice.gov/jm/civil-resource-manual-96-who-what-when-where-why-and-how-appeals-bankruptcy-proceedings" TargetMode="External"/><Relationship Id="rId5" Type="http://schemas.openxmlformats.org/officeDocument/2006/relationships/hyperlink" Target="https://gitteslaw.com/employee-rights/employer-bankruptcy-lawsuits/" TargetMode="External"/><Relationship Id="rId4" Type="http://schemas.openxmlformats.org/officeDocument/2006/relationships/hyperlink" Target="https://www.mondaq.com/unitedstates/insolvencybankruptcy/1346022/requirements-and-risks-in-petitioning-for-an-involuntary-bankruptcy-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3</cp:revision>
  <cp:lastPrinted>2019-08-27T05:42:00Z</cp:lastPrinted>
  <dcterms:created xsi:type="dcterms:W3CDTF">2023-07-26T11:15:00Z</dcterms:created>
  <dcterms:modified xsi:type="dcterms:W3CDTF">2023-07-26T11:15:00Z</dcterms:modified>
</cp:coreProperties>
</file>