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 xml:space="preserve">Please also include the filename as </w:t>
      </w:r>
      <w:proofErr w:type="gramStart"/>
      <w:r w:rsidRPr="00B2234F">
        <w:rPr>
          <w:rFonts w:ascii="Avenir Next Demi Bold" w:hAnsi="Avenir Next Demi Bold" w:cs="Arial"/>
          <w:b/>
          <w:bCs/>
          <w:sz w:val="22"/>
          <w:szCs w:val="22"/>
          <w:lang w:val="en-GB"/>
        </w:rPr>
        <w:t>a footer</w:t>
      </w:r>
      <w:proofErr w:type="gramEnd"/>
      <w:r w:rsidRPr="00B2234F">
        <w:rPr>
          <w:rFonts w:ascii="Avenir Next Demi Bold" w:hAnsi="Avenir Next Demi Bold" w:cs="Arial"/>
          <w:b/>
          <w:bCs/>
          <w:sz w:val="22"/>
          <w:szCs w:val="22"/>
          <w:lang w:val="en-GB"/>
        </w:rPr>
        <w:t xml:space="preserve">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proofErr w:type="gramStart"/>
      <w:r w:rsidRPr="00B2234F">
        <w:rPr>
          <w:rFonts w:ascii="Avenir Next" w:hAnsi="Avenir Next" w:cs="Arial"/>
          <w:sz w:val="22"/>
          <w:szCs w:val="22"/>
          <w:lang w:val="en-GB"/>
        </w:rPr>
        <w:t>Questions 1.1.</w:t>
      </w:r>
      <w:proofErr w:type="gramEnd"/>
      <w:r w:rsidRPr="00B2234F">
        <w:rPr>
          <w:rFonts w:ascii="Avenir Next" w:hAnsi="Avenir Next" w:cs="Arial"/>
          <w:sz w:val="22"/>
          <w:szCs w:val="22"/>
          <w:lang w:val="en-GB"/>
        </w:rPr>
        <w:t xml:space="preserve">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w:t>
      </w:r>
      <w:proofErr w:type="gramStart"/>
      <w:r w:rsidRPr="00B2234F">
        <w:rPr>
          <w:rFonts w:ascii="Avenir Next" w:hAnsi="Avenir Next" w:cs="Arial"/>
          <w:sz w:val="22"/>
          <w:szCs w:val="22"/>
          <w:lang w:val="en-GB"/>
        </w:rPr>
        <w:t>are</w:t>
      </w:r>
      <w:proofErr w:type="gramEnd"/>
      <w:r w:rsidRPr="00B2234F">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apply</w:t>
      </w:r>
      <w:proofErr w:type="gramEnd"/>
      <w:r w:rsidRPr="00B2234F">
        <w:rPr>
          <w:rFonts w:ascii="Avenir Next" w:hAnsi="Avenir Next" w:cs="Arial"/>
          <w:sz w:val="22"/>
          <w:szCs w:val="22"/>
          <w:lang w:val="en-GB"/>
        </w:rPr>
        <w:t xml:space="preserve">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apply</w:t>
      </w:r>
      <w:proofErr w:type="gramEnd"/>
      <w:r w:rsidRPr="00B2234F">
        <w:rPr>
          <w:rFonts w:ascii="Avenir Next" w:hAnsi="Avenir Next" w:cs="Arial"/>
          <w:sz w:val="22"/>
          <w:szCs w:val="22"/>
          <w:lang w:val="en-GB"/>
        </w:rPr>
        <w:t xml:space="preserve">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proofErr w:type="gramStart"/>
      <w:r w:rsidRPr="00B2234F">
        <w:rPr>
          <w:rFonts w:ascii="Avenir Next" w:hAnsi="Avenir Next"/>
          <w:sz w:val="22"/>
          <w:szCs w:val="22"/>
          <w:lang w:val="en-GB"/>
        </w:rPr>
        <w:t>bring</w:t>
      </w:r>
      <w:proofErr w:type="gramEnd"/>
      <w:r w:rsidRPr="00B2234F">
        <w:rPr>
          <w:rFonts w:ascii="Avenir Next" w:hAnsi="Avenir Next"/>
          <w:sz w:val="22"/>
          <w:szCs w:val="22"/>
          <w:lang w:val="en-GB"/>
        </w:rPr>
        <w:t xml:space="preserve">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367E10" w:rsidRDefault="00AD12C7" w:rsidP="00265D2D">
      <w:pPr>
        <w:pStyle w:val="ListParagraph"/>
        <w:numPr>
          <w:ilvl w:val="0"/>
          <w:numId w:val="11"/>
        </w:numPr>
        <w:ind w:left="426"/>
        <w:jc w:val="both"/>
        <w:rPr>
          <w:rFonts w:ascii="Avenir Next" w:hAnsi="Avenir Next"/>
          <w:sz w:val="22"/>
          <w:szCs w:val="22"/>
          <w:highlight w:val="yellow"/>
          <w:lang w:val="en-GB"/>
        </w:rPr>
      </w:pPr>
      <w:proofErr w:type="gramStart"/>
      <w:r w:rsidRPr="00367E10">
        <w:rPr>
          <w:rFonts w:ascii="Avenir Next" w:hAnsi="Avenir Next"/>
          <w:sz w:val="22"/>
          <w:szCs w:val="22"/>
          <w:highlight w:val="yellow"/>
          <w:lang w:val="en-GB"/>
        </w:rPr>
        <w:t>apply</w:t>
      </w:r>
      <w:proofErr w:type="gramEnd"/>
      <w:r w:rsidRPr="00367E10">
        <w:rPr>
          <w:rFonts w:ascii="Avenir Next" w:hAnsi="Avenir Next"/>
          <w:sz w:val="22"/>
          <w:szCs w:val="22"/>
          <w:highlight w:val="yellow"/>
          <w:lang w:val="en-GB"/>
        </w:rPr>
        <w:t xml:space="preserve"> to the court for the decision to be reversed or varied</w:t>
      </w:r>
      <w:r w:rsidR="005A2E18" w:rsidRPr="00367E10">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ED0849" w:rsidRDefault="00B2234F" w:rsidP="00265D2D">
      <w:pPr>
        <w:pStyle w:val="ListParagraph"/>
        <w:numPr>
          <w:ilvl w:val="0"/>
          <w:numId w:val="12"/>
        </w:numPr>
        <w:ind w:left="426"/>
        <w:rPr>
          <w:rFonts w:ascii="Avenir Next" w:hAnsi="Avenir Next" w:cs="Arial"/>
          <w:sz w:val="22"/>
          <w:szCs w:val="22"/>
          <w:highlight w:val="yellow"/>
          <w:lang w:val="en-GB"/>
        </w:rPr>
      </w:pPr>
      <w:r w:rsidRPr="00ED0849">
        <w:rPr>
          <w:rFonts w:ascii="Avenir Next" w:hAnsi="Avenir Next" w:cs="Arial"/>
          <w:sz w:val="22"/>
          <w:szCs w:val="22"/>
          <w:highlight w:val="yellow"/>
          <w:lang w:val="en-GB"/>
        </w:rPr>
        <w:t>S</w:t>
      </w:r>
      <w:r w:rsidR="00422295" w:rsidRPr="00ED0849">
        <w:rPr>
          <w:rFonts w:ascii="Avenir Next" w:hAnsi="Avenir Next" w:cs="Arial"/>
          <w:sz w:val="22"/>
          <w:szCs w:val="22"/>
          <w:highlight w:val="yellow"/>
          <w:lang w:val="en-GB"/>
        </w:rPr>
        <w:t>mall company restructuring</w:t>
      </w:r>
      <w:r w:rsidR="005A2E18" w:rsidRPr="00ED0849">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scheme of arrangement</w:t>
      </w:r>
      <w:r w:rsidR="00265D2D" w:rsidRPr="00B2234F">
        <w:rPr>
          <w:rFonts w:ascii="Avenir Next" w:hAnsi="Avenir Next" w:cs="Arial"/>
          <w:sz w:val="22"/>
          <w:szCs w:val="22"/>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sidRPr="00ED0849">
        <w:rPr>
          <w:rFonts w:ascii="Avenir Next" w:hAnsi="Avenir Next" w:cs="Arial"/>
          <w:sz w:val="22"/>
          <w:szCs w:val="22"/>
          <w:highlight w:val="yellow"/>
          <w:lang w:val="en-GB"/>
        </w:rPr>
        <w:t>C</w:t>
      </w:r>
      <w:r w:rsidR="0089536F" w:rsidRPr="00ED0849">
        <w:rPr>
          <w:rFonts w:ascii="Avenir Next" w:hAnsi="Avenir Next" w:cs="Arial"/>
          <w:sz w:val="22"/>
          <w:szCs w:val="22"/>
          <w:highlight w:val="yellow"/>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C30185" w:rsidRDefault="009B01E9" w:rsidP="00265D2D">
      <w:pPr>
        <w:pStyle w:val="ListParagraph"/>
        <w:numPr>
          <w:ilvl w:val="0"/>
          <w:numId w:val="14"/>
        </w:numPr>
        <w:ind w:left="426"/>
        <w:rPr>
          <w:rFonts w:ascii="Avenir Next" w:hAnsi="Avenir Next" w:cs="Arial"/>
          <w:sz w:val="22"/>
          <w:szCs w:val="22"/>
          <w:highlight w:val="yellow"/>
          <w:lang w:val="en-GB"/>
        </w:rPr>
      </w:pPr>
      <w:r w:rsidRPr="00C30185">
        <w:rPr>
          <w:rFonts w:ascii="Avenir Next" w:hAnsi="Avenir Next" w:cs="Arial"/>
          <w:sz w:val="22"/>
          <w:szCs w:val="22"/>
          <w:highlight w:val="yellow"/>
          <w:lang w:val="en-GB"/>
        </w:rPr>
        <w:t>A</w:t>
      </w:r>
      <w:r w:rsidR="00AE20EB" w:rsidRPr="00C30185">
        <w:rPr>
          <w:rFonts w:ascii="Avenir Next" w:hAnsi="Avenir Next" w:cs="Arial"/>
          <w:sz w:val="22"/>
          <w:szCs w:val="22"/>
          <w:highlight w:val="yellow"/>
          <w:lang w:val="en-GB"/>
        </w:rPr>
        <w:t xml:space="preserve"> debt agreement under Part IX</w:t>
      </w:r>
      <w:r w:rsidR="00E131DE" w:rsidRPr="00C30185">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7366A074" w14:textId="432685DD" w:rsidR="008465BE" w:rsidRDefault="008465BE" w:rsidP="00265D2D">
      <w:pPr>
        <w:ind w:left="426"/>
        <w:rPr>
          <w:rFonts w:ascii="Avenir Next" w:hAnsi="Avenir Next" w:cs="Arial"/>
          <w:sz w:val="22"/>
          <w:szCs w:val="22"/>
          <w:lang w:val="en-GB"/>
        </w:rPr>
      </w:pP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sidRPr="00ED0849">
        <w:rPr>
          <w:rFonts w:ascii="Avenir Next" w:hAnsi="Avenir Next" w:cs="Arial"/>
          <w:sz w:val="22"/>
          <w:szCs w:val="22"/>
          <w:highlight w:val="yellow"/>
          <w:lang w:val="en-GB"/>
        </w:rPr>
        <w:t>T</w:t>
      </w:r>
      <w:r w:rsidR="00FB4C6B" w:rsidRPr="00ED0849">
        <w:rPr>
          <w:rFonts w:ascii="Avenir Next" w:hAnsi="Avenir Next" w:cs="Arial"/>
          <w:sz w:val="22"/>
          <w:szCs w:val="22"/>
          <w:highlight w:val="yellow"/>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B2234F" w:rsidRDefault="008465BE" w:rsidP="00265D2D">
      <w:pPr>
        <w:pStyle w:val="ListParagraph"/>
        <w:numPr>
          <w:ilvl w:val="0"/>
          <w:numId w:val="15"/>
        </w:numPr>
        <w:autoSpaceDE w:val="0"/>
        <w:autoSpaceDN w:val="0"/>
        <w:adjustRightInd w:val="0"/>
        <w:ind w:left="426"/>
        <w:jc w:val="both"/>
        <w:rPr>
          <w:rFonts w:ascii="Avenir Next" w:hAnsi="Avenir Next" w:cs="Arial"/>
          <w:sz w:val="22"/>
          <w:szCs w:val="22"/>
        </w:rPr>
      </w:pPr>
      <w:r>
        <w:rPr>
          <w:rFonts w:ascii="Avenir Next" w:hAnsi="Avenir Next" w:cs="Arial"/>
          <w:sz w:val="22"/>
          <w:szCs w:val="22"/>
          <w:lang w:val="en-GB"/>
        </w:rPr>
        <w:t>S</w:t>
      </w:r>
      <w:r w:rsidR="00AD12C7" w:rsidRPr="00B2234F">
        <w:rPr>
          <w:rFonts w:ascii="Avenir Next" w:hAnsi="Avenir Next" w:cs="Arial"/>
          <w:sz w:val="22"/>
          <w:szCs w:val="22"/>
          <w:lang w:val="en-GB"/>
        </w:rPr>
        <w:t>uperannuation funds</w:t>
      </w:r>
      <w:r w:rsidR="007B3A5E" w:rsidRPr="00B2234F">
        <w:rPr>
          <w:rFonts w:ascii="Avenir Next" w:hAnsi="Avenir Next" w:cs="Arial"/>
          <w:sz w:val="22"/>
          <w:szCs w:val="22"/>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w:t>
      </w:r>
      <w:proofErr w:type="gramStart"/>
      <w:r w:rsidR="00AE20EB" w:rsidRPr="00B2234F">
        <w:rPr>
          <w:rFonts w:ascii="Avenir Next" w:hAnsi="Avenir Next" w:cs="Arial"/>
          <w:sz w:val="22"/>
          <w:szCs w:val="22"/>
          <w:lang w:val="en-GB"/>
        </w:rPr>
        <w:t>a liquidation</w:t>
      </w:r>
      <w:proofErr w:type="gramEnd"/>
      <w:r w:rsidR="00AE20EB" w:rsidRPr="00B2234F">
        <w:rPr>
          <w:rFonts w:ascii="Avenir Next" w:hAnsi="Avenir Next" w:cs="Arial"/>
          <w:sz w:val="22"/>
          <w:szCs w:val="22"/>
          <w:lang w:val="en-GB"/>
        </w:rPr>
        <w:t>?</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367E10" w:rsidRDefault="008465BE" w:rsidP="00265D2D">
      <w:pPr>
        <w:pStyle w:val="ListParagraph"/>
        <w:numPr>
          <w:ilvl w:val="0"/>
          <w:numId w:val="16"/>
        </w:numPr>
        <w:ind w:left="426"/>
        <w:jc w:val="both"/>
        <w:rPr>
          <w:rFonts w:ascii="Avenir Next" w:hAnsi="Avenir Next" w:cs="Arial"/>
          <w:sz w:val="22"/>
          <w:szCs w:val="22"/>
          <w:highlight w:val="yellow"/>
          <w:lang w:val="en-GB"/>
        </w:rPr>
      </w:pPr>
      <w:r w:rsidRPr="00367E10">
        <w:rPr>
          <w:rFonts w:ascii="Avenir Next" w:hAnsi="Avenir Next" w:cs="Arial"/>
          <w:sz w:val="22"/>
          <w:szCs w:val="22"/>
          <w:highlight w:val="yellow"/>
          <w:lang w:val="en-GB"/>
        </w:rPr>
        <w:t>P</w:t>
      </w:r>
      <w:r w:rsidR="00BF0AFE" w:rsidRPr="00367E10">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the</w:t>
      </w:r>
      <w:proofErr w:type="gramEnd"/>
      <w:r w:rsidRPr="00B2234F">
        <w:rPr>
          <w:rFonts w:ascii="Avenir Next" w:hAnsi="Avenir Next" w:cs="Arial"/>
          <w:sz w:val="22"/>
          <w:szCs w:val="22"/>
          <w:lang w:val="en-GB"/>
        </w:rPr>
        <w:t xml:space="preserv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the</w:t>
      </w:r>
      <w:proofErr w:type="gramEnd"/>
      <w:r w:rsidRPr="00B2234F">
        <w:rPr>
          <w:rFonts w:ascii="Avenir Next" w:hAnsi="Avenir Next" w:cs="Arial"/>
          <w:sz w:val="22"/>
          <w:szCs w:val="22"/>
          <w:lang w:val="en-GB"/>
        </w:rPr>
        <w:t xml:space="preserv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C30185" w:rsidRDefault="0089536F" w:rsidP="00265D2D">
      <w:pPr>
        <w:pStyle w:val="ListParagraph"/>
        <w:numPr>
          <w:ilvl w:val="0"/>
          <w:numId w:val="17"/>
        </w:numPr>
        <w:ind w:left="426"/>
        <w:rPr>
          <w:rFonts w:ascii="Avenir Next" w:hAnsi="Avenir Next" w:cs="Arial"/>
          <w:sz w:val="22"/>
          <w:szCs w:val="22"/>
          <w:highlight w:val="yellow"/>
          <w:lang w:val="en-GB"/>
        </w:rPr>
      </w:pPr>
      <w:proofErr w:type="gramStart"/>
      <w:r w:rsidRPr="00C30185">
        <w:rPr>
          <w:rFonts w:ascii="Avenir Next" w:hAnsi="Avenir Next" w:cs="Arial"/>
          <w:sz w:val="22"/>
          <w:szCs w:val="22"/>
          <w:highlight w:val="yellow"/>
          <w:lang w:val="en-GB"/>
        </w:rPr>
        <w:t>the</w:t>
      </w:r>
      <w:proofErr w:type="gramEnd"/>
      <w:r w:rsidRPr="00C30185">
        <w:rPr>
          <w:rFonts w:ascii="Avenir Next" w:hAnsi="Avenir Next" w:cs="Arial"/>
          <w:sz w:val="22"/>
          <w:szCs w:val="22"/>
          <w:highlight w:val="yellow"/>
          <w:lang w:val="en-GB"/>
        </w:rPr>
        <w:t xml:space="preserv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owes</w:t>
      </w:r>
      <w:proofErr w:type="gramEnd"/>
      <w:r w:rsidRPr="00B2234F">
        <w:rPr>
          <w:rFonts w:ascii="Avenir Next" w:hAnsi="Avenir Next" w:cs="Arial"/>
          <w:sz w:val="22"/>
          <w:szCs w:val="22"/>
          <w:lang w:val="en-GB"/>
        </w:rPr>
        <w:t xml:space="preserve">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3E2AD1" w:rsidRDefault="00AD12C7" w:rsidP="00265D2D">
      <w:pPr>
        <w:pStyle w:val="ListParagraph"/>
        <w:numPr>
          <w:ilvl w:val="0"/>
          <w:numId w:val="19"/>
        </w:numPr>
        <w:ind w:left="426"/>
        <w:jc w:val="both"/>
        <w:rPr>
          <w:rFonts w:ascii="Avenir Next" w:hAnsi="Avenir Next" w:cs="Arial"/>
          <w:sz w:val="22"/>
          <w:szCs w:val="22"/>
          <w:highlight w:val="yellow"/>
          <w:lang w:val="en-GB"/>
        </w:rPr>
      </w:pPr>
      <w:proofErr w:type="gramStart"/>
      <w:r w:rsidRPr="003E2AD1">
        <w:rPr>
          <w:rFonts w:ascii="Avenir Next" w:hAnsi="Avenir Next" w:cs="Arial"/>
          <w:sz w:val="22"/>
          <w:szCs w:val="22"/>
          <w:highlight w:val="yellow"/>
          <w:lang w:val="en-GB"/>
        </w:rPr>
        <w:t>is</w:t>
      </w:r>
      <w:proofErr w:type="gramEnd"/>
      <w:r w:rsidRPr="003E2AD1">
        <w:rPr>
          <w:rFonts w:ascii="Avenir Next" w:hAnsi="Avenir Next" w:cs="Arial"/>
          <w:sz w:val="22"/>
          <w:szCs w:val="22"/>
          <w:highlight w:val="yellow"/>
          <w:lang w:val="en-GB"/>
        </w:rPr>
        <w:t xml:space="preserve">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4B0B26" w:rsidRDefault="00E131DE" w:rsidP="00265D2D">
      <w:pPr>
        <w:pStyle w:val="ListParagraph"/>
        <w:numPr>
          <w:ilvl w:val="0"/>
          <w:numId w:val="20"/>
        </w:numPr>
        <w:ind w:left="426"/>
        <w:jc w:val="both"/>
        <w:rPr>
          <w:rFonts w:ascii="Avenir Next" w:hAnsi="Avenir Next" w:cs="Arial"/>
          <w:sz w:val="22"/>
          <w:szCs w:val="22"/>
          <w:highlight w:val="yellow"/>
          <w:lang w:val="en-GB"/>
        </w:rPr>
      </w:pPr>
      <w:proofErr w:type="gramStart"/>
      <w:r w:rsidRPr="004B0B26">
        <w:rPr>
          <w:rFonts w:ascii="Avenir Next" w:hAnsi="Avenir Next" w:cs="Arial"/>
          <w:sz w:val="22"/>
          <w:szCs w:val="22"/>
          <w:highlight w:val="yellow"/>
          <w:lang w:val="en-GB"/>
        </w:rPr>
        <w:t>t</w:t>
      </w:r>
      <w:r w:rsidR="002476AF" w:rsidRPr="004B0B26">
        <w:rPr>
          <w:rFonts w:ascii="Avenir Next" w:hAnsi="Avenir Next" w:cs="Arial"/>
          <w:sz w:val="22"/>
          <w:szCs w:val="22"/>
          <w:highlight w:val="yellow"/>
          <w:lang w:val="en-GB"/>
        </w:rPr>
        <w:t>he</w:t>
      </w:r>
      <w:proofErr w:type="gramEnd"/>
      <w:r w:rsidR="002476AF" w:rsidRPr="004B0B26">
        <w:rPr>
          <w:rFonts w:ascii="Avenir Next" w:hAnsi="Avenir Next" w:cs="Arial"/>
          <w:sz w:val="22"/>
          <w:szCs w:val="22"/>
          <w:highlight w:val="yellow"/>
          <w:lang w:val="en-GB"/>
        </w:rPr>
        <w:t xml:space="preserve"> part dealing with windings up of companies by the court on grounds of insolvency</w:t>
      </w:r>
      <w:r w:rsidR="00416D2B" w:rsidRPr="004B0B26">
        <w:rPr>
          <w:rFonts w:ascii="Avenir Next" w:hAnsi="Avenir Next" w:cs="Arial"/>
          <w:sz w:val="22"/>
          <w:szCs w:val="22"/>
          <w:highlight w:val="yellow"/>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receivers, and other controllers, of property of </w:t>
      </w:r>
      <w:r w:rsidR="00416D2B" w:rsidRPr="00B2234F">
        <w:rPr>
          <w:rFonts w:ascii="Avenir Next" w:hAnsi="Avenir Next" w:cs="Arial"/>
          <w:sz w:val="22"/>
          <w:szCs w:val="22"/>
          <w:lang w:val="en-GB"/>
        </w:rPr>
        <w:t xml:space="preserve">the </w:t>
      </w:r>
      <w:r w:rsidR="002476AF" w:rsidRPr="00B2234F">
        <w:rPr>
          <w:rFonts w:ascii="Avenir Next" w:hAnsi="Avenir Next" w:cs="Arial"/>
          <w:sz w:val="22"/>
          <w:szCs w:val="22"/>
          <w:lang w:val="en-GB"/>
        </w:rPr>
        <w:t>corporation</w:t>
      </w:r>
      <w:r w:rsidR="00416D2B" w:rsidRPr="00B2234F">
        <w:rPr>
          <w:rFonts w:ascii="Avenir Next" w:hAnsi="Avenir Next" w:cs="Arial"/>
          <w:sz w:val="22"/>
          <w:szCs w:val="22"/>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E867AA" w:rsidRDefault="008465BE" w:rsidP="00265D2D">
      <w:pPr>
        <w:pStyle w:val="ListParagraph"/>
        <w:numPr>
          <w:ilvl w:val="0"/>
          <w:numId w:val="21"/>
        </w:numPr>
        <w:ind w:left="426"/>
        <w:jc w:val="both"/>
        <w:rPr>
          <w:rFonts w:ascii="Avenir Next" w:hAnsi="Avenir Next" w:cs="Arial"/>
          <w:sz w:val="22"/>
          <w:szCs w:val="22"/>
          <w:highlight w:val="yellow"/>
          <w:lang w:val="en-GB"/>
        </w:rPr>
      </w:pPr>
      <w:r w:rsidRPr="00E867AA">
        <w:rPr>
          <w:rFonts w:ascii="Avenir Next" w:hAnsi="Avenir Next" w:cs="Arial"/>
          <w:sz w:val="22"/>
          <w:szCs w:val="22"/>
          <w:highlight w:val="yellow"/>
          <w:lang w:val="en-GB"/>
        </w:rPr>
        <w:t>S</w:t>
      </w:r>
      <w:r w:rsidR="002476AF" w:rsidRPr="00E867AA">
        <w:rPr>
          <w:rFonts w:ascii="Avenir Next" w:hAnsi="Avenir Next" w:cs="Arial"/>
          <w:sz w:val="22"/>
          <w:szCs w:val="22"/>
          <w:highlight w:val="yellow"/>
          <w:lang w:val="en-GB"/>
        </w:rPr>
        <w:t xml:space="preserve">implified </w:t>
      </w:r>
      <w:r w:rsidR="008235B7" w:rsidRPr="00E867AA">
        <w:rPr>
          <w:rFonts w:ascii="Avenir Next" w:hAnsi="Avenir Next" w:cs="Arial"/>
          <w:sz w:val="22"/>
          <w:szCs w:val="22"/>
          <w:highlight w:val="yellow"/>
          <w:lang w:val="en-GB"/>
        </w:rPr>
        <w:t>restructuring and liquidation regimes for small companies</w:t>
      </w:r>
      <w:r w:rsidR="002476AF" w:rsidRPr="00E867AA">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33736CF8" w14:textId="1D5BFDD4" w:rsidR="009B6E93" w:rsidRPr="006D1CD7" w:rsidRDefault="009B6E93" w:rsidP="002476AF">
      <w:pPr>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6D1CD7">
        <w:rPr>
          <w:rFonts w:ascii="Avenir Next" w:hAnsi="Avenir Next" w:cs="Arial"/>
          <w:color w:val="808080" w:themeColor="background1" w:themeShade="80"/>
          <w:sz w:val="22"/>
          <w:szCs w:val="22"/>
          <w:highlight w:val="yellow"/>
          <w:lang w:val="en-GB"/>
        </w:rPr>
        <w:t xml:space="preserve">A Liquidator can lodge an application before Court to challenge the following voidable </w:t>
      </w:r>
      <w:r w:rsidR="006D1CD7" w:rsidRPr="006D1CD7">
        <w:rPr>
          <w:rFonts w:ascii="Avenir Next" w:hAnsi="Avenir Next" w:cs="Arial"/>
          <w:color w:val="808080" w:themeColor="background1" w:themeShade="80"/>
          <w:sz w:val="22"/>
          <w:szCs w:val="22"/>
          <w:highlight w:val="yellow"/>
          <w:lang w:val="en-GB"/>
        </w:rPr>
        <w:t>transactions</w:t>
      </w:r>
      <w:r w:rsidRPr="006D1CD7">
        <w:rPr>
          <w:rFonts w:ascii="Avenir Next" w:hAnsi="Avenir Next" w:cs="Arial"/>
          <w:color w:val="808080" w:themeColor="background1" w:themeShade="80"/>
          <w:sz w:val="22"/>
          <w:szCs w:val="22"/>
          <w:highlight w:val="yellow"/>
          <w:lang w:val="en-GB"/>
        </w:rPr>
        <w:t>;</w:t>
      </w:r>
    </w:p>
    <w:p w14:paraId="29E03DD9" w14:textId="77777777" w:rsidR="009B6E93" w:rsidRPr="006D1CD7" w:rsidRDefault="009B6E93" w:rsidP="009B6E93">
      <w:pPr>
        <w:pStyle w:val="ListParagraph"/>
        <w:numPr>
          <w:ilvl w:val="0"/>
          <w:numId w:val="28"/>
        </w:numPr>
        <w:jc w:val="both"/>
        <w:rPr>
          <w:rFonts w:ascii="Avenir Next" w:hAnsi="Avenir Next" w:cs="Arial"/>
          <w:color w:val="808080" w:themeColor="background1" w:themeShade="80"/>
          <w:sz w:val="22"/>
          <w:szCs w:val="22"/>
          <w:highlight w:val="yellow"/>
          <w:lang w:val="en-GB"/>
        </w:rPr>
      </w:pPr>
      <w:r w:rsidRPr="006D1CD7">
        <w:rPr>
          <w:rFonts w:ascii="Avenir Next" w:hAnsi="Avenir Next" w:cs="Arial"/>
          <w:color w:val="808080" w:themeColor="background1" w:themeShade="80"/>
          <w:sz w:val="22"/>
          <w:szCs w:val="22"/>
          <w:highlight w:val="yellow"/>
          <w:lang w:val="en-GB"/>
        </w:rPr>
        <w:t>Unfair preferences</w:t>
      </w:r>
    </w:p>
    <w:p w14:paraId="2D9B6454" w14:textId="306F73DC" w:rsidR="009B6E93" w:rsidRPr="006D1CD7" w:rsidRDefault="009B6E93" w:rsidP="009B6E93">
      <w:pPr>
        <w:pStyle w:val="ListParagraph"/>
        <w:numPr>
          <w:ilvl w:val="0"/>
          <w:numId w:val="28"/>
        </w:numPr>
        <w:jc w:val="both"/>
        <w:rPr>
          <w:rFonts w:ascii="Avenir Next" w:hAnsi="Avenir Next" w:cs="Arial"/>
          <w:color w:val="808080" w:themeColor="background1" w:themeShade="80"/>
          <w:sz w:val="22"/>
          <w:szCs w:val="22"/>
          <w:highlight w:val="yellow"/>
          <w:lang w:val="en-GB"/>
        </w:rPr>
      </w:pPr>
      <w:proofErr w:type="spellStart"/>
      <w:r w:rsidRPr="006D1CD7">
        <w:rPr>
          <w:rFonts w:ascii="Avenir Next" w:hAnsi="Avenir Next" w:cs="Arial"/>
          <w:color w:val="808080" w:themeColor="background1" w:themeShade="80"/>
          <w:sz w:val="22"/>
          <w:szCs w:val="22"/>
          <w:highlight w:val="yellow"/>
          <w:lang w:val="en-GB"/>
        </w:rPr>
        <w:t>Uncommercial</w:t>
      </w:r>
      <w:proofErr w:type="spellEnd"/>
      <w:r w:rsidRPr="006D1CD7">
        <w:rPr>
          <w:rFonts w:ascii="Avenir Next" w:hAnsi="Avenir Next" w:cs="Arial"/>
          <w:color w:val="808080" w:themeColor="background1" w:themeShade="80"/>
          <w:sz w:val="22"/>
          <w:szCs w:val="22"/>
          <w:highlight w:val="yellow"/>
          <w:lang w:val="en-GB"/>
        </w:rPr>
        <w:t xml:space="preserve"> transactions</w:t>
      </w:r>
    </w:p>
    <w:p w14:paraId="6A69F70E" w14:textId="77777777" w:rsidR="009B6E93" w:rsidRPr="006D1CD7" w:rsidRDefault="009B6E93" w:rsidP="009B6E93">
      <w:pPr>
        <w:pStyle w:val="ListParagraph"/>
        <w:numPr>
          <w:ilvl w:val="0"/>
          <w:numId w:val="28"/>
        </w:numPr>
        <w:jc w:val="both"/>
        <w:rPr>
          <w:rFonts w:ascii="Avenir Next" w:hAnsi="Avenir Next" w:cs="Arial"/>
          <w:color w:val="808080" w:themeColor="background1" w:themeShade="80"/>
          <w:sz w:val="22"/>
          <w:szCs w:val="22"/>
          <w:highlight w:val="yellow"/>
          <w:lang w:val="en-GB"/>
        </w:rPr>
      </w:pPr>
      <w:r w:rsidRPr="006D1CD7">
        <w:rPr>
          <w:rFonts w:ascii="Avenir Next" w:hAnsi="Avenir Next" w:cs="Arial"/>
          <w:color w:val="808080" w:themeColor="background1" w:themeShade="80"/>
          <w:sz w:val="22"/>
          <w:szCs w:val="22"/>
          <w:highlight w:val="yellow"/>
          <w:lang w:val="en-GB"/>
        </w:rPr>
        <w:t>Unfair loans</w:t>
      </w:r>
    </w:p>
    <w:p w14:paraId="3D044D06" w14:textId="266E8D41" w:rsidR="009B6E93" w:rsidRPr="006D1CD7" w:rsidRDefault="009B6E93" w:rsidP="009B6E93">
      <w:pPr>
        <w:pStyle w:val="ListParagraph"/>
        <w:numPr>
          <w:ilvl w:val="0"/>
          <w:numId w:val="28"/>
        </w:numPr>
        <w:jc w:val="both"/>
        <w:rPr>
          <w:rFonts w:ascii="Avenir Next" w:hAnsi="Avenir Next" w:cs="Arial"/>
          <w:color w:val="808080" w:themeColor="background1" w:themeShade="80"/>
          <w:sz w:val="22"/>
          <w:szCs w:val="22"/>
          <w:highlight w:val="yellow"/>
          <w:lang w:val="en-GB"/>
        </w:rPr>
      </w:pPr>
      <w:r w:rsidRPr="006D1CD7">
        <w:rPr>
          <w:rFonts w:ascii="Avenir Next" w:hAnsi="Avenir Next" w:cs="Arial"/>
          <w:color w:val="808080" w:themeColor="background1" w:themeShade="80"/>
          <w:sz w:val="22"/>
          <w:szCs w:val="22"/>
          <w:highlight w:val="yellow"/>
          <w:lang w:val="en-GB"/>
        </w:rPr>
        <w:t>Unreasonable director related transactions and</w:t>
      </w:r>
    </w:p>
    <w:p w14:paraId="513FA03C" w14:textId="77777777" w:rsidR="001267C6" w:rsidRPr="006D1CD7" w:rsidRDefault="009B6E93" w:rsidP="009B6E93">
      <w:pPr>
        <w:pStyle w:val="ListParagraph"/>
        <w:numPr>
          <w:ilvl w:val="0"/>
          <w:numId w:val="28"/>
        </w:numPr>
        <w:jc w:val="both"/>
        <w:rPr>
          <w:rFonts w:ascii="Avenir Next" w:hAnsi="Avenir Next" w:cs="Arial"/>
          <w:color w:val="808080" w:themeColor="background1" w:themeShade="80"/>
          <w:sz w:val="22"/>
          <w:szCs w:val="22"/>
          <w:highlight w:val="yellow"/>
          <w:lang w:val="en-GB"/>
        </w:rPr>
      </w:pPr>
      <w:r w:rsidRPr="006D1CD7">
        <w:rPr>
          <w:rFonts w:ascii="Avenir Next" w:hAnsi="Avenir Next" w:cs="Arial"/>
          <w:color w:val="808080" w:themeColor="background1" w:themeShade="80"/>
          <w:sz w:val="22"/>
          <w:szCs w:val="22"/>
          <w:highlight w:val="yellow"/>
          <w:lang w:val="en-GB"/>
        </w:rPr>
        <w:t>Circulating security interests</w:t>
      </w:r>
    </w:p>
    <w:p w14:paraId="66FCBB75" w14:textId="67AAF2F3" w:rsidR="00526091" w:rsidRPr="001267C6" w:rsidRDefault="001267C6" w:rsidP="001267C6">
      <w:pPr>
        <w:jc w:val="both"/>
        <w:rPr>
          <w:rFonts w:ascii="Avenir Next" w:hAnsi="Avenir Next" w:cs="Arial"/>
          <w:color w:val="808080" w:themeColor="background1" w:themeShade="80"/>
          <w:sz w:val="22"/>
          <w:szCs w:val="22"/>
          <w:lang w:val="en-GB"/>
        </w:rPr>
      </w:pPr>
      <w:r w:rsidRPr="006D1CD7">
        <w:rPr>
          <w:rFonts w:ascii="Avenir Next" w:hAnsi="Avenir Next" w:cs="Arial"/>
          <w:color w:val="808080" w:themeColor="background1" w:themeShade="80"/>
          <w:sz w:val="22"/>
          <w:szCs w:val="22"/>
          <w:highlight w:val="yellow"/>
          <w:lang w:val="en-GB"/>
        </w:rPr>
        <w:t xml:space="preserve">Under unfair preferences and </w:t>
      </w:r>
      <w:proofErr w:type="spellStart"/>
      <w:r w:rsidRPr="006D1CD7">
        <w:rPr>
          <w:rFonts w:ascii="Avenir Next" w:hAnsi="Avenir Next" w:cs="Arial"/>
          <w:color w:val="808080" w:themeColor="background1" w:themeShade="80"/>
          <w:sz w:val="22"/>
          <w:szCs w:val="22"/>
          <w:highlight w:val="yellow"/>
          <w:lang w:val="en-GB"/>
        </w:rPr>
        <w:t>uncommercial</w:t>
      </w:r>
      <w:proofErr w:type="spellEnd"/>
      <w:r w:rsidRPr="006D1CD7">
        <w:rPr>
          <w:rFonts w:ascii="Avenir Next" w:hAnsi="Avenir Next" w:cs="Arial"/>
          <w:color w:val="808080" w:themeColor="background1" w:themeShade="80"/>
          <w:sz w:val="22"/>
          <w:szCs w:val="22"/>
          <w:highlight w:val="yellow"/>
          <w:lang w:val="en-GB"/>
        </w:rPr>
        <w:t xml:space="preserve"> transactions it is a defence under the Corporations Act if the party to the transactions was not aware or had no grounds to suspect that the company was at the time of the transactions insolvent or would become insolvent by executing or entering into the transactions. However, it is not a complete defence under the Co</w:t>
      </w:r>
      <w:r w:rsidR="006D454C" w:rsidRPr="006D1CD7">
        <w:rPr>
          <w:rFonts w:ascii="Avenir Next" w:hAnsi="Avenir Next" w:cs="Arial"/>
          <w:color w:val="808080" w:themeColor="background1" w:themeShade="80"/>
          <w:sz w:val="22"/>
          <w:szCs w:val="22"/>
          <w:highlight w:val="yellow"/>
          <w:lang w:val="en-GB"/>
        </w:rPr>
        <w:t>rporation Act</w:t>
      </w:r>
      <w:r w:rsidRPr="006D1CD7">
        <w:rPr>
          <w:rFonts w:ascii="Avenir Next" w:hAnsi="Avenir Next" w:cs="Arial"/>
          <w:color w:val="808080" w:themeColor="background1" w:themeShade="80"/>
          <w:sz w:val="22"/>
          <w:szCs w:val="22"/>
          <w:highlight w:val="yellow"/>
          <w:lang w:val="en-GB"/>
        </w:rPr>
        <w:t xml:space="preserve"> in relation to the unfair loans, unreasonable director related transactions </w:t>
      </w:r>
      <w:r w:rsidR="006D454C" w:rsidRPr="006D1CD7">
        <w:rPr>
          <w:rFonts w:ascii="Avenir Next" w:hAnsi="Avenir Next" w:cs="Arial"/>
          <w:color w:val="808080" w:themeColor="background1" w:themeShade="80"/>
          <w:sz w:val="22"/>
          <w:szCs w:val="22"/>
          <w:highlight w:val="yellow"/>
          <w:lang w:val="en-GB"/>
        </w:rPr>
        <w:t xml:space="preserve">and circulating security </w:t>
      </w:r>
      <w:proofErr w:type="gramStart"/>
      <w:r w:rsidR="006D454C" w:rsidRPr="006D1CD7">
        <w:rPr>
          <w:rFonts w:ascii="Avenir Next" w:hAnsi="Avenir Next" w:cs="Arial"/>
          <w:color w:val="808080" w:themeColor="background1" w:themeShade="80"/>
          <w:sz w:val="22"/>
          <w:szCs w:val="22"/>
          <w:highlight w:val="yellow"/>
          <w:lang w:val="en-GB"/>
        </w:rPr>
        <w:t>interests</w:t>
      </w:r>
      <w:proofErr w:type="gramEnd"/>
      <w:r w:rsidR="006D454C" w:rsidRPr="006D1CD7">
        <w:rPr>
          <w:rFonts w:ascii="Avenir Next" w:hAnsi="Avenir Next" w:cs="Arial"/>
          <w:color w:val="808080" w:themeColor="background1" w:themeShade="80"/>
          <w:sz w:val="22"/>
          <w:szCs w:val="22"/>
          <w:highlight w:val="yellow"/>
          <w:lang w:val="en-GB"/>
        </w:rPr>
        <w:t xml:space="preserve"> </w:t>
      </w:r>
      <w:r w:rsidRPr="006D1CD7">
        <w:rPr>
          <w:rFonts w:ascii="Avenir Next" w:hAnsi="Avenir Next" w:cs="Arial"/>
          <w:color w:val="808080" w:themeColor="background1" w:themeShade="80"/>
          <w:sz w:val="22"/>
          <w:szCs w:val="22"/>
          <w:highlight w:val="yellow"/>
          <w:lang w:val="en-GB"/>
        </w:rPr>
        <w:t xml:space="preserve">transactions for a defendant to prove that they were not aware or have reasonable grounds to believe that the company was insolvent at the time of the </w:t>
      </w:r>
      <w:r w:rsidR="006D454C" w:rsidRPr="006D1CD7">
        <w:rPr>
          <w:rFonts w:ascii="Avenir Next" w:hAnsi="Avenir Next" w:cs="Arial"/>
          <w:color w:val="808080" w:themeColor="background1" w:themeShade="80"/>
          <w:sz w:val="22"/>
          <w:szCs w:val="22"/>
          <w:highlight w:val="yellow"/>
          <w:lang w:val="en-GB"/>
        </w:rPr>
        <w:t xml:space="preserve">transactions. The difference between the </w:t>
      </w:r>
      <w:proofErr w:type="gramStart"/>
      <w:r w:rsidR="006D454C" w:rsidRPr="006D1CD7">
        <w:rPr>
          <w:rFonts w:ascii="Avenir Next" w:hAnsi="Avenir Next" w:cs="Arial"/>
          <w:color w:val="808080" w:themeColor="background1" w:themeShade="80"/>
          <w:sz w:val="22"/>
          <w:szCs w:val="22"/>
          <w:highlight w:val="yellow"/>
          <w:lang w:val="en-GB"/>
        </w:rPr>
        <w:t>Unfair</w:t>
      </w:r>
      <w:proofErr w:type="gramEnd"/>
      <w:r w:rsidR="006D454C" w:rsidRPr="006D1CD7">
        <w:rPr>
          <w:rFonts w:ascii="Avenir Next" w:hAnsi="Avenir Next" w:cs="Arial"/>
          <w:color w:val="808080" w:themeColor="background1" w:themeShade="80"/>
          <w:sz w:val="22"/>
          <w:szCs w:val="22"/>
          <w:highlight w:val="yellow"/>
          <w:lang w:val="en-GB"/>
        </w:rPr>
        <w:t xml:space="preserve"> preferences and </w:t>
      </w:r>
      <w:proofErr w:type="spellStart"/>
      <w:r w:rsidR="006D454C" w:rsidRPr="006D1CD7">
        <w:rPr>
          <w:rFonts w:ascii="Avenir Next" w:hAnsi="Avenir Next" w:cs="Arial"/>
          <w:color w:val="808080" w:themeColor="background1" w:themeShade="80"/>
          <w:sz w:val="22"/>
          <w:szCs w:val="22"/>
          <w:highlight w:val="yellow"/>
          <w:lang w:val="en-GB"/>
        </w:rPr>
        <w:t>uncommercial</w:t>
      </w:r>
      <w:proofErr w:type="spellEnd"/>
      <w:r w:rsidR="006D454C" w:rsidRPr="006D1CD7">
        <w:rPr>
          <w:rFonts w:ascii="Avenir Next" w:hAnsi="Avenir Next" w:cs="Arial"/>
          <w:color w:val="808080" w:themeColor="background1" w:themeShade="80"/>
          <w:sz w:val="22"/>
          <w:szCs w:val="22"/>
          <w:highlight w:val="yellow"/>
          <w:lang w:val="en-GB"/>
        </w:rPr>
        <w:t xml:space="preserve"> transactions on one </w:t>
      </w:r>
      <w:r w:rsidR="006D1CD7" w:rsidRPr="006D1CD7">
        <w:rPr>
          <w:rFonts w:ascii="Avenir Next" w:hAnsi="Avenir Next" w:cs="Arial"/>
          <w:color w:val="808080" w:themeColor="background1" w:themeShade="80"/>
          <w:sz w:val="22"/>
          <w:szCs w:val="22"/>
          <w:highlight w:val="yellow"/>
          <w:lang w:val="en-GB"/>
        </w:rPr>
        <w:t>hand</w:t>
      </w:r>
      <w:r w:rsidR="006D454C" w:rsidRPr="006D1CD7">
        <w:rPr>
          <w:rFonts w:ascii="Avenir Next" w:hAnsi="Avenir Next" w:cs="Arial"/>
          <w:color w:val="808080" w:themeColor="background1" w:themeShade="80"/>
          <w:sz w:val="22"/>
          <w:szCs w:val="22"/>
          <w:highlight w:val="yellow"/>
          <w:lang w:val="en-GB"/>
        </w:rPr>
        <w:t xml:space="preserve"> and the unfair loans, </w:t>
      </w:r>
      <w:r w:rsidR="006D1CD7" w:rsidRPr="006D1CD7">
        <w:rPr>
          <w:rFonts w:ascii="Avenir Next" w:hAnsi="Avenir Next" w:cs="Arial"/>
          <w:color w:val="808080" w:themeColor="background1" w:themeShade="80"/>
          <w:sz w:val="22"/>
          <w:szCs w:val="22"/>
          <w:highlight w:val="yellow"/>
          <w:lang w:val="en-GB"/>
        </w:rPr>
        <w:t>un</w:t>
      </w:r>
      <w:r w:rsidR="006D454C" w:rsidRPr="006D1CD7">
        <w:rPr>
          <w:rFonts w:ascii="Avenir Next" w:hAnsi="Avenir Next" w:cs="Arial"/>
          <w:color w:val="808080" w:themeColor="background1" w:themeShade="80"/>
          <w:sz w:val="22"/>
          <w:szCs w:val="22"/>
          <w:highlight w:val="yellow"/>
          <w:lang w:val="en-GB"/>
        </w:rPr>
        <w:t>reasonable</w:t>
      </w:r>
      <w:r w:rsidR="006D1CD7" w:rsidRPr="006D1CD7">
        <w:rPr>
          <w:rFonts w:ascii="Avenir Next" w:hAnsi="Avenir Next" w:cs="Arial"/>
          <w:color w:val="808080" w:themeColor="background1" w:themeShade="80"/>
          <w:sz w:val="22"/>
          <w:szCs w:val="22"/>
          <w:highlight w:val="yellow"/>
          <w:lang w:val="en-GB"/>
        </w:rPr>
        <w:t xml:space="preserve"> director related transactions and circulating security interests on the other hand is that the latter transactions can be recovered whether the company was not insolvent or did not become insolvent by virtue of the very transactions.</w:t>
      </w:r>
      <w:r w:rsidR="006D454C" w:rsidRPr="006D1CD7">
        <w:rPr>
          <w:rFonts w:ascii="Avenir Next" w:hAnsi="Avenir Next" w:cs="Arial"/>
          <w:color w:val="808080" w:themeColor="background1" w:themeShade="80"/>
          <w:sz w:val="22"/>
          <w:szCs w:val="22"/>
          <w:highlight w:val="yellow"/>
          <w:lang w:val="en-GB"/>
        </w:rPr>
        <w:t>]</w:t>
      </w:r>
    </w:p>
    <w:p w14:paraId="7B005E35" w14:textId="77777777" w:rsidR="00B04780" w:rsidRPr="00B2234F" w:rsidRDefault="00B04780" w:rsidP="002476AF">
      <w:pPr>
        <w:jc w:val="both"/>
        <w:rPr>
          <w:rFonts w:ascii="Avenir Next" w:hAnsi="Avenir Next" w:cs="Arial"/>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451F5637" w:rsidR="00B04780" w:rsidRPr="00B04780" w:rsidRDefault="00812A09"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812A09">
        <w:rPr>
          <w:rFonts w:ascii="Avenir Next" w:hAnsi="Avenir Next" w:cs="Arial"/>
          <w:color w:val="808080" w:themeColor="background1" w:themeShade="80"/>
          <w:sz w:val="22"/>
          <w:szCs w:val="22"/>
          <w:highlight w:val="yellow"/>
          <w:lang w:val="en-GB"/>
        </w:rPr>
        <w:t xml:space="preserve">The Court determines the scope of the stay in relation to a corporate debtor by considering what the case requires. Therefore, the determining factors are whether the case requires a wider or </w:t>
      </w:r>
      <w:r w:rsidRPr="00812A09">
        <w:rPr>
          <w:rFonts w:ascii="Avenir Next" w:hAnsi="Avenir Next" w:cs="Arial"/>
          <w:color w:val="808080" w:themeColor="background1" w:themeShade="80"/>
          <w:sz w:val="22"/>
          <w:szCs w:val="22"/>
          <w:highlight w:val="yellow"/>
          <w:lang w:val="en-GB"/>
        </w:rPr>
        <w:lastRenderedPageBreak/>
        <w:t>broader voluntary administration stay which is likely to affect the secured creditors or the standard liquidation stay that can only affect the unsecured creditors.</w:t>
      </w:r>
      <w:r>
        <w:rPr>
          <w:rFonts w:ascii="Avenir Next" w:hAnsi="Avenir Next" w:cs="Arial"/>
          <w:color w:val="808080" w:themeColor="background1" w:themeShade="80"/>
          <w:sz w:val="22"/>
          <w:szCs w:val="22"/>
          <w:lang w:val="en-GB"/>
        </w:rPr>
        <w:t xml:space="preserve"> </w:t>
      </w:r>
      <w:r w:rsidR="00B04780" w:rsidRPr="00B04780">
        <w:rPr>
          <w:rFonts w:ascii="Avenir Next" w:hAnsi="Avenir Next" w:cs="Arial"/>
          <w:color w:val="808080" w:themeColor="background1" w:themeShade="80"/>
          <w:sz w:val="22"/>
          <w:szCs w:val="22"/>
          <w:lang w:val="en-GB"/>
        </w:rPr>
        <w:t>]</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B543430" w14:textId="3312BF91" w:rsidR="008420F8" w:rsidRPr="00B04780" w:rsidRDefault="00E4757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35078">
        <w:rPr>
          <w:rFonts w:ascii="Avenir Next" w:hAnsi="Avenir Next" w:cs="Arial"/>
          <w:color w:val="808080" w:themeColor="background1" w:themeShade="80"/>
          <w:sz w:val="22"/>
          <w:szCs w:val="22"/>
          <w:highlight w:val="yellow"/>
          <w:lang w:val="en-GB"/>
        </w:rPr>
        <w:t xml:space="preserve">The common feature of liquidation is the taking possession of all the movable and immovable property of the company, to realise the property and apply proceeds towards the payment of the company debts and distribute any surplus to the members. In light of the preceding the differences between liquidations and small company liquidations is that liquidations refers to the regular liquidations while small company liquidations refers to the simplified procedure of liquidations relating to small companies as provided for </w:t>
      </w:r>
      <w:r w:rsidR="00946454" w:rsidRPr="00735078">
        <w:rPr>
          <w:rFonts w:ascii="Avenir Next" w:hAnsi="Avenir Next" w:cs="Arial"/>
          <w:color w:val="808080" w:themeColor="background1" w:themeShade="80"/>
          <w:sz w:val="22"/>
          <w:szCs w:val="22"/>
          <w:highlight w:val="yellow"/>
          <w:lang w:val="en-GB"/>
        </w:rPr>
        <w:t>under the 1</w:t>
      </w:r>
      <w:r w:rsidR="00946454" w:rsidRPr="00735078">
        <w:rPr>
          <w:rFonts w:ascii="Avenir Next" w:hAnsi="Avenir Next" w:cs="Arial"/>
          <w:color w:val="808080" w:themeColor="background1" w:themeShade="80"/>
          <w:sz w:val="22"/>
          <w:szCs w:val="22"/>
          <w:highlight w:val="yellow"/>
          <w:vertAlign w:val="superscript"/>
          <w:lang w:val="en-GB"/>
        </w:rPr>
        <w:t>st</w:t>
      </w:r>
      <w:r w:rsidR="00946454" w:rsidRPr="00735078">
        <w:rPr>
          <w:rFonts w:ascii="Avenir Next" w:hAnsi="Avenir Next" w:cs="Arial"/>
          <w:color w:val="808080" w:themeColor="background1" w:themeShade="80"/>
          <w:sz w:val="22"/>
          <w:szCs w:val="22"/>
          <w:highlight w:val="yellow"/>
          <w:lang w:val="en-GB"/>
        </w:rPr>
        <w:t xml:space="preserve"> January, 2021 Reforms which have made the liquidation process less complex, swifter and less costly in relation to the small companies. The existing liquidation framework applies to small company liquidation with adaptions which distinguishes it from the regular liquidation. Therefore, the differences are that; the </w:t>
      </w:r>
      <w:proofErr w:type="spellStart"/>
      <w:r w:rsidR="00946454" w:rsidRPr="00735078">
        <w:rPr>
          <w:rFonts w:ascii="Avenir Next" w:hAnsi="Avenir Next" w:cs="Arial"/>
          <w:color w:val="808080" w:themeColor="background1" w:themeShade="80"/>
          <w:sz w:val="22"/>
          <w:szCs w:val="22"/>
          <w:highlight w:val="yellow"/>
          <w:lang w:val="en-GB"/>
        </w:rPr>
        <w:t>clawback</w:t>
      </w:r>
      <w:proofErr w:type="spellEnd"/>
      <w:r w:rsidR="00946454" w:rsidRPr="00735078">
        <w:rPr>
          <w:rFonts w:ascii="Avenir Next" w:hAnsi="Avenir Next" w:cs="Arial"/>
          <w:color w:val="808080" w:themeColor="background1" w:themeShade="80"/>
          <w:sz w:val="22"/>
          <w:szCs w:val="22"/>
          <w:highlight w:val="yellow"/>
          <w:lang w:val="en-GB"/>
        </w:rPr>
        <w:t xml:space="preserve"> of voidable transactions to unfair preferences of over AUD 30,000.00 that were paid to the parties related to the company three months preceding the commencement of  the liquidation whereas in regular liquidations that is not the case. In regular liquidations, there is a statutory requirement to</w:t>
      </w:r>
      <w:r w:rsidR="00735078" w:rsidRPr="00735078">
        <w:rPr>
          <w:rFonts w:ascii="Avenir Next" w:hAnsi="Avenir Next" w:cs="Arial"/>
          <w:color w:val="808080" w:themeColor="background1" w:themeShade="80"/>
          <w:sz w:val="22"/>
          <w:szCs w:val="22"/>
          <w:highlight w:val="yellow"/>
          <w:lang w:val="en-GB"/>
        </w:rPr>
        <w:t xml:space="preserve"> hold creditors’ meetings and establishing of the Committees of inspection whereas in small company liquidations that requirement has been removed. There is simplified process of proving the debt process in small company liquidations whereas that is not the position in regular liquidations. In small company liquidations, liquidators are only required to report to ASIC on potential misconduct where there are reasonable grounds to believe that misconduct has happened whereas that is not the case in liquidations</w:t>
      </w:r>
      <w:r>
        <w:rPr>
          <w:rFonts w:ascii="Avenir Next" w:hAnsi="Avenir Next" w:cs="Arial"/>
          <w:color w:val="808080" w:themeColor="background1" w:themeShade="80"/>
          <w:sz w:val="22"/>
          <w:szCs w:val="22"/>
          <w:lang w:val="en-GB"/>
        </w:rPr>
        <w:t>]</w:t>
      </w: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roofErr w:type="gramStart"/>
      <w:r w:rsidR="0089536F" w:rsidRPr="00B2234F">
        <w:rPr>
          <w:rFonts w:ascii="Avenir Next" w:hAnsi="Avenir Next" w:cs="Arial"/>
          <w:sz w:val="22"/>
          <w:szCs w:val="22"/>
          <w:lang w:val="en-GB"/>
        </w:rPr>
        <w:t>.“</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898180A" w14:textId="362B37CA" w:rsidR="008420F8" w:rsidRPr="00B04780" w:rsidRDefault="00534371"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8877A7">
        <w:rPr>
          <w:rFonts w:ascii="Avenir Next" w:hAnsi="Avenir Next" w:cs="Arial"/>
          <w:color w:val="808080" w:themeColor="background1" w:themeShade="80"/>
          <w:sz w:val="22"/>
          <w:szCs w:val="22"/>
          <w:highlight w:val="yellow"/>
          <w:lang w:val="en-GB"/>
        </w:rPr>
        <w:t xml:space="preserve">It is my position from the outset that I strongly disagree with the statement above on the ground that Australia’s insolvency and restructuring options still remain creditor friendly despite recent reforms that the country has introduced. The recent reforms are designed to merely encourage a corporate and restructuring culture aimed at advancing a shift from the existing dominance of the creditors’ rights </w:t>
      </w:r>
      <w:r w:rsidR="00E953EF" w:rsidRPr="008877A7">
        <w:rPr>
          <w:rFonts w:ascii="Avenir Next" w:hAnsi="Avenir Next" w:cs="Arial"/>
          <w:color w:val="808080" w:themeColor="background1" w:themeShade="80"/>
          <w:sz w:val="22"/>
          <w:szCs w:val="22"/>
          <w:highlight w:val="yellow"/>
          <w:lang w:val="en-GB"/>
        </w:rPr>
        <w:t>however;</w:t>
      </w:r>
      <w:r w:rsidRPr="008877A7">
        <w:rPr>
          <w:rFonts w:ascii="Avenir Next" w:hAnsi="Avenir Next" w:cs="Arial"/>
          <w:color w:val="808080" w:themeColor="background1" w:themeShade="80"/>
          <w:sz w:val="22"/>
          <w:szCs w:val="22"/>
          <w:highlight w:val="yellow"/>
          <w:lang w:val="en-GB"/>
        </w:rPr>
        <w:t xml:space="preserve"> the reforms have not altered the creditor’s rights in insolvency proceedings or situations. For example secured creditors have enforcement rights during </w:t>
      </w:r>
      <w:r w:rsidR="00E953EF" w:rsidRPr="008877A7">
        <w:rPr>
          <w:rFonts w:ascii="Avenir Next" w:hAnsi="Avenir Next" w:cs="Arial"/>
          <w:color w:val="808080" w:themeColor="background1" w:themeShade="80"/>
          <w:sz w:val="22"/>
          <w:szCs w:val="22"/>
          <w:highlight w:val="yellow"/>
          <w:lang w:val="en-GB"/>
        </w:rPr>
        <w:t>the bankruptcy or liquidation processes which entitle them to appoint a receiver besides the voluntary administrator having been appointed. Furthermore, creditors with security interest over the company’s property either in whole or substantially in whole have enforcement rights over the security by appointing a receiver despite the Voluntary Administrator being in office</w:t>
      </w:r>
      <w:r w:rsidR="008877A7" w:rsidRPr="008877A7">
        <w:rPr>
          <w:rFonts w:ascii="Avenir Next" w:hAnsi="Avenir Next" w:cs="Arial"/>
          <w:color w:val="808080" w:themeColor="background1" w:themeShade="80"/>
          <w:sz w:val="22"/>
          <w:szCs w:val="22"/>
          <w:highlight w:val="yellow"/>
          <w:lang w:val="en-GB"/>
        </w:rPr>
        <w:t>. Additionally, the commencement of the insolvency or restructuring proceedings do not act as a stay of the creditor’s enforcement actions that were instituted prior to the appointment of either the Liquidator or Restructuring Practitioner. In light of the preceding it is the firm position of this author that the Australia’s insolvency and restructuring options are still creditor friendly despite recent reforms.</w:t>
      </w:r>
      <w:r w:rsidR="008420F8" w:rsidRPr="008877A7">
        <w:rPr>
          <w:rFonts w:ascii="Avenir Next" w:hAnsi="Avenir Next" w:cs="Arial"/>
          <w:color w:val="808080" w:themeColor="background1" w:themeShade="80"/>
          <w:sz w:val="22"/>
          <w:szCs w:val="22"/>
          <w:highlight w:val="yellow"/>
          <w:lang w:val="en-GB"/>
        </w:rPr>
        <w:t>]</w:t>
      </w:r>
    </w:p>
    <w:p w14:paraId="5700E683" w14:textId="77777777" w:rsidR="008420F8" w:rsidRPr="00B2234F" w:rsidRDefault="008420F8"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721FA626" w:rsidR="008420F8" w:rsidRPr="00B04780" w:rsidRDefault="00537A47"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C66B63">
        <w:rPr>
          <w:rFonts w:ascii="Avenir Next" w:hAnsi="Avenir Next" w:cs="Arial"/>
          <w:color w:val="808080" w:themeColor="background1" w:themeShade="80"/>
          <w:sz w:val="22"/>
          <w:szCs w:val="22"/>
          <w:highlight w:val="yellow"/>
          <w:lang w:val="en-GB"/>
        </w:rPr>
        <w:t xml:space="preserve">It is very clear from the facts of the question that </w:t>
      </w:r>
      <w:proofErr w:type="spellStart"/>
      <w:r w:rsidRPr="00C66B63">
        <w:rPr>
          <w:rFonts w:ascii="Avenir Next" w:hAnsi="Avenir Next" w:cs="Arial"/>
          <w:color w:val="808080" w:themeColor="background1" w:themeShade="80"/>
          <w:sz w:val="22"/>
          <w:szCs w:val="22"/>
          <w:highlight w:val="yellow"/>
          <w:lang w:val="en-GB"/>
        </w:rPr>
        <w:t>Aussiebee</w:t>
      </w:r>
      <w:proofErr w:type="spellEnd"/>
      <w:r w:rsidRPr="00C66B63">
        <w:rPr>
          <w:rFonts w:ascii="Avenir Next" w:hAnsi="Avenir Next" w:cs="Arial"/>
          <w:color w:val="808080" w:themeColor="background1" w:themeShade="80"/>
          <w:sz w:val="22"/>
          <w:szCs w:val="22"/>
          <w:highlight w:val="yellow"/>
          <w:lang w:val="en-GB"/>
        </w:rPr>
        <w:t xml:space="preserve"> Pty Limited is a company incorporated outside Australia but has offices in Australia. Furthermore, it</w:t>
      </w:r>
      <w:r w:rsidR="00A1770C" w:rsidRPr="00C66B63">
        <w:rPr>
          <w:rFonts w:ascii="Avenir Next" w:hAnsi="Avenir Next" w:cs="Arial"/>
          <w:color w:val="808080" w:themeColor="background1" w:themeShade="80"/>
          <w:sz w:val="22"/>
          <w:szCs w:val="22"/>
          <w:highlight w:val="yellow"/>
          <w:lang w:val="en-GB"/>
        </w:rPr>
        <w:t xml:space="preserve"> i</w:t>
      </w:r>
      <w:r w:rsidRPr="00C66B63">
        <w:rPr>
          <w:rFonts w:ascii="Avenir Next" w:hAnsi="Avenir Next" w:cs="Arial"/>
          <w:color w:val="808080" w:themeColor="background1" w:themeShade="80"/>
          <w:sz w:val="22"/>
          <w:szCs w:val="22"/>
          <w:highlight w:val="yellow"/>
          <w:lang w:val="en-GB"/>
        </w:rPr>
        <w:t>s</w:t>
      </w:r>
      <w:r w:rsidR="00A1770C" w:rsidRPr="00C66B63">
        <w:rPr>
          <w:rFonts w:ascii="Avenir Next" w:hAnsi="Avenir Next" w:cs="Arial"/>
          <w:color w:val="808080" w:themeColor="background1" w:themeShade="80"/>
          <w:sz w:val="22"/>
          <w:szCs w:val="22"/>
          <w:highlight w:val="yellow"/>
          <w:lang w:val="en-GB"/>
        </w:rPr>
        <w:t xml:space="preserve"> also clear that </w:t>
      </w:r>
      <w:proofErr w:type="spellStart"/>
      <w:r w:rsidR="00A1770C" w:rsidRPr="00C66B63">
        <w:rPr>
          <w:rFonts w:ascii="Avenir Next" w:hAnsi="Avenir Next" w:cs="Arial"/>
          <w:color w:val="808080" w:themeColor="background1" w:themeShade="80"/>
          <w:sz w:val="22"/>
          <w:szCs w:val="22"/>
          <w:highlight w:val="yellow"/>
          <w:lang w:val="en-GB"/>
        </w:rPr>
        <w:t>Aussiebee</w:t>
      </w:r>
      <w:proofErr w:type="spellEnd"/>
      <w:r w:rsidR="00A1770C" w:rsidRPr="00C66B63">
        <w:rPr>
          <w:rFonts w:ascii="Avenir Next" w:hAnsi="Avenir Next" w:cs="Arial"/>
          <w:color w:val="808080" w:themeColor="background1" w:themeShade="80"/>
          <w:sz w:val="22"/>
          <w:szCs w:val="22"/>
          <w:highlight w:val="yellow"/>
          <w:lang w:val="en-GB"/>
        </w:rPr>
        <w:t xml:space="preserve"> owes the ATO AUD 12 Million </w:t>
      </w:r>
      <w:proofErr w:type="gramStart"/>
      <w:r w:rsidR="00A1770C" w:rsidRPr="00C66B63">
        <w:rPr>
          <w:rFonts w:ascii="Avenir Next" w:hAnsi="Avenir Next" w:cs="Arial"/>
          <w:color w:val="808080" w:themeColor="background1" w:themeShade="80"/>
          <w:sz w:val="22"/>
          <w:szCs w:val="22"/>
          <w:highlight w:val="yellow"/>
          <w:lang w:val="en-GB"/>
        </w:rPr>
        <w:t>therefore,</w:t>
      </w:r>
      <w:proofErr w:type="gramEnd"/>
      <w:r w:rsidR="00A1770C" w:rsidRPr="00C66B63">
        <w:rPr>
          <w:rFonts w:ascii="Avenir Next" w:hAnsi="Avenir Next" w:cs="Arial"/>
          <w:color w:val="808080" w:themeColor="background1" w:themeShade="80"/>
          <w:sz w:val="22"/>
          <w:szCs w:val="22"/>
          <w:highlight w:val="yellow"/>
          <w:lang w:val="en-GB"/>
        </w:rPr>
        <w:t xml:space="preserve"> the ATO has interest in the application filed by the Liquidator. Therefore, in order to protect or improve its position the ATO must invoke the provisions of Article 22 of the Model Law and apply to the Federal Court of Australia. Article 22 of the Model Law is centred on the protection of </w:t>
      </w:r>
      <w:r w:rsidR="00C66B63" w:rsidRPr="00C66B63">
        <w:rPr>
          <w:rFonts w:ascii="Avenir Next" w:hAnsi="Avenir Next" w:cs="Arial"/>
          <w:color w:val="808080" w:themeColor="background1" w:themeShade="80"/>
          <w:sz w:val="22"/>
          <w:szCs w:val="22"/>
          <w:highlight w:val="yellow"/>
          <w:lang w:val="en-GB"/>
        </w:rPr>
        <w:t xml:space="preserve">the creditors such as the </w:t>
      </w:r>
      <w:proofErr w:type="gramStart"/>
      <w:r w:rsidR="00C66B63" w:rsidRPr="00C66B63">
        <w:rPr>
          <w:rFonts w:ascii="Avenir Next" w:hAnsi="Avenir Next" w:cs="Arial"/>
          <w:color w:val="808080" w:themeColor="background1" w:themeShade="80"/>
          <w:sz w:val="22"/>
          <w:szCs w:val="22"/>
          <w:highlight w:val="yellow"/>
          <w:lang w:val="en-GB"/>
        </w:rPr>
        <w:t>ATO,</w:t>
      </w:r>
      <w:proofErr w:type="gramEnd"/>
      <w:r w:rsidR="00C66B63" w:rsidRPr="00C66B63">
        <w:rPr>
          <w:rFonts w:ascii="Avenir Next" w:hAnsi="Avenir Next" w:cs="Arial"/>
          <w:color w:val="808080" w:themeColor="background1" w:themeShade="80"/>
          <w:sz w:val="22"/>
          <w:szCs w:val="22"/>
          <w:highlight w:val="yellow"/>
          <w:lang w:val="en-GB"/>
        </w:rPr>
        <w:t xml:space="preserve"> therefore</w:t>
      </w:r>
      <w:r w:rsidR="00A1770C" w:rsidRPr="00C66B63">
        <w:rPr>
          <w:rFonts w:ascii="Avenir Next" w:hAnsi="Avenir Next" w:cs="Arial"/>
          <w:color w:val="808080" w:themeColor="background1" w:themeShade="80"/>
          <w:sz w:val="22"/>
          <w:szCs w:val="22"/>
          <w:highlight w:val="yellow"/>
          <w:lang w:val="en-GB"/>
        </w:rPr>
        <w:t xml:space="preserve">, this is the perfect case in which the ATO must </w:t>
      </w:r>
      <w:r w:rsidR="005F31BA" w:rsidRPr="00C66B63">
        <w:rPr>
          <w:rFonts w:ascii="Avenir Next" w:hAnsi="Avenir Next" w:cs="Arial"/>
          <w:color w:val="808080" w:themeColor="background1" w:themeShade="80"/>
          <w:sz w:val="22"/>
          <w:szCs w:val="22"/>
          <w:highlight w:val="yellow"/>
          <w:lang w:val="en-GB"/>
        </w:rPr>
        <w:t xml:space="preserve">invoke the provisions of Article 22 of the Model Law. Additionally, the facts of the question are similar to the facts in the case of Ackers V Deputy Commissioner of Taxation (2014) 223 FCR 8 in which the </w:t>
      </w:r>
      <w:r w:rsidR="00C66B63" w:rsidRPr="00C66B63">
        <w:rPr>
          <w:rFonts w:ascii="Avenir Next" w:hAnsi="Avenir Next" w:cs="Arial"/>
          <w:color w:val="808080" w:themeColor="background1" w:themeShade="80"/>
          <w:sz w:val="22"/>
          <w:szCs w:val="22"/>
          <w:highlight w:val="yellow"/>
          <w:lang w:val="en-GB"/>
        </w:rPr>
        <w:t xml:space="preserve">Federal </w:t>
      </w:r>
      <w:r w:rsidR="00EC6404" w:rsidRPr="00C66B63">
        <w:rPr>
          <w:rFonts w:ascii="Avenir Next" w:hAnsi="Avenir Next" w:cs="Arial"/>
          <w:color w:val="808080" w:themeColor="background1" w:themeShade="80"/>
          <w:sz w:val="22"/>
          <w:szCs w:val="22"/>
          <w:highlight w:val="yellow"/>
          <w:lang w:val="en-GB"/>
        </w:rPr>
        <w:t>Court modified</w:t>
      </w:r>
      <w:r w:rsidR="005F31BA" w:rsidRPr="00C66B63">
        <w:rPr>
          <w:rFonts w:ascii="Avenir Next" w:hAnsi="Avenir Next" w:cs="Arial"/>
          <w:color w:val="808080" w:themeColor="background1" w:themeShade="80"/>
          <w:sz w:val="22"/>
          <w:szCs w:val="22"/>
          <w:highlight w:val="yellow"/>
          <w:lang w:val="en-GB"/>
        </w:rPr>
        <w:t xml:space="preserve"> the recognition orders granting leave to the Deputy Commissioner of Taxation to take steps to enforce its claim in Australia for the purpose of recovering an amount up to the </w:t>
      </w:r>
      <w:proofErr w:type="spellStart"/>
      <w:r w:rsidR="005F31BA" w:rsidRPr="00C66B63">
        <w:rPr>
          <w:rFonts w:ascii="Avenir Next" w:hAnsi="Avenir Next" w:cs="Arial"/>
          <w:color w:val="808080" w:themeColor="background1" w:themeShade="80"/>
          <w:sz w:val="22"/>
          <w:szCs w:val="22"/>
          <w:highlight w:val="yellow"/>
          <w:lang w:val="en-GB"/>
        </w:rPr>
        <w:t>pari</w:t>
      </w:r>
      <w:proofErr w:type="spellEnd"/>
      <w:r w:rsidR="005F31BA" w:rsidRPr="00C66B63">
        <w:rPr>
          <w:rFonts w:ascii="Avenir Next" w:hAnsi="Avenir Next" w:cs="Arial"/>
          <w:color w:val="808080" w:themeColor="background1" w:themeShade="80"/>
          <w:sz w:val="22"/>
          <w:szCs w:val="22"/>
          <w:highlight w:val="yellow"/>
          <w:lang w:val="en-GB"/>
        </w:rPr>
        <w:t xml:space="preserve"> </w:t>
      </w:r>
      <w:proofErr w:type="spellStart"/>
      <w:r w:rsidR="005F31BA" w:rsidRPr="00C66B63">
        <w:rPr>
          <w:rFonts w:ascii="Avenir Next" w:hAnsi="Avenir Next" w:cs="Arial"/>
          <w:color w:val="808080" w:themeColor="background1" w:themeShade="80"/>
          <w:sz w:val="22"/>
          <w:szCs w:val="22"/>
          <w:highlight w:val="yellow"/>
          <w:lang w:val="en-GB"/>
        </w:rPr>
        <w:t>passu</w:t>
      </w:r>
      <w:proofErr w:type="spellEnd"/>
      <w:r w:rsidR="005F31BA" w:rsidRPr="00C66B63">
        <w:rPr>
          <w:rFonts w:ascii="Avenir Next" w:hAnsi="Avenir Next" w:cs="Arial"/>
          <w:color w:val="808080" w:themeColor="background1" w:themeShade="80"/>
          <w:sz w:val="22"/>
          <w:szCs w:val="22"/>
          <w:highlight w:val="yellow"/>
          <w:lang w:val="en-GB"/>
        </w:rPr>
        <w:t xml:space="preserve"> amounts the ATO would have received if they were entitled to prove for tax debt as unsecured creditor in the </w:t>
      </w:r>
      <w:r w:rsidR="00C66B63" w:rsidRPr="00C66B63">
        <w:rPr>
          <w:rFonts w:ascii="Avenir Next" w:hAnsi="Avenir Next" w:cs="Arial"/>
          <w:color w:val="808080" w:themeColor="background1" w:themeShade="80"/>
          <w:sz w:val="22"/>
          <w:szCs w:val="22"/>
          <w:highlight w:val="yellow"/>
          <w:lang w:val="en-GB"/>
        </w:rPr>
        <w:t>foreign main proceedings. On the basis of the preceding decision of the Court, the ATO has no option but to seek judicial intervention under the provisions of Article 22 of the Model Law if it is to protect or improve its position in so far as recovery of the AUD 12 Million is concerned</w:t>
      </w:r>
      <w:r w:rsidR="00EC6404">
        <w:rPr>
          <w:rFonts w:ascii="Avenir Next" w:hAnsi="Avenir Next" w:cs="Arial"/>
          <w:color w:val="808080" w:themeColor="background1" w:themeShade="80"/>
          <w:sz w:val="22"/>
          <w:szCs w:val="22"/>
          <w:highlight w:val="yellow"/>
          <w:lang w:val="en-GB"/>
        </w:rPr>
        <w:t>.</w:t>
      </w:r>
      <w:r w:rsidR="008420F8" w:rsidRPr="00C66B63">
        <w:rPr>
          <w:rFonts w:ascii="Avenir Next" w:hAnsi="Avenir Next" w:cs="Arial"/>
          <w:color w:val="808080" w:themeColor="background1" w:themeShade="80"/>
          <w:sz w:val="22"/>
          <w:szCs w:val="22"/>
          <w:highlight w:val="yellow"/>
          <w:lang w:val="en-GB"/>
        </w:rPr>
        <w:t>]</w:t>
      </w:r>
    </w:p>
    <w:p w14:paraId="61835074" w14:textId="77777777" w:rsidR="008420F8" w:rsidRPr="00B2234F" w:rsidRDefault="008420F8" w:rsidP="00E14FED">
      <w:pPr>
        <w:jc w:val="both"/>
        <w:rPr>
          <w:rFonts w:ascii="Avenir Next" w:hAnsi="Avenir Next" w:cs="Arial"/>
          <w:sz w:val="22"/>
          <w:szCs w:val="22"/>
          <w:lang w:val="en-GB"/>
        </w:rPr>
      </w:pP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w:t>
      </w:r>
      <w:r w:rsidR="00533704" w:rsidRPr="00B2234F">
        <w:rPr>
          <w:rFonts w:ascii="Avenir Next" w:hAnsi="Avenir Next" w:cs="Arial"/>
          <w:sz w:val="22"/>
          <w:szCs w:val="22"/>
          <w:lang w:val="en-GB"/>
        </w:rPr>
        <w:lastRenderedPageBreak/>
        <w:t xml:space="preserve">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16184D3B" w14:textId="77777777" w:rsidR="008B2044" w:rsidRPr="00BE43A5" w:rsidRDefault="00EC6404" w:rsidP="008420F8">
      <w:pPr>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00640EC7" w:rsidRPr="00BE43A5">
        <w:rPr>
          <w:rFonts w:ascii="Avenir Next" w:hAnsi="Avenir Next" w:cs="Arial"/>
          <w:color w:val="808080" w:themeColor="background1" w:themeShade="80"/>
          <w:sz w:val="22"/>
          <w:szCs w:val="22"/>
          <w:highlight w:val="yellow"/>
          <w:lang w:val="en-GB"/>
        </w:rPr>
        <w:t xml:space="preserve">The </w:t>
      </w:r>
      <w:proofErr w:type="gramStart"/>
      <w:r w:rsidR="00640EC7" w:rsidRPr="00BE43A5">
        <w:rPr>
          <w:rFonts w:ascii="Avenir Next" w:hAnsi="Avenir Next" w:cs="Arial"/>
          <w:color w:val="808080" w:themeColor="background1" w:themeShade="80"/>
          <w:sz w:val="22"/>
          <w:szCs w:val="22"/>
          <w:highlight w:val="yellow"/>
          <w:lang w:val="en-GB"/>
        </w:rPr>
        <w:t>facts of the question at hand clearly shows</w:t>
      </w:r>
      <w:proofErr w:type="gramEnd"/>
      <w:r w:rsidR="00640EC7" w:rsidRPr="00BE43A5">
        <w:rPr>
          <w:rFonts w:ascii="Avenir Next" w:hAnsi="Avenir Next" w:cs="Arial"/>
          <w:color w:val="808080" w:themeColor="background1" w:themeShade="80"/>
          <w:sz w:val="22"/>
          <w:szCs w:val="22"/>
          <w:highlight w:val="yellow"/>
          <w:lang w:val="en-GB"/>
        </w:rPr>
        <w:t xml:space="preserve"> that the Supreme Court of New South Wales passed Judgment in favour of BOR in the sum of AUD 4.6 Million as Damages at 1</w:t>
      </w:r>
      <w:r w:rsidR="00640EC7" w:rsidRPr="00BE43A5">
        <w:rPr>
          <w:rFonts w:ascii="Avenir Next" w:hAnsi="Avenir Next" w:cs="Arial"/>
          <w:color w:val="808080" w:themeColor="background1" w:themeShade="80"/>
          <w:sz w:val="22"/>
          <w:szCs w:val="22"/>
          <w:highlight w:val="yellow"/>
          <w:vertAlign w:val="superscript"/>
          <w:lang w:val="en-GB"/>
        </w:rPr>
        <w:t>st</w:t>
      </w:r>
      <w:r w:rsidR="00640EC7" w:rsidRPr="00BE43A5">
        <w:rPr>
          <w:rFonts w:ascii="Avenir Next" w:hAnsi="Avenir Next" w:cs="Arial"/>
          <w:color w:val="808080" w:themeColor="background1" w:themeShade="80"/>
          <w:sz w:val="22"/>
          <w:szCs w:val="22"/>
          <w:highlight w:val="yellow"/>
          <w:lang w:val="en-GB"/>
        </w:rPr>
        <w:t xml:space="preserve"> October, 2020. Prior to the aforesaid Judgment HA</w:t>
      </w:r>
      <w:r w:rsidR="00C9697D" w:rsidRPr="00BE43A5">
        <w:rPr>
          <w:rFonts w:ascii="Avenir Next" w:hAnsi="Avenir Next" w:cs="Arial"/>
          <w:color w:val="808080" w:themeColor="background1" w:themeShade="80"/>
          <w:sz w:val="22"/>
          <w:szCs w:val="22"/>
          <w:highlight w:val="yellow"/>
          <w:lang w:val="en-GB"/>
        </w:rPr>
        <w:t xml:space="preserve"> had loans from a major shareholder of HGL in the tune AUD 30 Million, AUD 3 Million from the Commonwealth Bank of Australia and also post judgment debts of AUD 5 Million  from HGL. The preceding narrative and the statement by the Board that HA had been insolvent since the judgment was handed down in October, 2020 because the company does not earn enough from its second refining plant to meet the judgment debt and start repaying CBA at the end of 2021 boarders on insolvency trading.  According to the Author </w:t>
      </w:r>
      <w:proofErr w:type="gramStart"/>
      <w:r w:rsidR="00C9697D" w:rsidRPr="00BE43A5">
        <w:rPr>
          <w:rFonts w:ascii="Avenir Next" w:hAnsi="Avenir Next" w:cs="Arial"/>
          <w:color w:val="808080" w:themeColor="background1" w:themeShade="80"/>
          <w:sz w:val="22"/>
          <w:szCs w:val="22"/>
          <w:highlight w:val="yellow"/>
          <w:lang w:val="en-GB"/>
        </w:rPr>
        <w:t xml:space="preserve">of  </w:t>
      </w:r>
      <w:r w:rsidR="008B2044" w:rsidRPr="00BE43A5">
        <w:rPr>
          <w:rFonts w:ascii="Avenir Next" w:hAnsi="Avenir Next" w:cs="Arial"/>
          <w:color w:val="808080" w:themeColor="background1" w:themeShade="80"/>
          <w:sz w:val="22"/>
          <w:szCs w:val="22"/>
          <w:highlight w:val="yellow"/>
          <w:lang w:val="en-GB"/>
        </w:rPr>
        <w:t>Module</w:t>
      </w:r>
      <w:proofErr w:type="gramEnd"/>
      <w:r w:rsidR="008B2044" w:rsidRPr="00BE43A5">
        <w:rPr>
          <w:rFonts w:ascii="Avenir Next" w:hAnsi="Avenir Next" w:cs="Arial"/>
          <w:color w:val="808080" w:themeColor="background1" w:themeShade="80"/>
          <w:sz w:val="22"/>
          <w:szCs w:val="22"/>
          <w:highlight w:val="yellow"/>
          <w:lang w:val="en-GB"/>
        </w:rPr>
        <w:t xml:space="preserve"> 8A Guidance text, Australia on page 39  a Director is guilty of insolvency trading in the following circumstances;</w:t>
      </w:r>
    </w:p>
    <w:p w14:paraId="27857A9E" w14:textId="77777777" w:rsidR="008B2044" w:rsidRPr="00BE43A5" w:rsidRDefault="008B2044" w:rsidP="008B2044">
      <w:pPr>
        <w:pStyle w:val="ListParagraph"/>
        <w:numPr>
          <w:ilvl w:val="0"/>
          <w:numId w:val="29"/>
        </w:numPr>
        <w:jc w:val="both"/>
        <w:rPr>
          <w:rFonts w:ascii="Avenir Next" w:hAnsi="Avenir Next" w:cs="Arial"/>
          <w:color w:val="808080" w:themeColor="background1" w:themeShade="80"/>
          <w:sz w:val="22"/>
          <w:szCs w:val="22"/>
          <w:highlight w:val="yellow"/>
          <w:lang w:val="en-GB"/>
        </w:rPr>
      </w:pPr>
      <w:r w:rsidRPr="00BE43A5">
        <w:rPr>
          <w:rFonts w:ascii="Avenir Next" w:hAnsi="Avenir Next" w:cs="Arial"/>
          <w:color w:val="808080" w:themeColor="background1" w:themeShade="80"/>
          <w:sz w:val="22"/>
          <w:szCs w:val="22"/>
          <w:highlight w:val="yellow"/>
          <w:lang w:val="en-GB"/>
        </w:rPr>
        <w:t>He or she was a director at the time a debt was incurred.</w:t>
      </w:r>
    </w:p>
    <w:p w14:paraId="4DAB4CEC" w14:textId="77777777" w:rsidR="008B2044" w:rsidRPr="00BE43A5" w:rsidRDefault="008B2044" w:rsidP="008B2044">
      <w:pPr>
        <w:pStyle w:val="ListParagraph"/>
        <w:numPr>
          <w:ilvl w:val="0"/>
          <w:numId w:val="29"/>
        </w:numPr>
        <w:jc w:val="both"/>
        <w:rPr>
          <w:rFonts w:ascii="Avenir Next" w:hAnsi="Avenir Next" w:cs="Arial"/>
          <w:color w:val="808080" w:themeColor="background1" w:themeShade="80"/>
          <w:sz w:val="22"/>
          <w:szCs w:val="22"/>
          <w:highlight w:val="yellow"/>
          <w:lang w:val="en-GB"/>
        </w:rPr>
      </w:pPr>
      <w:r w:rsidRPr="00BE43A5">
        <w:rPr>
          <w:rFonts w:ascii="Avenir Next" w:hAnsi="Avenir Next" w:cs="Arial"/>
          <w:color w:val="808080" w:themeColor="background1" w:themeShade="80"/>
          <w:sz w:val="22"/>
          <w:szCs w:val="22"/>
          <w:highlight w:val="yellow"/>
          <w:lang w:val="en-GB"/>
        </w:rPr>
        <w:lastRenderedPageBreak/>
        <w:t>The company was insolvent when the debt was incurred, or became insolvent as a result</w:t>
      </w:r>
    </w:p>
    <w:p w14:paraId="3A2F3BB7" w14:textId="77777777" w:rsidR="008B2044" w:rsidRPr="00BE43A5" w:rsidRDefault="008B2044" w:rsidP="008B2044">
      <w:pPr>
        <w:pStyle w:val="ListParagraph"/>
        <w:numPr>
          <w:ilvl w:val="0"/>
          <w:numId w:val="29"/>
        </w:numPr>
        <w:jc w:val="both"/>
        <w:rPr>
          <w:rFonts w:ascii="Avenir Next" w:hAnsi="Avenir Next" w:cs="Arial"/>
          <w:color w:val="808080" w:themeColor="background1" w:themeShade="80"/>
          <w:sz w:val="22"/>
          <w:szCs w:val="22"/>
          <w:highlight w:val="yellow"/>
          <w:lang w:val="en-GB"/>
        </w:rPr>
      </w:pPr>
      <w:r w:rsidRPr="00BE43A5">
        <w:rPr>
          <w:rFonts w:ascii="Avenir Next" w:hAnsi="Avenir Next" w:cs="Arial"/>
          <w:color w:val="808080" w:themeColor="background1" w:themeShade="80"/>
          <w:sz w:val="22"/>
          <w:szCs w:val="22"/>
          <w:highlight w:val="yellow"/>
          <w:lang w:val="en-GB"/>
        </w:rPr>
        <w:t>There were reasonable grounds for suspecting the company was insolvent or would become insolvent by incurring the debt</w:t>
      </w:r>
    </w:p>
    <w:p w14:paraId="460D47C2" w14:textId="77777777" w:rsidR="008B2044" w:rsidRPr="00BE43A5" w:rsidRDefault="008B2044" w:rsidP="008B2044">
      <w:pPr>
        <w:pStyle w:val="ListParagraph"/>
        <w:numPr>
          <w:ilvl w:val="0"/>
          <w:numId w:val="29"/>
        </w:numPr>
        <w:jc w:val="both"/>
        <w:rPr>
          <w:rFonts w:ascii="Avenir Next" w:hAnsi="Avenir Next" w:cs="Arial"/>
          <w:color w:val="808080" w:themeColor="background1" w:themeShade="80"/>
          <w:sz w:val="22"/>
          <w:szCs w:val="22"/>
          <w:highlight w:val="yellow"/>
          <w:lang w:val="en-GB"/>
        </w:rPr>
      </w:pPr>
      <w:r w:rsidRPr="00BE43A5">
        <w:rPr>
          <w:rFonts w:ascii="Avenir Next" w:hAnsi="Avenir Next" w:cs="Arial"/>
          <w:color w:val="808080" w:themeColor="background1" w:themeShade="80"/>
          <w:sz w:val="22"/>
          <w:szCs w:val="22"/>
          <w:highlight w:val="yellow"/>
          <w:lang w:val="en-GB"/>
        </w:rPr>
        <w:t xml:space="preserve">The Director failed to prevent the company from incurring the debts and </w:t>
      </w:r>
    </w:p>
    <w:p w14:paraId="6EA39818" w14:textId="77777777" w:rsidR="008B2044" w:rsidRPr="00BE43A5" w:rsidRDefault="008B2044" w:rsidP="008B2044">
      <w:pPr>
        <w:pStyle w:val="ListParagraph"/>
        <w:numPr>
          <w:ilvl w:val="0"/>
          <w:numId w:val="29"/>
        </w:numPr>
        <w:jc w:val="both"/>
        <w:rPr>
          <w:rFonts w:ascii="Avenir Next" w:hAnsi="Avenir Next" w:cs="Arial"/>
          <w:color w:val="808080" w:themeColor="background1" w:themeShade="80"/>
          <w:sz w:val="22"/>
          <w:szCs w:val="22"/>
          <w:highlight w:val="yellow"/>
          <w:lang w:val="en-GB"/>
        </w:rPr>
      </w:pPr>
      <w:r w:rsidRPr="00BE43A5">
        <w:rPr>
          <w:rFonts w:ascii="Avenir Next" w:hAnsi="Avenir Next" w:cs="Arial"/>
          <w:color w:val="808080" w:themeColor="background1" w:themeShade="80"/>
          <w:sz w:val="22"/>
          <w:szCs w:val="22"/>
          <w:highlight w:val="yellow"/>
          <w:lang w:val="en-GB"/>
        </w:rPr>
        <w:t xml:space="preserve">The Director was aware that there were reasonable grounds for </w:t>
      </w:r>
      <w:proofErr w:type="gramStart"/>
      <w:r w:rsidRPr="00BE43A5">
        <w:rPr>
          <w:rFonts w:ascii="Avenir Next" w:hAnsi="Avenir Next" w:cs="Arial"/>
          <w:color w:val="808080" w:themeColor="background1" w:themeShade="80"/>
          <w:sz w:val="22"/>
          <w:szCs w:val="22"/>
          <w:highlight w:val="yellow"/>
          <w:lang w:val="en-GB"/>
        </w:rPr>
        <w:t>suspecting  the</w:t>
      </w:r>
      <w:proofErr w:type="gramEnd"/>
      <w:r w:rsidRPr="00BE43A5">
        <w:rPr>
          <w:rFonts w:ascii="Avenir Next" w:hAnsi="Avenir Next" w:cs="Arial"/>
          <w:color w:val="808080" w:themeColor="background1" w:themeShade="80"/>
          <w:sz w:val="22"/>
          <w:szCs w:val="22"/>
          <w:highlight w:val="yellow"/>
          <w:lang w:val="en-GB"/>
        </w:rPr>
        <w:t xml:space="preserve"> company was insolvent when it incurred the debt or a reasonable person in a like position in the company’s circumstances would be aware. </w:t>
      </w:r>
    </w:p>
    <w:p w14:paraId="1B5F5F27" w14:textId="1BB9211D" w:rsidR="008420F8" w:rsidRPr="008B2044" w:rsidRDefault="008B2044" w:rsidP="008B2044">
      <w:pPr>
        <w:jc w:val="both"/>
        <w:rPr>
          <w:rFonts w:ascii="Avenir Next" w:hAnsi="Avenir Next" w:cs="Arial"/>
          <w:color w:val="808080" w:themeColor="background1" w:themeShade="80"/>
          <w:sz w:val="22"/>
          <w:szCs w:val="22"/>
          <w:lang w:val="en-GB"/>
        </w:rPr>
      </w:pPr>
      <w:r w:rsidRPr="00BE43A5">
        <w:rPr>
          <w:rFonts w:ascii="Avenir Next" w:hAnsi="Avenir Next" w:cs="Arial"/>
          <w:color w:val="808080" w:themeColor="background1" w:themeShade="80"/>
          <w:sz w:val="22"/>
          <w:szCs w:val="22"/>
          <w:highlight w:val="yellow"/>
          <w:lang w:val="en-GB"/>
        </w:rPr>
        <w:t xml:space="preserve">The ramifications for the Directors who engage in insolvency trading </w:t>
      </w:r>
      <w:proofErr w:type="gramStart"/>
      <w:r w:rsidRPr="00BE43A5">
        <w:rPr>
          <w:rFonts w:ascii="Avenir Next" w:hAnsi="Avenir Next" w:cs="Arial"/>
          <w:color w:val="808080" w:themeColor="background1" w:themeShade="80"/>
          <w:sz w:val="22"/>
          <w:szCs w:val="22"/>
          <w:highlight w:val="yellow"/>
          <w:lang w:val="en-GB"/>
        </w:rPr>
        <w:t>is</w:t>
      </w:r>
      <w:proofErr w:type="gramEnd"/>
      <w:r w:rsidRPr="00BE43A5">
        <w:rPr>
          <w:rFonts w:ascii="Avenir Next" w:hAnsi="Avenir Next" w:cs="Arial"/>
          <w:color w:val="808080" w:themeColor="background1" w:themeShade="80"/>
          <w:sz w:val="22"/>
          <w:szCs w:val="22"/>
          <w:highlight w:val="yellow"/>
          <w:lang w:val="en-GB"/>
        </w:rPr>
        <w:t xml:space="preserve"> mainly a compensation order against the directors in their individual </w:t>
      </w:r>
      <w:r w:rsidR="00BE43A5" w:rsidRPr="00BE43A5">
        <w:rPr>
          <w:rFonts w:ascii="Avenir Next" w:hAnsi="Avenir Next" w:cs="Arial"/>
          <w:color w:val="808080" w:themeColor="background1" w:themeShade="80"/>
          <w:sz w:val="22"/>
          <w:szCs w:val="22"/>
          <w:highlight w:val="yellow"/>
          <w:lang w:val="en-GB"/>
        </w:rPr>
        <w:t xml:space="preserve">capacities. </w:t>
      </w:r>
      <w:r w:rsidRPr="00BE43A5">
        <w:rPr>
          <w:rFonts w:ascii="Avenir Next" w:hAnsi="Avenir Next" w:cs="Arial"/>
          <w:color w:val="808080" w:themeColor="background1" w:themeShade="80"/>
          <w:sz w:val="22"/>
          <w:szCs w:val="22"/>
          <w:highlight w:val="yellow"/>
          <w:lang w:val="en-GB"/>
        </w:rPr>
        <w:t xml:space="preserve">The </w:t>
      </w:r>
      <w:r w:rsidR="00BE43A5" w:rsidRPr="00BE43A5">
        <w:rPr>
          <w:rFonts w:ascii="Avenir Next" w:hAnsi="Avenir Next" w:cs="Arial"/>
          <w:color w:val="808080" w:themeColor="background1" w:themeShade="80"/>
          <w:sz w:val="22"/>
          <w:szCs w:val="22"/>
          <w:highlight w:val="yellow"/>
          <w:lang w:val="en-GB"/>
        </w:rPr>
        <w:t xml:space="preserve">Court can also impose a civil sanction against the Directors which is usually the Director’s disqualification Order. The highlighted ramifications are not only limited to the Directors but also apply to the holding company for the debts incurred by a subsidiary company. In light of the foregoing, the Board of HGL and </w:t>
      </w:r>
      <w:proofErr w:type="gramStart"/>
      <w:r w:rsidR="00BE43A5" w:rsidRPr="00BE43A5">
        <w:rPr>
          <w:rFonts w:ascii="Avenir Next" w:hAnsi="Avenir Next" w:cs="Arial"/>
          <w:color w:val="808080" w:themeColor="background1" w:themeShade="80"/>
          <w:sz w:val="22"/>
          <w:szCs w:val="22"/>
          <w:highlight w:val="yellow"/>
          <w:lang w:val="en-GB"/>
        </w:rPr>
        <w:t>HA  and</w:t>
      </w:r>
      <w:proofErr w:type="gramEnd"/>
      <w:r w:rsidR="00BE43A5" w:rsidRPr="00BE43A5">
        <w:rPr>
          <w:rFonts w:ascii="Avenir Next" w:hAnsi="Avenir Next" w:cs="Arial"/>
          <w:color w:val="808080" w:themeColor="background1" w:themeShade="80"/>
          <w:sz w:val="22"/>
          <w:szCs w:val="22"/>
          <w:highlight w:val="yellow"/>
          <w:lang w:val="en-GB"/>
        </w:rPr>
        <w:t xml:space="preserve"> also HGL as a parent are not </w:t>
      </w:r>
      <w:proofErr w:type="spellStart"/>
      <w:r w:rsidR="00BE43A5" w:rsidRPr="00BE43A5">
        <w:rPr>
          <w:rFonts w:ascii="Avenir Next" w:hAnsi="Avenir Next" w:cs="Arial"/>
          <w:color w:val="808080" w:themeColor="background1" w:themeShade="80"/>
          <w:sz w:val="22"/>
          <w:szCs w:val="22"/>
          <w:highlight w:val="yellow"/>
          <w:lang w:val="en-GB"/>
        </w:rPr>
        <w:t>immuned</w:t>
      </w:r>
      <w:proofErr w:type="spellEnd"/>
      <w:r w:rsidR="00BE43A5" w:rsidRPr="00BE43A5">
        <w:rPr>
          <w:rFonts w:ascii="Avenir Next" w:hAnsi="Avenir Next" w:cs="Arial"/>
          <w:color w:val="808080" w:themeColor="background1" w:themeShade="80"/>
          <w:sz w:val="22"/>
          <w:szCs w:val="22"/>
          <w:highlight w:val="yellow"/>
          <w:lang w:val="en-GB"/>
        </w:rPr>
        <w:t xml:space="preserve"> from the above ramifications as they clearly engaged in insolvent trading. Since a major shareholder of HGL is unsecured creditor in the tune of AUD 30 million and there are no chances of HA undergoing a successful restructuring process, the only option available is for HA to be put under the </w:t>
      </w:r>
      <w:proofErr w:type="gramStart"/>
      <w:r w:rsidR="00BE43A5" w:rsidRPr="00BE43A5">
        <w:rPr>
          <w:rFonts w:ascii="Avenir Next" w:hAnsi="Avenir Next" w:cs="Arial"/>
          <w:color w:val="808080" w:themeColor="background1" w:themeShade="80"/>
          <w:sz w:val="22"/>
          <w:szCs w:val="22"/>
          <w:highlight w:val="yellow"/>
          <w:lang w:val="en-GB"/>
        </w:rPr>
        <w:t>creditors</w:t>
      </w:r>
      <w:proofErr w:type="gramEnd"/>
      <w:r w:rsidR="00BE43A5" w:rsidRPr="00BE43A5">
        <w:rPr>
          <w:rFonts w:ascii="Avenir Next" w:hAnsi="Avenir Next" w:cs="Arial"/>
          <w:color w:val="808080" w:themeColor="background1" w:themeShade="80"/>
          <w:sz w:val="22"/>
          <w:szCs w:val="22"/>
          <w:highlight w:val="yellow"/>
          <w:lang w:val="en-GB"/>
        </w:rPr>
        <w:t xml:space="preserve"> liquidation.</w:t>
      </w:r>
      <w:bookmarkStart w:id="2" w:name="_GoBack"/>
      <w:bookmarkEnd w:id="2"/>
      <w:r w:rsidR="00BE43A5">
        <w:rPr>
          <w:rFonts w:ascii="Avenir Next" w:hAnsi="Avenir Next" w:cs="Arial"/>
          <w:color w:val="808080" w:themeColor="background1" w:themeShade="80"/>
          <w:sz w:val="22"/>
          <w:szCs w:val="22"/>
          <w:lang w:val="en-GB"/>
        </w:rPr>
        <w:t xml:space="preserve"> </w:t>
      </w:r>
      <w:r w:rsidR="00640EC7" w:rsidRPr="008B2044">
        <w:rPr>
          <w:rFonts w:ascii="Avenir Next" w:hAnsi="Avenir Next" w:cs="Arial"/>
          <w:color w:val="808080" w:themeColor="background1" w:themeShade="80"/>
          <w:sz w:val="22"/>
          <w:szCs w:val="22"/>
          <w:lang w:val="en-GB"/>
        </w:rPr>
        <w:t xml:space="preserve">  ]</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47F9B" w14:textId="77777777" w:rsidR="00736217" w:rsidRDefault="00736217" w:rsidP="00241B44">
      <w:r>
        <w:separator/>
      </w:r>
    </w:p>
  </w:endnote>
  <w:endnote w:type="continuationSeparator" w:id="0">
    <w:p w14:paraId="59395E7A" w14:textId="77777777" w:rsidR="00736217" w:rsidRDefault="00736217" w:rsidP="00241B44">
      <w:r>
        <w:continuationSeparator/>
      </w:r>
    </w:p>
  </w:endnote>
  <w:endnote w:type="continuationNotice" w:id="1">
    <w:p w14:paraId="21EA1B85" w14:textId="77777777" w:rsidR="00736217" w:rsidRDefault="0073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8B2044" w:rsidRPr="00FC7B47" w:rsidRDefault="008B204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8B2044" w:rsidRPr="00FC7B47" w:rsidRDefault="008B2044"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8B2044" w:rsidRPr="009B4976" w:rsidRDefault="008B2044"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E43A5">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734AEF6" w:rsidR="008B2044" w:rsidRPr="009B4976" w:rsidRDefault="008B2044" w:rsidP="009B4976">
    <w:pPr>
      <w:pStyle w:val="Footer"/>
      <w:ind w:right="360"/>
      <w:rPr>
        <w:rFonts w:ascii="Arial" w:hAnsi="Arial" w:cs="Arial"/>
        <w:sz w:val="18"/>
        <w:szCs w:val="18"/>
        <w:lang w:val="en-GB"/>
      </w:rPr>
    </w:pPr>
    <w:r>
      <w:rPr>
        <w:rFonts w:ascii="Arial" w:hAnsi="Arial" w:cs="Arial"/>
        <w:sz w:val="18"/>
        <w:szCs w:val="18"/>
        <w:lang w:val="en-GB"/>
      </w:rPr>
      <w:t>202223-775</w:t>
    </w:r>
    <w:r w:rsidRPr="009B4976">
      <w:rPr>
        <w:rFonts w:ascii="Arial" w:hAnsi="Arial" w:cs="Arial"/>
        <w:sz w:val="18"/>
        <w:szCs w:val="18"/>
        <w:lang w:val="en-GB"/>
      </w:rPr>
      <w:t>.assessment</w:t>
    </w:r>
    <w:r>
      <w:rPr>
        <w:rFonts w:ascii="Arial" w:hAnsi="Arial" w:cs="Arial"/>
        <w:sz w:val="18"/>
        <w:szCs w:val="18"/>
        <w:lang w:val="en-GB"/>
      </w:rPr>
      <w:t>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930F" w14:textId="77777777" w:rsidR="00736217" w:rsidRDefault="00736217" w:rsidP="00241B44">
      <w:r>
        <w:separator/>
      </w:r>
    </w:p>
  </w:footnote>
  <w:footnote w:type="continuationSeparator" w:id="0">
    <w:p w14:paraId="2E461292" w14:textId="77777777" w:rsidR="00736217" w:rsidRDefault="00736217" w:rsidP="00241B44">
      <w:r>
        <w:continuationSeparator/>
      </w:r>
    </w:p>
  </w:footnote>
  <w:footnote w:type="continuationNotice" w:id="1">
    <w:p w14:paraId="1B23CF85" w14:textId="77777777" w:rsidR="00736217" w:rsidRDefault="00736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7208A3"/>
    <w:multiLevelType w:val="hybridMultilevel"/>
    <w:tmpl w:val="81E8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A2470"/>
    <w:multiLevelType w:val="hybridMultilevel"/>
    <w:tmpl w:val="7DD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22"/>
  </w:num>
  <w:num w:numId="5">
    <w:abstractNumId w:val="10"/>
  </w:num>
  <w:num w:numId="6">
    <w:abstractNumId w:val="15"/>
  </w:num>
  <w:num w:numId="7">
    <w:abstractNumId w:val="24"/>
  </w:num>
  <w:num w:numId="8">
    <w:abstractNumId w:val="20"/>
  </w:num>
  <w:num w:numId="9">
    <w:abstractNumId w:val="8"/>
  </w:num>
  <w:num w:numId="10">
    <w:abstractNumId w:val="6"/>
  </w:num>
  <w:num w:numId="11">
    <w:abstractNumId w:val="0"/>
  </w:num>
  <w:num w:numId="12">
    <w:abstractNumId w:val="21"/>
  </w:num>
  <w:num w:numId="13">
    <w:abstractNumId w:val="26"/>
  </w:num>
  <w:num w:numId="14">
    <w:abstractNumId w:val="7"/>
  </w:num>
  <w:num w:numId="15">
    <w:abstractNumId w:val="3"/>
  </w:num>
  <w:num w:numId="16">
    <w:abstractNumId w:val="1"/>
  </w:num>
  <w:num w:numId="17">
    <w:abstractNumId w:val="27"/>
  </w:num>
  <w:num w:numId="18">
    <w:abstractNumId w:val="4"/>
  </w:num>
  <w:num w:numId="19">
    <w:abstractNumId w:val="18"/>
  </w:num>
  <w:num w:numId="20">
    <w:abstractNumId w:val="2"/>
  </w:num>
  <w:num w:numId="21">
    <w:abstractNumId w:val="16"/>
  </w:num>
  <w:num w:numId="22">
    <w:abstractNumId w:val="28"/>
  </w:num>
  <w:num w:numId="23">
    <w:abstractNumId w:val="12"/>
  </w:num>
  <w:num w:numId="24">
    <w:abstractNumId w:val="17"/>
  </w:num>
  <w:num w:numId="25">
    <w:abstractNumId w:val="19"/>
  </w:num>
  <w:num w:numId="26">
    <w:abstractNumId w:val="23"/>
  </w:num>
  <w:num w:numId="27">
    <w:abstractNumId w:val="5"/>
  </w:num>
  <w:num w:numId="28">
    <w:abstractNumId w:val="1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7C6"/>
    <w:rsid w:val="00126A4D"/>
    <w:rsid w:val="001316B3"/>
    <w:rsid w:val="0013356C"/>
    <w:rsid w:val="0014171F"/>
    <w:rsid w:val="0014622C"/>
    <w:rsid w:val="00147958"/>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67E10"/>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2AD1"/>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0B26"/>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26091"/>
    <w:rsid w:val="00532230"/>
    <w:rsid w:val="005331CA"/>
    <w:rsid w:val="00533704"/>
    <w:rsid w:val="00534371"/>
    <w:rsid w:val="00537970"/>
    <w:rsid w:val="00537A47"/>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31BA"/>
    <w:rsid w:val="005F4B31"/>
    <w:rsid w:val="00610388"/>
    <w:rsid w:val="00610AC7"/>
    <w:rsid w:val="00612CA5"/>
    <w:rsid w:val="006153EC"/>
    <w:rsid w:val="00621A17"/>
    <w:rsid w:val="00627A10"/>
    <w:rsid w:val="00627CC9"/>
    <w:rsid w:val="00627E7B"/>
    <w:rsid w:val="00630542"/>
    <w:rsid w:val="00632E44"/>
    <w:rsid w:val="00634622"/>
    <w:rsid w:val="00636808"/>
    <w:rsid w:val="00640EC7"/>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1CD7"/>
    <w:rsid w:val="006D454C"/>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35078"/>
    <w:rsid w:val="00736217"/>
    <w:rsid w:val="0074088D"/>
    <w:rsid w:val="00740DAD"/>
    <w:rsid w:val="007522E8"/>
    <w:rsid w:val="007603F5"/>
    <w:rsid w:val="00764DB0"/>
    <w:rsid w:val="0076764D"/>
    <w:rsid w:val="0077498C"/>
    <w:rsid w:val="00775C59"/>
    <w:rsid w:val="007809BC"/>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12A09"/>
    <w:rsid w:val="008235B7"/>
    <w:rsid w:val="00823B29"/>
    <w:rsid w:val="0082483F"/>
    <w:rsid w:val="008279C0"/>
    <w:rsid w:val="008420F8"/>
    <w:rsid w:val="008465BE"/>
    <w:rsid w:val="00867701"/>
    <w:rsid w:val="00867C22"/>
    <w:rsid w:val="008723F3"/>
    <w:rsid w:val="0087682F"/>
    <w:rsid w:val="00876F56"/>
    <w:rsid w:val="00881DE6"/>
    <w:rsid w:val="008837A6"/>
    <w:rsid w:val="008877A7"/>
    <w:rsid w:val="0089145D"/>
    <w:rsid w:val="0089536F"/>
    <w:rsid w:val="008A3075"/>
    <w:rsid w:val="008A4DF2"/>
    <w:rsid w:val="008A6CFE"/>
    <w:rsid w:val="008A7666"/>
    <w:rsid w:val="008B2044"/>
    <w:rsid w:val="008B5333"/>
    <w:rsid w:val="008B6223"/>
    <w:rsid w:val="008C3FB9"/>
    <w:rsid w:val="008C66E0"/>
    <w:rsid w:val="008D4D4A"/>
    <w:rsid w:val="008D5857"/>
    <w:rsid w:val="008E3339"/>
    <w:rsid w:val="008F20FC"/>
    <w:rsid w:val="008F240F"/>
    <w:rsid w:val="008F2C4E"/>
    <w:rsid w:val="008F5FFE"/>
    <w:rsid w:val="00905A43"/>
    <w:rsid w:val="00912C79"/>
    <w:rsid w:val="00921B8C"/>
    <w:rsid w:val="00942123"/>
    <w:rsid w:val="00946454"/>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B6E93"/>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1770C"/>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E43A5"/>
    <w:rsid w:val="00BE4FF3"/>
    <w:rsid w:val="00BF0AFE"/>
    <w:rsid w:val="00BF50F7"/>
    <w:rsid w:val="00C02F29"/>
    <w:rsid w:val="00C04D56"/>
    <w:rsid w:val="00C06B6D"/>
    <w:rsid w:val="00C15EA3"/>
    <w:rsid w:val="00C17718"/>
    <w:rsid w:val="00C20AFE"/>
    <w:rsid w:val="00C22A25"/>
    <w:rsid w:val="00C26E97"/>
    <w:rsid w:val="00C30185"/>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66B63"/>
    <w:rsid w:val="00C72848"/>
    <w:rsid w:val="00C7736C"/>
    <w:rsid w:val="00C82D87"/>
    <w:rsid w:val="00C8712A"/>
    <w:rsid w:val="00C902C8"/>
    <w:rsid w:val="00C919D1"/>
    <w:rsid w:val="00C963D3"/>
    <w:rsid w:val="00C9697D"/>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57B"/>
    <w:rsid w:val="00E47E46"/>
    <w:rsid w:val="00E506BE"/>
    <w:rsid w:val="00E55547"/>
    <w:rsid w:val="00E6302B"/>
    <w:rsid w:val="00E6452F"/>
    <w:rsid w:val="00E64F45"/>
    <w:rsid w:val="00E6742D"/>
    <w:rsid w:val="00E71CB0"/>
    <w:rsid w:val="00E7563D"/>
    <w:rsid w:val="00E77C3D"/>
    <w:rsid w:val="00E867AA"/>
    <w:rsid w:val="00E90991"/>
    <w:rsid w:val="00E909F0"/>
    <w:rsid w:val="00E90D47"/>
    <w:rsid w:val="00E9169F"/>
    <w:rsid w:val="00E93993"/>
    <w:rsid w:val="00E953EF"/>
    <w:rsid w:val="00E9597C"/>
    <w:rsid w:val="00EA0913"/>
    <w:rsid w:val="00EA5B00"/>
    <w:rsid w:val="00EB080B"/>
    <w:rsid w:val="00EB146B"/>
    <w:rsid w:val="00EB45AC"/>
    <w:rsid w:val="00EC441F"/>
    <w:rsid w:val="00EC4755"/>
    <w:rsid w:val="00EC6404"/>
    <w:rsid w:val="00ED0849"/>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7C5B"/>
    <w:rsid w:val="00FA0CE9"/>
    <w:rsid w:val="00FA18CF"/>
    <w:rsid w:val="00FA3D50"/>
    <w:rsid w:val="00FB4C6B"/>
    <w:rsid w:val="00FB677C"/>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899B-62C5-4E11-B0B0-F5307F18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CHIBELUKA EMMANUEL</cp:lastModifiedBy>
  <cp:revision>13</cp:revision>
  <cp:lastPrinted>2019-08-27T05:42:00Z</cp:lastPrinted>
  <dcterms:created xsi:type="dcterms:W3CDTF">2022-09-12T13:55:00Z</dcterms:created>
  <dcterms:modified xsi:type="dcterms:W3CDTF">2023-07-24T17:12:00Z</dcterms:modified>
</cp:coreProperties>
</file>