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210D5E" w:rsidRDefault="00BA41E0" w:rsidP="004D2090">
      <w:pPr>
        <w:pStyle w:val="ListParagraph"/>
        <w:numPr>
          <w:ilvl w:val="0"/>
          <w:numId w:val="1"/>
        </w:numPr>
        <w:ind w:left="426"/>
        <w:jc w:val="both"/>
        <w:rPr>
          <w:rFonts w:ascii="Avenir Next" w:hAnsi="Avenir Next" w:cs="Arial"/>
          <w:sz w:val="22"/>
          <w:szCs w:val="22"/>
          <w:highlight w:val="yellow"/>
          <w:lang w:val="en-GB"/>
        </w:rPr>
      </w:pPr>
      <w:r w:rsidRPr="00210D5E">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8E1B84" w:rsidRDefault="0052366A" w:rsidP="004D2090">
      <w:pPr>
        <w:pStyle w:val="ListParagraph"/>
        <w:numPr>
          <w:ilvl w:val="0"/>
          <w:numId w:val="2"/>
        </w:numPr>
        <w:ind w:left="426"/>
        <w:jc w:val="both"/>
        <w:rPr>
          <w:rFonts w:ascii="Avenir Next" w:hAnsi="Avenir Next" w:cs="Arial"/>
          <w:sz w:val="22"/>
          <w:szCs w:val="22"/>
          <w:highlight w:val="yellow"/>
          <w:lang w:val="en-GB"/>
        </w:rPr>
      </w:pPr>
      <w:r w:rsidRPr="008E1B84">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760B72" w:rsidRDefault="002938AD" w:rsidP="004D2090">
      <w:pPr>
        <w:pStyle w:val="ListParagraph"/>
        <w:numPr>
          <w:ilvl w:val="0"/>
          <w:numId w:val="3"/>
        </w:numPr>
        <w:ind w:left="426"/>
        <w:jc w:val="both"/>
        <w:rPr>
          <w:rFonts w:ascii="Avenir Next" w:hAnsi="Avenir Next" w:cs="Arial"/>
          <w:sz w:val="22"/>
          <w:szCs w:val="22"/>
          <w:highlight w:val="yellow"/>
          <w:lang w:val="en-GB"/>
        </w:rPr>
      </w:pPr>
      <w:r w:rsidRPr="00760B72">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760B72">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760B72" w:rsidRDefault="00DF1875" w:rsidP="004D2090">
      <w:pPr>
        <w:pStyle w:val="ListParagraph"/>
        <w:numPr>
          <w:ilvl w:val="0"/>
          <w:numId w:val="5"/>
        </w:numPr>
        <w:ind w:left="426"/>
        <w:jc w:val="both"/>
        <w:rPr>
          <w:rFonts w:ascii="Avenir Next" w:hAnsi="Avenir Next" w:cs="Arial"/>
          <w:sz w:val="22"/>
          <w:szCs w:val="22"/>
          <w:highlight w:val="yellow"/>
          <w:lang w:val="en-GB"/>
        </w:rPr>
      </w:pPr>
      <w:r w:rsidRPr="00760B72">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32F26" w:rsidRDefault="00025846" w:rsidP="004D2090">
      <w:pPr>
        <w:pStyle w:val="ListParagraph"/>
        <w:numPr>
          <w:ilvl w:val="0"/>
          <w:numId w:val="6"/>
        </w:numPr>
        <w:ind w:left="426"/>
        <w:jc w:val="both"/>
        <w:rPr>
          <w:rFonts w:ascii="Avenir Next" w:hAnsi="Avenir Next" w:cs="Arial"/>
          <w:sz w:val="22"/>
          <w:szCs w:val="22"/>
          <w:highlight w:val="yellow"/>
          <w:lang w:val="en-GB"/>
        </w:rPr>
      </w:pPr>
      <w:r w:rsidRPr="00432F26">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286B82" w:rsidRDefault="00E631C5" w:rsidP="004D2090">
      <w:pPr>
        <w:pStyle w:val="ListParagraph"/>
        <w:numPr>
          <w:ilvl w:val="0"/>
          <w:numId w:val="7"/>
        </w:numPr>
        <w:ind w:left="426"/>
        <w:jc w:val="both"/>
        <w:rPr>
          <w:rFonts w:ascii="Avenir Next" w:hAnsi="Avenir Next" w:cs="Arial"/>
          <w:sz w:val="22"/>
          <w:szCs w:val="22"/>
          <w:highlight w:val="yellow"/>
          <w:lang w:val="en-GB"/>
        </w:rPr>
      </w:pPr>
      <w:r w:rsidRPr="00286B82">
        <w:rPr>
          <w:rFonts w:ascii="Avenir Next" w:hAnsi="Avenir Next" w:cs="Arial"/>
          <w:sz w:val="22"/>
          <w:szCs w:val="22"/>
          <w:highlight w:val="yellow"/>
          <w:lang w:val="en-GB"/>
        </w:rPr>
        <w:t>To preserve</w:t>
      </w:r>
      <w:r w:rsidR="00FA2EAC" w:rsidRPr="00286B82">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286B82" w:rsidRDefault="001B3AEE" w:rsidP="004D2090">
      <w:pPr>
        <w:pStyle w:val="ListParagraph"/>
        <w:numPr>
          <w:ilvl w:val="0"/>
          <w:numId w:val="8"/>
        </w:numPr>
        <w:ind w:left="426"/>
        <w:jc w:val="both"/>
        <w:rPr>
          <w:rFonts w:ascii="Avenir Next" w:hAnsi="Avenir Next" w:cs="Arial"/>
          <w:sz w:val="22"/>
          <w:szCs w:val="22"/>
          <w:highlight w:val="yellow"/>
          <w:lang w:val="en-GB"/>
        </w:rPr>
      </w:pPr>
      <w:r w:rsidRPr="00286B82">
        <w:rPr>
          <w:rFonts w:ascii="Avenir Next" w:hAnsi="Avenir Next" w:cs="Arial"/>
          <w:sz w:val="22"/>
          <w:szCs w:val="22"/>
          <w:highlight w:val="yellow"/>
          <w:lang w:val="en-GB"/>
        </w:rPr>
        <w:t xml:space="preserve">An individual whose parents </w:t>
      </w:r>
      <w:r w:rsidR="000940F4" w:rsidRPr="00286B82">
        <w:rPr>
          <w:rFonts w:ascii="Avenir Next" w:hAnsi="Avenir Next" w:cs="Arial"/>
          <w:sz w:val="22"/>
          <w:szCs w:val="22"/>
          <w:highlight w:val="yellow"/>
          <w:lang w:val="en-GB"/>
        </w:rPr>
        <w:t>live</w:t>
      </w:r>
      <w:r w:rsidRPr="00286B82">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286B82" w:rsidRDefault="003D142C" w:rsidP="004D2090">
      <w:pPr>
        <w:pStyle w:val="ListParagraph"/>
        <w:numPr>
          <w:ilvl w:val="0"/>
          <w:numId w:val="9"/>
        </w:numPr>
        <w:ind w:left="426"/>
        <w:jc w:val="both"/>
        <w:rPr>
          <w:rFonts w:ascii="Avenir Next" w:hAnsi="Avenir Next" w:cs="Arial"/>
          <w:sz w:val="22"/>
          <w:szCs w:val="22"/>
          <w:highlight w:val="yellow"/>
          <w:lang w:val="en-GB"/>
        </w:rPr>
      </w:pPr>
      <w:r w:rsidRPr="00286B82">
        <w:rPr>
          <w:rFonts w:ascii="Avenir Next" w:hAnsi="Avenir Next" w:cs="Arial"/>
          <w:sz w:val="22"/>
          <w:szCs w:val="22"/>
          <w:highlight w:val="yellow"/>
          <w:lang w:val="en-GB"/>
        </w:rPr>
        <w:t xml:space="preserve">Rescue financing enjoys preferential treatment automatically without the sanction of </w:t>
      </w:r>
      <w:r w:rsidR="00CD338E" w:rsidRPr="00286B82">
        <w:rPr>
          <w:rFonts w:ascii="Avenir Next" w:hAnsi="Avenir Next" w:cs="Arial"/>
          <w:sz w:val="22"/>
          <w:szCs w:val="22"/>
          <w:highlight w:val="yellow"/>
          <w:lang w:val="en-GB"/>
        </w:rPr>
        <w:t>c</w:t>
      </w:r>
      <w:r w:rsidRPr="00286B82">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286B82" w:rsidRDefault="00981ED1" w:rsidP="004D2090">
      <w:pPr>
        <w:pStyle w:val="ListParagraph"/>
        <w:numPr>
          <w:ilvl w:val="0"/>
          <w:numId w:val="10"/>
        </w:numPr>
        <w:ind w:left="426"/>
        <w:jc w:val="both"/>
        <w:rPr>
          <w:rFonts w:ascii="Avenir Next" w:hAnsi="Avenir Next" w:cs="Arial"/>
          <w:sz w:val="22"/>
          <w:szCs w:val="22"/>
          <w:highlight w:val="yellow"/>
          <w:lang w:val="en-GB"/>
        </w:rPr>
      </w:pPr>
      <w:r w:rsidRPr="00286B82">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21AE2F40" w:rsidR="008C35C9" w:rsidRDefault="00C45F4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certain conditions, cross-class cram-down allows a scheme of arrangement with creditors of the debtor company to be approved even though one or more classes of creditors have rejected the proposed scheme. This means that even if one or more classes of creditors have not approved the </w:t>
      </w:r>
      <w:r>
        <w:rPr>
          <w:rFonts w:ascii="Avenir Next" w:hAnsi="Avenir Next" w:cs="Arial"/>
          <w:color w:val="808080" w:themeColor="background1" w:themeShade="80"/>
          <w:sz w:val="22"/>
          <w:szCs w:val="22"/>
          <w:lang w:val="en-GB"/>
        </w:rPr>
        <w:lastRenderedPageBreak/>
        <w:t>proposed scheme in accordance to the percentage required, the court can still order that the proposed scheme is binding on the debtor company and all classes of creditors (but not shareholders) provided that:</w:t>
      </w:r>
    </w:p>
    <w:p w14:paraId="60317205" w14:textId="77777777" w:rsidR="00C45F46" w:rsidRDefault="00C45F46" w:rsidP="008C35C9">
      <w:pPr>
        <w:jc w:val="both"/>
        <w:rPr>
          <w:rFonts w:ascii="Avenir Next" w:hAnsi="Avenir Next" w:cs="Arial"/>
          <w:color w:val="808080" w:themeColor="background1" w:themeShade="80"/>
          <w:sz w:val="22"/>
          <w:szCs w:val="22"/>
          <w:lang w:val="en-GB"/>
        </w:rPr>
      </w:pPr>
    </w:p>
    <w:p w14:paraId="0D1ECF4C" w14:textId="0021B6BD" w:rsidR="00C45F46" w:rsidRDefault="00B66A3E" w:rsidP="00C45F4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majority in number of creditors to be bound by the proposed scheme, and who were present and voting (either in person </w:t>
      </w:r>
      <w:r w:rsidR="003803A1">
        <w:rPr>
          <w:rFonts w:ascii="Avenir Next" w:hAnsi="Avenir Next" w:cs="Arial"/>
          <w:color w:val="808080" w:themeColor="background1" w:themeShade="80"/>
          <w:sz w:val="22"/>
          <w:szCs w:val="22"/>
          <w:lang w:val="en-GB"/>
        </w:rPr>
        <w:t>or by proxy) have agreed/voted in favour of the proposed scheme;</w:t>
      </w:r>
    </w:p>
    <w:p w14:paraId="54ED2455" w14:textId="538E564C" w:rsidR="003803A1" w:rsidRDefault="003803A1" w:rsidP="00C45F4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majority in number of creditors representing three-fourths in value of the creditors meant to be bound by the proposed scheme, and who were present and voting (either in person or by proxy); and</w:t>
      </w:r>
    </w:p>
    <w:p w14:paraId="69337A2D" w14:textId="106A893E" w:rsidR="003803A1" w:rsidRDefault="003803A1" w:rsidP="00C45F4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 satisfied that the proposed scheme does not discriminate unfairly between two or more classes of creditors and is fair and equitable to each dissenting class. In this regard, a proposed scheme </w:t>
      </w:r>
      <w:r w:rsidR="00E50EA6">
        <w:rPr>
          <w:rFonts w:ascii="Avenir Next" w:hAnsi="Avenir Next" w:cs="Arial"/>
          <w:color w:val="808080" w:themeColor="background1" w:themeShade="80"/>
          <w:sz w:val="22"/>
          <w:szCs w:val="22"/>
          <w:lang w:val="en-GB"/>
        </w:rPr>
        <w:t>will not be considered fair and equitable to a dissenting class unless the following requirements/factors are met:</w:t>
      </w:r>
    </w:p>
    <w:p w14:paraId="7B00E0B5" w14:textId="77777777" w:rsidR="00E50EA6" w:rsidRDefault="00E50EA6" w:rsidP="00E50EA6">
      <w:pPr>
        <w:pStyle w:val="ListParagraph"/>
        <w:ind w:left="1080"/>
        <w:jc w:val="both"/>
        <w:rPr>
          <w:rFonts w:ascii="Avenir Next" w:hAnsi="Avenir Next" w:cs="Arial"/>
          <w:color w:val="808080" w:themeColor="background1" w:themeShade="80"/>
          <w:sz w:val="22"/>
          <w:szCs w:val="22"/>
          <w:lang w:val="en-GB"/>
        </w:rPr>
      </w:pPr>
    </w:p>
    <w:p w14:paraId="055B533C" w14:textId="11B35272" w:rsidR="00E50EA6" w:rsidRDefault="00E50EA6" w:rsidP="00E50EA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creditor in the dissenting class receives, under the terms of the proposed scheme, an amount that is lower than what the creditor is estimated by the court to receive in the most likely scenario if the proposed scheme does not become binding; and</w:t>
      </w:r>
    </w:p>
    <w:p w14:paraId="58E07CAC" w14:textId="79FF6259" w:rsidR="00E50EA6" w:rsidRDefault="00E50EA6" w:rsidP="00E50EA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creditors in the dissenting class are unsecured creditors, the terms of the proposed scheme:</w:t>
      </w:r>
    </w:p>
    <w:p w14:paraId="4FC4A48C" w14:textId="77777777" w:rsidR="00E50EA6" w:rsidRDefault="00E50EA6" w:rsidP="00E50EA6">
      <w:pPr>
        <w:pStyle w:val="ListParagraph"/>
        <w:ind w:left="1440"/>
        <w:jc w:val="both"/>
        <w:rPr>
          <w:rFonts w:ascii="Avenir Next" w:hAnsi="Avenir Next" w:cs="Arial"/>
          <w:color w:val="808080" w:themeColor="background1" w:themeShade="80"/>
          <w:sz w:val="22"/>
          <w:szCs w:val="22"/>
          <w:lang w:val="en-GB"/>
        </w:rPr>
      </w:pPr>
    </w:p>
    <w:p w14:paraId="275101F8" w14:textId="2FB0D8E1" w:rsidR="00E50EA6" w:rsidRDefault="00E50EA6" w:rsidP="00E50EA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provide for each creditor in that class to receive property of a value equal to the amount of the creditor’s claim; or</w:t>
      </w:r>
    </w:p>
    <w:p w14:paraId="0CEE0F90" w14:textId="2DBE3215" w:rsidR="00E50EA6" w:rsidRPr="00E50EA6" w:rsidRDefault="00E50EA6" w:rsidP="00E50EA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not provide for any creditor with a claim that is subordinate to the claim of a creditor in the dissenting class, or any member, to receive or retain any property on account of the subordinate claim or the member’s interest.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6D4415D5" w:rsidR="008C35C9" w:rsidRDefault="003936B2" w:rsidP="003936B2">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introduce a new omnibus legislation that consolidates the persona and corporate insolvency and restructuring laws;</w:t>
      </w:r>
    </w:p>
    <w:p w14:paraId="59529B17" w14:textId="45EB4918" w:rsidR="003936B2" w:rsidRPr="003936B2" w:rsidRDefault="003936B2" w:rsidP="003936B2">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establish a regulatory regime for insolvency practitioners.</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79E7745C" w:rsidR="008C35C9" w:rsidRDefault="00C84299" w:rsidP="00C8429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the reasonably near future;</w:t>
      </w:r>
    </w:p>
    <w:p w14:paraId="0D878DBE" w14:textId="165C5EA0" w:rsidR="00C84299" w:rsidRDefault="00C84299" w:rsidP="00C8429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is being demanded or is likely to be demanded for those debts;</w:t>
      </w:r>
    </w:p>
    <w:p w14:paraId="4B586962" w14:textId="1E7DF7D6" w:rsidR="00C84299" w:rsidRDefault="00C84299" w:rsidP="00C8429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company has failed to pay for any of its debts, the quantum of such debt, and for how long the company has failed to pay it;</w:t>
      </w:r>
    </w:p>
    <w:p w14:paraId="58C776CA" w14:textId="796F3CDE" w:rsidR="00C84299" w:rsidRDefault="00C84299" w:rsidP="00C8429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current assets and assets that will be realised in the reasonably near future;</w:t>
      </w:r>
    </w:p>
    <w:p w14:paraId="489ED354" w14:textId="151248CE" w:rsidR="00C84299" w:rsidRDefault="00C84299" w:rsidP="00C8429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length of time that has passed since the commencement of the winding-up proceedings;</w:t>
      </w:r>
    </w:p>
    <w:p w14:paraId="3851503D" w14:textId="3539E629" w:rsidR="00C84299" w:rsidRPr="00C84299" w:rsidRDefault="00C84299" w:rsidP="00C8429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other income or payment which the company may receive in the reasonably near future.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2438BD63" w:rsidR="008C35C9" w:rsidRDefault="00C0304D" w:rsidP="008C35C9">
      <w:pPr>
        <w:jc w:val="both"/>
        <w:rPr>
          <w:rFonts w:ascii="Avenir Next" w:hAnsi="Avenir Next" w:cs="Arial"/>
          <w:b/>
          <w:bCs/>
          <w:iCs/>
          <w:color w:val="808080" w:themeColor="background1" w:themeShade="80"/>
          <w:sz w:val="22"/>
          <w:szCs w:val="22"/>
          <w:u w:val="single"/>
          <w:lang w:val="en-GB"/>
        </w:rPr>
      </w:pPr>
      <w:r w:rsidRPr="00C0304D">
        <w:rPr>
          <w:rFonts w:ascii="Avenir Next" w:hAnsi="Avenir Next" w:cs="Arial"/>
          <w:b/>
          <w:bCs/>
          <w:iCs/>
          <w:color w:val="808080" w:themeColor="background1" w:themeShade="80"/>
          <w:sz w:val="22"/>
          <w:szCs w:val="22"/>
          <w:u w:val="single"/>
          <w:lang w:val="en-GB"/>
        </w:rPr>
        <w:t>Rescue financing</w:t>
      </w:r>
    </w:p>
    <w:p w14:paraId="63363774" w14:textId="77777777" w:rsidR="00C0304D" w:rsidRDefault="00C0304D" w:rsidP="008C35C9">
      <w:pPr>
        <w:jc w:val="both"/>
        <w:rPr>
          <w:rFonts w:ascii="Avenir Next" w:hAnsi="Avenir Next" w:cs="Arial"/>
          <w:b/>
          <w:bCs/>
          <w:iCs/>
          <w:color w:val="808080" w:themeColor="background1" w:themeShade="80"/>
          <w:sz w:val="22"/>
          <w:szCs w:val="22"/>
          <w:u w:val="single"/>
          <w:lang w:val="en-GB"/>
        </w:rPr>
      </w:pPr>
    </w:p>
    <w:p w14:paraId="30A392E4" w14:textId="0CD5BBA7" w:rsidR="00C0304D" w:rsidRDefault="00C0304D" w:rsidP="008C35C9">
      <w:p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 xml:space="preserve">First of all, rescue financing is a form of financing </w:t>
      </w:r>
      <w:bookmarkStart w:id="1" w:name="_Hlk141005842"/>
      <w:r>
        <w:rPr>
          <w:rFonts w:ascii="Avenir Next" w:hAnsi="Avenir Next" w:cs="Arial"/>
          <w:bCs/>
          <w:iCs/>
          <w:color w:val="808080" w:themeColor="background1" w:themeShade="80"/>
          <w:sz w:val="22"/>
          <w:szCs w:val="22"/>
          <w:lang w:val="en-GB"/>
        </w:rPr>
        <w:t xml:space="preserve">that is necessary for the survival of a debtor that obtains the financing and/or necessary to achieve a more advantageous realisation of the asset of a debtor that obtains the financing, as compared to a winding-up of the debtor. </w:t>
      </w:r>
    </w:p>
    <w:p w14:paraId="52675D34" w14:textId="77777777" w:rsidR="00C0304D" w:rsidRDefault="00C0304D" w:rsidP="008C35C9">
      <w:pPr>
        <w:jc w:val="both"/>
        <w:rPr>
          <w:rFonts w:ascii="Avenir Next" w:hAnsi="Avenir Next" w:cs="Arial"/>
          <w:bCs/>
          <w:iCs/>
          <w:color w:val="808080" w:themeColor="background1" w:themeShade="80"/>
          <w:sz w:val="22"/>
          <w:szCs w:val="22"/>
          <w:lang w:val="en-GB"/>
        </w:rPr>
      </w:pPr>
    </w:p>
    <w:bookmarkEnd w:id="1"/>
    <w:p w14:paraId="67022E04" w14:textId="7DD846D1" w:rsidR="00C0304D" w:rsidRDefault="007864ED" w:rsidP="008C35C9">
      <w:p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Pursuant to sections 67 and 101 of the IRD Act, r</w:t>
      </w:r>
      <w:r w:rsidR="00C0304D">
        <w:rPr>
          <w:rFonts w:ascii="Avenir Next" w:hAnsi="Avenir Next" w:cs="Arial"/>
          <w:bCs/>
          <w:iCs/>
          <w:color w:val="808080" w:themeColor="background1" w:themeShade="80"/>
          <w:sz w:val="22"/>
          <w:szCs w:val="22"/>
          <w:lang w:val="en-GB"/>
        </w:rPr>
        <w:t>escue financing is available under</w:t>
      </w:r>
      <w:r w:rsidR="00CB116D">
        <w:rPr>
          <w:rFonts w:ascii="Avenir Next" w:hAnsi="Avenir Next" w:cs="Arial"/>
          <w:bCs/>
          <w:iCs/>
          <w:color w:val="808080" w:themeColor="background1" w:themeShade="80"/>
          <w:sz w:val="22"/>
          <w:szCs w:val="22"/>
          <w:lang w:val="en-GB"/>
        </w:rPr>
        <w:t xml:space="preserve"> both the</w:t>
      </w:r>
      <w:r w:rsidR="00C0304D">
        <w:rPr>
          <w:rFonts w:ascii="Avenir Next" w:hAnsi="Avenir Next" w:cs="Arial"/>
          <w:bCs/>
          <w:iCs/>
          <w:color w:val="808080" w:themeColor="background1" w:themeShade="80"/>
          <w:sz w:val="22"/>
          <w:szCs w:val="22"/>
          <w:lang w:val="en-GB"/>
        </w:rPr>
        <w:t xml:space="preserve"> judicial management as well scheme of arrangement</w:t>
      </w:r>
      <w:r w:rsidR="00CB116D">
        <w:rPr>
          <w:rFonts w:ascii="Avenir Next" w:hAnsi="Avenir Next" w:cs="Arial"/>
          <w:bCs/>
          <w:iCs/>
          <w:color w:val="808080" w:themeColor="background1" w:themeShade="80"/>
          <w:sz w:val="22"/>
          <w:szCs w:val="22"/>
          <w:lang w:val="en-GB"/>
        </w:rPr>
        <w:t xml:space="preserve"> processes. In this regard, a Singapore court may, on an application by the debtor company, make an order that any rescue financing obtained by the debtor will:</w:t>
      </w:r>
    </w:p>
    <w:p w14:paraId="3BDE34C3" w14:textId="77777777" w:rsidR="00CB116D" w:rsidRDefault="00CB116D" w:rsidP="008C35C9">
      <w:pPr>
        <w:jc w:val="both"/>
        <w:rPr>
          <w:rFonts w:ascii="Avenir Next" w:hAnsi="Avenir Next" w:cs="Arial"/>
          <w:bCs/>
          <w:iCs/>
          <w:color w:val="808080" w:themeColor="background1" w:themeShade="80"/>
          <w:sz w:val="22"/>
          <w:szCs w:val="22"/>
          <w:lang w:val="en-GB"/>
        </w:rPr>
      </w:pPr>
    </w:p>
    <w:p w14:paraId="135AB2D9" w14:textId="617419BB" w:rsidR="00CB116D" w:rsidRDefault="00CB116D" w:rsidP="00CB116D">
      <w:pPr>
        <w:pStyle w:val="ListParagraph"/>
        <w:numPr>
          <w:ilvl w:val="0"/>
          <w:numId w:val="24"/>
        </w:num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Be treated as part of the costs and expenses of the winding-up if the debtor is later wound up;</w:t>
      </w:r>
    </w:p>
    <w:p w14:paraId="70BC27EB" w14:textId="4AC76A29" w:rsidR="00CB116D" w:rsidRDefault="00CB116D" w:rsidP="00CB116D">
      <w:pPr>
        <w:pStyle w:val="ListParagraph"/>
        <w:numPr>
          <w:ilvl w:val="0"/>
          <w:numId w:val="24"/>
        </w:num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Enjoy prior</w:t>
      </w:r>
      <w:r w:rsidR="007957BF">
        <w:rPr>
          <w:rFonts w:ascii="Avenir Next" w:hAnsi="Avenir Next" w:cs="Arial"/>
          <w:bCs/>
          <w:iCs/>
          <w:color w:val="808080" w:themeColor="background1" w:themeShade="80"/>
          <w:sz w:val="22"/>
          <w:szCs w:val="22"/>
          <w:lang w:val="en-GB"/>
        </w:rPr>
        <w:t>ity over preferential debts if the debtor is later wound up;</w:t>
      </w:r>
    </w:p>
    <w:p w14:paraId="49F06E73" w14:textId="4219D537" w:rsidR="007957BF" w:rsidRDefault="007957BF" w:rsidP="00CB116D">
      <w:pPr>
        <w:pStyle w:val="ListParagraph"/>
        <w:numPr>
          <w:ilvl w:val="0"/>
          <w:numId w:val="24"/>
        </w:num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Be secured by a security interest on property of the debtor not otherwise subject to any security interest, or be secured by a subordinate security interest on property of the debtor that is subject to an existing security interest if the debtor would not have been able to obtained unsecured rescue financing from any other person; or</w:t>
      </w:r>
    </w:p>
    <w:p w14:paraId="780F1ECD" w14:textId="5EC64F25" w:rsidR="007957BF" w:rsidRDefault="007957BF" w:rsidP="007957BF">
      <w:pPr>
        <w:pStyle w:val="ListParagraph"/>
        <w:numPr>
          <w:ilvl w:val="0"/>
          <w:numId w:val="24"/>
        </w:num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Be secured by a security interest on property subject to an existing security interest, of the same or a higher priority than the existing security interest, if the debtor would not have been able to obtain rescue financing from any other person unless it was secured in such a manner and there is insufficient protection for the interests of existing secured creditors.</w:t>
      </w:r>
    </w:p>
    <w:p w14:paraId="71102709" w14:textId="77777777" w:rsidR="007957BF" w:rsidRPr="007957BF" w:rsidRDefault="007957BF" w:rsidP="007957BF">
      <w:pPr>
        <w:pStyle w:val="ListParagraph"/>
        <w:ind w:left="1080"/>
        <w:jc w:val="both"/>
        <w:rPr>
          <w:rFonts w:ascii="Avenir Next" w:hAnsi="Avenir Next" w:cs="Arial"/>
          <w:bCs/>
          <w:iCs/>
          <w:color w:val="808080" w:themeColor="background1" w:themeShade="80"/>
          <w:sz w:val="22"/>
          <w:szCs w:val="22"/>
          <w:lang w:val="en-GB"/>
        </w:rPr>
      </w:pPr>
    </w:p>
    <w:p w14:paraId="53002D62" w14:textId="532073B5" w:rsidR="007A2831" w:rsidRDefault="007957BF" w:rsidP="008C35C9">
      <w:pPr>
        <w:jc w:val="both"/>
        <w:rPr>
          <w:rFonts w:ascii="Avenir Next" w:hAnsi="Avenir Next" w:cs="Arial"/>
          <w:b/>
          <w:bCs/>
          <w:iCs/>
          <w:color w:val="808080" w:themeColor="background1" w:themeShade="80"/>
          <w:sz w:val="22"/>
          <w:szCs w:val="22"/>
          <w:u w:val="single"/>
          <w:lang w:val="en-GB"/>
        </w:rPr>
      </w:pPr>
      <w:r w:rsidRPr="007957BF">
        <w:rPr>
          <w:rFonts w:ascii="Avenir Next" w:hAnsi="Avenir Next" w:cs="Arial"/>
          <w:b/>
          <w:bCs/>
          <w:iCs/>
          <w:color w:val="808080" w:themeColor="background1" w:themeShade="80"/>
          <w:sz w:val="22"/>
          <w:szCs w:val="22"/>
          <w:u w:val="single"/>
          <w:lang w:val="en-GB"/>
        </w:rPr>
        <w:t>Wrongful Trading</w:t>
      </w:r>
    </w:p>
    <w:p w14:paraId="5C1BE6AB" w14:textId="77777777" w:rsidR="007957BF" w:rsidRDefault="007957BF" w:rsidP="008C35C9">
      <w:pPr>
        <w:jc w:val="both"/>
        <w:rPr>
          <w:rFonts w:ascii="Avenir Next" w:hAnsi="Avenir Next" w:cs="Arial"/>
          <w:b/>
          <w:bCs/>
          <w:iCs/>
          <w:color w:val="808080" w:themeColor="background1" w:themeShade="80"/>
          <w:sz w:val="22"/>
          <w:szCs w:val="22"/>
          <w:u w:val="single"/>
          <w:lang w:val="en-GB"/>
        </w:rPr>
      </w:pPr>
    </w:p>
    <w:p w14:paraId="6B36C642" w14:textId="4F68C573" w:rsidR="00484F92" w:rsidRDefault="00484F92" w:rsidP="008C35C9">
      <w:p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Wrongful trading is essentially the incurrence of debt or other liabilities without a reasonable prospect of meeting them in full when the company is insolvent or becomes insolvent as a result of such debt.</w:t>
      </w:r>
    </w:p>
    <w:p w14:paraId="1AAD0405" w14:textId="77777777" w:rsidR="00484F92" w:rsidRDefault="00484F92" w:rsidP="008C35C9">
      <w:pPr>
        <w:jc w:val="both"/>
        <w:rPr>
          <w:rFonts w:ascii="Avenir Next" w:hAnsi="Avenir Next" w:cs="Arial"/>
          <w:bCs/>
          <w:iCs/>
          <w:color w:val="808080" w:themeColor="background1" w:themeShade="80"/>
          <w:sz w:val="22"/>
          <w:szCs w:val="22"/>
          <w:lang w:val="en-GB"/>
        </w:rPr>
      </w:pPr>
    </w:p>
    <w:p w14:paraId="1CE1AB9F" w14:textId="207608A8" w:rsidR="009A0D1C" w:rsidRDefault="009A0D1C" w:rsidP="008C35C9">
      <w:p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There is now a new provision in the IRD Act</w:t>
      </w:r>
      <w:r w:rsidR="00484F92">
        <w:rPr>
          <w:rFonts w:ascii="Avenir Next" w:hAnsi="Avenir Next" w:cs="Arial"/>
          <w:bCs/>
          <w:iCs/>
          <w:color w:val="808080" w:themeColor="background1" w:themeShade="80"/>
          <w:sz w:val="22"/>
          <w:szCs w:val="22"/>
          <w:lang w:val="en-GB"/>
        </w:rPr>
        <w:t xml:space="preserve"> (section 239)</w:t>
      </w:r>
      <w:r>
        <w:rPr>
          <w:rFonts w:ascii="Avenir Next" w:hAnsi="Avenir Next" w:cs="Arial"/>
          <w:bCs/>
          <w:iCs/>
          <w:color w:val="808080" w:themeColor="background1" w:themeShade="80"/>
          <w:sz w:val="22"/>
          <w:szCs w:val="22"/>
          <w:lang w:val="en-GB"/>
        </w:rPr>
        <w:t xml:space="preserve"> which relates to wrongful trading. This new provision allows the court to make a declaration that any person who was knowingly a party to the company trading wrongfully, to be personal responsible for the company’s dents or liabilities.</w:t>
      </w:r>
    </w:p>
    <w:p w14:paraId="728E2837" w14:textId="539B280C" w:rsidR="009A0D1C" w:rsidRDefault="009A0D1C" w:rsidP="008C35C9">
      <w:pPr>
        <w:jc w:val="both"/>
        <w:rPr>
          <w:rFonts w:ascii="Avenir Next" w:hAnsi="Avenir Next" w:cs="Arial"/>
          <w:bCs/>
          <w:iCs/>
          <w:color w:val="808080" w:themeColor="background1" w:themeShade="80"/>
          <w:sz w:val="22"/>
          <w:szCs w:val="22"/>
          <w:lang w:val="en-GB"/>
        </w:rPr>
      </w:pPr>
    </w:p>
    <w:p w14:paraId="52198821" w14:textId="77777777" w:rsidR="00484F92" w:rsidRDefault="008B24A9" w:rsidP="008C35C9">
      <w:p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 xml:space="preserve">A company is deemed to have traded wrongfully if </w:t>
      </w:r>
      <w:r w:rsidR="00C53713">
        <w:rPr>
          <w:rFonts w:ascii="Avenir Next" w:hAnsi="Avenir Next" w:cs="Arial"/>
          <w:bCs/>
          <w:iCs/>
          <w:color w:val="808080" w:themeColor="background1" w:themeShade="80"/>
          <w:sz w:val="22"/>
          <w:szCs w:val="22"/>
          <w:lang w:val="en-GB"/>
        </w:rPr>
        <w:t>it incurs debts or liabilities without reasonable prospect of meeting them in full when the company is insolvent, or becomes insolvent as a result of the incurrence of such debt or liability.</w:t>
      </w:r>
    </w:p>
    <w:p w14:paraId="4B2BA8D0" w14:textId="77777777" w:rsidR="00484F92" w:rsidRDefault="00484F92" w:rsidP="008C35C9">
      <w:pPr>
        <w:jc w:val="both"/>
        <w:rPr>
          <w:rFonts w:ascii="Avenir Next" w:hAnsi="Avenir Next" w:cs="Arial"/>
          <w:bCs/>
          <w:iCs/>
          <w:color w:val="808080" w:themeColor="background1" w:themeShade="80"/>
          <w:sz w:val="22"/>
          <w:szCs w:val="22"/>
          <w:lang w:val="en-GB"/>
        </w:rPr>
      </w:pPr>
    </w:p>
    <w:p w14:paraId="10DF9E09" w14:textId="77777777" w:rsidR="00484F92" w:rsidRDefault="00484F92" w:rsidP="008C35C9">
      <w:p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lastRenderedPageBreak/>
        <w:t>Pursuant to section 239 of the IRD Act, personal liability is imposed on a person vis-à-vis the company’s debts/liabilities if:</w:t>
      </w:r>
    </w:p>
    <w:p w14:paraId="3DA9A20B" w14:textId="77777777" w:rsidR="00484F92" w:rsidRDefault="00484F92" w:rsidP="008C35C9">
      <w:pPr>
        <w:jc w:val="both"/>
        <w:rPr>
          <w:rFonts w:ascii="Avenir Next" w:hAnsi="Avenir Next" w:cs="Arial"/>
          <w:bCs/>
          <w:iCs/>
          <w:color w:val="808080" w:themeColor="background1" w:themeShade="80"/>
          <w:sz w:val="22"/>
          <w:szCs w:val="22"/>
          <w:lang w:val="en-GB"/>
        </w:rPr>
      </w:pPr>
    </w:p>
    <w:p w14:paraId="017735E5" w14:textId="77777777" w:rsidR="00484F92" w:rsidRPr="00484F92" w:rsidRDefault="00484F92" w:rsidP="00484F92">
      <w:pPr>
        <w:pStyle w:val="ListParagraph"/>
        <w:numPr>
          <w:ilvl w:val="0"/>
          <w:numId w:val="25"/>
        </w:numPr>
        <w:jc w:val="both"/>
        <w:rPr>
          <w:rFonts w:ascii="Avenir Next" w:hAnsi="Avenir Next" w:cs="Arial"/>
          <w:b/>
          <w:bCs/>
          <w:iCs/>
          <w:color w:val="808080" w:themeColor="background1" w:themeShade="80"/>
          <w:sz w:val="22"/>
          <w:szCs w:val="22"/>
          <w:u w:val="single"/>
          <w:lang w:val="en-GB"/>
        </w:rPr>
      </w:pPr>
      <w:r>
        <w:rPr>
          <w:rFonts w:ascii="Avenir Next" w:hAnsi="Avenir Next" w:cs="Arial"/>
          <w:bCs/>
          <w:iCs/>
          <w:color w:val="808080" w:themeColor="background1" w:themeShade="80"/>
          <w:sz w:val="22"/>
          <w:szCs w:val="22"/>
          <w:lang w:val="en-GB"/>
        </w:rPr>
        <w:t>They knew that the company was trading wrongfully; or</w:t>
      </w:r>
    </w:p>
    <w:p w14:paraId="34A0457A" w14:textId="69D4B6CF" w:rsidR="007957BF" w:rsidRPr="00484F92" w:rsidRDefault="00484F92" w:rsidP="00484F92">
      <w:pPr>
        <w:pStyle w:val="ListParagraph"/>
        <w:numPr>
          <w:ilvl w:val="0"/>
          <w:numId w:val="25"/>
        </w:numPr>
        <w:jc w:val="both"/>
        <w:rPr>
          <w:rFonts w:ascii="Avenir Next" w:hAnsi="Avenir Next" w:cs="Arial"/>
          <w:b/>
          <w:bCs/>
          <w:iCs/>
          <w:color w:val="808080" w:themeColor="background1" w:themeShade="80"/>
          <w:sz w:val="22"/>
          <w:szCs w:val="22"/>
          <w:u w:val="single"/>
          <w:lang w:val="en-GB"/>
        </w:rPr>
      </w:pPr>
      <w:r>
        <w:rPr>
          <w:rFonts w:ascii="Avenir Next" w:hAnsi="Avenir Next" w:cs="Arial"/>
          <w:bCs/>
          <w:iCs/>
          <w:color w:val="808080" w:themeColor="background1" w:themeShade="80"/>
          <w:sz w:val="22"/>
          <w:szCs w:val="22"/>
          <w:lang w:val="en-GB"/>
        </w:rPr>
        <w:t>As an officer of the company, ought, in all the circumstances, to have known that the company was trading wrongfully.</w:t>
      </w:r>
      <w:r w:rsidR="00C53713" w:rsidRPr="00484F92">
        <w:rPr>
          <w:rFonts w:ascii="Avenir Next" w:hAnsi="Avenir Next" w:cs="Arial"/>
          <w:bCs/>
          <w:iCs/>
          <w:color w:val="808080" w:themeColor="background1" w:themeShade="80"/>
          <w:sz w:val="22"/>
          <w:szCs w:val="22"/>
          <w:lang w:val="en-GB"/>
        </w:rPr>
        <w:br/>
      </w: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2438742A" w14:textId="628DB8BC" w:rsidR="00132ABA" w:rsidRDefault="00811A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w:t>
      </w:r>
      <w:r w:rsidR="00350A44">
        <w:rPr>
          <w:rFonts w:ascii="Avenir Next" w:hAnsi="Avenir Next" w:cs="Arial"/>
          <w:color w:val="808080" w:themeColor="background1" w:themeShade="80"/>
          <w:sz w:val="22"/>
          <w:szCs w:val="22"/>
          <w:lang w:val="en-GB"/>
        </w:rPr>
        <w:t>udicial management is a process which entails the appointment of an insolvency practitioner as the judicial manager, which appointment is pursuant to an order made by the Court</w:t>
      </w:r>
      <w:r w:rsidR="00132ABA">
        <w:rPr>
          <w:rFonts w:ascii="Avenir Next" w:hAnsi="Avenir Next" w:cs="Arial"/>
          <w:color w:val="808080" w:themeColor="background1" w:themeShade="80"/>
          <w:sz w:val="22"/>
          <w:szCs w:val="22"/>
          <w:lang w:val="en-GB"/>
        </w:rPr>
        <w:t>.</w:t>
      </w:r>
      <w:r w:rsidR="00070A5F">
        <w:rPr>
          <w:rFonts w:ascii="Avenir Next" w:hAnsi="Avenir Next" w:cs="Arial"/>
          <w:color w:val="808080" w:themeColor="background1" w:themeShade="80"/>
          <w:sz w:val="22"/>
          <w:szCs w:val="22"/>
          <w:lang w:val="en-GB"/>
        </w:rPr>
        <w:t xml:space="preserve"> </w:t>
      </w:r>
      <w:r w:rsidR="00132ABA">
        <w:rPr>
          <w:rFonts w:ascii="Avenir Next" w:hAnsi="Avenir Next" w:cs="Arial"/>
          <w:color w:val="808080" w:themeColor="background1" w:themeShade="80"/>
          <w:sz w:val="22"/>
          <w:szCs w:val="22"/>
          <w:lang w:val="en-GB"/>
        </w:rPr>
        <w:t>The judicial manager replaces the powers of the company’s directors and management, and runs the company. This essentially means that once the judicial manager is appointed, the powers of the company’s directors cease and the judicial managers takes over the affairs, business and properties of the company, for a period of 180 days, subject to any further extensions granted by the court.</w:t>
      </w:r>
      <w:r w:rsidR="002018B7">
        <w:rPr>
          <w:rFonts w:ascii="Avenir Next" w:hAnsi="Avenir Next" w:cs="Arial"/>
          <w:color w:val="808080" w:themeColor="background1" w:themeShade="80"/>
          <w:sz w:val="22"/>
          <w:szCs w:val="22"/>
          <w:lang w:val="en-GB"/>
        </w:rPr>
        <w:t xml:space="preserve"> </w:t>
      </w:r>
      <w:r w:rsidR="00710F3E">
        <w:rPr>
          <w:rFonts w:ascii="Avenir Next" w:hAnsi="Avenir Next" w:cs="Arial"/>
          <w:color w:val="808080" w:themeColor="background1" w:themeShade="80"/>
          <w:sz w:val="22"/>
          <w:szCs w:val="22"/>
          <w:lang w:val="en-GB"/>
        </w:rPr>
        <w:t>The fact that judicial management is creditor led would often result in stigma for the company.</w:t>
      </w:r>
    </w:p>
    <w:p w14:paraId="5BE8140E" w14:textId="3F604342" w:rsidR="002018B7" w:rsidRDefault="002018B7" w:rsidP="008C35C9">
      <w:pPr>
        <w:jc w:val="both"/>
        <w:rPr>
          <w:rFonts w:ascii="Avenir Next" w:hAnsi="Avenir Next" w:cs="Arial"/>
          <w:color w:val="808080" w:themeColor="background1" w:themeShade="80"/>
          <w:sz w:val="22"/>
          <w:szCs w:val="22"/>
          <w:lang w:val="en-GB"/>
        </w:rPr>
      </w:pPr>
    </w:p>
    <w:p w14:paraId="7A6F8B68" w14:textId="4ED869A3" w:rsidR="00132ABA" w:rsidRDefault="00132AB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unlike the scheme of arrangement process where the management of the company </w:t>
      </w:r>
      <w:r w:rsidR="00070A5F">
        <w:rPr>
          <w:rFonts w:ascii="Avenir Next" w:hAnsi="Avenir Next" w:cs="Arial"/>
          <w:color w:val="808080" w:themeColor="background1" w:themeShade="80"/>
          <w:sz w:val="22"/>
          <w:szCs w:val="22"/>
          <w:lang w:val="en-GB"/>
        </w:rPr>
        <w:t>which is essentially a debtor-in possession process as compared to judicial management which is creditor</w:t>
      </w:r>
      <w:r w:rsidR="002018B7">
        <w:rPr>
          <w:rFonts w:ascii="Avenir Next" w:hAnsi="Avenir Next" w:cs="Arial"/>
          <w:color w:val="808080" w:themeColor="background1" w:themeShade="80"/>
          <w:sz w:val="22"/>
          <w:szCs w:val="22"/>
          <w:lang w:val="en-GB"/>
        </w:rPr>
        <w:t xml:space="preserve">-led. In a scheme of arrangement, the directors of the company continue to run the business. This results in less stigma which could be important for a public listed company. </w:t>
      </w:r>
    </w:p>
    <w:p w14:paraId="7EE95557" w14:textId="77777777" w:rsidR="00811A3A" w:rsidRDefault="00811A3A" w:rsidP="008C35C9">
      <w:pPr>
        <w:jc w:val="both"/>
        <w:rPr>
          <w:rFonts w:ascii="Avenir Next" w:hAnsi="Avenir Next" w:cs="Arial"/>
          <w:color w:val="808080" w:themeColor="background1" w:themeShade="80"/>
          <w:sz w:val="22"/>
          <w:szCs w:val="22"/>
          <w:lang w:val="en-GB"/>
        </w:rPr>
      </w:pPr>
    </w:p>
    <w:p w14:paraId="244D7BBF" w14:textId="5227FB8F" w:rsidR="002018B7" w:rsidRDefault="002018B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scheme of arrangement, it is the company who is responsible for putting forward the </w:t>
      </w:r>
      <w:r w:rsidR="00977725">
        <w:rPr>
          <w:rFonts w:ascii="Avenir Next" w:hAnsi="Avenir Next" w:cs="Arial"/>
          <w:color w:val="808080" w:themeColor="background1" w:themeShade="80"/>
          <w:sz w:val="22"/>
          <w:szCs w:val="22"/>
          <w:lang w:val="en-GB"/>
        </w:rPr>
        <w:t>restructuring proposal, with the aid of financial advisors. In the case of judicial management, this responsibility falls on the judicial manager.</w:t>
      </w:r>
    </w:p>
    <w:p w14:paraId="591DE692" w14:textId="77777777" w:rsidR="00977725" w:rsidRDefault="00977725" w:rsidP="008C35C9">
      <w:pPr>
        <w:jc w:val="both"/>
        <w:rPr>
          <w:rFonts w:ascii="Avenir Next" w:hAnsi="Avenir Next" w:cs="Arial"/>
          <w:color w:val="808080" w:themeColor="background1" w:themeShade="80"/>
          <w:sz w:val="22"/>
          <w:szCs w:val="22"/>
          <w:lang w:val="en-GB"/>
        </w:rPr>
      </w:pPr>
    </w:p>
    <w:p w14:paraId="4C28C8F0" w14:textId="2165244B" w:rsidR="00977725" w:rsidRDefault="0097772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Unlike in the case of scheme of arrangement, only a company eligible to be wound up under the IRD Act may be placed into a judicial management.</w:t>
      </w:r>
    </w:p>
    <w:p w14:paraId="455786C0" w14:textId="77777777" w:rsidR="00977725" w:rsidRDefault="00977725" w:rsidP="008C35C9">
      <w:pPr>
        <w:jc w:val="both"/>
        <w:rPr>
          <w:rFonts w:ascii="Avenir Next" w:hAnsi="Avenir Next" w:cs="Arial"/>
          <w:color w:val="808080" w:themeColor="background1" w:themeShade="80"/>
          <w:sz w:val="22"/>
          <w:szCs w:val="22"/>
          <w:lang w:val="en-GB"/>
        </w:rPr>
      </w:pPr>
    </w:p>
    <w:p w14:paraId="2C61397A" w14:textId="43707441" w:rsidR="008C35C9" w:rsidRPr="00977725" w:rsidRDefault="00811A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judicial management, both judicial managers and liquidators have the power to disclaim onerous contracts entered into by the company prior to the judicial management order or liquidation. This is provided for under</w:t>
      </w:r>
      <w:r w:rsidR="00070A5F">
        <w:rPr>
          <w:rFonts w:ascii="Avenir Next" w:hAnsi="Avenir Next" w:cs="Arial"/>
          <w:color w:val="808080" w:themeColor="background1" w:themeShade="80"/>
          <w:sz w:val="22"/>
          <w:szCs w:val="22"/>
          <w:lang w:val="en-GB"/>
        </w:rPr>
        <w:t xml:space="preserve"> section 230 of the IRD Act. However, under scheme of arrangement, onerous contracts may not be disclaimed.</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w:t>
      </w:r>
      <w:r w:rsidRPr="0018452A">
        <w:rPr>
          <w:rFonts w:ascii="Avenir Next" w:hAnsi="Avenir Next"/>
          <w:sz w:val="22"/>
          <w:szCs w:val="22"/>
        </w:rPr>
        <w:lastRenderedPageBreak/>
        <w:t>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w:t>
      </w:r>
      <w:bookmarkStart w:id="2" w:name="_Hlk141023742"/>
      <w:r w:rsidRPr="0018452A">
        <w:rPr>
          <w:rFonts w:ascii="Avenir Next" w:hAnsi="Avenir Next"/>
          <w:sz w:val="22"/>
          <w:szCs w:val="22"/>
        </w:rPr>
        <w:t xml:space="preserve">The properties in Australia are mortgaged to a Singapore bank pursuant to a bank facility that is governed by Singapore law. </w:t>
      </w:r>
      <w:bookmarkEnd w:id="2"/>
      <w:r w:rsidRPr="0018452A">
        <w:rPr>
          <w:rFonts w:ascii="Avenir Next" w:hAnsi="Avenir Next"/>
          <w:sz w:val="22"/>
          <w:szCs w:val="22"/>
        </w:rPr>
        <w:t xml:space="preserve">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w:t>
      </w:r>
      <w:r w:rsidRPr="00394090">
        <w:rPr>
          <w:rFonts w:ascii="Avenir Next" w:hAnsi="Avenir Next"/>
          <w:sz w:val="22"/>
          <w:szCs w:val="22"/>
          <w:highlight w:val="yellow"/>
          <w:lang w:val="en-GB"/>
        </w:rPr>
        <w:t>approximately US</w:t>
      </w:r>
      <w:r w:rsidR="00547A77" w:rsidRPr="00394090">
        <w:rPr>
          <w:rFonts w:ascii="Avenir Next" w:hAnsi="Avenir Next"/>
          <w:sz w:val="22"/>
          <w:szCs w:val="22"/>
          <w:highlight w:val="yellow"/>
          <w:lang w:val="en-GB"/>
        </w:rPr>
        <w:t xml:space="preserve">D </w:t>
      </w:r>
      <w:r w:rsidRPr="00394090">
        <w:rPr>
          <w:rFonts w:ascii="Avenir Next" w:hAnsi="Avenir Next"/>
          <w:sz w:val="22"/>
          <w:szCs w:val="22"/>
          <w:highlight w:val="yellow"/>
          <w:lang w:val="en-GB"/>
        </w:rPr>
        <w:t>267 million.</w:t>
      </w:r>
      <w:r w:rsidRPr="00927CE4">
        <w:rPr>
          <w:rFonts w:ascii="Avenir Next" w:hAnsi="Avenir Next"/>
          <w:sz w:val="22"/>
          <w:szCs w:val="22"/>
          <w:lang w:val="en-GB"/>
        </w:rPr>
        <w:t xml:space="preserve">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w:t>
      </w:r>
      <w:r w:rsidRPr="00394090">
        <w:rPr>
          <w:rFonts w:ascii="Avenir Next" w:hAnsi="Avenir Next"/>
          <w:sz w:val="22"/>
          <w:szCs w:val="22"/>
          <w:highlight w:val="yellow"/>
        </w:rPr>
        <w:t>approximately US</w:t>
      </w:r>
      <w:r w:rsidR="003D3048" w:rsidRPr="00394090">
        <w:rPr>
          <w:rFonts w:ascii="Avenir Next" w:hAnsi="Avenir Next"/>
          <w:sz w:val="22"/>
          <w:szCs w:val="22"/>
          <w:highlight w:val="yellow"/>
        </w:rPr>
        <w:t xml:space="preserve">D </w:t>
      </w:r>
      <w:r w:rsidRPr="00394090">
        <w:rPr>
          <w:rFonts w:ascii="Avenir Next" w:hAnsi="Avenir Next"/>
          <w:sz w:val="22"/>
          <w:szCs w:val="22"/>
          <w:highlight w:val="yellow"/>
        </w:rPr>
        <w:t>160 million.</w:t>
      </w:r>
      <w:r w:rsidRPr="0018452A">
        <w:rPr>
          <w:rFonts w:ascii="Avenir Next" w:hAnsi="Avenir Next"/>
          <w:sz w:val="22"/>
          <w:szCs w:val="22"/>
        </w:rPr>
        <w:t xml:space="preserve">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Besides the above liabilities, the Company has also obtained shareholders’ loans of </w:t>
      </w:r>
      <w:r w:rsidRPr="00394090">
        <w:rPr>
          <w:rFonts w:ascii="Avenir Next" w:hAnsi="Avenir Next"/>
          <w:sz w:val="22"/>
          <w:szCs w:val="22"/>
          <w:highlight w:val="yellow"/>
        </w:rPr>
        <w:t>US</w:t>
      </w:r>
      <w:r w:rsidR="003D3048" w:rsidRPr="00394090">
        <w:rPr>
          <w:rFonts w:ascii="Avenir Next" w:hAnsi="Avenir Next"/>
          <w:sz w:val="22"/>
          <w:szCs w:val="22"/>
          <w:highlight w:val="yellow"/>
        </w:rPr>
        <w:t xml:space="preserve">D </w:t>
      </w:r>
      <w:r w:rsidRPr="00394090">
        <w:rPr>
          <w:rFonts w:ascii="Avenir Next" w:hAnsi="Avenir Next"/>
          <w:sz w:val="22"/>
          <w:szCs w:val="22"/>
          <w:highlight w:val="yellow"/>
        </w:rPr>
        <w:t>120 million from Mr</w:t>
      </w:r>
      <w:r w:rsidR="003D3048" w:rsidRPr="00394090">
        <w:rPr>
          <w:rFonts w:ascii="Avenir Next" w:hAnsi="Avenir Next"/>
          <w:sz w:val="22"/>
          <w:szCs w:val="22"/>
          <w:highlight w:val="yellow"/>
        </w:rPr>
        <w:t xml:space="preserve"> </w:t>
      </w:r>
      <w:r w:rsidRPr="00394090">
        <w:rPr>
          <w:rFonts w:ascii="Avenir Next" w:hAnsi="Avenir Next"/>
          <w:sz w:val="22"/>
          <w:szCs w:val="22"/>
          <w:highlight w:val="yellow"/>
        </w:rPr>
        <w:t>X and Mr Y.</w:t>
      </w:r>
      <w:r w:rsidRPr="0018452A">
        <w:rPr>
          <w:rFonts w:ascii="Avenir Next" w:hAnsi="Avenir Next"/>
          <w:sz w:val="22"/>
          <w:szCs w:val="22"/>
        </w:rPr>
        <w:t xml:space="preserve">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7EA4F3D6" w14:textId="0854DE98" w:rsidR="00394090" w:rsidRPr="00394090" w:rsidRDefault="00F7160A" w:rsidP="00394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2EFE62D8" w14:textId="4E8ACBE3" w:rsidR="00B1688A" w:rsidRDefault="00B55831" w:rsidP="003658FA">
      <w:pPr>
        <w:pStyle w:val="ListParagraph"/>
        <w:numPr>
          <w:ilvl w:val="0"/>
          <w:numId w:val="26"/>
        </w:numPr>
        <w:jc w:val="both"/>
        <w:rPr>
          <w:rFonts w:ascii="Avenir Next" w:hAnsi="Avenir Next" w:cs="Arial"/>
          <w:color w:val="808080" w:themeColor="background1" w:themeShade="80"/>
          <w:sz w:val="22"/>
          <w:szCs w:val="22"/>
          <w:lang w:val="en-GB"/>
        </w:rPr>
      </w:pPr>
      <w:bookmarkStart w:id="3" w:name="_Hlk141022368"/>
      <w:r w:rsidRPr="00B1688A">
        <w:rPr>
          <w:rFonts w:ascii="Avenir Next" w:hAnsi="Avenir Next" w:cs="Arial"/>
          <w:color w:val="808080" w:themeColor="background1" w:themeShade="80"/>
          <w:sz w:val="22"/>
          <w:szCs w:val="22"/>
          <w:lang w:val="en-GB"/>
        </w:rPr>
        <w:t>As only a company eligible to be wound up under the IRD Act may be placed under judicial management, this requirement is fulfilled if it can be shown, among others, that (i) the loan/facility agreements are governed by Singapore law</w:t>
      </w:r>
      <w:r w:rsidR="00B1688A" w:rsidRPr="00B1688A">
        <w:rPr>
          <w:rFonts w:ascii="Avenir Next" w:hAnsi="Avenir Next" w:cs="Arial"/>
          <w:color w:val="808080" w:themeColor="background1" w:themeShade="80"/>
          <w:sz w:val="22"/>
          <w:szCs w:val="22"/>
          <w:lang w:val="en-GB"/>
        </w:rPr>
        <w:t xml:space="preserve"> and (ii) that the Company is incorporated in Singapore – this would show that the Company’s centre of main interest is in Singapore.</w:t>
      </w:r>
    </w:p>
    <w:bookmarkEnd w:id="3"/>
    <w:p w14:paraId="2075EC57" w14:textId="77777777" w:rsidR="00B1688A" w:rsidRDefault="00B1688A" w:rsidP="00B1688A">
      <w:pPr>
        <w:pStyle w:val="ListParagraph"/>
        <w:jc w:val="both"/>
        <w:rPr>
          <w:rFonts w:ascii="Avenir Next" w:hAnsi="Avenir Next" w:cs="Arial"/>
          <w:color w:val="808080" w:themeColor="background1" w:themeShade="80"/>
          <w:sz w:val="22"/>
          <w:szCs w:val="22"/>
          <w:lang w:val="en-GB"/>
        </w:rPr>
      </w:pPr>
    </w:p>
    <w:p w14:paraId="0997D7BE" w14:textId="23197690" w:rsidR="00B1688A" w:rsidRDefault="00C72541" w:rsidP="003658FA">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under the IRD Act is only available if one or both of the following requirements are met:</w:t>
      </w:r>
    </w:p>
    <w:p w14:paraId="2DEF6731" w14:textId="77777777" w:rsidR="00C72541" w:rsidRPr="00C72541" w:rsidRDefault="00C72541" w:rsidP="00C72541">
      <w:pPr>
        <w:pStyle w:val="ListParagraph"/>
        <w:rPr>
          <w:rFonts w:ascii="Avenir Next" w:hAnsi="Avenir Next" w:cs="Arial"/>
          <w:color w:val="808080" w:themeColor="background1" w:themeShade="80"/>
          <w:sz w:val="22"/>
          <w:szCs w:val="22"/>
          <w:lang w:val="en-GB"/>
        </w:rPr>
      </w:pPr>
    </w:p>
    <w:p w14:paraId="38FB751E" w14:textId="0F5E723F" w:rsidR="00C72541" w:rsidRDefault="00C72541" w:rsidP="00C72541">
      <w:pPr>
        <w:pStyle w:val="ListParagraph"/>
        <w:numPr>
          <w:ilvl w:val="0"/>
          <w:numId w:val="27"/>
        </w:numPr>
        <w:jc w:val="both"/>
        <w:rPr>
          <w:rFonts w:ascii="Avenir Next" w:hAnsi="Avenir Next" w:cs="Arial"/>
          <w:bCs/>
          <w:iCs/>
          <w:color w:val="808080" w:themeColor="background1" w:themeShade="80"/>
          <w:sz w:val="22"/>
          <w:szCs w:val="22"/>
          <w:lang w:val="en-GB"/>
        </w:rPr>
      </w:pPr>
      <w:r w:rsidRPr="00C72541">
        <w:rPr>
          <w:rFonts w:ascii="Avenir Next" w:hAnsi="Avenir Next" w:cs="Arial"/>
          <w:bCs/>
          <w:iCs/>
          <w:color w:val="808080" w:themeColor="background1" w:themeShade="80"/>
          <w:sz w:val="22"/>
          <w:szCs w:val="22"/>
          <w:lang w:val="en-GB"/>
        </w:rPr>
        <w:lastRenderedPageBreak/>
        <w:t xml:space="preserve">that is necessary for the survival of </w:t>
      </w:r>
      <w:r>
        <w:rPr>
          <w:rFonts w:ascii="Avenir Next" w:hAnsi="Avenir Next" w:cs="Arial"/>
          <w:bCs/>
          <w:iCs/>
          <w:color w:val="808080" w:themeColor="background1" w:themeShade="80"/>
          <w:sz w:val="22"/>
          <w:szCs w:val="22"/>
          <w:lang w:val="en-GB"/>
        </w:rPr>
        <w:t xml:space="preserve">the Company; </w:t>
      </w:r>
      <w:r w:rsidRPr="00C72541">
        <w:rPr>
          <w:rFonts w:ascii="Avenir Next" w:hAnsi="Avenir Next" w:cs="Arial"/>
          <w:bCs/>
          <w:iCs/>
          <w:color w:val="808080" w:themeColor="background1" w:themeShade="80"/>
          <w:sz w:val="22"/>
          <w:szCs w:val="22"/>
          <w:lang w:val="en-GB"/>
        </w:rPr>
        <w:t xml:space="preserve">and/or </w:t>
      </w:r>
    </w:p>
    <w:p w14:paraId="6FA9A64A" w14:textId="77777777" w:rsidR="00C72541" w:rsidRDefault="00C72541" w:rsidP="00C72541">
      <w:pPr>
        <w:pStyle w:val="ListParagraph"/>
        <w:ind w:left="1440"/>
        <w:jc w:val="both"/>
        <w:rPr>
          <w:rFonts w:ascii="Avenir Next" w:hAnsi="Avenir Next" w:cs="Arial"/>
          <w:bCs/>
          <w:iCs/>
          <w:color w:val="808080" w:themeColor="background1" w:themeShade="80"/>
          <w:sz w:val="22"/>
          <w:szCs w:val="22"/>
          <w:lang w:val="en-GB"/>
        </w:rPr>
      </w:pPr>
    </w:p>
    <w:p w14:paraId="20591D95" w14:textId="7849DCB4" w:rsidR="00C72541" w:rsidRPr="00C72541" w:rsidRDefault="00C72541" w:rsidP="00C72541">
      <w:pPr>
        <w:pStyle w:val="ListParagraph"/>
        <w:numPr>
          <w:ilvl w:val="0"/>
          <w:numId w:val="27"/>
        </w:numPr>
        <w:jc w:val="both"/>
        <w:rPr>
          <w:rFonts w:ascii="Avenir Next" w:hAnsi="Avenir Next" w:cs="Arial"/>
          <w:bCs/>
          <w:iCs/>
          <w:color w:val="808080" w:themeColor="background1" w:themeShade="80"/>
          <w:sz w:val="22"/>
          <w:szCs w:val="22"/>
          <w:lang w:val="en-GB"/>
        </w:rPr>
      </w:pPr>
      <w:r>
        <w:rPr>
          <w:rFonts w:ascii="Avenir Next" w:hAnsi="Avenir Next" w:cs="Arial"/>
          <w:bCs/>
          <w:iCs/>
          <w:color w:val="808080" w:themeColor="background1" w:themeShade="80"/>
          <w:sz w:val="22"/>
          <w:szCs w:val="22"/>
          <w:lang w:val="en-GB"/>
        </w:rPr>
        <w:t xml:space="preserve">that it is </w:t>
      </w:r>
      <w:r w:rsidRPr="00C72541">
        <w:rPr>
          <w:rFonts w:ascii="Avenir Next" w:hAnsi="Avenir Next" w:cs="Arial"/>
          <w:bCs/>
          <w:iCs/>
          <w:color w:val="808080" w:themeColor="background1" w:themeShade="80"/>
          <w:sz w:val="22"/>
          <w:szCs w:val="22"/>
          <w:lang w:val="en-GB"/>
        </w:rPr>
        <w:t>necessary to achieve a more advantageous realisation of the asset</w:t>
      </w:r>
      <w:r>
        <w:rPr>
          <w:rFonts w:ascii="Avenir Next" w:hAnsi="Avenir Next" w:cs="Arial"/>
          <w:bCs/>
          <w:iCs/>
          <w:color w:val="808080" w:themeColor="background1" w:themeShade="80"/>
          <w:sz w:val="22"/>
          <w:szCs w:val="22"/>
          <w:lang w:val="en-GB"/>
        </w:rPr>
        <w:t xml:space="preserve">s of the Company </w:t>
      </w:r>
      <w:r w:rsidRPr="00C72541">
        <w:rPr>
          <w:rFonts w:ascii="Avenir Next" w:hAnsi="Avenir Next" w:cs="Arial"/>
          <w:bCs/>
          <w:iCs/>
          <w:color w:val="808080" w:themeColor="background1" w:themeShade="80"/>
          <w:sz w:val="22"/>
          <w:szCs w:val="22"/>
          <w:lang w:val="en-GB"/>
        </w:rPr>
        <w:t xml:space="preserve">that obtains the financing, as compared to a winding-up of the </w:t>
      </w:r>
      <w:r>
        <w:rPr>
          <w:rFonts w:ascii="Avenir Next" w:hAnsi="Avenir Next" w:cs="Arial"/>
          <w:bCs/>
          <w:iCs/>
          <w:color w:val="808080" w:themeColor="background1" w:themeShade="80"/>
          <w:sz w:val="22"/>
          <w:szCs w:val="22"/>
          <w:lang w:val="en-GB"/>
        </w:rPr>
        <w:t>Company.</w:t>
      </w:r>
      <w:r w:rsidRPr="00C72541">
        <w:rPr>
          <w:rFonts w:ascii="Avenir Next" w:hAnsi="Avenir Next" w:cs="Arial"/>
          <w:bCs/>
          <w:iCs/>
          <w:color w:val="808080" w:themeColor="background1" w:themeShade="80"/>
          <w:sz w:val="22"/>
          <w:szCs w:val="22"/>
          <w:lang w:val="en-GB"/>
        </w:rPr>
        <w:t xml:space="preserve">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13BB1D32" w14:textId="371D5AC1" w:rsidR="003110C9" w:rsidRPr="008C35C9" w:rsidRDefault="003110C9"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the concept of insolvency proceedings fpr a group of companies is not recognised under Singapore law. This is because under Singapore law, each company is treated as a separate legal entity on its own. On that basis the bank lenders must file separate insolvency proceedings for Alpha Pte Ltd and Beta Pte Ltd respectively.</w:t>
      </w:r>
      <w:r w:rsidR="00F07709">
        <w:rPr>
          <w:rFonts w:ascii="Avenir Next" w:hAnsi="Avenir Next" w:cs="Arial"/>
          <w:color w:val="808080" w:themeColor="background1" w:themeShade="80"/>
          <w:sz w:val="22"/>
          <w:szCs w:val="22"/>
          <w:lang w:val="en-GB"/>
        </w:rPr>
        <w:t xml:space="preserve"> Because of this, the bank lenders must also show that Alpha Pte Ltd and Beta Pte Ltd each has debts owed to the bank lenders. The bank lenders cannot reply on  the Company’s debts as grounds to place its subsidiaries under judicial management.</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38B56D1D" w:rsidR="008C35C9" w:rsidRDefault="007F1D7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IRD Act, </w:t>
      </w:r>
      <w:r w:rsidR="00336447">
        <w:rPr>
          <w:rFonts w:ascii="Avenir Next" w:hAnsi="Avenir Next" w:cs="Arial"/>
          <w:color w:val="808080" w:themeColor="background1" w:themeShade="80"/>
          <w:sz w:val="22"/>
          <w:szCs w:val="22"/>
          <w:lang w:val="en-GB"/>
        </w:rPr>
        <w:t>Charlies Pty Ltd, a foreign entity, can be placed into judicial management in Singapore provided it can be shown that Charlies Pty Ltd has a “substantial connection” with Singapore. In the present case, “substantial connection” to Singapore can be established based on the following factors:</w:t>
      </w:r>
    </w:p>
    <w:p w14:paraId="48F6F071" w14:textId="77777777" w:rsidR="00336447" w:rsidRDefault="00336447" w:rsidP="008C35C9">
      <w:pPr>
        <w:jc w:val="both"/>
        <w:rPr>
          <w:rFonts w:ascii="Avenir Next" w:hAnsi="Avenir Next" w:cs="Arial"/>
          <w:color w:val="808080" w:themeColor="background1" w:themeShade="80"/>
          <w:sz w:val="22"/>
          <w:szCs w:val="22"/>
          <w:lang w:val="en-GB"/>
        </w:rPr>
      </w:pPr>
    </w:p>
    <w:p w14:paraId="77FD9BF5" w14:textId="7AB7F539" w:rsidR="00655007" w:rsidRDefault="00655007" w:rsidP="002C723B">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centre of main interests of the debtor is located in Singapore by reason of </w:t>
      </w:r>
      <w:r w:rsidRPr="002C723B">
        <w:rPr>
          <w:rFonts w:ascii="Avenir Next" w:hAnsi="Avenir Next" w:cs="Arial"/>
          <w:color w:val="808080" w:themeColor="background1" w:themeShade="80"/>
          <w:sz w:val="22"/>
          <w:szCs w:val="22"/>
          <w:lang w:val="en-GB"/>
        </w:rPr>
        <w:t>Mr X and Y who are both Singaporeans residing in</w:t>
      </w:r>
      <w:r w:rsidR="00072E60" w:rsidRPr="002C723B">
        <w:rPr>
          <w:rFonts w:ascii="Avenir Next" w:hAnsi="Avenir Next" w:cs="Arial"/>
          <w:color w:val="808080" w:themeColor="background1" w:themeShade="80"/>
          <w:sz w:val="22"/>
          <w:szCs w:val="22"/>
          <w:lang w:val="en-GB"/>
        </w:rPr>
        <w:t xml:space="preserve"> Singapore, are the majority directors of Charlie Pty Ltd</w:t>
      </w:r>
      <w:r w:rsidR="002C723B">
        <w:rPr>
          <w:rFonts w:ascii="Avenir Next" w:hAnsi="Avenir Next" w:cs="Arial"/>
          <w:color w:val="808080" w:themeColor="background1" w:themeShade="80"/>
          <w:sz w:val="22"/>
          <w:szCs w:val="22"/>
          <w:lang w:val="en-GB"/>
        </w:rPr>
        <w:t>;</w:t>
      </w:r>
    </w:p>
    <w:p w14:paraId="1A8FD2CE" w14:textId="77777777" w:rsidR="002C723B" w:rsidRDefault="002C723B" w:rsidP="002C723B">
      <w:pPr>
        <w:pStyle w:val="ListParagraph"/>
        <w:ind w:left="1080"/>
        <w:jc w:val="both"/>
        <w:rPr>
          <w:rFonts w:ascii="Avenir Next" w:hAnsi="Avenir Next" w:cs="Arial"/>
          <w:color w:val="808080" w:themeColor="background1" w:themeShade="80"/>
          <w:sz w:val="22"/>
          <w:szCs w:val="22"/>
          <w:lang w:val="en-GB"/>
        </w:rPr>
      </w:pPr>
    </w:p>
    <w:p w14:paraId="1B0A0F88" w14:textId="5CE4A750" w:rsidR="002C723B" w:rsidRDefault="002C723B" w:rsidP="002C723B">
      <w:pPr>
        <w:pStyle w:val="ListParagraph"/>
        <w:numPr>
          <w:ilvl w:val="0"/>
          <w:numId w:val="28"/>
        </w:numPr>
        <w:jc w:val="both"/>
        <w:rPr>
          <w:rFonts w:ascii="Avenir Next" w:hAnsi="Avenir Next" w:cs="Arial"/>
          <w:color w:val="808080" w:themeColor="background1" w:themeShade="80"/>
          <w:sz w:val="22"/>
          <w:szCs w:val="22"/>
          <w:lang w:val="en-GB"/>
        </w:rPr>
      </w:pPr>
      <w:r w:rsidRPr="002C723B">
        <w:rPr>
          <w:rFonts w:ascii="Avenir Next" w:hAnsi="Avenir Next" w:cs="Arial"/>
          <w:color w:val="808080" w:themeColor="background1" w:themeShade="80"/>
          <w:sz w:val="22"/>
          <w:szCs w:val="22"/>
          <w:lang w:val="en-GB"/>
        </w:rPr>
        <w:t>That Charlie Pty Ltd’s properties in Australia</w:t>
      </w:r>
      <w:r w:rsidRPr="002C723B">
        <w:rPr>
          <w:rFonts w:ascii="Avenir Next" w:hAnsi="Avenir Next" w:cs="Arial"/>
          <w:color w:val="808080" w:themeColor="background1" w:themeShade="80"/>
          <w:sz w:val="22"/>
          <w:szCs w:val="22"/>
          <w:lang w:val="en-GB"/>
        </w:rPr>
        <w:t xml:space="preserve"> are mortgaged to a Singapore bank pursuant to a bank facility that is governed by Singapore law.</w:t>
      </w:r>
    </w:p>
    <w:p w14:paraId="7A21BFAE" w14:textId="77777777" w:rsidR="002C723B" w:rsidRPr="002C723B" w:rsidRDefault="002C723B" w:rsidP="002C723B">
      <w:pPr>
        <w:jc w:val="both"/>
        <w:rPr>
          <w:rFonts w:ascii="Avenir Next" w:hAnsi="Avenir Next" w:cs="Arial"/>
          <w:color w:val="808080" w:themeColor="background1" w:themeShade="80"/>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16A34D2D" w14:textId="07C258FE" w:rsidR="00EE062F" w:rsidRDefault="00A37A1A" w:rsidP="008C35C9">
      <w:pPr>
        <w:jc w:val="both"/>
        <w:rPr>
          <w:rFonts w:ascii="Avenir Next" w:hAnsi="Avenir Next" w:cs="Arial"/>
          <w:b/>
          <w:bCs/>
          <w:sz w:val="22"/>
          <w:szCs w:val="22"/>
          <w:lang w:val="en-GB"/>
        </w:rPr>
      </w:pPr>
      <w:r>
        <w:rPr>
          <w:rFonts w:ascii="Avenir Next" w:hAnsi="Avenir Next" w:cs="Arial"/>
          <w:color w:val="808080" w:themeColor="background1" w:themeShade="80"/>
          <w:sz w:val="22"/>
          <w:szCs w:val="22"/>
          <w:lang w:val="en-GB"/>
        </w:rPr>
        <w:t xml:space="preserve">For the assets outside of Singapore to be protected, ABC group must apply for the judicial management orders obtained in Singapore to be recognised in the foreign jurisdiction where the properties are to be protected. </w:t>
      </w:r>
      <w:r w:rsidR="001E2EAD">
        <w:rPr>
          <w:rFonts w:ascii="Avenir Next" w:hAnsi="Avenir Next" w:cs="Arial"/>
          <w:color w:val="808080" w:themeColor="background1" w:themeShade="80"/>
          <w:sz w:val="22"/>
          <w:szCs w:val="22"/>
          <w:lang w:val="en-GB"/>
        </w:rPr>
        <w:t xml:space="preserve"> </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A032B5D" w:rsidR="00241FA3" w:rsidRPr="00CB75C5" w:rsidRDefault="00403D25" w:rsidP="00403D25">
    <w:pPr>
      <w:pStyle w:val="Footer"/>
      <w:ind w:right="360"/>
      <w:rPr>
        <w:rFonts w:ascii="Avenir Next" w:hAnsi="Avenir Next" w:cs="Arial"/>
        <w:sz w:val="18"/>
        <w:szCs w:val="18"/>
        <w:lang w:val="en-GB"/>
      </w:rPr>
    </w:pPr>
    <w:r>
      <w:rPr>
        <w:rFonts w:ascii="Avenir Next" w:hAnsi="Avenir Next" w:cs="Arial"/>
        <w:sz w:val="18"/>
        <w:szCs w:val="18"/>
        <w:lang w:val="en-GB"/>
      </w:rPr>
      <w:fldChar w:fldCharType="begin"/>
    </w:r>
    <w:r>
      <w:rPr>
        <w:rFonts w:ascii="Avenir Next" w:hAnsi="Avenir Next" w:cs="Arial"/>
        <w:sz w:val="18"/>
        <w:szCs w:val="18"/>
        <w:lang w:val="en-GB"/>
      </w:rPr>
      <w:instrText xml:space="preserve"> DOCPROPERTY iManageFooter \* MERGEFORMAT </w:instrText>
    </w:r>
    <w:r>
      <w:rPr>
        <w:rFonts w:ascii="Avenir Next" w:hAnsi="Avenir Next" w:cs="Arial"/>
        <w:sz w:val="18"/>
        <w:szCs w:val="18"/>
        <w:lang w:val="en-GB"/>
      </w:rPr>
      <w:fldChar w:fldCharType="separate"/>
    </w:r>
    <w:r>
      <w:rPr>
        <w:rFonts w:ascii="Avenir Next" w:hAnsi="Avenir Next" w:cs="Arial"/>
        <w:sz w:val="18"/>
        <w:szCs w:val="18"/>
        <w:lang w:val="en-GB"/>
      </w:rPr>
      <w:t>&lt;#1745053&gt;&lt;JAN&gt;&lt;JANICE.OOI&gt;&lt;JANICE.OOI&gt;</w:t>
    </w:r>
    <w:r>
      <w:rPr>
        <w:rFonts w:ascii="Avenir Next" w:hAnsi="Avenir Next" w:cs="Aria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5370" w14:textId="799A6FC0" w:rsidR="00031312" w:rsidRDefault="00403D25">
    <w:pPr>
      <w:pStyle w:val="Footer"/>
    </w:pPr>
    <w:r>
      <w:fldChar w:fldCharType="begin"/>
    </w:r>
    <w:r>
      <w:instrText xml:space="preserve"> DOCPROPERTY iManageFooter \* MERGEFORMAT </w:instrText>
    </w:r>
    <w:r>
      <w:fldChar w:fldCharType="separate"/>
    </w:r>
    <w:r w:rsidR="00031312">
      <w:t>&lt;#1745017&gt;&lt;JAN&gt;&lt;JANICE.OOI&gt;&lt;JANICE.OOI&gt;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699" w14:textId="77777777" w:rsidR="001E2EAD" w:rsidRDefault="001E2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1204" w14:textId="77777777" w:rsidR="001E2EAD" w:rsidRDefault="001E2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3B47" w14:textId="77777777" w:rsidR="001E2EAD" w:rsidRDefault="001E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666"/>
    <w:multiLevelType w:val="hybridMultilevel"/>
    <w:tmpl w:val="E2684A58"/>
    <w:lvl w:ilvl="0" w:tplc="77707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B6C95"/>
    <w:multiLevelType w:val="hybridMultilevel"/>
    <w:tmpl w:val="F2F2B1BC"/>
    <w:lvl w:ilvl="0" w:tplc="FEDE4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F4DC5"/>
    <w:multiLevelType w:val="hybridMultilevel"/>
    <w:tmpl w:val="6C86AA58"/>
    <w:lvl w:ilvl="0" w:tplc="DE6A2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4B2F"/>
    <w:multiLevelType w:val="hybridMultilevel"/>
    <w:tmpl w:val="2F96093C"/>
    <w:lvl w:ilvl="0" w:tplc="D2AC8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11650E6B"/>
    <w:multiLevelType w:val="hybridMultilevel"/>
    <w:tmpl w:val="D136B68A"/>
    <w:lvl w:ilvl="0" w:tplc="61DC8864">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32C027AE"/>
    <w:multiLevelType w:val="hybridMultilevel"/>
    <w:tmpl w:val="C7F8F710"/>
    <w:lvl w:ilvl="0" w:tplc="B2784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442D3A88"/>
    <w:multiLevelType w:val="hybridMultilevel"/>
    <w:tmpl w:val="F23A563C"/>
    <w:lvl w:ilvl="0" w:tplc="D9C62E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79E4B09"/>
    <w:multiLevelType w:val="hybridMultilevel"/>
    <w:tmpl w:val="D6AABE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9" w15:restartNumberingAfterBreak="0">
    <w:nsid w:val="586C7B9E"/>
    <w:multiLevelType w:val="hybridMultilevel"/>
    <w:tmpl w:val="B54822FA"/>
    <w:lvl w:ilvl="0" w:tplc="8312D5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83523"/>
    <w:multiLevelType w:val="hybridMultilevel"/>
    <w:tmpl w:val="46E2A068"/>
    <w:lvl w:ilvl="0" w:tplc="4A2E5D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913D9"/>
    <w:multiLevelType w:val="hybridMultilevel"/>
    <w:tmpl w:val="25B05A66"/>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955D6"/>
    <w:multiLevelType w:val="hybridMultilevel"/>
    <w:tmpl w:val="6100C534"/>
    <w:lvl w:ilvl="0" w:tplc="918C4F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896622430">
    <w:abstractNumId w:val="6"/>
  </w:num>
  <w:num w:numId="2" w16cid:durableId="1735398409">
    <w:abstractNumId w:val="11"/>
  </w:num>
  <w:num w:numId="3" w16cid:durableId="82920320">
    <w:abstractNumId w:val="28"/>
  </w:num>
  <w:num w:numId="4" w16cid:durableId="169494143">
    <w:abstractNumId w:val="7"/>
  </w:num>
  <w:num w:numId="5" w16cid:durableId="1921864688">
    <w:abstractNumId w:val="26"/>
  </w:num>
  <w:num w:numId="6" w16cid:durableId="1398700618">
    <w:abstractNumId w:val="27"/>
  </w:num>
  <w:num w:numId="7" w16cid:durableId="2114546634">
    <w:abstractNumId w:val="9"/>
  </w:num>
  <w:num w:numId="8" w16cid:durableId="1686132307">
    <w:abstractNumId w:val="24"/>
  </w:num>
  <w:num w:numId="9" w16cid:durableId="64768532">
    <w:abstractNumId w:val="12"/>
  </w:num>
  <w:num w:numId="10" w16cid:durableId="355279153">
    <w:abstractNumId w:val="13"/>
  </w:num>
  <w:num w:numId="11" w16cid:durableId="1353844120">
    <w:abstractNumId w:val="4"/>
  </w:num>
  <w:num w:numId="12" w16cid:durableId="1900361152">
    <w:abstractNumId w:val="14"/>
  </w:num>
  <w:num w:numId="13" w16cid:durableId="567574141">
    <w:abstractNumId w:val="10"/>
  </w:num>
  <w:num w:numId="14" w16cid:durableId="1305308542">
    <w:abstractNumId w:val="20"/>
  </w:num>
  <w:num w:numId="15" w16cid:durableId="266231636">
    <w:abstractNumId w:val="16"/>
  </w:num>
  <w:num w:numId="16" w16cid:durableId="2132438243">
    <w:abstractNumId w:val="18"/>
  </w:num>
  <w:num w:numId="17" w16cid:durableId="1943679811">
    <w:abstractNumId w:val="23"/>
  </w:num>
  <w:num w:numId="18" w16cid:durableId="1069839632">
    <w:abstractNumId w:val="21"/>
  </w:num>
  <w:num w:numId="19" w16cid:durableId="205722029">
    <w:abstractNumId w:val="19"/>
  </w:num>
  <w:num w:numId="20" w16cid:durableId="1818690501">
    <w:abstractNumId w:val="25"/>
  </w:num>
  <w:num w:numId="21" w16cid:durableId="546333837">
    <w:abstractNumId w:val="17"/>
  </w:num>
  <w:num w:numId="22" w16cid:durableId="2088307644">
    <w:abstractNumId w:val="8"/>
  </w:num>
  <w:num w:numId="23" w16cid:durableId="184638426">
    <w:abstractNumId w:val="1"/>
  </w:num>
  <w:num w:numId="24" w16cid:durableId="449281179">
    <w:abstractNumId w:val="22"/>
  </w:num>
  <w:num w:numId="25" w16cid:durableId="1423794109">
    <w:abstractNumId w:val="5"/>
  </w:num>
  <w:num w:numId="26" w16cid:durableId="743069754">
    <w:abstractNumId w:val="2"/>
  </w:num>
  <w:num w:numId="27" w16cid:durableId="2034844517">
    <w:abstractNumId w:val="0"/>
  </w:num>
  <w:num w:numId="28" w16cid:durableId="858473395">
    <w:abstractNumId w:val="3"/>
  </w:num>
  <w:num w:numId="29" w16cid:durableId="161166957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312"/>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0A5F"/>
    <w:rsid w:val="0007191F"/>
    <w:rsid w:val="00072E60"/>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408"/>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2ABA"/>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97F88"/>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0D85"/>
    <w:rsid w:val="001D29C0"/>
    <w:rsid w:val="001D4862"/>
    <w:rsid w:val="001D4BA3"/>
    <w:rsid w:val="001D4CF9"/>
    <w:rsid w:val="001D572A"/>
    <w:rsid w:val="001D780C"/>
    <w:rsid w:val="001E087D"/>
    <w:rsid w:val="001E1429"/>
    <w:rsid w:val="001E25B9"/>
    <w:rsid w:val="001E2EAD"/>
    <w:rsid w:val="001E49B0"/>
    <w:rsid w:val="001E49E0"/>
    <w:rsid w:val="001E748A"/>
    <w:rsid w:val="001E7B5A"/>
    <w:rsid w:val="001F2899"/>
    <w:rsid w:val="001F52A0"/>
    <w:rsid w:val="001F7412"/>
    <w:rsid w:val="001F7FCF"/>
    <w:rsid w:val="0020090A"/>
    <w:rsid w:val="00201840"/>
    <w:rsid w:val="002018B7"/>
    <w:rsid w:val="00202DFE"/>
    <w:rsid w:val="0020537C"/>
    <w:rsid w:val="00206D5D"/>
    <w:rsid w:val="0020725B"/>
    <w:rsid w:val="00207C3D"/>
    <w:rsid w:val="00210D5E"/>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6B82"/>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C723B"/>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2B56"/>
    <w:rsid w:val="00303C2F"/>
    <w:rsid w:val="00305E53"/>
    <w:rsid w:val="003067CD"/>
    <w:rsid w:val="00307C79"/>
    <w:rsid w:val="00307D85"/>
    <w:rsid w:val="00310CD9"/>
    <w:rsid w:val="003110C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6447"/>
    <w:rsid w:val="0033768C"/>
    <w:rsid w:val="00337938"/>
    <w:rsid w:val="00340769"/>
    <w:rsid w:val="00341AA6"/>
    <w:rsid w:val="00343808"/>
    <w:rsid w:val="00350A44"/>
    <w:rsid w:val="00351246"/>
    <w:rsid w:val="00353237"/>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3A1"/>
    <w:rsid w:val="003804AE"/>
    <w:rsid w:val="00381819"/>
    <w:rsid w:val="00381BA3"/>
    <w:rsid w:val="00382C98"/>
    <w:rsid w:val="0038533C"/>
    <w:rsid w:val="003859F1"/>
    <w:rsid w:val="00385BC5"/>
    <w:rsid w:val="00386568"/>
    <w:rsid w:val="003908E2"/>
    <w:rsid w:val="00390B57"/>
    <w:rsid w:val="00392C02"/>
    <w:rsid w:val="00392C97"/>
    <w:rsid w:val="0039314F"/>
    <w:rsid w:val="003936B2"/>
    <w:rsid w:val="00393730"/>
    <w:rsid w:val="0039409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3D25"/>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2F26"/>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4F92"/>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27737"/>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48A7"/>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5007"/>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0F3E"/>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0B72"/>
    <w:rsid w:val="007620D0"/>
    <w:rsid w:val="007637DE"/>
    <w:rsid w:val="00764DB0"/>
    <w:rsid w:val="00765A8B"/>
    <w:rsid w:val="00765AE9"/>
    <w:rsid w:val="0076764D"/>
    <w:rsid w:val="0077498C"/>
    <w:rsid w:val="00775BCC"/>
    <w:rsid w:val="0077686D"/>
    <w:rsid w:val="007809BC"/>
    <w:rsid w:val="00784128"/>
    <w:rsid w:val="00785C03"/>
    <w:rsid w:val="00785FE5"/>
    <w:rsid w:val="007864ED"/>
    <w:rsid w:val="00786E84"/>
    <w:rsid w:val="007875E5"/>
    <w:rsid w:val="00787A23"/>
    <w:rsid w:val="00787BCC"/>
    <w:rsid w:val="00792E0B"/>
    <w:rsid w:val="00793173"/>
    <w:rsid w:val="0079455A"/>
    <w:rsid w:val="007957BF"/>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1D78"/>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1A3A"/>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24A9"/>
    <w:rsid w:val="008B4E45"/>
    <w:rsid w:val="008B5165"/>
    <w:rsid w:val="008B5333"/>
    <w:rsid w:val="008B6223"/>
    <w:rsid w:val="008C06AD"/>
    <w:rsid w:val="008C0A02"/>
    <w:rsid w:val="008C35C9"/>
    <w:rsid w:val="008C66E0"/>
    <w:rsid w:val="008C7904"/>
    <w:rsid w:val="008D769A"/>
    <w:rsid w:val="008E1B84"/>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77725"/>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0D1C"/>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37A1A"/>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1D2E"/>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688A"/>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5831"/>
    <w:rsid w:val="00B56103"/>
    <w:rsid w:val="00B61534"/>
    <w:rsid w:val="00B63933"/>
    <w:rsid w:val="00B64929"/>
    <w:rsid w:val="00B66A3E"/>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3569"/>
    <w:rsid w:val="00BE4005"/>
    <w:rsid w:val="00BE4FF3"/>
    <w:rsid w:val="00BF1E73"/>
    <w:rsid w:val="00BF2335"/>
    <w:rsid w:val="00BF499E"/>
    <w:rsid w:val="00BF49E3"/>
    <w:rsid w:val="00BF50F7"/>
    <w:rsid w:val="00BF7606"/>
    <w:rsid w:val="00C0252A"/>
    <w:rsid w:val="00C02F29"/>
    <w:rsid w:val="00C0304D"/>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5F46"/>
    <w:rsid w:val="00C46A92"/>
    <w:rsid w:val="00C46EC1"/>
    <w:rsid w:val="00C52796"/>
    <w:rsid w:val="00C52A47"/>
    <w:rsid w:val="00C53713"/>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541"/>
    <w:rsid w:val="00C72848"/>
    <w:rsid w:val="00C7736C"/>
    <w:rsid w:val="00C8080C"/>
    <w:rsid w:val="00C81387"/>
    <w:rsid w:val="00C82D87"/>
    <w:rsid w:val="00C83657"/>
    <w:rsid w:val="00C84299"/>
    <w:rsid w:val="00C8712A"/>
    <w:rsid w:val="00C902C8"/>
    <w:rsid w:val="00C919D1"/>
    <w:rsid w:val="00C95696"/>
    <w:rsid w:val="00C963D3"/>
    <w:rsid w:val="00CA254C"/>
    <w:rsid w:val="00CA7B50"/>
    <w:rsid w:val="00CB116D"/>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5D0"/>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0EA6"/>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1A83"/>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2669"/>
    <w:rsid w:val="00EF5572"/>
    <w:rsid w:val="00EF6D63"/>
    <w:rsid w:val="00F02278"/>
    <w:rsid w:val="00F033DA"/>
    <w:rsid w:val="00F05174"/>
    <w:rsid w:val="00F05DFD"/>
    <w:rsid w:val="00F07709"/>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37F1"/>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3</cp:revision>
  <cp:lastPrinted>2019-08-27T05:42:00Z</cp:lastPrinted>
  <dcterms:created xsi:type="dcterms:W3CDTF">2023-07-23T09:45:00Z</dcterms:created>
  <dcterms:modified xsi:type="dcterms:W3CDTF">2023-07-23T09:45:00Z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&lt;#1745053&gt;&lt;JAN&gt;&lt;JANICE.OOI&gt;&lt;JANICE.OOI&gt;</vt:lpwstr>
  </property>
</Properties>
</file>