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enabsatz"/>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enabsatz"/>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471D43" w:rsidRDefault="00436884" w:rsidP="00436884">
      <w:pPr>
        <w:pStyle w:val="Listenabsatz"/>
        <w:numPr>
          <w:ilvl w:val="0"/>
          <w:numId w:val="12"/>
        </w:numPr>
        <w:ind w:left="426"/>
        <w:jc w:val="both"/>
        <w:rPr>
          <w:rFonts w:ascii="Avenir Next" w:hAnsi="Avenir Next" w:cs="Arial"/>
          <w:sz w:val="22"/>
          <w:szCs w:val="22"/>
          <w:highlight w:val="yellow"/>
          <w:lang w:val="en-GB"/>
        </w:rPr>
      </w:pPr>
      <w:r w:rsidRPr="00471D43">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enabsatz"/>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enabsatz"/>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enabsatz"/>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7F4E64" w:rsidRDefault="00436884" w:rsidP="00436884">
      <w:pPr>
        <w:pStyle w:val="Listenabsatz"/>
        <w:numPr>
          <w:ilvl w:val="0"/>
          <w:numId w:val="14"/>
        </w:numPr>
        <w:ind w:left="426"/>
        <w:jc w:val="both"/>
        <w:rPr>
          <w:rFonts w:ascii="Avenir Next" w:hAnsi="Avenir Next" w:cs="Arial"/>
          <w:sz w:val="22"/>
          <w:szCs w:val="22"/>
          <w:lang w:val="en-GB"/>
        </w:rPr>
      </w:pPr>
      <w:r w:rsidRPr="007F4E64">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7F4E64" w:rsidRDefault="00436884" w:rsidP="00436884">
      <w:pPr>
        <w:pStyle w:val="Listenabsatz"/>
        <w:numPr>
          <w:ilvl w:val="0"/>
          <w:numId w:val="14"/>
        </w:numPr>
        <w:ind w:left="426"/>
        <w:jc w:val="both"/>
        <w:rPr>
          <w:rFonts w:ascii="Avenir Next" w:hAnsi="Avenir Next" w:cs="Arial"/>
          <w:sz w:val="22"/>
          <w:szCs w:val="22"/>
          <w:highlight w:val="yellow"/>
          <w:lang w:val="en-GB"/>
        </w:rPr>
      </w:pPr>
      <w:r w:rsidRPr="007F4E64">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enabsatz"/>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8F1747" w:rsidRDefault="00853A74" w:rsidP="00853A74">
      <w:pPr>
        <w:pStyle w:val="Listenabsatz"/>
        <w:numPr>
          <w:ilvl w:val="0"/>
          <w:numId w:val="16"/>
        </w:numPr>
        <w:ind w:left="426"/>
        <w:jc w:val="both"/>
        <w:rPr>
          <w:rFonts w:ascii="Avenir Next" w:hAnsi="Avenir Next" w:cs="Arial"/>
          <w:sz w:val="22"/>
          <w:szCs w:val="22"/>
          <w:lang w:val="en-GB"/>
        </w:rPr>
      </w:pPr>
      <w:r w:rsidRPr="008F1747">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8F1747" w:rsidRDefault="00853A74" w:rsidP="00853A74">
      <w:pPr>
        <w:pStyle w:val="Listenabsatz"/>
        <w:numPr>
          <w:ilvl w:val="0"/>
          <w:numId w:val="16"/>
        </w:numPr>
        <w:ind w:left="426"/>
        <w:jc w:val="both"/>
        <w:rPr>
          <w:rFonts w:ascii="Avenir Next" w:hAnsi="Avenir Next" w:cs="Arial"/>
          <w:sz w:val="22"/>
          <w:szCs w:val="22"/>
          <w:highlight w:val="yellow"/>
          <w:lang w:val="en-GB"/>
        </w:rPr>
      </w:pPr>
      <w:r w:rsidRPr="008F1747">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enabsatz"/>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enabsatz"/>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E70660" w:rsidRDefault="00436884" w:rsidP="00436884">
      <w:pPr>
        <w:pStyle w:val="Listenabsatz"/>
        <w:numPr>
          <w:ilvl w:val="0"/>
          <w:numId w:val="18"/>
        </w:numPr>
        <w:ind w:left="426"/>
        <w:jc w:val="both"/>
        <w:rPr>
          <w:rFonts w:ascii="Avenir Next" w:hAnsi="Avenir Next" w:cs="Arial"/>
          <w:sz w:val="22"/>
          <w:szCs w:val="22"/>
          <w:highlight w:val="yellow"/>
          <w:lang w:val="en-GB"/>
        </w:rPr>
      </w:pPr>
      <w:r w:rsidRPr="00E7066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enabsatz"/>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enabsatz"/>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enabsatz"/>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enabsatz"/>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5F4238" w:rsidRDefault="00C504E5" w:rsidP="00C504E5">
      <w:pPr>
        <w:pStyle w:val="Listenabsatz"/>
        <w:numPr>
          <w:ilvl w:val="0"/>
          <w:numId w:val="20"/>
        </w:numPr>
        <w:ind w:left="426"/>
        <w:jc w:val="both"/>
        <w:rPr>
          <w:rFonts w:ascii="Avenir Next" w:hAnsi="Avenir Next" w:cs="Arial"/>
          <w:sz w:val="22"/>
          <w:szCs w:val="22"/>
          <w:highlight w:val="yellow"/>
          <w:lang w:val="en-GB"/>
        </w:rPr>
      </w:pPr>
      <w:r w:rsidRPr="005F4238">
        <w:rPr>
          <w:rFonts w:ascii="Avenir Next" w:hAnsi="Avenir Next" w:cs="Arial"/>
          <w:sz w:val="22"/>
          <w:szCs w:val="22"/>
          <w:highlight w:val="yellow"/>
          <w:lang w:val="en-GB"/>
        </w:rPr>
        <w:t xml:space="preserve">Both the foreign main proceedings in South Africa and the foreign non-main proceedings in </w:t>
      </w:r>
      <w:r w:rsidR="004137C3" w:rsidRPr="005F4238">
        <w:rPr>
          <w:rFonts w:ascii="Avenir Next" w:hAnsi="Avenir Next" w:cs="Arial"/>
          <w:sz w:val="22"/>
          <w:szCs w:val="22"/>
          <w:highlight w:val="yellow"/>
          <w:lang w:val="en-GB"/>
        </w:rPr>
        <w:t xml:space="preserve">Argentina </w:t>
      </w:r>
      <w:r w:rsidRPr="005F4238">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enabsatz"/>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enabsatz"/>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enabsatz"/>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enabsatz"/>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9D1DBB" w:rsidRDefault="00B72F5F" w:rsidP="00114082">
      <w:pPr>
        <w:pStyle w:val="Listenabsatz"/>
        <w:numPr>
          <w:ilvl w:val="0"/>
          <w:numId w:val="26"/>
        </w:numPr>
        <w:ind w:left="426"/>
        <w:jc w:val="both"/>
        <w:rPr>
          <w:rFonts w:ascii="Avenir Next" w:hAnsi="Avenir Next" w:cs="Arial"/>
          <w:sz w:val="22"/>
          <w:szCs w:val="22"/>
          <w:highlight w:val="yellow"/>
          <w:lang w:val="en-GB"/>
        </w:rPr>
      </w:pPr>
      <w:r w:rsidRPr="009D1DBB">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D1DBB">
        <w:rPr>
          <w:rFonts w:ascii="Avenir Next" w:hAnsi="Avenir Next" w:cs="Arial"/>
          <w:sz w:val="22"/>
          <w:szCs w:val="22"/>
          <w:highlight w:val="yellow"/>
          <w:lang w:val="en-GB"/>
        </w:rPr>
        <w:t>will</w:t>
      </w:r>
      <w:r w:rsidRPr="009D1DBB">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366A26" w:rsidRDefault="00436884" w:rsidP="00436884">
      <w:pPr>
        <w:pStyle w:val="Listenabsatz"/>
        <w:numPr>
          <w:ilvl w:val="0"/>
          <w:numId w:val="27"/>
        </w:numPr>
        <w:ind w:left="426"/>
        <w:jc w:val="both"/>
        <w:rPr>
          <w:rFonts w:ascii="Avenir Next" w:hAnsi="Avenir Next" w:cs="Arial"/>
          <w:sz w:val="22"/>
          <w:szCs w:val="22"/>
          <w:lang w:val="en-GB"/>
        </w:rPr>
      </w:pPr>
      <w:r w:rsidRPr="00366A26">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66A26" w:rsidRDefault="00436884" w:rsidP="00436884">
      <w:pPr>
        <w:pStyle w:val="Listenabsatz"/>
        <w:numPr>
          <w:ilvl w:val="0"/>
          <w:numId w:val="27"/>
        </w:numPr>
        <w:ind w:left="426"/>
        <w:jc w:val="both"/>
        <w:rPr>
          <w:rFonts w:ascii="Avenir Next" w:hAnsi="Avenir Next" w:cs="Arial"/>
          <w:sz w:val="22"/>
          <w:szCs w:val="22"/>
          <w:highlight w:val="yellow"/>
          <w:lang w:val="en-GB"/>
        </w:rPr>
      </w:pPr>
      <w:r w:rsidRPr="00366A2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enabsatz"/>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enabsatz"/>
        <w:rPr>
          <w:rFonts w:ascii="Avenir Next" w:hAnsi="Avenir Next" w:cs="Arial"/>
          <w:sz w:val="22"/>
          <w:szCs w:val="22"/>
          <w:lang w:val="en-GB"/>
        </w:rPr>
      </w:pPr>
    </w:p>
    <w:p w14:paraId="2050075E" w14:textId="70E2FB72" w:rsidR="00436884" w:rsidRPr="00E2622D" w:rsidRDefault="00436884" w:rsidP="00436884">
      <w:pPr>
        <w:pStyle w:val="Listenabsatz"/>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enabsatz"/>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4C2116" w:rsidRDefault="00436884" w:rsidP="00436884">
      <w:pPr>
        <w:pStyle w:val="Listenabsatz"/>
        <w:numPr>
          <w:ilvl w:val="0"/>
          <w:numId w:val="28"/>
        </w:numPr>
        <w:ind w:left="426"/>
        <w:jc w:val="both"/>
        <w:rPr>
          <w:rFonts w:ascii="Avenir Next" w:hAnsi="Avenir Next" w:cs="Arial"/>
          <w:sz w:val="22"/>
          <w:szCs w:val="22"/>
          <w:lang w:val="en-GB"/>
        </w:rPr>
      </w:pPr>
      <w:r w:rsidRPr="004C2116">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enabsatz"/>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enabsatz"/>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00710B" w:rsidRDefault="00436884" w:rsidP="00436884">
      <w:pPr>
        <w:pStyle w:val="Listenabsatz"/>
        <w:numPr>
          <w:ilvl w:val="0"/>
          <w:numId w:val="28"/>
        </w:numPr>
        <w:ind w:left="426"/>
        <w:jc w:val="both"/>
        <w:rPr>
          <w:rFonts w:ascii="Avenir Next" w:hAnsi="Avenir Next" w:cs="Arial"/>
          <w:sz w:val="22"/>
          <w:szCs w:val="22"/>
          <w:highlight w:val="yellow"/>
          <w:lang w:val="en-GB"/>
        </w:rPr>
      </w:pPr>
      <w:r w:rsidRPr="0000710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enabsatz"/>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enabsatz"/>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636E8D" w:rsidRDefault="00436884" w:rsidP="00436884">
      <w:pPr>
        <w:pStyle w:val="Listenabsatz"/>
        <w:numPr>
          <w:ilvl w:val="0"/>
          <w:numId w:val="29"/>
        </w:numPr>
        <w:ind w:left="426"/>
        <w:jc w:val="both"/>
        <w:rPr>
          <w:rFonts w:ascii="Avenir Next" w:hAnsi="Avenir Next" w:cs="Arial"/>
          <w:sz w:val="22"/>
          <w:szCs w:val="22"/>
          <w:highlight w:val="yellow"/>
          <w:lang w:val="en-GB"/>
        </w:rPr>
      </w:pPr>
      <w:r w:rsidRPr="00636E8D">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enabsatz"/>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5A0727" w:rsidRDefault="00436884" w:rsidP="00436884">
      <w:pPr>
        <w:pStyle w:val="Listenabsatz"/>
        <w:numPr>
          <w:ilvl w:val="0"/>
          <w:numId w:val="30"/>
        </w:numPr>
        <w:ind w:left="426"/>
        <w:jc w:val="both"/>
        <w:rPr>
          <w:rFonts w:ascii="Avenir Next" w:hAnsi="Avenir Next" w:cs="Arial"/>
          <w:sz w:val="22"/>
          <w:szCs w:val="22"/>
          <w:highlight w:val="yellow"/>
          <w:lang w:val="en-GB"/>
        </w:rPr>
      </w:pPr>
      <w:r w:rsidRPr="005A072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5A072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enabsatz"/>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enabsatz"/>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enabsatz"/>
        <w:rPr>
          <w:rFonts w:ascii="Avenir Next" w:hAnsi="Avenir Next" w:cs="Arial"/>
          <w:b/>
          <w:sz w:val="22"/>
          <w:szCs w:val="22"/>
          <w:lang w:val="en-GB"/>
        </w:rPr>
      </w:pPr>
    </w:p>
    <w:p w14:paraId="4AA91D0B" w14:textId="14EEB9B3" w:rsidR="00436884" w:rsidRPr="009F056F" w:rsidRDefault="00436884" w:rsidP="00436884">
      <w:pPr>
        <w:pStyle w:val="Listenabsatz"/>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2556C40C" w14:textId="77777777" w:rsidR="009F056F" w:rsidRPr="009F056F" w:rsidRDefault="009F056F" w:rsidP="009F056F">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60924DC7" w:rsidR="00B77352" w:rsidRDefault="00CE339B" w:rsidP="00CE339B">
      <w:pPr>
        <w:jc w:val="both"/>
        <w:rPr>
          <w:rFonts w:ascii="Avenir Next" w:hAnsi="Avenir Next" w:cs="Arial"/>
          <w:sz w:val="22"/>
          <w:szCs w:val="22"/>
          <w:lang w:val="en-GB"/>
        </w:rPr>
      </w:pPr>
      <w:r w:rsidRPr="00CE339B">
        <w:rPr>
          <w:rFonts w:ascii="Avenir Next" w:hAnsi="Avenir Next" w:cs="Arial"/>
          <w:color w:val="808080" w:themeColor="background1" w:themeShade="80"/>
          <w:sz w:val="22"/>
          <w:szCs w:val="22"/>
          <w:lang w:val="en-GB"/>
        </w:rPr>
        <w:t>Although the COMI is essential for the recognition of a foreign proceeding, the COMI is not specifically defined in the Model Law. In many respects, the application of the COMI is made according to the standard as established in the EIR. Thus, the definition is also based on that of the EIR. With regard to the point in time for the determination of the COMI, the MLCBI focuses on the point in time of the initiation of the proceedings abroad. This concrete determination of a point in time secures the implementation of the recognition procedure insofar as it counteracts the difficulties that arise if the debtor's COMI should shift shortly before the commencement of the foreign proceedings.</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0A8BFE88" w14:textId="26C4880D" w:rsidR="006532B3" w:rsidRDefault="006532B3" w:rsidP="006532B3">
      <w:pPr>
        <w:jc w:val="both"/>
        <w:rPr>
          <w:rFonts w:ascii="Avenir Next" w:hAnsi="Avenir Next" w:cs="Arial"/>
          <w:color w:val="808080" w:themeColor="background1" w:themeShade="80"/>
          <w:sz w:val="22"/>
          <w:szCs w:val="22"/>
          <w:lang w:val="en-GB"/>
        </w:rPr>
      </w:pPr>
      <w:r w:rsidRPr="006532B3">
        <w:rPr>
          <w:rFonts w:ascii="Avenir Next" w:hAnsi="Avenir Next" w:cs="Arial"/>
          <w:color w:val="808080" w:themeColor="background1" w:themeShade="80"/>
          <w:sz w:val="22"/>
          <w:szCs w:val="22"/>
          <w:lang w:val="en-GB"/>
        </w:rPr>
        <w:lastRenderedPageBreak/>
        <w:t>Regarding statement 1:</w:t>
      </w:r>
    </w:p>
    <w:p w14:paraId="02C0EB9B" w14:textId="77777777" w:rsidR="006532B3" w:rsidRDefault="006532B3" w:rsidP="006532B3">
      <w:pPr>
        <w:jc w:val="both"/>
        <w:rPr>
          <w:rFonts w:ascii="Avenir Next" w:hAnsi="Avenir Next" w:cs="Arial"/>
          <w:color w:val="808080" w:themeColor="background1" w:themeShade="80"/>
          <w:sz w:val="22"/>
          <w:szCs w:val="22"/>
          <w:lang w:val="en-GB"/>
        </w:rPr>
      </w:pPr>
    </w:p>
    <w:p w14:paraId="3A528B41" w14:textId="22506C2F" w:rsidR="00CB56CE" w:rsidRDefault="006532B3" w:rsidP="006532B3">
      <w:pPr>
        <w:jc w:val="both"/>
        <w:rPr>
          <w:rFonts w:ascii="Avenir Next" w:hAnsi="Avenir Next" w:cs="Arial"/>
          <w:color w:val="808080" w:themeColor="background1" w:themeShade="80"/>
          <w:sz w:val="22"/>
          <w:szCs w:val="22"/>
          <w:lang w:val="en-GB"/>
        </w:rPr>
      </w:pPr>
      <w:r w:rsidRPr="006532B3">
        <w:rPr>
          <w:rFonts w:ascii="Avenir Next" w:hAnsi="Avenir Next" w:cs="Arial"/>
          <w:color w:val="808080" w:themeColor="background1" w:themeShade="80"/>
          <w:sz w:val="22"/>
          <w:szCs w:val="22"/>
          <w:lang w:val="en-GB"/>
        </w:rPr>
        <w:t>Foreign creditors have a right to individual notification of, inter alia, the opening of local insolvency proceedings taking place abroad as well as the deadline for filing claims. This is regulated in Article 14. The principle of equal treatment is also derived from this.</w:t>
      </w:r>
      <w:r>
        <w:rPr>
          <w:rFonts w:ascii="Avenir Next" w:hAnsi="Avenir Next" w:cs="Arial"/>
          <w:color w:val="808080" w:themeColor="background1" w:themeShade="80"/>
          <w:sz w:val="22"/>
          <w:szCs w:val="22"/>
          <w:lang w:val="en-GB"/>
        </w:rPr>
        <w:t xml:space="preserve"> </w:t>
      </w:r>
    </w:p>
    <w:p w14:paraId="025319CD" w14:textId="0872DFFC" w:rsidR="006532B3" w:rsidRDefault="006532B3" w:rsidP="006532B3">
      <w:pPr>
        <w:jc w:val="both"/>
        <w:rPr>
          <w:rFonts w:ascii="Avenir Next" w:hAnsi="Avenir Next" w:cs="Arial"/>
          <w:color w:val="808080" w:themeColor="background1" w:themeShade="80"/>
          <w:sz w:val="22"/>
          <w:szCs w:val="22"/>
          <w:lang w:val="en-GB"/>
        </w:rPr>
      </w:pPr>
    </w:p>
    <w:p w14:paraId="3A076DF6" w14:textId="6979FFA3" w:rsidR="006532B3" w:rsidRDefault="006532B3" w:rsidP="006532B3">
      <w:pPr>
        <w:jc w:val="both"/>
        <w:rPr>
          <w:rFonts w:ascii="Avenir Next" w:hAnsi="Avenir Next" w:cs="Arial"/>
          <w:color w:val="808080" w:themeColor="background1" w:themeShade="80"/>
          <w:sz w:val="22"/>
          <w:szCs w:val="22"/>
          <w:lang w:val="en-GB"/>
        </w:rPr>
      </w:pPr>
      <w:r w:rsidRPr="006532B3">
        <w:rPr>
          <w:rFonts w:ascii="Avenir Next" w:hAnsi="Avenir Next" w:cs="Arial"/>
          <w:color w:val="808080" w:themeColor="background1" w:themeShade="80"/>
          <w:sz w:val="22"/>
          <w:szCs w:val="22"/>
          <w:lang w:val="en-GB"/>
        </w:rPr>
        <w:t xml:space="preserve">Regarding statement </w:t>
      </w:r>
      <w:r>
        <w:rPr>
          <w:rFonts w:ascii="Avenir Next" w:hAnsi="Avenir Next" w:cs="Arial"/>
          <w:color w:val="808080" w:themeColor="background1" w:themeShade="80"/>
          <w:sz w:val="22"/>
          <w:szCs w:val="22"/>
          <w:lang w:val="en-GB"/>
        </w:rPr>
        <w:t>2:</w:t>
      </w:r>
    </w:p>
    <w:p w14:paraId="0850F4D9" w14:textId="24CDDA23" w:rsidR="006532B3" w:rsidRDefault="006532B3" w:rsidP="006532B3">
      <w:pPr>
        <w:jc w:val="both"/>
        <w:rPr>
          <w:rFonts w:ascii="Avenir Next" w:hAnsi="Avenir Next" w:cs="Arial"/>
          <w:color w:val="808080" w:themeColor="background1" w:themeShade="80"/>
          <w:sz w:val="22"/>
          <w:szCs w:val="22"/>
          <w:lang w:val="en-GB"/>
        </w:rPr>
      </w:pPr>
    </w:p>
    <w:p w14:paraId="08363820" w14:textId="41FA3DBB" w:rsidR="006532B3" w:rsidRDefault="006532B3" w:rsidP="006532B3">
      <w:pPr>
        <w:jc w:val="both"/>
        <w:rPr>
          <w:rFonts w:ascii="Avenir Next" w:hAnsi="Avenir Next" w:cs="Arial"/>
          <w:color w:val="808080" w:themeColor="background1" w:themeShade="80"/>
          <w:sz w:val="22"/>
          <w:szCs w:val="22"/>
          <w:lang w:val="en-GB"/>
        </w:rPr>
      </w:pPr>
      <w:r w:rsidRPr="006532B3">
        <w:rPr>
          <w:rFonts w:ascii="Avenir Next" w:hAnsi="Avenir Next" w:cs="Arial"/>
          <w:color w:val="808080" w:themeColor="background1" w:themeShade="80"/>
          <w:sz w:val="22"/>
          <w:szCs w:val="22"/>
          <w:lang w:val="en-GB"/>
        </w:rPr>
        <w:t>The Safe Conduct Rule ensures that the mere request of a foreign representative for recognition of insolvency proceedings does not result in that representative or the assets concerned, as well as the proceedings, being subject to the jurisdiction of the state in which the request is made. This is a limitation of jurisdiction governed by Article 10.</w:t>
      </w:r>
    </w:p>
    <w:p w14:paraId="381F0E18" w14:textId="1A6C7C6C" w:rsidR="006532B3" w:rsidRDefault="006532B3" w:rsidP="006532B3">
      <w:pPr>
        <w:jc w:val="both"/>
        <w:rPr>
          <w:rFonts w:ascii="Avenir Next" w:hAnsi="Avenir Next" w:cs="Arial"/>
          <w:color w:val="808080" w:themeColor="background1" w:themeShade="80"/>
          <w:sz w:val="22"/>
          <w:szCs w:val="22"/>
          <w:lang w:val="en-GB"/>
        </w:rPr>
      </w:pPr>
    </w:p>
    <w:p w14:paraId="738E91F1" w14:textId="77777777" w:rsidR="006532B3" w:rsidRDefault="006532B3" w:rsidP="006532B3">
      <w:pPr>
        <w:jc w:val="both"/>
        <w:rPr>
          <w:rFonts w:ascii="Avenir Next" w:hAnsi="Avenir Next" w:cs="Arial"/>
          <w:color w:val="808080" w:themeColor="background1" w:themeShade="80"/>
          <w:sz w:val="22"/>
          <w:szCs w:val="22"/>
          <w:lang w:val="en-GB"/>
        </w:rPr>
      </w:pPr>
      <w:r w:rsidRPr="006532B3">
        <w:rPr>
          <w:rFonts w:ascii="Avenir Next" w:hAnsi="Avenir Next" w:cs="Arial"/>
          <w:color w:val="808080" w:themeColor="background1" w:themeShade="80"/>
          <w:sz w:val="22"/>
          <w:szCs w:val="22"/>
          <w:lang w:val="en-GB"/>
        </w:rPr>
        <w:t xml:space="preserve">Regarding statement </w:t>
      </w:r>
      <w:r>
        <w:rPr>
          <w:rFonts w:ascii="Avenir Next" w:hAnsi="Avenir Next" w:cs="Arial"/>
          <w:color w:val="808080" w:themeColor="background1" w:themeShade="80"/>
          <w:sz w:val="22"/>
          <w:szCs w:val="22"/>
          <w:lang w:val="en-GB"/>
        </w:rPr>
        <w:t>3</w:t>
      </w:r>
    </w:p>
    <w:p w14:paraId="6FA2B2FF" w14:textId="77777777" w:rsidR="006532B3" w:rsidRDefault="006532B3" w:rsidP="006532B3">
      <w:pPr>
        <w:jc w:val="both"/>
        <w:rPr>
          <w:rFonts w:ascii="Avenir Next" w:hAnsi="Avenir Next" w:cs="Arial"/>
          <w:color w:val="808080" w:themeColor="background1" w:themeShade="80"/>
          <w:sz w:val="22"/>
          <w:szCs w:val="22"/>
          <w:lang w:val="en-GB"/>
        </w:rPr>
      </w:pPr>
    </w:p>
    <w:p w14:paraId="4EEDFC92" w14:textId="19DD61AA" w:rsidR="006532B3" w:rsidRDefault="002E61BB" w:rsidP="006532B3">
      <w:pPr>
        <w:jc w:val="both"/>
        <w:rPr>
          <w:rFonts w:ascii="Avenir Next" w:hAnsi="Avenir Next" w:cs="Arial"/>
          <w:color w:val="808080" w:themeColor="background1" w:themeShade="80"/>
          <w:sz w:val="22"/>
          <w:szCs w:val="22"/>
          <w:lang w:val="en-GB"/>
        </w:rPr>
      </w:pPr>
      <w:r w:rsidRPr="002E61BB">
        <w:rPr>
          <w:rFonts w:ascii="Avenir Next" w:hAnsi="Avenir Next" w:cs="Arial"/>
          <w:color w:val="808080" w:themeColor="background1" w:themeShade="80"/>
          <w:sz w:val="22"/>
          <w:szCs w:val="22"/>
          <w:lang w:val="en-GB"/>
        </w:rPr>
        <w:t>While the COMI is a key term for working with the MLCBI, it is not defined in the Model Law. However, the rebuttable presumption on which COMI is based is mentioned in Art. 16(3), according to which, in the absence of evidence to the contrary, the debtor's domicile or, in the case of natural persons, habitual residence is deemed to be the centre of the debtor's main interests.</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417DB7A" w14:textId="7721AB3F" w:rsidR="00CB56CE" w:rsidRDefault="004C4196" w:rsidP="00707FC8">
      <w:pPr>
        <w:jc w:val="both"/>
        <w:rPr>
          <w:rFonts w:ascii="Avenir Next" w:hAnsi="Avenir Next" w:cs="Arial"/>
          <w:b/>
          <w:sz w:val="22"/>
          <w:szCs w:val="22"/>
          <w:lang w:val="en-GB"/>
        </w:rPr>
      </w:pPr>
      <w:r w:rsidRPr="004C4196">
        <w:rPr>
          <w:rFonts w:ascii="Avenir Next" w:hAnsi="Avenir Next" w:cs="Arial"/>
          <w:color w:val="808080" w:themeColor="background1" w:themeShade="80"/>
          <w:sz w:val="22"/>
          <w:szCs w:val="22"/>
          <w:lang w:val="en-GB"/>
        </w:rPr>
        <w:t>According to the judge in charge of the case, Mr Justice Hildyard, a further stay by extending the current moratorium cannot be used as a means of circumventing the Gibbs rule. The Gibbs rule that a claim governed by English law cannot be affected by foreign insolvency proceedings has, in practice, limited effect in a foreign liquidation. Even though the IBA case was a restructuring, precedent suggests that the strict definition of legal claims and their enforcement are also distinguished in this case. Mr Hildyard found that in the IBA case the remedy sought, while procedural, was in fact designed to have a substantive effect, namely to permanently prevent the application of English law. The Model Law and the CBIR would not authorise the substantive English law granted to be limited by procedural applications.</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7FB718A9" w:rsidR="00257437" w:rsidRDefault="00FC488D" w:rsidP="00707FC8">
      <w:pPr>
        <w:jc w:val="both"/>
        <w:rPr>
          <w:rFonts w:ascii="Avenir Next" w:hAnsi="Avenir Next" w:cs="Arial"/>
          <w:color w:val="808080" w:themeColor="background1" w:themeShade="80"/>
          <w:sz w:val="22"/>
          <w:szCs w:val="22"/>
          <w:lang w:val="en-GB"/>
        </w:rPr>
      </w:pPr>
      <w:r w:rsidRPr="00FC488D">
        <w:rPr>
          <w:rFonts w:ascii="Avenir Next" w:hAnsi="Avenir Next" w:cs="Arial"/>
          <w:color w:val="808080" w:themeColor="background1" w:themeShade="80"/>
          <w:sz w:val="22"/>
          <w:szCs w:val="22"/>
          <w:lang w:val="en-GB"/>
        </w:rPr>
        <w:t xml:space="preserve">In principle, according to Art. 29 of the Model Law, in the event of competition between domestic and foreign insolvency proceedings, the domestic proceedings shall have priority. The case where the domestic insolvency proceedings have already been opened and subsequently foreign proceedings are recognised is governed by Art. 29 lit. a) of the Model Law. Here, any remedy granted either provisionally on the basis of Article 19 of the Model Law or after recognition on the basis of Article 21 of the Model Law must be compatible with the domestic insolvency proceedings. In addition, when granting relief to a foreign representative of a foreign non-main proceeding, the court must be satisfied (Article 29(c) of the Model Law) that the relief relates to assets that should be administered </w:t>
      </w:r>
      <w:r w:rsidRPr="00FC488D">
        <w:rPr>
          <w:rFonts w:ascii="Avenir Next" w:hAnsi="Avenir Next" w:cs="Arial"/>
          <w:color w:val="808080" w:themeColor="background1" w:themeShade="80"/>
          <w:sz w:val="22"/>
          <w:szCs w:val="22"/>
          <w:lang w:val="en-GB"/>
        </w:rPr>
        <w:lastRenderedPageBreak/>
        <w:t>in the foreign non-main proceeding under the law of the issuing state or that the relief relates to information that is required in the foreign non-main proceeding.</w:t>
      </w:r>
    </w:p>
    <w:p w14:paraId="2E39FA84" w14:textId="014C5BD2" w:rsidR="003B65EB" w:rsidRDefault="003B65EB" w:rsidP="00707FC8">
      <w:pPr>
        <w:jc w:val="both"/>
        <w:rPr>
          <w:rFonts w:ascii="Avenir Next" w:hAnsi="Avenir Next" w:cs="Arial"/>
          <w:color w:val="808080" w:themeColor="background1" w:themeShade="80"/>
          <w:sz w:val="22"/>
          <w:szCs w:val="22"/>
          <w:lang w:val="en-GB"/>
        </w:rPr>
      </w:pPr>
    </w:p>
    <w:p w14:paraId="696B2DCD" w14:textId="04DCB4B2" w:rsidR="003B65EB" w:rsidRDefault="00043EED" w:rsidP="00707FC8">
      <w:pPr>
        <w:jc w:val="both"/>
        <w:rPr>
          <w:rFonts w:ascii="Avenir Next" w:hAnsi="Avenir Next" w:cs="Arial"/>
          <w:color w:val="808080" w:themeColor="background1" w:themeShade="80"/>
          <w:sz w:val="22"/>
          <w:szCs w:val="22"/>
          <w:lang w:val="en-GB"/>
        </w:rPr>
      </w:pPr>
      <w:r w:rsidRPr="00043EED">
        <w:rPr>
          <w:rFonts w:ascii="Avenir Next" w:hAnsi="Avenir Next" w:cs="Arial"/>
          <w:color w:val="808080" w:themeColor="background1" w:themeShade="80"/>
          <w:sz w:val="22"/>
          <w:szCs w:val="22"/>
          <w:lang w:val="en-GB"/>
        </w:rPr>
        <w:t>With regard to the ongoing information obligations of the representative of foreign main proceedings vis-à-vis the court of the recognising state, Article 18 lit. a) of the Model Law requires the representative to inform the court without delay of any material change in the status of the recognised foreign proceedings or the appointment of the foreign representative. In addition, under Article 18 lit. b) of the Model Law, the court must be informed without delay of any other foreign proceedings concerning the same debtor of which the representative is aware.</w:t>
      </w:r>
    </w:p>
    <w:p w14:paraId="7091A9CD" w14:textId="77777777" w:rsidR="001264D6" w:rsidRPr="00E2622D" w:rsidRDefault="001264D6"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1595C605" w:rsidR="00C370D3"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2DDA65A4" w14:textId="2E7A046B" w:rsidR="001970AB" w:rsidRDefault="001970AB" w:rsidP="00C370D3">
      <w:pPr>
        <w:jc w:val="both"/>
        <w:rPr>
          <w:rFonts w:ascii="Avenir Next" w:hAnsi="Avenir Next" w:cs="Arial"/>
          <w:sz w:val="22"/>
          <w:szCs w:val="22"/>
          <w:lang w:val="en-GB"/>
        </w:rPr>
      </w:pPr>
    </w:p>
    <w:p w14:paraId="4C933EF3" w14:textId="1F2180A7" w:rsidR="00C370D3" w:rsidRPr="00B1112C" w:rsidRDefault="00C370D3" w:rsidP="002F507B">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1824301" w14:textId="39F18E90" w:rsidR="00257437" w:rsidRDefault="007E5A12" w:rsidP="007E5A12">
      <w:pPr>
        <w:jc w:val="both"/>
        <w:rPr>
          <w:rFonts w:ascii="Avenir Next" w:hAnsi="Avenir Next" w:cs="Arial"/>
          <w:color w:val="808080" w:themeColor="background1" w:themeShade="80"/>
          <w:sz w:val="22"/>
          <w:szCs w:val="22"/>
          <w:lang w:val="en-GB"/>
        </w:rPr>
      </w:pPr>
      <w:r w:rsidRPr="007E5A12">
        <w:rPr>
          <w:rFonts w:ascii="Avenir Next" w:hAnsi="Avenir Next" w:cs="Arial"/>
          <w:color w:val="808080" w:themeColor="background1" w:themeShade="80"/>
          <w:sz w:val="22"/>
          <w:szCs w:val="22"/>
          <w:lang w:val="en-GB"/>
        </w:rPr>
        <w:t>Since the debtor is a corporate debtor, it must be taken into account where this debtor has its corporate seat. According to the facts of the case, it can be assumed that the debtor is domiciled in state B, so that the COMI is also to be assigned to state B and consequently the main insolvency proceedings are conducted there. This determination has an impact on, among other things, the legal protection granted to the foreign representative under Articles 20, 21 of the Model Law.</w:t>
      </w:r>
    </w:p>
    <w:p w14:paraId="02F70D5F" w14:textId="49A34063" w:rsidR="007E5A12" w:rsidRDefault="007E5A12" w:rsidP="007E5A12">
      <w:pPr>
        <w:jc w:val="both"/>
        <w:rPr>
          <w:rFonts w:ascii="Avenir Next" w:hAnsi="Avenir Next" w:cs="Arial"/>
          <w:color w:val="808080" w:themeColor="background1" w:themeShade="80"/>
          <w:sz w:val="22"/>
          <w:szCs w:val="22"/>
          <w:lang w:val="en-GB"/>
        </w:rPr>
      </w:pPr>
    </w:p>
    <w:p w14:paraId="16E9FE7E" w14:textId="38B1DC34" w:rsidR="00FB567A" w:rsidRDefault="00FB567A" w:rsidP="007E5A12">
      <w:pPr>
        <w:jc w:val="both"/>
        <w:rPr>
          <w:rFonts w:ascii="Avenir Next" w:hAnsi="Avenir Next" w:cs="Arial"/>
          <w:color w:val="808080" w:themeColor="background1" w:themeShade="80"/>
          <w:sz w:val="22"/>
          <w:szCs w:val="22"/>
          <w:lang w:val="en-GB"/>
        </w:rPr>
      </w:pPr>
      <w:r w:rsidRPr="00FB567A">
        <w:rPr>
          <w:rFonts w:ascii="Avenir Next" w:hAnsi="Avenir Next" w:cs="Arial"/>
          <w:color w:val="808080" w:themeColor="background1" w:themeShade="80"/>
          <w:sz w:val="22"/>
          <w:szCs w:val="22"/>
          <w:lang w:val="en-GB"/>
        </w:rPr>
        <w:t>The fact that it is a main insolvency proceeding that is to be recognised in State A provides significant protection for the assets located in State A.</w:t>
      </w:r>
    </w:p>
    <w:p w14:paraId="1A597861" w14:textId="756BF1A2" w:rsidR="00FB567A" w:rsidRDefault="00FB567A" w:rsidP="007E5A12">
      <w:pPr>
        <w:jc w:val="both"/>
        <w:rPr>
          <w:rFonts w:ascii="Avenir Next" w:hAnsi="Avenir Next" w:cs="Arial"/>
          <w:color w:val="808080" w:themeColor="background1" w:themeShade="80"/>
          <w:sz w:val="22"/>
          <w:szCs w:val="22"/>
          <w:lang w:val="en-GB"/>
        </w:rPr>
      </w:pPr>
    </w:p>
    <w:p w14:paraId="5FC57B0C" w14:textId="1B0A5159" w:rsidR="007E5A12" w:rsidRDefault="00FB567A" w:rsidP="007E5A12">
      <w:pPr>
        <w:jc w:val="both"/>
        <w:rPr>
          <w:rFonts w:ascii="Avenir Next" w:hAnsi="Avenir Next" w:cs="Arial"/>
          <w:sz w:val="22"/>
          <w:szCs w:val="22"/>
          <w:lang w:val="en-GB"/>
        </w:rPr>
      </w:pPr>
      <w:r w:rsidRPr="00FB567A">
        <w:rPr>
          <w:rFonts w:ascii="Avenir Next" w:hAnsi="Avenir Next" w:cs="Arial"/>
          <w:color w:val="808080" w:themeColor="background1" w:themeShade="80"/>
          <w:sz w:val="22"/>
          <w:szCs w:val="22"/>
          <w:lang w:val="en-GB"/>
        </w:rPr>
        <w:t>Firstly, according to Article 20 of the Model Law in favour of the foreign main proceedings, the moratorium automatically comes into effect. Consequently, the representative of the proceedings does not have to actively bring about the moratorium. Article 20(2) of the Model Law also provides, inter alia, for the possibility of including appropriate protection clauses in the law of the State of enforcement to give the court of the State of enforcement the power to modify or terminate the automatic stay or termination if this is in the legitimate interest of an affected party. Otherwise, under Article 21 of the Model Law, it would be at the discretion of the court of the recognising state whether to grant relief on the application of the representative. To the extent that certain measures are not already covered by Article 20 of the Model Law, the representative may also apply for a stay of enforcement measures under Article 21(1)(a) of the Model Law in this case.</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lastRenderedPageBreak/>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13C0C0F" w14:textId="546D1738" w:rsidR="0017257C" w:rsidRDefault="001A658C" w:rsidP="00707FC8">
      <w:pPr>
        <w:jc w:val="both"/>
        <w:rPr>
          <w:rFonts w:ascii="Avenir Next" w:hAnsi="Avenir Next" w:cs="Arial"/>
          <w:color w:val="808080" w:themeColor="background1" w:themeShade="80"/>
          <w:sz w:val="22"/>
          <w:szCs w:val="22"/>
          <w:lang w:val="en-GB"/>
        </w:rPr>
      </w:pPr>
      <w:r w:rsidRPr="001A658C">
        <w:rPr>
          <w:rFonts w:ascii="Avenir Next" w:hAnsi="Avenir Next" w:cs="Arial"/>
          <w:color w:val="808080" w:themeColor="background1" w:themeShade="80"/>
          <w:sz w:val="22"/>
          <w:szCs w:val="22"/>
          <w:lang w:val="en-GB"/>
        </w:rPr>
        <w:t>If the jurisdictional requirements of Article 2(a) of the Model Law are met, the evidentiary requirements for recognition are governed by Article 15 of the Model Law. If, in turn, these requirements are met, recognition of the foreign insolvency proceedings may be granted in accordance with Article 17 of the Model Law.</w:t>
      </w:r>
    </w:p>
    <w:p w14:paraId="78209C54" w14:textId="54768C6F" w:rsidR="001A658C" w:rsidRDefault="001A658C" w:rsidP="00707FC8">
      <w:pPr>
        <w:jc w:val="both"/>
        <w:rPr>
          <w:rFonts w:ascii="Avenir Next" w:hAnsi="Avenir Next" w:cs="Arial"/>
          <w:color w:val="808080"/>
          <w:sz w:val="22"/>
          <w:szCs w:val="22"/>
          <w:shd w:val="clear" w:color="auto" w:fill="FFFFFF"/>
          <w:lang w:val="en-GB"/>
        </w:rPr>
      </w:pPr>
    </w:p>
    <w:p w14:paraId="434C3CA8" w14:textId="77777777" w:rsidR="00880FD3" w:rsidRPr="00880FD3" w:rsidRDefault="00880FD3" w:rsidP="00880FD3">
      <w:pPr>
        <w:jc w:val="both"/>
        <w:rPr>
          <w:rFonts w:ascii="Avenir Next" w:hAnsi="Avenir Next" w:cs="Arial"/>
          <w:color w:val="808080"/>
          <w:sz w:val="22"/>
          <w:szCs w:val="22"/>
          <w:shd w:val="clear" w:color="auto" w:fill="FFFFFF"/>
          <w:lang w:val="en-GB"/>
        </w:rPr>
      </w:pPr>
      <w:r w:rsidRPr="00880FD3">
        <w:rPr>
          <w:rFonts w:ascii="Avenir Next" w:hAnsi="Avenir Next" w:cs="Arial"/>
          <w:color w:val="808080"/>
          <w:sz w:val="22"/>
          <w:szCs w:val="22"/>
          <w:shd w:val="clear" w:color="auto" w:fill="FFFFFF"/>
          <w:lang w:val="en-GB"/>
        </w:rPr>
        <w:t>Pursuant to Article 15(2)(a) to (c) of the Model Law, the application must be accompanied by (a) a certified copy of the decision opening insolvency proceedings abroad and of the appointment of the foreign representative or (b) a certificate of the foreign court confirming the insolvency proceedings and the appointment of the foreign representative or (c) in case of doubt, any other proof of the existence of the foreign proceedings and the appointment of the foreign representative.</w:t>
      </w:r>
    </w:p>
    <w:p w14:paraId="5EBFCF6C" w14:textId="77777777" w:rsidR="00880FD3" w:rsidRPr="00880FD3" w:rsidRDefault="00880FD3" w:rsidP="00880FD3">
      <w:pPr>
        <w:jc w:val="both"/>
        <w:rPr>
          <w:rFonts w:ascii="Avenir Next" w:hAnsi="Avenir Next" w:cs="Arial"/>
          <w:color w:val="808080"/>
          <w:sz w:val="22"/>
          <w:szCs w:val="22"/>
          <w:shd w:val="clear" w:color="auto" w:fill="FFFFFF"/>
          <w:lang w:val="en-GB"/>
        </w:rPr>
      </w:pPr>
    </w:p>
    <w:p w14:paraId="7F855818" w14:textId="77777777" w:rsidR="00880FD3" w:rsidRPr="00880FD3" w:rsidRDefault="00880FD3" w:rsidP="00880FD3">
      <w:pPr>
        <w:jc w:val="both"/>
        <w:rPr>
          <w:rFonts w:ascii="Avenir Next" w:hAnsi="Avenir Next" w:cs="Arial"/>
          <w:color w:val="808080"/>
          <w:sz w:val="22"/>
          <w:szCs w:val="22"/>
          <w:shd w:val="clear" w:color="auto" w:fill="FFFFFF"/>
          <w:lang w:val="en-GB"/>
        </w:rPr>
      </w:pPr>
      <w:r w:rsidRPr="00880FD3">
        <w:rPr>
          <w:rFonts w:ascii="Avenir Next" w:hAnsi="Avenir Next" w:cs="Arial"/>
          <w:color w:val="808080"/>
          <w:sz w:val="22"/>
          <w:szCs w:val="22"/>
          <w:shd w:val="clear" w:color="auto" w:fill="FFFFFF"/>
          <w:lang w:val="en-GB"/>
        </w:rPr>
        <w:t>Pursuant to Article 15(3) of the Model Law, the application must also be accompanied by a statement listing all foreign proceedings in relation to the debtor of which the foreign representative is aware.</w:t>
      </w:r>
    </w:p>
    <w:p w14:paraId="39918635" w14:textId="77777777" w:rsidR="00880FD3" w:rsidRPr="00880FD3" w:rsidRDefault="00880FD3" w:rsidP="00880FD3">
      <w:pPr>
        <w:jc w:val="both"/>
        <w:rPr>
          <w:rFonts w:ascii="Avenir Next" w:hAnsi="Avenir Next" w:cs="Arial"/>
          <w:color w:val="808080"/>
          <w:sz w:val="22"/>
          <w:szCs w:val="22"/>
          <w:shd w:val="clear" w:color="auto" w:fill="FFFFFF"/>
          <w:lang w:val="en-GB"/>
        </w:rPr>
      </w:pPr>
    </w:p>
    <w:p w14:paraId="62F65D68" w14:textId="192994ED" w:rsidR="001A658C" w:rsidRDefault="00880FD3" w:rsidP="00880FD3">
      <w:pPr>
        <w:jc w:val="both"/>
        <w:rPr>
          <w:rFonts w:ascii="Avenir Next" w:hAnsi="Avenir Next" w:cs="Arial"/>
          <w:color w:val="808080"/>
          <w:sz w:val="22"/>
          <w:szCs w:val="22"/>
          <w:shd w:val="clear" w:color="auto" w:fill="FFFFFF"/>
          <w:lang w:val="en-GB"/>
        </w:rPr>
      </w:pPr>
      <w:r w:rsidRPr="00880FD3">
        <w:rPr>
          <w:rFonts w:ascii="Avenir Next" w:hAnsi="Avenir Next" w:cs="Arial"/>
          <w:color w:val="808080"/>
          <w:sz w:val="22"/>
          <w:szCs w:val="22"/>
          <w:shd w:val="clear" w:color="auto" w:fill="FFFFFF"/>
          <w:lang w:val="en-GB"/>
        </w:rPr>
        <w:t>Finally, it should be borne in mind that under Article 15(4) of the Model Law the court may also require a translation of these documents to be submitted into the language of the recognising state.</w:t>
      </w:r>
    </w:p>
    <w:p w14:paraId="6B42F74D" w14:textId="77777777" w:rsidR="001C31DF" w:rsidRDefault="001C31DF" w:rsidP="00880FD3">
      <w:pPr>
        <w:jc w:val="both"/>
        <w:rPr>
          <w:rFonts w:ascii="Avenir Next" w:hAnsi="Avenir Next" w:cs="Arial"/>
          <w:color w:val="808080"/>
          <w:sz w:val="22"/>
          <w:szCs w:val="22"/>
          <w:shd w:val="clear" w:color="auto" w:fill="FFFFFF"/>
          <w:lang w:val="en-GB"/>
        </w:rPr>
      </w:pPr>
    </w:p>
    <w:p w14:paraId="47D806C6" w14:textId="590219D6" w:rsidR="001C31DF" w:rsidRDefault="001C31DF" w:rsidP="00880FD3">
      <w:pPr>
        <w:jc w:val="both"/>
        <w:rPr>
          <w:rFonts w:ascii="Avenir Next" w:hAnsi="Avenir Next" w:cs="Arial"/>
          <w:color w:val="808080"/>
          <w:sz w:val="22"/>
          <w:szCs w:val="22"/>
          <w:shd w:val="clear" w:color="auto" w:fill="FFFFFF"/>
          <w:lang w:val="en-GB"/>
        </w:rPr>
      </w:pPr>
      <w:r w:rsidRPr="001C31DF">
        <w:rPr>
          <w:rFonts w:ascii="Avenir Next" w:hAnsi="Avenir Next" w:cs="Arial"/>
          <w:color w:val="808080"/>
          <w:sz w:val="22"/>
          <w:szCs w:val="22"/>
          <w:shd w:val="clear" w:color="auto" w:fill="FFFFFF"/>
          <w:lang w:val="en-GB"/>
        </w:rPr>
        <w:t>With regard to the documents provided under Article 15(2) of the Model Law, the Court shall presume them to be authentic under Article 16(2) of the Model Law.</w:t>
      </w:r>
    </w:p>
    <w:p w14:paraId="40A5FC63" w14:textId="3AD02D0B" w:rsidR="001C31DF" w:rsidRDefault="001C31DF" w:rsidP="00880FD3">
      <w:pPr>
        <w:jc w:val="both"/>
        <w:rPr>
          <w:rFonts w:ascii="Avenir Next" w:hAnsi="Avenir Next" w:cs="Arial"/>
          <w:color w:val="808080"/>
          <w:sz w:val="22"/>
          <w:szCs w:val="22"/>
          <w:shd w:val="clear" w:color="auto" w:fill="FFFFFF"/>
          <w:lang w:val="en-GB"/>
        </w:rPr>
      </w:pPr>
    </w:p>
    <w:p w14:paraId="3E33A23F" w14:textId="79A7D5C4" w:rsidR="001C31DF" w:rsidRDefault="00197798" w:rsidP="00880FD3">
      <w:pPr>
        <w:jc w:val="both"/>
        <w:rPr>
          <w:rFonts w:ascii="Avenir Next" w:hAnsi="Avenir Next" w:cs="Arial"/>
          <w:color w:val="808080"/>
          <w:sz w:val="22"/>
          <w:szCs w:val="22"/>
          <w:shd w:val="clear" w:color="auto" w:fill="FFFFFF"/>
          <w:lang w:val="en-GB"/>
        </w:rPr>
      </w:pPr>
      <w:r w:rsidRPr="00197798">
        <w:rPr>
          <w:rFonts w:ascii="Avenir Next" w:hAnsi="Avenir Next" w:cs="Arial"/>
          <w:color w:val="808080"/>
          <w:sz w:val="22"/>
          <w:szCs w:val="22"/>
          <w:shd w:val="clear" w:color="auto" w:fill="FFFFFF"/>
          <w:lang w:val="en-GB"/>
        </w:rPr>
        <w:t>The recognition of the procedure is then further governed by Article 17 of the Model Law. If there are no grounds of public policy in the recognising state that speak against recognition, recognition is granted ex officio if the aforementioned requirements are met.</w:t>
      </w:r>
    </w:p>
    <w:p w14:paraId="1F77AA0F" w14:textId="77777777" w:rsidR="00867A8F" w:rsidRPr="00197798" w:rsidRDefault="00867A8F" w:rsidP="00707FC8">
      <w:pPr>
        <w:jc w:val="both"/>
        <w:rPr>
          <w:rFonts w:ascii="Avenir Next" w:hAnsi="Avenir Next" w:cs="Arial"/>
          <w:sz w:val="22"/>
          <w:szCs w:val="22"/>
          <w:shd w:val="clear" w:color="auto" w:fill="FFFFFF"/>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7279F8A4" w14:textId="77777777" w:rsidR="006C7EED" w:rsidRPr="006C7EED" w:rsidRDefault="006C7EED" w:rsidP="006C7EED">
      <w:pPr>
        <w:jc w:val="both"/>
        <w:rPr>
          <w:rFonts w:ascii="Avenir Next" w:hAnsi="Avenir Next" w:cs="Arial"/>
          <w:color w:val="808080" w:themeColor="background1" w:themeShade="80"/>
          <w:sz w:val="22"/>
          <w:szCs w:val="22"/>
          <w:lang w:val="en-GB"/>
        </w:rPr>
      </w:pPr>
      <w:r w:rsidRPr="006C7EED">
        <w:rPr>
          <w:rFonts w:ascii="Avenir Next" w:hAnsi="Avenir Next" w:cs="Arial"/>
          <w:color w:val="808080" w:themeColor="background1" w:themeShade="80"/>
          <w:sz w:val="22"/>
          <w:szCs w:val="22"/>
          <w:lang w:val="en-GB"/>
        </w:rPr>
        <w:t>The court of the recognising state may first grant interim relief on the basis of Article 19 of the Model Law already before the decision on the application for recognition. This is typically done if the protection of the debtor's assets or interests of the creditors is urgently required.</w:t>
      </w:r>
    </w:p>
    <w:p w14:paraId="4C4499F2" w14:textId="77777777" w:rsidR="006C7EED" w:rsidRPr="006C7EED" w:rsidRDefault="006C7EED" w:rsidP="006C7EED">
      <w:pPr>
        <w:ind w:left="720" w:hanging="720"/>
        <w:jc w:val="both"/>
        <w:rPr>
          <w:rFonts w:ascii="Avenir Next" w:hAnsi="Avenir Next" w:cs="Arial"/>
          <w:color w:val="808080" w:themeColor="background1" w:themeShade="80"/>
          <w:sz w:val="22"/>
          <w:szCs w:val="22"/>
          <w:lang w:val="en-GB"/>
        </w:rPr>
      </w:pPr>
    </w:p>
    <w:p w14:paraId="7ED2C82E" w14:textId="77777777" w:rsidR="006C7EED" w:rsidRPr="006C7EED" w:rsidRDefault="006C7EED" w:rsidP="006C7EED">
      <w:pPr>
        <w:jc w:val="both"/>
        <w:rPr>
          <w:rFonts w:ascii="Avenir Next" w:hAnsi="Avenir Next" w:cs="Arial"/>
          <w:color w:val="808080" w:themeColor="background1" w:themeShade="80"/>
          <w:sz w:val="22"/>
          <w:szCs w:val="22"/>
          <w:lang w:val="en-GB"/>
        </w:rPr>
      </w:pPr>
      <w:r w:rsidRPr="006C7EED">
        <w:rPr>
          <w:rFonts w:ascii="Avenir Next" w:hAnsi="Avenir Next" w:cs="Arial"/>
          <w:color w:val="808080" w:themeColor="background1" w:themeShade="80"/>
          <w:sz w:val="22"/>
          <w:szCs w:val="22"/>
          <w:lang w:val="en-GB"/>
        </w:rPr>
        <w:t>As explained above, the recognition of the foreign main insolvency proceedings already triggers the moratorium under Article 20 of the Model Law, which otherwise must be applied for under Article 21 of the Model Law to the competent court with discretionary jurisdiction. To the extent that required relief is not covered by Article 20 of the Model Law, further relief may also be sought in this case under Article 21 of the Model Law.</w:t>
      </w:r>
    </w:p>
    <w:p w14:paraId="775682CB" w14:textId="77777777" w:rsidR="006C7EED" w:rsidRPr="006C7EED" w:rsidRDefault="006C7EED" w:rsidP="006C7EED">
      <w:pPr>
        <w:ind w:left="720" w:hanging="720"/>
        <w:jc w:val="both"/>
        <w:rPr>
          <w:rFonts w:ascii="Avenir Next" w:hAnsi="Avenir Next" w:cs="Arial"/>
          <w:color w:val="808080" w:themeColor="background1" w:themeShade="80"/>
          <w:sz w:val="22"/>
          <w:szCs w:val="22"/>
          <w:lang w:val="en-GB"/>
        </w:rPr>
      </w:pPr>
    </w:p>
    <w:p w14:paraId="655CD70B" w14:textId="74C66ECA" w:rsidR="00D5244F" w:rsidRDefault="006C7EED" w:rsidP="006C7EED">
      <w:pPr>
        <w:jc w:val="both"/>
        <w:rPr>
          <w:rFonts w:ascii="Avenir Next" w:hAnsi="Avenir Next" w:cs="Arial"/>
          <w:color w:val="808080" w:themeColor="background1" w:themeShade="80"/>
          <w:sz w:val="22"/>
          <w:szCs w:val="22"/>
          <w:lang w:val="en-GB"/>
        </w:rPr>
      </w:pPr>
      <w:r w:rsidRPr="006C7EED">
        <w:rPr>
          <w:rFonts w:ascii="Avenir Next" w:hAnsi="Avenir Next" w:cs="Arial"/>
          <w:color w:val="808080" w:themeColor="background1" w:themeShade="80"/>
          <w:sz w:val="22"/>
          <w:szCs w:val="22"/>
          <w:lang w:val="en-GB"/>
        </w:rPr>
        <w:t xml:space="preserve">The "appropriate" legal protection is not granted indefinitely under Article 21(1) of the Model Law. Various case scenarios in practice define the limits of the legal protection to be granted, such as in the case "Rubin v </w:t>
      </w:r>
      <w:proofErr w:type="spellStart"/>
      <w:r w:rsidRPr="006C7EED">
        <w:rPr>
          <w:rFonts w:ascii="Avenir Next" w:hAnsi="Avenir Next" w:cs="Arial"/>
          <w:color w:val="808080" w:themeColor="background1" w:themeShade="80"/>
          <w:sz w:val="22"/>
          <w:szCs w:val="22"/>
          <w:lang w:val="en-GB"/>
        </w:rPr>
        <w:t>Eurofinance</w:t>
      </w:r>
      <w:proofErr w:type="spellEnd"/>
      <w:r w:rsidRPr="006C7EED">
        <w:rPr>
          <w:rFonts w:ascii="Avenir Next" w:hAnsi="Avenir Next" w:cs="Arial"/>
          <w:color w:val="808080" w:themeColor="background1" w:themeShade="80"/>
          <w:sz w:val="22"/>
          <w:szCs w:val="22"/>
          <w:lang w:val="en-GB"/>
        </w:rPr>
        <w:t xml:space="preserve"> SA", "</w:t>
      </w:r>
      <w:proofErr w:type="spellStart"/>
      <w:r w:rsidRPr="006C7EED">
        <w:rPr>
          <w:rFonts w:ascii="Avenir Next" w:hAnsi="Avenir Next" w:cs="Arial"/>
          <w:color w:val="808080" w:themeColor="background1" w:themeShade="80"/>
          <w:sz w:val="22"/>
          <w:szCs w:val="22"/>
          <w:lang w:val="en-GB"/>
        </w:rPr>
        <w:t>Fibria</w:t>
      </w:r>
      <w:proofErr w:type="spellEnd"/>
      <w:r w:rsidRPr="006C7EED">
        <w:rPr>
          <w:rFonts w:ascii="Avenir Next" w:hAnsi="Avenir Next" w:cs="Arial"/>
          <w:color w:val="808080" w:themeColor="background1" w:themeShade="80"/>
          <w:sz w:val="22"/>
          <w:szCs w:val="22"/>
          <w:lang w:val="en-GB"/>
        </w:rPr>
        <w:t xml:space="preserve"> </w:t>
      </w:r>
      <w:proofErr w:type="spellStart"/>
      <w:r w:rsidRPr="006C7EED">
        <w:rPr>
          <w:rFonts w:ascii="Avenir Next" w:hAnsi="Avenir Next" w:cs="Arial"/>
          <w:color w:val="808080" w:themeColor="background1" w:themeShade="80"/>
          <w:sz w:val="22"/>
          <w:szCs w:val="22"/>
          <w:lang w:val="en-GB"/>
        </w:rPr>
        <w:t>Celulose</w:t>
      </w:r>
      <w:proofErr w:type="spellEnd"/>
      <w:r w:rsidRPr="006C7EED">
        <w:rPr>
          <w:rFonts w:ascii="Avenir Next" w:hAnsi="Avenir Next" w:cs="Arial"/>
          <w:color w:val="808080" w:themeColor="background1" w:themeShade="80"/>
          <w:sz w:val="22"/>
          <w:szCs w:val="22"/>
          <w:lang w:val="en-GB"/>
        </w:rPr>
        <w:t xml:space="preserve"> S/A v Pan Ocean Co Ltd" or in the "IBA case".</w:t>
      </w:r>
    </w:p>
    <w:p w14:paraId="7B954313" w14:textId="4B52690B" w:rsidR="006C7EED" w:rsidRDefault="006C7EED" w:rsidP="006C7EED">
      <w:pPr>
        <w:jc w:val="both"/>
        <w:rPr>
          <w:rFonts w:ascii="Avenir Next" w:hAnsi="Avenir Next" w:cs="Arial"/>
          <w:color w:val="808080"/>
          <w:sz w:val="22"/>
          <w:szCs w:val="22"/>
          <w:lang w:val="en-GB"/>
        </w:rPr>
      </w:pPr>
    </w:p>
    <w:p w14:paraId="33949EC4" w14:textId="349256A2" w:rsidR="00CC70F5" w:rsidRDefault="00CC70F5" w:rsidP="006C7EED">
      <w:pPr>
        <w:jc w:val="both"/>
        <w:rPr>
          <w:rFonts w:ascii="Avenir Next" w:hAnsi="Avenir Next" w:cs="Arial"/>
          <w:color w:val="808080"/>
          <w:sz w:val="22"/>
          <w:szCs w:val="22"/>
          <w:lang w:val="en-GB"/>
        </w:rPr>
      </w:pPr>
    </w:p>
    <w:p w14:paraId="6D124C68" w14:textId="77777777" w:rsidR="00CC70F5" w:rsidRPr="006C7EED" w:rsidRDefault="00CC70F5" w:rsidP="006C7EED">
      <w:pPr>
        <w:jc w:val="both"/>
        <w:rPr>
          <w:rFonts w:ascii="Avenir Next" w:hAnsi="Avenir Next" w:cs="Arial"/>
          <w:color w:val="808080"/>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C311E94" w14:textId="77777777" w:rsidR="00155237" w:rsidRPr="00155237" w:rsidRDefault="00155237" w:rsidP="00155237">
      <w:pPr>
        <w:jc w:val="both"/>
        <w:rPr>
          <w:rFonts w:ascii="Avenir Next" w:hAnsi="Avenir Next" w:cs="Arial"/>
          <w:color w:val="808080" w:themeColor="background1" w:themeShade="80"/>
          <w:sz w:val="22"/>
          <w:szCs w:val="22"/>
          <w:lang w:val="en-GB"/>
        </w:rPr>
      </w:pPr>
      <w:r w:rsidRPr="00155237">
        <w:rPr>
          <w:rFonts w:ascii="Avenir Next" w:hAnsi="Avenir Next" w:cs="Arial"/>
          <w:color w:val="808080" w:themeColor="background1" w:themeShade="80"/>
          <w:sz w:val="22"/>
          <w:szCs w:val="22"/>
          <w:lang w:val="en-GB"/>
        </w:rPr>
        <w:t xml:space="preserve">The question of whether a worldwide freezing order granted as interim relief under Article 19 of the Model Law can continue as foreign main proceedings after recognition of foreign insolvency proceedings in the United Kingdom arose in the case between Igor </w:t>
      </w:r>
      <w:proofErr w:type="spellStart"/>
      <w:r w:rsidRPr="00155237">
        <w:rPr>
          <w:rFonts w:ascii="Avenir Next" w:hAnsi="Avenir Next" w:cs="Arial"/>
          <w:color w:val="808080" w:themeColor="background1" w:themeShade="80"/>
          <w:sz w:val="22"/>
          <w:szCs w:val="22"/>
          <w:lang w:val="en-GB"/>
        </w:rPr>
        <w:t>Vitalievich</w:t>
      </w:r>
      <w:proofErr w:type="spellEnd"/>
      <w:r w:rsidRPr="00155237">
        <w:rPr>
          <w:rFonts w:ascii="Avenir Next" w:hAnsi="Avenir Next" w:cs="Arial"/>
          <w:color w:val="808080" w:themeColor="background1" w:themeShade="80"/>
          <w:sz w:val="22"/>
          <w:szCs w:val="22"/>
          <w:lang w:val="en-GB"/>
        </w:rPr>
        <w:t xml:space="preserve"> </w:t>
      </w:r>
      <w:proofErr w:type="spellStart"/>
      <w:r w:rsidRPr="00155237">
        <w:rPr>
          <w:rFonts w:ascii="Avenir Next" w:hAnsi="Avenir Next" w:cs="Arial"/>
          <w:color w:val="808080" w:themeColor="background1" w:themeShade="80"/>
          <w:sz w:val="22"/>
          <w:szCs w:val="22"/>
          <w:lang w:val="en-GB"/>
        </w:rPr>
        <w:t>Protasov</w:t>
      </w:r>
      <w:proofErr w:type="spellEnd"/>
      <w:r w:rsidRPr="00155237">
        <w:rPr>
          <w:rFonts w:ascii="Avenir Next" w:hAnsi="Avenir Next" w:cs="Arial"/>
          <w:color w:val="808080" w:themeColor="background1" w:themeShade="80"/>
          <w:sz w:val="22"/>
          <w:szCs w:val="22"/>
          <w:lang w:val="en-GB"/>
        </w:rPr>
        <w:t xml:space="preserve"> and </w:t>
      </w:r>
      <w:proofErr w:type="spellStart"/>
      <w:r w:rsidRPr="00155237">
        <w:rPr>
          <w:rFonts w:ascii="Avenir Next" w:hAnsi="Avenir Next" w:cs="Arial"/>
          <w:color w:val="808080" w:themeColor="background1" w:themeShade="80"/>
          <w:sz w:val="22"/>
          <w:szCs w:val="22"/>
          <w:lang w:val="en-GB"/>
        </w:rPr>
        <w:t>Khadzhi</w:t>
      </w:r>
      <w:proofErr w:type="spellEnd"/>
      <w:r w:rsidRPr="00155237">
        <w:rPr>
          <w:rFonts w:ascii="Avenir Next" w:hAnsi="Avenir Next" w:cs="Arial"/>
          <w:color w:val="808080" w:themeColor="background1" w:themeShade="80"/>
          <w:sz w:val="22"/>
          <w:szCs w:val="22"/>
          <w:lang w:val="en-GB"/>
        </w:rPr>
        <w:t xml:space="preserve">-Murat </w:t>
      </w:r>
      <w:proofErr w:type="spellStart"/>
      <w:r w:rsidRPr="00155237">
        <w:rPr>
          <w:rFonts w:ascii="Avenir Next" w:hAnsi="Avenir Next" w:cs="Arial"/>
          <w:color w:val="808080" w:themeColor="background1" w:themeShade="80"/>
          <w:sz w:val="22"/>
          <w:szCs w:val="22"/>
          <w:lang w:val="en-GB"/>
        </w:rPr>
        <w:t>Derev</w:t>
      </w:r>
      <w:proofErr w:type="spellEnd"/>
      <w:r w:rsidRPr="00155237">
        <w:rPr>
          <w:rFonts w:ascii="Avenir Next" w:hAnsi="Avenir Next" w:cs="Arial"/>
          <w:color w:val="808080" w:themeColor="background1" w:themeShade="80"/>
          <w:sz w:val="22"/>
          <w:szCs w:val="22"/>
          <w:lang w:val="en-GB"/>
        </w:rPr>
        <w:t>.</w:t>
      </w:r>
    </w:p>
    <w:p w14:paraId="136F037D" w14:textId="77777777" w:rsidR="00155237" w:rsidRPr="00155237" w:rsidRDefault="00155237" w:rsidP="00155237">
      <w:pPr>
        <w:jc w:val="both"/>
        <w:rPr>
          <w:rFonts w:ascii="Avenir Next" w:hAnsi="Avenir Next" w:cs="Arial"/>
          <w:color w:val="808080" w:themeColor="background1" w:themeShade="80"/>
          <w:sz w:val="22"/>
          <w:szCs w:val="22"/>
          <w:lang w:val="en-GB"/>
        </w:rPr>
      </w:pPr>
    </w:p>
    <w:p w14:paraId="24E57F38" w14:textId="77777777" w:rsidR="00155237" w:rsidRPr="00155237" w:rsidRDefault="00155237" w:rsidP="00155237">
      <w:pPr>
        <w:jc w:val="both"/>
        <w:rPr>
          <w:rFonts w:ascii="Avenir Next" w:hAnsi="Avenir Next" w:cs="Arial"/>
          <w:color w:val="808080" w:themeColor="background1" w:themeShade="80"/>
          <w:sz w:val="22"/>
          <w:szCs w:val="22"/>
          <w:lang w:val="en-GB"/>
        </w:rPr>
      </w:pPr>
      <w:r w:rsidRPr="00155237">
        <w:rPr>
          <w:rFonts w:ascii="Avenir Next" w:hAnsi="Avenir Next" w:cs="Arial"/>
          <w:color w:val="808080" w:themeColor="background1" w:themeShade="80"/>
          <w:sz w:val="22"/>
          <w:szCs w:val="22"/>
          <w:lang w:val="en-GB"/>
        </w:rPr>
        <w:t>While the court assumed that it would have jurisdiction to grant such recognition in principle, it also noted that there were limitations that hindered the proper exercise of such jurisdiction.</w:t>
      </w:r>
    </w:p>
    <w:p w14:paraId="134E52A6" w14:textId="77777777" w:rsidR="00155237" w:rsidRPr="00155237" w:rsidRDefault="00155237" w:rsidP="00155237">
      <w:pPr>
        <w:jc w:val="both"/>
        <w:rPr>
          <w:rFonts w:ascii="Avenir Next" w:hAnsi="Avenir Next" w:cs="Arial"/>
          <w:color w:val="808080" w:themeColor="background1" w:themeShade="80"/>
          <w:sz w:val="22"/>
          <w:szCs w:val="22"/>
          <w:lang w:val="en-GB"/>
        </w:rPr>
      </w:pPr>
    </w:p>
    <w:p w14:paraId="3EC572D6" w14:textId="77777777" w:rsidR="00155237" w:rsidRPr="00155237" w:rsidRDefault="00155237" w:rsidP="00155237">
      <w:pPr>
        <w:jc w:val="both"/>
        <w:rPr>
          <w:rFonts w:ascii="Avenir Next" w:hAnsi="Avenir Next" w:cs="Arial"/>
          <w:color w:val="808080" w:themeColor="background1" w:themeShade="80"/>
          <w:sz w:val="22"/>
          <w:szCs w:val="22"/>
          <w:lang w:val="en-GB"/>
        </w:rPr>
      </w:pPr>
      <w:r w:rsidRPr="00155237">
        <w:rPr>
          <w:rFonts w:ascii="Avenir Next" w:hAnsi="Avenir Next" w:cs="Arial"/>
          <w:color w:val="808080" w:themeColor="background1" w:themeShade="80"/>
          <w:sz w:val="22"/>
          <w:szCs w:val="22"/>
          <w:lang w:val="en-GB"/>
        </w:rPr>
        <w:t>Thus, the court found that in this case, divergent relief can already be granted from English law, so that a corresponding freezing order is not even necessary.</w:t>
      </w:r>
    </w:p>
    <w:p w14:paraId="37D34EFD" w14:textId="77777777" w:rsidR="00155237" w:rsidRPr="00155237" w:rsidRDefault="00155237" w:rsidP="00155237">
      <w:pPr>
        <w:jc w:val="both"/>
        <w:rPr>
          <w:rFonts w:ascii="Avenir Next" w:hAnsi="Avenir Next" w:cs="Arial"/>
          <w:color w:val="808080" w:themeColor="background1" w:themeShade="80"/>
          <w:sz w:val="22"/>
          <w:szCs w:val="22"/>
          <w:lang w:val="en-GB"/>
        </w:rPr>
      </w:pPr>
    </w:p>
    <w:p w14:paraId="408A122F" w14:textId="77777777" w:rsidR="00155237" w:rsidRPr="00155237" w:rsidRDefault="00155237" w:rsidP="00155237">
      <w:pPr>
        <w:jc w:val="both"/>
        <w:rPr>
          <w:rFonts w:ascii="Avenir Next" w:hAnsi="Avenir Next" w:cs="Arial"/>
          <w:color w:val="808080" w:themeColor="background1" w:themeShade="80"/>
          <w:sz w:val="22"/>
          <w:szCs w:val="22"/>
          <w:lang w:val="en-GB"/>
        </w:rPr>
      </w:pPr>
      <w:r w:rsidRPr="00155237">
        <w:rPr>
          <w:rFonts w:ascii="Avenir Next" w:hAnsi="Avenir Next" w:cs="Arial"/>
          <w:color w:val="808080" w:themeColor="background1" w:themeShade="80"/>
          <w:sz w:val="22"/>
          <w:szCs w:val="22"/>
          <w:lang w:val="en-GB"/>
        </w:rPr>
        <w:t>In conclusion, the court stated that one of the main aims of the Model Law was to put a trustee or insolvency administrator from abroad on an equal footing with one from the country in terms of their rights and powers. As a result, the same comprehensive infrastructure of insolvency law comes into play.</w:t>
      </w:r>
    </w:p>
    <w:p w14:paraId="0BE8597D" w14:textId="77777777" w:rsidR="00155237" w:rsidRPr="00155237" w:rsidRDefault="00155237" w:rsidP="00155237">
      <w:pPr>
        <w:jc w:val="both"/>
        <w:rPr>
          <w:rFonts w:ascii="Avenir Next" w:hAnsi="Avenir Next" w:cs="Arial"/>
          <w:color w:val="808080" w:themeColor="background1" w:themeShade="80"/>
          <w:sz w:val="22"/>
          <w:szCs w:val="22"/>
          <w:lang w:val="en-GB"/>
        </w:rPr>
      </w:pPr>
    </w:p>
    <w:p w14:paraId="6841A1DE" w14:textId="6BBDBDAA" w:rsidR="00D5244F" w:rsidRDefault="00155237" w:rsidP="00155237">
      <w:pPr>
        <w:jc w:val="both"/>
        <w:rPr>
          <w:rFonts w:ascii="Avenir Next" w:hAnsi="Avenir Next" w:cs="Arial"/>
          <w:b/>
          <w:sz w:val="22"/>
          <w:szCs w:val="22"/>
          <w:lang w:val="en-GB"/>
        </w:rPr>
      </w:pPr>
      <w:r w:rsidRPr="00155237">
        <w:rPr>
          <w:rFonts w:ascii="Avenir Next" w:hAnsi="Avenir Next" w:cs="Arial"/>
          <w:color w:val="808080" w:themeColor="background1" w:themeShade="80"/>
          <w:sz w:val="22"/>
          <w:szCs w:val="22"/>
          <w:lang w:val="en-GB"/>
        </w:rPr>
        <w:t>A worldwide freezing order therefore does not continue to exist after recognition under Article 21 of the Model Law, since in the course of recognition the legal remedies arising from the law of the recognising state must always be invoked precisely to ensure that the parties in this cross-border situation are afforded the same rights and powers.</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enabsatz"/>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enabsatz"/>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enabsatz"/>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enabsatz"/>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enabsatz"/>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4DBD4454" w:rsidR="006A3DF0" w:rsidRDefault="006A3DF0" w:rsidP="006A3DF0">
      <w:pPr>
        <w:jc w:val="both"/>
        <w:rPr>
          <w:rFonts w:ascii="Avenir Next" w:hAnsi="Avenir Next" w:cs="Arial"/>
          <w:color w:val="000000"/>
          <w:sz w:val="22"/>
          <w:szCs w:val="22"/>
          <w:lang w:val="en-GB" w:eastAsia="en-GB"/>
        </w:rPr>
      </w:pPr>
    </w:p>
    <w:p w14:paraId="70F3312A" w14:textId="3CB2129E" w:rsidR="00E47B7A" w:rsidRDefault="00E47B7A" w:rsidP="006A3DF0">
      <w:pPr>
        <w:jc w:val="both"/>
        <w:rPr>
          <w:rFonts w:ascii="Avenir Next" w:hAnsi="Avenir Next" w:cs="Arial"/>
          <w:color w:val="000000"/>
          <w:sz w:val="22"/>
          <w:szCs w:val="22"/>
          <w:lang w:val="en-GB" w:eastAsia="en-GB"/>
        </w:rPr>
      </w:pPr>
    </w:p>
    <w:p w14:paraId="168102B4" w14:textId="6E517BEB" w:rsidR="00E47B7A" w:rsidRDefault="00E47B7A" w:rsidP="006A3DF0">
      <w:pPr>
        <w:jc w:val="both"/>
        <w:rPr>
          <w:rFonts w:ascii="Avenir Next" w:hAnsi="Avenir Next" w:cs="Arial"/>
          <w:color w:val="000000"/>
          <w:sz w:val="22"/>
          <w:szCs w:val="22"/>
          <w:lang w:val="en-GB" w:eastAsia="en-GB"/>
        </w:rPr>
      </w:pPr>
    </w:p>
    <w:p w14:paraId="470BDFFB" w14:textId="77777777" w:rsidR="00E47B7A" w:rsidRDefault="00E47B7A"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lastRenderedPageBreak/>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enabsatz"/>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enabsatz"/>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enabsatz"/>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enabsatz"/>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enabsatz"/>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enabsatz"/>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enabsatz"/>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enabsatz"/>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enabsatz"/>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enabsatz"/>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enabsatz"/>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authority the power to claim damages from a related party of the Bank, the power to make a claim against a non-banking financial institution that raised </w:t>
      </w:r>
      <w:r w:rsidRPr="00E2622D">
        <w:rPr>
          <w:rFonts w:ascii="Avenir Next" w:hAnsi="Avenir Next" w:cs="Arial"/>
          <w:color w:val="000000"/>
          <w:sz w:val="22"/>
          <w:szCs w:val="22"/>
          <w:lang w:val="en-GB" w:eastAsia="en-GB"/>
        </w:rPr>
        <w:lastRenderedPageBreak/>
        <w:t>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017728DE"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53678EE2" w14:textId="77777777" w:rsidR="0012385D" w:rsidRPr="00E2622D" w:rsidRDefault="0012385D"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865F4B5"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2A69BCC4" w14:textId="357B6C18" w:rsidR="00D35FA9" w:rsidRDefault="00D35FA9" w:rsidP="008A7470">
      <w:pPr>
        <w:jc w:val="both"/>
        <w:rPr>
          <w:rFonts w:ascii="Avenir Next" w:hAnsi="Avenir Next" w:cs="Arial"/>
          <w:sz w:val="22"/>
          <w:szCs w:val="22"/>
          <w:lang w:val="en-GB"/>
        </w:rPr>
      </w:pPr>
    </w:p>
    <w:p w14:paraId="3A8EA3B9" w14:textId="018B12A2" w:rsidR="00A153F7" w:rsidRDefault="00D35FA9" w:rsidP="00707FC8">
      <w:pPr>
        <w:jc w:val="both"/>
        <w:rPr>
          <w:rFonts w:ascii="Avenir Next" w:hAnsi="Avenir Next" w:cs="Arial"/>
          <w:color w:val="808080" w:themeColor="background1" w:themeShade="80"/>
          <w:sz w:val="22"/>
          <w:szCs w:val="22"/>
          <w:lang w:val="en-GB"/>
        </w:rPr>
      </w:pPr>
      <w:r w:rsidRPr="00D35FA9">
        <w:rPr>
          <w:rFonts w:ascii="Avenir Next" w:hAnsi="Avenir Next" w:cs="Arial"/>
          <w:color w:val="808080" w:themeColor="background1" w:themeShade="80"/>
          <w:sz w:val="22"/>
          <w:szCs w:val="22"/>
          <w:lang w:val="en-GB"/>
        </w:rPr>
        <w:t>Task 4.1.1</w:t>
      </w:r>
      <w:r>
        <w:rPr>
          <w:rFonts w:ascii="Avenir Next" w:hAnsi="Avenir Next" w:cs="Arial"/>
          <w:color w:val="808080" w:themeColor="background1" w:themeShade="80"/>
          <w:sz w:val="22"/>
          <w:szCs w:val="22"/>
          <w:lang w:val="en-GB"/>
        </w:rPr>
        <w:t>:</w:t>
      </w:r>
    </w:p>
    <w:p w14:paraId="4AD039EE" w14:textId="0C5F281F" w:rsidR="00D35FA9" w:rsidRDefault="00D35FA9" w:rsidP="00707FC8">
      <w:pPr>
        <w:jc w:val="both"/>
        <w:rPr>
          <w:rFonts w:ascii="Avenir Next" w:hAnsi="Avenir Next" w:cs="Arial"/>
          <w:color w:val="808080" w:themeColor="background1" w:themeShade="80"/>
          <w:sz w:val="22"/>
          <w:szCs w:val="22"/>
          <w:lang w:val="en-GB"/>
        </w:rPr>
      </w:pPr>
    </w:p>
    <w:p w14:paraId="3992DF04" w14:textId="134B5520" w:rsidR="00D35FA9" w:rsidRDefault="00D35FA9" w:rsidP="00707FC8">
      <w:pPr>
        <w:jc w:val="both"/>
        <w:rPr>
          <w:rFonts w:ascii="Avenir Next" w:hAnsi="Avenir Next" w:cs="Arial"/>
          <w:color w:val="808080" w:themeColor="background1" w:themeShade="80"/>
          <w:sz w:val="22"/>
          <w:szCs w:val="22"/>
          <w:lang w:val="en-GB"/>
        </w:rPr>
      </w:pPr>
      <w:r w:rsidRPr="00D35FA9">
        <w:rPr>
          <w:rFonts w:ascii="Avenir Next" w:hAnsi="Avenir Next" w:cs="Arial"/>
          <w:color w:val="808080" w:themeColor="background1" w:themeShade="80"/>
          <w:sz w:val="22"/>
          <w:szCs w:val="22"/>
          <w:lang w:val="en-GB"/>
        </w:rPr>
        <w:t>According to Art. 2 lit. a) of the Model Law, "foreign proceedings" means collective judicial or administrative proceedings in a foreign state, including preliminary proceedings, under an insolvency law in which the assets and affairs of the debtor are subject to the control or supervision of a foreign court for the purpose of reorganisation or liquidation.</w:t>
      </w:r>
    </w:p>
    <w:p w14:paraId="4C0D718F" w14:textId="3ACA58FC" w:rsidR="00D35FA9" w:rsidRDefault="00D35FA9" w:rsidP="00707FC8">
      <w:pPr>
        <w:jc w:val="both"/>
        <w:rPr>
          <w:rFonts w:ascii="Avenir Next" w:hAnsi="Avenir Next" w:cs="Arial"/>
          <w:color w:val="808080" w:themeColor="background1" w:themeShade="80"/>
          <w:sz w:val="22"/>
          <w:szCs w:val="22"/>
          <w:lang w:val="en-GB"/>
        </w:rPr>
      </w:pPr>
    </w:p>
    <w:p w14:paraId="08EC15AD" w14:textId="77777777" w:rsidR="00B3209D" w:rsidRDefault="00FB4FB2" w:rsidP="00707FC8">
      <w:pPr>
        <w:jc w:val="both"/>
        <w:rPr>
          <w:rFonts w:ascii="Avenir Next" w:hAnsi="Avenir Next" w:cs="Arial"/>
          <w:color w:val="808080" w:themeColor="background1" w:themeShade="80"/>
          <w:sz w:val="22"/>
          <w:szCs w:val="22"/>
          <w:lang w:val="en-GB"/>
        </w:rPr>
      </w:pPr>
      <w:r w:rsidRPr="00FB4FB2">
        <w:rPr>
          <w:rFonts w:ascii="Avenir Next" w:hAnsi="Avenir Next" w:cs="Arial"/>
          <w:color w:val="808080" w:themeColor="background1" w:themeShade="80"/>
          <w:sz w:val="22"/>
          <w:szCs w:val="22"/>
          <w:lang w:val="en-GB"/>
        </w:rPr>
        <w:t>First of all, it should be noted that in the initial situation with proceedings in State A we are already dealing with another state, a "foreign state".</w:t>
      </w:r>
    </w:p>
    <w:p w14:paraId="2C6B5711" w14:textId="77777777" w:rsidR="00B3209D" w:rsidRDefault="00B3209D" w:rsidP="00707FC8">
      <w:pPr>
        <w:jc w:val="both"/>
        <w:rPr>
          <w:rFonts w:ascii="Avenir Next" w:hAnsi="Avenir Next" w:cs="Arial"/>
          <w:color w:val="808080" w:themeColor="background1" w:themeShade="80"/>
          <w:sz w:val="22"/>
          <w:szCs w:val="22"/>
          <w:lang w:val="en-GB"/>
        </w:rPr>
      </w:pPr>
    </w:p>
    <w:p w14:paraId="470EA7A0" w14:textId="640845D1" w:rsidR="00D35FA9" w:rsidRDefault="00FB4FB2" w:rsidP="00707FC8">
      <w:pPr>
        <w:jc w:val="both"/>
        <w:rPr>
          <w:rFonts w:ascii="Avenir Next" w:hAnsi="Avenir Next" w:cs="Arial"/>
          <w:color w:val="808080" w:themeColor="background1" w:themeShade="80"/>
          <w:sz w:val="22"/>
          <w:szCs w:val="22"/>
          <w:lang w:val="en-GB"/>
        </w:rPr>
      </w:pPr>
      <w:r w:rsidRPr="00FB4FB2">
        <w:rPr>
          <w:rFonts w:ascii="Avenir Next" w:hAnsi="Avenir Next" w:cs="Arial"/>
          <w:color w:val="808080" w:themeColor="background1" w:themeShade="80"/>
          <w:sz w:val="22"/>
          <w:szCs w:val="22"/>
          <w:lang w:val="en-GB"/>
        </w:rPr>
        <w:t>The question is whether the proceedings in State A are collective judicial or administrative proceedings governed by an insolvency law, as required by Article 2</w:t>
      </w:r>
      <w:r w:rsidR="00994A81">
        <w:rPr>
          <w:rFonts w:ascii="Avenir Next" w:hAnsi="Avenir Next" w:cs="Arial"/>
          <w:color w:val="808080" w:themeColor="background1" w:themeShade="80"/>
          <w:sz w:val="22"/>
          <w:szCs w:val="22"/>
          <w:lang w:val="en-GB"/>
        </w:rPr>
        <w:t xml:space="preserve"> </w:t>
      </w:r>
      <w:r w:rsidR="00994A81" w:rsidRPr="00D35FA9">
        <w:rPr>
          <w:rFonts w:ascii="Avenir Next" w:hAnsi="Avenir Next" w:cs="Arial"/>
          <w:color w:val="808080" w:themeColor="background1" w:themeShade="80"/>
          <w:sz w:val="22"/>
          <w:szCs w:val="22"/>
          <w:lang w:val="en-GB"/>
        </w:rPr>
        <w:t xml:space="preserve">lit. a) </w:t>
      </w:r>
      <w:r w:rsidRPr="00FB4FB2">
        <w:rPr>
          <w:rFonts w:ascii="Avenir Next" w:hAnsi="Avenir Next" w:cs="Arial"/>
          <w:color w:val="808080" w:themeColor="background1" w:themeShade="80"/>
          <w:sz w:val="22"/>
          <w:szCs w:val="22"/>
          <w:lang w:val="en-GB"/>
        </w:rPr>
        <w:t>of the Model Law.</w:t>
      </w:r>
    </w:p>
    <w:p w14:paraId="53231167" w14:textId="1960C3BE" w:rsidR="00FB4FB2" w:rsidRDefault="00FB4FB2" w:rsidP="00707FC8">
      <w:pPr>
        <w:jc w:val="both"/>
        <w:rPr>
          <w:rFonts w:ascii="Avenir Next" w:hAnsi="Avenir Next" w:cs="Arial"/>
          <w:color w:val="808080" w:themeColor="background1" w:themeShade="80"/>
          <w:sz w:val="22"/>
          <w:szCs w:val="22"/>
          <w:lang w:val="en-GB"/>
        </w:rPr>
      </w:pPr>
    </w:p>
    <w:p w14:paraId="304220CC" w14:textId="7E0E3A7A" w:rsidR="00B3209D" w:rsidRDefault="00B3209D" w:rsidP="00707FC8">
      <w:pPr>
        <w:jc w:val="both"/>
        <w:rPr>
          <w:rFonts w:ascii="Avenir Next" w:hAnsi="Avenir Next" w:cs="Arial"/>
          <w:color w:val="808080" w:themeColor="background1" w:themeShade="80"/>
          <w:sz w:val="22"/>
          <w:szCs w:val="22"/>
          <w:lang w:val="en-GB"/>
        </w:rPr>
      </w:pPr>
      <w:r w:rsidRPr="00B3209D">
        <w:rPr>
          <w:rFonts w:ascii="Avenir Next" w:hAnsi="Avenir Next" w:cs="Arial"/>
          <w:color w:val="808080" w:themeColor="background1" w:themeShade="80"/>
          <w:sz w:val="22"/>
          <w:szCs w:val="22"/>
          <w:lang w:val="en-GB"/>
        </w:rPr>
        <w:t xml:space="preserve">The requirement for a law relating to insolvency is addressed in the UNCITRAL Guide to the Statutory Instrument, p. 41, para. 73. The aim was to find a description that is broad enough to cover a range of insolvency provisions, regardless of the type of law or legislation in which they are contained and </w:t>
      </w:r>
      <w:r w:rsidRPr="00B3209D">
        <w:rPr>
          <w:rFonts w:ascii="Avenir Next" w:hAnsi="Avenir Next" w:cs="Arial"/>
          <w:color w:val="808080" w:themeColor="background1" w:themeShade="80"/>
          <w:sz w:val="22"/>
          <w:szCs w:val="22"/>
          <w:lang w:val="en-GB"/>
        </w:rPr>
        <w:lastRenderedPageBreak/>
        <w:t>regardless of whether the law containing the provisions relates exclusively to insolvency. In this regard, the Model Law does not require the law to be called "insolvency law"; it is sufficient if the law deals with insolvency or serious financial difficulties. The requirement of "insolvency law" is met if insolvency is one of the grounds on which the proceedings could be initiated, even if insolvency could not actually be proven and there was another basis for initiating the proceedings.</w:t>
      </w:r>
    </w:p>
    <w:p w14:paraId="02E65129" w14:textId="58C448AA" w:rsidR="00B65A43" w:rsidRDefault="00B65A43" w:rsidP="00707FC8">
      <w:pPr>
        <w:jc w:val="both"/>
        <w:rPr>
          <w:rFonts w:ascii="Avenir Next" w:hAnsi="Avenir Next" w:cs="Arial"/>
          <w:color w:val="808080" w:themeColor="background1" w:themeShade="80"/>
          <w:sz w:val="22"/>
          <w:szCs w:val="22"/>
          <w:lang w:val="en-GB"/>
        </w:rPr>
      </w:pPr>
    </w:p>
    <w:p w14:paraId="7D24997E" w14:textId="07D84A40" w:rsidR="00B65A43" w:rsidRDefault="00646AEF" w:rsidP="00707FC8">
      <w:pPr>
        <w:jc w:val="both"/>
        <w:rPr>
          <w:rFonts w:ascii="Avenir Next" w:hAnsi="Avenir Next" w:cs="Arial"/>
          <w:color w:val="808080" w:themeColor="background1" w:themeShade="80"/>
          <w:sz w:val="22"/>
          <w:szCs w:val="22"/>
          <w:lang w:val="en-GB"/>
        </w:rPr>
      </w:pPr>
      <w:r w:rsidRPr="00646AEF">
        <w:rPr>
          <w:rFonts w:ascii="Avenir Next" w:hAnsi="Avenir Next" w:cs="Arial"/>
          <w:color w:val="808080" w:themeColor="background1" w:themeShade="80"/>
          <w:sz w:val="22"/>
          <w:szCs w:val="22"/>
          <w:lang w:val="en-GB"/>
        </w:rPr>
        <w:t>The element of the collective proceedings is dealt with in the UNCITRAL Guide to the Statutory Instrument, pp. 39-40, paras. 69-70. An important consideration is whether substantially all of the debtor's assets and liabilities are dealt with in the proceedings.</w:t>
      </w:r>
    </w:p>
    <w:p w14:paraId="0FA5253C" w14:textId="4D923A2D" w:rsidR="00646AEF" w:rsidRDefault="00646AEF" w:rsidP="00707FC8">
      <w:pPr>
        <w:jc w:val="both"/>
        <w:rPr>
          <w:rFonts w:ascii="Avenir Next" w:hAnsi="Avenir Next" w:cs="Arial"/>
          <w:color w:val="808080" w:themeColor="background1" w:themeShade="80"/>
          <w:sz w:val="22"/>
          <w:szCs w:val="22"/>
          <w:lang w:val="en-GB"/>
        </w:rPr>
      </w:pPr>
    </w:p>
    <w:p w14:paraId="3B536AC1" w14:textId="0AFB0933" w:rsidR="00FB4FB2" w:rsidRDefault="003D1727" w:rsidP="00707FC8">
      <w:pPr>
        <w:jc w:val="both"/>
        <w:rPr>
          <w:rFonts w:ascii="Avenir Next" w:hAnsi="Avenir Next" w:cs="Arial"/>
          <w:color w:val="808080" w:themeColor="background1" w:themeShade="80"/>
          <w:sz w:val="22"/>
          <w:szCs w:val="22"/>
          <w:lang w:val="en-GB"/>
        </w:rPr>
      </w:pPr>
      <w:r w:rsidRPr="003D1727">
        <w:rPr>
          <w:rFonts w:ascii="Avenir Next" w:hAnsi="Avenir Next" w:cs="Arial"/>
          <w:color w:val="808080" w:themeColor="background1" w:themeShade="80"/>
          <w:sz w:val="22"/>
          <w:szCs w:val="22"/>
          <w:lang w:val="en-GB"/>
        </w:rPr>
        <w:t>Based on these definitions, it must be stated that the liquidation of the bank is a collective administrative procedure governed by a law with references to insolvency law. First of all, it is an "administrative procedure", since the essential checks and decisions for the respective next liquidation steps are made by the National Bank and not by the courts. Then the procedure concerning the determination of the bank's "difficulties", the bank's "insolvency" up to the handing over of the "administrative and disposal power" and finally the "liquidation" is determined by the Law of Country A on Banks and Banking Businesses (LBBA). It is irrelevant that the law does not explicitly speak of "insolvency" in its title, as it in any case sets out clear criteria for insolvency and thus regulates the insolvency of a bank. Thus, for insolvency, the equity capital must have fallen to 1/3 of the minimum level, the bank must not be able to service at least 2% of its obligations to its customers over a period of 5 working days, and the bank must not have initiated measures for improvement despite the identified "non-performing" condition.</w:t>
      </w:r>
    </w:p>
    <w:p w14:paraId="5B9C93DC" w14:textId="31E45963" w:rsidR="003D1727" w:rsidRDefault="003D1727" w:rsidP="00707FC8">
      <w:pPr>
        <w:jc w:val="both"/>
        <w:rPr>
          <w:rFonts w:ascii="Avenir Next" w:hAnsi="Avenir Next" w:cs="Arial"/>
          <w:color w:val="808080" w:themeColor="background1" w:themeShade="80"/>
          <w:sz w:val="22"/>
          <w:szCs w:val="22"/>
          <w:lang w:val="en-GB"/>
        </w:rPr>
      </w:pPr>
    </w:p>
    <w:p w14:paraId="20460A20" w14:textId="7FEEA7ED" w:rsidR="003D1727" w:rsidRDefault="003D1727" w:rsidP="00707FC8">
      <w:pPr>
        <w:jc w:val="both"/>
        <w:rPr>
          <w:rFonts w:ascii="Avenir Next" w:hAnsi="Avenir Next" w:cs="Arial"/>
          <w:color w:val="808080" w:themeColor="background1" w:themeShade="80"/>
          <w:sz w:val="22"/>
          <w:szCs w:val="22"/>
          <w:lang w:val="en-GB"/>
        </w:rPr>
      </w:pPr>
      <w:r w:rsidRPr="003D1727">
        <w:rPr>
          <w:rFonts w:ascii="Avenir Next" w:hAnsi="Avenir Next" w:cs="Arial"/>
          <w:color w:val="808080" w:themeColor="background1" w:themeShade="80"/>
          <w:sz w:val="22"/>
          <w:szCs w:val="22"/>
          <w:lang w:val="en-GB"/>
        </w:rPr>
        <w:t>Since the LBBA thus presupposes insolvency as the cause of such proceedings for insolvency and, in case of doubt, the subsequent liquidation, it is, in summary, a law that also regulates insolvency.</w:t>
      </w:r>
    </w:p>
    <w:p w14:paraId="01AD1933" w14:textId="68AC74CB" w:rsidR="003D1727" w:rsidRDefault="003D1727" w:rsidP="00707FC8">
      <w:pPr>
        <w:jc w:val="both"/>
        <w:rPr>
          <w:rFonts w:ascii="Avenir Next" w:hAnsi="Avenir Next" w:cs="Arial"/>
          <w:color w:val="808080" w:themeColor="background1" w:themeShade="80"/>
          <w:sz w:val="22"/>
          <w:szCs w:val="22"/>
          <w:lang w:val="en-GB"/>
        </w:rPr>
      </w:pPr>
    </w:p>
    <w:p w14:paraId="2105ECE6" w14:textId="624E338F" w:rsidR="003727CF" w:rsidRDefault="003D1727" w:rsidP="00707FC8">
      <w:pPr>
        <w:jc w:val="both"/>
        <w:rPr>
          <w:rFonts w:ascii="Avenir Next" w:hAnsi="Avenir Next" w:cs="Arial"/>
          <w:color w:val="808080" w:themeColor="background1" w:themeShade="80"/>
          <w:sz w:val="22"/>
          <w:szCs w:val="22"/>
          <w:lang w:val="en-GB"/>
        </w:rPr>
      </w:pPr>
      <w:r w:rsidRPr="003D1727">
        <w:rPr>
          <w:rFonts w:ascii="Avenir Next" w:hAnsi="Avenir Next" w:cs="Arial"/>
          <w:color w:val="808080" w:themeColor="background1" w:themeShade="80"/>
          <w:sz w:val="22"/>
          <w:szCs w:val="22"/>
          <w:lang w:val="en-GB"/>
        </w:rPr>
        <w:t>Finally, Article 2</w:t>
      </w:r>
      <w:r>
        <w:rPr>
          <w:rFonts w:ascii="Avenir Next" w:hAnsi="Avenir Next" w:cs="Arial"/>
          <w:color w:val="808080" w:themeColor="background1" w:themeShade="80"/>
          <w:sz w:val="22"/>
          <w:szCs w:val="22"/>
          <w:lang w:val="en-GB"/>
        </w:rPr>
        <w:t xml:space="preserve"> lit. a)</w:t>
      </w:r>
      <w:r w:rsidRPr="003D1727">
        <w:rPr>
          <w:rFonts w:ascii="Avenir Next" w:hAnsi="Avenir Next" w:cs="Arial"/>
          <w:color w:val="808080" w:themeColor="background1" w:themeShade="80"/>
          <w:sz w:val="22"/>
          <w:szCs w:val="22"/>
          <w:lang w:val="en-GB"/>
        </w:rPr>
        <w:t xml:space="preserve"> of the Model Law requires the LBBA to subject the assets and affairs of the debtor to the control or supervision of a foreign court for the purpose of reorganisation or liquidation.</w:t>
      </w:r>
      <w:r w:rsidR="003727CF">
        <w:rPr>
          <w:rFonts w:ascii="Avenir Next" w:hAnsi="Avenir Next" w:cs="Arial"/>
          <w:color w:val="808080" w:themeColor="background1" w:themeShade="80"/>
          <w:sz w:val="22"/>
          <w:szCs w:val="22"/>
          <w:lang w:val="en-GB"/>
        </w:rPr>
        <w:t xml:space="preserve"> </w:t>
      </w:r>
      <w:r w:rsidR="003727CF" w:rsidRPr="003727CF">
        <w:rPr>
          <w:rFonts w:ascii="Avenir Next" w:hAnsi="Avenir Next" w:cs="Arial"/>
          <w:color w:val="808080" w:themeColor="background1" w:themeShade="80"/>
          <w:sz w:val="22"/>
          <w:szCs w:val="22"/>
          <w:lang w:val="en-GB"/>
        </w:rPr>
        <w:t>This requirement is addressed in the UNCITRAL Guide to Enactment, pp. 41-42, paras 74-76. The Model Law does not specify the extent of control or monitoring or the point in time at which such control or monitoring should occur.</w:t>
      </w:r>
      <w:r w:rsidR="003727CF" w:rsidRPr="003727CF">
        <w:t xml:space="preserve"> </w:t>
      </w:r>
      <w:r w:rsidR="003727CF" w:rsidRPr="003727CF">
        <w:rPr>
          <w:rFonts w:ascii="Avenir Next" w:hAnsi="Avenir Next" w:cs="Arial"/>
          <w:color w:val="808080" w:themeColor="background1" w:themeShade="80"/>
          <w:sz w:val="22"/>
          <w:szCs w:val="22"/>
          <w:lang w:val="en-GB"/>
        </w:rPr>
        <w:t>The Model Law provides for only a relatively low level of judicial supervision. Under the CBIR, it may be potential rather than actual and indirect rather than direct.</w:t>
      </w:r>
    </w:p>
    <w:p w14:paraId="6D1CE6C3" w14:textId="08CDC3AD" w:rsidR="005159FB" w:rsidRDefault="005159FB" w:rsidP="00707FC8">
      <w:pPr>
        <w:jc w:val="both"/>
        <w:rPr>
          <w:rFonts w:ascii="Avenir Next" w:hAnsi="Avenir Next" w:cs="Arial"/>
          <w:color w:val="808080" w:themeColor="background1" w:themeShade="80"/>
          <w:sz w:val="22"/>
          <w:szCs w:val="22"/>
          <w:lang w:val="en-GB"/>
        </w:rPr>
      </w:pPr>
    </w:p>
    <w:p w14:paraId="58D868A3" w14:textId="28D3DCD9" w:rsidR="005159FB" w:rsidRDefault="005159FB" w:rsidP="00707FC8">
      <w:pPr>
        <w:jc w:val="both"/>
        <w:rPr>
          <w:rFonts w:ascii="Avenir Next" w:hAnsi="Avenir Next" w:cs="Arial"/>
          <w:color w:val="808080" w:themeColor="background1" w:themeShade="80"/>
          <w:sz w:val="22"/>
          <w:szCs w:val="22"/>
          <w:lang w:val="en-GB"/>
        </w:rPr>
      </w:pPr>
      <w:r w:rsidRPr="005159FB">
        <w:rPr>
          <w:rFonts w:ascii="Avenir Next" w:hAnsi="Avenir Next" w:cs="Arial"/>
          <w:color w:val="808080" w:themeColor="background1" w:themeShade="80"/>
          <w:sz w:val="22"/>
          <w:szCs w:val="22"/>
          <w:lang w:val="en-GB"/>
        </w:rPr>
        <w:t>According to Article 2 lit. e) of the Model Law, a "foreign court" is a judicial or other authority that is competent to control and supervise the foreign proceedings. Despite the term "foreign jurisdiction", it does not necessarily have to be a court. Rather, supervision can also be carried out by an "authority".</w:t>
      </w:r>
    </w:p>
    <w:p w14:paraId="5D01C93D" w14:textId="77777777" w:rsidR="003727CF" w:rsidRDefault="003727CF" w:rsidP="00707FC8">
      <w:pPr>
        <w:jc w:val="both"/>
        <w:rPr>
          <w:rFonts w:ascii="Avenir Next" w:hAnsi="Avenir Next" w:cs="Arial"/>
          <w:color w:val="808080" w:themeColor="background1" w:themeShade="80"/>
          <w:sz w:val="22"/>
          <w:szCs w:val="22"/>
          <w:lang w:val="en-GB"/>
        </w:rPr>
      </w:pPr>
    </w:p>
    <w:p w14:paraId="1AC9D753" w14:textId="4839B7F1" w:rsidR="003D1727" w:rsidRDefault="003F18F6" w:rsidP="00707FC8">
      <w:pPr>
        <w:jc w:val="both"/>
        <w:rPr>
          <w:rFonts w:ascii="Avenir Next" w:hAnsi="Avenir Next" w:cs="Arial"/>
          <w:color w:val="808080" w:themeColor="background1" w:themeShade="80"/>
          <w:sz w:val="22"/>
          <w:szCs w:val="22"/>
          <w:lang w:val="en-GB"/>
        </w:rPr>
      </w:pPr>
      <w:r w:rsidRPr="003F18F6">
        <w:rPr>
          <w:rFonts w:ascii="Avenir Next" w:hAnsi="Avenir Next" w:cs="Arial"/>
          <w:color w:val="808080" w:themeColor="background1" w:themeShade="80"/>
          <w:sz w:val="22"/>
          <w:szCs w:val="22"/>
          <w:lang w:val="en-GB"/>
        </w:rPr>
        <w:t>According to the LBBA of country A, the condition of an economic "difficulty" is examined by the National Bank. It is also the National Bank that subsequently determines insolvency. If the insolvency of a bank is determined, the responsibility for the next passes to the state institution of the Deposit Guarantee Fund (DGF). They can take over the provisional or provisional administration and also initiate the liquidation. According to Article 77 of the LBBA, the DGF automatically becomes the bank's liquidator after the bank's licence is revoked. The DGF acts fully independently, as follows from Article 3(3) and (7) of the LBBA.</w:t>
      </w:r>
    </w:p>
    <w:p w14:paraId="695280B3" w14:textId="1D203F4D" w:rsidR="005159FB" w:rsidRDefault="005159FB" w:rsidP="00707FC8">
      <w:pPr>
        <w:jc w:val="both"/>
        <w:rPr>
          <w:rFonts w:ascii="Avenir Next" w:hAnsi="Avenir Next" w:cs="Arial"/>
          <w:color w:val="808080" w:themeColor="background1" w:themeShade="80"/>
          <w:sz w:val="22"/>
          <w:szCs w:val="22"/>
          <w:lang w:val="en-GB"/>
        </w:rPr>
      </w:pPr>
    </w:p>
    <w:p w14:paraId="79293281" w14:textId="114A7349" w:rsidR="005159FB" w:rsidRDefault="005159FB" w:rsidP="00707FC8">
      <w:pPr>
        <w:jc w:val="both"/>
        <w:rPr>
          <w:rFonts w:ascii="Avenir Next" w:hAnsi="Avenir Next" w:cs="Arial"/>
          <w:color w:val="808080" w:themeColor="background1" w:themeShade="80"/>
          <w:sz w:val="22"/>
          <w:szCs w:val="22"/>
          <w:lang w:val="en-GB"/>
        </w:rPr>
      </w:pPr>
      <w:r w:rsidRPr="005159FB">
        <w:rPr>
          <w:rFonts w:ascii="Avenir Next" w:hAnsi="Avenir Next" w:cs="Arial"/>
          <w:color w:val="808080" w:themeColor="background1" w:themeShade="80"/>
          <w:sz w:val="22"/>
          <w:szCs w:val="22"/>
          <w:lang w:val="en-GB"/>
        </w:rPr>
        <w:t>As a state institution, the DGF is to be understood as an authority of the government, so that supervision with regard to both insolvency and liquidation proceedings is carried out by a "foreign court" in accordance with Article 2 lit. e) and a) of the Model Law.</w:t>
      </w:r>
    </w:p>
    <w:p w14:paraId="6B8CB66A" w14:textId="703576E8" w:rsidR="003A73A4" w:rsidRDefault="003A73A4" w:rsidP="003A73A4">
      <w:pPr>
        <w:jc w:val="both"/>
        <w:rPr>
          <w:rFonts w:ascii="Avenir Next" w:hAnsi="Avenir Next" w:cs="Arial"/>
          <w:color w:val="808080" w:themeColor="background1" w:themeShade="80"/>
          <w:sz w:val="22"/>
          <w:szCs w:val="22"/>
          <w:lang w:val="en-GB"/>
        </w:rPr>
      </w:pPr>
    </w:p>
    <w:p w14:paraId="4E1F95BF" w14:textId="6FD01002" w:rsidR="005159FB" w:rsidRDefault="005159FB" w:rsidP="003A73A4">
      <w:pPr>
        <w:jc w:val="both"/>
        <w:rPr>
          <w:rFonts w:ascii="Avenir Next" w:hAnsi="Avenir Next" w:cs="Arial"/>
          <w:color w:val="808080" w:themeColor="background1" w:themeShade="80"/>
          <w:sz w:val="22"/>
          <w:szCs w:val="22"/>
          <w:lang w:val="en-GB"/>
        </w:rPr>
      </w:pPr>
      <w:r w:rsidRPr="005159FB">
        <w:rPr>
          <w:rFonts w:ascii="Avenir Next" w:hAnsi="Avenir Next" w:cs="Arial"/>
          <w:color w:val="808080" w:themeColor="background1" w:themeShade="80"/>
          <w:sz w:val="22"/>
          <w:szCs w:val="22"/>
          <w:lang w:val="en-GB"/>
        </w:rPr>
        <w:t xml:space="preserve">In conclusion, it must be stated that the proceedings concerning the bank in </w:t>
      </w:r>
      <w:r w:rsidR="0091282C">
        <w:rPr>
          <w:rFonts w:ascii="Avenir Next" w:hAnsi="Avenir Next" w:cs="Arial"/>
          <w:color w:val="808080" w:themeColor="background1" w:themeShade="80"/>
          <w:sz w:val="22"/>
          <w:szCs w:val="22"/>
          <w:lang w:val="en-GB"/>
        </w:rPr>
        <w:t>state</w:t>
      </w:r>
      <w:r w:rsidRPr="005159FB">
        <w:rPr>
          <w:rFonts w:ascii="Avenir Next" w:hAnsi="Avenir Next" w:cs="Arial"/>
          <w:color w:val="808080" w:themeColor="background1" w:themeShade="80"/>
          <w:sz w:val="22"/>
          <w:szCs w:val="22"/>
          <w:lang w:val="en-GB"/>
        </w:rPr>
        <w:t xml:space="preserve"> A are "foreign proceedings" within the meaning of Article 2 lit. a) of the Model Law.</w:t>
      </w:r>
    </w:p>
    <w:p w14:paraId="4CC9E3E7" w14:textId="1BAC88E2" w:rsidR="003A73A4" w:rsidRDefault="003A73A4" w:rsidP="003A73A4">
      <w:pPr>
        <w:jc w:val="both"/>
        <w:rPr>
          <w:rFonts w:ascii="Avenir Next" w:hAnsi="Avenir Next" w:cs="Arial"/>
          <w:color w:val="808080" w:themeColor="background1" w:themeShade="80"/>
          <w:sz w:val="22"/>
          <w:szCs w:val="22"/>
          <w:lang w:val="en-GB"/>
        </w:rPr>
      </w:pPr>
      <w:r w:rsidRPr="00D35FA9">
        <w:rPr>
          <w:rFonts w:ascii="Avenir Next" w:hAnsi="Avenir Next" w:cs="Arial"/>
          <w:color w:val="808080" w:themeColor="background1" w:themeShade="80"/>
          <w:sz w:val="22"/>
          <w:szCs w:val="22"/>
          <w:lang w:val="en-GB"/>
        </w:rPr>
        <w:lastRenderedPageBreak/>
        <w:t>Task 4.1.</w:t>
      </w:r>
      <w:r>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w:t>
      </w:r>
    </w:p>
    <w:p w14:paraId="7838F5DF" w14:textId="77777777" w:rsidR="003A73A4" w:rsidRDefault="003A73A4" w:rsidP="003A73A4">
      <w:pPr>
        <w:jc w:val="both"/>
        <w:rPr>
          <w:rFonts w:ascii="Avenir Next" w:hAnsi="Avenir Next" w:cs="Arial"/>
          <w:color w:val="808080" w:themeColor="background1" w:themeShade="80"/>
          <w:sz w:val="22"/>
          <w:szCs w:val="22"/>
          <w:lang w:val="en-GB"/>
        </w:rPr>
      </w:pPr>
    </w:p>
    <w:bookmarkEnd w:id="3"/>
    <w:p w14:paraId="0A1FC732" w14:textId="77777777" w:rsidR="00B26D53" w:rsidRPr="00B26D53" w:rsidRDefault="00B26D53" w:rsidP="00B26D53">
      <w:pPr>
        <w:jc w:val="both"/>
        <w:rPr>
          <w:rFonts w:ascii="Avenir Next" w:hAnsi="Avenir Next" w:cs="Arial"/>
          <w:color w:val="808080" w:themeColor="background1" w:themeShade="80"/>
          <w:sz w:val="22"/>
          <w:szCs w:val="22"/>
          <w:lang w:val="en-GB"/>
        </w:rPr>
      </w:pPr>
      <w:r w:rsidRPr="00B26D53">
        <w:rPr>
          <w:rFonts w:ascii="Avenir Next" w:hAnsi="Avenir Next" w:cs="Arial"/>
          <w:color w:val="808080" w:themeColor="background1" w:themeShade="80"/>
          <w:sz w:val="22"/>
          <w:szCs w:val="22"/>
          <w:lang w:val="en-GB"/>
        </w:rPr>
        <w:t>According to Article 2(d) of the Model Law, a "foreign representative" is a person or entity authorised in a foreign proceeding to direct the reorganisation or liquidation of the debtor's assets or business or to act as a representative in the foreign proceeding.</w:t>
      </w:r>
    </w:p>
    <w:p w14:paraId="00299033" w14:textId="77777777" w:rsidR="00B26D53" w:rsidRPr="00B26D53" w:rsidRDefault="00B26D53" w:rsidP="00B26D53">
      <w:pPr>
        <w:jc w:val="both"/>
        <w:rPr>
          <w:rFonts w:ascii="Avenir Next" w:hAnsi="Avenir Next" w:cs="Arial"/>
          <w:color w:val="808080" w:themeColor="background1" w:themeShade="80"/>
          <w:sz w:val="22"/>
          <w:szCs w:val="22"/>
          <w:lang w:val="en-GB"/>
        </w:rPr>
      </w:pPr>
    </w:p>
    <w:p w14:paraId="558DAF7F" w14:textId="77777777" w:rsidR="00B26D53" w:rsidRPr="00B26D53" w:rsidRDefault="00B26D53" w:rsidP="00B26D53">
      <w:pPr>
        <w:jc w:val="both"/>
        <w:rPr>
          <w:rFonts w:ascii="Avenir Next" w:hAnsi="Avenir Next" w:cs="Arial"/>
          <w:color w:val="808080" w:themeColor="background1" w:themeShade="80"/>
          <w:sz w:val="22"/>
          <w:szCs w:val="22"/>
          <w:lang w:val="en-GB"/>
        </w:rPr>
      </w:pPr>
      <w:r w:rsidRPr="00B26D53">
        <w:rPr>
          <w:rFonts w:ascii="Avenir Next" w:hAnsi="Avenir Next" w:cs="Arial"/>
          <w:color w:val="808080" w:themeColor="background1" w:themeShade="80"/>
          <w:sz w:val="22"/>
          <w:szCs w:val="22"/>
          <w:lang w:val="en-GB"/>
        </w:rPr>
        <w:t>"Foreign representative" is also a key term in the Model Law, which includes the following elements: 1. a person or entity; 2. a power of attorney in a foreign proceeding; and 3. the power to manage or act as a representative in a foreign proceeding in the reorganisation or liquidation of the debtor's assets.</w:t>
      </w:r>
    </w:p>
    <w:p w14:paraId="3792731B" w14:textId="77777777" w:rsidR="00B26D53" w:rsidRPr="00B26D53" w:rsidRDefault="00B26D53" w:rsidP="00B26D53">
      <w:pPr>
        <w:jc w:val="both"/>
        <w:rPr>
          <w:rFonts w:ascii="Avenir Next" w:hAnsi="Avenir Next" w:cs="Arial"/>
          <w:color w:val="808080" w:themeColor="background1" w:themeShade="80"/>
          <w:sz w:val="22"/>
          <w:szCs w:val="22"/>
          <w:lang w:val="en-GB"/>
        </w:rPr>
      </w:pPr>
    </w:p>
    <w:p w14:paraId="08569E1E" w14:textId="77777777" w:rsidR="00B26D53" w:rsidRPr="00B26D53" w:rsidRDefault="00B26D53" w:rsidP="00B26D53">
      <w:pPr>
        <w:jc w:val="both"/>
        <w:rPr>
          <w:rFonts w:ascii="Avenir Next" w:hAnsi="Avenir Next" w:cs="Arial"/>
          <w:color w:val="808080" w:themeColor="background1" w:themeShade="80"/>
          <w:sz w:val="22"/>
          <w:szCs w:val="22"/>
          <w:lang w:val="en-GB"/>
        </w:rPr>
      </w:pPr>
      <w:r w:rsidRPr="00B26D53">
        <w:rPr>
          <w:rFonts w:ascii="Avenir Next" w:hAnsi="Avenir Next" w:cs="Arial"/>
          <w:color w:val="808080" w:themeColor="background1" w:themeShade="80"/>
          <w:sz w:val="22"/>
          <w:szCs w:val="22"/>
          <w:lang w:val="en-GB"/>
        </w:rPr>
        <w:t>As liquidator, the DGF has broad powers, including the power to investigate the history of the bank and to bring claims against parties believed to have caused the bank's demise. Article 48(3) of the DGF Act empowers the DGF to delegate its powers to an "authorised officer" or "authorised person". The "authorised person of the Fund" is defined in Article 2(1), paragraph 17 of the DGF Law as: "an employee of the Fund acting on behalf of the Fund and under the powers provided for in this Law and/or delegated by the Fund to ensure the withdrawal of the Bank from the market during the provisional administration of the insolvent Bank and/or the liquidation of the Bank".</w:t>
      </w:r>
    </w:p>
    <w:p w14:paraId="7DFC8710" w14:textId="77777777" w:rsidR="00B26D53" w:rsidRPr="00B26D53" w:rsidRDefault="00B26D53" w:rsidP="00B26D53">
      <w:pPr>
        <w:jc w:val="both"/>
        <w:rPr>
          <w:rFonts w:ascii="Avenir Next" w:hAnsi="Avenir Next" w:cs="Arial"/>
          <w:color w:val="808080" w:themeColor="background1" w:themeShade="80"/>
          <w:sz w:val="22"/>
          <w:szCs w:val="22"/>
          <w:lang w:val="en-GB"/>
        </w:rPr>
      </w:pPr>
    </w:p>
    <w:p w14:paraId="5BD66A6B" w14:textId="77777777" w:rsidR="00B26D53" w:rsidRPr="00B26D53" w:rsidRDefault="00B26D53" w:rsidP="00B26D53">
      <w:pPr>
        <w:jc w:val="both"/>
        <w:rPr>
          <w:rFonts w:ascii="Avenir Next" w:hAnsi="Avenir Next" w:cs="Arial"/>
          <w:color w:val="808080" w:themeColor="background1" w:themeShade="80"/>
          <w:sz w:val="22"/>
          <w:szCs w:val="22"/>
          <w:lang w:val="en-GB"/>
        </w:rPr>
      </w:pPr>
      <w:r w:rsidRPr="00B26D53">
        <w:rPr>
          <w:rFonts w:ascii="Avenir Next" w:hAnsi="Avenir Next" w:cs="Arial"/>
          <w:color w:val="808080" w:themeColor="background1" w:themeShade="80"/>
          <w:sz w:val="22"/>
          <w:szCs w:val="22"/>
          <w:lang w:val="en-GB"/>
        </w:rPr>
        <w:t>Article 35(1) of the DGF Act states that an authorised person must meet the following requirements "...high professional and moral qualities, an impeccable business reputation, a completed university education in economics, finance or law...and the requisite professional experience." An authorised person must not be a creditor of the bank concerned, must not have a criminal record, must not have any obligations to the bank concerned and must not have any conflict of interest with the bank. Once appointed, the authorised representative is accountable to the DGF for his or her actions and may exercise the powers conferred on him or her by the DGF in the liquidation of the bank.</w:t>
      </w:r>
    </w:p>
    <w:p w14:paraId="4BBD8395" w14:textId="77777777" w:rsidR="00B26D53" w:rsidRPr="00B26D53" w:rsidRDefault="00B26D53" w:rsidP="00B26D53">
      <w:pPr>
        <w:jc w:val="both"/>
        <w:rPr>
          <w:rFonts w:ascii="Avenir Next" w:hAnsi="Avenir Next" w:cs="Arial"/>
          <w:color w:val="808080" w:themeColor="background1" w:themeShade="80"/>
          <w:sz w:val="22"/>
          <w:szCs w:val="22"/>
          <w:lang w:val="en-GB"/>
        </w:rPr>
      </w:pPr>
    </w:p>
    <w:p w14:paraId="406DB682" w14:textId="77777777" w:rsidR="00B26D53" w:rsidRPr="00B26D53" w:rsidRDefault="00B26D53" w:rsidP="00B26D53">
      <w:pPr>
        <w:jc w:val="both"/>
        <w:rPr>
          <w:rFonts w:ascii="Avenir Next" w:hAnsi="Avenir Next" w:cs="Arial"/>
          <w:color w:val="808080" w:themeColor="background1" w:themeShade="80"/>
          <w:sz w:val="22"/>
          <w:szCs w:val="22"/>
          <w:lang w:val="en-GB"/>
        </w:rPr>
      </w:pPr>
      <w:r w:rsidRPr="00B26D53">
        <w:rPr>
          <w:rFonts w:ascii="Avenir Next" w:hAnsi="Avenir Next" w:cs="Arial"/>
          <w:color w:val="808080" w:themeColor="background1" w:themeShade="80"/>
          <w:sz w:val="22"/>
          <w:szCs w:val="22"/>
          <w:lang w:val="en-GB"/>
        </w:rPr>
        <w:t>Ms C. was the first of DGF's authorised representatives to be replaced by Ms G., who was appointed as authorised representative by Resolution No. 1513 of the Executive Committee of DGF's Board of Directors. The resolution states that Ms G. is a "leading bank resolution professional". It confers on her all the resolution powers in relation to the bank set out in the DGF Act and in particular Articles 37, 38, 47-52, 521 and 53 of the DGF Act, including the power to sign all agreements in relation to the sale of the bank's assets in the manner prescribed in the DGF Act.</w:t>
      </w:r>
    </w:p>
    <w:p w14:paraId="4BFF68BA" w14:textId="77777777" w:rsidR="00B26D53" w:rsidRPr="00B26D53" w:rsidRDefault="00B26D53" w:rsidP="00B26D53">
      <w:pPr>
        <w:jc w:val="both"/>
        <w:rPr>
          <w:rFonts w:ascii="Avenir Next" w:hAnsi="Avenir Next" w:cs="Arial"/>
          <w:color w:val="808080" w:themeColor="background1" w:themeShade="80"/>
          <w:sz w:val="22"/>
          <w:szCs w:val="22"/>
          <w:lang w:val="en-GB"/>
        </w:rPr>
      </w:pPr>
    </w:p>
    <w:p w14:paraId="206176B2" w14:textId="77777777" w:rsidR="00B26D53" w:rsidRPr="00B26D53" w:rsidRDefault="00B26D53" w:rsidP="00B26D53">
      <w:pPr>
        <w:jc w:val="both"/>
        <w:rPr>
          <w:rFonts w:ascii="Avenir Next" w:hAnsi="Avenir Next" w:cs="Arial"/>
          <w:color w:val="808080" w:themeColor="background1" w:themeShade="80"/>
          <w:sz w:val="22"/>
          <w:szCs w:val="22"/>
          <w:lang w:val="en-GB"/>
        </w:rPr>
      </w:pPr>
      <w:r w:rsidRPr="00B26D53">
        <w:rPr>
          <w:rFonts w:ascii="Avenir Next" w:hAnsi="Avenir Next" w:cs="Arial"/>
          <w:color w:val="808080" w:themeColor="background1" w:themeShade="80"/>
          <w:sz w:val="22"/>
          <w:szCs w:val="22"/>
          <w:lang w:val="en-GB"/>
        </w:rPr>
        <w:t>It is true that the resolution specifically excludes the power to seek damages from a party connected with the bank, the power to bring an action against a financial institution, other than a bank, which has borrowed money from individuals in the form of loans or deposits, and the power to order the sale of the bank's assets. However, I cannot see that these excepted powers prevent Ms G from seeking recognition in the United Kingdom of the bank's proceedings in the State of A.</w:t>
      </w:r>
    </w:p>
    <w:p w14:paraId="56135D4F" w14:textId="77777777" w:rsidR="00B26D53" w:rsidRPr="00B26D53" w:rsidRDefault="00B26D53" w:rsidP="00B26D53">
      <w:pPr>
        <w:jc w:val="both"/>
        <w:rPr>
          <w:rFonts w:ascii="Avenir Next" w:hAnsi="Avenir Next" w:cs="Arial"/>
          <w:color w:val="808080" w:themeColor="background1" w:themeShade="80"/>
          <w:sz w:val="22"/>
          <w:szCs w:val="22"/>
          <w:lang w:val="en-GB"/>
        </w:rPr>
      </w:pPr>
    </w:p>
    <w:p w14:paraId="6A1DFA3A" w14:textId="3FEF86F3" w:rsidR="00B26D53" w:rsidRDefault="00B26D53" w:rsidP="00B26D53">
      <w:pPr>
        <w:jc w:val="both"/>
        <w:rPr>
          <w:rFonts w:ascii="Avenir Next" w:hAnsi="Avenir Next" w:cs="Arial"/>
          <w:color w:val="808080" w:themeColor="background1" w:themeShade="80"/>
          <w:sz w:val="22"/>
          <w:szCs w:val="22"/>
          <w:lang w:val="en-GB"/>
        </w:rPr>
      </w:pPr>
      <w:r w:rsidRPr="00B26D53">
        <w:rPr>
          <w:rFonts w:ascii="Avenir Next" w:hAnsi="Avenir Next" w:cs="Arial"/>
          <w:color w:val="808080" w:themeColor="background1" w:themeShade="80"/>
          <w:sz w:val="22"/>
          <w:szCs w:val="22"/>
          <w:lang w:val="en-GB"/>
        </w:rPr>
        <w:t>Ms G. is the "person" meeting the qualification requirement, the representative of the DGF in the bank's proceedings and thus the agent of the foreign proceedings. For its part, the DGF, as a state institution qua law, is responsible for both the insolvency and the liquidation as a whole. As an authority, the DGF is to be subsumed under the term "body" according to Art. 2 lit. d) of the Model Law, which incidentally has unlimited powers in the liquidation of the bank. Thus, each of Ms G's excluded powers remains with the DGF as the formally appointed liquidator of the bank. Consequently, the applicants are "foreign representatives" of the bank's proceedings in Country A for the purposes of the Model Law. The essential requirements for an application for recognition in the UK are therefore satisfied.</w:t>
      </w:r>
    </w:p>
    <w:p w14:paraId="2051C906" w14:textId="77777777" w:rsidR="00B26D53" w:rsidRPr="00E2622D" w:rsidRDefault="00B26D53" w:rsidP="00775A98">
      <w:pPr>
        <w:jc w:val="both"/>
        <w:rPr>
          <w:rFonts w:ascii="Avenir Next" w:hAnsi="Avenir Next" w:cs="Arial"/>
          <w:color w:val="000000" w:themeColor="text1"/>
          <w:sz w:val="22"/>
          <w:szCs w:val="22"/>
          <w:lang w:val="en-GB"/>
        </w:rPr>
      </w:pPr>
    </w:p>
    <w:p w14:paraId="189F8A64" w14:textId="4C1B3366" w:rsidR="00E2622D" w:rsidRPr="00B26D53" w:rsidRDefault="00C606C3" w:rsidP="00B26D53">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sectPr w:rsidR="00E2622D" w:rsidRPr="00B26D53"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68880920"/>
      <w:docPartObj>
        <w:docPartGallery w:val="Page Numbers (Bottom of Page)"/>
        <w:docPartUnique/>
      </w:docPartObj>
    </w:sdtPr>
    <w:sdtEndPr>
      <w:rPr>
        <w:rStyle w:val="Seitenzahl"/>
      </w:rPr>
    </w:sdtEndPr>
    <w:sdtContent>
      <w:p w14:paraId="75DFA1A2" w14:textId="6BA13D30" w:rsidR="00A70BBC" w:rsidRDefault="00A70BBC" w:rsidP="000300E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B4F9CA" w14:textId="77777777" w:rsidR="00A70BBC" w:rsidRDefault="00A70BBC" w:rsidP="00A70B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uzeile"/>
      <w:framePr w:wrap="none" w:vAnchor="text" w:hAnchor="margin" w:xAlign="right" w:y="1"/>
      <w:rPr>
        <w:rStyle w:val="Seitenzahl"/>
        <w:rFonts w:ascii="Avenir Next" w:hAnsi="Avenir Next"/>
        <w:sz w:val="22"/>
        <w:szCs w:val="22"/>
      </w:rPr>
    </w:pPr>
  </w:p>
  <w:p w14:paraId="6BA38AA4" w14:textId="0591D1DD" w:rsidR="00A70BBC" w:rsidRDefault="00A70BBC" w:rsidP="000300E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96495926"/>
      <w:docPartObj>
        <w:docPartGallery w:val="Page Numbers (Bottom of Page)"/>
        <w:docPartUnique/>
      </w:docPartObj>
    </w:sdtPr>
    <w:sdtEndPr>
      <w:rPr>
        <w:rStyle w:val="Seitenzahl"/>
      </w:rPr>
    </w:sdtEndPr>
    <w:sdtContent>
      <w:p w14:paraId="1F7F18A2" w14:textId="560E059B" w:rsidR="000300E0" w:rsidRDefault="000300E0" w:rsidP="00B22F9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9D7F596" w14:textId="78E40872" w:rsidR="000300E0" w:rsidRPr="000300E0" w:rsidRDefault="000300E0" w:rsidP="000300E0">
    <w:pPr>
      <w:pStyle w:val="Fuzeile"/>
      <w:ind w:right="360"/>
      <w:rPr>
        <w:rFonts w:ascii="Avenir Next" w:hAnsi="Avenir Next" w:cs="Arial"/>
        <w:sz w:val="22"/>
        <w:szCs w:val="22"/>
      </w:rPr>
    </w:pPr>
  </w:p>
  <w:p w14:paraId="01028C96" w14:textId="77777777" w:rsidR="000300E0" w:rsidRDefault="000300E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3283F9E" w:rsidR="000300E0" w:rsidRPr="00B46CE2" w:rsidRDefault="008D39F3" w:rsidP="000300E0">
    <w:pPr>
      <w:pStyle w:val="Fuzeile"/>
      <w:ind w:right="360"/>
      <w:rPr>
        <w:rFonts w:ascii="Avenir Next" w:hAnsi="Avenir Next"/>
        <w:sz w:val="22"/>
        <w:szCs w:val="22"/>
      </w:rPr>
    </w:pPr>
    <w:r>
      <w:t>202223-984</w:t>
    </w:r>
    <w:r w:rsidR="00B46CE2" w:rsidRPr="00B46CE2">
      <w:rPr>
        <w:rFonts w:ascii="Avenir Next" w:hAnsi="Avenir Next"/>
        <w:sz w:val="22"/>
        <w:szCs w:val="22"/>
      </w:rPr>
      <w:t>.assessment2A</w:t>
    </w:r>
  </w:p>
  <w:sdt>
    <w:sdtPr>
      <w:rPr>
        <w:rStyle w:val="Seitenzahl"/>
        <w:rFonts w:ascii="Avenir Next" w:hAnsi="Avenir Next"/>
        <w:sz w:val="22"/>
        <w:szCs w:val="22"/>
      </w:rPr>
      <w:id w:val="-1213347160"/>
      <w:docPartObj>
        <w:docPartGallery w:val="Page Numbers (Bottom of Page)"/>
        <w:docPartUnique/>
      </w:docPartObj>
    </w:sdtPr>
    <w:sdtEndPr>
      <w:rPr>
        <w:rStyle w:val="Seitenzahl"/>
      </w:rPr>
    </w:sdtEndPr>
    <w:sdtContent>
      <w:p w14:paraId="33CCA177" w14:textId="77777777" w:rsidR="00B46CE2" w:rsidRPr="000300E0" w:rsidRDefault="00B46CE2" w:rsidP="00B46CE2">
        <w:pPr>
          <w:pStyle w:val="Fuzeile"/>
          <w:framePr w:w="1071" w:h="331" w:hRule="exact" w:wrap="none" w:vAnchor="text" w:hAnchor="page" w:x="9641" w:y="-303"/>
          <w:rPr>
            <w:rStyle w:val="Seitenzahl"/>
            <w:rFonts w:ascii="Avenir Next" w:hAnsi="Avenir Next"/>
            <w:sz w:val="22"/>
            <w:szCs w:val="22"/>
          </w:rPr>
        </w:pPr>
        <w:r w:rsidRPr="000300E0">
          <w:rPr>
            <w:rStyle w:val="Seitenzahl"/>
            <w:rFonts w:ascii="Avenir Next" w:hAnsi="Avenir Next"/>
            <w:sz w:val="22"/>
            <w:szCs w:val="22"/>
          </w:rPr>
          <w:t xml:space="preserve">Page </w:t>
        </w:r>
        <w:r w:rsidRPr="000300E0">
          <w:rPr>
            <w:rStyle w:val="Seitenzahl"/>
            <w:rFonts w:ascii="Avenir Next" w:hAnsi="Avenir Next"/>
            <w:sz w:val="22"/>
            <w:szCs w:val="22"/>
          </w:rPr>
          <w:fldChar w:fldCharType="begin"/>
        </w:r>
        <w:r w:rsidRPr="000300E0">
          <w:rPr>
            <w:rStyle w:val="Seitenzahl"/>
            <w:rFonts w:ascii="Avenir Next" w:hAnsi="Avenir Next"/>
            <w:sz w:val="22"/>
            <w:szCs w:val="22"/>
          </w:rPr>
          <w:instrText xml:space="preserve"> PAGE </w:instrText>
        </w:r>
        <w:r w:rsidRPr="000300E0">
          <w:rPr>
            <w:rStyle w:val="Seitenzahl"/>
            <w:rFonts w:ascii="Avenir Next" w:hAnsi="Avenir Next"/>
            <w:sz w:val="22"/>
            <w:szCs w:val="22"/>
          </w:rPr>
          <w:fldChar w:fldCharType="separate"/>
        </w:r>
        <w:r w:rsidRPr="000300E0">
          <w:rPr>
            <w:rStyle w:val="Seitenzahl"/>
            <w:rFonts w:ascii="Avenir Next" w:hAnsi="Avenir Next"/>
            <w:noProof/>
            <w:sz w:val="22"/>
            <w:szCs w:val="22"/>
          </w:rPr>
          <w:t>2</w:t>
        </w:r>
        <w:r w:rsidRPr="000300E0">
          <w:rPr>
            <w:rStyle w:val="Seitenzahl"/>
            <w:rFonts w:ascii="Avenir Next" w:hAnsi="Avenir Next"/>
            <w:sz w:val="22"/>
            <w:szCs w:val="22"/>
          </w:rPr>
          <w:fldChar w:fldCharType="end"/>
        </w:r>
      </w:p>
    </w:sdtContent>
  </w:sdt>
  <w:p w14:paraId="4C5B12BE" w14:textId="77777777" w:rsidR="00B46CE2" w:rsidRPr="000300E0" w:rsidRDefault="00B46CE2" w:rsidP="00B46CE2">
    <w:pPr>
      <w:pStyle w:val="Fuzeile"/>
      <w:framePr w:w="1071" w:h="331" w:hRule="exact" w:wrap="none" w:vAnchor="text" w:hAnchor="page" w:x="9641" w:y="-303"/>
      <w:ind w:right="360"/>
      <w:rPr>
        <w:rStyle w:val="Seitenzahl"/>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C29CE"/>
    <w:multiLevelType w:val="hybridMultilevel"/>
    <w:tmpl w:val="FA58BD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337759">
    <w:abstractNumId w:val="1"/>
  </w:num>
  <w:num w:numId="2" w16cid:durableId="172956880">
    <w:abstractNumId w:val="49"/>
  </w:num>
  <w:num w:numId="3" w16cid:durableId="229123263">
    <w:abstractNumId w:val="34"/>
  </w:num>
  <w:num w:numId="4" w16cid:durableId="1543395819">
    <w:abstractNumId w:val="44"/>
  </w:num>
  <w:num w:numId="5" w16cid:durableId="21564127">
    <w:abstractNumId w:val="6"/>
  </w:num>
  <w:num w:numId="6" w16cid:durableId="1088693822">
    <w:abstractNumId w:val="42"/>
  </w:num>
  <w:num w:numId="7" w16cid:durableId="1932426904">
    <w:abstractNumId w:val="19"/>
  </w:num>
  <w:num w:numId="8" w16cid:durableId="1793860891">
    <w:abstractNumId w:val="36"/>
  </w:num>
  <w:num w:numId="9" w16cid:durableId="1173690250">
    <w:abstractNumId w:val="22"/>
  </w:num>
  <w:num w:numId="10" w16cid:durableId="370226392">
    <w:abstractNumId w:val="13"/>
  </w:num>
  <w:num w:numId="11" w16cid:durableId="946616958">
    <w:abstractNumId w:val="24"/>
  </w:num>
  <w:num w:numId="12" w16cid:durableId="1663388918">
    <w:abstractNumId w:val="40"/>
  </w:num>
  <w:num w:numId="13" w16cid:durableId="1521317640">
    <w:abstractNumId w:val="4"/>
  </w:num>
  <w:num w:numId="14" w16cid:durableId="773867103">
    <w:abstractNumId w:val="31"/>
  </w:num>
  <w:num w:numId="15" w16cid:durableId="1670669442">
    <w:abstractNumId w:val="14"/>
  </w:num>
  <w:num w:numId="16" w16cid:durableId="883979253">
    <w:abstractNumId w:val="15"/>
  </w:num>
  <w:num w:numId="17" w16cid:durableId="884410751">
    <w:abstractNumId w:val="26"/>
  </w:num>
  <w:num w:numId="18" w16cid:durableId="930284578">
    <w:abstractNumId w:val="5"/>
  </w:num>
  <w:num w:numId="19" w16cid:durableId="1657608439">
    <w:abstractNumId w:val="25"/>
  </w:num>
  <w:num w:numId="20" w16cid:durableId="1887712763">
    <w:abstractNumId w:val="48"/>
  </w:num>
  <w:num w:numId="21" w16cid:durableId="249242595">
    <w:abstractNumId w:val="17"/>
  </w:num>
  <w:num w:numId="22" w16cid:durableId="1674918156">
    <w:abstractNumId w:val="39"/>
  </w:num>
  <w:num w:numId="23" w16cid:durableId="1632397820">
    <w:abstractNumId w:val="46"/>
  </w:num>
  <w:num w:numId="24" w16cid:durableId="42675070">
    <w:abstractNumId w:val="38"/>
  </w:num>
  <w:num w:numId="25" w16cid:durableId="2019037606">
    <w:abstractNumId w:val="30"/>
  </w:num>
  <w:num w:numId="26" w16cid:durableId="762457086">
    <w:abstractNumId w:val="47"/>
  </w:num>
  <w:num w:numId="27" w16cid:durableId="1131099367">
    <w:abstractNumId w:val="43"/>
  </w:num>
  <w:num w:numId="28" w16cid:durableId="1737316515">
    <w:abstractNumId w:val="9"/>
  </w:num>
  <w:num w:numId="29" w16cid:durableId="1532035634">
    <w:abstractNumId w:val="10"/>
  </w:num>
  <w:num w:numId="30" w16cid:durableId="1525822978">
    <w:abstractNumId w:val="27"/>
  </w:num>
  <w:num w:numId="31" w16cid:durableId="627586322">
    <w:abstractNumId w:val="2"/>
  </w:num>
  <w:num w:numId="32" w16cid:durableId="152381784">
    <w:abstractNumId w:val="29"/>
  </w:num>
  <w:num w:numId="33" w16cid:durableId="961426309">
    <w:abstractNumId w:val="0"/>
  </w:num>
  <w:num w:numId="34" w16cid:durableId="1635791357">
    <w:abstractNumId w:val="35"/>
  </w:num>
  <w:num w:numId="35" w16cid:durableId="266734246">
    <w:abstractNumId w:val="21"/>
  </w:num>
  <w:num w:numId="36" w16cid:durableId="1338967430">
    <w:abstractNumId w:val="37"/>
  </w:num>
  <w:num w:numId="37" w16cid:durableId="457264573">
    <w:abstractNumId w:val="23"/>
  </w:num>
  <w:num w:numId="38" w16cid:durableId="1960606644">
    <w:abstractNumId w:val="33"/>
  </w:num>
  <w:num w:numId="39" w16cid:durableId="1997881120">
    <w:abstractNumId w:val="3"/>
  </w:num>
  <w:num w:numId="40" w16cid:durableId="162356683">
    <w:abstractNumId w:val="20"/>
  </w:num>
  <w:num w:numId="41" w16cid:durableId="538397044">
    <w:abstractNumId w:val="41"/>
  </w:num>
  <w:num w:numId="42" w16cid:durableId="242840106">
    <w:abstractNumId w:val="16"/>
  </w:num>
  <w:num w:numId="43" w16cid:durableId="935871423">
    <w:abstractNumId w:val="28"/>
  </w:num>
  <w:num w:numId="44" w16cid:durableId="2019312378">
    <w:abstractNumId w:val="12"/>
  </w:num>
  <w:num w:numId="45" w16cid:durableId="1074276843">
    <w:abstractNumId w:val="11"/>
  </w:num>
  <w:num w:numId="46" w16cid:durableId="2111579063">
    <w:abstractNumId w:val="32"/>
  </w:num>
  <w:num w:numId="47" w16cid:durableId="737020858">
    <w:abstractNumId w:val="18"/>
  </w:num>
  <w:num w:numId="48" w16cid:durableId="1589195968">
    <w:abstractNumId w:val="7"/>
  </w:num>
  <w:num w:numId="49" w16cid:durableId="512190160">
    <w:abstractNumId w:val="45"/>
  </w:num>
  <w:num w:numId="50" w16cid:durableId="14633060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EBC18C-4E1C-482D-A50A-7EC5C74BE6AA}"/>
    <w:docVar w:name="dgnword-eventsink" w:val="425179216"/>
  </w:docVars>
  <w:rsids>
    <w:rsidRoot w:val="00045088"/>
    <w:rsid w:val="00001E0C"/>
    <w:rsid w:val="0000710B"/>
    <w:rsid w:val="000077DD"/>
    <w:rsid w:val="00010BA0"/>
    <w:rsid w:val="00011778"/>
    <w:rsid w:val="00020557"/>
    <w:rsid w:val="000232A1"/>
    <w:rsid w:val="000250C7"/>
    <w:rsid w:val="00025684"/>
    <w:rsid w:val="00025CCF"/>
    <w:rsid w:val="000300E0"/>
    <w:rsid w:val="0003114A"/>
    <w:rsid w:val="000352C1"/>
    <w:rsid w:val="0003619C"/>
    <w:rsid w:val="00037621"/>
    <w:rsid w:val="00043EED"/>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37CE"/>
    <w:rsid w:val="000E4841"/>
    <w:rsid w:val="000E6325"/>
    <w:rsid w:val="000F1677"/>
    <w:rsid w:val="000F3D6C"/>
    <w:rsid w:val="000F579C"/>
    <w:rsid w:val="0010129D"/>
    <w:rsid w:val="00101707"/>
    <w:rsid w:val="00105ACE"/>
    <w:rsid w:val="00114082"/>
    <w:rsid w:val="0011473D"/>
    <w:rsid w:val="00115C85"/>
    <w:rsid w:val="00123855"/>
    <w:rsid w:val="0012385D"/>
    <w:rsid w:val="001264D6"/>
    <w:rsid w:val="00126A4D"/>
    <w:rsid w:val="001374D8"/>
    <w:rsid w:val="00140E0A"/>
    <w:rsid w:val="0014171F"/>
    <w:rsid w:val="0014622C"/>
    <w:rsid w:val="00151F58"/>
    <w:rsid w:val="00152348"/>
    <w:rsid w:val="00152845"/>
    <w:rsid w:val="0015456D"/>
    <w:rsid w:val="00155237"/>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970AB"/>
    <w:rsid w:val="00197798"/>
    <w:rsid w:val="001A24E7"/>
    <w:rsid w:val="001A2B78"/>
    <w:rsid w:val="001A658C"/>
    <w:rsid w:val="001A7E9A"/>
    <w:rsid w:val="001B0F70"/>
    <w:rsid w:val="001B5016"/>
    <w:rsid w:val="001C31DF"/>
    <w:rsid w:val="001C3FDB"/>
    <w:rsid w:val="001C45FC"/>
    <w:rsid w:val="001C7875"/>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4FBD"/>
    <w:rsid w:val="00276913"/>
    <w:rsid w:val="0028135B"/>
    <w:rsid w:val="00282480"/>
    <w:rsid w:val="00284EBE"/>
    <w:rsid w:val="00285081"/>
    <w:rsid w:val="002865CB"/>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E61BB"/>
    <w:rsid w:val="002F1956"/>
    <w:rsid w:val="002F3440"/>
    <w:rsid w:val="002F4EC0"/>
    <w:rsid w:val="002F507B"/>
    <w:rsid w:val="002F71BE"/>
    <w:rsid w:val="002F75A3"/>
    <w:rsid w:val="002F78CA"/>
    <w:rsid w:val="00300618"/>
    <w:rsid w:val="00303C2F"/>
    <w:rsid w:val="00303F47"/>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6A26"/>
    <w:rsid w:val="0036760B"/>
    <w:rsid w:val="003727CF"/>
    <w:rsid w:val="0037465A"/>
    <w:rsid w:val="0037544E"/>
    <w:rsid w:val="00380BAB"/>
    <w:rsid w:val="00382C98"/>
    <w:rsid w:val="0038533C"/>
    <w:rsid w:val="00386568"/>
    <w:rsid w:val="00387106"/>
    <w:rsid w:val="00391F3E"/>
    <w:rsid w:val="003948D5"/>
    <w:rsid w:val="00396821"/>
    <w:rsid w:val="00397D3A"/>
    <w:rsid w:val="003A051E"/>
    <w:rsid w:val="003A2FEE"/>
    <w:rsid w:val="003A73A4"/>
    <w:rsid w:val="003B1310"/>
    <w:rsid w:val="003B170F"/>
    <w:rsid w:val="003B3C5F"/>
    <w:rsid w:val="003B65EB"/>
    <w:rsid w:val="003C089D"/>
    <w:rsid w:val="003C4471"/>
    <w:rsid w:val="003C66B1"/>
    <w:rsid w:val="003D0A6D"/>
    <w:rsid w:val="003D1727"/>
    <w:rsid w:val="003E0B16"/>
    <w:rsid w:val="003E67D1"/>
    <w:rsid w:val="003F18F6"/>
    <w:rsid w:val="00405DC1"/>
    <w:rsid w:val="0040710D"/>
    <w:rsid w:val="0041139B"/>
    <w:rsid w:val="004137C3"/>
    <w:rsid w:val="00413D3A"/>
    <w:rsid w:val="00415F1F"/>
    <w:rsid w:val="0042108F"/>
    <w:rsid w:val="004216D7"/>
    <w:rsid w:val="00422242"/>
    <w:rsid w:val="00424D07"/>
    <w:rsid w:val="00430FED"/>
    <w:rsid w:val="00432179"/>
    <w:rsid w:val="00434292"/>
    <w:rsid w:val="00434A8C"/>
    <w:rsid w:val="00435583"/>
    <w:rsid w:val="00436884"/>
    <w:rsid w:val="00437297"/>
    <w:rsid w:val="00443403"/>
    <w:rsid w:val="00444284"/>
    <w:rsid w:val="00445CE6"/>
    <w:rsid w:val="00447FE6"/>
    <w:rsid w:val="00452BD1"/>
    <w:rsid w:val="004534C2"/>
    <w:rsid w:val="0045446F"/>
    <w:rsid w:val="0045683E"/>
    <w:rsid w:val="0047025B"/>
    <w:rsid w:val="00471D43"/>
    <w:rsid w:val="00487878"/>
    <w:rsid w:val="00491675"/>
    <w:rsid w:val="00493855"/>
    <w:rsid w:val="0049508F"/>
    <w:rsid w:val="004A171E"/>
    <w:rsid w:val="004A57DD"/>
    <w:rsid w:val="004A7B51"/>
    <w:rsid w:val="004A7D71"/>
    <w:rsid w:val="004A7EF3"/>
    <w:rsid w:val="004B11FD"/>
    <w:rsid w:val="004B23A2"/>
    <w:rsid w:val="004C2116"/>
    <w:rsid w:val="004C4196"/>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59FB"/>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727"/>
    <w:rsid w:val="005A0CCA"/>
    <w:rsid w:val="005A4D51"/>
    <w:rsid w:val="005A726D"/>
    <w:rsid w:val="005B67AC"/>
    <w:rsid w:val="005C2C94"/>
    <w:rsid w:val="005C36BC"/>
    <w:rsid w:val="005C4865"/>
    <w:rsid w:val="005D43E0"/>
    <w:rsid w:val="005D58A3"/>
    <w:rsid w:val="005E1B79"/>
    <w:rsid w:val="005E5C28"/>
    <w:rsid w:val="005F026D"/>
    <w:rsid w:val="005F21F4"/>
    <w:rsid w:val="005F2D0B"/>
    <w:rsid w:val="005F4238"/>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36E8D"/>
    <w:rsid w:val="00641002"/>
    <w:rsid w:val="00641515"/>
    <w:rsid w:val="00641DEB"/>
    <w:rsid w:val="00646AEF"/>
    <w:rsid w:val="00651AE3"/>
    <w:rsid w:val="006532B3"/>
    <w:rsid w:val="00654C2F"/>
    <w:rsid w:val="00657087"/>
    <w:rsid w:val="0066252C"/>
    <w:rsid w:val="006661EF"/>
    <w:rsid w:val="0067294B"/>
    <w:rsid w:val="00677736"/>
    <w:rsid w:val="0067785F"/>
    <w:rsid w:val="00677AEB"/>
    <w:rsid w:val="00680EF2"/>
    <w:rsid w:val="006839C2"/>
    <w:rsid w:val="00686EE2"/>
    <w:rsid w:val="00687A1D"/>
    <w:rsid w:val="006920CC"/>
    <w:rsid w:val="00692AB2"/>
    <w:rsid w:val="0069647C"/>
    <w:rsid w:val="00697EA1"/>
    <w:rsid w:val="006A1850"/>
    <w:rsid w:val="006A2646"/>
    <w:rsid w:val="006A3DF0"/>
    <w:rsid w:val="006A46C3"/>
    <w:rsid w:val="006A6530"/>
    <w:rsid w:val="006B435A"/>
    <w:rsid w:val="006B4C64"/>
    <w:rsid w:val="006B4FFC"/>
    <w:rsid w:val="006C7EED"/>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5A98"/>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5A12"/>
    <w:rsid w:val="007E6BA4"/>
    <w:rsid w:val="007E7678"/>
    <w:rsid w:val="007F41F8"/>
    <w:rsid w:val="007F4E64"/>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1483"/>
    <w:rsid w:val="008723F3"/>
    <w:rsid w:val="00880FD3"/>
    <w:rsid w:val="00881DE6"/>
    <w:rsid w:val="008837A6"/>
    <w:rsid w:val="0089145D"/>
    <w:rsid w:val="008A0C6E"/>
    <w:rsid w:val="008A46CF"/>
    <w:rsid w:val="008A4DF2"/>
    <w:rsid w:val="008A6CFE"/>
    <w:rsid w:val="008A7470"/>
    <w:rsid w:val="008B1A08"/>
    <w:rsid w:val="008B2DE3"/>
    <w:rsid w:val="008B4550"/>
    <w:rsid w:val="008B5333"/>
    <w:rsid w:val="008B6223"/>
    <w:rsid w:val="008C66E0"/>
    <w:rsid w:val="008D39F3"/>
    <w:rsid w:val="008E2DFA"/>
    <w:rsid w:val="008E3339"/>
    <w:rsid w:val="008E549B"/>
    <w:rsid w:val="008F1747"/>
    <w:rsid w:val="008F18EF"/>
    <w:rsid w:val="008F20FC"/>
    <w:rsid w:val="008F2B24"/>
    <w:rsid w:val="008F5FFE"/>
    <w:rsid w:val="0090421A"/>
    <w:rsid w:val="00905A43"/>
    <w:rsid w:val="00907DC2"/>
    <w:rsid w:val="0091282C"/>
    <w:rsid w:val="00912C79"/>
    <w:rsid w:val="009260A2"/>
    <w:rsid w:val="0094086A"/>
    <w:rsid w:val="00942123"/>
    <w:rsid w:val="00951031"/>
    <w:rsid w:val="0095207B"/>
    <w:rsid w:val="00954461"/>
    <w:rsid w:val="00956085"/>
    <w:rsid w:val="00957951"/>
    <w:rsid w:val="00962045"/>
    <w:rsid w:val="00963D7A"/>
    <w:rsid w:val="00967EDA"/>
    <w:rsid w:val="00970897"/>
    <w:rsid w:val="00980314"/>
    <w:rsid w:val="009816D0"/>
    <w:rsid w:val="00991428"/>
    <w:rsid w:val="00992676"/>
    <w:rsid w:val="00994A81"/>
    <w:rsid w:val="00996691"/>
    <w:rsid w:val="009A4880"/>
    <w:rsid w:val="009A7865"/>
    <w:rsid w:val="009B0723"/>
    <w:rsid w:val="009B07AD"/>
    <w:rsid w:val="009B0883"/>
    <w:rsid w:val="009B15E2"/>
    <w:rsid w:val="009B5832"/>
    <w:rsid w:val="009B6312"/>
    <w:rsid w:val="009B640D"/>
    <w:rsid w:val="009C0850"/>
    <w:rsid w:val="009C094C"/>
    <w:rsid w:val="009C0B8E"/>
    <w:rsid w:val="009C1BC8"/>
    <w:rsid w:val="009C2442"/>
    <w:rsid w:val="009D0811"/>
    <w:rsid w:val="009D0EE1"/>
    <w:rsid w:val="009D1DBB"/>
    <w:rsid w:val="009D30BB"/>
    <w:rsid w:val="009E2AEB"/>
    <w:rsid w:val="009E2E27"/>
    <w:rsid w:val="009E4DE3"/>
    <w:rsid w:val="009F056F"/>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96B12"/>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24DC8"/>
    <w:rsid w:val="00B26D53"/>
    <w:rsid w:val="00B3209D"/>
    <w:rsid w:val="00B32DE4"/>
    <w:rsid w:val="00B33578"/>
    <w:rsid w:val="00B370C3"/>
    <w:rsid w:val="00B411AE"/>
    <w:rsid w:val="00B42AA0"/>
    <w:rsid w:val="00B46CE2"/>
    <w:rsid w:val="00B60190"/>
    <w:rsid w:val="00B61419"/>
    <w:rsid w:val="00B65A43"/>
    <w:rsid w:val="00B72F5F"/>
    <w:rsid w:val="00B736DF"/>
    <w:rsid w:val="00B74FBD"/>
    <w:rsid w:val="00B77352"/>
    <w:rsid w:val="00B82586"/>
    <w:rsid w:val="00B828EE"/>
    <w:rsid w:val="00B829A3"/>
    <w:rsid w:val="00B83B6D"/>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5C4A"/>
    <w:rsid w:val="00CC70BB"/>
    <w:rsid w:val="00CC70F5"/>
    <w:rsid w:val="00CD3420"/>
    <w:rsid w:val="00CD4998"/>
    <w:rsid w:val="00CE1035"/>
    <w:rsid w:val="00CE339B"/>
    <w:rsid w:val="00CF2819"/>
    <w:rsid w:val="00CF4F9D"/>
    <w:rsid w:val="00CF70DC"/>
    <w:rsid w:val="00D148DC"/>
    <w:rsid w:val="00D17FDC"/>
    <w:rsid w:val="00D35FA9"/>
    <w:rsid w:val="00D444C5"/>
    <w:rsid w:val="00D45AEA"/>
    <w:rsid w:val="00D5244F"/>
    <w:rsid w:val="00D52E4F"/>
    <w:rsid w:val="00D56A37"/>
    <w:rsid w:val="00D57202"/>
    <w:rsid w:val="00D6386E"/>
    <w:rsid w:val="00D63EFD"/>
    <w:rsid w:val="00D64826"/>
    <w:rsid w:val="00D80DF2"/>
    <w:rsid w:val="00D824D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3932"/>
    <w:rsid w:val="00E25B22"/>
    <w:rsid w:val="00E2622D"/>
    <w:rsid w:val="00E26E19"/>
    <w:rsid w:val="00E27E3C"/>
    <w:rsid w:val="00E31DF3"/>
    <w:rsid w:val="00E32814"/>
    <w:rsid w:val="00E33448"/>
    <w:rsid w:val="00E33486"/>
    <w:rsid w:val="00E34181"/>
    <w:rsid w:val="00E450A4"/>
    <w:rsid w:val="00E47B7A"/>
    <w:rsid w:val="00E506BE"/>
    <w:rsid w:val="00E55547"/>
    <w:rsid w:val="00E57410"/>
    <w:rsid w:val="00E6302B"/>
    <w:rsid w:val="00E6452F"/>
    <w:rsid w:val="00E64619"/>
    <w:rsid w:val="00E64F45"/>
    <w:rsid w:val="00E6742D"/>
    <w:rsid w:val="00E70660"/>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2CF8"/>
    <w:rsid w:val="00FB4FB2"/>
    <w:rsid w:val="00FB567A"/>
    <w:rsid w:val="00FB6136"/>
    <w:rsid w:val="00FC374A"/>
    <w:rsid w:val="00FC488D"/>
    <w:rsid w:val="00FC7B47"/>
    <w:rsid w:val="00FD035C"/>
    <w:rsid w:val="00FD1A35"/>
    <w:rsid w:val="00FD1FE6"/>
    <w:rsid w:val="00FD36C5"/>
    <w:rsid w:val="00FD428C"/>
    <w:rsid w:val="00FD6310"/>
    <w:rsid w:val="00FD7C7B"/>
    <w:rsid w:val="00FD7FD0"/>
    <w:rsid w:val="00FE1D12"/>
    <w:rsid w:val="00FE2122"/>
    <w:rsid w:val="00FE2A86"/>
    <w:rsid w:val="00FE448E"/>
    <w:rsid w:val="00FF0F1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iPriority w:val="99"/>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uiPriority w:val="99"/>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iPriority w:val="99"/>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semiHidden/>
    <w:unhideWhenUsed/>
    <w:rsid w:val="008B5333"/>
    <w:rPr>
      <w:szCs w:val="20"/>
    </w:rPr>
  </w:style>
  <w:style w:type="character" w:customStyle="1" w:styleId="KommentartextZchn">
    <w:name w:val="Kommentartext Zchn"/>
    <w:basedOn w:val="Absatz-Standardschriftart"/>
    <w:link w:val="Kommentartext"/>
    <w:uiPriority w:val="99"/>
    <w:semiHidden/>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B17AA9"/>
    <w:pPr>
      <w:ind w:left="720" w:right="851" w:hanging="720"/>
    </w:pPr>
    <w:rPr>
      <w:rFonts w:ascii="Arial" w:eastAsiaTheme="minorEastAsia" w:hAnsi="Arial" w:cs="Arial"/>
      <w:i/>
      <w:sz w:val="22"/>
      <w:szCs w:val="22"/>
      <w:lang w:val="en-GB"/>
    </w:rPr>
  </w:style>
  <w:style w:type="paragraph" w:styleId="berarbeitung">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6167</Words>
  <Characters>38858</Characters>
  <Application>Microsoft Office Word</Application>
  <DocSecurity>0</DocSecurity>
  <Lines>323</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Mazars</cp:lastModifiedBy>
  <cp:revision>72</cp:revision>
  <cp:lastPrinted>2019-08-27T05:42:00Z</cp:lastPrinted>
  <dcterms:created xsi:type="dcterms:W3CDTF">2023-05-15T13:40:00Z</dcterms:created>
  <dcterms:modified xsi:type="dcterms:W3CDTF">2023-07-19T14:30:00Z</dcterms:modified>
</cp:coreProperties>
</file>