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Default="00397D3A" w:rsidP="007C6201">
      <w:pPr>
        <w:jc w:val="both"/>
        <w:rPr>
          <w:rFonts w:ascii="Avenir Next" w:hAnsi="Avenir Next" w:cs="Arial"/>
          <w:b/>
          <w:sz w:val="22"/>
          <w:szCs w:val="22"/>
          <w:lang w:val="en-GB"/>
        </w:rPr>
      </w:pPr>
    </w:p>
    <w:p w14:paraId="555A9B9E" w14:textId="77777777" w:rsidR="00F95C16" w:rsidRDefault="00F95C16" w:rsidP="007C6201">
      <w:pPr>
        <w:jc w:val="both"/>
        <w:rPr>
          <w:rFonts w:ascii="Avenir Next" w:hAnsi="Avenir Next" w:cs="Arial"/>
          <w:b/>
          <w:sz w:val="22"/>
          <w:szCs w:val="22"/>
          <w:lang w:val="en-GB"/>
        </w:rPr>
      </w:pPr>
    </w:p>
    <w:p w14:paraId="73B7F425" w14:textId="77777777" w:rsidR="00F95C16" w:rsidRDefault="00F95C16" w:rsidP="007C6201">
      <w:pPr>
        <w:jc w:val="both"/>
        <w:rPr>
          <w:rFonts w:ascii="Avenir Next" w:hAnsi="Avenir Next" w:cs="Arial"/>
          <w:b/>
          <w:sz w:val="22"/>
          <w:szCs w:val="22"/>
          <w:lang w:val="en-GB"/>
        </w:rPr>
      </w:pPr>
    </w:p>
    <w:p w14:paraId="6630D49E" w14:textId="77777777" w:rsidR="00F95C16" w:rsidRPr="00310533" w:rsidRDefault="00F95C16"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719EE">
        <w:rPr>
          <w:rFonts w:ascii="Avenir Next" w:hAnsi="Avenir Next" w:cs="Arial"/>
          <w:sz w:val="22"/>
          <w:szCs w:val="22"/>
          <w:highlight w:val="green"/>
          <w:lang w:val="en-GB"/>
        </w:rPr>
        <w:t xml:space="preserve">The final submission date for this assessment is </w:t>
      </w:r>
      <w:r w:rsidRPr="003719EE">
        <w:rPr>
          <w:rFonts w:ascii="Avenir Next Demi Bold" w:hAnsi="Avenir Next Demi Bold" w:cs="Arial"/>
          <w:b/>
          <w:bCs/>
          <w:sz w:val="22"/>
          <w:szCs w:val="22"/>
          <w:highlight w:val="green"/>
          <w:lang w:val="en-GB"/>
        </w:rPr>
        <w:t>31 July 202</w:t>
      </w:r>
      <w:r w:rsidR="00310533" w:rsidRPr="003719EE">
        <w:rPr>
          <w:rFonts w:ascii="Avenir Next Demi Bold" w:hAnsi="Avenir Next Demi Bold" w:cs="Arial"/>
          <w:b/>
          <w:bCs/>
          <w:sz w:val="22"/>
          <w:szCs w:val="22"/>
          <w:highlight w:val="green"/>
          <w:lang w:val="en-GB"/>
        </w:rPr>
        <w:t>3</w:t>
      </w:r>
      <w:r w:rsidRPr="003719EE">
        <w:rPr>
          <w:rFonts w:ascii="Avenir Next" w:hAnsi="Avenir Next" w:cs="Arial"/>
          <w:sz w:val="22"/>
          <w:szCs w:val="22"/>
          <w:highlight w:val="green"/>
          <w:lang w:val="en-GB"/>
        </w:rPr>
        <w:t xml:space="preserve">. The assessment submission portal will close at </w:t>
      </w:r>
      <w:r w:rsidRPr="003719EE">
        <w:rPr>
          <w:rFonts w:ascii="Avenir Next Demi Bold" w:hAnsi="Avenir Next Demi Bold" w:cs="Arial"/>
          <w:b/>
          <w:bCs/>
          <w:sz w:val="22"/>
          <w:szCs w:val="22"/>
          <w:highlight w:val="green"/>
          <w:lang w:val="en-GB"/>
        </w:rPr>
        <w:t>23:00 (11 pm) BST (GMT +1) on 31 July 202</w:t>
      </w:r>
      <w:r w:rsidR="00310533" w:rsidRPr="003719EE">
        <w:rPr>
          <w:rFonts w:ascii="Avenir Next Demi Bold" w:hAnsi="Avenir Next Demi Bold" w:cs="Arial"/>
          <w:b/>
          <w:bCs/>
          <w:sz w:val="22"/>
          <w:szCs w:val="22"/>
          <w:highlight w:val="green"/>
          <w:lang w:val="en-GB"/>
        </w:rPr>
        <w:t>3</w:t>
      </w:r>
      <w:r w:rsidRPr="003719EE">
        <w:rPr>
          <w:rFonts w:ascii="Avenir Next" w:hAnsi="Avenir Next" w:cs="Arial"/>
          <w:sz w:val="22"/>
          <w:szCs w:val="22"/>
          <w:highlight w:val="green"/>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F95C16">
        <w:rPr>
          <w:rFonts w:ascii="Avenir Next Demi Bold" w:hAnsi="Avenir Next Demi Bold" w:cs="Arial"/>
          <w:b/>
          <w:bCs/>
          <w:sz w:val="22"/>
          <w:szCs w:val="22"/>
          <w:lang w:val="en-GB"/>
        </w:rPr>
        <w:t>Question 1.</w:t>
      </w:r>
      <w:r w:rsidR="00CB2364" w:rsidRPr="00F95C16">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F95C16" w:rsidRDefault="000F6063" w:rsidP="007E03FA">
      <w:pPr>
        <w:pStyle w:val="ListParagraph"/>
        <w:numPr>
          <w:ilvl w:val="0"/>
          <w:numId w:val="31"/>
        </w:numPr>
        <w:ind w:left="426"/>
        <w:rPr>
          <w:rFonts w:ascii="Avenir Next" w:hAnsi="Avenir Next" w:cs="Arial"/>
          <w:sz w:val="22"/>
          <w:szCs w:val="22"/>
          <w:highlight w:val="yellow"/>
          <w:lang w:val="en-GB"/>
        </w:rPr>
      </w:pPr>
      <w:r w:rsidRPr="00F95C16">
        <w:rPr>
          <w:rFonts w:ascii="Avenir Next" w:hAnsi="Avenir Next" w:cs="Arial"/>
          <w:sz w:val="22"/>
          <w:szCs w:val="22"/>
          <w:highlight w:val="yellow"/>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51641B" w:rsidRDefault="000F6063" w:rsidP="007E03FA">
      <w:pPr>
        <w:pStyle w:val="ListParagraph"/>
        <w:numPr>
          <w:ilvl w:val="0"/>
          <w:numId w:val="32"/>
        </w:numPr>
        <w:ind w:left="426"/>
        <w:rPr>
          <w:rFonts w:ascii="Avenir Next" w:hAnsi="Avenir Next" w:cs="Arial"/>
          <w:sz w:val="22"/>
          <w:szCs w:val="22"/>
          <w:highlight w:val="yellow"/>
          <w:lang w:val="en-GB"/>
        </w:rPr>
      </w:pPr>
      <w:r w:rsidRPr="0051641B">
        <w:rPr>
          <w:rFonts w:ascii="Avenir Next" w:hAnsi="Avenir Next" w:cs="Arial"/>
          <w:sz w:val="22"/>
          <w:szCs w:val="22"/>
          <w:highlight w:val="yellow"/>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51641B">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51641B">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BB73C9">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BB73C9" w:rsidRDefault="00CB2364" w:rsidP="00924973">
      <w:pPr>
        <w:pStyle w:val="ListParagraph"/>
        <w:numPr>
          <w:ilvl w:val="0"/>
          <w:numId w:val="34"/>
        </w:numPr>
        <w:ind w:left="426"/>
        <w:rPr>
          <w:rFonts w:ascii="Avenir Next" w:hAnsi="Avenir Next" w:cs="Arial"/>
          <w:sz w:val="22"/>
          <w:szCs w:val="22"/>
          <w:highlight w:val="yellow"/>
          <w:lang w:val="en-GB"/>
        </w:rPr>
      </w:pPr>
      <w:r w:rsidRPr="00BB73C9">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51641B" w:rsidRDefault="000F6063" w:rsidP="00924973">
      <w:pPr>
        <w:pStyle w:val="ListParagraph"/>
        <w:numPr>
          <w:ilvl w:val="0"/>
          <w:numId w:val="35"/>
        </w:numPr>
        <w:ind w:left="426"/>
        <w:rPr>
          <w:rFonts w:ascii="Avenir Next" w:hAnsi="Avenir Next" w:cs="Arial"/>
          <w:sz w:val="22"/>
          <w:szCs w:val="22"/>
          <w:highlight w:val="yellow"/>
          <w:lang w:val="en-GB"/>
        </w:rPr>
      </w:pPr>
      <w:r w:rsidRPr="0051641B">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51641B" w:rsidRDefault="00E177F0" w:rsidP="00924973">
      <w:pPr>
        <w:pStyle w:val="ListParagraph"/>
        <w:numPr>
          <w:ilvl w:val="0"/>
          <w:numId w:val="36"/>
        </w:numPr>
        <w:ind w:left="426"/>
        <w:rPr>
          <w:rFonts w:ascii="Avenir Next" w:hAnsi="Avenir Next" w:cs="Arial"/>
          <w:sz w:val="22"/>
          <w:szCs w:val="22"/>
          <w:highlight w:val="yellow"/>
          <w:lang w:val="en-GB"/>
        </w:rPr>
      </w:pPr>
      <w:r w:rsidRPr="0051641B">
        <w:rPr>
          <w:rFonts w:ascii="Avenir Next" w:hAnsi="Avenir Next" w:cs="Arial"/>
          <w:sz w:val="22"/>
          <w:szCs w:val="22"/>
          <w:highlight w:val="yellow"/>
          <w:lang w:val="en-GB"/>
        </w:rPr>
        <w:t>May enforce their security without leave of the court</w:t>
      </w:r>
      <w:r w:rsidR="00803C72" w:rsidRPr="0051641B">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4503383F" w:rsidR="008F6CAB" w:rsidRDefault="008F6CAB" w:rsidP="00AD12C7">
      <w:pPr>
        <w:rPr>
          <w:rFonts w:ascii="Avenir Next" w:hAnsi="Avenir Next" w:cs="Arial"/>
          <w:sz w:val="22"/>
          <w:szCs w:val="22"/>
          <w:lang w:val="en-GB"/>
        </w:rPr>
      </w:pPr>
    </w:p>
    <w:p w14:paraId="2791A679" w14:textId="19AC44C7" w:rsidR="003719EE" w:rsidRDefault="003719EE" w:rsidP="00AD12C7">
      <w:pPr>
        <w:rPr>
          <w:rFonts w:ascii="Avenir Next" w:hAnsi="Avenir Next" w:cs="Arial"/>
          <w:sz w:val="22"/>
          <w:szCs w:val="22"/>
          <w:lang w:val="en-GB"/>
        </w:rPr>
      </w:pPr>
    </w:p>
    <w:p w14:paraId="00D75173" w14:textId="5F5C635F" w:rsidR="003719EE" w:rsidRDefault="003719EE" w:rsidP="00AD12C7">
      <w:pPr>
        <w:rPr>
          <w:rFonts w:ascii="Avenir Next" w:hAnsi="Avenir Next" w:cs="Arial"/>
          <w:sz w:val="22"/>
          <w:szCs w:val="22"/>
          <w:lang w:val="en-GB"/>
        </w:rPr>
      </w:pPr>
    </w:p>
    <w:p w14:paraId="765D0EFF" w14:textId="77777777" w:rsidR="003719EE" w:rsidRPr="00310533" w:rsidRDefault="003719EE"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719EE">
        <w:rPr>
          <w:rFonts w:ascii="Avenir Next Demi Bold" w:hAnsi="Avenir Next Demi Bold" w:cs="Arial"/>
          <w:b/>
          <w:bCs/>
          <w:sz w:val="22"/>
          <w:szCs w:val="22"/>
        </w:rPr>
        <w:lastRenderedPageBreak/>
        <w:t>Question 1.</w:t>
      </w:r>
      <w:r w:rsidR="00CB2364" w:rsidRPr="003719EE">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719EE" w:rsidRDefault="000F6063" w:rsidP="00924973">
      <w:pPr>
        <w:pStyle w:val="ListParagraph"/>
        <w:numPr>
          <w:ilvl w:val="0"/>
          <w:numId w:val="37"/>
        </w:numPr>
        <w:ind w:left="426"/>
        <w:jc w:val="both"/>
        <w:rPr>
          <w:rFonts w:ascii="Avenir Next" w:hAnsi="Avenir Next" w:cs="Arial"/>
          <w:sz w:val="22"/>
          <w:szCs w:val="22"/>
          <w:highlight w:val="yellow"/>
          <w:lang w:val="en-GB"/>
        </w:rPr>
      </w:pPr>
      <w:r w:rsidRPr="003719EE">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AA606C" w14:textId="77777777" w:rsidR="003719EE" w:rsidRDefault="003719EE" w:rsidP="00C55824">
      <w:pPr>
        <w:jc w:val="both"/>
        <w:rPr>
          <w:rFonts w:ascii="Avenir Next Demi Bold" w:hAnsi="Avenir Next Demi Bold" w:cs="Arial"/>
          <w:b/>
          <w:bCs/>
          <w:sz w:val="22"/>
          <w:szCs w:val="22"/>
        </w:rPr>
      </w:pPr>
    </w:p>
    <w:p w14:paraId="5AF5BCF4" w14:textId="6B154FFC"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10533" w:rsidRDefault="00853B56"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Amounts due to p</w:t>
      </w:r>
      <w:r w:rsidR="005327B7" w:rsidRPr="00310533">
        <w:rPr>
          <w:rFonts w:ascii="Avenir Next" w:hAnsi="Avenir Next" w:cs="Arial"/>
          <w:sz w:val="22"/>
          <w:szCs w:val="22"/>
          <w:lang w:val="en-GB"/>
        </w:rPr>
        <w:t>referred shareholders</w:t>
      </w:r>
      <w:r w:rsidR="00803C72" w:rsidRPr="00310533">
        <w:rPr>
          <w:rFonts w:ascii="Avenir Next" w:hAnsi="Avenir Next" w:cs="Arial"/>
          <w:sz w:val="22"/>
          <w:szCs w:val="22"/>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51641B" w:rsidRDefault="00920BE7" w:rsidP="00924973">
      <w:pPr>
        <w:pStyle w:val="ListParagraph"/>
        <w:numPr>
          <w:ilvl w:val="0"/>
          <w:numId w:val="38"/>
        </w:numPr>
        <w:ind w:left="426"/>
        <w:jc w:val="both"/>
        <w:rPr>
          <w:rFonts w:ascii="Avenir Next" w:hAnsi="Avenir Next" w:cs="Arial"/>
          <w:sz w:val="22"/>
          <w:szCs w:val="22"/>
          <w:highlight w:val="yellow"/>
          <w:lang w:val="en-GB"/>
        </w:rPr>
      </w:pPr>
      <w:r w:rsidRPr="0051641B">
        <w:rPr>
          <w:rFonts w:ascii="Avenir Next" w:hAnsi="Avenir Next" w:cs="Arial"/>
          <w:sz w:val="22"/>
          <w:szCs w:val="22"/>
          <w:highlight w:val="yellow"/>
          <w:lang w:val="en-GB"/>
        </w:rPr>
        <w:t>Unsecured debts which are not subject to subordination agreements</w:t>
      </w:r>
      <w:r w:rsidR="00803C72" w:rsidRPr="0051641B">
        <w:rPr>
          <w:rFonts w:ascii="Avenir Next" w:hAnsi="Avenir Next" w:cs="Arial"/>
          <w:sz w:val="22"/>
          <w:szCs w:val="22"/>
          <w:highlight w:val="yellow"/>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719EE">
        <w:rPr>
          <w:rFonts w:ascii="Avenir Next" w:hAnsi="Avenir Next" w:cs="Arial"/>
          <w:sz w:val="22"/>
          <w:szCs w:val="22"/>
          <w:highlight w:val="yellow"/>
          <w:lang w:val="en-GB"/>
        </w:rPr>
        <w:t>The board of directors decides it is “just and equitable” for the company to be wound up</w:t>
      </w:r>
      <w:r w:rsidR="00D06A87" w:rsidRPr="003719EE">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719EE" w:rsidRDefault="000F6063" w:rsidP="00924973">
      <w:pPr>
        <w:pStyle w:val="ListParagraph"/>
        <w:numPr>
          <w:ilvl w:val="0"/>
          <w:numId w:val="40"/>
        </w:numPr>
        <w:ind w:left="426"/>
        <w:jc w:val="both"/>
        <w:rPr>
          <w:rFonts w:ascii="Avenir Next" w:hAnsi="Avenir Next" w:cs="Arial"/>
          <w:sz w:val="22"/>
          <w:szCs w:val="22"/>
          <w:highlight w:val="yellow"/>
          <w:lang w:val="en-GB"/>
        </w:rPr>
      </w:pPr>
      <w:r w:rsidRPr="003719EE">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245D020" w14:textId="77777777" w:rsidR="005B0BAB" w:rsidRPr="00BB73C9" w:rsidRDefault="00AB0E3A" w:rsidP="00BB73C9">
      <w:pPr>
        <w:rPr>
          <w:rFonts w:ascii="Arial" w:hAnsi="Arial" w:cs="Arial"/>
          <w:color w:val="A6A6A6" w:themeColor="background1" w:themeShade="A6"/>
          <w:sz w:val="22"/>
          <w:szCs w:val="22"/>
        </w:rPr>
      </w:pPr>
      <w:r w:rsidRPr="00310533">
        <w:rPr>
          <w:rFonts w:ascii="Avenir Next" w:hAnsi="Avenir Next" w:cs="Arial"/>
          <w:color w:val="808080" w:themeColor="background1" w:themeShade="80"/>
          <w:sz w:val="22"/>
          <w:szCs w:val="22"/>
          <w:lang w:val="en-GB"/>
        </w:rPr>
        <w:t>[</w:t>
      </w:r>
      <w:r w:rsidR="005B0BAB" w:rsidRPr="00BB73C9">
        <w:rPr>
          <w:rFonts w:ascii="Arial" w:hAnsi="Arial" w:cs="Arial"/>
          <w:color w:val="A6A6A6" w:themeColor="background1" w:themeShade="A6"/>
          <w:sz w:val="22"/>
          <w:szCs w:val="22"/>
        </w:rPr>
        <w:t xml:space="preserve">Although there is no public security registration regime in the Cayman Islands, it does have ownership registers with regards to real estate, ships, aircraft, motor vehicles and intellectual property. These ownership registers are in the form of mortgages or charges which can be registered over the immovable or movable property. Section 54(1) and (2) of the Cayman Islands Companies Law (hereinafter referred to as the Companies Law) stipulates that: </w:t>
      </w:r>
    </w:p>
    <w:p w14:paraId="1B4E1C4A" w14:textId="77777777" w:rsidR="005B0BAB" w:rsidRPr="00BB73C9" w:rsidRDefault="005B0BAB" w:rsidP="00BB73C9">
      <w:pPr>
        <w:rPr>
          <w:rFonts w:ascii="Arial" w:hAnsi="Arial" w:cs="Arial"/>
          <w:color w:val="A6A6A6" w:themeColor="background1" w:themeShade="A6"/>
          <w:sz w:val="22"/>
          <w:szCs w:val="22"/>
        </w:rPr>
      </w:pPr>
    </w:p>
    <w:p w14:paraId="1EA0135C"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“Every limited company shall keep at its registered office in writing on one or</w:t>
      </w:r>
    </w:p>
    <w:p w14:paraId="7E13670B"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more sheets, whether bound or unbound, a register of all mortgages and charges</w:t>
      </w:r>
    </w:p>
    <w:p w14:paraId="4964FACB"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specifically affecting property of the company, and shall enter in such register</w:t>
      </w:r>
    </w:p>
    <w:p w14:paraId="41F629DE"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in respect of each mortgage or charge a short description of the property</w:t>
      </w:r>
    </w:p>
    <w:p w14:paraId="1BB1079C"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mortgaged or charged, the amount of charge created and the names of the</w:t>
      </w:r>
    </w:p>
    <w:p w14:paraId="717DBCF7"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mortgagees or persons entitled to such charge.</w:t>
      </w:r>
    </w:p>
    <w:p w14:paraId="7FC75300" w14:textId="77777777" w:rsidR="005B0BAB" w:rsidRPr="00BB73C9" w:rsidRDefault="005B0BAB" w:rsidP="00BB73C9">
      <w:pPr>
        <w:rPr>
          <w:rFonts w:ascii="Arial" w:hAnsi="Arial" w:cs="Arial"/>
          <w:i/>
          <w:iCs/>
          <w:color w:val="A6A6A6" w:themeColor="background1" w:themeShade="A6"/>
          <w:sz w:val="22"/>
          <w:szCs w:val="22"/>
        </w:rPr>
      </w:pPr>
    </w:p>
    <w:p w14:paraId="1CC83032"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(2) If any property of the company is mortgaged or charged without such entry as</w:t>
      </w:r>
    </w:p>
    <w:p w14:paraId="46EDB81E" w14:textId="49D3783F"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aforesaid being made, every director, manager or other officer of the </w:t>
      </w:r>
      <w:proofErr w:type="gramStart"/>
      <w:r w:rsidR="00BB73C9" w:rsidRPr="00BB73C9">
        <w:rPr>
          <w:rFonts w:ascii="Arial" w:hAnsi="Arial" w:cs="Arial"/>
          <w:i/>
          <w:iCs/>
          <w:color w:val="A6A6A6" w:themeColor="background1" w:themeShade="A6"/>
          <w:sz w:val="22"/>
          <w:szCs w:val="22"/>
        </w:rPr>
        <w:t>company</w:t>
      </w:r>
      <w:proofErr w:type="gramEnd"/>
    </w:p>
    <w:p w14:paraId="28BD3B74" w14:textId="0EBA3802"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who knowingly and </w:t>
      </w:r>
      <w:r w:rsidR="00BB73C9" w:rsidRPr="00BB73C9">
        <w:rPr>
          <w:rFonts w:ascii="Arial" w:hAnsi="Arial" w:cs="Arial"/>
          <w:i/>
          <w:iCs/>
          <w:color w:val="A6A6A6" w:themeColor="background1" w:themeShade="A6"/>
          <w:sz w:val="22"/>
          <w:szCs w:val="22"/>
        </w:rPr>
        <w:t>willfully</w:t>
      </w:r>
      <w:r w:rsidRPr="00BB73C9">
        <w:rPr>
          <w:rFonts w:ascii="Arial" w:hAnsi="Arial" w:cs="Arial"/>
          <w:i/>
          <w:iCs/>
          <w:color w:val="A6A6A6" w:themeColor="background1" w:themeShade="A6"/>
          <w:sz w:val="22"/>
          <w:szCs w:val="22"/>
        </w:rPr>
        <w:t xml:space="preserve"> </w:t>
      </w:r>
      <w:r w:rsidR="00BB73C9" w:rsidRPr="00BB73C9">
        <w:rPr>
          <w:rFonts w:ascii="Arial" w:hAnsi="Arial" w:cs="Arial"/>
          <w:i/>
          <w:iCs/>
          <w:color w:val="A6A6A6" w:themeColor="background1" w:themeShade="A6"/>
          <w:sz w:val="22"/>
          <w:szCs w:val="22"/>
        </w:rPr>
        <w:t>authorizes</w:t>
      </w:r>
      <w:r w:rsidRPr="00BB73C9">
        <w:rPr>
          <w:rFonts w:ascii="Arial" w:hAnsi="Arial" w:cs="Arial"/>
          <w:i/>
          <w:iCs/>
          <w:color w:val="A6A6A6" w:themeColor="background1" w:themeShade="A6"/>
          <w:sz w:val="22"/>
          <w:szCs w:val="22"/>
        </w:rPr>
        <w:t xml:space="preserve"> or permits the omission of such entry,</w:t>
      </w:r>
    </w:p>
    <w:p w14:paraId="7E9EA1D6" w14:textId="77777777" w:rsidR="005B0BAB" w:rsidRPr="00BB73C9" w:rsidRDefault="005B0BAB" w:rsidP="00BB73C9">
      <w:pPr>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shall incur a penalty of one hundred dollars.”</w:t>
      </w:r>
    </w:p>
    <w:p w14:paraId="26B380A3" w14:textId="77777777" w:rsidR="005B0BAB" w:rsidRPr="00BB73C9" w:rsidRDefault="005B0BAB" w:rsidP="00BB73C9">
      <w:pPr>
        <w:rPr>
          <w:rFonts w:ascii="Arial" w:hAnsi="Arial" w:cs="Arial"/>
          <w:color w:val="A6A6A6" w:themeColor="background1" w:themeShade="A6"/>
          <w:sz w:val="22"/>
          <w:szCs w:val="22"/>
        </w:rPr>
      </w:pPr>
    </w:p>
    <w:p w14:paraId="16E19D36" w14:textId="2A2332D5" w:rsidR="002B3A96" w:rsidRPr="00310533" w:rsidRDefault="00BB73C9" w:rsidP="00BB73C9">
      <w:pPr>
        <w:rPr>
          <w:rFonts w:ascii="Avenir Next" w:hAnsi="Avenir Next" w:cs="Arial"/>
          <w:color w:val="808080" w:themeColor="background1" w:themeShade="80"/>
          <w:sz w:val="22"/>
          <w:szCs w:val="22"/>
          <w:lang w:val="en-GB"/>
        </w:rPr>
      </w:pPr>
      <w:r w:rsidRPr="00BB73C9">
        <w:rPr>
          <w:rFonts w:ascii="Arial" w:hAnsi="Arial" w:cs="Arial"/>
          <w:color w:val="A6A6A6" w:themeColor="background1" w:themeShade="A6"/>
          <w:sz w:val="22"/>
          <w:szCs w:val="22"/>
        </w:rPr>
        <w:t>Therefore,</w:t>
      </w:r>
      <w:r w:rsidR="005B0BAB" w:rsidRPr="00BB73C9">
        <w:rPr>
          <w:rFonts w:ascii="Arial" w:hAnsi="Arial" w:cs="Arial"/>
          <w:color w:val="A6A6A6" w:themeColor="background1" w:themeShade="A6"/>
          <w:sz w:val="22"/>
          <w:szCs w:val="22"/>
        </w:rPr>
        <w:t xml:space="preserve"> any future purchaser of the assets will be deemed to have knowledge of any mortgage or other interest registered prior to the purchase thereof as well as any creditor must ensure that it has sufficient control over its asset and review a </w:t>
      </w:r>
      <w:r w:rsidRPr="00BB73C9">
        <w:rPr>
          <w:rFonts w:ascii="Arial" w:hAnsi="Arial" w:cs="Arial"/>
          <w:color w:val="A6A6A6" w:themeColor="background1" w:themeShade="A6"/>
          <w:sz w:val="22"/>
          <w:szCs w:val="22"/>
        </w:rPr>
        <w:t>company’s</w:t>
      </w:r>
      <w:r w:rsidR="005B0BAB" w:rsidRPr="00BB73C9">
        <w:rPr>
          <w:rFonts w:ascii="Arial" w:hAnsi="Arial" w:cs="Arial"/>
          <w:color w:val="A6A6A6" w:themeColor="background1" w:themeShade="A6"/>
          <w:sz w:val="22"/>
          <w:szCs w:val="22"/>
        </w:rPr>
        <w:t xml:space="preserve"> register of mortgages and charges before it may approve granting credit to a prospective purchaser.</w:t>
      </w:r>
      <w:r w:rsidR="00AB0E3A" w:rsidRPr="00310533">
        <w:rPr>
          <w:rFonts w:ascii="Avenir Next" w:hAnsi="Avenir Next" w:cs="Arial"/>
          <w:color w:val="808080" w:themeColor="background1" w:themeShade="80"/>
          <w:sz w:val="22"/>
          <w:szCs w:val="22"/>
          <w:lang w:val="en-GB"/>
        </w:rPr>
        <w: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79C588E6" w14:textId="77777777" w:rsidR="005B0BAB" w:rsidRPr="00BB73C9" w:rsidRDefault="00AB0E3A" w:rsidP="005B0BAB">
      <w:pPr>
        <w:jc w:val="both"/>
        <w:rPr>
          <w:rFonts w:ascii="Arial" w:hAnsi="Arial" w:cs="Arial"/>
          <w:color w:val="A6A6A6" w:themeColor="background1" w:themeShade="A6"/>
          <w:sz w:val="22"/>
          <w:szCs w:val="22"/>
        </w:rPr>
      </w:pPr>
      <w:r w:rsidRPr="00310533">
        <w:rPr>
          <w:rFonts w:ascii="Avenir Next" w:hAnsi="Avenir Next" w:cs="Arial"/>
          <w:color w:val="808080" w:themeColor="background1" w:themeShade="80"/>
          <w:sz w:val="22"/>
          <w:szCs w:val="22"/>
          <w:lang w:val="en-GB"/>
        </w:rPr>
        <w:lastRenderedPageBreak/>
        <w:t>[</w:t>
      </w:r>
      <w:r w:rsidR="005B0BAB" w:rsidRPr="00BB73C9">
        <w:rPr>
          <w:rFonts w:ascii="Arial" w:hAnsi="Arial" w:cs="Arial"/>
          <w:color w:val="A6A6A6" w:themeColor="background1" w:themeShade="A6"/>
          <w:sz w:val="22"/>
          <w:szCs w:val="22"/>
        </w:rPr>
        <w:t>The legal basis within which the Cayman Islands Grand Courts power exists, comes from the Company's Law part XVII. In terms of section 241, the court may make orders ancillary to a foreign bankruptcy proceeding for the following purposes:</w:t>
      </w:r>
    </w:p>
    <w:p w14:paraId="2A21D8CA" w14:textId="77777777" w:rsidR="005B0BAB" w:rsidRPr="00BB73C9" w:rsidRDefault="005B0BAB" w:rsidP="005B0BAB">
      <w:pPr>
        <w:jc w:val="both"/>
        <w:rPr>
          <w:rFonts w:ascii="Arial" w:hAnsi="Arial" w:cs="Arial"/>
          <w:i/>
          <w:iCs/>
          <w:color w:val="A6A6A6" w:themeColor="background1" w:themeShade="A6"/>
          <w:sz w:val="22"/>
          <w:szCs w:val="22"/>
        </w:rPr>
      </w:pPr>
    </w:p>
    <w:p w14:paraId="6F869353"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241(1)(a) recognising the right of a foreign representative to act in the Islands on</w:t>
      </w:r>
    </w:p>
    <w:p w14:paraId="18CEBE1B"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 xml:space="preserve">behalf of or in the name of a </w:t>
      </w:r>
      <w:proofErr w:type="gramStart"/>
      <w:r w:rsidRPr="00BB73C9">
        <w:rPr>
          <w:rFonts w:ascii="Arial" w:hAnsi="Arial" w:cs="Arial"/>
          <w:i/>
          <w:iCs/>
          <w:color w:val="A6A6A6" w:themeColor="background1" w:themeShade="A6"/>
          <w:sz w:val="22"/>
          <w:szCs w:val="22"/>
          <w:lang w:val="en-GB"/>
        </w:rPr>
        <w:t>debtor;</w:t>
      </w:r>
      <w:proofErr w:type="gramEnd"/>
    </w:p>
    <w:p w14:paraId="4E5FDB76" w14:textId="77777777" w:rsidR="005B0BAB" w:rsidRPr="00BB73C9" w:rsidRDefault="005B0BAB" w:rsidP="005B0BAB">
      <w:pPr>
        <w:jc w:val="both"/>
        <w:rPr>
          <w:rFonts w:ascii="Arial" w:hAnsi="Arial" w:cs="Arial"/>
          <w:i/>
          <w:iCs/>
          <w:color w:val="A6A6A6" w:themeColor="background1" w:themeShade="A6"/>
          <w:sz w:val="22"/>
          <w:szCs w:val="22"/>
          <w:lang w:val="en-GB"/>
        </w:rPr>
      </w:pPr>
    </w:p>
    <w:p w14:paraId="4E732CE9"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(b) enjoining the commencement or staying the continuation of legal</w:t>
      </w:r>
    </w:p>
    <w:p w14:paraId="338EC7D4"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 xml:space="preserve">proceedings against a </w:t>
      </w:r>
      <w:proofErr w:type="gramStart"/>
      <w:r w:rsidRPr="00BB73C9">
        <w:rPr>
          <w:rFonts w:ascii="Arial" w:hAnsi="Arial" w:cs="Arial"/>
          <w:i/>
          <w:iCs/>
          <w:color w:val="A6A6A6" w:themeColor="background1" w:themeShade="A6"/>
          <w:sz w:val="22"/>
          <w:szCs w:val="22"/>
          <w:lang w:val="en-GB"/>
        </w:rPr>
        <w:t>debtor;</w:t>
      </w:r>
      <w:proofErr w:type="gramEnd"/>
    </w:p>
    <w:p w14:paraId="0794DA0C" w14:textId="77777777" w:rsidR="005B0BAB" w:rsidRPr="00BB73C9" w:rsidRDefault="005B0BAB" w:rsidP="005B0BAB">
      <w:pPr>
        <w:jc w:val="both"/>
        <w:rPr>
          <w:rFonts w:ascii="Arial" w:hAnsi="Arial" w:cs="Arial"/>
          <w:i/>
          <w:iCs/>
          <w:color w:val="A6A6A6" w:themeColor="background1" w:themeShade="A6"/>
          <w:sz w:val="22"/>
          <w:szCs w:val="22"/>
          <w:lang w:val="en-GB"/>
        </w:rPr>
      </w:pPr>
    </w:p>
    <w:p w14:paraId="747DC384"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 xml:space="preserve">(c) staying the enforcement of any judgment against a </w:t>
      </w:r>
      <w:proofErr w:type="gramStart"/>
      <w:r w:rsidRPr="00BB73C9">
        <w:rPr>
          <w:rFonts w:ascii="Arial" w:hAnsi="Arial" w:cs="Arial"/>
          <w:i/>
          <w:iCs/>
          <w:color w:val="A6A6A6" w:themeColor="background1" w:themeShade="A6"/>
          <w:sz w:val="22"/>
          <w:szCs w:val="22"/>
          <w:lang w:val="en-GB"/>
        </w:rPr>
        <w:t>debtor;</w:t>
      </w:r>
      <w:proofErr w:type="gramEnd"/>
    </w:p>
    <w:p w14:paraId="17C291E5" w14:textId="77777777" w:rsidR="005B0BAB" w:rsidRPr="00BB73C9" w:rsidRDefault="005B0BAB" w:rsidP="005B0BAB">
      <w:pPr>
        <w:jc w:val="both"/>
        <w:rPr>
          <w:rFonts w:ascii="Arial" w:hAnsi="Arial" w:cs="Arial"/>
          <w:i/>
          <w:iCs/>
          <w:color w:val="A6A6A6" w:themeColor="background1" w:themeShade="A6"/>
          <w:sz w:val="22"/>
          <w:szCs w:val="22"/>
          <w:lang w:val="en-GB"/>
        </w:rPr>
      </w:pPr>
    </w:p>
    <w:p w14:paraId="1E63CA3F"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(d) requiring a person in possession of information relating to the business or</w:t>
      </w:r>
    </w:p>
    <w:p w14:paraId="7552945F"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affairs of a debtor to be examined by and produce documents to its foreign</w:t>
      </w:r>
    </w:p>
    <w:p w14:paraId="7C12F745"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representative; and</w:t>
      </w:r>
    </w:p>
    <w:p w14:paraId="7EA50E85"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(e) ordering the turnover to a foreign representative of any property belonging</w:t>
      </w:r>
    </w:p>
    <w:p w14:paraId="1D2AF948" w14:textId="77777777" w:rsidR="005B0BAB" w:rsidRPr="00BB73C9" w:rsidRDefault="005B0BAB" w:rsidP="005B0BAB">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to a debtor.</w:t>
      </w:r>
    </w:p>
    <w:p w14:paraId="14AA0777" w14:textId="77777777" w:rsidR="005B0BAB" w:rsidRPr="00BB73C9" w:rsidRDefault="005B0BAB" w:rsidP="005B0BAB">
      <w:pPr>
        <w:jc w:val="both"/>
        <w:rPr>
          <w:rFonts w:ascii="Arial" w:hAnsi="Arial" w:cs="Arial"/>
          <w:i/>
          <w:iCs/>
          <w:color w:val="A6A6A6" w:themeColor="background1" w:themeShade="A6"/>
          <w:sz w:val="22"/>
          <w:szCs w:val="22"/>
          <w:lang w:val="en-GB"/>
        </w:rPr>
      </w:pPr>
    </w:p>
    <w:p w14:paraId="59ED1E92" w14:textId="77777777" w:rsidR="005B0BAB" w:rsidRPr="00BB73C9" w:rsidRDefault="005B0BAB" w:rsidP="005B0BAB">
      <w:pPr>
        <w:jc w:val="both"/>
        <w:rPr>
          <w:rFonts w:ascii="Arial" w:hAnsi="Arial" w:cs="Arial"/>
          <w:color w:val="A6A6A6" w:themeColor="background1" w:themeShade="A6"/>
          <w:sz w:val="22"/>
          <w:szCs w:val="22"/>
        </w:rPr>
      </w:pPr>
      <w:r w:rsidRPr="00BB73C9">
        <w:rPr>
          <w:rFonts w:ascii="Arial" w:hAnsi="Arial" w:cs="Arial"/>
          <w:color w:val="A6A6A6" w:themeColor="background1" w:themeShade="A6"/>
          <w:sz w:val="22"/>
          <w:szCs w:val="22"/>
        </w:rPr>
        <w:t xml:space="preserve">The Court in its determination as to whether it shall grant an ancillary order under section 241 must assess the criteria which will best assure an economic and expeditious administration of the </w:t>
      </w:r>
      <w:proofErr w:type="gramStart"/>
      <w:r w:rsidRPr="00BB73C9">
        <w:rPr>
          <w:rFonts w:ascii="Arial" w:hAnsi="Arial" w:cs="Arial"/>
          <w:color w:val="A6A6A6" w:themeColor="background1" w:themeShade="A6"/>
          <w:sz w:val="22"/>
          <w:szCs w:val="22"/>
        </w:rPr>
        <w:t>debtors</w:t>
      </w:r>
      <w:proofErr w:type="gramEnd"/>
      <w:r w:rsidRPr="00BB73C9">
        <w:rPr>
          <w:rFonts w:ascii="Arial" w:hAnsi="Arial" w:cs="Arial"/>
          <w:color w:val="A6A6A6" w:themeColor="background1" w:themeShade="A6"/>
          <w:sz w:val="22"/>
          <w:szCs w:val="22"/>
        </w:rPr>
        <w:t xml:space="preserve"> estate in the following circumstances in which such powers may be exercised:</w:t>
      </w:r>
    </w:p>
    <w:p w14:paraId="78BAA5AC" w14:textId="77777777" w:rsidR="005B0BAB" w:rsidRPr="00BB73C9" w:rsidRDefault="005B0BAB" w:rsidP="005B0BAB">
      <w:pPr>
        <w:jc w:val="both"/>
        <w:rPr>
          <w:rFonts w:ascii="Arial" w:hAnsi="Arial" w:cs="Arial"/>
          <w:color w:val="A6A6A6" w:themeColor="background1" w:themeShade="A6"/>
          <w:sz w:val="22"/>
          <w:szCs w:val="22"/>
        </w:rPr>
      </w:pPr>
    </w:p>
    <w:p w14:paraId="2B72A123"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242(1)</w:t>
      </w:r>
      <w:r w:rsidRPr="00BB73C9">
        <w:rPr>
          <w:i/>
          <w:iCs/>
          <w:color w:val="A6A6A6" w:themeColor="background1" w:themeShade="A6"/>
        </w:rPr>
        <w:t xml:space="preserve"> </w:t>
      </w:r>
      <w:r w:rsidRPr="00BB73C9">
        <w:rPr>
          <w:rFonts w:ascii="Arial" w:hAnsi="Arial" w:cs="Arial"/>
          <w:i/>
          <w:iCs/>
          <w:color w:val="A6A6A6" w:themeColor="background1" w:themeShade="A6"/>
          <w:sz w:val="22"/>
          <w:szCs w:val="22"/>
        </w:rPr>
        <w:t>(a) the just treatment of all holders of claims against or interests in a debtor’s</w:t>
      </w:r>
    </w:p>
    <w:p w14:paraId="679C73AF"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estate wherever they may be </w:t>
      </w:r>
      <w:proofErr w:type="gramStart"/>
      <w:r w:rsidRPr="00BB73C9">
        <w:rPr>
          <w:rFonts w:ascii="Arial" w:hAnsi="Arial" w:cs="Arial"/>
          <w:i/>
          <w:iCs/>
          <w:color w:val="A6A6A6" w:themeColor="background1" w:themeShade="A6"/>
          <w:sz w:val="22"/>
          <w:szCs w:val="22"/>
        </w:rPr>
        <w:t>domiciled;</w:t>
      </w:r>
      <w:proofErr w:type="gramEnd"/>
    </w:p>
    <w:p w14:paraId="780EF4B6" w14:textId="77777777" w:rsidR="005B0BAB" w:rsidRPr="00BB73C9" w:rsidRDefault="005B0BAB" w:rsidP="005B0BAB">
      <w:pPr>
        <w:jc w:val="both"/>
        <w:rPr>
          <w:rFonts w:ascii="Arial" w:hAnsi="Arial" w:cs="Arial"/>
          <w:i/>
          <w:iCs/>
          <w:color w:val="A6A6A6" w:themeColor="background1" w:themeShade="A6"/>
          <w:sz w:val="22"/>
          <w:szCs w:val="22"/>
        </w:rPr>
      </w:pPr>
    </w:p>
    <w:p w14:paraId="70CED8C9"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(b) the protection of claim holders in the Islands against prejudice and</w:t>
      </w:r>
    </w:p>
    <w:p w14:paraId="4A5F7BCC"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inconvenience in the processing of claims in the foreign bankruptcy</w:t>
      </w:r>
    </w:p>
    <w:p w14:paraId="4C1D26C9" w14:textId="77777777" w:rsidR="005B0BAB" w:rsidRPr="00BB73C9" w:rsidRDefault="005B0BAB" w:rsidP="005B0BAB">
      <w:pPr>
        <w:jc w:val="both"/>
        <w:rPr>
          <w:rFonts w:ascii="Arial" w:hAnsi="Arial" w:cs="Arial"/>
          <w:i/>
          <w:iCs/>
          <w:color w:val="A6A6A6" w:themeColor="background1" w:themeShade="A6"/>
          <w:sz w:val="22"/>
          <w:szCs w:val="22"/>
        </w:rPr>
      </w:pPr>
      <w:proofErr w:type="gramStart"/>
      <w:r w:rsidRPr="00BB73C9">
        <w:rPr>
          <w:rFonts w:ascii="Arial" w:hAnsi="Arial" w:cs="Arial"/>
          <w:i/>
          <w:iCs/>
          <w:color w:val="A6A6A6" w:themeColor="background1" w:themeShade="A6"/>
          <w:sz w:val="22"/>
          <w:szCs w:val="22"/>
        </w:rPr>
        <w:t>proceeding;</w:t>
      </w:r>
      <w:proofErr w:type="gramEnd"/>
    </w:p>
    <w:p w14:paraId="1565D985" w14:textId="77777777" w:rsidR="005B0BAB" w:rsidRPr="00BB73C9" w:rsidRDefault="005B0BAB" w:rsidP="005B0BAB">
      <w:pPr>
        <w:jc w:val="both"/>
        <w:rPr>
          <w:rFonts w:ascii="Arial" w:hAnsi="Arial" w:cs="Arial"/>
          <w:i/>
          <w:iCs/>
          <w:color w:val="A6A6A6" w:themeColor="background1" w:themeShade="A6"/>
          <w:sz w:val="22"/>
          <w:szCs w:val="22"/>
        </w:rPr>
      </w:pPr>
    </w:p>
    <w:p w14:paraId="7F567763"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(c) the prevention of preferential or fraudulent dispositions of property</w:t>
      </w:r>
    </w:p>
    <w:p w14:paraId="332F1A62"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comprised in the debtor’s </w:t>
      </w:r>
      <w:proofErr w:type="gramStart"/>
      <w:r w:rsidRPr="00BB73C9">
        <w:rPr>
          <w:rFonts w:ascii="Arial" w:hAnsi="Arial" w:cs="Arial"/>
          <w:i/>
          <w:iCs/>
          <w:color w:val="A6A6A6" w:themeColor="background1" w:themeShade="A6"/>
          <w:sz w:val="22"/>
          <w:szCs w:val="22"/>
        </w:rPr>
        <w:t>estate;</w:t>
      </w:r>
      <w:proofErr w:type="gramEnd"/>
    </w:p>
    <w:p w14:paraId="31140089" w14:textId="77777777" w:rsidR="005B0BAB" w:rsidRPr="00BB73C9" w:rsidRDefault="005B0BAB" w:rsidP="005B0BAB">
      <w:pPr>
        <w:jc w:val="both"/>
        <w:rPr>
          <w:rFonts w:ascii="Arial" w:hAnsi="Arial" w:cs="Arial"/>
          <w:i/>
          <w:iCs/>
          <w:color w:val="A6A6A6" w:themeColor="background1" w:themeShade="A6"/>
          <w:sz w:val="22"/>
          <w:szCs w:val="22"/>
        </w:rPr>
      </w:pPr>
    </w:p>
    <w:p w14:paraId="676566ED"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(d) the distribution of the debtor’s estate amongst creditors substantially in</w:t>
      </w:r>
    </w:p>
    <w:p w14:paraId="382A862A"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accordance with the order prescribed by Part </w:t>
      </w:r>
      <w:proofErr w:type="gramStart"/>
      <w:r w:rsidRPr="00BB73C9">
        <w:rPr>
          <w:rFonts w:ascii="Arial" w:hAnsi="Arial" w:cs="Arial"/>
          <w:i/>
          <w:iCs/>
          <w:color w:val="A6A6A6" w:themeColor="background1" w:themeShade="A6"/>
          <w:sz w:val="22"/>
          <w:szCs w:val="22"/>
        </w:rPr>
        <w:t>V;</w:t>
      </w:r>
      <w:proofErr w:type="gramEnd"/>
    </w:p>
    <w:p w14:paraId="5269BA98" w14:textId="77777777" w:rsidR="005B0BAB" w:rsidRPr="00BB73C9" w:rsidRDefault="005B0BAB" w:rsidP="005B0BAB">
      <w:pPr>
        <w:jc w:val="both"/>
        <w:rPr>
          <w:rFonts w:ascii="Arial" w:hAnsi="Arial" w:cs="Arial"/>
          <w:i/>
          <w:iCs/>
          <w:color w:val="A6A6A6" w:themeColor="background1" w:themeShade="A6"/>
          <w:sz w:val="22"/>
          <w:szCs w:val="22"/>
        </w:rPr>
      </w:pPr>
    </w:p>
    <w:p w14:paraId="3D28420B"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(e) the recognition and enforcement of security interests created by the </w:t>
      </w:r>
      <w:proofErr w:type="gramStart"/>
      <w:r w:rsidRPr="00BB73C9">
        <w:rPr>
          <w:rFonts w:ascii="Arial" w:hAnsi="Arial" w:cs="Arial"/>
          <w:i/>
          <w:iCs/>
          <w:color w:val="A6A6A6" w:themeColor="background1" w:themeShade="A6"/>
          <w:sz w:val="22"/>
          <w:szCs w:val="22"/>
        </w:rPr>
        <w:t>debtor;</w:t>
      </w:r>
      <w:proofErr w:type="gramEnd"/>
    </w:p>
    <w:p w14:paraId="4C7A7E41" w14:textId="77777777" w:rsidR="005B0BAB" w:rsidRPr="00BB73C9" w:rsidRDefault="005B0BAB" w:rsidP="005B0BAB">
      <w:pPr>
        <w:jc w:val="both"/>
        <w:rPr>
          <w:rFonts w:ascii="Arial" w:hAnsi="Arial" w:cs="Arial"/>
          <w:i/>
          <w:iCs/>
          <w:color w:val="A6A6A6" w:themeColor="background1" w:themeShade="A6"/>
          <w:sz w:val="22"/>
          <w:szCs w:val="22"/>
        </w:rPr>
      </w:pPr>
    </w:p>
    <w:p w14:paraId="124A70C9"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(f) the non-enforcement of foreign taxes, </w:t>
      </w:r>
      <w:proofErr w:type="gramStart"/>
      <w:r w:rsidRPr="00BB73C9">
        <w:rPr>
          <w:rFonts w:ascii="Arial" w:hAnsi="Arial" w:cs="Arial"/>
          <w:i/>
          <w:iCs/>
          <w:color w:val="A6A6A6" w:themeColor="background1" w:themeShade="A6"/>
          <w:sz w:val="22"/>
          <w:szCs w:val="22"/>
        </w:rPr>
        <w:t>fines</w:t>
      </w:r>
      <w:proofErr w:type="gramEnd"/>
      <w:r w:rsidRPr="00BB73C9">
        <w:rPr>
          <w:rFonts w:ascii="Arial" w:hAnsi="Arial" w:cs="Arial"/>
          <w:i/>
          <w:iCs/>
          <w:color w:val="A6A6A6" w:themeColor="background1" w:themeShade="A6"/>
          <w:sz w:val="22"/>
          <w:szCs w:val="22"/>
        </w:rPr>
        <w:t xml:space="preserve"> and penalties; and</w:t>
      </w:r>
    </w:p>
    <w:p w14:paraId="4CD59B72" w14:textId="77777777" w:rsidR="005B0BAB" w:rsidRPr="00BB73C9" w:rsidRDefault="005B0BAB" w:rsidP="005B0BAB">
      <w:pPr>
        <w:jc w:val="both"/>
        <w:rPr>
          <w:rFonts w:ascii="Arial" w:hAnsi="Arial" w:cs="Arial"/>
          <w:i/>
          <w:iCs/>
          <w:color w:val="A6A6A6" w:themeColor="background1" w:themeShade="A6"/>
          <w:sz w:val="22"/>
          <w:szCs w:val="22"/>
        </w:rPr>
      </w:pPr>
    </w:p>
    <w:p w14:paraId="39B948BE" w14:textId="77777777" w:rsidR="005B0BAB" w:rsidRPr="00BB73C9" w:rsidRDefault="005B0BAB" w:rsidP="005B0BAB">
      <w:pPr>
        <w:jc w:val="both"/>
        <w:rPr>
          <w:rFonts w:ascii="Arial" w:hAnsi="Arial" w:cs="Arial"/>
          <w:i/>
          <w:iCs/>
          <w:color w:val="A6A6A6" w:themeColor="background1" w:themeShade="A6"/>
          <w:sz w:val="22"/>
          <w:szCs w:val="22"/>
        </w:rPr>
      </w:pPr>
      <w:r w:rsidRPr="00BB73C9">
        <w:rPr>
          <w:rFonts w:ascii="Arial" w:hAnsi="Arial" w:cs="Arial"/>
          <w:i/>
          <w:iCs/>
          <w:color w:val="A6A6A6" w:themeColor="background1" w:themeShade="A6"/>
          <w:sz w:val="22"/>
          <w:szCs w:val="22"/>
        </w:rPr>
        <w:t xml:space="preserve">(g) comity.  </w:t>
      </w:r>
    </w:p>
    <w:p w14:paraId="1428832F" w14:textId="77777777" w:rsidR="005B0BAB" w:rsidRPr="00BB73C9" w:rsidRDefault="005B0BAB" w:rsidP="005B0BAB">
      <w:pPr>
        <w:jc w:val="both"/>
        <w:rPr>
          <w:rFonts w:ascii="Arial" w:hAnsi="Arial" w:cs="Arial"/>
          <w:color w:val="A6A6A6" w:themeColor="background1" w:themeShade="A6"/>
          <w:sz w:val="22"/>
          <w:szCs w:val="22"/>
          <w:lang w:val="en-GB"/>
        </w:rPr>
      </w:pPr>
    </w:p>
    <w:p w14:paraId="27DA0CDE" w14:textId="713D5399" w:rsidR="00AB0E3A" w:rsidRPr="00BB73C9" w:rsidRDefault="005B0BAB" w:rsidP="005B0BAB">
      <w:pPr>
        <w:jc w:val="both"/>
        <w:rPr>
          <w:rFonts w:ascii="Avenir Next" w:hAnsi="Avenir Next" w:cs="Arial"/>
          <w:color w:val="A6A6A6" w:themeColor="background1" w:themeShade="A6"/>
          <w:sz w:val="22"/>
          <w:szCs w:val="22"/>
          <w:lang w:val="en-GB"/>
        </w:rPr>
      </w:pPr>
      <w:proofErr w:type="gramStart"/>
      <w:r w:rsidRPr="00BB73C9">
        <w:rPr>
          <w:rFonts w:ascii="Arial" w:hAnsi="Arial" w:cs="Arial"/>
          <w:color w:val="A6A6A6" w:themeColor="background1" w:themeShade="A6"/>
          <w:sz w:val="22"/>
          <w:szCs w:val="22"/>
        </w:rPr>
        <w:t>In order to</w:t>
      </w:r>
      <w:proofErr w:type="gramEnd"/>
      <w:r w:rsidRPr="00BB73C9">
        <w:rPr>
          <w:rFonts w:ascii="Arial" w:hAnsi="Arial" w:cs="Arial"/>
          <w:color w:val="A6A6A6" w:themeColor="background1" w:themeShade="A6"/>
          <w:sz w:val="22"/>
          <w:szCs w:val="22"/>
        </w:rPr>
        <w:t xml:space="preserve"> retain its transparency and ensure creditors or interested parties are notified, when a company is made the subject of a foreign bankruptcy proceeding, a publication of such proceeding must be filed with the Registrar and published in The Gazette (section 243(1) of the Companies Law. The notice contains prescribed particulars followed by the company's liquidator or directors (section 243(2) and any liquidator or director who fails to publish the notice within 14 days will be liable for an offence (section 243(3).</w:t>
      </w:r>
      <w:r w:rsidR="00AB0E3A" w:rsidRPr="00BB73C9">
        <w:rPr>
          <w:rFonts w:ascii="Avenir Next" w:hAnsi="Avenir Next" w:cs="Arial"/>
          <w:color w:val="A6A6A6" w:themeColor="background1" w:themeShade="A6"/>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5E8036A3" w14:textId="77777777" w:rsidR="00C917D1" w:rsidRPr="00BB73C9" w:rsidRDefault="00E4294D" w:rsidP="00C917D1">
      <w:pPr>
        <w:jc w:val="both"/>
        <w:rPr>
          <w:rFonts w:ascii="Arial" w:hAnsi="Arial" w:cs="Arial"/>
          <w:color w:val="A6A6A6" w:themeColor="background1" w:themeShade="A6"/>
          <w:sz w:val="22"/>
          <w:szCs w:val="22"/>
          <w:lang w:val="en-GB"/>
        </w:rPr>
      </w:pPr>
      <w:r w:rsidRPr="00310533">
        <w:rPr>
          <w:rFonts w:ascii="Avenir Next" w:hAnsi="Avenir Next" w:cs="Arial"/>
          <w:color w:val="808080" w:themeColor="background1" w:themeShade="80"/>
          <w:sz w:val="22"/>
          <w:szCs w:val="22"/>
          <w:lang w:val="en-GB"/>
        </w:rPr>
        <w:t>[</w:t>
      </w:r>
      <w:r w:rsidR="00C917D1" w:rsidRPr="00BB73C9">
        <w:rPr>
          <w:rFonts w:ascii="Arial" w:hAnsi="Arial" w:cs="Arial"/>
          <w:color w:val="A6A6A6" w:themeColor="background1" w:themeShade="A6"/>
          <w:sz w:val="22"/>
          <w:szCs w:val="22"/>
          <w:lang w:val="en-GB"/>
        </w:rPr>
        <w:t xml:space="preserve">the legal framework for the recognition of foreign judgements in the Cayman Islands is based on statute and common law. The Foreign Judgments Reciprocal Enforcement Law (1996 </w:t>
      </w:r>
      <w:r w:rsidR="00C917D1" w:rsidRPr="00BB73C9">
        <w:rPr>
          <w:rFonts w:ascii="Arial" w:hAnsi="Arial" w:cs="Arial"/>
          <w:color w:val="A6A6A6" w:themeColor="background1" w:themeShade="A6"/>
          <w:sz w:val="22"/>
          <w:szCs w:val="22"/>
          <w:lang w:val="en-GB"/>
        </w:rPr>
        <w:lastRenderedPageBreak/>
        <w:t>Revision) forms the basis of the legal framework for recognition of foreign judgements in the Cayman Islands. Section 3 of the Foreign Judgements Act states:</w:t>
      </w:r>
    </w:p>
    <w:p w14:paraId="77BCEE31" w14:textId="77777777" w:rsidR="00C917D1" w:rsidRPr="00BB73C9" w:rsidRDefault="00C917D1" w:rsidP="00C917D1">
      <w:pPr>
        <w:jc w:val="both"/>
        <w:rPr>
          <w:rFonts w:ascii="Arial" w:hAnsi="Arial" w:cs="Arial"/>
          <w:color w:val="A6A6A6" w:themeColor="background1" w:themeShade="A6"/>
          <w:sz w:val="22"/>
          <w:szCs w:val="22"/>
          <w:lang w:val="en-GB"/>
        </w:rPr>
      </w:pPr>
    </w:p>
    <w:p w14:paraId="260ACBFB"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3. (1) The Governor, if he is satisfied that in the event of the benefits</w:t>
      </w:r>
    </w:p>
    <w:p w14:paraId="07403188"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conferred by this Part being extended to judgments given in the superior courts of</w:t>
      </w:r>
    </w:p>
    <w:p w14:paraId="44B8DD9C"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a foreign country, substantial reciprocity of treatment will be assured as respects</w:t>
      </w:r>
    </w:p>
    <w:p w14:paraId="031A9426"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the enforcement in such country of judgments given in the Grand Court, may, by</w:t>
      </w:r>
    </w:p>
    <w:p w14:paraId="2DB22D8E"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order, direct that to foreign countries</w:t>
      </w:r>
    </w:p>
    <w:p w14:paraId="278A5976" w14:textId="77777777" w:rsidR="00C917D1" w:rsidRPr="00BB73C9" w:rsidRDefault="00C917D1" w:rsidP="00C917D1">
      <w:pPr>
        <w:jc w:val="both"/>
        <w:rPr>
          <w:rFonts w:ascii="Arial" w:hAnsi="Arial" w:cs="Arial"/>
          <w:i/>
          <w:iCs/>
          <w:color w:val="A6A6A6" w:themeColor="background1" w:themeShade="A6"/>
          <w:sz w:val="22"/>
          <w:szCs w:val="22"/>
          <w:lang w:val="en-GB"/>
        </w:rPr>
      </w:pPr>
    </w:p>
    <w:p w14:paraId="0196C92E"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(a) this Part shall extend to that foreign country; and</w:t>
      </w:r>
    </w:p>
    <w:p w14:paraId="10B09DDD"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(b) such courts of that foreign country as are specified in the order</w:t>
      </w:r>
    </w:p>
    <w:p w14:paraId="62A4EAF2"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shall be deemed superior courts of that country for the purposes</w:t>
      </w:r>
    </w:p>
    <w:p w14:paraId="6BD62C14"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of this Part.</w:t>
      </w:r>
    </w:p>
    <w:p w14:paraId="1265DB7A" w14:textId="77777777" w:rsidR="00C917D1" w:rsidRPr="00BB73C9" w:rsidRDefault="00C917D1" w:rsidP="00C917D1">
      <w:pPr>
        <w:jc w:val="both"/>
        <w:rPr>
          <w:rFonts w:ascii="Arial" w:hAnsi="Arial" w:cs="Arial"/>
          <w:i/>
          <w:iCs/>
          <w:color w:val="A6A6A6" w:themeColor="background1" w:themeShade="A6"/>
          <w:sz w:val="22"/>
          <w:szCs w:val="22"/>
          <w:lang w:val="en-GB"/>
        </w:rPr>
      </w:pPr>
    </w:p>
    <w:p w14:paraId="68A1937C"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Furthermore, a foreign judgement can be recognised at common law level if it meets the following requirements:</w:t>
      </w:r>
    </w:p>
    <w:p w14:paraId="19A3F6C8" w14:textId="77777777" w:rsidR="00C917D1" w:rsidRPr="00BB73C9" w:rsidRDefault="00C917D1" w:rsidP="00C917D1">
      <w:pPr>
        <w:jc w:val="both"/>
        <w:rPr>
          <w:rFonts w:ascii="Arial" w:hAnsi="Arial" w:cs="Arial"/>
          <w:color w:val="A6A6A6" w:themeColor="background1" w:themeShade="A6"/>
          <w:sz w:val="22"/>
          <w:szCs w:val="22"/>
          <w:lang w:val="en-GB"/>
        </w:rPr>
      </w:pPr>
    </w:p>
    <w:p w14:paraId="423F1E5D"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(a) the judgment is </w:t>
      </w:r>
      <w:proofErr w:type="gramStart"/>
      <w:r w:rsidRPr="00BB73C9">
        <w:rPr>
          <w:rFonts w:ascii="Arial" w:hAnsi="Arial" w:cs="Arial"/>
          <w:color w:val="A6A6A6" w:themeColor="background1" w:themeShade="A6"/>
          <w:sz w:val="22"/>
          <w:szCs w:val="22"/>
          <w:lang w:val="en-GB"/>
        </w:rPr>
        <w:t>final;</w:t>
      </w:r>
      <w:proofErr w:type="gramEnd"/>
    </w:p>
    <w:p w14:paraId="0A7CA91C"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(b) the foreign court had jurisdiction over the </w:t>
      </w:r>
      <w:proofErr w:type="gramStart"/>
      <w:r w:rsidRPr="00BB73C9">
        <w:rPr>
          <w:rFonts w:ascii="Arial" w:hAnsi="Arial" w:cs="Arial"/>
          <w:color w:val="A6A6A6" w:themeColor="background1" w:themeShade="A6"/>
          <w:sz w:val="22"/>
          <w:szCs w:val="22"/>
          <w:lang w:val="en-GB"/>
        </w:rPr>
        <w:t>debtor;</w:t>
      </w:r>
      <w:proofErr w:type="gramEnd"/>
    </w:p>
    <w:p w14:paraId="6B704A0C"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(c) the foreign judgment was not obtained by </w:t>
      </w:r>
      <w:proofErr w:type="gramStart"/>
      <w:r w:rsidRPr="00BB73C9">
        <w:rPr>
          <w:rFonts w:ascii="Arial" w:hAnsi="Arial" w:cs="Arial"/>
          <w:color w:val="A6A6A6" w:themeColor="background1" w:themeShade="A6"/>
          <w:sz w:val="22"/>
          <w:szCs w:val="22"/>
          <w:lang w:val="en-GB"/>
        </w:rPr>
        <w:t>fraud;</w:t>
      </w:r>
      <w:proofErr w:type="gramEnd"/>
    </w:p>
    <w:p w14:paraId="4DD59503"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(d) the foreign judgment is not contrary to public policy of the Cayman Islands; and</w:t>
      </w:r>
    </w:p>
    <w:p w14:paraId="15C2683D"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(e) the foreign judgment was not obtained contrary to the rules of natural justice.</w:t>
      </w:r>
    </w:p>
    <w:p w14:paraId="5E259EF6" w14:textId="77777777" w:rsidR="00C917D1" w:rsidRPr="00BB73C9" w:rsidRDefault="00C917D1" w:rsidP="00C917D1">
      <w:pPr>
        <w:jc w:val="both"/>
        <w:rPr>
          <w:rFonts w:ascii="Arial" w:hAnsi="Arial" w:cs="Arial"/>
          <w:color w:val="A6A6A6" w:themeColor="background1" w:themeShade="A6"/>
          <w:sz w:val="22"/>
          <w:szCs w:val="22"/>
          <w:lang w:val="en-GB"/>
        </w:rPr>
      </w:pPr>
    </w:p>
    <w:p w14:paraId="30F79B9E" w14:textId="6450230C" w:rsidR="00E4294D" w:rsidRPr="00BB73C9" w:rsidRDefault="00C917D1" w:rsidP="00C917D1">
      <w:pPr>
        <w:jc w:val="both"/>
        <w:rPr>
          <w:rFonts w:ascii="Avenir Next" w:hAnsi="Avenir Next"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There is however a six-year limitation period which applies to the enforcement of a foreign judgement under both the common law and the 1996 revision. The </w:t>
      </w:r>
      <w:proofErr w:type="gramStart"/>
      <w:r w:rsidRPr="00BB73C9">
        <w:rPr>
          <w:rFonts w:ascii="Arial" w:hAnsi="Arial" w:cs="Arial"/>
          <w:color w:val="A6A6A6" w:themeColor="background1" w:themeShade="A6"/>
          <w:sz w:val="22"/>
          <w:szCs w:val="22"/>
          <w:lang w:val="en-GB"/>
        </w:rPr>
        <w:t>six year</w:t>
      </w:r>
      <w:proofErr w:type="gramEnd"/>
      <w:r w:rsidRPr="00BB73C9">
        <w:rPr>
          <w:rFonts w:ascii="Arial" w:hAnsi="Arial" w:cs="Arial"/>
          <w:color w:val="A6A6A6" w:themeColor="background1" w:themeShade="A6"/>
          <w:sz w:val="22"/>
          <w:szCs w:val="22"/>
          <w:lang w:val="en-GB"/>
        </w:rPr>
        <w:t xml:space="preserve"> period commences on the date of judgement or the date of the last appeal judgement</w:t>
      </w:r>
      <w:r w:rsidR="00E4294D" w:rsidRPr="00BB73C9">
        <w:rPr>
          <w:rFonts w:ascii="Avenir Next" w:hAnsi="Avenir Next" w:cs="Arial"/>
          <w:color w:val="A6A6A6" w:themeColor="background1" w:themeShade="A6"/>
          <w:sz w:val="22"/>
          <w:szCs w:val="22"/>
          <w:lang w:val="en-GB"/>
        </w:rPr>
        <w: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A981B48" w14:textId="77777777" w:rsidR="00C917D1" w:rsidRPr="00BB73C9" w:rsidRDefault="00E4294D" w:rsidP="00C917D1">
      <w:pPr>
        <w:jc w:val="both"/>
        <w:rPr>
          <w:rFonts w:ascii="Arial" w:hAnsi="Arial" w:cs="Arial"/>
          <w:color w:val="A6A6A6" w:themeColor="background1" w:themeShade="A6"/>
          <w:sz w:val="22"/>
          <w:szCs w:val="22"/>
        </w:rPr>
      </w:pPr>
      <w:r w:rsidRPr="00BB73C9">
        <w:rPr>
          <w:rFonts w:ascii="Avenir Next" w:hAnsi="Avenir Next" w:cs="Arial"/>
          <w:color w:val="A6A6A6" w:themeColor="background1" w:themeShade="A6"/>
          <w:sz w:val="22"/>
          <w:szCs w:val="22"/>
          <w:lang w:val="en-GB"/>
        </w:rPr>
        <w:t>[</w:t>
      </w:r>
      <w:r w:rsidR="00C917D1" w:rsidRPr="00BB73C9">
        <w:rPr>
          <w:rFonts w:ascii="Arial" w:hAnsi="Arial" w:cs="Arial"/>
          <w:color w:val="A6A6A6" w:themeColor="background1" w:themeShade="A6"/>
          <w:sz w:val="22"/>
          <w:szCs w:val="22"/>
        </w:rPr>
        <w:t xml:space="preserve">I respectfully disagree with the </w:t>
      </w:r>
      <w:proofErr w:type="gramStart"/>
      <w:r w:rsidR="00C917D1" w:rsidRPr="00BB73C9">
        <w:rPr>
          <w:rFonts w:ascii="Arial" w:hAnsi="Arial" w:cs="Arial"/>
          <w:color w:val="A6A6A6" w:themeColor="background1" w:themeShade="A6"/>
          <w:sz w:val="22"/>
          <w:szCs w:val="22"/>
        </w:rPr>
        <w:t>above mentioned</w:t>
      </w:r>
      <w:proofErr w:type="gramEnd"/>
      <w:r w:rsidR="00C917D1" w:rsidRPr="00BB73C9">
        <w:rPr>
          <w:rFonts w:ascii="Arial" w:hAnsi="Arial" w:cs="Arial"/>
          <w:color w:val="A6A6A6" w:themeColor="background1" w:themeShade="A6"/>
          <w:sz w:val="22"/>
          <w:szCs w:val="22"/>
        </w:rPr>
        <w:t xml:space="preserve"> statement as directors have a duty to co-operate and liquidators have the power of private examination of relevant persons in terms of section 103 of the Companies Law. In terms of section 103(5) the court may order that the director swear an affidavit in answer to written interrogatories or attend an oral examination by the official liquidator or in some instances both.</w:t>
      </w:r>
    </w:p>
    <w:p w14:paraId="185B75C5" w14:textId="77777777" w:rsidR="00C917D1" w:rsidRPr="00BB73C9" w:rsidRDefault="00C917D1" w:rsidP="00C917D1">
      <w:pPr>
        <w:jc w:val="both"/>
        <w:rPr>
          <w:rFonts w:ascii="Arial" w:hAnsi="Arial" w:cs="Arial"/>
          <w:color w:val="A6A6A6" w:themeColor="background1" w:themeShade="A6"/>
          <w:sz w:val="22"/>
          <w:szCs w:val="22"/>
        </w:rPr>
      </w:pPr>
    </w:p>
    <w:p w14:paraId="07C1CD87" w14:textId="77777777" w:rsidR="00C917D1" w:rsidRPr="00BB73C9" w:rsidRDefault="00C917D1" w:rsidP="00C917D1">
      <w:pPr>
        <w:jc w:val="both"/>
        <w:rPr>
          <w:rFonts w:ascii="Arial" w:hAnsi="Arial" w:cs="Arial"/>
          <w:color w:val="A6A6A6" w:themeColor="background1" w:themeShade="A6"/>
          <w:sz w:val="22"/>
          <w:szCs w:val="22"/>
        </w:rPr>
      </w:pPr>
      <w:r w:rsidRPr="00BB73C9">
        <w:rPr>
          <w:rFonts w:ascii="Arial" w:hAnsi="Arial" w:cs="Arial"/>
          <w:color w:val="A6A6A6" w:themeColor="background1" w:themeShade="A6"/>
          <w:sz w:val="22"/>
          <w:szCs w:val="22"/>
        </w:rPr>
        <w:t xml:space="preserve">In terms of section 103(7)(a) the Court may make an order against the director. </w:t>
      </w:r>
      <w:proofErr w:type="gramStart"/>
      <w:r w:rsidRPr="00BB73C9">
        <w:rPr>
          <w:rFonts w:ascii="Arial" w:hAnsi="Arial" w:cs="Arial"/>
          <w:color w:val="A6A6A6" w:themeColor="background1" w:themeShade="A6"/>
          <w:sz w:val="22"/>
          <w:szCs w:val="22"/>
        </w:rPr>
        <w:t>Furthermore</w:t>
      </w:r>
      <w:proofErr w:type="gramEnd"/>
      <w:r w:rsidRPr="00BB73C9">
        <w:rPr>
          <w:rFonts w:ascii="Arial" w:hAnsi="Arial" w:cs="Arial"/>
          <w:color w:val="A6A6A6" w:themeColor="background1" w:themeShade="A6"/>
          <w:sz w:val="22"/>
          <w:szCs w:val="22"/>
        </w:rPr>
        <w:t xml:space="preserve"> the court has the power in terms of section 145 of the companies law to reverse or void any payment or disposal of property if it is found that the dominant intention of the company's directors was to give the applicable creditor a preference over other creditors. The test for voidable preference was explained in the case of </w:t>
      </w:r>
      <w:proofErr w:type="spellStart"/>
      <w:r w:rsidRPr="00BB73C9">
        <w:rPr>
          <w:rFonts w:ascii="Arial" w:hAnsi="Arial" w:cs="Arial"/>
          <w:i/>
          <w:iCs/>
          <w:color w:val="A6A6A6" w:themeColor="background1" w:themeShade="A6"/>
          <w:sz w:val="22"/>
          <w:szCs w:val="22"/>
        </w:rPr>
        <w:t>Weavering</w:t>
      </w:r>
      <w:proofErr w:type="spellEnd"/>
      <w:r w:rsidRPr="00BB73C9">
        <w:rPr>
          <w:rFonts w:ascii="Arial" w:hAnsi="Arial" w:cs="Arial"/>
          <w:i/>
          <w:iCs/>
          <w:color w:val="A6A6A6" w:themeColor="background1" w:themeShade="A6"/>
          <w:sz w:val="22"/>
          <w:szCs w:val="22"/>
        </w:rPr>
        <w:t xml:space="preserve"> Macro Fixed Income Fund Ltd (in Liquidation</w:t>
      </w:r>
      <w:r w:rsidRPr="00BB73C9">
        <w:rPr>
          <w:i/>
          <w:iCs/>
          <w:color w:val="A6A6A6" w:themeColor="background1" w:themeShade="A6"/>
        </w:rPr>
        <w:t xml:space="preserve"> </w:t>
      </w:r>
      <w:r w:rsidRPr="00BB73C9">
        <w:rPr>
          <w:rFonts w:ascii="Arial" w:hAnsi="Arial" w:cs="Arial"/>
          <w:i/>
          <w:iCs/>
          <w:color w:val="A6A6A6" w:themeColor="background1" w:themeShade="A6"/>
          <w:sz w:val="22"/>
          <w:szCs w:val="22"/>
        </w:rPr>
        <w:t>[2016 (2) CILR 514</w:t>
      </w:r>
      <w:r w:rsidRPr="00BB73C9">
        <w:rPr>
          <w:rFonts w:ascii="Arial" w:hAnsi="Arial" w:cs="Arial"/>
          <w:color w:val="A6A6A6" w:themeColor="background1" w:themeShade="A6"/>
          <w:sz w:val="22"/>
          <w:szCs w:val="22"/>
        </w:rPr>
        <w:t>].</w:t>
      </w:r>
    </w:p>
    <w:p w14:paraId="30F6680B" w14:textId="77777777" w:rsidR="00C917D1" w:rsidRPr="00BB73C9" w:rsidRDefault="00C917D1" w:rsidP="00C917D1">
      <w:pPr>
        <w:jc w:val="both"/>
        <w:rPr>
          <w:rFonts w:ascii="Arial" w:hAnsi="Arial" w:cs="Arial"/>
          <w:color w:val="A6A6A6" w:themeColor="background1" w:themeShade="A6"/>
          <w:sz w:val="22"/>
          <w:szCs w:val="22"/>
        </w:rPr>
      </w:pPr>
    </w:p>
    <w:p w14:paraId="78024A14" w14:textId="77777777" w:rsidR="00C917D1" w:rsidRPr="00BB73C9" w:rsidRDefault="00C917D1" w:rsidP="00C917D1">
      <w:pPr>
        <w:jc w:val="both"/>
        <w:rPr>
          <w:rFonts w:ascii="Arial" w:hAnsi="Arial" w:cs="Arial"/>
          <w:color w:val="A6A6A6" w:themeColor="background1" w:themeShade="A6"/>
          <w:sz w:val="22"/>
          <w:szCs w:val="22"/>
        </w:rPr>
      </w:pPr>
      <w:r w:rsidRPr="00BB73C9">
        <w:rPr>
          <w:rFonts w:ascii="Arial" w:hAnsi="Arial" w:cs="Arial"/>
          <w:color w:val="A6A6A6" w:themeColor="background1" w:themeShade="A6"/>
          <w:sz w:val="22"/>
          <w:szCs w:val="22"/>
        </w:rPr>
        <w:t xml:space="preserve">Should a director be found to have conducted fraudulent trading in terms of section 147 of the Companies Law, then the director may be held personally liable for any losses which the company may have suffered as a result of their breach of their fiduciary duty to act in a </w:t>
      </w:r>
      <w:r w:rsidRPr="00BB73C9">
        <w:rPr>
          <w:rFonts w:ascii="Arial" w:hAnsi="Arial" w:cs="Arial"/>
          <w:color w:val="A6A6A6" w:themeColor="background1" w:themeShade="A6"/>
          <w:sz w:val="22"/>
          <w:szCs w:val="22"/>
        </w:rPr>
        <w:lastRenderedPageBreak/>
        <w:t xml:space="preserve">company's best interests which includes acting in the best interests of creditors as was the case in </w:t>
      </w:r>
      <w:r w:rsidRPr="00BB73C9">
        <w:rPr>
          <w:rFonts w:ascii="Arial" w:hAnsi="Arial" w:cs="Arial"/>
          <w:i/>
          <w:iCs/>
          <w:color w:val="A6A6A6" w:themeColor="background1" w:themeShade="A6"/>
          <w:sz w:val="22"/>
          <w:szCs w:val="22"/>
        </w:rPr>
        <w:t>Prospect Properties v McNeill [1990-91 CILR 171</w:t>
      </w:r>
      <w:r w:rsidRPr="00BB73C9">
        <w:rPr>
          <w:rFonts w:ascii="Arial" w:hAnsi="Arial" w:cs="Arial"/>
          <w:color w:val="A6A6A6" w:themeColor="background1" w:themeShade="A6"/>
          <w:sz w:val="22"/>
          <w:szCs w:val="22"/>
        </w:rPr>
        <w:t xml:space="preserve">]. Directors can be </w:t>
      </w:r>
      <w:proofErr w:type="gramStart"/>
      <w:r w:rsidRPr="00BB73C9">
        <w:rPr>
          <w:rFonts w:ascii="Arial" w:hAnsi="Arial" w:cs="Arial"/>
          <w:color w:val="A6A6A6" w:themeColor="background1" w:themeShade="A6"/>
          <w:sz w:val="22"/>
          <w:szCs w:val="22"/>
        </w:rPr>
        <w:t>prosecuted</w:t>
      </w:r>
      <w:proofErr w:type="gramEnd"/>
      <w:r w:rsidRPr="00BB73C9">
        <w:rPr>
          <w:rFonts w:ascii="Arial" w:hAnsi="Arial" w:cs="Arial"/>
          <w:color w:val="A6A6A6" w:themeColor="background1" w:themeShade="A6"/>
          <w:sz w:val="22"/>
          <w:szCs w:val="22"/>
        </w:rPr>
        <w:t xml:space="preserve"> and the official liquidator may pursue a claim against the director for breach of their fiduciary duty. </w:t>
      </w:r>
    </w:p>
    <w:p w14:paraId="0AE0EA8A" w14:textId="77777777" w:rsidR="00C917D1" w:rsidRPr="00BB73C9" w:rsidRDefault="00C917D1" w:rsidP="00C917D1">
      <w:pPr>
        <w:jc w:val="both"/>
        <w:rPr>
          <w:rFonts w:ascii="Arial" w:hAnsi="Arial" w:cs="Arial"/>
          <w:color w:val="A6A6A6" w:themeColor="background1" w:themeShade="A6"/>
          <w:sz w:val="22"/>
          <w:szCs w:val="22"/>
        </w:rPr>
      </w:pPr>
    </w:p>
    <w:p w14:paraId="3C96BAC4" w14:textId="71925A9D" w:rsidR="00E4294D" w:rsidRPr="00310533" w:rsidRDefault="00C917D1" w:rsidP="00C917D1">
      <w:pPr>
        <w:jc w:val="both"/>
        <w:rPr>
          <w:rFonts w:ascii="Avenir Next" w:hAnsi="Avenir Next" w:cs="Arial"/>
          <w:color w:val="808080" w:themeColor="background1" w:themeShade="80"/>
          <w:sz w:val="22"/>
          <w:szCs w:val="22"/>
          <w:lang w:val="en-GB"/>
        </w:rPr>
      </w:pPr>
      <w:proofErr w:type="gramStart"/>
      <w:r w:rsidRPr="00BB73C9">
        <w:rPr>
          <w:rFonts w:ascii="Arial" w:hAnsi="Arial" w:cs="Arial"/>
          <w:color w:val="A6A6A6" w:themeColor="background1" w:themeShade="A6"/>
          <w:sz w:val="22"/>
          <w:szCs w:val="22"/>
        </w:rPr>
        <w:t>Therefore</w:t>
      </w:r>
      <w:proofErr w:type="gramEnd"/>
      <w:r w:rsidRPr="00BB73C9">
        <w:rPr>
          <w:rFonts w:ascii="Arial" w:hAnsi="Arial" w:cs="Arial"/>
          <w:color w:val="A6A6A6" w:themeColor="background1" w:themeShade="A6"/>
          <w:sz w:val="22"/>
          <w:szCs w:val="22"/>
        </w:rPr>
        <w:t xml:space="preserve"> although in some instances the Grand Court may vest powers with directors which is known as the “light touch” approach, there are most certainly ramifications should it be found that a director has breached </w:t>
      </w:r>
      <w:proofErr w:type="spellStart"/>
      <w:r w:rsidRPr="00BB73C9">
        <w:rPr>
          <w:rFonts w:ascii="Arial" w:hAnsi="Arial" w:cs="Arial"/>
          <w:color w:val="A6A6A6" w:themeColor="background1" w:themeShade="A6"/>
          <w:sz w:val="22"/>
          <w:szCs w:val="22"/>
        </w:rPr>
        <w:t>it's</w:t>
      </w:r>
      <w:proofErr w:type="spellEnd"/>
      <w:r w:rsidRPr="00BB73C9">
        <w:rPr>
          <w:rFonts w:ascii="Arial" w:hAnsi="Arial" w:cs="Arial"/>
          <w:color w:val="A6A6A6" w:themeColor="background1" w:themeShade="A6"/>
          <w:sz w:val="22"/>
          <w:szCs w:val="22"/>
        </w:rPr>
        <w:t xml:space="preserve"> fiduciary duty</w:t>
      </w:r>
      <w:r w:rsidR="00E4294D" w:rsidRPr="00BB73C9">
        <w:rPr>
          <w:rFonts w:ascii="Avenir Next" w:hAnsi="Avenir Next" w:cs="Arial"/>
          <w:color w:val="A6A6A6" w:themeColor="background1" w:themeShade="A6"/>
          <w:sz w:val="22"/>
          <w:szCs w:val="22"/>
          <w:lang w:val="en-GB"/>
        </w:rPr>
        <w:t>]</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68B5DA3B" w14:textId="77777777" w:rsidR="00C917D1" w:rsidRPr="00BB73C9" w:rsidRDefault="00E4294D" w:rsidP="00C917D1">
      <w:pPr>
        <w:jc w:val="both"/>
        <w:rPr>
          <w:rFonts w:ascii="Arial" w:hAnsi="Arial" w:cs="Arial"/>
          <w:color w:val="A6A6A6" w:themeColor="background1" w:themeShade="A6"/>
          <w:sz w:val="22"/>
          <w:szCs w:val="22"/>
        </w:rPr>
      </w:pPr>
      <w:r w:rsidRPr="00BB73C9">
        <w:rPr>
          <w:rFonts w:ascii="Avenir Next" w:hAnsi="Avenir Next" w:cs="Arial"/>
          <w:color w:val="A6A6A6" w:themeColor="background1" w:themeShade="A6"/>
          <w:sz w:val="22"/>
          <w:szCs w:val="22"/>
          <w:lang w:val="en-GB"/>
        </w:rPr>
        <w:t>[</w:t>
      </w:r>
      <w:r w:rsidR="00C917D1" w:rsidRPr="00BB73C9">
        <w:rPr>
          <w:rFonts w:ascii="Arial" w:hAnsi="Arial" w:cs="Arial"/>
          <w:color w:val="A6A6A6" w:themeColor="background1" w:themeShade="A6"/>
          <w:sz w:val="22"/>
          <w:szCs w:val="22"/>
        </w:rPr>
        <w:t xml:space="preserve">Although the appointment of receivers </w:t>
      </w:r>
      <w:proofErr w:type="gramStart"/>
      <w:r w:rsidR="00C917D1" w:rsidRPr="00BB73C9">
        <w:rPr>
          <w:rFonts w:ascii="Arial" w:hAnsi="Arial" w:cs="Arial"/>
          <w:color w:val="A6A6A6" w:themeColor="background1" w:themeShade="A6"/>
          <w:sz w:val="22"/>
          <w:szCs w:val="22"/>
        </w:rPr>
        <w:t>are</w:t>
      </w:r>
      <w:proofErr w:type="gramEnd"/>
      <w:r w:rsidR="00C917D1" w:rsidRPr="00BB73C9">
        <w:rPr>
          <w:rFonts w:ascii="Arial" w:hAnsi="Arial" w:cs="Arial"/>
          <w:color w:val="A6A6A6" w:themeColor="background1" w:themeShade="A6"/>
          <w:sz w:val="22"/>
          <w:szCs w:val="22"/>
        </w:rPr>
        <w:t xml:space="preserve"> not specifically mentioned in the Companies Law, they most certainly have a role to play in the winding up of a company and can be appointed by the Court. Order 30 of the Grand Court Rules is concerned with the appointment of a receiver and states:</w:t>
      </w:r>
    </w:p>
    <w:p w14:paraId="2381F003" w14:textId="77777777" w:rsidR="00C917D1" w:rsidRPr="00BB73C9" w:rsidRDefault="00C917D1" w:rsidP="00C917D1">
      <w:pPr>
        <w:jc w:val="both"/>
        <w:rPr>
          <w:rFonts w:ascii="Arial" w:hAnsi="Arial" w:cs="Arial"/>
          <w:color w:val="A6A6A6" w:themeColor="background1" w:themeShade="A6"/>
          <w:sz w:val="22"/>
          <w:szCs w:val="22"/>
        </w:rPr>
      </w:pPr>
    </w:p>
    <w:p w14:paraId="4AE1701E"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(1) An application for the appointment of a receiver may be made by summons or</w:t>
      </w:r>
    </w:p>
    <w:p w14:paraId="4596FE3F"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motion.</w:t>
      </w:r>
    </w:p>
    <w:p w14:paraId="4CA49E70" w14:textId="77777777" w:rsidR="00C917D1" w:rsidRPr="00BB73C9" w:rsidRDefault="00C917D1" w:rsidP="00C917D1">
      <w:pPr>
        <w:jc w:val="both"/>
        <w:rPr>
          <w:rFonts w:ascii="Arial" w:hAnsi="Arial" w:cs="Arial"/>
          <w:i/>
          <w:iCs/>
          <w:color w:val="A6A6A6" w:themeColor="background1" w:themeShade="A6"/>
          <w:sz w:val="22"/>
          <w:szCs w:val="22"/>
          <w:lang w:val="en-GB"/>
        </w:rPr>
      </w:pPr>
    </w:p>
    <w:p w14:paraId="625F0993"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(2) An application for an injunction ancillary or incidental to an order appointing a</w:t>
      </w:r>
    </w:p>
    <w:p w14:paraId="72FF32E7"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receiver may be joined with the application for such order.</w:t>
      </w:r>
    </w:p>
    <w:p w14:paraId="4350B457" w14:textId="77777777" w:rsidR="00C917D1" w:rsidRPr="00BB73C9" w:rsidRDefault="00C917D1" w:rsidP="00C917D1">
      <w:pPr>
        <w:jc w:val="both"/>
        <w:rPr>
          <w:rFonts w:ascii="Arial" w:hAnsi="Arial" w:cs="Arial"/>
          <w:i/>
          <w:iCs/>
          <w:color w:val="A6A6A6" w:themeColor="background1" w:themeShade="A6"/>
          <w:sz w:val="22"/>
          <w:szCs w:val="22"/>
          <w:lang w:val="en-GB"/>
        </w:rPr>
      </w:pPr>
    </w:p>
    <w:p w14:paraId="0A234127"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(3) Where the applicant wishes to apply for the immediate grant of such an injunction,</w:t>
      </w:r>
    </w:p>
    <w:p w14:paraId="05873CF4"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 xml:space="preserve">he may do so ex </w:t>
      </w:r>
      <w:proofErr w:type="spellStart"/>
      <w:r w:rsidRPr="00BB73C9">
        <w:rPr>
          <w:rFonts w:ascii="Arial" w:hAnsi="Arial" w:cs="Arial"/>
          <w:i/>
          <w:iCs/>
          <w:color w:val="A6A6A6" w:themeColor="background1" w:themeShade="A6"/>
          <w:sz w:val="22"/>
          <w:szCs w:val="22"/>
          <w:lang w:val="en-GB"/>
        </w:rPr>
        <w:t>parte</w:t>
      </w:r>
      <w:proofErr w:type="spellEnd"/>
      <w:r w:rsidRPr="00BB73C9">
        <w:rPr>
          <w:rFonts w:ascii="Arial" w:hAnsi="Arial" w:cs="Arial"/>
          <w:i/>
          <w:iCs/>
          <w:color w:val="A6A6A6" w:themeColor="background1" w:themeShade="A6"/>
          <w:sz w:val="22"/>
          <w:szCs w:val="22"/>
          <w:lang w:val="en-GB"/>
        </w:rPr>
        <w:t xml:space="preserve"> on affidavit.</w:t>
      </w:r>
    </w:p>
    <w:p w14:paraId="303A1091" w14:textId="77777777" w:rsidR="00C917D1" w:rsidRPr="00BB73C9" w:rsidRDefault="00C917D1" w:rsidP="00C917D1">
      <w:pPr>
        <w:jc w:val="both"/>
        <w:rPr>
          <w:rFonts w:ascii="Arial" w:hAnsi="Arial" w:cs="Arial"/>
          <w:i/>
          <w:iCs/>
          <w:color w:val="A6A6A6" w:themeColor="background1" w:themeShade="A6"/>
          <w:sz w:val="22"/>
          <w:szCs w:val="22"/>
          <w:lang w:val="en-GB"/>
        </w:rPr>
      </w:pPr>
    </w:p>
    <w:p w14:paraId="3E9A5FCB"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(4) The Court hearing an application under paragraph (3) may grant an injunction</w:t>
      </w:r>
    </w:p>
    <w:p w14:paraId="4359D5C6"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restraining the party beneficially entitled to any interest in the property of which a</w:t>
      </w:r>
    </w:p>
    <w:p w14:paraId="686ADD67"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 xml:space="preserve">receiver is sought from assigning, charging or otherwise dealing with that </w:t>
      </w:r>
      <w:proofErr w:type="gramStart"/>
      <w:r w:rsidRPr="00BB73C9">
        <w:rPr>
          <w:rFonts w:ascii="Arial" w:hAnsi="Arial" w:cs="Arial"/>
          <w:i/>
          <w:iCs/>
          <w:color w:val="A6A6A6" w:themeColor="background1" w:themeShade="A6"/>
          <w:sz w:val="22"/>
          <w:szCs w:val="22"/>
          <w:lang w:val="en-GB"/>
        </w:rPr>
        <w:t>property</w:t>
      </w:r>
      <w:proofErr w:type="gramEnd"/>
    </w:p>
    <w:p w14:paraId="66BC9567"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until after the hearing of a summons for the appointment of the receiver and may</w:t>
      </w:r>
    </w:p>
    <w:p w14:paraId="6BBC7A37" w14:textId="77777777" w:rsidR="00C917D1" w:rsidRPr="00BB73C9" w:rsidRDefault="00C917D1" w:rsidP="00C917D1">
      <w:pPr>
        <w:jc w:val="both"/>
        <w:rPr>
          <w:rFonts w:ascii="Arial" w:hAnsi="Arial" w:cs="Arial"/>
          <w:i/>
          <w:iCs/>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require such a summons, returnable on such date as the Court may direct, to be</w:t>
      </w:r>
    </w:p>
    <w:p w14:paraId="38A97C1A"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i/>
          <w:iCs/>
          <w:color w:val="A6A6A6" w:themeColor="background1" w:themeShade="A6"/>
          <w:sz w:val="22"/>
          <w:szCs w:val="22"/>
          <w:lang w:val="en-GB"/>
        </w:rPr>
        <w:t>issued</w:t>
      </w:r>
      <w:r w:rsidRPr="00BB73C9">
        <w:rPr>
          <w:rFonts w:ascii="Arial" w:hAnsi="Arial" w:cs="Arial"/>
          <w:color w:val="A6A6A6" w:themeColor="background1" w:themeShade="A6"/>
          <w:sz w:val="22"/>
          <w:szCs w:val="22"/>
          <w:lang w:val="en-GB"/>
        </w:rPr>
        <w:t>.</w:t>
      </w:r>
    </w:p>
    <w:p w14:paraId="590ACF7B" w14:textId="77777777" w:rsidR="00C917D1" w:rsidRPr="00BB73C9" w:rsidRDefault="00C917D1" w:rsidP="00C917D1">
      <w:pPr>
        <w:jc w:val="both"/>
        <w:rPr>
          <w:rFonts w:ascii="Arial" w:hAnsi="Arial" w:cs="Arial"/>
          <w:color w:val="A6A6A6" w:themeColor="background1" w:themeShade="A6"/>
          <w:sz w:val="22"/>
          <w:szCs w:val="22"/>
          <w:lang w:val="en-GB"/>
        </w:rPr>
      </w:pPr>
    </w:p>
    <w:p w14:paraId="0EC679F4" w14:textId="77777777" w:rsidR="00C917D1" w:rsidRPr="00BB73C9" w:rsidRDefault="00C917D1" w:rsidP="00C917D1">
      <w:pPr>
        <w:jc w:val="both"/>
        <w:rPr>
          <w:rFonts w:ascii="Arial" w:hAnsi="Arial" w:cs="Arial"/>
          <w:color w:val="A6A6A6" w:themeColor="background1" w:themeShade="A6"/>
          <w:sz w:val="22"/>
          <w:szCs w:val="22"/>
        </w:rPr>
      </w:pPr>
      <w:r w:rsidRPr="00BB73C9">
        <w:rPr>
          <w:rFonts w:ascii="Arial" w:hAnsi="Arial" w:cs="Arial"/>
          <w:color w:val="A6A6A6" w:themeColor="background1" w:themeShade="A6"/>
          <w:sz w:val="22"/>
          <w:szCs w:val="22"/>
        </w:rPr>
        <w:t xml:space="preserve">Receivers are usually appointed by the court for the purposes of collecting money or to carry out other duties which assist the court (Order 45). In segregated portfolio </w:t>
      </w:r>
      <w:proofErr w:type="gramStart"/>
      <w:r w:rsidRPr="00BB73C9">
        <w:rPr>
          <w:rFonts w:ascii="Arial" w:hAnsi="Arial" w:cs="Arial"/>
          <w:color w:val="A6A6A6" w:themeColor="background1" w:themeShade="A6"/>
          <w:sz w:val="22"/>
          <w:szCs w:val="22"/>
        </w:rPr>
        <w:t>companies</w:t>
      </w:r>
      <w:proofErr w:type="gramEnd"/>
      <w:r w:rsidRPr="00BB73C9">
        <w:rPr>
          <w:rFonts w:ascii="Arial" w:hAnsi="Arial" w:cs="Arial"/>
          <w:color w:val="A6A6A6" w:themeColor="background1" w:themeShade="A6"/>
          <w:sz w:val="22"/>
          <w:szCs w:val="22"/>
        </w:rPr>
        <w:t xml:space="preserve"> receivers specifically provided for two for fool the purpose of either closing down of a business attributed to the segregated portfolio or the distribution of segregated portfolio assets. It is also important to note that an application for a receiver halts any other suit, </w:t>
      </w:r>
      <w:proofErr w:type="gramStart"/>
      <w:r w:rsidRPr="00BB73C9">
        <w:rPr>
          <w:rFonts w:ascii="Arial" w:hAnsi="Arial" w:cs="Arial"/>
          <w:color w:val="A6A6A6" w:themeColor="background1" w:themeShade="A6"/>
          <w:sz w:val="22"/>
          <w:szCs w:val="22"/>
        </w:rPr>
        <w:t>action</w:t>
      </w:r>
      <w:proofErr w:type="gramEnd"/>
      <w:r w:rsidRPr="00BB73C9">
        <w:rPr>
          <w:rFonts w:ascii="Arial" w:hAnsi="Arial" w:cs="Arial"/>
          <w:color w:val="A6A6A6" w:themeColor="background1" w:themeShade="A6"/>
          <w:sz w:val="22"/>
          <w:szCs w:val="22"/>
        </w:rPr>
        <w:t xml:space="preserve"> or other proceeding against a segregated portfolio company.</w:t>
      </w:r>
    </w:p>
    <w:p w14:paraId="6F413811" w14:textId="77777777" w:rsidR="00C917D1" w:rsidRPr="00BB73C9" w:rsidRDefault="00C917D1" w:rsidP="00C917D1">
      <w:pPr>
        <w:jc w:val="both"/>
        <w:rPr>
          <w:rFonts w:ascii="Arial" w:hAnsi="Arial" w:cs="Arial"/>
          <w:color w:val="A6A6A6" w:themeColor="background1" w:themeShade="A6"/>
          <w:sz w:val="22"/>
          <w:szCs w:val="22"/>
        </w:rPr>
      </w:pPr>
    </w:p>
    <w:p w14:paraId="3410C762" w14:textId="77777777" w:rsidR="00C917D1" w:rsidRPr="00BB73C9" w:rsidRDefault="00C917D1" w:rsidP="00C917D1">
      <w:pPr>
        <w:jc w:val="both"/>
        <w:rPr>
          <w:rFonts w:ascii="Arial" w:hAnsi="Arial" w:cs="Arial"/>
          <w:color w:val="A6A6A6" w:themeColor="background1" w:themeShade="A6"/>
          <w:sz w:val="22"/>
          <w:szCs w:val="22"/>
        </w:rPr>
      </w:pPr>
      <w:r w:rsidRPr="00BB73C9">
        <w:rPr>
          <w:rFonts w:ascii="Arial" w:hAnsi="Arial" w:cs="Arial"/>
          <w:color w:val="A6A6A6" w:themeColor="background1" w:themeShade="A6"/>
          <w:sz w:val="22"/>
          <w:szCs w:val="22"/>
        </w:rPr>
        <w:t xml:space="preserve">A receiver may also be appointed by a creditor. this is usually done by a creditor </w:t>
      </w:r>
      <w:proofErr w:type="gramStart"/>
      <w:r w:rsidRPr="00BB73C9">
        <w:rPr>
          <w:rFonts w:ascii="Arial" w:hAnsi="Arial" w:cs="Arial"/>
          <w:color w:val="A6A6A6" w:themeColor="background1" w:themeShade="A6"/>
          <w:sz w:val="22"/>
          <w:szCs w:val="22"/>
        </w:rPr>
        <w:t>in order to</w:t>
      </w:r>
      <w:proofErr w:type="gramEnd"/>
      <w:r w:rsidRPr="00BB73C9">
        <w:rPr>
          <w:rFonts w:ascii="Arial" w:hAnsi="Arial" w:cs="Arial"/>
          <w:color w:val="A6A6A6" w:themeColor="background1" w:themeShade="A6"/>
          <w:sz w:val="22"/>
          <w:szCs w:val="22"/>
        </w:rPr>
        <w:t xml:space="preserve"> secure its instrument. Should a charging document space specifically provide for the appointment of a receiver then the receiver may be appointed without any court order and will derive its powers as set out in the charge document. The receiver will primarily realize the value of the charged asset </w:t>
      </w:r>
      <w:proofErr w:type="gramStart"/>
      <w:r w:rsidRPr="00BB73C9">
        <w:rPr>
          <w:rFonts w:ascii="Arial" w:hAnsi="Arial" w:cs="Arial"/>
          <w:color w:val="A6A6A6" w:themeColor="background1" w:themeShade="A6"/>
          <w:sz w:val="22"/>
          <w:szCs w:val="22"/>
        </w:rPr>
        <w:t>and also</w:t>
      </w:r>
      <w:proofErr w:type="gramEnd"/>
      <w:r w:rsidRPr="00BB73C9">
        <w:rPr>
          <w:rFonts w:ascii="Arial" w:hAnsi="Arial" w:cs="Arial"/>
          <w:color w:val="A6A6A6" w:themeColor="background1" w:themeShade="A6"/>
          <w:sz w:val="22"/>
          <w:szCs w:val="22"/>
        </w:rPr>
        <w:t>/ or recover the debt owed to the creditor.</w:t>
      </w:r>
    </w:p>
    <w:p w14:paraId="02BDC0F7" w14:textId="77777777" w:rsidR="00C917D1" w:rsidRPr="00BB73C9" w:rsidRDefault="00C917D1" w:rsidP="00C917D1">
      <w:pPr>
        <w:jc w:val="both"/>
        <w:rPr>
          <w:rFonts w:ascii="Arial" w:hAnsi="Arial" w:cs="Arial"/>
          <w:color w:val="A6A6A6" w:themeColor="background1" w:themeShade="A6"/>
          <w:sz w:val="22"/>
          <w:szCs w:val="22"/>
        </w:rPr>
      </w:pPr>
    </w:p>
    <w:p w14:paraId="0847CADA" w14:textId="44A06659" w:rsidR="00E4294D" w:rsidRPr="00BB73C9" w:rsidRDefault="00C917D1" w:rsidP="00C917D1">
      <w:pPr>
        <w:jc w:val="both"/>
        <w:rPr>
          <w:rFonts w:ascii="Avenir Next" w:hAnsi="Avenir Next" w:cs="Arial"/>
          <w:color w:val="A6A6A6" w:themeColor="background1" w:themeShade="A6"/>
          <w:sz w:val="22"/>
          <w:szCs w:val="22"/>
          <w:lang w:val="en-GB"/>
        </w:rPr>
      </w:pPr>
      <w:r w:rsidRPr="00BB73C9">
        <w:rPr>
          <w:rFonts w:ascii="Arial" w:hAnsi="Arial" w:cs="Arial"/>
          <w:color w:val="A6A6A6" w:themeColor="background1" w:themeShade="A6"/>
          <w:sz w:val="22"/>
          <w:szCs w:val="22"/>
        </w:rPr>
        <w:t xml:space="preserve">Therefore, </w:t>
      </w:r>
      <w:proofErr w:type="gramStart"/>
      <w:r w:rsidRPr="00BB73C9">
        <w:rPr>
          <w:rFonts w:ascii="Arial" w:hAnsi="Arial" w:cs="Arial"/>
          <w:color w:val="A6A6A6" w:themeColor="background1" w:themeShade="A6"/>
          <w:sz w:val="22"/>
          <w:szCs w:val="22"/>
        </w:rPr>
        <w:t>it is clear that although</w:t>
      </w:r>
      <w:proofErr w:type="gramEnd"/>
      <w:r w:rsidRPr="00BB73C9">
        <w:rPr>
          <w:rFonts w:ascii="Arial" w:hAnsi="Arial" w:cs="Arial"/>
          <w:color w:val="A6A6A6" w:themeColor="background1" w:themeShade="A6"/>
          <w:sz w:val="22"/>
          <w:szCs w:val="22"/>
        </w:rPr>
        <w:t xml:space="preserve"> or receivers are not specifically defined in the main Companies Law of the Cayman Islands, they play an important role in assisting other interested parties such as the Court and/or creditors, in the liquidation of a company.</w:t>
      </w:r>
      <w:r w:rsidR="00E4294D" w:rsidRPr="00BB73C9">
        <w:rPr>
          <w:rFonts w:ascii="Avenir Next" w:hAnsi="Avenir Next" w:cs="Arial"/>
          <w:color w:val="A6A6A6" w:themeColor="background1" w:themeShade="A6"/>
          <w:sz w:val="22"/>
          <w:szCs w:val="22"/>
          <w:lang w:val="en-GB"/>
        </w:rPr>
        <w:t>]</w:t>
      </w:r>
    </w:p>
    <w:p w14:paraId="6DD9BB66" w14:textId="453DB4C2" w:rsidR="00FA18CF" w:rsidRPr="00BB73C9" w:rsidRDefault="00FA18CF" w:rsidP="002A37BB">
      <w:pPr>
        <w:jc w:val="both"/>
        <w:rPr>
          <w:rFonts w:ascii="Avenir Next" w:hAnsi="Avenir Next" w:cs="Arial"/>
          <w:color w:val="A6A6A6" w:themeColor="background1" w:themeShade="A6"/>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3BC0D60" w:rsidR="00B37221" w:rsidRDefault="00B37221" w:rsidP="002A37BB">
      <w:pPr>
        <w:jc w:val="both"/>
        <w:rPr>
          <w:rFonts w:ascii="Avenir Next" w:hAnsi="Avenir Next" w:cs="Arial"/>
          <w:sz w:val="22"/>
          <w:szCs w:val="22"/>
          <w:shd w:val="clear" w:color="auto" w:fill="FFFFFF"/>
        </w:rPr>
      </w:pPr>
    </w:p>
    <w:p w14:paraId="105A1D6E" w14:textId="77777777" w:rsidR="00C917D1" w:rsidRPr="00310533" w:rsidRDefault="00C917D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6C27BAAF" w:rsidR="00A30968" w:rsidRDefault="00A30968" w:rsidP="00A30968">
      <w:pPr>
        <w:ind w:left="66"/>
        <w:jc w:val="both"/>
        <w:rPr>
          <w:rFonts w:ascii="Avenir Next" w:hAnsi="Avenir Next" w:cs="Arial"/>
          <w:sz w:val="22"/>
          <w:szCs w:val="22"/>
          <w:lang w:val="en-GB"/>
        </w:rPr>
      </w:pPr>
    </w:p>
    <w:p w14:paraId="4B31AE7B" w14:textId="74D02F34" w:rsidR="00C917D1" w:rsidRDefault="00C917D1" w:rsidP="00A30968">
      <w:pPr>
        <w:ind w:left="66"/>
        <w:jc w:val="both"/>
        <w:rPr>
          <w:rFonts w:ascii="Avenir Next" w:hAnsi="Avenir Next" w:cs="Arial"/>
          <w:sz w:val="22"/>
          <w:szCs w:val="22"/>
          <w:lang w:val="en-GB"/>
        </w:rPr>
      </w:pPr>
    </w:p>
    <w:p w14:paraId="71AFCBE2" w14:textId="007A10AC" w:rsidR="00C917D1" w:rsidRDefault="00C917D1" w:rsidP="00A30968">
      <w:pPr>
        <w:ind w:left="66"/>
        <w:jc w:val="both"/>
        <w:rPr>
          <w:rFonts w:ascii="Avenir Next" w:hAnsi="Avenir Next" w:cs="Arial"/>
          <w:sz w:val="22"/>
          <w:szCs w:val="22"/>
          <w:lang w:val="en-GB"/>
        </w:rPr>
      </w:pPr>
    </w:p>
    <w:p w14:paraId="65DE51E7" w14:textId="5A5FDF1C" w:rsidR="00C917D1" w:rsidRDefault="00C917D1" w:rsidP="00A30968">
      <w:pPr>
        <w:ind w:left="66"/>
        <w:jc w:val="both"/>
        <w:rPr>
          <w:rFonts w:ascii="Avenir Next" w:hAnsi="Avenir Next" w:cs="Arial"/>
          <w:sz w:val="22"/>
          <w:szCs w:val="22"/>
          <w:lang w:val="en-GB"/>
        </w:rPr>
      </w:pPr>
    </w:p>
    <w:p w14:paraId="2AFF20EC" w14:textId="089ABF20" w:rsidR="00C917D1" w:rsidRDefault="00C917D1" w:rsidP="00A30968">
      <w:pPr>
        <w:ind w:left="66"/>
        <w:jc w:val="both"/>
        <w:rPr>
          <w:rFonts w:ascii="Avenir Next" w:hAnsi="Avenir Next" w:cs="Arial"/>
          <w:sz w:val="22"/>
          <w:szCs w:val="22"/>
          <w:lang w:val="en-GB"/>
        </w:rPr>
      </w:pPr>
    </w:p>
    <w:p w14:paraId="33A2D657" w14:textId="26A0C647" w:rsidR="00C917D1" w:rsidRDefault="00C917D1" w:rsidP="00A30968">
      <w:pPr>
        <w:ind w:left="66"/>
        <w:jc w:val="both"/>
        <w:rPr>
          <w:rFonts w:ascii="Avenir Next" w:hAnsi="Avenir Next" w:cs="Arial"/>
          <w:sz w:val="22"/>
          <w:szCs w:val="22"/>
          <w:lang w:val="en-GB"/>
        </w:rPr>
      </w:pPr>
    </w:p>
    <w:p w14:paraId="00E346FF" w14:textId="77777777" w:rsidR="00C917D1" w:rsidRPr="00A30968" w:rsidRDefault="00C917D1" w:rsidP="00A30968">
      <w:pPr>
        <w:ind w:left="66"/>
        <w:jc w:val="both"/>
        <w:rPr>
          <w:rFonts w:ascii="Avenir Next" w:hAnsi="Avenir Next" w:cs="Arial"/>
          <w:sz w:val="22"/>
          <w:szCs w:val="22"/>
          <w:lang w:val="en-GB"/>
        </w:rPr>
      </w:pPr>
    </w:p>
    <w:bookmarkEnd w:id="0"/>
    <w:p w14:paraId="54914463" w14:textId="77777777" w:rsidR="00C917D1" w:rsidRPr="00BB73C9" w:rsidRDefault="00C917D1" w:rsidP="00C917D1">
      <w:pPr>
        <w:jc w:val="both"/>
        <w:rPr>
          <w:rFonts w:ascii="Arial" w:hAnsi="Arial" w:cs="Arial"/>
          <w:color w:val="A6A6A6" w:themeColor="background1" w:themeShade="A6"/>
          <w:sz w:val="22"/>
          <w:szCs w:val="22"/>
        </w:rPr>
      </w:pPr>
      <w:r w:rsidRPr="00BB73C9">
        <w:rPr>
          <w:rFonts w:ascii="Arial" w:hAnsi="Arial" w:cs="Arial"/>
          <w:color w:val="A6A6A6" w:themeColor="background1" w:themeShade="A6"/>
          <w:sz w:val="22"/>
          <w:szCs w:val="22"/>
          <w:lang w:val="en-GB"/>
        </w:rPr>
        <w:lastRenderedPageBreak/>
        <w:t xml:space="preserve">[(a) </w:t>
      </w:r>
      <w:r w:rsidRPr="00BB73C9">
        <w:rPr>
          <w:rFonts w:ascii="Arial" w:hAnsi="Arial" w:cs="Arial"/>
          <w:color w:val="A6A6A6" w:themeColor="background1" w:themeShade="A6"/>
          <w:sz w:val="22"/>
          <w:szCs w:val="22"/>
        </w:rPr>
        <w:t xml:space="preserve">Monster may </w:t>
      </w:r>
      <w:proofErr w:type="gramStart"/>
      <w:r w:rsidRPr="00BB73C9">
        <w:rPr>
          <w:rFonts w:ascii="Arial" w:hAnsi="Arial" w:cs="Arial"/>
          <w:color w:val="A6A6A6" w:themeColor="background1" w:themeShade="A6"/>
          <w:sz w:val="22"/>
          <w:szCs w:val="22"/>
        </w:rPr>
        <w:t>take action</w:t>
      </w:r>
      <w:proofErr w:type="gramEnd"/>
      <w:r w:rsidRPr="00BB73C9">
        <w:rPr>
          <w:rFonts w:ascii="Arial" w:hAnsi="Arial" w:cs="Arial"/>
          <w:color w:val="A6A6A6" w:themeColor="background1" w:themeShade="A6"/>
          <w:sz w:val="22"/>
          <w:szCs w:val="22"/>
        </w:rPr>
        <w:t xml:space="preserve"> against the Black Pearl by securing its USD 40 million by way of filing a notice of the security with the centrally maintained registers. they do not need a court application for the secured amount. The rest of the unsecured amount may be proven in the liquidation by furnishing the proof of death which states the particulars of the security and the value of the security.</w:t>
      </w:r>
    </w:p>
    <w:p w14:paraId="63F96CCB" w14:textId="77777777" w:rsidR="00C917D1" w:rsidRPr="00BB73C9" w:rsidRDefault="00C917D1" w:rsidP="00C917D1">
      <w:pPr>
        <w:jc w:val="both"/>
        <w:rPr>
          <w:rFonts w:ascii="Arial" w:hAnsi="Arial" w:cs="Arial"/>
          <w:color w:val="A6A6A6" w:themeColor="background1" w:themeShade="A6"/>
          <w:sz w:val="22"/>
          <w:szCs w:val="22"/>
          <w:lang w:val="en-GB"/>
        </w:rPr>
      </w:pPr>
    </w:p>
    <w:p w14:paraId="72CF97FC"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(b) </w:t>
      </w:r>
      <w:r w:rsidRPr="00BB73C9">
        <w:rPr>
          <w:rFonts w:ascii="Arial" w:hAnsi="Arial" w:cs="Arial"/>
          <w:color w:val="A6A6A6" w:themeColor="background1" w:themeShade="A6"/>
          <w:sz w:val="22"/>
          <w:szCs w:val="22"/>
        </w:rPr>
        <w:t xml:space="preserve">Jolly Roger must file a bankruptcy petition with the Grand Court as Black Pearl is unable to satisfy the award. the petition must contain the details of Black Pearls financial affairs as well as the fact that Jolly Roger has obtained final judgment against Black Pearl for not less than KYD 40 and has served on them in the Islands, a bankruptcy notice in writing and the Black Pearl has not, within seven days after the service of notice, paid such </w:t>
      </w:r>
      <w:proofErr w:type="gramStart"/>
      <w:r w:rsidRPr="00BB73C9">
        <w:rPr>
          <w:rFonts w:ascii="Arial" w:hAnsi="Arial" w:cs="Arial"/>
          <w:color w:val="A6A6A6" w:themeColor="background1" w:themeShade="A6"/>
          <w:sz w:val="22"/>
          <w:szCs w:val="22"/>
        </w:rPr>
        <w:t>amount;</w:t>
      </w:r>
      <w:proofErr w:type="gramEnd"/>
    </w:p>
    <w:p w14:paraId="2106A27F" w14:textId="77777777" w:rsidR="00C917D1" w:rsidRPr="00BB73C9" w:rsidRDefault="00C917D1" w:rsidP="00C917D1">
      <w:pPr>
        <w:jc w:val="both"/>
        <w:rPr>
          <w:rFonts w:ascii="Arial" w:hAnsi="Arial" w:cs="Arial"/>
          <w:color w:val="A6A6A6" w:themeColor="background1" w:themeShade="A6"/>
          <w:sz w:val="22"/>
          <w:szCs w:val="22"/>
          <w:lang w:val="en-GB"/>
        </w:rPr>
      </w:pPr>
    </w:p>
    <w:p w14:paraId="1694B709"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(c) </w:t>
      </w:r>
      <w:r w:rsidRPr="00BB73C9">
        <w:rPr>
          <w:rFonts w:ascii="Arial" w:hAnsi="Arial" w:cs="Arial"/>
          <w:color w:val="A6A6A6" w:themeColor="background1" w:themeShade="A6"/>
          <w:sz w:val="22"/>
          <w:szCs w:val="22"/>
        </w:rPr>
        <w:t>the unsecured creditors may file a winding up petition against Black Pearl.</w:t>
      </w:r>
    </w:p>
    <w:p w14:paraId="623E8007" w14:textId="77777777" w:rsidR="00C917D1" w:rsidRPr="00BB73C9" w:rsidRDefault="00C917D1" w:rsidP="00C917D1">
      <w:pPr>
        <w:jc w:val="both"/>
        <w:rPr>
          <w:rFonts w:ascii="Arial" w:hAnsi="Arial" w:cs="Arial"/>
          <w:color w:val="A6A6A6" w:themeColor="background1" w:themeShade="A6"/>
          <w:sz w:val="22"/>
          <w:szCs w:val="22"/>
          <w:lang w:val="en-GB"/>
        </w:rPr>
      </w:pPr>
    </w:p>
    <w:p w14:paraId="12C26962"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(d) </w:t>
      </w:r>
      <w:r w:rsidRPr="00BB73C9">
        <w:rPr>
          <w:rFonts w:ascii="Arial" w:hAnsi="Arial" w:cs="Arial"/>
          <w:color w:val="A6A6A6" w:themeColor="background1" w:themeShade="A6"/>
          <w:sz w:val="22"/>
          <w:szCs w:val="22"/>
        </w:rPr>
        <w:t xml:space="preserve">Yes, the Court does have jurisdiction over Black Pearl </w:t>
      </w:r>
      <w:proofErr w:type="gramStart"/>
      <w:r w:rsidRPr="00BB73C9">
        <w:rPr>
          <w:rFonts w:ascii="Arial" w:hAnsi="Arial" w:cs="Arial"/>
          <w:color w:val="A6A6A6" w:themeColor="background1" w:themeShade="A6"/>
          <w:sz w:val="22"/>
          <w:szCs w:val="22"/>
        </w:rPr>
        <w:t>due to the fact that</w:t>
      </w:r>
      <w:proofErr w:type="gramEnd"/>
      <w:r w:rsidRPr="00BB73C9">
        <w:rPr>
          <w:rFonts w:ascii="Arial" w:hAnsi="Arial" w:cs="Arial"/>
          <w:color w:val="A6A6A6" w:themeColor="background1" w:themeShade="A6"/>
          <w:sz w:val="22"/>
          <w:szCs w:val="22"/>
        </w:rPr>
        <w:t xml:space="preserve"> the company was registered in the Cayman Islands.</w:t>
      </w:r>
    </w:p>
    <w:p w14:paraId="47518A1A" w14:textId="77777777" w:rsidR="00C917D1" w:rsidRPr="00BB73C9" w:rsidRDefault="00C917D1" w:rsidP="00C917D1">
      <w:pPr>
        <w:jc w:val="both"/>
        <w:rPr>
          <w:rFonts w:ascii="Arial" w:hAnsi="Arial" w:cs="Arial"/>
          <w:color w:val="A6A6A6" w:themeColor="background1" w:themeShade="A6"/>
          <w:sz w:val="22"/>
          <w:szCs w:val="22"/>
          <w:lang w:val="en-GB"/>
        </w:rPr>
      </w:pPr>
    </w:p>
    <w:p w14:paraId="1E2BD573"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(e) </w:t>
      </w:r>
      <w:r w:rsidRPr="00BB73C9">
        <w:rPr>
          <w:rFonts w:ascii="Arial" w:hAnsi="Arial" w:cs="Arial"/>
          <w:color w:val="A6A6A6" w:themeColor="background1" w:themeShade="A6"/>
          <w:sz w:val="22"/>
          <w:szCs w:val="22"/>
        </w:rPr>
        <w:t>Yes, Black Pearl may apply to the court with an application for restructuring such as a scheme of arrangement with an order for provisional liquidation. This would allow the company to either restructure or be placed into provisional liquidation. However, the most important aspect of this proceeding is the fact that it would then place a moratorium on creditors’ claims and give the company time to assess whether it can be restructured or not.</w:t>
      </w:r>
    </w:p>
    <w:p w14:paraId="12A853A1" w14:textId="77777777" w:rsidR="00C917D1" w:rsidRPr="00BB73C9" w:rsidRDefault="00C917D1" w:rsidP="00C917D1">
      <w:pPr>
        <w:jc w:val="both"/>
        <w:rPr>
          <w:rFonts w:ascii="Arial" w:hAnsi="Arial" w:cs="Arial"/>
          <w:color w:val="A6A6A6" w:themeColor="background1" w:themeShade="A6"/>
          <w:sz w:val="22"/>
          <w:szCs w:val="22"/>
          <w:lang w:val="en-GB"/>
        </w:rPr>
      </w:pPr>
    </w:p>
    <w:p w14:paraId="5E9CF977"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(f) </w:t>
      </w:r>
      <w:r w:rsidRPr="00BB73C9">
        <w:rPr>
          <w:rFonts w:ascii="Arial" w:hAnsi="Arial" w:cs="Arial"/>
          <w:color w:val="A6A6A6" w:themeColor="background1" w:themeShade="A6"/>
          <w:sz w:val="22"/>
          <w:szCs w:val="22"/>
        </w:rPr>
        <w:t>Yes, the Sparrow family can continue to run Black Pearl during this process due to the light touch provisional liquidations. This allows existing management to continue to be in control of the company subject to the supervision of the provisional liquidator as well as the Grand Court.</w:t>
      </w:r>
    </w:p>
    <w:p w14:paraId="471B29FD" w14:textId="77777777" w:rsidR="00C917D1" w:rsidRPr="00BB73C9" w:rsidRDefault="00C917D1" w:rsidP="00C917D1">
      <w:pPr>
        <w:jc w:val="both"/>
        <w:rPr>
          <w:rFonts w:ascii="Arial" w:hAnsi="Arial" w:cs="Arial"/>
          <w:color w:val="A6A6A6" w:themeColor="background1" w:themeShade="A6"/>
          <w:sz w:val="22"/>
          <w:szCs w:val="22"/>
          <w:lang w:val="en-GB"/>
        </w:rPr>
      </w:pPr>
    </w:p>
    <w:p w14:paraId="7826ADFE" w14:textId="77777777" w:rsidR="00C917D1" w:rsidRPr="00BB73C9" w:rsidRDefault="00C917D1" w:rsidP="00C917D1">
      <w:pPr>
        <w:jc w:val="both"/>
        <w:rPr>
          <w:rFonts w:ascii="Arial" w:hAnsi="Arial" w:cs="Arial"/>
          <w:color w:val="A6A6A6" w:themeColor="background1" w:themeShade="A6"/>
          <w:sz w:val="22"/>
          <w:szCs w:val="22"/>
          <w:lang w:val="en-GB"/>
        </w:rPr>
      </w:pPr>
      <w:r w:rsidRPr="00BB73C9">
        <w:rPr>
          <w:rFonts w:ascii="Arial" w:hAnsi="Arial" w:cs="Arial"/>
          <w:color w:val="A6A6A6" w:themeColor="background1" w:themeShade="A6"/>
          <w:sz w:val="22"/>
          <w:szCs w:val="22"/>
          <w:lang w:val="en-GB"/>
        </w:rPr>
        <w:t xml:space="preserve">(g) </w:t>
      </w:r>
      <w:r w:rsidRPr="00BB73C9">
        <w:rPr>
          <w:rFonts w:ascii="Arial" w:hAnsi="Arial" w:cs="Arial"/>
          <w:color w:val="A6A6A6" w:themeColor="background1" w:themeShade="A6"/>
          <w:sz w:val="22"/>
          <w:szCs w:val="22"/>
        </w:rPr>
        <w:t>The court must be satisfied that issues of class composition, any jurisdictional issues, and the adequacy of the scheme documentation notice is all in order before it may choose to grant or approve the scheme of arrangement in terms of Order 102, Rule 20 of the Grand Court Rules. An application must be made to the Grand Court for an Order that the meetings of creditors or members be convened for the approval of the scheme. Furthermore, the scheme proposals must be either approved or rejected at the meetings and if approved an application is then made to the grand court to obtain approval/sanction.]</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13EC" w14:textId="77777777" w:rsidR="00E868DA" w:rsidRDefault="00E868DA" w:rsidP="00241B44">
      <w:r>
        <w:separator/>
      </w:r>
    </w:p>
  </w:endnote>
  <w:endnote w:type="continuationSeparator" w:id="0">
    <w:p w14:paraId="5FFC5DB5" w14:textId="77777777" w:rsidR="00E868DA" w:rsidRDefault="00E868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87037D8"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3719EE">
      <w:rPr>
        <w:rFonts w:ascii="Arial" w:hAnsi="Arial" w:cs="Arial"/>
        <w:sz w:val="18"/>
        <w:szCs w:val="18"/>
        <w:lang w:val="en-GB"/>
      </w:rPr>
      <w:t>202223-912</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9A32" w14:textId="77777777" w:rsidR="00E868DA" w:rsidRDefault="00E868DA" w:rsidP="00241B44">
      <w:r>
        <w:separator/>
      </w:r>
    </w:p>
  </w:footnote>
  <w:footnote w:type="continuationSeparator" w:id="0">
    <w:p w14:paraId="4A151C6B" w14:textId="77777777" w:rsidR="00E868DA" w:rsidRDefault="00E868D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04487">
    <w:abstractNumId w:val="39"/>
  </w:num>
  <w:num w:numId="2" w16cid:durableId="1685324454">
    <w:abstractNumId w:val="22"/>
  </w:num>
  <w:num w:numId="3" w16cid:durableId="1862205558">
    <w:abstractNumId w:val="18"/>
  </w:num>
  <w:num w:numId="4" w16cid:durableId="1775636599">
    <w:abstractNumId w:val="37"/>
  </w:num>
  <w:num w:numId="5" w16cid:durableId="84768032">
    <w:abstractNumId w:val="19"/>
  </w:num>
  <w:num w:numId="6" w16cid:durableId="948858130">
    <w:abstractNumId w:val="31"/>
  </w:num>
  <w:num w:numId="7" w16cid:durableId="2106150290">
    <w:abstractNumId w:val="38"/>
  </w:num>
  <w:num w:numId="8" w16cid:durableId="2115200920">
    <w:abstractNumId w:val="34"/>
  </w:num>
  <w:num w:numId="9" w16cid:durableId="159541744">
    <w:abstractNumId w:val="16"/>
  </w:num>
  <w:num w:numId="10" w16cid:durableId="162403469">
    <w:abstractNumId w:val="10"/>
  </w:num>
  <w:num w:numId="11" w16cid:durableId="1020005368">
    <w:abstractNumId w:val="12"/>
  </w:num>
  <w:num w:numId="12" w16cid:durableId="1568228767">
    <w:abstractNumId w:val="17"/>
  </w:num>
  <w:num w:numId="13" w16cid:durableId="689844279">
    <w:abstractNumId w:val="25"/>
  </w:num>
  <w:num w:numId="14" w16cid:durableId="1814449625">
    <w:abstractNumId w:val="3"/>
  </w:num>
  <w:num w:numId="15" w16cid:durableId="281499660">
    <w:abstractNumId w:val="13"/>
  </w:num>
  <w:num w:numId="16" w16cid:durableId="175005307">
    <w:abstractNumId w:val="36"/>
  </w:num>
  <w:num w:numId="17" w16cid:durableId="2110158275">
    <w:abstractNumId w:val="6"/>
  </w:num>
  <w:num w:numId="18" w16cid:durableId="1757554200">
    <w:abstractNumId w:val="8"/>
  </w:num>
  <w:num w:numId="19" w16cid:durableId="319625288">
    <w:abstractNumId w:val="28"/>
  </w:num>
  <w:num w:numId="20" w16cid:durableId="1842961065">
    <w:abstractNumId w:val="26"/>
  </w:num>
  <w:num w:numId="21" w16cid:durableId="1117875239">
    <w:abstractNumId w:val="2"/>
  </w:num>
  <w:num w:numId="22" w16cid:durableId="1075279502">
    <w:abstractNumId w:val="11"/>
  </w:num>
  <w:num w:numId="23" w16cid:durableId="1773625253">
    <w:abstractNumId w:val="40"/>
  </w:num>
  <w:num w:numId="24" w16cid:durableId="49302845">
    <w:abstractNumId w:val="0"/>
  </w:num>
  <w:num w:numId="25" w16cid:durableId="1053431191">
    <w:abstractNumId w:val="32"/>
  </w:num>
  <w:num w:numId="26" w16cid:durableId="720904037">
    <w:abstractNumId w:val="9"/>
  </w:num>
  <w:num w:numId="27" w16cid:durableId="514461141">
    <w:abstractNumId w:val="14"/>
  </w:num>
  <w:num w:numId="28" w16cid:durableId="1959755152">
    <w:abstractNumId w:val="4"/>
  </w:num>
  <w:num w:numId="29" w16cid:durableId="1386677632">
    <w:abstractNumId w:val="7"/>
  </w:num>
  <w:num w:numId="30" w16cid:durableId="1990742161">
    <w:abstractNumId w:val="20"/>
  </w:num>
  <w:num w:numId="31" w16cid:durableId="85000345">
    <w:abstractNumId w:val="27"/>
  </w:num>
  <w:num w:numId="32" w16cid:durableId="2054573542">
    <w:abstractNumId w:val="23"/>
  </w:num>
  <w:num w:numId="33" w16cid:durableId="1995722945">
    <w:abstractNumId w:val="29"/>
  </w:num>
  <w:num w:numId="34" w16cid:durableId="2101872889">
    <w:abstractNumId w:val="21"/>
  </w:num>
  <w:num w:numId="35" w16cid:durableId="514614810">
    <w:abstractNumId w:val="15"/>
  </w:num>
  <w:num w:numId="36" w16cid:durableId="154802471">
    <w:abstractNumId w:val="1"/>
  </w:num>
  <w:num w:numId="37" w16cid:durableId="1939749595">
    <w:abstractNumId w:val="30"/>
  </w:num>
  <w:num w:numId="38" w16cid:durableId="1935506284">
    <w:abstractNumId w:val="24"/>
  </w:num>
  <w:num w:numId="39" w16cid:durableId="292030666">
    <w:abstractNumId w:val="35"/>
  </w:num>
  <w:num w:numId="40" w16cid:durableId="840001413">
    <w:abstractNumId w:val="33"/>
  </w:num>
  <w:num w:numId="41" w16cid:durableId="182689686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19E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07B8"/>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641B"/>
    <w:rsid w:val="005177FE"/>
    <w:rsid w:val="0052263B"/>
    <w:rsid w:val="00524728"/>
    <w:rsid w:val="00527EDC"/>
    <w:rsid w:val="00532230"/>
    <w:rsid w:val="005327B7"/>
    <w:rsid w:val="005331CA"/>
    <w:rsid w:val="00537970"/>
    <w:rsid w:val="00540E3A"/>
    <w:rsid w:val="00544127"/>
    <w:rsid w:val="005463A9"/>
    <w:rsid w:val="00547956"/>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0BAB"/>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7585A"/>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07FBA"/>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B73C9"/>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7D1"/>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68DA"/>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5C16"/>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Maryke Van Der Linde</cp:lastModifiedBy>
  <cp:revision>5</cp:revision>
  <cp:lastPrinted>2019-08-27T05:42:00Z</cp:lastPrinted>
  <dcterms:created xsi:type="dcterms:W3CDTF">2022-11-16T08:06:00Z</dcterms:created>
  <dcterms:modified xsi:type="dcterms:W3CDTF">2023-07-17T11:49:00Z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