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D41F71">
        <w:rPr>
          <w:rFonts w:ascii="Avenir Next" w:hAnsi="Avenir Next" w:cs="Arial"/>
          <w:sz w:val="22"/>
          <w:szCs w:val="22"/>
          <w:highlight w:val="yellow"/>
          <w:lang w:val="en-GB"/>
        </w:rPr>
        <w:t>The individual is domiciled in Hong Kong</w:t>
      </w:r>
      <w:r w:rsidRPr="008C35C9">
        <w:rPr>
          <w:rFonts w:ascii="Avenir Next" w:hAnsi="Avenir Next" w:cs="Arial"/>
          <w:sz w:val="22"/>
          <w:szCs w:val="22"/>
          <w:lang w:val="en-GB"/>
        </w:rPr>
        <w:t>.</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1A1F4E" w:rsidRDefault="00263D03" w:rsidP="008C35C9">
      <w:pPr>
        <w:pStyle w:val="ListParagraph"/>
        <w:numPr>
          <w:ilvl w:val="0"/>
          <w:numId w:val="23"/>
        </w:numPr>
        <w:ind w:left="426"/>
        <w:jc w:val="both"/>
        <w:rPr>
          <w:rFonts w:ascii="Avenir Next" w:hAnsi="Avenir Next" w:cs="Arial"/>
          <w:sz w:val="22"/>
          <w:szCs w:val="22"/>
          <w:highlight w:val="yellow"/>
        </w:rPr>
      </w:pPr>
      <w:r w:rsidRPr="001A1F4E">
        <w:rPr>
          <w:rFonts w:ascii="Avenir Next" w:hAnsi="Avenir Next" w:cs="Arial"/>
          <w:sz w:val="22"/>
          <w:szCs w:val="22"/>
          <w:highlight w:val="yellow"/>
        </w:rPr>
        <w:t xml:space="preserve">Agent of the company granting the charge </w:t>
      </w:r>
      <w:r w:rsidR="00D93DCB" w:rsidRPr="001A1F4E">
        <w:rPr>
          <w:rFonts w:ascii="Avenir Next" w:hAnsi="Avenir Next" w:cs="Arial"/>
          <w:sz w:val="22"/>
          <w:szCs w:val="22"/>
          <w:highlight w:val="yellow"/>
        </w:rPr>
        <w:t>(</w:t>
      </w:r>
      <w:r w:rsidRPr="001A1F4E">
        <w:rPr>
          <w:rFonts w:ascii="Avenir Next" w:hAnsi="Avenir Next" w:cs="Arial"/>
          <w:sz w:val="22"/>
          <w:szCs w:val="22"/>
          <w:highlight w:val="yellow"/>
        </w:rPr>
        <w:t>A</w:t>
      </w:r>
      <w:r w:rsidR="00D93DCB" w:rsidRPr="001A1F4E">
        <w:rPr>
          <w:rFonts w:ascii="Avenir Next" w:hAnsi="Avenir Next" w:cs="Arial"/>
          <w:sz w:val="22"/>
          <w:szCs w:val="22"/>
          <w:highlight w:val="yellow"/>
        </w:rPr>
        <w:t>, in this instance)</w:t>
      </w:r>
      <w:r w:rsidRPr="001A1F4E">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1A1F4E" w:rsidRDefault="00263D03" w:rsidP="008C35C9">
      <w:pPr>
        <w:pStyle w:val="ListParagraph"/>
        <w:numPr>
          <w:ilvl w:val="0"/>
          <w:numId w:val="23"/>
        </w:numPr>
        <w:ind w:left="426"/>
        <w:jc w:val="both"/>
        <w:rPr>
          <w:rFonts w:ascii="Avenir Next" w:hAnsi="Avenir Next" w:cs="Arial"/>
          <w:sz w:val="22"/>
          <w:szCs w:val="22"/>
        </w:rPr>
      </w:pPr>
      <w:r w:rsidRPr="001A1F4E">
        <w:rPr>
          <w:rFonts w:ascii="Avenir Next" w:hAnsi="Avenir Next" w:cs="Arial"/>
          <w:sz w:val="22"/>
          <w:szCs w:val="22"/>
        </w:rPr>
        <w:t xml:space="preserve">Agent of the lender appointing him </w:t>
      </w:r>
      <w:r w:rsidR="00D93DCB" w:rsidRPr="001A1F4E">
        <w:rPr>
          <w:rFonts w:ascii="Avenir Next" w:hAnsi="Avenir Next" w:cs="Arial"/>
          <w:sz w:val="22"/>
          <w:szCs w:val="22"/>
        </w:rPr>
        <w:t>(</w:t>
      </w:r>
      <w:r w:rsidRPr="001A1F4E">
        <w:rPr>
          <w:rFonts w:ascii="Avenir Next" w:hAnsi="Avenir Next" w:cs="Arial"/>
          <w:sz w:val="22"/>
          <w:szCs w:val="22"/>
        </w:rPr>
        <w:t>B</w:t>
      </w:r>
      <w:r w:rsidR="00D93DCB" w:rsidRPr="001A1F4E">
        <w:rPr>
          <w:rFonts w:ascii="Avenir Next" w:hAnsi="Avenir Next" w:cs="Arial"/>
          <w:sz w:val="22"/>
          <w:szCs w:val="22"/>
        </w:rPr>
        <w:t>, in this instance)</w:t>
      </w:r>
      <w:r w:rsidRPr="001A1F4E">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All of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4C554E" w:rsidRDefault="00BF7606" w:rsidP="008C35C9">
      <w:pPr>
        <w:pStyle w:val="ListParagraph"/>
        <w:numPr>
          <w:ilvl w:val="0"/>
          <w:numId w:val="24"/>
        </w:numPr>
        <w:ind w:left="426"/>
        <w:jc w:val="both"/>
        <w:rPr>
          <w:rFonts w:ascii="Avenir Next" w:hAnsi="Avenir Next" w:cs="Arial"/>
          <w:sz w:val="22"/>
          <w:szCs w:val="22"/>
          <w:highlight w:val="yellow"/>
        </w:rPr>
      </w:pPr>
      <w:r w:rsidRPr="004C554E">
        <w:rPr>
          <w:rFonts w:ascii="Avenir Next" w:hAnsi="Avenir Next" w:cs="Arial"/>
          <w:sz w:val="22"/>
          <w:szCs w:val="22"/>
          <w:highlight w:val="yellow"/>
        </w:rPr>
        <w:t>There must be a reasonable possibility that the winding</w:t>
      </w:r>
      <w:r w:rsidR="00A431DB" w:rsidRPr="004C554E">
        <w:rPr>
          <w:rFonts w:ascii="Avenir Next" w:hAnsi="Avenir Next" w:cs="Arial"/>
          <w:sz w:val="22"/>
          <w:szCs w:val="22"/>
          <w:highlight w:val="yellow"/>
        </w:rPr>
        <w:t>-</w:t>
      </w:r>
      <w:r w:rsidRPr="004C554E">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51320F" w:rsidRDefault="00982B1B" w:rsidP="008C35C9">
      <w:pPr>
        <w:pStyle w:val="ListParagraph"/>
        <w:numPr>
          <w:ilvl w:val="0"/>
          <w:numId w:val="25"/>
        </w:numPr>
        <w:ind w:left="426"/>
        <w:jc w:val="both"/>
        <w:rPr>
          <w:rFonts w:ascii="Avenir Next" w:hAnsi="Avenir Next" w:cs="Arial"/>
          <w:sz w:val="22"/>
          <w:szCs w:val="22"/>
          <w:highlight w:val="yellow"/>
        </w:rPr>
      </w:pPr>
      <w:r w:rsidRPr="0051320F">
        <w:rPr>
          <w:rFonts w:ascii="Avenir Next" w:hAnsi="Avenir Next" w:cs="Arial"/>
          <w:sz w:val="22"/>
          <w:szCs w:val="22"/>
          <w:highlight w:val="yellow"/>
        </w:rPr>
        <w:t xml:space="preserve">must first be used to satisfy the claims of preferential creditors as described in the relevant section of </w:t>
      </w:r>
      <w:r w:rsidR="00F322D0" w:rsidRPr="0051320F">
        <w:rPr>
          <w:rFonts w:ascii="Avenir Next" w:hAnsi="Avenir Next" w:cs="Arial"/>
          <w:sz w:val="22"/>
          <w:szCs w:val="22"/>
          <w:highlight w:val="yellow"/>
        </w:rPr>
        <w:t>Companies (Winding Up and Miscellaneous Provisions) Ordinance (Cap 32) (</w:t>
      </w:r>
      <w:r w:rsidRPr="0051320F">
        <w:rPr>
          <w:rFonts w:ascii="Avenir Next" w:hAnsi="Avenir Next" w:cs="Arial"/>
          <w:sz w:val="22"/>
          <w:szCs w:val="22"/>
          <w:highlight w:val="yellow"/>
        </w:rPr>
        <w:t>CWUMPO</w:t>
      </w:r>
      <w:r w:rsidR="00F322D0" w:rsidRPr="0051320F">
        <w:rPr>
          <w:rFonts w:ascii="Avenir Next" w:hAnsi="Avenir Next" w:cs="Arial"/>
          <w:sz w:val="22"/>
          <w:szCs w:val="22"/>
          <w:highlight w:val="yellow"/>
        </w:rPr>
        <w:t>)</w:t>
      </w:r>
      <w:r w:rsidRPr="0051320F">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B848EE"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B848EE">
        <w:rPr>
          <w:rFonts w:ascii="Avenir Next" w:hAnsi="Avenir Next" w:cs="Arial"/>
          <w:sz w:val="22"/>
          <w:szCs w:val="22"/>
          <w:highlight w:val="yellow"/>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of the winding</w:t>
      </w:r>
      <w:r w:rsidR="00B83513" w:rsidRPr="008C35C9">
        <w:rPr>
          <w:rFonts w:ascii="Avenir Next" w:hAnsi="Avenir Next" w:cs="Arial"/>
          <w:sz w:val="22"/>
          <w:szCs w:val="22"/>
          <w:lang w:val="en-GB"/>
        </w:rPr>
        <w:t>-</w:t>
      </w:r>
      <w:r w:rsidRPr="008C35C9">
        <w:rPr>
          <w:rFonts w:ascii="Avenir Next" w:hAnsi="Avenir Next" w:cs="Arial"/>
          <w:sz w:val="22"/>
          <w:szCs w:val="22"/>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8C35C9" w:rsidRDefault="00931E20" w:rsidP="008C35C9">
      <w:pPr>
        <w:pStyle w:val="ListParagraph"/>
        <w:numPr>
          <w:ilvl w:val="0"/>
          <w:numId w:val="27"/>
        </w:numPr>
        <w:ind w:left="426"/>
        <w:jc w:val="both"/>
        <w:rPr>
          <w:rFonts w:ascii="Avenir Next" w:hAnsi="Avenir Next" w:cs="Arial"/>
          <w:sz w:val="22"/>
          <w:szCs w:val="22"/>
          <w:lang w:val="en-GB"/>
        </w:rPr>
      </w:pPr>
      <w:r w:rsidRPr="00B848EE">
        <w:rPr>
          <w:rFonts w:ascii="Avenir Next" w:hAnsi="Avenir Next" w:cs="Arial"/>
          <w:sz w:val="22"/>
          <w:szCs w:val="22"/>
          <w:highlight w:val="yellow"/>
          <w:lang w:val="en-GB"/>
        </w:rPr>
        <w:t>N</w:t>
      </w:r>
      <w:r w:rsidR="00734EEF" w:rsidRPr="00B848EE">
        <w:rPr>
          <w:rFonts w:ascii="Avenir Next" w:hAnsi="Avenir Next" w:cs="Arial"/>
          <w:sz w:val="22"/>
          <w:szCs w:val="22"/>
          <w:highlight w:val="yellow"/>
          <w:lang w:val="en-GB"/>
        </w:rPr>
        <w:t>one of above</w:t>
      </w:r>
      <w:r w:rsidR="000548DC" w:rsidRPr="00B848EE">
        <w:rPr>
          <w:rFonts w:ascii="Avenir Next" w:hAnsi="Avenir Next" w:cs="Arial"/>
          <w:sz w:val="22"/>
          <w:szCs w:val="22"/>
          <w:highlight w:val="yellow"/>
          <w:lang w:val="en-GB"/>
        </w:rPr>
        <w:t>,</w:t>
      </w:r>
      <w:r w:rsidR="00734EEF" w:rsidRPr="00B848EE">
        <w:rPr>
          <w:rFonts w:ascii="Avenir Next" w:hAnsi="Avenir Next" w:cs="Arial"/>
          <w:sz w:val="22"/>
          <w:szCs w:val="22"/>
          <w:highlight w:val="yellow"/>
          <w:lang w:val="en-GB"/>
        </w:rPr>
        <w:t xml:space="preserve"> </w:t>
      </w:r>
      <w:r w:rsidR="000548DC" w:rsidRPr="00B848EE">
        <w:rPr>
          <w:rFonts w:ascii="Avenir Next" w:hAnsi="Avenir Next" w:cs="Arial"/>
          <w:sz w:val="22"/>
          <w:szCs w:val="22"/>
          <w:highlight w:val="yellow"/>
          <w:lang w:val="en-GB"/>
        </w:rPr>
        <w:t xml:space="preserve">as </w:t>
      </w:r>
      <w:r w:rsidR="00734EEF" w:rsidRPr="00B848EE">
        <w:rPr>
          <w:rFonts w:ascii="Avenir Next" w:hAnsi="Avenir Next" w:cs="Arial"/>
          <w:sz w:val="22"/>
          <w:szCs w:val="22"/>
          <w:highlight w:val="yellow"/>
          <w:lang w:val="en-GB"/>
        </w:rPr>
        <w:t>the scheme legislation provides for no stay</w:t>
      </w:r>
      <w:r w:rsidR="00734EEF" w:rsidRPr="008C35C9">
        <w:rPr>
          <w:rFonts w:ascii="Avenir Next" w:hAnsi="Avenir Next" w:cs="Arial"/>
          <w:sz w:val="22"/>
          <w:szCs w:val="22"/>
          <w:lang w:val="en-GB"/>
        </w:rPr>
        <w:t>.</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B848EE"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B848EE">
        <w:rPr>
          <w:rFonts w:ascii="Avenir Next" w:hAnsi="Avenir Next" w:cs="Arial"/>
          <w:iCs/>
          <w:sz w:val="22"/>
          <w:szCs w:val="22"/>
          <w:highlight w:val="yellow"/>
          <w:lang w:val="en-GB"/>
        </w:rPr>
        <w:t>This statement is untrue</w:t>
      </w:r>
      <w:r w:rsidR="00A80144" w:rsidRPr="00B848EE">
        <w:rPr>
          <w:rFonts w:ascii="Avenir Next" w:hAnsi="Avenir Next" w:cs="Arial"/>
          <w:iCs/>
          <w:sz w:val="22"/>
          <w:szCs w:val="22"/>
          <w:highlight w:val="yellow"/>
          <w:lang w:val="en-GB"/>
        </w:rPr>
        <w:t xml:space="preserve">, as </w:t>
      </w:r>
      <w:r w:rsidRPr="00B848EE">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untrue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4916F0" w:rsidRDefault="0015630F" w:rsidP="008C35C9">
      <w:pPr>
        <w:pStyle w:val="ListParagraph"/>
        <w:numPr>
          <w:ilvl w:val="0"/>
          <w:numId w:val="29"/>
        </w:numPr>
        <w:ind w:left="426"/>
        <w:jc w:val="both"/>
        <w:rPr>
          <w:rFonts w:ascii="Avenir Next" w:hAnsi="Avenir Next" w:cs="Arial"/>
          <w:sz w:val="22"/>
          <w:szCs w:val="22"/>
          <w:highlight w:val="yellow"/>
          <w:lang w:val="en-GB"/>
        </w:rPr>
      </w:pPr>
      <w:r w:rsidRPr="004916F0">
        <w:rPr>
          <w:rFonts w:ascii="Avenir Next" w:hAnsi="Avenir Next" w:cs="Arial"/>
          <w:sz w:val="22"/>
          <w:szCs w:val="22"/>
          <w:highlight w:val="yellow"/>
          <w:lang w:val="en-GB"/>
        </w:rPr>
        <w:t>This statement is true</w:t>
      </w:r>
      <w:r w:rsidR="002E1A20" w:rsidRPr="004916F0">
        <w:rPr>
          <w:rFonts w:ascii="Avenir Next" w:hAnsi="Avenir Next" w:cs="Arial"/>
          <w:sz w:val="22"/>
          <w:szCs w:val="22"/>
          <w:highlight w:val="yellow"/>
          <w:lang w:val="en-GB"/>
        </w:rPr>
        <w:t xml:space="preserve"> as</w:t>
      </w:r>
      <w:r w:rsidRPr="004916F0">
        <w:rPr>
          <w:rFonts w:ascii="Avenir Next" w:hAnsi="Avenir Next" w:cs="Arial"/>
          <w:sz w:val="22"/>
          <w:szCs w:val="22"/>
          <w:highlight w:val="yellow"/>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4916F0">
        <w:rPr>
          <w:rFonts w:ascii="Avenir Next" w:hAnsi="Avenir Next" w:cs="Arial"/>
          <w:sz w:val="22"/>
          <w:szCs w:val="22"/>
          <w:highlight w:val="yellow"/>
          <w:lang w:val="en-GB"/>
        </w:rPr>
        <w:t>cease except so far as the committee of inspection or the creditors (if there is no committee) agree to any powers continuing</w:t>
      </w:r>
      <w:r w:rsidRPr="008C35C9">
        <w:rPr>
          <w:rFonts w:ascii="Avenir Next" w:hAnsi="Avenir Next" w:cs="Arial"/>
          <w:sz w:val="22"/>
          <w:szCs w:val="22"/>
          <w:lang w:val="en-GB"/>
        </w:rPr>
        <w:t>.</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4916F0">
        <w:rPr>
          <w:rFonts w:ascii="Avenir Next" w:hAnsi="Avenir Next" w:cs="Arial"/>
          <w:sz w:val="22"/>
          <w:szCs w:val="22"/>
          <w:highlight w:val="yellow"/>
          <w:lang w:val="en-GB"/>
        </w:rPr>
        <w:t>The common law and Part X of the Companies (Winding Up and Miscellaneous Provisions) Ordinance</w:t>
      </w:r>
      <w:r w:rsidRPr="008C35C9">
        <w:rPr>
          <w:rFonts w:ascii="Avenir Next" w:hAnsi="Avenir Next" w:cs="Arial"/>
          <w:sz w:val="22"/>
          <w:szCs w:val="22"/>
          <w:lang w:val="en-GB"/>
        </w:rPr>
        <w:t>.</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0ACEA58C" w:rsidR="008C35C9" w:rsidRPr="008C35C9" w:rsidRDefault="006C3EF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a receiver selling a charged asset must use reasonable skill and care in doing so (or else be liable to the company), the receiver’s primary duties are to act in good faith and in accordance with the powers granted pursuant to the charge or debenture. In practice, this means that the receiver is free to prioritize the interests of the charge </w:t>
      </w:r>
      <w:r w:rsidR="006C0B95">
        <w:rPr>
          <w:rFonts w:ascii="Avenir Next" w:hAnsi="Avenir Next" w:cs="Arial"/>
          <w:color w:val="808080" w:themeColor="background1" w:themeShade="80"/>
          <w:sz w:val="22"/>
          <w:szCs w:val="22"/>
          <w:lang w:val="en-GB"/>
        </w:rPr>
        <w:t>h</w:t>
      </w:r>
      <w:r>
        <w:rPr>
          <w:rFonts w:ascii="Avenir Next" w:hAnsi="Avenir Next" w:cs="Arial"/>
          <w:color w:val="808080" w:themeColor="background1" w:themeShade="80"/>
          <w:sz w:val="22"/>
          <w:szCs w:val="22"/>
          <w:lang w:val="en-GB"/>
        </w:rPr>
        <w:t xml:space="preserve">older over the interests of others, including the company. </w:t>
      </w:r>
    </w:p>
    <w:p w14:paraId="46E5B11D" w14:textId="1840B0B7" w:rsidR="004A51A5" w:rsidRDefault="004A51A5" w:rsidP="008C35C9">
      <w:pPr>
        <w:ind w:right="851"/>
        <w:jc w:val="both"/>
        <w:rPr>
          <w:rFonts w:ascii="Avenir Next" w:hAnsi="Avenir Next" w:cs="Arial"/>
          <w:sz w:val="22"/>
          <w:szCs w:val="22"/>
          <w:lang w:val="en-GB"/>
        </w:rPr>
      </w:pP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3AC6D56F" w14:textId="6DD247EF" w:rsidR="008C35C9" w:rsidRDefault="00007A7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must show that the company was unable to pay its debts at the time of the transaction or that, as a result of the transaction, the company was rendered unable to pay its debts. The liquidator must also prove that, as a result of the transaction, the preferred creditor was placed in a better position in the liquidation than it would have been absent the transaction. Finally, the liquidator must show that the company was influenced by a desire to prefer the creditor or to place the creditor in a better position. The final element is practically challenging to </w:t>
      </w:r>
      <w:r w:rsidR="006C0B95">
        <w:rPr>
          <w:rFonts w:ascii="Avenir Next" w:hAnsi="Avenir Next" w:cs="Arial"/>
          <w:color w:val="808080" w:themeColor="background1" w:themeShade="80"/>
          <w:sz w:val="22"/>
          <w:szCs w:val="22"/>
          <w:lang w:val="en-GB"/>
        </w:rPr>
        <w:t>prove</w:t>
      </w:r>
      <w:r>
        <w:rPr>
          <w:rFonts w:ascii="Avenir Next" w:hAnsi="Avenir Next" w:cs="Arial"/>
          <w:color w:val="808080" w:themeColor="background1" w:themeShade="80"/>
          <w:sz w:val="22"/>
          <w:szCs w:val="22"/>
          <w:lang w:val="en-GB"/>
        </w:rPr>
        <w:t xml:space="preserve"> when the allegedly preferred creditor is a non-associate. </w:t>
      </w:r>
    </w:p>
    <w:p w14:paraId="32BC8F0B" w14:textId="77777777" w:rsidR="00007A77" w:rsidRPr="008C35C9" w:rsidRDefault="00007A77"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6DA847EC" w:rsidR="008C35C9" w:rsidRPr="008C35C9" w:rsidRDefault="00451C8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elements of the new Hong Kong/Mainland co-operation mechanism are that: (1) as it relates to the mainland, the asset or subsidiary the liquidator needs to access must to be located within one of the pilot areas in the Mainland; (2) </w:t>
      </w:r>
      <w:r w:rsidR="006B07C6">
        <w:rPr>
          <w:rFonts w:ascii="Avenir Next" w:hAnsi="Avenir Next" w:cs="Arial"/>
          <w:color w:val="808080" w:themeColor="background1" w:themeShade="80"/>
          <w:sz w:val="22"/>
          <w:szCs w:val="22"/>
          <w:lang w:val="en-GB"/>
        </w:rPr>
        <w:t xml:space="preserve">the insolvency proceeding was commenced under CWUMPO or the CO; (3) the debtor’s centre of main interests (COMI) must be in Hong Kong; and (4) a letter of request from the Hong Kong court is required. </w:t>
      </w: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lastRenderedPageBreak/>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1BAA74E9" w14:textId="7C96D4EE" w:rsidR="008C35C9" w:rsidRDefault="004246F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 of the CWUMPO governs the winding up of unregistered companies. Section 326 of the CWUMPO defines </w:t>
      </w:r>
      <w:r w:rsidR="00E90E2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unregistered company</w:t>
      </w:r>
      <w:r w:rsidR="00E90E2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and such definition incorporates companies which are registered</w:t>
      </w:r>
      <w:r w:rsidR="00705DA0">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non-Hong Kong (foreign) companies. For this reason, Part X will also govern the winding up of a foreign company if the court elects to exercise jurisdiction. </w:t>
      </w:r>
    </w:p>
    <w:p w14:paraId="1A789014" w14:textId="1E3C151A" w:rsidR="004246F4" w:rsidRDefault="004246F4" w:rsidP="008C35C9">
      <w:pPr>
        <w:jc w:val="both"/>
        <w:rPr>
          <w:rFonts w:ascii="Avenir Next" w:hAnsi="Avenir Next" w:cs="Arial"/>
          <w:color w:val="808080" w:themeColor="background1" w:themeShade="80"/>
          <w:sz w:val="22"/>
          <w:szCs w:val="22"/>
          <w:lang w:val="en-GB"/>
        </w:rPr>
      </w:pPr>
    </w:p>
    <w:p w14:paraId="6147D45A" w14:textId="4173ADEA" w:rsidR="008C35C9" w:rsidRPr="00705DA0" w:rsidRDefault="004246F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enable the court to exercise jurisdiction over the foreign company, the court must be persuaded that the company has sufficient connections to Hong Kong. The court will consider three core requirements established by the common law when </w:t>
      </w:r>
      <w:r w:rsidR="00705DA0">
        <w:rPr>
          <w:rFonts w:ascii="Avenir Next" w:hAnsi="Avenir Next" w:cs="Arial"/>
          <w:color w:val="808080" w:themeColor="background1" w:themeShade="80"/>
          <w:sz w:val="22"/>
          <w:szCs w:val="22"/>
          <w:lang w:val="en-GB"/>
        </w:rPr>
        <w:t xml:space="preserve">deciding whether to exercise jurisdiction: First, whether there is a sufficient connection to Hong Kong; Second, whether there is a reasonable possibility that the parties petitioning for the winding-up order will benefit from it; and Third, whether the court can exercise jurisdiction over one or more parties with an interest in the distributions from the winding up. </w:t>
      </w: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5F3886E5" w14:textId="73157C54" w:rsidR="00705DA0" w:rsidRDefault="005B419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is a flexible statutory tool for restructuring a company’s debts. Its benefits are numerous and include the ability to make a binding compromise with the company’s creditors and/or members. The primary benefit is that, rather than negotiating individually with each creditor regarding a restructuring – a practice which would require 100% participation by creditors – the scheme of arrangement allows a company to compromise with creditors without receiving unanimous support and prevents holdout creditors. </w:t>
      </w:r>
      <w:r w:rsidR="007004EF">
        <w:rPr>
          <w:rFonts w:ascii="Avenir Next" w:hAnsi="Avenir Next" w:cs="Arial"/>
          <w:color w:val="808080" w:themeColor="background1" w:themeShade="80"/>
          <w:sz w:val="22"/>
          <w:szCs w:val="22"/>
          <w:lang w:val="en-GB"/>
        </w:rPr>
        <w:t xml:space="preserve">Furthermore, so long as the requisite number of creditors within a class have voted to approve the scheme, non-consenting creditors will also be bound. As a benefit to creditors, all creditors receive the same voting rights, regardless of if they are based </w:t>
      </w:r>
      <w:r w:rsidR="0056156E">
        <w:rPr>
          <w:rFonts w:ascii="Avenir Next" w:hAnsi="Avenir Next" w:cs="Arial"/>
          <w:color w:val="808080" w:themeColor="background1" w:themeShade="80"/>
          <w:sz w:val="22"/>
          <w:szCs w:val="22"/>
          <w:lang w:val="en-GB"/>
        </w:rPr>
        <w:t>i</w:t>
      </w:r>
      <w:r w:rsidR="007004EF">
        <w:rPr>
          <w:rFonts w:ascii="Avenir Next" w:hAnsi="Avenir Next" w:cs="Arial"/>
          <w:color w:val="808080" w:themeColor="background1" w:themeShade="80"/>
          <w:sz w:val="22"/>
          <w:szCs w:val="22"/>
          <w:lang w:val="en-GB"/>
        </w:rPr>
        <w:t xml:space="preserve">n Hong Kong or are a foreign company. An additional benefit to creditors is the level of court supervision – the court ultimately approves the scheme following an evaluation to ensure </w:t>
      </w:r>
      <w:r w:rsidR="00F750FF">
        <w:rPr>
          <w:rFonts w:ascii="Avenir Next" w:hAnsi="Avenir Next" w:cs="Arial"/>
          <w:color w:val="808080" w:themeColor="background1" w:themeShade="80"/>
          <w:sz w:val="22"/>
          <w:szCs w:val="22"/>
          <w:lang w:val="en-GB"/>
        </w:rPr>
        <w:t xml:space="preserve">the scheme is fair, equitable, and that classes were fairly represented. </w:t>
      </w:r>
    </w:p>
    <w:p w14:paraId="49D515B9" w14:textId="5AF4F983" w:rsidR="00705DA0" w:rsidRDefault="00705DA0" w:rsidP="008C35C9">
      <w:pPr>
        <w:jc w:val="both"/>
        <w:rPr>
          <w:rFonts w:ascii="Avenir Next" w:hAnsi="Avenir Next" w:cs="Arial"/>
          <w:color w:val="808080" w:themeColor="background1" w:themeShade="80"/>
          <w:sz w:val="22"/>
          <w:szCs w:val="22"/>
          <w:lang w:val="en-GB"/>
        </w:rPr>
      </w:pPr>
    </w:p>
    <w:p w14:paraId="197B07ED" w14:textId="4BBF5A86" w:rsidR="008C35C9" w:rsidRDefault="005B419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Scheme of Arrangement, while flexible, does have downsides. In particular, the Scheme of Arrangement vehicle does not incorporate a moratorium on creditor action. Practically, however, Hong Kong practitioners achieve a moratorium by first petitioning for winding up and for the appointment of a provisional liquidator with specifically enumerated powers which further the scheme of arrangement. Doing so allows practitioners to obtain a moratorium under CWUMPO section 186. However, such practice has been questioned and even denied by courts in recent years. </w:t>
      </w:r>
      <w:r w:rsidR="00F750FF">
        <w:rPr>
          <w:rFonts w:ascii="Avenir Next" w:hAnsi="Avenir Next" w:cs="Arial"/>
          <w:color w:val="808080" w:themeColor="background1" w:themeShade="80"/>
          <w:sz w:val="22"/>
          <w:szCs w:val="22"/>
          <w:lang w:val="en-GB"/>
        </w:rPr>
        <w:t xml:space="preserve">Furthermore, while an approved scheme will be binding in Hong Kong and for debts governed by Hong Kong law, it does not act to prevent creditors from seeking to enforce the debt under </w:t>
      </w:r>
      <w:r w:rsidR="00094998">
        <w:rPr>
          <w:rFonts w:ascii="Avenir Next" w:hAnsi="Avenir Next" w:cs="Arial"/>
          <w:color w:val="808080" w:themeColor="background1" w:themeShade="80"/>
          <w:sz w:val="22"/>
          <w:szCs w:val="22"/>
          <w:lang w:val="en-GB"/>
        </w:rPr>
        <w:t>any foreign</w:t>
      </w:r>
      <w:r w:rsidR="00F750FF">
        <w:rPr>
          <w:rFonts w:ascii="Avenir Next" w:hAnsi="Avenir Next" w:cs="Arial"/>
          <w:color w:val="808080" w:themeColor="background1" w:themeShade="80"/>
          <w:sz w:val="22"/>
          <w:szCs w:val="22"/>
          <w:lang w:val="en-GB"/>
        </w:rPr>
        <w:t xml:space="preserve"> law which governs the debt. </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251C03E8" w:rsidR="008C35C9" w:rsidRDefault="00234E96" w:rsidP="00234E96">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While Hong Kong has developed statutory schemes to assist with cross-border insolvency, such as the recently</w:t>
      </w:r>
      <w:r w:rsidR="00715360">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developed scheme for co-</w:t>
      </w:r>
      <w:r w:rsidR="004A5420">
        <w:rPr>
          <w:rFonts w:ascii="Avenir Next" w:hAnsi="Avenir Next" w:cs="Arial"/>
          <w:color w:val="808080" w:themeColor="background1" w:themeShade="80"/>
          <w:sz w:val="22"/>
          <w:szCs w:val="22"/>
          <w:lang w:val="en-GB"/>
        </w:rPr>
        <w:t>operation with mainland</w:t>
      </w:r>
      <w:r>
        <w:rPr>
          <w:rFonts w:ascii="Avenir Next" w:hAnsi="Avenir Next" w:cs="Arial"/>
          <w:color w:val="808080" w:themeColor="background1" w:themeShade="80"/>
          <w:sz w:val="22"/>
          <w:szCs w:val="22"/>
          <w:lang w:val="en-GB"/>
        </w:rPr>
        <w:t xml:space="preserve"> China and the application of Part X of </w:t>
      </w:r>
      <w:r>
        <w:rPr>
          <w:rFonts w:ascii="Avenir Next" w:hAnsi="Avenir Next" w:cs="Arial"/>
          <w:color w:val="808080" w:themeColor="background1" w:themeShade="80"/>
          <w:sz w:val="22"/>
          <w:szCs w:val="22"/>
          <w:lang w:val="en-GB"/>
        </w:rPr>
        <w:t>CWUMPO</w:t>
      </w:r>
      <w:r>
        <w:rPr>
          <w:rFonts w:ascii="Avenir Next" w:hAnsi="Avenir Next" w:cs="Arial"/>
          <w:color w:val="808080" w:themeColor="background1" w:themeShade="80"/>
          <w:sz w:val="22"/>
          <w:szCs w:val="22"/>
          <w:lang w:val="en-GB"/>
        </w:rPr>
        <w:t xml:space="preserve"> to the </w:t>
      </w:r>
      <w:r w:rsidR="004A5420">
        <w:rPr>
          <w:rFonts w:ascii="Avenir Next" w:hAnsi="Avenir Next" w:cs="Arial"/>
          <w:color w:val="808080" w:themeColor="background1" w:themeShade="80"/>
          <w:sz w:val="22"/>
          <w:szCs w:val="22"/>
          <w:lang w:val="en-GB"/>
        </w:rPr>
        <w:t>winding up of non-</w:t>
      </w:r>
      <w:r>
        <w:rPr>
          <w:rFonts w:ascii="Avenir Next" w:hAnsi="Avenir Next" w:cs="Arial"/>
          <w:color w:val="808080" w:themeColor="background1" w:themeShade="80"/>
          <w:sz w:val="22"/>
          <w:szCs w:val="22"/>
          <w:lang w:val="en-GB"/>
        </w:rPr>
        <w:t>H</w:t>
      </w:r>
      <w:r w:rsidR="004A5420">
        <w:rPr>
          <w:rFonts w:ascii="Avenir Next" w:hAnsi="Avenir Next" w:cs="Arial"/>
          <w:color w:val="808080" w:themeColor="background1" w:themeShade="80"/>
          <w:sz w:val="22"/>
          <w:szCs w:val="22"/>
          <w:lang w:val="en-GB"/>
        </w:rPr>
        <w:t xml:space="preserve">ong </w:t>
      </w:r>
      <w:r>
        <w:rPr>
          <w:rFonts w:ascii="Avenir Next" w:hAnsi="Avenir Next" w:cs="Arial"/>
          <w:color w:val="808080" w:themeColor="background1" w:themeShade="80"/>
          <w:sz w:val="22"/>
          <w:szCs w:val="22"/>
          <w:lang w:val="en-GB"/>
        </w:rPr>
        <w:t>K</w:t>
      </w:r>
      <w:r w:rsidR="004A5420">
        <w:rPr>
          <w:rFonts w:ascii="Avenir Next" w:hAnsi="Avenir Next" w:cs="Arial"/>
          <w:color w:val="808080" w:themeColor="background1" w:themeShade="80"/>
          <w:sz w:val="22"/>
          <w:szCs w:val="22"/>
          <w:lang w:val="en-GB"/>
        </w:rPr>
        <w:t>ong companies</w:t>
      </w:r>
      <w:r>
        <w:rPr>
          <w:rFonts w:ascii="Avenir Next" w:hAnsi="Avenir Next" w:cs="Arial"/>
          <w:color w:val="808080" w:themeColor="background1" w:themeShade="80"/>
          <w:sz w:val="22"/>
          <w:szCs w:val="22"/>
          <w:lang w:val="en-GB"/>
        </w:rPr>
        <w:t xml:space="preserve">, nearly all cross-boarder insolvency issues are governed by the common law. </w:t>
      </w:r>
      <w:r w:rsidR="004A5420">
        <w:rPr>
          <w:rFonts w:ascii="Avenir Next" w:hAnsi="Avenir Next" w:cs="Arial"/>
          <w:color w:val="808080" w:themeColor="background1" w:themeShade="80"/>
          <w:sz w:val="22"/>
          <w:szCs w:val="22"/>
          <w:lang w:val="en-GB"/>
        </w:rPr>
        <w:t xml:space="preserve"> </w:t>
      </w:r>
    </w:p>
    <w:p w14:paraId="780C038F" w14:textId="1BFADE85" w:rsidR="00B73BB0" w:rsidRDefault="00234E96" w:rsidP="00B73BB0">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common law of Hong Kong has developed in such a way that courts are empowered to (1) recognize foreign liquidations, (2) assist foreign liquidators, and (3) support </w:t>
      </w:r>
      <w:r w:rsidR="00715360">
        <w:rPr>
          <w:rFonts w:ascii="Avenir Next" w:hAnsi="Avenir Next" w:cs="Arial"/>
          <w:color w:val="808080" w:themeColor="background1" w:themeShade="80"/>
          <w:sz w:val="22"/>
          <w:szCs w:val="22"/>
          <w:lang w:val="en-GB"/>
        </w:rPr>
        <w:t xml:space="preserve">foreign </w:t>
      </w:r>
      <w:r>
        <w:rPr>
          <w:rFonts w:ascii="Avenir Next" w:hAnsi="Avenir Next" w:cs="Arial"/>
          <w:color w:val="808080" w:themeColor="background1" w:themeShade="80"/>
          <w:sz w:val="22"/>
          <w:szCs w:val="22"/>
          <w:lang w:val="en-GB"/>
        </w:rPr>
        <w:t xml:space="preserve">insolvency procedures, such as rehabilitation. </w:t>
      </w:r>
      <w:r w:rsidR="00B73BB0">
        <w:rPr>
          <w:rFonts w:ascii="Avenir Next" w:hAnsi="Avenir Next" w:cs="Arial"/>
          <w:color w:val="808080" w:themeColor="background1" w:themeShade="80"/>
          <w:sz w:val="22"/>
          <w:szCs w:val="22"/>
          <w:lang w:val="en-GB"/>
        </w:rPr>
        <w:t>For example, the courts, applying common law, generally r</w:t>
      </w:r>
      <w:r w:rsidR="004A5420">
        <w:rPr>
          <w:rFonts w:ascii="Avenir Next" w:hAnsi="Avenir Next" w:cs="Arial"/>
          <w:color w:val="808080" w:themeColor="background1" w:themeShade="80"/>
          <w:sz w:val="22"/>
          <w:szCs w:val="22"/>
          <w:lang w:val="en-GB"/>
        </w:rPr>
        <w:t xml:space="preserve">ecognize the right of a foreign representative to bring an action in </w:t>
      </w:r>
      <w:r w:rsidR="00B73BB0">
        <w:rPr>
          <w:rFonts w:ascii="Avenir Next" w:hAnsi="Avenir Next" w:cs="Arial"/>
          <w:color w:val="808080" w:themeColor="background1" w:themeShade="80"/>
          <w:sz w:val="22"/>
          <w:szCs w:val="22"/>
          <w:lang w:val="en-GB"/>
        </w:rPr>
        <w:t xml:space="preserve">Hong Kong. </w:t>
      </w:r>
      <w:r w:rsidR="004A5420">
        <w:rPr>
          <w:rFonts w:ascii="Avenir Next" w:hAnsi="Avenir Next" w:cs="Arial"/>
          <w:color w:val="808080" w:themeColor="background1" w:themeShade="80"/>
          <w:sz w:val="22"/>
          <w:szCs w:val="22"/>
          <w:lang w:val="en-GB"/>
        </w:rPr>
        <w:t xml:space="preserve"> </w:t>
      </w:r>
      <w:r w:rsidR="00B73BB0">
        <w:rPr>
          <w:rFonts w:ascii="Avenir Next" w:hAnsi="Avenir Next" w:cs="Arial"/>
          <w:color w:val="808080" w:themeColor="background1" w:themeShade="80"/>
          <w:sz w:val="22"/>
          <w:szCs w:val="22"/>
          <w:lang w:val="en-GB"/>
        </w:rPr>
        <w:t>Furthermore, the courts have a</w:t>
      </w:r>
      <w:r w:rsidR="004A5420">
        <w:rPr>
          <w:rFonts w:ascii="Avenir Next" w:hAnsi="Avenir Next" w:cs="Arial"/>
          <w:color w:val="808080" w:themeColor="background1" w:themeShade="80"/>
          <w:sz w:val="22"/>
          <w:szCs w:val="22"/>
          <w:lang w:val="en-GB"/>
        </w:rPr>
        <w:t xml:space="preserve">lso assisted foreign representatives by, for example, refusing to enforce a judgment against </w:t>
      </w:r>
      <w:r w:rsidR="00B73BB0">
        <w:rPr>
          <w:rFonts w:ascii="Avenir Next" w:hAnsi="Avenir Next" w:cs="Arial"/>
          <w:color w:val="808080" w:themeColor="background1" w:themeShade="80"/>
          <w:sz w:val="22"/>
          <w:szCs w:val="22"/>
          <w:lang w:val="en-GB"/>
        </w:rPr>
        <w:t>H</w:t>
      </w:r>
      <w:r w:rsidR="004A5420">
        <w:rPr>
          <w:rFonts w:ascii="Avenir Next" w:hAnsi="Avenir Next" w:cs="Arial"/>
          <w:color w:val="808080" w:themeColor="background1" w:themeShade="80"/>
          <w:sz w:val="22"/>
          <w:szCs w:val="22"/>
          <w:lang w:val="en-GB"/>
        </w:rPr>
        <w:t xml:space="preserve">ong </w:t>
      </w:r>
      <w:r w:rsidR="00B73BB0">
        <w:rPr>
          <w:rFonts w:ascii="Avenir Next" w:hAnsi="Avenir Next" w:cs="Arial"/>
          <w:color w:val="808080" w:themeColor="background1" w:themeShade="80"/>
          <w:sz w:val="22"/>
          <w:szCs w:val="22"/>
          <w:lang w:val="en-GB"/>
        </w:rPr>
        <w:t>K</w:t>
      </w:r>
      <w:r w:rsidR="004A5420">
        <w:rPr>
          <w:rFonts w:ascii="Avenir Next" w:hAnsi="Avenir Next" w:cs="Arial"/>
          <w:color w:val="808080" w:themeColor="background1" w:themeShade="80"/>
          <w:sz w:val="22"/>
          <w:szCs w:val="22"/>
          <w:lang w:val="en-GB"/>
        </w:rPr>
        <w:t xml:space="preserve">ong assets </w:t>
      </w:r>
      <w:r w:rsidR="00B73BB0">
        <w:rPr>
          <w:rFonts w:ascii="Avenir Next" w:hAnsi="Avenir Next" w:cs="Arial"/>
          <w:color w:val="808080" w:themeColor="background1" w:themeShade="80"/>
          <w:sz w:val="22"/>
          <w:szCs w:val="22"/>
          <w:lang w:val="en-GB"/>
        </w:rPr>
        <w:t xml:space="preserve">when a foreign insolvency proceeding was in progress, relying on the principle of comity in its ruling. Conversely, however, the </w:t>
      </w:r>
      <w:r w:rsidR="00B73BB0">
        <w:rPr>
          <w:rFonts w:ascii="Avenir Next" w:hAnsi="Avenir Next" w:cs="Arial"/>
          <w:color w:val="808080" w:themeColor="background1" w:themeShade="80"/>
          <w:sz w:val="22"/>
          <w:szCs w:val="22"/>
          <w:lang w:val="en-GB"/>
        </w:rPr>
        <w:t xml:space="preserve">court </w:t>
      </w:r>
      <w:r w:rsidR="00B73BB0">
        <w:rPr>
          <w:rFonts w:ascii="Avenir Next" w:hAnsi="Avenir Next" w:cs="Arial"/>
          <w:color w:val="808080" w:themeColor="background1" w:themeShade="80"/>
          <w:sz w:val="22"/>
          <w:szCs w:val="22"/>
          <w:lang w:val="en-GB"/>
        </w:rPr>
        <w:t xml:space="preserve">has </w:t>
      </w:r>
      <w:r w:rsidR="00B73BB0">
        <w:rPr>
          <w:rFonts w:ascii="Avenir Next" w:hAnsi="Avenir Next" w:cs="Arial"/>
          <w:color w:val="808080" w:themeColor="background1" w:themeShade="80"/>
          <w:sz w:val="22"/>
          <w:szCs w:val="22"/>
          <w:lang w:val="en-GB"/>
        </w:rPr>
        <w:t xml:space="preserve">refused to prevent </w:t>
      </w:r>
      <w:r w:rsidR="00B73BB0">
        <w:rPr>
          <w:rFonts w:ascii="Avenir Next" w:hAnsi="Avenir Next" w:cs="Arial"/>
          <w:color w:val="808080" w:themeColor="background1" w:themeShade="80"/>
          <w:sz w:val="22"/>
          <w:szCs w:val="22"/>
          <w:lang w:val="en-GB"/>
        </w:rPr>
        <w:t xml:space="preserve">a </w:t>
      </w:r>
      <w:r w:rsidR="00B73BB0">
        <w:rPr>
          <w:rFonts w:ascii="Avenir Next" w:hAnsi="Avenir Next" w:cs="Arial"/>
          <w:color w:val="808080" w:themeColor="background1" w:themeShade="80"/>
          <w:sz w:val="22"/>
          <w:szCs w:val="22"/>
          <w:lang w:val="en-GB"/>
        </w:rPr>
        <w:t xml:space="preserve">certain security from being enforced in </w:t>
      </w:r>
      <w:r w:rsidR="00B73BB0">
        <w:rPr>
          <w:rFonts w:ascii="Avenir Next" w:hAnsi="Avenir Next" w:cs="Arial"/>
          <w:color w:val="808080" w:themeColor="background1" w:themeShade="80"/>
          <w:sz w:val="22"/>
          <w:szCs w:val="22"/>
          <w:lang w:val="en-GB"/>
        </w:rPr>
        <w:t>H</w:t>
      </w:r>
      <w:r w:rsidR="00B73BB0">
        <w:rPr>
          <w:rFonts w:ascii="Avenir Next" w:hAnsi="Avenir Next" w:cs="Arial"/>
          <w:color w:val="808080" w:themeColor="background1" w:themeShade="80"/>
          <w:sz w:val="22"/>
          <w:szCs w:val="22"/>
          <w:lang w:val="en-GB"/>
        </w:rPr>
        <w:t xml:space="preserve">ong </w:t>
      </w:r>
      <w:r w:rsidR="00B73BB0">
        <w:rPr>
          <w:rFonts w:ascii="Avenir Next" w:hAnsi="Avenir Next" w:cs="Arial"/>
          <w:color w:val="808080" w:themeColor="background1" w:themeShade="80"/>
          <w:sz w:val="22"/>
          <w:szCs w:val="22"/>
          <w:lang w:val="en-GB"/>
        </w:rPr>
        <w:t>K</w:t>
      </w:r>
      <w:r w:rsidR="00B73BB0">
        <w:rPr>
          <w:rFonts w:ascii="Avenir Next" w:hAnsi="Avenir Next" w:cs="Arial"/>
          <w:color w:val="808080" w:themeColor="background1" w:themeShade="80"/>
          <w:sz w:val="22"/>
          <w:szCs w:val="22"/>
          <w:lang w:val="en-GB"/>
        </w:rPr>
        <w:t xml:space="preserve">ong </w:t>
      </w:r>
      <w:r w:rsidR="00B73BB0">
        <w:rPr>
          <w:rFonts w:ascii="Avenir Next" w:hAnsi="Avenir Next" w:cs="Arial"/>
          <w:color w:val="808080" w:themeColor="background1" w:themeShade="80"/>
          <w:sz w:val="22"/>
          <w:szCs w:val="22"/>
          <w:lang w:val="en-GB"/>
        </w:rPr>
        <w:t xml:space="preserve">despite a pending administration in the United Kingdom </w:t>
      </w:r>
      <w:r w:rsidR="00B73BB0">
        <w:rPr>
          <w:rFonts w:ascii="Avenir Next" w:hAnsi="Avenir Next" w:cs="Arial"/>
          <w:color w:val="808080" w:themeColor="background1" w:themeShade="80"/>
          <w:sz w:val="22"/>
          <w:szCs w:val="22"/>
          <w:lang w:val="en-GB"/>
        </w:rPr>
        <w:t xml:space="preserve">because there </w:t>
      </w:r>
      <w:r w:rsidR="00B73BB0">
        <w:rPr>
          <w:rFonts w:ascii="Avenir Next" w:hAnsi="Avenir Next" w:cs="Arial"/>
          <w:color w:val="808080" w:themeColor="background1" w:themeShade="80"/>
          <w:sz w:val="22"/>
          <w:szCs w:val="22"/>
          <w:lang w:val="en-GB"/>
        </w:rPr>
        <w:t>i</w:t>
      </w:r>
      <w:r w:rsidR="00715360">
        <w:rPr>
          <w:rFonts w:ascii="Avenir Next" w:hAnsi="Avenir Next" w:cs="Arial"/>
          <w:color w:val="808080" w:themeColor="background1" w:themeShade="80"/>
          <w:sz w:val="22"/>
          <w:szCs w:val="22"/>
          <w:lang w:val="en-GB"/>
        </w:rPr>
        <w:t>s</w:t>
      </w:r>
      <w:r w:rsidR="00B73BB0">
        <w:rPr>
          <w:rFonts w:ascii="Avenir Next" w:hAnsi="Avenir Next" w:cs="Arial"/>
          <w:color w:val="808080" w:themeColor="background1" w:themeShade="80"/>
          <w:sz w:val="22"/>
          <w:szCs w:val="22"/>
          <w:lang w:val="en-GB"/>
        </w:rPr>
        <w:t xml:space="preserve"> no</w:t>
      </w:r>
      <w:r w:rsidR="00B73BB0">
        <w:rPr>
          <w:rFonts w:ascii="Avenir Next" w:hAnsi="Avenir Next" w:cs="Arial"/>
          <w:color w:val="808080" w:themeColor="background1" w:themeShade="80"/>
          <w:sz w:val="22"/>
          <w:szCs w:val="22"/>
          <w:lang w:val="en-GB"/>
        </w:rPr>
        <w:t xml:space="preserve"> equivalent to administration </w:t>
      </w:r>
      <w:r w:rsidR="00B73BB0">
        <w:rPr>
          <w:rFonts w:ascii="Avenir Next" w:hAnsi="Avenir Next" w:cs="Arial"/>
          <w:color w:val="808080" w:themeColor="background1" w:themeShade="80"/>
          <w:sz w:val="22"/>
          <w:szCs w:val="22"/>
          <w:lang w:val="en-GB"/>
        </w:rPr>
        <w:t>(or</w:t>
      </w:r>
      <w:r w:rsidR="00B73BB0">
        <w:rPr>
          <w:rFonts w:ascii="Avenir Next" w:hAnsi="Avenir Next" w:cs="Arial"/>
          <w:color w:val="808080" w:themeColor="background1" w:themeShade="80"/>
          <w:sz w:val="22"/>
          <w:szCs w:val="22"/>
          <w:lang w:val="en-GB"/>
        </w:rPr>
        <w:t xml:space="preserve"> the attendant moratorium</w:t>
      </w:r>
      <w:r w:rsidR="00B73BB0">
        <w:rPr>
          <w:rFonts w:ascii="Avenir Next" w:hAnsi="Avenir Next" w:cs="Arial"/>
          <w:color w:val="808080" w:themeColor="background1" w:themeShade="80"/>
          <w:sz w:val="22"/>
          <w:szCs w:val="22"/>
          <w:lang w:val="en-GB"/>
        </w:rPr>
        <w:t>) in Hong Kong</w:t>
      </w:r>
      <w:r w:rsidR="00B73BB0">
        <w:rPr>
          <w:rFonts w:ascii="Avenir Next" w:hAnsi="Avenir Next" w:cs="Arial"/>
          <w:color w:val="808080" w:themeColor="background1" w:themeShade="80"/>
          <w:sz w:val="22"/>
          <w:szCs w:val="22"/>
          <w:lang w:val="en-GB"/>
        </w:rPr>
        <w:t>.</w:t>
      </w:r>
    </w:p>
    <w:p w14:paraId="0206C1E7" w14:textId="771EB612" w:rsidR="008C35C9" w:rsidRDefault="00B73BB0"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ab/>
        <w:t xml:space="preserve">The apparent inconsistency above highlights the primary weakness of Hong Kong’s reliance on the common law to deal with cross-border insolvency – the lack of predictability. While relying on the common law allows for flexibility and development, without a statutory scheme to rely on, foreign representatives are at the mercy of an ever-evolving common law. </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7F1BED22" w:rsidR="008C35C9" w:rsidRDefault="0001004A" w:rsidP="0084538A">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Hong Kong, secured creditors generally do not participate in the insolvency process and realisations from the assets subject to the security, sold by the receiver appointed by Sea Breeze, will not be available to you as the liquidator. However, because there are exceptions to this general rule, we should discuss our investigation into the validity of Sea Breeze’s security and what type of unsecured creditors are in Palm Beach Limited’s case. </w:t>
      </w:r>
    </w:p>
    <w:p w14:paraId="4910152C" w14:textId="1C707C5E" w:rsidR="0084538A" w:rsidRDefault="0001004A" w:rsidP="0084538A">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we should investigate the validity of Sea Breeze’s security by determining whether their security needed to be registered and then confirming registration</w:t>
      </w:r>
      <w:r w:rsidR="0084538A">
        <w:rPr>
          <w:rFonts w:ascii="Avenir Next" w:hAnsi="Avenir Next" w:cs="Arial"/>
          <w:color w:val="808080" w:themeColor="background1" w:themeShade="80"/>
          <w:sz w:val="22"/>
          <w:szCs w:val="22"/>
          <w:lang w:val="en-GB"/>
        </w:rPr>
        <w:t xml:space="preserve"> on ICRIS</w:t>
      </w:r>
      <w:r>
        <w:rPr>
          <w:rFonts w:ascii="Avenir Next" w:hAnsi="Avenir Next" w:cs="Arial"/>
          <w:color w:val="808080" w:themeColor="background1" w:themeShade="80"/>
          <w:sz w:val="22"/>
          <w:szCs w:val="22"/>
          <w:lang w:val="en-GB"/>
        </w:rPr>
        <w:t>. If Sea Breeze was required to register their security and failed to do so, their security will be void against you as the liquidato</w:t>
      </w:r>
      <w:r w:rsidR="0084538A">
        <w:rPr>
          <w:rFonts w:ascii="Avenir Next" w:hAnsi="Avenir Next" w:cs="Arial"/>
          <w:color w:val="808080" w:themeColor="background1" w:themeShade="80"/>
          <w:sz w:val="22"/>
          <w:szCs w:val="22"/>
          <w:lang w:val="en-GB"/>
        </w:rPr>
        <w:t>r</w:t>
      </w:r>
      <w:r w:rsidR="00195F61">
        <w:rPr>
          <w:rFonts w:ascii="Avenir Next" w:hAnsi="Avenir Next" w:cs="Arial"/>
          <w:color w:val="808080" w:themeColor="background1" w:themeShade="80"/>
          <w:sz w:val="22"/>
          <w:szCs w:val="22"/>
          <w:lang w:val="en-GB"/>
        </w:rPr>
        <w:t xml:space="preserve"> and you could access the receiver’s realisations</w:t>
      </w:r>
      <w:r w:rsidR="0084538A">
        <w:rPr>
          <w:rFonts w:ascii="Avenir Next" w:hAnsi="Avenir Next" w:cs="Arial"/>
          <w:color w:val="808080" w:themeColor="background1" w:themeShade="80"/>
          <w:sz w:val="22"/>
          <w:szCs w:val="22"/>
          <w:lang w:val="en-GB"/>
        </w:rPr>
        <w:t>. Because Sea Breeze has a floating charge, it was required to register its charge pursuant to Section 334. If it failed to do so, the charge is void against you, as liquidator, and other creditors of the company. Furthermore, we should investigate the date on which Palm Beach Limited granted the floating charge to Sea Breeze. Pursuant to Section 267</w:t>
      </w:r>
      <w:r w:rsidR="007302FE">
        <w:rPr>
          <w:rFonts w:ascii="Avenir Next" w:hAnsi="Avenir Next" w:cs="Arial"/>
          <w:color w:val="808080" w:themeColor="background1" w:themeShade="80"/>
          <w:sz w:val="22"/>
          <w:szCs w:val="22"/>
          <w:lang w:val="en-GB"/>
        </w:rPr>
        <w:t>, a floating charge is invalid if it was created within 12 months before the liquidation and at a time when Palm Beach Limited was unable to pay its debts. Because Sea Breeze only took the floating charge a few months ago, it’s likely that the charge would be invalid, so long as we can show Palm Beach Limited was unable to pay its debts at the time.</w:t>
      </w:r>
      <w:r w:rsidR="0084538A">
        <w:rPr>
          <w:rFonts w:ascii="Avenir Next" w:hAnsi="Avenir Next" w:cs="Arial"/>
          <w:color w:val="808080" w:themeColor="background1" w:themeShade="80"/>
          <w:sz w:val="22"/>
          <w:szCs w:val="22"/>
          <w:lang w:val="en-GB"/>
        </w:rPr>
        <w:t xml:space="preserve"> </w:t>
      </w:r>
    </w:p>
    <w:p w14:paraId="38AE17B8" w14:textId="4D222374" w:rsidR="0001004A" w:rsidRDefault="0084538A" w:rsidP="007302FE">
      <w:pPr>
        <w:ind w:firstLine="720"/>
        <w:jc w:val="both"/>
        <w:rPr>
          <w:rFonts w:ascii="Avenir Next" w:eastAsia="Calibri" w:hAnsi="Avenir Next" w:cs="Arial"/>
          <w:sz w:val="22"/>
          <w:szCs w:val="22"/>
          <w:lang w:val="en-ZA"/>
        </w:rPr>
      </w:pPr>
      <w:r>
        <w:rPr>
          <w:rFonts w:ascii="Avenir Next" w:hAnsi="Avenir Next" w:cs="Arial"/>
          <w:color w:val="808080" w:themeColor="background1" w:themeShade="80"/>
          <w:sz w:val="22"/>
          <w:szCs w:val="22"/>
          <w:lang w:val="en-GB"/>
        </w:rPr>
        <w:t>Second</w:t>
      </w:r>
      <w:r w:rsidR="0001004A">
        <w:rPr>
          <w:rFonts w:ascii="Avenir Next" w:hAnsi="Avenir Next" w:cs="Arial"/>
          <w:color w:val="808080" w:themeColor="background1" w:themeShade="80"/>
          <w:sz w:val="22"/>
          <w:szCs w:val="22"/>
          <w:lang w:val="en-GB"/>
        </w:rPr>
        <w:t>,</w:t>
      </w:r>
      <w:r w:rsidR="007302FE">
        <w:rPr>
          <w:rFonts w:ascii="Avenir Next" w:hAnsi="Avenir Next" w:cs="Arial"/>
          <w:color w:val="808080" w:themeColor="background1" w:themeShade="80"/>
          <w:sz w:val="22"/>
          <w:szCs w:val="22"/>
          <w:lang w:val="en-GB"/>
        </w:rPr>
        <w:t xml:space="preserve"> if we determine that Sea Breeze’s charge is valid and they are properly secured, we should discuss what types of unsecured claims exist in Palm Beach’s case. While generally we could not access the realisations of the receiver, if certain preferential claims exist, the realisations from the floating charge must be used to satisfy those first. For example, if there are amounts owing to employees, a portion of those amounts are considered preferential. </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7851E56F" w14:textId="051E1E5E" w:rsidR="008C35C9" w:rsidRDefault="00705851" w:rsidP="008E1783">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it is true that the Hong Kong courts generally assist foreign insolvency representatives such as liquidators, because the courts rely on the common law to do so, we can’t necessarily predict whether you will get all the relief you are seeking by applying </w:t>
      </w:r>
      <w:r w:rsidR="00603652">
        <w:rPr>
          <w:rFonts w:ascii="Avenir Next" w:hAnsi="Avenir Next" w:cs="Arial"/>
          <w:color w:val="808080" w:themeColor="background1" w:themeShade="80"/>
          <w:sz w:val="22"/>
          <w:szCs w:val="22"/>
          <w:lang w:val="en-GB"/>
        </w:rPr>
        <w:t xml:space="preserve">to </w:t>
      </w:r>
      <w:r>
        <w:rPr>
          <w:rFonts w:ascii="Avenir Next" w:hAnsi="Avenir Next" w:cs="Arial"/>
          <w:color w:val="808080" w:themeColor="background1" w:themeShade="80"/>
          <w:sz w:val="22"/>
          <w:szCs w:val="22"/>
          <w:lang w:val="en-GB"/>
        </w:rPr>
        <w:t>the courts for recognition. For example, in one case the courts refused to allow the enforcement of a judgment against the Hong Kong assets of a foreign company while foreign rehabilitation proceedings were still ongoing, but the court has also refused</w:t>
      </w:r>
      <w:r w:rsidR="00603652">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stay proceedings in similar cases, such as when administrators were appointed in a case in the Mainland. </w:t>
      </w:r>
      <w:r w:rsidR="008355EC">
        <w:rPr>
          <w:rFonts w:ascii="Avenir Next" w:hAnsi="Avenir Next" w:cs="Arial"/>
          <w:color w:val="808080" w:themeColor="background1" w:themeShade="80"/>
          <w:sz w:val="22"/>
          <w:szCs w:val="22"/>
          <w:lang w:val="en-GB"/>
        </w:rPr>
        <w:t xml:space="preserve">However, I believe its likely that, if you provide a “letter of request” from the Cayman court, that </w:t>
      </w:r>
      <w:r w:rsidR="008D630F">
        <w:rPr>
          <w:rFonts w:ascii="Avenir Next" w:hAnsi="Avenir Next" w:cs="Arial"/>
          <w:color w:val="808080" w:themeColor="background1" w:themeShade="80"/>
          <w:sz w:val="22"/>
          <w:szCs w:val="22"/>
          <w:lang w:val="en-GB"/>
        </w:rPr>
        <w:t xml:space="preserve">the </w:t>
      </w:r>
      <w:r w:rsidR="008355EC">
        <w:rPr>
          <w:rFonts w:ascii="Avenir Next" w:hAnsi="Avenir Next" w:cs="Arial"/>
          <w:color w:val="808080" w:themeColor="background1" w:themeShade="80"/>
          <w:sz w:val="22"/>
          <w:szCs w:val="22"/>
          <w:lang w:val="en-GB"/>
        </w:rPr>
        <w:t xml:space="preserve">Hong Kong court will recognize you as a foreign liquidator and assist you in obtaining documents. I am not confident, based on recent precedent, that the court would impose a stay on actions against SKL. </w:t>
      </w:r>
    </w:p>
    <w:p w14:paraId="09091579" w14:textId="3C897B14" w:rsidR="00705851" w:rsidRDefault="00705851" w:rsidP="008C35C9">
      <w:pPr>
        <w:jc w:val="both"/>
        <w:rPr>
          <w:rFonts w:ascii="Avenir Next" w:hAnsi="Avenir Next" w:cs="Arial"/>
          <w:color w:val="808080" w:themeColor="background1" w:themeShade="80"/>
          <w:sz w:val="22"/>
          <w:szCs w:val="22"/>
          <w:lang w:val="en-GB"/>
        </w:rPr>
      </w:pPr>
    </w:p>
    <w:p w14:paraId="014389FB" w14:textId="66A68F15" w:rsidR="00705851" w:rsidRPr="008C35C9" w:rsidRDefault="00705851" w:rsidP="008E1783">
      <w:pPr>
        <w:ind w:firstLine="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because SKL is a foreign company registered on the Hong Kong Stock Exchange, it may be beneficial to commence a</w:t>
      </w:r>
      <w:r w:rsidR="00C333DA">
        <w:rPr>
          <w:rFonts w:ascii="Avenir Next" w:hAnsi="Avenir Next" w:cs="Arial"/>
          <w:color w:val="808080" w:themeColor="background1" w:themeShade="80"/>
          <w:sz w:val="22"/>
          <w:szCs w:val="22"/>
          <w:lang w:val="en-GB"/>
        </w:rPr>
        <w:t xml:space="preserve">n ancillary </w:t>
      </w:r>
      <w:r>
        <w:rPr>
          <w:rFonts w:ascii="Avenir Next" w:hAnsi="Avenir Next" w:cs="Arial"/>
          <w:color w:val="808080" w:themeColor="background1" w:themeShade="80"/>
          <w:sz w:val="22"/>
          <w:szCs w:val="22"/>
          <w:lang w:val="en-GB"/>
        </w:rPr>
        <w:t>liquidation and winding up proceeding in Hong Kong under Part X of CWUMPO. If you can prove there is a sufficient connection to Hong Kong, you could commence this domestic proceeding and have all the powers of a Hong Kong liquidator</w:t>
      </w:r>
      <w:r w:rsidR="00C333DA">
        <w:rPr>
          <w:rFonts w:ascii="Avenir Next" w:hAnsi="Avenir Next" w:cs="Arial"/>
          <w:color w:val="808080" w:themeColor="background1" w:themeShade="80"/>
          <w:sz w:val="22"/>
          <w:szCs w:val="22"/>
          <w:lang w:val="en-GB"/>
        </w:rPr>
        <w:t xml:space="preserve"> while retaining your principal liquidation procedure in the Cayman Islands. In order to commence this proceeding, you must meet the three core requirements  - </w:t>
      </w:r>
      <w:r w:rsidR="00C333DA">
        <w:rPr>
          <w:rFonts w:ascii="Avenir Next" w:hAnsi="Avenir Next" w:cs="Arial"/>
          <w:color w:val="808080" w:themeColor="background1" w:themeShade="80"/>
          <w:sz w:val="22"/>
          <w:szCs w:val="22"/>
          <w:lang w:val="en-GB"/>
        </w:rPr>
        <w:t xml:space="preserve">First, there </w:t>
      </w:r>
      <w:r w:rsidR="00C333DA">
        <w:rPr>
          <w:rFonts w:ascii="Avenir Next" w:hAnsi="Avenir Next" w:cs="Arial"/>
          <w:color w:val="808080" w:themeColor="background1" w:themeShade="80"/>
          <w:sz w:val="22"/>
          <w:szCs w:val="22"/>
          <w:lang w:val="en-GB"/>
        </w:rPr>
        <w:t>must be</w:t>
      </w:r>
      <w:r w:rsidR="00C333DA">
        <w:rPr>
          <w:rFonts w:ascii="Avenir Next" w:hAnsi="Avenir Next" w:cs="Arial"/>
          <w:color w:val="808080" w:themeColor="background1" w:themeShade="80"/>
          <w:sz w:val="22"/>
          <w:szCs w:val="22"/>
          <w:lang w:val="en-GB"/>
        </w:rPr>
        <w:t xml:space="preserve"> a sufficient connection to Hong Kong; Second, </w:t>
      </w:r>
      <w:r w:rsidR="00C333DA">
        <w:rPr>
          <w:rFonts w:ascii="Avenir Next" w:hAnsi="Avenir Next" w:cs="Arial"/>
          <w:color w:val="808080" w:themeColor="background1" w:themeShade="80"/>
          <w:sz w:val="22"/>
          <w:szCs w:val="22"/>
          <w:lang w:val="en-GB"/>
        </w:rPr>
        <w:t xml:space="preserve">there must be </w:t>
      </w:r>
      <w:r w:rsidR="00C333DA">
        <w:rPr>
          <w:rFonts w:ascii="Avenir Next" w:hAnsi="Avenir Next" w:cs="Arial"/>
          <w:color w:val="808080" w:themeColor="background1" w:themeShade="80"/>
          <w:sz w:val="22"/>
          <w:szCs w:val="22"/>
          <w:lang w:val="en-GB"/>
        </w:rPr>
        <w:t xml:space="preserve">a reasonable possibility that the parties petitioning for the winding-up order will benefit from it; and </w:t>
      </w:r>
      <w:r w:rsidR="00C333DA">
        <w:rPr>
          <w:rFonts w:ascii="Avenir Next" w:hAnsi="Avenir Next" w:cs="Arial"/>
          <w:color w:val="808080" w:themeColor="background1" w:themeShade="80"/>
          <w:sz w:val="22"/>
          <w:szCs w:val="22"/>
          <w:lang w:val="en-GB"/>
        </w:rPr>
        <w:t>Third</w:t>
      </w:r>
      <w:r w:rsidR="00C333DA">
        <w:rPr>
          <w:rFonts w:ascii="Avenir Next" w:hAnsi="Avenir Next" w:cs="Arial"/>
          <w:color w:val="808080" w:themeColor="background1" w:themeShade="80"/>
          <w:sz w:val="22"/>
          <w:szCs w:val="22"/>
          <w:lang w:val="en-GB"/>
        </w:rPr>
        <w:t xml:space="preserve">, the court </w:t>
      </w:r>
      <w:r w:rsidR="00C333DA">
        <w:rPr>
          <w:rFonts w:ascii="Avenir Next" w:hAnsi="Avenir Next" w:cs="Arial"/>
          <w:color w:val="808080" w:themeColor="background1" w:themeShade="80"/>
          <w:sz w:val="22"/>
          <w:szCs w:val="22"/>
          <w:lang w:val="en-GB"/>
        </w:rPr>
        <w:t>must be able to</w:t>
      </w:r>
      <w:r w:rsidR="00C333DA">
        <w:rPr>
          <w:rFonts w:ascii="Avenir Next" w:hAnsi="Avenir Next" w:cs="Arial"/>
          <w:color w:val="808080" w:themeColor="background1" w:themeShade="80"/>
          <w:sz w:val="22"/>
          <w:szCs w:val="22"/>
          <w:lang w:val="en-GB"/>
        </w:rPr>
        <w:t xml:space="preserve"> exercise jurisdiction over one or more parties with an interest in the distributions from the winding up. </w:t>
      </w:r>
      <w:r w:rsidR="008D630F">
        <w:rPr>
          <w:rFonts w:ascii="Avenir Next" w:hAnsi="Avenir Next" w:cs="Arial"/>
          <w:color w:val="808080" w:themeColor="background1" w:themeShade="80"/>
          <w:sz w:val="22"/>
          <w:szCs w:val="22"/>
          <w:lang w:val="en-GB"/>
        </w:rPr>
        <w:t xml:space="preserve">If you can meet </w:t>
      </w:r>
      <w:r w:rsidR="00603652">
        <w:rPr>
          <w:rFonts w:ascii="Avenir Next" w:hAnsi="Avenir Next" w:cs="Arial"/>
          <w:color w:val="808080" w:themeColor="background1" w:themeShade="80"/>
          <w:sz w:val="22"/>
          <w:szCs w:val="22"/>
          <w:lang w:val="en-GB"/>
        </w:rPr>
        <w:t>these</w:t>
      </w:r>
      <w:r w:rsidR="008D630F">
        <w:rPr>
          <w:rFonts w:ascii="Avenir Next" w:hAnsi="Avenir Next" w:cs="Arial"/>
          <w:color w:val="808080" w:themeColor="background1" w:themeShade="80"/>
          <w:sz w:val="22"/>
          <w:szCs w:val="22"/>
          <w:lang w:val="en-GB"/>
        </w:rPr>
        <w:t xml:space="preserve"> requirements, I would advise that you attempt to open an ancillary liquidation because obtaining a stay is important to you. </w:t>
      </w:r>
    </w:p>
    <w:p w14:paraId="164F919E" w14:textId="05922AE0" w:rsidR="008C35C9" w:rsidRDefault="008C35C9" w:rsidP="008C35C9">
      <w:pPr>
        <w:jc w:val="both"/>
        <w:rPr>
          <w:rFonts w:ascii="Avenir Next" w:hAnsi="Avenir Next" w:cs="Arial"/>
          <w:sz w:val="22"/>
          <w:szCs w:val="22"/>
          <w:lang w:val="en-GB"/>
        </w:rPr>
      </w:pP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4F07231E" w14:textId="50DC6233" w:rsidR="00CC3DC4" w:rsidRDefault="00E6635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this instance, Harrier’s only option to wind up Lapwing, given that Lapwing will not cooperate, is to attempt a compulsory liquidation. As </w:t>
      </w:r>
      <w:r w:rsidR="004D66BE">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 xml:space="preserve">creditor, Harrier is eligible to file a petition with the High Court and allege that Lapwing is unable to pay its debts. However, before moving forward with the petition, there are key questions to investigate. </w:t>
      </w:r>
    </w:p>
    <w:p w14:paraId="4EA48DBE" w14:textId="69EE6B2E" w:rsidR="008C35C9" w:rsidRDefault="00E6635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 is Harrier and Lapwing’s contract subject to an arbitration clause? If so, </w:t>
      </w:r>
      <w:r w:rsidR="00CC3DC4">
        <w:rPr>
          <w:rFonts w:ascii="Avenir Next" w:hAnsi="Avenir Next" w:cs="Arial"/>
          <w:color w:val="808080" w:themeColor="background1" w:themeShade="80"/>
          <w:sz w:val="22"/>
          <w:szCs w:val="22"/>
          <w:lang w:val="en-GB"/>
        </w:rPr>
        <w:t>Harrier should be cautious about proceeding because courts have recently been unclear about whether, when the debtor denies the debt or has a bona fide dispute, the arbitration clause prevents the winding up</w:t>
      </w:r>
      <w:r w:rsidR="004D66BE">
        <w:rPr>
          <w:rFonts w:ascii="Avenir Next" w:hAnsi="Avenir Next" w:cs="Arial"/>
          <w:color w:val="808080" w:themeColor="background1" w:themeShade="80"/>
          <w:sz w:val="22"/>
          <w:szCs w:val="22"/>
          <w:lang w:val="en-GB"/>
        </w:rPr>
        <w:t xml:space="preserve"> or </w:t>
      </w:r>
      <w:r w:rsidR="004D66BE">
        <w:rPr>
          <w:rFonts w:ascii="Avenir Next" w:hAnsi="Avenir Next" w:cs="Arial"/>
          <w:color w:val="808080" w:themeColor="background1" w:themeShade="80"/>
          <w:sz w:val="22"/>
          <w:szCs w:val="22"/>
          <w:lang w:val="en-GB"/>
        </w:rPr>
        <w:lastRenderedPageBreak/>
        <w:t>not</w:t>
      </w:r>
      <w:r w:rsidR="00CC3DC4">
        <w:rPr>
          <w:rFonts w:ascii="Avenir Next" w:hAnsi="Avenir Next" w:cs="Arial"/>
          <w:color w:val="808080" w:themeColor="background1" w:themeShade="80"/>
          <w:sz w:val="22"/>
          <w:szCs w:val="22"/>
          <w:lang w:val="en-GB"/>
        </w:rPr>
        <w:t xml:space="preserve">. </w:t>
      </w:r>
      <w:r w:rsidR="004D66BE">
        <w:rPr>
          <w:rFonts w:ascii="Avenir Next" w:hAnsi="Avenir Next" w:cs="Arial"/>
          <w:color w:val="808080" w:themeColor="background1" w:themeShade="80"/>
          <w:sz w:val="22"/>
          <w:szCs w:val="22"/>
          <w:lang w:val="en-GB"/>
        </w:rPr>
        <w:t xml:space="preserve">However, the most recent precedent indicates that Lapwing is unlikely to be successful in disputing the petition if the sole basis </w:t>
      </w:r>
      <w:r w:rsidR="00825534">
        <w:rPr>
          <w:rFonts w:ascii="Avenir Next" w:hAnsi="Avenir Next" w:cs="Arial"/>
          <w:color w:val="808080" w:themeColor="background1" w:themeShade="80"/>
          <w:sz w:val="22"/>
          <w:szCs w:val="22"/>
          <w:lang w:val="en-GB"/>
        </w:rPr>
        <w:t xml:space="preserve">for the dispute </w:t>
      </w:r>
      <w:r w:rsidR="004D66BE">
        <w:rPr>
          <w:rFonts w:ascii="Avenir Next" w:hAnsi="Avenir Next" w:cs="Arial"/>
          <w:color w:val="808080" w:themeColor="background1" w:themeShade="80"/>
          <w:sz w:val="22"/>
          <w:szCs w:val="22"/>
          <w:lang w:val="en-GB"/>
        </w:rPr>
        <w:t xml:space="preserve">is the arbitration clause. </w:t>
      </w:r>
    </w:p>
    <w:p w14:paraId="0C4BA087" w14:textId="4874B759" w:rsidR="00CC3DC4" w:rsidRPr="008C35C9" w:rsidRDefault="00CC3DC4"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 Harrier should consider whether Lapwing could dispute the debt, not only because it might implicate a potential arbitration clause, but also because, if Lapwing can legitimately dispute the debt, it can force Harrier to withdraw the petition. </w:t>
      </w:r>
      <w:r w:rsidR="004D66BE">
        <w:rPr>
          <w:rFonts w:ascii="Avenir Next" w:hAnsi="Avenir Next" w:cs="Arial"/>
          <w:color w:val="808080" w:themeColor="background1" w:themeShade="80"/>
          <w:sz w:val="22"/>
          <w:szCs w:val="22"/>
          <w:lang w:val="en-GB"/>
        </w:rPr>
        <w:t xml:space="preserve">In that instance, a court would require Lapwing to do more than make a mere allegation that the debt is in dispute. Lapwing will be required to present evidence of the dispute and evidence of its solvency. However, from the facts stated, Lapwing didn’t have any issues with the products, so it’s unlikely they could legitimately dispute the debt by presenting evidence before the court. </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1109" w14:textId="77777777" w:rsidR="0053458D" w:rsidRDefault="0053458D" w:rsidP="00241B44">
      <w:r>
        <w:separator/>
      </w:r>
    </w:p>
  </w:endnote>
  <w:endnote w:type="continuationSeparator" w:id="0">
    <w:p w14:paraId="2D5336D7" w14:textId="77777777" w:rsidR="0053458D" w:rsidRDefault="0053458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3F89A66F" w:rsidR="00241FA3" w:rsidRPr="00CB75C5" w:rsidRDefault="007B7E67" w:rsidP="009B4976">
    <w:pPr>
      <w:pStyle w:val="Footer"/>
      <w:ind w:right="360"/>
      <w:rPr>
        <w:rFonts w:ascii="Avenir Next" w:hAnsi="Avenir Next" w:cs="Arial"/>
        <w:sz w:val="18"/>
        <w:szCs w:val="18"/>
        <w:lang w:val="en-GB"/>
      </w:rPr>
    </w:pPr>
    <w:r>
      <w:rPr>
        <w:rFonts w:ascii="Avenir Next" w:hAnsi="Avenir Next" w:cs="Arial"/>
        <w:sz w:val="18"/>
        <w:szCs w:val="18"/>
        <w:lang w:val="en-GB"/>
      </w:rPr>
      <w:t>202223-948</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4A72" w14:textId="77777777" w:rsidR="00B848EE" w:rsidRDefault="00B8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B5E6" w14:textId="77777777" w:rsidR="0053458D" w:rsidRDefault="0053458D" w:rsidP="00241B44">
      <w:r>
        <w:separator/>
      </w:r>
    </w:p>
  </w:footnote>
  <w:footnote w:type="continuationSeparator" w:id="0">
    <w:p w14:paraId="4C2136B2" w14:textId="77777777" w:rsidR="0053458D" w:rsidRDefault="0053458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EC7" w14:textId="77777777" w:rsidR="00B848EE" w:rsidRDefault="00B8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3E9" w14:textId="77777777" w:rsidR="00B848EE" w:rsidRDefault="00B84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D21A" w14:textId="77777777" w:rsidR="00B848EE" w:rsidRDefault="00B8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7"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7722859">
    <w:abstractNumId w:val="29"/>
  </w:num>
  <w:num w:numId="2" w16cid:durableId="925528630">
    <w:abstractNumId w:val="8"/>
  </w:num>
  <w:num w:numId="3" w16cid:durableId="478807200">
    <w:abstractNumId w:val="20"/>
  </w:num>
  <w:num w:numId="4" w16cid:durableId="1705980825">
    <w:abstractNumId w:val="16"/>
  </w:num>
  <w:num w:numId="5" w16cid:durableId="1761019801">
    <w:abstractNumId w:val="9"/>
  </w:num>
  <w:num w:numId="6" w16cid:durableId="1314412114">
    <w:abstractNumId w:val="33"/>
  </w:num>
  <w:num w:numId="7" w16cid:durableId="1009916314">
    <w:abstractNumId w:val="14"/>
  </w:num>
  <w:num w:numId="8" w16cid:durableId="825316414">
    <w:abstractNumId w:val="26"/>
  </w:num>
  <w:num w:numId="9" w16cid:durableId="2070155226">
    <w:abstractNumId w:val="30"/>
  </w:num>
  <w:num w:numId="10" w16cid:durableId="608002711">
    <w:abstractNumId w:val="10"/>
  </w:num>
  <w:num w:numId="11" w16cid:durableId="2119710640">
    <w:abstractNumId w:val="11"/>
  </w:num>
  <w:num w:numId="12" w16cid:durableId="371348846">
    <w:abstractNumId w:val="0"/>
  </w:num>
  <w:num w:numId="13" w16cid:durableId="1447655190">
    <w:abstractNumId w:val="17"/>
  </w:num>
  <w:num w:numId="14" w16cid:durableId="983849654">
    <w:abstractNumId w:val="5"/>
  </w:num>
  <w:num w:numId="15" w16cid:durableId="589197457">
    <w:abstractNumId w:val="36"/>
  </w:num>
  <w:num w:numId="16" w16cid:durableId="953102015">
    <w:abstractNumId w:val="23"/>
  </w:num>
  <w:num w:numId="17" w16cid:durableId="1916815615">
    <w:abstractNumId w:val="27"/>
  </w:num>
  <w:num w:numId="18" w16cid:durableId="764544643">
    <w:abstractNumId w:val="22"/>
  </w:num>
  <w:num w:numId="19" w16cid:durableId="1970745726">
    <w:abstractNumId w:val="19"/>
  </w:num>
  <w:num w:numId="20" w16cid:durableId="1369645778">
    <w:abstractNumId w:val="18"/>
  </w:num>
  <w:num w:numId="21" w16cid:durableId="491801081">
    <w:abstractNumId w:val="4"/>
  </w:num>
  <w:num w:numId="22" w16cid:durableId="451091727">
    <w:abstractNumId w:val="25"/>
  </w:num>
  <w:num w:numId="23" w16cid:durableId="621574391">
    <w:abstractNumId w:val="3"/>
  </w:num>
  <w:num w:numId="24" w16cid:durableId="1788088466">
    <w:abstractNumId w:val="28"/>
  </w:num>
  <w:num w:numId="25" w16cid:durableId="1550024014">
    <w:abstractNumId w:val="13"/>
  </w:num>
  <w:num w:numId="26" w16cid:durableId="1954626491">
    <w:abstractNumId w:val="2"/>
  </w:num>
  <w:num w:numId="27" w16cid:durableId="1683582877">
    <w:abstractNumId w:val="15"/>
  </w:num>
  <w:num w:numId="28" w16cid:durableId="1507597831">
    <w:abstractNumId w:val="32"/>
  </w:num>
  <w:num w:numId="29" w16cid:durableId="1775398338">
    <w:abstractNumId w:val="12"/>
  </w:num>
  <w:num w:numId="30" w16cid:durableId="869100776">
    <w:abstractNumId w:val="35"/>
  </w:num>
  <w:num w:numId="31" w16cid:durableId="1094937458">
    <w:abstractNumId w:val="34"/>
  </w:num>
  <w:num w:numId="32" w16cid:durableId="916591326">
    <w:abstractNumId w:val="24"/>
  </w:num>
  <w:num w:numId="33" w16cid:durableId="1131754399">
    <w:abstractNumId w:val="21"/>
  </w:num>
  <w:num w:numId="34" w16cid:durableId="1080520778">
    <w:abstractNumId w:val="1"/>
  </w:num>
  <w:num w:numId="35" w16cid:durableId="1635522544">
    <w:abstractNumId w:val="31"/>
  </w:num>
  <w:num w:numId="36" w16cid:durableId="2109276217">
    <w:abstractNumId w:val="6"/>
  </w:num>
  <w:num w:numId="37" w16cid:durableId="212927806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A77"/>
    <w:rsid w:val="00007BF3"/>
    <w:rsid w:val="00007C38"/>
    <w:rsid w:val="0001004A"/>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4998"/>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5F61"/>
    <w:rsid w:val="001966D9"/>
    <w:rsid w:val="001A007A"/>
    <w:rsid w:val="001A02F7"/>
    <w:rsid w:val="001A1F4E"/>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4E96"/>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5E53"/>
    <w:rsid w:val="003067CD"/>
    <w:rsid w:val="00307D85"/>
    <w:rsid w:val="00310CD9"/>
    <w:rsid w:val="003144EF"/>
    <w:rsid w:val="00315123"/>
    <w:rsid w:val="00320DBF"/>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6F4"/>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1C85"/>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6F0"/>
    <w:rsid w:val="00491C29"/>
    <w:rsid w:val="004932AD"/>
    <w:rsid w:val="00493855"/>
    <w:rsid w:val="00494C98"/>
    <w:rsid w:val="00495E79"/>
    <w:rsid w:val="0049714D"/>
    <w:rsid w:val="004A09CB"/>
    <w:rsid w:val="004A2D83"/>
    <w:rsid w:val="004A51A5"/>
    <w:rsid w:val="004A5420"/>
    <w:rsid w:val="004A57DD"/>
    <w:rsid w:val="004A57FB"/>
    <w:rsid w:val="004A60CB"/>
    <w:rsid w:val="004A7B51"/>
    <w:rsid w:val="004A7D71"/>
    <w:rsid w:val="004A7EF3"/>
    <w:rsid w:val="004B11FD"/>
    <w:rsid w:val="004B23A2"/>
    <w:rsid w:val="004B250F"/>
    <w:rsid w:val="004B6651"/>
    <w:rsid w:val="004B7DFB"/>
    <w:rsid w:val="004C554E"/>
    <w:rsid w:val="004C5A9F"/>
    <w:rsid w:val="004D0603"/>
    <w:rsid w:val="004D17F6"/>
    <w:rsid w:val="004D1A5A"/>
    <w:rsid w:val="004D1DE3"/>
    <w:rsid w:val="004D2FFF"/>
    <w:rsid w:val="004D3721"/>
    <w:rsid w:val="004D4543"/>
    <w:rsid w:val="004D5272"/>
    <w:rsid w:val="004D52A8"/>
    <w:rsid w:val="004D64F9"/>
    <w:rsid w:val="004D66BE"/>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320F"/>
    <w:rsid w:val="00515C35"/>
    <w:rsid w:val="005177FE"/>
    <w:rsid w:val="0052263B"/>
    <w:rsid w:val="005235A0"/>
    <w:rsid w:val="00524728"/>
    <w:rsid w:val="00532F16"/>
    <w:rsid w:val="005331CA"/>
    <w:rsid w:val="00533B9E"/>
    <w:rsid w:val="0053458D"/>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156E"/>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19B"/>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3652"/>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07C6"/>
    <w:rsid w:val="006B1876"/>
    <w:rsid w:val="006B29EB"/>
    <w:rsid w:val="006B2D95"/>
    <w:rsid w:val="006B300C"/>
    <w:rsid w:val="006B435A"/>
    <w:rsid w:val="006B43A3"/>
    <w:rsid w:val="006B4C64"/>
    <w:rsid w:val="006B503E"/>
    <w:rsid w:val="006B5626"/>
    <w:rsid w:val="006B676A"/>
    <w:rsid w:val="006B67AC"/>
    <w:rsid w:val="006C0B95"/>
    <w:rsid w:val="006C0D17"/>
    <w:rsid w:val="006C1470"/>
    <w:rsid w:val="006C21F3"/>
    <w:rsid w:val="006C2BBF"/>
    <w:rsid w:val="006C361E"/>
    <w:rsid w:val="006C3EFD"/>
    <w:rsid w:val="006D2BE7"/>
    <w:rsid w:val="006D5EC7"/>
    <w:rsid w:val="006D6BD5"/>
    <w:rsid w:val="006E21C4"/>
    <w:rsid w:val="006E481A"/>
    <w:rsid w:val="006E5298"/>
    <w:rsid w:val="006F400A"/>
    <w:rsid w:val="006F41CC"/>
    <w:rsid w:val="006F456C"/>
    <w:rsid w:val="006F4A78"/>
    <w:rsid w:val="006F734A"/>
    <w:rsid w:val="007004EF"/>
    <w:rsid w:val="00700D83"/>
    <w:rsid w:val="00704852"/>
    <w:rsid w:val="00705104"/>
    <w:rsid w:val="00705851"/>
    <w:rsid w:val="00705DA0"/>
    <w:rsid w:val="0070609E"/>
    <w:rsid w:val="007074E9"/>
    <w:rsid w:val="0071200D"/>
    <w:rsid w:val="00713DA4"/>
    <w:rsid w:val="00714BF1"/>
    <w:rsid w:val="00715360"/>
    <w:rsid w:val="00721383"/>
    <w:rsid w:val="00722D0C"/>
    <w:rsid w:val="007235ED"/>
    <w:rsid w:val="00723A11"/>
    <w:rsid w:val="0072450D"/>
    <w:rsid w:val="0072681C"/>
    <w:rsid w:val="0072758D"/>
    <w:rsid w:val="007302FE"/>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E67"/>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534"/>
    <w:rsid w:val="00825B36"/>
    <w:rsid w:val="008279C0"/>
    <w:rsid w:val="00830097"/>
    <w:rsid w:val="008307FE"/>
    <w:rsid w:val="00831DCC"/>
    <w:rsid w:val="00832877"/>
    <w:rsid w:val="008355EC"/>
    <w:rsid w:val="0084042E"/>
    <w:rsid w:val="008415BE"/>
    <w:rsid w:val="00844879"/>
    <w:rsid w:val="0084538A"/>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35C9"/>
    <w:rsid w:val="008C66E0"/>
    <w:rsid w:val="008C7904"/>
    <w:rsid w:val="008D630F"/>
    <w:rsid w:val="008D769A"/>
    <w:rsid w:val="008E1783"/>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3BB0"/>
    <w:rsid w:val="00B743D6"/>
    <w:rsid w:val="00B74FBD"/>
    <w:rsid w:val="00B76187"/>
    <w:rsid w:val="00B77F46"/>
    <w:rsid w:val="00B82586"/>
    <w:rsid w:val="00B829A3"/>
    <w:rsid w:val="00B82A15"/>
    <w:rsid w:val="00B83513"/>
    <w:rsid w:val="00B848EE"/>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33D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712A"/>
    <w:rsid w:val="00C902C8"/>
    <w:rsid w:val="00C919D1"/>
    <w:rsid w:val="00C963D3"/>
    <w:rsid w:val="00CA254C"/>
    <w:rsid w:val="00CA7B50"/>
    <w:rsid w:val="00CB1983"/>
    <w:rsid w:val="00CB2CBB"/>
    <w:rsid w:val="00CB6CCB"/>
    <w:rsid w:val="00CB729F"/>
    <w:rsid w:val="00CB75C5"/>
    <w:rsid w:val="00CB7CAC"/>
    <w:rsid w:val="00CC3DC4"/>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7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40CD"/>
    <w:rsid w:val="00DD6BB5"/>
    <w:rsid w:val="00DE03AF"/>
    <w:rsid w:val="00DE05BA"/>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6351"/>
    <w:rsid w:val="00E6742D"/>
    <w:rsid w:val="00E71CB0"/>
    <w:rsid w:val="00E73FB9"/>
    <w:rsid w:val="00E750D0"/>
    <w:rsid w:val="00E77C3D"/>
    <w:rsid w:val="00E85922"/>
    <w:rsid w:val="00E90971"/>
    <w:rsid w:val="00E90991"/>
    <w:rsid w:val="00E909F0"/>
    <w:rsid w:val="00E90D47"/>
    <w:rsid w:val="00E90E29"/>
    <w:rsid w:val="00E91FAB"/>
    <w:rsid w:val="00E93993"/>
    <w:rsid w:val="00E9426A"/>
    <w:rsid w:val="00E9451A"/>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50FF"/>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10</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Elizabeth L. Grube</cp:lastModifiedBy>
  <cp:revision>28</cp:revision>
  <cp:lastPrinted>2019-08-27T05:42:00Z</cp:lastPrinted>
  <dcterms:created xsi:type="dcterms:W3CDTF">2023-07-16T01:22:00Z</dcterms:created>
  <dcterms:modified xsi:type="dcterms:W3CDTF">2023-07-17T00:03:00Z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ngId">
    <vt:lpwstr>6addfee9-3e47-408c-9d0c-6515e256f960</vt:lpwstr>
  </property>
</Properties>
</file>