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F364" w14:textId="77777777" w:rsidR="00271793" w:rsidRPr="00337831" w:rsidRDefault="00D25429" w:rsidP="00B322B1">
      <w:pPr>
        <w:pStyle w:val="BodyText"/>
        <w:spacing w:after="120" w:line="360" w:lineRule="auto"/>
        <w:rPr>
          <w:rFonts w:cs="Arial"/>
          <w:b/>
          <w:sz w:val="44"/>
          <w:szCs w:val="44"/>
        </w:rPr>
      </w:pPr>
      <w:r w:rsidRPr="00337831">
        <w:rPr>
          <w:rFonts w:cs="Arial"/>
          <w:b/>
          <w:sz w:val="44"/>
          <w:szCs w:val="44"/>
        </w:rPr>
        <w:t>English</w:t>
      </w:r>
      <w:r w:rsidR="00AB0814" w:rsidRPr="00337831">
        <w:rPr>
          <w:rFonts w:cs="Arial"/>
          <w:b/>
          <w:sz w:val="44"/>
          <w:szCs w:val="44"/>
        </w:rPr>
        <w:t xml:space="preserve"> versus US bon</w:t>
      </w:r>
      <w:r w:rsidRPr="00337831">
        <w:rPr>
          <w:rFonts w:cs="Arial"/>
          <w:b/>
          <w:sz w:val="44"/>
          <w:szCs w:val="44"/>
        </w:rPr>
        <w:t>d</w:t>
      </w:r>
      <w:r w:rsidR="00AB0814" w:rsidRPr="00337831">
        <w:rPr>
          <w:rFonts w:cs="Arial"/>
          <w:b/>
          <w:sz w:val="44"/>
          <w:szCs w:val="44"/>
        </w:rPr>
        <w:t xml:space="preserve"> restr</w:t>
      </w:r>
      <w:r w:rsidRPr="00337831">
        <w:rPr>
          <w:rFonts w:cs="Arial"/>
          <w:b/>
          <w:sz w:val="44"/>
          <w:szCs w:val="44"/>
        </w:rPr>
        <w:t>uctures</w:t>
      </w:r>
    </w:p>
    <w:p w14:paraId="4D57F4A1" w14:textId="77777777" w:rsidR="00AB0814" w:rsidRPr="00337831" w:rsidRDefault="00D25429" w:rsidP="00B322B1">
      <w:pPr>
        <w:pStyle w:val="BodyText"/>
        <w:spacing w:after="120" w:line="360" w:lineRule="auto"/>
        <w:rPr>
          <w:rFonts w:cs="Arial"/>
          <w:b/>
          <w:sz w:val="36"/>
          <w:szCs w:val="36"/>
        </w:rPr>
      </w:pPr>
      <w:r w:rsidRPr="00337831">
        <w:rPr>
          <w:rFonts w:cs="Arial"/>
          <w:b/>
          <w:sz w:val="36"/>
          <w:szCs w:val="36"/>
        </w:rPr>
        <w:t xml:space="preserve">A comparison of </w:t>
      </w:r>
      <w:r w:rsidR="003F0CE9" w:rsidRPr="00337831">
        <w:rPr>
          <w:rFonts w:cs="Arial"/>
          <w:b/>
          <w:sz w:val="36"/>
          <w:szCs w:val="36"/>
        </w:rPr>
        <w:t xml:space="preserve">English </w:t>
      </w:r>
      <w:r w:rsidRPr="00337831">
        <w:rPr>
          <w:rFonts w:cs="Arial"/>
          <w:b/>
          <w:sz w:val="36"/>
          <w:szCs w:val="36"/>
        </w:rPr>
        <w:t xml:space="preserve">Schemes of Arrangement </w:t>
      </w:r>
      <w:r w:rsidR="001A5AB5" w:rsidRPr="00337831">
        <w:rPr>
          <w:rFonts w:cs="Arial"/>
          <w:b/>
          <w:sz w:val="36"/>
          <w:szCs w:val="36"/>
        </w:rPr>
        <w:t>and</w:t>
      </w:r>
      <w:r w:rsidR="00C505DA" w:rsidRPr="00337831">
        <w:rPr>
          <w:rFonts w:cs="Arial"/>
          <w:b/>
          <w:sz w:val="36"/>
          <w:szCs w:val="36"/>
        </w:rPr>
        <w:t xml:space="preserve"> “P</w:t>
      </w:r>
      <w:r w:rsidRPr="00337831">
        <w:rPr>
          <w:rFonts w:cs="Arial"/>
          <w:b/>
          <w:sz w:val="36"/>
          <w:szCs w:val="36"/>
        </w:rPr>
        <w:t>re-packs” under the US Chapter 11 Regime</w:t>
      </w:r>
    </w:p>
    <w:p w14:paraId="4250B242" w14:textId="77777777" w:rsidR="00271793" w:rsidRPr="00337831" w:rsidRDefault="00D25429" w:rsidP="00B322B1">
      <w:pPr>
        <w:pStyle w:val="BodyText"/>
        <w:spacing w:after="120" w:line="360" w:lineRule="auto"/>
        <w:rPr>
          <w:rFonts w:cs="Arial"/>
          <w:b/>
          <w:i/>
          <w:sz w:val="32"/>
          <w:szCs w:val="32"/>
        </w:rPr>
      </w:pPr>
      <w:r w:rsidRPr="00337831">
        <w:rPr>
          <w:rFonts w:cs="Arial"/>
          <w:b/>
          <w:i/>
          <w:sz w:val="32"/>
          <w:szCs w:val="32"/>
        </w:rPr>
        <w:t>Peter Bowden</w:t>
      </w:r>
    </w:p>
    <w:p w14:paraId="2CD36BCA" w14:textId="77777777" w:rsidR="00271793" w:rsidRDefault="00D25429" w:rsidP="00B322B1">
      <w:pPr>
        <w:pStyle w:val="BodyText"/>
        <w:spacing w:after="120" w:line="360" w:lineRule="auto"/>
        <w:rPr>
          <w:rFonts w:cs="Arial"/>
          <w:b/>
          <w:sz w:val="32"/>
          <w:szCs w:val="32"/>
        </w:rPr>
      </w:pPr>
      <w:r w:rsidRPr="00337831">
        <w:rPr>
          <w:rFonts w:cs="Arial"/>
          <w:b/>
          <w:sz w:val="32"/>
          <w:szCs w:val="32"/>
        </w:rPr>
        <w:t>ABSTRACT</w:t>
      </w:r>
    </w:p>
    <w:p w14:paraId="45DAE7BE" w14:textId="77777777" w:rsidR="00B86088" w:rsidRPr="00337831" w:rsidRDefault="00D25429" w:rsidP="00337831">
      <w:pPr>
        <w:pStyle w:val="BodyText"/>
        <w:spacing w:after="120" w:line="360" w:lineRule="auto"/>
        <w:rPr>
          <w:rFonts w:cs="Arial"/>
          <w:sz w:val="28"/>
          <w:szCs w:val="28"/>
        </w:rPr>
      </w:pPr>
      <w:r w:rsidRPr="00337831">
        <w:rPr>
          <w:rFonts w:cs="Arial"/>
          <w:sz w:val="28"/>
          <w:szCs w:val="28"/>
        </w:rPr>
        <w:t xml:space="preserve">England </w:t>
      </w:r>
      <w:r w:rsidR="009B68B9" w:rsidRPr="00337831">
        <w:rPr>
          <w:rFonts w:cs="Arial"/>
          <w:sz w:val="28"/>
          <w:szCs w:val="28"/>
        </w:rPr>
        <w:t xml:space="preserve">and the USA </w:t>
      </w:r>
      <w:r w:rsidRPr="00337831">
        <w:rPr>
          <w:rFonts w:cs="Arial"/>
          <w:sz w:val="28"/>
          <w:szCs w:val="28"/>
        </w:rPr>
        <w:t xml:space="preserve">have different insolvency (or bankruptcy) regimes and various, and </w:t>
      </w:r>
      <w:r w:rsidR="00FC7EFE" w:rsidRPr="00337831">
        <w:rPr>
          <w:rFonts w:cs="Arial"/>
          <w:sz w:val="28"/>
          <w:szCs w:val="28"/>
        </w:rPr>
        <w:t>diverse</w:t>
      </w:r>
      <w:r w:rsidRPr="00337831">
        <w:rPr>
          <w:rFonts w:cs="Arial"/>
          <w:sz w:val="28"/>
          <w:szCs w:val="28"/>
        </w:rPr>
        <w:t xml:space="preserve">, </w:t>
      </w:r>
      <w:r w:rsidR="00FC7EFE" w:rsidRPr="00337831">
        <w:rPr>
          <w:rFonts w:cs="Arial"/>
          <w:sz w:val="28"/>
          <w:szCs w:val="28"/>
        </w:rPr>
        <w:t>procedures</w:t>
      </w:r>
      <w:r w:rsidRPr="00337831">
        <w:rPr>
          <w:rFonts w:cs="Arial"/>
          <w:sz w:val="28"/>
          <w:szCs w:val="28"/>
        </w:rPr>
        <w:t xml:space="preserve"> available for restructuring distressed businesses.  Depending on the </w:t>
      </w:r>
      <w:r w:rsidR="004E7B23" w:rsidRPr="00337831">
        <w:rPr>
          <w:rFonts w:cs="Arial"/>
          <w:sz w:val="28"/>
          <w:szCs w:val="28"/>
        </w:rPr>
        <w:t>restructuring</w:t>
      </w:r>
      <w:r w:rsidRPr="00337831">
        <w:rPr>
          <w:rFonts w:cs="Arial"/>
          <w:sz w:val="28"/>
          <w:szCs w:val="28"/>
        </w:rPr>
        <w:t xml:space="preserve"> method,</w:t>
      </w:r>
      <w:r w:rsidR="00F159FC" w:rsidRPr="00337831">
        <w:rPr>
          <w:rFonts w:cs="Arial"/>
          <w:sz w:val="28"/>
          <w:szCs w:val="28"/>
        </w:rPr>
        <w:t xml:space="preserve"> C</w:t>
      </w:r>
      <w:r w:rsidRPr="00337831">
        <w:rPr>
          <w:rFonts w:cs="Arial"/>
          <w:sz w:val="28"/>
          <w:szCs w:val="28"/>
        </w:rPr>
        <w:t>ourt intervention</w:t>
      </w:r>
      <w:r w:rsidR="00F159FC" w:rsidRPr="00337831">
        <w:rPr>
          <w:rFonts w:cs="Arial"/>
          <w:sz w:val="28"/>
          <w:szCs w:val="28"/>
        </w:rPr>
        <w:t xml:space="preserve"> may or may not be required</w:t>
      </w:r>
      <w:r w:rsidR="00E805BB" w:rsidRPr="00337831">
        <w:rPr>
          <w:rFonts w:cs="Arial"/>
          <w:sz w:val="28"/>
          <w:szCs w:val="28"/>
        </w:rPr>
        <w:t xml:space="preserve">.  Two of the </w:t>
      </w:r>
      <w:r w:rsidRPr="00337831">
        <w:rPr>
          <w:rFonts w:cs="Arial"/>
          <w:sz w:val="28"/>
          <w:szCs w:val="28"/>
        </w:rPr>
        <w:t>more</w:t>
      </w:r>
      <w:r w:rsidR="00E805BB" w:rsidRPr="00337831">
        <w:rPr>
          <w:rFonts w:cs="Arial"/>
          <w:sz w:val="28"/>
          <w:szCs w:val="28"/>
        </w:rPr>
        <w:t xml:space="preserve"> popular methods for effecting restructures</w:t>
      </w:r>
      <w:r w:rsidR="00FC7EFE" w:rsidRPr="00337831">
        <w:rPr>
          <w:rFonts w:cs="Arial"/>
          <w:sz w:val="28"/>
          <w:szCs w:val="28"/>
        </w:rPr>
        <w:t xml:space="preserve"> and/or </w:t>
      </w:r>
      <w:r w:rsidR="006351BC" w:rsidRPr="00337831">
        <w:rPr>
          <w:rFonts w:cs="Arial"/>
          <w:sz w:val="28"/>
          <w:szCs w:val="28"/>
        </w:rPr>
        <w:t>restructuring</w:t>
      </w:r>
      <w:r w:rsidR="00FC7EFE" w:rsidRPr="00337831">
        <w:rPr>
          <w:rFonts w:cs="Arial"/>
          <w:sz w:val="28"/>
          <w:szCs w:val="28"/>
        </w:rPr>
        <w:t xml:space="preserve"> debt</w:t>
      </w:r>
      <w:r w:rsidR="00F159FC" w:rsidRPr="00337831">
        <w:rPr>
          <w:rFonts w:cs="Arial"/>
          <w:sz w:val="28"/>
          <w:szCs w:val="28"/>
        </w:rPr>
        <w:t>,</w:t>
      </w:r>
      <w:r w:rsidR="00E805BB" w:rsidRPr="00337831">
        <w:rPr>
          <w:rFonts w:cs="Arial"/>
          <w:sz w:val="28"/>
          <w:szCs w:val="28"/>
        </w:rPr>
        <w:t xml:space="preserve"> </w:t>
      </w:r>
      <w:r w:rsidRPr="00337831">
        <w:rPr>
          <w:rFonts w:cs="Arial"/>
          <w:sz w:val="28"/>
          <w:szCs w:val="28"/>
        </w:rPr>
        <w:t>that require Court intervention</w:t>
      </w:r>
      <w:r w:rsidR="00F159FC" w:rsidRPr="00337831">
        <w:rPr>
          <w:rFonts w:cs="Arial"/>
          <w:sz w:val="28"/>
          <w:szCs w:val="28"/>
        </w:rPr>
        <w:t>,</w:t>
      </w:r>
      <w:r w:rsidRPr="00337831">
        <w:rPr>
          <w:rFonts w:cs="Arial"/>
          <w:sz w:val="28"/>
          <w:szCs w:val="28"/>
        </w:rPr>
        <w:t xml:space="preserve"> </w:t>
      </w:r>
      <w:r w:rsidR="00E805BB" w:rsidRPr="00337831">
        <w:rPr>
          <w:rFonts w:cs="Arial"/>
          <w:sz w:val="28"/>
          <w:szCs w:val="28"/>
        </w:rPr>
        <w:t>are Schemes of Arrangement (or “Schemes</w:t>
      </w:r>
      <w:r w:rsidRPr="00337831">
        <w:rPr>
          <w:rFonts w:cs="Arial"/>
          <w:sz w:val="28"/>
          <w:szCs w:val="28"/>
        </w:rPr>
        <w:t xml:space="preserve">”) in England </w:t>
      </w:r>
      <w:r w:rsidR="00E805BB" w:rsidRPr="00337831">
        <w:rPr>
          <w:rFonts w:cs="Arial"/>
          <w:sz w:val="28"/>
          <w:szCs w:val="28"/>
        </w:rPr>
        <w:t xml:space="preserve">and </w:t>
      </w:r>
      <w:r w:rsidRPr="00337831">
        <w:rPr>
          <w:rFonts w:cs="Arial"/>
          <w:sz w:val="28"/>
          <w:szCs w:val="28"/>
        </w:rPr>
        <w:t>pre-packaged</w:t>
      </w:r>
      <w:r w:rsidR="00E805BB" w:rsidRPr="00337831">
        <w:rPr>
          <w:rFonts w:cs="Arial"/>
          <w:sz w:val="28"/>
          <w:szCs w:val="28"/>
        </w:rPr>
        <w:t xml:space="preserve"> </w:t>
      </w:r>
      <w:r w:rsidR="000A1704" w:rsidRPr="00337831">
        <w:rPr>
          <w:rFonts w:cs="Arial"/>
          <w:sz w:val="28"/>
          <w:szCs w:val="28"/>
        </w:rPr>
        <w:t>bankruptcies (or “P</w:t>
      </w:r>
      <w:r w:rsidRPr="00337831">
        <w:rPr>
          <w:rFonts w:cs="Arial"/>
          <w:sz w:val="28"/>
          <w:szCs w:val="28"/>
        </w:rPr>
        <w:t xml:space="preserve">re-packs”) under the USA’s Chapter 11 regime.  While these </w:t>
      </w:r>
      <w:r w:rsidR="006265EB" w:rsidRPr="00337831">
        <w:rPr>
          <w:rFonts w:cs="Arial"/>
          <w:sz w:val="28"/>
          <w:szCs w:val="28"/>
        </w:rPr>
        <w:t>approaches</w:t>
      </w:r>
      <w:r w:rsidRPr="00337831">
        <w:rPr>
          <w:rFonts w:cs="Arial"/>
          <w:sz w:val="28"/>
          <w:szCs w:val="28"/>
        </w:rPr>
        <w:t xml:space="preserve"> certainly have their </w:t>
      </w:r>
      <w:r w:rsidR="00FC7EFE" w:rsidRPr="00337831">
        <w:rPr>
          <w:rFonts w:cs="Arial"/>
          <w:sz w:val="28"/>
          <w:szCs w:val="28"/>
        </w:rPr>
        <w:t>similarities</w:t>
      </w:r>
      <w:r w:rsidRPr="00337831">
        <w:rPr>
          <w:rFonts w:cs="Arial"/>
          <w:sz w:val="28"/>
          <w:szCs w:val="28"/>
        </w:rPr>
        <w:t xml:space="preserve">, there are also various, and </w:t>
      </w:r>
      <w:r w:rsidR="00FC7EFE" w:rsidRPr="00337831">
        <w:rPr>
          <w:rFonts w:cs="Arial"/>
          <w:sz w:val="28"/>
          <w:szCs w:val="28"/>
        </w:rPr>
        <w:t>important</w:t>
      </w:r>
      <w:r w:rsidRPr="00337831">
        <w:rPr>
          <w:rFonts w:cs="Arial"/>
          <w:sz w:val="28"/>
          <w:szCs w:val="28"/>
        </w:rPr>
        <w:t xml:space="preserve">, differences.  The purpose of this paper is to </w:t>
      </w:r>
      <w:r w:rsidR="00FC7EFE" w:rsidRPr="00337831">
        <w:rPr>
          <w:rFonts w:cs="Arial"/>
          <w:sz w:val="28"/>
          <w:szCs w:val="28"/>
        </w:rPr>
        <w:t xml:space="preserve">highlight such differences and </w:t>
      </w:r>
      <w:r w:rsidRPr="00337831">
        <w:rPr>
          <w:rFonts w:cs="Arial"/>
          <w:sz w:val="28"/>
          <w:szCs w:val="28"/>
        </w:rPr>
        <w:t>compare and contrast the use of an English scheme of arrangement wi</w:t>
      </w:r>
      <w:r w:rsidR="000A1704" w:rsidRPr="00337831">
        <w:rPr>
          <w:rFonts w:cs="Arial"/>
          <w:sz w:val="28"/>
          <w:szCs w:val="28"/>
        </w:rPr>
        <w:t>th the use of a US Chapter 11 “P</w:t>
      </w:r>
      <w:r w:rsidRPr="00337831">
        <w:rPr>
          <w:rFonts w:cs="Arial"/>
          <w:sz w:val="28"/>
          <w:szCs w:val="28"/>
        </w:rPr>
        <w:t>re-pack” to restructure a single class of bond debt while leaving other creditors and equity holders unaffected.</w:t>
      </w:r>
    </w:p>
    <w:p w14:paraId="79F9492C" w14:textId="77777777" w:rsidR="00B86088" w:rsidRPr="00337831" w:rsidRDefault="00B86088" w:rsidP="00B322B1">
      <w:pPr>
        <w:pStyle w:val="BodyText"/>
        <w:spacing w:after="120" w:line="360" w:lineRule="auto"/>
        <w:rPr>
          <w:rFonts w:cs="Arial"/>
          <w:sz w:val="22"/>
          <w:szCs w:val="22"/>
        </w:rPr>
      </w:pPr>
    </w:p>
    <w:p w14:paraId="6B79256D" w14:textId="77777777" w:rsidR="00B322B1" w:rsidRPr="00337831" w:rsidRDefault="00D25429" w:rsidP="00B322B1">
      <w:pPr>
        <w:spacing w:after="120" w:line="360" w:lineRule="auto"/>
        <w:rPr>
          <w:rFonts w:cs="Arial"/>
          <w:b/>
          <w:sz w:val="22"/>
          <w:szCs w:val="22"/>
        </w:rPr>
      </w:pPr>
      <w:r w:rsidRPr="00337831">
        <w:rPr>
          <w:rFonts w:cs="Arial"/>
          <w:b/>
          <w:sz w:val="22"/>
          <w:szCs w:val="22"/>
        </w:rPr>
        <w:br w:type="page"/>
      </w:r>
    </w:p>
    <w:p w14:paraId="219DBDF6" w14:textId="77777777" w:rsidR="00271793" w:rsidRPr="00337831" w:rsidRDefault="00D25429" w:rsidP="00B322B1">
      <w:pPr>
        <w:pStyle w:val="BodyText"/>
        <w:spacing w:after="120" w:line="360" w:lineRule="auto"/>
        <w:rPr>
          <w:rFonts w:cs="Arial"/>
          <w:b/>
          <w:sz w:val="24"/>
          <w:szCs w:val="24"/>
        </w:rPr>
      </w:pPr>
      <w:r w:rsidRPr="00337831">
        <w:rPr>
          <w:rFonts w:cs="Arial"/>
          <w:b/>
          <w:sz w:val="24"/>
          <w:szCs w:val="24"/>
        </w:rPr>
        <w:lastRenderedPageBreak/>
        <w:t>TABLE OF CONTENTS</w:t>
      </w:r>
    </w:p>
    <w:p w14:paraId="3B8D477B" w14:textId="77777777" w:rsidR="00337831" w:rsidRDefault="00D25429">
      <w:pPr>
        <w:pStyle w:val="TOC1"/>
        <w:tabs>
          <w:tab w:val="left" w:pos="1701"/>
        </w:tabs>
        <w:rPr>
          <w:rFonts w:asciiTheme="minorHAnsi" w:eastAsiaTheme="minorEastAsia" w:hAnsiTheme="minorHAnsi" w:cstheme="minorBidi"/>
          <w:noProof/>
          <w:sz w:val="22"/>
          <w:szCs w:val="22"/>
        </w:rPr>
      </w:pPr>
      <w:r w:rsidRPr="00337831">
        <w:rPr>
          <w:rFonts w:cs="Arial"/>
          <w:sz w:val="22"/>
          <w:szCs w:val="22"/>
        </w:rPr>
        <w:fldChar w:fldCharType="begin"/>
      </w:r>
      <w:r w:rsidRPr="00337831">
        <w:rPr>
          <w:rFonts w:cs="Arial"/>
          <w:sz w:val="22"/>
          <w:szCs w:val="22"/>
        </w:rPr>
        <w:instrText xml:space="preserve"> TOC \n 5-6 \f \t "Heading 1,1,Heading 1A,1,Heading 2,2,Heading 2A,2,Heading 6,4,Heading 6A,4,Heading 8,5,Heading 9,4,Heading 1 Signing,1" </w:instrText>
      </w:r>
      <w:r w:rsidRPr="00337831">
        <w:rPr>
          <w:rFonts w:cs="Arial"/>
          <w:sz w:val="22"/>
          <w:szCs w:val="22"/>
        </w:rPr>
        <w:fldChar w:fldCharType="separate"/>
      </w:r>
      <w:r w:rsidR="00337831" w:rsidRPr="00774A04">
        <w:rPr>
          <w:rFonts w:cs="Arial"/>
          <w:noProof/>
        </w:rPr>
        <w:t>1</w:t>
      </w:r>
      <w:r w:rsidR="00337831">
        <w:rPr>
          <w:rFonts w:asciiTheme="minorHAnsi" w:eastAsiaTheme="minorEastAsia" w:hAnsiTheme="minorHAnsi" w:cstheme="minorBidi"/>
          <w:noProof/>
          <w:sz w:val="22"/>
          <w:szCs w:val="22"/>
        </w:rPr>
        <w:tab/>
      </w:r>
      <w:r w:rsidR="00337831" w:rsidRPr="00774A04">
        <w:rPr>
          <w:rFonts w:cs="Arial"/>
          <w:noProof/>
        </w:rPr>
        <w:t>INTRODUCTION</w:t>
      </w:r>
      <w:r w:rsidR="00337831">
        <w:rPr>
          <w:noProof/>
        </w:rPr>
        <w:tab/>
      </w:r>
      <w:r w:rsidR="00337831">
        <w:rPr>
          <w:noProof/>
        </w:rPr>
        <w:fldChar w:fldCharType="begin"/>
      </w:r>
      <w:r w:rsidR="00337831">
        <w:rPr>
          <w:noProof/>
        </w:rPr>
        <w:instrText xml:space="preserve"> PAGEREF _Toc32686576 \h </w:instrText>
      </w:r>
      <w:r w:rsidR="00337831">
        <w:rPr>
          <w:noProof/>
        </w:rPr>
      </w:r>
      <w:r w:rsidR="00337831">
        <w:rPr>
          <w:noProof/>
        </w:rPr>
        <w:fldChar w:fldCharType="separate"/>
      </w:r>
      <w:r w:rsidR="005B7B4E">
        <w:rPr>
          <w:noProof/>
        </w:rPr>
        <w:t>3</w:t>
      </w:r>
      <w:r w:rsidR="00337831">
        <w:rPr>
          <w:noProof/>
        </w:rPr>
        <w:fldChar w:fldCharType="end"/>
      </w:r>
    </w:p>
    <w:p w14:paraId="35FC0D9B" w14:textId="77777777" w:rsidR="00337831" w:rsidRDefault="00337831">
      <w:pPr>
        <w:pStyle w:val="TOC1"/>
        <w:tabs>
          <w:tab w:val="left" w:pos="1701"/>
        </w:tabs>
        <w:rPr>
          <w:rFonts w:asciiTheme="minorHAnsi" w:eastAsiaTheme="minorEastAsia" w:hAnsiTheme="minorHAnsi" w:cstheme="minorBidi"/>
          <w:noProof/>
          <w:sz w:val="22"/>
          <w:szCs w:val="22"/>
        </w:rPr>
      </w:pPr>
      <w:r w:rsidRPr="00774A04">
        <w:rPr>
          <w:rFonts w:cs="Arial"/>
          <w:noProof/>
        </w:rPr>
        <w:t>2</w:t>
      </w:r>
      <w:r>
        <w:rPr>
          <w:rFonts w:asciiTheme="minorHAnsi" w:eastAsiaTheme="minorEastAsia" w:hAnsiTheme="minorHAnsi" w:cstheme="minorBidi"/>
          <w:noProof/>
          <w:sz w:val="22"/>
          <w:szCs w:val="22"/>
        </w:rPr>
        <w:tab/>
      </w:r>
      <w:r w:rsidRPr="00774A04">
        <w:rPr>
          <w:rFonts w:cs="Arial"/>
          <w:noProof/>
        </w:rPr>
        <w:t>ENGLISH SCHEMES</w:t>
      </w:r>
      <w:r>
        <w:rPr>
          <w:noProof/>
        </w:rPr>
        <w:tab/>
      </w:r>
      <w:r>
        <w:rPr>
          <w:noProof/>
        </w:rPr>
        <w:fldChar w:fldCharType="begin"/>
      </w:r>
      <w:r>
        <w:rPr>
          <w:noProof/>
        </w:rPr>
        <w:instrText xml:space="preserve"> PAGEREF _Toc32686577 \h </w:instrText>
      </w:r>
      <w:r>
        <w:rPr>
          <w:noProof/>
        </w:rPr>
      </w:r>
      <w:r>
        <w:rPr>
          <w:noProof/>
        </w:rPr>
        <w:fldChar w:fldCharType="separate"/>
      </w:r>
      <w:r w:rsidR="005B7B4E">
        <w:rPr>
          <w:noProof/>
        </w:rPr>
        <w:t>4</w:t>
      </w:r>
      <w:r>
        <w:rPr>
          <w:noProof/>
        </w:rPr>
        <w:fldChar w:fldCharType="end"/>
      </w:r>
    </w:p>
    <w:p w14:paraId="21A2B792" w14:textId="77777777" w:rsidR="00337831" w:rsidRDefault="00337831">
      <w:pPr>
        <w:pStyle w:val="TOC2"/>
        <w:rPr>
          <w:rFonts w:asciiTheme="minorHAnsi" w:eastAsiaTheme="minorEastAsia" w:hAnsiTheme="minorHAnsi" w:cstheme="minorBidi"/>
          <w:sz w:val="22"/>
          <w:szCs w:val="22"/>
        </w:rPr>
      </w:pPr>
      <w:r w:rsidRPr="00774A04">
        <w:rPr>
          <w:rFonts w:cs="Arial"/>
          <w:b/>
        </w:rPr>
        <w:t>2.1</w:t>
      </w:r>
      <w:r>
        <w:rPr>
          <w:rFonts w:asciiTheme="minorHAnsi" w:eastAsiaTheme="minorEastAsia" w:hAnsiTheme="minorHAnsi" w:cstheme="minorBidi"/>
          <w:sz w:val="22"/>
          <w:szCs w:val="22"/>
        </w:rPr>
        <w:tab/>
      </w:r>
      <w:r w:rsidRPr="00774A04">
        <w:rPr>
          <w:rFonts w:cs="Arial"/>
          <w:b/>
        </w:rPr>
        <w:t>Summary of English Schemes</w:t>
      </w:r>
      <w:r>
        <w:tab/>
      </w:r>
      <w:r>
        <w:fldChar w:fldCharType="begin"/>
      </w:r>
      <w:r>
        <w:instrText xml:space="preserve"> PAGEREF _Toc32686578 \h </w:instrText>
      </w:r>
      <w:r>
        <w:fldChar w:fldCharType="separate"/>
      </w:r>
      <w:r w:rsidR="005B7B4E">
        <w:t>4</w:t>
      </w:r>
      <w:r>
        <w:fldChar w:fldCharType="end"/>
      </w:r>
    </w:p>
    <w:p w14:paraId="7A6921B8" w14:textId="77777777" w:rsidR="00337831" w:rsidRDefault="00337831">
      <w:pPr>
        <w:pStyle w:val="TOC2"/>
        <w:rPr>
          <w:rFonts w:asciiTheme="minorHAnsi" w:eastAsiaTheme="minorEastAsia" w:hAnsiTheme="minorHAnsi" w:cstheme="minorBidi"/>
          <w:sz w:val="22"/>
          <w:szCs w:val="22"/>
        </w:rPr>
      </w:pPr>
      <w:r w:rsidRPr="00774A04">
        <w:rPr>
          <w:rFonts w:cs="Arial"/>
          <w:b/>
        </w:rPr>
        <w:t>2.2</w:t>
      </w:r>
      <w:r>
        <w:rPr>
          <w:rFonts w:asciiTheme="minorHAnsi" w:eastAsiaTheme="minorEastAsia" w:hAnsiTheme="minorHAnsi" w:cstheme="minorBidi"/>
          <w:sz w:val="22"/>
          <w:szCs w:val="22"/>
        </w:rPr>
        <w:tab/>
      </w:r>
      <w:r w:rsidRPr="00774A04">
        <w:rPr>
          <w:rFonts w:cs="Arial"/>
          <w:b/>
        </w:rPr>
        <w:t>Implementation of a Scheme</w:t>
      </w:r>
      <w:r>
        <w:tab/>
      </w:r>
      <w:r>
        <w:fldChar w:fldCharType="begin"/>
      </w:r>
      <w:r>
        <w:instrText xml:space="preserve"> PAGEREF _Toc32686579 \h </w:instrText>
      </w:r>
      <w:r>
        <w:fldChar w:fldCharType="separate"/>
      </w:r>
      <w:r w:rsidR="005B7B4E">
        <w:t>4</w:t>
      </w:r>
      <w:r>
        <w:fldChar w:fldCharType="end"/>
      </w:r>
    </w:p>
    <w:p w14:paraId="2E3F8D33" w14:textId="77777777" w:rsidR="00337831" w:rsidRDefault="00337831">
      <w:pPr>
        <w:pStyle w:val="TOC1"/>
        <w:tabs>
          <w:tab w:val="left" w:pos="1701"/>
        </w:tabs>
        <w:rPr>
          <w:rFonts w:asciiTheme="minorHAnsi" w:eastAsiaTheme="minorEastAsia" w:hAnsiTheme="minorHAnsi" w:cstheme="minorBidi"/>
          <w:noProof/>
          <w:sz w:val="22"/>
          <w:szCs w:val="22"/>
        </w:rPr>
      </w:pPr>
      <w:r w:rsidRPr="00774A04">
        <w:rPr>
          <w:rFonts w:cs="Arial"/>
          <w:noProof/>
        </w:rPr>
        <w:t>3</w:t>
      </w:r>
      <w:r>
        <w:rPr>
          <w:rFonts w:asciiTheme="minorHAnsi" w:eastAsiaTheme="minorEastAsia" w:hAnsiTheme="minorHAnsi" w:cstheme="minorBidi"/>
          <w:noProof/>
          <w:sz w:val="22"/>
          <w:szCs w:val="22"/>
        </w:rPr>
        <w:tab/>
      </w:r>
      <w:r w:rsidRPr="00774A04">
        <w:rPr>
          <w:rFonts w:cs="Arial"/>
          <w:noProof/>
        </w:rPr>
        <w:t>OVERVIEW OF US PRE-PACKS</w:t>
      </w:r>
      <w:r>
        <w:rPr>
          <w:noProof/>
        </w:rPr>
        <w:tab/>
      </w:r>
      <w:r>
        <w:rPr>
          <w:noProof/>
        </w:rPr>
        <w:fldChar w:fldCharType="begin"/>
      </w:r>
      <w:r>
        <w:rPr>
          <w:noProof/>
        </w:rPr>
        <w:instrText xml:space="preserve"> PAGEREF _Toc32686580 \h </w:instrText>
      </w:r>
      <w:r>
        <w:rPr>
          <w:noProof/>
        </w:rPr>
      </w:r>
      <w:r>
        <w:rPr>
          <w:noProof/>
        </w:rPr>
        <w:fldChar w:fldCharType="separate"/>
      </w:r>
      <w:r w:rsidR="005B7B4E">
        <w:rPr>
          <w:noProof/>
        </w:rPr>
        <w:t>6</w:t>
      </w:r>
      <w:r>
        <w:rPr>
          <w:noProof/>
        </w:rPr>
        <w:fldChar w:fldCharType="end"/>
      </w:r>
    </w:p>
    <w:p w14:paraId="5718B305" w14:textId="77777777" w:rsidR="00337831" w:rsidRDefault="00337831">
      <w:pPr>
        <w:pStyle w:val="TOC2"/>
        <w:rPr>
          <w:rFonts w:asciiTheme="minorHAnsi" w:eastAsiaTheme="minorEastAsia" w:hAnsiTheme="minorHAnsi" w:cstheme="minorBidi"/>
          <w:sz w:val="22"/>
          <w:szCs w:val="22"/>
        </w:rPr>
      </w:pPr>
      <w:r w:rsidRPr="00774A04">
        <w:rPr>
          <w:rFonts w:cs="Arial"/>
          <w:b/>
        </w:rPr>
        <w:t>3.1</w:t>
      </w:r>
      <w:r>
        <w:rPr>
          <w:rFonts w:asciiTheme="minorHAnsi" w:eastAsiaTheme="minorEastAsia" w:hAnsiTheme="minorHAnsi" w:cstheme="minorBidi"/>
          <w:sz w:val="22"/>
          <w:szCs w:val="22"/>
        </w:rPr>
        <w:tab/>
      </w:r>
      <w:r w:rsidRPr="00774A04">
        <w:rPr>
          <w:rFonts w:cs="Arial"/>
          <w:b/>
        </w:rPr>
        <w:t>Summary of Chapter 11 Pre-packs</w:t>
      </w:r>
      <w:r>
        <w:tab/>
      </w:r>
      <w:r>
        <w:fldChar w:fldCharType="begin"/>
      </w:r>
      <w:r>
        <w:instrText xml:space="preserve"> PAGEREF _Toc32686581 \h </w:instrText>
      </w:r>
      <w:r>
        <w:fldChar w:fldCharType="separate"/>
      </w:r>
      <w:r w:rsidR="005B7B4E">
        <w:t>6</w:t>
      </w:r>
      <w:r>
        <w:fldChar w:fldCharType="end"/>
      </w:r>
    </w:p>
    <w:p w14:paraId="6998AA52" w14:textId="77777777" w:rsidR="00337831" w:rsidRDefault="00337831">
      <w:pPr>
        <w:pStyle w:val="TOC2"/>
        <w:rPr>
          <w:rFonts w:asciiTheme="minorHAnsi" w:eastAsiaTheme="minorEastAsia" w:hAnsiTheme="minorHAnsi" w:cstheme="minorBidi"/>
          <w:sz w:val="22"/>
          <w:szCs w:val="22"/>
        </w:rPr>
      </w:pPr>
      <w:r w:rsidRPr="00774A04">
        <w:rPr>
          <w:rFonts w:cs="Arial"/>
          <w:b/>
        </w:rPr>
        <w:t>3.2</w:t>
      </w:r>
      <w:r>
        <w:rPr>
          <w:rFonts w:asciiTheme="minorHAnsi" w:eastAsiaTheme="minorEastAsia" w:hAnsiTheme="minorHAnsi" w:cstheme="minorBidi"/>
          <w:sz w:val="22"/>
          <w:szCs w:val="22"/>
        </w:rPr>
        <w:tab/>
      </w:r>
      <w:r w:rsidRPr="00774A04">
        <w:rPr>
          <w:rFonts w:cs="Arial"/>
          <w:b/>
        </w:rPr>
        <w:t>Implementation of a Chapter 11 Pre-pack</w:t>
      </w:r>
      <w:r>
        <w:tab/>
      </w:r>
      <w:r>
        <w:fldChar w:fldCharType="begin"/>
      </w:r>
      <w:r>
        <w:instrText xml:space="preserve"> PAGEREF _Toc32686582 \h </w:instrText>
      </w:r>
      <w:r>
        <w:fldChar w:fldCharType="separate"/>
      </w:r>
      <w:r w:rsidR="005B7B4E">
        <w:t>7</w:t>
      </w:r>
      <w:r>
        <w:fldChar w:fldCharType="end"/>
      </w:r>
    </w:p>
    <w:p w14:paraId="20CAEE06" w14:textId="77777777" w:rsidR="00337831" w:rsidRDefault="00337831">
      <w:pPr>
        <w:pStyle w:val="TOC1"/>
        <w:tabs>
          <w:tab w:val="left" w:pos="1701"/>
        </w:tabs>
        <w:rPr>
          <w:rFonts w:asciiTheme="minorHAnsi" w:eastAsiaTheme="minorEastAsia" w:hAnsiTheme="minorHAnsi" w:cstheme="minorBidi"/>
          <w:noProof/>
          <w:sz w:val="22"/>
          <w:szCs w:val="22"/>
        </w:rPr>
      </w:pPr>
      <w:r w:rsidRPr="00774A04">
        <w:rPr>
          <w:rFonts w:cs="Arial"/>
          <w:noProof/>
        </w:rPr>
        <w:t>4</w:t>
      </w:r>
      <w:r>
        <w:rPr>
          <w:rFonts w:asciiTheme="minorHAnsi" w:eastAsiaTheme="minorEastAsia" w:hAnsiTheme="minorHAnsi" w:cstheme="minorBidi"/>
          <w:noProof/>
          <w:sz w:val="22"/>
          <w:szCs w:val="22"/>
        </w:rPr>
        <w:tab/>
      </w:r>
      <w:r w:rsidRPr="00774A04">
        <w:rPr>
          <w:rFonts w:cs="Arial"/>
          <w:noProof/>
        </w:rPr>
        <w:t>COMPARATIVE ANALYSIS</w:t>
      </w:r>
      <w:r>
        <w:rPr>
          <w:noProof/>
        </w:rPr>
        <w:tab/>
      </w:r>
      <w:r>
        <w:rPr>
          <w:noProof/>
        </w:rPr>
        <w:fldChar w:fldCharType="begin"/>
      </w:r>
      <w:r>
        <w:rPr>
          <w:noProof/>
        </w:rPr>
        <w:instrText xml:space="preserve"> PAGEREF _Toc32686583 \h </w:instrText>
      </w:r>
      <w:r>
        <w:rPr>
          <w:noProof/>
        </w:rPr>
      </w:r>
      <w:r>
        <w:rPr>
          <w:noProof/>
        </w:rPr>
        <w:fldChar w:fldCharType="separate"/>
      </w:r>
      <w:r w:rsidR="005B7B4E">
        <w:rPr>
          <w:noProof/>
        </w:rPr>
        <w:t>9</w:t>
      </w:r>
      <w:r>
        <w:rPr>
          <w:noProof/>
        </w:rPr>
        <w:fldChar w:fldCharType="end"/>
      </w:r>
    </w:p>
    <w:p w14:paraId="241A14AD" w14:textId="77777777" w:rsidR="00337831" w:rsidRDefault="00337831">
      <w:pPr>
        <w:pStyle w:val="TOC2"/>
        <w:rPr>
          <w:rFonts w:asciiTheme="minorHAnsi" w:eastAsiaTheme="minorEastAsia" w:hAnsiTheme="minorHAnsi" w:cstheme="minorBidi"/>
          <w:sz w:val="22"/>
          <w:szCs w:val="22"/>
        </w:rPr>
      </w:pPr>
      <w:r w:rsidRPr="00774A04">
        <w:rPr>
          <w:rFonts w:cs="Arial"/>
          <w:b/>
          <w:lang w:val="en-US"/>
        </w:rPr>
        <w:t>4.1</w:t>
      </w:r>
      <w:r>
        <w:rPr>
          <w:rFonts w:asciiTheme="minorHAnsi" w:eastAsiaTheme="minorEastAsia" w:hAnsiTheme="minorHAnsi" w:cstheme="minorBidi"/>
          <w:sz w:val="22"/>
          <w:szCs w:val="22"/>
        </w:rPr>
        <w:tab/>
      </w:r>
      <w:r w:rsidRPr="00774A04">
        <w:rPr>
          <w:rFonts w:cs="Arial"/>
          <w:b/>
          <w:lang w:val="en-US"/>
        </w:rPr>
        <w:t>Similarities between Schemes and Pre-packs</w:t>
      </w:r>
      <w:r>
        <w:tab/>
      </w:r>
      <w:r>
        <w:fldChar w:fldCharType="begin"/>
      </w:r>
      <w:r>
        <w:instrText xml:space="preserve"> PAGEREF _Toc32686584 \h </w:instrText>
      </w:r>
      <w:r>
        <w:fldChar w:fldCharType="separate"/>
      </w:r>
      <w:r w:rsidR="005B7B4E">
        <w:t>9</w:t>
      </w:r>
      <w:r>
        <w:fldChar w:fldCharType="end"/>
      </w:r>
    </w:p>
    <w:p w14:paraId="1798090B" w14:textId="77777777" w:rsidR="00337831" w:rsidRDefault="00337831">
      <w:pPr>
        <w:pStyle w:val="TOC2"/>
        <w:rPr>
          <w:rFonts w:asciiTheme="minorHAnsi" w:eastAsiaTheme="minorEastAsia" w:hAnsiTheme="minorHAnsi" w:cstheme="minorBidi"/>
          <w:sz w:val="22"/>
          <w:szCs w:val="22"/>
        </w:rPr>
      </w:pPr>
      <w:r w:rsidRPr="00774A04">
        <w:rPr>
          <w:rFonts w:cs="Arial"/>
          <w:b/>
          <w:lang w:val="en-US"/>
        </w:rPr>
        <w:t>4.2</w:t>
      </w:r>
      <w:r>
        <w:rPr>
          <w:rFonts w:asciiTheme="minorHAnsi" w:eastAsiaTheme="minorEastAsia" w:hAnsiTheme="minorHAnsi" w:cstheme="minorBidi"/>
          <w:sz w:val="22"/>
          <w:szCs w:val="22"/>
        </w:rPr>
        <w:tab/>
      </w:r>
      <w:r w:rsidRPr="00774A04">
        <w:rPr>
          <w:rFonts w:cs="Arial"/>
          <w:b/>
          <w:lang w:val="en-US"/>
        </w:rPr>
        <w:t>Differences between Schemes and Pre-packs</w:t>
      </w:r>
      <w:r>
        <w:tab/>
      </w:r>
      <w:r>
        <w:fldChar w:fldCharType="begin"/>
      </w:r>
      <w:r>
        <w:instrText xml:space="preserve"> PAGEREF _Toc32686585 \h </w:instrText>
      </w:r>
      <w:r>
        <w:fldChar w:fldCharType="separate"/>
      </w:r>
      <w:r w:rsidR="005B7B4E">
        <w:t>10</w:t>
      </w:r>
      <w:r>
        <w:fldChar w:fldCharType="end"/>
      </w:r>
    </w:p>
    <w:p w14:paraId="3E9F9674" w14:textId="77777777" w:rsidR="00337831" w:rsidRDefault="00337831">
      <w:pPr>
        <w:pStyle w:val="TOC1"/>
        <w:tabs>
          <w:tab w:val="left" w:pos="1701"/>
        </w:tabs>
        <w:rPr>
          <w:rFonts w:asciiTheme="minorHAnsi" w:eastAsiaTheme="minorEastAsia" w:hAnsiTheme="minorHAnsi" w:cstheme="minorBidi"/>
          <w:noProof/>
          <w:sz w:val="22"/>
          <w:szCs w:val="22"/>
        </w:rPr>
      </w:pPr>
      <w:r w:rsidRPr="00774A04">
        <w:rPr>
          <w:rFonts w:cs="Arial"/>
          <w:noProof/>
          <w:lang w:val="en-US"/>
        </w:rPr>
        <w:t>5</w:t>
      </w:r>
      <w:r>
        <w:rPr>
          <w:rFonts w:asciiTheme="minorHAnsi" w:eastAsiaTheme="minorEastAsia" w:hAnsiTheme="minorHAnsi" w:cstheme="minorBidi"/>
          <w:noProof/>
          <w:sz w:val="22"/>
          <w:szCs w:val="22"/>
        </w:rPr>
        <w:tab/>
      </w:r>
      <w:r w:rsidRPr="00774A04">
        <w:rPr>
          <w:rFonts w:cs="Arial"/>
          <w:noProof/>
          <w:lang w:val="en-US"/>
        </w:rPr>
        <w:t>IS ONE OPTION PREFERRED?</w:t>
      </w:r>
      <w:r>
        <w:rPr>
          <w:noProof/>
        </w:rPr>
        <w:tab/>
      </w:r>
      <w:r>
        <w:rPr>
          <w:noProof/>
        </w:rPr>
        <w:fldChar w:fldCharType="begin"/>
      </w:r>
      <w:r>
        <w:rPr>
          <w:noProof/>
        </w:rPr>
        <w:instrText xml:space="preserve"> PAGEREF _Toc32686586 \h </w:instrText>
      </w:r>
      <w:r>
        <w:rPr>
          <w:noProof/>
        </w:rPr>
      </w:r>
      <w:r>
        <w:rPr>
          <w:noProof/>
        </w:rPr>
        <w:fldChar w:fldCharType="separate"/>
      </w:r>
      <w:r w:rsidR="005B7B4E">
        <w:rPr>
          <w:noProof/>
        </w:rPr>
        <w:t>12</w:t>
      </w:r>
      <w:r>
        <w:rPr>
          <w:noProof/>
        </w:rPr>
        <w:fldChar w:fldCharType="end"/>
      </w:r>
    </w:p>
    <w:p w14:paraId="0B5BC778" w14:textId="77777777" w:rsidR="00337831" w:rsidRDefault="00337831">
      <w:pPr>
        <w:pStyle w:val="TOC2"/>
        <w:rPr>
          <w:rFonts w:asciiTheme="minorHAnsi" w:eastAsiaTheme="minorEastAsia" w:hAnsiTheme="minorHAnsi" w:cstheme="minorBidi"/>
          <w:sz w:val="22"/>
          <w:szCs w:val="22"/>
        </w:rPr>
      </w:pPr>
      <w:r w:rsidRPr="00774A04">
        <w:rPr>
          <w:rFonts w:cs="Arial"/>
          <w:b/>
          <w:lang w:val="en-US"/>
        </w:rPr>
        <w:t>5.1</w:t>
      </w:r>
      <w:r>
        <w:rPr>
          <w:rFonts w:asciiTheme="minorHAnsi" w:eastAsiaTheme="minorEastAsia" w:hAnsiTheme="minorHAnsi" w:cstheme="minorBidi"/>
          <w:sz w:val="22"/>
          <w:szCs w:val="22"/>
        </w:rPr>
        <w:tab/>
      </w:r>
      <w:r w:rsidRPr="00774A04">
        <w:rPr>
          <w:rFonts w:cs="Arial"/>
          <w:b/>
          <w:lang w:val="en-US"/>
        </w:rPr>
        <w:t>Considerations regarding the regimes</w:t>
      </w:r>
      <w:r>
        <w:tab/>
      </w:r>
      <w:r>
        <w:fldChar w:fldCharType="begin"/>
      </w:r>
      <w:r>
        <w:instrText xml:space="preserve"> PAGEREF _Toc32686587 \h </w:instrText>
      </w:r>
      <w:r>
        <w:fldChar w:fldCharType="separate"/>
      </w:r>
      <w:r w:rsidR="005B7B4E">
        <w:t>12</w:t>
      </w:r>
      <w:r>
        <w:fldChar w:fldCharType="end"/>
      </w:r>
    </w:p>
    <w:p w14:paraId="5B000C93" w14:textId="77777777" w:rsidR="00337831" w:rsidRDefault="00337831">
      <w:pPr>
        <w:pStyle w:val="TOC2"/>
        <w:rPr>
          <w:rFonts w:asciiTheme="minorHAnsi" w:eastAsiaTheme="minorEastAsia" w:hAnsiTheme="minorHAnsi" w:cstheme="minorBidi"/>
          <w:sz w:val="22"/>
          <w:szCs w:val="22"/>
        </w:rPr>
      </w:pPr>
      <w:r w:rsidRPr="00774A04">
        <w:rPr>
          <w:rFonts w:cs="Arial"/>
          <w:b/>
          <w:lang w:val="en-US"/>
        </w:rPr>
        <w:t>5.2</w:t>
      </w:r>
      <w:r>
        <w:rPr>
          <w:rFonts w:asciiTheme="minorHAnsi" w:eastAsiaTheme="minorEastAsia" w:hAnsiTheme="minorHAnsi" w:cstheme="minorBidi"/>
          <w:sz w:val="22"/>
          <w:szCs w:val="22"/>
        </w:rPr>
        <w:tab/>
      </w:r>
      <w:r w:rsidRPr="00774A04">
        <w:rPr>
          <w:rFonts w:cs="Arial"/>
          <w:b/>
          <w:lang w:val="en-US"/>
        </w:rPr>
        <w:t>Is there a preferred regime?</w:t>
      </w:r>
      <w:r>
        <w:tab/>
      </w:r>
      <w:r>
        <w:fldChar w:fldCharType="begin"/>
      </w:r>
      <w:r>
        <w:instrText xml:space="preserve"> PAGEREF _Toc32686588 \h </w:instrText>
      </w:r>
      <w:r>
        <w:fldChar w:fldCharType="separate"/>
      </w:r>
      <w:r w:rsidR="005B7B4E">
        <w:t>13</w:t>
      </w:r>
      <w:r>
        <w:fldChar w:fldCharType="end"/>
      </w:r>
    </w:p>
    <w:p w14:paraId="2BEF5645" w14:textId="77777777" w:rsidR="00337831" w:rsidRDefault="00337831">
      <w:pPr>
        <w:pStyle w:val="TOC1"/>
        <w:tabs>
          <w:tab w:val="left" w:pos="1701"/>
        </w:tabs>
        <w:rPr>
          <w:rFonts w:asciiTheme="minorHAnsi" w:eastAsiaTheme="minorEastAsia" w:hAnsiTheme="minorHAnsi" w:cstheme="minorBidi"/>
          <w:noProof/>
          <w:sz w:val="22"/>
          <w:szCs w:val="22"/>
        </w:rPr>
      </w:pPr>
      <w:r w:rsidRPr="00774A04">
        <w:rPr>
          <w:rFonts w:cs="Arial"/>
          <w:noProof/>
        </w:rPr>
        <w:t>6</w:t>
      </w:r>
      <w:r>
        <w:rPr>
          <w:rFonts w:asciiTheme="minorHAnsi" w:eastAsiaTheme="minorEastAsia" w:hAnsiTheme="minorHAnsi" w:cstheme="minorBidi"/>
          <w:noProof/>
          <w:sz w:val="22"/>
          <w:szCs w:val="22"/>
        </w:rPr>
        <w:tab/>
      </w:r>
      <w:r w:rsidRPr="00774A04">
        <w:rPr>
          <w:rFonts w:cs="Arial"/>
          <w:noProof/>
        </w:rPr>
        <w:t>CONCLUSION</w:t>
      </w:r>
      <w:r>
        <w:rPr>
          <w:noProof/>
        </w:rPr>
        <w:tab/>
      </w:r>
      <w:r>
        <w:rPr>
          <w:noProof/>
        </w:rPr>
        <w:fldChar w:fldCharType="begin"/>
      </w:r>
      <w:r>
        <w:rPr>
          <w:noProof/>
        </w:rPr>
        <w:instrText xml:space="preserve"> PAGEREF _Toc32686589 \h </w:instrText>
      </w:r>
      <w:r>
        <w:rPr>
          <w:noProof/>
        </w:rPr>
      </w:r>
      <w:r>
        <w:rPr>
          <w:noProof/>
        </w:rPr>
        <w:fldChar w:fldCharType="separate"/>
      </w:r>
      <w:r w:rsidR="005B7B4E">
        <w:rPr>
          <w:noProof/>
        </w:rPr>
        <w:t>15</w:t>
      </w:r>
      <w:r>
        <w:rPr>
          <w:noProof/>
        </w:rPr>
        <w:fldChar w:fldCharType="end"/>
      </w:r>
    </w:p>
    <w:p w14:paraId="17CD5A01" w14:textId="77777777" w:rsidR="00337831" w:rsidRDefault="00337831">
      <w:pPr>
        <w:pStyle w:val="TOC4"/>
        <w:tabs>
          <w:tab w:val="right" w:pos="9016"/>
        </w:tabs>
        <w:rPr>
          <w:rFonts w:asciiTheme="minorHAnsi" w:eastAsiaTheme="minorEastAsia" w:hAnsiTheme="minorHAnsi" w:cstheme="minorBidi"/>
          <w:noProof/>
          <w:sz w:val="22"/>
          <w:szCs w:val="22"/>
        </w:rPr>
      </w:pPr>
      <w:r w:rsidRPr="00774A04">
        <w:rPr>
          <w:rFonts w:cs="Arial"/>
          <w:b/>
          <w:noProof/>
        </w:rPr>
        <w:t>BIBLIOGRAPHY</w:t>
      </w:r>
      <w:r>
        <w:rPr>
          <w:noProof/>
        </w:rPr>
        <w:tab/>
      </w:r>
      <w:r>
        <w:rPr>
          <w:noProof/>
        </w:rPr>
        <w:fldChar w:fldCharType="begin"/>
      </w:r>
      <w:r>
        <w:rPr>
          <w:noProof/>
        </w:rPr>
        <w:instrText xml:space="preserve"> PAGEREF _Toc32686590 \h </w:instrText>
      </w:r>
      <w:r>
        <w:rPr>
          <w:noProof/>
        </w:rPr>
      </w:r>
      <w:r>
        <w:rPr>
          <w:noProof/>
        </w:rPr>
        <w:fldChar w:fldCharType="separate"/>
      </w:r>
      <w:r w:rsidR="005B7B4E">
        <w:rPr>
          <w:noProof/>
        </w:rPr>
        <w:t>16</w:t>
      </w:r>
      <w:r>
        <w:rPr>
          <w:noProof/>
        </w:rPr>
        <w:fldChar w:fldCharType="end"/>
      </w:r>
    </w:p>
    <w:p w14:paraId="3C029009" w14:textId="77777777" w:rsidR="00B322B1" w:rsidRPr="00337831" w:rsidRDefault="00D25429" w:rsidP="00B322B1">
      <w:pPr>
        <w:pStyle w:val="BodyText"/>
        <w:spacing w:after="120" w:line="360" w:lineRule="auto"/>
        <w:rPr>
          <w:rFonts w:cs="Arial"/>
          <w:sz w:val="22"/>
          <w:szCs w:val="22"/>
        </w:rPr>
      </w:pPr>
      <w:r w:rsidRPr="00337831">
        <w:rPr>
          <w:rFonts w:cs="Arial"/>
          <w:sz w:val="22"/>
          <w:szCs w:val="22"/>
        </w:rPr>
        <w:fldChar w:fldCharType="end"/>
      </w:r>
      <w:r w:rsidRPr="00337831">
        <w:rPr>
          <w:rFonts w:cs="Arial"/>
          <w:sz w:val="22"/>
          <w:szCs w:val="22"/>
        </w:rPr>
        <w:fldChar w:fldCharType="begin"/>
      </w:r>
      <w:r w:rsidRPr="00337831">
        <w:rPr>
          <w:rFonts w:cs="Arial"/>
          <w:sz w:val="22"/>
          <w:szCs w:val="22"/>
        </w:rPr>
        <w:instrText xml:space="preserve">  </w:instrText>
      </w:r>
      <w:r w:rsidRPr="00337831">
        <w:rPr>
          <w:rFonts w:cs="Arial"/>
          <w:sz w:val="22"/>
          <w:szCs w:val="22"/>
        </w:rPr>
        <w:fldChar w:fldCharType="end"/>
      </w:r>
    </w:p>
    <w:p w14:paraId="495C8189" w14:textId="77777777" w:rsidR="00A33307" w:rsidRPr="00337831" w:rsidRDefault="00A33307" w:rsidP="00B322B1">
      <w:pPr>
        <w:pStyle w:val="BodyText"/>
        <w:spacing w:after="120" w:line="360" w:lineRule="auto"/>
        <w:rPr>
          <w:rFonts w:cs="Arial"/>
          <w:sz w:val="22"/>
          <w:szCs w:val="22"/>
        </w:rPr>
      </w:pPr>
    </w:p>
    <w:p w14:paraId="7CE23D8E" w14:textId="77777777" w:rsidR="00B322B1" w:rsidRPr="00337831" w:rsidRDefault="00D25429" w:rsidP="00B322B1">
      <w:pPr>
        <w:spacing w:after="120" w:line="360" w:lineRule="auto"/>
        <w:rPr>
          <w:rFonts w:cs="Arial"/>
          <w:b/>
          <w:sz w:val="22"/>
          <w:szCs w:val="22"/>
        </w:rPr>
      </w:pPr>
      <w:r w:rsidRPr="00337831">
        <w:rPr>
          <w:rFonts w:cs="Arial"/>
          <w:b/>
          <w:sz w:val="22"/>
          <w:szCs w:val="22"/>
        </w:rPr>
        <w:br w:type="page"/>
      </w:r>
    </w:p>
    <w:p w14:paraId="0E607A28" w14:textId="77777777" w:rsidR="00B322B1" w:rsidRPr="00337831" w:rsidRDefault="00D25429" w:rsidP="006351BC">
      <w:pPr>
        <w:pStyle w:val="Heading1"/>
        <w:spacing w:after="120" w:line="360" w:lineRule="auto"/>
        <w:ind w:left="0" w:firstLine="0"/>
        <w:rPr>
          <w:rFonts w:cs="Arial"/>
          <w:sz w:val="24"/>
          <w:szCs w:val="24"/>
        </w:rPr>
      </w:pPr>
      <w:bookmarkStart w:id="0" w:name="_Toc32686576"/>
      <w:r w:rsidRPr="00337831">
        <w:rPr>
          <w:rFonts w:cs="Arial"/>
          <w:sz w:val="24"/>
          <w:szCs w:val="24"/>
        </w:rPr>
        <w:lastRenderedPageBreak/>
        <w:t>INTRODUCTION</w:t>
      </w:r>
      <w:bookmarkEnd w:id="0"/>
    </w:p>
    <w:p w14:paraId="263B16E4" w14:textId="77777777" w:rsidR="006265EB" w:rsidRPr="00337831" w:rsidRDefault="00D25429" w:rsidP="006351BC">
      <w:pPr>
        <w:pStyle w:val="BodyText"/>
        <w:spacing w:after="120" w:line="360" w:lineRule="auto"/>
        <w:rPr>
          <w:rFonts w:cs="Arial"/>
          <w:sz w:val="22"/>
          <w:szCs w:val="22"/>
        </w:rPr>
      </w:pPr>
      <w:r w:rsidRPr="00337831">
        <w:rPr>
          <w:rFonts w:cs="Arial"/>
          <w:sz w:val="22"/>
          <w:szCs w:val="22"/>
        </w:rPr>
        <w:t xml:space="preserve">Both </w:t>
      </w:r>
      <w:r w:rsidR="003F0CE9" w:rsidRPr="00337831">
        <w:rPr>
          <w:rFonts w:cs="Arial"/>
          <w:sz w:val="22"/>
          <w:szCs w:val="22"/>
        </w:rPr>
        <w:t>England and the United States of America (</w:t>
      </w:r>
      <w:r w:rsidR="003F0CE9" w:rsidRPr="00337831">
        <w:rPr>
          <w:rFonts w:cs="Arial"/>
          <w:b/>
          <w:sz w:val="22"/>
          <w:szCs w:val="22"/>
        </w:rPr>
        <w:t>USA</w:t>
      </w:r>
      <w:r w:rsidR="003F0CE9" w:rsidRPr="00337831">
        <w:rPr>
          <w:rFonts w:cs="Arial"/>
          <w:sz w:val="22"/>
          <w:szCs w:val="22"/>
        </w:rPr>
        <w:t xml:space="preserve"> or </w:t>
      </w:r>
      <w:r w:rsidR="003F0CE9" w:rsidRPr="00337831">
        <w:rPr>
          <w:rFonts w:cs="Arial"/>
          <w:b/>
          <w:sz w:val="22"/>
          <w:szCs w:val="22"/>
        </w:rPr>
        <w:t>US</w:t>
      </w:r>
      <w:r w:rsidR="003F0CE9" w:rsidRPr="00337831">
        <w:rPr>
          <w:rFonts w:cs="Arial"/>
          <w:sz w:val="22"/>
          <w:szCs w:val="22"/>
        </w:rPr>
        <w:t xml:space="preserve">) </w:t>
      </w:r>
      <w:r w:rsidRPr="00337831">
        <w:rPr>
          <w:rFonts w:cs="Arial"/>
          <w:sz w:val="22"/>
          <w:szCs w:val="22"/>
        </w:rPr>
        <w:t>have vibrant restructuring markets where debtors</w:t>
      </w:r>
      <w:r w:rsidR="00A75475" w:rsidRPr="00337831">
        <w:rPr>
          <w:rFonts w:cs="Arial"/>
          <w:sz w:val="22"/>
          <w:szCs w:val="22"/>
        </w:rPr>
        <w:t xml:space="preserve"> (including external administrators)</w:t>
      </w:r>
      <w:r w:rsidRPr="00337831">
        <w:rPr>
          <w:rFonts w:cs="Arial"/>
          <w:sz w:val="22"/>
          <w:szCs w:val="22"/>
        </w:rPr>
        <w:t xml:space="preserve"> and creditors </w:t>
      </w:r>
      <w:r w:rsidR="003F0CE9" w:rsidRPr="00337831">
        <w:rPr>
          <w:rFonts w:cs="Arial"/>
          <w:sz w:val="22"/>
          <w:szCs w:val="22"/>
        </w:rPr>
        <w:t xml:space="preserve">have numerous tools that can </w:t>
      </w:r>
      <w:r w:rsidR="009D2D6F" w:rsidRPr="00337831">
        <w:rPr>
          <w:rFonts w:cs="Arial"/>
          <w:sz w:val="22"/>
          <w:szCs w:val="22"/>
        </w:rPr>
        <w:t xml:space="preserve">be </w:t>
      </w:r>
      <w:r w:rsidR="00A75475" w:rsidRPr="00337831">
        <w:rPr>
          <w:rFonts w:cs="Arial"/>
          <w:sz w:val="22"/>
          <w:szCs w:val="22"/>
        </w:rPr>
        <w:t>utilised</w:t>
      </w:r>
      <w:r w:rsidR="003F0CE9" w:rsidRPr="00337831">
        <w:rPr>
          <w:rFonts w:cs="Arial"/>
          <w:sz w:val="22"/>
          <w:szCs w:val="22"/>
        </w:rPr>
        <w:t xml:space="preserve"> to </w:t>
      </w:r>
      <w:r w:rsidRPr="00337831">
        <w:rPr>
          <w:rFonts w:cs="Arial"/>
          <w:sz w:val="22"/>
          <w:szCs w:val="22"/>
        </w:rPr>
        <w:t xml:space="preserve">effect corporate </w:t>
      </w:r>
      <w:r w:rsidR="00A75475" w:rsidRPr="00337831">
        <w:rPr>
          <w:rFonts w:cs="Arial"/>
          <w:sz w:val="22"/>
          <w:szCs w:val="22"/>
        </w:rPr>
        <w:t>restructures</w:t>
      </w:r>
      <w:r w:rsidR="003F0CE9" w:rsidRPr="00337831">
        <w:rPr>
          <w:rFonts w:cs="Arial"/>
          <w:sz w:val="22"/>
          <w:szCs w:val="22"/>
        </w:rPr>
        <w:t>.  Such tools</w:t>
      </w:r>
      <w:r w:rsidRPr="00337831">
        <w:rPr>
          <w:rFonts w:cs="Arial"/>
          <w:sz w:val="22"/>
          <w:szCs w:val="22"/>
        </w:rPr>
        <w:t xml:space="preserve"> are varied and, depending on the </w:t>
      </w:r>
      <w:r w:rsidR="0045734F" w:rsidRPr="00337831">
        <w:rPr>
          <w:rFonts w:cs="Arial"/>
          <w:sz w:val="22"/>
          <w:szCs w:val="22"/>
        </w:rPr>
        <w:t>facts</w:t>
      </w:r>
      <w:r w:rsidRPr="00337831">
        <w:rPr>
          <w:rFonts w:cs="Arial"/>
          <w:sz w:val="22"/>
          <w:szCs w:val="22"/>
        </w:rPr>
        <w:t xml:space="preserve">, parties may have </w:t>
      </w:r>
      <w:r w:rsidR="009D2D6F" w:rsidRPr="00337831">
        <w:rPr>
          <w:rFonts w:cs="Arial"/>
          <w:sz w:val="22"/>
          <w:szCs w:val="22"/>
        </w:rPr>
        <w:t>several</w:t>
      </w:r>
      <w:r w:rsidRPr="00337831">
        <w:rPr>
          <w:rFonts w:cs="Arial"/>
          <w:sz w:val="22"/>
          <w:szCs w:val="22"/>
        </w:rPr>
        <w:t xml:space="preserve"> options in terms of what</w:t>
      </w:r>
      <w:r w:rsidR="009D2D6F" w:rsidRPr="00337831">
        <w:rPr>
          <w:rFonts w:cs="Arial"/>
          <w:sz w:val="22"/>
          <w:szCs w:val="22"/>
        </w:rPr>
        <w:t xml:space="preserve"> </w:t>
      </w:r>
      <w:r w:rsidR="00A75475" w:rsidRPr="00337831">
        <w:rPr>
          <w:rFonts w:cs="Arial"/>
          <w:sz w:val="22"/>
          <w:szCs w:val="22"/>
        </w:rPr>
        <w:t>procedure</w:t>
      </w:r>
      <w:r w:rsidRPr="00337831">
        <w:rPr>
          <w:rFonts w:cs="Arial"/>
          <w:sz w:val="22"/>
          <w:szCs w:val="22"/>
        </w:rPr>
        <w:t xml:space="preserve"> could, and should, be implemented.  For example, depending on the nature of the situation, the parties may favour seeking to implement the restructure </w:t>
      </w:r>
      <w:r w:rsidR="00A75475" w:rsidRPr="00337831">
        <w:rPr>
          <w:rFonts w:cs="Arial"/>
          <w:sz w:val="22"/>
          <w:szCs w:val="22"/>
        </w:rPr>
        <w:t>outside</w:t>
      </w:r>
      <w:r w:rsidRPr="00337831">
        <w:rPr>
          <w:rFonts w:cs="Arial"/>
          <w:sz w:val="22"/>
          <w:szCs w:val="22"/>
        </w:rPr>
        <w:t xml:space="preserve"> of a formal Court process.  Other times, for various reasons, a procedure that requires Court intervention may be </w:t>
      </w:r>
      <w:r w:rsidR="00A75475" w:rsidRPr="00337831">
        <w:rPr>
          <w:rFonts w:cs="Arial"/>
          <w:sz w:val="22"/>
          <w:szCs w:val="22"/>
        </w:rPr>
        <w:t>necessary</w:t>
      </w:r>
      <w:r w:rsidRPr="00337831">
        <w:rPr>
          <w:rFonts w:cs="Arial"/>
          <w:sz w:val="22"/>
          <w:szCs w:val="22"/>
        </w:rPr>
        <w:t xml:space="preserve"> and/or preferred.</w:t>
      </w:r>
    </w:p>
    <w:p w14:paraId="43E9F1CF" w14:textId="77777777" w:rsidR="0045734F" w:rsidRPr="00337831" w:rsidRDefault="00D25429" w:rsidP="006351BC">
      <w:pPr>
        <w:pStyle w:val="BodyText"/>
        <w:spacing w:after="120" w:line="360" w:lineRule="auto"/>
        <w:rPr>
          <w:rFonts w:cs="Arial"/>
          <w:sz w:val="22"/>
          <w:szCs w:val="22"/>
        </w:rPr>
      </w:pPr>
      <w:r w:rsidRPr="00337831">
        <w:rPr>
          <w:rFonts w:cs="Arial"/>
          <w:sz w:val="22"/>
          <w:szCs w:val="22"/>
        </w:rPr>
        <w:t xml:space="preserve">With parties relying upon more complicated, and diverse, debt </w:t>
      </w:r>
      <w:r w:rsidR="006351BC" w:rsidRPr="00337831">
        <w:rPr>
          <w:rFonts w:cs="Arial"/>
          <w:sz w:val="22"/>
          <w:szCs w:val="22"/>
        </w:rPr>
        <w:t>instruments</w:t>
      </w:r>
      <w:r w:rsidRPr="00337831">
        <w:rPr>
          <w:rFonts w:cs="Arial"/>
          <w:sz w:val="22"/>
          <w:szCs w:val="22"/>
        </w:rPr>
        <w:t xml:space="preserve"> to raise capital resulting in increasingly complicated capital structures, </w:t>
      </w:r>
      <w:r w:rsidR="00A851EB" w:rsidRPr="00337831">
        <w:rPr>
          <w:rFonts w:cs="Arial"/>
          <w:sz w:val="22"/>
          <w:szCs w:val="22"/>
        </w:rPr>
        <w:t>those</w:t>
      </w:r>
      <w:r w:rsidRPr="00337831">
        <w:rPr>
          <w:rFonts w:cs="Arial"/>
          <w:sz w:val="22"/>
          <w:szCs w:val="22"/>
        </w:rPr>
        <w:t xml:space="preserve"> looking to </w:t>
      </w:r>
      <w:r w:rsidR="006351BC" w:rsidRPr="00337831">
        <w:rPr>
          <w:rFonts w:cs="Arial"/>
          <w:sz w:val="22"/>
          <w:szCs w:val="22"/>
        </w:rPr>
        <w:t>restructure</w:t>
      </w:r>
      <w:r w:rsidRPr="00337831">
        <w:rPr>
          <w:rFonts w:cs="Arial"/>
          <w:sz w:val="22"/>
          <w:szCs w:val="22"/>
        </w:rPr>
        <w:t xml:space="preserve"> </w:t>
      </w:r>
      <w:r w:rsidR="001B5DCE" w:rsidRPr="00337831">
        <w:rPr>
          <w:rFonts w:cs="Arial"/>
          <w:sz w:val="22"/>
          <w:szCs w:val="22"/>
        </w:rPr>
        <w:t xml:space="preserve">companies </w:t>
      </w:r>
      <w:r w:rsidRPr="00337831">
        <w:rPr>
          <w:rFonts w:cs="Arial"/>
          <w:sz w:val="22"/>
          <w:szCs w:val="22"/>
        </w:rPr>
        <w:t xml:space="preserve">are </w:t>
      </w:r>
      <w:r w:rsidR="006351BC" w:rsidRPr="00337831">
        <w:rPr>
          <w:rFonts w:cs="Arial"/>
          <w:sz w:val="22"/>
          <w:szCs w:val="22"/>
        </w:rPr>
        <w:t>relying</w:t>
      </w:r>
      <w:r w:rsidRPr="00337831">
        <w:rPr>
          <w:rFonts w:cs="Arial"/>
          <w:sz w:val="22"/>
          <w:szCs w:val="22"/>
        </w:rPr>
        <w:t xml:space="preserve"> upon more flexible and </w:t>
      </w:r>
      <w:r w:rsidR="001B5DCE" w:rsidRPr="00337831">
        <w:rPr>
          <w:rFonts w:cs="Arial"/>
          <w:sz w:val="22"/>
          <w:szCs w:val="22"/>
        </w:rPr>
        <w:t>intricate tools.</w:t>
      </w:r>
    </w:p>
    <w:p w14:paraId="00EE68E5" w14:textId="77777777" w:rsidR="00814C58" w:rsidRPr="00337831" w:rsidRDefault="00D25429" w:rsidP="006351BC">
      <w:pPr>
        <w:pStyle w:val="BodyText"/>
        <w:spacing w:after="120" w:line="360" w:lineRule="auto"/>
        <w:rPr>
          <w:rFonts w:cs="Arial"/>
          <w:sz w:val="22"/>
          <w:szCs w:val="22"/>
        </w:rPr>
      </w:pPr>
      <w:r w:rsidRPr="00337831">
        <w:rPr>
          <w:rFonts w:cs="Arial"/>
          <w:sz w:val="22"/>
          <w:szCs w:val="22"/>
        </w:rPr>
        <w:t xml:space="preserve">An example of a tool that can be used under English law to effect a restructure that requires Court </w:t>
      </w:r>
      <w:r w:rsidR="00A75475" w:rsidRPr="00337831">
        <w:rPr>
          <w:rFonts w:cs="Arial"/>
          <w:sz w:val="22"/>
          <w:szCs w:val="22"/>
        </w:rPr>
        <w:t>involvement</w:t>
      </w:r>
      <w:r w:rsidRPr="00337831">
        <w:rPr>
          <w:rFonts w:cs="Arial"/>
          <w:sz w:val="22"/>
          <w:szCs w:val="22"/>
        </w:rPr>
        <w:t xml:space="preserve"> is a Scheme of Arrangement (often referred to as a </w:t>
      </w:r>
      <w:r w:rsidRPr="00337831">
        <w:rPr>
          <w:rFonts w:cs="Arial"/>
          <w:b/>
          <w:sz w:val="22"/>
          <w:szCs w:val="22"/>
        </w:rPr>
        <w:t>Scheme</w:t>
      </w:r>
      <w:r w:rsidRPr="00337831">
        <w:rPr>
          <w:rFonts w:cs="Arial"/>
          <w:sz w:val="22"/>
          <w:szCs w:val="22"/>
        </w:rPr>
        <w:t>).   While a Scheme is not technically an insolvency proceeding,</w:t>
      </w:r>
      <w:r w:rsidRPr="00337831">
        <w:rPr>
          <w:rStyle w:val="FootnoteReference"/>
          <w:rFonts w:cs="Arial"/>
          <w:sz w:val="22"/>
          <w:szCs w:val="22"/>
        </w:rPr>
        <w:footnoteReference w:id="1"/>
      </w:r>
      <w:r w:rsidRPr="00337831">
        <w:rPr>
          <w:rFonts w:cs="Arial"/>
          <w:sz w:val="22"/>
          <w:szCs w:val="22"/>
        </w:rPr>
        <w:t xml:space="preserve"> it is </w:t>
      </w:r>
      <w:r w:rsidR="009D2D6F" w:rsidRPr="00337831">
        <w:rPr>
          <w:rFonts w:cs="Arial"/>
          <w:sz w:val="22"/>
          <w:szCs w:val="22"/>
        </w:rPr>
        <w:t xml:space="preserve">a </w:t>
      </w:r>
      <w:r w:rsidRPr="00337831">
        <w:rPr>
          <w:rFonts w:cs="Arial"/>
          <w:sz w:val="22"/>
          <w:szCs w:val="22"/>
        </w:rPr>
        <w:t>procedure enabling a company incorporated in England and Wales to reach a compromise or arrangement with its creditors or with certain classes of its creditors.</w:t>
      </w:r>
      <w:r w:rsidRPr="00337831">
        <w:rPr>
          <w:rStyle w:val="FootnoteReference"/>
          <w:rFonts w:cs="Arial"/>
          <w:sz w:val="22"/>
          <w:szCs w:val="22"/>
        </w:rPr>
        <w:footnoteReference w:id="2"/>
      </w:r>
    </w:p>
    <w:p w14:paraId="553AD2BC" w14:textId="77777777" w:rsidR="006265EB" w:rsidRPr="00337831" w:rsidRDefault="00D25429" w:rsidP="006351BC">
      <w:pPr>
        <w:pStyle w:val="BodyText"/>
        <w:spacing w:after="120" w:line="360" w:lineRule="auto"/>
        <w:rPr>
          <w:rFonts w:cs="Arial"/>
          <w:sz w:val="22"/>
          <w:szCs w:val="22"/>
        </w:rPr>
      </w:pPr>
      <w:r w:rsidRPr="00337831">
        <w:rPr>
          <w:rFonts w:cs="Arial"/>
          <w:sz w:val="22"/>
          <w:szCs w:val="22"/>
        </w:rPr>
        <w:t>Under the laws of the US, and</w:t>
      </w:r>
      <w:r w:rsidR="00A75475" w:rsidRPr="00337831">
        <w:rPr>
          <w:rFonts w:cs="Arial"/>
          <w:sz w:val="22"/>
          <w:szCs w:val="22"/>
        </w:rPr>
        <w:t xml:space="preserve"> under</w:t>
      </w:r>
      <w:r w:rsidRPr="00337831">
        <w:rPr>
          <w:rFonts w:cs="Arial"/>
          <w:sz w:val="22"/>
          <w:szCs w:val="22"/>
        </w:rPr>
        <w:t xml:space="preserve"> Chapter 11 of the </w:t>
      </w:r>
      <w:r w:rsidR="00A851EB" w:rsidRPr="00337831">
        <w:rPr>
          <w:rFonts w:cs="Arial"/>
          <w:sz w:val="22"/>
          <w:szCs w:val="22"/>
        </w:rPr>
        <w:t xml:space="preserve">US </w:t>
      </w:r>
      <w:r w:rsidRPr="00337831">
        <w:rPr>
          <w:rFonts w:cs="Arial"/>
          <w:sz w:val="22"/>
          <w:szCs w:val="22"/>
        </w:rPr>
        <w:t>Bankruptcy Code (</w:t>
      </w:r>
      <w:r w:rsidRPr="00337831">
        <w:rPr>
          <w:rFonts w:cs="Arial"/>
          <w:b/>
          <w:sz w:val="22"/>
          <w:szCs w:val="22"/>
        </w:rPr>
        <w:t>Chapter 11</w:t>
      </w:r>
      <w:r w:rsidRPr="00337831">
        <w:rPr>
          <w:rFonts w:cs="Arial"/>
          <w:sz w:val="22"/>
          <w:szCs w:val="22"/>
        </w:rPr>
        <w:t>), there exists a different, but in s</w:t>
      </w:r>
      <w:r w:rsidR="00A75475" w:rsidRPr="00337831">
        <w:rPr>
          <w:rFonts w:cs="Arial"/>
          <w:sz w:val="22"/>
          <w:szCs w:val="22"/>
        </w:rPr>
        <w:t>ome respects comparable, method to effect restructures, also requiring Court involvement, called a pre-packaged bankruptcy</w:t>
      </w:r>
      <w:r w:rsidRPr="00337831">
        <w:rPr>
          <w:rFonts w:cs="Arial"/>
          <w:sz w:val="22"/>
          <w:szCs w:val="22"/>
        </w:rPr>
        <w:t xml:space="preserve"> (or </w:t>
      </w:r>
      <w:r w:rsidR="00A75475" w:rsidRPr="00337831">
        <w:rPr>
          <w:rFonts w:cs="Arial"/>
          <w:sz w:val="22"/>
          <w:szCs w:val="22"/>
        </w:rPr>
        <w:t xml:space="preserve">a </w:t>
      </w:r>
      <w:r w:rsidR="00CA0E8C" w:rsidRPr="00337831">
        <w:rPr>
          <w:rFonts w:cs="Arial"/>
          <w:b/>
          <w:sz w:val="22"/>
          <w:szCs w:val="22"/>
        </w:rPr>
        <w:t>P</w:t>
      </w:r>
      <w:r w:rsidR="00A851EB" w:rsidRPr="00337831">
        <w:rPr>
          <w:rFonts w:cs="Arial"/>
          <w:b/>
          <w:sz w:val="22"/>
          <w:szCs w:val="22"/>
        </w:rPr>
        <w:t>re-pack</w:t>
      </w:r>
      <w:r w:rsidR="00A75475" w:rsidRPr="00337831">
        <w:rPr>
          <w:rFonts w:cs="Arial"/>
          <w:sz w:val="22"/>
          <w:szCs w:val="22"/>
        </w:rPr>
        <w:t>).</w:t>
      </w:r>
      <w:r w:rsidR="000A1704" w:rsidRPr="00337831">
        <w:rPr>
          <w:rFonts w:cs="Arial"/>
          <w:sz w:val="22"/>
          <w:szCs w:val="22"/>
        </w:rPr>
        <w:t xml:space="preserve">  Under a P</w:t>
      </w:r>
      <w:r w:rsidR="00FB0EB3" w:rsidRPr="00337831">
        <w:rPr>
          <w:rFonts w:cs="Arial"/>
          <w:sz w:val="22"/>
          <w:szCs w:val="22"/>
        </w:rPr>
        <w:t xml:space="preserve">re-pack, the debtor company negotiates the terms of, and solicits votes in respect of, a </w:t>
      </w:r>
      <w:r w:rsidR="009D2D6F" w:rsidRPr="00337831">
        <w:rPr>
          <w:rFonts w:cs="Arial"/>
          <w:sz w:val="22"/>
          <w:szCs w:val="22"/>
        </w:rPr>
        <w:t>Plan</w:t>
      </w:r>
      <w:r w:rsidR="00FB0EB3" w:rsidRPr="00337831">
        <w:rPr>
          <w:rFonts w:cs="Arial"/>
          <w:sz w:val="22"/>
          <w:szCs w:val="22"/>
        </w:rPr>
        <w:t xml:space="preserve"> of</w:t>
      </w:r>
      <w:r w:rsidR="00706478" w:rsidRPr="00337831">
        <w:rPr>
          <w:rFonts w:cs="Arial"/>
          <w:sz w:val="22"/>
          <w:szCs w:val="22"/>
        </w:rPr>
        <w:t xml:space="preserve"> </w:t>
      </w:r>
      <w:r w:rsidR="00FB0EB3" w:rsidRPr="00337831">
        <w:rPr>
          <w:rFonts w:cs="Arial"/>
          <w:sz w:val="22"/>
          <w:szCs w:val="22"/>
        </w:rPr>
        <w:t>reorganization</w:t>
      </w:r>
      <w:r w:rsidR="00706478" w:rsidRPr="00337831">
        <w:rPr>
          <w:rFonts w:cs="Arial"/>
          <w:sz w:val="22"/>
          <w:szCs w:val="22"/>
        </w:rPr>
        <w:t xml:space="preserve"> (a </w:t>
      </w:r>
      <w:r w:rsidR="00706478" w:rsidRPr="00337831">
        <w:rPr>
          <w:rFonts w:cs="Arial"/>
          <w:b/>
          <w:sz w:val="22"/>
          <w:szCs w:val="22"/>
        </w:rPr>
        <w:t>Plan</w:t>
      </w:r>
      <w:r w:rsidR="00706478" w:rsidRPr="00337831">
        <w:rPr>
          <w:rFonts w:cs="Arial"/>
          <w:sz w:val="22"/>
          <w:szCs w:val="22"/>
        </w:rPr>
        <w:t>)</w:t>
      </w:r>
      <w:r w:rsidR="00FB0EB3" w:rsidRPr="00337831">
        <w:rPr>
          <w:rFonts w:cs="Arial"/>
          <w:sz w:val="22"/>
          <w:szCs w:val="22"/>
        </w:rPr>
        <w:t xml:space="preserve"> before the company “files its Chapter 11 bankruptcy petition.”</w:t>
      </w:r>
      <w:r w:rsidRPr="00337831">
        <w:rPr>
          <w:rStyle w:val="FootnoteReference"/>
          <w:rFonts w:cs="Arial"/>
          <w:sz w:val="22"/>
          <w:szCs w:val="22"/>
        </w:rPr>
        <w:footnoteReference w:id="3"/>
      </w:r>
    </w:p>
    <w:p w14:paraId="4CB36351" w14:textId="77777777" w:rsidR="00A75475" w:rsidRPr="00337831" w:rsidRDefault="00D25429" w:rsidP="006351BC">
      <w:pPr>
        <w:pStyle w:val="BodyText"/>
        <w:spacing w:after="120" w:line="360" w:lineRule="auto"/>
        <w:rPr>
          <w:rFonts w:cs="Arial"/>
          <w:sz w:val="22"/>
          <w:szCs w:val="22"/>
        </w:rPr>
      </w:pPr>
      <w:r w:rsidRPr="00337831">
        <w:rPr>
          <w:rFonts w:cs="Arial"/>
          <w:sz w:val="22"/>
          <w:szCs w:val="22"/>
        </w:rPr>
        <w:t>While these</w:t>
      </w:r>
      <w:r w:rsidR="009D2D6F" w:rsidRPr="00337831">
        <w:rPr>
          <w:rFonts w:cs="Arial"/>
          <w:sz w:val="22"/>
          <w:szCs w:val="22"/>
        </w:rPr>
        <w:t xml:space="preserve"> restructuring tools </w:t>
      </w:r>
      <w:r w:rsidRPr="00337831">
        <w:rPr>
          <w:rFonts w:cs="Arial"/>
          <w:sz w:val="22"/>
          <w:szCs w:val="22"/>
        </w:rPr>
        <w:t xml:space="preserve">certainly have their similarities, there are also various, and important, differences.  In this respect, the purpose of this paper is to highlight such differences and compare and contrast the use of an English </w:t>
      </w:r>
      <w:r w:rsidR="009D2D6F" w:rsidRPr="00337831">
        <w:rPr>
          <w:rFonts w:cs="Arial"/>
          <w:sz w:val="22"/>
          <w:szCs w:val="22"/>
        </w:rPr>
        <w:t>Scheme</w:t>
      </w:r>
      <w:r w:rsidRPr="00337831">
        <w:rPr>
          <w:rFonts w:cs="Arial"/>
          <w:sz w:val="22"/>
          <w:szCs w:val="22"/>
        </w:rPr>
        <w:t xml:space="preserve"> of arrangement with the us</w:t>
      </w:r>
      <w:r w:rsidR="000A1704" w:rsidRPr="00337831">
        <w:rPr>
          <w:rFonts w:cs="Arial"/>
          <w:sz w:val="22"/>
          <w:szCs w:val="22"/>
        </w:rPr>
        <w:t>e of a US Chapter 11 “P</w:t>
      </w:r>
      <w:r w:rsidRPr="00337831">
        <w:rPr>
          <w:rFonts w:cs="Arial"/>
          <w:sz w:val="22"/>
          <w:szCs w:val="22"/>
        </w:rPr>
        <w:t>re-pack”.  For the purposes of this paper, an example of the restructure of a single class of bond debt (while leaving other creditors and equity holders unaffected) is used as a basis of comparison</w:t>
      </w:r>
      <w:r w:rsidR="00190600" w:rsidRPr="00337831">
        <w:rPr>
          <w:rFonts w:cs="Arial"/>
          <w:sz w:val="22"/>
          <w:szCs w:val="22"/>
        </w:rPr>
        <w:t xml:space="preserve"> (the </w:t>
      </w:r>
      <w:r w:rsidR="00190600" w:rsidRPr="00337831">
        <w:rPr>
          <w:rFonts w:cs="Arial"/>
          <w:b/>
          <w:sz w:val="22"/>
          <w:szCs w:val="22"/>
        </w:rPr>
        <w:t>Case</w:t>
      </w:r>
      <w:r w:rsidR="00190600" w:rsidRPr="00337831">
        <w:rPr>
          <w:rFonts w:cs="Arial"/>
          <w:sz w:val="22"/>
          <w:szCs w:val="22"/>
        </w:rPr>
        <w:t>)</w:t>
      </w:r>
      <w:r w:rsidRPr="00337831">
        <w:rPr>
          <w:rFonts w:cs="Arial"/>
          <w:sz w:val="22"/>
          <w:szCs w:val="22"/>
        </w:rPr>
        <w:t>.</w:t>
      </w:r>
    </w:p>
    <w:p w14:paraId="18F60ABF" w14:textId="77777777" w:rsidR="00A75475" w:rsidRPr="00337831" w:rsidRDefault="00D25429" w:rsidP="006351BC">
      <w:pPr>
        <w:spacing w:after="120" w:line="360" w:lineRule="auto"/>
        <w:rPr>
          <w:rFonts w:cs="Arial"/>
          <w:sz w:val="22"/>
          <w:szCs w:val="22"/>
        </w:rPr>
      </w:pPr>
      <w:r w:rsidRPr="00337831">
        <w:rPr>
          <w:rFonts w:cs="Arial"/>
          <w:sz w:val="22"/>
          <w:szCs w:val="22"/>
        </w:rPr>
        <w:br w:type="page"/>
      </w:r>
    </w:p>
    <w:p w14:paraId="3206FF94" w14:textId="77777777" w:rsidR="00FB0EB3" w:rsidRPr="00337831" w:rsidRDefault="00D25429" w:rsidP="006351BC">
      <w:pPr>
        <w:pStyle w:val="Heading1"/>
        <w:spacing w:after="120" w:line="360" w:lineRule="auto"/>
        <w:ind w:left="0" w:firstLine="0"/>
        <w:rPr>
          <w:rFonts w:cs="Arial"/>
          <w:sz w:val="24"/>
          <w:szCs w:val="24"/>
        </w:rPr>
      </w:pPr>
      <w:bookmarkStart w:id="1" w:name="_Toc32686577"/>
      <w:r w:rsidRPr="00337831">
        <w:rPr>
          <w:rFonts w:cs="Arial"/>
          <w:sz w:val="24"/>
          <w:szCs w:val="24"/>
        </w:rPr>
        <w:lastRenderedPageBreak/>
        <w:t>ENGLISH SCHEMES</w:t>
      </w:r>
      <w:bookmarkEnd w:id="1"/>
    </w:p>
    <w:p w14:paraId="5187A176" w14:textId="77777777" w:rsidR="00B322B1" w:rsidRPr="00337831" w:rsidRDefault="00D25429" w:rsidP="006351BC">
      <w:pPr>
        <w:pStyle w:val="Heading2"/>
        <w:spacing w:after="120" w:line="360" w:lineRule="auto"/>
        <w:ind w:left="0" w:firstLine="0"/>
        <w:rPr>
          <w:rFonts w:cs="Arial"/>
          <w:b/>
          <w:sz w:val="22"/>
          <w:szCs w:val="22"/>
        </w:rPr>
      </w:pPr>
      <w:r w:rsidRPr="00337831">
        <w:rPr>
          <w:rFonts w:cs="Arial"/>
          <w:sz w:val="22"/>
          <w:szCs w:val="22"/>
        </w:rPr>
        <w:t xml:space="preserve"> </w:t>
      </w:r>
      <w:bookmarkStart w:id="2" w:name="_Toc32686578"/>
      <w:r w:rsidR="007B5644" w:rsidRPr="00337831">
        <w:rPr>
          <w:rFonts w:cs="Arial"/>
          <w:b/>
          <w:sz w:val="22"/>
          <w:szCs w:val="22"/>
        </w:rPr>
        <w:t>Summary</w:t>
      </w:r>
      <w:r w:rsidR="00FB0EB3" w:rsidRPr="00337831">
        <w:rPr>
          <w:rFonts w:cs="Arial"/>
          <w:b/>
          <w:sz w:val="22"/>
          <w:szCs w:val="22"/>
        </w:rPr>
        <w:t xml:space="preserve"> of English Schemes</w:t>
      </w:r>
      <w:bookmarkEnd w:id="2"/>
    </w:p>
    <w:p w14:paraId="5B4A1DC2" w14:textId="77777777" w:rsidR="007B5644" w:rsidRPr="00337831" w:rsidRDefault="00D25429" w:rsidP="006351BC">
      <w:pPr>
        <w:pStyle w:val="BodyText"/>
        <w:spacing w:after="120" w:line="360" w:lineRule="auto"/>
        <w:rPr>
          <w:rFonts w:cs="Arial"/>
          <w:sz w:val="22"/>
          <w:szCs w:val="22"/>
        </w:rPr>
      </w:pPr>
      <w:r w:rsidRPr="00337831">
        <w:rPr>
          <w:rFonts w:cs="Arial"/>
          <w:sz w:val="22"/>
          <w:szCs w:val="22"/>
        </w:rPr>
        <w:t xml:space="preserve">Schemes are one of two mechanisms under English law that can be </w:t>
      </w:r>
      <w:r w:rsidR="001F1AB2" w:rsidRPr="00337831">
        <w:rPr>
          <w:rFonts w:cs="Arial"/>
          <w:sz w:val="22"/>
          <w:szCs w:val="22"/>
        </w:rPr>
        <w:t>used</w:t>
      </w:r>
      <w:r w:rsidRPr="00337831">
        <w:rPr>
          <w:rFonts w:cs="Arial"/>
          <w:sz w:val="22"/>
          <w:szCs w:val="22"/>
        </w:rPr>
        <w:t xml:space="preserve"> to impose an arrangement on dissenting creditors through Court intervention.</w:t>
      </w:r>
      <w:r w:rsidRPr="00337831">
        <w:rPr>
          <w:rStyle w:val="FootnoteReference"/>
          <w:rFonts w:cs="Arial"/>
          <w:sz w:val="22"/>
          <w:szCs w:val="22"/>
        </w:rPr>
        <w:footnoteReference w:id="4"/>
      </w:r>
      <w:r w:rsidR="00BC5A76" w:rsidRPr="00337831">
        <w:rPr>
          <w:rFonts w:cs="Arial"/>
          <w:sz w:val="22"/>
          <w:szCs w:val="22"/>
        </w:rPr>
        <w:t xml:space="preserve">  </w:t>
      </w:r>
      <w:r w:rsidRPr="00337831">
        <w:rPr>
          <w:rFonts w:cs="Arial"/>
          <w:sz w:val="22"/>
          <w:szCs w:val="22"/>
        </w:rPr>
        <w:t xml:space="preserve">The other procedure, which is called a company voluntary arrangement (a </w:t>
      </w:r>
      <w:r w:rsidRPr="00337831">
        <w:rPr>
          <w:rFonts w:cs="Arial"/>
          <w:b/>
          <w:sz w:val="22"/>
          <w:szCs w:val="22"/>
        </w:rPr>
        <w:t>CVA</w:t>
      </w:r>
      <w:r w:rsidRPr="00337831">
        <w:rPr>
          <w:rFonts w:cs="Arial"/>
          <w:sz w:val="22"/>
          <w:szCs w:val="22"/>
        </w:rPr>
        <w:t xml:space="preserve">), is </w:t>
      </w:r>
      <w:r w:rsidR="006351BC" w:rsidRPr="00337831">
        <w:rPr>
          <w:rFonts w:cs="Arial"/>
          <w:sz w:val="22"/>
          <w:szCs w:val="22"/>
        </w:rPr>
        <w:t>governed</w:t>
      </w:r>
      <w:r w:rsidRPr="00337831">
        <w:rPr>
          <w:rFonts w:cs="Arial"/>
          <w:sz w:val="22"/>
          <w:szCs w:val="22"/>
        </w:rPr>
        <w:t xml:space="preserve"> by the </w:t>
      </w:r>
      <w:r w:rsidRPr="00337831">
        <w:rPr>
          <w:rFonts w:cs="Arial"/>
          <w:i/>
          <w:sz w:val="22"/>
          <w:szCs w:val="22"/>
        </w:rPr>
        <w:t>Insolvency Act 1986</w:t>
      </w:r>
      <w:r w:rsidRPr="00337831">
        <w:rPr>
          <w:rFonts w:cs="Arial"/>
          <w:sz w:val="22"/>
          <w:szCs w:val="22"/>
        </w:rPr>
        <w:t xml:space="preserve"> (UK).</w:t>
      </w:r>
      <w:r w:rsidR="00A851EB" w:rsidRPr="00337831">
        <w:rPr>
          <w:rFonts w:cs="Arial"/>
          <w:sz w:val="22"/>
          <w:szCs w:val="22"/>
        </w:rPr>
        <w:t xml:space="preserve">  </w:t>
      </w:r>
      <w:r w:rsidR="00BC5A76" w:rsidRPr="00337831">
        <w:rPr>
          <w:rFonts w:cs="Arial"/>
          <w:sz w:val="22"/>
          <w:szCs w:val="22"/>
        </w:rPr>
        <w:t xml:space="preserve">Schemes, on the other hand, are governed by the </w:t>
      </w:r>
      <w:r w:rsidR="00BC5A76" w:rsidRPr="00337831">
        <w:rPr>
          <w:rFonts w:cs="Arial"/>
          <w:i/>
          <w:sz w:val="22"/>
          <w:szCs w:val="22"/>
        </w:rPr>
        <w:t>Companies Act 2006</w:t>
      </w:r>
      <w:r w:rsidR="00BC5A76" w:rsidRPr="00337831">
        <w:rPr>
          <w:rFonts w:cs="Arial"/>
          <w:sz w:val="22"/>
          <w:szCs w:val="22"/>
        </w:rPr>
        <w:t xml:space="preserve"> (UK) (</w:t>
      </w:r>
      <w:r w:rsidR="00BC5A76" w:rsidRPr="00337831">
        <w:rPr>
          <w:rFonts w:cs="Arial"/>
          <w:b/>
          <w:sz w:val="22"/>
          <w:szCs w:val="22"/>
        </w:rPr>
        <w:t>Companies Act</w:t>
      </w:r>
      <w:r w:rsidR="00BC5A76" w:rsidRPr="00337831">
        <w:rPr>
          <w:rFonts w:cs="Arial"/>
          <w:sz w:val="22"/>
          <w:szCs w:val="22"/>
        </w:rPr>
        <w:t>).</w:t>
      </w:r>
      <w:r w:rsidRPr="00337831">
        <w:rPr>
          <w:rStyle w:val="FootnoteReference"/>
          <w:rFonts w:cs="Arial"/>
          <w:sz w:val="22"/>
          <w:szCs w:val="22"/>
        </w:rPr>
        <w:footnoteReference w:id="5"/>
      </w:r>
      <w:r w:rsidR="00BC5A76" w:rsidRPr="00337831">
        <w:rPr>
          <w:rFonts w:cs="Arial"/>
          <w:sz w:val="22"/>
          <w:szCs w:val="22"/>
        </w:rPr>
        <w:t xml:space="preserve">  </w:t>
      </w:r>
    </w:p>
    <w:p w14:paraId="456478EA" w14:textId="77777777" w:rsidR="00E068EC" w:rsidRPr="00337831" w:rsidRDefault="00D25429" w:rsidP="006351BC">
      <w:pPr>
        <w:pStyle w:val="BodyText"/>
        <w:spacing w:after="120" w:line="360" w:lineRule="auto"/>
        <w:rPr>
          <w:rFonts w:cs="Arial"/>
          <w:sz w:val="22"/>
          <w:szCs w:val="22"/>
        </w:rPr>
      </w:pPr>
      <w:r w:rsidRPr="00337831">
        <w:rPr>
          <w:rFonts w:cs="Arial"/>
          <w:sz w:val="22"/>
          <w:szCs w:val="22"/>
        </w:rPr>
        <w:t xml:space="preserve">In essence, a </w:t>
      </w:r>
      <w:r w:rsidR="007B5644" w:rsidRPr="00337831">
        <w:rPr>
          <w:rFonts w:cs="Arial"/>
          <w:sz w:val="22"/>
          <w:szCs w:val="22"/>
        </w:rPr>
        <w:t>S</w:t>
      </w:r>
      <w:r w:rsidRPr="00337831">
        <w:rPr>
          <w:rFonts w:cs="Arial"/>
          <w:sz w:val="22"/>
          <w:szCs w:val="22"/>
        </w:rPr>
        <w:t xml:space="preserve">cheme </w:t>
      </w:r>
      <w:r w:rsidR="007B5644" w:rsidRPr="00337831">
        <w:rPr>
          <w:rFonts w:cs="Arial"/>
          <w:sz w:val="22"/>
          <w:szCs w:val="22"/>
        </w:rPr>
        <w:t xml:space="preserve">provides a platform to enable </w:t>
      </w:r>
      <w:r w:rsidRPr="00337831">
        <w:rPr>
          <w:rFonts w:cs="Arial"/>
          <w:sz w:val="22"/>
          <w:szCs w:val="22"/>
        </w:rPr>
        <w:t>a compan</w:t>
      </w:r>
      <w:r w:rsidR="008B1536" w:rsidRPr="00337831">
        <w:rPr>
          <w:rFonts w:cs="Arial"/>
          <w:sz w:val="22"/>
          <w:szCs w:val="22"/>
        </w:rPr>
        <w:t xml:space="preserve">y to enter into a compromise </w:t>
      </w:r>
      <w:r w:rsidR="00191EF6" w:rsidRPr="00337831">
        <w:rPr>
          <w:rFonts w:cs="Arial"/>
          <w:sz w:val="22"/>
          <w:szCs w:val="22"/>
        </w:rPr>
        <w:t xml:space="preserve">arrangement </w:t>
      </w:r>
      <w:r w:rsidRPr="00337831">
        <w:rPr>
          <w:rFonts w:cs="Arial"/>
          <w:sz w:val="22"/>
          <w:szCs w:val="22"/>
        </w:rPr>
        <w:t>with its creditors (including any secured creditors).</w:t>
      </w:r>
      <w:r w:rsidRPr="00337831">
        <w:rPr>
          <w:rStyle w:val="FootnoteReference"/>
          <w:rFonts w:cs="Arial"/>
          <w:sz w:val="22"/>
          <w:szCs w:val="22"/>
        </w:rPr>
        <w:footnoteReference w:id="6"/>
      </w:r>
      <w:r w:rsidR="00A851EB" w:rsidRPr="00337831">
        <w:rPr>
          <w:rFonts w:cs="Arial"/>
          <w:sz w:val="22"/>
          <w:szCs w:val="22"/>
        </w:rPr>
        <w:t xml:space="preserve">  </w:t>
      </w:r>
      <w:r w:rsidR="00191EF6" w:rsidRPr="00337831">
        <w:rPr>
          <w:rFonts w:cs="Arial"/>
          <w:sz w:val="22"/>
          <w:szCs w:val="22"/>
        </w:rPr>
        <w:t>Thus, u</w:t>
      </w:r>
      <w:r w:rsidR="00A851EB" w:rsidRPr="00337831">
        <w:rPr>
          <w:rFonts w:cs="Arial"/>
          <w:sz w:val="22"/>
          <w:szCs w:val="22"/>
        </w:rPr>
        <w:t xml:space="preserve">pon implementation, </w:t>
      </w:r>
      <w:r w:rsidR="00A8618E" w:rsidRPr="00337831">
        <w:rPr>
          <w:rFonts w:cs="Arial"/>
          <w:sz w:val="22"/>
          <w:szCs w:val="22"/>
        </w:rPr>
        <w:t xml:space="preserve">a </w:t>
      </w:r>
      <w:r w:rsidR="00F471F8" w:rsidRPr="00337831">
        <w:rPr>
          <w:rFonts w:cs="Arial"/>
          <w:sz w:val="22"/>
          <w:szCs w:val="22"/>
        </w:rPr>
        <w:t xml:space="preserve">Scheme </w:t>
      </w:r>
      <w:r w:rsidR="00A8618E" w:rsidRPr="00337831">
        <w:rPr>
          <w:rFonts w:cs="Arial"/>
          <w:sz w:val="22"/>
          <w:szCs w:val="22"/>
        </w:rPr>
        <w:t>effect</w:t>
      </w:r>
      <w:r w:rsidR="00A851EB" w:rsidRPr="00337831">
        <w:rPr>
          <w:rFonts w:cs="Arial"/>
          <w:sz w:val="22"/>
          <w:szCs w:val="22"/>
        </w:rPr>
        <w:t>s</w:t>
      </w:r>
      <w:r w:rsidR="00A8618E" w:rsidRPr="00337831">
        <w:rPr>
          <w:rFonts w:cs="Arial"/>
          <w:sz w:val="22"/>
          <w:szCs w:val="22"/>
        </w:rPr>
        <w:t xml:space="preserve"> a </w:t>
      </w:r>
      <w:r w:rsidR="00191EF6" w:rsidRPr="00337831">
        <w:rPr>
          <w:rFonts w:cs="Arial"/>
          <w:sz w:val="22"/>
          <w:szCs w:val="22"/>
        </w:rPr>
        <w:t xml:space="preserve">binding agreement </w:t>
      </w:r>
      <w:r w:rsidR="00F471F8" w:rsidRPr="00337831">
        <w:rPr>
          <w:rFonts w:cs="Arial"/>
          <w:sz w:val="22"/>
          <w:szCs w:val="22"/>
        </w:rPr>
        <w:t>between a company an</w:t>
      </w:r>
      <w:r w:rsidR="00191EF6" w:rsidRPr="00337831">
        <w:rPr>
          <w:rFonts w:cs="Arial"/>
          <w:sz w:val="22"/>
          <w:szCs w:val="22"/>
        </w:rPr>
        <w:t xml:space="preserve">d its creditors, </w:t>
      </w:r>
      <w:r w:rsidR="00F471F8" w:rsidRPr="00337831">
        <w:rPr>
          <w:rFonts w:cs="Arial"/>
          <w:sz w:val="22"/>
          <w:szCs w:val="22"/>
        </w:rPr>
        <w:t>or any class of them</w:t>
      </w:r>
      <w:r w:rsidR="00191EF6" w:rsidRPr="00337831">
        <w:rPr>
          <w:rFonts w:cs="Arial"/>
          <w:sz w:val="22"/>
          <w:szCs w:val="22"/>
        </w:rPr>
        <w:t>, regarding the company’s debts</w:t>
      </w:r>
      <w:r w:rsidR="00F471F8" w:rsidRPr="00337831">
        <w:rPr>
          <w:rFonts w:cs="Arial"/>
          <w:sz w:val="22"/>
          <w:szCs w:val="22"/>
        </w:rPr>
        <w:t>.</w:t>
      </w:r>
      <w:r w:rsidRPr="00337831">
        <w:rPr>
          <w:rStyle w:val="FootnoteReference"/>
          <w:rFonts w:cs="Arial"/>
          <w:sz w:val="22"/>
          <w:szCs w:val="22"/>
        </w:rPr>
        <w:footnoteReference w:id="7"/>
      </w:r>
      <w:r w:rsidR="00B80809" w:rsidRPr="00337831">
        <w:rPr>
          <w:rFonts w:cs="Arial"/>
          <w:sz w:val="22"/>
          <w:szCs w:val="22"/>
        </w:rPr>
        <w:t xml:space="preserve">  </w:t>
      </w:r>
      <w:r w:rsidR="00A916A1" w:rsidRPr="00337831">
        <w:rPr>
          <w:rFonts w:cs="Arial"/>
          <w:sz w:val="22"/>
          <w:szCs w:val="22"/>
        </w:rPr>
        <w:t>It is impo</w:t>
      </w:r>
      <w:r w:rsidR="00A851EB" w:rsidRPr="00337831">
        <w:rPr>
          <w:rFonts w:cs="Arial"/>
          <w:sz w:val="22"/>
          <w:szCs w:val="22"/>
        </w:rPr>
        <w:t>rtant to note that a Scheme is “</w:t>
      </w:r>
      <w:r w:rsidR="00B80809" w:rsidRPr="00337831">
        <w:rPr>
          <w:rFonts w:cs="Arial"/>
          <w:sz w:val="22"/>
          <w:szCs w:val="22"/>
        </w:rPr>
        <w:t>not an insolvency proceeding.”</w:t>
      </w:r>
      <w:r w:rsidRPr="00337831">
        <w:rPr>
          <w:rStyle w:val="FootnoteReference"/>
          <w:rFonts w:cs="Arial"/>
          <w:sz w:val="22"/>
          <w:szCs w:val="22"/>
        </w:rPr>
        <w:footnoteReference w:id="8"/>
      </w:r>
      <w:r w:rsidR="00A851EB" w:rsidRPr="00337831">
        <w:rPr>
          <w:rFonts w:cs="Arial"/>
          <w:sz w:val="22"/>
          <w:szCs w:val="22"/>
        </w:rPr>
        <w:t xml:space="preserve">  </w:t>
      </w:r>
      <w:r w:rsidR="00191EF6" w:rsidRPr="00337831">
        <w:rPr>
          <w:rFonts w:cs="Arial"/>
          <w:sz w:val="22"/>
          <w:szCs w:val="22"/>
        </w:rPr>
        <w:t>Therefore</w:t>
      </w:r>
      <w:r w:rsidR="00B80809" w:rsidRPr="00337831">
        <w:rPr>
          <w:rFonts w:cs="Arial"/>
          <w:sz w:val="22"/>
          <w:szCs w:val="22"/>
        </w:rPr>
        <w:t xml:space="preserve">, </w:t>
      </w:r>
      <w:r w:rsidR="007154FB" w:rsidRPr="00337831">
        <w:rPr>
          <w:rFonts w:cs="Arial"/>
          <w:sz w:val="22"/>
          <w:szCs w:val="22"/>
        </w:rPr>
        <w:t xml:space="preserve">there is no </w:t>
      </w:r>
      <w:r w:rsidR="006351BC" w:rsidRPr="00337831">
        <w:rPr>
          <w:rFonts w:cs="Arial"/>
          <w:sz w:val="22"/>
          <w:szCs w:val="22"/>
        </w:rPr>
        <w:t>moratorium</w:t>
      </w:r>
      <w:r w:rsidR="007154FB" w:rsidRPr="00337831">
        <w:rPr>
          <w:rFonts w:cs="Arial"/>
          <w:sz w:val="22"/>
          <w:szCs w:val="22"/>
        </w:rPr>
        <w:t xml:space="preserve"> to protect creditors’ claims </w:t>
      </w:r>
      <w:r w:rsidR="00191EF6" w:rsidRPr="00337831">
        <w:rPr>
          <w:rFonts w:cs="Arial"/>
          <w:sz w:val="22"/>
          <w:szCs w:val="22"/>
        </w:rPr>
        <w:t xml:space="preserve">in a Scheme and, as a result of this, </w:t>
      </w:r>
      <w:r w:rsidRPr="00337831">
        <w:rPr>
          <w:rFonts w:cs="Arial"/>
          <w:sz w:val="22"/>
          <w:szCs w:val="22"/>
        </w:rPr>
        <w:t xml:space="preserve">creditors </w:t>
      </w:r>
      <w:r w:rsidR="00A851EB" w:rsidRPr="00337831">
        <w:rPr>
          <w:rFonts w:cs="Arial"/>
          <w:sz w:val="22"/>
          <w:szCs w:val="22"/>
        </w:rPr>
        <w:t xml:space="preserve">may </w:t>
      </w:r>
      <w:r w:rsidRPr="00337831">
        <w:rPr>
          <w:rFonts w:cs="Arial"/>
          <w:sz w:val="22"/>
          <w:szCs w:val="22"/>
        </w:rPr>
        <w:t xml:space="preserve">take enforcement action against the company up until the point at </w:t>
      </w:r>
      <w:r w:rsidR="00A851EB" w:rsidRPr="00337831">
        <w:rPr>
          <w:rFonts w:cs="Arial"/>
          <w:sz w:val="22"/>
          <w:szCs w:val="22"/>
        </w:rPr>
        <w:t>which the S</w:t>
      </w:r>
      <w:r w:rsidR="00AC1D24" w:rsidRPr="00337831">
        <w:rPr>
          <w:rFonts w:cs="Arial"/>
          <w:sz w:val="22"/>
          <w:szCs w:val="22"/>
        </w:rPr>
        <w:t>cheme is sanctioned</w:t>
      </w:r>
      <w:r w:rsidR="00191EF6" w:rsidRPr="00337831">
        <w:rPr>
          <w:rFonts w:cs="Arial"/>
          <w:sz w:val="22"/>
          <w:szCs w:val="22"/>
        </w:rPr>
        <w:t xml:space="preserve"> (unless Court orders are obtained)</w:t>
      </w:r>
      <w:r w:rsidR="00AC1D24" w:rsidRPr="00337831">
        <w:rPr>
          <w:rFonts w:cs="Arial"/>
          <w:sz w:val="22"/>
          <w:szCs w:val="22"/>
        </w:rPr>
        <w:t>.</w:t>
      </w:r>
      <w:r w:rsidRPr="00337831">
        <w:rPr>
          <w:rStyle w:val="FootnoteReference"/>
          <w:rFonts w:cs="Arial"/>
          <w:sz w:val="22"/>
          <w:szCs w:val="22"/>
        </w:rPr>
        <w:footnoteReference w:id="9"/>
      </w:r>
    </w:p>
    <w:p w14:paraId="3A7F6FE4" w14:textId="77777777" w:rsidR="0055768F" w:rsidRPr="00337831" w:rsidRDefault="00D25429" w:rsidP="006351BC">
      <w:pPr>
        <w:pStyle w:val="BodyText"/>
        <w:spacing w:after="120" w:line="360" w:lineRule="auto"/>
        <w:rPr>
          <w:rFonts w:cs="Arial"/>
          <w:sz w:val="22"/>
          <w:szCs w:val="22"/>
        </w:rPr>
      </w:pPr>
      <w:r w:rsidRPr="00337831">
        <w:rPr>
          <w:rFonts w:cs="Arial"/>
          <w:sz w:val="22"/>
          <w:szCs w:val="22"/>
        </w:rPr>
        <w:t xml:space="preserve">Given the above, unlike certain </w:t>
      </w:r>
      <w:r w:rsidR="009C53A3" w:rsidRPr="00337831">
        <w:rPr>
          <w:rFonts w:cs="Arial"/>
          <w:sz w:val="22"/>
          <w:szCs w:val="22"/>
        </w:rPr>
        <w:t>inso</w:t>
      </w:r>
      <w:r w:rsidR="00191EF6" w:rsidRPr="00337831">
        <w:rPr>
          <w:rFonts w:cs="Arial"/>
          <w:sz w:val="22"/>
          <w:szCs w:val="22"/>
        </w:rPr>
        <w:t xml:space="preserve">lvency administrations, a Scheme </w:t>
      </w:r>
      <w:r w:rsidR="009D2D6F" w:rsidRPr="00337831">
        <w:rPr>
          <w:rFonts w:cs="Arial"/>
          <w:sz w:val="22"/>
          <w:szCs w:val="22"/>
        </w:rPr>
        <w:t xml:space="preserve">can enable </w:t>
      </w:r>
      <w:r w:rsidR="00425AC4" w:rsidRPr="00337831">
        <w:rPr>
          <w:rFonts w:cs="Arial"/>
          <w:sz w:val="22"/>
          <w:szCs w:val="22"/>
        </w:rPr>
        <w:t xml:space="preserve">the </w:t>
      </w:r>
      <w:r w:rsidRPr="00337831">
        <w:rPr>
          <w:rFonts w:cs="Arial"/>
          <w:sz w:val="22"/>
          <w:szCs w:val="22"/>
        </w:rPr>
        <w:t xml:space="preserve">company </w:t>
      </w:r>
      <w:r w:rsidR="009D2D6F" w:rsidRPr="00337831">
        <w:rPr>
          <w:rFonts w:cs="Arial"/>
          <w:sz w:val="22"/>
          <w:szCs w:val="22"/>
        </w:rPr>
        <w:t xml:space="preserve">to </w:t>
      </w:r>
      <w:r w:rsidRPr="00337831">
        <w:rPr>
          <w:rFonts w:cs="Arial"/>
          <w:sz w:val="22"/>
          <w:szCs w:val="22"/>
        </w:rPr>
        <w:t>avoid</w:t>
      </w:r>
      <w:r w:rsidR="009C53A3" w:rsidRPr="00337831">
        <w:rPr>
          <w:rFonts w:cs="Arial"/>
          <w:sz w:val="22"/>
          <w:szCs w:val="22"/>
        </w:rPr>
        <w:t xml:space="preserve"> (</w:t>
      </w:r>
      <w:r w:rsidRPr="00337831">
        <w:rPr>
          <w:rFonts w:cs="Arial"/>
          <w:sz w:val="22"/>
          <w:szCs w:val="22"/>
        </w:rPr>
        <w:t>at least to a certain degree</w:t>
      </w:r>
      <w:r w:rsidR="009C53A3" w:rsidRPr="00337831">
        <w:rPr>
          <w:rFonts w:cs="Arial"/>
          <w:sz w:val="22"/>
          <w:szCs w:val="22"/>
        </w:rPr>
        <w:t xml:space="preserve">) </w:t>
      </w:r>
      <w:r w:rsidRPr="00337831">
        <w:rPr>
          <w:rFonts w:cs="Arial"/>
          <w:sz w:val="22"/>
          <w:szCs w:val="22"/>
        </w:rPr>
        <w:t xml:space="preserve">the kind of reputational stigma that is associated with formal insolvency proceedings. </w:t>
      </w:r>
      <w:r w:rsidR="00425AC4" w:rsidRPr="00337831">
        <w:rPr>
          <w:rFonts w:cs="Arial"/>
          <w:sz w:val="22"/>
          <w:szCs w:val="22"/>
        </w:rPr>
        <w:t xml:space="preserve"> </w:t>
      </w:r>
      <w:r w:rsidRPr="00337831">
        <w:rPr>
          <w:rFonts w:cs="Arial"/>
          <w:sz w:val="22"/>
          <w:szCs w:val="22"/>
        </w:rPr>
        <w:t>In some cases, avoiding a technical insolvency process can also be extremely valuable in ensuring that the company does not trigger insolvency event of default wording in its contracts</w:t>
      </w:r>
      <w:r w:rsidR="00425AC4" w:rsidRPr="00337831">
        <w:rPr>
          <w:rFonts w:cs="Arial"/>
          <w:sz w:val="22"/>
          <w:szCs w:val="22"/>
        </w:rPr>
        <w:t xml:space="preserve"> (</w:t>
      </w:r>
      <w:r w:rsidR="006351BC" w:rsidRPr="00337831">
        <w:rPr>
          <w:rFonts w:cs="Arial"/>
          <w:sz w:val="22"/>
          <w:szCs w:val="22"/>
        </w:rPr>
        <w:t>sometimes</w:t>
      </w:r>
      <w:r w:rsidR="00425AC4" w:rsidRPr="00337831">
        <w:rPr>
          <w:rFonts w:cs="Arial"/>
          <w:sz w:val="22"/>
          <w:szCs w:val="22"/>
        </w:rPr>
        <w:t xml:space="preserve"> referred to as </w:t>
      </w:r>
      <w:r w:rsidR="00425AC4" w:rsidRPr="00337831">
        <w:rPr>
          <w:rFonts w:cs="Arial"/>
          <w:i/>
          <w:sz w:val="22"/>
          <w:szCs w:val="22"/>
        </w:rPr>
        <w:t>ipso facto</w:t>
      </w:r>
      <w:r w:rsidR="00425AC4" w:rsidRPr="00337831">
        <w:rPr>
          <w:rFonts w:cs="Arial"/>
          <w:sz w:val="22"/>
          <w:szCs w:val="22"/>
        </w:rPr>
        <w:t xml:space="preserve"> clauses)</w:t>
      </w:r>
      <w:r w:rsidRPr="00337831">
        <w:rPr>
          <w:rFonts w:cs="Arial"/>
          <w:sz w:val="22"/>
          <w:szCs w:val="22"/>
        </w:rPr>
        <w:t>.</w:t>
      </w:r>
      <w:r w:rsidRPr="00337831">
        <w:rPr>
          <w:rStyle w:val="FootnoteReference"/>
          <w:rFonts w:cs="Arial"/>
          <w:sz w:val="22"/>
          <w:szCs w:val="22"/>
        </w:rPr>
        <w:footnoteReference w:id="10"/>
      </w:r>
      <w:r w:rsidR="00425AC4" w:rsidRPr="00337831">
        <w:rPr>
          <w:rFonts w:cs="Arial"/>
          <w:sz w:val="22"/>
          <w:szCs w:val="22"/>
        </w:rPr>
        <w:t xml:space="preserve">  An </w:t>
      </w:r>
      <w:r w:rsidR="00425AC4" w:rsidRPr="00337831">
        <w:rPr>
          <w:rFonts w:cs="Arial"/>
          <w:i/>
          <w:sz w:val="22"/>
          <w:szCs w:val="22"/>
        </w:rPr>
        <w:t>ipso facto</w:t>
      </w:r>
      <w:r w:rsidR="00425AC4" w:rsidRPr="00337831">
        <w:rPr>
          <w:rFonts w:cs="Arial"/>
          <w:sz w:val="22"/>
          <w:szCs w:val="22"/>
        </w:rPr>
        <w:t xml:space="preserve"> clause is a </w:t>
      </w:r>
      <w:r w:rsidR="009D2D6F" w:rsidRPr="00337831">
        <w:rPr>
          <w:rFonts w:cs="Arial"/>
          <w:sz w:val="22"/>
          <w:szCs w:val="22"/>
        </w:rPr>
        <w:t xml:space="preserve">contractual </w:t>
      </w:r>
      <w:r w:rsidR="00425AC4" w:rsidRPr="00337831">
        <w:rPr>
          <w:rFonts w:cs="Arial"/>
          <w:sz w:val="22"/>
          <w:szCs w:val="22"/>
        </w:rPr>
        <w:t xml:space="preserve">clause which allows a counterparty to terminate a contract, or exercise </w:t>
      </w:r>
      <w:r w:rsidR="006351BC" w:rsidRPr="00337831">
        <w:rPr>
          <w:rFonts w:cs="Arial"/>
          <w:sz w:val="22"/>
          <w:szCs w:val="22"/>
        </w:rPr>
        <w:t>rights</w:t>
      </w:r>
      <w:r w:rsidR="00425AC4" w:rsidRPr="00337831">
        <w:rPr>
          <w:rFonts w:cs="Arial"/>
          <w:sz w:val="22"/>
          <w:szCs w:val="22"/>
        </w:rPr>
        <w:t xml:space="preserve"> in respect of a contract</w:t>
      </w:r>
      <w:r w:rsidR="00191EF6" w:rsidRPr="00337831">
        <w:rPr>
          <w:rFonts w:cs="Arial"/>
          <w:sz w:val="22"/>
          <w:szCs w:val="22"/>
        </w:rPr>
        <w:t>,</w:t>
      </w:r>
      <w:r w:rsidR="00425AC4" w:rsidRPr="00337831">
        <w:rPr>
          <w:rFonts w:cs="Arial"/>
          <w:sz w:val="22"/>
          <w:szCs w:val="22"/>
        </w:rPr>
        <w:t xml:space="preserve"> upon the counterparty entering into an insolvency process.</w:t>
      </w:r>
    </w:p>
    <w:p w14:paraId="45F45139" w14:textId="77777777" w:rsidR="00FB0EB3" w:rsidRPr="00337831" w:rsidRDefault="00D25429" w:rsidP="006351BC">
      <w:pPr>
        <w:pStyle w:val="Heading2"/>
        <w:spacing w:after="120" w:line="360" w:lineRule="auto"/>
        <w:ind w:left="0" w:firstLine="0"/>
        <w:rPr>
          <w:rFonts w:cs="Arial"/>
          <w:b/>
          <w:sz w:val="22"/>
          <w:szCs w:val="22"/>
        </w:rPr>
      </w:pPr>
      <w:bookmarkStart w:id="3" w:name="_Toc32686579"/>
      <w:r w:rsidRPr="00337831">
        <w:rPr>
          <w:rFonts w:cs="Arial"/>
          <w:b/>
          <w:sz w:val="22"/>
          <w:szCs w:val="22"/>
        </w:rPr>
        <w:t>Implementation of a Scheme</w:t>
      </w:r>
      <w:bookmarkEnd w:id="3"/>
    </w:p>
    <w:p w14:paraId="48DCD7EA" w14:textId="77777777" w:rsidR="001A7278" w:rsidRPr="00337831" w:rsidRDefault="00D25429" w:rsidP="006351BC">
      <w:pPr>
        <w:pStyle w:val="BodyText"/>
        <w:spacing w:after="120" w:line="360" w:lineRule="auto"/>
        <w:rPr>
          <w:rFonts w:cs="Arial"/>
          <w:sz w:val="22"/>
          <w:szCs w:val="22"/>
        </w:rPr>
      </w:pPr>
      <w:r w:rsidRPr="00337831">
        <w:rPr>
          <w:rFonts w:cs="Arial"/>
          <w:sz w:val="22"/>
          <w:szCs w:val="22"/>
        </w:rPr>
        <w:t xml:space="preserve">The </w:t>
      </w:r>
      <w:r w:rsidR="006351BC" w:rsidRPr="00337831">
        <w:rPr>
          <w:rFonts w:cs="Arial"/>
          <w:sz w:val="22"/>
          <w:szCs w:val="22"/>
        </w:rPr>
        <w:t>implementation</w:t>
      </w:r>
      <w:r w:rsidRPr="00337831">
        <w:rPr>
          <w:rFonts w:cs="Arial"/>
          <w:sz w:val="22"/>
          <w:szCs w:val="22"/>
        </w:rPr>
        <w:t xml:space="preserve"> of a Scheme requires two Court </w:t>
      </w:r>
      <w:r w:rsidR="00270272" w:rsidRPr="00337831">
        <w:rPr>
          <w:rFonts w:cs="Arial"/>
          <w:sz w:val="22"/>
          <w:szCs w:val="22"/>
        </w:rPr>
        <w:t>hearings</w:t>
      </w:r>
      <w:r w:rsidRPr="00337831">
        <w:rPr>
          <w:rFonts w:cs="Arial"/>
          <w:sz w:val="22"/>
          <w:szCs w:val="22"/>
        </w:rPr>
        <w:t xml:space="preserve"> </w:t>
      </w:r>
      <w:r w:rsidR="00A916A1" w:rsidRPr="00337831">
        <w:rPr>
          <w:rFonts w:cs="Arial"/>
          <w:sz w:val="22"/>
          <w:szCs w:val="22"/>
        </w:rPr>
        <w:t xml:space="preserve">as well </w:t>
      </w:r>
      <w:r w:rsidR="00191EF6" w:rsidRPr="00337831">
        <w:rPr>
          <w:rFonts w:cs="Arial"/>
          <w:sz w:val="22"/>
          <w:szCs w:val="22"/>
        </w:rPr>
        <w:t xml:space="preserve">as </w:t>
      </w:r>
      <w:r w:rsidRPr="00337831">
        <w:rPr>
          <w:rFonts w:cs="Arial"/>
          <w:sz w:val="22"/>
          <w:szCs w:val="22"/>
        </w:rPr>
        <w:t>creditors</w:t>
      </w:r>
      <w:r w:rsidR="00A916A1" w:rsidRPr="00337831">
        <w:rPr>
          <w:rFonts w:cs="Arial"/>
          <w:sz w:val="22"/>
          <w:szCs w:val="22"/>
        </w:rPr>
        <w:t xml:space="preserve">’ meetings </w:t>
      </w:r>
      <w:r w:rsidRPr="00337831">
        <w:rPr>
          <w:rFonts w:cs="Arial"/>
          <w:sz w:val="22"/>
          <w:szCs w:val="22"/>
        </w:rPr>
        <w:t xml:space="preserve">to be called. </w:t>
      </w:r>
      <w:r w:rsidR="00270272" w:rsidRPr="00337831">
        <w:rPr>
          <w:rFonts w:cs="Arial"/>
          <w:sz w:val="22"/>
          <w:szCs w:val="22"/>
        </w:rPr>
        <w:t xml:space="preserve"> </w:t>
      </w:r>
      <w:r w:rsidRPr="00337831">
        <w:rPr>
          <w:rFonts w:cs="Arial"/>
          <w:sz w:val="22"/>
          <w:szCs w:val="22"/>
        </w:rPr>
        <w:t xml:space="preserve">A Scheme is commenced by making </w:t>
      </w:r>
      <w:r w:rsidR="00270272" w:rsidRPr="00337831">
        <w:rPr>
          <w:rFonts w:cs="Arial"/>
          <w:sz w:val="22"/>
          <w:szCs w:val="22"/>
        </w:rPr>
        <w:t>an initial application</w:t>
      </w:r>
      <w:r w:rsidRPr="00337831">
        <w:rPr>
          <w:rFonts w:cs="Arial"/>
          <w:sz w:val="22"/>
          <w:szCs w:val="22"/>
        </w:rPr>
        <w:t xml:space="preserve"> to Court (ordinarily by the company, but this could also be made by any creditor, a liquidator or administrator) </w:t>
      </w:r>
      <w:r w:rsidR="00270272" w:rsidRPr="00337831">
        <w:rPr>
          <w:rFonts w:cs="Arial"/>
          <w:sz w:val="22"/>
          <w:szCs w:val="22"/>
        </w:rPr>
        <w:t>for an order that</w:t>
      </w:r>
      <w:r w:rsidRPr="00337831">
        <w:rPr>
          <w:rFonts w:cs="Arial"/>
          <w:sz w:val="22"/>
          <w:szCs w:val="22"/>
        </w:rPr>
        <w:t xml:space="preserve"> creditors’ meeting</w:t>
      </w:r>
      <w:r w:rsidR="00270272" w:rsidRPr="00337831">
        <w:rPr>
          <w:rFonts w:cs="Arial"/>
          <w:sz w:val="22"/>
          <w:szCs w:val="22"/>
        </w:rPr>
        <w:t>s</w:t>
      </w:r>
      <w:r w:rsidRPr="00337831">
        <w:rPr>
          <w:rFonts w:cs="Arial"/>
          <w:sz w:val="22"/>
          <w:szCs w:val="22"/>
        </w:rPr>
        <w:t xml:space="preserve"> be summoned.</w:t>
      </w:r>
      <w:r w:rsidRPr="00337831">
        <w:rPr>
          <w:rStyle w:val="FootnoteReference"/>
          <w:rFonts w:cs="Arial"/>
          <w:sz w:val="22"/>
          <w:szCs w:val="22"/>
        </w:rPr>
        <w:footnoteReference w:id="11"/>
      </w:r>
      <w:r w:rsidR="00270272" w:rsidRPr="00337831">
        <w:rPr>
          <w:rFonts w:cs="Arial"/>
          <w:sz w:val="22"/>
          <w:szCs w:val="22"/>
        </w:rPr>
        <w:t xml:space="preserve">  There must be a separate meeting of </w:t>
      </w:r>
      <w:r w:rsidR="00270272" w:rsidRPr="00337831">
        <w:rPr>
          <w:rFonts w:cs="Arial"/>
          <w:sz w:val="22"/>
          <w:szCs w:val="22"/>
        </w:rPr>
        <w:lastRenderedPageBreak/>
        <w:t xml:space="preserve">each </w:t>
      </w:r>
      <w:r w:rsidR="009D2D6F" w:rsidRPr="00337831">
        <w:rPr>
          <w:rFonts w:cs="Arial"/>
          <w:sz w:val="22"/>
          <w:szCs w:val="22"/>
        </w:rPr>
        <w:t>“</w:t>
      </w:r>
      <w:r w:rsidR="00270272" w:rsidRPr="00337831">
        <w:rPr>
          <w:rFonts w:cs="Arial"/>
          <w:sz w:val="22"/>
          <w:szCs w:val="22"/>
        </w:rPr>
        <w:t>class</w:t>
      </w:r>
      <w:r w:rsidR="009D2D6F" w:rsidRPr="00337831">
        <w:rPr>
          <w:rFonts w:cs="Arial"/>
          <w:sz w:val="22"/>
          <w:szCs w:val="22"/>
        </w:rPr>
        <w:t>”</w:t>
      </w:r>
      <w:r w:rsidR="00270272" w:rsidRPr="00337831">
        <w:rPr>
          <w:rFonts w:cs="Arial"/>
          <w:sz w:val="22"/>
          <w:szCs w:val="22"/>
        </w:rPr>
        <w:t xml:space="preserve"> of the company’s creditors and the number of classes will be dependent on the composition of a company’s creditors</w:t>
      </w:r>
      <w:r w:rsidR="00A916A1" w:rsidRPr="00337831">
        <w:rPr>
          <w:rFonts w:cs="Arial"/>
          <w:sz w:val="22"/>
          <w:szCs w:val="22"/>
        </w:rPr>
        <w:t xml:space="preserve"> (accordingly, in the ordinary course there is likely to be more than one group of creditors: e.g. secured and unsecured; however, in respect of </w:t>
      </w:r>
      <w:r w:rsidR="009D2D6F" w:rsidRPr="00337831">
        <w:rPr>
          <w:rFonts w:cs="Arial"/>
          <w:sz w:val="22"/>
          <w:szCs w:val="22"/>
        </w:rPr>
        <w:t xml:space="preserve">the </w:t>
      </w:r>
      <w:r w:rsidR="00191EF6" w:rsidRPr="00337831">
        <w:rPr>
          <w:rFonts w:cs="Arial"/>
          <w:sz w:val="22"/>
          <w:szCs w:val="22"/>
        </w:rPr>
        <w:t>Case</w:t>
      </w:r>
      <w:r w:rsidR="00A916A1" w:rsidRPr="00337831">
        <w:rPr>
          <w:rFonts w:cs="Arial"/>
          <w:sz w:val="22"/>
          <w:szCs w:val="22"/>
        </w:rPr>
        <w:t>, we are only dealing with one class</w:t>
      </w:r>
      <w:r w:rsidR="00092612" w:rsidRPr="00337831">
        <w:rPr>
          <w:rFonts w:cs="Arial"/>
          <w:sz w:val="22"/>
          <w:szCs w:val="22"/>
        </w:rPr>
        <w:t xml:space="preserve">).  </w:t>
      </w:r>
      <w:r w:rsidR="00270272" w:rsidRPr="00337831">
        <w:rPr>
          <w:rFonts w:cs="Arial"/>
          <w:sz w:val="22"/>
          <w:szCs w:val="22"/>
        </w:rPr>
        <w:t>Each voting class must comprise creditors whose “rights are not so dissimilar for it to be impossible for them to consult together with a view to their common interest”.</w:t>
      </w:r>
      <w:r w:rsidRPr="00337831">
        <w:rPr>
          <w:rStyle w:val="FootnoteReference"/>
          <w:rFonts w:cs="Arial"/>
          <w:sz w:val="22"/>
          <w:szCs w:val="22"/>
        </w:rPr>
        <w:footnoteReference w:id="12"/>
      </w:r>
      <w:r w:rsidR="00270272" w:rsidRPr="00337831">
        <w:rPr>
          <w:rFonts w:cs="Arial"/>
          <w:sz w:val="22"/>
          <w:szCs w:val="22"/>
        </w:rPr>
        <w:t xml:space="preserve">  </w:t>
      </w:r>
      <w:r w:rsidR="000A131D" w:rsidRPr="00337831">
        <w:rPr>
          <w:rFonts w:cs="Arial"/>
          <w:sz w:val="22"/>
          <w:szCs w:val="22"/>
        </w:rPr>
        <w:t>This</w:t>
      </w:r>
      <w:r w:rsidRPr="00337831">
        <w:rPr>
          <w:rFonts w:cs="Arial"/>
          <w:sz w:val="22"/>
          <w:szCs w:val="22"/>
        </w:rPr>
        <w:t xml:space="preserve"> test</w:t>
      </w:r>
      <w:r w:rsidR="000A131D" w:rsidRPr="00337831">
        <w:rPr>
          <w:rFonts w:cs="Arial"/>
          <w:sz w:val="22"/>
          <w:szCs w:val="22"/>
        </w:rPr>
        <w:t xml:space="preserve"> </w:t>
      </w:r>
      <w:r w:rsidRPr="00337831">
        <w:rPr>
          <w:rFonts w:cs="Arial"/>
          <w:sz w:val="22"/>
          <w:szCs w:val="22"/>
        </w:rPr>
        <w:t xml:space="preserve">is determined in accordance with the creditors’ rights under the </w:t>
      </w:r>
      <w:r w:rsidR="009D2D6F" w:rsidRPr="00337831">
        <w:rPr>
          <w:rFonts w:cs="Arial"/>
          <w:sz w:val="22"/>
          <w:szCs w:val="22"/>
        </w:rPr>
        <w:t>Scheme</w:t>
      </w:r>
      <w:r w:rsidRPr="00337831">
        <w:rPr>
          <w:rFonts w:cs="Arial"/>
          <w:sz w:val="22"/>
          <w:szCs w:val="22"/>
        </w:rPr>
        <w:t>, as opposed t</w:t>
      </w:r>
      <w:r w:rsidR="000A131D" w:rsidRPr="00337831">
        <w:rPr>
          <w:rFonts w:cs="Arial"/>
          <w:sz w:val="22"/>
          <w:szCs w:val="22"/>
        </w:rPr>
        <w:t xml:space="preserve">o broader collateral interests.  </w:t>
      </w:r>
      <w:r w:rsidRPr="00337831">
        <w:rPr>
          <w:rFonts w:cs="Arial"/>
          <w:sz w:val="22"/>
          <w:szCs w:val="22"/>
        </w:rPr>
        <w:t xml:space="preserve">Whether a group of creditors form a single class depends on the analysis of the rights that are to be released or varied under the </w:t>
      </w:r>
      <w:r w:rsidR="009D2D6F" w:rsidRPr="00337831">
        <w:rPr>
          <w:rFonts w:cs="Arial"/>
          <w:sz w:val="22"/>
          <w:szCs w:val="22"/>
        </w:rPr>
        <w:t>Scheme</w:t>
      </w:r>
      <w:r w:rsidRPr="00337831">
        <w:rPr>
          <w:rFonts w:cs="Arial"/>
          <w:sz w:val="22"/>
          <w:szCs w:val="22"/>
        </w:rPr>
        <w:t xml:space="preserve"> as well as any rights that the </w:t>
      </w:r>
      <w:r w:rsidR="009D2D6F" w:rsidRPr="00337831">
        <w:rPr>
          <w:rFonts w:cs="Arial"/>
          <w:sz w:val="22"/>
          <w:szCs w:val="22"/>
        </w:rPr>
        <w:t>Scheme</w:t>
      </w:r>
      <w:r w:rsidRPr="00337831">
        <w:rPr>
          <w:rFonts w:cs="Arial"/>
          <w:sz w:val="22"/>
          <w:szCs w:val="22"/>
        </w:rPr>
        <w:t xml:space="preserve"> gives, by way of compromise or arrangement, to those whose rights are to be released or varied.</w:t>
      </w:r>
      <w:r w:rsidRPr="00337831">
        <w:rPr>
          <w:rStyle w:val="FootnoteReference"/>
          <w:rFonts w:cs="Arial"/>
          <w:sz w:val="22"/>
          <w:szCs w:val="22"/>
        </w:rPr>
        <w:footnoteReference w:id="13"/>
      </w:r>
    </w:p>
    <w:p w14:paraId="5B540E8A" w14:textId="77777777" w:rsidR="00BD6799" w:rsidRPr="00337831" w:rsidRDefault="004A5659" w:rsidP="006351BC">
      <w:pPr>
        <w:pStyle w:val="BodyText"/>
        <w:spacing w:after="120" w:line="360" w:lineRule="auto"/>
        <w:rPr>
          <w:rFonts w:cs="Arial"/>
          <w:sz w:val="22"/>
          <w:szCs w:val="22"/>
        </w:rPr>
      </w:pPr>
      <w:r w:rsidRPr="00337831">
        <w:rPr>
          <w:rFonts w:cs="Arial"/>
          <w:sz w:val="22"/>
          <w:szCs w:val="22"/>
        </w:rPr>
        <w:t xml:space="preserve">Creditors are provided with an explanatory statement which sets out the information necessary to decide </w:t>
      </w:r>
      <w:r w:rsidR="00092612" w:rsidRPr="00337831">
        <w:rPr>
          <w:rFonts w:cs="Arial"/>
          <w:sz w:val="22"/>
          <w:szCs w:val="22"/>
        </w:rPr>
        <w:t>whether to vote to approve the Scheme and, f</w:t>
      </w:r>
      <w:r w:rsidR="00553B9E" w:rsidRPr="00337831">
        <w:rPr>
          <w:rFonts w:cs="Arial"/>
          <w:sz w:val="22"/>
          <w:szCs w:val="22"/>
        </w:rPr>
        <w:t xml:space="preserve">ollowing the meeting of creditors, </w:t>
      </w:r>
      <w:r w:rsidR="004F26C4" w:rsidRPr="00337831">
        <w:rPr>
          <w:rFonts w:cs="Arial"/>
          <w:sz w:val="22"/>
          <w:szCs w:val="22"/>
        </w:rPr>
        <w:t>the C</w:t>
      </w:r>
      <w:r w:rsidR="00FB0EB3" w:rsidRPr="00337831">
        <w:rPr>
          <w:rFonts w:cs="Arial"/>
          <w:sz w:val="22"/>
          <w:szCs w:val="22"/>
        </w:rPr>
        <w:t>ourt i</w:t>
      </w:r>
      <w:r w:rsidR="00092612" w:rsidRPr="00337831">
        <w:rPr>
          <w:rFonts w:cs="Arial"/>
          <w:sz w:val="22"/>
          <w:szCs w:val="22"/>
        </w:rPr>
        <w:t>s asked to sanction the S</w:t>
      </w:r>
      <w:r w:rsidR="00BC5A76" w:rsidRPr="00337831">
        <w:rPr>
          <w:rFonts w:cs="Arial"/>
          <w:sz w:val="22"/>
          <w:szCs w:val="22"/>
        </w:rPr>
        <w:t>cheme.</w:t>
      </w:r>
      <w:r w:rsidR="00D25429" w:rsidRPr="00337831">
        <w:rPr>
          <w:rStyle w:val="FootnoteReference"/>
          <w:rFonts w:cs="Arial"/>
          <w:sz w:val="22"/>
          <w:szCs w:val="22"/>
        </w:rPr>
        <w:footnoteReference w:id="14"/>
      </w:r>
      <w:r w:rsidR="00092612" w:rsidRPr="00337831">
        <w:rPr>
          <w:rFonts w:cs="Arial"/>
          <w:sz w:val="22"/>
          <w:szCs w:val="22"/>
        </w:rPr>
        <w:t xml:space="preserve">  At the Scheme meetings the S</w:t>
      </w:r>
      <w:r w:rsidRPr="00337831">
        <w:rPr>
          <w:rFonts w:cs="Arial"/>
          <w:sz w:val="22"/>
          <w:szCs w:val="22"/>
        </w:rPr>
        <w:t xml:space="preserve">cheme creditors consider and, if thought </w:t>
      </w:r>
      <w:r w:rsidR="00092612" w:rsidRPr="00337831">
        <w:rPr>
          <w:rFonts w:cs="Arial"/>
          <w:sz w:val="22"/>
          <w:szCs w:val="22"/>
        </w:rPr>
        <w:t>fit, vote to approve the S</w:t>
      </w:r>
      <w:r w:rsidR="006351BC" w:rsidRPr="00337831">
        <w:rPr>
          <w:rFonts w:cs="Arial"/>
          <w:sz w:val="22"/>
          <w:szCs w:val="22"/>
        </w:rPr>
        <w:t xml:space="preserve">cheme.  </w:t>
      </w:r>
      <w:r w:rsidR="009D2D6F" w:rsidRPr="00337831">
        <w:rPr>
          <w:rFonts w:cs="Arial"/>
          <w:sz w:val="22"/>
          <w:szCs w:val="22"/>
        </w:rPr>
        <w:t>To ultimately be sanctioned, a Scheme requires approval in each class of voting creditor by more than half in number (50%) and 75% in value.</w:t>
      </w:r>
      <w:r w:rsidR="009D2D6F" w:rsidRPr="00337831">
        <w:rPr>
          <w:rStyle w:val="FootnoteReference"/>
          <w:rFonts w:cs="Arial"/>
          <w:sz w:val="22"/>
          <w:szCs w:val="22"/>
        </w:rPr>
        <w:footnoteReference w:id="15"/>
      </w:r>
      <w:r w:rsidR="009D2D6F" w:rsidRPr="00337831">
        <w:rPr>
          <w:rFonts w:cs="Arial"/>
          <w:sz w:val="22"/>
          <w:szCs w:val="22"/>
        </w:rPr>
        <w:t xml:space="preserve">  </w:t>
      </w:r>
      <w:r w:rsidR="00FB0EB3" w:rsidRPr="00337831">
        <w:rPr>
          <w:rFonts w:cs="Arial"/>
          <w:sz w:val="22"/>
          <w:szCs w:val="22"/>
        </w:rPr>
        <w:t>Once sanctioned and delivered to t</w:t>
      </w:r>
      <w:r w:rsidR="00092612" w:rsidRPr="00337831">
        <w:rPr>
          <w:rFonts w:cs="Arial"/>
          <w:sz w:val="22"/>
          <w:szCs w:val="22"/>
        </w:rPr>
        <w:t>he Registrar of Companies, the S</w:t>
      </w:r>
      <w:r w:rsidR="00FB0EB3" w:rsidRPr="00337831">
        <w:rPr>
          <w:rFonts w:cs="Arial"/>
          <w:sz w:val="22"/>
          <w:szCs w:val="22"/>
        </w:rPr>
        <w:t>cheme will be binding on all the company’s cre</w:t>
      </w:r>
      <w:r w:rsidR="00092612" w:rsidRPr="00337831">
        <w:rPr>
          <w:rFonts w:cs="Arial"/>
          <w:sz w:val="22"/>
          <w:szCs w:val="22"/>
        </w:rPr>
        <w:t>ditors who are affected by the S</w:t>
      </w:r>
      <w:r w:rsidR="00FB0EB3" w:rsidRPr="00337831">
        <w:rPr>
          <w:rFonts w:cs="Arial"/>
          <w:sz w:val="22"/>
          <w:szCs w:val="22"/>
        </w:rPr>
        <w:t>cheme (regardless of whether they voted in favour, against or ab</w:t>
      </w:r>
      <w:r w:rsidR="00BC5A76" w:rsidRPr="00337831">
        <w:rPr>
          <w:rFonts w:cs="Arial"/>
          <w:sz w:val="22"/>
          <w:szCs w:val="22"/>
        </w:rPr>
        <w:t>stained).</w:t>
      </w:r>
      <w:r w:rsidR="00D25429" w:rsidRPr="00337831">
        <w:rPr>
          <w:rStyle w:val="FootnoteReference"/>
          <w:rFonts w:cs="Arial"/>
          <w:sz w:val="22"/>
          <w:szCs w:val="22"/>
        </w:rPr>
        <w:footnoteReference w:id="16"/>
      </w:r>
      <w:r w:rsidR="00092612" w:rsidRPr="00337831">
        <w:rPr>
          <w:rFonts w:cs="Arial"/>
          <w:sz w:val="22"/>
          <w:szCs w:val="22"/>
        </w:rPr>
        <w:t xml:space="preserve">  The S</w:t>
      </w:r>
      <w:r w:rsidR="00553B9E" w:rsidRPr="00337831">
        <w:rPr>
          <w:rFonts w:cs="Arial"/>
          <w:sz w:val="22"/>
          <w:szCs w:val="22"/>
        </w:rPr>
        <w:t>cheme will not be sanctioned unless it is fair; th</w:t>
      </w:r>
      <w:r w:rsidR="00092612" w:rsidRPr="00337831">
        <w:rPr>
          <w:rFonts w:cs="Arial"/>
          <w:sz w:val="22"/>
          <w:szCs w:val="22"/>
        </w:rPr>
        <w:t>at is, a S</w:t>
      </w:r>
      <w:r w:rsidR="00553B9E" w:rsidRPr="00337831">
        <w:rPr>
          <w:rFonts w:cs="Arial"/>
          <w:sz w:val="22"/>
          <w:szCs w:val="22"/>
        </w:rPr>
        <w:t>cheme that an intelligent and honest person</w:t>
      </w:r>
      <w:r w:rsidR="00092612" w:rsidRPr="00337831">
        <w:rPr>
          <w:rFonts w:cs="Arial"/>
          <w:sz w:val="22"/>
          <w:szCs w:val="22"/>
        </w:rPr>
        <w:t xml:space="preserve"> who is a </w:t>
      </w:r>
      <w:r w:rsidR="00553B9E" w:rsidRPr="00337831">
        <w:rPr>
          <w:rFonts w:cs="Arial"/>
          <w:sz w:val="22"/>
          <w:szCs w:val="22"/>
        </w:rPr>
        <w:t>member of the class concerned, and acting in respect of his or her interest</w:t>
      </w:r>
      <w:r w:rsidR="00092612" w:rsidRPr="00337831">
        <w:rPr>
          <w:rFonts w:cs="Arial"/>
          <w:sz w:val="22"/>
          <w:szCs w:val="22"/>
        </w:rPr>
        <w:t>,</w:t>
      </w:r>
      <w:r w:rsidR="00553B9E" w:rsidRPr="00337831">
        <w:rPr>
          <w:rFonts w:cs="Arial"/>
          <w:sz w:val="22"/>
          <w:szCs w:val="22"/>
        </w:rPr>
        <w:t xml:space="preserve"> might reasonably approve.</w:t>
      </w:r>
      <w:r w:rsidR="00D25429" w:rsidRPr="00337831">
        <w:rPr>
          <w:rStyle w:val="FootnoteReference"/>
          <w:rFonts w:cs="Arial"/>
          <w:sz w:val="22"/>
          <w:szCs w:val="22"/>
        </w:rPr>
        <w:footnoteReference w:id="17"/>
      </w:r>
      <w:r w:rsidR="001711E8" w:rsidRPr="00337831">
        <w:rPr>
          <w:rFonts w:cs="Arial"/>
          <w:sz w:val="22"/>
          <w:szCs w:val="22"/>
        </w:rPr>
        <w:t xml:space="preserve">  </w:t>
      </w:r>
      <w:r w:rsidR="00EE1151" w:rsidRPr="00337831">
        <w:rPr>
          <w:rFonts w:cs="Arial"/>
          <w:sz w:val="22"/>
          <w:szCs w:val="22"/>
        </w:rPr>
        <w:t>If the Court sanctions the Scheme, it is binding on all affected</w:t>
      </w:r>
      <w:r w:rsidR="00E9655D" w:rsidRPr="00337831">
        <w:rPr>
          <w:rFonts w:cs="Arial"/>
          <w:sz w:val="22"/>
          <w:szCs w:val="22"/>
        </w:rPr>
        <w:t xml:space="preserve"> </w:t>
      </w:r>
      <w:r w:rsidR="00EE1151" w:rsidRPr="00337831">
        <w:rPr>
          <w:rFonts w:cs="Arial"/>
          <w:sz w:val="22"/>
          <w:szCs w:val="22"/>
        </w:rPr>
        <w:t>creditors</w:t>
      </w:r>
      <w:r w:rsidR="009D2D6F" w:rsidRPr="00337831">
        <w:rPr>
          <w:rFonts w:cs="Arial"/>
          <w:sz w:val="22"/>
          <w:szCs w:val="22"/>
        </w:rPr>
        <w:t xml:space="preserve"> (even those who vote</w:t>
      </w:r>
      <w:r w:rsidR="00166449" w:rsidRPr="00337831">
        <w:rPr>
          <w:rFonts w:cs="Arial"/>
          <w:sz w:val="22"/>
          <w:szCs w:val="22"/>
        </w:rPr>
        <w:t>d</w:t>
      </w:r>
      <w:r w:rsidR="009D2D6F" w:rsidRPr="00337831">
        <w:rPr>
          <w:rFonts w:cs="Arial"/>
          <w:sz w:val="22"/>
          <w:szCs w:val="22"/>
        </w:rPr>
        <w:t xml:space="preserve"> against it) </w:t>
      </w:r>
      <w:r w:rsidR="00EE1151" w:rsidRPr="00337831">
        <w:rPr>
          <w:rFonts w:cs="Arial"/>
          <w:sz w:val="22"/>
          <w:szCs w:val="22"/>
        </w:rPr>
        <w:t>and the company.</w:t>
      </w:r>
      <w:r w:rsidR="00D25429" w:rsidRPr="00337831">
        <w:rPr>
          <w:rStyle w:val="FootnoteReference"/>
          <w:rFonts w:cs="Arial"/>
          <w:sz w:val="22"/>
          <w:szCs w:val="22"/>
        </w:rPr>
        <w:footnoteReference w:id="18"/>
      </w:r>
      <w:r w:rsidR="00FF62CB" w:rsidRPr="00337831">
        <w:rPr>
          <w:rFonts w:cs="Arial"/>
          <w:sz w:val="22"/>
          <w:szCs w:val="22"/>
        </w:rPr>
        <w:t xml:space="preserve">  While the Scheme is in place (and its duration depends on the terms of the Scheme itself), t</w:t>
      </w:r>
      <w:r w:rsidR="000834BF" w:rsidRPr="00337831">
        <w:rPr>
          <w:rFonts w:cs="Arial"/>
          <w:sz w:val="22"/>
          <w:szCs w:val="22"/>
        </w:rPr>
        <w:t>he directors of the company remain in c</w:t>
      </w:r>
      <w:r w:rsidR="00FF62CB" w:rsidRPr="00337831">
        <w:rPr>
          <w:rFonts w:cs="Arial"/>
          <w:sz w:val="22"/>
          <w:szCs w:val="22"/>
        </w:rPr>
        <w:t xml:space="preserve">ontrol.  Once the </w:t>
      </w:r>
      <w:r w:rsidR="00092612" w:rsidRPr="00337831">
        <w:rPr>
          <w:rFonts w:cs="Arial"/>
          <w:sz w:val="22"/>
          <w:szCs w:val="22"/>
        </w:rPr>
        <w:t>S</w:t>
      </w:r>
      <w:r w:rsidR="000834BF" w:rsidRPr="00337831">
        <w:rPr>
          <w:rFonts w:cs="Arial"/>
          <w:sz w:val="22"/>
          <w:szCs w:val="22"/>
        </w:rPr>
        <w:t>cheme is concluded in accordance with its terms</w:t>
      </w:r>
      <w:r w:rsidR="00FF62CB" w:rsidRPr="00337831">
        <w:rPr>
          <w:rFonts w:cs="Arial"/>
          <w:sz w:val="22"/>
          <w:szCs w:val="22"/>
        </w:rPr>
        <w:t>,</w:t>
      </w:r>
      <w:r w:rsidR="009D2D6F" w:rsidRPr="00337831">
        <w:rPr>
          <w:rFonts w:cs="Arial"/>
          <w:sz w:val="22"/>
          <w:szCs w:val="22"/>
        </w:rPr>
        <w:t xml:space="preserve"> </w:t>
      </w:r>
      <w:r w:rsidR="000834BF" w:rsidRPr="00337831">
        <w:rPr>
          <w:rFonts w:cs="Arial"/>
          <w:sz w:val="22"/>
          <w:szCs w:val="22"/>
        </w:rPr>
        <w:t>the company reverts to its former status.</w:t>
      </w:r>
      <w:r w:rsidR="00D25429" w:rsidRPr="00337831">
        <w:rPr>
          <w:rStyle w:val="FootnoteReference"/>
          <w:rFonts w:cs="Arial"/>
          <w:sz w:val="22"/>
          <w:szCs w:val="22"/>
        </w:rPr>
        <w:footnoteReference w:id="19"/>
      </w:r>
      <w:r w:rsidR="00D25429" w:rsidRPr="00337831">
        <w:rPr>
          <w:rFonts w:cs="Arial"/>
          <w:sz w:val="22"/>
          <w:szCs w:val="22"/>
        </w:rPr>
        <w:br w:type="page"/>
      </w:r>
    </w:p>
    <w:p w14:paraId="42BE9881" w14:textId="77777777" w:rsidR="00B322B1" w:rsidRPr="00337831" w:rsidRDefault="00D25429" w:rsidP="006351BC">
      <w:pPr>
        <w:pStyle w:val="Heading1"/>
        <w:spacing w:after="120" w:line="360" w:lineRule="auto"/>
        <w:ind w:left="0" w:firstLine="0"/>
        <w:rPr>
          <w:rFonts w:cs="Arial"/>
          <w:sz w:val="24"/>
          <w:szCs w:val="24"/>
        </w:rPr>
      </w:pPr>
      <w:bookmarkStart w:id="4" w:name="_Toc32686580"/>
      <w:r w:rsidRPr="00337831">
        <w:rPr>
          <w:rFonts w:cs="Arial"/>
          <w:sz w:val="24"/>
          <w:szCs w:val="24"/>
        </w:rPr>
        <w:lastRenderedPageBreak/>
        <w:t xml:space="preserve">OVERVIEW OF US </w:t>
      </w:r>
      <w:r w:rsidR="001A5AB5" w:rsidRPr="00337831">
        <w:rPr>
          <w:rFonts w:cs="Arial"/>
          <w:sz w:val="24"/>
          <w:szCs w:val="24"/>
        </w:rPr>
        <w:t>PRE-PACKS</w:t>
      </w:r>
      <w:bookmarkEnd w:id="4"/>
    </w:p>
    <w:p w14:paraId="24ED5492" w14:textId="77777777" w:rsidR="00CA0E8C" w:rsidRPr="00337831" w:rsidRDefault="00D25429" w:rsidP="006351BC">
      <w:pPr>
        <w:pStyle w:val="Heading2"/>
        <w:spacing w:after="120" w:line="360" w:lineRule="auto"/>
        <w:ind w:left="0" w:firstLine="0"/>
        <w:rPr>
          <w:rFonts w:cs="Arial"/>
          <w:b/>
          <w:sz w:val="22"/>
          <w:szCs w:val="22"/>
        </w:rPr>
      </w:pPr>
      <w:bookmarkStart w:id="5" w:name="_Toc32686581"/>
      <w:r w:rsidRPr="00337831">
        <w:rPr>
          <w:rFonts w:cs="Arial"/>
          <w:b/>
          <w:sz w:val="22"/>
          <w:szCs w:val="22"/>
        </w:rPr>
        <w:t>Summary of Chapter 11 Pre-packs</w:t>
      </w:r>
      <w:bookmarkEnd w:id="5"/>
    </w:p>
    <w:p w14:paraId="3FD2385C" w14:textId="77777777" w:rsidR="00586E76" w:rsidRPr="00337831" w:rsidRDefault="00D25429" w:rsidP="006351BC">
      <w:pPr>
        <w:pStyle w:val="BodyText"/>
        <w:spacing w:after="120" w:line="360" w:lineRule="auto"/>
        <w:rPr>
          <w:rFonts w:cs="Arial"/>
          <w:sz w:val="22"/>
          <w:szCs w:val="22"/>
        </w:rPr>
      </w:pPr>
      <w:r w:rsidRPr="00337831">
        <w:rPr>
          <w:rFonts w:cs="Arial"/>
          <w:sz w:val="22"/>
          <w:szCs w:val="22"/>
        </w:rPr>
        <w:t>A Pre-pack is a Chapter 11 bankruptcy in which the debtor</w:t>
      </w:r>
      <w:r w:rsidR="005E3704" w:rsidRPr="00337831">
        <w:rPr>
          <w:rFonts w:cs="Arial"/>
          <w:sz w:val="22"/>
          <w:szCs w:val="22"/>
        </w:rPr>
        <w:t xml:space="preserve"> company</w:t>
      </w:r>
      <w:r w:rsidRPr="00337831">
        <w:rPr>
          <w:rFonts w:cs="Arial"/>
          <w:sz w:val="22"/>
          <w:szCs w:val="22"/>
        </w:rPr>
        <w:t xml:space="preserve"> negotiates </w:t>
      </w:r>
      <w:r w:rsidR="00991AB5" w:rsidRPr="00337831">
        <w:rPr>
          <w:rFonts w:cs="Arial"/>
          <w:sz w:val="22"/>
          <w:szCs w:val="22"/>
        </w:rPr>
        <w:t xml:space="preserve">and documents </w:t>
      </w:r>
      <w:r w:rsidRPr="00337831">
        <w:rPr>
          <w:rFonts w:cs="Arial"/>
          <w:sz w:val="22"/>
          <w:szCs w:val="22"/>
        </w:rPr>
        <w:t>the terms of</w:t>
      </w:r>
      <w:r w:rsidR="005E3704" w:rsidRPr="00337831">
        <w:rPr>
          <w:rFonts w:cs="Arial"/>
          <w:sz w:val="22"/>
          <w:szCs w:val="22"/>
        </w:rPr>
        <w:t>,</w:t>
      </w:r>
      <w:r w:rsidRPr="00337831">
        <w:rPr>
          <w:rFonts w:cs="Arial"/>
          <w:sz w:val="22"/>
          <w:szCs w:val="22"/>
        </w:rPr>
        <w:t xml:space="preserve"> and </w:t>
      </w:r>
      <w:r w:rsidR="00DD69DA" w:rsidRPr="00337831">
        <w:rPr>
          <w:rFonts w:cs="Arial"/>
          <w:sz w:val="22"/>
          <w:szCs w:val="22"/>
        </w:rPr>
        <w:t>procures</w:t>
      </w:r>
      <w:r w:rsidRPr="00337831">
        <w:rPr>
          <w:rFonts w:cs="Arial"/>
          <w:sz w:val="22"/>
          <w:szCs w:val="22"/>
        </w:rPr>
        <w:t xml:space="preserve"> </w:t>
      </w:r>
      <w:r w:rsidR="001A1777" w:rsidRPr="00337831">
        <w:rPr>
          <w:rFonts w:cs="Arial"/>
          <w:sz w:val="22"/>
          <w:szCs w:val="22"/>
        </w:rPr>
        <w:t>support</w:t>
      </w:r>
      <w:r w:rsidRPr="00337831">
        <w:rPr>
          <w:rFonts w:cs="Arial"/>
          <w:sz w:val="22"/>
          <w:szCs w:val="22"/>
        </w:rPr>
        <w:t xml:space="preserve"> </w:t>
      </w:r>
      <w:r w:rsidR="00DD69DA" w:rsidRPr="00337831">
        <w:rPr>
          <w:rFonts w:cs="Arial"/>
          <w:sz w:val="22"/>
          <w:szCs w:val="22"/>
        </w:rPr>
        <w:t>in respect of</w:t>
      </w:r>
      <w:r w:rsidR="005E3704" w:rsidRPr="00337831">
        <w:rPr>
          <w:rFonts w:cs="Arial"/>
          <w:sz w:val="22"/>
          <w:szCs w:val="22"/>
        </w:rPr>
        <w:t>,</w:t>
      </w:r>
      <w:r w:rsidRPr="00337831">
        <w:rPr>
          <w:rFonts w:cs="Arial"/>
          <w:sz w:val="22"/>
          <w:szCs w:val="22"/>
        </w:rPr>
        <w:t xml:space="preserve"> a </w:t>
      </w:r>
      <w:r w:rsidR="00706478" w:rsidRPr="00337831">
        <w:rPr>
          <w:rFonts w:cs="Arial"/>
          <w:sz w:val="22"/>
          <w:szCs w:val="22"/>
        </w:rPr>
        <w:t xml:space="preserve">Plan </w:t>
      </w:r>
      <w:r w:rsidRPr="00337831">
        <w:rPr>
          <w:rFonts w:cs="Arial"/>
          <w:sz w:val="22"/>
          <w:szCs w:val="22"/>
        </w:rPr>
        <w:t xml:space="preserve">before it </w:t>
      </w:r>
      <w:r w:rsidR="003B05C1" w:rsidRPr="00337831">
        <w:rPr>
          <w:rFonts w:cs="Arial"/>
          <w:sz w:val="22"/>
          <w:szCs w:val="22"/>
        </w:rPr>
        <w:t>submits</w:t>
      </w:r>
      <w:r w:rsidRPr="00337831">
        <w:rPr>
          <w:rFonts w:cs="Arial"/>
          <w:sz w:val="22"/>
          <w:szCs w:val="22"/>
        </w:rPr>
        <w:t xml:space="preserve"> its Chapter 11 petition.</w:t>
      </w:r>
      <w:r w:rsidRPr="00337831">
        <w:rPr>
          <w:rStyle w:val="FootnoteReference"/>
          <w:rFonts w:cs="Arial"/>
          <w:sz w:val="22"/>
          <w:szCs w:val="22"/>
        </w:rPr>
        <w:footnoteReference w:id="20"/>
      </w:r>
      <w:r w:rsidRPr="00337831">
        <w:rPr>
          <w:rFonts w:cs="Arial"/>
          <w:sz w:val="22"/>
          <w:szCs w:val="22"/>
        </w:rPr>
        <w:t xml:space="preserve"> </w:t>
      </w:r>
      <w:r w:rsidR="00E04151" w:rsidRPr="00337831">
        <w:rPr>
          <w:rFonts w:cs="Arial"/>
          <w:sz w:val="22"/>
          <w:szCs w:val="22"/>
        </w:rPr>
        <w:t xml:space="preserve"> </w:t>
      </w:r>
      <w:r w:rsidR="00956BF5" w:rsidRPr="00337831">
        <w:rPr>
          <w:rFonts w:cs="Arial"/>
          <w:sz w:val="22"/>
          <w:szCs w:val="22"/>
        </w:rPr>
        <w:t xml:space="preserve">Accordingly, </w:t>
      </w:r>
      <w:r w:rsidRPr="00337831">
        <w:rPr>
          <w:rFonts w:cs="Arial"/>
          <w:sz w:val="22"/>
          <w:szCs w:val="22"/>
        </w:rPr>
        <w:t xml:space="preserve">the </w:t>
      </w:r>
      <w:r w:rsidR="009C53A3" w:rsidRPr="00337831">
        <w:rPr>
          <w:rFonts w:cs="Arial"/>
          <w:sz w:val="22"/>
          <w:szCs w:val="22"/>
        </w:rPr>
        <w:t>restructure</w:t>
      </w:r>
      <w:r w:rsidRPr="00337831">
        <w:rPr>
          <w:rFonts w:cs="Arial"/>
          <w:sz w:val="22"/>
          <w:szCs w:val="22"/>
        </w:rPr>
        <w:t xml:space="preserve"> is</w:t>
      </w:r>
      <w:r w:rsidR="00956BF5" w:rsidRPr="00337831">
        <w:rPr>
          <w:rFonts w:cs="Arial"/>
          <w:sz w:val="22"/>
          <w:szCs w:val="22"/>
        </w:rPr>
        <w:t xml:space="preserve"> said to be</w:t>
      </w:r>
      <w:r w:rsidRPr="00337831">
        <w:rPr>
          <w:rFonts w:cs="Arial"/>
          <w:sz w:val="22"/>
          <w:szCs w:val="22"/>
        </w:rPr>
        <w:t xml:space="preserve"> "</w:t>
      </w:r>
      <w:r w:rsidR="00BC6FD4" w:rsidRPr="00337831">
        <w:rPr>
          <w:rFonts w:cs="Arial"/>
          <w:sz w:val="22"/>
          <w:szCs w:val="22"/>
        </w:rPr>
        <w:t>pre-packaged</w:t>
      </w:r>
      <w:r w:rsidRPr="00337831">
        <w:rPr>
          <w:rFonts w:cs="Arial"/>
          <w:sz w:val="22"/>
          <w:szCs w:val="22"/>
        </w:rPr>
        <w:t xml:space="preserve">" because </w:t>
      </w:r>
      <w:r w:rsidR="00E04151" w:rsidRPr="00337831">
        <w:rPr>
          <w:rFonts w:cs="Arial"/>
          <w:sz w:val="22"/>
          <w:szCs w:val="22"/>
        </w:rPr>
        <w:t>“</w:t>
      </w:r>
      <w:r w:rsidRPr="00337831">
        <w:rPr>
          <w:rFonts w:cs="Arial"/>
          <w:sz w:val="22"/>
          <w:szCs w:val="22"/>
        </w:rPr>
        <w:t>all debtor-creditor</w:t>
      </w:r>
      <w:r w:rsidR="00E04151" w:rsidRPr="00337831">
        <w:rPr>
          <w:rFonts w:cs="Arial"/>
          <w:sz w:val="22"/>
          <w:szCs w:val="22"/>
        </w:rPr>
        <w:t xml:space="preserve"> </w:t>
      </w:r>
      <w:r w:rsidRPr="00337831">
        <w:rPr>
          <w:rFonts w:cs="Arial"/>
          <w:sz w:val="22"/>
          <w:szCs w:val="22"/>
        </w:rPr>
        <w:t>and intercreditor disputes are resolved and all necessary votes are solicited before the debtor files its bankruptcy petition.</w:t>
      </w:r>
      <w:r w:rsidR="00E04151" w:rsidRPr="00337831">
        <w:rPr>
          <w:rFonts w:cs="Arial"/>
          <w:sz w:val="22"/>
          <w:szCs w:val="22"/>
        </w:rPr>
        <w:t>”</w:t>
      </w:r>
      <w:r w:rsidRPr="00337831">
        <w:rPr>
          <w:rStyle w:val="FootnoteReference"/>
          <w:rFonts w:cs="Arial"/>
          <w:sz w:val="22"/>
          <w:szCs w:val="22"/>
        </w:rPr>
        <w:footnoteReference w:id="21"/>
      </w:r>
      <w:r w:rsidR="00F96325" w:rsidRPr="00337831">
        <w:rPr>
          <w:rFonts w:cs="Arial"/>
          <w:sz w:val="22"/>
          <w:szCs w:val="22"/>
        </w:rPr>
        <w:t xml:space="preserve">  The relevant </w:t>
      </w:r>
      <w:r w:rsidR="00BC6FD4" w:rsidRPr="00337831">
        <w:rPr>
          <w:rFonts w:cs="Arial"/>
          <w:sz w:val="22"/>
          <w:szCs w:val="22"/>
        </w:rPr>
        <w:t>authority</w:t>
      </w:r>
      <w:r w:rsidR="00F96325" w:rsidRPr="00337831">
        <w:rPr>
          <w:rFonts w:cs="Arial"/>
          <w:sz w:val="22"/>
          <w:szCs w:val="22"/>
        </w:rPr>
        <w:t xml:space="preserve"> for Pre-packs </w:t>
      </w:r>
      <w:r w:rsidR="00956BF5" w:rsidRPr="00337831">
        <w:rPr>
          <w:rFonts w:cs="Arial"/>
          <w:sz w:val="22"/>
          <w:szCs w:val="22"/>
        </w:rPr>
        <w:t>is</w:t>
      </w:r>
      <w:r w:rsidR="00F96325" w:rsidRPr="00337831">
        <w:rPr>
          <w:rFonts w:cs="Arial"/>
          <w:sz w:val="22"/>
          <w:szCs w:val="22"/>
        </w:rPr>
        <w:t xml:space="preserve"> found in § 1121(a) and § 1126(b) of Chapter 11.</w:t>
      </w:r>
      <w:r w:rsidRPr="00337831">
        <w:rPr>
          <w:rFonts w:cs="Arial"/>
          <w:sz w:val="22"/>
          <w:szCs w:val="22"/>
        </w:rPr>
        <w:t xml:space="preserve">  T</w:t>
      </w:r>
      <w:r w:rsidR="006E0D07" w:rsidRPr="00337831">
        <w:rPr>
          <w:rFonts w:cs="Arial"/>
          <w:sz w:val="22"/>
          <w:szCs w:val="22"/>
        </w:rPr>
        <w:t xml:space="preserve">he key components of a Pre-pack, being the </w:t>
      </w:r>
      <w:r w:rsidRPr="00337831">
        <w:rPr>
          <w:rFonts w:cs="Arial"/>
          <w:sz w:val="22"/>
          <w:szCs w:val="22"/>
        </w:rPr>
        <w:t>entire negotiation, documentation and solicitation</w:t>
      </w:r>
      <w:r w:rsidR="006E0D07" w:rsidRPr="00337831">
        <w:rPr>
          <w:rFonts w:cs="Arial"/>
          <w:sz w:val="22"/>
          <w:szCs w:val="22"/>
        </w:rPr>
        <w:t xml:space="preserve">, are </w:t>
      </w:r>
      <w:r w:rsidRPr="00337831">
        <w:rPr>
          <w:rFonts w:cs="Arial"/>
          <w:sz w:val="22"/>
          <w:szCs w:val="22"/>
        </w:rPr>
        <w:t>conducted out of Court.</w:t>
      </w:r>
    </w:p>
    <w:p w14:paraId="7EC8FAA8" w14:textId="77777777" w:rsidR="00E6665F" w:rsidRPr="00337831" w:rsidRDefault="00D25429" w:rsidP="006351BC">
      <w:pPr>
        <w:pStyle w:val="BodyText"/>
        <w:spacing w:after="120" w:line="360" w:lineRule="auto"/>
        <w:rPr>
          <w:rFonts w:cs="Arial"/>
          <w:sz w:val="22"/>
          <w:szCs w:val="22"/>
        </w:rPr>
      </w:pPr>
      <w:r w:rsidRPr="00337831">
        <w:rPr>
          <w:rFonts w:cs="Arial"/>
          <w:sz w:val="22"/>
          <w:szCs w:val="22"/>
        </w:rPr>
        <w:t>The purpose of a P</w:t>
      </w:r>
      <w:r w:rsidR="001A1777" w:rsidRPr="00337831">
        <w:rPr>
          <w:rFonts w:cs="Arial"/>
          <w:sz w:val="22"/>
          <w:szCs w:val="22"/>
        </w:rPr>
        <w:t>re</w:t>
      </w:r>
      <w:r w:rsidRPr="00337831">
        <w:rPr>
          <w:rFonts w:cs="Arial"/>
          <w:sz w:val="22"/>
          <w:szCs w:val="22"/>
        </w:rPr>
        <w:t>-</w:t>
      </w:r>
      <w:r w:rsidR="001A1777" w:rsidRPr="00337831">
        <w:rPr>
          <w:rFonts w:cs="Arial"/>
          <w:sz w:val="22"/>
          <w:szCs w:val="22"/>
        </w:rPr>
        <w:t xml:space="preserve">pack is to use the bankruptcy process to </w:t>
      </w:r>
      <w:r w:rsidRPr="00337831">
        <w:rPr>
          <w:rFonts w:cs="Arial"/>
          <w:sz w:val="22"/>
          <w:szCs w:val="22"/>
        </w:rPr>
        <w:t xml:space="preserve">agree, outside a Court </w:t>
      </w:r>
      <w:r w:rsidR="006351BC" w:rsidRPr="00337831">
        <w:rPr>
          <w:rFonts w:cs="Arial"/>
          <w:sz w:val="22"/>
          <w:szCs w:val="22"/>
        </w:rPr>
        <w:t>process</w:t>
      </w:r>
      <w:r w:rsidRPr="00337831">
        <w:rPr>
          <w:rFonts w:cs="Arial"/>
          <w:sz w:val="22"/>
          <w:szCs w:val="22"/>
        </w:rPr>
        <w:t xml:space="preserve">, </w:t>
      </w:r>
      <w:r w:rsidR="009D2D6F" w:rsidRPr="00337831">
        <w:rPr>
          <w:rFonts w:cs="Arial"/>
          <w:sz w:val="22"/>
          <w:szCs w:val="22"/>
        </w:rPr>
        <w:t xml:space="preserve">to </w:t>
      </w:r>
      <w:r w:rsidRPr="00337831">
        <w:rPr>
          <w:rFonts w:cs="Arial"/>
          <w:sz w:val="22"/>
          <w:szCs w:val="22"/>
        </w:rPr>
        <w:t xml:space="preserve">a </w:t>
      </w:r>
      <w:r w:rsidR="001A1777" w:rsidRPr="00337831">
        <w:rPr>
          <w:rFonts w:cs="Arial"/>
          <w:sz w:val="22"/>
          <w:szCs w:val="22"/>
        </w:rPr>
        <w:t>restructuring between a debtor and its major creditors</w:t>
      </w:r>
      <w:r w:rsidRPr="00337831">
        <w:rPr>
          <w:rFonts w:cs="Arial"/>
          <w:sz w:val="22"/>
          <w:szCs w:val="22"/>
        </w:rPr>
        <w:t xml:space="preserve"> and then effect it through a form</w:t>
      </w:r>
      <w:r w:rsidR="006E0D07" w:rsidRPr="00337831">
        <w:rPr>
          <w:rFonts w:cs="Arial"/>
          <w:sz w:val="22"/>
          <w:szCs w:val="22"/>
        </w:rPr>
        <w:t>al</w:t>
      </w:r>
      <w:r w:rsidRPr="00337831">
        <w:rPr>
          <w:rFonts w:cs="Arial"/>
          <w:sz w:val="22"/>
          <w:szCs w:val="22"/>
        </w:rPr>
        <w:t xml:space="preserve"> Chapter 11 process</w:t>
      </w:r>
      <w:r w:rsidR="001A1777" w:rsidRPr="00337831">
        <w:rPr>
          <w:rFonts w:cs="Arial"/>
          <w:sz w:val="22"/>
          <w:szCs w:val="22"/>
        </w:rPr>
        <w:t>.</w:t>
      </w:r>
      <w:r w:rsidRPr="00337831">
        <w:rPr>
          <w:rFonts w:cs="Arial"/>
          <w:sz w:val="22"/>
          <w:szCs w:val="22"/>
        </w:rPr>
        <w:t xml:space="preserve">  </w:t>
      </w:r>
      <w:r w:rsidR="001A1777" w:rsidRPr="00337831">
        <w:rPr>
          <w:rFonts w:cs="Arial"/>
          <w:sz w:val="22"/>
          <w:szCs w:val="22"/>
        </w:rPr>
        <w:t xml:space="preserve">Unlike traditional Chapter 11 </w:t>
      </w:r>
      <w:r w:rsidRPr="00337831">
        <w:rPr>
          <w:rFonts w:cs="Arial"/>
          <w:sz w:val="22"/>
          <w:szCs w:val="22"/>
        </w:rPr>
        <w:t>filings</w:t>
      </w:r>
      <w:r w:rsidR="001A1777" w:rsidRPr="00337831">
        <w:rPr>
          <w:rFonts w:cs="Arial"/>
          <w:sz w:val="22"/>
          <w:szCs w:val="22"/>
        </w:rPr>
        <w:t xml:space="preserve">, </w:t>
      </w:r>
      <w:r w:rsidRPr="00337831">
        <w:rPr>
          <w:rFonts w:cs="Arial"/>
          <w:sz w:val="22"/>
          <w:szCs w:val="22"/>
        </w:rPr>
        <w:t>P</w:t>
      </w:r>
      <w:r w:rsidR="001A1777" w:rsidRPr="00337831">
        <w:rPr>
          <w:rFonts w:cs="Arial"/>
          <w:sz w:val="22"/>
          <w:szCs w:val="22"/>
        </w:rPr>
        <w:t>re</w:t>
      </w:r>
      <w:r w:rsidRPr="00337831">
        <w:rPr>
          <w:rFonts w:cs="Arial"/>
          <w:sz w:val="22"/>
          <w:szCs w:val="22"/>
        </w:rPr>
        <w:t>-</w:t>
      </w:r>
      <w:r w:rsidR="001A1777" w:rsidRPr="00337831">
        <w:rPr>
          <w:rFonts w:cs="Arial"/>
          <w:sz w:val="22"/>
          <w:szCs w:val="22"/>
        </w:rPr>
        <w:t xml:space="preserve">packs are generally not used to restructure a debtor's business operations.  Instead, they are more appropriate for </w:t>
      </w:r>
      <w:r w:rsidR="00BC6FD4" w:rsidRPr="00337831">
        <w:rPr>
          <w:rFonts w:cs="Arial"/>
          <w:sz w:val="22"/>
          <w:szCs w:val="22"/>
        </w:rPr>
        <w:t>“</w:t>
      </w:r>
      <w:r w:rsidR="001A1777" w:rsidRPr="00337831">
        <w:rPr>
          <w:rFonts w:cs="Arial"/>
          <w:sz w:val="22"/>
          <w:szCs w:val="22"/>
        </w:rPr>
        <w:t xml:space="preserve">restructuring the financial debt on a debtor's balance sheet, with non-financial claims (such as those of trade vendors or employees) typically being paid in full and otherwise legally </w:t>
      </w:r>
      <w:r w:rsidR="006351BC" w:rsidRPr="00337831">
        <w:rPr>
          <w:rFonts w:cs="Arial"/>
          <w:sz w:val="22"/>
          <w:szCs w:val="22"/>
        </w:rPr>
        <w:t>unaffected by</w:t>
      </w:r>
      <w:r w:rsidR="001A1777" w:rsidRPr="00337831">
        <w:rPr>
          <w:rFonts w:cs="Arial"/>
          <w:sz w:val="22"/>
          <w:szCs w:val="22"/>
        </w:rPr>
        <w:t xml:space="preserve"> the bankruptcy.</w:t>
      </w:r>
      <w:r w:rsidR="002B61E3" w:rsidRPr="00337831">
        <w:rPr>
          <w:rFonts w:cs="Arial"/>
          <w:sz w:val="22"/>
          <w:szCs w:val="22"/>
        </w:rPr>
        <w:t>”</w:t>
      </w:r>
      <w:r w:rsidRPr="00337831">
        <w:rPr>
          <w:rStyle w:val="FootnoteReference"/>
          <w:rFonts w:cs="Arial"/>
          <w:sz w:val="22"/>
          <w:szCs w:val="22"/>
        </w:rPr>
        <w:footnoteReference w:id="22"/>
      </w:r>
      <w:r w:rsidR="009D2D6F" w:rsidRPr="00337831">
        <w:rPr>
          <w:rFonts w:cs="Arial"/>
          <w:sz w:val="22"/>
          <w:szCs w:val="22"/>
        </w:rPr>
        <w:t xml:space="preserve">  </w:t>
      </w:r>
      <w:r w:rsidR="002B61E3" w:rsidRPr="00337831">
        <w:rPr>
          <w:rFonts w:cs="Arial"/>
          <w:sz w:val="22"/>
          <w:szCs w:val="22"/>
        </w:rPr>
        <w:t xml:space="preserve">Notwithstanding </w:t>
      </w:r>
      <w:r w:rsidR="002D443E" w:rsidRPr="00337831">
        <w:rPr>
          <w:rFonts w:cs="Arial"/>
          <w:sz w:val="22"/>
          <w:szCs w:val="22"/>
        </w:rPr>
        <w:t xml:space="preserve">the terms of </w:t>
      </w:r>
      <w:r w:rsidR="002B61E3" w:rsidRPr="00337831">
        <w:rPr>
          <w:rFonts w:cs="Arial"/>
          <w:sz w:val="22"/>
          <w:szCs w:val="22"/>
        </w:rPr>
        <w:t>a</w:t>
      </w:r>
      <w:r w:rsidR="002D443E" w:rsidRPr="00337831">
        <w:rPr>
          <w:rFonts w:cs="Arial"/>
          <w:sz w:val="22"/>
          <w:szCs w:val="22"/>
        </w:rPr>
        <w:t xml:space="preserve"> Pre-pack </w:t>
      </w:r>
      <w:r w:rsidR="002B61E3" w:rsidRPr="00337831">
        <w:rPr>
          <w:rFonts w:cs="Arial"/>
          <w:sz w:val="22"/>
          <w:szCs w:val="22"/>
        </w:rPr>
        <w:t xml:space="preserve">are </w:t>
      </w:r>
      <w:r w:rsidR="002D443E" w:rsidRPr="00337831">
        <w:rPr>
          <w:rFonts w:cs="Arial"/>
          <w:sz w:val="22"/>
          <w:szCs w:val="22"/>
        </w:rPr>
        <w:t xml:space="preserve">developed and negotiated outside of the formal bankruptcy regime, </w:t>
      </w:r>
      <w:r w:rsidR="00706478" w:rsidRPr="00337831">
        <w:rPr>
          <w:rFonts w:cs="Arial"/>
          <w:sz w:val="22"/>
          <w:szCs w:val="22"/>
        </w:rPr>
        <w:t>the P</w:t>
      </w:r>
      <w:r w:rsidR="002B61E3" w:rsidRPr="00337831">
        <w:rPr>
          <w:rFonts w:cs="Arial"/>
          <w:sz w:val="22"/>
          <w:szCs w:val="22"/>
        </w:rPr>
        <w:t>lan</w:t>
      </w:r>
      <w:r w:rsidR="00706478" w:rsidRPr="00337831">
        <w:rPr>
          <w:rFonts w:cs="Arial"/>
          <w:sz w:val="22"/>
          <w:szCs w:val="22"/>
        </w:rPr>
        <w:t xml:space="preserve"> </w:t>
      </w:r>
      <w:r w:rsidR="002D443E" w:rsidRPr="00337831">
        <w:rPr>
          <w:rFonts w:cs="Arial"/>
          <w:sz w:val="22"/>
          <w:szCs w:val="22"/>
        </w:rPr>
        <w:t xml:space="preserve">must still comply with the same requirements as a traditional Chapter 11 </w:t>
      </w:r>
      <w:r w:rsidR="009D2D6F" w:rsidRPr="00337831">
        <w:rPr>
          <w:rFonts w:cs="Arial"/>
          <w:sz w:val="22"/>
          <w:szCs w:val="22"/>
        </w:rPr>
        <w:t>Plan</w:t>
      </w:r>
      <w:r w:rsidR="002D443E" w:rsidRPr="00337831">
        <w:rPr>
          <w:rFonts w:cs="Arial"/>
          <w:sz w:val="22"/>
          <w:szCs w:val="22"/>
        </w:rPr>
        <w:t>.</w:t>
      </w:r>
      <w:r w:rsidRPr="00337831">
        <w:rPr>
          <w:rStyle w:val="FootnoteReference"/>
          <w:rFonts w:cs="Arial"/>
          <w:sz w:val="22"/>
          <w:szCs w:val="22"/>
        </w:rPr>
        <w:footnoteReference w:id="23"/>
      </w:r>
      <w:r w:rsidRPr="00337831">
        <w:rPr>
          <w:rFonts w:cs="Arial"/>
          <w:sz w:val="22"/>
          <w:szCs w:val="22"/>
        </w:rPr>
        <w:t xml:space="preserve">  Before commencing a</w:t>
      </w:r>
      <w:r w:rsidR="006E0D07" w:rsidRPr="00337831">
        <w:rPr>
          <w:rFonts w:cs="Arial"/>
          <w:sz w:val="22"/>
          <w:szCs w:val="22"/>
        </w:rPr>
        <w:t xml:space="preserve"> Pre-pack,</w:t>
      </w:r>
      <w:r w:rsidRPr="00337831">
        <w:rPr>
          <w:rFonts w:cs="Arial"/>
          <w:sz w:val="22"/>
          <w:szCs w:val="22"/>
        </w:rPr>
        <w:t xml:space="preserve"> the debtor and its supporting creditors will typically execute a restructuring support agreement (</w:t>
      </w:r>
      <w:r w:rsidRPr="00337831">
        <w:rPr>
          <w:rFonts w:cs="Arial"/>
          <w:b/>
          <w:sz w:val="22"/>
          <w:szCs w:val="22"/>
        </w:rPr>
        <w:t>RSA</w:t>
      </w:r>
      <w:r w:rsidRPr="00337831">
        <w:rPr>
          <w:rFonts w:cs="Arial"/>
          <w:sz w:val="22"/>
          <w:szCs w:val="22"/>
        </w:rPr>
        <w:t>), which is generally</w:t>
      </w:r>
      <w:r w:rsidR="009D2D6F" w:rsidRPr="00337831">
        <w:rPr>
          <w:rFonts w:cs="Arial"/>
          <w:sz w:val="22"/>
          <w:szCs w:val="22"/>
        </w:rPr>
        <w:t xml:space="preserve"> binding and</w:t>
      </w:r>
      <w:r w:rsidRPr="00337831">
        <w:rPr>
          <w:rFonts w:cs="Arial"/>
          <w:sz w:val="22"/>
          <w:szCs w:val="22"/>
        </w:rPr>
        <w:t xml:space="preserve"> enforceable in bankruptcy and binds the</w:t>
      </w:r>
      <w:r w:rsidR="009D2D6F" w:rsidRPr="00337831">
        <w:rPr>
          <w:rFonts w:cs="Arial"/>
          <w:sz w:val="22"/>
          <w:szCs w:val="22"/>
        </w:rPr>
        <w:t xml:space="preserve"> parties </w:t>
      </w:r>
      <w:r w:rsidRPr="00337831">
        <w:rPr>
          <w:rFonts w:cs="Arial"/>
          <w:sz w:val="22"/>
          <w:szCs w:val="22"/>
        </w:rPr>
        <w:t xml:space="preserve">to the agreed terms of a restructuring.  Creditors who </w:t>
      </w:r>
      <w:r w:rsidR="009D2D6F" w:rsidRPr="00337831">
        <w:rPr>
          <w:rFonts w:cs="Arial"/>
          <w:sz w:val="22"/>
          <w:szCs w:val="22"/>
        </w:rPr>
        <w:t xml:space="preserve">sign up </w:t>
      </w:r>
      <w:r w:rsidRPr="00337831">
        <w:rPr>
          <w:rFonts w:cs="Arial"/>
          <w:sz w:val="22"/>
          <w:szCs w:val="22"/>
        </w:rPr>
        <w:t>to a</w:t>
      </w:r>
      <w:r w:rsidR="003B05C1" w:rsidRPr="00337831">
        <w:rPr>
          <w:rFonts w:cs="Arial"/>
          <w:sz w:val="22"/>
          <w:szCs w:val="22"/>
        </w:rPr>
        <w:t xml:space="preserve"> </w:t>
      </w:r>
      <w:r w:rsidRPr="00337831">
        <w:rPr>
          <w:rFonts w:cs="Arial"/>
          <w:sz w:val="22"/>
          <w:szCs w:val="22"/>
        </w:rPr>
        <w:t xml:space="preserve">RSA will agree to support the terms of the Chapter 11 </w:t>
      </w:r>
      <w:r w:rsidR="009D2D6F" w:rsidRPr="00337831">
        <w:rPr>
          <w:rFonts w:cs="Arial"/>
          <w:sz w:val="22"/>
          <w:szCs w:val="22"/>
        </w:rPr>
        <w:t>Plan</w:t>
      </w:r>
      <w:r w:rsidRPr="00337831">
        <w:rPr>
          <w:rFonts w:cs="Arial"/>
          <w:sz w:val="22"/>
          <w:szCs w:val="22"/>
        </w:rPr>
        <w:t xml:space="preserve"> contemplated by </w:t>
      </w:r>
      <w:r w:rsidR="003B05C1" w:rsidRPr="00337831">
        <w:rPr>
          <w:rFonts w:cs="Arial"/>
          <w:sz w:val="22"/>
          <w:szCs w:val="22"/>
        </w:rPr>
        <w:t>it</w:t>
      </w:r>
      <w:r w:rsidRPr="00337831">
        <w:rPr>
          <w:rFonts w:cs="Arial"/>
          <w:sz w:val="22"/>
          <w:szCs w:val="22"/>
        </w:rPr>
        <w:t>.</w:t>
      </w:r>
      <w:r w:rsidRPr="00337831">
        <w:rPr>
          <w:rStyle w:val="FootnoteReference"/>
          <w:rFonts w:cs="Arial"/>
          <w:sz w:val="22"/>
          <w:szCs w:val="22"/>
        </w:rPr>
        <w:footnoteReference w:id="24"/>
      </w:r>
      <w:r w:rsidRPr="00337831">
        <w:rPr>
          <w:rFonts w:cs="Arial"/>
          <w:sz w:val="22"/>
          <w:szCs w:val="22"/>
        </w:rPr>
        <w:t xml:space="preserve"> </w:t>
      </w:r>
    </w:p>
    <w:p w14:paraId="7F450C0B" w14:textId="77777777" w:rsidR="00F96325" w:rsidRPr="00337831" w:rsidRDefault="00D25429" w:rsidP="006351BC">
      <w:pPr>
        <w:pStyle w:val="BodyText"/>
        <w:spacing w:after="120" w:line="360" w:lineRule="auto"/>
        <w:rPr>
          <w:rFonts w:cs="Arial"/>
          <w:sz w:val="22"/>
          <w:szCs w:val="22"/>
        </w:rPr>
      </w:pPr>
      <w:r w:rsidRPr="00337831">
        <w:rPr>
          <w:rFonts w:cs="Arial"/>
          <w:sz w:val="22"/>
          <w:szCs w:val="22"/>
        </w:rPr>
        <w:t xml:space="preserve">According to </w:t>
      </w:r>
      <w:r w:rsidRPr="00337831">
        <w:rPr>
          <w:rFonts w:cs="Arial"/>
          <w:i/>
          <w:sz w:val="22"/>
          <w:szCs w:val="22"/>
        </w:rPr>
        <w:t>Pullo</w:t>
      </w:r>
      <w:r w:rsidRPr="00337831">
        <w:rPr>
          <w:rFonts w:cs="Arial"/>
          <w:sz w:val="22"/>
          <w:szCs w:val="22"/>
        </w:rPr>
        <w:t xml:space="preserve"> a</w:t>
      </w:r>
      <w:r w:rsidR="001A1777" w:rsidRPr="00337831">
        <w:rPr>
          <w:rFonts w:cs="Arial"/>
          <w:sz w:val="22"/>
          <w:szCs w:val="22"/>
        </w:rPr>
        <w:t xml:space="preserve"> </w:t>
      </w:r>
      <w:r w:rsidRPr="00337831">
        <w:rPr>
          <w:rFonts w:cs="Arial"/>
          <w:sz w:val="22"/>
          <w:szCs w:val="22"/>
        </w:rPr>
        <w:t>“</w:t>
      </w:r>
      <w:r w:rsidR="001A1777" w:rsidRPr="00337831">
        <w:rPr>
          <w:rFonts w:cs="Arial"/>
          <w:sz w:val="22"/>
          <w:szCs w:val="22"/>
        </w:rPr>
        <w:t>successful prepack is generally faster, more efficient, and less costly than a traditional Chapter 11 case.</w:t>
      </w:r>
      <w:r w:rsidRPr="00337831">
        <w:rPr>
          <w:rFonts w:cs="Arial"/>
          <w:sz w:val="22"/>
          <w:szCs w:val="22"/>
        </w:rPr>
        <w:t>”  Despite this, “</w:t>
      </w:r>
      <w:r w:rsidR="003B05C1" w:rsidRPr="00337831">
        <w:rPr>
          <w:rFonts w:cs="Arial"/>
          <w:sz w:val="22"/>
          <w:szCs w:val="22"/>
        </w:rPr>
        <w:t>p</w:t>
      </w:r>
      <w:r w:rsidR="001A1777" w:rsidRPr="00337831">
        <w:rPr>
          <w:rFonts w:cs="Arial"/>
          <w:sz w:val="22"/>
          <w:szCs w:val="22"/>
        </w:rPr>
        <w:t>repacks are less</w:t>
      </w:r>
      <w:r w:rsidR="00AD47F0" w:rsidRPr="00337831">
        <w:rPr>
          <w:rFonts w:cs="Arial"/>
          <w:sz w:val="22"/>
          <w:szCs w:val="22"/>
        </w:rPr>
        <w:t xml:space="preserve"> </w:t>
      </w:r>
      <w:r w:rsidR="001A1777" w:rsidRPr="00337831">
        <w:rPr>
          <w:rFonts w:cs="Arial"/>
          <w:sz w:val="22"/>
          <w:szCs w:val="22"/>
        </w:rPr>
        <w:t>common than traditional bankruptcies</w:t>
      </w:r>
      <w:r w:rsidRPr="00337831">
        <w:rPr>
          <w:rFonts w:cs="Arial"/>
          <w:sz w:val="22"/>
          <w:szCs w:val="22"/>
        </w:rPr>
        <w:t>”</w:t>
      </w:r>
      <w:r w:rsidR="000F3721" w:rsidRPr="00337831">
        <w:rPr>
          <w:rFonts w:cs="Arial"/>
          <w:sz w:val="22"/>
          <w:szCs w:val="22"/>
        </w:rPr>
        <w:t>,</w:t>
      </w:r>
      <w:r w:rsidRPr="00337831">
        <w:rPr>
          <w:rStyle w:val="FootnoteReference"/>
          <w:rFonts w:cs="Arial"/>
          <w:sz w:val="22"/>
          <w:szCs w:val="22"/>
        </w:rPr>
        <w:footnoteReference w:id="25"/>
      </w:r>
      <w:r w:rsidR="000F3721" w:rsidRPr="00337831">
        <w:rPr>
          <w:rFonts w:cs="Arial"/>
          <w:sz w:val="22"/>
          <w:szCs w:val="22"/>
        </w:rPr>
        <w:t xml:space="preserve"> </w:t>
      </w:r>
      <w:r w:rsidR="004B08FA" w:rsidRPr="00337831">
        <w:rPr>
          <w:rFonts w:cs="Arial"/>
          <w:sz w:val="22"/>
          <w:szCs w:val="22"/>
        </w:rPr>
        <w:t xml:space="preserve">as they are only appropriate when the parties can agree in advance </w:t>
      </w:r>
      <w:r w:rsidR="000F3721" w:rsidRPr="00337831">
        <w:rPr>
          <w:rFonts w:cs="Arial"/>
          <w:sz w:val="22"/>
          <w:szCs w:val="22"/>
        </w:rPr>
        <w:t>to</w:t>
      </w:r>
      <w:r w:rsidRPr="00337831">
        <w:rPr>
          <w:rFonts w:cs="Arial"/>
          <w:sz w:val="22"/>
          <w:szCs w:val="22"/>
        </w:rPr>
        <w:t xml:space="preserve"> </w:t>
      </w:r>
      <w:r w:rsidR="000F3721" w:rsidRPr="00337831">
        <w:rPr>
          <w:rFonts w:cs="Arial"/>
          <w:sz w:val="22"/>
          <w:szCs w:val="22"/>
        </w:rPr>
        <w:t>a restructuring solution</w:t>
      </w:r>
      <w:r w:rsidR="009C53A3" w:rsidRPr="00337831">
        <w:rPr>
          <w:rFonts w:cs="Arial"/>
          <w:sz w:val="22"/>
          <w:szCs w:val="22"/>
        </w:rPr>
        <w:t>.</w:t>
      </w:r>
      <w:r w:rsidRPr="00337831">
        <w:rPr>
          <w:rStyle w:val="FootnoteReference"/>
          <w:rFonts w:cs="Arial"/>
          <w:sz w:val="22"/>
          <w:szCs w:val="22"/>
        </w:rPr>
        <w:footnoteReference w:id="26"/>
      </w:r>
      <w:r w:rsidR="001167C0" w:rsidRPr="00337831">
        <w:rPr>
          <w:rFonts w:cs="Arial"/>
          <w:sz w:val="22"/>
          <w:szCs w:val="22"/>
        </w:rPr>
        <w:t xml:space="preserve">   </w:t>
      </w:r>
      <w:r w:rsidR="004B08FA" w:rsidRPr="00337831">
        <w:rPr>
          <w:rFonts w:cs="Arial"/>
          <w:sz w:val="22"/>
          <w:szCs w:val="22"/>
        </w:rPr>
        <w:t>While the</w:t>
      </w:r>
      <w:r w:rsidRPr="00337831">
        <w:rPr>
          <w:rFonts w:cs="Arial"/>
          <w:sz w:val="22"/>
          <w:szCs w:val="22"/>
        </w:rPr>
        <w:t xml:space="preserve"> idea of a quick and successful </w:t>
      </w:r>
      <w:r w:rsidR="004B08FA" w:rsidRPr="00337831">
        <w:rPr>
          <w:rFonts w:cs="Arial"/>
          <w:sz w:val="22"/>
          <w:szCs w:val="22"/>
        </w:rPr>
        <w:t>exit from bankruptc</w:t>
      </w:r>
      <w:r w:rsidR="009C53A3" w:rsidRPr="00337831">
        <w:rPr>
          <w:rFonts w:cs="Arial"/>
          <w:sz w:val="22"/>
          <w:szCs w:val="22"/>
        </w:rPr>
        <w:t>y is appealing, implementing a P</w:t>
      </w:r>
      <w:r w:rsidR="004B08FA" w:rsidRPr="00337831">
        <w:rPr>
          <w:rFonts w:cs="Arial"/>
          <w:sz w:val="22"/>
          <w:szCs w:val="22"/>
        </w:rPr>
        <w:t>repack</w:t>
      </w:r>
      <w:r w:rsidR="009C53A3" w:rsidRPr="00337831">
        <w:rPr>
          <w:rFonts w:cs="Arial"/>
          <w:sz w:val="22"/>
          <w:szCs w:val="22"/>
        </w:rPr>
        <w:t xml:space="preserve"> can be</w:t>
      </w:r>
      <w:r w:rsidR="009D2D6F" w:rsidRPr="00337831">
        <w:rPr>
          <w:rFonts w:cs="Arial"/>
          <w:sz w:val="22"/>
          <w:szCs w:val="22"/>
        </w:rPr>
        <w:t xml:space="preserve"> </w:t>
      </w:r>
      <w:r w:rsidR="009C53A3" w:rsidRPr="00337831">
        <w:rPr>
          <w:rFonts w:cs="Arial"/>
          <w:sz w:val="22"/>
          <w:szCs w:val="22"/>
        </w:rPr>
        <w:t>“</w:t>
      </w:r>
      <w:r w:rsidR="004B08FA" w:rsidRPr="00337831">
        <w:rPr>
          <w:rFonts w:cs="Arial"/>
          <w:sz w:val="22"/>
          <w:szCs w:val="22"/>
        </w:rPr>
        <w:t>very difficult</w:t>
      </w:r>
      <w:r w:rsidR="009C53A3" w:rsidRPr="00337831">
        <w:rPr>
          <w:rFonts w:cs="Arial"/>
          <w:sz w:val="22"/>
          <w:szCs w:val="22"/>
        </w:rPr>
        <w:t>”</w:t>
      </w:r>
      <w:r w:rsidR="004B08FA" w:rsidRPr="00337831">
        <w:rPr>
          <w:rFonts w:cs="Arial"/>
          <w:sz w:val="22"/>
          <w:szCs w:val="22"/>
        </w:rPr>
        <w:t>.</w:t>
      </w:r>
      <w:r w:rsidRPr="00337831">
        <w:rPr>
          <w:rStyle w:val="FootnoteReference"/>
          <w:rFonts w:cs="Arial"/>
          <w:sz w:val="22"/>
          <w:szCs w:val="22"/>
        </w:rPr>
        <w:footnoteReference w:id="27"/>
      </w:r>
      <w:r w:rsidR="004B08FA" w:rsidRPr="00337831">
        <w:rPr>
          <w:rFonts w:cs="Arial"/>
          <w:sz w:val="22"/>
          <w:szCs w:val="22"/>
        </w:rPr>
        <w:t xml:space="preserve"> </w:t>
      </w:r>
    </w:p>
    <w:p w14:paraId="16EBFC82" w14:textId="77777777" w:rsidR="008A46BF" w:rsidRPr="00337831" w:rsidRDefault="00D25429" w:rsidP="006351BC">
      <w:pPr>
        <w:pStyle w:val="Heading2"/>
        <w:spacing w:after="120" w:line="360" w:lineRule="auto"/>
        <w:ind w:left="0" w:firstLine="0"/>
        <w:rPr>
          <w:rFonts w:cs="Arial"/>
          <w:b/>
          <w:sz w:val="22"/>
          <w:szCs w:val="22"/>
        </w:rPr>
      </w:pPr>
      <w:bookmarkStart w:id="6" w:name="_Toc32686582"/>
      <w:r w:rsidRPr="00337831">
        <w:rPr>
          <w:rFonts w:cs="Arial"/>
          <w:b/>
          <w:sz w:val="22"/>
          <w:szCs w:val="22"/>
        </w:rPr>
        <w:lastRenderedPageBreak/>
        <w:t>Implementation of a Chapter 11 Pre-pack</w:t>
      </w:r>
      <w:bookmarkEnd w:id="6"/>
    </w:p>
    <w:p w14:paraId="7642BA1A" w14:textId="77777777" w:rsidR="00D9360A" w:rsidRPr="00337831" w:rsidRDefault="00D25429" w:rsidP="006351BC">
      <w:pPr>
        <w:pStyle w:val="BodyText"/>
        <w:spacing w:after="120" w:line="360" w:lineRule="auto"/>
        <w:rPr>
          <w:rFonts w:cs="Arial"/>
          <w:sz w:val="22"/>
          <w:szCs w:val="22"/>
        </w:rPr>
      </w:pPr>
      <w:r w:rsidRPr="00337831">
        <w:rPr>
          <w:rFonts w:cs="Arial"/>
          <w:sz w:val="22"/>
          <w:szCs w:val="22"/>
        </w:rPr>
        <w:t xml:space="preserve">As above, a Pre-pack is </w:t>
      </w:r>
      <w:r w:rsidR="003514DA" w:rsidRPr="00337831">
        <w:rPr>
          <w:rFonts w:cs="Arial"/>
          <w:sz w:val="22"/>
          <w:szCs w:val="22"/>
        </w:rPr>
        <w:t>initiated</w:t>
      </w:r>
      <w:r w:rsidRPr="00337831">
        <w:rPr>
          <w:rFonts w:cs="Arial"/>
          <w:sz w:val="22"/>
          <w:szCs w:val="22"/>
        </w:rPr>
        <w:t xml:space="preserve"> by the debtor </w:t>
      </w:r>
      <w:r w:rsidR="006A71BF" w:rsidRPr="00337831">
        <w:rPr>
          <w:rFonts w:cs="Arial"/>
          <w:sz w:val="22"/>
          <w:szCs w:val="22"/>
        </w:rPr>
        <w:t xml:space="preserve">who </w:t>
      </w:r>
      <w:r w:rsidR="009C53A3" w:rsidRPr="00337831">
        <w:rPr>
          <w:rFonts w:cs="Arial"/>
          <w:sz w:val="22"/>
          <w:szCs w:val="22"/>
        </w:rPr>
        <w:t>seeks</w:t>
      </w:r>
      <w:r w:rsidR="006A71BF" w:rsidRPr="00337831">
        <w:rPr>
          <w:rFonts w:cs="Arial"/>
          <w:sz w:val="22"/>
          <w:szCs w:val="22"/>
        </w:rPr>
        <w:t xml:space="preserve"> </w:t>
      </w:r>
      <w:r w:rsidR="009D2D6F" w:rsidRPr="00337831">
        <w:rPr>
          <w:rFonts w:cs="Arial"/>
          <w:sz w:val="22"/>
          <w:szCs w:val="22"/>
        </w:rPr>
        <w:t xml:space="preserve">to </w:t>
      </w:r>
      <w:r w:rsidR="006351BC" w:rsidRPr="00337831">
        <w:rPr>
          <w:rFonts w:cs="Arial"/>
          <w:sz w:val="22"/>
          <w:szCs w:val="22"/>
        </w:rPr>
        <w:t>negotiate</w:t>
      </w:r>
      <w:r w:rsidR="006A71BF" w:rsidRPr="00337831">
        <w:rPr>
          <w:rFonts w:cs="Arial"/>
          <w:sz w:val="22"/>
          <w:szCs w:val="22"/>
        </w:rPr>
        <w:t xml:space="preserve"> </w:t>
      </w:r>
      <w:r w:rsidR="003514DA" w:rsidRPr="00337831">
        <w:rPr>
          <w:rFonts w:cs="Arial"/>
          <w:sz w:val="22"/>
          <w:szCs w:val="22"/>
        </w:rPr>
        <w:t>with its creditors (or at least its major creditors)</w:t>
      </w:r>
      <w:r w:rsidR="00706478" w:rsidRPr="00337831">
        <w:rPr>
          <w:rFonts w:cs="Arial"/>
          <w:sz w:val="22"/>
          <w:szCs w:val="22"/>
        </w:rPr>
        <w:t xml:space="preserve"> to formulate a Plan</w:t>
      </w:r>
      <w:r w:rsidR="00A851EB" w:rsidRPr="00337831">
        <w:rPr>
          <w:rFonts w:cs="Arial"/>
          <w:sz w:val="22"/>
          <w:szCs w:val="22"/>
        </w:rPr>
        <w:t>.  Thus</w:t>
      </w:r>
      <w:r w:rsidRPr="00337831">
        <w:rPr>
          <w:rFonts w:cs="Arial"/>
          <w:sz w:val="22"/>
          <w:szCs w:val="22"/>
        </w:rPr>
        <w:t>, a Prepack can generally be thought of as a two-stage process.</w:t>
      </w:r>
      <w:r w:rsidRPr="00337831">
        <w:rPr>
          <w:rStyle w:val="FootnoteReference"/>
          <w:rFonts w:cs="Arial"/>
          <w:sz w:val="22"/>
          <w:szCs w:val="22"/>
        </w:rPr>
        <w:footnoteReference w:id="28"/>
      </w:r>
      <w:r w:rsidRPr="00337831">
        <w:rPr>
          <w:rFonts w:cs="Arial"/>
          <w:sz w:val="22"/>
          <w:szCs w:val="22"/>
        </w:rPr>
        <w:t xml:space="preserve">  That is, the “pre</w:t>
      </w:r>
      <w:r w:rsidR="006351BC" w:rsidRPr="00337831">
        <w:rPr>
          <w:rFonts w:cs="Arial"/>
          <w:sz w:val="22"/>
          <w:szCs w:val="22"/>
        </w:rPr>
        <w:t>-</w:t>
      </w:r>
      <w:r w:rsidRPr="00337831">
        <w:rPr>
          <w:rFonts w:cs="Arial"/>
          <w:sz w:val="22"/>
          <w:szCs w:val="22"/>
        </w:rPr>
        <w:t xml:space="preserve">petition” </w:t>
      </w:r>
      <w:r w:rsidR="006F408D" w:rsidRPr="00337831">
        <w:rPr>
          <w:rFonts w:cs="Arial"/>
          <w:sz w:val="22"/>
          <w:szCs w:val="22"/>
        </w:rPr>
        <w:t>stage</w:t>
      </w:r>
      <w:r w:rsidRPr="00337831">
        <w:rPr>
          <w:rFonts w:cs="Arial"/>
          <w:sz w:val="22"/>
          <w:szCs w:val="22"/>
        </w:rPr>
        <w:t xml:space="preserve"> and the “post</w:t>
      </w:r>
      <w:r w:rsidR="006351BC" w:rsidRPr="00337831">
        <w:rPr>
          <w:rFonts w:cs="Arial"/>
          <w:sz w:val="22"/>
          <w:szCs w:val="22"/>
        </w:rPr>
        <w:t>-</w:t>
      </w:r>
      <w:r w:rsidRPr="00337831">
        <w:rPr>
          <w:rFonts w:cs="Arial"/>
          <w:sz w:val="22"/>
          <w:szCs w:val="22"/>
        </w:rPr>
        <w:t>petition” stage.</w:t>
      </w:r>
      <w:r w:rsidRPr="00337831">
        <w:rPr>
          <w:rStyle w:val="FootnoteReference"/>
          <w:rFonts w:cs="Arial"/>
          <w:sz w:val="22"/>
          <w:szCs w:val="22"/>
        </w:rPr>
        <w:footnoteReference w:id="29"/>
      </w:r>
    </w:p>
    <w:p w14:paraId="78EA5E18" w14:textId="77777777" w:rsidR="00CF2DF1" w:rsidRPr="00337831" w:rsidRDefault="00D25429" w:rsidP="006351BC">
      <w:pPr>
        <w:pStyle w:val="BodyText"/>
        <w:spacing w:after="120" w:line="360" w:lineRule="auto"/>
        <w:rPr>
          <w:rFonts w:cs="Arial"/>
          <w:sz w:val="22"/>
          <w:szCs w:val="22"/>
        </w:rPr>
      </w:pPr>
      <w:r w:rsidRPr="00337831">
        <w:rPr>
          <w:rFonts w:cs="Arial"/>
          <w:sz w:val="22"/>
          <w:szCs w:val="22"/>
        </w:rPr>
        <w:t>The pre</w:t>
      </w:r>
      <w:r w:rsidR="006351BC" w:rsidRPr="00337831">
        <w:rPr>
          <w:rFonts w:cs="Arial"/>
          <w:sz w:val="22"/>
          <w:szCs w:val="22"/>
        </w:rPr>
        <w:t>-</w:t>
      </w:r>
      <w:r w:rsidRPr="00337831">
        <w:rPr>
          <w:rFonts w:cs="Arial"/>
          <w:sz w:val="22"/>
          <w:szCs w:val="22"/>
        </w:rPr>
        <w:t xml:space="preserve">petition </w:t>
      </w:r>
      <w:r w:rsidR="006F408D" w:rsidRPr="00337831">
        <w:rPr>
          <w:rFonts w:cs="Arial"/>
          <w:sz w:val="22"/>
          <w:szCs w:val="22"/>
        </w:rPr>
        <w:t>stage</w:t>
      </w:r>
      <w:r w:rsidRPr="00337831">
        <w:rPr>
          <w:rFonts w:cs="Arial"/>
          <w:sz w:val="22"/>
          <w:szCs w:val="22"/>
        </w:rPr>
        <w:t xml:space="preserve"> includes the negotiation process which, amongst other things, involves the disclosure to creditors regarding the proposed </w:t>
      </w:r>
      <w:r w:rsidR="009D2D6F" w:rsidRPr="00337831">
        <w:rPr>
          <w:rFonts w:cs="Arial"/>
          <w:sz w:val="22"/>
          <w:szCs w:val="22"/>
        </w:rPr>
        <w:t>Plan</w:t>
      </w:r>
      <w:r w:rsidRPr="00337831">
        <w:rPr>
          <w:rFonts w:cs="Arial"/>
          <w:sz w:val="22"/>
          <w:szCs w:val="22"/>
        </w:rPr>
        <w:t xml:space="preserve"> and the </w:t>
      </w:r>
      <w:r w:rsidR="009C53A3" w:rsidRPr="00337831">
        <w:rPr>
          <w:rFonts w:cs="Arial"/>
          <w:sz w:val="22"/>
          <w:szCs w:val="22"/>
        </w:rPr>
        <w:t xml:space="preserve">solicitation of their votes.  </w:t>
      </w:r>
      <w:r w:rsidRPr="00337831">
        <w:rPr>
          <w:rFonts w:cs="Arial"/>
          <w:sz w:val="22"/>
          <w:szCs w:val="22"/>
        </w:rPr>
        <w:t>In the pre</w:t>
      </w:r>
      <w:r w:rsidR="006E0D07" w:rsidRPr="00337831">
        <w:rPr>
          <w:rFonts w:cs="Arial"/>
          <w:sz w:val="22"/>
          <w:szCs w:val="22"/>
        </w:rPr>
        <w:t>-</w:t>
      </w:r>
      <w:r w:rsidRPr="00337831">
        <w:rPr>
          <w:rFonts w:cs="Arial"/>
          <w:sz w:val="22"/>
          <w:szCs w:val="22"/>
        </w:rPr>
        <w:t xml:space="preserve">petition </w:t>
      </w:r>
      <w:r w:rsidR="006F408D" w:rsidRPr="00337831">
        <w:rPr>
          <w:rFonts w:cs="Arial"/>
          <w:sz w:val="22"/>
          <w:szCs w:val="22"/>
        </w:rPr>
        <w:t>stage</w:t>
      </w:r>
      <w:r w:rsidRPr="00337831">
        <w:rPr>
          <w:rFonts w:cs="Arial"/>
          <w:sz w:val="22"/>
          <w:szCs w:val="22"/>
        </w:rPr>
        <w:t>, the debtor must also engage in many of the same case preparation activities as if it were preparing a</w:t>
      </w:r>
      <w:r w:rsidR="009C53A3" w:rsidRPr="00337831">
        <w:rPr>
          <w:rFonts w:cs="Arial"/>
          <w:sz w:val="22"/>
          <w:szCs w:val="22"/>
        </w:rPr>
        <w:t xml:space="preserve"> </w:t>
      </w:r>
      <w:r w:rsidRPr="00337831">
        <w:rPr>
          <w:rFonts w:cs="Arial"/>
          <w:sz w:val="22"/>
          <w:szCs w:val="22"/>
        </w:rPr>
        <w:t xml:space="preserve">traditional Chapter 11 </w:t>
      </w:r>
      <w:r w:rsidR="009C53A3" w:rsidRPr="00337831">
        <w:rPr>
          <w:rFonts w:cs="Arial"/>
          <w:sz w:val="22"/>
          <w:szCs w:val="22"/>
        </w:rPr>
        <w:t>filing.</w:t>
      </w:r>
      <w:r w:rsidRPr="00337831">
        <w:rPr>
          <w:rStyle w:val="FootnoteReference"/>
          <w:rFonts w:cs="Arial"/>
          <w:sz w:val="22"/>
          <w:szCs w:val="22"/>
        </w:rPr>
        <w:footnoteReference w:id="30"/>
      </w:r>
      <w:r w:rsidR="009C53A3" w:rsidRPr="00337831">
        <w:rPr>
          <w:rFonts w:cs="Arial"/>
          <w:sz w:val="22"/>
          <w:szCs w:val="22"/>
        </w:rPr>
        <w:t xml:space="preserve">  </w:t>
      </w:r>
      <w:r w:rsidRPr="00337831">
        <w:rPr>
          <w:rFonts w:cs="Arial"/>
          <w:sz w:val="22"/>
          <w:szCs w:val="22"/>
        </w:rPr>
        <w:t>However,</w:t>
      </w:r>
      <w:r w:rsidR="009C53A3" w:rsidRPr="00337831">
        <w:rPr>
          <w:rFonts w:cs="Arial"/>
          <w:sz w:val="22"/>
          <w:szCs w:val="22"/>
        </w:rPr>
        <w:t xml:space="preserve"> </w:t>
      </w:r>
      <w:r w:rsidRPr="00337831">
        <w:rPr>
          <w:rFonts w:cs="Arial"/>
          <w:sz w:val="22"/>
          <w:szCs w:val="22"/>
        </w:rPr>
        <w:t>many of the activities that typically occur within the first few days and weeks after the filing of a traditional Chapter 11 case are</w:t>
      </w:r>
      <w:r w:rsidR="009C53A3" w:rsidRPr="00337831">
        <w:rPr>
          <w:rFonts w:cs="Arial"/>
          <w:sz w:val="22"/>
          <w:szCs w:val="22"/>
        </w:rPr>
        <w:t xml:space="preserve"> </w:t>
      </w:r>
      <w:r w:rsidR="009D2D6F" w:rsidRPr="00337831">
        <w:rPr>
          <w:rFonts w:cs="Arial"/>
          <w:sz w:val="22"/>
          <w:szCs w:val="22"/>
        </w:rPr>
        <w:t>not required</w:t>
      </w:r>
      <w:r w:rsidRPr="00337831">
        <w:rPr>
          <w:rFonts w:cs="Arial"/>
          <w:sz w:val="22"/>
          <w:szCs w:val="22"/>
        </w:rPr>
        <w:t>, with the exception of negotiating with prepetition lenders and</w:t>
      </w:r>
      <w:r w:rsidR="009D2D6F" w:rsidRPr="00337831">
        <w:rPr>
          <w:rFonts w:cs="Arial"/>
          <w:sz w:val="22"/>
          <w:szCs w:val="22"/>
        </w:rPr>
        <w:t>, if required,</w:t>
      </w:r>
      <w:r w:rsidRPr="00337831">
        <w:rPr>
          <w:rFonts w:cs="Arial"/>
          <w:sz w:val="22"/>
          <w:szCs w:val="22"/>
        </w:rPr>
        <w:t xml:space="preserve"> </w:t>
      </w:r>
      <w:r w:rsidR="009D2D6F" w:rsidRPr="00337831">
        <w:rPr>
          <w:rFonts w:cs="Arial"/>
          <w:sz w:val="22"/>
          <w:szCs w:val="22"/>
        </w:rPr>
        <w:t>debtor in possession</w:t>
      </w:r>
      <w:r w:rsidRPr="00337831">
        <w:rPr>
          <w:rFonts w:cs="Arial"/>
          <w:sz w:val="22"/>
          <w:szCs w:val="22"/>
        </w:rPr>
        <w:t xml:space="preserve"> lenders</w:t>
      </w:r>
      <w:r w:rsidR="003B05C1" w:rsidRPr="00337831">
        <w:rPr>
          <w:rFonts w:cs="Arial"/>
          <w:sz w:val="22"/>
          <w:szCs w:val="22"/>
        </w:rPr>
        <w:t xml:space="preserve"> (also known as </w:t>
      </w:r>
      <w:r w:rsidR="003B05C1" w:rsidRPr="00337831">
        <w:rPr>
          <w:rFonts w:cs="Arial"/>
          <w:b/>
          <w:sz w:val="22"/>
          <w:szCs w:val="22"/>
        </w:rPr>
        <w:t>DIP</w:t>
      </w:r>
      <w:r w:rsidR="003B05C1" w:rsidRPr="00337831">
        <w:rPr>
          <w:rFonts w:cs="Arial"/>
          <w:sz w:val="22"/>
          <w:szCs w:val="22"/>
        </w:rPr>
        <w:t xml:space="preserve"> lenders)</w:t>
      </w:r>
      <w:r w:rsidRPr="00337831">
        <w:rPr>
          <w:rFonts w:cs="Arial"/>
          <w:sz w:val="22"/>
          <w:szCs w:val="22"/>
        </w:rPr>
        <w:t xml:space="preserve"> </w:t>
      </w:r>
      <w:r w:rsidR="003B05C1" w:rsidRPr="00337831">
        <w:rPr>
          <w:rFonts w:cs="Arial"/>
          <w:sz w:val="22"/>
          <w:szCs w:val="22"/>
        </w:rPr>
        <w:t>“</w:t>
      </w:r>
      <w:r w:rsidRPr="00337831">
        <w:rPr>
          <w:rFonts w:cs="Arial"/>
          <w:sz w:val="22"/>
          <w:szCs w:val="22"/>
        </w:rPr>
        <w:t>and the filing of statements and schedules (which are usually filed with the ban</w:t>
      </w:r>
      <w:r w:rsidR="009C53A3" w:rsidRPr="00337831">
        <w:rPr>
          <w:rFonts w:cs="Arial"/>
          <w:sz w:val="22"/>
          <w:szCs w:val="22"/>
        </w:rPr>
        <w:t>kruptcy petition in a prepack).</w:t>
      </w:r>
      <w:r w:rsidR="003B05C1" w:rsidRPr="00337831">
        <w:rPr>
          <w:rFonts w:cs="Arial"/>
          <w:sz w:val="22"/>
          <w:szCs w:val="22"/>
        </w:rPr>
        <w:t>”</w:t>
      </w:r>
      <w:r w:rsidRPr="00337831">
        <w:rPr>
          <w:rStyle w:val="FootnoteReference"/>
          <w:rFonts w:cs="Arial"/>
          <w:sz w:val="22"/>
          <w:szCs w:val="22"/>
        </w:rPr>
        <w:footnoteReference w:id="31"/>
      </w:r>
    </w:p>
    <w:p w14:paraId="5228B93A" w14:textId="77777777" w:rsidR="001167C0" w:rsidRPr="00337831" w:rsidRDefault="00D25429" w:rsidP="006351BC">
      <w:pPr>
        <w:pStyle w:val="BodyText"/>
        <w:spacing w:after="120" w:line="360" w:lineRule="auto"/>
        <w:rPr>
          <w:rFonts w:cs="Arial"/>
          <w:sz w:val="22"/>
          <w:szCs w:val="22"/>
        </w:rPr>
      </w:pPr>
      <w:r w:rsidRPr="00337831">
        <w:rPr>
          <w:rFonts w:cs="Arial"/>
          <w:sz w:val="22"/>
          <w:szCs w:val="22"/>
        </w:rPr>
        <w:t>The post</w:t>
      </w:r>
      <w:r w:rsidR="006351BC" w:rsidRPr="00337831">
        <w:rPr>
          <w:rFonts w:cs="Arial"/>
          <w:sz w:val="22"/>
          <w:szCs w:val="22"/>
        </w:rPr>
        <w:t>-</w:t>
      </w:r>
      <w:r w:rsidRPr="00337831">
        <w:rPr>
          <w:rFonts w:cs="Arial"/>
          <w:sz w:val="22"/>
          <w:szCs w:val="22"/>
        </w:rPr>
        <w:t xml:space="preserve">petition stage, which is more formal in nature, includes seeking and obtaining the bankruptcy Court's approval of the </w:t>
      </w:r>
      <w:r w:rsidR="009D2D6F" w:rsidRPr="00337831">
        <w:rPr>
          <w:rFonts w:cs="Arial"/>
          <w:sz w:val="22"/>
          <w:szCs w:val="22"/>
        </w:rPr>
        <w:t>P</w:t>
      </w:r>
      <w:r w:rsidRPr="00337831">
        <w:rPr>
          <w:rFonts w:cs="Arial"/>
          <w:sz w:val="22"/>
          <w:szCs w:val="22"/>
        </w:rPr>
        <w:t>lan and the disclosure statement used in the</w:t>
      </w:r>
      <w:r w:rsidR="006F408D" w:rsidRPr="00337831">
        <w:rPr>
          <w:rFonts w:cs="Arial"/>
          <w:sz w:val="22"/>
          <w:szCs w:val="22"/>
        </w:rPr>
        <w:t xml:space="preserve"> pre</w:t>
      </w:r>
      <w:r w:rsidR="003B05C1" w:rsidRPr="00337831">
        <w:rPr>
          <w:rFonts w:cs="Arial"/>
          <w:sz w:val="22"/>
          <w:szCs w:val="22"/>
        </w:rPr>
        <w:t>-</w:t>
      </w:r>
      <w:r w:rsidR="006F408D" w:rsidRPr="00337831">
        <w:rPr>
          <w:rFonts w:cs="Arial"/>
          <w:sz w:val="22"/>
          <w:szCs w:val="22"/>
        </w:rPr>
        <w:t>petition stage.</w:t>
      </w:r>
      <w:r w:rsidRPr="00337831">
        <w:rPr>
          <w:rStyle w:val="FootnoteReference"/>
          <w:rFonts w:cs="Arial"/>
          <w:sz w:val="22"/>
          <w:szCs w:val="22"/>
        </w:rPr>
        <w:footnoteReference w:id="32"/>
      </w:r>
      <w:r w:rsidR="006F408D" w:rsidRPr="00337831">
        <w:rPr>
          <w:rFonts w:cs="Arial"/>
          <w:sz w:val="22"/>
          <w:szCs w:val="22"/>
        </w:rPr>
        <w:t xml:space="preserve">  </w:t>
      </w:r>
      <w:r w:rsidRPr="00337831">
        <w:rPr>
          <w:rFonts w:cs="Arial"/>
          <w:sz w:val="22"/>
          <w:szCs w:val="22"/>
        </w:rPr>
        <w:t>The post</w:t>
      </w:r>
      <w:r w:rsidR="006351BC" w:rsidRPr="00337831">
        <w:rPr>
          <w:rFonts w:cs="Arial"/>
          <w:sz w:val="22"/>
          <w:szCs w:val="22"/>
        </w:rPr>
        <w:t>-</w:t>
      </w:r>
      <w:r w:rsidRPr="00337831">
        <w:rPr>
          <w:rFonts w:cs="Arial"/>
          <w:sz w:val="22"/>
          <w:szCs w:val="22"/>
        </w:rPr>
        <w:t xml:space="preserve">petition </w:t>
      </w:r>
      <w:r w:rsidR="006F408D" w:rsidRPr="00337831">
        <w:rPr>
          <w:rFonts w:cs="Arial"/>
          <w:sz w:val="22"/>
          <w:szCs w:val="22"/>
        </w:rPr>
        <w:t>stage</w:t>
      </w:r>
      <w:r w:rsidRPr="00337831">
        <w:rPr>
          <w:rFonts w:cs="Arial"/>
          <w:sz w:val="22"/>
          <w:szCs w:val="22"/>
        </w:rPr>
        <w:t xml:space="preserve"> also</w:t>
      </w:r>
      <w:r w:rsidR="003B05C1" w:rsidRPr="00337831">
        <w:rPr>
          <w:rFonts w:cs="Arial"/>
          <w:sz w:val="22"/>
          <w:szCs w:val="22"/>
        </w:rPr>
        <w:t xml:space="preserve"> may</w:t>
      </w:r>
      <w:r w:rsidRPr="00337831">
        <w:rPr>
          <w:rFonts w:cs="Arial"/>
          <w:sz w:val="22"/>
          <w:szCs w:val="22"/>
        </w:rPr>
        <w:t xml:space="preserve"> involve many of the same procedural and substantive matters that are typically dealt with in</w:t>
      </w:r>
      <w:r w:rsidR="006F408D" w:rsidRPr="00337831">
        <w:rPr>
          <w:rFonts w:cs="Arial"/>
          <w:sz w:val="22"/>
          <w:szCs w:val="22"/>
        </w:rPr>
        <w:t xml:space="preserve"> </w:t>
      </w:r>
      <w:r w:rsidRPr="00337831">
        <w:rPr>
          <w:rFonts w:cs="Arial"/>
          <w:sz w:val="22"/>
          <w:szCs w:val="22"/>
        </w:rPr>
        <w:t xml:space="preserve">the </w:t>
      </w:r>
      <w:r w:rsidR="009D2D6F" w:rsidRPr="00337831">
        <w:rPr>
          <w:rFonts w:cs="Arial"/>
          <w:sz w:val="22"/>
          <w:szCs w:val="22"/>
        </w:rPr>
        <w:t>post-filing s</w:t>
      </w:r>
      <w:r w:rsidRPr="00337831">
        <w:rPr>
          <w:rFonts w:cs="Arial"/>
          <w:sz w:val="22"/>
          <w:szCs w:val="22"/>
        </w:rPr>
        <w:t xml:space="preserve">tage of a traditional Chapter 11 case, depending on the extent to which issues with any </w:t>
      </w:r>
      <w:r w:rsidR="009D2D6F" w:rsidRPr="00337831">
        <w:rPr>
          <w:rFonts w:cs="Arial"/>
          <w:sz w:val="22"/>
          <w:szCs w:val="22"/>
        </w:rPr>
        <w:t>stakeholders</w:t>
      </w:r>
      <w:r w:rsidR="006F408D" w:rsidRPr="00337831">
        <w:rPr>
          <w:rFonts w:cs="Arial"/>
          <w:sz w:val="22"/>
          <w:szCs w:val="22"/>
        </w:rPr>
        <w:t xml:space="preserve"> </w:t>
      </w:r>
      <w:r w:rsidRPr="00337831">
        <w:rPr>
          <w:rFonts w:cs="Arial"/>
          <w:sz w:val="22"/>
          <w:szCs w:val="22"/>
        </w:rPr>
        <w:t>remain unreso</w:t>
      </w:r>
      <w:r w:rsidR="006F408D" w:rsidRPr="00337831">
        <w:rPr>
          <w:rFonts w:cs="Arial"/>
          <w:sz w:val="22"/>
          <w:szCs w:val="22"/>
        </w:rPr>
        <w:t xml:space="preserve">lved </w:t>
      </w:r>
      <w:r w:rsidR="003B05C1" w:rsidRPr="00337831">
        <w:rPr>
          <w:rFonts w:cs="Arial"/>
          <w:sz w:val="22"/>
          <w:szCs w:val="22"/>
        </w:rPr>
        <w:t>(</w:t>
      </w:r>
      <w:r w:rsidR="006F408D" w:rsidRPr="00337831">
        <w:rPr>
          <w:rFonts w:cs="Arial"/>
          <w:sz w:val="22"/>
          <w:szCs w:val="22"/>
        </w:rPr>
        <w:t>or unexpected issues arise</w:t>
      </w:r>
      <w:r w:rsidR="003B05C1" w:rsidRPr="00337831">
        <w:rPr>
          <w:rFonts w:cs="Arial"/>
          <w:sz w:val="22"/>
          <w:szCs w:val="22"/>
        </w:rPr>
        <w:t>)</w:t>
      </w:r>
      <w:r w:rsidR="006F408D" w:rsidRPr="00337831">
        <w:rPr>
          <w:rFonts w:cs="Arial"/>
          <w:sz w:val="22"/>
          <w:szCs w:val="22"/>
        </w:rPr>
        <w:t xml:space="preserve">.  </w:t>
      </w:r>
      <w:r w:rsidR="003B05C1" w:rsidRPr="00337831">
        <w:rPr>
          <w:rFonts w:cs="Arial"/>
          <w:sz w:val="22"/>
          <w:szCs w:val="22"/>
        </w:rPr>
        <w:t>Generally</w:t>
      </w:r>
      <w:r w:rsidRPr="00337831">
        <w:rPr>
          <w:rFonts w:cs="Arial"/>
          <w:sz w:val="22"/>
          <w:szCs w:val="22"/>
        </w:rPr>
        <w:t>, these could include retaining counsel and other professionals.</w:t>
      </w:r>
      <w:r w:rsidR="009D2D6F" w:rsidRPr="00337831">
        <w:rPr>
          <w:rFonts w:cs="Arial"/>
          <w:sz w:val="22"/>
          <w:szCs w:val="22"/>
        </w:rPr>
        <w:t xml:space="preserve">  </w:t>
      </w:r>
      <w:r w:rsidR="003B05C1" w:rsidRPr="00337831">
        <w:rPr>
          <w:rFonts w:cs="Arial"/>
          <w:sz w:val="22"/>
          <w:szCs w:val="22"/>
        </w:rPr>
        <w:t>More s</w:t>
      </w:r>
      <w:r w:rsidRPr="00337831">
        <w:rPr>
          <w:rFonts w:cs="Arial"/>
          <w:sz w:val="22"/>
          <w:szCs w:val="22"/>
        </w:rPr>
        <w:t xml:space="preserve">ubstantively, </w:t>
      </w:r>
      <w:r w:rsidR="003B05C1" w:rsidRPr="00337831">
        <w:rPr>
          <w:rFonts w:cs="Arial"/>
          <w:sz w:val="22"/>
          <w:szCs w:val="22"/>
        </w:rPr>
        <w:t xml:space="preserve">however, </w:t>
      </w:r>
      <w:r w:rsidRPr="00337831">
        <w:rPr>
          <w:rFonts w:cs="Arial"/>
          <w:sz w:val="22"/>
          <w:szCs w:val="22"/>
        </w:rPr>
        <w:t>these could include</w:t>
      </w:r>
      <w:r w:rsidR="009D2D6F" w:rsidRPr="00337831">
        <w:rPr>
          <w:rFonts w:cs="Arial"/>
          <w:sz w:val="22"/>
          <w:szCs w:val="22"/>
        </w:rPr>
        <w:t xml:space="preserve">, for example, </w:t>
      </w:r>
      <w:r w:rsidR="003B05C1" w:rsidRPr="00337831">
        <w:rPr>
          <w:rFonts w:cs="Arial"/>
          <w:sz w:val="22"/>
          <w:szCs w:val="22"/>
        </w:rPr>
        <w:t>“</w:t>
      </w:r>
      <w:r w:rsidRPr="00337831">
        <w:rPr>
          <w:rFonts w:cs="Arial"/>
          <w:sz w:val="22"/>
          <w:szCs w:val="22"/>
        </w:rPr>
        <w:t>responding to motions to compel the debtor to assume or reject executory contracts or for relief from the automatic stay.</w:t>
      </w:r>
      <w:r w:rsidR="003B05C1" w:rsidRPr="00337831">
        <w:rPr>
          <w:rFonts w:cs="Arial"/>
          <w:sz w:val="22"/>
          <w:szCs w:val="22"/>
        </w:rPr>
        <w:t>”</w:t>
      </w:r>
      <w:r w:rsidRPr="00337831">
        <w:rPr>
          <w:rStyle w:val="FootnoteReference"/>
          <w:rFonts w:cs="Arial"/>
          <w:sz w:val="22"/>
          <w:szCs w:val="22"/>
        </w:rPr>
        <w:footnoteReference w:id="33"/>
      </w:r>
    </w:p>
    <w:p w14:paraId="7F56BF4E" w14:textId="77777777" w:rsidR="00B94079" w:rsidRPr="00337831" w:rsidRDefault="006E0D07" w:rsidP="006351BC">
      <w:pPr>
        <w:pStyle w:val="BodyText"/>
        <w:spacing w:after="120" w:line="360" w:lineRule="auto"/>
        <w:rPr>
          <w:rFonts w:cs="Arial"/>
          <w:sz w:val="22"/>
          <w:szCs w:val="22"/>
        </w:rPr>
      </w:pPr>
      <w:r w:rsidRPr="00337831">
        <w:rPr>
          <w:rFonts w:cs="Arial"/>
          <w:sz w:val="22"/>
          <w:szCs w:val="22"/>
        </w:rPr>
        <w:t xml:space="preserve">§ </w:t>
      </w:r>
      <w:r w:rsidR="003F789F" w:rsidRPr="00337831">
        <w:rPr>
          <w:rFonts w:cs="Arial"/>
          <w:sz w:val="22"/>
          <w:szCs w:val="22"/>
        </w:rPr>
        <w:t xml:space="preserve">1126 of </w:t>
      </w:r>
      <w:r w:rsidR="006F408D" w:rsidRPr="00337831">
        <w:rPr>
          <w:rFonts w:cs="Arial"/>
          <w:sz w:val="22"/>
          <w:szCs w:val="22"/>
        </w:rPr>
        <w:t xml:space="preserve">Chapter 11 </w:t>
      </w:r>
      <w:r w:rsidR="003F789F" w:rsidRPr="00337831">
        <w:rPr>
          <w:rFonts w:cs="Arial"/>
          <w:sz w:val="22"/>
          <w:szCs w:val="22"/>
        </w:rPr>
        <w:t xml:space="preserve">provides that a class of </w:t>
      </w:r>
      <w:r w:rsidR="009D2D6F" w:rsidRPr="00337831">
        <w:rPr>
          <w:rFonts w:cs="Arial"/>
          <w:sz w:val="22"/>
          <w:szCs w:val="22"/>
        </w:rPr>
        <w:t>“</w:t>
      </w:r>
      <w:r w:rsidR="003F789F" w:rsidRPr="00337831">
        <w:rPr>
          <w:rFonts w:cs="Arial"/>
          <w:sz w:val="22"/>
          <w:szCs w:val="22"/>
        </w:rPr>
        <w:t>claims</w:t>
      </w:r>
      <w:r w:rsidR="009D2D6F" w:rsidRPr="00337831">
        <w:rPr>
          <w:rFonts w:cs="Arial"/>
          <w:sz w:val="22"/>
          <w:szCs w:val="22"/>
        </w:rPr>
        <w:t>”</w:t>
      </w:r>
      <w:r w:rsidR="003F789F" w:rsidRPr="00337831">
        <w:rPr>
          <w:rFonts w:cs="Arial"/>
          <w:sz w:val="22"/>
          <w:szCs w:val="22"/>
        </w:rPr>
        <w:t xml:space="preserve"> accepts a </w:t>
      </w:r>
      <w:r w:rsidR="009D2D6F" w:rsidRPr="00337831">
        <w:rPr>
          <w:rFonts w:cs="Arial"/>
          <w:sz w:val="22"/>
          <w:szCs w:val="22"/>
        </w:rPr>
        <w:t>Plan</w:t>
      </w:r>
      <w:r w:rsidR="003F789F" w:rsidRPr="00337831">
        <w:rPr>
          <w:rFonts w:cs="Arial"/>
          <w:sz w:val="22"/>
          <w:szCs w:val="22"/>
        </w:rPr>
        <w:t xml:space="preserve"> if it is approved by creditors holding at least</w:t>
      </w:r>
      <w:r w:rsidR="00EE082B" w:rsidRPr="00337831">
        <w:rPr>
          <w:rFonts w:cs="Arial"/>
          <w:sz w:val="22"/>
          <w:szCs w:val="22"/>
        </w:rPr>
        <w:t xml:space="preserve"> </w:t>
      </w:r>
      <w:r w:rsidR="003F789F" w:rsidRPr="00337831">
        <w:rPr>
          <w:rFonts w:cs="Arial"/>
          <w:sz w:val="22"/>
          <w:szCs w:val="22"/>
        </w:rPr>
        <w:t xml:space="preserve">two-thirds in dollar amount and more than half in number of the allowed claims in that class </w:t>
      </w:r>
      <w:r w:rsidR="008709F3" w:rsidRPr="00337831">
        <w:rPr>
          <w:rFonts w:cs="Arial"/>
          <w:sz w:val="22"/>
          <w:szCs w:val="22"/>
        </w:rPr>
        <w:t xml:space="preserve">voting on the </w:t>
      </w:r>
      <w:r w:rsidR="009D2D6F" w:rsidRPr="00337831">
        <w:rPr>
          <w:rFonts w:cs="Arial"/>
          <w:sz w:val="22"/>
          <w:szCs w:val="22"/>
        </w:rPr>
        <w:t>P</w:t>
      </w:r>
      <w:r w:rsidR="008709F3" w:rsidRPr="00337831">
        <w:rPr>
          <w:rFonts w:cs="Arial"/>
          <w:sz w:val="22"/>
          <w:szCs w:val="22"/>
        </w:rPr>
        <w:t xml:space="preserve">lan </w:t>
      </w:r>
      <w:r w:rsidR="003F789F" w:rsidRPr="00337831">
        <w:rPr>
          <w:rFonts w:cs="Arial"/>
          <w:sz w:val="22"/>
          <w:szCs w:val="22"/>
        </w:rPr>
        <w:t>(§ 1126(c)</w:t>
      </w:r>
      <w:r w:rsidR="009D2D6F" w:rsidRPr="00337831">
        <w:rPr>
          <w:rFonts w:cs="Arial"/>
          <w:sz w:val="22"/>
          <w:szCs w:val="22"/>
        </w:rPr>
        <w:t xml:space="preserve"> of </w:t>
      </w:r>
      <w:r w:rsidR="00586E76" w:rsidRPr="00337831">
        <w:rPr>
          <w:rFonts w:cs="Arial"/>
          <w:sz w:val="22"/>
          <w:szCs w:val="22"/>
        </w:rPr>
        <w:t>Chapter 11</w:t>
      </w:r>
      <w:r w:rsidR="003F789F" w:rsidRPr="00337831">
        <w:rPr>
          <w:rFonts w:cs="Arial"/>
          <w:sz w:val="22"/>
          <w:szCs w:val="22"/>
        </w:rPr>
        <w:t>).</w:t>
      </w:r>
      <w:r w:rsidR="00D25429" w:rsidRPr="00337831">
        <w:rPr>
          <w:rStyle w:val="FootnoteReference"/>
          <w:rFonts w:cs="Arial"/>
          <w:sz w:val="22"/>
          <w:szCs w:val="22"/>
        </w:rPr>
        <w:footnoteReference w:id="34"/>
      </w:r>
      <w:r w:rsidR="00586E76" w:rsidRPr="00337831">
        <w:rPr>
          <w:rFonts w:cs="Arial"/>
          <w:sz w:val="22"/>
          <w:szCs w:val="22"/>
        </w:rPr>
        <w:t xml:space="preserve">  </w:t>
      </w:r>
      <w:r w:rsidR="009D2D6F" w:rsidRPr="00337831">
        <w:rPr>
          <w:rFonts w:cs="Arial"/>
          <w:sz w:val="22"/>
          <w:szCs w:val="22"/>
        </w:rPr>
        <w:t xml:space="preserve">Equally, a </w:t>
      </w:r>
      <w:r w:rsidR="003F789F" w:rsidRPr="00337831">
        <w:rPr>
          <w:rFonts w:cs="Arial"/>
          <w:sz w:val="22"/>
          <w:szCs w:val="22"/>
        </w:rPr>
        <w:t xml:space="preserve">class of </w:t>
      </w:r>
      <w:r w:rsidR="009D2D6F" w:rsidRPr="00337831">
        <w:rPr>
          <w:rFonts w:cs="Arial"/>
          <w:sz w:val="22"/>
          <w:szCs w:val="22"/>
        </w:rPr>
        <w:t>“</w:t>
      </w:r>
      <w:r w:rsidR="003F789F" w:rsidRPr="00337831">
        <w:rPr>
          <w:rFonts w:cs="Arial"/>
          <w:sz w:val="22"/>
          <w:szCs w:val="22"/>
        </w:rPr>
        <w:t>interests</w:t>
      </w:r>
      <w:r w:rsidR="009D2D6F" w:rsidRPr="00337831">
        <w:rPr>
          <w:rFonts w:cs="Arial"/>
          <w:sz w:val="22"/>
          <w:szCs w:val="22"/>
        </w:rPr>
        <w:t>”</w:t>
      </w:r>
      <w:r w:rsidR="003F789F" w:rsidRPr="00337831">
        <w:rPr>
          <w:rFonts w:cs="Arial"/>
          <w:sz w:val="22"/>
          <w:szCs w:val="22"/>
        </w:rPr>
        <w:t xml:space="preserve"> accepts a </w:t>
      </w:r>
      <w:r w:rsidR="009D2D6F" w:rsidRPr="00337831">
        <w:rPr>
          <w:rFonts w:cs="Arial"/>
          <w:sz w:val="22"/>
          <w:szCs w:val="22"/>
        </w:rPr>
        <w:t>Plan</w:t>
      </w:r>
      <w:r w:rsidR="003F789F" w:rsidRPr="00337831">
        <w:rPr>
          <w:rFonts w:cs="Arial"/>
          <w:sz w:val="22"/>
          <w:szCs w:val="22"/>
        </w:rPr>
        <w:t xml:space="preserve"> if it is approved by parties holdin</w:t>
      </w:r>
      <w:r w:rsidR="008709F3" w:rsidRPr="00337831">
        <w:rPr>
          <w:rFonts w:cs="Arial"/>
          <w:sz w:val="22"/>
          <w:szCs w:val="22"/>
        </w:rPr>
        <w:t xml:space="preserve">g at least two-thirds in number </w:t>
      </w:r>
      <w:r w:rsidR="003F789F" w:rsidRPr="00337831">
        <w:rPr>
          <w:rFonts w:cs="Arial"/>
          <w:sz w:val="22"/>
          <w:szCs w:val="22"/>
        </w:rPr>
        <w:t xml:space="preserve">of the allowed interests actually voting on the </w:t>
      </w:r>
      <w:r w:rsidR="009D2D6F" w:rsidRPr="00337831">
        <w:rPr>
          <w:rFonts w:cs="Arial"/>
          <w:sz w:val="22"/>
          <w:szCs w:val="22"/>
        </w:rPr>
        <w:t>Plan</w:t>
      </w:r>
      <w:r w:rsidR="003F789F" w:rsidRPr="00337831">
        <w:rPr>
          <w:rFonts w:cs="Arial"/>
          <w:sz w:val="22"/>
          <w:szCs w:val="22"/>
        </w:rPr>
        <w:t xml:space="preserve"> (§ 1126(d)</w:t>
      </w:r>
      <w:r w:rsidR="009D2D6F" w:rsidRPr="00337831">
        <w:rPr>
          <w:rFonts w:cs="Arial"/>
          <w:sz w:val="22"/>
          <w:szCs w:val="22"/>
        </w:rPr>
        <w:t xml:space="preserve"> Chapter 11</w:t>
      </w:r>
      <w:r w:rsidR="003F789F" w:rsidRPr="00337831">
        <w:rPr>
          <w:rFonts w:cs="Arial"/>
          <w:sz w:val="22"/>
          <w:szCs w:val="22"/>
        </w:rPr>
        <w:t>).</w:t>
      </w:r>
      <w:r w:rsidR="00D25429" w:rsidRPr="00337831">
        <w:rPr>
          <w:rStyle w:val="FootnoteReference"/>
          <w:rFonts w:cs="Arial"/>
          <w:sz w:val="22"/>
          <w:szCs w:val="22"/>
        </w:rPr>
        <w:footnoteReference w:id="35"/>
      </w:r>
      <w:r w:rsidR="00586E76" w:rsidRPr="00337831">
        <w:rPr>
          <w:rFonts w:cs="Arial"/>
          <w:sz w:val="22"/>
          <w:szCs w:val="22"/>
        </w:rPr>
        <w:t xml:space="preserve">  Typically, </w:t>
      </w:r>
      <w:r w:rsidR="003570A7" w:rsidRPr="00337831">
        <w:rPr>
          <w:rFonts w:cs="Arial"/>
          <w:sz w:val="22"/>
          <w:szCs w:val="22"/>
        </w:rPr>
        <w:t>a debtor seeking to implement a P</w:t>
      </w:r>
      <w:r w:rsidR="00586E76" w:rsidRPr="00337831">
        <w:rPr>
          <w:rFonts w:cs="Arial"/>
          <w:sz w:val="22"/>
          <w:szCs w:val="22"/>
        </w:rPr>
        <w:t xml:space="preserve">re-pack will undertake an </w:t>
      </w:r>
      <w:r w:rsidR="003F789F" w:rsidRPr="00337831">
        <w:rPr>
          <w:rFonts w:cs="Arial"/>
          <w:sz w:val="22"/>
          <w:szCs w:val="22"/>
        </w:rPr>
        <w:t xml:space="preserve">analysis of the </w:t>
      </w:r>
      <w:r w:rsidR="009D2D6F" w:rsidRPr="00337831">
        <w:rPr>
          <w:rFonts w:cs="Arial"/>
          <w:sz w:val="22"/>
          <w:szCs w:val="22"/>
        </w:rPr>
        <w:t xml:space="preserve">likely </w:t>
      </w:r>
      <w:r w:rsidR="003F789F" w:rsidRPr="00337831">
        <w:rPr>
          <w:rFonts w:cs="Arial"/>
          <w:sz w:val="22"/>
          <w:szCs w:val="22"/>
        </w:rPr>
        <w:t>voting</w:t>
      </w:r>
      <w:r w:rsidR="009D2D6F" w:rsidRPr="00337831">
        <w:rPr>
          <w:rFonts w:cs="Arial"/>
          <w:sz w:val="22"/>
          <w:szCs w:val="22"/>
        </w:rPr>
        <w:t xml:space="preserve"> outcome in </w:t>
      </w:r>
      <w:r w:rsidR="003B05C1" w:rsidRPr="00337831">
        <w:rPr>
          <w:rFonts w:cs="Arial"/>
          <w:sz w:val="22"/>
          <w:szCs w:val="22"/>
        </w:rPr>
        <w:t>respect of t</w:t>
      </w:r>
      <w:r w:rsidR="003F789F" w:rsidRPr="00337831">
        <w:rPr>
          <w:rFonts w:cs="Arial"/>
          <w:sz w:val="22"/>
          <w:szCs w:val="22"/>
        </w:rPr>
        <w:t xml:space="preserve">he total outstanding claims or interests entitled to vote on the </w:t>
      </w:r>
      <w:r w:rsidR="009D2D6F" w:rsidRPr="00337831">
        <w:rPr>
          <w:rFonts w:cs="Arial"/>
          <w:sz w:val="22"/>
          <w:szCs w:val="22"/>
        </w:rPr>
        <w:t>Plan.  This is to</w:t>
      </w:r>
      <w:r w:rsidR="003B05C1" w:rsidRPr="00337831">
        <w:rPr>
          <w:rFonts w:cs="Arial"/>
          <w:sz w:val="22"/>
          <w:szCs w:val="22"/>
        </w:rPr>
        <w:t xml:space="preserve"> get an idea as to the likely outcome and manage any </w:t>
      </w:r>
      <w:r w:rsidR="003F789F" w:rsidRPr="00337831">
        <w:rPr>
          <w:rFonts w:cs="Arial"/>
          <w:sz w:val="22"/>
          <w:szCs w:val="22"/>
        </w:rPr>
        <w:t xml:space="preserve">risk that a party who did not </w:t>
      </w:r>
      <w:r w:rsidR="003F789F" w:rsidRPr="00337831">
        <w:rPr>
          <w:rFonts w:cs="Arial"/>
          <w:sz w:val="22"/>
          <w:szCs w:val="22"/>
        </w:rPr>
        <w:lastRenderedPageBreak/>
        <w:t xml:space="preserve">vote </w:t>
      </w:r>
      <w:r w:rsidR="003B05C1" w:rsidRPr="00337831">
        <w:rPr>
          <w:rFonts w:cs="Arial"/>
          <w:sz w:val="22"/>
          <w:szCs w:val="22"/>
        </w:rPr>
        <w:t>may</w:t>
      </w:r>
      <w:r w:rsidR="00586E76" w:rsidRPr="00337831">
        <w:rPr>
          <w:rFonts w:cs="Arial"/>
          <w:sz w:val="22"/>
          <w:szCs w:val="22"/>
        </w:rPr>
        <w:t xml:space="preserve"> come forward and </w:t>
      </w:r>
      <w:r w:rsidR="009D2D6F" w:rsidRPr="00337831">
        <w:rPr>
          <w:rFonts w:cs="Arial"/>
          <w:sz w:val="22"/>
          <w:szCs w:val="22"/>
        </w:rPr>
        <w:t xml:space="preserve">ultimately </w:t>
      </w:r>
      <w:r w:rsidR="00586E76" w:rsidRPr="00337831">
        <w:rPr>
          <w:rFonts w:cs="Arial"/>
          <w:sz w:val="22"/>
          <w:szCs w:val="22"/>
        </w:rPr>
        <w:t>object to</w:t>
      </w:r>
      <w:r w:rsidR="009D2D6F" w:rsidRPr="00337831">
        <w:rPr>
          <w:rFonts w:cs="Arial"/>
          <w:sz w:val="22"/>
          <w:szCs w:val="22"/>
        </w:rPr>
        <w:t xml:space="preserve"> the Plan</w:t>
      </w:r>
      <w:r w:rsidR="003F789F" w:rsidRPr="00337831">
        <w:rPr>
          <w:rFonts w:cs="Arial"/>
          <w:sz w:val="22"/>
          <w:szCs w:val="22"/>
        </w:rPr>
        <w:t>.</w:t>
      </w:r>
      <w:r w:rsidR="00D25429" w:rsidRPr="00337831">
        <w:rPr>
          <w:rStyle w:val="FootnoteReference"/>
          <w:rFonts w:cs="Arial"/>
          <w:sz w:val="22"/>
          <w:szCs w:val="22"/>
        </w:rPr>
        <w:footnoteReference w:id="36"/>
      </w:r>
      <w:r w:rsidR="009D2D6F" w:rsidRPr="00337831">
        <w:rPr>
          <w:rFonts w:cs="Arial"/>
          <w:sz w:val="22"/>
          <w:szCs w:val="22"/>
        </w:rPr>
        <w:t xml:space="preserve">  Note that if </w:t>
      </w:r>
      <w:r w:rsidR="003F789F" w:rsidRPr="00337831">
        <w:rPr>
          <w:rFonts w:cs="Arial"/>
          <w:sz w:val="22"/>
          <w:szCs w:val="22"/>
        </w:rPr>
        <w:t xml:space="preserve">an impaired class rejects a </w:t>
      </w:r>
      <w:r w:rsidR="009D2D6F" w:rsidRPr="00337831">
        <w:rPr>
          <w:rFonts w:cs="Arial"/>
          <w:sz w:val="22"/>
          <w:szCs w:val="22"/>
        </w:rPr>
        <w:t xml:space="preserve">Plan, it is possible for the Plan to be </w:t>
      </w:r>
      <w:r w:rsidR="00586E76" w:rsidRPr="00337831">
        <w:rPr>
          <w:rFonts w:cs="Arial"/>
          <w:sz w:val="22"/>
          <w:szCs w:val="22"/>
        </w:rPr>
        <w:t>confirmed</w:t>
      </w:r>
      <w:r w:rsidR="003B05C1" w:rsidRPr="00337831">
        <w:rPr>
          <w:rFonts w:cs="Arial"/>
          <w:sz w:val="22"/>
          <w:szCs w:val="22"/>
        </w:rPr>
        <w:t>,</w:t>
      </w:r>
      <w:r w:rsidR="00586E76" w:rsidRPr="00337831">
        <w:rPr>
          <w:rFonts w:cs="Arial"/>
          <w:sz w:val="22"/>
          <w:szCs w:val="22"/>
        </w:rPr>
        <w:t xml:space="preserve"> </w:t>
      </w:r>
      <w:r w:rsidR="00E91EED" w:rsidRPr="00337831">
        <w:rPr>
          <w:rFonts w:cs="Arial"/>
          <w:sz w:val="22"/>
          <w:szCs w:val="22"/>
        </w:rPr>
        <w:t xml:space="preserve">but </w:t>
      </w:r>
      <w:r w:rsidR="00586E76" w:rsidRPr="00337831">
        <w:rPr>
          <w:rFonts w:cs="Arial"/>
          <w:sz w:val="22"/>
          <w:szCs w:val="22"/>
        </w:rPr>
        <w:t xml:space="preserve">only through </w:t>
      </w:r>
      <w:r w:rsidR="009D2D6F" w:rsidRPr="00337831">
        <w:rPr>
          <w:rFonts w:cs="Arial"/>
          <w:sz w:val="22"/>
          <w:szCs w:val="22"/>
        </w:rPr>
        <w:t xml:space="preserve">a </w:t>
      </w:r>
      <w:r w:rsidR="00586E76" w:rsidRPr="00337831">
        <w:rPr>
          <w:rFonts w:cs="Arial"/>
          <w:sz w:val="22"/>
          <w:szCs w:val="22"/>
        </w:rPr>
        <w:t>“cramdown”</w:t>
      </w:r>
      <w:r w:rsidR="003570A7" w:rsidRPr="00337831">
        <w:rPr>
          <w:rFonts w:cs="Arial"/>
          <w:sz w:val="22"/>
          <w:szCs w:val="22"/>
        </w:rPr>
        <w:t xml:space="preserve"> (see below)</w:t>
      </w:r>
      <w:r w:rsidR="003F789F" w:rsidRPr="00337831">
        <w:rPr>
          <w:rFonts w:cs="Arial"/>
          <w:sz w:val="22"/>
          <w:szCs w:val="22"/>
        </w:rPr>
        <w:t>.</w:t>
      </w:r>
      <w:r w:rsidR="00D25429" w:rsidRPr="00337831">
        <w:rPr>
          <w:rStyle w:val="FootnoteReference"/>
          <w:rFonts w:cs="Arial"/>
          <w:sz w:val="22"/>
          <w:szCs w:val="22"/>
        </w:rPr>
        <w:footnoteReference w:id="37"/>
      </w:r>
      <w:r w:rsidR="00586E76" w:rsidRPr="00337831">
        <w:rPr>
          <w:rFonts w:cs="Arial"/>
          <w:sz w:val="22"/>
          <w:szCs w:val="22"/>
        </w:rPr>
        <w:t xml:space="preserve">  </w:t>
      </w:r>
    </w:p>
    <w:p w14:paraId="3DF6205A" w14:textId="77777777" w:rsidR="00586E76" w:rsidRPr="00337831" w:rsidRDefault="00D25429" w:rsidP="006351BC">
      <w:pPr>
        <w:spacing w:after="120" w:line="360" w:lineRule="auto"/>
        <w:rPr>
          <w:rFonts w:cs="Arial"/>
          <w:sz w:val="22"/>
          <w:szCs w:val="22"/>
        </w:rPr>
      </w:pPr>
      <w:r w:rsidRPr="00337831">
        <w:rPr>
          <w:rFonts w:cs="Arial"/>
          <w:sz w:val="22"/>
          <w:szCs w:val="22"/>
        </w:rPr>
        <w:br w:type="page"/>
      </w:r>
    </w:p>
    <w:p w14:paraId="2643F0D7" w14:textId="77777777" w:rsidR="00B322B1" w:rsidRPr="00337831" w:rsidRDefault="00D25429" w:rsidP="006351BC">
      <w:pPr>
        <w:pStyle w:val="Heading1"/>
        <w:spacing w:after="120" w:line="360" w:lineRule="auto"/>
        <w:ind w:left="0" w:firstLine="0"/>
        <w:rPr>
          <w:rFonts w:cs="Arial"/>
          <w:sz w:val="24"/>
          <w:szCs w:val="24"/>
        </w:rPr>
      </w:pPr>
      <w:bookmarkStart w:id="7" w:name="_Toc32686583"/>
      <w:r w:rsidRPr="00337831">
        <w:rPr>
          <w:rFonts w:cs="Arial"/>
          <w:sz w:val="24"/>
          <w:szCs w:val="24"/>
        </w:rPr>
        <w:lastRenderedPageBreak/>
        <w:t>COMPARATIVE ANALYSIS</w:t>
      </w:r>
      <w:bookmarkEnd w:id="7"/>
    </w:p>
    <w:p w14:paraId="177B4146" w14:textId="77777777" w:rsidR="00812872" w:rsidRPr="00337831" w:rsidRDefault="00D25429" w:rsidP="006351BC">
      <w:pPr>
        <w:pStyle w:val="Heading2"/>
        <w:spacing w:after="120" w:line="360" w:lineRule="auto"/>
        <w:ind w:left="0" w:firstLine="0"/>
        <w:rPr>
          <w:rFonts w:cs="Arial"/>
          <w:b/>
          <w:sz w:val="22"/>
          <w:szCs w:val="22"/>
          <w:lang w:val="en-US"/>
        </w:rPr>
      </w:pPr>
      <w:bookmarkStart w:id="8" w:name="_Toc32686584"/>
      <w:r w:rsidRPr="00337831">
        <w:rPr>
          <w:rFonts w:cs="Arial"/>
          <w:b/>
          <w:sz w:val="22"/>
          <w:szCs w:val="22"/>
          <w:lang w:val="en-US"/>
        </w:rPr>
        <w:t xml:space="preserve">Similarities </w:t>
      </w:r>
      <w:r w:rsidR="00F27FED" w:rsidRPr="00337831">
        <w:rPr>
          <w:rFonts w:cs="Arial"/>
          <w:b/>
          <w:sz w:val="22"/>
          <w:szCs w:val="22"/>
          <w:lang w:val="en-US"/>
        </w:rPr>
        <w:t xml:space="preserve">between </w:t>
      </w:r>
      <w:r w:rsidRPr="00337831">
        <w:rPr>
          <w:rFonts w:cs="Arial"/>
          <w:b/>
          <w:sz w:val="22"/>
          <w:szCs w:val="22"/>
          <w:lang w:val="en-US"/>
        </w:rPr>
        <w:t>Sch</w:t>
      </w:r>
      <w:r w:rsidR="00F27FED" w:rsidRPr="00337831">
        <w:rPr>
          <w:rFonts w:cs="Arial"/>
          <w:b/>
          <w:sz w:val="22"/>
          <w:szCs w:val="22"/>
          <w:lang w:val="en-US"/>
        </w:rPr>
        <w:t xml:space="preserve">emes </w:t>
      </w:r>
      <w:r w:rsidRPr="00337831">
        <w:rPr>
          <w:rFonts w:cs="Arial"/>
          <w:b/>
          <w:sz w:val="22"/>
          <w:szCs w:val="22"/>
          <w:lang w:val="en-US"/>
        </w:rPr>
        <w:t>and</w:t>
      </w:r>
      <w:r w:rsidR="001709BC" w:rsidRPr="00337831">
        <w:rPr>
          <w:rFonts w:cs="Arial"/>
          <w:b/>
          <w:sz w:val="22"/>
          <w:szCs w:val="22"/>
          <w:lang w:val="en-US"/>
        </w:rPr>
        <w:t xml:space="preserve"> </w:t>
      </w:r>
      <w:r w:rsidR="00F27FED" w:rsidRPr="00337831">
        <w:rPr>
          <w:rFonts w:cs="Arial"/>
          <w:b/>
          <w:sz w:val="22"/>
          <w:szCs w:val="22"/>
          <w:lang w:val="en-US"/>
        </w:rPr>
        <w:t>Pre-packs</w:t>
      </w:r>
      <w:bookmarkEnd w:id="8"/>
      <w:r w:rsidRPr="00337831">
        <w:rPr>
          <w:rFonts w:cs="Arial"/>
          <w:b/>
          <w:sz w:val="22"/>
          <w:szCs w:val="22"/>
          <w:lang w:val="en-US"/>
        </w:rPr>
        <w:t xml:space="preserve"> </w:t>
      </w:r>
    </w:p>
    <w:p w14:paraId="6E83D3BF" w14:textId="77777777" w:rsidR="00427C3B" w:rsidRPr="00337831" w:rsidRDefault="00D25429" w:rsidP="006351BC">
      <w:pPr>
        <w:pStyle w:val="BodyText"/>
        <w:spacing w:after="120" w:line="360" w:lineRule="auto"/>
        <w:rPr>
          <w:rFonts w:cs="Arial"/>
          <w:bCs/>
          <w:sz w:val="22"/>
          <w:szCs w:val="22"/>
          <w:lang w:val="en-US"/>
        </w:rPr>
      </w:pPr>
      <w:r w:rsidRPr="00337831">
        <w:rPr>
          <w:rFonts w:cs="Arial"/>
          <w:bCs/>
          <w:sz w:val="22"/>
          <w:szCs w:val="22"/>
          <w:lang w:val="en-US"/>
        </w:rPr>
        <w:t xml:space="preserve">English Schemes and Chapter 11 Pre-packs have some undeniable </w:t>
      </w:r>
      <w:r w:rsidR="006351BC" w:rsidRPr="00337831">
        <w:rPr>
          <w:rFonts w:cs="Arial"/>
          <w:bCs/>
          <w:sz w:val="22"/>
          <w:szCs w:val="22"/>
          <w:lang w:val="en-US"/>
        </w:rPr>
        <w:t>similarities</w:t>
      </w:r>
      <w:r w:rsidR="00521213" w:rsidRPr="00337831">
        <w:rPr>
          <w:rFonts w:cs="Arial"/>
          <w:bCs/>
          <w:sz w:val="22"/>
          <w:szCs w:val="22"/>
          <w:lang w:val="en-US"/>
        </w:rPr>
        <w:t xml:space="preserve">, but also some </w:t>
      </w:r>
      <w:r w:rsidR="00152B81" w:rsidRPr="00337831">
        <w:rPr>
          <w:rFonts w:cs="Arial"/>
          <w:bCs/>
          <w:sz w:val="22"/>
          <w:szCs w:val="22"/>
          <w:lang w:val="en-US"/>
        </w:rPr>
        <w:t>important</w:t>
      </w:r>
      <w:r w:rsidR="000573D1" w:rsidRPr="00337831">
        <w:rPr>
          <w:rFonts w:cs="Arial"/>
          <w:bCs/>
          <w:sz w:val="22"/>
          <w:szCs w:val="22"/>
          <w:lang w:val="en-US"/>
        </w:rPr>
        <w:t xml:space="preserve"> differences.  </w:t>
      </w:r>
      <w:r w:rsidR="00AE330A" w:rsidRPr="00337831">
        <w:rPr>
          <w:rFonts w:cs="Arial"/>
          <w:bCs/>
          <w:sz w:val="22"/>
          <w:szCs w:val="22"/>
          <w:lang w:val="en-US"/>
        </w:rPr>
        <w:t xml:space="preserve">They are both popular tools for </w:t>
      </w:r>
      <w:r w:rsidR="006351BC" w:rsidRPr="00337831">
        <w:rPr>
          <w:rFonts w:cs="Arial"/>
          <w:bCs/>
          <w:sz w:val="22"/>
          <w:szCs w:val="22"/>
          <w:lang w:val="en-US"/>
        </w:rPr>
        <w:t>restructuring</w:t>
      </w:r>
      <w:r w:rsidR="00AE330A" w:rsidRPr="00337831">
        <w:rPr>
          <w:rFonts w:cs="Arial"/>
          <w:bCs/>
          <w:sz w:val="22"/>
          <w:szCs w:val="22"/>
          <w:lang w:val="en-US"/>
        </w:rPr>
        <w:t xml:space="preserve"> companies </w:t>
      </w:r>
      <w:r w:rsidR="000573D1" w:rsidRPr="00337831">
        <w:rPr>
          <w:rFonts w:cs="Arial"/>
          <w:bCs/>
          <w:sz w:val="22"/>
          <w:szCs w:val="22"/>
          <w:lang w:val="en-US"/>
        </w:rPr>
        <w:t xml:space="preserve">and </w:t>
      </w:r>
      <w:r w:rsidR="00AE330A" w:rsidRPr="00337831">
        <w:rPr>
          <w:rFonts w:cs="Arial"/>
          <w:bCs/>
          <w:sz w:val="22"/>
          <w:szCs w:val="22"/>
          <w:lang w:val="en-US"/>
        </w:rPr>
        <w:t xml:space="preserve">are focused on rehabilitation rather </w:t>
      </w:r>
      <w:r w:rsidR="00B35F9C" w:rsidRPr="00337831">
        <w:rPr>
          <w:rFonts w:cs="Arial"/>
          <w:bCs/>
          <w:sz w:val="22"/>
          <w:szCs w:val="22"/>
          <w:lang w:val="en-US"/>
        </w:rPr>
        <w:t xml:space="preserve">than </w:t>
      </w:r>
      <w:r w:rsidR="00AE330A" w:rsidRPr="00337831">
        <w:rPr>
          <w:rFonts w:cs="Arial"/>
          <w:bCs/>
          <w:sz w:val="22"/>
          <w:szCs w:val="22"/>
          <w:lang w:val="en-US"/>
        </w:rPr>
        <w:t>wind</w:t>
      </w:r>
      <w:r w:rsidR="00B35F9C" w:rsidRPr="00337831">
        <w:rPr>
          <w:rFonts w:cs="Arial"/>
          <w:bCs/>
          <w:sz w:val="22"/>
          <w:szCs w:val="22"/>
          <w:lang w:val="en-US"/>
        </w:rPr>
        <w:t>ing</w:t>
      </w:r>
      <w:r w:rsidR="00AE330A" w:rsidRPr="00337831">
        <w:rPr>
          <w:rFonts w:cs="Arial"/>
          <w:bCs/>
          <w:sz w:val="22"/>
          <w:szCs w:val="22"/>
          <w:lang w:val="en-US"/>
        </w:rPr>
        <w:t xml:space="preserve"> up. </w:t>
      </w:r>
      <w:r w:rsidRPr="00337831">
        <w:rPr>
          <w:rFonts w:cs="Arial"/>
          <w:bCs/>
          <w:sz w:val="22"/>
          <w:szCs w:val="22"/>
          <w:lang w:val="en-US"/>
        </w:rPr>
        <w:t xml:space="preserve"> </w:t>
      </w:r>
      <w:r w:rsidR="003570A7" w:rsidRPr="00337831">
        <w:rPr>
          <w:rFonts w:cs="Arial"/>
          <w:bCs/>
          <w:sz w:val="22"/>
          <w:szCs w:val="22"/>
          <w:lang w:val="en-US"/>
        </w:rPr>
        <w:t>These</w:t>
      </w:r>
      <w:r w:rsidR="00855385" w:rsidRPr="00337831">
        <w:rPr>
          <w:rFonts w:cs="Arial"/>
          <w:bCs/>
          <w:sz w:val="22"/>
          <w:szCs w:val="22"/>
          <w:lang w:val="en-US"/>
        </w:rPr>
        <w:t xml:space="preserve"> regimes also require an e</w:t>
      </w:r>
      <w:r w:rsidR="003570A7" w:rsidRPr="00337831">
        <w:rPr>
          <w:rFonts w:cs="Arial"/>
          <w:bCs/>
          <w:sz w:val="22"/>
          <w:szCs w:val="22"/>
          <w:lang w:val="en-US"/>
        </w:rPr>
        <w:t xml:space="preserve">lement of pre-planning and work, </w:t>
      </w:r>
      <w:r w:rsidR="00855385" w:rsidRPr="00337831">
        <w:rPr>
          <w:rFonts w:cs="Arial"/>
          <w:bCs/>
          <w:sz w:val="22"/>
          <w:szCs w:val="22"/>
          <w:lang w:val="en-US"/>
        </w:rPr>
        <w:t>as well as engagement with appropriate stakeholders</w:t>
      </w:r>
      <w:r w:rsidR="003570A7" w:rsidRPr="00337831">
        <w:rPr>
          <w:rFonts w:cs="Arial"/>
          <w:bCs/>
          <w:sz w:val="22"/>
          <w:szCs w:val="22"/>
          <w:lang w:val="en-US"/>
        </w:rPr>
        <w:t>, before they are filed</w:t>
      </w:r>
      <w:r w:rsidR="00855385" w:rsidRPr="00337831">
        <w:rPr>
          <w:rFonts w:cs="Arial"/>
          <w:bCs/>
          <w:sz w:val="22"/>
          <w:szCs w:val="22"/>
          <w:lang w:val="en-US"/>
        </w:rPr>
        <w:t xml:space="preserve">.  </w:t>
      </w:r>
      <w:r w:rsidR="003570A7" w:rsidRPr="00337831">
        <w:rPr>
          <w:rFonts w:cs="Arial"/>
          <w:bCs/>
          <w:sz w:val="22"/>
          <w:szCs w:val="22"/>
          <w:lang w:val="en-US"/>
        </w:rPr>
        <w:t xml:space="preserve">Notably, both </w:t>
      </w:r>
      <w:r w:rsidR="00E91EED" w:rsidRPr="00337831">
        <w:rPr>
          <w:rFonts w:cs="Arial"/>
          <w:bCs/>
          <w:sz w:val="22"/>
          <w:szCs w:val="22"/>
          <w:lang w:val="en-US"/>
        </w:rPr>
        <w:t xml:space="preserve">the </w:t>
      </w:r>
      <w:r w:rsidR="008A3BD7" w:rsidRPr="00337831">
        <w:rPr>
          <w:rFonts w:cs="Arial"/>
          <w:bCs/>
          <w:sz w:val="22"/>
          <w:szCs w:val="22"/>
          <w:lang w:val="en-US"/>
        </w:rPr>
        <w:t xml:space="preserve">UK and US restructuring </w:t>
      </w:r>
      <w:r w:rsidR="00B35F9C" w:rsidRPr="00337831">
        <w:rPr>
          <w:rFonts w:cs="Arial"/>
          <w:bCs/>
          <w:sz w:val="22"/>
          <w:szCs w:val="22"/>
          <w:lang w:val="en-US"/>
        </w:rPr>
        <w:t>jurisdictions are stable and</w:t>
      </w:r>
      <w:r w:rsidR="003570A7" w:rsidRPr="00337831">
        <w:rPr>
          <w:rFonts w:cs="Arial"/>
          <w:bCs/>
          <w:sz w:val="22"/>
          <w:szCs w:val="22"/>
          <w:lang w:val="en-US"/>
        </w:rPr>
        <w:t xml:space="preserve"> robust and</w:t>
      </w:r>
      <w:r w:rsidR="00B35F9C" w:rsidRPr="00337831">
        <w:rPr>
          <w:rFonts w:cs="Arial"/>
          <w:bCs/>
          <w:sz w:val="22"/>
          <w:szCs w:val="22"/>
          <w:lang w:val="en-US"/>
        </w:rPr>
        <w:t xml:space="preserve"> offer </w:t>
      </w:r>
      <w:r w:rsidR="006351BC" w:rsidRPr="00337831">
        <w:rPr>
          <w:rFonts w:cs="Arial"/>
          <w:bCs/>
          <w:sz w:val="22"/>
          <w:szCs w:val="22"/>
          <w:lang w:val="en-US"/>
        </w:rPr>
        <w:t>familiarity</w:t>
      </w:r>
      <w:r w:rsidR="00B35F9C" w:rsidRPr="00337831">
        <w:rPr>
          <w:rFonts w:cs="Arial"/>
          <w:bCs/>
          <w:sz w:val="22"/>
          <w:szCs w:val="22"/>
          <w:lang w:val="en-US"/>
        </w:rPr>
        <w:t xml:space="preserve"> to restructuring pract</w:t>
      </w:r>
      <w:r w:rsidR="003570A7" w:rsidRPr="00337831">
        <w:rPr>
          <w:rFonts w:cs="Arial"/>
          <w:bCs/>
          <w:sz w:val="22"/>
          <w:szCs w:val="22"/>
          <w:lang w:val="en-US"/>
        </w:rPr>
        <w:t xml:space="preserve">itioners.  Such parties can take </w:t>
      </w:r>
      <w:r w:rsidR="00E91EED" w:rsidRPr="00337831">
        <w:rPr>
          <w:rFonts w:cs="Arial"/>
          <w:bCs/>
          <w:sz w:val="22"/>
          <w:szCs w:val="22"/>
          <w:lang w:val="en-US"/>
        </w:rPr>
        <w:t>confiden</w:t>
      </w:r>
      <w:r w:rsidR="003570A7" w:rsidRPr="00337831">
        <w:rPr>
          <w:rFonts w:cs="Arial"/>
          <w:bCs/>
          <w:sz w:val="22"/>
          <w:szCs w:val="22"/>
          <w:lang w:val="en-US"/>
        </w:rPr>
        <w:t xml:space="preserve">ce from </w:t>
      </w:r>
      <w:r w:rsidR="00B35F9C" w:rsidRPr="00337831">
        <w:rPr>
          <w:rFonts w:cs="Arial"/>
          <w:bCs/>
          <w:sz w:val="22"/>
          <w:szCs w:val="22"/>
          <w:lang w:val="en-US"/>
        </w:rPr>
        <w:t xml:space="preserve">the </w:t>
      </w:r>
      <w:r w:rsidR="006351BC" w:rsidRPr="00337831">
        <w:rPr>
          <w:rFonts w:cs="Arial"/>
          <w:bCs/>
          <w:sz w:val="22"/>
          <w:szCs w:val="22"/>
          <w:lang w:val="en-US"/>
        </w:rPr>
        <w:t>decades</w:t>
      </w:r>
      <w:r w:rsidR="00B35F9C" w:rsidRPr="00337831">
        <w:rPr>
          <w:rFonts w:cs="Arial"/>
          <w:bCs/>
          <w:sz w:val="22"/>
          <w:szCs w:val="22"/>
          <w:lang w:val="en-US"/>
        </w:rPr>
        <w:t xml:space="preserve"> of case law, </w:t>
      </w:r>
      <w:r w:rsidR="003570A7" w:rsidRPr="00337831">
        <w:rPr>
          <w:rFonts w:cs="Arial"/>
          <w:bCs/>
          <w:sz w:val="22"/>
          <w:szCs w:val="22"/>
          <w:lang w:val="en-US"/>
        </w:rPr>
        <w:t xml:space="preserve">numerous supportive </w:t>
      </w:r>
      <w:r w:rsidR="00E91EED" w:rsidRPr="00337831">
        <w:rPr>
          <w:rFonts w:cs="Arial"/>
          <w:bCs/>
          <w:sz w:val="22"/>
          <w:szCs w:val="22"/>
          <w:lang w:val="en-US"/>
        </w:rPr>
        <w:t xml:space="preserve">precedents </w:t>
      </w:r>
      <w:r w:rsidR="00B35F9C" w:rsidRPr="00337831">
        <w:rPr>
          <w:rFonts w:cs="Arial"/>
          <w:bCs/>
          <w:sz w:val="22"/>
          <w:szCs w:val="22"/>
          <w:lang w:val="en-US"/>
        </w:rPr>
        <w:t>and judges</w:t>
      </w:r>
      <w:r w:rsidR="003570A7" w:rsidRPr="00337831">
        <w:rPr>
          <w:rFonts w:cs="Arial"/>
          <w:bCs/>
          <w:sz w:val="22"/>
          <w:szCs w:val="22"/>
          <w:lang w:val="en-US"/>
        </w:rPr>
        <w:t xml:space="preserve"> experienced in bankruptcy and insolvency matters</w:t>
      </w:r>
      <w:r w:rsidR="00B35F9C" w:rsidRPr="00337831">
        <w:rPr>
          <w:rFonts w:cs="Arial"/>
          <w:bCs/>
          <w:sz w:val="22"/>
          <w:szCs w:val="22"/>
          <w:lang w:val="en-US"/>
        </w:rPr>
        <w:t>.</w:t>
      </w:r>
      <w:r w:rsidR="003570A7" w:rsidRPr="00337831">
        <w:rPr>
          <w:rFonts w:cs="Arial"/>
          <w:bCs/>
          <w:sz w:val="22"/>
          <w:szCs w:val="22"/>
          <w:lang w:val="en-US"/>
        </w:rPr>
        <w:t xml:space="preserve">  Thus, </w:t>
      </w:r>
      <w:r w:rsidRPr="00337831">
        <w:rPr>
          <w:rFonts w:cs="Arial"/>
          <w:bCs/>
          <w:sz w:val="22"/>
          <w:szCs w:val="22"/>
          <w:lang w:val="en-US"/>
        </w:rPr>
        <w:t>US and English Courts are often</w:t>
      </w:r>
      <w:r w:rsidR="00B35F9C" w:rsidRPr="00337831">
        <w:rPr>
          <w:rFonts w:cs="Arial"/>
          <w:bCs/>
          <w:sz w:val="22"/>
          <w:szCs w:val="22"/>
          <w:lang w:val="en-US"/>
        </w:rPr>
        <w:t xml:space="preserve"> </w:t>
      </w:r>
      <w:r w:rsidRPr="00337831">
        <w:rPr>
          <w:rFonts w:cs="Arial"/>
          <w:bCs/>
          <w:sz w:val="22"/>
          <w:szCs w:val="22"/>
          <w:lang w:val="en-US"/>
        </w:rPr>
        <w:t>considered the most attractive forums</w:t>
      </w:r>
      <w:r w:rsidR="00B35F9C" w:rsidRPr="00337831">
        <w:rPr>
          <w:rFonts w:cs="Arial"/>
          <w:bCs/>
          <w:sz w:val="22"/>
          <w:szCs w:val="22"/>
          <w:lang w:val="en-US"/>
        </w:rPr>
        <w:t xml:space="preserve"> “</w:t>
      </w:r>
      <w:r w:rsidRPr="00337831">
        <w:rPr>
          <w:rFonts w:cs="Arial"/>
          <w:bCs/>
          <w:sz w:val="22"/>
          <w:szCs w:val="22"/>
          <w:lang w:val="en-US"/>
        </w:rPr>
        <w:t>in which to promulgate the</w:t>
      </w:r>
      <w:r w:rsidR="00B35F9C" w:rsidRPr="00337831">
        <w:rPr>
          <w:rFonts w:cs="Arial"/>
          <w:bCs/>
          <w:sz w:val="22"/>
          <w:szCs w:val="22"/>
          <w:lang w:val="en-US"/>
        </w:rPr>
        <w:t xml:space="preserve"> </w:t>
      </w:r>
      <w:r w:rsidRPr="00337831">
        <w:rPr>
          <w:rFonts w:cs="Arial"/>
          <w:bCs/>
          <w:sz w:val="22"/>
          <w:szCs w:val="22"/>
          <w:lang w:val="en-US"/>
        </w:rPr>
        <w:t>restructuring of a multinational</w:t>
      </w:r>
      <w:r w:rsidR="00B35F9C" w:rsidRPr="00337831">
        <w:rPr>
          <w:rFonts w:cs="Arial"/>
          <w:bCs/>
          <w:sz w:val="22"/>
          <w:szCs w:val="22"/>
          <w:lang w:val="en-US"/>
        </w:rPr>
        <w:t xml:space="preserve"> </w:t>
      </w:r>
      <w:r w:rsidRPr="00337831">
        <w:rPr>
          <w:rFonts w:cs="Arial"/>
          <w:bCs/>
          <w:sz w:val="22"/>
          <w:szCs w:val="22"/>
          <w:lang w:val="en-US"/>
        </w:rPr>
        <w:t>corporate group.</w:t>
      </w:r>
      <w:r w:rsidR="00B35F9C" w:rsidRPr="00337831">
        <w:rPr>
          <w:rFonts w:cs="Arial"/>
          <w:bCs/>
          <w:sz w:val="22"/>
          <w:szCs w:val="22"/>
          <w:lang w:val="en-US"/>
        </w:rPr>
        <w:t>”</w:t>
      </w:r>
      <w:r w:rsidRPr="00337831">
        <w:rPr>
          <w:rStyle w:val="FootnoteReference"/>
          <w:rFonts w:cs="Arial"/>
          <w:bCs/>
          <w:sz w:val="22"/>
          <w:szCs w:val="22"/>
          <w:lang w:val="en-US"/>
        </w:rPr>
        <w:footnoteReference w:id="38"/>
      </w:r>
      <w:r w:rsidR="003570A7" w:rsidRPr="00337831">
        <w:rPr>
          <w:rFonts w:cs="Arial"/>
          <w:bCs/>
          <w:sz w:val="22"/>
          <w:szCs w:val="22"/>
          <w:lang w:val="en-US"/>
        </w:rPr>
        <w:t xml:space="preserve">  Further, and importantly, neither regime requires insolvency as a </w:t>
      </w:r>
      <w:r w:rsidR="00B558A8" w:rsidRPr="00337831">
        <w:rPr>
          <w:rFonts w:cs="Arial"/>
          <w:bCs/>
          <w:sz w:val="22"/>
          <w:szCs w:val="22"/>
          <w:lang w:val="en-US"/>
        </w:rPr>
        <w:t>prerequisite</w:t>
      </w:r>
      <w:r w:rsidR="003570A7" w:rsidRPr="00337831">
        <w:rPr>
          <w:rFonts w:cs="Arial"/>
          <w:bCs/>
          <w:sz w:val="22"/>
          <w:szCs w:val="22"/>
          <w:lang w:val="en-US"/>
        </w:rPr>
        <w:t xml:space="preserve"> for relief; accordingly, a debtor does not need to be insolvent to implement either a Scheme or a Pre-pack.</w:t>
      </w:r>
    </w:p>
    <w:p w14:paraId="525F44DD" w14:textId="77777777" w:rsidR="00855385" w:rsidRPr="00337831" w:rsidRDefault="00D25429" w:rsidP="006351BC">
      <w:pPr>
        <w:pStyle w:val="BodyText"/>
        <w:spacing w:after="120" w:line="360" w:lineRule="auto"/>
        <w:rPr>
          <w:rFonts w:cs="Arial"/>
          <w:bCs/>
          <w:sz w:val="22"/>
          <w:szCs w:val="22"/>
          <w:lang w:val="en-US"/>
        </w:rPr>
      </w:pPr>
      <w:r w:rsidRPr="00337831">
        <w:rPr>
          <w:rFonts w:cs="Arial"/>
          <w:bCs/>
          <w:sz w:val="22"/>
          <w:szCs w:val="22"/>
          <w:lang w:val="en-US"/>
        </w:rPr>
        <w:t>Both regimes are clearly suitable for</w:t>
      </w:r>
      <w:r w:rsidR="00AE330A" w:rsidRPr="00337831">
        <w:rPr>
          <w:rFonts w:cs="Arial"/>
          <w:bCs/>
          <w:sz w:val="22"/>
          <w:szCs w:val="22"/>
          <w:lang w:val="en-US"/>
        </w:rPr>
        <w:t xml:space="preserve"> restructuring overseas, or foreign entities.</w:t>
      </w:r>
      <w:r w:rsidRPr="00337831">
        <w:rPr>
          <w:rStyle w:val="FootnoteReference"/>
          <w:rFonts w:cs="Arial"/>
          <w:bCs/>
          <w:sz w:val="22"/>
          <w:szCs w:val="22"/>
          <w:lang w:val="en-US"/>
        </w:rPr>
        <w:footnoteReference w:id="39"/>
      </w:r>
      <w:r w:rsidRPr="00337831">
        <w:rPr>
          <w:rFonts w:cs="Arial"/>
          <w:bCs/>
          <w:sz w:val="22"/>
          <w:szCs w:val="22"/>
          <w:lang w:val="en-US"/>
        </w:rPr>
        <w:t xml:space="preserve">  The generous jurisdiction assumed by the US Courts under Chapter 11 over </w:t>
      </w:r>
      <w:r w:rsidR="003570A7" w:rsidRPr="00337831">
        <w:rPr>
          <w:rFonts w:cs="Arial"/>
          <w:bCs/>
          <w:sz w:val="22"/>
          <w:szCs w:val="22"/>
          <w:lang w:val="en-US"/>
        </w:rPr>
        <w:t xml:space="preserve">foreign entities is well established.  </w:t>
      </w:r>
      <w:r w:rsidR="006E0D07" w:rsidRPr="00337831">
        <w:rPr>
          <w:rFonts w:cs="Arial"/>
          <w:bCs/>
          <w:sz w:val="22"/>
          <w:szCs w:val="22"/>
          <w:lang w:val="en-US"/>
        </w:rPr>
        <w:t>§</w:t>
      </w:r>
      <w:r w:rsidRPr="00337831">
        <w:rPr>
          <w:rFonts w:cs="Arial"/>
          <w:bCs/>
          <w:sz w:val="22"/>
          <w:szCs w:val="22"/>
          <w:lang w:val="en-US"/>
        </w:rPr>
        <w:t xml:space="preserve"> 109(a) of the US Bankruptcy Code permits a Chapter 11 filing in a US bankruptcy court by “a person that resides or has a domicile, a place of business, or </w:t>
      </w:r>
      <w:r w:rsidR="00E91EED" w:rsidRPr="00337831">
        <w:rPr>
          <w:rFonts w:cs="Arial"/>
          <w:bCs/>
          <w:sz w:val="22"/>
          <w:szCs w:val="22"/>
          <w:lang w:val="en-US"/>
        </w:rPr>
        <w:t>property in the United States”.</w:t>
      </w:r>
      <w:r w:rsidR="00E91EED" w:rsidRPr="00337831">
        <w:rPr>
          <w:rStyle w:val="FootnoteReference"/>
          <w:rFonts w:cs="Arial"/>
          <w:bCs/>
          <w:sz w:val="22"/>
          <w:szCs w:val="22"/>
          <w:lang w:val="en-US"/>
        </w:rPr>
        <w:footnoteReference w:id="40"/>
      </w:r>
      <w:r w:rsidR="000F4E89" w:rsidRPr="00337831">
        <w:rPr>
          <w:rFonts w:cs="Arial"/>
          <w:bCs/>
          <w:sz w:val="22"/>
          <w:szCs w:val="22"/>
          <w:lang w:val="en-US"/>
        </w:rPr>
        <w:t xml:space="preserve">  </w:t>
      </w:r>
      <w:r w:rsidRPr="00337831">
        <w:rPr>
          <w:rFonts w:cs="Arial"/>
          <w:bCs/>
          <w:sz w:val="22"/>
          <w:szCs w:val="22"/>
          <w:lang w:val="en-US"/>
        </w:rPr>
        <w:t>US Courts have long</w:t>
      </w:r>
      <w:r w:rsidR="00B558A8" w:rsidRPr="00337831">
        <w:rPr>
          <w:rFonts w:cs="Arial"/>
          <w:bCs/>
          <w:sz w:val="22"/>
          <w:szCs w:val="22"/>
          <w:lang w:val="en-US"/>
        </w:rPr>
        <w:t xml:space="preserve"> interpreted the reference to </w:t>
      </w:r>
      <w:r w:rsidRPr="00337831">
        <w:rPr>
          <w:rFonts w:cs="Arial"/>
          <w:bCs/>
          <w:sz w:val="22"/>
          <w:szCs w:val="22"/>
          <w:lang w:val="en-US"/>
        </w:rPr>
        <w:t xml:space="preserve">“property” </w:t>
      </w:r>
      <w:r w:rsidR="003570A7" w:rsidRPr="00337831">
        <w:rPr>
          <w:rFonts w:cs="Arial"/>
          <w:bCs/>
          <w:sz w:val="22"/>
          <w:szCs w:val="22"/>
          <w:lang w:val="en-US"/>
        </w:rPr>
        <w:t xml:space="preserve">in § </w:t>
      </w:r>
      <w:r w:rsidRPr="00337831">
        <w:rPr>
          <w:rFonts w:cs="Arial"/>
          <w:bCs/>
          <w:sz w:val="22"/>
          <w:szCs w:val="22"/>
          <w:lang w:val="en-US"/>
        </w:rPr>
        <w:t xml:space="preserve">109(a) </w:t>
      </w:r>
      <w:r w:rsidR="00B558A8" w:rsidRPr="00337831">
        <w:rPr>
          <w:rFonts w:cs="Arial"/>
          <w:bCs/>
          <w:sz w:val="22"/>
          <w:szCs w:val="22"/>
          <w:lang w:val="en-US"/>
        </w:rPr>
        <w:t xml:space="preserve">broadly providing </w:t>
      </w:r>
      <w:r w:rsidR="003570A7" w:rsidRPr="00337831">
        <w:rPr>
          <w:rFonts w:cs="Arial"/>
          <w:bCs/>
          <w:sz w:val="22"/>
          <w:szCs w:val="22"/>
          <w:lang w:val="en-US"/>
        </w:rPr>
        <w:t xml:space="preserve">justification </w:t>
      </w:r>
      <w:r w:rsidRPr="00337831">
        <w:rPr>
          <w:rFonts w:cs="Arial"/>
          <w:bCs/>
          <w:sz w:val="22"/>
          <w:szCs w:val="22"/>
          <w:lang w:val="en-US"/>
        </w:rPr>
        <w:t xml:space="preserve">for a </w:t>
      </w:r>
      <w:r w:rsidR="003570A7" w:rsidRPr="00337831">
        <w:rPr>
          <w:rFonts w:cs="Arial"/>
          <w:bCs/>
          <w:sz w:val="22"/>
          <w:szCs w:val="22"/>
          <w:lang w:val="en-US"/>
        </w:rPr>
        <w:t>wide-ranging</w:t>
      </w:r>
      <w:r w:rsidRPr="00337831">
        <w:rPr>
          <w:rFonts w:cs="Arial"/>
          <w:bCs/>
          <w:sz w:val="22"/>
          <w:szCs w:val="22"/>
          <w:lang w:val="en-US"/>
        </w:rPr>
        <w:t xml:space="preserve"> approach as to what constitutes sufficient property for this </w:t>
      </w:r>
      <w:r w:rsidR="00DF5D72" w:rsidRPr="00337831">
        <w:rPr>
          <w:rFonts w:cs="Arial"/>
          <w:bCs/>
          <w:sz w:val="22"/>
          <w:szCs w:val="22"/>
          <w:lang w:val="en-US"/>
        </w:rPr>
        <w:t>purpose</w:t>
      </w:r>
      <w:r w:rsidR="003570A7" w:rsidRPr="00337831">
        <w:rPr>
          <w:rFonts w:cs="Arial"/>
          <w:bCs/>
          <w:sz w:val="22"/>
          <w:szCs w:val="22"/>
          <w:lang w:val="en-US"/>
        </w:rPr>
        <w:t xml:space="preserve">.  </w:t>
      </w:r>
      <w:r w:rsidR="000F4E89" w:rsidRPr="00337831">
        <w:rPr>
          <w:rFonts w:cs="Arial"/>
          <w:bCs/>
          <w:sz w:val="22"/>
          <w:szCs w:val="22"/>
          <w:lang w:val="en-US"/>
        </w:rPr>
        <w:t>C</w:t>
      </w:r>
      <w:r w:rsidR="00B558A8" w:rsidRPr="00337831">
        <w:rPr>
          <w:rFonts w:cs="Arial"/>
          <w:bCs/>
          <w:sz w:val="22"/>
          <w:szCs w:val="22"/>
          <w:lang w:val="en-US"/>
        </w:rPr>
        <w:t xml:space="preserve">aselaw </w:t>
      </w:r>
      <w:r w:rsidR="000F4E89" w:rsidRPr="00337831">
        <w:rPr>
          <w:rFonts w:cs="Arial"/>
          <w:bCs/>
          <w:sz w:val="22"/>
          <w:szCs w:val="22"/>
          <w:lang w:val="en-US"/>
        </w:rPr>
        <w:t xml:space="preserve">suggests that this would extend to, </w:t>
      </w:r>
      <w:r w:rsidR="00DF5D72" w:rsidRPr="00337831">
        <w:rPr>
          <w:rFonts w:cs="Arial"/>
          <w:bCs/>
          <w:sz w:val="22"/>
          <w:szCs w:val="22"/>
          <w:lang w:val="en-US"/>
        </w:rPr>
        <w:t xml:space="preserve">for example, </w:t>
      </w:r>
      <w:r w:rsidR="003570A7" w:rsidRPr="00337831">
        <w:rPr>
          <w:rFonts w:cs="Arial"/>
          <w:bCs/>
          <w:sz w:val="22"/>
          <w:szCs w:val="22"/>
          <w:lang w:val="en-US"/>
        </w:rPr>
        <w:t xml:space="preserve">a </w:t>
      </w:r>
      <w:r w:rsidR="00DF5D72" w:rsidRPr="00337831">
        <w:rPr>
          <w:rFonts w:cs="Arial"/>
          <w:bCs/>
          <w:sz w:val="22"/>
          <w:szCs w:val="22"/>
          <w:lang w:val="en-US"/>
        </w:rPr>
        <w:t xml:space="preserve">debtor company </w:t>
      </w:r>
      <w:r w:rsidR="003570A7" w:rsidRPr="00337831">
        <w:rPr>
          <w:rFonts w:cs="Arial"/>
          <w:bCs/>
          <w:sz w:val="22"/>
          <w:szCs w:val="22"/>
          <w:lang w:val="en-US"/>
        </w:rPr>
        <w:t xml:space="preserve">with </w:t>
      </w:r>
      <w:r w:rsidR="00DF5D72" w:rsidRPr="00337831">
        <w:rPr>
          <w:rFonts w:cs="Arial"/>
          <w:bCs/>
          <w:sz w:val="22"/>
          <w:szCs w:val="22"/>
          <w:lang w:val="en-US"/>
        </w:rPr>
        <w:t>a few hundred US</w:t>
      </w:r>
      <w:r w:rsidR="003570A7" w:rsidRPr="00337831">
        <w:rPr>
          <w:rFonts w:cs="Arial"/>
          <w:bCs/>
          <w:sz w:val="22"/>
          <w:szCs w:val="22"/>
          <w:lang w:val="en-US"/>
        </w:rPr>
        <w:t xml:space="preserve"> dollars </w:t>
      </w:r>
      <w:r w:rsidR="00DF5D72" w:rsidRPr="00337831">
        <w:rPr>
          <w:rFonts w:cs="Arial"/>
          <w:bCs/>
          <w:sz w:val="22"/>
          <w:szCs w:val="22"/>
          <w:lang w:val="en-US"/>
        </w:rPr>
        <w:t>in a bank account in the U</w:t>
      </w:r>
      <w:r w:rsidR="003570A7" w:rsidRPr="00337831">
        <w:rPr>
          <w:rFonts w:cs="Arial"/>
          <w:bCs/>
          <w:sz w:val="22"/>
          <w:szCs w:val="22"/>
          <w:lang w:val="en-US"/>
        </w:rPr>
        <w:t>S</w:t>
      </w:r>
      <w:r w:rsidR="00DF5D72" w:rsidRPr="00337831">
        <w:rPr>
          <w:rFonts w:cs="Arial"/>
          <w:bCs/>
          <w:sz w:val="22"/>
          <w:szCs w:val="22"/>
          <w:lang w:val="en-US"/>
        </w:rPr>
        <w:t>.</w:t>
      </w:r>
      <w:r w:rsidR="00DF5D72" w:rsidRPr="00337831">
        <w:rPr>
          <w:rStyle w:val="FootnoteReference"/>
          <w:rFonts w:cs="Arial"/>
          <w:bCs/>
          <w:sz w:val="22"/>
          <w:szCs w:val="22"/>
          <w:lang w:val="en-US"/>
        </w:rPr>
        <w:t xml:space="preserve"> </w:t>
      </w:r>
      <w:r w:rsidRPr="00337831">
        <w:rPr>
          <w:rStyle w:val="FootnoteReference"/>
          <w:rFonts w:cs="Arial"/>
          <w:bCs/>
          <w:sz w:val="22"/>
          <w:szCs w:val="22"/>
          <w:lang w:val="en-US"/>
        </w:rPr>
        <w:footnoteReference w:id="41"/>
      </w:r>
      <w:r w:rsidR="003570A7" w:rsidRPr="00337831">
        <w:rPr>
          <w:rFonts w:cs="Arial"/>
          <w:bCs/>
          <w:sz w:val="22"/>
          <w:szCs w:val="22"/>
          <w:lang w:val="en-US"/>
        </w:rPr>
        <w:t xml:space="preserve">  In England, </w:t>
      </w:r>
      <w:r w:rsidRPr="00337831">
        <w:rPr>
          <w:rFonts w:cs="Arial"/>
          <w:bCs/>
          <w:sz w:val="22"/>
          <w:szCs w:val="22"/>
          <w:lang w:val="en-US"/>
        </w:rPr>
        <w:t>Courts have also adopted a</w:t>
      </w:r>
      <w:r w:rsidR="00DF5D72" w:rsidRPr="00337831">
        <w:rPr>
          <w:rFonts w:cs="Arial"/>
          <w:bCs/>
          <w:sz w:val="22"/>
          <w:szCs w:val="22"/>
          <w:lang w:val="en-US"/>
        </w:rPr>
        <w:t xml:space="preserve"> </w:t>
      </w:r>
      <w:r w:rsidR="00B558A8" w:rsidRPr="00337831">
        <w:rPr>
          <w:rFonts w:cs="Arial"/>
          <w:bCs/>
          <w:sz w:val="22"/>
          <w:szCs w:val="22"/>
          <w:lang w:val="en-US"/>
        </w:rPr>
        <w:t>wide</w:t>
      </w:r>
      <w:r w:rsidRPr="00337831">
        <w:rPr>
          <w:rFonts w:cs="Arial"/>
          <w:bCs/>
          <w:sz w:val="22"/>
          <w:szCs w:val="22"/>
          <w:lang w:val="en-US"/>
        </w:rPr>
        <w:t xml:space="preserve"> approach to what constitutes</w:t>
      </w:r>
      <w:r w:rsidR="00DF5D72" w:rsidRPr="00337831">
        <w:rPr>
          <w:rFonts w:cs="Arial"/>
          <w:bCs/>
          <w:sz w:val="22"/>
          <w:szCs w:val="22"/>
          <w:lang w:val="en-US"/>
        </w:rPr>
        <w:t xml:space="preserve"> </w:t>
      </w:r>
      <w:r w:rsidRPr="00337831">
        <w:rPr>
          <w:rFonts w:cs="Arial"/>
          <w:bCs/>
          <w:sz w:val="22"/>
          <w:szCs w:val="22"/>
          <w:lang w:val="en-US"/>
        </w:rPr>
        <w:t>sufficient connection</w:t>
      </w:r>
      <w:r w:rsidR="00B558A8" w:rsidRPr="00337831">
        <w:rPr>
          <w:rFonts w:cs="Arial"/>
          <w:bCs/>
          <w:sz w:val="22"/>
          <w:szCs w:val="22"/>
          <w:lang w:val="en-US"/>
        </w:rPr>
        <w:t xml:space="preserve"> to England</w:t>
      </w:r>
      <w:r w:rsidRPr="00337831">
        <w:rPr>
          <w:rFonts w:cs="Arial"/>
          <w:bCs/>
          <w:sz w:val="22"/>
          <w:szCs w:val="22"/>
          <w:lang w:val="en-US"/>
        </w:rPr>
        <w:t xml:space="preserve">, </w:t>
      </w:r>
      <w:r w:rsidR="003570A7" w:rsidRPr="00337831">
        <w:rPr>
          <w:rFonts w:cs="Arial"/>
          <w:bCs/>
          <w:sz w:val="22"/>
          <w:szCs w:val="22"/>
          <w:lang w:val="en-US"/>
        </w:rPr>
        <w:t xml:space="preserve">but </w:t>
      </w:r>
      <w:r w:rsidRPr="00337831">
        <w:rPr>
          <w:rFonts w:cs="Arial"/>
          <w:bCs/>
          <w:sz w:val="22"/>
          <w:szCs w:val="22"/>
          <w:lang w:val="en-US"/>
        </w:rPr>
        <w:t>they have done</w:t>
      </w:r>
      <w:r w:rsidR="00DF5D72" w:rsidRPr="00337831">
        <w:rPr>
          <w:rFonts w:cs="Arial"/>
          <w:bCs/>
          <w:sz w:val="22"/>
          <w:szCs w:val="22"/>
          <w:lang w:val="en-US"/>
        </w:rPr>
        <w:t xml:space="preserve"> so in a markedly different way.</w:t>
      </w:r>
      <w:r w:rsidRPr="00337831">
        <w:rPr>
          <w:rStyle w:val="FootnoteReference"/>
          <w:rFonts w:cs="Arial"/>
          <w:bCs/>
          <w:sz w:val="22"/>
          <w:szCs w:val="22"/>
          <w:lang w:val="en-US"/>
        </w:rPr>
        <w:footnoteReference w:id="42"/>
      </w:r>
      <w:r w:rsidR="00DF5D72" w:rsidRPr="00337831">
        <w:rPr>
          <w:rFonts w:cs="Arial"/>
          <w:bCs/>
          <w:sz w:val="22"/>
          <w:szCs w:val="22"/>
          <w:lang w:val="en-US"/>
        </w:rPr>
        <w:t xml:space="preserve">  </w:t>
      </w:r>
      <w:r w:rsidRPr="00337831">
        <w:rPr>
          <w:rFonts w:cs="Arial"/>
          <w:bCs/>
          <w:sz w:val="22"/>
          <w:szCs w:val="22"/>
          <w:lang w:val="en-US"/>
        </w:rPr>
        <w:t>Since the introduction of the</w:t>
      </w:r>
      <w:r w:rsidR="00DF5D72" w:rsidRPr="00337831">
        <w:rPr>
          <w:rFonts w:cs="Arial"/>
          <w:bCs/>
          <w:sz w:val="22"/>
          <w:szCs w:val="22"/>
          <w:lang w:val="en-US"/>
        </w:rPr>
        <w:t xml:space="preserve"> </w:t>
      </w:r>
      <w:r w:rsidRPr="00337831">
        <w:rPr>
          <w:rFonts w:cs="Arial"/>
          <w:bCs/>
          <w:sz w:val="22"/>
          <w:szCs w:val="22"/>
          <w:lang w:val="en-US"/>
        </w:rPr>
        <w:t xml:space="preserve">concept of </w:t>
      </w:r>
      <w:r w:rsidR="003570A7" w:rsidRPr="00337831">
        <w:rPr>
          <w:rFonts w:cs="Arial"/>
          <w:bCs/>
          <w:sz w:val="22"/>
          <w:szCs w:val="22"/>
          <w:lang w:val="en-US"/>
        </w:rPr>
        <w:t xml:space="preserve">a company’s </w:t>
      </w:r>
      <w:r w:rsidRPr="00337831">
        <w:rPr>
          <w:rFonts w:cs="Arial"/>
          <w:bCs/>
          <w:sz w:val="22"/>
          <w:szCs w:val="22"/>
        </w:rPr>
        <w:t>centre</w:t>
      </w:r>
      <w:r w:rsidRPr="00337831">
        <w:rPr>
          <w:rFonts w:cs="Arial"/>
          <w:bCs/>
          <w:sz w:val="22"/>
          <w:szCs w:val="22"/>
          <w:lang w:val="en-US"/>
        </w:rPr>
        <w:t xml:space="preserve"> of main interest</w:t>
      </w:r>
      <w:r w:rsidR="00DF5D72" w:rsidRPr="00337831">
        <w:rPr>
          <w:rFonts w:cs="Arial"/>
          <w:bCs/>
          <w:sz w:val="22"/>
          <w:szCs w:val="22"/>
          <w:lang w:val="en-US"/>
        </w:rPr>
        <w:t xml:space="preserve"> </w:t>
      </w:r>
      <w:r w:rsidRPr="00337831">
        <w:rPr>
          <w:rFonts w:cs="Arial"/>
          <w:bCs/>
          <w:sz w:val="22"/>
          <w:szCs w:val="22"/>
          <w:lang w:val="en-US"/>
        </w:rPr>
        <w:t>(</w:t>
      </w:r>
      <w:r w:rsidRPr="00337831">
        <w:rPr>
          <w:rFonts w:cs="Arial"/>
          <w:b/>
          <w:bCs/>
          <w:sz w:val="22"/>
          <w:szCs w:val="22"/>
          <w:lang w:val="en-US"/>
        </w:rPr>
        <w:t>COMI</w:t>
      </w:r>
      <w:r w:rsidRPr="00337831">
        <w:rPr>
          <w:rFonts w:cs="Arial"/>
          <w:bCs/>
          <w:sz w:val="22"/>
          <w:szCs w:val="22"/>
          <w:lang w:val="en-US"/>
        </w:rPr>
        <w:t xml:space="preserve">), the existence of COMI </w:t>
      </w:r>
      <w:r w:rsidR="003570A7" w:rsidRPr="00337831">
        <w:rPr>
          <w:rFonts w:cs="Arial"/>
          <w:bCs/>
          <w:sz w:val="22"/>
          <w:szCs w:val="22"/>
          <w:lang w:val="en-US"/>
        </w:rPr>
        <w:t>w</w:t>
      </w:r>
      <w:r w:rsidRPr="00337831">
        <w:rPr>
          <w:rFonts w:cs="Arial"/>
          <w:bCs/>
          <w:sz w:val="22"/>
          <w:szCs w:val="22"/>
          <w:lang w:val="en-US"/>
        </w:rPr>
        <w:t xml:space="preserve">ill invariably be sufficient </w:t>
      </w:r>
      <w:r w:rsidR="003570A7" w:rsidRPr="00337831">
        <w:rPr>
          <w:rFonts w:cs="Arial"/>
          <w:bCs/>
          <w:sz w:val="22"/>
          <w:szCs w:val="22"/>
          <w:lang w:val="en-US"/>
        </w:rPr>
        <w:t xml:space="preserve">in England </w:t>
      </w:r>
      <w:r w:rsidRPr="00337831">
        <w:rPr>
          <w:rFonts w:cs="Arial"/>
          <w:bCs/>
          <w:sz w:val="22"/>
          <w:szCs w:val="22"/>
          <w:lang w:val="en-US"/>
        </w:rPr>
        <w:t>to</w:t>
      </w:r>
      <w:r w:rsidR="00DF5D72" w:rsidRPr="00337831">
        <w:rPr>
          <w:rFonts w:cs="Arial"/>
          <w:bCs/>
          <w:sz w:val="22"/>
          <w:szCs w:val="22"/>
          <w:lang w:val="en-US"/>
        </w:rPr>
        <w:t xml:space="preserve"> </w:t>
      </w:r>
      <w:r w:rsidRPr="00337831">
        <w:rPr>
          <w:rFonts w:cs="Arial"/>
          <w:bCs/>
          <w:sz w:val="22"/>
          <w:szCs w:val="22"/>
          <w:lang w:val="en-US"/>
        </w:rPr>
        <w:t>establish sufficient connection for the</w:t>
      </w:r>
      <w:r w:rsidR="00DF5D72" w:rsidRPr="00337831">
        <w:rPr>
          <w:rFonts w:cs="Arial"/>
          <w:bCs/>
          <w:sz w:val="22"/>
          <w:szCs w:val="22"/>
          <w:lang w:val="en-US"/>
        </w:rPr>
        <w:t xml:space="preserve"> </w:t>
      </w:r>
      <w:r w:rsidR="00E91EED" w:rsidRPr="00337831">
        <w:rPr>
          <w:rFonts w:cs="Arial"/>
          <w:bCs/>
          <w:sz w:val="22"/>
          <w:szCs w:val="22"/>
          <w:lang w:val="en-US"/>
        </w:rPr>
        <w:t>purposes of a S</w:t>
      </w:r>
      <w:r w:rsidRPr="00337831">
        <w:rPr>
          <w:rFonts w:cs="Arial"/>
          <w:bCs/>
          <w:sz w:val="22"/>
          <w:szCs w:val="22"/>
          <w:lang w:val="en-US"/>
        </w:rPr>
        <w:t>cheme.</w:t>
      </w:r>
    </w:p>
    <w:p w14:paraId="2BE1C381" w14:textId="77777777" w:rsidR="007B6898" w:rsidRPr="00337831" w:rsidRDefault="00D25429" w:rsidP="006351BC">
      <w:pPr>
        <w:pStyle w:val="BodyText"/>
        <w:spacing w:after="120" w:line="360" w:lineRule="auto"/>
        <w:rPr>
          <w:rFonts w:cs="Arial"/>
          <w:bCs/>
          <w:sz w:val="22"/>
          <w:szCs w:val="22"/>
          <w:lang w:val="en-US"/>
        </w:rPr>
      </w:pPr>
      <w:r w:rsidRPr="00337831">
        <w:rPr>
          <w:rFonts w:cs="Arial"/>
          <w:bCs/>
          <w:sz w:val="22"/>
          <w:szCs w:val="22"/>
          <w:lang w:val="en-US"/>
        </w:rPr>
        <w:t>A</w:t>
      </w:r>
      <w:r w:rsidR="008A3BD7" w:rsidRPr="00337831">
        <w:rPr>
          <w:rFonts w:cs="Arial"/>
          <w:bCs/>
          <w:sz w:val="22"/>
          <w:szCs w:val="22"/>
          <w:lang w:val="en-US"/>
        </w:rPr>
        <w:t xml:space="preserve"> further </w:t>
      </w:r>
      <w:r w:rsidRPr="00337831">
        <w:rPr>
          <w:rFonts w:cs="Arial"/>
          <w:bCs/>
          <w:sz w:val="22"/>
          <w:szCs w:val="22"/>
          <w:lang w:val="en-US"/>
        </w:rPr>
        <w:t>point of</w:t>
      </w:r>
      <w:r w:rsidR="00631E15" w:rsidRPr="00337831">
        <w:rPr>
          <w:rFonts w:cs="Arial"/>
          <w:bCs/>
          <w:sz w:val="22"/>
          <w:szCs w:val="22"/>
          <w:lang w:val="en-US"/>
        </w:rPr>
        <w:t xml:space="preserve"> </w:t>
      </w:r>
      <w:r w:rsidRPr="00337831">
        <w:rPr>
          <w:rFonts w:cs="Arial"/>
          <w:bCs/>
          <w:sz w:val="22"/>
          <w:szCs w:val="22"/>
          <w:lang w:val="en-US"/>
        </w:rPr>
        <w:t xml:space="preserve">comparison </w:t>
      </w:r>
      <w:r w:rsidR="008A3BD7" w:rsidRPr="00337831">
        <w:rPr>
          <w:rFonts w:cs="Arial"/>
          <w:bCs/>
          <w:sz w:val="22"/>
          <w:szCs w:val="22"/>
          <w:lang w:val="en-US"/>
        </w:rPr>
        <w:t>between Schemes and Pre-packs is the ability under both regimes to “</w:t>
      </w:r>
      <w:r w:rsidRPr="00337831">
        <w:rPr>
          <w:rFonts w:cs="Arial"/>
          <w:bCs/>
          <w:sz w:val="22"/>
          <w:szCs w:val="22"/>
          <w:lang w:val="en-US"/>
        </w:rPr>
        <w:t xml:space="preserve">cramdown” </w:t>
      </w:r>
      <w:r w:rsidR="00671C9D" w:rsidRPr="00337831">
        <w:rPr>
          <w:rFonts w:cs="Arial"/>
          <w:bCs/>
          <w:sz w:val="22"/>
          <w:szCs w:val="22"/>
          <w:lang w:val="en-US"/>
        </w:rPr>
        <w:t xml:space="preserve">creditors.  </w:t>
      </w:r>
      <w:r w:rsidR="003570A7" w:rsidRPr="00337831">
        <w:rPr>
          <w:rFonts w:cs="Arial"/>
          <w:bCs/>
          <w:sz w:val="22"/>
          <w:szCs w:val="22"/>
          <w:lang w:val="en-US"/>
        </w:rPr>
        <w:t>Under</w:t>
      </w:r>
      <w:r w:rsidR="008A3BD7" w:rsidRPr="00337831">
        <w:rPr>
          <w:rFonts w:cs="Arial"/>
          <w:bCs/>
          <w:sz w:val="22"/>
          <w:szCs w:val="22"/>
          <w:lang w:val="en-US"/>
        </w:rPr>
        <w:t xml:space="preserve"> Chapter 11, t</w:t>
      </w:r>
      <w:r w:rsidRPr="00337831">
        <w:rPr>
          <w:rFonts w:cs="Arial"/>
          <w:bCs/>
          <w:sz w:val="22"/>
          <w:szCs w:val="22"/>
          <w:lang w:val="en-US"/>
        </w:rPr>
        <w:t>hese</w:t>
      </w:r>
      <w:r w:rsidR="00631E15" w:rsidRPr="00337831">
        <w:rPr>
          <w:rFonts w:cs="Arial"/>
          <w:bCs/>
          <w:sz w:val="22"/>
          <w:szCs w:val="22"/>
          <w:lang w:val="en-US"/>
        </w:rPr>
        <w:t xml:space="preserve"> </w:t>
      </w:r>
      <w:r w:rsidRPr="00337831">
        <w:rPr>
          <w:rFonts w:cs="Arial"/>
          <w:bCs/>
          <w:sz w:val="22"/>
          <w:szCs w:val="22"/>
          <w:lang w:val="en-US"/>
        </w:rPr>
        <w:t>provisions</w:t>
      </w:r>
      <w:r w:rsidR="008A3BD7" w:rsidRPr="00337831">
        <w:rPr>
          <w:rFonts w:cs="Arial"/>
          <w:bCs/>
          <w:sz w:val="22"/>
          <w:szCs w:val="22"/>
          <w:lang w:val="en-US"/>
        </w:rPr>
        <w:t xml:space="preserve"> are set out in § </w:t>
      </w:r>
      <w:r w:rsidR="003570A7" w:rsidRPr="00337831">
        <w:rPr>
          <w:rFonts w:cs="Arial"/>
          <w:bCs/>
          <w:sz w:val="22"/>
          <w:szCs w:val="22"/>
          <w:lang w:val="en-US"/>
        </w:rPr>
        <w:t xml:space="preserve">1129 </w:t>
      </w:r>
      <w:r w:rsidR="008A3BD7" w:rsidRPr="00337831">
        <w:rPr>
          <w:rFonts w:cs="Arial"/>
          <w:bCs/>
          <w:sz w:val="22"/>
          <w:szCs w:val="22"/>
          <w:lang w:val="en-US"/>
        </w:rPr>
        <w:t>and</w:t>
      </w:r>
      <w:r w:rsidRPr="00337831">
        <w:rPr>
          <w:rFonts w:cs="Arial"/>
          <w:bCs/>
          <w:sz w:val="22"/>
          <w:szCs w:val="22"/>
          <w:lang w:val="en-US"/>
        </w:rPr>
        <w:t xml:space="preserve"> provide</w:t>
      </w:r>
      <w:r w:rsidR="00B558A8" w:rsidRPr="00337831">
        <w:rPr>
          <w:rFonts w:cs="Arial"/>
          <w:bCs/>
          <w:sz w:val="22"/>
          <w:szCs w:val="22"/>
          <w:lang w:val="en-US"/>
        </w:rPr>
        <w:t xml:space="preserve"> that</w:t>
      </w:r>
      <w:r w:rsidR="008A3BD7" w:rsidRPr="00337831">
        <w:rPr>
          <w:rFonts w:cs="Arial"/>
          <w:bCs/>
          <w:sz w:val="22"/>
          <w:szCs w:val="22"/>
          <w:lang w:val="en-US"/>
        </w:rPr>
        <w:t xml:space="preserve">, amongst other things, </w:t>
      </w:r>
      <w:r w:rsidR="00B558A8" w:rsidRPr="00337831">
        <w:rPr>
          <w:rFonts w:cs="Arial"/>
          <w:bCs/>
          <w:sz w:val="22"/>
          <w:szCs w:val="22"/>
          <w:lang w:val="en-US"/>
        </w:rPr>
        <w:t>s</w:t>
      </w:r>
      <w:r w:rsidRPr="00337831">
        <w:rPr>
          <w:rFonts w:cs="Arial"/>
          <w:bCs/>
          <w:sz w:val="22"/>
          <w:szCs w:val="22"/>
          <w:lang w:val="en-US"/>
        </w:rPr>
        <w:t>o long</w:t>
      </w:r>
      <w:r w:rsidR="00631E15" w:rsidRPr="00337831">
        <w:rPr>
          <w:rFonts w:cs="Arial"/>
          <w:bCs/>
          <w:sz w:val="22"/>
          <w:szCs w:val="22"/>
          <w:lang w:val="en-US"/>
        </w:rPr>
        <w:t xml:space="preserve"> </w:t>
      </w:r>
      <w:r w:rsidRPr="00337831">
        <w:rPr>
          <w:rFonts w:cs="Arial"/>
          <w:bCs/>
          <w:sz w:val="22"/>
          <w:szCs w:val="22"/>
          <w:lang w:val="en-US"/>
        </w:rPr>
        <w:t>as</w:t>
      </w:r>
      <w:r w:rsidR="00671C9D" w:rsidRPr="00337831">
        <w:rPr>
          <w:rFonts w:cs="Arial"/>
          <w:bCs/>
          <w:sz w:val="22"/>
          <w:szCs w:val="22"/>
          <w:lang w:val="en-US"/>
        </w:rPr>
        <w:t xml:space="preserve"> the Plan </w:t>
      </w:r>
      <w:r w:rsidRPr="00337831">
        <w:rPr>
          <w:rFonts w:cs="Arial"/>
          <w:bCs/>
          <w:sz w:val="22"/>
          <w:szCs w:val="22"/>
          <w:lang w:val="en-US"/>
        </w:rPr>
        <w:t>satisfies all the other applicable</w:t>
      </w:r>
      <w:r w:rsidR="00631E15" w:rsidRPr="00337831">
        <w:rPr>
          <w:rFonts w:cs="Arial"/>
          <w:bCs/>
          <w:sz w:val="22"/>
          <w:szCs w:val="22"/>
          <w:lang w:val="en-US"/>
        </w:rPr>
        <w:t xml:space="preserve"> </w:t>
      </w:r>
      <w:r w:rsidRPr="00337831">
        <w:rPr>
          <w:rFonts w:cs="Arial"/>
          <w:bCs/>
          <w:sz w:val="22"/>
          <w:szCs w:val="22"/>
          <w:lang w:val="en-US"/>
        </w:rPr>
        <w:lastRenderedPageBreak/>
        <w:t>provisions,</w:t>
      </w:r>
      <w:r w:rsidR="00B558A8" w:rsidRPr="00337831">
        <w:rPr>
          <w:rFonts w:cs="Arial"/>
          <w:bCs/>
          <w:sz w:val="22"/>
          <w:szCs w:val="22"/>
          <w:lang w:val="en-US"/>
        </w:rPr>
        <w:t xml:space="preserve"> a Plan </w:t>
      </w:r>
      <w:r w:rsidRPr="00337831">
        <w:rPr>
          <w:rFonts w:cs="Arial"/>
          <w:bCs/>
          <w:sz w:val="22"/>
          <w:szCs w:val="22"/>
          <w:lang w:val="en-US"/>
        </w:rPr>
        <w:t>may</w:t>
      </w:r>
      <w:r w:rsidR="00631E15" w:rsidRPr="00337831">
        <w:rPr>
          <w:rFonts w:cs="Arial"/>
          <w:bCs/>
          <w:sz w:val="22"/>
          <w:szCs w:val="22"/>
          <w:lang w:val="en-US"/>
        </w:rPr>
        <w:t xml:space="preserve"> </w:t>
      </w:r>
      <w:r w:rsidRPr="00337831">
        <w:rPr>
          <w:rFonts w:cs="Arial"/>
          <w:bCs/>
          <w:sz w:val="22"/>
          <w:szCs w:val="22"/>
          <w:lang w:val="en-US"/>
        </w:rPr>
        <w:t>be confirmed notwithstanding that a</w:t>
      </w:r>
      <w:r w:rsidR="00631E15" w:rsidRPr="00337831">
        <w:rPr>
          <w:rFonts w:cs="Arial"/>
          <w:bCs/>
          <w:sz w:val="22"/>
          <w:szCs w:val="22"/>
          <w:lang w:val="en-US"/>
        </w:rPr>
        <w:t xml:space="preserve"> </w:t>
      </w:r>
      <w:r w:rsidRPr="00337831">
        <w:rPr>
          <w:rFonts w:cs="Arial"/>
          <w:bCs/>
          <w:sz w:val="22"/>
          <w:szCs w:val="22"/>
          <w:lang w:val="en-US"/>
        </w:rPr>
        <w:t>class or classes have rejected it, subject</w:t>
      </w:r>
      <w:r w:rsidR="00631E15" w:rsidRPr="00337831">
        <w:rPr>
          <w:rFonts w:cs="Arial"/>
          <w:bCs/>
          <w:sz w:val="22"/>
          <w:szCs w:val="22"/>
          <w:lang w:val="en-US"/>
        </w:rPr>
        <w:t xml:space="preserve"> </w:t>
      </w:r>
      <w:r w:rsidRPr="00337831">
        <w:rPr>
          <w:rFonts w:cs="Arial"/>
          <w:bCs/>
          <w:sz w:val="22"/>
          <w:szCs w:val="22"/>
          <w:lang w:val="en-US"/>
        </w:rPr>
        <w:t xml:space="preserve">to the </w:t>
      </w:r>
      <w:r w:rsidR="009D2D6F" w:rsidRPr="00337831">
        <w:rPr>
          <w:rFonts w:cs="Arial"/>
          <w:bCs/>
          <w:sz w:val="22"/>
          <w:szCs w:val="22"/>
          <w:lang w:val="en-US"/>
        </w:rPr>
        <w:t>Plan</w:t>
      </w:r>
      <w:r w:rsidR="003570A7" w:rsidRPr="00337831">
        <w:rPr>
          <w:rFonts w:cs="Arial"/>
          <w:bCs/>
          <w:sz w:val="22"/>
          <w:szCs w:val="22"/>
          <w:lang w:val="en-US"/>
        </w:rPr>
        <w:t xml:space="preserve"> “</w:t>
      </w:r>
      <w:r w:rsidRPr="00337831">
        <w:rPr>
          <w:rFonts w:cs="Arial"/>
          <w:bCs/>
          <w:sz w:val="22"/>
          <w:szCs w:val="22"/>
          <w:lang w:val="en-US"/>
        </w:rPr>
        <w:t>not being unfairly</w:t>
      </w:r>
      <w:r w:rsidR="00631E15" w:rsidRPr="00337831">
        <w:rPr>
          <w:rFonts w:cs="Arial"/>
          <w:bCs/>
          <w:sz w:val="22"/>
          <w:szCs w:val="22"/>
          <w:lang w:val="en-US"/>
        </w:rPr>
        <w:t xml:space="preserve"> </w:t>
      </w:r>
      <w:r w:rsidRPr="00337831">
        <w:rPr>
          <w:rFonts w:cs="Arial"/>
          <w:bCs/>
          <w:sz w:val="22"/>
          <w:szCs w:val="22"/>
          <w:lang w:val="en-US"/>
        </w:rPr>
        <w:t>discriminatory</w:t>
      </w:r>
      <w:r w:rsidR="003570A7" w:rsidRPr="00337831">
        <w:rPr>
          <w:rFonts w:cs="Arial"/>
          <w:bCs/>
          <w:sz w:val="22"/>
          <w:szCs w:val="22"/>
          <w:lang w:val="en-US"/>
        </w:rPr>
        <w:t xml:space="preserve">” and </w:t>
      </w:r>
      <w:r w:rsidRPr="00337831">
        <w:rPr>
          <w:rFonts w:cs="Arial"/>
          <w:bCs/>
          <w:sz w:val="22"/>
          <w:szCs w:val="22"/>
          <w:lang w:val="en-US"/>
        </w:rPr>
        <w:t xml:space="preserve">being </w:t>
      </w:r>
      <w:r w:rsidR="003570A7" w:rsidRPr="00337831">
        <w:rPr>
          <w:rFonts w:cs="Arial"/>
          <w:bCs/>
          <w:sz w:val="22"/>
          <w:szCs w:val="22"/>
          <w:lang w:val="en-US"/>
        </w:rPr>
        <w:t>“</w:t>
      </w:r>
      <w:r w:rsidRPr="00337831">
        <w:rPr>
          <w:rFonts w:cs="Arial"/>
          <w:bCs/>
          <w:sz w:val="22"/>
          <w:szCs w:val="22"/>
          <w:lang w:val="en-US"/>
        </w:rPr>
        <w:t>fair and</w:t>
      </w:r>
      <w:r w:rsidR="00631E15" w:rsidRPr="00337831">
        <w:rPr>
          <w:rFonts w:cs="Arial"/>
          <w:bCs/>
          <w:sz w:val="22"/>
          <w:szCs w:val="22"/>
          <w:lang w:val="en-US"/>
        </w:rPr>
        <w:t xml:space="preserve"> </w:t>
      </w:r>
      <w:r w:rsidR="00E91EED" w:rsidRPr="00337831">
        <w:rPr>
          <w:rFonts w:cs="Arial"/>
          <w:bCs/>
          <w:sz w:val="22"/>
          <w:szCs w:val="22"/>
          <w:lang w:val="en-US"/>
        </w:rPr>
        <w:t>equitable</w:t>
      </w:r>
      <w:r w:rsidR="003570A7" w:rsidRPr="00337831">
        <w:rPr>
          <w:rFonts w:cs="Arial"/>
          <w:bCs/>
          <w:sz w:val="22"/>
          <w:szCs w:val="22"/>
          <w:lang w:val="en-US"/>
        </w:rPr>
        <w:t xml:space="preserve">”.  </w:t>
      </w:r>
      <w:r w:rsidR="00671C9D" w:rsidRPr="00337831">
        <w:rPr>
          <w:rFonts w:cs="Arial"/>
          <w:bCs/>
          <w:sz w:val="22"/>
          <w:szCs w:val="22"/>
          <w:lang w:val="en-US"/>
        </w:rPr>
        <w:t xml:space="preserve">Central to these </w:t>
      </w:r>
      <w:r w:rsidR="00B558A8" w:rsidRPr="00337831">
        <w:rPr>
          <w:rFonts w:cs="Arial"/>
          <w:bCs/>
          <w:sz w:val="22"/>
          <w:szCs w:val="22"/>
          <w:lang w:val="en-US"/>
        </w:rPr>
        <w:t>propositions</w:t>
      </w:r>
      <w:r w:rsidR="00671C9D" w:rsidRPr="00337831">
        <w:rPr>
          <w:rFonts w:cs="Arial"/>
          <w:bCs/>
          <w:sz w:val="22"/>
          <w:szCs w:val="22"/>
          <w:lang w:val="en-US"/>
        </w:rPr>
        <w:t xml:space="preserve">, is the </w:t>
      </w:r>
      <w:r w:rsidRPr="00337831">
        <w:rPr>
          <w:rFonts w:cs="Arial"/>
          <w:bCs/>
          <w:sz w:val="22"/>
          <w:szCs w:val="22"/>
          <w:lang w:val="en-US"/>
        </w:rPr>
        <w:t>“absolute priority rule</w:t>
      </w:r>
      <w:r w:rsidR="00671C9D" w:rsidRPr="00337831">
        <w:rPr>
          <w:rFonts w:cs="Arial"/>
          <w:bCs/>
          <w:sz w:val="22"/>
          <w:szCs w:val="22"/>
          <w:lang w:val="en-US"/>
        </w:rPr>
        <w:t>”.</w:t>
      </w:r>
      <w:r w:rsidRPr="00337831">
        <w:rPr>
          <w:rStyle w:val="FootnoteReference"/>
          <w:rFonts w:cs="Arial"/>
          <w:bCs/>
          <w:sz w:val="22"/>
          <w:szCs w:val="22"/>
          <w:lang w:val="en-US"/>
        </w:rPr>
        <w:footnoteReference w:id="43"/>
      </w:r>
    </w:p>
    <w:p w14:paraId="0F15F0F3" w14:textId="77777777" w:rsidR="000573D1" w:rsidRPr="00337831" w:rsidRDefault="00D25429" w:rsidP="006351BC">
      <w:pPr>
        <w:pStyle w:val="BodyText"/>
        <w:spacing w:after="120" w:line="360" w:lineRule="auto"/>
        <w:rPr>
          <w:rFonts w:cs="Arial"/>
          <w:sz w:val="22"/>
          <w:szCs w:val="22"/>
        </w:rPr>
      </w:pPr>
      <w:r w:rsidRPr="00337831">
        <w:rPr>
          <w:rFonts w:cs="Arial"/>
          <w:sz w:val="22"/>
          <w:szCs w:val="22"/>
        </w:rPr>
        <w:t>The absolu</w:t>
      </w:r>
      <w:r w:rsidR="00C96BE9" w:rsidRPr="00337831">
        <w:rPr>
          <w:rFonts w:cs="Arial"/>
          <w:sz w:val="22"/>
          <w:szCs w:val="22"/>
        </w:rPr>
        <w:t>te priority</w:t>
      </w:r>
      <w:r w:rsidR="003570A7" w:rsidRPr="00337831">
        <w:rPr>
          <w:rFonts w:cs="Arial"/>
          <w:sz w:val="22"/>
          <w:szCs w:val="22"/>
        </w:rPr>
        <w:t xml:space="preserve"> rule</w:t>
      </w:r>
      <w:r w:rsidR="00C96BE9" w:rsidRPr="00337831">
        <w:rPr>
          <w:rFonts w:cs="Arial"/>
          <w:sz w:val="22"/>
          <w:szCs w:val="22"/>
        </w:rPr>
        <w:t xml:space="preserve"> is </w:t>
      </w:r>
      <w:r w:rsidR="006351BC" w:rsidRPr="00337831">
        <w:rPr>
          <w:rFonts w:cs="Arial"/>
          <w:sz w:val="22"/>
          <w:szCs w:val="22"/>
        </w:rPr>
        <w:t>enshrined</w:t>
      </w:r>
      <w:r w:rsidR="00C96BE9" w:rsidRPr="00337831">
        <w:rPr>
          <w:rFonts w:cs="Arial"/>
          <w:sz w:val="22"/>
          <w:szCs w:val="22"/>
        </w:rPr>
        <w:t xml:space="preserve"> in the </w:t>
      </w:r>
      <w:r w:rsidRPr="00337831">
        <w:rPr>
          <w:rFonts w:cs="Arial"/>
          <w:sz w:val="22"/>
          <w:szCs w:val="22"/>
          <w:lang w:val="en-US"/>
        </w:rPr>
        <w:t xml:space="preserve">Bankruptcy Code </w:t>
      </w:r>
      <w:r w:rsidR="00C96BE9" w:rsidRPr="00337831">
        <w:rPr>
          <w:rFonts w:cs="Arial"/>
          <w:sz w:val="22"/>
          <w:szCs w:val="22"/>
          <w:lang w:val="en-US"/>
        </w:rPr>
        <w:t>and</w:t>
      </w:r>
      <w:r w:rsidR="00E91EED" w:rsidRPr="00337831">
        <w:rPr>
          <w:rFonts w:cs="Arial"/>
          <w:sz w:val="22"/>
          <w:szCs w:val="22"/>
          <w:lang w:val="en-US"/>
        </w:rPr>
        <w:t xml:space="preserve"> </w:t>
      </w:r>
      <w:r w:rsidR="003570A7" w:rsidRPr="00337831">
        <w:rPr>
          <w:rFonts w:cs="Arial"/>
          <w:sz w:val="22"/>
          <w:szCs w:val="22"/>
          <w:lang w:val="en-US"/>
        </w:rPr>
        <w:t>guarantees</w:t>
      </w:r>
      <w:r w:rsidR="00E91EED" w:rsidRPr="00337831">
        <w:rPr>
          <w:rFonts w:cs="Arial"/>
          <w:sz w:val="22"/>
          <w:szCs w:val="22"/>
          <w:lang w:val="en-US"/>
        </w:rPr>
        <w:t xml:space="preserve"> that</w:t>
      </w:r>
      <w:r w:rsidR="00C96BE9" w:rsidRPr="00337831">
        <w:rPr>
          <w:rFonts w:cs="Arial"/>
          <w:sz w:val="22"/>
          <w:szCs w:val="22"/>
          <w:lang w:val="en-US"/>
        </w:rPr>
        <w:t xml:space="preserve">, </w:t>
      </w:r>
      <w:r w:rsidRPr="00337831">
        <w:rPr>
          <w:rFonts w:cs="Arial"/>
          <w:sz w:val="22"/>
          <w:szCs w:val="22"/>
          <w:lang w:val="en-US"/>
        </w:rPr>
        <w:t>in the absence of consent</w:t>
      </w:r>
      <w:r w:rsidR="00C96BE9" w:rsidRPr="00337831">
        <w:rPr>
          <w:rFonts w:cs="Arial"/>
          <w:sz w:val="22"/>
          <w:szCs w:val="22"/>
          <w:lang w:val="en-US"/>
        </w:rPr>
        <w:t xml:space="preserve">, </w:t>
      </w:r>
      <w:r w:rsidRPr="00337831">
        <w:rPr>
          <w:rFonts w:cs="Arial"/>
          <w:sz w:val="22"/>
          <w:szCs w:val="22"/>
          <w:lang w:val="en-US"/>
        </w:rPr>
        <w:t>distrib</w:t>
      </w:r>
      <w:r w:rsidR="003570A7" w:rsidRPr="00337831">
        <w:rPr>
          <w:rFonts w:cs="Arial"/>
          <w:sz w:val="22"/>
          <w:szCs w:val="22"/>
          <w:lang w:val="en-US"/>
        </w:rPr>
        <w:t>utions to creditors must follow the rule</w:t>
      </w:r>
      <w:r w:rsidR="00B558A8" w:rsidRPr="00337831">
        <w:rPr>
          <w:rFonts w:cs="Arial"/>
          <w:sz w:val="22"/>
          <w:szCs w:val="22"/>
          <w:lang w:val="en-US"/>
        </w:rPr>
        <w:t xml:space="preserve">.  Accordingly, </w:t>
      </w:r>
      <w:r w:rsidRPr="00337831">
        <w:rPr>
          <w:rFonts w:cs="Arial"/>
          <w:sz w:val="22"/>
          <w:szCs w:val="22"/>
          <w:lang w:val="en-US"/>
        </w:rPr>
        <w:t xml:space="preserve">lower priority creditors </w:t>
      </w:r>
      <w:r w:rsidR="003570A7" w:rsidRPr="00337831">
        <w:rPr>
          <w:rFonts w:cs="Arial"/>
          <w:sz w:val="22"/>
          <w:szCs w:val="22"/>
          <w:lang w:val="en-US"/>
        </w:rPr>
        <w:t>will</w:t>
      </w:r>
      <w:r w:rsidRPr="00337831">
        <w:rPr>
          <w:rFonts w:cs="Arial"/>
          <w:sz w:val="22"/>
          <w:szCs w:val="22"/>
          <w:lang w:val="en-US"/>
        </w:rPr>
        <w:t xml:space="preserve"> </w:t>
      </w:r>
      <w:r w:rsidR="003570A7" w:rsidRPr="00337831">
        <w:rPr>
          <w:rFonts w:cs="Arial"/>
          <w:sz w:val="22"/>
          <w:szCs w:val="22"/>
          <w:lang w:val="en-US"/>
        </w:rPr>
        <w:t xml:space="preserve">only </w:t>
      </w:r>
      <w:r w:rsidRPr="00337831">
        <w:rPr>
          <w:rFonts w:cs="Arial"/>
          <w:sz w:val="22"/>
          <w:szCs w:val="22"/>
          <w:lang w:val="en-US"/>
        </w:rPr>
        <w:t>receive a distribution after more senior classes are paid in full</w:t>
      </w:r>
      <w:r w:rsidR="003570A7" w:rsidRPr="00337831">
        <w:rPr>
          <w:rFonts w:cs="Arial"/>
          <w:sz w:val="22"/>
          <w:szCs w:val="22"/>
        </w:rPr>
        <w:t>.  A P</w:t>
      </w:r>
      <w:r w:rsidRPr="00337831">
        <w:rPr>
          <w:rFonts w:cs="Arial"/>
          <w:sz w:val="22"/>
          <w:szCs w:val="22"/>
        </w:rPr>
        <w:t>lan cannot, therefore, be crammed down on unsecured creditors unless</w:t>
      </w:r>
      <w:r w:rsidR="003570A7" w:rsidRPr="00337831">
        <w:rPr>
          <w:rFonts w:cs="Arial"/>
          <w:sz w:val="22"/>
          <w:szCs w:val="22"/>
        </w:rPr>
        <w:t xml:space="preserve">, for example, </w:t>
      </w:r>
      <w:r w:rsidRPr="00337831">
        <w:rPr>
          <w:rFonts w:cs="Arial"/>
          <w:sz w:val="22"/>
          <w:szCs w:val="22"/>
        </w:rPr>
        <w:t>shareholders</w:t>
      </w:r>
      <w:r w:rsidR="003570A7" w:rsidRPr="00337831">
        <w:rPr>
          <w:rFonts w:cs="Arial"/>
          <w:sz w:val="22"/>
          <w:szCs w:val="22"/>
        </w:rPr>
        <w:t xml:space="preserve"> (</w:t>
      </w:r>
      <w:r w:rsidRPr="00337831">
        <w:rPr>
          <w:rFonts w:cs="Arial"/>
          <w:sz w:val="22"/>
          <w:szCs w:val="22"/>
        </w:rPr>
        <w:t>who</w:t>
      </w:r>
      <w:r w:rsidR="003570A7" w:rsidRPr="00337831">
        <w:rPr>
          <w:rFonts w:cs="Arial"/>
          <w:sz w:val="22"/>
          <w:szCs w:val="22"/>
        </w:rPr>
        <w:t xml:space="preserve"> rank below </w:t>
      </w:r>
      <w:r w:rsidRPr="00337831">
        <w:rPr>
          <w:rFonts w:cs="Arial"/>
          <w:sz w:val="22"/>
          <w:szCs w:val="22"/>
        </w:rPr>
        <w:t>unsecured creditors</w:t>
      </w:r>
      <w:r w:rsidR="003570A7" w:rsidRPr="00337831">
        <w:rPr>
          <w:rFonts w:cs="Arial"/>
          <w:sz w:val="22"/>
          <w:szCs w:val="22"/>
        </w:rPr>
        <w:t>)</w:t>
      </w:r>
      <w:r w:rsidRPr="00337831">
        <w:rPr>
          <w:rFonts w:cs="Arial"/>
          <w:sz w:val="22"/>
          <w:szCs w:val="22"/>
        </w:rPr>
        <w:t>, receive no distributions.</w:t>
      </w:r>
      <w:r w:rsidRPr="00337831">
        <w:rPr>
          <w:rStyle w:val="FootnoteReference"/>
          <w:rFonts w:cs="Arial"/>
          <w:sz w:val="22"/>
          <w:szCs w:val="22"/>
        </w:rPr>
        <w:footnoteReference w:id="44"/>
      </w:r>
      <w:r w:rsidR="003570A7" w:rsidRPr="00337831">
        <w:rPr>
          <w:rFonts w:cs="Arial"/>
          <w:sz w:val="22"/>
          <w:szCs w:val="22"/>
        </w:rPr>
        <w:t xml:space="preserve">  </w:t>
      </w:r>
      <w:r w:rsidR="0006006D" w:rsidRPr="00337831">
        <w:rPr>
          <w:rFonts w:cs="Arial"/>
          <w:sz w:val="22"/>
          <w:szCs w:val="22"/>
        </w:rPr>
        <w:t xml:space="preserve">In essence, </w:t>
      </w:r>
      <w:r w:rsidR="0006006D" w:rsidRPr="00337831">
        <w:rPr>
          <w:rFonts w:cs="Arial"/>
          <w:bCs/>
          <w:sz w:val="22"/>
          <w:szCs w:val="22"/>
          <w:lang w:val="en-US"/>
        </w:rPr>
        <w:t>the class v</w:t>
      </w:r>
      <w:r w:rsidR="003570A7" w:rsidRPr="00337831">
        <w:rPr>
          <w:rFonts w:cs="Arial"/>
          <w:bCs/>
          <w:sz w:val="22"/>
          <w:szCs w:val="22"/>
          <w:lang w:val="en-US"/>
        </w:rPr>
        <w:t xml:space="preserve">oting against the </w:t>
      </w:r>
      <w:r w:rsidR="00E91EED" w:rsidRPr="00337831">
        <w:rPr>
          <w:rFonts w:cs="Arial"/>
          <w:bCs/>
          <w:sz w:val="22"/>
          <w:szCs w:val="22"/>
          <w:lang w:val="en-US"/>
        </w:rPr>
        <w:t xml:space="preserve">Plan </w:t>
      </w:r>
      <w:r w:rsidR="003570A7" w:rsidRPr="00337831">
        <w:rPr>
          <w:rFonts w:cs="Arial"/>
          <w:bCs/>
          <w:sz w:val="22"/>
          <w:szCs w:val="22"/>
          <w:lang w:val="en-US"/>
        </w:rPr>
        <w:t>can be compelled by the C</w:t>
      </w:r>
      <w:r w:rsidR="0006006D" w:rsidRPr="00337831">
        <w:rPr>
          <w:rFonts w:cs="Arial"/>
          <w:bCs/>
          <w:sz w:val="22"/>
          <w:szCs w:val="22"/>
          <w:lang w:val="en-US"/>
        </w:rPr>
        <w:t>ourt to be bound by the</w:t>
      </w:r>
      <w:r w:rsidR="003570A7" w:rsidRPr="00337831">
        <w:rPr>
          <w:rFonts w:cs="Arial"/>
          <w:bCs/>
          <w:sz w:val="22"/>
          <w:szCs w:val="22"/>
          <w:lang w:val="en-US"/>
        </w:rPr>
        <w:t xml:space="preserve"> Plan, and, in this way, be </w:t>
      </w:r>
      <w:r w:rsidR="0006006D" w:rsidRPr="00337831">
        <w:rPr>
          <w:rFonts w:cs="Arial"/>
          <w:bCs/>
          <w:sz w:val="22"/>
          <w:szCs w:val="22"/>
          <w:lang w:val="en-US"/>
        </w:rPr>
        <w:t>effectively “crammed-down”</w:t>
      </w:r>
      <w:r w:rsidR="003570A7" w:rsidRPr="00337831">
        <w:rPr>
          <w:rFonts w:cs="Arial"/>
          <w:bCs/>
          <w:sz w:val="22"/>
          <w:szCs w:val="22"/>
          <w:lang w:val="en-US"/>
        </w:rPr>
        <w:t>,</w:t>
      </w:r>
      <w:r w:rsidR="00BD6404" w:rsidRPr="00337831">
        <w:rPr>
          <w:rFonts w:cs="Arial"/>
          <w:bCs/>
          <w:sz w:val="22"/>
          <w:szCs w:val="22"/>
          <w:lang w:val="en-US"/>
        </w:rPr>
        <w:t xml:space="preserve"> but only where the absolute priority rule is </w:t>
      </w:r>
      <w:r w:rsidR="003570A7" w:rsidRPr="00337831">
        <w:rPr>
          <w:rFonts w:cs="Arial"/>
          <w:bCs/>
          <w:sz w:val="22"/>
          <w:szCs w:val="22"/>
          <w:lang w:val="en-US"/>
        </w:rPr>
        <w:t>followed</w:t>
      </w:r>
      <w:r w:rsidR="0006006D" w:rsidRPr="00337831">
        <w:rPr>
          <w:rFonts w:cs="Arial"/>
          <w:bCs/>
          <w:sz w:val="22"/>
          <w:szCs w:val="22"/>
          <w:lang w:val="en-US"/>
        </w:rPr>
        <w:t>.</w:t>
      </w:r>
      <w:r w:rsidRPr="00337831">
        <w:rPr>
          <w:rStyle w:val="FootnoteReference"/>
          <w:rFonts w:cs="Arial"/>
          <w:bCs/>
          <w:sz w:val="22"/>
          <w:szCs w:val="22"/>
          <w:lang w:val="en-US"/>
        </w:rPr>
        <w:footnoteReference w:id="45"/>
      </w:r>
      <w:r w:rsidR="0006006D" w:rsidRPr="00337831">
        <w:rPr>
          <w:rFonts w:cs="Arial"/>
          <w:bCs/>
          <w:sz w:val="22"/>
          <w:szCs w:val="22"/>
          <w:lang w:val="en-US"/>
        </w:rPr>
        <w:t xml:space="preserve">  </w:t>
      </w:r>
    </w:p>
    <w:p w14:paraId="57C95FE2" w14:textId="77777777" w:rsidR="007545F1" w:rsidRPr="00337831" w:rsidRDefault="003570A7" w:rsidP="006351BC">
      <w:pPr>
        <w:pStyle w:val="BodyText"/>
        <w:spacing w:after="120" w:line="360" w:lineRule="auto"/>
        <w:rPr>
          <w:rFonts w:cs="Arial"/>
          <w:sz w:val="22"/>
          <w:szCs w:val="22"/>
        </w:rPr>
      </w:pPr>
      <w:r w:rsidRPr="00337831">
        <w:rPr>
          <w:rFonts w:cs="Arial"/>
          <w:bCs/>
          <w:sz w:val="22"/>
          <w:szCs w:val="22"/>
          <w:lang w:val="en-US"/>
        </w:rPr>
        <w:t>The phrase “c</w:t>
      </w:r>
      <w:r w:rsidR="00D25429" w:rsidRPr="00337831">
        <w:rPr>
          <w:rFonts w:cs="Arial"/>
          <w:bCs/>
          <w:sz w:val="22"/>
          <w:szCs w:val="22"/>
          <w:lang w:val="en-US"/>
        </w:rPr>
        <w:t>ramdown</w:t>
      </w:r>
      <w:r w:rsidRPr="00337831">
        <w:rPr>
          <w:rFonts w:cs="Arial"/>
          <w:bCs/>
          <w:sz w:val="22"/>
          <w:szCs w:val="22"/>
          <w:lang w:val="en-US"/>
        </w:rPr>
        <w:t xml:space="preserve">” </w:t>
      </w:r>
      <w:r w:rsidR="00D25429" w:rsidRPr="00337831">
        <w:rPr>
          <w:rFonts w:cs="Arial"/>
          <w:bCs/>
          <w:sz w:val="22"/>
          <w:szCs w:val="22"/>
          <w:lang w:val="en-US"/>
        </w:rPr>
        <w:t xml:space="preserve">is </w:t>
      </w:r>
      <w:r w:rsidR="008356CB" w:rsidRPr="00337831">
        <w:rPr>
          <w:rFonts w:cs="Arial"/>
          <w:bCs/>
          <w:sz w:val="22"/>
          <w:szCs w:val="22"/>
          <w:lang w:val="en-US"/>
        </w:rPr>
        <w:t>“</w:t>
      </w:r>
      <w:r w:rsidR="00D25429" w:rsidRPr="00337831">
        <w:rPr>
          <w:rFonts w:cs="Arial"/>
          <w:bCs/>
          <w:sz w:val="22"/>
          <w:szCs w:val="22"/>
          <w:lang w:val="en-US"/>
        </w:rPr>
        <w:t>borrowed from US</w:t>
      </w:r>
      <w:r w:rsidR="00C96BE9" w:rsidRPr="00337831">
        <w:rPr>
          <w:rFonts w:cs="Arial"/>
          <w:bCs/>
          <w:sz w:val="22"/>
          <w:szCs w:val="22"/>
          <w:lang w:val="en-US"/>
        </w:rPr>
        <w:t xml:space="preserve"> </w:t>
      </w:r>
      <w:r w:rsidR="00D25429" w:rsidRPr="00337831">
        <w:rPr>
          <w:rFonts w:cs="Arial"/>
          <w:bCs/>
          <w:sz w:val="22"/>
          <w:szCs w:val="22"/>
          <w:lang w:val="en-US"/>
        </w:rPr>
        <w:t>restructuring terminolo</w:t>
      </w:r>
      <w:r w:rsidR="0006006D" w:rsidRPr="00337831">
        <w:rPr>
          <w:rFonts w:cs="Arial"/>
          <w:bCs/>
          <w:sz w:val="22"/>
          <w:szCs w:val="22"/>
          <w:lang w:val="en-US"/>
        </w:rPr>
        <w:t>gy.</w:t>
      </w:r>
      <w:r w:rsidR="008356CB" w:rsidRPr="00337831">
        <w:rPr>
          <w:rFonts w:cs="Arial"/>
          <w:bCs/>
          <w:sz w:val="22"/>
          <w:szCs w:val="22"/>
          <w:lang w:val="en-US"/>
        </w:rPr>
        <w:t>”</w:t>
      </w:r>
      <w:r w:rsidR="00D25429" w:rsidRPr="00337831">
        <w:rPr>
          <w:rStyle w:val="FootnoteReference"/>
          <w:rFonts w:cs="Arial"/>
          <w:bCs/>
          <w:sz w:val="22"/>
          <w:szCs w:val="22"/>
          <w:lang w:val="en-US"/>
        </w:rPr>
        <w:footnoteReference w:id="46"/>
      </w:r>
      <w:r w:rsidR="0006006D" w:rsidRPr="00337831">
        <w:rPr>
          <w:rFonts w:cs="Arial"/>
          <w:bCs/>
          <w:sz w:val="22"/>
          <w:szCs w:val="22"/>
          <w:lang w:val="en-US"/>
        </w:rPr>
        <w:t xml:space="preserve">  Under a Scheme, </w:t>
      </w:r>
      <w:r w:rsidR="00D25429" w:rsidRPr="00337831">
        <w:rPr>
          <w:rFonts w:cs="Arial"/>
          <w:bCs/>
          <w:sz w:val="22"/>
          <w:szCs w:val="22"/>
          <w:lang w:val="en-US"/>
        </w:rPr>
        <w:t>the English</w:t>
      </w:r>
      <w:r w:rsidR="00C96BE9" w:rsidRPr="00337831">
        <w:rPr>
          <w:rFonts w:cs="Arial"/>
          <w:bCs/>
          <w:sz w:val="22"/>
          <w:szCs w:val="22"/>
          <w:lang w:val="en-US"/>
        </w:rPr>
        <w:t xml:space="preserve"> </w:t>
      </w:r>
      <w:r w:rsidR="00D25429" w:rsidRPr="00337831">
        <w:rPr>
          <w:rFonts w:cs="Arial"/>
          <w:bCs/>
          <w:sz w:val="22"/>
          <w:szCs w:val="22"/>
          <w:lang w:val="en-US"/>
        </w:rPr>
        <w:t>courts</w:t>
      </w:r>
      <w:r w:rsidR="008356CB" w:rsidRPr="00337831">
        <w:rPr>
          <w:rFonts w:cs="Arial"/>
          <w:bCs/>
          <w:sz w:val="22"/>
          <w:szCs w:val="22"/>
          <w:lang w:val="en-US"/>
        </w:rPr>
        <w:t xml:space="preserve"> cannot approve a S</w:t>
      </w:r>
      <w:r w:rsidR="00D25429" w:rsidRPr="00337831">
        <w:rPr>
          <w:rFonts w:cs="Arial"/>
          <w:bCs/>
          <w:sz w:val="22"/>
          <w:szCs w:val="22"/>
          <w:lang w:val="en-US"/>
        </w:rPr>
        <w:t>cheme</w:t>
      </w:r>
      <w:r w:rsidR="00C96BE9" w:rsidRPr="00337831">
        <w:rPr>
          <w:rFonts w:cs="Arial"/>
          <w:bCs/>
          <w:sz w:val="22"/>
          <w:szCs w:val="22"/>
          <w:lang w:val="en-US"/>
        </w:rPr>
        <w:t xml:space="preserve"> </w:t>
      </w:r>
      <w:r w:rsidR="00D25429" w:rsidRPr="00337831">
        <w:rPr>
          <w:rFonts w:cs="Arial"/>
          <w:bCs/>
          <w:sz w:val="22"/>
          <w:szCs w:val="22"/>
          <w:lang w:val="en-US"/>
        </w:rPr>
        <w:t>unless</w:t>
      </w:r>
      <w:r w:rsidR="008356CB" w:rsidRPr="00337831">
        <w:rPr>
          <w:rFonts w:cs="Arial"/>
          <w:bCs/>
          <w:sz w:val="22"/>
          <w:szCs w:val="22"/>
          <w:lang w:val="en-US"/>
        </w:rPr>
        <w:t xml:space="preserve"> (as above)</w:t>
      </w:r>
      <w:r w:rsidR="00D25429" w:rsidRPr="00337831">
        <w:rPr>
          <w:rFonts w:cs="Arial"/>
          <w:bCs/>
          <w:sz w:val="22"/>
          <w:szCs w:val="22"/>
          <w:lang w:val="en-US"/>
        </w:rPr>
        <w:t xml:space="preserve"> each class of creditor</w:t>
      </w:r>
      <w:r w:rsidRPr="00337831">
        <w:rPr>
          <w:rFonts w:cs="Arial"/>
          <w:bCs/>
          <w:sz w:val="22"/>
          <w:szCs w:val="22"/>
          <w:lang w:val="en-US"/>
        </w:rPr>
        <w:t>s</w:t>
      </w:r>
      <w:r w:rsidR="008356CB" w:rsidRPr="00337831">
        <w:rPr>
          <w:rFonts w:cs="Arial"/>
          <w:bCs/>
          <w:sz w:val="22"/>
          <w:szCs w:val="22"/>
          <w:lang w:val="en-US"/>
        </w:rPr>
        <w:t xml:space="preserve"> </w:t>
      </w:r>
      <w:r w:rsidR="00D25429" w:rsidRPr="00337831">
        <w:rPr>
          <w:rFonts w:cs="Arial"/>
          <w:bCs/>
          <w:sz w:val="22"/>
          <w:szCs w:val="22"/>
          <w:lang w:val="en-US"/>
        </w:rPr>
        <w:t>has voted in favour</w:t>
      </w:r>
      <w:r w:rsidR="00C96BE9" w:rsidRPr="00337831">
        <w:rPr>
          <w:rFonts w:cs="Arial"/>
          <w:bCs/>
          <w:sz w:val="22"/>
          <w:szCs w:val="22"/>
          <w:lang w:val="en-US"/>
        </w:rPr>
        <w:t xml:space="preserve"> </w:t>
      </w:r>
      <w:r w:rsidR="00D25429" w:rsidRPr="00337831">
        <w:rPr>
          <w:rFonts w:cs="Arial"/>
          <w:bCs/>
          <w:sz w:val="22"/>
          <w:szCs w:val="22"/>
          <w:lang w:val="en-US"/>
        </w:rPr>
        <w:t xml:space="preserve">of </w:t>
      </w:r>
      <w:r w:rsidRPr="00337831">
        <w:rPr>
          <w:rFonts w:cs="Arial"/>
          <w:bCs/>
          <w:sz w:val="22"/>
          <w:szCs w:val="22"/>
          <w:lang w:val="en-US"/>
        </w:rPr>
        <w:t>it</w:t>
      </w:r>
      <w:r w:rsidR="008356CB" w:rsidRPr="00337831">
        <w:rPr>
          <w:rFonts w:cs="Arial"/>
          <w:bCs/>
          <w:sz w:val="22"/>
          <w:szCs w:val="22"/>
          <w:lang w:val="en-US"/>
        </w:rPr>
        <w:t xml:space="preserve">.  </w:t>
      </w:r>
      <w:r w:rsidR="00D25429" w:rsidRPr="00337831">
        <w:rPr>
          <w:rFonts w:cs="Arial"/>
          <w:bCs/>
          <w:sz w:val="22"/>
          <w:szCs w:val="22"/>
          <w:lang w:val="en-US"/>
        </w:rPr>
        <w:t xml:space="preserve">There is therefore no </w:t>
      </w:r>
      <w:r w:rsidRPr="00337831">
        <w:rPr>
          <w:rFonts w:cs="Arial"/>
          <w:bCs/>
          <w:sz w:val="22"/>
          <w:szCs w:val="22"/>
          <w:lang w:val="en-US"/>
        </w:rPr>
        <w:t>strict</w:t>
      </w:r>
      <w:r w:rsidR="00C96BE9" w:rsidRPr="00337831">
        <w:rPr>
          <w:rFonts w:cs="Arial"/>
          <w:bCs/>
          <w:sz w:val="22"/>
          <w:szCs w:val="22"/>
          <w:lang w:val="en-US"/>
        </w:rPr>
        <w:t xml:space="preserve"> </w:t>
      </w:r>
      <w:r w:rsidR="008356CB" w:rsidRPr="00337831">
        <w:rPr>
          <w:rFonts w:cs="Arial"/>
          <w:bCs/>
          <w:sz w:val="22"/>
          <w:szCs w:val="22"/>
          <w:lang w:val="en-US"/>
        </w:rPr>
        <w:t>equivalent “cramdown”</w:t>
      </w:r>
      <w:r w:rsidR="00D25429" w:rsidRPr="00337831">
        <w:rPr>
          <w:rFonts w:cs="Arial"/>
          <w:bCs/>
          <w:sz w:val="22"/>
          <w:szCs w:val="22"/>
          <w:lang w:val="en-US"/>
        </w:rPr>
        <w:t xml:space="preserve"> power in the UK</w:t>
      </w:r>
      <w:r w:rsidRPr="00337831">
        <w:rPr>
          <w:rFonts w:cs="Arial"/>
          <w:bCs/>
          <w:sz w:val="22"/>
          <w:szCs w:val="22"/>
          <w:lang w:val="en-US"/>
        </w:rPr>
        <w:t xml:space="preserve"> and no absolute priority rule</w:t>
      </w:r>
      <w:r w:rsidR="00D25429" w:rsidRPr="00337831">
        <w:rPr>
          <w:rFonts w:cs="Arial"/>
          <w:bCs/>
          <w:sz w:val="22"/>
          <w:szCs w:val="22"/>
          <w:lang w:val="en-US"/>
        </w:rPr>
        <w:t>.</w:t>
      </w:r>
      <w:r w:rsidR="00D25429" w:rsidRPr="00337831">
        <w:rPr>
          <w:rStyle w:val="FootnoteReference"/>
          <w:rFonts w:cs="Arial"/>
          <w:bCs/>
          <w:sz w:val="22"/>
          <w:szCs w:val="22"/>
          <w:lang w:val="en-US"/>
        </w:rPr>
        <w:footnoteReference w:id="47"/>
      </w:r>
      <w:r w:rsidRPr="00337831">
        <w:rPr>
          <w:rFonts w:cs="Arial"/>
          <w:bCs/>
          <w:sz w:val="22"/>
          <w:szCs w:val="22"/>
          <w:lang w:val="en-US"/>
        </w:rPr>
        <w:t xml:space="preserve">  H</w:t>
      </w:r>
      <w:r w:rsidR="008356CB" w:rsidRPr="00337831">
        <w:rPr>
          <w:rFonts w:cs="Arial"/>
          <w:bCs/>
          <w:sz w:val="22"/>
          <w:szCs w:val="22"/>
          <w:lang w:val="en-US"/>
        </w:rPr>
        <w:t>owever, the phrase “</w:t>
      </w:r>
      <w:r w:rsidR="00D25429" w:rsidRPr="00337831">
        <w:rPr>
          <w:rFonts w:cs="Arial"/>
          <w:bCs/>
          <w:sz w:val="22"/>
          <w:szCs w:val="22"/>
          <w:lang w:val="en-US"/>
        </w:rPr>
        <w:t>cram</w:t>
      </w:r>
      <w:r w:rsidR="008356CB" w:rsidRPr="00337831">
        <w:rPr>
          <w:rFonts w:cs="Arial"/>
          <w:bCs/>
          <w:sz w:val="22"/>
          <w:szCs w:val="22"/>
          <w:lang w:val="en-US"/>
        </w:rPr>
        <w:t>down”</w:t>
      </w:r>
      <w:r w:rsidR="00C96BE9" w:rsidRPr="00337831">
        <w:rPr>
          <w:rFonts w:cs="Arial"/>
          <w:bCs/>
          <w:sz w:val="22"/>
          <w:szCs w:val="22"/>
          <w:lang w:val="en-US"/>
        </w:rPr>
        <w:t xml:space="preserve"> </w:t>
      </w:r>
      <w:r w:rsidR="00D25429" w:rsidRPr="00337831">
        <w:rPr>
          <w:rFonts w:cs="Arial"/>
          <w:bCs/>
          <w:sz w:val="22"/>
          <w:szCs w:val="22"/>
          <w:lang w:val="en-US"/>
        </w:rPr>
        <w:t xml:space="preserve">is </w:t>
      </w:r>
      <w:r w:rsidRPr="00337831">
        <w:rPr>
          <w:rFonts w:cs="Arial"/>
          <w:bCs/>
          <w:sz w:val="22"/>
          <w:szCs w:val="22"/>
          <w:lang w:val="en-US"/>
        </w:rPr>
        <w:t xml:space="preserve">often </w:t>
      </w:r>
      <w:r w:rsidR="00D25429" w:rsidRPr="00337831">
        <w:rPr>
          <w:rFonts w:cs="Arial"/>
          <w:bCs/>
          <w:sz w:val="22"/>
          <w:szCs w:val="22"/>
          <w:lang w:val="en-US"/>
        </w:rPr>
        <w:t>used in</w:t>
      </w:r>
      <w:r w:rsidR="00B558A8" w:rsidRPr="00337831">
        <w:rPr>
          <w:rFonts w:cs="Arial"/>
          <w:bCs/>
          <w:sz w:val="22"/>
          <w:szCs w:val="22"/>
          <w:lang w:val="en-US"/>
        </w:rPr>
        <w:t xml:space="preserve"> England but in a </w:t>
      </w:r>
      <w:r w:rsidR="008D1654" w:rsidRPr="00337831">
        <w:rPr>
          <w:rFonts w:cs="Arial"/>
          <w:bCs/>
          <w:sz w:val="22"/>
          <w:szCs w:val="22"/>
          <w:lang w:val="en-US"/>
        </w:rPr>
        <w:t>“</w:t>
      </w:r>
      <w:r w:rsidR="00D25429" w:rsidRPr="00337831">
        <w:rPr>
          <w:rFonts w:cs="Arial"/>
          <w:bCs/>
          <w:sz w:val="22"/>
          <w:szCs w:val="22"/>
          <w:lang w:val="en-US"/>
        </w:rPr>
        <w:t>much looser, non-technical way</w:t>
      </w:r>
      <w:r w:rsidR="008D1654" w:rsidRPr="00337831">
        <w:rPr>
          <w:rFonts w:cs="Arial"/>
          <w:bCs/>
          <w:sz w:val="22"/>
          <w:szCs w:val="22"/>
          <w:lang w:val="en-US"/>
        </w:rPr>
        <w:t>”</w:t>
      </w:r>
      <w:r w:rsidR="00D25429" w:rsidRPr="00337831">
        <w:rPr>
          <w:rFonts w:cs="Arial"/>
          <w:bCs/>
          <w:sz w:val="22"/>
          <w:szCs w:val="22"/>
          <w:lang w:val="en-US"/>
        </w:rPr>
        <w:t xml:space="preserve"> to</w:t>
      </w:r>
      <w:r w:rsidR="00C96BE9" w:rsidRPr="00337831">
        <w:rPr>
          <w:rFonts w:cs="Arial"/>
          <w:bCs/>
          <w:sz w:val="22"/>
          <w:szCs w:val="22"/>
          <w:lang w:val="en-US"/>
        </w:rPr>
        <w:t xml:space="preserve"> </w:t>
      </w:r>
      <w:r w:rsidR="00D25429" w:rsidRPr="00337831">
        <w:rPr>
          <w:rFonts w:cs="Arial"/>
          <w:bCs/>
          <w:sz w:val="22"/>
          <w:szCs w:val="22"/>
          <w:lang w:val="en-US"/>
        </w:rPr>
        <w:t>refer to the fact that, provided the threshold</w:t>
      </w:r>
      <w:r w:rsidR="00C96BE9" w:rsidRPr="00337831">
        <w:rPr>
          <w:rFonts w:cs="Arial"/>
          <w:bCs/>
          <w:sz w:val="22"/>
          <w:szCs w:val="22"/>
          <w:lang w:val="en-US"/>
        </w:rPr>
        <w:t xml:space="preserve"> </w:t>
      </w:r>
      <w:r w:rsidR="00D25429" w:rsidRPr="00337831">
        <w:rPr>
          <w:rFonts w:cs="Arial"/>
          <w:bCs/>
          <w:sz w:val="22"/>
          <w:szCs w:val="22"/>
          <w:lang w:val="en-US"/>
        </w:rPr>
        <w:t>votes have been established for each class,</w:t>
      </w:r>
      <w:r w:rsidR="00C96BE9" w:rsidRPr="00337831">
        <w:rPr>
          <w:rFonts w:cs="Arial"/>
          <w:bCs/>
          <w:sz w:val="22"/>
          <w:szCs w:val="22"/>
          <w:lang w:val="en-US"/>
        </w:rPr>
        <w:t xml:space="preserve"> </w:t>
      </w:r>
      <w:r w:rsidR="00D25429" w:rsidRPr="00337831">
        <w:rPr>
          <w:rFonts w:cs="Arial"/>
          <w:bCs/>
          <w:sz w:val="22"/>
          <w:szCs w:val="22"/>
          <w:lang w:val="en-US"/>
        </w:rPr>
        <w:t>creditors</w:t>
      </w:r>
      <w:r w:rsidR="008D1654" w:rsidRPr="00337831">
        <w:rPr>
          <w:rFonts w:cs="Arial"/>
          <w:bCs/>
          <w:sz w:val="22"/>
          <w:szCs w:val="22"/>
          <w:lang w:val="en-US"/>
        </w:rPr>
        <w:t xml:space="preserve"> </w:t>
      </w:r>
      <w:r w:rsidR="00D25429" w:rsidRPr="00337831">
        <w:rPr>
          <w:rFonts w:cs="Arial"/>
          <w:bCs/>
          <w:sz w:val="22"/>
          <w:szCs w:val="22"/>
          <w:lang w:val="en-US"/>
        </w:rPr>
        <w:t>forming part of</w:t>
      </w:r>
      <w:r w:rsidR="00C96BE9" w:rsidRPr="00337831">
        <w:rPr>
          <w:rFonts w:cs="Arial"/>
          <w:bCs/>
          <w:sz w:val="22"/>
          <w:szCs w:val="22"/>
          <w:lang w:val="en-US"/>
        </w:rPr>
        <w:t xml:space="preserve"> </w:t>
      </w:r>
      <w:r w:rsidR="00D25429" w:rsidRPr="00337831">
        <w:rPr>
          <w:rFonts w:cs="Arial"/>
          <w:bCs/>
          <w:sz w:val="22"/>
          <w:szCs w:val="22"/>
          <w:lang w:val="en-US"/>
        </w:rPr>
        <w:t>any minority in any class voting against a</w:t>
      </w:r>
      <w:r w:rsidR="00C96BE9" w:rsidRPr="00337831">
        <w:rPr>
          <w:rFonts w:cs="Arial"/>
          <w:bCs/>
          <w:sz w:val="22"/>
          <w:szCs w:val="22"/>
          <w:lang w:val="en-US"/>
        </w:rPr>
        <w:t xml:space="preserve"> </w:t>
      </w:r>
      <w:r w:rsidRPr="00337831">
        <w:rPr>
          <w:rFonts w:cs="Arial"/>
          <w:bCs/>
          <w:sz w:val="22"/>
          <w:szCs w:val="22"/>
          <w:lang w:val="en-US"/>
        </w:rPr>
        <w:t>S</w:t>
      </w:r>
      <w:r w:rsidR="00D25429" w:rsidRPr="00337831">
        <w:rPr>
          <w:rFonts w:cs="Arial"/>
          <w:bCs/>
          <w:sz w:val="22"/>
          <w:szCs w:val="22"/>
          <w:lang w:val="en-US"/>
        </w:rPr>
        <w:t>cheme will be bound by</w:t>
      </w:r>
      <w:r w:rsidRPr="00337831">
        <w:rPr>
          <w:rFonts w:cs="Arial"/>
          <w:bCs/>
          <w:sz w:val="22"/>
          <w:szCs w:val="22"/>
          <w:lang w:val="en-US"/>
        </w:rPr>
        <w:t xml:space="preserve"> it if </w:t>
      </w:r>
      <w:r w:rsidR="00B558A8" w:rsidRPr="00337831">
        <w:rPr>
          <w:rFonts w:cs="Arial"/>
          <w:bCs/>
          <w:sz w:val="22"/>
          <w:szCs w:val="22"/>
          <w:lang w:val="en-US"/>
        </w:rPr>
        <w:t xml:space="preserve">the Scheme is </w:t>
      </w:r>
      <w:r w:rsidRPr="00337831">
        <w:rPr>
          <w:rFonts w:cs="Arial"/>
          <w:bCs/>
          <w:sz w:val="22"/>
          <w:szCs w:val="22"/>
          <w:lang w:val="en-US"/>
        </w:rPr>
        <w:t xml:space="preserve">ultimately </w:t>
      </w:r>
      <w:r w:rsidR="00D25429" w:rsidRPr="00337831">
        <w:rPr>
          <w:rFonts w:cs="Arial"/>
          <w:bCs/>
          <w:sz w:val="22"/>
          <w:szCs w:val="22"/>
          <w:lang w:val="en-US"/>
        </w:rPr>
        <w:t xml:space="preserve">sanctioned by </w:t>
      </w:r>
      <w:r w:rsidRPr="00337831">
        <w:rPr>
          <w:rFonts w:cs="Arial"/>
          <w:bCs/>
          <w:sz w:val="22"/>
          <w:szCs w:val="22"/>
          <w:lang w:val="en-US"/>
        </w:rPr>
        <w:t>an</w:t>
      </w:r>
      <w:r w:rsidR="00D25429" w:rsidRPr="00337831">
        <w:rPr>
          <w:rFonts w:cs="Arial"/>
          <w:bCs/>
          <w:sz w:val="22"/>
          <w:szCs w:val="22"/>
          <w:lang w:val="en-US"/>
        </w:rPr>
        <w:t xml:space="preserve"> English court.</w:t>
      </w:r>
      <w:r w:rsidR="00D25429" w:rsidRPr="00337831">
        <w:rPr>
          <w:rStyle w:val="FootnoteReference"/>
          <w:rFonts w:cs="Arial"/>
          <w:bCs/>
          <w:sz w:val="22"/>
          <w:szCs w:val="22"/>
          <w:lang w:val="en-US"/>
        </w:rPr>
        <w:footnoteReference w:id="48"/>
      </w:r>
      <w:r w:rsidR="00D25429" w:rsidRPr="00337831">
        <w:rPr>
          <w:rFonts w:cs="Arial"/>
          <w:bCs/>
          <w:sz w:val="22"/>
          <w:szCs w:val="22"/>
          <w:lang w:val="en-US"/>
        </w:rPr>
        <w:t xml:space="preserve">  In this way, </w:t>
      </w:r>
      <w:r w:rsidR="00D25429" w:rsidRPr="00337831">
        <w:rPr>
          <w:rFonts w:cs="Arial"/>
          <w:sz w:val="22"/>
          <w:szCs w:val="22"/>
        </w:rPr>
        <w:t>Schemes provide a mechanism by which the majority of a class of creditors can impose a debt restructuring on a dissenting minority</w:t>
      </w:r>
      <w:r w:rsidR="008D1654" w:rsidRPr="00337831">
        <w:rPr>
          <w:rFonts w:cs="Arial"/>
          <w:sz w:val="22"/>
          <w:szCs w:val="22"/>
        </w:rPr>
        <w:t xml:space="preserve"> (and </w:t>
      </w:r>
      <w:r w:rsidRPr="00337831">
        <w:rPr>
          <w:rFonts w:cs="Arial"/>
          <w:sz w:val="22"/>
          <w:szCs w:val="22"/>
        </w:rPr>
        <w:t xml:space="preserve">such minority </w:t>
      </w:r>
      <w:r w:rsidR="008D1654" w:rsidRPr="00337831">
        <w:rPr>
          <w:rFonts w:cs="Arial"/>
          <w:sz w:val="22"/>
          <w:szCs w:val="22"/>
        </w:rPr>
        <w:t xml:space="preserve">is </w:t>
      </w:r>
      <w:r w:rsidRPr="00337831">
        <w:rPr>
          <w:rFonts w:cs="Arial"/>
          <w:sz w:val="22"/>
          <w:szCs w:val="22"/>
        </w:rPr>
        <w:t xml:space="preserve">therefore </w:t>
      </w:r>
      <w:r w:rsidR="008D1654" w:rsidRPr="00337831">
        <w:rPr>
          <w:rFonts w:cs="Arial"/>
          <w:sz w:val="22"/>
          <w:szCs w:val="22"/>
        </w:rPr>
        <w:t>effectively crammed down)</w:t>
      </w:r>
      <w:r w:rsidR="00D25429" w:rsidRPr="00337831">
        <w:rPr>
          <w:rFonts w:cs="Arial"/>
          <w:sz w:val="22"/>
          <w:szCs w:val="22"/>
        </w:rPr>
        <w:t xml:space="preserve">. </w:t>
      </w:r>
    </w:p>
    <w:p w14:paraId="6370577D" w14:textId="77777777" w:rsidR="00F27FED" w:rsidRPr="00337831" w:rsidRDefault="00D25429" w:rsidP="006351BC">
      <w:pPr>
        <w:pStyle w:val="Heading2"/>
        <w:spacing w:after="120" w:line="360" w:lineRule="auto"/>
        <w:ind w:left="0" w:firstLine="0"/>
        <w:rPr>
          <w:rFonts w:cs="Arial"/>
          <w:b/>
          <w:sz w:val="22"/>
          <w:szCs w:val="22"/>
          <w:lang w:val="en-US"/>
        </w:rPr>
      </w:pPr>
      <w:bookmarkStart w:id="9" w:name="_Toc32686585"/>
      <w:r w:rsidRPr="00337831">
        <w:rPr>
          <w:rFonts w:cs="Arial"/>
          <w:b/>
          <w:sz w:val="22"/>
          <w:szCs w:val="22"/>
          <w:lang w:val="en-US"/>
        </w:rPr>
        <w:t>Differences between Schemes and Pre-packs</w:t>
      </w:r>
      <w:bookmarkEnd w:id="9"/>
      <w:r w:rsidRPr="00337831">
        <w:rPr>
          <w:rFonts w:cs="Arial"/>
          <w:b/>
          <w:sz w:val="22"/>
          <w:szCs w:val="22"/>
          <w:lang w:val="en-US"/>
        </w:rPr>
        <w:t xml:space="preserve"> </w:t>
      </w:r>
    </w:p>
    <w:p w14:paraId="67D92FF3" w14:textId="77777777" w:rsidR="00702F1B" w:rsidRPr="00337831" w:rsidRDefault="00B558A8" w:rsidP="006351BC">
      <w:pPr>
        <w:pStyle w:val="BodyText"/>
        <w:spacing w:after="120" w:line="360" w:lineRule="auto"/>
        <w:rPr>
          <w:rFonts w:cs="Arial"/>
          <w:bCs/>
          <w:sz w:val="22"/>
          <w:szCs w:val="22"/>
          <w:lang w:val="en-US"/>
        </w:rPr>
      </w:pPr>
      <w:r w:rsidRPr="00337831">
        <w:rPr>
          <w:rFonts w:cs="Arial"/>
          <w:bCs/>
          <w:sz w:val="22"/>
          <w:szCs w:val="22"/>
          <w:lang w:val="en-US"/>
        </w:rPr>
        <w:t>While S</w:t>
      </w:r>
      <w:r w:rsidR="00D25429" w:rsidRPr="00337831">
        <w:rPr>
          <w:rFonts w:cs="Arial"/>
          <w:bCs/>
          <w:sz w:val="22"/>
          <w:szCs w:val="22"/>
          <w:lang w:val="en-US"/>
        </w:rPr>
        <w:t>chemes and Pre-packs</w:t>
      </w:r>
      <w:r w:rsidRPr="00337831">
        <w:rPr>
          <w:rFonts w:cs="Arial"/>
          <w:bCs/>
          <w:sz w:val="22"/>
          <w:szCs w:val="22"/>
          <w:lang w:val="en-US"/>
        </w:rPr>
        <w:t xml:space="preserve"> share common features, it is important to remember that </w:t>
      </w:r>
      <w:r w:rsidR="00D25429" w:rsidRPr="00337831">
        <w:rPr>
          <w:rFonts w:cs="Arial"/>
          <w:bCs/>
          <w:sz w:val="22"/>
          <w:szCs w:val="22"/>
          <w:lang w:val="en-US"/>
        </w:rPr>
        <w:t>they perform significantly different functions within the context of their different legal systems.  In the US, the Chapter 11 procedure combines</w:t>
      </w:r>
      <w:r w:rsidR="003570A7" w:rsidRPr="00337831">
        <w:rPr>
          <w:rFonts w:cs="Arial"/>
          <w:bCs/>
          <w:sz w:val="22"/>
          <w:szCs w:val="22"/>
          <w:lang w:val="en-US"/>
        </w:rPr>
        <w:t xml:space="preserve">, amongst other things, </w:t>
      </w:r>
      <w:r w:rsidR="0090619C" w:rsidRPr="00337831">
        <w:rPr>
          <w:rFonts w:cs="Arial"/>
          <w:bCs/>
          <w:sz w:val="22"/>
          <w:szCs w:val="22"/>
          <w:lang w:val="en-US"/>
        </w:rPr>
        <w:t xml:space="preserve">the </w:t>
      </w:r>
      <w:r w:rsidR="00D25429" w:rsidRPr="00337831">
        <w:rPr>
          <w:rFonts w:cs="Arial"/>
          <w:bCs/>
          <w:sz w:val="22"/>
          <w:szCs w:val="22"/>
          <w:lang w:val="en-US"/>
        </w:rPr>
        <w:t>moratorium</w:t>
      </w:r>
      <w:r w:rsidR="008B769D" w:rsidRPr="00337831">
        <w:rPr>
          <w:rFonts w:cs="Arial"/>
          <w:bCs/>
          <w:sz w:val="22"/>
          <w:szCs w:val="22"/>
          <w:lang w:val="en-US"/>
        </w:rPr>
        <w:t xml:space="preserve"> (see below)</w:t>
      </w:r>
      <w:r w:rsidR="00D25429" w:rsidRPr="00337831">
        <w:rPr>
          <w:rFonts w:cs="Arial"/>
          <w:bCs/>
          <w:sz w:val="22"/>
          <w:szCs w:val="22"/>
          <w:lang w:val="en-US"/>
        </w:rPr>
        <w:t xml:space="preserve">, </w:t>
      </w:r>
      <w:r w:rsidR="000F4E89" w:rsidRPr="00337831">
        <w:rPr>
          <w:rFonts w:cs="Arial"/>
          <w:bCs/>
          <w:sz w:val="22"/>
          <w:szCs w:val="22"/>
          <w:lang w:val="en-US"/>
        </w:rPr>
        <w:t>DIP</w:t>
      </w:r>
      <w:r w:rsidR="00D25429" w:rsidRPr="00337831">
        <w:rPr>
          <w:rFonts w:cs="Arial"/>
          <w:bCs/>
          <w:sz w:val="22"/>
          <w:szCs w:val="22"/>
          <w:lang w:val="en-US"/>
        </w:rPr>
        <w:t xml:space="preserve"> </w:t>
      </w:r>
      <w:r w:rsidR="003570A7" w:rsidRPr="00337831">
        <w:rPr>
          <w:rFonts w:cs="Arial"/>
          <w:bCs/>
          <w:sz w:val="22"/>
          <w:szCs w:val="22"/>
          <w:lang w:val="en-US"/>
        </w:rPr>
        <w:t>funding</w:t>
      </w:r>
      <w:r w:rsidR="00D25429" w:rsidRPr="00337831">
        <w:rPr>
          <w:rFonts w:cs="Arial"/>
          <w:bCs/>
          <w:sz w:val="22"/>
          <w:szCs w:val="22"/>
          <w:lang w:val="en-US"/>
        </w:rPr>
        <w:t xml:space="preserve">, </w:t>
      </w:r>
      <w:r w:rsidR="00D25429" w:rsidRPr="00337831">
        <w:rPr>
          <w:rFonts w:cs="Arial"/>
          <w:bCs/>
          <w:sz w:val="22"/>
          <w:szCs w:val="22"/>
        </w:rPr>
        <w:t>reorganisation</w:t>
      </w:r>
      <w:r w:rsidR="00D25429" w:rsidRPr="00337831">
        <w:rPr>
          <w:rFonts w:cs="Arial"/>
          <w:bCs/>
          <w:sz w:val="22"/>
          <w:szCs w:val="22"/>
          <w:lang w:val="en-US"/>
        </w:rPr>
        <w:t xml:space="preserve"> and </w:t>
      </w:r>
      <w:r w:rsidR="003570A7" w:rsidRPr="00337831">
        <w:rPr>
          <w:rFonts w:cs="Arial"/>
          <w:bCs/>
          <w:sz w:val="22"/>
          <w:szCs w:val="22"/>
          <w:lang w:val="en-US"/>
        </w:rPr>
        <w:t xml:space="preserve">the </w:t>
      </w:r>
      <w:r w:rsidR="00D25429" w:rsidRPr="00337831">
        <w:rPr>
          <w:rFonts w:cs="Arial"/>
          <w:bCs/>
          <w:sz w:val="22"/>
          <w:szCs w:val="22"/>
          <w:lang w:val="en-US"/>
        </w:rPr>
        <w:t>restructuring of creditors’ rights.</w:t>
      </w:r>
      <w:r w:rsidR="003570A7" w:rsidRPr="00337831">
        <w:rPr>
          <w:rStyle w:val="FootnoteReference"/>
          <w:rFonts w:cs="Arial"/>
          <w:bCs/>
          <w:sz w:val="22"/>
          <w:szCs w:val="22"/>
          <w:lang w:val="en-US"/>
        </w:rPr>
        <w:footnoteReference w:id="49"/>
      </w:r>
      <w:r w:rsidR="003570A7" w:rsidRPr="00337831">
        <w:rPr>
          <w:rFonts w:cs="Arial"/>
          <w:bCs/>
          <w:sz w:val="22"/>
          <w:szCs w:val="22"/>
          <w:lang w:val="en-US"/>
        </w:rPr>
        <w:t xml:space="preserve">  In England, the </w:t>
      </w:r>
      <w:r w:rsidR="00D25429" w:rsidRPr="00337831">
        <w:rPr>
          <w:rFonts w:cs="Arial"/>
          <w:bCs/>
          <w:sz w:val="22"/>
          <w:szCs w:val="22"/>
          <w:lang w:val="en-US"/>
        </w:rPr>
        <w:t>same ends</w:t>
      </w:r>
      <w:r w:rsidR="003570A7" w:rsidRPr="00337831">
        <w:rPr>
          <w:rFonts w:cs="Arial"/>
          <w:bCs/>
          <w:sz w:val="22"/>
          <w:szCs w:val="22"/>
          <w:lang w:val="en-US"/>
        </w:rPr>
        <w:t xml:space="preserve"> </w:t>
      </w:r>
      <w:r w:rsidR="00D25429" w:rsidRPr="00337831">
        <w:rPr>
          <w:rFonts w:cs="Arial"/>
          <w:bCs/>
          <w:sz w:val="22"/>
          <w:szCs w:val="22"/>
          <w:lang w:val="en-US"/>
        </w:rPr>
        <w:t>are</w:t>
      </w:r>
      <w:r w:rsidR="003570A7" w:rsidRPr="00337831">
        <w:rPr>
          <w:rFonts w:cs="Arial"/>
          <w:bCs/>
          <w:sz w:val="22"/>
          <w:szCs w:val="22"/>
          <w:lang w:val="en-US"/>
        </w:rPr>
        <w:t xml:space="preserve"> only </w:t>
      </w:r>
      <w:r w:rsidR="00D25429" w:rsidRPr="00337831">
        <w:rPr>
          <w:rFonts w:cs="Arial"/>
          <w:bCs/>
          <w:sz w:val="22"/>
          <w:szCs w:val="22"/>
          <w:lang w:val="en-US"/>
        </w:rPr>
        <w:t>achievable via a combination of a</w:t>
      </w:r>
      <w:r w:rsidR="003570A7" w:rsidRPr="00337831">
        <w:rPr>
          <w:rFonts w:cs="Arial"/>
          <w:bCs/>
          <w:sz w:val="22"/>
          <w:szCs w:val="22"/>
          <w:lang w:val="en-US"/>
        </w:rPr>
        <w:t xml:space="preserve"> Scheme and another form of external administration (such as a</w:t>
      </w:r>
      <w:r w:rsidR="00D25429" w:rsidRPr="00337831">
        <w:rPr>
          <w:rFonts w:cs="Arial"/>
          <w:bCs/>
          <w:sz w:val="22"/>
          <w:szCs w:val="22"/>
          <w:lang w:val="en-US"/>
        </w:rPr>
        <w:t xml:space="preserve">n administration </w:t>
      </w:r>
      <w:r w:rsidR="003570A7" w:rsidRPr="00337831">
        <w:rPr>
          <w:rFonts w:cs="Arial"/>
          <w:bCs/>
          <w:sz w:val="22"/>
          <w:szCs w:val="22"/>
          <w:lang w:val="en-US"/>
        </w:rPr>
        <w:t>or a CVA)</w:t>
      </w:r>
      <w:r w:rsidR="0090619C" w:rsidRPr="00337831">
        <w:rPr>
          <w:rFonts w:cs="Arial"/>
          <w:bCs/>
          <w:sz w:val="22"/>
          <w:szCs w:val="22"/>
          <w:lang w:val="en-US"/>
        </w:rPr>
        <w:t>.</w:t>
      </w:r>
      <w:r w:rsidR="003570A7" w:rsidRPr="00337831">
        <w:rPr>
          <w:rStyle w:val="FootnoteReference"/>
          <w:rFonts w:cs="Arial"/>
          <w:bCs/>
          <w:sz w:val="22"/>
          <w:szCs w:val="22"/>
          <w:lang w:val="en-US"/>
        </w:rPr>
        <w:footnoteReference w:id="50"/>
      </w:r>
    </w:p>
    <w:p w14:paraId="12115971" w14:textId="77777777" w:rsidR="00A20DB9" w:rsidRPr="00337831" w:rsidRDefault="00D25429" w:rsidP="006351BC">
      <w:pPr>
        <w:pStyle w:val="BodyText"/>
        <w:spacing w:after="120" w:line="360" w:lineRule="auto"/>
        <w:rPr>
          <w:rFonts w:cs="Arial"/>
          <w:sz w:val="22"/>
          <w:szCs w:val="22"/>
          <w:lang w:eastAsia="en-US"/>
        </w:rPr>
      </w:pPr>
      <w:r w:rsidRPr="00337831">
        <w:rPr>
          <w:rFonts w:cs="Arial"/>
          <w:bCs/>
          <w:sz w:val="22"/>
          <w:szCs w:val="22"/>
          <w:lang w:val="en-US"/>
        </w:rPr>
        <w:t xml:space="preserve">One of the key differences </w:t>
      </w:r>
      <w:r w:rsidRPr="00337831">
        <w:rPr>
          <w:rFonts w:cs="Arial"/>
          <w:sz w:val="22"/>
          <w:szCs w:val="22"/>
          <w:lang w:val="en-US"/>
        </w:rPr>
        <w:t>between Schemes and Pre-packs is that</w:t>
      </w:r>
      <w:r w:rsidR="003570A7" w:rsidRPr="00337831">
        <w:rPr>
          <w:rFonts w:cs="Arial"/>
          <w:sz w:val="22"/>
          <w:szCs w:val="22"/>
          <w:lang w:val="en-US"/>
        </w:rPr>
        <w:t xml:space="preserve"> an</w:t>
      </w:r>
      <w:r w:rsidRPr="00337831">
        <w:rPr>
          <w:rFonts w:cs="Arial"/>
          <w:sz w:val="22"/>
          <w:szCs w:val="22"/>
          <w:lang w:val="en-US"/>
        </w:rPr>
        <w:t xml:space="preserve"> </w:t>
      </w:r>
      <w:r w:rsidR="004A5659" w:rsidRPr="00337831">
        <w:rPr>
          <w:rFonts w:cs="Arial"/>
          <w:sz w:val="22"/>
          <w:szCs w:val="22"/>
          <w:lang w:eastAsia="en-US"/>
        </w:rPr>
        <w:t>“automatic stay” is in place from day one</w:t>
      </w:r>
      <w:r w:rsidR="00B558A8" w:rsidRPr="00337831">
        <w:rPr>
          <w:rFonts w:cs="Arial"/>
          <w:sz w:val="22"/>
          <w:szCs w:val="22"/>
          <w:lang w:eastAsia="en-US"/>
        </w:rPr>
        <w:t xml:space="preserve"> </w:t>
      </w:r>
      <w:r w:rsidR="003570A7" w:rsidRPr="00337831">
        <w:rPr>
          <w:rFonts w:cs="Arial"/>
          <w:sz w:val="22"/>
          <w:szCs w:val="22"/>
          <w:lang w:eastAsia="en-US"/>
        </w:rPr>
        <w:t>under Chapter 11</w:t>
      </w:r>
      <w:r w:rsidR="004A5659" w:rsidRPr="00337831">
        <w:rPr>
          <w:rFonts w:cs="Arial"/>
          <w:sz w:val="22"/>
          <w:szCs w:val="22"/>
          <w:lang w:eastAsia="en-US"/>
        </w:rPr>
        <w:t>.</w:t>
      </w:r>
      <w:r w:rsidR="003570A7" w:rsidRPr="00337831">
        <w:rPr>
          <w:rFonts w:cs="Arial"/>
          <w:sz w:val="22"/>
          <w:szCs w:val="22"/>
          <w:lang w:eastAsia="en-US"/>
        </w:rPr>
        <w:t xml:space="preserve">  This </w:t>
      </w:r>
      <w:r w:rsidR="004A5659" w:rsidRPr="00337831">
        <w:rPr>
          <w:rFonts w:cs="Arial"/>
          <w:sz w:val="22"/>
          <w:szCs w:val="22"/>
          <w:lang w:eastAsia="en-US"/>
        </w:rPr>
        <w:t xml:space="preserve">prevents creditors from proceeding against </w:t>
      </w:r>
      <w:r w:rsidR="003570A7" w:rsidRPr="00337831">
        <w:rPr>
          <w:rFonts w:cs="Arial"/>
          <w:sz w:val="22"/>
          <w:szCs w:val="22"/>
          <w:lang w:eastAsia="en-US"/>
        </w:rPr>
        <w:t xml:space="preserve">the </w:t>
      </w:r>
      <w:r w:rsidR="003570A7" w:rsidRPr="00337831">
        <w:rPr>
          <w:rFonts w:cs="Arial"/>
          <w:sz w:val="22"/>
          <w:szCs w:val="22"/>
          <w:lang w:eastAsia="en-US"/>
        </w:rPr>
        <w:lastRenderedPageBreak/>
        <w:t xml:space="preserve">property of the debtor and </w:t>
      </w:r>
      <w:r w:rsidR="004A5659" w:rsidRPr="00337831">
        <w:rPr>
          <w:rFonts w:cs="Arial"/>
          <w:sz w:val="22"/>
          <w:szCs w:val="22"/>
          <w:lang w:eastAsia="en-US"/>
        </w:rPr>
        <w:t>stays all pending litigation and the filing of new liti</w:t>
      </w:r>
      <w:r w:rsidR="003570A7" w:rsidRPr="00337831">
        <w:rPr>
          <w:rFonts w:cs="Arial"/>
          <w:sz w:val="22"/>
          <w:szCs w:val="22"/>
          <w:lang w:eastAsia="en-US"/>
        </w:rPr>
        <w:t>gation</w:t>
      </w:r>
      <w:r w:rsidR="004A5659" w:rsidRPr="00337831">
        <w:rPr>
          <w:rFonts w:cs="Arial"/>
          <w:sz w:val="22"/>
          <w:szCs w:val="22"/>
          <w:lang w:eastAsia="en-US"/>
        </w:rPr>
        <w:t>.</w:t>
      </w:r>
      <w:r w:rsidRPr="00337831">
        <w:rPr>
          <w:rStyle w:val="FootnoteReference"/>
          <w:rFonts w:cs="Arial"/>
          <w:sz w:val="22"/>
          <w:szCs w:val="22"/>
          <w:lang w:eastAsia="en-US"/>
        </w:rPr>
        <w:footnoteReference w:id="51"/>
      </w:r>
      <w:r w:rsidR="003570A7" w:rsidRPr="00337831">
        <w:rPr>
          <w:rFonts w:cs="Arial"/>
          <w:sz w:val="22"/>
          <w:szCs w:val="22"/>
          <w:lang w:eastAsia="en-US"/>
        </w:rPr>
        <w:t xml:space="preserve">  </w:t>
      </w:r>
      <w:r w:rsidR="004A5659" w:rsidRPr="00337831">
        <w:rPr>
          <w:rFonts w:cs="Arial"/>
          <w:sz w:val="22"/>
          <w:szCs w:val="22"/>
          <w:lang w:eastAsia="en-US"/>
        </w:rPr>
        <w:t>This</w:t>
      </w:r>
      <w:r w:rsidR="003570A7" w:rsidRPr="00337831">
        <w:rPr>
          <w:rFonts w:cs="Arial"/>
          <w:sz w:val="22"/>
          <w:szCs w:val="22"/>
          <w:lang w:eastAsia="en-US"/>
        </w:rPr>
        <w:t xml:space="preserve"> position can be </w:t>
      </w:r>
      <w:r w:rsidR="006351BC" w:rsidRPr="00337831">
        <w:rPr>
          <w:rFonts w:cs="Arial"/>
          <w:sz w:val="22"/>
          <w:szCs w:val="22"/>
          <w:lang w:eastAsia="en-US"/>
        </w:rPr>
        <w:t>contrasted</w:t>
      </w:r>
      <w:r w:rsidR="004A5659" w:rsidRPr="00337831">
        <w:rPr>
          <w:rFonts w:cs="Arial"/>
          <w:sz w:val="22"/>
          <w:szCs w:val="22"/>
          <w:lang w:eastAsia="en-US"/>
        </w:rPr>
        <w:t xml:space="preserve"> with a Scheme</w:t>
      </w:r>
      <w:r w:rsidR="00B558A8" w:rsidRPr="00337831">
        <w:rPr>
          <w:rFonts w:cs="Arial"/>
          <w:sz w:val="22"/>
          <w:szCs w:val="22"/>
          <w:lang w:eastAsia="en-US"/>
        </w:rPr>
        <w:t>,</w:t>
      </w:r>
      <w:r w:rsidR="004A5659" w:rsidRPr="00337831">
        <w:rPr>
          <w:rFonts w:cs="Arial"/>
          <w:sz w:val="22"/>
          <w:szCs w:val="22"/>
          <w:lang w:eastAsia="en-US"/>
        </w:rPr>
        <w:t xml:space="preserve"> where </w:t>
      </w:r>
      <w:r w:rsidR="003570A7" w:rsidRPr="00337831">
        <w:rPr>
          <w:rFonts w:cs="Arial"/>
          <w:sz w:val="22"/>
          <w:szCs w:val="22"/>
          <w:lang w:eastAsia="en-US"/>
        </w:rPr>
        <w:t>there</w:t>
      </w:r>
      <w:r w:rsidR="004A5659" w:rsidRPr="00337831">
        <w:rPr>
          <w:rFonts w:cs="Arial"/>
          <w:sz w:val="22"/>
          <w:szCs w:val="22"/>
          <w:lang w:eastAsia="en-US"/>
        </w:rPr>
        <w:t xml:space="preserve"> is no statutory moratorium or stay provided under Part 26 of the </w:t>
      </w:r>
      <w:r w:rsidR="004A5659" w:rsidRPr="00337831">
        <w:rPr>
          <w:rFonts w:cs="Arial"/>
          <w:i/>
          <w:sz w:val="22"/>
          <w:szCs w:val="22"/>
          <w:lang w:eastAsia="en-US"/>
        </w:rPr>
        <w:t>Companies Act 2006</w:t>
      </w:r>
      <w:r w:rsidR="003570A7" w:rsidRPr="00337831">
        <w:rPr>
          <w:rFonts w:cs="Arial"/>
          <w:i/>
          <w:sz w:val="22"/>
          <w:szCs w:val="22"/>
          <w:lang w:eastAsia="en-US"/>
        </w:rPr>
        <w:t xml:space="preserve"> </w:t>
      </w:r>
      <w:r w:rsidR="003570A7" w:rsidRPr="00337831">
        <w:rPr>
          <w:rFonts w:cs="Arial"/>
          <w:sz w:val="22"/>
          <w:szCs w:val="22"/>
          <w:lang w:eastAsia="en-US"/>
        </w:rPr>
        <w:t>(UK)</w:t>
      </w:r>
      <w:r w:rsidR="004A5659" w:rsidRPr="00337831">
        <w:rPr>
          <w:rFonts w:cs="Arial"/>
          <w:sz w:val="22"/>
          <w:szCs w:val="22"/>
          <w:lang w:eastAsia="en-US"/>
        </w:rPr>
        <w:t>, but the debtor may apply to</w:t>
      </w:r>
      <w:r w:rsidR="00B558A8" w:rsidRPr="00337831">
        <w:rPr>
          <w:rFonts w:cs="Arial"/>
          <w:sz w:val="22"/>
          <w:szCs w:val="22"/>
          <w:lang w:eastAsia="en-US"/>
        </w:rPr>
        <w:t xml:space="preserve"> an </w:t>
      </w:r>
      <w:r w:rsidR="004A5659" w:rsidRPr="00337831">
        <w:rPr>
          <w:rFonts w:cs="Arial"/>
          <w:sz w:val="22"/>
          <w:szCs w:val="22"/>
          <w:lang w:eastAsia="en-US"/>
        </w:rPr>
        <w:t>English Court for a stay against proceedings brought against the de</w:t>
      </w:r>
      <w:r w:rsidR="003570A7" w:rsidRPr="00337831">
        <w:rPr>
          <w:rFonts w:cs="Arial"/>
          <w:sz w:val="22"/>
          <w:szCs w:val="22"/>
          <w:lang w:eastAsia="en-US"/>
        </w:rPr>
        <w:t>btor pending the voting on the S</w:t>
      </w:r>
      <w:r w:rsidR="004A5659" w:rsidRPr="00337831">
        <w:rPr>
          <w:rFonts w:cs="Arial"/>
          <w:sz w:val="22"/>
          <w:szCs w:val="22"/>
          <w:lang w:eastAsia="en-US"/>
        </w:rPr>
        <w:t>cheme.</w:t>
      </w:r>
      <w:r w:rsidRPr="00337831">
        <w:rPr>
          <w:rStyle w:val="FootnoteReference"/>
          <w:rFonts w:cs="Arial"/>
          <w:sz w:val="22"/>
          <w:szCs w:val="22"/>
          <w:lang w:eastAsia="en-US"/>
        </w:rPr>
        <w:footnoteReference w:id="52"/>
      </w:r>
    </w:p>
    <w:p w14:paraId="3EA10790" w14:textId="77777777" w:rsidR="004A5659" w:rsidRPr="00337831" w:rsidRDefault="00D25429" w:rsidP="006351BC">
      <w:pPr>
        <w:pStyle w:val="BodyText"/>
        <w:spacing w:after="120" w:line="360" w:lineRule="auto"/>
        <w:rPr>
          <w:rFonts w:cs="Arial"/>
          <w:bCs/>
          <w:sz w:val="22"/>
          <w:szCs w:val="22"/>
          <w:lang w:val="en-US"/>
        </w:rPr>
      </w:pPr>
      <w:r w:rsidRPr="00337831">
        <w:rPr>
          <w:rFonts w:cs="Arial"/>
          <w:bCs/>
          <w:sz w:val="22"/>
          <w:szCs w:val="22"/>
          <w:lang w:val="en-US"/>
        </w:rPr>
        <w:t xml:space="preserve">So far as voting within classes is concerned, the other major difference between the two </w:t>
      </w:r>
      <w:r w:rsidR="003570A7" w:rsidRPr="00337831">
        <w:rPr>
          <w:rFonts w:cs="Arial"/>
          <w:bCs/>
          <w:sz w:val="22"/>
          <w:szCs w:val="22"/>
          <w:lang w:val="en-US"/>
        </w:rPr>
        <w:t>regimes</w:t>
      </w:r>
      <w:r w:rsidRPr="00337831">
        <w:rPr>
          <w:rFonts w:cs="Arial"/>
          <w:bCs/>
          <w:sz w:val="22"/>
          <w:szCs w:val="22"/>
          <w:lang w:val="en-US"/>
        </w:rPr>
        <w:t xml:space="preserve"> is that</w:t>
      </w:r>
      <w:r w:rsidR="00B558A8" w:rsidRPr="00337831">
        <w:rPr>
          <w:rFonts w:cs="Arial"/>
          <w:bCs/>
          <w:sz w:val="22"/>
          <w:szCs w:val="22"/>
          <w:lang w:val="en-US"/>
        </w:rPr>
        <w:t xml:space="preserve">, as above, </w:t>
      </w:r>
      <w:r w:rsidRPr="00337831">
        <w:rPr>
          <w:rFonts w:cs="Arial"/>
          <w:bCs/>
          <w:sz w:val="22"/>
          <w:szCs w:val="22"/>
          <w:lang w:val="en-US"/>
        </w:rPr>
        <w:t xml:space="preserve">the requisite majority by value under </w:t>
      </w:r>
      <w:r w:rsidR="003570A7" w:rsidRPr="00337831">
        <w:rPr>
          <w:rFonts w:cs="Arial"/>
          <w:bCs/>
          <w:sz w:val="22"/>
          <w:szCs w:val="22"/>
          <w:lang w:val="en-US"/>
        </w:rPr>
        <w:t xml:space="preserve">a </w:t>
      </w:r>
      <w:r w:rsidRPr="00337831">
        <w:rPr>
          <w:rFonts w:cs="Arial"/>
          <w:bCs/>
          <w:sz w:val="22"/>
          <w:szCs w:val="22"/>
          <w:lang w:val="en-US"/>
        </w:rPr>
        <w:t>Chapter 11</w:t>
      </w:r>
      <w:r w:rsidR="003570A7" w:rsidRPr="00337831">
        <w:rPr>
          <w:rFonts w:cs="Arial"/>
          <w:bCs/>
          <w:sz w:val="22"/>
          <w:szCs w:val="22"/>
          <w:lang w:val="en-US"/>
        </w:rPr>
        <w:t xml:space="preserve"> Pre-pack</w:t>
      </w:r>
      <w:r w:rsidRPr="00337831">
        <w:rPr>
          <w:rFonts w:cs="Arial"/>
          <w:bCs/>
          <w:sz w:val="22"/>
          <w:szCs w:val="22"/>
          <w:lang w:val="en-US"/>
        </w:rPr>
        <w:t xml:space="preserve"> is two-thirds, whereas it is 75% in an English </w:t>
      </w:r>
      <w:r w:rsidR="009D2D6F" w:rsidRPr="00337831">
        <w:rPr>
          <w:rFonts w:cs="Arial"/>
          <w:bCs/>
          <w:sz w:val="22"/>
          <w:szCs w:val="22"/>
          <w:lang w:val="en-US"/>
        </w:rPr>
        <w:t>Scheme</w:t>
      </w:r>
      <w:r w:rsidRPr="00337831">
        <w:rPr>
          <w:rFonts w:cs="Arial"/>
          <w:bCs/>
          <w:sz w:val="22"/>
          <w:szCs w:val="22"/>
          <w:lang w:val="en-US"/>
        </w:rPr>
        <w:t>.</w:t>
      </w:r>
      <w:r w:rsidRPr="00337831">
        <w:rPr>
          <w:rStyle w:val="FootnoteReference"/>
          <w:rFonts w:cs="Arial"/>
          <w:bCs/>
          <w:sz w:val="22"/>
          <w:szCs w:val="22"/>
          <w:lang w:val="en-US"/>
        </w:rPr>
        <w:footnoteReference w:id="53"/>
      </w:r>
      <w:r w:rsidR="003570A7" w:rsidRPr="00337831">
        <w:rPr>
          <w:rFonts w:cs="Arial"/>
          <w:bCs/>
          <w:sz w:val="22"/>
          <w:szCs w:val="22"/>
          <w:lang w:val="en-US"/>
        </w:rPr>
        <w:t xml:space="preserve"> </w:t>
      </w:r>
    </w:p>
    <w:p w14:paraId="42ABEC0A" w14:textId="77777777" w:rsidR="00D104CD" w:rsidRPr="00337831" w:rsidRDefault="00D25429" w:rsidP="006351BC">
      <w:pPr>
        <w:spacing w:after="120" w:line="360" w:lineRule="auto"/>
        <w:rPr>
          <w:rFonts w:cs="Arial"/>
          <w:sz w:val="22"/>
          <w:szCs w:val="22"/>
          <w:lang w:val="en-US"/>
        </w:rPr>
      </w:pPr>
      <w:r w:rsidRPr="00337831">
        <w:rPr>
          <w:rFonts w:cs="Arial"/>
          <w:sz w:val="22"/>
          <w:szCs w:val="22"/>
          <w:lang w:val="en-US"/>
        </w:rPr>
        <w:br w:type="page"/>
      </w:r>
    </w:p>
    <w:p w14:paraId="588B1578" w14:textId="77777777" w:rsidR="00F27FED" w:rsidRPr="00337831" w:rsidRDefault="00436898" w:rsidP="006351BC">
      <w:pPr>
        <w:pStyle w:val="Heading1"/>
        <w:spacing w:after="120" w:line="360" w:lineRule="auto"/>
        <w:ind w:left="0" w:firstLine="0"/>
        <w:rPr>
          <w:rFonts w:cs="Arial"/>
          <w:sz w:val="24"/>
          <w:szCs w:val="24"/>
          <w:lang w:val="en-US"/>
        </w:rPr>
      </w:pPr>
      <w:bookmarkStart w:id="10" w:name="_Toc32686586"/>
      <w:r w:rsidRPr="00337831">
        <w:rPr>
          <w:rFonts w:cs="Arial"/>
          <w:sz w:val="24"/>
          <w:szCs w:val="24"/>
          <w:lang w:val="en-US"/>
        </w:rPr>
        <w:lastRenderedPageBreak/>
        <w:t xml:space="preserve">IS ONE OPTION </w:t>
      </w:r>
      <w:r w:rsidR="00D25429" w:rsidRPr="00337831">
        <w:rPr>
          <w:rFonts w:cs="Arial"/>
          <w:sz w:val="24"/>
          <w:szCs w:val="24"/>
          <w:lang w:val="en-US"/>
        </w:rPr>
        <w:t>PREFERRED</w:t>
      </w:r>
      <w:r w:rsidRPr="00337831">
        <w:rPr>
          <w:rFonts w:cs="Arial"/>
          <w:sz w:val="24"/>
          <w:szCs w:val="24"/>
          <w:lang w:val="en-US"/>
        </w:rPr>
        <w:t>?</w:t>
      </w:r>
      <w:bookmarkEnd w:id="10"/>
    </w:p>
    <w:p w14:paraId="6AC394A0" w14:textId="77777777" w:rsidR="004A5659" w:rsidRPr="00337831" w:rsidRDefault="00D25429" w:rsidP="006351BC">
      <w:pPr>
        <w:pStyle w:val="Heading2"/>
        <w:spacing w:after="120" w:line="360" w:lineRule="auto"/>
        <w:ind w:left="0" w:firstLine="0"/>
        <w:rPr>
          <w:rFonts w:cs="Arial"/>
          <w:b/>
          <w:sz w:val="22"/>
          <w:szCs w:val="22"/>
          <w:lang w:val="en-US"/>
        </w:rPr>
      </w:pPr>
      <w:bookmarkStart w:id="11" w:name="_Toc32686587"/>
      <w:r w:rsidRPr="00337831">
        <w:rPr>
          <w:rFonts w:cs="Arial"/>
          <w:b/>
          <w:sz w:val="22"/>
          <w:szCs w:val="22"/>
          <w:lang w:val="en-US"/>
        </w:rPr>
        <w:t xml:space="preserve">Considerations regarding </w:t>
      </w:r>
      <w:r w:rsidR="006351BC" w:rsidRPr="00337831">
        <w:rPr>
          <w:rFonts w:cs="Arial"/>
          <w:b/>
          <w:sz w:val="22"/>
          <w:szCs w:val="22"/>
          <w:lang w:val="en-US"/>
        </w:rPr>
        <w:t>the</w:t>
      </w:r>
      <w:r w:rsidR="00F27FED" w:rsidRPr="00337831">
        <w:rPr>
          <w:rFonts w:cs="Arial"/>
          <w:b/>
          <w:sz w:val="22"/>
          <w:szCs w:val="22"/>
          <w:lang w:val="en-US"/>
        </w:rPr>
        <w:t xml:space="preserve"> regime</w:t>
      </w:r>
      <w:r w:rsidR="006351BC" w:rsidRPr="00337831">
        <w:rPr>
          <w:rFonts w:cs="Arial"/>
          <w:b/>
          <w:sz w:val="22"/>
          <w:szCs w:val="22"/>
          <w:lang w:val="en-US"/>
        </w:rPr>
        <w:t>s</w:t>
      </w:r>
      <w:bookmarkEnd w:id="11"/>
    </w:p>
    <w:p w14:paraId="6C29BDE0" w14:textId="77777777" w:rsidR="0090619C" w:rsidRPr="00337831" w:rsidRDefault="00D25429" w:rsidP="006351BC">
      <w:pPr>
        <w:pStyle w:val="BodyText"/>
        <w:spacing w:after="120" w:line="360" w:lineRule="auto"/>
        <w:rPr>
          <w:rFonts w:cs="Arial"/>
          <w:sz w:val="22"/>
          <w:szCs w:val="22"/>
          <w:lang w:val="en-US"/>
        </w:rPr>
      </w:pPr>
      <w:r w:rsidRPr="00337831">
        <w:rPr>
          <w:rFonts w:cs="Arial"/>
          <w:sz w:val="22"/>
          <w:szCs w:val="22"/>
          <w:lang w:val="en-US"/>
        </w:rPr>
        <w:t>As above, there are many similarities between English Sch</w:t>
      </w:r>
      <w:r w:rsidR="00436898" w:rsidRPr="00337831">
        <w:rPr>
          <w:rFonts w:cs="Arial"/>
          <w:sz w:val="22"/>
          <w:szCs w:val="22"/>
          <w:lang w:val="en-US"/>
        </w:rPr>
        <w:t xml:space="preserve">emes and Chapter 11 Pre-packs.  </w:t>
      </w:r>
      <w:r w:rsidRPr="00337831">
        <w:rPr>
          <w:rFonts w:cs="Arial"/>
          <w:sz w:val="22"/>
          <w:szCs w:val="22"/>
          <w:lang w:val="en-US"/>
        </w:rPr>
        <w:t xml:space="preserve">It is thus </w:t>
      </w:r>
      <w:r w:rsidR="005A318F" w:rsidRPr="00337831">
        <w:rPr>
          <w:rFonts w:cs="Arial"/>
          <w:sz w:val="22"/>
          <w:szCs w:val="22"/>
          <w:lang w:val="en-US"/>
        </w:rPr>
        <w:t xml:space="preserve">difficult </w:t>
      </w:r>
      <w:r w:rsidR="00845F3F" w:rsidRPr="00337831">
        <w:rPr>
          <w:rFonts w:cs="Arial"/>
          <w:sz w:val="22"/>
          <w:szCs w:val="22"/>
          <w:lang w:val="en-US"/>
        </w:rPr>
        <w:t xml:space="preserve">to determine </w:t>
      </w:r>
      <w:r w:rsidRPr="00337831">
        <w:rPr>
          <w:rFonts w:cs="Arial"/>
          <w:sz w:val="22"/>
          <w:szCs w:val="22"/>
          <w:lang w:val="en-US"/>
        </w:rPr>
        <w:t xml:space="preserve">whether one regime is </w:t>
      </w:r>
      <w:r w:rsidR="004E7B23">
        <w:rPr>
          <w:rFonts w:cs="Arial"/>
          <w:sz w:val="22"/>
          <w:szCs w:val="22"/>
          <w:lang w:val="en-US"/>
        </w:rPr>
        <w:t>preferred</w:t>
      </w:r>
      <w:r w:rsidRPr="00337831">
        <w:rPr>
          <w:rFonts w:cs="Arial"/>
          <w:sz w:val="22"/>
          <w:szCs w:val="22"/>
          <w:lang w:val="en-US"/>
        </w:rPr>
        <w:t xml:space="preserve"> over the other.  However, in the context of the </w:t>
      </w:r>
      <w:r w:rsidR="00436898" w:rsidRPr="00337831">
        <w:rPr>
          <w:rFonts w:cs="Arial"/>
          <w:sz w:val="22"/>
          <w:szCs w:val="22"/>
          <w:lang w:val="en-US"/>
        </w:rPr>
        <w:t>Case (comparing</w:t>
      </w:r>
      <w:r w:rsidRPr="00337831">
        <w:rPr>
          <w:rFonts w:cs="Arial"/>
          <w:sz w:val="22"/>
          <w:szCs w:val="22"/>
          <w:lang w:val="en-US"/>
        </w:rPr>
        <w:t xml:space="preserve"> the </w:t>
      </w:r>
      <w:r w:rsidR="00436898" w:rsidRPr="00337831">
        <w:rPr>
          <w:rFonts w:cs="Arial"/>
          <w:sz w:val="22"/>
          <w:szCs w:val="22"/>
          <w:lang w:val="en-US"/>
        </w:rPr>
        <w:t xml:space="preserve">operation of the </w:t>
      </w:r>
      <w:r w:rsidRPr="00337831">
        <w:rPr>
          <w:rFonts w:cs="Arial"/>
          <w:sz w:val="22"/>
          <w:szCs w:val="22"/>
          <w:lang w:val="en-US"/>
        </w:rPr>
        <w:t>regimes in the restructure of a single class of bond debt while leaving other creditors and equity holders unaffected</w:t>
      </w:r>
      <w:r w:rsidR="00436898" w:rsidRPr="00337831">
        <w:rPr>
          <w:rFonts w:cs="Arial"/>
          <w:sz w:val="22"/>
          <w:szCs w:val="22"/>
          <w:lang w:val="en-US"/>
        </w:rPr>
        <w:t>)</w:t>
      </w:r>
      <w:r w:rsidRPr="00337831">
        <w:rPr>
          <w:rFonts w:cs="Arial"/>
          <w:sz w:val="22"/>
          <w:szCs w:val="22"/>
          <w:lang w:val="en-US"/>
        </w:rPr>
        <w:t>, some themes emerge.</w:t>
      </w:r>
    </w:p>
    <w:p w14:paraId="18662EF7" w14:textId="77777777" w:rsidR="0090619C" w:rsidRPr="00337831" w:rsidRDefault="00D25429" w:rsidP="006351BC">
      <w:pPr>
        <w:pStyle w:val="BodyText"/>
        <w:spacing w:after="120" w:line="360" w:lineRule="auto"/>
        <w:rPr>
          <w:rFonts w:cs="Arial"/>
          <w:bCs/>
          <w:sz w:val="22"/>
          <w:szCs w:val="22"/>
          <w:lang w:val="en-US"/>
        </w:rPr>
      </w:pPr>
      <w:r w:rsidRPr="00337831">
        <w:rPr>
          <w:rFonts w:cs="Arial"/>
          <w:sz w:val="22"/>
          <w:szCs w:val="22"/>
          <w:lang w:val="en-US"/>
        </w:rPr>
        <w:t>Chapter 11 is undoubtedly a more c</w:t>
      </w:r>
      <w:r w:rsidR="00436898" w:rsidRPr="00337831">
        <w:rPr>
          <w:rFonts w:cs="Arial"/>
          <w:sz w:val="22"/>
          <w:szCs w:val="22"/>
          <w:lang w:val="en-US"/>
        </w:rPr>
        <w:t xml:space="preserve">omprehensive regime.  There is, as noted above, an automatic stay that occurs in a Pre-pack once the case is filed, </w:t>
      </w:r>
      <w:r w:rsidRPr="00337831">
        <w:rPr>
          <w:rFonts w:cs="Arial"/>
          <w:sz w:val="22"/>
          <w:szCs w:val="22"/>
          <w:lang w:val="en-US"/>
        </w:rPr>
        <w:t>whereas</w:t>
      </w:r>
      <w:r w:rsidR="00436898" w:rsidRPr="00337831">
        <w:rPr>
          <w:rFonts w:cs="Arial"/>
          <w:sz w:val="22"/>
          <w:szCs w:val="22"/>
          <w:lang w:val="en-US"/>
        </w:rPr>
        <w:t xml:space="preserve"> the debtor must </w:t>
      </w:r>
      <w:r w:rsidRPr="00337831">
        <w:rPr>
          <w:rFonts w:cs="Arial"/>
          <w:sz w:val="22"/>
          <w:szCs w:val="22"/>
          <w:lang w:val="en-US"/>
        </w:rPr>
        <w:t xml:space="preserve">apply to the Court to have a stay </w:t>
      </w:r>
      <w:r w:rsidR="006351BC" w:rsidRPr="00337831">
        <w:rPr>
          <w:rFonts w:cs="Arial"/>
          <w:sz w:val="22"/>
          <w:szCs w:val="22"/>
          <w:lang w:val="en-US"/>
        </w:rPr>
        <w:t>implemented</w:t>
      </w:r>
      <w:r w:rsidRPr="00337831">
        <w:rPr>
          <w:rFonts w:cs="Arial"/>
          <w:sz w:val="22"/>
          <w:szCs w:val="22"/>
          <w:lang w:val="en-US"/>
        </w:rPr>
        <w:t xml:space="preserve"> in the context of a Scheme.  Further,</w:t>
      </w:r>
      <w:r w:rsidR="00436898" w:rsidRPr="00337831">
        <w:rPr>
          <w:rFonts w:cs="Arial"/>
          <w:sz w:val="22"/>
          <w:szCs w:val="22"/>
          <w:lang w:val="en-US"/>
        </w:rPr>
        <w:t xml:space="preserve"> </w:t>
      </w:r>
      <w:r w:rsidR="003570A7" w:rsidRPr="00337831">
        <w:rPr>
          <w:rFonts w:cs="Arial"/>
          <w:sz w:val="22"/>
          <w:szCs w:val="22"/>
          <w:lang w:val="en-US"/>
        </w:rPr>
        <w:t>to</w:t>
      </w:r>
      <w:r w:rsidR="00436898" w:rsidRPr="00337831">
        <w:rPr>
          <w:rFonts w:cs="Arial"/>
          <w:sz w:val="22"/>
          <w:szCs w:val="22"/>
          <w:lang w:val="en-US"/>
        </w:rPr>
        <w:t xml:space="preserve"> implement a Pre-pack, a debtor must file </w:t>
      </w:r>
      <w:r w:rsidRPr="00337831">
        <w:rPr>
          <w:rFonts w:cs="Arial"/>
          <w:sz w:val="22"/>
          <w:szCs w:val="22"/>
          <w:lang w:val="en-US"/>
        </w:rPr>
        <w:t xml:space="preserve">under Chapter 11 which may trigger </w:t>
      </w:r>
      <w:r w:rsidRPr="00337831">
        <w:rPr>
          <w:rFonts w:cs="Arial"/>
          <w:i/>
          <w:sz w:val="22"/>
          <w:szCs w:val="22"/>
          <w:lang w:val="en-US"/>
        </w:rPr>
        <w:t>ipso facto</w:t>
      </w:r>
      <w:r w:rsidRPr="00337831">
        <w:rPr>
          <w:rFonts w:cs="Arial"/>
          <w:sz w:val="22"/>
          <w:szCs w:val="22"/>
          <w:lang w:val="en-US"/>
        </w:rPr>
        <w:t xml:space="preserve"> provisions </w:t>
      </w:r>
      <w:r w:rsidR="00436898" w:rsidRPr="00337831">
        <w:rPr>
          <w:rFonts w:cs="Arial"/>
          <w:sz w:val="22"/>
          <w:szCs w:val="22"/>
          <w:lang w:val="en-US"/>
        </w:rPr>
        <w:t xml:space="preserve">in relevant contracts and, despite the circumstances, may result in attracting the </w:t>
      </w:r>
      <w:r w:rsidRPr="00337831">
        <w:rPr>
          <w:rFonts w:cs="Arial"/>
          <w:sz w:val="22"/>
          <w:szCs w:val="22"/>
          <w:lang w:val="en-US"/>
        </w:rPr>
        <w:t xml:space="preserve">stigma </w:t>
      </w:r>
      <w:r w:rsidR="006351BC" w:rsidRPr="00337831">
        <w:rPr>
          <w:rFonts w:cs="Arial"/>
          <w:sz w:val="22"/>
          <w:szCs w:val="22"/>
          <w:lang w:val="en-US"/>
        </w:rPr>
        <w:t>associated</w:t>
      </w:r>
      <w:r w:rsidRPr="00337831">
        <w:rPr>
          <w:rFonts w:cs="Arial"/>
          <w:sz w:val="22"/>
          <w:szCs w:val="22"/>
          <w:lang w:val="en-US"/>
        </w:rPr>
        <w:t xml:space="preserve"> with </w:t>
      </w:r>
      <w:r w:rsidR="006351BC" w:rsidRPr="00337831">
        <w:rPr>
          <w:rFonts w:cs="Arial"/>
          <w:sz w:val="22"/>
          <w:szCs w:val="22"/>
          <w:lang w:val="en-US"/>
        </w:rPr>
        <w:t>bankruptcy</w:t>
      </w:r>
      <w:r w:rsidRPr="00337831">
        <w:rPr>
          <w:rFonts w:cs="Arial"/>
          <w:sz w:val="22"/>
          <w:szCs w:val="22"/>
          <w:lang w:val="en-US"/>
        </w:rPr>
        <w:t>.  On the other hand, w</w:t>
      </w:r>
      <w:r w:rsidRPr="00337831">
        <w:rPr>
          <w:rFonts w:cs="Arial"/>
          <w:bCs/>
          <w:sz w:val="22"/>
          <w:szCs w:val="22"/>
          <w:lang w:val="en-US"/>
        </w:rPr>
        <w:t>hilst a Scheme</w:t>
      </w:r>
      <w:r w:rsidR="00436898" w:rsidRPr="00337831">
        <w:rPr>
          <w:rFonts w:cs="Arial"/>
          <w:bCs/>
          <w:sz w:val="22"/>
          <w:szCs w:val="22"/>
          <w:lang w:val="en-US"/>
        </w:rPr>
        <w:t xml:space="preserve"> </w:t>
      </w:r>
      <w:r w:rsidR="00845F3F" w:rsidRPr="00337831">
        <w:rPr>
          <w:rFonts w:cs="Arial"/>
          <w:bCs/>
          <w:sz w:val="22"/>
          <w:szCs w:val="22"/>
          <w:lang w:val="en-US"/>
        </w:rPr>
        <w:t xml:space="preserve">can </w:t>
      </w:r>
      <w:r w:rsidRPr="00337831">
        <w:rPr>
          <w:rFonts w:cs="Arial"/>
          <w:bCs/>
          <w:sz w:val="22"/>
          <w:szCs w:val="22"/>
          <w:lang w:val="en-US"/>
        </w:rPr>
        <w:t>be used as a means of compromising the claims of all creditors of a company, it is rarely</w:t>
      </w:r>
      <w:r w:rsidR="00436898" w:rsidRPr="00337831">
        <w:rPr>
          <w:rFonts w:cs="Arial"/>
          <w:bCs/>
          <w:sz w:val="22"/>
          <w:szCs w:val="22"/>
          <w:lang w:val="en-US"/>
        </w:rPr>
        <w:t xml:space="preserve"> used for such a</w:t>
      </w:r>
      <w:r w:rsidR="00845F3F" w:rsidRPr="00337831">
        <w:rPr>
          <w:rFonts w:cs="Arial"/>
          <w:bCs/>
          <w:sz w:val="22"/>
          <w:szCs w:val="22"/>
          <w:lang w:val="en-US"/>
        </w:rPr>
        <w:t xml:space="preserve"> broad </w:t>
      </w:r>
      <w:r w:rsidR="00436898" w:rsidRPr="00337831">
        <w:rPr>
          <w:rFonts w:cs="Arial"/>
          <w:bCs/>
          <w:sz w:val="22"/>
          <w:szCs w:val="22"/>
          <w:lang w:val="en-US"/>
        </w:rPr>
        <w:t>purpose.  Schemes are more often associated with compromising finance debt.</w:t>
      </w:r>
      <w:r w:rsidRPr="00337831">
        <w:rPr>
          <w:rStyle w:val="FootnoteReference"/>
          <w:rFonts w:cs="Arial"/>
          <w:bCs/>
          <w:sz w:val="22"/>
          <w:szCs w:val="22"/>
          <w:lang w:val="en-US"/>
        </w:rPr>
        <w:footnoteReference w:id="54"/>
      </w:r>
      <w:r w:rsidRPr="00337831">
        <w:rPr>
          <w:rFonts w:cs="Arial"/>
          <w:bCs/>
          <w:sz w:val="22"/>
          <w:szCs w:val="22"/>
          <w:lang w:val="en-US"/>
        </w:rPr>
        <w:t xml:space="preserve">  Accordingly, in </w:t>
      </w:r>
      <w:r w:rsidR="00436898" w:rsidRPr="00337831">
        <w:rPr>
          <w:rFonts w:cs="Arial"/>
          <w:bCs/>
          <w:sz w:val="22"/>
          <w:szCs w:val="22"/>
          <w:lang w:val="en-US"/>
        </w:rPr>
        <w:t xml:space="preserve">relation to the Case (being </w:t>
      </w:r>
      <w:r w:rsidRPr="00337831">
        <w:rPr>
          <w:rFonts w:cs="Arial"/>
          <w:bCs/>
          <w:sz w:val="22"/>
          <w:szCs w:val="22"/>
          <w:lang w:val="en-US"/>
        </w:rPr>
        <w:t>a single class of bond debt</w:t>
      </w:r>
      <w:r w:rsidR="00436898" w:rsidRPr="00337831">
        <w:rPr>
          <w:rFonts w:cs="Arial"/>
          <w:bCs/>
          <w:sz w:val="22"/>
          <w:szCs w:val="22"/>
          <w:lang w:val="en-US"/>
        </w:rPr>
        <w:t>)</w:t>
      </w:r>
      <w:r w:rsidRPr="00337831">
        <w:rPr>
          <w:rFonts w:cs="Arial"/>
          <w:bCs/>
          <w:sz w:val="22"/>
          <w:szCs w:val="22"/>
          <w:lang w:val="en-US"/>
        </w:rPr>
        <w:t>, a Scheme may b</w:t>
      </w:r>
      <w:r w:rsidR="00436898" w:rsidRPr="00337831">
        <w:rPr>
          <w:rFonts w:cs="Arial"/>
          <w:bCs/>
          <w:sz w:val="22"/>
          <w:szCs w:val="22"/>
          <w:lang w:val="en-US"/>
        </w:rPr>
        <w:t>e a softer approach than a Pre-p</w:t>
      </w:r>
      <w:r w:rsidRPr="00337831">
        <w:rPr>
          <w:rFonts w:cs="Arial"/>
          <w:bCs/>
          <w:sz w:val="22"/>
          <w:szCs w:val="22"/>
          <w:lang w:val="en-US"/>
        </w:rPr>
        <w:t>ack</w:t>
      </w:r>
      <w:r w:rsidR="00436898" w:rsidRPr="00337831">
        <w:rPr>
          <w:rFonts w:cs="Arial"/>
          <w:bCs/>
          <w:sz w:val="22"/>
          <w:szCs w:val="22"/>
          <w:lang w:val="en-US"/>
        </w:rPr>
        <w:t xml:space="preserve"> </w:t>
      </w:r>
      <w:r w:rsidR="00196B46" w:rsidRPr="00337831">
        <w:rPr>
          <w:rFonts w:cs="Arial"/>
          <w:bCs/>
          <w:sz w:val="22"/>
          <w:szCs w:val="22"/>
          <w:lang w:val="en-US"/>
        </w:rPr>
        <w:t>(</w:t>
      </w:r>
      <w:r w:rsidR="00436898" w:rsidRPr="00337831">
        <w:rPr>
          <w:rFonts w:cs="Arial"/>
          <w:bCs/>
          <w:sz w:val="22"/>
          <w:szCs w:val="22"/>
          <w:lang w:val="en-US"/>
        </w:rPr>
        <w:t xml:space="preserve">and associated </w:t>
      </w:r>
      <w:r w:rsidRPr="00337831">
        <w:rPr>
          <w:rFonts w:cs="Arial"/>
          <w:bCs/>
          <w:sz w:val="22"/>
          <w:szCs w:val="22"/>
          <w:lang w:val="en-US"/>
        </w:rPr>
        <w:t>filing under Chapter 11</w:t>
      </w:r>
      <w:r w:rsidR="00196B46" w:rsidRPr="00337831">
        <w:rPr>
          <w:rFonts w:cs="Arial"/>
          <w:bCs/>
          <w:sz w:val="22"/>
          <w:szCs w:val="22"/>
          <w:lang w:val="en-US"/>
        </w:rPr>
        <w:t>)</w:t>
      </w:r>
      <w:r w:rsidRPr="00337831">
        <w:rPr>
          <w:rFonts w:cs="Arial"/>
          <w:bCs/>
          <w:sz w:val="22"/>
          <w:szCs w:val="22"/>
          <w:lang w:val="en-US"/>
        </w:rPr>
        <w:t>.</w:t>
      </w:r>
    </w:p>
    <w:p w14:paraId="2324857C" w14:textId="77777777" w:rsidR="00190600" w:rsidRPr="00337831" w:rsidRDefault="00D25429" w:rsidP="006351BC">
      <w:pPr>
        <w:pStyle w:val="BodyText"/>
        <w:spacing w:after="120" w:line="360" w:lineRule="auto"/>
        <w:rPr>
          <w:rFonts w:cs="Arial"/>
          <w:bCs/>
          <w:sz w:val="22"/>
          <w:szCs w:val="22"/>
          <w:lang w:val="en-US"/>
        </w:rPr>
      </w:pPr>
      <w:r w:rsidRPr="00337831">
        <w:rPr>
          <w:rFonts w:cs="Arial"/>
          <w:bCs/>
          <w:sz w:val="22"/>
          <w:szCs w:val="22"/>
          <w:lang w:val="en-US"/>
        </w:rPr>
        <w:t xml:space="preserve">In </w:t>
      </w:r>
      <w:r w:rsidR="00436898" w:rsidRPr="00337831">
        <w:rPr>
          <w:rFonts w:cs="Arial"/>
          <w:bCs/>
          <w:sz w:val="22"/>
          <w:szCs w:val="22"/>
        </w:rPr>
        <w:t>favour</w:t>
      </w:r>
      <w:r w:rsidRPr="00337831">
        <w:rPr>
          <w:rFonts w:cs="Arial"/>
          <w:bCs/>
          <w:sz w:val="22"/>
          <w:szCs w:val="22"/>
          <w:lang w:val="en-US"/>
        </w:rPr>
        <w:t xml:space="preserve"> of Pre-packs, however, is the voting thresholds.  As above, </w:t>
      </w:r>
      <w:r w:rsidR="00205DCE" w:rsidRPr="00337831">
        <w:rPr>
          <w:rFonts w:cs="Arial"/>
          <w:bCs/>
          <w:sz w:val="22"/>
          <w:szCs w:val="22"/>
          <w:lang w:val="en-US"/>
        </w:rPr>
        <w:t xml:space="preserve">the necessary majority (by value) under Chapter 11 is two-thirds, whereas it is 75% in a Scheme.  On its face, this </w:t>
      </w:r>
      <w:r w:rsidR="00845F3F" w:rsidRPr="00337831">
        <w:rPr>
          <w:rFonts w:cs="Arial"/>
          <w:bCs/>
          <w:sz w:val="22"/>
          <w:szCs w:val="22"/>
          <w:lang w:val="en-US"/>
        </w:rPr>
        <w:t xml:space="preserve">indicates </w:t>
      </w:r>
      <w:r w:rsidR="00205DCE" w:rsidRPr="00337831">
        <w:rPr>
          <w:rFonts w:cs="Arial"/>
          <w:bCs/>
          <w:sz w:val="22"/>
          <w:szCs w:val="22"/>
          <w:lang w:val="en-US"/>
        </w:rPr>
        <w:t>Pre-pack</w:t>
      </w:r>
      <w:r w:rsidR="004E7B23">
        <w:rPr>
          <w:rFonts w:cs="Arial"/>
          <w:bCs/>
          <w:sz w:val="22"/>
          <w:szCs w:val="22"/>
          <w:lang w:val="en-US"/>
        </w:rPr>
        <w:t>s</w:t>
      </w:r>
      <w:r w:rsidR="00205DCE" w:rsidRPr="00337831">
        <w:rPr>
          <w:rFonts w:cs="Arial"/>
          <w:bCs/>
          <w:sz w:val="22"/>
          <w:szCs w:val="22"/>
          <w:lang w:val="en-US"/>
        </w:rPr>
        <w:t xml:space="preserve"> </w:t>
      </w:r>
      <w:r w:rsidR="00845F3F" w:rsidRPr="00337831">
        <w:rPr>
          <w:rFonts w:cs="Arial"/>
          <w:bCs/>
          <w:sz w:val="22"/>
          <w:szCs w:val="22"/>
          <w:lang w:val="en-US"/>
        </w:rPr>
        <w:t>have some advantages</w:t>
      </w:r>
      <w:r w:rsidR="00436898" w:rsidRPr="00337831">
        <w:rPr>
          <w:rFonts w:cs="Arial"/>
          <w:bCs/>
          <w:sz w:val="22"/>
          <w:szCs w:val="22"/>
          <w:lang w:val="en-US"/>
        </w:rPr>
        <w:t xml:space="preserve">.  However, the requisite majority is not the only consideration in a Pre-pack and parties utilizing Chapter 11, or seeking to do so, must also consider the </w:t>
      </w:r>
      <w:r w:rsidR="00205DCE" w:rsidRPr="00337831">
        <w:rPr>
          <w:rFonts w:cs="Arial"/>
          <w:bCs/>
          <w:sz w:val="22"/>
          <w:szCs w:val="22"/>
          <w:lang w:val="en-US"/>
        </w:rPr>
        <w:t xml:space="preserve">absolute </w:t>
      </w:r>
      <w:r w:rsidR="006351BC" w:rsidRPr="00337831">
        <w:rPr>
          <w:rFonts w:cs="Arial"/>
          <w:bCs/>
          <w:sz w:val="22"/>
          <w:szCs w:val="22"/>
          <w:lang w:val="en-US"/>
        </w:rPr>
        <w:t>priority</w:t>
      </w:r>
      <w:r w:rsidR="00436898" w:rsidRPr="00337831">
        <w:rPr>
          <w:rFonts w:cs="Arial"/>
          <w:bCs/>
          <w:sz w:val="22"/>
          <w:szCs w:val="22"/>
          <w:lang w:val="en-US"/>
        </w:rPr>
        <w:t xml:space="preserve"> rule.</w:t>
      </w:r>
      <w:r w:rsidR="00205DCE" w:rsidRPr="00337831">
        <w:rPr>
          <w:rFonts w:cs="Arial"/>
          <w:bCs/>
          <w:sz w:val="22"/>
          <w:szCs w:val="22"/>
          <w:lang w:val="en-US"/>
        </w:rPr>
        <w:t xml:space="preserve"> </w:t>
      </w:r>
    </w:p>
    <w:p w14:paraId="4B21B206" w14:textId="77777777" w:rsidR="00190600" w:rsidRPr="00337831" w:rsidRDefault="00436898" w:rsidP="006351BC">
      <w:pPr>
        <w:pStyle w:val="BodyText"/>
        <w:spacing w:after="120" w:line="360" w:lineRule="auto"/>
        <w:rPr>
          <w:rFonts w:cs="Arial"/>
          <w:sz w:val="22"/>
          <w:szCs w:val="22"/>
          <w:lang w:val="en-US"/>
        </w:rPr>
      </w:pPr>
      <w:r w:rsidRPr="00337831">
        <w:rPr>
          <w:rFonts w:cs="Arial"/>
          <w:bCs/>
          <w:sz w:val="22"/>
          <w:szCs w:val="22"/>
          <w:lang w:val="en-US"/>
        </w:rPr>
        <w:t xml:space="preserve">In essence (and as above), the </w:t>
      </w:r>
      <w:r w:rsidR="006351BC" w:rsidRPr="00337831">
        <w:rPr>
          <w:rFonts w:cs="Arial"/>
          <w:sz w:val="22"/>
          <w:szCs w:val="22"/>
        </w:rPr>
        <w:t>absolute</w:t>
      </w:r>
      <w:r w:rsidR="00D25429" w:rsidRPr="00337831">
        <w:rPr>
          <w:rFonts w:cs="Arial"/>
          <w:sz w:val="22"/>
          <w:szCs w:val="22"/>
        </w:rPr>
        <w:t xml:space="preserve"> priority rule (</w:t>
      </w:r>
      <w:r w:rsidR="006351BC" w:rsidRPr="00337831">
        <w:rPr>
          <w:rFonts w:cs="Arial"/>
          <w:sz w:val="22"/>
          <w:szCs w:val="22"/>
        </w:rPr>
        <w:t>enshrined</w:t>
      </w:r>
      <w:r w:rsidR="00D25429" w:rsidRPr="00337831">
        <w:rPr>
          <w:rFonts w:cs="Arial"/>
          <w:sz w:val="22"/>
          <w:szCs w:val="22"/>
        </w:rPr>
        <w:t xml:space="preserve"> in </w:t>
      </w:r>
      <w:r w:rsidR="00D25429" w:rsidRPr="00337831">
        <w:rPr>
          <w:rFonts w:cs="Arial"/>
          <w:bCs/>
          <w:sz w:val="22"/>
          <w:szCs w:val="22"/>
          <w:lang w:val="en-US"/>
        </w:rPr>
        <w:t>§ 1129</w:t>
      </w:r>
      <w:r w:rsidRPr="00337831">
        <w:rPr>
          <w:rFonts w:cs="Arial"/>
          <w:bCs/>
          <w:sz w:val="22"/>
          <w:szCs w:val="22"/>
          <w:lang w:val="en-US"/>
        </w:rPr>
        <w:t xml:space="preserve"> of Chapter 11</w:t>
      </w:r>
      <w:r w:rsidR="00D25429" w:rsidRPr="00337831">
        <w:rPr>
          <w:rFonts w:cs="Arial"/>
          <w:bCs/>
          <w:sz w:val="22"/>
          <w:szCs w:val="22"/>
          <w:lang w:val="en-US"/>
        </w:rPr>
        <w:t xml:space="preserve">) </w:t>
      </w:r>
      <w:r w:rsidR="00D25429" w:rsidRPr="00337831">
        <w:rPr>
          <w:rFonts w:cs="Arial"/>
          <w:sz w:val="22"/>
          <w:szCs w:val="22"/>
        </w:rPr>
        <w:t xml:space="preserve">provides that, </w:t>
      </w:r>
      <w:r w:rsidR="00D25429" w:rsidRPr="00337831">
        <w:rPr>
          <w:rFonts w:cs="Arial"/>
          <w:sz w:val="22"/>
          <w:szCs w:val="22"/>
          <w:lang w:val="en-US"/>
        </w:rPr>
        <w:t>in the absence of consent, junior creditors may only receive a distribution after more senior classes</w:t>
      </w:r>
      <w:r w:rsidRPr="00337831">
        <w:rPr>
          <w:rFonts w:cs="Arial"/>
          <w:sz w:val="22"/>
          <w:szCs w:val="22"/>
          <w:lang w:val="en-US"/>
        </w:rPr>
        <w:t xml:space="preserve"> of creditors</w:t>
      </w:r>
      <w:r w:rsidR="00D25429" w:rsidRPr="00337831">
        <w:rPr>
          <w:rFonts w:cs="Arial"/>
          <w:sz w:val="22"/>
          <w:szCs w:val="22"/>
          <w:lang w:val="en-US"/>
        </w:rPr>
        <w:t xml:space="preserve"> are paid in full.  Thus, using the Case as an example, it can be inferred that the </w:t>
      </w:r>
      <w:r w:rsidRPr="00337831">
        <w:rPr>
          <w:rFonts w:cs="Arial"/>
          <w:sz w:val="22"/>
          <w:szCs w:val="22"/>
          <w:lang w:val="en-US"/>
        </w:rPr>
        <w:t xml:space="preserve">intention of the restructure is that the </w:t>
      </w:r>
      <w:r w:rsidR="00845F3F" w:rsidRPr="00337831">
        <w:rPr>
          <w:rFonts w:cs="Arial"/>
          <w:sz w:val="22"/>
          <w:szCs w:val="22"/>
          <w:lang w:val="en-US"/>
        </w:rPr>
        <w:t xml:space="preserve">claims of the </w:t>
      </w:r>
      <w:r w:rsidR="00D25429" w:rsidRPr="00337831">
        <w:rPr>
          <w:rFonts w:cs="Arial"/>
          <w:sz w:val="22"/>
          <w:szCs w:val="22"/>
          <w:lang w:val="en-US"/>
        </w:rPr>
        <w:t>single class of bondholders</w:t>
      </w:r>
      <w:r w:rsidR="00845F3F" w:rsidRPr="00337831">
        <w:rPr>
          <w:rFonts w:cs="Arial"/>
          <w:sz w:val="22"/>
          <w:szCs w:val="22"/>
          <w:lang w:val="en-US"/>
        </w:rPr>
        <w:t xml:space="preserve"> (the </w:t>
      </w:r>
      <w:r w:rsidR="00845F3F" w:rsidRPr="00337831">
        <w:rPr>
          <w:rFonts w:cs="Arial"/>
          <w:b/>
          <w:sz w:val="22"/>
          <w:szCs w:val="22"/>
          <w:lang w:val="en-US"/>
        </w:rPr>
        <w:t>Bondholders</w:t>
      </w:r>
      <w:r w:rsidR="00845F3F" w:rsidRPr="00337831">
        <w:rPr>
          <w:rFonts w:cs="Arial"/>
          <w:sz w:val="22"/>
          <w:szCs w:val="22"/>
          <w:lang w:val="en-US"/>
        </w:rPr>
        <w:t xml:space="preserve">) </w:t>
      </w:r>
      <w:r w:rsidRPr="00337831">
        <w:rPr>
          <w:rFonts w:cs="Arial"/>
          <w:sz w:val="22"/>
          <w:szCs w:val="22"/>
          <w:lang w:val="en-US"/>
        </w:rPr>
        <w:t xml:space="preserve">are </w:t>
      </w:r>
      <w:r w:rsidR="006351BC" w:rsidRPr="00337831">
        <w:rPr>
          <w:rFonts w:cs="Arial"/>
          <w:sz w:val="22"/>
          <w:szCs w:val="22"/>
          <w:lang w:val="en-US"/>
        </w:rPr>
        <w:t>compromised</w:t>
      </w:r>
      <w:r w:rsidRPr="00337831">
        <w:rPr>
          <w:rFonts w:cs="Arial"/>
          <w:sz w:val="22"/>
          <w:szCs w:val="22"/>
          <w:lang w:val="en-US"/>
        </w:rPr>
        <w:t xml:space="preserve"> while other </w:t>
      </w:r>
      <w:r w:rsidR="00D25429" w:rsidRPr="00337831">
        <w:rPr>
          <w:rFonts w:cs="Arial"/>
          <w:sz w:val="22"/>
          <w:szCs w:val="22"/>
          <w:lang w:val="en-US"/>
        </w:rPr>
        <w:t>claims (</w:t>
      </w:r>
      <w:r w:rsidR="00845F3F" w:rsidRPr="00337831">
        <w:rPr>
          <w:rFonts w:cs="Arial"/>
          <w:sz w:val="22"/>
          <w:szCs w:val="22"/>
          <w:lang w:val="en-US"/>
        </w:rPr>
        <w:t xml:space="preserve">being those of </w:t>
      </w:r>
      <w:r w:rsidR="00D25429" w:rsidRPr="00337831">
        <w:rPr>
          <w:rFonts w:cs="Arial"/>
          <w:sz w:val="22"/>
          <w:szCs w:val="22"/>
          <w:lang w:val="en-US"/>
        </w:rPr>
        <w:t>other creditors and equity holders) will not</w:t>
      </w:r>
      <w:r w:rsidRPr="00337831">
        <w:rPr>
          <w:rFonts w:cs="Arial"/>
          <w:sz w:val="22"/>
          <w:szCs w:val="22"/>
          <w:lang w:val="en-US"/>
        </w:rPr>
        <w:t xml:space="preserve"> be.  This appears to be, on face value, </w:t>
      </w:r>
      <w:r w:rsidR="006351BC" w:rsidRPr="00337831">
        <w:rPr>
          <w:rFonts w:cs="Arial"/>
          <w:sz w:val="22"/>
          <w:szCs w:val="22"/>
          <w:lang w:val="en-US"/>
        </w:rPr>
        <w:t>contrary</w:t>
      </w:r>
      <w:r w:rsidR="00D25429" w:rsidRPr="00337831">
        <w:rPr>
          <w:rFonts w:cs="Arial"/>
          <w:sz w:val="22"/>
          <w:szCs w:val="22"/>
          <w:lang w:val="en-US"/>
        </w:rPr>
        <w:t xml:space="preserve"> to the absolute priority rule.</w:t>
      </w:r>
    </w:p>
    <w:p w14:paraId="66B7710F" w14:textId="77777777" w:rsidR="00190600" w:rsidRPr="00337831" w:rsidRDefault="00436898" w:rsidP="006351BC">
      <w:pPr>
        <w:pStyle w:val="BodyText"/>
        <w:spacing w:after="120" w:line="360" w:lineRule="auto"/>
        <w:rPr>
          <w:rFonts w:cs="Arial"/>
          <w:sz w:val="22"/>
          <w:szCs w:val="22"/>
          <w:lang w:val="en-US"/>
        </w:rPr>
      </w:pPr>
      <w:r w:rsidRPr="00337831">
        <w:rPr>
          <w:rFonts w:cs="Arial"/>
          <w:sz w:val="22"/>
          <w:szCs w:val="22"/>
          <w:lang w:val="en-US"/>
        </w:rPr>
        <w:t xml:space="preserve">Unless the </w:t>
      </w:r>
      <w:r w:rsidR="004E7B23">
        <w:rPr>
          <w:rFonts w:cs="Arial"/>
          <w:sz w:val="22"/>
          <w:szCs w:val="22"/>
          <w:lang w:val="en-US"/>
        </w:rPr>
        <w:t>“</w:t>
      </w:r>
      <w:r w:rsidRPr="00337831">
        <w:rPr>
          <w:rFonts w:cs="Arial"/>
          <w:sz w:val="22"/>
          <w:szCs w:val="22"/>
          <w:lang w:val="en-US"/>
        </w:rPr>
        <w:t>class</w:t>
      </w:r>
      <w:r w:rsidR="004E7B23">
        <w:rPr>
          <w:rFonts w:cs="Arial"/>
          <w:sz w:val="22"/>
          <w:szCs w:val="22"/>
          <w:lang w:val="en-US"/>
        </w:rPr>
        <w:t>”</w:t>
      </w:r>
      <w:r w:rsidRPr="00337831">
        <w:rPr>
          <w:rFonts w:cs="Arial"/>
          <w:sz w:val="22"/>
          <w:szCs w:val="22"/>
          <w:lang w:val="en-US"/>
        </w:rPr>
        <w:t xml:space="preserve"> of creditors, being the B</w:t>
      </w:r>
      <w:r w:rsidR="00D25429" w:rsidRPr="00337831">
        <w:rPr>
          <w:rFonts w:cs="Arial"/>
          <w:sz w:val="22"/>
          <w:szCs w:val="22"/>
          <w:lang w:val="en-US"/>
        </w:rPr>
        <w:t xml:space="preserve">ondholders, vote in </w:t>
      </w:r>
      <w:r w:rsidRPr="00337831">
        <w:rPr>
          <w:rFonts w:cs="Arial"/>
          <w:sz w:val="22"/>
          <w:szCs w:val="22"/>
        </w:rPr>
        <w:t>favour</w:t>
      </w:r>
      <w:r w:rsidR="00D25429" w:rsidRPr="00337831">
        <w:rPr>
          <w:rFonts w:cs="Arial"/>
          <w:sz w:val="22"/>
          <w:szCs w:val="22"/>
          <w:lang w:val="en-US"/>
        </w:rPr>
        <w:t xml:space="preserve"> of the Plan it will not be possible for a Court to approve it under </w:t>
      </w:r>
      <w:r w:rsidR="00D25429" w:rsidRPr="00337831">
        <w:rPr>
          <w:rFonts w:cs="Arial"/>
          <w:bCs/>
          <w:sz w:val="22"/>
          <w:szCs w:val="22"/>
          <w:lang w:val="en-US"/>
        </w:rPr>
        <w:t xml:space="preserve">§ 1129 </w:t>
      </w:r>
      <w:r w:rsidRPr="00337831">
        <w:rPr>
          <w:rFonts w:cs="Arial"/>
          <w:bCs/>
          <w:sz w:val="22"/>
          <w:szCs w:val="22"/>
          <w:lang w:val="en-US"/>
        </w:rPr>
        <w:t xml:space="preserve">of Chapter 11 </w:t>
      </w:r>
      <w:r w:rsidR="00D25429" w:rsidRPr="00337831">
        <w:rPr>
          <w:rFonts w:cs="Arial"/>
          <w:bCs/>
          <w:sz w:val="22"/>
          <w:szCs w:val="22"/>
          <w:lang w:val="en-US"/>
        </w:rPr>
        <w:t xml:space="preserve">as it would </w:t>
      </w:r>
      <w:r w:rsidRPr="00337831">
        <w:rPr>
          <w:rFonts w:cs="Arial"/>
          <w:bCs/>
          <w:sz w:val="22"/>
          <w:szCs w:val="22"/>
          <w:lang w:val="en-US"/>
        </w:rPr>
        <w:t xml:space="preserve">not be </w:t>
      </w:r>
      <w:r w:rsidRPr="00337831">
        <w:rPr>
          <w:rFonts w:cs="Arial"/>
          <w:bCs/>
          <w:i/>
          <w:sz w:val="22"/>
          <w:szCs w:val="22"/>
          <w:lang w:val="en-US"/>
        </w:rPr>
        <w:t>prima facie</w:t>
      </w:r>
      <w:r w:rsidRPr="00337831">
        <w:rPr>
          <w:rFonts w:cs="Arial"/>
          <w:bCs/>
          <w:sz w:val="22"/>
          <w:szCs w:val="22"/>
          <w:lang w:val="en-US"/>
        </w:rPr>
        <w:t xml:space="preserve"> “</w:t>
      </w:r>
      <w:r w:rsidR="00D25429" w:rsidRPr="00337831">
        <w:rPr>
          <w:rFonts w:cs="Arial"/>
          <w:bCs/>
          <w:sz w:val="22"/>
          <w:szCs w:val="22"/>
          <w:lang w:val="en-US"/>
        </w:rPr>
        <w:t>fair and equitable</w:t>
      </w:r>
      <w:r w:rsidRPr="00337831">
        <w:rPr>
          <w:rFonts w:cs="Arial"/>
          <w:bCs/>
          <w:sz w:val="22"/>
          <w:szCs w:val="22"/>
          <w:lang w:val="en-US"/>
        </w:rPr>
        <w:t>”</w:t>
      </w:r>
      <w:r w:rsidR="00D25429" w:rsidRPr="00337831">
        <w:rPr>
          <w:rFonts w:cs="Arial"/>
          <w:bCs/>
          <w:sz w:val="22"/>
          <w:szCs w:val="22"/>
          <w:lang w:val="en-US"/>
        </w:rPr>
        <w:t xml:space="preserve"> as required in § 1129(b)(2).  There is no corresponding rule</w:t>
      </w:r>
      <w:r w:rsidRPr="00337831">
        <w:rPr>
          <w:rFonts w:cs="Arial"/>
          <w:bCs/>
          <w:sz w:val="22"/>
          <w:szCs w:val="22"/>
          <w:lang w:val="en-US"/>
        </w:rPr>
        <w:t xml:space="preserve"> (or statutory </w:t>
      </w:r>
      <w:r w:rsidRPr="00337831">
        <w:rPr>
          <w:rFonts w:cs="Arial"/>
          <w:bCs/>
          <w:sz w:val="22"/>
          <w:szCs w:val="22"/>
          <w:lang w:val="en-US"/>
        </w:rPr>
        <w:lastRenderedPageBreak/>
        <w:t>authority)</w:t>
      </w:r>
      <w:r w:rsidR="00D25429" w:rsidRPr="00337831">
        <w:rPr>
          <w:rFonts w:cs="Arial"/>
          <w:bCs/>
          <w:sz w:val="22"/>
          <w:szCs w:val="22"/>
          <w:lang w:val="en-US"/>
        </w:rPr>
        <w:t xml:space="preserve"> in respect of Schemes.  </w:t>
      </w:r>
      <w:r w:rsidRPr="00337831">
        <w:rPr>
          <w:rFonts w:cs="Arial"/>
          <w:bCs/>
          <w:sz w:val="22"/>
          <w:szCs w:val="22"/>
          <w:lang w:val="en-US"/>
        </w:rPr>
        <w:t xml:space="preserve">Despite this, </w:t>
      </w:r>
      <w:r w:rsidR="00D25429" w:rsidRPr="00337831">
        <w:rPr>
          <w:rFonts w:cs="Arial"/>
          <w:bCs/>
          <w:sz w:val="22"/>
          <w:szCs w:val="22"/>
          <w:lang w:val="en-US"/>
        </w:rPr>
        <w:t xml:space="preserve">as </w:t>
      </w:r>
      <w:r w:rsidRPr="00337831">
        <w:rPr>
          <w:rFonts w:cs="Arial"/>
          <w:bCs/>
          <w:sz w:val="22"/>
          <w:szCs w:val="22"/>
          <w:lang w:val="en-US"/>
        </w:rPr>
        <w:t xml:space="preserve">above, the voting thresholds for </w:t>
      </w:r>
      <w:r w:rsidR="00D25429" w:rsidRPr="00337831">
        <w:rPr>
          <w:rFonts w:cs="Arial"/>
          <w:bCs/>
          <w:sz w:val="22"/>
          <w:szCs w:val="22"/>
          <w:lang w:val="en-US"/>
        </w:rPr>
        <w:t>Schemes are higher.</w:t>
      </w:r>
    </w:p>
    <w:p w14:paraId="26794755" w14:textId="77777777" w:rsidR="00F27FED" w:rsidRPr="00337831" w:rsidRDefault="00D25429" w:rsidP="006351BC">
      <w:pPr>
        <w:pStyle w:val="Heading2"/>
        <w:spacing w:after="120" w:line="360" w:lineRule="auto"/>
        <w:ind w:left="0" w:firstLine="0"/>
        <w:rPr>
          <w:rFonts w:cs="Arial"/>
          <w:b/>
          <w:sz w:val="22"/>
          <w:szCs w:val="22"/>
          <w:lang w:val="en-US"/>
        </w:rPr>
      </w:pPr>
      <w:bookmarkStart w:id="12" w:name="_Toc32686588"/>
      <w:r w:rsidRPr="00337831">
        <w:rPr>
          <w:rFonts w:cs="Arial"/>
          <w:b/>
          <w:sz w:val="22"/>
          <w:szCs w:val="22"/>
          <w:lang w:val="en-US"/>
        </w:rPr>
        <w:t>Is there a preferred regime?</w:t>
      </w:r>
      <w:bookmarkEnd w:id="12"/>
    </w:p>
    <w:p w14:paraId="15B25D86" w14:textId="77777777" w:rsidR="00436898" w:rsidRPr="00337831" w:rsidRDefault="00D25429" w:rsidP="006351BC">
      <w:pPr>
        <w:pStyle w:val="BodyText"/>
        <w:spacing w:after="120" w:line="360" w:lineRule="auto"/>
        <w:rPr>
          <w:rFonts w:cs="Arial"/>
          <w:bCs/>
          <w:sz w:val="22"/>
          <w:szCs w:val="22"/>
          <w:lang w:val="en-US"/>
        </w:rPr>
      </w:pPr>
      <w:r w:rsidRPr="00337831">
        <w:rPr>
          <w:rFonts w:cs="Arial"/>
          <w:bCs/>
          <w:sz w:val="22"/>
          <w:szCs w:val="22"/>
          <w:lang w:val="en-US"/>
        </w:rPr>
        <w:t xml:space="preserve">Despite the absence of the absolute priority rule in England, it is not obvious that there is a material </w:t>
      </w:r>
      <w:r w:rsidR="006351BC" w:rsidRPr="00337831">
        <w:rPr>
          <w:rFonts w:cs="Arial"/>
          <w:bCs/>
          <w:sz w:val="22"/>
          <w:szCs w:val="22"/>
          <w:lang w:val="en-US"/>
        </w:rPr>
        <w:t>difference</w:t>
      </w:r>
      <w:r w:rsidRPr="00337831">
        <w:rPr>
          <w:rFonts w:cs="Arial"/>
          <w:bCs/>
          <w:sz w:val="22"/>
          <w:szCs w:val="22"/>
          <w:lang w:val="en-US"/>
        </w:rPr>
        <w:t xml:space="preserve"> between Chapter 11 Pre-packs and English Schemes in </w:t>
      </w:r>
      <w:r w:rsidR="00436898" w:rsidRPr="00337831">
        <w:rPr>
          <w:rFonts w:cs="Arial"/>
          <w:bCs/>
          <w:sz w:val="22"/>
          <w:szCs w:val="22"/>
          <w:lang w:val="en-US"/>
        </w:rPr>
        <w:t xml:space="preserve">the context of the </w:t>
      </w:r>
      <w:r w:rsidRPr="00337831">
        <w:rPr>
          <w:rFonts w:cs="Arial"/>
          <w:bCs/>
          <w:sz w:val="22"/>
          <w:szCs w:val="22"/>
          <w:lang w:val="en-US"/>
        </w:rPr>
        <w:t xml:space="preserve">Case.  The main reason for this is that, in either </w:t>
      </w:r>
      <w:r w:rsidR="00436898" w:rsidRPr="00337831">
        <w:rPr>
          <w:rFonts w:cs="Arial"/>
          <w:bCs/>
          <w:sz w:val="22"/>
          <w:szCs w:val="22"/>
          <w:lang w:val="en-US"/>
        </w:rPr>
        <w:t>a Pre-pack or a Scheme</w:t>
      </w:r>
      <w:r w:rsidRPr="00337831">
        <w:rPr>
          <w:rFonts w:cs="Arial"/>
          <w:bCs/>
          <w:sz w:val="22"/>
          <w:szCs w:val="22"/>
          <w:lang w:val="en-US"/>
        </w:rPr>
        <w:t>, the arrangement is going to fa</w:t>
      </w:r>
      <w:r w:rsidR="00436898" w:rsidRPr="00337831">
        <w:rPr>
          <w:rFonts w:cs="Arial"/>
          <w:bCs/>
          <w:sz w:val="22"/>
          <w:szCs w:val="22"/>
          <w:lang w:val="en-US"/>
        </w:rPr>
        <w:t xml:space="preserve">il if the requisite majority </w:t>
      </w:r>
      <w:r w:rsidRPr="00337831">
        <w:rPr>
          <w:rFonts w:cs="Arial"/>
          <w:bCs/>
          <w:sz w:val="22"/>
          <w:szCs w:val="22"/>
          <w:lang w:val="en-US"/>
        </w:rPr>
        <w:t xml:space="preserve">does not vote in </w:t>
      </w:r>
      <w:r w:rsidRPr="00337831">
        <w:rPr>
          <w:rFonts w:cs="Arial"/>
          <w:bCs/>
          <w:sz w:val="22"/>
          <w:szCs w:val="22"/>
        </w:rPr>
        <w:t>fa</w:t>
      </w:r>
      <w:r w:rsidR="00436898" w:rsidRPr="00337831">
        <w:rPr>
          <w:rFonts w:cs="Arial"/>
          <w:bCs/>
          <w:sz w:val="22"/>
          <w:szCs w:val="22"/>
        </w:rPr>
        <w:t>vour</w:t>
      </w:r>
      <w:r w:rsidR="00436898" w:rsidRPr="00337831">
        <w:rPr>
          <w:rFonts w:cs="Arial"/>
          <w:bCs/>
          <w:sz w:val="22"/>
          <w:szCs w:val="22"/>
          <w:lang w:val="en-US"/>
        </w:rPr>
        <w:t xml:space="preserve"> of it.  In relation to a </w:t>
      </w:r>
      <w:r w:rsidRPr="00337831">
        <w:rPr>
          <w:rFonts w:cs="Arial"/>
          <w:bCs/>
          <w:sz w:val="22"/>
          <w:szCs w:val="22"/>
          <w:lang w:val="en-US"/>
        </w:rPr>
        <w:t xml:space="preserve">Pre-pack, this is because the absolute priority </w:t>
      </w:r>
      <w:r w:rsidR="006351BC" w:rsidRPr="00337831">
        <w:rPr>
          <w:rFonts w:cs="Arial"/>
          <w:bCs/>
          <w:sz w:val="22"/>
          <w:szCs w:val="22"/>
          <w:lang w:val="en-US"/>
        </w:rPr>
        <w:t>rule</w:t>
      </w:r>
      <w:r w:rsidRPr="00337831">
        <w:rPr>
          <w:rFonts w:cs="Arial"/>
          <w:bCs/>
          <w:sz w:val="22"/>
          <w:szCs w:val="22"/>
          <w:lang w:val="en-US"/>
        </w:rPr>
        <w:t xml:space="preserve"> would prohibit the Court from approving the Plan </w:t>
      </w:r>
      <w:r w:rsidR="00436898" w:rsidRPr="00337831">
        <w:rPr>
          <w:rFonts w:cs="Arial"/>
          <w:bCs/>
          <w:sz w:val="22"/>
          <w:szCs w:val="22"/>
          <w:lang w:val="en-US"/>
        </w:rPr>
        <w:t>(</w:t>
      </w:r>
      <w:r w:rsidRPr="00337831">
        <w:rPr>
          <w:rFonts w:cs="Arial"/>
          <w:bCs/>
          <w:sz w:val="22"/>
          <w:szCs w:val="22"/>
          <w:lang w:val="en-US"/>
        </w:rPr>
        <w:t>as lower levels of debt holders and equity are left unaffected</w:t>
      </w:r>
      <w:r w:rsidR="004E7B23">
        <w:rPr>
          <w:rFonts w:cs="Arial"/>
          <w:bCs/>
          <w:sz w:val="22"/>
          <w:szCs w:val="22"/>
          <w:lang w:val="en-US"/>
        </w:rPr>
        <w:t xml:space="preserve"> and are not voting</w:t>
      </w:r>
      <w:r w:rsidR="00436898" w:rsidRPr="00337831">
        <w:rPr>
          <w:rFonts w:cs="Arial"/>
          <w:bCs/>
          <w:sz w:val="22"/>
          <w:szCs w:val="22"/>
          <w:lang w:val="en-US"/>
        </w:rPr>
        <w:t>) if the voting thresholds were not met.</w:t>
      </w:r>
      <w:r w:rsidR="00845F3F" w:rsidRPr="00337831">
        <w:rPr>
          <w:rFonts w:cs="Arial"/>
          <w:bCs/>
          <w:sz w:val="22"/>
          <w:szCs w:val="22"/>
          <w:lang w:val="en-US"/>
        </w:rPr>
        <w:t xml:space="preserve">  </w:t>
      </w:r>
      <w:r w:rsidR="00436898" w:rsidRPr="00337831">
        <w:rPr>
          <w:rFonts w:cs="Arial"/>
          <w:bCs/>
          <w:sz w:val="22"/>
          <w:szCs w:val="22"/>
          <w:lang w:val="en-US"/>
        </w:rPr>
        <w:t xml:space="preserve">In terms of a </w:t>
      </w:r>
      <w:r w:rsidRPr="00337831">
        <w:rPr>
          <w:rFonts w:cs="Arial"/>
          <w:bCs/>
          <w:sz w:val="22"/>
          <w:szCs w:val="22"/>
          <w:lang w:val="en-US"/>
        </w:rPr>
        <w:t xml:space="preserve">Scheme, the Court would </w:t>
      </w:r>
      <w:r w:rsidR="00436898" w:rsidRPr="00337831">
        <w:rPr>
          <w:rFonts w:cs="Arial"/>
          <w:bCs/>
          <w:sz w:val="22"/>
          <w:szCs w:val="22"/>
          <w:lang w:val="en-US"/>
        </w:rPr>
        <w:t xml:space="preserve">simply not have </w:t>
      </w:r>
      <w:r w:rsidR="006351BC" w:rsidRPr="00337831">
        <w:rPr>
          <w:rFonts w:cs="Arial"/>
          <w:bCs/>
          <w:sz w:val="22"/>
          <w:szCs w:val="22"/>
          <w:lang w:val="en-US"/>
        </w:rPr>
        <w:t>jurisdiction</w:t>
      </w:r>
      <w:r w:rsidR="00436898" w:rsidRPr="00337831">
        <w:rPr>
          <w:rFonts w:cs="Arial"/>
          <w:bCs/>
          <w:sz w:val="22"/>
          <w:szCs w:val="22"/>
          <w:lang w:val="en-US"/>
        </w:rPr>
        <w:t xml:space="preserve"> to approve it if the </w:t>
      </w:r>
      <w:r w:rsidRPr="00337831">
        <w:rPr>
          <w:rFonts w:cs="Arial"/>
          <w:bCs/>
          <w:sz w:val="22"/>
          <w:szCs w:val="22"/>
          <w:lang w:val="en-US"/>
        </w:rPr>
        <w:t xml:space="preserve">one class of creditors </w:t>
      </w:r>
      <w:r w:rsidR="00436898" w:rsidRPr="00337831">
        <w:rPr>
          <w:rFonts w:cs="Arial"/>
          <w:bCs/>
          <w:sz w:val="22"/>
          <w:szCs w:val="22"/>
          <w:lang w:val="en-US"/>
        </w:rPr>
        <w:t xml:space="preserve">that was affected by it did not vote in favour of it.  </w:t>
      </w:r>
    </w:p>
    <w:p w14:paraId="76BAA8C1" w14:textId="77777777" w:rsidR="00190600" w:rsidRPr="00337831" w:rsidRDefault="00D25429" w:rsidP="006351BC">
      <w:pPr>
        <w:pStyle w:val="BodyText"/>
        <w:spacing w:after="120" w:line="360" w:lineRule="auto"/>
        <w:rPr>
          <w:rFonts w:cs="Arial"/>
          <w:bCs/>
          <w:sz w:val="22"/>
          <w:szCs w:val="22"/>
          <w:lang w:val="en-US"/>
        </w:rPr>
      </w:pPr>
      <w:r w:rsidRPr="00337831">
        <w:rPr>
          <w:rFonts w:cs="Arial"/>
          <w:bCs/>
          <w:sz w:val="22"/>
          <w:szCs w:val="22"/>
          <w:lang w:val="en-US"/>
        </w:rPr>
        <w:t xml:space="preserve">Given the above, depending on the makeup of the Bondholder class, because of the existence of the automatic </w:t>
      </w:r>
      <w:r w:rsidR="006351BC" w:rsidRPr="00337831">
        <w:rPr>
          <w:rFonts w:cs="Arial"/>
          <w:bCs/>
          <w:sz w:val="22"/>
          <w:szCs w:val="22"/>
          <w:lang w:val="en-US"/>
        </w:rPr>
        <w:t>moratorium</w:t>
      </w:r>
      <w:r w:rsidRPr="00337831">
        <w:rPr>
          <w:rFonts w:cs="Arial"/>
          <w:bCs/>
          <w:sz w:val="22"/>
          <w:szCs w:val="22"/>
          <w:lang w:val="en-US"/>
        </w:rPr>
        <w:t xml:space="preserve"> and the lower voting thresholds, </w:t>
      </w:r>
      <w:r w:rsidR="00196B46" w:rsidRPr="00337831">
        <w:rPr>
          <w:rFonts w:cs="Arial"/>
          <w:bCs/>
          <w:sz w:val="22"/>
          <w:szCs w:val="22"/>
          <w:lang w:val="en-US"/>
        </w:rPr>
        <w:t xml:space="preserve">it could be argued that </w:t>
      </w:r>
      <w:r w:rsidRPr="00337831">
        <w:rPr>
          <w:rFonts w:cs="Arial"/>
          <w:bCs/>
          <w:sz w:val="22"/>
          <w:szCs w:val="22"/>
          <w:lang w:val="en-US"/>
        </w:rPr>
        <w:t>a Chapter 11 P</w:t>
      </w:r>
      <w:r w:rsidR="00436898" w:rsidRPr="00337831">
        <w:rPr>
          <w:rFonts w:cs="Arial"/>
          <w:bCs/>
          <w:sz w:val="22"/>
          <w:szCs w:val="22"/>
          <w:lang w:val="en-US"/>
        </w:rPr>
        <w:t>re-pack</w:t>
      </w:r>
      <w:r w:rsidR="00845F3F" w:rsidRPr="00337831">
        <w:rPr>
          <w:rFonts w:cs="Arial"/>
          <w:bCs/>
          <w:sz w:val="22"/>
          <w:szCs w:val="22"/>
          <w:lang w:val="en-US"/>
        </w:rPr>
        <w:t xml:space="preserve"> </w:t>
      </w:r>
      <w:r w:rsidR="004E7B23">
        <w:rPr>
          <w:rFonts w:cs="Arial"/>
          <w:bCs/>
          <w:sz w:val="22"/>
          <w:szCs w:val="22"/>
          <w:lang w:val="en-US"/>
        </w:rPr>
        <w:t>has some arguable benefits</w:t>
      </w:r>
      <w:r w:rsidRPr="00337831">
        <w:rPr>
          <w:rFonts w:cs="Arial"/>
          <w:bCs/>
          <w:sz w:val="22"/>
          <w:szCs w:val="22"/>
          <w:lang w:val="en-US"/>
        </w:rPr>
        <w:t>.</w:t>
      </w:r>
      <w:r w:rsidR="00845F3F" w:rsidRPr="00337831">
        <w:rPr>
          <w:rFonts w:cs="Arial"/>
          <w:bCs/>
          <w:sz w:val="22"/>
          <w:szCs w:val="22"/>
          <w:lang w:val="en-US"/>
        </w:rPr>
        <w:t xml:space="preserve">  While the </w:t>
      </w:r>
      <w:r w:rsidRPr="00337831">
        <w:rPr>
          <w:rFonts w:cs="Arial"/>
          <w:bCs/>
          <w:sz w:val="22"/>
          <w:szCs w:val="22"/>
          <w:lang w:val="en-US"/>
        </w:rPr>
        <w:t xml:space="preserve">existence of the absolute priority rule may make it difficult for the Bondholders to </w:t>
      </w:r>
      <w:r w:rsidR="006351BC" w:rsidRPr="00337831">
        <w:rPr>
          <w:rFonts w:cs="Arial"/>
          <w:bCs/>
          <w:sz w:val="22"/>
          <w:szCs w:val="22"/>
          <w:lang w:val="en-US"/>
        </w:rPr>
        <w:t>conceptualize</w:t>
      </w:r>
      <w:r w:rsidRPr="00337831">
        <w:rPr>
          <w:rFonts w:cs="Arial"/>
          <w:bCs/>
          <w:sz w:val="22"/>
          <w:szCs w:val="22"/>
          <w:lang w:val="en-US"/>
        </w:rPr>
        <w:t xml:space="preserve"> </w:t>
      </w:r>
      <w:r w:rsidR="006351BC" w:rsidRPr="00337831">
        <w:rPr>
          <w:rFonts w:cs="Arial"/>
          <w:bCs/>
          <w:sz w:val="22"/>
          <w:szCs w:val="22"/>
          <w:lang w:val="en-US"/>
        </w:rPr>
        <w:t>why</w:t>
      </w:r>
      <w:r w:rsidRPr="00337831">
        <w:rPr>
          <w:rFonts w:cs="Arial"/>
          <w:bCs/>
          <w:sz w:val="22"/>
          <w:szCs w:val="22"/>
          <w:lang w:val="en-US"/>
        </w:rPr>
        <w:t xml:space="preserve"> they </w:t>
      </w:r>
      <w:r w:rsidR="00845F3F" w:rsidRPr="00337831">
        <w:rPr>
          <w:rFonts w:cs="Arial"/>
          <w:bCs/>
          <w:sz w:val="22"/>
          <w:szCs w:val="22"/>
          <w:lang w:val="en-US"/>
        </w:rPr>
        <w:t>should</w:t>
      </w:r>
      <w:r w:rsidRPr="00337831">
        <w:rPr>
          <w:rFonts w:cs="Arial"/>
          <w:bCs/>
          <w:sz w:val="22"/>
          <w:szCs w:val="22"/>
          <w:lang w:val="en-US"/>
        </w:rPr>
        <w:t xml:space="preserve"> vote in </w:t>
      </w:r>
      <w:r w:rsidR="00845F3F" w:rsidRPr="00337831">
        <w:rPr>
          <w:rFonts w:cs="Arial"/>
          <w:bCs/>
          <w:sz w:val="22"/>
          <w:szCs w:val="22"/>
          <w:lang w:val="en-US"/>
        </w:rPr>
        <w:t>favor</w:t>
      </w:r>
      <w:r w:rsidRPr="00337831">
        <w:rPr>
          <w:rFonts w:cs="Arial"/>
          <w:bCs/>
          <w:sz w:val="22"/>
          <w:szCs w:val="22"/>
          <w:lang w:val="en-US"/>
        </w:rPr>
        <w:t xml:space="preserve"> of </w:t>
      </w:r>
      <w:r w:rsidR="00845F3F" w:rsidRPr="00337831">
        <w:rPr>
          <w:rFonts w:cs="Arial"/>
          <w:bCs/>
          <w:sz w:val="22"/>
          <w:szCs w:val="22"/>
          <w:lang w:val="en-US"/>
        </w:rPr>
        <w:t>such a Plan</w:t>
      </w:r>
      <w:r w:rsidRPr="00337831">
        <w:rPr>
          <w:rFonts w:cs="Arial"/>
          <w:bCs/>
          <w:sz w:val="22"/>
          <w:szCs w:val="22"/>
          <w:lang w:val="en-US"/>
        </w:rPr>
        <w:t>,</w:t>
      </w:r>
      <w:r w:rsidR="00845F3F" w:rsidRPr="00337831">
        <w:rPr>
          <w:rFonts w:cs="Arial"/>
          <w:bCs/>
          <w:sz w:val="22"/>
          <w:szCs w:val="22"/>
          <w:lang w:val="en-US"/>
        </w:rPr>
        <w:t xml:space="preserve"> </w:t>
      </w:r>
      <w:r w:rsidR="00436898" w:rsidRPr="00337831">
        <w:rPr>
          <w:rFonts w:cs="Arial"/>
          <w:bCs/>
          <w:sz w:val="22"/>
          <w:szCs w:val="22"/>
          <w:lang w:val="en-US"/>
        </w:rPr>
        <w:t>the C</w:t>
      </w:r>
      <w:r w:rsidRPr="00337831">
        <w:rPr>
          <w:rFonts w:cs="Arial"/>
          <w:bCs/>
          <w:sz w:val="22"/>
          <w:szCs w:val="22"/>
          <w:lang w:val="en-US"/>
        </w:rPr>
        <w:t>ourt can still make the order under § 1129</w:t>
      </w:r>
      <w:r w:rsidR="00845F3F" w:rsidRPr="00337831">
        <w:rPr>
          <w:rFonts w:cs="Arial"/>
          <w:bCs/>
          <w:sz w:val="22"/>
          <w:szCs w:val="22"/>
          <w:lang w:val="en-US"/>
        </w:rPr>
        <w:t xml:space="preserve"> </w:t>
      </w:r>
      <w:r w:rsidR="005A318F" w:rsidRPr="00337831">
        <w:rPr>
          <w:rFonts w:cs="Arial"/>
          <w:bCs/>
          <w:sz w:val="22"/>
          <w:szCs w:val="22"/>
          <w:lang w:val="en-US"/>
        </w:rPr>
        <w:t>if</w:t>
      </w:r>
      <w:r w:rsidR="00845F3F" w:rsidRPr="00337831">
        <w:rPr>
          <w:rFonts w:cs="Arial"/>
          <w:bCs/>
          <w:sz w:val="22"/>
          <w:szCs w:val="22"/>
          <w:lang w:val="en-US"/>
        </w:rPr>
        <w:t xml:space="preserve"> they give consent</w:t>
      </w:r>
      <w:r w:rsidRPr="00337831">
        <w:rPr>
          <w:rFonts w:cs="Arial"/>
          <w:bCs/>
          <w:sz w:val="22"/>
          <w:szCs w:val="22"/>
          <w:lang w:val="en-US"/>
        </w:rPr>
        <w:t>.</w:t>
      </w:r>
      <w:r w:rsidR="00436898" w:rsidRPr="00337831">
        <w:rPr>
          <w:rFonts w:cs="Arial"/>
          <w:bCs/>
          <w:sz w:val="22"/>
          <w:szCs w:val="22"/>
          <w:lang w:val="en-US"/>
        </w:rPr>
        <w:t xml:space="preserve">  If allowed, it would mean that the lower-ranking holders of claims could still enforce their full claims against the company despite a compromise of the Bondholders’ position.  </w:t>
      </w:r>
      <w:r w:rsidR="00A851EB" w:rsidRPr="00337831">
        <w:rPr>
          <w:rFonts w:cs="Arial"/>
          <w:bCs/>
          <w:sz w:val="22"/>
          <w:szCs w:val="22"/>
          <w:lang w:val="en-US"/>
        </w:rPr>
        <w:t xml:space="preserve">In this context, </w:t>
      </w:r>
      <w:r w:rsidR="00436898" w:rsidRPr="00337831">
        <w:rPr>
          <w:rFonts w:cs="Arial"/>
          <w:bCs/>
          <w:sz w:val="22"/>
          <w:szCs w:val="22"/>
          <w:lang w:val="en-US"/>
        </w:rPr>
        <w:t xml:space="preserve">it must be assumed from the facts of the Case that, because only one class of Bondholders is being affected, following a successful restructure of the relevant debt, the company will be able to continue as a going concern notwithstanding the existence of the other claims.   </w:t>
      </w:r>
    </w:p>
    <w:p w14:paraId="71E8F476" w14:textId="77777777" w:rsidR="006351BC" w:rsidRPr="00337831" w:rsidRDefault="00436898" w:rsidP="006351BC">
      <w:pPr>
        <w:pStyle w:val="BodyText"/>
        <w:spacing w:after="120" w:line="360" w:lineRule="auto"/>
        <w:rPr>
          <w:rFonts w:cs="Arial"/>
          <w:sz w:val="22"/>
          <w:szCs w:val="22"/>
        </w:rPr>
      </w:pPr>
      <w:r w:rsidRPr="00337831">
        <w:rPr>
          <w:rFonts w:cs="Arial"/>
          <w:sz w:val="22"/>
          <w:szCs w:val="22"/>
        </w:rPr>
        <w:t>As previously stated, the absolute priority rule provides that c</w:t>
      </w:r>
      <w:r w:rsidR="00D25429" w:rsidRPr="00337831">
        <w:rPr>
          <w:rFonts w:cs="Arial"/>
          <w:sz w:val="22"/>
          <w:szCs w:val="22"/>
        </w:rPr>
        <w:t>laims of a dissenting class of creditors must be paid in full before any class of creditors junior to such dissenting class</w:t>
      </w:r>
      <w:r w:rsidRPr="00337831">
        <w:rPr>
          <w:rFonts w:cs="Arial"/>
          <w:sz w:val="22"/>
          <w:szCs w:val="22"/>
        </w:rPr>
        <w:t xml:space="preserve"> can </w:t>
      </w:r>
      <w:r w:rsidR="00D25429" w:rsidRPr="00337831">
        <w:rPr>
          <w:rFonts w:cs="Arial"/>
          <w:sz w:val="22"/>
          <w:szCs w:val="22"/>
        </w:rPr>
        <w:t xml:space="preserve">receive or retain any property in satisfaction of their claims. </w:t>
      </w:r>
      <w:r w:rsidRPr="00337831">
        <w:rPr>
          <w:rFonts w:cs="Arial"/>
          <w:sz w:val="22"/>
          <w:szCs w:val="22"/>
        </w:rPr>
        <w:t xml:space="preserve"> </w:t>
      </w:r>
      <w:r w:rsidR="00D25429" w:rsidRPr="00337831">
        <w:rPr>
          <w:rFonts w:cs="Arial"/>
          <w:sz w:val="22"/>
          <w:szCs w:val="22"/>
        </w:rPr>
        <w:t xml:space="preserve">A </w:t>
      </w:r>
      <w:r w:rsidR="009D2D6F" w:rsidRPr="00337831">
        <w:rPr>
          <w:rFonts w:cs="Arial"/>
          <w:sz w:val="22"/>
          <w:szCs w:val="22"/>
        </w:rPr>
        <w:t>Plan</w:t>
      </w:r>
      <w:r w:rsidR="00D25429" w:rsidRPr="00337831">
        <w:rPr>
          <w:rFonts w:cs="Arial"/>
          <w:sz w:val="22"/>
          <w:szCs w:val="22"/>
        </w:rPr>
        <w:t xml:space="preserve"> cannot, therefore, be crammed down on creditors unless </w:t>
      </w:r>
      <w:r w:rsidRPr="00337831">
        <w:rPr>
          <w:rFonts w:cs="Arial"/>
          <w:sz w:val="22"/>
          <w:szCs w:val="22"/>
        </w:rPr>
        <w:t xml:space="preserve">they </w:t>
      </w:r>
      <w:r w:rsidR="004E7B23">
        <w:rPr>
          <w:rFonts w:cs="Arial"/>
          <w:sz w:val="22"/>
          <w:szCs w:val="22"/>
        </w:rPr>
        <w:t xml:space="preserve">either </w:t>
      </w:r>
      <w:r w:rsidRPr="00337831">
        <w:rPr>
          <w:rFonts w:cs="Arial"/>
          <w:sz w:val="22"/>
          <w:szCs w:val="22"/>
        </w:rPr>
        <w:t>vote in favour of it or lower ranking creditors</w:t>
      </w:r>
      <w:r w:rsidR="00845F3F" w:rsidRPr="00337831">
        <w:rPr>
          <w:rFonts w:cs="Arial"/>
          <w:sz w:val="22"/>
          <w:szCs w:val="22"/>
        </w:rPr>
        <w:t xml:space="preserve"> </w:t>
      </w:r>
      <w:r w:rsidR="00D25429" w:rsidRPr="00337831">
        <w:rPr>
          <w:rFonts w:cs="Arial"/>
          <w:sz w:val="22"/>
          <w:szCs w:val="22"/>
        </w:rPr>
        <w:t>receive no distributions.</w:t>
      </w:r>
      <w:r w:rsidR="00D25429" w:rsidRPr="00337831">
        <w:rPr>
          <w:rStyle w:val="FootnoteReference"/>
          <w:rFonts w:cs="Arial"/>
          <w:sz w:val="22"/>
          <w:szCs w:val="22"/>
        </w:rPr>
        <w:footnoteReference w:id="55"/>
      </w:r>
      <w:r w:rsidR="00D25429" w:rsidRPr="00337831">
        <w:rPr>
          <w:rFonts w:cs="Arial"/>
          <w:sz w:val="22"/>
          <w:szCs w:val="22"/>
        </w:rPr>
        <w:t xml:space="preserve">  In essence, </w:t>
      </w:r>
      <w:r w:rsidR="00D25429" w:rsidRPr="00337831">
        <w:rPr>
          <w:rFonts w:cs="Arial"/>
          <w:bCs/>
          <w:sz w:val="22"/>
          <w:szCs w:val="22"/>
          <w:lang w:val="en-US"/>
        </w:rPr>
        <w:t>class</w:t>
      </w:r>
      <w:r w:rsidRPr="00337831">
        <w:rPr>
          <w:rFonts w:cs="Arial"/>
          <w:bCs/>
          <w:sz w:val="22"/>
          <w:szCs w:val="22"/>
          <w:lang w:val="en-US"/>
        </w:rPr>
        <w:t>es can be compelled by the C</w:t>
      </w:r>
      <w:r w:rsidR="00D25429" w:rsidRPr="00337831">
        <w:rPr>
          <w:rFonts w:cs="Arial"/>
          <w:bCs/>
          <w:sz w:val="22"/>
          <w:szCs w:val="22"/>
          <w:lang w:val="en-US"/>
        </w:rPr>
        <w:t xml:space="preserve">ourt to be bound by the restructuring and </w:t>
      </w:r>
      <w:r w:rsidRPr="00337831">
        <w:rPr>
          <w:rFonts w:cs="Arial"/>
          <w:bCs/>
          <w:sz w:val="22"/>
          <w:szCs w:val="22"/>
          <w:lang w:val="en-US"/>
        </w:rPr>
        <w:t xml:space="preserve">therefore </w:t>
      </w:r>
      <w:r w:rsidR="00D25429" w:rsidRPr="00337831">
        <w:rPr>
          <w:rFonts w:cs="Arial"/>
          <w:bCs/>
          <w:sz w:val="22"/>
          <w:szCs w:val="22"/>
          <w:lang w:val="en-US"/>
        </w:rPr>
        <w:t>effectively “crammed-down”.</w:t>
      </w:r>
      <w:r w:rsidR="00D25429" w:rsidRPr="00337831">
        <w:rPr>
          <w:rStyle w:val="FootnoteReference"/>
          <w:rFonts w:cs="Arial"/>
          <w:bCs/>
          <w:sz w:val="22"/>
          <w:szCs w:val="22"/>
          <w:lang w:val="en-US"/>
        </w:rPr>
        <w:footnoteReference w:id="56"/>
      </w:r>
      <w:r w:rsidRPr="00337831">
        <w:rPr>
          <w:rFonts w:cs="Arial"/>
          <w:bCs/>
          <w:sz w:val="22"/>
          <w:szCs w:val="22"/>
          <w:lang w:val="en-US"/>
        </w:rPr>
        <w:t xml:space="preserve">  In the context of the Case, a Pre-pack can be used so that the Bondholders can effectively consent to the outcome </w:t>
      </w:r>
      <w:r w:rsidR="004E7B23">
        <w:rPr>
          <w:rFonts w:cs="Arial"/>
          <w:bCs/>
          <w:sz w:val="22"/>
          <w:szCs w:val="22"/>
          <w:lang w:val="en-US"/>
        </w:rPr>
        <w:t>despite being c</w:t>
      </w:r>
      <w:r w:rsidRPr="00337831">
        <w:rPr>
          <w:rFonts w:cs="Arial"/>
          <w:bCs/>
          <w:sz w:val="22"/>
          <w:szCs w:val="22"/>
          <w:lang w:val="en-US"/>
        </w:rPr>
        <w:t>ontrary to the absolute priority rule.</w:t>
      </w:r>
    </w:p>
    <w:p w14:paraId="10F758EB" w14:textId="77777777" w:rsidR="00190600" w:rsidRPr="00337831" w:rsidRDefault="00196B46" w:rsidP="006351BC">
      <w:pPr>
        <w:pStyle w:val="BodyText"/>
        <w:spacing w:after="120" w:line="360" w:lineRule="auto"/>
        <w:rPr>
          <w:rFonts w:cs="Arial"/>
          <w:bCs/>
          <w:sz w:val="22"/>
          <w:szCs w:val="22"/>
          <w:lang w:val="en-US"/>
        </w:rPr>
      </w:pPr>
      <w:r w:rsidRPr="00337831">
        <w:rPr>
          <w:rFonts w:cs="Arial"/>
          <w:bCs/>
          <w:sz w:val="22"/>
          <w:szCs w:val="22"/>
          <w:lang w:val="en-US"/>
        </w:rPr>
        <w:t>While, as above,</w:t>
      </w:r>
      <w:r w:rsidR="00D25429" w:rsidRPr="00337831">
        <w:rPr>
          <w:rFonts w:cs="Arial"/>
          <w:bCs/>
          <w:sz w:val="22"/>
          <w:szCs w:val="22"/>
          <w:lang w:val="en-US"/>
        </w:rPr>
        <w:t xml:space="preserve"> there </w:t>
      </w:r>
      <w:r w:rsidRPr="00337831">
        <w:rPr>
          <w:rFonts w:cs="Arial"/>
          <w:bCs/>
          <w:sz w:val="22"/>
          <w:szCs w:val="22"/>
          <w:lang w:val="en-US"/>
        </w:rPr>
        <w:t xml:space="preserve">is </w:t>
      </w:r>
      <w:r w:rsidR="00D25429" w:rsidRPr="00337831">
        <w:rPr>
          <w:rFonts w:cs="Arial"/>
          <w:bCs/>
          <w:sz w:val="22"/>
          <w:szCs w:val="22"/>
          <w:lang w:val="en-US"/>
        </w:rPr>
        <w:t xml:space="preserve">no absolute </w:t>
      </w:r>
      <w:r w:rsidR="006351BC" w:rsidRPr="00337831">
        <w:rPr>
          <w:rFonts w:cs="Arial"/>
          <w:bCs/>
          <w:sz w:val="22"/>
          <w:szCs w:val="22"/>
          <w:lang w:val="en-US"/>
        </w:rPr>
        <w:t>priority</w:t>
      </w:r>
      <w:r w:rsidR="00D25429" w:rsidRPr="00337831">
        <w:rPr>
          <w:rFonts w:cs="Arial"/>
          <w:bCs/>
          <w:sz w:val="22"/>
          <w:szCs w:val="22"/>
          <w:lang w:val="en-US"/>
        </w:rPr>
        <w:t xml:space="preserve"> rule in England, creditors would still need to be conscious of why they are voting in </w:t>
      </w:r>
      <w:r w:rsidR="00436898" w:rsidRPr="00337831">
        <w:rPr>
          <w:rFonts w:cs="Arial"/>
          <w:bCs/>
          <w:sz w:val="22"/>
          <w:szCs w:val="22"/>
          <w:lang w:val="en-US"/>
        </w:rPr>
        <w:t>favour</w:t>
      </w:r>
      <w:r w:rsidR="00D25429" w:rsidRPr="00337831">
        <w:rPr>
          <w:rFonts w:cs="Arial"/>
          <w:bCs/>
          <w:sz w:val="22"/>
          <w:szCs w:val="22"/>
          <w:lang w:val="en-US"/>
        </w:rPr>
        <w:t xml:space="preserve"> </w:t>
      </w:r>
      <w:r w:rsidR="006351BC" w:rsidRPr="00337831">
        <w:rPr>
          <w:rFonts w:cs="Arial"/>
          <w:bCs/>
          <w:sz w:val="22"/>
          <w:szCs w:val="22"/>
          <w:lang w:val="en-US"/>
        </w:rPr>
        <w:t>of</w:t>
      </w:r>
      <w:r w:rsidR="00D25429" w:rsidRPr="00337831">
        <w:rPr>
          <w:rFonts w:cs="Arial"/>
          <w:bCs/>
          <w:sz w:val="22"/>
          <w:szCs w:val="22"/>
          <w:lang w:val="en-US"/>
        </w:rPr>
        <w:t xml:space="preserve"> an outcome that, potentially, provides other </w:t>
      </w:r>
      <w:r w:rsidR="00D25429" w:rsidRPr="00337831">
        <w:rPr>
          <w:rFonts w:cs="Arial"/>
          <w:bCs/>
          <w:sz w:val="22"/>
          <w:szCs w:val="22"/>
          <w:lang w:val="en-US"/>
        </w:rPr>
        <w:lastRenderedPageBreak/>
        <w:t xml:space="preserve">creditor groups with a better </w:t>
      </w:r>
      <w:r w:rsidR="004E7B23">
        <w:rPr>
          <w:rFonts w:cs="Arial"/>
          <w:bCs/>
          <w:sz w:val="22"/>
          <w:szCs w:val="22"/>
          <w:lang w:val="en-US"/>
        </w:rPr>
        <w:t>outcome</w:t>
      </w:r>
      <w:r w:rsidR="00D25429" w:rsidRPr="00337831">
        <w:rPr>
          <w:rFonts w:cs="Arial"/>
          <w:bCs/>
          <w:sz w:val="22"/>
          <w:szCs w:val="22"/>
          <w:lang w:val="en-US"/>
        </w:rPr>
        <w:t xml:space="preserve">.  One reason for this might be that there is just far too much bond debt </w:t>
      </w:r>
      <w:r w:rsidRPr="00337831">
        <w:rPr>
          <w:rFonts w:cs="Arial"/>
          <w:bCs/>
          <w:sz w:val="22"/>
          <w:szCs w:val="22"/>
          <w:lang w:val="en-US"/>
        </w:rPr>
        <w:t>but</w:t>
      </w:r>
      <w:r w:rsidR="00D25429" w:rsidRPr="00337831">
        <w:rPr>
          <w:rFonts w:cs="Arial"/>
          <w:bCs/>
          <w:sz w:val="22"/>
          <w:szCs w:val="22"/>
          <w:lang w:val="en-US"/>
        </w:rPr>
        <w:t xml:space="preserve"> a compromise of, for example, trade creditors, would destroy the value of </w:t>
      </w:r>
      <w:r w:rsidR="006351BC" w:rsidRPr="00337831">
        <w:rPr>
          <w:rFonts w:cs="Arial"/>
          <w:bCs/>
          <w:sz w:val="22"/>
          <w:szCs w:val="22"/>
          <w:lang w:val="en-US"/>
        </w:rPr>
        <w:t>the</w:t>
      </w:r>
      <w:r w:rsidR="00D25429" w:rsidRPr="00337831">
        <w:rPr>
          <w:rFonts w:cs="Arial"/>
          <w:bCs/>
          <w:sz w:val="22"/>
          <w:szCs w:val="22"/>
          <w:lang w:val="en-US"/>
        </w:rPr>
        <w:t xml:space="preserve"> business.  Another reason </w:t>
      </w:r>
      <w:r w:rsidR="006351BC" w:rsidRPr="00337831">
        <w:rPr>
          <w:rFonts w:cs="Arial"/>
          <w:bCs/>
          <w:sz w:val="22"/>
          <w:szCs w:val="22"/>
          <w:lang w:val="en-US"/>
        </w:rPr>
        <w:t>might</w:t>
      </w:r>
      <w:r w:rsidR="00D25429" w:rsidRPr="00337831">
        <w:rPr>
          <w:rFonts w:cs="Arial"/>
          <w:bCs/>
          <w:sz w:val="22"/>
          <w:szCs w:val="22"/>
          <w:lang w:val="en-US"/>
        </w:rPr>
        <w:t xml:space="preserve"> be that the equity holders, who could </w:t>
      </w:r>
      <w:r w:rsidR="006351BC" w:rsidRPr="00337831">
        <w:rPr>
          <w:rFonts w:cs="Arial"/>
          <w:bCs/>
          <w:sz w:val="22"/>
          <w:szCs w:val="22"/>
          <w:lang w:val="en-US"/>
        </w:rPr>
        <w:t>face</w:t>
      </w:r>
      <w:r w:rsidR="00436898" w:rsidRPr="00337831">
        <w:rPr>
          <w:rFonts w:cs="Arial"/>
          <w:bCs/>
          <w:sz w:val="22"/>
          <w:szCs w:val="22"/>
          <w:lang w:val="en-US"/>
        </w:rPr>
        <w:t xml:space="preserve"> </w:t>
      </w:r>
      <w:r w:rsidR="004E7B23">
        <w:rPr>
          <w:rFonts w:cs="Arial"/>
          <w:bCs/>
          <w:sz w:val="22"/>
          <w:szCs w:val="22"/>
          <w:lang w:val="en-US"/>
        </w:rPr>
        <w:t>losses</w:t>
      </w:r>
      <w:r w:rsidR="00436898" w:rsidRPr="00337831">
        <w:rPr>
          <w:rFonts w:cs="Arial"/>
          <w:bCs/>
          <w:sz w:val="22"/>
          <w:szCs w:val="22"/>
          <w:lang w:val="en-US"/>
        </w:rPr>
        <w:t xml:space="preserve"> if </w:t>
      </w:r>
      <w:r w:rsidR="00D25429" w:rsidRPr="00337831">
        <w:rPr>
          <w:rFonts w:cs="Arial"/>
          <w:bCs/>
          <w:sz w:val="22"/>
          <w:szCs w:val="22"/>
          <w:lang w:val="en-US"/>
        </w:rPr>
        <w:t xml:space="preserve">the Scheme doesn’t go through, </w:t>
      </w:r>
      <w:r w:rsidR="006351BC" w:rsidRPr="00337831">
        <w:rPr>
          <w:rFonts w:cs="Arial"/>
          <w:bCs/>
          <w:sz w:val="22"/>
          <w:szCs w:val="22"/>
          <w:lang w:val="en-US"/>
        </w:rPr>
        <w:t>might</w:t>
      </w:r>
      <w:r w:rsidR="00D25429" w:rsidRPr="00337831">
        <w:rPr>
          <w:rFonts w:cs="Arial"/>
          <w:bCs/>
          <w:sz w:val="22"/>
          <w:szCs w:val="22"/>
          <w:lang w:val="en-US"/>
        </w:rPr>
        <w:t xml:space="preserve"> make up a large proportion of the </w:t>
      </w:r>
      <w:r w:rsidR="006351BC" w:rsidRPr="00337831">
        <w:rPr>
          <w:rFonts w:cs="Arial"/>
          <w:bCs/>
          <w:sz w:val="22"/>
          <w:szCs w:val="22"/>
          <w:lang w:val="en-US"/>
        </w:rPr>
        <w:t>Bondholders</w:t>
      </w:r>
      <w:r w:rsidR="00D25429" w:rsidRPr="00337831">
        <w:rPr>
          <w:rFonts w:cs="Arial"/>
          <w:bCs/>
          <w:sz w:val="22"/>
          <w:szCs w:val="22"/>
          <w:lang w:val="en-US"/>
        </w:rPr>
        <w:t>.</w:t>
      </w:r>
      <w:r w:rsidR="00436898" w:rsidRPr="00337831">
        <w:rPr>
          <w:rFonts w:cs="Arial"/>
          <w:bCs/>
          <w:sz w:val="22"/>
          <w:szCs w:val="22"/>
          <w:lang w:val="en-US"/>
        </w:rPr>
        <w:t xml:space="preserve">  </w:t>
      </w:r>
      <w:r w:rsidR="00A851EB" w:rsidRPr="00337831">
        <w:rPr>
          <w:rFonts w:cs="Arial"/>
          <w:bCs/>
          <w:sz w:val="22"/>
          <w:szCs w:val="22"/>
          <w:lang w:val="en-US"/>
        </w:rPr>
        <w:t xml:space="preserve">Therefore, </w:t>
      </w:r>
      <w:r w:rsidR="00436898" w:rsidRPr="00337831">
        <w:rPr>
          <w:rFonts w:cs="Arial"/>
          <w:bCs/>
          <w:sz w:val="22"/>
          <w:szCs w:val="22"/>
          <w:lang w:val="en-US"/>
        </w:rPr>
        <w:t>d</w:t>
      </w:r>
      <w:r w:rsidR="00D25429" w:rsidRPr="00337831">
        <w:rPr>
          <w:rFonts w:cs="Arial"/>
          <w:bCs/>
          <w:sz w:val="22"/>
          <w:szCs w:val="22"/>
          <w:lang w:val="en-US"/>
        </w:rPr>
        <w:t>espite, “the flexible approach which the English courts have traditionally tak</w:t>
      </w:r>
      <w:r w:rsidR="00436898" w:rsidRPr="00337831">
        <w:rPr>
          <w:rFonts w:cs="Arial"/>
          <w:bCs/>
          <w:sz w:val="22"/>
          <w:szCs w:val="22"/>
          <w:lang w:val="en-US"/>
        </w:rPr>
        <w:t>en to the definition of classes,</w:t>
      </w:r>
      <w:r w:rsidR="00D25429" w:rsidRPr="00337831">
        <w:rPr>
          <w:rFonts w:cs="Arial"/>
          <w:bCs/>
          <w:sz w:val="22"/>
          <w:szCs w:val="22"/>
          <w:lang w:val="en-US"/>
        </w:rPr>
        <w:t>”</w:t>
      </w:r>
      <w:r w:rsidR="00D25429" w:rsidRPr="00337831">
        <w:rPr>
          <w:rStyle w:val="FootnoteReference"/>
          <w:rFonts w:cs="Arial"/>
          <w:bCs/>
          <w:sz w:val="22"/>
          <w:szCs w:val="22"/>
          <w:lang w:val="en-US"/>
        </w:rPr>
        <w:footnoteReference w:id="57"/>
      </w:r>
      <w:r w:rsidR="00436898" w:rsidRPr="00337831">
        <w:rPr>
          <w:rFonts w:cs="Arial"/>
          <w:bCs/>
          <w:sz w:val="22"/>
          <w:szCs w:val="22"/>
          <w:lang w:val="en-US"/>
        </w:rPr>
        <w:t xml:space="preserve"> where those </w:t>
      </w:r>
      <w:r w:rsidR="00D25429" w:rsidRPr="00337831">
        <w:rPr>
          <w:rFonts w:cs="Arial"/>
          <w:bCs/>
          <w:sz w:val="22"/>
          <w:szCs w:val="22"/>
          <w:lang w:val="en-US"/>
        </w:rPr>
        <w:t>creditors and equity holders</w:t>
      </w:r>
      <w:r w:rsidR="00436898" w:rsidRPr="00337831">
        <w:rPr>
          <w:rFonts w:cs="Arial"/>
          <w:bCs/>
          <w:sz w:val="22"/>
          <w:szCs w:val="22"/>
          <w:lang w:val="en-US"/>
        </w:rPr>
        <w:t xml:space="preserve"> other than the Bondholders must</w:t>
      </w:r>
      <w:r w:rsidR="00D25429" w:rsidRPr="00337831">
        <w:rPr>
          <w:rFonts w:cs="Arial"/>
          <w:bCs/>
          <w:sz w:val="22"/>
          <w:szCs w:val="22"/>
          <w:lang w:val="en-US"/>
        </w:rPr>
        <w:t xml:space="preserve"> remain</w:t>
      </w:r>
      <w:r w:rsidR="00436898" w:rsidRPr="00337831">
        <w:rPr>
          <w:rFonts w:cs="Arial"/>
          <w:bCs/>
          <w:sz w:val="22"/>
          <w:szCs w:val="22"/>
          <w:lang w:val="en-US"/>
        </w:rPr>
        <w:t xml:space="preserve"> </w:t>
      </w:r>
      <w:r w:rsidR="006351BC" w:rsidRPr="00337831">
        <w:rPr>
          <w:rFonts w:cs="Arial"/>
          <w:bCs/>
          <w:sz w:val="22"/>
          <w:szCs w:val="22"/>
          <w:lang w:val="en-US"/>
        </w:rPr>
        <w:t>unaffected</w:t>
      </w:r>
      <w:r w:rsidR="00436898" w:rsidRPr="00337831">
        <w:rPr>
          <w:rFonts w:cs="Arial"/>
          <w:bCs/>
          <w:sz w:val="22"/>
          <w:szCs w:val="22"/>
          <w:lang w:val="en-US"/>
        </w:rPr>
        <w:t xml:space="preserve"> (as is required for the Case)</w:t>
      </w:r>
      <w:r w:rsidR="00D25429" w:rsidRPr="00337831">
        <w:rPr>
          <w:rFonts w:cs="Arial"/>
          <w:bCs/>
          <w:sz w:val="22"/>
          <w:szCs w:val="22"/>
          <w:lang w:val="en-US"/>
        </w:rPr>
        <w:t xml:space="preserve">, it would not be possible to </w:t>
      </w:r>
      <w:r w:rsidR="006351BC" w:rsidRPr="00337831">
        <w:rPr>
          <w:rFonts w:cs="Arial"/>
          <w:bCs/>
          <w:sz w:val="22"/>
          <w:szCs w:val="22"/>
          <w:lang w:val="en-US"/>
        </w:rPr>
        <w:t>broaden</w:t>
      </w:r>
      <w:r w:rsidR="00D25429" w:rsidRPr="00337831">
        <w:rPr>
          <w:rFonts w:cs="Arial"/>
          <w:bCs/>
          <w:sz w:val="22"/>
          <w:szCs w:val="22"/>
          <w:lang w:val="en-US"/>
        </w:rPr>
        <w:t xml:space="preserve"> the composition of the </w:t>
      </w:r>
      <w:r w:rsidR="00436898" w:rsidRPr="00337831">
        <w:rPr>
          <w:rFonts w:cs="Arial"/>
          <w:bCs/>
          <w:sz w:val="22"/>
          <w:szCs w:val="22"/>
          <w:lang w:val="en-US"/>
        </w:rPr>
        <w:t xml:space="preserve">Bondholder </w:t>
      </w:r>
      <w:r w:rsidR="00D25429" w:rsidRPr="00337831">
        <w:rPr>
          <w:rFonts w:cs="Arial"/>
          <w:bCs/>
          <w:sz w:val="22"/>
          <w:szCs w:val="22"/>
          <w:lang w:val="en-US"/>
        </w:rPr>
        <w:t>class</w:t>
      </w:r>
      <w:r w:rsidR="00436898" w:rsidRPr="00337831">
        <w:rPr>
          <w:rFonts w:cs="Arial"/>
          <w:bCs/>
          <w:sz w:val="22"/>
          <w:szCs w:val="22"/>
          <w:lang w:val="en-US"/>
        </w:rPr>
        <w:t xml:space="preserve"> to try and cram down the Bondholders</w:t>
      </w:r>
      <w:r w:rsidR="00D25429" w:rsidRPr="00337831">
        <w:rPr>
          <w:rFonts w:cs="Arial"/>
          <w:bCs/>
          <w:sz w:val="22"/>
          <w:szCs w:val="22"/>
          <w:lang w:val="en-US"/>
        </w:rPr>
        <w:t xml:space="preserve"> as this would mean </w:t>
      </w:r>
      <w:r w:rsidR="00436898" w:rsidRPr="00337831">
        <w:rPr>
          <w:rFonts w:cs="Arial"/>
          <w:bCs/>
          <w:sz w:val="22"/>
          <w:szCs w:val="22"/>
          <w:lang w:val="en-US"/>
        </w:rPr>
        <w:t>those other parties’ rights, that form part of the class, w</w:t>
      </w:r>
      <w:r w:rsidR="00D25429" w:rsidRPr="00337831">
        <w:rPr>
          <w:rFonts w:cs="Arial"/>
          <w:bCs/>
          <w:sz w:val="22"/>
          <w:szCs w:val="22"/>
          <w:lang w:val="en-US"/>
        </w:rPr>
        <w:t xml:space="preserve">ould </w:t>
      </w:r>
      <w:r w:rsidR="00436898" w:rsidRPr="00337831">
        <w:rPr>
          <w:rFonts w:cs="Arial"/>
          <w:bCs/>
          <w:sz w:val="22"/>
          <w:szCs w:val="22"/>
          <w:lang w:val="en-US"/>
        </w:rPr>
        <w:t xml:space="preserve">also </w:t>
      </w:r>
      <w:r w:rsidR="00D25429" w:rsidRPr="00337831">
        <w:rPr>
          <w:rFonts w:cs="Arial"/>
          <w:bCs/>
          <w:sz w:val="22"/>
          <w:szCs w:val="22"/>
          <w:lang w:val="en-US"/>
        </w:rPr>
        <w:t>be affected.</w:t>
      </w:r>
    </w:p>
    <w:p w14:paraId="7C1AE132" w14:textId="77777777" w:rsidR="00190600" w:rsidRPr="00337831" w:rsidRDefault="00D25429" w:rsidP="006351BC">
      <w:pPr>
        <w:pStyle w:val="BodyText"/>
        <w:spacing w:after="120" w:line="360" w:lineRule="auto"/>
        <w:rPr>
          <w:rFonts w:cs="Arial"/>
          <w:bCs/>
          <w:sz w:val="22"/>
          <w:szCs w:val="22"/>
          <w:lang w:val="en-US"/>
        </w:rPr>
      </w:pPr>
      <w:r w:rsidRPr="00337831">
        <w:rPr>
          <w:rFonts w:cs="Arial"/>
          <w:bCs/>
          <w:sz w:val="22"/>
          <w:szCs w:val="22"/>
          <w:lang w:val="en-US"/>
        </w:rPr>
        <w:t xml:space="preserve">To the extent that there was little concern over obtaining the 75% majority, </w:t>
      </w:r>
      <w:r w:rsidR="00196B46" w:rsidRPr="00337831">
        <w:rPr>
          <w:rFonts w:cs="Arial"/>
          <w:bCs/>
          <w:sz w:val="22"/>
          <w:szCs w:val="22"/>
          <w:lang w:val="en-US"/>
        </w:rPr>
        <w:t xml:space="preserve">notwithstanding the comment above re Pre-packs, </w:t>
      </w:r>
      <w:r w:rsidR="00436898" w:rsidRPr="00337831">
        <w:rPr>
          <w:rFonts w:cs="Arial"/>
          <w:bCs/>
          <w:sz w:val="22"/>
          <w:szCs w:val="22"/>
          <w:lang w:val="en-US"/>
        </w:rPr>
        <w:t xml:space="preserve">a </w:t>
      </w:r>
      <w:r w:rsidRPr="00337831">
        <w:rPr>
          <w:rFonts w:cs="Arial"/>
          <w:bCs/>
          <w:sz w:val="22"/>
          <w:szCs w:val="22"/>
          <w:lang w:val="en-US"/>
        </w:rPr>
        <w:t xml:space="preserve">Scheme may be the slightly preferred method </w:t>
      </w:r>
      <w:r w:rsidR="004E7B23">
        <w:rPr>
          <w:rFonts w:cs="Arial"/>
          <w:bCs/>
          <w:sz w:val="22"/>
          <w:szCs w:val="22"/>
          <w:lang w:val="en-US"/>
        </w:rPr>
        <w:t xml:space="preserve">in the context of the Case </w:t>
      </w:r>
      <w:r w:rsidRPr="00337831">
        <w:rPr>
          <w:rFonts w:cs="Arial"/>
          <w:bCs/>
          <w:sz w:val="22"/>
          <w:szCs w:val="22"/>
          <w:lang w:val="en-US"/>
        </w:rPr>
        <w:t>given the absence of a formal bankruptcy (which</w:t>
      </w:r>
      <w:r w:rsidR="00196B46" w:rsidRPr="00337831">
        <w:rPr>
          <w:rFonts w:cs="Arial"/>
          <w:bCs/>
          <w:sz w:val="22"/>
          <w:szCs w:val="22"/>
          <w:lang w:val="en-US"/>
        </w:rPr>
        <w:t xml:space="preserve"> cannot be avoided in a </w:t>
      </w:r>
      <w:r w:rsidRPr="00337831">
        <w:rPr>
          <w:rFonts w:cs="Arial"/>
          <w:bCs/>
          <w:sz w:val="22"/>
          <w:szCs w:val="22"/>
          <w:lang w:val="en-US"/>
        </w:rPr>
        <w:t>Chapter 11</w:t>
      </w:r>
      <w:r w:rsidR="00196B46" w:rsidRPr="00337831">
        <w:rPr>
          <w:rFonts w:cs="Arial"/>
          <w:bCs/>
          <w:sz w:val="22"/>
          <w:szCs w:val="22"/>
          <w:lang w:val="en-US"/>
        </w:rPr>
        <w:t xml:space="preserve"> case</w:t>
      </w:r>
      <w:r w:rsidRPr="00337831">
        <w:rPr>
          <w:rFonts w:cs="Arial"/>
          <w:bCs/>
          <w:sz w:val="22"/>
          <w:szCs w:val="22"/>
          <w:lang w:val="en-US"/>
        </w:rPr>
        <w:t xml:space="preserve">) and a somewhat softer approach that may result in fewer </w:t>
      </w:r>
      <w:r w:rsidRPr="00337831">
        <w:rPr>
          <w:rFonts w:cs="Arial"/>
          <w:bCs/>
          <w:i/>
          <w:sz w:val="22"/>
          <w:szCs w:val="22"/>
          <w:lang w:val="en-US"/>
        </w:rPr>
        <w:t>ipso facto</w:t>
      </w:r>
      <w:r w:rsidRPr="00337831">
        <w:rPr>
          <w:rFonts w:cs="Arial"/>
          <w:bCs/>
          <w:sz w:val="22"/>
          <w:szCs w:val="22"/>
          <w:lang w:val="en-US"/>
        </w:rPr>
        <w:t xml:space="preserve"> triggers.</w:t>
      </w:r>
    </w:p>
    <w:p w14:paraId="2E3E335A" w14:textId="77777777" w:rsidR="006351BC" w:rsidRPr="00337831" w:rsidRDefault="00D25429">
      <w:pPr>
        <w:spacing w:after="160" w:line="259" w:lineRule="auto"/>
        <w:rPr>
          <w:rFonts w:cs="Arial"/>
          <w:sz w:val="22"/>
          <w:szCs w:val="22"/>
        </w:rPr>
      </w:pPr>
      <w:r w:rsidRPr="00337831">
        <w:rPr>
          <w:rFonts w:cs="Arial"/>
          <w:sz w:val="22"/>
          <w:szCs w:val="22"/>
        </w:rPr>
        <w:br w:type="page"/>
      </w:r>
    </w:p>
    <w:p w14:paraId="2344C4A9" w14:textId="77777777" w:rsidR="00B322B1" w:rsidRPr="00337831" w:rsidRDefault="00D25429" w:rsidP="00801E38">
      <w:pPr>
        <w:pStyle w:val="Heading1"/>
        <w:rPr>
          <w:rFonts w:cs="Arial"/>
          <w:sz w:val="24"/>
          <w:szCs w:val="24"/>
        </w:rPr>
      </w:pPr>
      <w:bookmarkStart w:id="13" w:name="_Toc32686589"/>
      <w:r w:rsidRPr="00337831">
        <w:rPr>
          <w:rFonts w:cs="Arial"/>
          <w:sz w:val="24"/>
          <w:szCs w:val="24"/>
        </w:rPr>
        <w:lastRenderedPageBreak/>
        <w:t>CONCLUSION</w:t>
      </w:r>
      <w:bookmarkEnd w:id="13"/>
    </w:p>
    <w:p w14:paraId="20394D61" w14:textId="77777777" w:rsidR="006351BC" w:rsidRPr="00337831" w:rsidRDefault="00D25429" w:rsidP="001A5AB5">
      <w:pPr>
        <w:pStyle w:val="BodyText"/>
        <w:spacing w:after="120" w:line="360" w:lineRule="auto"/>
        <w:rPr>
          <w:rFonts w:cs="Arial"/>
          <w:sz w:val="22"/>
          <w:szCs w:val="22"/>
        </w:rPr>
      </w:pPr>
      <w:r w:rsidRPr="00337831">
        <w:rPr>
          <w:rFonts w:cs="Arial"/>
          <w:sz w:val="22"/>
          <w:szCs w:val="22"/>
        </w:rPr>
        <w:t xml:space="preserve">This paper has summarised the important </w:t>
      </w:r>
      <w:r w:rsidR="007442F2" w:rsidRPr="00337831">
        <w:rPr>
          <w:rFonts w:cs="Arial"/>
          <w:sz w:val="22"/>
          <w:szCs w:val="22"/>
        </w:rPr>
        <w:t xml:space="preserve">characteristics of </w:t>
      </w:r>
      <w:r w:rsidRPr="00337831">
        <w:rPr>
          <w:rFonts w:cs="Arial"/>
          <w:sz w:val="22"/>
          <w:szCs w:val="22"/>
        </w:rPr>
        <w:t>both Chapter 11 Pre-packs</w:t>
      </w:r>
      <w:r w:rsidR="007442F2" w:rsidRPr="00337831">
        <w:rPr>
          <w:rFonts w:cs="Arial"/>
          <w:sz w:val="22"/>
          <w:szCs w:val="22"/>
        </w:rPr>
        <w:t xml:space="preserve"> </w:t>
      </w:r>
      <w:r w:rsidRPr="00337831">
        <w:rPr>
          <w:rFonts w:cs="Arial"/>
          <w:sz w:val="22"/>
          <w:szCs w:val="22"/>
        </w:rPr>
        <w:t>and</w:t>
      </w:r>
      <w:r w:rsidR="007442F2" w:rsidRPr="00337831">
        <w:rPr>
          <w:rFonts w:cs="Arial"/>
          <w:sz w:val="22"/>
          <w:szCs w:val="22"/>
        </w:rPr>
        <w:t xml:space="preserve"> English </w:t>
      </w:r>
      <w:r w:rsidRPr="00337831">
        <w:rPr>
          <w:rFonts w:cs="Arial"/>
          <w:sz w:val="22"/>
          <w:szCs w:val="22"/>
        </w:rPr>
        <w:t xml:space="preserve">Schemes.  In doing so, </w:t>
      </w:r>
      <w:r w:rsidR="009D610B" w:rsidRPr="00337831">
        <w:rPr>
          <w:rFonts w:cs="Arial"/>
          <w:sz w:val="22"/>
          <w:szCs w:val="22"/>
        </w:rPr>
        <w:t xml:space="preserve">it has </w:t>
      </w:r>
      <w:r w:rsidR="00436898" w:rsidRPr="00337831">
        <w:rPr>
          <w:rFonts w:cs="Arial"/>
          <w:sz w:val="22"/>
          <w:szCs w:val="22"/>
        </w:rPr>
        <w:t>compared</w:t>
      </w:r>
      <w:r w:rsidRPr="00337831">
        <w:rPr>
          <w:rFonts w:cs="Arial"/>
          <w:sz w:val="22"/>
          <w:szCs w:val="22"/>
        </w:rPr>
        <w:t xml:space="preserve"> the </w:t>
      </w:r>
      <w:r w:rsidR="007442F2" w:rsidRPr="00337831">
        <w:rPr>
          <w:rFonts w:cs="Arial"/>
          <w:sz w:val="22"/>
          <w:szCs w:val="22"/>
        </w:rPr>
        <w:t xml:space="preserve">two </w:t>
      </w:r>
      <w:r w:rsidRPr="00337831">
        <w:rPr>
          <w:rFonts w:cs="Arial"/>
          <w:sz w:val="22"/>
          <w:szCs w:val="22"/>
        </w:rPr>
        <w:t xml:space="preserve">regimes to try and elucidate the </w:t>
      </w:r>
      <w:r w:rsidR="00436898" w:rsidRPr="00337831">
        <w:rPr>
          <w:rFonts w:cs="Arial"/>
          <w:sz w:val="22"/>
          <w:szCs w:val="22"/>
        </w:rPr>
        <w:t>differences</w:t>
      </w:r>
      <w:r w:rsidRPr="00337831">
        <w:rPr>
          <w:rFonts w:cs="Arial"/>
          <w:sz w:val="22"/>
          <w:szCs w:val="22"/>
        </w:rPr>
        <w:t xml:space="preserve">.  </w:t>
      </w:r>
      <w:r w:rsidR="00436898" w:rsidRPr="00337831">
        <w:rPr>
          <w:rFonts w:cs="Arial"/>
          <w:sz w:val="22"/>
          <w:szCs w:val="22"/>
        </w:rPr>
        <w:t>There</w:t>
      </w:r>
      <w:r w:rsidR="009D610B" w:rsidRPr="00337831">
        <w:rPr>
          <w:rFonts w:cs="Arial"/>
          <w:sz w:val="22"/>
          <w:szCs w:val="22"/>
        </w:rPr>
        <w:t xml:space="preserve"> are </w:t>
      </w:r>
      <w:r w:rsidR="00436898" w:rsidRPr="00337831">
        <w:rPr>
          <w:rFonts w:cs="Arial"/>
          <w:sz w:val="22"/>
          <w:szCs w:val="22"/>
        </w:rPr>
        <w:t>similarities</w:t>
      </w:r>
      <w:r w:rsidR="009D610B" w:rsidRPr="00337831">
        <w:rPr>
          <w:rFonts w:cs="Arial"/>
          <w:sz w:val="22"/>
          <w:szCs w:val="22"/>
        </w:rPr>
        <w:t xml:space="preserve"> between both regimes including that neither requires insolvency as a </w:t>
      </w:r>
      <w:r w:rsidRPr="00337831">
        <w:rPr>
          <w:rFonts w:cs="Arial"/>
          <w:sz w:val="22"/>
          <w:szCs w:val="22"/>
        </w:rPr>
        <w:t xml:space="preserve">prerequisite </w:t>
      </w:r>
      <w:r w:rsidR="007442F2" w:rsidRPr="00337831">
        <w:rPr>
          <w:rFonts w:cs="Arial"/>
          <w:sz w:val="22"/>
          <w:szCs w:val="22"/>
        </w:rPr>
        <w:t xml:space="preserve">for filing </w:t>
      </w:r>
      <w:r w:rsidRPr="00337831">
        <w:rPr>
          <w:rFonts w:cs="Arial"/>
          <w:sz w:val="22"/>
          <w:szCs w:val="22"/>
        </w:rPr>
        <w:t xml:space="preserve">and </w:t>
      </w:r>
      <w:r w:rsidR="009D610B" w:rsidRPr="00337831">
        <w:rPr>
          <w:rFonts w:cs="Arial"/>
          <w:sz w:val="22"/>
          <w:szCs w:val="22"/>
        </w:rPr>
        <w:t xml:space="preserve">the </w:t>
      </w:r>
      <w:r w:rsidR="007442F2" w:rsidRPr="00337831">
        <w:rPr>
          <w:rFonts w:cs="Arial"/>
          <w:sz w:val="22"/>
          <w:szCs w:val="22"/>
        </w:rPr>
        <w:t>decision</w:t>
      </w:r>
      <w:r w:rsidR="0084334D" w:rsidRPr="00337831">
        <w:rPr>
          <w:rFonts w:cs="Arial"/>
          <w:sz w:val="22"/>
          <w:szCs w:val="22"/>
        </w:rPr>
        <w:t>s</w:t>
      </w:r>
      <w:r w:rsidR="009D610B" w:rsidRPr="00337831">
        <w:rPr>
          <w:rFonts w:cs="Arial"/>
          <w:sz w:val="22"/>
          <w:szCs w:val="22"/>
        </w:rPr>
        <w:t xml:space="preserve"> in both cases </w:t>
      </w:r>
      <w:r w:rsidR="0084334D" w:rsidRPr="00337831">
        <w:rPr>
          <w:rFonts w:cs="Arial"/>
          <w:sz w:val="22"/>
          <w:szCs w:val="22"/>
        </w:rPr>
        <w:t xml:space="preserve">would be </w:t>
      </w:r>
      <w:r w:rsidRPr="00337831">
        <w:rPr>
          <w:rFonts w:cs="Arial"/>
          <w:sz w:val="22"/>
          <w:szCs w:val="22"/>
        </w:rPr>
        <w:t>recognised overseas</w:t>
      </w:r>
      <w:r w:rsidR="009D610B" w:rsidRPr="00337831">
        <w:rPr>
          <w:rFonts w:cs="Arial"/>
          <w:sz w:val="22"/>
          <w:szCs w:val="22"/>
        </w:rPr>
        <w:t xml:space="preserve"> as a matter of course</w:t>
      </w:r>
      <w:r w:rsidRPr="00337831">
        <w:rPr>
          <w:rFonts w:cs="Arial"/>
          <w:sz w:val="22"/>
          <w:szCs w:val="22"/>
        </w:rPr>
        <w:t>.</w:t>
      </w:r>
      <w:r w:rsidR="009D610B" w:rsidRPr="00337831">
        <w:rPr>
          <w:rFonts w:cs="Arial"/>
          <w:sz w:val="22"/>
          <w:szCs w:val="22"/>
        </w:rPr>
        <w:t xml:space="preserve">  There are, however, important differences.  </w:t>
      </w:r>
      <w:r w:rsidR="007442F2" w:rsidRPr="00337831">
        <w:rPr>
          <w:rFonts w:cs="Arial"/>
          <w:sz w:val="22"/>
          <w:szCs w:val="22"/>
        </w:rPr>
        <w:t xml:space="preserve">The most important </w:t>
      </w:r>
      <w:r w:rsidRPr="00337831">
        <w:rPr>
          <w:rFonts w:cs="Arial"/>
          <w:sz w:val="22"/>
          <w:szCs w:val="22"/>
        </w:rPr>
        <w:t xml:space="preserve">differences between the two regimes </w:t>
      </w:r>
      <w:r w:rsidR="007442F2" w:rsidRPr="00337831">
        <w:rPr>
          <w:rFonts w:cs="Arial"/>
          <w:sz w:val="22"/>
          <w:szCs w:val="22"/>
        </w:rPr>
        <w:t xml:space="preserve">include that </w:t>
      </w:r>
      <w:r w:rsidRPr="00337831">
        <w:rPr>
          <w:rFonts w:cs="Arial"/>
          <w:sz w:val="22"/>
          <w:szCs w:val="22"/>
        </w:rPr>
        <w:t xml:space="preserve">there is an automatic stay in respect of Pre-packs, Pre-packs require a lower voting threshold </w:t>
      </w:r>
      <w:r w:rsidR="007442F2" w:rsidRPr="00337831">
        <w:rPr>
          <w:rFonts w:cs="Arial"/>
          <w:sz w:val="22"/>
          <w:szCs w:val="22"/>
        </w:rPr>
        <w:t xml:space="preserve">for approval by creditors </w:t>
      </w:r>
      <w:r w:rsidR="009D610B" w:rsidRPr="00337831">
        <w:rPr>
          <w:rFonts w:cs="Arial"/>
          <w:sz w:val="22"/>
          <w:szCs w:val="22"/>
        </w:rPr>
        <w:t xml:space="preserve">in an affected class </w:t>
      </w:r>
      <w:r w:rsidRPr="00337831">
        <w:rPr>
          <w:rFonts w:cs="Arial"/>
          <w:sz w:val="22"/>
          <w:szCs w:val="22"/>
        </w:rPr>
        <w:t>and there is no abs</w:t>
      </w:r>
      <w:r w:rsidR="009D610B" w:rsidRPr="00337831">
        <w:rPr>
          <w:rFonts w:cs="Arial"/>
          <w:sz w:val="22"/>
          <w:szCs w:val="22"/>
        </w:rPr>
        <w:t>olute priority rule in England (</w:t>
      </w:r>
      <w:r w:rsidRPr="00337831">
        <w:rPr>
          <w:rFonts w:cs="Arial"/>
          <w:sz w:val="22"/>
          <w:szCs w:val="22"/>
        </w:rPr>
        <w:t>although</w:t>
      </w:r>
      <w:r w:rsidR="009D610B" w:rsidRPr="00337831">
        <w:rPr>
          <w:rFonts w:cs="Arial"/>
          <w:sz w:val="22"/>
          <w:szCs w:val="22"/>
        </w:rPr>
        <w:t xml:space="preserve">, as above, there </w:t>
      </w:r>
      <w:r w:rsidRPr="00337831">
        <w:rPr>
          <w:rFonts w:cs="Arial"/>
          <w:sz w:val="22"/>
          <w:szCs w:val="22"/>
        </w:rPr>
        <w:t>are ways in which the composition of classes in Schemes can be used to cramdown creditors</w:t>
      </w:r>
      <w:r w:rsidR="009D610B" w:rsidRPr="00337831">
        <w:rPr>
          <w:rFonts w:cs="Arial"/>
          <w:sz w:val="22"/>
          <w:szCs w:val="22"/>
        </w:rPr>
        <w:t>)</w:t>
      </w:r>
      <w:r w:rsidRPr="00337831">
        <w:rPr>
          <w:rFonts w:cs="Arial"/>
          <w:sz w:val="22"/>
          <w:szCs w:val="22"/>
        </w:rPr>
        <w:t>.</w:t>
      </w:r>
    </w:p>
    <w:p w14:paraId="515A4EBD" w14:textId="77777777" w:rsidR="006351BC" w:rsidRPr="00337831" w:rsidRDefault="00D25429" w:rsidP="001A5AB5">
      <w:pPr>
        <w:pStyle w:val="BodyText"/>
        <w:spacing w:after="120" w:line="360" w:lineRule="auto"/>
        <w:rPr>
          <w:rFonts w:cs="Arial"/>
          <w:sz w:val="22"/>
          <w:szCs w:val="22"/>
        </w:rPr>
      </w:pPr>
      <w:r w:rsidRPr="00337831">
        <w:rPr>
          <w:rFonts w:cs="Arial"/>
          <w:sz w:val="22"/>
          <w:szCs w:val="22"/>
        </w:rPr>
        <w:t>In the context of the Case, there appear</w:t>
      </w:r>
      <w:r w:rsidR="009D610B" w:rsidRPr="00337831">
        <w:rPr>
          <w:rFonts w:cs="Arial"/>
          <w:sz w:val="22"/>
          <w:szCs w:val="22"/>
        </w:rPr>
        <w:t>s</w:t>
      </w:r>
      <w:r w:rsidRPr="00337831">
        <w:rPr>
          <w:rFonts w:cs="Arial"/>
          <w:sz w:val="22"/>
          <w:szCs w:val="22"/>
        </w:rPr>
        <w:t xml:space="preserve"> to be minimal differences</w:t>
      </w:r>
      <w:r w:rsidR="009D610B" w:rsidRPr="00337831">
        <w:rPr>
          <w:rFonts w:cs="Arial"/>
          <w:sz w:val="22"/>
          <w:szCs w:val="22"/>
        </w:rPr>
        <w:t xml:space="preserve"> in utilising either a Scheme or a Pre-pack</w:t>
      </w:r>
      <w:r w:rsidRPr="00337831">
        <w:rPr>
          <w:rFonts w:cs="Arial"/>
          <w:sz w:val="22"/>
          <w:szCs w:val="22"/>
        </w:rPr>
        <w:t xml:space="preserve"> if the objective is to restructure a single class of bond debt while leaving other creditors and equity holders unaffected.  However, this </w:t>
      </w:r>
      <w:r w:rsidR="009D610B" w:rsidRPr="00337831">
        <w:rPr>
          <w:rFonts w:cs="Arial"/>
          <w:sz w:val="22"/>
          <w:szCs w:val="22"/>
        </w:rPr>
        <w:t xml:space="preserve">analysis is impacted </w:t>
      </w:r>
      <w:r w:rsidRPr="00337831">
        <w:rPr>
          <w:rFonts w:cs="Arial"/>
          <w:sz w:val="22"/>
          <w:szCs w:val="22"/>
        </w:rPr>
        <w:t xml:space="preserve">by the composition of the Bondholders </w:t>
      </w:r>
      <w:r w:rsidR="009D610B" w:rsidRPr="00337831">
        <w:rPr>
          <w:rFonts w:cs="Arial"/>
          <w:sz w:val="22"/>
          <w:szCs w:val="22"/>
        </w:rPr>
        <w:t xml:space="preserve">(which is </w:t>
      </w:r>
      <w:r w:rsidR="00436898" w:rsidRPr="00337831">
        <w:rPr>
          <w:rFonts w:cs="Arial"/>
          <w:sz w:val="22"/>
          <w:szCs w:val="22"/>
        </w:rPr>
        <w:t>unknown</w:t>
      </w:r>
      <w:r w:rsidR="009D610B" w:rsidRPr="00337831">
        <w:rPr>
          <w:rFonts w:cs="Arial"/>
          <w:sz w:val="22"/>
          <w:szCs w:val="22"/>
        </w:rPr>
        <w:t xml:space="preserve">) </w:t>
      </w:r>
      <w:r w:rsidRPr="00337831">
        <w:rPr>
          <w:rFonts w:cs="Arial"/>
          <w:sz w:val="22"/>
          <w:szCs w:val="22"/>
        </w:rPr>
        <w:t xml:space="preserve">and </w:t>
      </w:r>
      <w:r w:rsidR="009D610B" w:rsidRPr="00337831">
        <w:rPr>
          <w:rFonts w:cs="Arial"/>
          <w:sz w:val="22"/>
          <w:szCs w:val="22"/>
        </w:rPr>
        <w:t xml:space="preserve">thus </w:t>
      </w:r>
      <w:r w:rsidRPr="00337831">
        <w:rPr>
          <w:rFonts w:cs="Arial"/>
          <w:sz w:val="22"/>
          <w:szCs w:val="22"/>
        </w:rPr>
        <w:t xml:space="preserve">the likelihood of meeting the </w:t>
      </w:r>
      <w:r w:rsidR="009D610B" w:rsidRPr="00337831">
        <w:rPr>
          <w:rFonts w:cs="Arial"/>
          <w:sz w:val="22"/>
          <w:szCs w:val="22"/>
        </w:rPr>
        <w:t>requisite</w:t>
      </w:r>
      <w:r w:rsidRPr="00337831">
        <w:rPr>
          <w:rFonts w:cs="Arial"/>
          <w:sz w:val="22"/>
          <w:szCs w:val="22"/>
        </w:rPr>
        <w:t xml:space="preserve"> voting threshold.  If the </w:t>
      </w:r>
      <w:r w:rsidR="009D610B" w:rsidRPr="00337831">
        <w:rPr>
          <w:rFonts w:cs="Arial"/>
          <w:sz w:val="22"/>
          <w:szCs w:val="22"/>
        </w:rPr>
        <w:t xml:space="preserve">voting threshold for a </w:t>
      </w:r>
      <w:r w:rsidRPr="00337831">
        <w:rPr>
          <w:rFonts w:cs="Arial"/>
          <w:sz w:val="22"/>
          <w:szCs w:val="22"/>
        </w:rPr>
        <w:t xml:space="preserve">Scheme is </w:t>
      </w:r>
      <w:r w:rsidR="007442F2" w:rsidRPr="00337831">
        <w:rPr>
          <w:rFonts w:cs="Arial"/>
          <w:sz w:val="22"/>
          <w:szCs w:val="22"/>
        </w:rPr>
        <w:t xml:space="preserve">inherently </w:t>
      </w:r>
      <w:r w:rsidRPr="00337831">
        <w:rPr>
          <w:rFonts w:cs="Arial"/>
          <w:sz w:val="22"/>
          <w:szCs w:val="22"/>
        </w:rPr>
        <w:t>achievable, there may be a sligh</w:t>
      </w:r>
      <w:r w:rsidR="009D610B" w:rsidRPr="00337831">
        <w:rPr>
          <w:rFonts w:cs="Arial"/>
          <w:sz w:val="22"/>
          <w:szCs w:val="22"/>
        </w:rPr>
        <w:t>t advantage in a Scheme over a P</w:t>
      </w:r>
      <w:r w:rsidRPr="00337831">
        <w:rPr>
          <w:rFonts w:cs="Arial"/>
          <w:sz w:val="22"/>
          <w:szCs w:val="22"/>
        </w:rPr>
        <w:t xml:space="preserve">re-pack as it </w:t>
      </w:r>
      <w:r w:rsidR="00845F3F" w:rsidRPr="00337831">
        <w:rPr>
          <w:rFonts w:cs="Arial"/>
          <w:sz w:val="22"/>
          <w:szCs w:val="22"/>
        </w:rPr>
        <w:t>technically a</w:t>
      </w:r>
      <w:r w:rsidRPr="00337831">
        <w:rPr>
          <w:rFonts w:cs="Arial"/>
          <w:sz w:val="22"/>
          <w:szCs w:val="22"/>
        </w:rPr>
        <w:t>void</w:t>
      </w:r>
      <w:r w:rsidR="00845F3F" w:rsidRPr="00337831">
        <w:rPr>
          <w:rFonts w:cs="Arial"/>
          <w:sz w:val="22"/>
          <w:szCs w:val="22"/>
        </w:rPr>
        <w:t>s</w:t>
      </w:r>
      <w:r w:rsidRPr="00337831">
        <w:rPr>
          <w:rFonts w:cs="Arial"/>
          <w:sz w:val="22"/>
          <w:szCs w:val="22"/>
        </w:rPr>
        <w:t xml:space="preserve"> a formal bankruptcy</w:t>
      </w:r>
      <w:r w:rsidR="00845F3F" w:rsidRPr="00337831">
        <w:rPr>
          <w:rFonts w:cs="Arial"/>
          <w:sz w:val="22"/>
          <w:szCs w:val="22"/>
        </w:rPr>
        <w:t xml:space="preserve"> or </w:t>
      </w:r>
      <w:r w:rsidRPr="00337831">
        <w:rPr>
          <w:rFonts w:cs="Arial"/>
          <w:sz w:val="22"/>
          <w:szCs w:val="22"/>
        </w:rPr>
        <w:t xml:space="preserve">insolvency administration.  This may have some </w:t>
      </w:r>
      <w:r w:rsidR="009D610B" w:rsidRPr="00337831">
        <w:rPr>
          <w:rFonts w:cs="Arial"/>
          <w:sz w:val="22"/>
          <w:szCs w:val="22"/>
        </w:rPr>
        <w:t xml:space="preserve">benefits for dealing with </w:t>
      </w:r>
      <w:r w:rsidRPr="00337831">
        <w:rPr>
          <w:rFonts w:cs="Arial"/>
          <w:sz w:val="22"/>
          <w:szCs w:val="22"/>
        </w:rPr>
        <w:t>third</w:t>
      </w:r>
      <w:r w:rsidR="009D610B" w:rsidRPr="00337831">
        <w:rPr>
          <w:rFonts w:cs="Arial"/>
          <w:sz w:val="22"/>
          <w:szCs w:val="22"/>
        </w:rPr>
        <w:t>-</w:t>
      </w:r>
      <w:r w:rsidRPr="00337831">
        <w:rPr>
          <w:rFonts w:cs="Arial"/>
          <w:sz w:val="22"/>
          <w:szCs w:val="22"/>
        </w:rPr>
        <w:t xml:space="preserve">party contracts and relationships with counterparties; </w:t>
      </w:r>
      <w:r w:rsidR="00436898" w:rsidRPr="00337831">
        <w:rPr>
          <w:rFonts w:cs="Arial"/>
          <w:sz w:val="22"/>
          <w:szCs w:val="22"/>
        </w:rPr>
        <w:t>particularly where</w:t>
      </w:r>
      <w:r w:rsidRPr="00337831">
        <w:rPr>
          <w:rFonts w:cs="Arial"/>
          <w:sz w:val="22"/>
          <w:szCs w:val="22"/>
        </w:rPr>
        <w:t>, based on the facts of the Case, there is no pressing need to compromise other classes of debt or equity.</w:t>
      </w:r>
    </w:p>
    <w:p w14:paraId="108B93F6" w14:textId="77777777" w:rsidR="006351BC" w:rsidRPr="00337831" w:rsidRDefault="006351BC" w:rsidP="001A5AB5">
      <w:pPr>
        <w:pStyle w:val="BodyText"/>
        <w:spacing w:after="120" w:line="360" w:lineRule="auto"/>
        <w:rPr>
          <w:rFonts w:cs="Arial"/>
          <w:sz w:val="22"/>
          <w:szCs w:val="22"/>
        </w:rPr>
      </w:pPr>
    </w:p>
    <w:p w14:paraId="55B7FC0A" w14:textId="77777777" w:rsidR="00801E38" w:rsidRPr="00337831" w:rsidRDefault="00D25429" w:rsidP="006351BC">
      <w:pPr>
        <w:pStyle w:val="BodyText"/>
        <w:spacing w:after="120" w:line="360" w:lineRule="auto"/>
        <w:rPr>
          <w:rFonts w:cs="Arial"/>
          <w:b/>
          <w:sz w:val="22"/>
          <w:szCs w:val="22"/>
        </w:rPr>
        <w:sectPr w:rsidR="00801E38" w:rsidRPr="00337831">
          <w:headerReference w:type="default" r:id="rId8"/>
          <w:footerReference w:type="default" r:id="rId9"/>
          <w:pgSz w:w="11906" w:h="16838"/>
          <w:pgMar w:top="1440" w:right="1440" w:bottom="1440" w:left="1440" w:header="708" w:footer="708" w:gutter="0"/>
          <w:cols w:space="708"/>
          <w:docGrid w:linePitch="360"/>
        </w:sectPr>
      </w:pPr>
      <w:r w:rsidRPr="00337831">
        <w:rPr>
          <w:rFonts w:cs="Arial"/>
          <w:sz w:val="22"/>
          <w:szCs w:val="22"/>
        </w:rPr>
        <w:t xml:space="preserve"> </w:t>
      </w:r>
    </w:p>
    <w:p w14:paraId="0E4CE3E7" w14:textId="77777777" w:rsidR="00801E38" w:rsidRPr="00337831" w:rsidRDefault="00D25429" w:rsidP="00801E38">
      <w:pPr>
        <w:pStyle w:val="Heading6"/>
        <w:rPr>
          <w:rFonts w:cs="Arial"/>
          <w:b/>
          <w:sz w:val="24"/>
          <w:szCs w:val="24"/>
        </w:rPr>
      </w:pPr>
      <w:bookmarkStart w:id="14" w:name="_Toc32686590"/>
      <w:r w:rsidRPr="00337831">
        <w:rPr>
          <w:rFonts w:cs="Arial"/>
          <w:b/>
          <w:sz w:val="24"/>
          <w:szCs w:val="24"/>
        </w:rPr>
        <w:lastRenderedPageBreak/>
        <w:t>BIBLIOGRAPHY</w:t>
      </w:r>
      <w:bookmarkEnd w:id="14"/>
    </w:p>
    <w:p w14:paraId="36CFC758" w14:textId="77777777" w:rsidR="00A27927" w:rsidRPr="00337831" w:rsidRDefault="00D25429" w:rsidP="003438ED">
      <w:pPr>
        <w:pStyle w:val="BodyText"/>
        <w:spacing w:after="120" w:line="360" w:lineRule="auto"/>
        <w:rPr>
          <w:rFonts w:cs="Arial"/>
          <w:sz w:val="22"/>
          <w:szCs w:val="22"/>
        </w:rPr>
      </w:pPr>
      <w:r w:rsidRPr="00337831">
        <w:rPr>
          <w:rFonts w:cs="Arial"/>
          <w:sz w:val="22"/>
          <w:szCs w:val="22"/>
        </w:rPr>
        <w:t xml:space="preserve">Ashworth, L., Morrison, M., Hurst, S. &amp; Dinenis, E., (2019), </w:t>
      </w:r>
      <w:r w:rsidRPr="00337831">
        <w:rPr>
          <w:rFonts w:cs="Arial"/>
          <w:i/>
          <w:sz w:val="22"/>
          <w:szCs w:val="22"/>
        </w:rPr>
        <w:t>Chambers Global Practice Guide: Insolvency: UK</w:t>
      </w:r>
      <w:r w:rsidRPr="00337831">
        <w:rPr>
          <w:rFonts w:cs="Arial"/>
          <w:sz w:val="22"/>
          <w:szCs w:val="22"/>
        </w:rPr>
        <w:t>, Second Edition, at &lt;&lt;https://practiceguides.chambers.com/practiceguides/insolvency-2019-second-edition/uk&gt;&gt;, visited 26 January 2020.</w:t>
      </w:r>
    </w:p>
    <w:p w14:paraId="5C1F5E2C" w14:textId="77777777" w:rsidR="00A27927" w:rsidRPr="00337831" w:rsidRDefault="00D25429" w:rsidP="003438ED">
      <w:pPr>
        <w:pStyle w:val="BodyText"/>
        <w:spacing w:after="120" w:line="360" w:lineRule="auto"/>
        <w:rPr>
          <w:rFonts w:cs="Arial"/>
          <w:sz w:val="22"/>
          <w:szCs w:val="22"/>
        </w:rPr>
      </w:pPr>
      <w:r w:rsidRPr="00337831">
        <w:rPr>
          <w:rFonts w:cs="Arial"/>
          <w:sz w:val="22"/>
          <w:szCs w:val="22"/>
        </w:rPr>
        <w:t xml:space="preserve">Balmond, C. &amp; Crinson, K., (2019), “Getting the Deal Through: Restructuring and Insolvency”, England &amp; Wales Chapter, </w:t>
      </w:r>
      <w:r w:rsidRPr="00337831">
        <w:rPr>
          <w:rFonts w:cs="Arial"/>
          <w:i/>
          <w:sz w:val="22"/>
          <w:szCs w:val="22"/>
        </w:rPr>
        <w:t>Law Business Research 2019</w:t>
      </w:r>
      <w:r w:rsidRPr="00337831">
        <w:rPr>
          <w:rFonts w:cs="Arial"/>
          <w:sz w:val="22"/>
          <w:szCs w:val="22"/>
        </w:rPr>
        <w:t>, pp. 141-155.</w:t>
      </w:r>
    </w:p>
    <w:p w14:paraId="3A6CAAB5" w14:textId="77777777" w:rsidR="001C2514" w:rsidRPr="00337831" w:rsidRDefault="00D25429" w:rsidP="003438ED">
      <w:pPr>
        <w:pStyle w:val="BodyText"/>
        <w:spacing w:after="120" w:line="360" w:lineRule="auto"/>
        <w:rPr>
          <w:rFonts w:cs="Arial"/>
          <w:sz w:val="22"/>
          <w:szCs w:val="22"/>
        </w:rPr>
      </w:pPr>
      <w:r w:rsidRPr="00337831">
        <w:rPr>
          <w:rFonts w:cs="Arial"/>
          <w:i/>
          <w:sz w:val="22"/>
          <w:szCs w:val="22"/>
        </w:rPr>
        <w:t>Companies Act 2006</w:t>
      </w:r>
      <w:r w:rsidRPr="00337831">
        <w:rPr>
          <w:rFonts w:cs="Arial"/>
          <w:sz w:val="22"/>
          <w:szCs w:val="22"/>
        </w:rPr>
        <w:t xml:space="preserve"> (UK).</w:t>
      </w:r>
    </w:p>
    <w:p w14:paraId="75DDAABB" w14:textId="77777777" w:rsidR="004E46A5" w:rsidRPr="00337831" w:rsidRDefault="00D25429" w:rsidP="003438ED">
      <w:pPr>
        <w:pStyle w:val="BodyText"/>
        <w:spacing w:after="120" w:line="360" w:lineRule="auto"/>
        <w:rPr>
          <w:rFonts w:cs="Arial"/>
          <w:sz w:val="22"/>
          <w:szCs w:val="22"/>
        </w:rPr>
      </w:pPr>
      <w:r w:rsidRPr="00337831">
        <w:rPr>
          <w:rFonts w:cs="Arial"/>
          <w:sz w:val="22"/>
          <w:szCs w:val="22"/>
        </w:rPr>
        <w:t xml:space="preserve">Durrer, V.C. (II) &amp; Singh, S., (2017), </w:t>
      </w:r>
      <w:r w:rsidRPr="00337831">
        <w:rPr>
          <w:rFonts w:cs="Arial"/>
          <w:i/>
          <w:sz w:val="22"/>
          <w:szCs w:val="22"/>
        </w:rPr>
        <w:t>Prepackaged and Prenegotiated Chapter 11 Reorganizations: Debtor and Creditor Strategies</w:t>
      </w:r>
      <w:r w:rsidRPr="00337831">
        <w:rPr>
          <w:rFonts w:cs="Arial"/>
          <w:sz w:val="22"/>
          <w:szCs w:val="22"/>
        </w:rPr>
        <w:t>, at &lt;&lt;http://media.straffordpub.com/products/prepackaged-and-prenegotiated-chapter-11-reorganizations-debtor-and-creditor-strategies-2017-03-07/presentation.pdf&gt;&gt;, visited 13 January 2020.</w:t>
      </w:r>
    </w:p>
    <w:p w14:paraId="53EBC4FD" w14:textId="77777777" w:rsidR="000C5E3C" w:rsidRPr="00337831" w:rsidRDefault="00D25429" w:rsidP="003438ED">
      <w:pPr>
        <w:pStyle w:val="BodyText"/>
        <w:spacing w:after="120" w:line="360" w:lineRule="auto"/>
        <w:rPr>
          <w:rFonts w:cs="Arial"/>
          <w:sz w:val="22"/>
          <w:szCs w:val="22"/>
        </w:rPr>
      </w:pPr>
      <w:r w:rsidRPr="00337831">
        <w:rPr>
          <w:rFonts w:cs="Arial"/>
          <w:sz w:val="22"/>
          <w:szCs w:val="22"/>
        </w:rPr>
        <w:t xml:space="preserve">Friedland, J.P., “Strategic Alternatives </w:t>
      </w:r>
      <w:r w:rsidR="003159F8" w:rsidRPr="00337831">
        <w:rPr>
          <w:rFonts w:cs="Arial"/>
          <w:sz w:val="22"/>
          <w:szCs w:val="22"/>
        </w:rPr>
        <w:t>for</w:t>
      </w:r>
      <w:r w:rsidRPr="00337831">
        <w:rPr>
          <w:rFonts w:cs="Arial"/>
          <w:sz w:val="22"/>
          <w:szCs w:val="22"/>
        </w:rPr>
        <w:t xml:space="preserve"> and Against Distressed Businesses”, </w:t>
      </w:r>
      <w:r w:rsidRPr="00337831">
        <w:rPr>
          <w:rFonts w:cs="Arial"/>
          <w:i/>
          <w:sz w:val="22"/>
          <w:szCs w:val="22"/>
        </w:rPr>
        <w:t>Thomson Reuters</w:t>
      </w:r>
      <w:r w:rsidR="003159F8" w:rsidRPr="00337831">
        <w:rPr>
          <w:rFonts w:cs="Arial"/>
          <w:sz w:val="22"/>
          <w:szCs w:val="22"/>
        </w:rPr>
        <w:t>, USA</w:t>
      </w:r>
      <w:r w:rsidRPr="00337831">
        <w:rPr>
          <w:rFonts w:cs="Arial"/>
          <w:sz w:val="22"/>
          <w:szCs w:val="22"/>
        </w:rPr>
        <w:t xml:space="preserve"> (January 2020 Update)</w:t>
      </w:r>
      <w:r w:rsidR="003159F8" w:rsidRPr="00337831">
        <w:rPr>
          <w:rFonts w:cs="Arial"/>
          <w:sz w:val="22"/>
          <w:szCs w:val="22"/>
        </w:rPr>
        <w:t>.</w:t>
      </w:r>
    </w:p>
    <w:p w14:paraId="16F0FDE5" w14:textId="77777777" w:rsidR="002839F4" w:rsidRPr="00337831" w:rsidRDefault="00D25429" w:rsidP="002839F4">
      <w:pPr>
        <w:pStyle w:val="BodyText"/>
        <w:spacing w:after="120" w:line="360" w:lineRule="auto"/>
        <w:rPr>
          <w:rFonts w:cs="Arial"/>
          <w:sz w:val="22"/>
          <w:szCs w:val="22"/>
        </w:rPr>
      </w:pPr>
      <w:r w:rsidRPr="00337831">
        <w:rPr>
          <w:rFonts w:cs="Arial"/>
          <w:sz w:val="22"/>
          <w:szCs w:val="22"/>
        </w:rPr>
        <w:t xml:space="preserve">Frisby, S., (2008), “Pre-Packaged Administrations: Progress Report to the Association of Business Recovery Professionals”, </w:t>
      </w:r>
      <w:r w:rsidRPr="00337831">
        <w:rPr>
          <w:rFonts w:cs="Arial"/>
          <w:i/>
          <w:sz w:val="22"/>
          <w:szCs w:val="22"/>
        </w:rPr>
        <w:t>International Insolvency Institute</w:t>
      </w:r>
      <w:r w:rsidRPr="00337831">
        <w:rPr>
          <w:rFonts w:cs="Arial"/>
          <w:sz w:val="22"/>
          <w:szCs w:val="22"/>
        </w:rPr>
        <w:t>, at &lt;&lt;https://www.iiiglobal.org/sites/default/files/sandrafrisbyprepackaged.pdf&gt;&gt;, visited 26 January 2020.</w:t>
      </w:r>
    </w:p>
    <w:p w14:paraId="364907D1" w14:textId="77777777" w:rsidR="003159F8" w:rsidRPr="00337831" w:rsidRDefault="00D25429" w:rsidP="003438ED">
      <w:pPr>
        <w:pStyle w:val="BodyText"/>
        <w:spacing w:after="120" w:line="360" w:lineRule="auto"/>
        <w:rPr>
          <w:rFonts w:cs="Arial"/>
          <w:sz w:val="22"/>
          <w:szCs w:val="22"/>
        </w:rPr>
      </w:pPr>
      <w:r w:rsidRPr="00337831">
        <w:rPr>
          <w:rFonts w:cs="Arial"/>
          <w:sz w:val="22"/>
          <w:szCs w:val="22"/>
        </w:rPr>
        <w:t xml:space="preserve">Gallagher, A., (2010), “The Growth of Schemes of Arrangement as the tool of choice in Complex Restructurings”, </w:t>
      </w:r>
      <w:r w:rsidRPr="00337831">
        <w:rPr>
          <w:rFonts w:cs="Arial"/>
          <w:i/>
          <w:sz w:val="22"/>
          <w:szCs w:val="22"/>
        </w:rPr>
        <w:t>American Bankruptcy Institute Journal</w:t>
      </w:r>
      <w:r w:rsidRPr="00337831">
        <w:rPr>
          <w:rFonts w:cs="Arial"/>
          <w:sz w:val="22"/>
          <w:szCs w:val="22"/>
        </w:rPr>
        <w:t>, Vol 29(8), pp. 36, 86-88.</w:t>
      </w:r>
    </w:p>
    <w:p w14:paraId="2ABDBDA9" w14:textId="77777777" w:rsidR="003438ED" w:rsidRPr="00337831" w:rsidRDefault="00D25429" w:rsidP="003438ED">
      <w:pPr>
        <w:pStyle w:val="BodyText"/>
        <w:spacing w:after="120" w:line="360" w:lineRule="auto"/>
        <w:rPr>
          <w:rFonts w:cs="Arial"/>
          <w:sz w:val="22"/>
          <w:szCs w:val="22"/>
        </w:rPr>
      </w:pPr>
      <w:r w:rsidRPr="00337831">
        <w:rPr>
          <w:rFonts w:cs="Arial"/>
          <w:sz w:val="22"/>
          <w:szCs w:val="22"/>
        </w:rPr>
        <w:t xml:space="preserve">Gebelt, N., (2015) “Prepackaged Chapter 11 Bankruptcy”, </w:t>
      </w:r>
      <w:r w:rsidRPr="00337831">
        <w:rPr>
          <w:rFonts w:cs="Arial"/>
          <w:i/>
          <w:sz w:val="22"/>
          <w:szCs w:val="22"/>
        </w:rPr>
        <w:t>Southern California Bankruptcy Law Blog</w:t>
      </w:r>
      <w:r w:rsidRPr="00337831">
        <w:rPr>
          <w:rFonts w:cs="Arial"/>
          <w:sz w:val="22"/>
          <w:szCs w:val="22"/>
        </w:rPr>
        <w:t>, at &lt;&lt;https://www.southerncaliforniabankruptcylawblog.com/2015/12/10/prepackaged-chapter-11-bankruptcy/&gt;&gt;, visited 26 January 2020.</w:t>
      </w:r>
    </w:p>
    <w:p w14:paraId="4C21C2FA" w14:textId="77777777" w:rsidR="00E441C2" w:rsidRPr="00337831" w:rsidRDefault="00D25429" w:rsidP="003438ED">
      <w:pPr>
        <w:pStyle w:val="BodyText"/>
        <w:spacing w:after="120" w:line="360" w:lineRule="auto"/>
        <w:rPr>
          <w:rFonts w:cs="Arial"/>
          <w:sz w:val="22"/>
          <w:szCs w:val="22"/>
        </w:rPr>
      </w:pPr>
      <w:r w:rsidRPr="00337831">
        <w:rPr>
          <w:rFonts w:cs="Arial"/>
          <w:sz w:val="22"/>
          <w:szCs w:val="22"/>
        </w:rPr>
        <w:t xml:space="preserve">Gibson Dunn, (2019), </w:t>
      </w:r>
      <w:r w:rsidRPr="00337831">
        <w:rPr>
          <w:rFonts w:cs="Arial"/>
          <w:i/>
          <w:sz w:val="22"/>
          <w:szCs w:val="22"/>
        </w:rPr>
        <w:t>Getting Ready for the Next Cycle: Prepackaged and Prenegotiated Chapter 11 Reorganization Strategies</w:t>
      </w:r>
      <w:r w:rsidRPr="00337831">
        <w:rPr>
          <w:rFonts w:cs="Arial"/>
          <w:sz w:val="22"/>
          <w:szCs w:val="22"/>
        </w:rPr>
        <w:t xml:space="preserve">, at &lt;&lt;https://www.gibsondunn.com/wp-content/uploads/2019/05/WebcastSlides-Getting-Ready-for-the-Next-Cycle-Prepackaged-and-Prenegotiated-Chapter-11-Reorganization-Strategies-25-APR-2019.pdf&gt;&gt;, visited </w:t>
      </w:r>
      <w:r w:rsidR="00DF7302" w:rsidRPr="00337831">
        <w:rPr>
          <w:rFonts w:cs="Arial"/>
          <w:sz w:val="22"/>
          <w:szCs w:val="22"/>
        </w:rPr>
        <w:t xml:space="preserve">13 </w:t>
      </w:r>
      <w:r w:rsidRPr="00337831">
        <w:rPr>
          <w:rFonts w:cs="Arial"/>
          <w:sz w:val="22"/>
          <w:szCs w:val="22"/>
        </w:rPr>
        <w:t>January 2020.</w:t>
      </w:r>
    </w:p>
    <w:p w14:paraId="4641CEB5" w14:textId="77777777" w:rsidR="00C551F3" w:rsidRPr="00337831" w:rsidRDefault="00D25429" w:rsidP="00C551F3">
      <w:pPr>
        <w:pStyle w:val="BodyText"/>
        <w:spacing w:after="120" w:line="360" w:lineRule="auto"/>
        <w:rPr>
          <w:rFonts w:cs="Arial"/>
          <w:sz w:val="22"/>
          <w:szCs w:val="22"/>
        </w:rPr>
      </w:pPr>
      <w:r w:rsidRPr="00337831">
        <w:rPr>
          <w:rFonts w:cs="Arial"/>
          <w:sz w:val="22"/>
          <w:szCs w:val="22"/>
        </w:rPr>
        <w:t xml:space="preserve">Godfrey, P., (2010), “Schemes of Arrangement”, </w:t>
      </w:r>
      <w:r w:rsidRPr="00337831">
        <w:rPr>
          <w:rFonts w:cs="Arial"/>
          <w:i/>
          <w:sz w:val="22"/>
          <w:szCs w:val="22"/>
        </w:rPr>
        <w:t>I</w:t>
      </w:r>
      <w:bookmarkStart w:id="15" w:name="_Hlk30952490"/>
      <w:r w:rsidRPr="00337831">
        <w:rPr>
          <w:rFonts w:cs="Arial"/>
          <w:i/>
          <w:sz w:val="22"/>
          <w:szCs w:val="22"/>
        </w:rPr>
        <w:t>nternational Insolvency Institute</w:t>
      </w:r>
      <w:r w:rsidRPr="00337831">
        <w:rPr>
          <w:rFonts w:cs="Arial"/>
          <w:sz w:val="22"/>
          <w:szCs w:val="22"/>
        </w:rPr>
        <w:t>, at &lt;&lt; https://www.iiiglobal.org/sites/default/files/PatriciaGodfreySCHEMES.pdf&gt;&gt;, visited 26 January 2020.</w:t>
      </w:r>
      <w:bookmarkEnd w:id="15"/>
    </w:p>
    <w:p w14:paraId="65A3C015" w14:textId="77777777" w:rsidR="00A27927" w:rsidRPr="00337831" w:rsidRDefault="00D25429" w:rsidP="003438ED">
      <w:pPr>
        <w:pStyle w:val="BodyText"/>
        <w:spacing w:after="120" w:line="360" w:lineRule="auto"/>
        <w:rPr>
          <w:rFonts w:cs="Arial"/>
          <w:sz w:val="22"/>
          <w:szCs w:val="22"/>
        </w:rPr>
      </w:pPr>
      <w:r w:rsidRPr="00337831">
        <w:rPr>
          <w:rFonts w:cs="Arial"/>
          <w:sz w:val="22"/>
          <w:szCs w:val="22"/>
        </w:rPr>
        <w:lastRenderedPageBreak/>
        <w:t xml:space="preserve">Goffman, J., Leake, P. &amp; Okike, C.A., (2019), </w:t>
      </w:r>
      <w:r w:rsidRPr="00337831">
        <w:rPr>
          <w:rFonts w:cs="Arial"/>
          <w:i/>
          <w:sz w:val="22"/>
          <w:szCs w:val="22"/>
        </w:rPr>
        <w:t>Chambers Global Practice Guide: Insolvency: USA</w:t>
      </w:r>
      <w:r w:rsidRPr="00337831">
        <w:rPr>
          <w:rFonts w:cs="Arial"/>
          <w:sz w:val="22"/>
          <w:szCs w:val="22"/>
        </w:rPr>
        <w:t>, Second Edition, at &lt;&lt;https://practiceguides.chambers.com/practice-guides/insolvency-2019-second-edition/usa&gt;&gt;, visited 26 January 2020.</w:t>
      </w:r>
    </w:p>
    <w:p w14:paraId="560CC6A9" w14:textId="77777777" w:rsidR="00C71BD8" w:rsidRPr="00337831" w:rsidRDefault="00D25429" w:rsidP="00C71BD8">
      <w:pPr>
        <w:pStyle w:val="BodyText"/>
        <w:spacing w:after="120" w:line="360" w:lineRule="auto"/>
        <w:rPr>
          <w:rFonts w:cs="Arial"/>
          <w:sz w:val="22"/>
          <w:szCs w:val="22"/>
        </w:rPr>
      </w:pPr>
      <w:r w:rsidRPr="00337831">
        <w:rPr>
          <w:rFonts w:cs="Arial"/>
          <w:sz w:val="22"/>
          <w:szCs w:val="22"/>
        </w:rPr>
        <w:t>Goldstein</w:t>
      </w:r>
      <w:r w:rsidR="00704B46" w:rsidRPr="00337831">
        <w:rPr>
          <w:rFonts w:cs="Arial"/>
          <w:sz w:val="22"/>
          <w:szCs w:val="22"/>
        </w:rPr>
        <w:t xml:space="preserve">, M.L. &amp; Youdelman, S., </w:t>
      </w:r>
      <w:r w:rsidRPr="00337831">
        <w:rPr>
          <w:rFonts w:cs="Arial"/>
          <w:sz w:val="22"/>
          <w:szCs w:val="22"/>
        </w:rPr>
        <w:t xml:space="preserve">(2008), “Prepackaged Chapter 11 Case Considerations and Techniques”, </w:t>
      </w:r>
      <w:r w:rsidRPr="00337831">
        <w:rPr>
          <w:rFonts w:cs="Arial"/>
          <w:i/>
          <w:sz w:val="22"/>
          <w:szCs w:val="22"/>
        </w:rPr>
        <w:t>International Insolvency Institute</w:t>
      </w:r>
      <w:r w:rsidRPr="00337831">
        <w:rPr>
          <w:rFonts w:cs="Arial"/>
          <w:sz w:val="22"/>
          <w:szCs w:val="22"/>
        </w:rPr>
        <w:t>, at &lt;&lt;ttps://www.iiiglobal.org/sites/default/files/marciagoldstein.pdf&gt;&gt;, visited 26 January 2020.</w:t>
      </w:r>
    </w:p>
    <w:p w14:paraId="432E23DA" w14:textId="77777777" w:rsidR="00C4631D" w:rsidRPr="00337831" w:rsidRDefault="00D25429" w:rsidP="00C4631D">
      <w:pPr>
        <w:pStyle w:val="BodyText"/>
        <w:spacing w:after="120" w:line="360" w:lineRule="auto"/>
        <w:rPr>
          <w:rFonts w:cs="Arial"/>
          <w:sz w:val="22"/>
          <w:szCs w:val="22"/>
        </w:rPr>
      </w:pPr>
      <w:r w:rsidRPr="00337831">
        <w:rPr>
          <w:rFonts w:cs="Arial"/>
          <w:sz w:val="22"/>
          <w:szCs w:val="22"/>
        </w:rPr>
        <w:t xml:space="preserve">Hillman, D.M. &amp; Theodoridis, C., (2020), “Restructuring Trend: The Ultrafast Prepack for Private Credit Deals”, </w:t>
      </w:r>
      <w:r w:rsidRPr="00337831">
        <w:rPr>
          <w:rFonts w:cs="Arial"/>
          <w:i/>
          <w:sz w:val="22"/>
          <w:szCs w:val="22"/>
        </w:rPr>
        <w:t>Proskauer Rose LLP - Insights</w:t>
      </w:r>
      <w:r w:rsidRPr="00337831">
        <w:rPr>
          <w:rFonts w:cs="Arial"/>
          <w:sz w:val="22"/>
          <w:szCs w:val="22"/>
        </w:rPr>
        <w:t>, at &lt;&lt;https://www.proskauer.com/pub/restructuring-trend-the-ultrafast-prepack-for-private-credit-deals&gt;&gt;, visited 26 January 2020.</w:t>
      </w:r>
    </w:p>
    <w:p w14:paraId="5C222F98" w14:textId="77777777" w:rsidR="00AE2CDD" w:rsidRPr="00337831" w:rsidRDefault="00D25429" w:rsidP="003438ED">
      <w:pPr>
        <w:pStyle w:val="Default"/>
        <w:spacing w:after="120" w:line="360" w:lineRule="auto"/>
        <w:rPr>
          <w:rFonts w:ascii="Arial" w:hAnsi="Arial" w:cs="Arial"/>
          <w:i/>
          <w:iCs/>
          <w:sz w:val="22"/>
          <w:szCs w:val="22"/>
        </w:rPr>
      </w:pPr>
      <w:r w:rsidRPr="00337831">
        <w:rPr>
          <w:rFonts w:ascii="Arial" w:hAnsi="Arial" w:cs="Arial"/>
          <w:sz w:val="22"/>
          <w:szCs w:val="22"/>
        </w:rPr>
        <w:t xml:space="preserve">INSOL International, (2017), </w:t>
      </w:r>
      <w:r w:rsidRPr="00337831">
        <w:rPr>
          <w:rFonts w:ascii="Arial" w:hAnsi="Arial" w:cs="Arial"/>
          <w:i/>
          <w:iCs/>
          <w:sz w:val="22"/>
          <w:szCs w:val="22"/>
        </w:rPr>
        <w:t>Statement of Principles for a Global Approach to Multi-Creditor Workouts II.</w:t>
      </w:r>
    </w:p>
    <w:p w14:paraId="2688CC69" w14:textId="77777777" w:rsidR="007B5644" w:rsidRPr="00337831" w:rsidRDefault="00D25429" w:rsidP="003438ED">
      <w:pPr>
        <w:pStyle w:val="Default"/>
        <w:spacing w:after="120" w:line="360" w:lineRule="auto"/>
        <w:rPr>
          <w:rFonts w:ascii="Arial" w:hAnsi="Arial" w:cs="Arial"/>
          <w:iCs/>
          <w:sz w:val="22"/>
          <w:szCs w:val="22"/>
        </w:rPr>
      </w:pPr>
      <w:r w:rsidRPr="00337831">
        <w:rPr>
          <w:rFonts w:ascii="Arial" w:hAnsi="Arial" w:cs="Arial"/>
          <w:i/>
          <w:sz w:val="22"/>
          <w:szCs w:val="22"/>
        </w:rPr>
        <w:t>Insolvency Act 1986</w:t>
      </w:r>
      <w:r w:rsidRPr="00337831">
        <w:rPr>
          <w:rFonts w:ascii="Arial" w:hAnsi="Arial" w:cs="Arial"/>
          <w:sz w:val="22"/>
          <w:szCs w:val="22"/>
        </w:rPr>
        <w:t xml:space="preserve"> (UK).</w:t>
      </w:r>
    </w:p>
    <w:p w14:paraId="6916AB17" w14:textId="77777777" w:rsidR="00C5240E" w:rsidRPr="00337831" w:rsidRDefault="00D25429" w:rsidP="003438ED">
      <w:pPr>
        <w:pStyle w:val="Default"/>
        <w:spacing w:after="120" w:line="360" w:lineRule="auto"/>
        <w:rPr>
          <w:rFonts w:ascii="Arial" w:hAnsi="Arial" w:cs="Arial"/>
          <w:iCs/>
          <w:sz w:val="22"/>
          <w:szCs w:val="22"/>
        </w:rPr>
      </w:pPr>
      <w:r w:rsidRPr="00337831">
        <w:rPr>
          <w:rFonts w:ascii="Arial" w:hAnsi="Arial" w:cs="Arial"/>
          <w:iCs/>
          <w:sz w:val="22"/>
          <w:szCs w:val="22"/>
        </w:rPr>
        <w:t>Ivester, J.E., (2019), “The Restructuring Review”, 12</w:t>
      </w:r>
      <w:r w:rsidRPr="00337831">
        <w:rPr>
          <w:rFonts w:ascii="Arial" w:hAnsi="Arial" w:cs="Arial"/>
          <w:iCs/>
          <w:sz w:val="22"/>
          <w:szCs w:val="22"/>
          <w:vertAlign w:val="superscript"/>
        </w:rPr>
        <w:t>th</w:t>
      </w:r>
      <w:r w:rsidRPr="00337831">
        <w:rPr>
          <w:rFonts w:ascii="Arial" w:hAnsi="Arial" w:cs="Arial"/>
          <w:iCs/>
          <w:sz w:val="22"/>
          <w:szCs w:val="22"/>
        </w:rPr>
        <w:t xml:space="preserve"> edition, Unites States Chapter, </w:t>
      </w:r>
      <w:r w:rsidRPr="00337831">
        <w:rPr>
          <w:rFonts w:ascii="Arial" w:hAnsi="Arial" w:cs="Arial"/>
          <w:i/>
          <w:iCs/>
          <w:sz w:val="22"/>
          <w:szCs w:val="22"/>
        </w:rPr>
        <w:t>Law Business Research Limited</w:t>
      </w:r>
      <w:r w:rsidRPr="00337831">
        <w:rPr>
          <w:rFonts w:ascii="Arial" w:hAnsi="Arial" w:cs="Arial"/>
          <w:iCs/>
          <w:sz w:val="22"/>
          <w:szCs w:val="22"/>
        </w:rPr>
        <w:t>, pp. 273-290.</w:t>
      </w:r>
    </w:p>
    <w:p w14:paraId="25AE6E1E" w14:textId="77777777" w:rsidR="00A27927" w:rsidRPr="00337831" w:rsidRDefault="00D25429" w:rsidP="003438ED">
      <w:pPr>
        <w:pStyle w:val="BodyText"/>
        <w:spacing w:after="120" w:line="360" w:lineRule="auto"/>
        <w:rPr>
          <w:rFonts w:cs="Arial"/>
          <w:sz w:val="22"/>
          <w:szCs w:val="22"/>
        </w:rPr>
      </w:pPr>
      <w:r w:rsidRPr="00337831">
        <w:rPr>
          <w:rFonts w:cs="Arial"/>
          <w:sz w:val="22"/>
          <w:szCs w:val="22"/>
        </w:rPr>
        <w:t>Keddie, P. &amp; White, T., (</w:t>
      </w:r>
      <w:r w:rsidR="001C2514" w:rsidRPr="00337831">
        <w:rPr>
          <w:rFonts w:cs="Arial"/>
          <w:sz w:val="22"/>
          <w:szCs w:val="22"/>
        </w:rPr>
        <w:t>2019</w:t>
      </w:r>
      <w:r w:rsidRPr="00337831">
        <w:rPr>
          <w:rFonts w:cs="Arial"/>
          <w:sz w:val="22"/>
          <w:szCs w:val="22"/>
        </w:rPr>
        <w:t>)</w:t>
      </w:r>
      <w:r w:rsidR="001C2514" w:rsidRPr="00337831">
        <w:rPr>
          <w:rFonts w:cs="Arial"/>
          <w:sz w:val="22"/>
          <w:szCs w:val="22"/>
        </w:rPr>
        <w:t xml:space="preserve">, “The International Comparative Legal Guide to: Corporate Recovery &amp; Insolvency 2019”, England Chapter, </w:t>
      </w:r>
      <w:r w:rsidR="001C2514" w:rsidRPr="00337831">
        <w:rPr>
          <w:rFonts w:cs="Arial"/>
          <w:i/>
          <w:sz w:val="22"/>
          <w:szCs w:val="22"/>
        </w:rPr>
        <w:t>Global Legal Group</w:t>
      </w:r>
      <w:r w:rsidR="001C2514" w:rsidRPr="00337831">
        <w:rPr>
          <w:rFonts w:cs="Arial"/>
          <w:sz w:val="22"/>
          <w:szCs w:val="22"/>
        </w:rPr>
        <w:t>, pp.</w:t>
      </w:r>
      <w:r w:rsidR="006351BC" w:rsidRPr="00337831">
        <w:rPr>
          <w:rFonts w:cs="Arial"/>
          <w:sz w:val="22"/>
          <w:szCs w:val="22"/>
        </w:rPr>
        <w:t xml:space="preserve"> </w:t>
      </w:r>
      <w:r w:rsidR="001C2514" w:rsidRPr="00337831">
        <w:rPr>
          <w:rFonts w:cs="Arial"/>
          <w:sz w:val="22"/>
          <w:szCs w:val="22"/>
        </w:rPr>
        <w:t>55-61.</w:t>
      </w:r>
    </w:p>
    <w:p w14:paraId="2FC349CB" w14:textId="77777777" w:rsidR="00A27927" w:rsidRPr="00337831" w:rsidRDefault="00D25429" w:rsidP="003438ED">
      <w:pPr>
        <w:pStyle w:val="BodyText"/>
        <w:spacing w:after="120" w:line="360" w:lineRule="auto"/>
        <w:rPr>
          <w:rFonts w:cs="Arial"/>
          <w:sz w:val="22"/>
          <w:szCs w:val="22"/>
        </w:rPr>
      </w:pPr>
      <w:r w:rsidRPr="00337831">
        <w:rPr>
          <w:rFonts w:cs="Arial"/>
          <w:sz w:val="22"/>
          <w:szCs w:val="22"/>
        </w:rPr>
        <w:t xml:space="preserve">Kornberg, A.W. &amp; Tobler, C.R., (2019), “Getting the Deal Through: Restructuring and Insolvency”, United States Chapter, </w:t>
      </w:r>
      <w:r w:rsidRPr="00337831">
        <w:rPr>
          <w:rFonts w:cs="Arial"/>
          <w:i/>
          <w:sz w:val="22"/>
          <w:szCs w:val="22"/>
        </w:rPr>
        <w:t>Law Business Research 2019</w:t>
      </w:r>
      <w:r w:rsidRPr="00337831">
        <w:rPr>
          <w:rFonts w:cs="Arial"/>
          <w:sz w:val="22"/>
          <w:szCs w:val="22"/>
        </w:rPr>
        <w:t>, pp. 471-482.</w:t>
      </w:r>
    </w:p>
    <w:p w14:paraId="71F2C2DD" w14:textId="77777777" w:rsidR="001C2514" w:rsidRPr="00337831" w:rsidRDefault="00D25429" w:rsidP="003438ED">
      <w:pPr>
        <w:pStyle w:val="BodyText"/>
        <w:spacing w:after="120" w:line="360" w:lineRule="auto"/>
        <w:rPr>
          <w:rFonts w:cs="Arial"/>
          <w:sz w:val="22"/>
          <w:szCs w:val="22"/>
        </w:rPr>
      </w:pPr>
      <w:r w:rsidRPr="00337831">
        <w:rPr>
          <w:rFonts w:cs="Arial"/>
          <w:sz w:val="22"/>
          <w:szCs w:val="22"/>
        </w:rPr>
        <w:t xml:space="preserve">Kornberg, A.W. &amp; McColm, E.R., (2019), “The International Comparative Legal Guide to: Corporate Recovery &amp; Insolvency 2019”, USA Chapter, </w:t>
      </w:r>
      <w:r w:rsidRPr="00337831">
        <w:rPr>
          <w:rFonts w:cs="Arial"/>
          <w:i/>
          <w:sz w:val="22"/>
          <w:szCs w:val="22"/>
        </w:rPr>
        <w:t>Global Legal Group</w:t>
      </w:r>
      <w:r w:rsidRPr="00337831">
        <w:rPr>
          <w:rFonts w:cs="Arial"/>
          <w:sz w:val="22"/>
          <w:szCs w:val="22"/>
        </w:rPr>
        <w:t>, pp.</w:t>
      </w:r>
      <w:r w:rsidR="006351BC" w:rsidRPr="00337831">
        <w:rPr>
          <w:rFonts w:cs="Arial"/>
          <w:sz w:val="22"/>
          <w:szCs w:val="22"/>
        </w:rPr>
        <w:t xml:space="preserve"> </w:t>
      </w:r>
      <w:r w:rsidRPr="00337831">
        <w:rPr>
          <w:rFonts w:cs="Arial"/>
          <w:sz w:val="22"/>
          <w:szCs w:val="22"/>
        </w:rPr>
        <w:t>208-213.</w:t>
      </w:r>
    </w:p>
    <w:p w14:paraId="092A9B7D" w14:textId="77777777" w:rsidR="00A0180D" w:rsidRPr="00337831" w:rsidRDefault="00D25429" w:rsidP="003438ED">
      <w:pPr>
        <w:pStyle w:val="BodyText"/>
        <w:spacing w:after="120" w:line="360" w:lineRule="auto"/>
        <w:rPr>
          <w:rFonts w:cs="Arial"/>
          <w:sz w:val="22"/>
          <w:szCs w:val="22"/>
        </w:rPr>
      </w:pPr>
      <w:r w:rsidRPr="00337831">
        <w:rPr>
          <w:rFonts w:cs="Arial"/>
          <w:sz w:val="22"/>
          <w:szCs w:val="22"/>
        </w:rPr>
        <w:t xml:space="preserve">Leake, P. &amp; Chehi, M.S., “Chambers Global Practice Guide: Insolvency”, </w:t>
      </w:r>
      <w:r w:rsidRPr="00337831">
        <w:rPr>
          <w:rFonts w:cs="Arial"/>
          <w:i/>
          <w:sz w:val="22"/>
          <w:szCs w:val="22"/>
        </w:rPr>
        <w:t>Chambers &amp; Partners</w:t>
      </w:r>
      <w:r w:rsidRPr="00337831">
        <w:rPr>
          <w:rFonts w:cs="Arial"/>
          <w:sz w:val="22"/>
          <w:szCs w:val="22"/>
        </w:rPr>
        <w:t>, 2018.</w:t>
      </w:r>
    </w:p>
    <w:p w14:paraId="429BBFFC" w14:textId="77777777" w:rsidR="002B366B" w:rsidRPr="00337831" w:rsidRDefault="00D25429" w:rsidP="003438ED">
      <w:pPr>
        <w:pStyle w:val="BodyText"/>
        <w:spacing w:after="120" w:line="360" w:lineRule="auto"/>
        <w:rPr>
          <w:rFonts w:cs="Arial"/>
          <w:i/>
          <w:sz w:val="22"/>
          <w:szCs w:val="22"/>
        </w:rPr>
      </w:pPr>
      <w:r w:rsidRPr="00337831">
        <w:rPr>
          <w:rFonts w:cs="Arial"/>
          <w:sz w:val="22"/>
          <w:szCs w:val="22"/>
        </w:rPr>
        <w:t xml:space="preserve">Pernick, N.L., Hurst, D.R. &amp; Scheuer, T., (2013) “To Gift or Not to Gift: Chapter 11 Plans in the 2nd and 3rd Circuits”, </w:t>
      </w:r>
      <w:r w:rsidRPr="00337831">
        <w:rPr>
          <w:rFonts w:cs="Arial"/>
          <w:i/>
          <w:sz w:val="22"/>
          <w:szCs w:val="22"/>
        </w:rPr>
        <w:t>Expert Guide: Bankruptcy &amp; Restructuring 2013</w:t>
      </w:r>
      <w:r w:rsidRPr="00337831">
        <w:rPr>
          <w:rFonts w:cs="Arial"/>
          <w:sz w:val="22"/>
          <w:szCs w:val="22"/>
        </w:rPr>
        <w:t>, March/April 2013</w:t>
      </w:r>
      <w:r w:rsidR="00284A37" w:rsidRPr="00337831">
        <w:rPr>
          <w:rFonts w:cs="Arial"/>
          <w:sz w:val="22"/>
          <w:szCs w:val="22"/>
        </w:rPr>
        <w:t xml:space="preserve">, at </w:t>
      </w:r>
      <w:r w:rsidRPr="00337831">
        <w:rPr>
          <w:rFonts w:cs="Arial"/>
          <w:sz w:val="22"/>
          <w:szCs w:val="22"/>
        </w:rPr>
        <w:t>&lt;&lt;https://www.coleschotz.com/2B7963/assets/files/News/Corporate%20Live%20Wire%27s%20Expert%20Guide%20-%20Bankrtuptcy%20&amp;%20Restructuring%20-%20Pernick,%20Hurst,%20Scheuer.pdf&gt;&gt;, visited 26 January 2020.</w:t>
      </w:r>
    </w:p>
    <w:p w14:paraId="6C20FB83" w14:textId="77777777" w:rsidR="00284A37" w:rsidRPr="00337831" w:rsidRDefault="00D25429" w:rsidP="00284A37">
      <w:pPr>
        <w:pStyle w:val="BodyText"/>
        <w:spacing w:after="120" w:line="360" w:lineRule="auto"/>
        <w:rPr>
          <w:rFonts w:cs="Arial"/>
          <w:sz w:val="22"/>
          <w:szCs w:val="22"/>
        </w:rPr>
      </w:pPr>
      <w:r w:rsidRPr="00337831">
        <w:rPr>
          <w:rFonts w:cs="Arial"/>
          <w:sz w:val="22"/>
          <w:szCs w:val="22"/>
        </w:rPr>
        <w:t xml:space="preserve">Pullo, C, “Undertaking a Prepackaged Plan Solicitation”, Practical Law Practice Note w-016-7091, </w:t>
      </w:r>
      <w:r w:rsidRPr="00337831">
        <w:rPr>
          <w:rFonts w:cs="Arial"/>
          <w:i/>
          <w:sz w:val="22"/>
          <w:szCs w:val="22"/>
        </w:rPr>
        <w:t>Thomson Reuters</w:t>
      </w:r>
      <w:r w:rsidRPr="00337831">
        <w:rPr>
          <w:rFonts w:cs="Arial"/>
          <w:sz w:val="22"/>
          <w:szCs w:val="22"/>
        </w:rPr>
        <w:t>, USA (2020).</w:t>
      </w:r>
    </w:p>
    <w:p w14:paraId="485DD00B" w14:textId="77777777" w:rsidR="00782C71" w:rsidRPr="00337831" w:rsidRDefault="00D25429" w:rsidP="00782C71">
      <w:pPr>
        <w:pStyle w:val="BodyText"/>
        <w:spacing w:after="120" w:line="360" w:lineRule="auto"/>
        <w:rPr>
          <w:rFonts w:cs="Arial"/>
          <w:sz w:val="22"/>
          <w:szCs w:val="22"/>
        </w:rPr>
      </w:pPr>
      <w:r w:rsidRPr="00337831">
        <w:rPr>
          <w:rFonts w:cs="Arial"/>
          <w:sz w:val="22"/>
          <w:szCs w:val="22"/>
        </w:rPr>
        <w:t xml:space="preserve">Roome, J., Bannister, T., Simmonds E, &amp; Pflueger, L., (2019), “Restructuring and insolvency in the UK (England &amp; Wales): overview”, </w:t>
      </w:r>
      <w:r w:rsidRPr="00337831">
        <w:rPr>
          <w:rFonts w:cs="Arial"/>
          <w:i/>
          <w:sz w:val="22"/>
          <w:szCs w:val="22"/>
        </w:rPr>
        <w:t>Thomson Reuters Practical Law</w:t>
      </w:r>
      <w:r w:rsidRPr="00337831">
        <w:rPr>
          <w:rFonts w:cs="Arial"/>
          <w:sz w:val="22"/>
          <w:szCs w:val="22"/>
        </w:rPr>
        <w:t xml:space="preserve">, at </w:t>
      </w:r>
      <w:r w:rsidRPr="00337831">
        <w:rPr>
          <w:rFonts w:cs="Arial"/>
          <w:sz w:val="22"/>
          <w:szCs w:val="22"/>
        </w:rPr>
        <w:lastRenderedPageBreak/>
        <w:t>&lt;&lt;https://uk.practicallaw.thomsonreuters.com/9-501-6812?transitionType=Default&amp;contextData=(sc.Default)&amp;firstPage=true&amp;bhcp=1&gt;&gt;, visited 26 January 2020.</w:t>
      </w:r>
    </w:p>
    <w:p w14:paraId="52030EC9" w14:textId="77777777" w:rsidR="00ED239F" w:rsidRPr="00337831" w:rsidRDefault="00D25429" w:rsidP="003438ED">
      <w:pPr>
        <w:pStyle w:val="Default"/>
        <w:spacing w:after="120" w:line="360" w:lineRule="auto"/>
        <w:rPr>
          <w:rFonts w:ascii="Arial" w:hAnsi="Arial" w:cs="Arial"/>
          <w:sz w:val="22"/>
          <w:szCs w:val="22"/>
        </w:rPr>
      </w:pPr>
      <w:r w:rsidRPr="00337831">
        <w:rPr>
          <w:rFonts w:ascii="Arial" w:hAnsi="Arial" w:cs="Arial"/>
          <w:sz w:val="22"/>
          <w:szCs w:val="22"/>
        </w:rPr>
        <w:t>Risk Management Group of the Basel Committee on Banking Supervision</w:t>
      </w:r>
      <w:r w:rsidR="001C3125" w:rsidRPr="00337831">
        <w:rPr>
          <w:rFonts w:ascii="Arial" w:hAnsi="Arial" w:cs="Arial"/>
          <w:sz w:val="22"/>
          <w:szCs w:val="22"/>
        </w:rPr>
        <w:t>,</w:t>
      </w:r>
      <w:r w:rsidRPr="00337831">
        <w:rPr>
          <w:rFonts w:ascii="Arial" w:hAnsi="Arial" w:cs="Arial"/>
          <w:sz w:val="22"/>
          <w:szCs w:val="22"/>
        </w:rPr>
        <w:t xml:space="preserve"> (</w:t>
      </w:r>
      <w:r w:rsidR="001C3125" w:rsidRPr="00337831">
        <w:rPr>
          <w:rFonts w:ascii="Arial" w:hAnsi="Arial" w:cs="Arial"/>
          <w:sz w:val="22"/>
          <w:szCs w:val="22"/>
        </w:rPr>
        <w:t>2000</w:t>
      </w:r>
      <w:r w:rsidRPr="00337831">
        <w:rPr>
          <w:rFonts w:ascii="Arial" w:hAnsi="Arial" w:cs="Arial"/>
          <w:sz w:val="22"/>
          <w:szCs w:val="22"/>
        </w:rPr>
        <w:t>)</w:t>
      </w:r>
      <w:r w:rsidR="001C3125" w:rsidRPr="00337831">
        <w:rPr>
          <w:rFonts w:ascii="Arial" w:hAnsi="Arial" w:cs="Arial"/>
          <w:sz w:val="22"/>
          <w:szCs w:val="22"/>
        </w:rPr>
        <w:t xml:space="preserve">, “Principles for the Management of Credit Risk”, at &lt;&lt;https://www.bis.org/publ/bcbs75.pdf&gt;&gt;, visited </w:t>
      </w:r>
      <w:r w:rsidR="00204532" w:rsidRPr="00337831">
        <w:rPr>
          <w:rFonts w:ascii="Arial" w:hAnsi="Arial" w:cs="Arial"/>
          <w:sz w:val="22"/>
          <w:szCs w:val="22"/>
        </w:rPr>
        <w:t>13 January 2020</w:t>
      </w:r>
      <w:r w:rsidR="001C3125" w:rsidRPr="00337831">
        <w:rPr>
          <w:rFonts w:ascii="Arial" w:hAnsi="Arial" w:cs="Arial"/>
          <w:sz w:val="22"/>
          <w:szCs w:val="22"/>
        </w:rPr>
        <w:t>.</w:t>
      </w:r>
    </w:p>
    <w:p w14:paraId="5A5B1839" w14:textId="77777777" w:rsidR="009831BF" w:rsidRPr="00337831" w:rsidRDefault="00D25429" w:rsidP="003438ED">
      <w:pPr>
        <w:pStyle w:val="Default"/>
        <w:spacing w:after="120" w:line="360" w:lineRule="auto"/>
        <w:rPr>
          <w:rFonts w:ascii="Arial" w:hAnsi="Arial" w:cs="Arial"/>
          <w:sz w:val="22"/>
          <w:szCs w:val="22"/>
        </w:rPr>
      </w:pPr>
      <w:r w:rsidRPr="00337831">
        <w:rPr>
          <w:rFonts w:ascii="Arial" w:hAnsi="Arial" w:cs="Arial"/>
          <w:sz w:val="22"/>
          <w:szCs w:val="22"/>
        </w:rPr>
        <w:t xml:space="preserve">Slatter, S. &amp; </w:t>
      </w:r>
      <w:r w:rsidR="005335DE" w:rsidRPr="00337831">
        <w:rPr>
          <w:rFonts w:ascii="Arial" w:hAnsi="Arial" w:cs="Arial"/>
          <w:sz w:val="22"/>
          <w:szCs w:val="22"/>
        </w:rPr>
        <w:t xml:space="preserve">Lovett, D., “Corporate Turnaround: Managing Companies in Distress”, </w:t>
      </w:r>
      <w:r w:rsidR="005335DE" w:rsidRPr="00337831">
        <w:rPr>
          <w:rFonts w:ascii="Arial" w:hAnsi="Arial" w:cs="Arial"/>
          <w:i/>
          <w:sz w:val="22"/>
          <w:szCs w:val="22"/>
        </w:rPr>
        <w:t>Penguin Business</w:t>
      </w:r>
      <w:r w:rsidR="005335DE" w:rsidRPr="00337831">
        <w:rPr>
          <w:rFonts w:ascii="Arial" w:hAnsi="Arial" w:cs="Arial"/>
          <w:sz w:val="22"/>
          <w:szCs w:val="22"/>
        </w:rPr>
        <w:t>, London (1999).</w:t>
      </w:r>
    </w:p>
    <w:p w14:paraId="73BD2F6D" w14:textId="77777777" w:rsidR="00A8618E" w:rsidRPr="00337831" w:rsidRDefault="00D25429" w:rsidP="003438ED">
      <w:pPr>
        <w:pStyle w:val="Default"/>
        <w:spacing w:after="120" w:line="360" w:lineRule="auto"/>
        <w:rPr>
          <w:rFonts w:ascii="Arial" w:hAnsi="Arial" w:cs="Arial"/>
          <w:sz w:val="22"/>
          <w:szCs w:val="22"/>
        </w:rPr>
      </w:pPr>
      <w:r w:rsidRPr="00337831">
        <w:rPr>
          <w:rFonts w:ascii="Arial" w:hAnsi="Arial" w:cs="Arial"/>
          <w:i/>
          <w:sz w:val="22"/>
          <w:szCs w:val="22"/>
        </w:rPr>
        <w:t>Sovereign Life Assurance Co v Dodd</w:t>
      </w:r>
      <w:r w:rsidRPr="00337831">
        <w:rPr>
          <w:rFonts w:ascii="Arial" w:hAnsi="Arial" w:cs="Arial"/>
          <w:sz w:val="22"/>
          <w:szCs w:val="22"/>
        </w:rPr>
        <w:t xml:space="preserve"> [1892] 2 QB 753.</w:t>
      </w:r>
    </w:p>
    <w:p w14:paraId="3BD157F1" w14:textId="77777777" w:rsidR="001A0D71" w:rsidRPr="00337831" w:rsidRDefault="00D25429" w:rsidP="003438ED">
      <w:pPr>
        <w:pStyle w:val="Default"/>
        <w:spacing w:after="120" w:line="360" w:lineRule="auto"/>
        <w:rPr>
          <w:rFonts w:ascii="Arial" w:hAnsi="Arial" w:cs="Arial"/>
          <w:sz w:val="22"/>
          <w:szCs w:val="22"/>
        </w:rPr>
      </w:pPr>
      <w:r w:rsidRPr="00337831">
        <w:rPr>
          <w:rFonts w:ascii="Arial" w:hAnsi="Arial" w:cs="Arial"/>
          <w:sz w:val="22"/>
          <w:szCs w:val="22"/>
        </w:rPr>
        <w:t>S</w:t>
      </w:r>
      <w:r w:rsidR="001C3125" w:rsidRPr="00337831">
        <w:rPr>
          <w:rFonts w:ascii="Arial" w:hAnsi="Arial" w:cs="Arial"/>
          <w:sz w:val="22"/>
          <w:szCs w:val="22"/>
        </w:rPr>
        <w:t>udarsanam, S</w:t>
      </w:r>
      <w:r w:rsidR="00BE2423" w:rsidRPr="00337831">
        <w:rPr>
          <w:rFonts w:ascii="Arial" w:hAnsi="Arial" w:cs="Arial"/>
          <w:sz w:val="22"/>
          <w:szCs w:val="22"/>
        </w:rPr>
        <w:t>.</w:t>
      </w:r>
      <w:r w:rsidR="00DF7302" w:rsidRPr="00337831">
        <w:rPr>
          <w:rFonts w:ascii="Arial" w:hAnsi="Arial" w:cs="Arial"/>
          <w:sz w:val="22"/>
          <w:szCs w:val="22"/>
        </w:rPr>
        <w:t xml:space="preserve"> &amp; </w:t>
      </w:r>
      <w:r w:rsidR="001C3125" w:rsidRPr="00337831">
        <w:rPr>
          <w:rFonts w:ascii="Arial" w:hAnsi="Arial" w:cs="Arial"/>
          <w:sz w:val="22"/>
          <w:szCs w:val="22"/>
        </w:rPr>
        <w:t>Lai, J., (2001), “</w:t>
      </w:r>
      <w:r w:rsidRPr="00337831">
        <w:rPr>
          <w:rFonts w:ascii="Arial" w:hAnsi="Arial" w:cs="Arial"/>
          <w:sz w:val="22"/>
          <w:szCs w:val="22"/>
        </w:rPr>
        <w:t>Corporate Financial Distress and Turnaround St</w:t>
      </w:r>
      <w:r w:rsidR="001C3125" w:rsidRPr="00337831">
        <w:rPr>
          <w:rFonts w:ascii="Arial" w:hAnsi="Arial" w:cs="Arial"/>
          <w:sz w:val="22"/>
          <w:szCs w:val="22"/>
        </w:rPr>
        <w:t>rategies: An Empirical Analysis”</w:t>
      </w:r>
      <w:r w:rsidRPr="00337831">
        <w:rPr>
          <w:rFonts w:ascii="Arial" w:hAnsi="Arial" w:cs="Arial"/>
          <w:sz w:val="22"/>
          <w:szCs w:val="22"/>
        </w:rPr>
        <w:t xml:space="preserve">, </w:t>
      </w:r>
      <w:r w:rsidRPr="00337831">
        <w:rPr>
          <w:rFonts w:ascii="Arial" w:hAnsi="Arial" w:cs="Arial"/>
          <w:i/>
          <w:iCs/>
          <w:sz w:val="22"/>
          <w:szCs w:val="22"/>
        </w:rPr>
        <w:t>British Journal of Management</w:t>
      </w:r>
      <w:r w:rsidRPr="00337831">
        <w:rPr>
          <w:rFonts w:ascii="Arial" w:hAnsi="Arial" w:cs="Arial"/>
          <w:sz w:val="22"/>
          <w:szCs w:val="22"/>
        </w:rPr>
        <w:t xml:space="preserve">, Vol. 12, </w:t>
      </w:r>
      <w:r w:rsidR="00457ACA" w:rsidRPr="00337831">
        <w:rPr>
          <w:rFonts w:ascii="Arial" w:hAnsi="Arial" w:cs="Arial"/>
          <w:sz w:val="22"/>
          <w:szCs w:val="22"/>
        </w:rPr>
        <w:t xml:space="preserve">pp. </w:t>
      </w:r>
      <w:r w:rsidRPr="00337831">
        <w:rPr>
          <w:rFonts w:ascii="Arial" w:hAnsi="Arial" w:cs="Arial"/>
          <w:sz w:val="22"/>
          <w:szCs w:val="22"/>
        </w:rPr>
        <w:t xml:space="preserve">183-199. </w:t>
      </w:r>
    </w:p>
    <w:p w14:paraId="69278F64" w14:textId="77777777" w:rsidR="00BE089F" w:rsidRPr="00337831" w:rsidRDefault="00D25429" w:rsidP="003438ED">
      <w:pPr>
        <w:pStyle w:val="BodyText"/>
        <w:spacing w:after="120" w:line="360" w:lineRule="auto"/>
        <w:rPr>
          <w:rFonts w:cs="Arial"/>
          <w:sz w:val="22"/>
          <w:szCs w:val="22"/>
        </w:rPr>
      </w:pPr>
      <w:r w:rsidRPr="00337831">
        <w:rPr>
          <w:rFonts w:cs="Arial"/>
          <w:sz w:val="22"/>
          <w:szCs w:val="22"/>
        </w:rPr>
        <w:t xml:space="preserve">The World Bank, (2015), </w:t>
      </w:r>
      <w:r w:rsidR="00D31C73" w:rsidRPr="00337831">
        <w:rPr>
          <w:rFonts w:cs="Arial"/>
          <w:i/>
          <w:sz w:val="22"/>
          <w:szCs w:val="22"/>
        </w:rPr>
        <w:t>Principles for Effective Insolvency and Creditor/Debtor Regimes</w:t>
      </w:r>
      <w:r w:rsidR="00D31C73" w:rsidRPr="00337831">
        <w:rPr>
          <w:rFonts w:cs="Arial"/>
          <w:sz w:val="22"/>
          <w:szCs w:val="22"/>
        </w:rPr>
        <w:t xml:space="preserve">, at &lt;&lt;http://pubdocs.worldbank.org/en/919511468425523509/ICR-Principles-Insolvency-Creditor-Debtor-Regimes-2016.pdf&gt;&gt;, visited </w:t>
      </w:r>
      <w:r w:rsidR="00204532" w:rsidRPr="00337831">
        <w:rPr>
          <w:rFonts w:cs="Arial"/>
          <w:sz w:val="22"/>
          <w:szCs w:val="22"/>
        </w:rPr>
        <w:t>13 January 2020</w:t>
      </w:r>
      <w:r w:rsidR="00D31C73" w:rsidRPr="00337831">
        <w:rPr>
          <w:rFonts w:cs="Arial"/>
          <w:sz w:val="22"/>
          <w:szCs w:val="22"/>
        </w:rPr>
        <w:t>.</w:t>
      </w:r>
    </w:p>
    <w:p w14:paraId="2DB4DD2D" w14:textId="77777777" w:rsidR="00F1185A" w:rsidRPr="00337831" w:rsidRDefault="00D25429" w:rsidP="003438ED">
      <w:pPr>
        <w:pStyle w:val="BodyText"/>
        <w:spacing w:after="120" w:line="360" w:lineRule="auto"/>
        <w:rPr>
          <w:rFonts w:cs="Arial"/>
          <w:sz w:val="22"/>
          <w:szCs w:val="22"/>
        </w:rPr>
      </w:pPr>
      <w:r w:rsidRPr="00337831">
        <w:rPr>
          <w:rFonts w:cs="Arial"/>
          <w:i/>
          <w:sz w:val="22"/>
          <w:szCs w:val="22"/>
        </w:rPr>
        <w:t>UNCITRAL Model Law on Cross-Border Insolvency</w:t>
      </w:r>
      <w:r w:rsidRPr="00337831">
        <w:rPr>
          <w:rFonts w:cs="Arial"/>
          <w:sz w:val="22"/>
          <w:szCs w:val="22"/>
        </w:rPr>
        <w:t xml:space="preserve"> (1997).</w:t>
      </w:r>
    </w:p>
    <w:p w14:paraId="0E95C5C4" w14:textId="77777777" w:rsidR="003B2622" w:rsidRPr="00337831" w:rsidRDefault="00D25429" w:rsidP="003438ED">
      <w:pPr>
        <w:pStyle w:val="BodyText"/>
        <w:spacing w:after="120" w:line="360" w:lineRule="auto"/>
        <w:rPr>
          <w:rFonts w:cs="Arial"/>
          <w:sz w:val="22"/>
          <w:szCs w:val="22"/>
        </w:rPr>
      </w:pPr>
      <w:r w:rsidRPr="00337831">
        <w:rPr>
          <w:rFonts w:cs="Arial"/>
          <w:sz w:val="22"/>
          <w:szCs w:val="22"/>
        </w:rPr>
        <w:t xml:space="preserve">United States Bankruptcy Court Southern District Of New York, (2013), </w:t>
      </w:r>
      <w:r w:rsidRPr="00337831">
        <w:rPr>
          <w:rFonts w:cs="Arial"/>
          <w:i/>
          <w:sz w:val="22"/>
          <w:szCs w:val="22"/>
        </w:rPr>
        <w:t>Procedural Guidelines for Prepackaged Chapter 11 Cases in the United States Bankruptcy Court for the Southern District Of New York</w:t>
      </w:r>
      <w:r w:rsidRPr="00337831">
        <w:rPr>
          <w:rFonts w:cs="Arial"/>
          <w:sz w:val="22"/>
          <w:szCs w:val="22"/>
        </w:rPr>
        <w:t>, at &lt;&lt;http://www.nysb.us</w:t>
      </w:r>
      <w:r w:rsidR="004F26C4" w:rsidRPr="00337831">
        <w:rPr>
          <w:rFonts w:cs="Arial"/>
          <w:sz w:val="22"/>
          <w:szCs w:val="22"/>
        </w:rPr>
        <w:t>Court</w:t>
      </w:r>
      <w:r w:rsidRPr="00337831">
        <w:rPr>
          <w:rFonts w:cs="Arial"/>
          <w:sz w:val="22"/>
          <w:szCs w:val="22"/>
        </w:rPr>
        <w:t>s.gov/sites/default/files/3018-2-guidelines.pdf&gt;&gt;, visited 26 January 2020.</w:t>
      </w:r>
    </w:p>
    <w:p w14:paraId="22D0AF72" w14:textId="77777777" w:rsidR="005D3A11" w:rsidRPr="00337831" w:rsidRDefault="00D25429" w:rsidP="005D3A11">
      <w:pPr>
        <w:pStyle w:val="BodyText"/>
        <w:spacing w:after="120" w:line="360" w:lineRule="auto"/>
        <w:rPr>
          <w:rFonts w:cs="Arial"/>
          <w:sz w:val="22"/>
          <w:szCs w:val="22"/>
        </w:rPr>
      </w:pPr>
      <w:r w:rsidRPr="00337831">
        <w:rPr>
          <w:rFonts w:cs="Arial"/>
          <w:sz w:val="22"/>
          <w:szCs w:val="22"/>
        </w:rPr>
        <w:t xml:space="preserve">Weil, Gotshal &amp; Manges LLP, (2015), </w:t>
      </w:r>
      <w:r w:rsidRPr="00337831">
        <w:rPr>
          <w:rFonts w:cs="Arial"/>
          <w:i/>
          <w:sz w:val="22"/>
          <w:szCs w:val="22"/>
        </w:rPr>
        <w:t>Schemes of Arrangement as Restructuring Tools</w:t>
      </w:r>
      <w:r w:rsidRPr="00337831">
        <w:rPr>
          <w:rFonts w:cs="Arial"/>
          <w:sz w:val="22"/>
          <w:szCs w:val="22"/>
        </w:rPr>
        <w:t>, at &lt;&lt;https://eurorestructuring.weil.com/wp-content/uploads/2015/01/140553_LO_BFR_Schemes_Arrangement_Brochure_v12.pdf&gt;&gt;, visited 6 February 2020.</w:t>
      </w:r>
    </w:p>
    <w:p w14:paraId="3AE76794" w14:textId="77777777" w:rsidR="00C93E2F" w:rsidRPr="00337831" w:rsidRDefault="00D25429" w:rsidP="003438ED">
      <w:pPr>
        <w:pStyle w:val="BodyText"/>
        <w:spacing w:after="120" w:line="360" w:lineRule="auto"/>
        <w:rPr>
          <w:rFonts w:cs="Arial"/>
          <w:sz w:val="22"/>
          <w:szCs w:val="22"/>
        </w:rPr>
      </w:pPr>
      <w:r w:rsidRPr="00337831">
        <w:rPr>
          <w:rFonts w:cs="Arial"/>
          <w:sz w:val="22"/>
          <w:szCs w:val="22"/>
        </w:rPr>
        <w:t xml:space="preserve">Westlaw, “Comparison: Prepackaged v. Pre-Arranged Bankruptcy, Practical Law Practice Note”, </w:t>
      </w:r>
      <w:r w:rsidRPr="00337831">
        <w:rPr>
          <w:rFonts w:cs="Arial"/>
          <w:i/>
          <w:sz w:val="22"/>
          <w:szCs w:val="22"/>
        </w:rPr>
        <w:t>Thomson Reuters</w:t>
      </w:r>
      <w:r w:rsidRPr="00337831">
        <w:rPr>
          <w:rFonts w:cs="Arial"/>
          <w:sz w:val="22"/>
          <w:szCs w:val="22"/>
        </w:rPr>
        <w:t>, USA (2020).</w:t>
      </w:r>
    </w:p>
    <w:p w14:paraId="5A7D7753" w14:textId="77777777" w:rsidR="00EB2312" w:rsidRPr="00337831" w:rsidRDefault="00D25429" w:rsidP="00731DE3">
      <w:pPr>
        <w:pStyle w:val="BodyText"/>
        <w:spacing w:after="120" w:line="360" w:lineRule="auto"/>
        <w:rPr>
          <w:rFonts w:cs="Arial"/>
          <w:sz w:val="22"/>
          <w:szCs w:val="22"/>
        </w:rPr>
      </w:pPr>
      <w:r w:rsidRPr="00337831">
        <w:rPr>
          <w:rFonts w:cs="Arial"/>
          <w:sz w:val="22"/>
          <w:szCs w:val="22"/>
        </w:rPr>
        <w:t>Westlaw, “The Prepackaged Bankruptcy Strategy, Practical Law Practice Note</w:t>
      </w:r>
      <w:r w:rsidR="005337E5" w:rsidRPr="00337831">
        <w:rPr>
          <w:rFonts w:cs="Arial"/>
          <w:sz w:val="22"/>
          <w:szCs w:val="22"/>
        </w:rPr>
        <w:t xml:space="preserve"> 9-503-4934</w:t>
      </w:r>
      <w:r w:rsidRPr="00337831">
        <w:rPr>
          <w:rFonts w:cs="Arial"/>
          <w:sz w:val="22"/>
          <w:szCs w:val="22"/>
        </w:rPr>
        <w:t xml:space="preserve">”, </w:t>
      </w:r>
      <w:r w:rsidRPr="00337831">
        <w:rPr>
          <w:rFonts w:cs="Arial"/>
          <w:i/>
          <w:sz w:val="22"/>
          <w:szCs w:val="22"/>
        </w:rPr>
        <w:t>Thomson Reuters</w:t>
      </w:r>
      <w:r w:rsidRPr="00337831">
        <w:rPr>
          <w:rFonts w:cs="Arial"/>
          <w:sz w:val="22"/>
          <w:szCs w:val="22"/>
        </w:rPr>
        <w:t>, USA (2020).</w:t>
      </w:r>
    </w:p>
    <w:p w14:paraId="1A578DD6" w14:textId="77777777" w:rsidR="00A37EA6" w:rsidRPr="00337831" w:rsidRDefault="00D25429" w:rsidP="00A37EA6">
      <w:pPr>
        <w:pStyle w:val="BodyText"/>
        <w:spacing w:after="120" w:line="360" w:lineRule="auto"/>
        <w:rPr>
          <w:rFonts w:cs="Arial"/>
          <w:sz w:val="22"/>
          <w:szCs w:val="22"/>
        </w:rPr>
      </w:pPr>
      <w:r w:rsidRPr="00337831">
        <w:rPr>
          <w:rFonts w:cs="Arial"/>
          <w:sz w:val="22"/>
          <w:szCs w:val="22"/>
        </w:rPr>
        <w:t>Zacaroli, A.</w:t>
      </w:r>
      <w:r w:rsidR="00FD7DCA" w:rsidRPr="00337831">
        <w:rPr>
          <w:rFonts w:cs="Arial"/>
          <w:sz w:val="22"/>
          <w:szCs w:val="22"/>
        </w:rPr>
        <w:t xml:space="preserve"> &amp; Riddiford, A., (2015), </w:t>
      </w:r>
      <w:r w:rsidRPr="00337831">
        <w:rPr>
          <w:rFonts w:cs="Arial"/>
          <w:i/>
          <w:sz w:val="22"/>
          <w:szCs w:val="22"/>
        </w:rPr>
        <w:t>Schemes of arrangement and Chapter 11 of the US Bankruptcy Code: a comparative</w:t>
      </w:r>
      <w:r w:rsidRPr="00337831">
        <w:rPr>
          <w:rFonts w:cs="Arial"/>
          <w:sz w:val="22"/>
          <w:szCs w:val="22"/>
        </w:rPr>
        <w:t xml:space="preserve"> view</w:t>
      </w:r>
      <w:r w:rsidR="00FD7DCA" w:rsidRPr="00337831">
        <w:rPr>
          <w:rFonts w:cs="Arial"/>
          <w:sz w:val="22"/>
          <w:szCs w:val="22"/>
        </w:rPr>
        <w:t xml:space="preserve"> </w:t>
      </w:r>
      <w:r w:rsidRPr="00337831">
        <w:rPr>
          <w:rFonts w:cs="Arial"/>
          <w:sz w:val="22"/>
          <w:szCs w:val="22"/>
        </w:rPr>
        <w:t>&lt;&lt;https://www.insol.org/emailer/December_2015_downloads/Document13.pdf&gt;&gt;</w:t>
      </w:r>
      <w:r w:rsidR="00FD7DCA" w:rsidRPr="00337831">
        <w:rPr>
          <w:rFonts w:cs="Arial"/>
          <w:sz w:val="22"/>
          <w:szCs w:val="22"/>
        </w:rPr>
        <w:t>, visited 7 February 2020.</w:t>
      </w:r>
    </w:p>
    <w:sectPr w:rsidR="00A37EA6" w:rsidRPr="0033783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731D" w14:textId="77777777" w:rsidR="0029063A" w:rsidRDefault="0029063A">
      <w:pPr>
        <w:spacing w:line="240" w:lineRule="auto"/>
      </w:pPr>
      <w:r>
        <w:separator/>
      </w:r>
    </w:p>
  </w:endnote>
  <w:endnote w:type="continuationSeparator" w:id="0">
    <w:p w14:paraId="4B622D2B" w14:textId="77777777" w:rsidR="0029063A" w:rsidRDefault="00290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782825"/>
      <w:docPartObj>
        <w:docPartGallery w:val="Page Numbers (Bottom of Page)"/>
        <w:docPartUnique/>
      </w:docPartObj>
    </w:sdtPr>
    <w:sdtEndPr>
      <w:rPr>
        <w:noProof/>
      </w:rPr>
    </w:sdtEndPr>
    <w:sdtContent>
      <w:p w14:paraId="4F6D0180" w14:textId="77777777" w:rsidR="004D5EA5" w:rsidRDefault="004D5E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F5E4C" w14:textId="77777777" w:rsidR="003100A9" w:rsidRDefault="00310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7776" w14:textId="77777777" w:rsidR="00165AA1" w:rsidRPr="00F74E91" w:rsidRDefault="00165AA1" w:rsidP="00F74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06B0" w14:textId="77777777" w:rsidR="0029063A" w:rsidRDefault="0029063A" w:rsidP="00A67E92">
      <w:pPr>
        <w:spacing w:line="240" w:lineRule="auto"/>
      </w:pPr>
      <w:r>
        <w:separator/>
      </w:r>
    </w:p>
  </w:footnote>
  <w:footnote w:type="continuationSeparator" w:id="0">
    <w:p w14:paraId="44503C7D" w14:textId="77777777" w:rsidR="0029063A" w:rsidRDefault="0029063A" w:rsidP="00A67E92">
      <w:pPr>
        <w:spacing w:line="240" w:lineRule="auto"/>
      </w:pPr>
      <w:r>
        <w:continuationSeparator/>
      </w:r>
    </w:p>
  </w:footnote>
  <w:footnote w:id="1">
    <w:p w14:paraId="042E196C"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J. Roome, T. Bannister, E. Simmonds &amp; L. Pflueger, (2019), “Restructuring and insolvency in the UK (England &amp; Wales): overview”, </w:t>
      </w:r>
      <w:r w:rsidRPr="00337831">
        <w:rPr>
          <w:i/>
        </w:rPr>
        <w:t>Thomson Reuters Practical Law</w:t>
      </w:r>
      <w:r w:rsidRPr="00337831">
        <w:t>, at &lt;&lt;https://uk.practicallaw.thomsonreuters.com/9-501-6812?transitionType=Default&amp;contextData=(sc.Default)&amp;firstPage=true&amp;bhcp=1&gt;&gt;, visited 26 January 2020, 2.</w:t>
      </w:r>
    </w:p>
  </w:footnote>
  <w:footnote w:id="2">
    <w:p w14:paraId="7791EF17"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3">
    <w:p w14:paraId="348E41AA"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Westlaw, “The Prepackaged Bankruptcy Strategy, Practical Law Practice Note”, </w:t>
      </w:r>
      <w:r w:rsidRPr="00337831">
        <w:rPr>
          <w:i/>
        </w:rPr>
        <w:t>Thomson Reuters</w:t>
      </w:r>
      <w:r w:rsidRPr="00337831">
        <w:t>, USA (2020), 2.</w:t>
      </w:r>
    </w:p>
  </w:footnote>
  <w:footnote w:id="4">
    <w:p w14:paraId="5079D76C"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L. Ashworth, M. Morrison, S. Hurst &amp; E. Dinenis, </w:t>
      </w:r>
      <w:r w:rsidRPr="00337831">
        <w:rPr>
          <w:i/>
        </w:rPr>
        <w:t>Chambers Global Practice Guide: Insolvency: UK</w:t>
      </w:r>
      <w:r w:rsidRPr="00337831">
        <w:t>, Second Edition, at &lt;&lt;https://practiceguides.chambers.com/practiceguides/insolvency-2019-second-edition/uk&gt;&gt;, visited 26 January 2020, 3.5.</w:t>
      </w:r>
    </w:p>
  </w:footnote>
  <w:footnote w:id="5">
    <w:p w14:paraId="6D4A1AB4"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lang w:val="en-US"/>
        </w:rPr>
        <w:t>See Part 26 of the Companies Act.</w:t>
      </w:r>
    </w:p>
  </w:footnote>
  <w:footnote w:id="6">
    <w:p w14:paraId="4EEF6EBD"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C. Balmond &amp; K. Crinson, (2019), “Getting the Deal Through: Restructuring and Insolvency”, England &amp; Wales Chapter</w:t>
      </w:r>
      <w:r w:rsidRPr="00337831">
        <w:rPr>
          <w:i/>
        </w:rPr>
        <w:t>, Law Business Research 2019</w:t>
      </w:r>
      <w:r w:rsidRPr="00337831">
        <w:t>, 142.</w:t>
      </w:r>
    </w:p>
  </w:footnote>
  <w:footnote w:id="7">
    <w:p w14:paraId="52783288"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L. Ashworth, M. Morrison, S. Hurst &amp; E. Dinenis, </w:t>
      </w:r>
      <w:r w:rsidRPr="00337831">
        <w:rPr>
          <w:i/>
        </w:rPr>
        <w:t>op. cit.</w:t>
      </w:r>
      <w:r w:rsidRPr="00337831">
        <w:t>, note 4, 6.1.</w:t>
      </w:r>
    </w:p>
  </w:footnote>
  <w:footnote w:id="8">
    <w:p w14:paraId="68377E7E"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J. Roome, T. Bannister, E. Simmonds &amp; L. Pflueger, </w:t>
      </w:r>
      <w:r w:rsidRPr="00337831">
        <w:rPr>
          <w:i/>
        </w:rPr>
        <w:t>supra</w:t>
      </w:r>
      <w:r w:rsidRPr="00337831">
        <w:t>, note 1.</w:t>
      </w:r>
    </w:p>
  </w:footnote>
  <w:footnote w:id="9">
    <w:p w14:paraId="33FCA7FA"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10">
    <w:p w14:paraId="7EC4F37D"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D.M., Hillman &amp; C. Theodoridis, (2020), “Restructuring Trend: The Ultrafast Prepack for Private Credit Deals”, </w:t>
      </w:r>
      <w:r w:rsidRPr="00337831">
        <w:rPr>
          <w:i/>
        </w:rPr>
        <w:t>Proskauer Rose LLP - Insights</w:t>
      </w:r>
      <w:r w:rsidRPr="00337831">
        <w:t>, at &lt;&lt;https://www.proskauer.com/pub/restructuring-trend-the-ultrafast-prepack-for-private-credit-deals&gt;&gt;, visited 26 January 2020.</w:t>
      </w:r>
    </w:p>
  </w:footnote>
  <w:footnote w:id="11">
    <w:p w14:paraId="64BE0229" w14:textId="77777777" w:rsidR="00165AA1" w:rsidRPr="00337831" w:rsidRDefault="00D25429" w:rsidP="00337831">
      <w:pPr>
        <w:pStyle w:val="FootnoteText"/>
        <w:spacing w:after="0" w:line="240" w:lineRule="auto"/>
        <w:ind w:left="0" w:firstLine="0"/>
      </w:pPr>
      <w:r w:rsidRPr="00337831">
        <w:rPr>
          <w:rStyle w:val="FootnoteReference"/>
        </w:rPr>
        <w:footnoteRef/>
      </w:r>
      <w:r w:rsidRPr="00337831">
        <w:t xml:space="preserve"> C Balmond &amp; K Crinson, </w:t>
      </w:r>
      <w:r w:rsidRPr="00337831">
        <w:rPr>
          <w:i/>
        </w:rPr>
        <w:t>op.cit.</w:t>
      </w:r>
      <w:r w:rsidRPr="00337831">
        <w:t>, note 6.</w:t>
      </w:r>
    </w:p>
  </w:footnote>
  <w:footnote w:id="12">
    <w:p w14:paraId="6865D38E"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L Ashworth, M Morrison, S Hurst &amp; E Dinenis, </w:t>
      </w:r>
      <w:r w:rsidR="006351BC" w:rsidRPr="00337831">
        <w:rPr>
          <w:i/>
        </w:rPr>
        <w:t>supra</w:t>
      </w:r>
      <w:r w:rsidRPr="00337831">
        <w:t xml:space="preserve">, note 4, 6.1; </w:t>
      </w:r>
      <w:r w:rsidRPr="00337831">
        <w:rPr>
          <w:i/>
        </w:rPr>
        <w:t>Sovereign Life Assurance Co v Dodd</w:t>
      </w:r>
      <w:r w:rsidRPr="00337831">
        <w:t xml:space="preserve"> [1892] 2 QB 753.</w:t>
      </w:r>
    </w:p>
  </w:footnote>
  <w:footnote w:id="13">
    <w:p w14:paraId="2571E7AC"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C. Balmond &amp; K Crinson, </w:t>
      </w:r>
      <w:r w:rsidR="009D2D6F" w:rsidRPr="00337831">
        <w:rPr>
          <w:i/>
        </w:rPr>
        <w:t>supra</w:t>
      </w:r>
      <w:r w:rsidRPr="00337831">
        <w:t>, note 6, 143.</w:t>
      </w:r>
    </w:p>
  </w:footnote>
  <w:footnote w:id="14">
    <w:p w14:paraId="1DD17958" w14:textId="77777777" w:rsidR="00165AA1" w:rsidRPr="00337831" w:rsidRDefault="00D25429" w:rsidP="00337831">
      <w:pPr>
        <w:pStyle w:val="FootnoteText"/>
        <w:spacing w:after="0" w:line="240" w:lineRule="auto"/>
        <w:ind w:left="0" w:firstLine="0"/>
      </w:pPr>
      <w:r w:rsidRPr="00337831">
        <w:rPr>
          <w:rStyle w:val="FootnoteReference"/>
        </w:rPr>
        <w:footnoteRef/>
      </w:r>
      <w:r w:rsidRPr="00337831">
        <w:t xml:space="preserve"> </w:t>
      </w:r>
      <w:r w:rsidRPr="00337831">
        <w:rPr>
          <w:i/>
        </w:rPr>
        <w:t>Ibid</w:t>
      </w:r>
      <w:r w:rsidRPr="00337831">
        <w:t>, 143.</w:t>
      </w:r>
    </w:p>
  </w:footnote>
  <w:footnote w:id="15">
    <w:p w14:paraId="0828DFDE" w14:textId="77777777" w:rsidR="009D2D6F" w:rsidRPr="00337831" w:rsidRDefault="009D2D6F"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 142.</w:t>
      </w:r>
    </w:p>
  </w:footnote>
  <w:footnote w:id="16">
    <w:p w14:paraId="2320F249"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rPr>
        <w:t>Ibid</w:t>
      </w:r>
      <w:r w:rsidRPr="00337831">
        <w:t>.</w:t>
      </w:r>
    </w:p>
  </w:footnote>
  <w:footnote w:id="17">
    <w:p w14:paraId="41FB9B8F"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18">
    <w:p w14:paraId="6C8B89E6"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L. Ashworth, M. Morrison, S. Hurst &amp; E. Dinenis, </w:t>
      </w:r>
      <w:r w:rsidRPr="00337831">
        <w:rPr>
          <w:i/>
        </w:rPr>
        <w:t>supra</w:t>
      </w:r>
      <w:r w:rsidRPr="00337831">
        <w:t>., note 4.</w:t>
      </w:r>
    </w:p>
  </w:footnote>
  <w:footnote w:id="19">
    <w:p w14:paraId="40362B4D"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J. Roome, T. Bannister, E. Simmonds &amp; L. Pflueger, </w:t>
      </w:r>
      <w:r w:rsidRPr="00337831">
        <w:rPr>
          <w:i/>
        </w:rPr>
        <w:t>supra</w:t>
      </w:r>
      <w:r w:rsidRPr="00337831">
        <w:t>, note 1.</w:t>
      </w:r>
    </w:p>
  </w:footnote>
  <w:footnote w:id="20">
    <w:p w14:paraId="7927EE6E"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Westlaw, “The Prepackaged Bankruptcy Strategy, Practical Law Practice Note”, </w:t>
      </w:r>
      <w:r w:rsidRPr="00337831">
        <w:rPr>
          <w:i/>
        </w:rPr>
        <w:t>Thomson Reuters</w:t>
      </w:r>
      <w:r w:rsidRPr="00337831">
        <w:t>, USA (2020), 2.</w:t>
      </w:r>
    </w:p>
  </w:footnote>
  <w:footnote w:id="21">
    <w:p w14:paraId="0BF2DA6A"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22">
    <w:p w14:paraId="7EB1D013"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C. Pullo, “Undertaking a Prepackaged Plan Solicitation”, Practical Law Practice Note w-016-7091, </w:t>
      </w:r>
      <w:r w:rsidRPr="00337831">
        <w:rPr>
          <w:i/>
        </w:rPr>
        <w:t>Thomson Reuters</w:t>
      </w:r>
      <w:r w:rsidRPr="00337831">
        <w:t>, USA (2020), 2.</w:t>
      </w:r>
    </w:p>
  </w:footnote>
  <w:footnote w:id="23">
    <w:p w14:paraId="06885241"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Westlaw, “Comparison: Prepackaged v. Pre-Arranged Bankruptcy, Practical Law Practice Note”, </w:t>
      </w:r>
      <w:r w:rsidRPr="00337831">
        <w:rPr>
          <w:i/>
        </w:rPr>
        <w:t>Thomson Reuters</w:t>
      </w:r>
      <w:r w:rsidRPr="00337831">
        <w:t>, USA (2020), 1.</w:t>
      </w:r>
    </w:p>
  </w:footnote>
  <w:footnote w:id="24">
    <w:p w14:paraId="36C84A13"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lang w:val="en-US"/>
        </w:rPr>
        <w:t xml:space="preserve">Westlaw, </w:t>
      </w:r>
      <w:r w:rsidRPr="00337831">
        <w:rPr>
          <w:i/>
          <w:lang w:val="en-US"/>
        </w:rPr>
        <w:t>op. cit.</w:t>
      </w:r>
      <w:r w:rsidR="00092612" w:rsidRPr="00337831">
        <w:rPr>
          <w:lang w:val="en-US"/>
        </w:rPr>
        <w:t>, note 20</w:t>
      </w:r>
      <w:r w:rsidRPr="00337831">
        <w:rPr>
          <w:lang w:val="en-US"/>
        </w:rPr>
        <w:t>, 2.</w:t>
      </w:r>
    </w:p>
  </w:footnote>
  <w:footnote w:id="25">
    <w:p w14:paraId="3CCE992A"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lang w:val="en-US"/>
        </w:rPr>
        <w:t xml:space="preserve">C. Pullo, </w:t>
      </w:r>
      <w:r w:rsidRPr="00337831">
        <w:rPr>
          <w:i/>
          <w:lang w:val="en-US"/>
        </w:rPr>
        <w:t>op.cit.</w:t>
      </w:r>
      <w:r w:rsidR="00092612" w:rsidRPr="00337831">
        <w:rPr>
          <w:lang w:val="en-US"/>
        </w:rPr>
        <w:t>, note 22</w:t>
      </w:r>
      <w:r w:rsidRPr="00337831">
        <w:rPr>
          <w:lang w:val="en-US"/>
        </w:rPr>
        <w:t>.</w:t>
      </w:r>
    </w:p>
  </w:footnote>
  <w:footnote w:id="26">
    <w:p w14:paraId="5CD6A710"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J. Goffman, P. Leake &amp; C.A. Okike, (2019), </w:t>
      </w:r>
      <w:r w:rsidRPr="00337831">
        <w:rPr>
          <w:i/>
        </w:rPr>
        <w:t>Chambers Global Practice Guide: Insolvency: USA</w:t>
      </w:r>
      <w:r w:rsidRPr="00337831">
        <w:t>, Second Edition, at &lt;&lt;https://practiceguides.chambers.com/practice-guides/insolvency-2019-second-edition/usa&gt;&gt;, visited 26 January 2020, 6.1.</w:t>
      </w:r>
    </w:p>
  </w:footnote>
  <w:footnote w:id="27">
    <w:p w14:paraId="31D4039B"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lang w:val="en-US"/>
        </w:rPr>
        <w:t xml:space="preserve">Westlaw, </w:t>
      </w:r>
      <w:r w:rsidRPr="00337831">
        <w:rPr>
          <w:i/>
          <w:lang w:val="en-US"/>
        </w:rPr>
        <w:t>op. cit.</w:t>
      </w:r>
      <w:r w:rsidR="00092612" w:rsidRPr="00337831">
        <w:rPr>
          <w:lang w:val="en-US"/>
        </w:rPr>
        <w:t>, note 23</w:t>
      </w:r>
      <w:r w:rsidRPr="00337831">
        <w:rPr>
          <w:lang w:val="en-US"/>
        </w:rPr>
        <w:t>, 2</w:t>
      </w:r>
    </w:p>
  </w:footnote>
  <w:footnote w:id="28">
    <w:p w14:paraId="2D9B0F47"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lang w:val="en-US"/>
        </w:rPr>
        <w:t xml:space="preserve">Westlaw, </w:t>
      </w:r>
      <w:r w:rsidR="00855385" w:rsidRPr="00337831">
        <w:rPr>
          <w:i/>
          <w:lang w:val="en-US"/>
        </w:rPr>
        <w:t>supra</w:t>
      </w:r>
      <w:r w:rsidR="00092612" w:rsidRPr="00337831">
        <w:rPr>
          <w:lang w:val="en-US"/>
        </w:rPr>
        <w:t>, note 20</w:t>
      </w:r>
      <w:r w:rsidRPr="00337831">
        <w:rPr>
          <w:lang w:val="en-US"/>
        </w:rPr>
        <w:t>, 13.</w:t>
      </w:r>
    </w:p>
  </w:footnote>
  <w:footnote w:id="29">
    <w:p w14:paraId="30A5D296"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30">
    <w:p w14:paraId="648C9C62"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31">
    <w:p w14:paraId="015837EB"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32">
    <w:p w14:paraId="3065DD75"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33">
    <w:p w14:paraId="4EED95FD"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34">
    <w:p w14:paraId="0B9FF101"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C. Pullo, </w:t>
      </w:r>
      <w:r w:rsidRPr="00337831">
        <w:rPr>
          <w:i/>
        </w:rPr>
        <w:t>supra</w:t>
      </w:r>
      <w:r w:rsidR="00092612" w:rsidRPr="00337831">
        <w:t>, note 22</w:t>
      </w:r>
      <w:r w:rsidRPr="00337831">
        <w:t>.</w:t>
      </w:r>
    </w:p>
  </w:footnote>
  <w:footnote w:id="35">
    <w:p w14:paraId="11ED6651"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lang w:val="en-US"/>
        </w:rPr>
        <w:t>Ibid.</w:t>
      </w:r>
    </w:p>
  </w:footnote>
  <w:footnote w:id="36">
    <w:p w14:paraId="5B7AF8AE"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C. Pullo, </w:t>
      </w:r>
      <w:r w:rsidRPr="00337831">
        <w:rPr>
          <w:i/>
        </w:rPr>
        <w:t>supra</w:t>
      </w:r>
      <w:r w:rsidR="00092612" w:rsidRPr="00337831">
        <w:t>, note 22</w:t>
      </w:r>
      <w:r w:rsidRPr="00337831">
        <w:t>.</w:t>
      </w:r>
    </w:p>
  </w:footnote>
  <w:footnote w:id="37">
    <w:p w14:paraId="17A32173"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A.W. Kornberg &amp; C.R. Tobler, (2019), “Getting the Deal Through: Restructuring and Insolvency”, United States Chapter, </w:t>
      </w:r>
      <w:r w:rsidRPr="00337831">
        <w:rPr>
          <w:i/>
        </w:rPr>
        <w:t>Law Business Research 2019</w:t>
      </w:r>
      <w:r w:rsidRPr="00337831">
        <w:t>, pp. 472.</w:t>
      </w:r>
    </w:p>
  </w:footnote>
  <w:footnote w:id="38">
    <w:p w14:paraId="68470461" w14:textId="77777777" w:rsidR="00427C3B"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A. Zacaroli &amp; A. Riddiford, (2015), </w:t>
      </w:r>
      <w:r w:rsidRPr="00337831">
        <w:rPr>
          <w:i/>
        </w:rPr>
        <w:t>Schemes of arrangement and Chapter 11 of the US Bankruptcy Code: a comparative view &lt;&lt;</w:t>
      </w:r>
      <w:r w:rsidRPr="00337831">
        <w:t>https://www.insol.org/emailer/December_2015_downloads/Document13.pdf&gt;&gt;, visited 7 February 2020, 1.</w:t>
      </w:r>
    </w:p>
  </w:footnote>
  <w:footnote w:id="39">
    <w:p w14:paraId="077FE1A5" w14:textId="77777777" w:rsidR="00AE330A"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Weil, Gotshal &amp; Manges LLP, (2015), </w:t>
      </w:r>
      <w:r w:rsidRPr="00337831">
        <w:rPr>
          <w:i/>
        </w:rPr>
        <w:t>Schemes of Arrangement as Restructuring Tools</w:t>
      </w:r>
      <w:r w:rsidRPr="00337831">
        <w:t>, at &lt;&lt;https://eurorestructuring.weil.com/wp-content/uploads/2015/01/140553_LO_BFR_Schemes_Arrangement_Brochure_v12.pdf&gt;&gt;, visited 6 February 2020, 8.</w:t>
      </w:r>
    </w:p>
  </w:footnote>
  <w:footnote w:id="40">
    <w:p w14:paraId="500039B4" w14:textId="77777777" w:rsidR="00E91EED" w:rsidRPr="00337831" w:rsidRDefault="00E91EED"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41">
    <w:p w14:paraId="33B28229" w14:textId="77777777" w:rsidR="00DF5D72"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A. Zacaroli &amp; A. Riddiford, </w:t>
      </w:r>
      <w:r w:rsidRPr="00337831">
        <w:rPr>
          <w:i/>
        </w:rPr>
        <w:t>op. cit.</w:t>
      </w:r>
      <w:r w:rsidR="00092612" w:rsidRPr="00337831">
        <w:t xml:space="preserve">, </w:t>
      </w:r>
      <w:r w:rsidR="006E0D07" w:rsidRPr="00337831">
        <w:t>note 38</w:t>
      </w:r>
      <w:r w:rsidRPr="00337831">
        <w:t>, 2.</w:t>
      </w:r>
    </w:p>
  </w:footnote>
  <w:footnote w:id="42">
    <w:p w14:paraId="62383B94" w14:textId="77777777" w:rsidR="00DF5D72"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 3.</w:t>
      </w:r>
    </w:p>
  </w:footnote>
  <w:footnote w:id="43">
    <w:p w14:paraId="2252910E" w14:textId="77777777" w:rsidR="00631E15"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 5.</w:t>
      </w:r>
    </w:p>
  </w:footnote>
  <w:footnote w:id="44">
    <w:p w14:paraId="54939C54" w14:textId="77777777" w:rsidR="000573D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0006006D" w:rsidRPr="00337831">
        <w:t xml:space="preserve">Weil, Gotshal &amp; Manges LLP, </w:t>
      </w:r>
      <w:r w:rsidR="0006006D" w:rsidRPr="00337831">
        <w:rPr>
          <w:i/>
        </w:rPr>
        <w:t>supra</w:t>
      </w:r>
      <w:r w:rsidR="00092612" w:rsidRPr="00337831">
        <w:t xml:space="preserve">, </w:t>
      </w:r>
      <w:r w:rsidR="006E0D07" w:rsidRPr="00337831">
        <w:t>note 39</w:t>
      </w:r>
      <w:r w:rsidR="0006006D" w:rsidRPr="00337831">
        <w:t>, 6.</w:t>
      </w:r>
    </w:p>
  </w:footnote>
  <w:footnote w:id="45">
    <w:p w14:paraId="3DE11EFA" w14:textId="77777777" w:rsidR="0006006D"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46">
    <w:p w14:paraId="006E3C35" w14:textId="77777777" w:rsidR="008356CB"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47">
    <w:p w14:paraId="20087980" w14:textId="77777777" w:rsidR="0006006D"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rPr>
        <w:t>Ibid</w:t>
      </w:r>
      <w:r w:rsidRPr="00337831">
        <w:t>.</w:t>
      </w:r>
    </w:p>
  </w:footnote>
  <w:footnote w:id="48">
    <w:p w14:paraId="0029D87B" w14:textId="77777777" w:rsidR="000573D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0006006D" w:rsidRPr="00337831">
        <w:rPr>
          <w:i/>
        </w:rPr>
        <w:t>Ibid</w:t>
      </w:r>
      <w:r w:rsidR="0006006D" w:rsidRPr="00337831">
        <w:t>.</w:t>
      </w:r>
    </w:p>
  </w:footnote>
  <w:footnote w:id="49">
    <w:p w14:paraId="60628F68" w14:textId="77777777" w:rsidR="003570A7" w:rsidRPr="00337831" w:rsidRDefault="003570A7" w:rsidP="00337831">
      <w:pPr>
        <w:pStyle w:val="FootnoteText"/>
        <w:spacing w:after="0" w:line="240" w:lineRule="auto"/>
        <w:ind w:left="0" w:firstLine="0"/>
        <w:rPr>
          <w:lang w:val="en-US"/>
        </w:rPr>
      </w:pPr>
      <w:r w:rsidRPr="00337831">
        <w:rPr>
          <w:rStyle w:val="FootnoteReference"/>
        </w:rPr>
        <w:footnoteRef/>
      </w:r>
      <w:r w:rsidRPr="00337831">
        <w:t xml:space="preserve"> A. Zacaroli &amp; A. Riddiford, </w:t>
      </w:r>
      <w:r w:rsidR="00B558A8" w:rsidRPr="00337831">
        <w:rPr>
          <w:i/>
        </w:rPr>
        <w:t>supra</w:t>
      </w:r>
      <w:r w:rsidRPr="00337831">
        <w:t>, note 38, 2.</w:t>
      </w:r>
    </w:p>
  </w:footnote>
  <w:footnote w:id="50">
    <w:p w14:paraId="40246B20" w14:textId="77777777" w:rsidR="003570A7" w:rsidRPr="00337831" w:rsidRDefault="003570A7"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51">
    <w:p w14:paraId="502E8F1A"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00190600" w:rsidRPr="00337831">
        <w:rPr>
          <w:i/>
          <w:lang w:val="en-US"/>
        </w:rPr>
        <w:t>Ibid</w:t>
      </w:r>
      <w:r w:rsidRPr="00337831">
        <w:rPr>
          <w:lang w:val="en-US"/>
        </w:rPr>
        <w:t>.</w:t>
      </w:r>
    </w:p>
  </w:footnote>
  <w:footnote w:id="52">
    <w:p w14:paraId="2534C88A" w14:textId="77777777" w:rsidR="00165AA1"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00190600" w:rsidRPr="00337831">
        <w:rPr>
          <w:i/>
        </w:rPr>
        <w:t>Ibid</w:t>
      </w:r>
      <w:r w:rsidRPr="00337831">
        <w:rPr>
          <w:lang w:val="en-US"/>
        </w:rPr>
        <w:t>.</w:t>
      </w:r>
    </w:p>
  </w:footnote>
  <w:footnote w:id="53">
    <w:p w14:paraId="74FE25C7" w14:textId="77777777" w:rsidR="00D104CD"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54">
    <w:p w14:paraId="54FC46B7" w14:textId="77777777" w:rsidR="0090619C"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00190600" w:rsidRPr="00337831">
        <w:rPr>
          <w:i/>
        </w:rPr>
        <w:t>Ibid</w:t>
      </w:r>
      <w:r w:rsidR="00190600" w:rsidRPr="00337831">
        <w:t>, 2</w:t>
      </w:r>
      <w:r w:rsidRPr="00337831">
        <w:t>.</w:t>
      </w:r>
    </w:p>
  </w:footnote>
  <w:footnote w:id="55">
    <w:p w14:paraId="6D31CB65" w14:textId="77777777" w:rsidR="006351BC"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Weil, Gotshal &amp; Manges LLP, </w:t>
      </w:r>
      <w:r w:rsidRPr="00337831">
        <w:rPr>
          <w:i/>
        </w:rPr>
        <w:t>supra</w:t>
      </w:r>
      <w:r w:rsidR="00092612" w:rsidRPr="00337831">
        <w:t xml:space="preserve">, </w:t>
      </w:r>
      <w:r w:rsidR="006E0D07" w:rsidRPr="00337831">
        <w:t>note 39</w:t>
      </w:r>
      <w:r w:rsidRPr="00337831">
        <w:t>, 6.</w:t>
      </w:r>
    </w:p>
  </w:footnote>
  <w:footnote w:id="56">
    <w:p w14:paraId="2A54D7A1" w14:textId="77777777" w:rsidR="006351BC" w:rsidRPr="00337831"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w:t>
      </w:r>
    </w:p>
  </w:footnote>
  <w:footnote w:id="57">
    <w:p w14:paraId="13E111BC" w14:textId="77777777" w:rsidR="00190600" w:rsidRPr="00190600" w:rsidRDefault="00D25429" w:rsidP="00337831">
      <w:pPr>
        <w:pStyle w:val="FootnoteText"/>
        <w:spacing w:after="0" w:line="240" w:lineRule="auto"/>
        <w:ind w:left="0" w:firstLine="0"/>
        <w:rPr>
          <w:lang w:val="en-US"/>
        </w:rPr>
      </w:pPr>
      <w:r w:rsidRPr="00337831">
        <w:rPr>
          <w:rStyle w:val="FootnoteReference"/>
        </w:rPr>
        <w:footnoteRef/>
      </w:r>
      <w:r w:rsidRPr="00337831">
        <w:t xml:space="preserve"> </w:t>
      </w:r>
      <w:r w:rsidRPr="00337831">
        <w:rPr>
          <w:i/>
          <w:lang w:val="en-US"/>
        </w:rPr>
        <w:t>Ibid</w:t>
      </w:r>
      <w:r w:rsidRPr="00337831">
        <w:rPr>
          <w:lang w:val="en-US"/>
        </w:rPr>
        <w: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54CD" w14:textId="77777777" w:rsidR="005B7B4E" w:rsidRPr="005B7B4E" w:rsidRDefault="005B7B4E">
    <w:pPr>
      <w:pStyle w:val="Header"/>
      <w:rPr>
        <w:lang w:val="en-US"/>
      </w:rPr>
    </w:pPr>
    <w:r>
      <w:rPr>
        <w:lang w:val="en-US"/>
      </w:rPr>
      <w:t>Peter Bowden, Gilbert + Tobin, INSOL Short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D82B5E0"/>
    <w:lvl w:ilvl="0">
      <w:start w:val="1"/>
      <w:numFmt w:val="bullet"/>
      <w:pStyle w:val="ListBullet2"/>
      <w:lvlText w:val=""/>
      <w:lvlJc w:val="left"/>
      <w:pPr>
        <w:tabs>
          <w:tab w:val="num" w:pos="567"/>
        </w:tabs>
        <w:ind w:left="851" w:hanging="284"/>
      </w:pPr>
      <w:rPr>
        <w:rFonts w:ascii="Symbol" w:hAnsi="Symbol" w:hint="default"/>
      </w:rPr>
    </w:lvl>
  </w:abstractNum>
  <w:abstractNum w:abstractNumId="7" w15:restartNumberingAfterBreak="0">
    <w:nsid w:val="FFFFFF89"/>
    <w:multiLevelType w:val="singleLevel"/>
    <w:tmpl w:val="B97C656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D211BA"/>
    <w:multiLevelType w:val="multilevel"/>
    <w:tmpl w:val="1A06AFBE"/>
    <w:lvl w:ilvl="0">
      <w:start w:val="2"/>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60B7DBC"/>
    <w:multiLevelType w:val="hybridMultilevel"/>
    <w:tmpl w:val="E02234FC"/>
    <w:lvl w:ilvl="0" w:tplc="0E8685C4">
      <w:start w:val="1"/>
      <w:numFmt w:val="decimal"/>
      <w:lvlText w:val="%1."/>
      <w:lvlJc w:val="left"/>
      <w:pPr>
        <w:ind w:left="720" w:hanging="360"/>
      </w:pPr>
    </w:lvl>
    <w:lvl w:ilvl="1" w:tplc="4348B032">
      <w:start w:val="1"/>
      <w:numFmt w:val="lowerLetter"/>
      <w:lvlText w:val="%2."/>
      <w:lvlJc w:val="left"/>
      <w:pPr>
        <w:ind w:left="1440" w:hanging="360"/>
      </w:pPr>
    </w:lvl>
    <w:lvl w:ilvl="2" w:tplc="2424C2C8" w:tentative="1">
      <w:start w:val="1"/>
      <w:numFmt w:val="lowerRoman"/>
      <w:lvlText w:val="%3."/>
      <w:lvlJc w:val="right"/>
      <w:pPr>
        <w:ind w:left="2160" w:hanging="180"/>
      </w:pPr>
    </w:lvl>
    <w:lvl w:ilvl="3" w:tplc="F20EA7C8" w:tentative="1">
      <w:start w:val="1"/>
      <w:numFmt w:val="decimal"/>
      <w:lvlText w:val="%4."/>
      <w:lvlJc w:val="left"/>
      <w:pPr>
        <w:ind w:left="2880" w:hanging="360"/>
      </w:pPr>
    </w:lvl>
    <w:lvl w:ilvl="4" w:tplc="49E8B14A" w:tentative="1">
      <w:start w:val="1"/>
      <w:numFmt w:val="lowerLetter"/>
      <w:lvlText w:val="%5."/>
      <w:lvlJc w:val="left"/>
      <w:pPr>
        <w:ind w:left="3600" w:hanging="360"/>
      </w:pPr>
    </w:lvl>
    <w:lvl w:ilvl="5" w:tplc="ECA28368" w:tentative="1">
      <w:start w:val="1"/>
      <w:numFmt w:val="lowerRoman"/>
      <w:lvlText w:val="%6."/>
      <w:lvlJc w:val="right"/>
      <w:pPr>
        <w:ind w:left="4320" w:hanging="180"/>
      </w:pPr>
    </w:lvl>
    <w:lvl w:ilvl="6" w:tplc="937A5194" w:tentative="1">
      <w:start w:val="1"/>
      <w:numFmt w:val="decimal"/>
      <w:lvlText w:val="%7."/>
      <w:lvlJc w:val="left"/>
      <w:pPr>
        <w:ind w:left="5040" w:hanging="360"/>
      </w:pPr>
    </w:lvl>
    <w:lvl w:ilvl="7" w:tplc="1CBCA966" w:tentative="1">
      <w:start w:val="1"/>
      <w:numFmt w:val="lowerLetter"/>
      <w:lvlText w:val="%8."/>
      <w:lvlJc w:val="left"/>
      <w:pPr>
        <w:ind w:left="5760" w:hanging="360"/>
      </w:pPr>
    </w:lvl>
    <w:lvl w:ilvl="8" w:tplc="39B0733C" w:tentative="1">
      <w:start w:val="1"/>
      <w:numFmt w:val="lowerRoman"/>
      <w:lvlText w:val="%9."/>
      <w:lvlJc w:val="right"/>
      <w:pPr>
        <w:ind w:left="6480" w:hanging="180"/>
      </w:pPr>
    </w:lvl>
  </w:abstractNum>
  <w:abstractNum w:abstractNumId="10" w15:restartNumberingAfterBreak="0">
    <w:nsid w:val="060C20EE"/>
    <w:multiLevelType w:val="hybridMultilevel"/>
    <w:tmpl w:val="F54870A6"/>
    <w:lvl w:ilvl="0" w:tplc="69B24302">
      <w:start w:val="5"/>
      <w:numFmt w:val="decimal"/>
      <w:lvlText w:val="%1."/>
      <w:lvlJc w:val="left"/>
      <w:pPr>
        <w:ind w:left="360" w:hanging="360"/>
      </w:pPr>
      <w:rPr>
        <w:rFonts w:hint="default"/>
      </w:rPr>
    </w:lvl>
    <w:lvl w:ilvl="1" w:tplc="0388DAC8" w:tentative="1">
      <w:start w:val="1"/>
      <w:numFmt w:val="lowerLetter"/>
      <w:lvlText w:val="%2."/>
      <w:lvlJc w:val="left"/>
      <w:pPr>
        <w:ind w:left="1080" w:hanging="360"/>
      </w:pPr>
    </w:lvl>
    <w:lvl w:ilvl="2" w:tplc="D41E39AC" w:tentative="1">
      <w:start w:val="1"/>
      <w:numFmt w:val="lowerRoman"/>
      <w:lvlText w:val="%3."/>
      <w:lvlJc w:val="right"/>
      <w:pPr>
        <w:ind w:left="1800" w:hanging="180"/>
      </w:pPr>
    </w:lvl>
    <w:lvl w:ilvl="3" w:tplc="EBFCC486" w:tentative="1">
      <w:start w:val="1"/>
      <w:numFmt w:val="decimal"/>
      <w:lvlText w:val="%4."/>
      <w:lvlJc w:val="left"/>
      <w:pPr>
        <w:ind w:left="2520" w:hanging="360"/>
      </w:pPr>
    </w:lvl>
    <w:lvl w:ilvl="4" w:tplc="DE608580" w:tentative="1">
      <w:start w:val="1"/>
      <w:numFmt w:val="lowerLetter"/>
      <w:lvlText w:val="%5."/>
      <w:lvlJc w:val="left"/>
      <w:pPr>
        <w:ind w:left="3240" w:hanging="360"/>
      </w:pPr>
    </w:lvl>
    <w:lvl w:ilvl="5" w:tplc="155022D8" w:tentative="1">
      <w:start w:val="1"/>
      <w:numFmt w:val="lowerRoman"/>
      <w:lvlText w:val="%6."/>
      <w:lvlJc w:val="right"/>
      <w:pPr>
        <w:ind w:left="3960" w:hanging="180"/>
      </w:pPr>
    </w:lvl>
    <w:lvl w:ilvl="6" w:tplc="224C1FDA" w:tentative="1">
      <w:start w:val="1"/>
      <w:numFmt w:val="decimal"/>
      <w:lvlText w:val="%7."/>
      <w:lvlJc w:val="left"/>
      <w:pPr>
        <w:ind w:left="4680" w:hanging="360"/>
      </w:pPr>
    </w:lvl>
    <w:lvl w:ilvl="7" w:tplc="4EDCDCC4" w:tentative="1">
      <w:start w:val="1"/>
      <w:numFmt w:val="lowerLetter"/>
      <w:lvlText w:val="%8."/>
      <w:lvlJc w:val="left"/>
      <w:pPr>
        <w:ind w:left="5400" w:hanging="360"/>
      </w:pPr>
    </w:lvl>
    <w:lvl w:ilvl="8" w:tplc="C5E2210C" w:tentative="1">
      <w:start w:val="1"/>
      <w:numFmt w:val="lowerRoman"/>
      <w:lvlText w:val="%9."/>
      <w:lvlJc w:val="right"/>
      <w:pPr>
        <w:ind w:left="6120" w:hanging="180"/>
      </w:pPr>
    </w:lvl>
  </w:abstractNum>
  <w:abstractNum w:abstractNumId="11" w15:restartNumberingAfterBreak="0">
    <w:nsid w:val="0769657C"/>
    <w:multiLevelType w:val="hybridMultilevel"/>
    <w:tmpl w:val="46C2E40A"/>
    <w:lvl w:ilvl="0" w:tplc="F55440B6">
      <w:start w:val="1"/>
      <w:numFmt w:val="decimal"/>
      <w:lvlText w:val="%1."/>
      <w:lvlJc w:val="left"/>
      <w:pPr>
        <w:ind w:left="720" w:hanging="360"/>
      </w:pPr>
    </w:lvl>
    <w:lvl w:ilvl="1" w:tplc="EF540736" w:tentative="1">
      <w:start w:val="1"/>
      <w:numFmt w:val="lowerLetter"/>
      <w:lvlText w:val="%2."/>
      <w:lvlJc w:val="left"/>
      <w:pPr>
        <w:ind w:left="1440" w:hanging="360"/>
      </w:pPr>
    </w:lvl>
    <w:lvl w:ilvl="2" w:tplc="048822DC" w:tentative="1">
      <w:start w:val="1"/>
      <w:numFmt w:val="lowerRoman"/>
      <w:lvlText w:val="%3."/>
      <w:lvlJc w:val="right"/>
      <w:pPr>
        <w:ind w:left="2160" w:hanging="180"/>
      </w:pPr>
    </w:lvl>
    <w:lvl w:ilvl="3" w:tplc="97CE5A04" w:tentative="1">
      <w:start w:val="1"/>
      <w:numFmt w:val="decimal"/>
      <w:lvlText w:val="%4."/>
      <w:lvlJc w:val="left"/>
      <w:pPr>
        <w:ind w:left="2880" w:hanging="360"/>
      </w:pPr>
    </w:lvl>
    <w:lvl w:ilvl="4" w:tplc="D28CFF66" w:tentative="1">
      <w:start w:val="1"/>
      <w:numFmt w:val="lowerLetter"/>
      <w:lvlText w:val="%5."/>
      <w:lvlJc w:val="left"/>
      <w:pPr>
        <w:ind w:left="3600" w:hanging="360"/>
      </w:pPr>
    </w:lvl>
    <w:lvl w:ilvl="5" w:tplc="8AE05786" w:tentative="1">
      <w:start w:val="1"/>
      <w:numFmt w:val="lowerRoman"/>
      <w:lvlText w:val="%6."/>
      <w:lvlJc w:val="right"/>
      <w:pPr>
        <w:ind w:left="4320" w:hanging="180"/>
      </w:pPr>
    </w:lvl>
    <w:lvl w:ilvl="6" w:tplc="20EEC68A" w:tentative="1">
      <w:start w:val="1"/>
      <w:numFmt w:val="decimal"/>
      <w:lvlText w:val="%7."/>
      <w:lvlJc w:val="left"/>
      <w:pPr>
        <w:ind w:left="5040" w:hanging="360"/>
      </w:pPr>
    </w:lvl>
    <w:lvl w:ilvl="7" w:tplc="2AB25550" w:tentative="1">
      <w:start w:val="1"/>
      <w:numFmt w:val="lowerLetter"/>
      <w:lvlText w:val="%8."/>
      <w:lvlJc w:val="left"/>
      <w:pPr>
        <w:ind w:left="5760" w:hanging="360"/>
      </w:pPr>
    </w:lvl>
    <w:lvl w:ilvl="8" w:tplc="36BE99D8" w:tentative="1">
      <w:start w:val="1"/>
      <w:numFmt w:val="lowerRoman"/>
      <w:lvlText w:val="%9."/>
      <w:lvlJc w:val="right"/>
      <w:pPr>
        <w:ind w:left="6480" w:hanging="180"/>
      </w:pPr>
    </w:lvl>
  </w:abstractNum>
  <w:abstractNum w:abstractNumId="12" w15:restartNumberingAfterBreak="0">
    <w:nsid w:val="0B7A68A5"/>
    <w:multiLevelType w:val="hybridMultilevel"/>
    <w:tmpl w:val="AA12F8BA"/>
    <w:lvl w:ilvl="0" w:tplc="B66862D0">
      <w:start w:val="1"/>
      <w:numFmt w:val="decimal"/>
      <w:lvlText w:val="%1."/>
      <w:lvlJc w:val="left"/>
      <w:pPr>
        <w:ind w:left="720" w:hanging="360"/>
      </w:pPr>
    </w:lvl>
    <w:lvl w:ilvl="1" w:tplc="363AA116" w:tentative="1">
      <w:start w:val="1"/>
      <w:numFmt w:val="lowerLetter"/>
      <w:lvlText w:val="%2."/>
      <w:lvlJc w:val="left"/>
      <w:pPr>
        <w:ind w:left="1440" w:hanging="360"/>
      </w:pPr>
    </w:lvl>
    <w:lvl w:ilvl="2" w:tplc="62BE8D64" w:tentative="1">
      <w:start w:val="1"/>
      <w:numFmt w:val="lowerRoman"/>
      <w:lvlText w:val="%3."/>
      <w:lvlJc w:val="right"/>
      <w:pPr>
        <w:ind w:left="2160" w:hanging="180"/>
      </w:pPr>
    </w:lvl>
    <w:lvl w:ilvl="3" w:tplc="C242ED40" w:tentative="1">
      <w:start w:val="1"/>
      <w:numFmt w:val="decimal"/>
      <w:lvlText w:val="%4."/>
      <w:lvlJc w:val="left"/>
      <w:pPr>
        <w:ind w:left="2880" w:hanging="360"/>
      </w:pPr>
    </w:lvl>
    <w:lvl w:ilvl="4" w:tplc="6E204820" w:tentative="1">
      <w:start w:val="1"/>
      <w:numFmt w:val="lowerLetter"/>
      <w:lvlText w:val="%5."/>
      <w:lvlJc w:val="left"/>
      <w:pPr>
        <w:ind w:left="3600" w:hanging="360"/>
      </w:pPr>
    </w:lvl>
    <w:lvl w:ilvl="5" w:tplc="452274D2" w:tentative="1">
      <w:start w:val="1"/>
      <w:numFmt w:val="lowerRoman"/>
      <w:lvlText w:val="%6."/>
      <w:lvlJc w:val="right"/>
      <w:pPr>
        <w:ind w:left="4320" w:hanging="180"/>
      </w:pPr>
    </w:lvl>
    <w:lvl w:ilvl="6" w:tplc="F61AE9B8" w:tentative="1">
      <w:start w:val="1"/>
      <w:numFmt w:val="decimal"/>
      <w:lvlText w:val="%7."/>
      <w:lvlJc w:val="left"/>
      <w:pPr>
        <w:ind w:left="5040" w:hanging="360"/>
      </w:pPr>
    </w:lvl>
    <w:lvl w:ilvl="7" w:tplc="DC66CDEE" w:tentative="1">
      <w:start w:val="1"/>
      <w:numFmt w:val="lowerLetter"/>
      <w:lvlText w:val="%8."/>
      <w:lvlJc w:val="left"/>
      <w:pPr>
        <w:ind w:left="5760" w:hanging="360"/>
      </w:pPr>
    </w:lvl>
    <w:lvl w:ilvl="8" w:tplc="E14A9426" w:tentative="1">
      <w:start w:val="1"/>
      <w:numFmt w:val="lowerRoman"/>
      <w:lvlText w:val="%9."/>
      <w:lvlJc w:val="right"/>
      <w:pPr>
        <w:ind w:left="6480" w:hanging="180"/>
      </w:pPr>
    </w:lvl>
  </w:abstractNum>
  <w:abstractNum w:abstractNumId="13"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14" w15:restartNumberingAfterBreak="0">
    <w:nsid w:val="1C3B2A1B"/>
    <w:multiLevelType w:val="hybridMultilevel"/>
    <w:tmpl w:val="7384F9A4"/>
    <w:lvl w:ilvl="0" w:tplc="E15E7332">
      <w:start w:val="2"/>
      <w:numFmt w:val="decimal"/>
      <w:lvlText w:val="%1."/>
      <w:lvlJc w:val="left"/>
      <w:pPr>
        <w:ind w:left="360" w:hanging="360"/>
      </w:pPr>
      <w:rPr>
        <w:rFonts w:hint="default"/>
        <w:sz w:val="24"/>
        <w:szCs w:val="24"/>
      </w:rPr>
    </w:lvl>
    <w:lvl w:ilvl="1" w:tplc="A702A358">
      <w:start w:val="1"/>
      <w:numFmt w:val="lowerLetter"/>
      <w:lvlText w:val="%2."/>
      <w:lvlJc w:val="left"/>
      <w:pPr>
        <w:ind w:left="1440" w:hanging="360"/>
      </w:pPr>
    </w:lvl>
    <w:lvl w:ilvl="2" w:tplc="F318A620" w:tentative="1">
      <w:start w:val="1"/>
      <w:numFmt w:val="lowerRoman"/>
      <w:lvlText w:val="%3."/>
      <w:lvlJc w:val="right"/>
      <w:pPr>
        <w:ind w:left="2160" w:hanging="180"/>
      </w:pPr>
    </w:lvl>
    <w:lvl w:ilvl="3" w:tplc="AA6A2E18" w:tentative="1">
      <w:start w:val="1"/>
      <w:numFmt w:val="decimal"/>
      <w:lvlText w:val="%4."/>
      <w:lvlJc w:val="left"/>
      <w:pPr>
        <w:ind w:left="2880" w:hanging="360"/>
      </w:pPr>
    </w:lvl>
    <w:lvl w:ilvl="4" w:tplc="C86A1F12" w:tentative="1">
      <w:start w:val="1"/>
      <w:numFmt w:val="lowerLetter"/>
      <w:lvlText w:val="%5."/>
      <w:lvlJc w:val="left"/>
      <w:pPr>
        <w:ind w:left="3600" w:hanging="360"/>
      </w:pPr>
    </w:lvl>
    <w:lvl w:ilvl="5" w:tplc="4C5A87C4" w:tentative="1">
      <w:start w:val="1"/>
      <w:numFmt w:val="lowerRoman"/>
      <w:lvlText w:val="%6."/>
      <w:lvlJc w:val="right"/>
      <w:pPr>
        <w:ind w:left="4320" w:hanging="180"/>
      </w:pPr>
    </w:lvl>
    <w:lvl w:ilvl="6" w:tplc="CD7A5860" w:tentative="1">
      <w:start w:val="1"/>
      <w:numFmt w:val="decimal"/>
      <w:lvlText w:val="%7."/>
      <w:lvlJc w:val="left"/>
      <w:pPr>
        <w:ind w:left="5040" w:hanging="360"/>
      </w:pPr>
    </w:lvl>
    <w:lvl w:ilvl="7" w:tplc="B58EB698" w:tentative="1">
      <w:start w:val="1"/>
      <w:numFmt w:val="lowerLetter"/>
      <w:lvlText w:val="%8."/>
      <w:lvlJc w:val="left"/>
      <w:pPr>
        <w:ind w:left="5760" w:hanging="360"/>
      </w:pPr>
    </w:lvl>
    <w:lvl w:ilvl="8" w:tplc="7F764DB4" w:tentative="1">
      <w:start w:val="1"/>
      <w:numFmt w:val="lowerRoman"/>
      <w:lvlText w:val="%9."/>
      <w:lvlJc w:val="right"/>
      <w:pPr>
        <w:ind w:left="6480" w:hanging="180"/>
      </w:pPr>
    </w:lvl>
  </w:abstractNum>
  <w:abstractNum w:abstractNumId="15" w15:restartNumberingAfterBreak="0">
    <w:nsid w:val="1E1C41AB"/>
    <w:multiLevelType w:val="multilevel"/>
    <w:tmpl w:val="8ECCD4FA"/>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upperLetter"/>
      <w:lvlText w:val="(%4)"/>
      <w:lvlJc w:val="left"/>
      <w:pPr>
        <w:tabs>
          <w:tab w:val="num" w:pos="2835"/>
        </w:tabs>
        <w:ind w:left="2835" w:hanging="567"/>
      </w:pPr>
      <w:rPr>
        <w:rFonts w:hint="default"/>
      </w:rPr>
    </w:lvl>
    <w:lvl w:ilvl="4">
      <w:start w:val="1"/>
      <w:numFmt w:val="none"/>
      <w:lvlText w:val=""/>
      <w:lvlJc w:val="left"/>
      <w:pPr>
        <w:tabs>
          <w:tab w:val="num" w:pos="3402"/>
        </w:tabs>
        <w:ind w:left="3402" w:hanging="567"/>
      </w:pPr>
      <w:rPr>
        <w:rFonts w:hint="default"/>
      </w:rPr>
    </w:lvl>
    <w:lvl w:ilvl="5">
      <w:start w:val="1"/>
      <w:numFmt w:val="none"/>
      <w:lvlText w:val=""/>
      <w:lvlJc w:val="left"/>
      <w:pPr>
        <w:tabs>
          <w:tab w:val="num" w:pos="3969"/>
        </w:tabs>
        <w:ind w:left="3969" w:hanging="567"/>
      </w:pPr>
      <w:rPr>
        <w:rFonts w:hint="default"/>
      </w:rPr>
    </w:lvl>
    <w:lvl w:ilvl="6">
      <w:start w:val="1"/>
      <w:numFmt w:val="none"/>
      <w:lvlText w:val="%7"/>
      <w:lvlJc w:val="left"/>
      <w:pPr>
        <w:tabs>
          <w:tab w:val="num" w:pos="4536"/>
        </w:tabs>
        <w:ind w:left="4536" w:hanging="567"/>
      </w:pPr>
      <w:rPr>
        <w:rFonts w:hint="default"/>
      </w:rPr>
    </w:lvl>
    <w:lvl w:ilvl="7">
      <w:start w:val="1"/>
      <w:numFmt w:val="none"/>
      <w:lvlText w:val="%8"/>
      <w:lvlJc w:val="left"/>
      <w:pPr>
        <w:tabs>
          <w:tab w:val="num" w:pos="5463"/>
        </w:tabs>
        <w:ind w:left="5463" w:hanging="567"/>
      </w:pPr>
      <w:rPr>
        <w:rFonts w:hint="default"/>
      </w:rPr>
    </w:lvl>
    <w:lvl w:ilvl="8">
      <w:start w:val="1"/>
      <w:numFmt w:val="none"/>
      <w:lvlText w:val="%9"/>
      <w:lvlJc w:val="left"/>
      <w:pPr>
        <w:tabs>
          <w:tab w:val="num" w:pos="5103"/>
        </w:tabs>
        <w:ind w:left="5103" w:hanging="567"/>
      </w:pPr>
      <w:rPr>
        <w:rFonts w:hint="default"/>
      </w:rPr>
    </w:lvl>
  </w:abstractNum>
  <w:abstractNum w:abstractNumId="16" w15:restartNumberingAfterBreak="0">
    <w:nsid w:val="23FF3490"/>
    <w:multiLevelType w:val="multilevel"/>
    <w:tmpl w:val="8ECCD4FA"/>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upperLetter"/>
      <w:lvlText w:val="(%4)"/>
      <w:lvlJc w:val="left"/>
      <w:pPr>
        <w:tabs>
          <w:tab w:val="num" w:pos="2835"/>
        </w:tabs>
        <w:ind w:left="2835" w:hanging="567"/>
      </w:pPr>
      <w:rPr>
        <w:rFonts w:hint="default"/>
      </w:rPr>
    </w:lvl>
    <w:lvl w:ilvl="4">
      <w:start w:val="1"/>
      <w:numFmt w:val="none"/>
      <w:lvlText w:val=""/>
      <w:lvlJc w:val="left"/>
      <w:pPr>
        <w:tabs>
          <w:tab w:val="num" w:pos="3402"/>
        </w:tabs>
        <w:ind w:left="3402" w:hanging="567"/>
      </w:pPr>
      <w:rPr>
        <w:rFonts w:hint="default"/>
      </w:rPr>
    </w:lvl>
    <w:lvl w:ilvl="5">
      <w:start w:val="1"/>
      <w:numFmt w:val="none"/>
      <w:lvlText w:val=""/>
      <w:lvlJc w:val="left"/>
      <w:pPr>
        <w:tabs>
          <w:tab w:val="num" w:pos="3969"/>
        </w:tabs>
        <w:ind w:left="3969" w:hanging="567"/>
      </w:pPr>
      <w:rPr>
        <w:rFonts w:hint="default"/>
      </w:rPr>
    </w:lvl>
    <w:lvl w:ilvl="6">
      <w:start w:val="1"/>
      <w:numFmt w:val="none"/>
      <w:lvlText w:val="%7"/>
      <w:lvlJc w:val="left"/>
      <w:pPr>
        <w:tabs>
          <w:tab w:val="num" w:pos="4536"/>
        </w:tabs>
        <w:ind w:left="4536" w:hanging="567"/>
      </w:pPr>
      <w:rPr>
        <w:rFonts w:hint="default"/>
      </w:rPr>
    </w:lvl>
    <w:lvl w:ilvl="7">
      <w:start w:val="1"/>
      <w:numFmt w:val="none"/>
      <w:lvlText w:val="%8"/>
      <w:lvlJc w:val="left"/>
      <w:pPr>
        <w:tabs>
          <w:tab w:val="num" w:pos="5463"/>
        </w:tabs>
        <w:ind w:left="5463" w:hanging="567"/>
      </w:pPr>
      <w:rPr>
        <w:rFonts w:hint="default"/>
      </w:rPr>
    </w:lvl>
    <w:lvl w:ilvl="8">
      <w:start w:val="1"/>
      <w:numFmt w:val="none"/>
      <w:lvlText w:val="%9"/>
      <w:lvlJc w:val="left"/>
      <w:pPr>
        <w:tabs>
          <w:tab w:val="num" w:pos="5103"/>
        </w:tabs>
        <w:ind w:left="5103" w:hanging="567"/>
      </w:pPr>
      <w:rPr>
        <w:rFonts w:hint="default"/>
      </w:rPr>
    </w:lvl>
  </w:abstractNum>
  <w:abstractNum w:abstractNumId="17" w15:restartNumberingAfterBreak="0">
    <w:nsid w:val="24840B28"/>
    <w:multiLevelType w:val="multilevel"/>
    <w:tmpl w:val="55925CE2"/>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8" w15:restartNumberingAfterBreak="0">
    <w:nsid w:val="24DC4BEB"/>
    <w:multiLevelType w:val="hybridMultilevel"/>
    <w:tmpl w:val="A0404E60"/>
    <w:lvl w:ilvl="0" w:tplc="0C8257EA">
      <w:start w:val="1"/>
      <w:numFmt w:val="decimal"/>
      <w:lvlText w:val="%1."/>
      <w:lvlJc w:val="left"/>
      <w:pPr>
        <w:ind w:left="360" w:hanging="360"/>
      </w:pPr>
      <w:rPr>
        <w:b/>
        <w:sz w:val="28"/>
        <w:szCs w:val="28"/>
      </w:rPr>
    </w:lvl>
    <w:lvl w:ilvl="1" w:tplc="FD80B0E4" w:tentative="1">
      <w:start w:val="1"/>
      <w:numFmt w:val="lowerLetter"/>
      <w:lvlText w:val="%2."/>
      <w:lvlJc w:val="left"/>
      <w:pPr>
        <w:ind w:left="1080" w:hanging="360"/>
      </w:pPr>
    </w:lvl>
    <w:lvl w:ilvl="2" w:tplc="C70A6CAC" w:tentative="1">
      <w:start w:val="1"/>
      <w:numFmt w:val="lowerRoman"/>
      <w:lvlText w:val="%3."/>
      <w:lvlJc w:val="right"/>
      <w:pPr>
        <w:ind w:left="1800" w:hanging="180"/>
      </w:pPr>
    </w:lvl>
    <w:lvl w:ilvl="3" w:tplc="65A85714" w:tentative="1">
      <w:start w:val="1"/>
      <w:numFmt w:val="decimal"/>
      <w:lvlText w:val="%4."/>
      <w:lvlJc w:val="left"/>
      <w:pPr>
        <w:ind w:left="2520" w:hanging="360"/>
      </w:pPr>
    </w:lvl>
    <w:lvl w:ilvl="4" w:tplc="FD9C12C6" w:tentative="1">
      <w:start w:val="1"/>
      <w:numFmt w:val="lowerLetter"/>
      <w:lvlText w:val="%5."/>
      <w:lvlJc w:val="left"/>
      <w:pPr>
        <w:ind w:left="3240" w:hanging="360"/>
      </w:pPr>
    </w:lvl>
    <w:lvl w:ilvl="5" w:tplc="9788E05A" w:tentative="1">
      <w:start w:val="1"/>
      <w:numFmt w:val="lowerRoman"/>
      <w:lvlText w:val="%6."/>
      <w:lvlJc w:val="right"/>
      <w:pPr>
        <w:ind w:left="3960" w:hanging="180"/>
      </w:pPr>
    </w:lvl>
    <w:lvl w:ilvl="6" w:tplc="9CE0A462" w:tentative="1">
      <w:start w:val="1"/>
      <w:numFmt w:val="decimal"/>
      <w:lvlText w:val="%7."/>
      <w:lvlJc w:val="left"/>
      <w:pPr>
        <w:ind w:left="4680" w:hanging="360"/>
      </w:pPr>
    </w:lvl>
    <w:lvl w:ilvl="7" w:tplc="C8144664" w:tentative="1">
      <w:start w:val="1"/>
      <w:numFmt w:val="lowerLetter"/>
      <w:lvlText w:val="%8."/>
      <w:lvlJc w:val="left"/>
      <w:pPr>
        <w:ind w:left="5400" w:hanging="360"/>
      </w:pPr>
    </w:lvl>
    <w:lvl w:ilvl="8" w:tplc="E88E33CC" w:tentative="1">
      <w:start w:val="1"/>
      <w:numFmt w:val="lowerRoman"/>
      <w:lvlText w:val="%9."/>
      <w:lvlJc w:val="right"/>
      <w:pPr>
        <w:ind w:left="6120" w:hanging="180"/>
      </w:pPr>
    </w:lvl>
  </w:abstractNum>
  <w:abstractNum w:abstractNumId="19" w15:restartNumberingAfterBreak="0">
    <w:nsid w:val="2CBD1C5B"/>
    <w:multiLevelType w:val="hybridMultilevel"/>
    <w:tmpl w:val="2D0EF1D6"/>
    <w:lvl w:ilvl="0" w:tplc="AB8CAF2E">
      <w:start w:val="1"/>
      <w:numFmt w:val="decimal"/>
      <w:lvlText w:val="%1."/>
      <w:lvlJc w:val="left"/>
      <w:pPr>
        <w:ind w:left="720" w:hanging="360"/>
      </w:pPr>
    </w:lvl>
    <w:lvl w:ilvl="1" w:tplc="F5DC8A04" w:tentative="1">
      <w:start w:val="1"/>
      <w:numFmt w:val="lowerLetter"/>
      <w:lvlText w:val="%2."/>
      <w:lvlJc w:val="left"/>
      <w:pPr>
        <w:ind w:left="1440" w:hanging="360"/>
      </w:pPr>
    </w:lvl>
    <w:lvl w:ilvl="2" w:tplc="4C9EE110" w:tentative="1">
      <w:start w:val="1"/>
      <w:numFmt w:val="lowerRoman"/>
      <w:lvlText w:val="%3."/>
      <w:lvlJc w:val="right"/>
      <w:pPr>
        <w:ind w:left="2160" w:hanging="180"/>
      </w:pPr>
    </w:lvl>
    <w:lvl w:ilvl="3" w:tplc="DC9AACA4" w:tentative="1">
      <w:start w:val="1"/>
      <w:numFmt w:val="decimal"/>
      <w:lvlText w:val="%4."/>
      <w:lvlJc w:val="left"/>
      <w:pPr>
        <w:ind w:left="2880" w:hanging="360"/>
      </w:pPr>
    </w:lvl>
    <w:lvl w:ilvl="4" w:tplc="8472A67C" w:tentative="1">
      <w:start w:val="1"/>
      <w:numFmt w:val="lowerLetter"/>
      <w:lvlText w:val="%5."/>
      <w:lvlJc w:val="left"/>
      <w:pPr>
        <w:ind w:left="3600" w:hanging="360"/>
      </w:pPr>
    </w:lvl>
    <w:lvl w:ilvl="5" w:tplc="5E323F3E" w:tentative="1">
      <w:start w:val="1"/>
      <w:numFmt w:val="lowerRoman"/>
      <w:lvlText w:val="%6."/>
      <w:lvlJc w:val="right"/>
      <w:pPr>
        <w:ind w:left="4320" w:hanging="180"/>
      </w:pPr>
    </w:lvl>
    <w:lvl w:ilvl="6" w:tplc="AFEEC2B8" w:tentative="1">
      <w:start w:val="1"/>
      <w:numFmt w:val="decimal"/>
      <w:lvlText w:val="%7."/>
      <w:lvlJc w:val="left"/>
      <w:pPr>
        <w:ind w:left="5040" w:hanging="360"/>
      </w:pPr>
    </w:lvl>
    <w:lvl w:ilvl="7" w:tplc="7F3C97E0" w:tentative="1">
      <w:start w:val="1"/>
      <w:numFmt w:val="lowerLetter"/>
      <w:lvlText w:val="%8."/>
      <w:lvlJc w:val="left"/>
      <w:pPr>
        <w:ind w:left="5760" w:hanging="360"/>
      </w:pPr>
    </w:lvl>
    <w:lvl w:ilvl="8" w:tplc="FA541DDA" w:tentative="1">
      <w:start w:val="1"/>
      <w:numFmt w:val="lowerRoman"/>
      <w:lvlText w:val="%9."/>
      <w:lvlJc w:val="right"/>
      <w:pPr>
        <w:ind w:left="6480" w:hanging="180"/>
      </w:pPr>
    </w:lvl>
  </w:abstractNum>
  <w:abstractNum w:abstractNumId="20" w15:restartNumberingAfterBreak="0">
    <w:nsid w:val="2F9A7347"/>
    <w:multiLevelType w:val="multilevel"/>
    <w:tmpl w:val="485433D0"/>
    <w:lvl w:ilvl="0">
      <w:start w:val="1"/>
      <w:numFmt w:val="decimal"/>
      <w:pStyle w:val="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upperLetter"/>
      <w:lvlText w:val="(%4)"/>
      <w:lvlJc w:val="left"/>
      <w:pPr>
        <w:tabs>
          <w:tab w:val="num" w:pos="2835"/>
        </w:tabs>
        <w:ind w:left="2835" w:hanging="567"/>
      </w:pPr>
      <w:rPr>
        <w:rFonts w:hint="default"/>
      </w:rPr>
    </w:lvl>
    <w:lvl w:ilvl="4">
      <w:start w:val="1"/>
      <w:numFmt w:val="none"/>
      <w:lvlText w:val=""/>
      <w:lvlJc w:val="left"/>
      <w:pPr>
        <w:tabs>
          <w:tab w:val="num" w:pos="3402"/>
        </w:tabs>
        <w:ind w:left="3402" w:hanging="567"/>
      </w:pPr>
      <w:rPr>
        <w:rFonts w:hint="default"/>
      </w:rPr>
    </w:lvl>
    <w:lvl w:ilvl="5">
      <w:start w:val="1"/>
      <w:numFmt w:val="none"/>
      <w:lvlText w:val=""/>
      <w:lvlJc w:val="left"/>
      <w:pPr>
        <w:tabs>
          <w:tab w:val="num" w:pos="3969"/>
        </w:tabs>
        <w:ind w:left="3969" w:hanging="567"/>
      </w:pPr>
      <w:rPr>
        <w:rFonts w:hint="default"/>
      </w:rPr>
    </w:lvl>
    <w:lvl w:ilvl="6">
      <w:start w:val="1"/>
      <w:numFmt w:val="none"/>
      <w:lvlText w:val="%7"/>
      <w:lvlJc w:val="left"/>
      <w:pPr>
        <w:tabs>
          <w:tab w:val="num" w:pos="4536"/>
        </w:tabs>
        <w:ind w:left="4536" w:hanging="567"/>
      </w:pPr>
      <w:rPr>
        <w:rFonts w:hint="default"/>
      </w:rPr>
    </w:lvl>
    <w:lvl w:ilvl="7">
      <w:start w:val="1"/>
      <w:numFmt w:val="none"/>
      <w:lvlText w:val="%8"/>
      <w:lvlJc w:val="left"/>
      <w:pPr>
        <w:tabs>
          <w:tab w:val="num" w:pos="5463"/>
        </w:tabs>
        <w:ind w:left="5463" w:hanging="567"/>
      </w:pPr>
      <w:rPr>
        <w:rFonts w:hint="default"/>
      </w:rPr>
    </w:lvl>
    <w:lvl w:ilvl="8">
      <w:start w:val="1"/>
      <w:numFmt w:val="none"/>
      <w:lvlText w:val="%9"/>
      <w:lvlJc w:val="left"/>
      <w:pPr>
        <w:tabs>
          <w:tab w:val="num" w:pos="5103"/>
        </w:tabs>
        <w:ind w:left="5103" w:hanging="567"/>
      </w:pPr>
      <w:rPr>
        <w:rFonts w:hint="default"/>
      </w:rPr>
    </w:lvl>
  </w:abstractNum>
  <w:abstractNum w:abstractNumId="21" w15:restartNumberingAfterBreak="0">
    <w:nsid w:val="2FCE3E82"/>
    <w:multiLevelType w:val="hybridMultilevel"/>
    <w:tmpl w:val="97CCF1FA"/>
    <w:lvl w:ilvl="0" w:tplc="F7EA80C8">
      <w:start w:val="1"/>
      <w:numFmt w:val="decimal"/>
      <w:lvlText w:val="%1."/>
      <w:lvlJc w:val="left"/>
      <w:pPr>
        <w:ind w:left="720" w:hanging="360"/>
      </w:pPr>
    </w:lvl>
    <w:lvl w:ilvl="1" w:tplc="181C7328" w:tentative="1">
      <w:start w:val="1"/>
      <w:numFmt w:val="lowerLetter"/>
      <w:lvlText w:val="%2."/>
      <w:lvlJc w:val="left"/>
      <w:pPr>
        <w:ind w:left="1440" w:hanging="360"/>
      </w:pPr>
    </w:lvl>
    <w:lvl w:ilvl="2" w:tplc="317260DA" w:tentative="1">
      <w:start w:val="1"/>
      <w:numFmt w:val="lowerRoman"/>
      <w:lvlText w:val="%3."/>
      <w:lvlJc w:val="right"/>
      <w:pPr>
        <w:ind w:left="2160" w:hanging="180"/>
      </w:pPr>
    </w:lvl>
    <w:lvl w:ilvl="3" w:tplc="1424E96C" w:tentative="1">
      <w:start w:val="1"/>
      <w:numFmt w:val="decimal"/>
      <w:lvlText w:val="%4."/>
      <w:lvlJc w:val="left"/>
      <w:pPr>
        <w:ind w:left="2880" w:hanging="360"/>
      </w:pPr>
    </w:lvl>
    <w:lvl w:ilvl="4" w:tplc="77E4C1C8" w:tentative="1">
      <w:start w:val="1"/>
      <w:numFmt w:val="lowerLetter"/>
      <w:lvlText w:val="%5."/>
      <w:lvlJc w:val="left"/>
      <w:pPr>
        <w:ind w:left="3600" w:hanging="360"/>
      </w:pPr>
    </w:lvl>
    <w:lvl w:ilvl="5" w:tplc="B5900134" w:tentative="1">
      <w:start w:val="1"/>
      <w:numFmt w:val="lowerRoman"/>
      <w:lvlText w:val="%6."/>
      <w:lvlJc w:val="right"/>
      <w:pPr>
        <w:ind w:left="4320" w:hanging="180"/>
      </w:pPr>
    </w:lvl>
    <w:lvl w:ilvl="6" w:tplc="6C126EA6" w:tentative="1">
      <w:start w:val="1"/>
      <w:numFmt w:val="decimal"/>
      <w:lvlText w:val="%7."/>
      <w:lvlJc w:val="left"/>
      <w:pPr>
        <w:ind w:left="5040" w:hanging="360"/>
      </w:pPr>
    </w:lvl>
    <w:lvl w:ilvl="7" w:tplc="4C085B22" w:tentative="1">
      <w:start w:val="1"/>
      <w:numFmt w:val="lowerLetter"/>
      <w:lvlText w:val="%8."/>
      <w:lvlJc w:val="left"/>
      <w:pPr>
        <w:ind w:left="5760" w:hanging="360"/>
      </w:pPr>
    </w:lvl>
    <w:lvl w:ilvl="8" w:tplc="A3FECC48" w:tentative="1">
      <w:start w:val="1"/>
      <w:numFmt w:val="lowerRoman"/>
      <w:lvlText w:val="%9."/>
      <w:lvlJc w:val="right"/>
      <w:pPr>
        <w:ind w:left="6480" w:hanging="180"/>
      </w:pPr>
    </w:lvl>
  </w:abstractNum>
  <w:abstractNum w:abstractNumId="22" w15:restartNumberingAfterBreak="0">
    <w:nsid w:val="32C56319"/>
    <w:multiLevelType w:val="hybridMultilevel"/>
    <w:tmpl w:val="8D569F22"/>
    <w:lvl w:ilvl="0" w:tplc="2482D0B2">
      <w:start w:val="1"/>
      <w:numFmt w:val="decimal"/>
      <w:lvlText w:val="%1."/>
      <w:lvlJc w:val="left"/>
      <w:pPr>
        <w:ind w:left="360" w:hanging="360"/>
      </w:pPr>
      <w:rPr>
        <w:rFonts w:hint="default"/>
      </w:rPr>
    </w:lvl>
    <w:lvl w:ilvl="1" w:tplc="FD8A56C6" w:tentative="1">
      <w:start w:val="1"/>
      <w:numFmt w:val="lowerLetter"/>
      <w:lvlText w:val="%2."/>
      <w:lvlJc w:val="left"/>
      <w:pPr>
        <w:ind w:left="1080" w:hanging="360"/>
      </w:pPr>
    </w:lvl>
    <w:lvl w:ilvl="2" w:tplc="3FCAB4DA" w:tentative="1">
      <w:start w:val="1"/>
      <w:numFmt w:val="lowerRoman"/>
      <w:lvlText w:val="%3."/>
      <w:lvlJc w:val="right"/>
      <w:pPr>
        <w:ind w:left="1800" w:hanging="180"/>
      </w:pPr>
    </w:lvl>
    <w:lvl w:ilvl="3" w:tplc="91EEE4AE" w:tentative="1">
      <w:start w:val="1"/>
      <w:numFmt w:val="decimal"/>
      <w:lvlText w:val="%4."/>
      <w:lvlJc w:val="left"/>
      <w:pPr>
        <w:ind w:left="2520" w:hanging="360"/>
      </w:pPr>
    </w:lvl>
    <w:lvl w:ilvl="4" w:tplc="9934EC72" w:tentative="1">
      <w:start w:val="1"/>
      <w:numFmt w:val="lowerLetter"/>
      <w:lvlText w:val="%5."/>
      <w:lvlJc w:val="left"/>
      <w:pPr>
        <w:ind w:left="3240" w:hanging="360"/>
      </w:pPr>
    </w:lvl>
    <w:lvl w:ilvl="5" w:tplc="9440E468" w:tentative="1">
      <w:start w:val="1"/>
      <w:numFmt w:val="lowerRoman"/>
      <w:lvlText w:val="%6."/>
      <w:lvlJc w:val="right"/>
      <w:pPr>
        <w:ind w:left="3960" w:hanging="180"/>
      </w:pPr>
    </w:lvl>
    <w:lvl w:ilvl="6" w:tplc="293C3CB6" w:tentative="1">
      <w:start w:val="1"/>
      <w:numFmt w:val="decimal"/>
      <w:lvlText w:val="%7."/>
      <w:lvlJc w:val="left"/>
      <w:pPr>
        <w:ind w:left="4680" w:hanging="360"/>
      </w:pPr>
    </w:lvl>
    <w:lvl w:ilvl="7" w:tplc="7E9EF094" w:tentative="1">
      <w:start w:val="1"/>
      <w:numFmt w:val="lowerLetter"/>
      <w:lvlText w:val="%8."/>
      <w:lvlJc w:val="left"/>
      <w:pPr>
        <w:ind w:left="5400" w:hanging="360"/>
      </w:pPr>
    </w:lvl>
    <w:lvl w:ilvl="8" w:tplc="E326A99E" w:tentative="1">
      <w:start w:val="1"/>
      <w:numFmt w:val="lowerRoman"/>
      <w:lvlText w:val="%9."/>
      <w:lvlJc w:val="right"/>
      <w:pPr>
        <w:ind w:left="6120" w:hanging="180"/>
      </w:pPr>
    </w:lvl>
  </w:abstractNum>
  <w:abstractNum w:abstractNumId="23" w15:restartNumberingAfterBreak="0">
    <w:nsid w:val="40536D5E"/>
    <w:multiLevelType w:val="multilevel"/>
    <w:tmpl w:val="8ECCD4FA"/>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upperLetter"/>
      <w:lvlText w:val="(%4)"/>
      <w:lvlJc w:val="left"/>
      <w:pPr>
        <w:tabs>
          <w:tab w:val="num" w:pos="2835"/>
        </w:tabs>
        <w:ind w:left="2835" w:hanging="567"/>
      </w:pPr>
      <w:rPr>
        <w:rFonts w:hint="default"/>
      </w:rPr>
    </w:lvl>
    <w:lvl w:ilvl="4">
      <w:start w:val="1"/>
      <w:numFmt w:val="none"/>
      <w:lvlText w:val=""/>
      <w:lvlJc w:val="left"/>
      <w:pPr>
        <w:tabs>
          <w:tab w:val="num" w:pos="3402"/>
        </w:tabs>
        <w:ind w:left="3402" w:hanging="567"/>
      </w:pPr>
      <w:rPr>
        <w:rFonts w:hint="default"/>
      </w:rPr>
    </w:lvl>
    <w:lvl w:ilvl="5">
      <w:start w:val="1"/>
      <w:numFmt w:val="none"/>
      <w:lvlText w:val=""/>
      <w:lvlJc w:val="left"/>
      <w:pPr>
        <w:tabs>
          <w:tab w:val="num" w:pos="3969"/>
        </w:tabs>
        <w:ind w:left="3969" w:hanging="567"/>
      </w:pPr>
      <w:rPr>
        <w:rFonts w:hint="default"/>
      </w:rPr>
    </w:lvl>
    <w:lvl w:ilvl="6">
      <w:start w:val="1"/>
      <w:numFmt w:val="none"/>
      <w:lvlText w:val="%7"/>
      <w:lvlJc w:val="left"/>
      <w:pPr>
        <w:tabs>
          <w:tab w:val="num" w:pos="4536"/>
        </w:tabs>
        <w:ind w:left="4536" w:hanging="567"/>
      </w:pPr>
      <w:rPr>
        <w:rFonts w:hint="default"/>
      </w:rPr>
    </w:lvl>
    <w:lvl w:ilvl="7">
      <w:start w:val="1"/>
      <w:numFmt w:val="none"/>
      <w:lvlText w:val="%8"/>
      <w:lvlJc w:val="left"/>
      <w:pPr>
        <w:tabs>
          <w:tab w:val="num" w:pos="5463"/>
        </w:tabs>
        <w:ind w:left="5463" w:hanging="567"/>
      </w:pPr>
      <w:rPr>
        <w:rFonts w:hint="default"/>
      </w:rPr>
    </w:lvl>
    <w:lvl w:ilvl="8">
      <w:start w:val="1"/>
      <w:numFmt w:val="none"/>
      <w:lvlText w:val="%9"/>
      <w:lvlJc w:val="left"/>
      <w:pPr>
        <w:tabs>
          <w:tab w:val="num" w:pos="5103"/>
        </w:tabs>
        <w:ind w:left="5103" w:hanging="567"/>
      </w:pPr>
      <w:rPr>
        <w:rFonts w:hint="default"/>
      </w:rPr>
    </w:lvl>
  </w:abstractNum>
  <w:abstractNum w:abstractNumId="24" w15:restartNumberingAfterBreak="0">
    <w:nsid w:val="43CD5447"/>
    <w:multiLevelType w:val="multilevel"/>
    <w:tmpl w:val="F48C414E"/>
    <w:lvl w:ilvl="0">
      <w:start w:val="1"/>
      <w:numFmt w:val="decimal"/>
      <w:pStyle w:val="Heading1"/>
      <w:lvlText w:val="%1"/>
      <w:lvlJc w:val="left"/>
      <w:pPr>
        <w:tabs>
          <w:tab w:val="num" w:pos="567"/>
        </w:tabs>
        <w:ind w:left="567" w:hanging="567"/>
      </w:pPr>
      <w:rPr>
        <w:rFonts w:hint="default"/>
        <w:sz w:val="24"/>
        <w:szCs w:val="24"/>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567"/>
        </w:tabs>
        <w:ind w:left="567" w:hanging="567"/>
      </w:pPr>
      <w:rPr>
        <w:rFonts w:hint="default"/>
      </w:rPr>
    </w:lvl>
    <w:lvl w:ilvl="3">
      <w:start w:val="1"/>
      <w:numFmt w:val="lowerRoman"/>
      <w:pStyle w:val="Heading4"/>
      <w:lvlText w:val="(%4)"/>
      <w:lvlJc w:val="left"/>
      <w:pPr>
        <w:tabs>
          <w:tab w:val="num" w:pos="567"/>
        </w:tabs>
        <w:ind w:left="1134" w:hanging="567"/>
      </w:pPr>
      <w:rPr>
        <w:rFonts w:hint="default"/>
      </w:rPr>
    </w:lvl>
    <w:lvl w:ilvl="4">
      <w:start w:val="1"/>
      <w:numFmt w:val="upperLetter"/>
      <w:pStyle w:val="Heading5"/>
      <w:lvlText w:val="(%5)"/>
      <w:lvlJc w:val="left"/>
      <w:pPr>
        <w:tabs>
          <w:tab w:val="num" w:pos="567"/>
        </w:tabs>
        <w:ind w:left="1701" w:hanging="567"/>
      </w:pPr>
      <w:rPr>
        <w:rFonts w:ascii="Arial" w:hAnsi="Arial" w:hint="default"/>
        <w:sz w:val="16"/>
        <w:szCs w:val="16"/>
      </w:rPr>
    </w:lvl>
    <w:lvl w:ilvl="5">
      <w:start w:val="1"/>
      <w:numFmt w:val="none"/>
      <w:lvlRestart w:val="3"/>
      <w:pStyle w:val="Heading6"/>
      <w:lvlText w:val=""/>
      <w:lvlJc w:val="left"/>
      <w:pPr>
        <w:tabs>
          <w:tab w:val="num" w:pos="0"/>
        </w:tabs>
        <w:ind w:left="0" w:firstLine="0"/>
      </w:pPr>
      <w:rPr>
        <w:rFonts w:hint="default"/>
      </w:rPr>
    </w:lvl>
    <w:lvl w:ilvl="6">
      <w:start w:val="1"/>
      <w:numFmt w:val="none"/>
      <w:pStyle w:val="Heading7"/>
      <w:lvlText w:val="%7"/>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25" w15:restartNumberingAfterBreak="0">
    <w:nsid w:val="44453CB8"/>
    <w:multiLevelType w:val="hybridMultilevel"/>
    <w:tmpl w:val="27E2889E"/>
    <w:lvl w:ilvl="0" w:tplc="8618E9D4">
      <w:start w:val="1"/>
      <w:numFmt w:val="decimal"/>
      <w:lvlText w:val="%1."/>
      <w:lvlJc w:val="left"/>
      <w:pPr>
        <w:ind w:left="720" w:hanging="360"/>
      </w:pPr>
    </w:lvl>
    <w:lvl w:ilvl="1" w:tplc="079E9C4A" w:tentative="1">
      <w:start w:val="1"/>
      <w:numFmt w:val="lowerLetter"/>
      <w:lvlText w:val="%2."/>
      <w:lvlJc w:val="left"/>
      <w:pPr>
        <w:ind w:left="1440" w:hanging="360"/>
      </w:pPr>
    </w:lvl>
    <w:lvl w:ilvl="2" w:tplc="39F855D2" w:tentative="1">
      <w:start w:val="1"/>
      <w:numFmt w:val="lowerRoman"/>
      <w:lvlText w:val="%3."/>
      <w:lvlJc w:val="right"/>
      <w:pPr>
        <w:ind w:left="2160" w:hanging="180"/>
      </w:pPr>
    </w:lvl>
    <w:lvl w:ilvl="3" w:tplc="C57832EE" w:tentative="1">
      <w:start w:val="1"/>
      <w:numFmt w:val="decimal"/>
      <w:lvlText w:val="%4."/>
      <w:lvlJc w:val="left"/>
      <w:pPr>
        <w:ind w:left="2880" w:hanging="360"/>
      </w:pPr>
    </w:lvl>
    <w:lvl w:ilvl="4" w:tplc="4D92465C" w:tentative="1">
      <w:start w:val="1"/>
      <w:numFmt w:val="lowerLetter"/>
      <w:lvlText w:val="%5."/>
      <w:lvlJc w:val="left"/>
      <w:pPr>
        <w:ind w:left="3600" w:hanging="360"/>
      </w:pPr>
    </w:lvl>
    <w:lvl w:ilvl="5" w:tplc="8CB0E56E" w:tentative="1">
      <w:start w:val="1"/>
      <w:numFmt w:val="lowerRoman"/>
      <w:lvlText w:val="%6."/>
      <w:lvlJc w:val="right"/>
      <w:pPr>
        <w:ind w:left="4320" w:hanging="180"/>
      </w:pPr>
    </w:lvl>
    <w:lvl w:ilvl="6" w:tplc="61649B2C" w:tentative="1">
      <w:start w:val="1"/>
      <w:numFmt w:val="decimal"/>
      <w:lvlText w:val="%7."/>
      <w:lvlJc w:val="left"/>
      <w:pPr>
        <w:ind w:left="5040" w:hanging="360"/>
      </w:pPr>
    </w:lvl>
    <w:lvl w:ilvl="7" w:tplc="4FAE52C2" w:tentative="1">
      <w:start w:val="1"/>
      <w:numFmt w:val="lowerLetter"/>
      <w:lvlText w:val="%8."/>
      <w:lvlJc w:val="left"/>
      <w:pPr>
        <w:ind w:left="5760" w:hanging="360"/>
      </w:pPr>
    </w:lvl>
    <w:lvl w:ilvl="8" w:tplc="7248961E" w:tentative="1">
      <w:start w:val="1"/>
      <w:numFmt w:val="lowerRoman"/>
      <w:lvlText w:val="%9."/>
      <w:lvlJc w:val="right"/>
      <w:pPr>
        <w:ind w:left="6480" w:hanging="180"/>
      </w:pPr>
    </w:lvl>
  </w:abstractNum>
  <w:abstractNum w:abstractNumId="26"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27" w15:restartNumberingAfterBreak="0">
    <w:nsid w:val="46641E46"/>
    <w:multiLevelType w:val="hybridMultilevel"/>
    <w:tmpl w:val="D88C0B1E"/>
    <w:lvl w:ilvl="0" w:tplc="DB142D44">
      <w:start w:val="1"/>
      <w:numFmt w:val="decimal"/>
      <w:lvlText w:val="%1."/>
      <w:lvlJc w:val="left"/>
      <w:pPr>
        <w:ind w:left="360" w:hanging="360"/>
      </w:pPr>
      <w:rPr>
        <w:rFonts w:hint="default"/>
      </w:rPr>
    </w:lvl>
    <w:lvl w:ilvl="1" w:tplc="1A129F2E">
      <w:start w:val="1"/>
      <w:numFmt w:val="lowerLetter"/>
      <w:lvlText w:val="%2."/>
      <w:lvlJc w:val="left"/>
      <w:pPr>
        <w:ind w:left="1440" w:hanging="360"/>
      </w:pPr>
    </w:lvl>
    <w:lvl w:ilvl="2" w:tplc="114CFA50" w:tentative="1">
      <w:start w:val="1"/>
      <w:numFmt w:val="lowerRoman"/>
      <w:lvlText w:val="%3."/>
      <w:lvlJc w:val="right"/>
      <w:pPr>
        <w:ind w:left="2160" w:hanging="180"/>
      </w:pPr>
    </w:lvl>
    <w:lvl w:ilvl="3" w:tplc="8332813E" w:tentative="1">
      <w:start w:val="1"/>
      <w:numFmt w:val="decimal"/>
      <w:lvlText w:val="%4."/>
      <w:lvlJc w:val="left"/>
      <w:pPr>
        <w:ind w:left="2880" w:hanging="360"/>
      </w:pPr>
    </w:lvl>
    <w:lvl w:ilvl="4" w:tplc="A216A2C0" w:tentative="1">
      <w:start w:val="1"/>
      <w:numFmt w:val="lowerLetter"/>
      <w:lvlText w:val="%5."/>
      <w:lvlJc w:val="left"/>
      <w:pPr>
        <w:ind w:left="3600" w:hanging="360"/>
      </w:pPr>
    </w:lvl>
    <w:lvl w:ilvl="5" w:tplc="49081D96" w:tentative="1">
      <w:start w:val="1"/>
      <w:numFmt w:val="lowerRoman"/>
      <w:lvlText w:val="%6."/>
      <w:lvlJc w:val="right"/>
      <w:pPr>
        <w:ind w:left="4320" w:hanging="180"/>
      </w:pPr>
    </w:lvl>
    <w:lvl w:ilvl="6" w:tplc="52087FD8" w:tentative="1">
      <w:start w:val="1"/>
      <w:numFmt w:val="decimal"/>
      <w:lvlText w:val="%7."/>
      <w:lvlJc w:val="left"/>
      <w:pPr>
        <w:ind w:left="5040" w:hanging="360"/>
      </w:pPr>
    </w:lvl>
    <w:lvl w:ilvl="7" w:tplc="F8789590" w:tentative="1">
      <w:start w:val="1"/>
      <w:numFmt w:val="lowerLetter"/>
      <w:lvlText w:val="%8."/>
      <w:lvlJc w:val="left"/>
      <w:pPr>
        <w:ind w:left="5760" w:hanging="360"/>
      </w:pPr>
    </w:lvl>
    <w:lvl w:ilvl="8" w:tplc="2032A3AE" w:tentative="1">
      <w:start w:val="1"/>
      <w:numFmt w:val="lowerRoman"/>
      <w:lvlText w:val="%9."/>
      <w:lvlJc w:val="right"/>
      <w:pPr>
        <w:ind w:left="6480" w:hanging="180"/>
      </w:pPr>
    </w:lvl>
  </w:abstractNum>
  <w:abstractNum w:abstractNumId="28" w15:restartNumberingAfterBreak="0">
    <w:nsid w:val="4ACE7AE8"/>
    <w:multiLevelType w:val="multilevel"/>
    <w:tmpl w:val="8ECCD4FA"/>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upperLetter"/>
      <w:lvlText w:val="(%4)"/>
      <w:lvlJc w:val="left"/>
      <w:pPr>
        <w:tabs>
          <w:tab w:val="num" w:pos="2835"/>
        </w:tabs>
        <w:ind w:left="2835" w:hanging="567"/>
      </w:pPr>
      <w:rPr>
        <w:rFonts w:hint="default"/>
      </w:rPr>
    </w:lvl>
    <w:lvl w:ilvl="4">
      <w:start w:val="1"/>
      <w:numFmt w:val="none"/>
      <w:lvlText w:val=""/>
      <w:lvlJc w:val="left"/>
      <w:pPr>
        <w:tabs>
          <w:tab w:val="num" w:pos="3402"/>
        </w:tabs>
        <w:ind w:left="3402" w:hanging="567"/>
      </w:pPr>
      <w:rPr>
        <w:rFonts w:hint="default"/>
      </w:rPr>
    </w:lvl>
    <w:lvl w:ilvl="5">
      <w:start w:val="1"/>
      <w:numFmt w:val="none"/>
      <w:lvlText w:val=""/>
      <w:lvlJc w:val="left"/>
      <w:pPr>
        <w:tabs>
          <w:tab w:val="num" w:pos="3969"/>
        </w:tabs>
        <w:ind w:left="3969" w:hanging="567"/>
      </w:pPr>
      <w:rPr>
        <w:rFonts w:hint="default"/>
      </w:rPr>
    </w:lvl>
    <w:lvl w:ilvl="6">
      <w:start w:val="1"/>
      <w:numFmt w:val="none"/>
      <w:lvlText w:val="%7"/>
      <w:lvlJc w:val="left"/>
      <w:pPr>
        <w:tabs>
          <w:tab w:val="num" w:pos="4536"/>
        </w:tabs>
        <w:ind w:left="4536" w:hanging="567"/>
      </w:pPr>
      <w:rPr>
        <w:rFonts w:hint="default"/>
      </w:rPr>
    </w:lvl>
    <w:lvl w:ilvl="7">
      <w:start w:val="1"/>
      <w:numFmt w:val="none"/>
      <w:lvlText w:val="%8"/>
      <w:lvlJc w:val="left"/>
      <w:pPr>
        <w:tabs>
          <w:tab w:val="num" w:pos="5463"/>
        </w:tabs>
        <w:ind w:left="5463" w:hanging="567"/>
      </w:pPr>
      <w:rPr>
        <w:rFonts w:hint="default"/>
      </w:rPr>
    </w:lvl>
    <w:lvl w:ilvl="8">
      <w:start w:val="1"/>
      <w:numFmt w:val="none"/>
      <w:lvlText w:val="%9"/>
      <w:lvlJc w:val="left"/>
      <w:pPr>
        <w:tabs>
          <w:tab w:val="num" w:pos="5103"/>
        </w:tabs>
        <w:ind w:left="5103" w:hanging="567"/>
      </w:pPr>
      <w:rPr>
        <w:rFonts w:hint="default"/>
      </w:rPr>
    </w:lvl>
  </w:abstractNum>
  <w:abstractNum w:abstractNumId="29" w15:restartNumberingAfterBreak="0">
    <w:nsid w:val="500358D7"/>
    <w:multiLevelType w:val="hybridMultilevel"/>
    <w:tmpl w:val="EB20E116"/>
    <w:lvl w:ilvl="0" w:tplc="7C40055A">
      <w:start w:val="1"/>
      <w:numFmt w:val="bullet"/>
      <w:pStyle w:val="PrecListBullet"/>
      <w:lvlText w:val=""/>
      <w:lvlJc w:val="left"/>
      <w:pPr>
        <w:tabs>
          <w:tab w:val="num" w:pos="284"/>
        </w:tabs>
        <w:ind w:left="284" w:hanging="284"/>
      </w:pPr>
      <w:rPr>
        <w:rFonts w:ascii="Wingdings 2" w:hAnsi="Wingdings 2" w:hint="default"/>
      </w:rPr>
    </w:lvl>
    <w:lvl w:ilvl="1" w:tplc="A0E27978" w:tentative="1">
      <w:start w:val="1"/>
      <w:numFmt w:val="bullet"/>
      <w:lvlText w:val="o"/>
      <w:lvlJc w:val="left"/>
      <w:pPr>
        <w:tabs>
          <w:tab w:val="num" w:pos="1440"/>
        </w:tabs>
        <w:ind w:left="1440" w:hanging="360"/>
      </w:pPr>
      <w:rPr>
        <w:rFonts w:ascii="Courier New" w:hAnsi="Courier New" w:hint="default"/>
      </w:rPr>
    </w:lvl>
    <w:lvl w:ilvl="2" w:tplc="50D2EAEC" w:tentative="1">
      <w:start w:val="1"/>
      <w:numFmt w:val="bullet"/>
      <w:lvlText w:val=""/>
      <w:lvlJc w:val="left"/>
      <w:pPr>
        <w:tabs>
          <w:tab w:val="num" w:pos="2160"/>
        </w:tabs>
        <w:ind w:left="2160" w:hanging="360"/>
      </w:pPr>
      <w:rPr>
        <w:rFonts w:ascii="Wingdings" w:hAnsi="Wingdings" w:hint="default"/>
      </w:rPr>
    </w:lvl>
    <w:lvl w:ilvl="3" w:tplc="1F7C453C" w:tentative="1">
      <w:start w:val="1"/>
      <w:numFmt w:val="bullet"/>
      <w:lvlText w:val=""/>
      <w:lvlJc w:val="left"/>
      <w:pPr>
        <w:tabs>
          <w:tab w:val="num" w:pos="2880"/>
        </w:tabs>
        <w:ind w:left="2880" w:hanging="360"/>
      </w:pPr>
      <w:rPr>
        <w:rFonts w:ascii="Symbol" w:hAnsi="Symbol" w:hint="default"/>
      </w:rPr>
    </w:lvl>
    <w:lvl w:ilvl="4" w:tplc="700CE442" w:tentative="1">
      <w:start w:val="1"/>
      <w:numFmt w:val="bullet"/>
      <w:lvlText w:val="o"/>
      <w:lvlJc w:val="left"/>
      <w:pPr>
        <w:tabs>
          <w:tab w:val="num" w:pos="3600"/>
        </w:tabs>
        <w:ind w:left="3600" w:hanging="360"/>
      </w:pPr>
      <w:rPr>
        <w:rFonts w:ascii="Courier New" w:hAnsi="Courier New" w:hint="default"/>
      </w:rPr>
    </w:lvl>
    <w:lvl w:ilvl="5" w:tplc="5CF8E8E4" w:tentative="1">
      <w:start w:val="1"/>
      <w:numFmt w:val="bullet"/>
      <w:lvlText w:val=""/>
      <w:lvlJc w:val="left"/>
      <w:pPr>
        <w:tabs>
          <w:tab w:val="num" w:pos="4320"/>
        </w:tabs>
        <w:ind w:left="4320" w:hanging="360"/>
      </w:pPr>
      <w:rPr>
        <w:rFonts w:ascii="Wingdings" w:hAnsi="Wingdings" w:hint="default"/>
      </w:rPr>
    </w:lvl>
    <w:lvl w:ilvl="6" w:tplc="20F84000" w:tentative="1">
      <w:start w:val="1"/>
      <w:numFmt w:val="bullet"/>
      <w:lvlText w:val=""/>
      <w:lvlJc w:val="left"/>
      <w:pPr>
        <w:tabs>
          <w:tab w:val="num" w:pos="5040"/>
        </w:tabs>
        <w:ind w:left="5040" w:hanging="360"/>
      </w:pPr>
      <w:rPr>
        <w:rFonts w:ascii="Symbol" w:hAnsi="Symbol" w:hint="default"/>
      </w:rPr>
    </w:lvl>
    <w:lvl w:ilvl="7" w:tplc="93A469CC" w:tentative="1">
      <w:start w:val="1"/>
      <w:numFmt w:val="bullet"/>
      <w:lvlText w:val="o"/>
      <w:lvlJc w:val="left"/>
      <w:pPr>
        <w:tabs>
          <w:tab w:val="num" w:pos="5760"/>
        </w:tabs>
        <w:ind w:left="5760" w:hanging="360"/>
      </w:pPr>
      <w:rPr>
        <w:rFonts w:ascii="Courier New" w:hAnsi="Courier New" w:hint="default"/>
      </w:rPr>
    </w:lvl>
    <w:lvl w:ilvl="8" w:tplc="3736915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455BDB"/>
    <w:multiLevelType w:val="hybridMultilevel"/>
    <w:tmpl w:val="5E3CA2D8"/>
    <w:lvl w:ilvl="0" w:tplc="1D300290">
      <w:start w:val="1"/>
      <w:numFmt w:val="decimal"/>
      <w:lvlText w:val="%1."/>
      <w:lvlJc w:val="left"/>
      <w:pPr>
        <w:ind w:left="360" w:hanging="360"/>
      </w:pPr>
      <w:rPr>
        <w:rFonts w:hint="default"/>
        <w:i w:val="0"/>
      </w:rPr>
    </w:lvl>
    <w:lvl w:ilvl="1" w:tplc="B85C5034" w:tentative="1">
      <w:start w:val="1"/>
      <w:numFmt w:val="lowerLetter"/>
      <w:lvlText w:val="%2."/>
      <w:lvlJc w:val="left"/>
      <w:pPr>
        <w:ind w:left="1440" w:hanging="360"/>
      </w:pPr>
    </w:lvl>
    <w:lvl w:ilvl="2" w:tplc="2E2A4E82" w:tentative="1">
      <w:start w:val="1"/>
      <w:numFmt w:val="lowerRoman"/>
      <w:lvlText w:val="%3."/>
      <w:lvlJc w:val="right"/>
      <w:pPr>
        <w:ind w:left="2160" w:hanging="180"/>
      </w:pPr>
    </w:lvl>
    <w:lvl w:ilvl="3" w:tplc="2BD02A52" w:tentative="1">
      <w:start w:val="1"/>
      <w:numFmt w:val="decimal"/>
      <w:lvlText w:val="%4."/>
      <w:lvlJc w:val="left"/>
      <w:pPr>
        <w:ind w:left="2880" w:hanging="360"/>
      </w:pPr>
    </w:lvl>
    <w:lvl w:ilvl="4" w:tplc="D72EBC34" w:tentative="1">
      <w:start w:val="1"/>
      <w:numFmt w:val="lowerLetter"/>
      <w:lvlText w:val="%5."/>
      <w:lvlJc w:val="left"/>
      <w:pPr>
        <w:ind w:left="3600" w:hanging="360"/>
      </w:pPr>
    </w:lvl>
    <w:lvl w:ilvl="5" w:tplc="99E42A98" w:tentative="1">
      <w:start w:val="1"/>
      <w:numFmt w:val="lowerRoman"/>
      <w:lvlText w:val="%6."/>
      <w:lvlJc w:val="right"/>
      <w:pPr>
        <w:ind w:left="4320" w:hanging="180"/>
      </w:pPr>
    </w:lvl>
    <w:lvl w:ilvl="6" w:tplc="88ACBD0E" w:tentative="1">
      <w:start w:val="1"/>
      <w:numFmt w:val="decimal"/>
      <w:lvlText w:val="%7."/>
      <w:lvlJc w:val="left"/>
      <w:pPr>
        <w:ind w:left="5040" w:hanging="360"/>
      </w:pPr>
    </w:lvl>
    <w:lvl w:ilvl="7" w:tplc="6B76FB7C" w:tentative="1">
      <w:start w:val="1"/>
      <w:numFmt w:val="lowerLetter"/>
      <w:lvlText w:val="%8."/>
      <w:lvlJc w:val="left"/>
      <w:pPr>
        <w:ind w:left="5760" w:hanging="360"/>
      </w:pPr>
    </w:lvl>
    <w:lvl w:ilvl="8" w:tplc="5E1CE014" w:tentative="1">
      <w:start w:val="1"/>
      <w:numFmt w:val="lowerRoman"/>
      <w:lvlText w:val="%9."/>
      <w:lvlJc w:val="right"/>
      <w:pPr>
        <w:ind w:left="6480" w:hanging="180"/>
      </w:pPr>
    </w:lvl>
  </w:abstractNum>
  <w:abstractNum w:abstractNumId="31" w15:restartNumberingAfterBreak="0">
    <w:nsid w:val="5A6C2F16"/>
    <w:multiLevelType w:val="hybridMultilevel"/>
    <w:tmpl w:val="283ABB90"/>
    <w:lvl w:ilvl="0" w:tplc="37181A42">
      <w:start w:val="1"/>
      <w:numFmt w:val="decimal"/>
      <w:lvlText w:val="%1."/>
      <w:lvlJc w:val="left"/>
      <w:pPr>
        <w:ind w:left="720" w:hanging="360"/>
      </w:pPr>
    </w:lvl>
    <w:lvl w:ilvl="1" w:tplc="AC98F88C" w:tentative="1">
      <w:start w:val="1"/>
      <w:numFmt w:val="lowerLetter"/>
      <w:lvlText w:val="%2."/>
      <w:lvlJc w:val="left"/>
      <w:pPr>
        <w:ind w:left="1440" w:hanging="360"/>
      </w:pPr>
    </w:lvl>
    <w:lvl w:ilvl="2" w:tplc="DB5A83D8" w:tentative="1">
      <w:start w:val="1"/>
      <w:numFmt w:val="lowerRoman"/>
      <w:lvlText w:val="%3."/>
      <w:lvlJc w:val="right"/>
      <w:pPr>
        <w:ind w:left="2160" w:hanging="180"/>
      </w:pPr>
    </w:lvl>
    <w:lvl w:ilvl="3" w:tplc="72B26F30" w:tentative="1">
      <w:start w:val="1"/>
      <w:numFmt w:val="decimal"/>
      <w:lvlText w:val="%4."/>
      <w:lvlJc w:val="left"/>
      <w:pPr>
        <w:ind w:left="2880" w:hanging="360"/>
      </w:pPr>
    </w:lvl>
    <w:lvl w:ilvl="4" w:tplc="FDD2099C" w:tentative="1">
      <w:start w:val="1"/>
      <w:numFmt w:val="lowerLetter"/>
      <w:lvlText w:val="%5."/>
      <w:lvlJc w:val="left"/>
      <w:pPr>
        <w:ind w:left="3600" w:hanging="360"/>
      </w:pPr>
    </w:lvl>
    <w:lvl w:ilvl="5" w:tplc="2A28AA42" w:tentative="1">
      <w:start w:val="1"/>
      <w:numFmt w:val="lowerRoman"/>
      <w:lvlText w:val="%6."/>
      <w:lvlJc w:val="right"/>
      <w:pPr>
        <w:ind w:left="4320" w:hanging="180"/>
      </w:pPr>
    </w:lvl>
    <w:lvl w:ilvl="6" w:tplc="5240F396" w:tentative="1">
      <w:start w:val="1"/>
      <w:numFmt w:val="decimal"/>
      <w:lvlText w:val="%7."/>
      <w:lvlJc w:val="left"/>
      <w:pPr>
        <w:ind w:left="5040" w:hanging="360"/>
      </w:pPr>
    </w:lvl>
    <w:lvl w:ilvl="7" w:tplc="880801F2" w:tentative="1">
      <w:start w:val="1"/>
      <w:numFmt w:val="lowerLetter"/>
      <w:lvlText w:val="%8."/>
      <w:lvlJc w:val="left"/>
      <w:pPr>
        <w:ind w:left="5760" w:hanging="360"/>
      </w:pPr>
    </w:lvl>
    <w:lvl w:ilvl="8" w:tplc="153867DA" w:tentative="1">
      <w:start w:val="1"/>
      <w:numFmt w:val="lowerRoman"/>
      <w:lvlText w:val="%9."/>
      <w:lvlJc w:val="right"/>
      <w:pPr>
        <w:ind w:left="6480" w:hanging="180"/>
      </w:pPr>
    </w:lvl>
  </w:abstractNum>
  <w:abstractNum w:abstractNumId="32" w15:restartNumberingAfterBreak="0">
    <w:nsid w:val="5D391E3B"/>
    <w:multiLevelType w:val="hybridMultilevel"/>
    <w:tmpl w:val="5B928976"/>
    <w:lvl w:ilvl="0" w:tplc="A7E0E6BE">
      <w:start w:val="1"/>
      <w:numFmt w:val="decimal"/>
      <w:lvlText w:val="%1."/>
      <w:lvlJc w:val="left"/>
      <w:pPr>
        <w:ind w:left="720" w:hanging="360"/>
      </w:pPr>
    </w:lvl>
    <w:lvl w:ilvl="1" w:tplc="91BEA4C6">
      <w:start w:val="1"/>
      <w:numFmt w:val="lowerLetter"/>
      <w:lvlText w:val="%2."/>
      <w:lvlJc w:val="left"/>
      <w:pPr>
        <w:ind w:left="1440" w:hanging="360"/>
      </w:pPr>
    </w:lvl>
    <w:lvl w:ilvl="2" w:tplc="B726B8A2">
      <w:start w:val="3"/>
      <w:numFmt w:val="bullet"/>
      <w:lvlText w:val="•"/>
      <w:lvlJc w:val="left"/>
      <w:pPr>
        <w:ind w:left="2340" w:hanging="360"/>
      </w:pPr>
      <w:rPr>
        <w:rFonts w:ascii="Arial" w:eastAsia="Times New Roman" w:hAnsi="Arial" w:cs="Arial" w:hint="default"/>
      </w:rPr>
    </w:lvl>
    <w:lvl w:ilvl="3" w:tplc="AC48CCF0" w:tentative="1">
      <w:start w:val="1"/>
      <w:numFmt w:val="decimal"/>
      <w:lvlText w:val="%4."/>
      <w:lvlJc w:val="left"/>
      <w:pPr>
        <w:ind w:left="2880" w:hanging="360"/>
      </w:pPr>
    </w:lvl>
    <w:lvl w:ilvl="4" w:tplc="95CAEC22" w:tentative="1">
      <w:start w:val="1"/>
      <w:numFmt w:val="lowerLetter"/>
      <w:lvlText w:val="%5."/>
      <w:lvlJc w:val="left"/>
      <w:pPr>
        <w:ind w:left="3600" w:hanging="360"/>
      </w:pPr>
    </w:lvl>
    <w:lvl w:ilvl="5" w:tplc="572A4B88" w:tentative="1">
      <w:start w:val="1"/>
      <w:numFmt w:val="lowerRoman"/>
      <w:lvlText w:val="%6."/>
      <w:lvlJc w:val="right"/>
      <w:pPr>
        <w:ind w:left="4320" w:hanging="180"/>
      </w:pPr>
    </w:lvl>
    <w:lvl w:ilvl="6" w:tplc="19EA8548" w:tentative="1">
      <w:start w:val="1"/>
      <w:numFmt w:val="decimal"/>
      <w:lvlText w:val="%7."/>
      <w:lvlJc w:val="left"/>
      <w:pPr>
        <w:ind w:left="5040" w:hanging="360"/>
      </w:pPr>
    </w:lvl>
    <w:lvl w:ilvl="7" w:tplc="BE80B06A" w:tentative="1">
      <w:start w:val="1"/>
      <w:numFmt w:val="lowerLetter"/>
      <w:lvlText w:val="%8."/>
      <w:lvlJc w:val="left"/>
      <w:pPr>
        <w:ind w:left="5760" w:hanging="360"/>
      </w:pPr>
    </w:lvl>
    <w:lvl w:ilvl="8" w:tplc="47E23AE6" w:tentative="1">
      <w:start w:val="1"/>
      <w:numFmt w:val="lowerRoman"/>
      <w:lvlText w:val="%9."/>
      <w:lvlJc w:val="right"/>
      <w:pPr>
        <w:ind w:left="6480" w:hanging="180"/>
      </w:pPr>
    </w:lvl>
  </w:abstractNum>
  <w:abstractNum w:abstractNumId="33" w15:restartNumberingAfterBreak="0">
    <w:nsid w:val="67267849"/>
    <w:multiLevelType w:val="hybridMultilevel"/>
    <w:tmpl w:val="E7B24B82"/>
    <w:lvl w:ilvl="0" w:tplc="9DCE8EA6">
      <w:start w:val="1"/>
      <w:numFmt w:val="decimal"/>
      <w:lvlText w:val="%1."/>
      <w:lvlJc w:val="left"/>
      <w:pPr>
        <w:ind w:left="360" w:hanging="360"/>
      </w:pPr>
      <w:rPr>
        <w:rFonts w:hint="default"/>
        <w:i w:val="0"/>
      </w:rPr>
    </w:lvl>
    <w:lvl w:ilvl="1" w:tplc="E35E403E" w:tentative="1">
      <w:start w:val="1"/>
      <w:numFmt w:val="lowerLetter"/>
      <w:lvlText w:val="%2."/>
      <w:lvlJc w:val="left"/>
      <w:pPr>
        <w:ind w:left="1440" w:hanging="360"/>
      </w:pPr>
    </w:lvl>
    <w:lvl w:ilvl="2" w:tplc="111A63AE" w:tentative="1">
      <w:start w:val="1"/>
      <w:numFmt w:val="lowerRoman"/>
      <w:lvlText w:val="%3."/>
      <w:lvlJc w:val="right"/>
      <w:pPr>
        <w:ind w:left="2160" w:hanging="180"/>
      </w:pPr>
    </w:lvl>
    <w:lvl w:ilvl="3" w:tplc="7BBE9922" w:tentative="1">
      <w:start w:val="1"/>
      <w:numFmt w:val="decimal"/>
      <w:lvlText w:val="%4."/>
      <w:lvlJc w:val="left"/>
      <w:pPr>
        <w:ind w:left="2880" w:hanging="360"/>
      </w:pPr>
    </w:lvl>
    <w:lvl w:ilvl="4" w:tplc="147AF788" w:tentative="1">
      <w:start w:val="1"/>
      <w:numFmt w:val="lowerLetter"/>
      <w:lvlText w:val="%5."/>
      <w:lvlJc w:val="left"/>
      <w:pPr>
        <w:ind w:left="3600" w:hanging="360"/>
      </w:pPr>
    </w:lvl>
    <w:lvl w:ilvl="5" w:tplc="C938EC3E" w:tentative="1">
      <w:start w:val="1"/>
      <w:numFmt w:val="lowerRoman"/>
      <w:lvlText w:val="%6."/>
      <w:lvlJc w:val="right"/>
      <w:pPr>
        <w:ind w:left="4320" w:hanging="180"/>
      </w:pPr>
    </w:lvl>
    <w:lvl w:ilvl="6" w:tplc="CD5CB7A8" w:tentative="1">
      <w:start w:val="1"/>
      <w:numFmt w:val="decimal"/>
      <w:lvlText w:val="%7."/>
      <w:lvlJc w:val="left"/>
      <w:pPr>
        <w:ind w:left="5040" w:hanging="360"/>
      </w:pPr>
    </w:lvl>
    <w:lvl w:ilvl="7" w:tplc="2D126D48" w:tentative="1">
      <w:start w:val="1"/>
      <w:numFmt w:val="lowerLetter"/>
      <w:lvlText w:val="%8."/>
      <w:lvlJc w:val="left"/>
      <w:pPr>
        <w:ind w:left="5760" w:hanging="360"/>
      </w:pPr>
    </w:lvl>
    <w:lvl w:ilvl="8" w:tplc="FCF0162A" w:tentative="1">
      <w:start w:val="1"/>
      <w:numFmt w:val="lowerRoman"/>
      <w:lvlText w:val="%9."/>
      <w:lvlJc w:val="right"/>
      <w:pPr>
        <w:ind w:left="6480" w:hanging="180"/>
      </w:pPr>
    </w:lvl>
  </w:abstractNum>
  <w:abstractNum w:abstractNumId="34" w15:restartNumberingAfterBreak="0">
    <w:nsid w:val="687C3A43"/>
    <w:multiLevelType w:val="hybridMultilevel"/>
    <w:tmpl w:val="B9100CFE"/>
    <w:lvl w:ilvl="0" w:tplc="7A7E9136">
      <w:start w:val="1"/>
      <w:numFmt w:val="decimal"/>
      <w:lvlText w:val="%1."/>
      <w:lvlJc w:val="left"/>
      <w:pPr>
        <w:ind w:left="720" w:hanging="360"/>
      </w:pPr>
    </w:lvl>
    <w:lvl w:ilvl="1" w:tplc="359293C8" w:tentative="1">
      <w:start w:val="1"/>
      <w:numFmt w:val="lowerLetter"/>
      <w:lvlText w:val="%2."/>
      <w:lvlJc w:val="left"/>
      <w:pPr>
        <w:ind w:left="1440" w:hanging="360"/>
      </w:pPr>
    </w:lvl>
    <w:lvl w:ilvl="2" w:tplc="FD321CD2" w:tentative="1">
      <w:start w:val="1"/>
      <w:numFmt w:val="lowerRoman"/>
      <w:lvlText w:val="%3."/>
      <w:lvlJc w:val="right"/>
      <w:pPr>
        <w:ind w:left="2160" w:hanging="180"/>
      </w:pPr>
    </w:lvl>
    <w:lvl w:ilvl="3" w:tplc="F296F05A" w:tentative="1">
      <w:start w:val="1"/>
      <w:numFmt w:val="decimal"/>
      <w:lvlText w:val="%4."/>
      <w:lvlJc w:val="left"/>
      <w:pPr>
        <w:ind w:left="2880" w:hanging="360"/>
      </w:pPr>
    </w:lvl>
    <w:lvl w:ilvl="4" w:tplc="6B0E4E9C" w:tentative="1">
      <w:start w:val="1"/>
      <w:numFmt w:val="lowerLetter"/>
      <w:lvlText w:val="%5."/>
      <w:lvlJc w:val="left"/>
      <w:pPr>
        <w:ind w:left="3600" w:hanging="360"/>
      </w:pPr>
    </w:lvl>
    <w:lvl w:ilvl="5" w:tplc="2A1A9EF4" w:tentative="1">
      <w:start w:val="1"/>
      <w:numFmt w:val="lowerRoman"/>
      <w:lvlText w:val="%6."/>
      <w:lvlJc w:val="right"/>
      <w:pPr>
        <w:ind w:left="4320" w:hanging="180"/>
      </w:pPr>
    </w:lvl>
    <w:lvl w:ilvl="6" w:tplc="890C0146" w:tentative="1">
      <w:start w:val="1"/>
      <w:numFmt w:val="decimal"/>
      <w:lvlText w:val="%7."/>
      <w:lvlJc w:val="left"/>
      <w:pPr>
        <w:ind w:left="5040" w:hanging="360"/>
      </w:pPr>
    </w:lvl>
    <w:lvl w:ilvl="7" w:tplc="3AEE0918" w:tentative="1">
      <w:start w:val="1"/>
      <w:numFmt w:val="lowerLetter"/>
      <w:lvlText w:val="%8."/>
      <w:lvlJc w:val="left"/>
      <w:pPr>
        <w:ind w:left="5760" w:hanging="360"/>
      </w:pPr>
    </w:lvl>
    <w:lvl w:ilvl="8" w:tplc="4DB2F57C" w:tentative="1">
      <w:start w:val="1"/>
      <w:numFmt w:val="lowerRoman"/>
      <w:lvlText w:val="%9."/>
      <w:lvlJc w:val="right"/>
      <w:pPr>
        <w:ind w:left="6480" w:hanging="180"/>
      </w:pPr>
    </w:lvl>
  </w:abstractNum>
  <w:abstractNum w:abstractNumId="35" w15:restartNumberingAfterBreak="0">
    <w:nsid w:val="6FD925BE"/>
    <w:multiLevelType w:val="hybridMultilevel"/>
    <w:tmpl w:val="5D887F78"/>
    <w:lvl w:ilvl="0" w:tplc="400ED788">
      <w:start w:val="1"/>
      <w:numFmt w:val="decimal"/>
      <w:lvlText w:val="%1."/>
      <w:lvlJc w:val="left"/>
      <w:pPr>
        <w:ind w:left="720" w:hanging="360"/>
      </w:pPr>
    </w:lvl>
    <w:lvl w:ilvl="1" w:tplc="392492BC">
      <w:start w:val="1"/>
      <w:numFmt w:val="lowerLetter"/>
      <w:lvlText w:val="%2."/>
      <w:lvlJc w:val="left"/>
      <w:pPr>
        <w:ind w:left="1440" w:hanging="360"/>
      </w:pPr>
    </w:lvl>
    <w:lvl w:ilvl="2" w:tplc="9F54ECAA" w:tentative="1">
      <w:start w:val="1"/>
      <w:numFmt w:val="lowerRoman"/>
      <w:lvlText w:val="%3."/>
      <w:lvlJc w:val="right"/>
      <w:pPr>
        <w:ind w:left="2160" w:hanging="180"/>
      </w:pPr>
    </w:lvl>
    <w:lvl w:ilvl="3" w:tplc="FC2CA7BC" w:tentative="1">
      <w:start w:val="1"/>
      <w:numFmt w:val="decimal"/>
      <w:lvlText w:val="%4."/>
      <w:lvlJc w:val="left"/>
      <w:pPr>
        <w:ind w:left="2880" w:hanging="360"/>
      </w:pPr>
    </w:lvl>
    <w:lvl w:ilvl="4" w:tplc="660C5974" w:tentative="1">
      <w:start w:val="1"/>
      <w:numFmt w:val="lowerLetter"/>
      <w:lvlText w:val="%5."/>
      <w:lvlJc w:val="left"/>
      <w:pPr>
        <w:ind w:left="3600" w:hanging="360"/>
      </w:pPr>
    </w:lvl>
    <w:lvl w:ilvl="5" w:tplc="1B6C6BEE" w:tentative="1">
      <w:start w:val="1"/>
      <w:numFmt w:val="lowerRoman"/>
      <w:lvlText w:val="%6."/>
      <w:lvlJc w:val="right"/>
      <w:pPr>
        <w:ind w:left="4320" w:hanging="180"/>
      </w:pPr>
    </w:lvl>
    <w:lvl w:ilvl="6" w:tplc="1FC29668" w:tentative="1">
      <w:start w:val="1"/>
      <w:numFmt w:val="decimal"/>
      <w:lvlText w:val="%7."/>
      <w:lvlJc w:val="left"/>
      <w:pPr>
        <w:ind w:left="5040" w:hanging="360"/>
      </w:pPr>
    </w:lvl>
    <w:lvl w:ilvl="7" w:tplc="A516BC7A" w:tentative="1">
      <w:start w:val="1"/>
      <w:numFmt w:val="lowerLetter"/>
      <w:lvlText w:val="%8."/>
      <w:lvlJc w:val="left"/>
      <w:pPr>
        <w:ind w:left="5760" w:hanging="360"/>
      </w:pPr>
    </w:lvl>
    <w:lvl w:ilvl="8" w:tplc="391AE1BA" w:tentative="1">
      <w:start w:val="1"/>
      <w:numFmt w:val="lowerRoman"/>
      <w:lvlText w:val="%9."/>
      <w:lvlJc w:val="right"/>
      <w:pPr>
        <w:ind w:left="6480" w:hanging="180"/>
      </w:pPr>
    </w:lvl>
  </w:abstractNum>
  <w:abstractNum w:abstractNumId="36" w15:restartNumberingAfterBreak="0">
    <w:nsid w:val="713959BD"/>
    <w:multiLevelType w:val="hybridMultilevel"/>
    <w:tmpl w:val="C89CB8D8"/>
    <w:lvl w:ilvl="0" w:tplc="628A9E64">
      <w:start w:val="1"/>
      <w:numFmt w:val="decimal"/>
      <w:lvlText w:val="%1."/>
      <w:lvlJc w:val="left"/>
      <w:pPr>
        <w:ind w:left="360" w:hanging="360"/>
      </w:pPr>
      <w:rPr>
        <w:i w:val="0"/>
      </w:rPr>
    </w:lvl>
    <w:lvl w:ilvl="1" w:tplc="F1563956" w:tentative="1">
      <w:start w:val="1"/>
      <w:numFmt w:val="lowerLetter"/>
      <w:lvlText w:val="%2."/>
      <w:lvlJc w:val="left"/>
      <w:pPr>
        <w:ind w:left="1080" w:hanging="360"/>
      </w:pPr>
    </w:lvl>
    <w:lvl w:ilvl="2" w:tplc="FCB665AC" w:tentative="1">
      <w:start w:val="1"/>
      <w:numFmt w:val="lowerRoman"/>
      <w:lvlText w:val="%3."/>
      <w:lvlJc w:val="right"/>
      <w:pPr>
        <w:ind w:left="1800" w:hanging="180"/>
      </w:pPr>
    </w:lvl>
    <w:lvl w:ilvl="3" w:tplc="D246881E" w:tentative="1">
      <w:start w:val="1"/>
      <w:numFmt w:val="decimal"/>
      <w:lvlText w:val="%4."/>
      <w:lvlJc w:val="left"/>
      <w:pPr>
        <w:ind w:left="2520" w:hanging="360"/>
      </w:pPr>
    </w:lvl>
    <w:lvl w:ilvl="4" w:tplc="5454A21A" w:tentative="1">
      <w:start w:val="1"/>
      <w:numFmt w:val="lowerLetter"/>
      <w:lvlText w:val="%5."/>
      <w:lvlJc w:val="left"/>
      <w:pPr>
        <w:ind w:left="3240" w:hanging="360"/>
      </w:pPr>
    </w:lvl>
    <w:lvl w:ilvl="5" w:tplc="6AFEFF32" w:tentative="1">
      <w:start w:val="1"/>
      <w:numFmt w:val="lowerRoman"/>
      <w:lvlText w:val="%6."/>
      <w:lvlJc w:val="right"/>
      <w:pPr>
        <w:ind w:left="3960" w:hanging="180"/>
      </w:pPr>
    </w:lvl>
    <w:lvl w:ilvl="6" w:tplc="C9B835D0" w:tentative="1">
      <w:start w:val="1"/>
      <w:numFmt w:val="decimal"/>
      <w:lvlText w:val="%7."/>
      <w:lvlJc w:val="left"/>
      <w:pPr>
        <w:ind w:left="4680" w:hanging="360"/>
      </w:pPr>
    </w:lvl>
    <w:lvl w:ilvl="7" w:tplc="FE582DEC" w:tentative="1">
      <w:start w:val="1"/>
      <w:numFmt w:val="lowerLetter"/>
      <w:lvlText w:val="%8."/>
      <w:lvlJc w:val="left"/>
      <w:pPr>
        <w:ind w:left="5400" w:hanging="360"/>
      </w:pPr>
    </w:lvl>
    <w:lvl w:ilvl="8" w:tplc="3A72B1D4" w:tentative="1">
      <w:start w:val="1"/>
      <w:numFmt w:val="lowerRoman"/>
      <w:lvlText w:val="%9."/>
      <w:lvlJc w:val="right"/>
      <w:pPr>
        <w:ind w:left="6120" w:hanging="180"/>
      </w:pPr>
    </w:lvl>
  </w:abstractNum>
  <w:abstractNum w:abstractNumId="37" w15:restartNumberingAfterBreak="0">
    <w:nsid w:val="74257AF8"/>
    <w:multiLevelType w:val="hybridMultilevel"/>
    <w:tmpl w:val="AB7672DA"/>
    <w:lvl w:ilvl="0" w:tplc="D78A4428">
      <w:start w:val="1"/>
      <w:numFmt w:val="decimal"/>
      <w:lvlText w:val="%1."/>
      <w:lvlJc w:val="left"/>
      <w:pPr>
        <w:ind w:left="720" w:hanging="360"/>
      </w:pPr>
      <w:rPr>
        <w:rFonts w:hint="default"/>
      </w:rPr>
    </w:lvl>
    <w:lvl w:ilvl="1" w:tplc="41B4E98A">
      <w:start w:val="1"/>
      <w:numFmt w:val="lowerLetter"/>
      <w:lvlText w:val="%2."/>
      <w:lvlJc w:val="left"/>
      <w:pPr>
        <w:ind w:left="1800" w:hanging="360"/>
      </w:pPr>
    </w:lvl>
    <w:lvl w:ilvl="2" w:tplc="19FAFA02" w:tentative="1">
      <w:start w:val="1"/>
      <w:numFmt w:val="lowerRoman"/>
      <w:lvlText w:val="%3."/>
      <w:lvlJc w:val="right"/>
      <w:pPr>
        <w:ind w:left="2520" w:hanging="180"/>
      </w:pPr>
    </w:lvl>
    <w:lvl w:ilvl="3" w:tplc="CE82E3C8" w:tentative="1">
      <w:start w:val="1"/>
      <w:numFmt w:val="decimal"/>
      <w:lvlText w:val="%4."/>
      <w:lvlJc w:val="left"/>
      <w:pPr>
        <w:ind w:left="3240" w:hanging="360"/>
      </w:pPr>
    </w:lvl>
    <w:lvl w:ilvl="4" w:tplc="F4D8A45C" w:tentative="1">
      <w:start w:val="1"/>
      <w:numFmt w:val="lowerLetter"/>
      <w:lvlText w:val="%5."/>
      <w:lvlJc w:val="left"/>
      <w:pPr>
        <w:ind w:left="3960" w:hanging="360"/>
      </w:pPr>
    </w:lvl>
    <w:lvl w:ilvl="5" w:tplc="0B6EF2E8" w:tentative="1">
      <w:start w:val="1"/>
      <w:numFmt w:val="lowerRoman"/>
      <w:lvlText w:val="%6."/>
      <w:lvlJc w:val="right"/>
      <w:pPr>
        <w:ind w:left="4680" w:hanging="180"/>
      </w:pPr>
    </w:lvl>
    <w:lvl w:ilvl="6" w:tplc="5BB6CD92" w:tentative="1">
      <w:start w:val="1"/>
      <w:numFmt w:val="decimal"/>
      <w:lvlText w:val="%7."/>
      <w:lvlJc w:val="left"/>
      <w:pPr>
        <w:ind w:left="5400" w:hanging="360"/>
      </w:pPr>
    </w:lvl>
    <w:lvl w:ilvl="7" w:tplc="DE3C3818" w:tentative="1">
      <w:start w:val="1"/>
      <w:numFmt w:val="lowerLetter"/>
      <w:lvlText w:val="%8."/>
      <w:lvlJc w:val="left"/>
      <w:pPr>
        <w:ind w:left="6120" w:hanging="360"/>
      </w:pPr>
    </w:lvl>
    <w:lvl w:ilvl="8" w:tplc="3F588186" w:tentative="1">
      <w:start w:val="1"/>
      <w:numFmt w:val="lowerRoman"/>
      <w:lvlText w:val="%9."/>
      <w:lvlJc w:val="right"/>
      <w:pPr>
        <w:ind w:left="6840" w:hanging="180"/>
      </w:pPr>
    </w:lvl>
  </w:abstractNum>
  <w:abstractNum w:abstractNumId="38" w15:restartNumberingAfterBreak="0">
    <w:nsid w:val="74BB6953"/>
    <w:multiLevelType w:val="multilevel"/>
    <w:tmpl w:val="8ECCD4FA"/>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upperLetter"/>
      <w:lvlText w:val="(%4)"/>
      <w:lvlJc w:val="left"/>
      <w:pPr>
        <w:tabs>
          <w:tab w:val="num" w:pos="2835"/>
        </w:tabs>
        <w:ind w:left="2835" w:hanging="567"/>
      </w:pPr>
      <w:rPr>
        <w:rFonts w:hint="default"/>
      </w:rPr>
    </w:lvl>
    <w:lvl w:ilvl="4">
      <w:start w:val="1"/>
      <w:numFmt w:val="none"/>
      <w:lvlText w:val=""/>
      <w:lvlJc w:val="left"/>
      <w:pPr>
        <w:tabs>
          <w:tab w:val="num" w:pos="3402"/>
        </w:tabs>
        <w:ind w:left="3402" w:hanging="567"/>
      </w:pPr>
      <w:rPr>
        <w:rFonts w:hint="default"/>
      </w:rPr>
    </w:lvl>
    <w:lvl w:ilvl="5">
      <w:start w:val="1"/>
      <w:numFmt w:val="none"/>
      <w:lvlText w:val=""/>
      <w:lvlJc w:val="left"/>
      <w:pPr>
        <w:tabs>
          <w:tab w:val="num" w:pos="3969"/>
        </w:tabs>
        <w:ind w:left="3969" w:hanging="567"/>
      </w:pPr>
      <w:rPr>
        <w:rFonts w:hint="default"/>
      </w:rPr>
    </w:lvl>
    <w:lvl w:ilvl="6">
      <w:start w:val="1"/>
      <w:numFmt w:val="none"/>
      <w:lvlText w:val="%7"/>
      <w:lvlJc w:val="left"/>
      <w:pPr>
        <w:tabs>
          <w:tab w:val="num" w:pos="4536"/>
        </w:tabs>
        <w:ind w:left="4536" w:hanging="567"/>
      </w:pPr>
      <w:rPr>
        <w:rFonts w:hint="default"/>
      </w:rPr>
    </w:lvl>
    <w:lvl w:ilvl="7">
      <w:start w:val="1"/>
      <w:numFmt w:val="none"/>
      <w:lvlText w:val="%8"/>
      <w:lvlJc w:val="left"/>
      <w:pPr>
        <w:tabs>
          <w:tab w:val="num" w:pos="5463"/>
        </w:tabs>
        <w:ind w:left="5463" w:hanging="567"/>
      </w:pPr>
      <w:rPr>
        <w:rFonts w:hint="default"/>
      </w:rPr>
    </w:lvl>
    <w:lvl w:ilvl="8">
      <w:start w:val="1"/>
      <w:numFmt w:val="none"/>
      <w:lvlText w:val="%9"/>
      <w:lvlJc w:val="left"/>
      <w:pPr>
        <w:tabs>
          <w:tab w:val="num" w:pos="5103"/>
        </w:tabs>
        <w:ind w:left="5103" w:hanging="567"/>
      </w:pPr>
      <w:rPr>
        <w:rFonts w:hint="default"/>
      </w:rPr>
    </w:lvl>
  </w:abstractNum>
  <w:abstractNum w:abstractNumId="39"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76C46F8"/>
    <w:multiLevelType w:val="hybridMultilevel"/>
    <w:tmpl w:val="74FC7ECA"/>
    <w:lvl w:ilvl="0" w:tplc="BCAECDE2">
      <w:start w:val="1"/>
      <w:numFmt w:val="bullet"/>
      <w:pStyle w:val="PrecListBullet2"/>
      <w:lvlText w:val=""/>
      <w:lvlJc w:val="left"/>
      <w:pPr>
        <w:tabs>
          <w:tab w:val="num" w:pos="567"/>
        </w:tabs>
        <w:ind w:left="567" w:hanging="283"/>
      </w:pPr>
      <w:rPr>
        <w:rFonts w:ascii="Symbol" w:hAnsi="Symbol" w:hint="default"/>
      </w:rPr>
    </w:lvl>
    <w:lvl w:ilvl="1" w:tplc="ED3A9198" w:tentative="1">
      <w:start w:val="1"/>
      <w:numFmt w:val="bullet"/>
      <w:lvlText w:val="o"/>
      <w:lvlJc w:val="left"/>
      <w:pPr>
        <w:tabs>
          <w:tab w:val="num" w:pos="1440"/>
        </w:tabs>
        <w:ind w:left="1440" w:hanging="360"/>
      </w:pPr>
      <w:rPr>
        <w:rFonts w:ascii="Courier New" w:hAnsi="Courier New" w:hint="default"/>
      </w:rPr>
    </w:lvl>
    <w:lvl w:ilvl="2" w:tplc="DAE2908C" w:tentative="1">
      <w:start w:val="1"/>
      <w:numFmt w:val="bullet"/>
      <w:lvlText w:val=""/>
      <w:lvlJc w:val="left"/>
      <w:pPr>
        <w:tabs>
          <w:tab w:val="num" w:pos="2160"/>
        </w:tabs>
        <w:ind w:left="2160" w:hanging="360"/>
      </w:pPr>
      <w:rPr>
        <w:rFonts w:ascii="Wingdings" w:hAnsi="Wingdings" w:hint="default"/>
      </w:rPr>
    </w:lvl>
    <w:lvl w:ilvl="3" w:tplc="D972A11E" w:tentative="1">
      <w:start w:val="1"/>
      <w:numFmt w:val="bullet"/>
      <w:lvlText w:val=""/>
      <w:lvlJc w:val="left"/>
      <w:pPr>
        <w:tabs>
          <w:tab w:val="num" w:pos="2880"/>
        </w:tabs>
        <w:ind w:left="2880" w:hanging="360"/>
      </w:pPr>
      <w:rPr>
        <w:rFonts w:ascii="Symbol" w:hAnsi="Symbol" w:hint="default"/>
      </w:rPr>
    </w:lvl>
    <w:lvl w:ilvl="4" w:tplc="AC8049FE" w:tentative="1">
      <w:start w:val="1"/>
      <w:numFmt w:val="bullet"/>
      <w:lvlText w:val="o"/>
      <w:lvlJc w:val="left"/>
      <w:pPr>
        <w:tabs>
          <w:tab w:val="num" w:pos="3600"/>
        </w:tabs>
        <w:ind w:left="3600" w:hanging="360"/>
      </w:pPr>
      <w:rPr>
        <w:rFonts w:ascii="Courier New" w:hAnsi="Courier New" w:hint="default"/>
      </w:rPr>
    </w:lvl>
    <w:lvl w:ilvl="5" w:tplc="FC1EB158" w:tentative="1">
      <w:start w:val="1"/>
      <w:numFmt w:val="bullet"/>
      <w:lvlText w:val=""/>
      <w:lvlJc w:val="left"/>
      <w:pPr>
        <w:tabs>
          <w:tab w:val="num" w:pos="4320"/>
        </w:tabs>
        <w:ind w:left="4320" w:hanging="360"/>
      </w:pPr>
      <w:rPr>
        <w:rFonts w:ascii="Wingdings" w:hAnsi="Wingdings" w:hint="default"/>
      </w:rPr>
    </w:lvl>
    <w:lvl w:ilvl="6" w:tplc="1AB29584" w:tentative="1">
      <w:start w:val="1"/>
      <w:numFmt w:val="bullet"/>
      <w:lvlText w:val=""/>
      <w:lvlJc w:val="left"/>
      <w:pPr>
        <w:tabs>
          <w:tab w:val="num" w:pos="5040"/>
        </w:tabs>
        <w:ind w:left="5040" w:hanging="360"/>
      </w:pPr>
      <w:rPr>
        <w:rFonts w:ascii="Symbol" w:hAnsi="Symbol" w:hint="default"/>
      </w:rPr>
    </w:lvl>
    <w:lvl w:ilvl="7" w:tplc="6FF0C2F6" w:tentative="1">
      <w:start w:val="1"/>
      <w:numFmt w:val="bullet"/>
      <w:lvlText w:val="o"/>
      <w:lvlJc w:val="left"/>
      <w:pPr>
        <w:tabs>
          <w:tab w:val="num" w:pos="5760"/>
        </w:tabs>
        <w:ind w:left="5760" w:hanging="360"/>
      </w:pPr>
      <w:rPr>
        <w:rFonts w:ascii="Courier New" w:hAnsi="Courier New" w:hint="default"/>
      </w:rPr>
    </w:lvl>
    <w:lvl w:ilvl="8" w:tplc="E46A7D70" w:tentative="1">
      <w:start w:val="1"/>
      <w:numFmt w:val="bullet"/>
      <w:lvlText w:val=""/>
      <w:lvlJc w:val="left"/>
      <w:pPr>
        <w:tabs>
          <w:tab w:val="num" w:pos="6480"/>
        </w:tabs>
        <w:ind w:left="6480" w:hanging="360"/>
      </w:pPr>
      <w:rPr>
        <w:rFonts w:ascii="Wingdings" w:hAnsi="Wingdings" w:hint="default"/>
      </w:rPr>
    </w:lvl>
  </w:abstractNum>
  <w:num w:numId="1" w16cid:durableId="1319848782">
    <w:abstractNumId w:val="39"/>
  </w:num>
  <w:num w:numId="2" w16cid:durableId="308898697">
    <w:abstractNumId w:val="24"/>
  </w:num>
  <w:num w:numId="3" w16cid:durableId="826439121">
    <w:abstractNumId w:val="17"/>
  </w:num>
  <w:num w:numId="4" w16cid:durableId="2051149942">
    <w:abstractNumId w:val="6"/>
  </w:num>
  <w:num w:numId="5" w16cid:durableId="993527355">
    <w:abstractNumId w:val="5"/>
  </w:num>
  <w:num w:numId="6" w16cid:durableId="457184181">
    <w:abstractNumId w:val="4"/>
  </w:num>
  <w:num w:numId="7" w16cid:durableId="2018077640">
    <w:abstractNumId w:val="3"/>
  </w:num>
  <w:num w:numId="8" w16cid:durableId="972564303">
    <w:abstractNumId w:val="20"/>
  </w:num>
  <w:num w:numId="9" w16cid:durableId="967705509">
    <w:abstractNumId w:val="2"/>
  </w:num>
  <w:num w:numId="10" w16cid:durableId="578903658">
    <w:abstractNumId w:val="1"/>
  </w:num>
  <w:num w:numId="11" w16cid:durableId="79257889">
    <w:abstractNumId w:val="0"/>
  </w:num>
  <w:num w:numId="12" w16cid:durableId="1235437197">
    <w:abstractNumId w:val="26"/>
  </w:num>
  <w:num w:numId="13" w16cid:durableId="633369322">
    <w:abstractNumId w:val="13"/>
  </w:num>
  <w:num w:numId="14" w16cid:durableId="1413817860">
    <w:abstractNumId w:val="29"/>
  </w:num>
  <w:num w:numId="15" w16cid:durableId="929431845">
    <w:abstractNumId w:val="40"/>
  </w:num>
  <w:num w:numId="16" w16cid:durableId="712118808">
    <w:abstractNumId w:val="8"/>
  </w:num>
  <w:num w:numId="17" w16cid:durableId="1094935093">
    <w:abstractNumId w:val="14"/>
  </w:num>
  <w:num w:numId="18" w16cid:durableId="1044982060">
    <w:abstractNumId w:val="22"/>
  </w:num>
  <w:num w:numId="19" w16cid:durableId="820390482">
    <w:abstractNumId w:val="11"/>
  </w:num>
  <w:num w:numId="20" w16cid:durableId="1520970772">
    <w:abstractNumId w:val="35"/>
  </w:num>
  <w:num w:numId="21" w16cid:durableId="1880781140">
    <w:abstractNumId w:val="36"/>
  </w:num>
  <w:num w:numId="22" w16cid:durableId="1365133116">
    <w:abstractNumId w:val="33"/>
  </w:num>
  <w:num w:numId="23" w16cid:durableId="323582660">
    <w:abstractNumId w:val="30"/>
  </w:num>
  <w:num w:numId="24" w16cid:durableId="2002460765">
    <w:abstractNumId w:val="9"/>
  </w:num>
  <w:num w:numId="25" w16cid:durableId="861746915">
    <w:abstractNumId w:val="27"/>
  </w:num>
  <w:num w:numId="26" w16cid:durableId="1981616910">
    <w:abstractNumId w:val="37"/>
  </w:num>
  <w:num w:numId="27" w16cid:durableId="295450396">
    <w:abstractNumId w:val="10"/>
  </w:num>
  <w:num w:numId="28" w16cid:durableId="884560468">
    <w:abstractNumId w:val="12"/>
  </w:num>
  <w:num w:numId="29" w16cid:durableId="633562866">
    <w:abstractNumId w:val="31"/>
  </w:num>
  <w:num w:numId="30" w16cid:durableId="480005557">
    <w:abstractNumId w:val="25"/>
  </w:num>
  <w:num w:numId="31" w16cid:durableId="369963459">
    <w:abstractNumId w:val="19"/>
  </w:num>
  <w:num w:numId="32" w16cid:durableId="1123843809">
    <w:abstractNumId w:val="32"/>
  </w:num>
  <w:num w:numId="33" w16cid:durableId="101809354">
    <w:abstractNumId w:val="21"/>
  </w:num>
  <w:num w:numId="34" w16cid:durableId="994722256">
    <w:abstractNumId w:val="38"/>
  </w:num>
  <w:num w:numId="35" w16cid:durableId="108357904">
    <w:abstractNumId w:val="16"/>
  </w:num>
  <w:num w:numId="36" w16cid:durableId="1690982860">
    <w:abstractNumId w:val="15"/>
  </w:num>
  <w:num w:numId="37" w16cid:durableId="1563784802">
    <w:abstractNumId w:val="28"/>
  </w:num>
  <w:num w:numId="38" w16cid:durableId="327485681">
    <w:abstractNumId w:val="23"/>
  </w:num>
  <w:num w:numId="39" w16cid:durableId="1569533198">
    <w:abstractNumId w:val="18"/>
  </w:num>
  <w:num w:numId="40" w16cid:durableId="5957457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528974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8108444">
    <w:abstractNumId w:val="34"/>
  </w:num>
  <w:num w:numId="43" w16cid:durableId="83260081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E2"/>
    <w:rsid w:val="00002187"/>
    <w:rsid w:val="00015A53"/>
    <w:rsid w:val="00015F34"/>
    <w:rsid w:val="00024DF0"/>
    <w:rsid w:val="00031720"/>
    <w:rsid w:val="00034B1B"/>
    <w:rsid w:val="000352C1"/>
    <w:rsid w:val="00036D77"/>
    <w:rsid w:val="00040EB4"/>
    <w:rsid w:val="00044B99"/>
    <w:rsid w:val="000531A5"/>
    <w:rsid w:val="000536A0"/>
    <w:rsid w:val="000557FE"/>
    <w:rsid w:val="000573D1"/>
    <w:rsid w:val="0006006D"/>
    <w:rsid w:val="00061CB5"/>
    <w:rsid w:val="00066FAC"/>
    <w:rsid w:val="00067142"/>
    <w:rsid w:val="000834BF"/>
    <w:rsid w:val="00083C05"/>
    <w:rsid w:val="000868C9"/>
    <w:rsid w:val="00092612"/>
    <w:rsid w:val="00093A18"/>
    <w:rsid w:val="00095FBA"/>
    <w:rsid w:val="000A080A"/>
    <w:rsid w:val="000A0B80"/>
    <w:rsid w:val="000A131D"/>
    <w:rsid w:val="000A1704"/>
    <w:rsid w:val="000A2995"/>
    <w:rsid w:val="000B4E68"/>
    <w:rsid w:val="000B692D"/>
    <w:rsid w:val="000C234E"/>
    <w:rsid w:val="000C5E3C"/>
    <w:rsid w:val="000D2105"/>
    <w:rsid w:val="000D2EFE"/>
    <w:rsid w:val="000D4A91"/>
    <w:rsid w:val="000D7C84"/>
    <w:rsid w:val="000E099C"/>
    <w:rsid w:val="000E13DB"/>
    <w:rsid w:val="000F02B4"/>
    <w:rsid w:val="000F3721"/>
    <w:rsid w:val="000F4E89"/>
    <w:rsid w:val="000F58C3"/>
    <w:rsid w:val="000F5D4B"/>
    <w:rsid w:val="0010297D"/>
    <w:rsid w:val="00111249"/>
    <w:rsid w:val="00112A50"/>
    <w:rsid w:val="00113827"/>
    <w:rsid w:val="001167C0"/>
    <w:rsid w:val="00123F95"/>
    <w:rsid w:val="001310C4"/>
    <w:rsid w:val="00134D79"/>
    <w:rsid w:val="0013585B"/>
    <w:rsid w:val="001364DF"/>
    <w:rsid w:val="0013659D"/>
    <w:rsid w:val="00137C46"/>
    <w:rsid w:val="00143ED9"/>
    <w:rsid w:val="001520D5"/>
    <w:rsid w:val="00152B81"/>
    <w:rsid w:val="001532FF"/>
    <w:rsid w:val="0015366A"/>
    <w:rsid w:val="00160C92"/>
    <w:rsid w:val="001652FA"/>
    <w:rsid w:val="00165AA1"/>
    <w:rsid w:val="00166449"/>
    <w:rsid w:val="001706EF"/>
    <w:rsid w:val="001709BC"/>
    <w:rsid w:val="001711E8"/>
    <w:rsid w:val="0017546C"/>
    <w:rsid w:val="0017669A"/>
    <w:rsid w:val="00177EAD"/>
    <w:rsid w:val="00180050"/>
    <w:rsid w:val="0018246E"/>
    <w:rsid w:val="0018365F"/>
    <w:rsid w:val="001901AC"/>
    <w:rsid w:val="00190600"/>
    <w:rsid w:val="00191570"/>
    <w:rsid w:val="00191EF6"/>
    <w:rsid w:val="00196B46"/>
    <w:rsid w:val="001A0D71"/>
    <w:rsid w:val="001A1777"/>
    <w:rsid w:val="001A5AB5"/>
    <w:rsid w:val="001A7278"/>
    <w:rsid w:val="001B07A7"/>
    <w:rsid w:val="001B197E"/>
    <w:rsid w:val="001B2126"/>
    <w:rsid w:val="001B224B"/>
    <w:rsid w:val="001B4015"/>
    <w:rsid w:val="001B5DCE"/>
    <w:rsid w:val="001C06CD"/>
    <w:rsid w:val="001C14D0"/>
    <w:rsid w:val="001C2514"/>
    <w:rsid w:val="001C3125"/>
    <w:rsid w:val="001C4FB5"/>
    <w:rsid w:val="001C7D4F"/>
    <w:rsid w:val="001D1D92"/>
    <w:rsid w:val="001D1F34"/>
    <w:rsid w:val="001D5512"/>
    <w:rsid w:val="001E2F4F"/>
    <w:rsid w:val="001E5C1A"/>
    <w:rsid w:val="001F1AB2"/>
    <w:rsid w:val="001F290B"/>
    <w:rsid w:val="001F6A5F"/>
    <w:rsid w:val="002011F9"/>
    <w:rsid w:val="00204532"/>
    <w:rsid w:val="00205DCE"/>
    <w:rsid w:val="00206B1D"/>
    <w:rsid w:val="0022056C"/>
    <w:rsid w:val="002205FD"/>
    <w:rsid w:val="002306A6"/>
    <w:rsid w:val="0023618D"/>
    <w:rsid w:val="00243D9E"/>
    <w:rsid w:val="00243DF7"/>
    <w:rsid w:val="00254229"/>
    <w:rsid w:val="00257204"/>
    <w:rsid w:val="00267483"/>
    <w:rsid w:val="002678BF"/>
    <w:rsid w:val="00270272"/>
    <w:rsid w:val="00271793"/>
    <w:rsid w:val="00281F24"/>
    <w:rsid w:val="0028256B"/>
    <w:rsid w:val="002839F4"/>
    <w:rsid w:val="00284A37"/>
    <w:rsid w:val="00285719"/>
    <w:rsid w:val="0029063A"/>
    <w:rsid w:val="002949C2"/>
    <w:rsid w:val="002A00CD"/>
    <w:rsid w:val="002A5FE4"/>
    <w:rsid w:val="002B366B"/>
    <w:rsid w:val="002B548F"/>
    <w:rsid w:val="002B61E3"/>
    <w:rsid w:val="002B7CFC"/>
    <w:rsid w:val="002C715C"/>
    <w:rsid w:val="002D443E"/>
    <w:rsid w:val="002E2913"/>
    <w:rsid w:val="002E38F6"/>
    <w:rsid w:val="002E4C02"/>
    <w:rsid w:val="002E58AB"/>
    <w:rsid w:val="002F072A"/>
    <w:rsid w:val="002F3640"/>
    <w:rsid w:val="002F5311"/>
    <w:rsid w:val="003009A0"/>
    <w:rsid w:val="003024C8"/>
    <w:rsid w:val="003100A9"/>
    <w:rsid w:val="003159F8"/>
    <w:rsid w:val="003277BF"/>
    <w:rsid w:val="00336B97"/>
    <w:rsid w:val="00337831"/>
    <w:rsid w:val="003438ED"/>
    <w:rsid w:val="00344B9C"/>
    <w:rsid w:val="00345793"/>
    <w:rsid w:val="00345A6C"/>
    <w:rsid w:val="00345E8F"/>
    <w:rsid w:val="0034691D"/>
    <w:rsid w:val="003508E4"/>
    <w:rsid w:val="003514DA"/>
    <w:rsid w:val="00351BA7"/>
    <w:rsid w:val="003542D0"/>
    <w:rsid w:val="00354808"/>
    <w:rsid w:val="003570A7"/>
    <w:rsid w:val="003573FE"/>
    <w:rsid w:val="00367E2F"/>
    <w:rsid w:val="00375467"/>
    <w:rsid w:val="00376E09"/>
    <w:rsid w:val="00377329"/>
    <w:rsid w:val="00381570"/>
    <w:rsid w:val="00386184"/>
    <w:rsid w:val="0038769F"/>
    <w:rsid w:val="0039682F"/>
    <w:rsid w:val="00396932"/>
    <w:rsid w:val="003A1768"/>
    <w:rsid w:val="003A2CC6"/>
    <w:rsid w:val="003A7238"/>
    <w:rsid w:val="003A7526"/>
    <w:rsid w:val="003B05C1"/>
    <w:rsid w:val="003B2622"/>
    <w:rsid w:val="003D606A"/>
    <w:rsid w:val="003E15D8"/>
    <w:rsid w:val="003F0C10"/>
    <w:rsid w:val="003F0CE9"/>
    <w:rsid w:val="003F0D44"/>
    <w:rsid w:val="003F318D"/>
    <w:rsid w:val="003F69B4"/>
    <w:rsid w:val="003F789F"/>
    <w:rsid w:val="004050F9"/>
    <w:rsid w:val="00422C97"/>
    <w:rsid w:val="004248A2"/>
    <w:rsid w:val="00425AC4"/>
    <w:rsid w:val="00427712"/>
    <w:rsid w:val="00427C3B"/>
    <w:rsid w:val="00436898"/>
    <w:rsid w:val="00450A00"/>
    <w:rsid w:val="00452AB5"/>
    <w:rsid w:val="00454549"/>
    <w:rsid w:val="00455CF1"/>
    <w:rsid w:val="00455FD5"/>
    <w:rsid w:val="004566AF"/>
    <w:rsid w:val="0045734F"/>
    <w:rsid w:val="00457ACA"/>
    <w:rsid w:val="00463435"/>
    <w:rsid w:val="00466D2F"/>
    <w:rsid w:val="00476622"/>
    <w:rsid w:val="00482F05"/>
    <w:rsid w:val="00483276"/>
    <w:rsid w:val="0049064A"/>
    <w:rsid w:val="0049589C"/>
    <w:rsid w:val="0049744A"/>
    <w:rsid w:val="00497FEC"/>
    <w:rsid w:val="004A0A54"/>
    <w:rsid w:val="004A5659"/>
    <w:rsid w:val="004B08FA"/>
    <w:rsid w:val="004C09D0"/>
    <w:rsid w:val="004C354C"/>
    <w:rsid w:val="004D5EA5"/>
    <w:rsid w:val="004E46A5"/>
    <w:rsid w:val="004E7B23"/>
    <w:rsid w:val="004F06DA"/>
    <w:rsid w:val="004F0C32"/>
    <w:rsid w:val="004F26C4"/>
    <w:rsid w:val="004F4017"/>
    <w:rsid w:val="0050143A"/>
    <w:rsid w:val="00505EDD"/>
    <w:rsid w:val="005062E6"/>
    <w:rsid w:val="00507FCE"/>
    <w:rsid w:val="005106B3"/>
    <w:rsid w:val="0051345E"/>
    <w:rsid w:val="00520940"/>
    <w:rsid w:val="00521213"/>
    <w:rsid w:val="00525B5E"/>
    <w:rsid w:val="005335DE"/>
    <w:rsid w:val="005337E5"/>
    <w:rsid w:val="00541CE6"/>
    <w:rsid w:val="0055095F"/>
    <w:rsid w:val="00553B9E"/>
    <w:rsid w:val="00555C3A"/>
    <w:rsid w:val="0055768F"/>
    <w:rsid w:val="00560356"/>
    <w:rsid w:val="00562233"/>
    <w:rsid w:val="0056269D"/>
    <w:rsid w:val="00563EBB"/>
    <w:rsid w:val="00567285"/>
    <w:rsid w:val="00570A58"/>
    <w:rsid w:val="00586E76"/>
    <w:rsid w:val="005A318F"/>
    <w:rsid w:val="005A75DD"/>
    <w:rsid w:val="005B15AE"/>
    <w:rsid w:val="005B7B4E"/>
    <w:rsid w:val="005C0F9D"/>
    <w:rsid w:val="005C38DE"/>
    <w:rsid w:val="005D1A7D"/>
    <w:rsid w:val="005D20C7"/>
    <w:rsid w:val="005D3A11"/>
    <w:rsid w:val="005D48EE"/>
    <w:rsid w:val="005E3704"/>
    <w:rsid w:val="005E4D46"/>
    <w:rsid w:val="005F3A36"/>
    <w:rsid w:val="005F7CD1"/>
    <w:rsid w:val="005F7E04"/>
    <w:rsid w:val="00617CB9"/>
    <w:rsid w:val="006203AE"/>
    <w:rsid w:val="00623414"/>
    <w:rsid w:val="00623445"/>
    <w:rsid w:val="006265EB"/>
    <w:rsid w:val="00626C20"/>
    <w:rsid w:val="00627674"/>
    <w:rsid w:val="00631E15"/>
    <w:rsid w:val="006351BC"/>
    <w:rsid w:val="006401DC"/>
    <w:rsid w:val="0065261C"/>
    <w:rsid w:val="006546DD"/>
    <w:rsid w:val="0067179D"/>
    <w:rsid w:val="00671C9D"/>
    <w:rsid w:val="006757AF"/>
    <w:rsid w:val="00677207"/>
    <w:rsid w:val="00682F51"/>
    <w:rsid w:val="006863E1"/>
    <w:rsid w:val="00693795"/>
    <w:rsid w:val="00697751"/>
    <w:rsid w:val="006A0545"/>
    <w:rsid w:val="006A2DB8"/>
    <w:rsid w:val="006A41EB"/>
    <w:rsid w:val="006A71BF"/>
    <w:rsid w:val="006B25AA"/>
    <w:rsid w:val="006C45C3"/>
    <w:rsid w:val="006D0F88"/>
    <w:rsid w:val="006D4305"/>
    <w:rsid w:val="006E0D07"/>
    <w:rsid w:val="006E1F9B"/>
    <w:rsid w:val="006E35A2"/>
    <w:rsid w:val="006F408D"/>
    <w:rsid w:val="00701567"/>
    <w:rsid w:val="007026F8"/>
    <w:rsid w:val="00702F1B"/>
    <w:rsid w:val="00703ECA"/>
    <w:rsid w:val="00704B46"/>
    <w:rsid w:val="0070518F"/>
    <w:rsid w:val="00706205"/>
    <w:rsid w:val="00706478"/>
    <w:rsid w:val="0071317E"/>
    <w:rsid w:val="007154FB"/>
    <w:rsid w:val="00722289"/>
    <w:rsid w:val="00724777"/>
    <w:rsid w:val="00725067"/>
    <w:rsid w:val="00726A30"/>
    <w:rsid w:val="007273E9"/>
    <w:rsid w:val="00731DE3"/>
    <w:rsid w:val="007442F2"/>
    <w:rsid w:val="00745175"/>
    <w:rsid w:val="007545F1"/>
    <w:rsid w:val="007633A7"/>
    <w:rsid w:val="00767A5A"/>
    <w:rsid w:val="00770001"/>
    <w:rsid w:val="0077336A"/>
    <w:rsid w:val="00780961"/>
    <w:rsid w:val="00782C71"/>
    <w:rsid w:val="0078658C"/>
    <w:rsid w:val="00791C91"/>
    <w:rsid w:val="007A0FB3"/>
    <w:rsid w:val="007A315B"/>
    <w:rsid w:val="007B4814"/>
    <w:rsid w:val="007B5644"/>
    <w:rsid w:val="007B5AF8"/>
    <w:rsid w:val="007B6898"/>
    <w:rsid w:val="007C17FA"/>
    <w:rsid w:val="007C2D15"/>
    <w:rsid w:val="007C74D3"/>
    <w:rsid w:val="007C7F92"/>
    <w:rsid w:val="007E4991"/>
    <w:rsid w:val="007E5477"/>
    <w:rsid w:val="007F03B3"/>
    <w:rsid w:val="007F3CCC"/>
    <w:rsid w:val="007F62CF"/>
    <w:rsid w:val="00801E38"/>
    <w:rsid w:val="00802D29"/>
    <w:rsid w:val="00803BEC"/>
    <w:rsid w:val="00812872"/>
    <w:rsid w:val="008136E6"/>
    <w:rsid w:val="00814C58"/>
    <w:rsid w:val="00827FD2"/>
    <w:rsid w:val="008336F4"/>
    <w:rsid w:val="008356CB"/>
    <w:rsid w:val="00843128"/>
    <w:rsid w:val="0084334D"/>
    <w:rsid w:val="00844FD8"/>
    <w:rsid w:val="00845F3F"/>
    <w:rsid w:val="0085462C"/>
    <w:rsid w:val="00855385"/>
    <w:rsid w:val="00862B6B"/>
    <w:rsid w:val="0086364B"/>
    <w:rsid w:val="0086432E"/>
    <w:rsid w:val="008709F3"/>
    <w:rsid w:val="00872C08"/>
    <w:rsid w:val="00875505"/>
    <w:rsid w:val="00885DD5"/>
    <w:rsid w:val="008A3BD7"/>
    <w:rsid w:val="008A46BF"/>
    <w:rsid w:val="008B016A"/>
    <w:rsid w:val="008B1536"/>
    <w:rsid w:val="008B1935"/>
    <w:rsid w:val="008B308F"/>
    <w:rsid w:val="008B769D"/>
    <w:rsid w:val="008C22C6"/>
    <w:rsid w:val="008C59A5"/>
    <w:rsid w:val="008D1654"/>
    <w:rsid w:val="008E30DC"/>
    <w:rsid w:val="008E6989"/>
    <w:rsid w:val="0090467A"/>
    <w:rsid w:val="0090521C"/>
    <w:rsid w:val="0090619C"/>
    <w:rsid w:val="0091476B"/>
    <w:rsid w:val="009156AE"/>
    <w:rsid w:val="00917711"/>
    <w:rsid w:val="00927E43"/>
    <w:rsid w:val="00931EB5"/>
    <w:rsid w:val="00934C90"/>
    <w:rsid w:val="00941609"/>
    <w:rsid w:val="00946120"/>
    <w:rsid w:val="009466A5"/>
    <w:rsid w:val="00946DE0"/>
    <w:rsid w:val="009511B4"/>
    <w:rsid w:val="00956BF5"/>
    <w:rsid w:val="009625D1"/>
    <w:rsid w:val="00962E33"/>
    <w:rsid w:val="00973376"/>
    <w:rsid w:val="0097466D"/>
    <w:rsid w:val="009824F2"/>
    <w:rsid w:val="009831BF"/>
    <w:rsid w:val="00984555"/>
    <w:rsid w:val="00991AB5"/>
    <w:rsid w:val="009A23BE"/>
    <w:rsid w:val="009A5F18"/>
    <w:rsid w:val="009B0063"/>
    <w:rsid w:val="009B28A1"/>
    <w:rsid w:val="009B2FFF"/>
    <w:rsid w:val="009B3112"/>
    <w:rsid w:val="009B40D2"/>
    <w:rsid w:val="009B5C83"/>
    <w:rsid w:val="009B68B9"/>
    <w:rsid w:val="009C3622"/>
    <w:rsid w:val="009C53A3"/>
    <w:rsid w:val="009C703C"/>
    <w:rsid w:val="009D2D6F"/>
    <w:rsid w:val="009D610B"/>
    <w:rsid w:val="009E4D67"/>
    <w:rsid w:val="009E51BD"/>
    <w:rsid w:val="009E56AA"/>
    <w:rsid w:val="009E68AC"/>
    <w:rsid w:val="009E7EFB"/>
    <w:rsid w:val="009F01B3"/>
    <w:rsid w:val="009F29B1"/>
    <w:rsid w:val="00A00E65"/>
    <w:rsid w:val="00A0180D"/>
    <w:rsid w:val="00A103CB"/>
    <w:rsid w:val="00A119D3"/>
    <w:rsid w:val="00A11C20"/>
    <w:rsid w:val="00A140A2"/>
    <w:rsid w:val="00A16DB1"/>
    <w:rsid w:val="00A20DB9"/>
    <w:rsid w:val="00A27927"/>
    <w:rsid w:val="00A303FC"/>
    <w:rsid w:val="00A33307"/>
    <w:rsid w:val="00A378E3"/>
    <w:rsid w:val="00A37966"/>
    <w:rsid w:val="00A37EA6"/>
    <w:rsid w:val="00A464AC"/>
    <w:rsid w:val="00A46A5C"/>
    <w:rsid w:val="00A47F6B"/>
    <w:rsid w:val="00A62096"/>
    <w:rsid w:val="00A624FA"/>
    <w:rsid w:val="00A67E92"/>
    <w:rsid w:val="00A75475"/>
    <w:rsid w:val="00A844D3"/>
    <w:rsid w:val="00A850FE"/>
    <w:rsid w:val="00A851EB"/>
    <w:rsid w:val="00A8618E"/>
    <w:rsid w:val="00A916A1"/>
    <w:rsid w:val="00A921E2"/>
    <w:rsid w:val="00A96EE4"/>
    <w:rsid w:val="00AA2764"/>
    <w:rsid w:val="00AB0814"/>
    <w:rsid w:val="00AB34FE"/>
    <w:rsid w:val="00AB37BF"/>
    <w:rsid w:val="00AC1D24"/>
    <w:rsid w:val="00AD2E49"/>
    <w:rsid w:val="00AD47F0"/>
    <w:rsid w:val="00AD7112"/>
    <w:rsid w:val="00AE231C"/>
    <w:rsid w:val="00AE262D"/>
    <w:rsid w:val="00AE2CDD"/>
    <w:rsid w:val="00AE330A"/>
    <w:rsid w:val="00AE64A4"/>
    <w:rsid w:val="00AF5BE7"/>
    <w:rsid w:val="00AF6684"/>
    <w:rsid w:val="00AF7280"/>
    <w:rsid w:val="00AF7874"/>
    <w:rsid w:val="00B00750"/>
    <w:rsid w:val="00B17F1B"/>
    <w:rsid w:val="00B27469"/>
    <w:rsid w:val="00B322B1"/>
    <w:rsid w:val="00B35F9C"/>
    <w:rsid w:val="00B41FAB"/>
    <w:rsid w:val="00B4636F"/>
    <w:rsid w:val="00B52ADA"/>
    <w:rsid w:val="00B52B4F"/>
    <w:rsid w:val="00B558A8"/>
    <w:rsid w:val="00B55D07"/>
    <w:rsid w:val="00B612D0"/>
    <w:rsid w:val="00B70E2E"/>
    <w:rsid w:val="00B73F77"/>
    <w:rsid w:val="00B76C72"/>
    <w:rsid w:val="00B777F2"/>
    <w:rsid w:val="00B80809"/>
    <w:rsid w:val="00B811EF"/>
    <w:rsid w:val="00B86088"/>
    <w:rsid w:val="00B876B5"/>
    <w:rsid w:val="00B94079"/>
    <w:rsid w:val="00BA09A0"/>
    <w:rsid w:val="00BA0D82"/>
    <w:rsid w:val="00BA2EB6"/>
    <w:rsid w:val="00BA600C"/>
    <w:rsid w:val="00BB4072"/>
    <w:rsid w:val="00BB4606"/>
    <w:rsid w:val="00BC1891"/>
    <w:rsid w:val="00BC5A76"/>
    <w:rsid w:val="00BC6FD4"/>
    <w:rsid w:val="00BD6404"/>
    <w:rsid w:val="00BD6799"/>
    <w:rsid w:val="00BE089F"/>
    <w:rsid w:val="00BE0BE6"/>
    <w:rsid w:val="00BE2423"/>
    <w:rsid w:val="00BE7146"/>
    <w:rsid w:val="00BF5D2C"/>
    <w:rsid w:val="00BF7202"/>
    <w:rsid w:val="00BF791E"/>
    <w:rsid w:val="00C02991"/>
    <w:rsid w:val="00C03561"/>
    <w:rsid w:val="00C064E5"/>
    <w:rsid w:val="00C07B11"/>
    <w:rsid w:val="00C11CB9"/>
    <w:rsid w:val="00C141FE"/>
    <w:rsid w:val="00C25078"/>
    <w:rsid w:val="00C36C6D"/>
    <w:rsid w:val="00C44B9E"/>
    <w:rsid w:val="00C4631D"/>
    <w:rsid w:val="00C505DA"/>
    <w:rsid w:val="00C5240E"/>
    <w:rsid w:val="00C551F3"/>
    <w:rsid w:val="00C558CF"/>
    <w:rsid w:val="00C618AB"/>
    <w:rsid w:val="00C6393F"/>
    <w:rsid w:val="00C63F52"/>
    <w:rsid w:val="00C662FF"/>
    <w:rsid w:val="00C717CE"/>
    <w:rsid w:val="00C71BD8"/>
    <w:rsid w:val="00C77AA9"/>
    <w:rsid w:val="00C90269"/>
    <w:rsid w:val="00C93E2F"/>
    <w:rsid w:val="00C96BE9"/>
    <w:rsid w:val="00CA0E8C"/>
    <w:rsid w:val="00CA368A"/>
    <w:rsid w:val="00CA78A1"/>
    <w:rsid w:val="00CB7DAE"/>
    <w:rsid w:val="00CC3E76"/>
    <w:rsid w:val="00CD074A"/>
    <w:rsid w:val="00CD626E"/>
    <w:rsid w:val="00CD766C"/>
    <w:rsid w:val="00CE143D"/>
    <w:rsid w:val="00CE5B59"/>
    <w:rsid w:val="00CF2DF1"/>
    <w:rsid w:val="00CF41A8"/>
    <w:rsid w:val="00CF7884"/>
    <w:rsid w:val="00D008FB"/>
    <w:rsid w:val="00D05BFB"/>
    <w:rsid w:val="00D104CD"/>
    <w:rsid w:val="00D1241A"/>
    <w:rsid w:val="00D1309F"/>
    <w:rsid w:val="00D25429"/>
    <w:rsid w:val="00D3190E"/>
    <w:rsid w:val="00D31C73"/>
    <w:rsid w:val="00D33CC9"/>
    <w:rsid w:val="00D34E5D"/>
    <w:rsid w:val="00D352EB"/>
    <w:rsid w:val="00D413A3"/>
    <w:rsid w:val="00D4295D"/>
    <w:rsid w:val="00D47E96"/>
    <w:rsid w:val="00D50200"/>
    <w:rsid w:val="00D548A0"/>
    <w:rsid w:val="00D75147"/>
    <w:rsid w:val="00D77D79"/>
    <w:rsid w:val="00D9360A"/>
    <w:rsid w:val="00D95870"/>
    <w:rsid w:val="00DA1F1A"/>
    <w:rsid w:val="00DA28FF"/>
    <w:rsid w:val="00DA440E"/>
    <w:rsid w:val="00DA617E"/>
    <w:rsid w:val="00DA7F7F"/>
    <w:rsid w:val="00DB0182"/>
    <w:rsid w:val="00DB1570"/>
    <w:rsid w:val="00DB5079"/>
    <w:rsid w:val="00DB7A8D"/>
    <w:rsid w:val="00DC36E6"/>
    <w:rsid w:val="00DD2044"/>
    <w:rsid w:val="00DD3493"/>
    <w:rsid w:val="00DD6374"/>
    <w:rsid w:val="00DD69DA"/>
    <w:rsid w:val="00DD7955"/>
    <w:rsid w:val="00DE6CAB"/>
    <w:rsid w:val="00DF26C5"/>
    <w:rsid w:val="00DF4E86"/>
    <w:rsid w:val="00DF5D72"/>
    <w:rsid w:val="00DF7302"/>
    <w:rsid w:val="00E04151"/>
    <w:rsid w:val="00E04743"/>
    <w:rsid w:val="00E068EC"/>
    <w:rsid w:val="00E13790"/>
    <w:rsid w:val="00E17D66"/>
    <w:rsid w:val="00E23F24"/>
    <w:rsid w:val="00E2415E"/>
    <w:rsid w:val="00E26785"/>
    <w:rsid w:val="00E33BAB"/>
    <w:rsid w:val="00E36825"/>
    <w:rsid w:val="00E36CB9"/>
    <w:rsid w:val="00E43A93"/>
    <w:rsid w:val="00E43FF6"/>
    <w:rsid w:val="00E441C2"/>
    <w:rsid w:val="00E52A80"/>
    <w:rsid w:val="00E53320"/>
    <w:rsid w:val="00E60525"/>
    <w:rsid w:val="00E60AD3"/>
    <w:rsid w:val="00E6665F"/>
    <w:rsid w:val="00E7792A"/>
    <w:rsid w:val="00E77AD4"/>
    <w:rsid w:val="00E805BB"/>
    <w:rsid w:val="00E91EED"/>
    <w:rsid w:val="00E9582B"/>
    <w:rsid w:val="00E9655D"/>
    <w:rsid w:val="00EA28F9"/>
    <w:rsid w:val="00EA5452"/>
    <w:rsid w:val="00EB2312"/>
    <w:rsid w:val="00EC3CCE"/>
    <w:rsid w:val="00EC60B5"/>
    <w:rsid w:val="00ED0F04"/>
    <w:rsid w:val="00ED115C"/>
    <w:rsid w:val="00ED239F"/>
    <w:rsid w:val="00ED2BF5"/>
    <w:rsid w:val="00ED4374"/>
    <w:rsid w:val="00ED56B1"/>
    <w:rsid w:val="00EE0304"/>
    <w:rsid w:val="00EE082B"/>
    <w:rsid w:val="00EE1151"/>
    <w:rsid w:val="00EE360E"/>
    <w:rsid w:val="00EE5740"/>
    <w:rsid w:val="00EE6DF8"/>
    <w:rsid w:val="00EE6EF7"/>
    <w:rsid w:val="00EE797D"/>
    <w:rsid w:val="00EF191E"/>
    <w:rsid w:val="00F00B75"/>
    <w:rsid w:val="00F101D2"/>
    <w:rsid w:val="00F117C3"/>
    <w:rsid w:val="00F1185A"/>
    <w:rsid w:val="00F159FC"/>
    <w:rsid w:val="00F20121"/>
    <w:rsid w:val="00F26346"/>
    <w:rsid w:val="00F27CC9"/>
    <w:rsid w:val="00F27FED"/>
    <w:rsid w:val="00F31CAA"/>
    <w:rsid w:val="00F32C78"/>
    <w:rsid w:val="00F33C65"/>
    <w:rsid w:val="00F35539"/>
    <w:rsid w:val="00F356E9"/>
    <w:rsid w:val="00F4059F"/>
    <w:rsid w:val="00F471F8"/>
    <w:rsid w:val="00F556B4"/>
    <w:rsid w:val="00F670F2"/>
    <w:rsid w:val="00F735C7"/>
    <w:rsid w:val="00F74E91"/>
    <w:rsid w:val="00F8228B"/>
    <w:rsid w:val="00F87D6A"/>
    <w:rsid w:val="00F90A28"/>
    <w:rsid w:val="00F943A0"/>
    <w:rsid w:val="00F96325"/>
    <w:rsid w:val="00FA27C9"/>
    <w:rsid w:val="00FA5C00"/>
    <w:rsid w:val="00FB0EB3"/>
    <w:rsid w:val="00FC30FD"/>
    <w:rsid w:val="00FC3EC2"/>
    <w:rsid w:val="00FC7EFE"/>
    <w:rsid w:val="00FD0015"/>
    <w:rsid w:val="00FD7DCA"/>
    <w:rsid w:val="00FF311C"/>
    <w:rsid w:val="00FF56AD"/>
    <w:rsid w:val="00FF58DF"/>
    <w:rsid w:val="00FF6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3C81"/>
  <w15:chartTrackingRefBased/>
  <w15:docId w15:val="{EB0B24F3-F8C9-4EDB-B15D-43BC106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77AA9"/>
    <w:pPr>
      <w:spacing w:after="0" w:line="240" w:lineRule="atLeast"/>
    </w:pPr>
    <w:rPr>
      <w:rFonts w:ascii="Arial" w:hAnsi="Arial" w:cs="Times New Roman"/>
      <w:sz w:val="20"/>
      <w:szCs w:val="20"/>
      <w:lang w:eastAsia="en-AU"/>
    </w:rPr>
  </w:style>
  <w:style w:type="paragraph" w:styleId="Heading1">
    <w:name w:val="heading 1"/>
    <w:basedOn w:val="Normal"/>
    <w:next w:val="BodyText"/>
    <w:link w:val="Heading1Char"/>
    <w:qFormat/>
    <w:rsid w:val="00C77AA9"/>
    <w:pPr>
      <w:keepNext/>
      <w:numPr>
        <w:numId w:val="2"/>
      </w:numPr>
      <w:spacing w:after="240"/>
      <w:outlineLvl w:val="0"/>
    </w:pPr>
    <w:rPr>
      <w:b/>
      <w:kern w:val="28"/>
    </w:rPr>
  </w:style>
  <w:style w:type="paragraph" w:styleId="Heading2">
    <w:name w:val="heading 2"/>
    <w:basedOn w:val="Normal"/>
    <w:next w:val="BodyText"/>
    <w:link w:val="Heading2Char"/>
    <w:qFormat/>
    <w:rsid w:val="00C77AA9"/>
    <w:pPr>
      <w:keepNext/>
      <w:numPr>
        <w:ilvl w:val="1"/>
        <w:numId w:val="2"/>
      </w:numPr>
      <w:spacing w:after="240"/>
      <w:outlineLvl w:val="1"/>
    </w:pPr>
  </w:style>
  <w:style w:type="paragraph" w:styleId="Heading3">
    <w:name w:val="heading 3"/>
    <w:basedOn w:val="Normal"/>
    <w:link w:val="Heading3Char"/>
    <w:qFormat/>
    <w:rsid w:val="00C77AA9"/>
    <w:pPr>
      <w:numPr>
        <w:ilvl w:val="2"/>
        <w:numId w:val="2"/>
      </w:numPr>
      <w:spacing w:after="240"/>
      <w:outlineLvl w:val="2"/>
    </w:pPr>
  </w:style>
  <w:style w:type="paragraph" w:styleId="Heading4">
    <w:name w:val="heading 4"/>
    <w:basedOn w:val="BodyText"/>
    <w:link w:val="Heading4Char"/>
    <w:qFormat/>
    <w:rsid w:val="00C77AA9"/>
    <w:pPr>
      <w:numPr>
        <w:ilvl w:val="3"/>
        <w:numId w:val="2"/>
      </w:numPr>
      <w:outlineLvl w:val="3"/>
    </w:pPr>
  </w:style>
  <w:style w:type="paragraph" w:styleId="Heading5">
    <w:name w:val="heading 5"/>
    <w:basedOn w:val="BodyText"/>
    <w:link w:val="Heading5Char"/>
    <w:qFormat/>
    <w:rsid w:val="00C77AA9"/>
    <w:pPr>
      <w:numPr>
        <w:ilvl w:val="4"/>
        <w:numId w:val="2"/>
      </w:numPr>
      <w:outlineLvl w:val="4"/>
    </w:pPr>
  </w:style>
  <w:style w:type="paragraph" w:styleId="Heading6">
    <w:name w:val="heading 6"/>
    <w:basedOn w:val="BodyText"/>
    <w:next w:val="BodyText"/>
    <w:link w:val="Heading6Char"/>
    <w:semiHidden/>
    <w:qFormat/>
    <w:rsid w:val="00C77AA9"/>
    <w:pPr>
      <w:numPr>
        <w:ilvl w:val="5"/>
        <w:numId w:val="2"/>
      </w:numPr>
      <w:outlineLvl w:val="5"/>
    </w:pPr>
  </w:style>
  <w:style w:type="paragraph" w:styleId="Heading7">
    <w:name w:val="heading 7"/>
    <w:basedOn w:val="BodyText"/>
    <w:next w:val="BodyText"/>
    <w:link w:val="Heading7Char"/>
    <w:semiHidden/>
    <w:qFormat/>
    <w:rsid w:val="00C77AA9"/>
    <w:pPr>
      <w:numPr>
        <w:ilvl w:val="6"/>
        <w:numId w:val="2"/>
      </w:numPr>
      <w:outlineLvl w:val="6"/>
    </w:pPr>
  </w:style>
  <w:style w:type="paragraph" w:styleId="Heading8">
    <w:name w:val="heading 8"/>
    <w:basedOn w:val="BodyText"/>
    <w:next w:val="BodyText"/>
    <w:link w:val="Heading8Char"/>
    <w:semiHidden/>
    <w:qFormat/>
    <w:rsid w:val="00C77AA9"/>
    <w:pPr>
      <w:numPr>
        <w:ilvl w:val="7"/>
        <w:numId w:val="2"/>
      </w:numPr>
      <w:outlineLvl w:val="7"/>
    </w:pPr>
  </w:style>
  <w:style w:type="paragraph" w:styleId="Heading9">
    <w:name w:val="heading 9"/>
    <w:basedOn w:val="BodyText"/>
    <w:next w:val="BodyText"/>
    <w:link w:val="Heading9Char"/>
    <w:semiHidden/>
    <w:qFormat/>
    <w:rsid w:val="00C77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7AA9"/>
  </w:style>
  <w:style w:type="character" w:customStyle="1" w:styleId="HeaderChar">
    <w:name w:val="Header Char"/>
    <w:basedOn w:val="DefaultParagraphFont"/>
    <w:link w:val="Header"/>
    <w:rsid w:val="00C77AA9"/>
    <w:rPr>
      <w:rFonts w:ascii="Arial" w:eastAsia="Times New Roman" w:hAnsi="Arial" w:cs="Times New Roman"/>
      <w:sz w:val="20"/>
      <w:szCs w:val="20"/>
      <w:lang w:eastAsia="en-AU"/>
    </w:rPr>
  </w:style>
  <w:style w:type="paragraph" w:customStyle="1" w:styleId="AddressFooter">
    <w:name w:val="Address_Footer"/>
    <w:basedOn w:val="Header"/>
    <w:qFormat/>
    <w:rsid w:val="00C77AA9"/>
    <w:pPr>
      <w:spacing w:line="160" w:lineRule="atLeast"/>
    </w:pPr>
    <w:rPr>
      <w:sz w:val="14"/>
    </w:rPr>
  </w:style>
  <w:style w:type="character" w:customStyle="1" w:styleId="Heading1Char">
    <w:name w:val="Heading 1 Char"/>
    <w:basedOn w:val="DefaultParagraphFont"/>
    <w:link w:val="Heading1"/>
    <w:rsid w:val="00C77AA9"/>
    <w:rPr>
      <w:rFonts w:ascii="Arial" w:hAnsi="Arial" w:cs="Times New Roman"/>
      <w:b/>
      <w:kern w:val="28"/>
      <w:sz w:val="20"/>
      <w:szCs w:val="20"/>
      <w:lang w:eastAsia="en-AU"/>
    </w:rPr>
  </w:style>
  <w:style w:type="character" w:customStyle="1" w:styleId="Heading2Char">
    <w:name w:val="Heading 2 Char"/>
    <w:basedOn w:val="DefaultParagraphFont"/>
    <w:link w:val="Heading2"/>
    <w:rsid w:val="00C77AA9"/>
    <w:rPr>
      <w:rFonts w:ascii="Arial" w:hAnsi="Arial" w:cs="Times New Roman"/>
      <w:sz w:val="20"/>
      <w:szCs w:val="20"/>
      <w:lang w:eastAsia="en-AU"/>
    </w:rPr>
  </w:style>
  <w:style w:type="character" w:customStyle="1" w:styleId="Heading3Char">
    <w:name w:val="Heading 3 Char"/>
    <w:basedOn w:val="DefaultParagraphFont"/>
    <w:link w:val="Heading3"/>
    <w:rsid w:val="00C77AA9"/>
    <w:rPr>
      <w:rFonts w:ascii="Arial" w:hAnsi="Arial" w:cs="Times New Roman"/>
      <w:sz w:val="20"/>
      <w:szCs w:val="20"/>
      <w:lang w:eastAsia="en-AU"/>
    </w:rPr>
  </w:style>
  <w:style w:type="character" w:customStyle="1" w:styleId="Heading4Char">
    <w:name w:val="Heading 4 Char"/>
    <w:basedOn w:val="DefaultParagraphFont"/>
    <w:link w:val="Heading4"/>
    <w:rsid w:val="00C77AA9"/>
    <w:rPr>
      <w:rFonts w:ascii="Arial" w:hAnsi="Arial" w:cs="Times New Roman"/>
      <w:sz w:val="20"/>
      <w:szCs w:val="20"/>
      <w:lang w:eastAsia="en-AU"/>
    </w:rPr>
  </w:style>
  <w:style w:type="character" w:customStyle="1" w:styleId="Heading5Char">
    <w:name w:val="Heading 5 Char"/>
    <w:basedOn w:val="DefaultParagraphFont"/>
    <w:link w:val="Heading5"/>
    <w:rsid w:val="00C77AA9"/>
    <w:rPr>
      <w:rFonts w:ascii="Arial" w:hAnsi="Arial" w:cs="Times New Roman"/>
      <w:sz w:val="20"/>
      <w:szCs w:val="20"/>
      <w:lang w:eastAsia="en-AU"/>
    </w:rPr>
  </w:style>
  <w:style w:type="character" w:customStyle="1" w:styleId="Heading6Char">
    <w:name w:val="Heading 6 Char"/>
    <w:basedOn w:val="DefaultParagraphFont"/>
    <w:link w:val="Heading6"/>
    <w:semiHidden/>
    <w:rsid w:val="00C77AA9"/>
    <w:rPr>
      <w:rFonts w:ascii="Arial" w:hAnsi="Arial" w:cs="Times New Roman"/>
      <w:sz w:val="20"/>
      <w:szCs w:val="20"/>
      <w:lang w:eastAsia="en-AU"/>
    </w:rPr>
  </w:style>
  <w:style w:type="character" w:customStyle="1" w:styleId="Heading7Char">
    <w:name w:val="Heading 7 Char"/>
    <w:basedOn w:val="DefaultParagraphFont"/>
    <w:link w:val="Heading7"/>
    <w:semiHidden/>
    <w:rsid w:val="00C77AA9"/>
    <w:rPr>
      <w:rFonts w:ascii="Arial" w:hAnsi="Arial" w:cs="Times New Roman"/>
      <w:sz w:val="20"/>
      <w:szCs w:val="20"/>
      <w:lang w:eastAsia="en-AU"/>
    </w:rPr>
  </w:style>
  <w:style w:type="character" w:customStyle="1" w:styleId="Heading8Char">
    <w:name w:val="Heading 8 Char"/>
    <w:basedOn w:val="DefaultParagraphFont"/>
    <w:link w:val="Heading8"/>
    <w:semiHidden/>
    <w:rsid w:val="00C77AA9"/>
    <w:rPr>
      <w:rFonts w:ascii="Arial" w:hAnsi="Arial" w:cs="Times New Roman"/>
      <w:sz w:val="20"/>
      <w:szCs w:val="20"/>
      <w:lang w:eastAsia="en-AU"/>
    </w:rPr>
  </w:style>
  <w:style w:type="character" w:customStyle="1" w:styleId="Heading9Char">
    <w:name w:val="Heading 9 Char"/>
    <w:basedOn w:val="DefaultParagraphFont"/>
    <w:link w:val="Heading9"/>
    <w:semiHidden/>
    <w:rsid w:val="00C77AA9"/>
    <w:rPr>
      <w:rFonts w:ascii="Arial" w:hAnsi="Arial" w:cs="Times New Roman"/>
      <w:sz w:val="20"/>
      <w:szCs w:val="20"/>
      <w:lang w:eastAsia="en-AU"/>
    </w:rPr>
  </w:style>
  <w:style w:type="numbering" w:styleId="ArticleSection">
    <w:name w:val="Outline List 3"/>
    <w:basedOn w:val="NoList"/>
    <w:semiHidden/>
    <w:rsid w:val="00C77AA9"/>
    <w:pPr>
      <w:numPr>
        <w:numId w:val="1"/>
      </w:numPr>
    </w:pPr>
  </w:style>
  <w:style w:type="paragraph" w:styleId="BalloonText">
    <w:name w:val="Balloon Text"/>
    <w:basedOn w:val="Normal"/>
    <w:link w:val="BalloonTextChar"/>
    <w:semiHidden/>
    <w:rsid w:val="00C77AA9"/>
    <w:rPr>
      <w:rFonts w:ascii="Tahoma" w:hAnsi="Tahoma" w:cs="Tahoma"/>
      <w:sz w:val="16"/>
      <w:szCs w:val="16"/>
    </w:rPr>
  </w:style>
  <w:style w:type="character" w:customStyle="1" w:styleId="BalloonTextChar">
    <w:name w:val="Balloon Text Char"/>
    <w:basedOn w:val="DefaultParagraphFont"/>
    <w:link w:val="BalloonText"/>
    <w:semiHidden/>
    <w:rsid w:val="00C77AA9"/>
    <w:rPr>
      <w:rFonts w:ascii="Tahoma" w:eastAsia="Times New Roman" w:hAnsi="Tahoma" w:cs="Tahoma"/>
      <w:sz w:val="16"/>
      <w:szCs w:val="16"/>
      <w:lang w:eastAsia="en-AU"/>
    </w:rPr>
  </w:style>
  <w:style w:type="paragraph" w:styleId="BlockText">
    <w:name w:val="Block Text"/>
    <w:basedOn w:val="Normal"/>
    <w:next w:val="BodyText"/>
    <w:semiHidden/>
    <w:rsid w:val="00C77AA9"/>
    <w:pPr>
      <w:spacing w:after="120"/>
      <w:ind w:left="1134"/>
    </w:pPr>
  </w:style>
  <w:style w:type="paragraph" w:styleId="BodyText">
    <w:name w:val="Body Text"/>
    <w:basedOn w:val="Normal"/>
    <w:link w:val="BodyTextChar"/>
    <w:qFormat/>
    <w:rsid w:val="00C77AA9"/>
    <w:pPr>
      <w:spacing w:after="240"/>
    </w:pPr>
  </w:style>
  <w:style w:type="character" w:customStyle="1" w:styleId="BodyTextChar">
    <w:name w:val="Body Text Char"/>
    <w:basedOn w:val="DefaultParagraphFont"/>
    <w:link w:val="BodyText"/>
    <w:rsid w:val="00C77AA9"/>
    <w:rPr>
      <w:rFonts w:ascii="Arial" w:eastAsia="Times New Roman" w:hAnsi="Arial" w:cs="Times New Roman"/>
      <w:sz w:val="20"/>
      <w:szCs w:val="20"/>
      <w:lang w:eastAsia="en-AU"/>
    </w:rPr>
  </w:style>
  <w:style w:type="paragraph" w:customStyle="1" w:styleId="Body">
    <w:name w:val="Body"/>
    <w:basedOn w:val="Normal"/>
    <w:semiHidden/>
    <w:rsid w:val="00C77AA9"/>
    <w:pPr>
      <w:spacing w:after="240"/>
    </w:pPr>
  </w:style>
  <w:style w:type="paragraph" w:styleId="BodyText2">
    <w:name w:val="Body Text 2"/>
    <w:basedOn w:val="Normal"/>
    <w:link w:val="BodyText2Char"/>
    <w:semiHidden/>
    <w:rsid w:val="00C77AA9"/>
    <w:pPr>
      <w:spacing w:after="120" w:line="480" w:lineRule="auto"/>
    </w:pPr>
  </w:style>
  <w:style w:type="character" w:customStyle="1" w:styleId="BodyText2Char">
    <w:name w:val="Body Text 2 Char"/>
    <w:basedOn w:val="DefaultParagraphFont"/>
    <w:link w:val="BodyText2"/>
    <w:semiHidden/>
    <w:rsid w:val="00C77AA9"/>
    <w:rPr>
      <w:rFonts w:ascii="Arial" w:eastAsia="Times New Roman" w:hAnsi="Arial" w:cs="Times New Roman"/>
      <w:sz w:val="20"/>
      <w:szCs w:val="20"/>
      <w:lang w:eastAsia="en-AU"/>
    </w:rPr>
  </w:style>
  <w:style w:type="paragraph" w:styleId="BodyText3">
    <w:name w:val="Body Text 3"/>
    <w:basedOn w:val="Normal"/>
    <w:link w:val="BodyText3Char"/>
    <w:semiHidden/>
    <w:rsid w:val="00C77AA9"/>
    <w:pPr>
      <w:spacing w:after="120"/>
    </w:pPr>
    <w:rPr>
      <w:sz w:val="16"/>
      <w:szCs w:val="16"/>
    </w:rPr>
  </w:style>
  <w:style w:type="character" w:customStyle="1" w:styleId="BodyText3Char">
    <w:name w:val="Body Text 3 Char"/>
    <w:basedOn w:val="DefaultParagraphFont"/>
    <w:link w:val="BodyText3"/>
    <w:semiHidden/>
    <w:rsid w:val="00C77AA9"/>
    <w:rPr>
      <w:rFonts w:ascii="Arial" w:eastAsia="Times New Roman" w:hAnsi="Arial" w:cs="Times New Roman"/>
      <w:sz w:val="16"/>
      <w:szCs w:val="16"/>
      <w:lang w:eastAsia="en-AU"/>
    </w:rPr>
  </w:style>
  <w:style w:type="paragraph" w:styleId="BodyTextFirstIndent">
    <w:name w:val="Body Text First Indent"/>
    <w:basedOn w:val="BodyText"/>
    <w:link w:val="BodyTextFirstIndentChar"/>
    <w:semiHidden/>
    <w:rsid w:val="00C77AA9"/>
    <w:pPr>
      <w:spacing w:after="120"/>
      <w:ind w:firstLine="210"/>
    </w:pPr>
  </w:style>
  <w:style w:type="character" w:customStyle="1" w:styleId="BodyTextFirstIndentChar">
    <w:name w:val="Body Text First Indent Char"/>
    <w:basedOn w:val="BodyTextChar"/>
    <w:link w:val="BodyTextFirstIndent"/>
    <w:semiHidden/>
    <w:rsid w:val="00C77AA9"/>
    <w:rPr>
      <w:rFonts w:ascii="Arial" w:eastAsia="Times New Roman" w:hAnsi="Arial" w:cs="Times New Roman"/>
      <w:sz w:val="20"/>
      <w:szCs w:val="20"/>
      <w:lang w:eastAsia="en-AU"/>
    </w:rPr>
  </w:style>
  <w:style w:type="paragraph" w:styleId="BodyTextIndent">
    <w:name w:val="Body Text Indent"/>
    <w:basedOn w:val="Normal"/>
    <w:link w:val="BodyTextIndentChar"/>
    <w:semiHidden/>
    <w:rsid w:val="00C77AA9"/>
    <w:pPr>
      <w:spacing w:after="120"/>
      <w:ind w:left="283"/>
    </w:pPr>
  </w:style>
  <w:style w:type="character" w:customStyle="1" w:styleId="BodyTextIndentChar">
    <w:name w:val="Body Text Indent Char"/>
    <w:basedOn w:val="DefaultParagraphFont"/>
    <w:link w:val="BodyTextIndent"/>
    <w:semiHidden/>
    <w:rsid w:val="00C77AA9"/>
    <w:rPr>
      <w:rFonts w:ascii="Arial" w:eastAsia="Times New Roman" w:hAnsi="Arial" w:cs="Times New Roman"/>
      <w:sz w:val="20"/>
      <w:szCs w:val="20"/>
      <w:lang w:eastAsia="en-AU"/>
    </w:rPr>
  </w:style>
  <w:style w:type="paragraph" w:styleId="BodyTextFirstIndent2">
    <w:name w:val="Body Text First Indent 2"/>
    <w:basedOn w:val="BodyTextIndent"/>
    <w:link w:val="BodyTextFirstIndent2Char"/>
    <w:semiHidden/>
    <w:rsid w:val="00C77AA9"/>
    <w:pPr>
      <w:ind w:firstLine="210"/>
    </w:pPr>
  </w:style>
  <w:style w:type="character" w:customStyle="1" w:styleId="BodyTextFirstIndent2Char">
    <w:name w:val="Body Text First Indent 2 Char"/>
    <w:basedOn w:val="BodyTextIndentChar"/>
    <w:link w:val="BodyTextFirstIndent2"/>
    <w:semiHidden/>
    <w:rsid w:val="00C77AA9"/>
    <w:rPr>
      <w:rFonts w:ascii="Arial" w:eastAsia="Times New Roman" w:hAnsi="Arial" w:cs="Times New Roman"/>
      <w:sz w:val="20"/>
      <w:szCs w:val="20"/>
      <w:lang w:eastAsia="en-AU"/>
    </w:rPr>
  </w:style>
  <w:style w:type="paragraph" w:styleId="BodyTextIndent2">
    <w:name w:val="Body Text Indent 2"/>
    <w:basedOn w:val="Normal"/>
    <w:link w:val="BodyTextIndent2Char"/>
    <w:semiHidden/>
    <w:rsid w:val="00C77AA9"/>
    <w:pPr>
      <w:spacing w:after="120" w:line="480" w:lineRule="auto"/>
      <w:ind w:left="283"/>
    </w:pPr>
  </w:style>
  <w:style w:type="character" w:customStyle="1" w:styleId="BodyTextIndent2Char">
    <w:name w:val="Body Text Indent 2 Char"/>
    <w:basedOn w:val="DefaultParagraphFont"/>
    <w:link w:val="BodyTextIndent2"/>
    <w:semiHidden/>
    <w:rsid w:val="00C77AA9"/>
    <w:rPr>
      <w:rFonts w:ascii="Arial" w:eastAsia="Times New Roman" w:hAnsi="Arial" w:cs="Times New Roman"/>
      <w:sz w:val="20"/>
      <w:szCs w:val="20"/>
      <w:lang w:eastAsia="en-AU"/>
    </w:rPr>
  </w:style>
  <w:style w:type="paragraph" w:styleId="BodyTextIndent3">
    <w:name w:val="Body Text Indent 3"/>
    <w:basedOn w:val="Normal"/>
    <w:link w:val="BodyTextIndent3Char"/>
    <w:semiHidden/>
    <w:rsid w:val="00C77AA9"/>
    <w:pPr>
      <w:spacing w:after="120"/>
      <w:ind w:left="283"/>
    </w:pPr>
    <w:rPr>
      <w:sz w:val="16"/>
      <w:szCs w:val="16"/>
    </w:rPr>
  </w:style>
  <w:style w:type="character" w:customStyle="1" w:styleId="BodyTextIndent3Char">
    <w:name w:val="Body Text Indent 3 Char"/>
    <w:basedOn w:val="DefaultParagraphFont"/>
    <w:link w:val="BodyTextIndent3"/>
    <w:semiHidden/>
    <w:rsid w:val="00C77AA9"/>
    <w:rPr>
      <w:rFonts w:ascii="Arial" w:eastAsia="Times New Roman" w:hAnsi="Arial" w:cs="Times New Roman"/>
      <w:sz w:val="16"/>
      <w:szCs w:val="16"/>
      <w:lang w:eastAsia="en-AU"/>
    </w:rPr>
  </w:style>
  <w:style w:type="paragraph" w:customStyle="1" w:styleId="BodyTextNoIndent">
    <w:name w:val="Body Text No Indent"/>
    <w:basedOn w:val="BodyText"/>
    <w:rsid w:val="00C77AA9"/>
  </w:style>
  <w:style w:type="paragraph" w:styleId="Caption">
    <w:name w:val="caption"/>
    <w:basedOn w:val="Normal"/>
    <w:next w:val="Normal"/>
    <w:semiHidden/>
    <w:qFormat/>
    <w:rsid w:val="00C77AA9"/>
    <w:pPr>
      <w:spacing w:before="120" w:after="120"/>
    </w:pPr>
    <w:rPr>
      <w:b/>
      <w:bCs/>
    </w:rPr>
  </w:style>
  <w:style w:type="paragraph" w:styleId="Closing">
    <w:name w:val="Closing"/>
    <w:basedOn w:val="Normal"/>
    <w:link w:val="ClosingChar"/>
    <w:semiHidden/>
    <w:rsid w:val="00C77AA9"/>
    <w:pPr>
      <w:ind w:left="4252"/>
    </w:pPr>
  </w:style>
  <w:style w:type="character" w:customStyle="1" w:styleId="ClosingChar">
    <w:name w:val="Closing Char"/>
    <w:basedOn w:val="DefaultParagraphFont"/>
    <w:link w:val="Closing"/>
    <w:semiHidden/>
    <w:rsid w:val="00C77AA9"/>
    <w:rPr>
      <w:rFonts w:ascii="Arial" w:eastAsia="Times New Roman" w:hAnsi="Arial" w:cs="Times New Roman"/>
      <w:sz w:val="20"/>
      <w:szCs w:val="20"/>
      <w:lang w:eastAsia="en-AU"/>
    </w:rPr>
  </w:style>
  <w:style w:type="character" w:styleId="CommentReference">
    <w:name w:val="annotation reference"/>
    <w:basedOn w:val="DefaultParagraphFont"/>
    <w:semiHidden/>
    <w:rsid w:val="00C77AA9"/>
    <w:rPr>
      <w:sz w:val="16"/>
      <w:szCs w:val="16"/>
    </w:rPr>
  </w:style>
  <w:style w:type="paragraph" w:styleId="CommentText">
    <w:name w:val="annotation text"/>
    <w:basedOn w:val="Normal"/>
    <w:link w:val="CommentTextChar"/>
    <w:semiHidden/>
    <w:rsid w:val="00C77AA9"/>
  </w:style>
  <w:style w:type="character" w:customStyle="1" w:styleId="CommentTextChar">
    <w:name w:val="Comment Text Char"/>
    <w:basedOn w:val="DefaultParagraphFont"/>
    <w:link w:val="CommentText"/>
    <w:semiHidden/>
    <w:rsid w:val="00C77AA9"/>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C77AA9"/>
    <w:rPr>
      <w:b/>
      <w:bCs/>
    </w:rPr>
  </w:style>
  <w:style w:type="character" w:customStyle="1" w:styleId="CommentSubjectChar">
    <w:name w:val="Comment Subject Char"/>
    <w:basedOn w:val="CommentTextChar"/>
    <w:link w:val="CommentSubject"/>
    <w:semiHidden/>
    <w:rsid w:val="00C77AA9"/>
    <w:rPr>
      <w:rFonts w:ascii="Arial" w:eastAsia="Times New Roman" w:hAnsi="Arial" w:cs="Times New Roman"/>
      <w:b/>
      <w:bCs/>
      <w:sz w:val="20"/>
      <w:szCs w:val="20"/>
      <w:lang w:eastAsia="en-AU"/>
    </w:rPr>
  </w:style>
  <w:style w:type="paragraph" w:styleId="Date">
    <w:name w:val="Date"/>
    <w:basedOn w:val="Normal"/>
    <w:next w:val="Normal"/>
    <w:link w:val="DateChar"/>
    <w:semiHidden/>
    <w:rsid w:val="00C77AA9"/>
  </w:style>
  <w:style w:type="character" w:customStyle="1" w:styleId="DateChar">
    <w:name w:val="Date Char"/>
    <w:basedOn w:val="DefaultParagraphFont"/>
    <w:link w:val="Date"/>
    <w:semiHidden/>
    <w:rsid w:val="00C77AA9"/>
    <w:rPr>
      <w:rFonts w:ascii="Arial" w:eastAsia="Times New Roman" w:hAnsi="Arial" w:cs="Times New Roman"/>
      <w:sz w:val="20"/>
      <w:szCs w:val="20"/>
      <w:lang w:eastAsia="en-AU"/>
    </w:rPr>
  </w:style>
  <w:style w:type="paragraph" w:styleId="DocumentMap">
    <w:name w:val="Document Map"/>
    <w:basedOn w:val="Normal"/>
    <w:link w:val="DocumentMapChar"/>
    <w:semiHidden/>
    <w:rsid w:val="00C77AA9"/>
    <w:pPr>
      <w:shd w:val="clear" w:color="auto" w:fill="000080"/>
    </w:pPr>
    <w:rPr>
      <w:rFonts w:ascii="Tahoma" w:hAnsi="Tahoma" w:cs="Tahoma"/>
    </w:rPr>
  </w:style>
  <w:style w:type="character" w:customStyle="1" w:styleId="DocumentMapChar">
    <w:name w:val="Document Map Char"/>
    <w:basedOn w:val="DefaultParagraphFont"/>
    <w:link w:val="DocumentMap"/>
    <w:semiHidden/>
    <w:rsid w:val="00C77AA9"/>
    <w:rPr>
      <w:rFonts w:ascii="Tahoma" w:eastAsia="Times New Roman" w:hAnsi="Tahoma" w:cs="Tahoma"/>
      <w:sz w:val="20"/>
      <w:szCs w:val="20"/>
      <w:shd w:val="clear" w:color="auto" w:fill="000080"/>
      <w:lang w:eastAsia="en-AU"/>
    </w:rPr>
  </w:style>
  <w:style w:type="paragraph" w:styleId="E-mailSignature">
    <w:name w:val="E-mail Signature"/>
    <w:basedOn w:val="Normal"/>
    <w:link w:val="E-mailSignatureChar"/>
    <w:semiHidden/>
    <w:rsid w:val="00C77AA9"/>
  </w:style>
  <w:style w:type="character" w:customStyle="1" w:styleId="E-mailSignatureChar">
    <w:name w:val="E-mail Signature Char"/>
    <w:basedOn w:val="DefaultParagraphFont"/>
    <w:link w:val="E-mailSignature"/>
    <w:semiHidden/>
    <w:rsid w:val="00C77AA9"/>
    <w:rPr>
      <w:rFonts w:ascii="Arial" w:eastAsia="Times New Roman" w:hAnsi="Arial" w:cs="Times New Roman"/>
      <w:sz w:val="20"/>
      <w:szCs w:val="20"/>
      <w:lang w:eastAsia="en-AU"/>
    </w:rPr>
  </w:style>
  <w:style w:type="character" w:styleId="Emphasis">
    <w:name w:val="Emphasis"/>
    <w:basedOn w:val="DefaultParagraphFont"/>
    <w:qFormat/>
    <w:rsid w:val="00C77AA9"/>
    <w:rPr>
      <w:i/>
      <w:iCs/>
    </w:rPr>
  </w:style>
  <w:style w:type="character" w:styleId="EndnoteReference">
    <w:name w:val="endnote reference"/>
    <w:basedOn w:val="DefaultParagraphFont"/>
    <w:semiHidden/>
    <w:rsid w:val="00C77AA9"/>
    <w:rPr>
      <w:vertAlign w:val="superscript"/>
    </w:rPr>
  </w:style>
  <w:style w:type="paragraph" w:styleId="EndnoteText">
    <w:name w:val="endnote text"/>
    <w:basedOn w:val="Normal"/>
    <w:link w:val="EndnoteTextChar"/>
    <w:rsid w:val="00C77AA9"/>
    <w:rPr>
      <w:sz w:val="16"/>
    </w:rPr>
  </w:style>
  <w:style w:type="character" w:customStyle="1" w:styleId="EndnoteTextChar">
    <w:name w:val="Endnote Text Char"/>
    <w:basedOn w:val="DefaultParagraphFont"/>
    <w:link w:val="EndnoteText"/>
    <w:rsid w:val="00C77AA9"/>
    <w:rPr>
      <w:rFonts w:ascii="Arial" w:eastAsia="Times New Roman" w:hAnsi="Arial" w:cs="Times New Roman"/>
      <w:sz w:val="16"/>
      <w:szCs w:val="20"/>
      <w:lang w:eastAsia="en-AU"/>
    </w:rPr>
  </w:style>
  <w:style w:type="paragraph" w:styleId="EnvelopeAddress">
    <w:name w:val="envelope address"/>
    <w:basedOn w:val="Normal"/>
    <w:semiHidden/>
    <w:rsid w:val="00C77AA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77AA9"/>
    <w:rPr>
      <w:rFonts w:cs="Arial"/>
    </w:rPr>
  </w:style>
  <w:style w:type="character" w:styleId="FollowedHyperlink">
    <w:name w:val="FollowedHyperlink"/>
    <w:basedOn w:val="DefaultParagraphFont"/>
    <w:semiHidden/>
    <w:rsid w:val="00C77AA9"/>
    <w:rPr>
      <w:color w:val="800080"/>
      <w:u w:val="single"/>
    </w:rPr>
  </w:style>
  <w:style w:type="paragraph" w:styleId="Footer">
    <w:name w:val="footer"/>
    <w:basedOn w:val="Normal"/>
    <w:link w:val="FooterChar"/>
    <w:uiPriority w:val="99"/>
    <w:rsid w:val="00C77AA9"/>
    <w:pPr>
      <w:tabs>
        <w:tab w:val="right" w:pos="8306"/>
      </w:tabs>
    </w:pPr>
    <w:rPr>
      <w:sz w:val="14"/>
      <w:szCs w:val="16"/>
    </w:rPr>
  </w:style>
  <w:style w:type="character" w:customStyle="1" w:styleId="FooterChar">
    <w:name w:val="Footer Char"/>
    <w:basedOn w:val="DefaultParagraphFont"/>
    <w:link w:val="Footer"/>
    <w:uiPriority w:val="99"/>
    <w:rsid w:val="00C77AA9"/>
    <w:rPr>
      <w:rFonts w:ascii="Arial" w:eastAsia="Times New Roman" w:hAnsi="Arial" w:cs="Times New Roman"/>
      <w:sz w:val="14"/>
      <w:szCs w:val="16"/>
      <w:lang w:eastAsia="en-AU"/>
    </w:rPr>
  </w:style>
  <w:style w:type="character" w:styleId="FootnoteReference">
    <w:name w:val="footnote reference"/>
    <w:basedOn w:val="DefaultParagraphFont"/>
    <w:uiPriority w:val="99"/>
    <w:rsid w:val="00C77AA9"/>
    <w:rPr>
      <w:rFonts w:ascii="Arial" w:hAnsi="Arial"/>
      <w:vertAlign w:val="superscript"/>
    </w:rPr>
  </w:style>
  <w:style w:type="paragraph" w:styleId="FootnoteText">
    <w:name w:val="footnote text"/>
    <w:basedOn w:val="Normal"/>
    <w:link w:val="FootnoteTextChar"/>
    <w:uiPriority w:val="99"/>
    <w:rsid w:val="00C77AA9"/>
    <w:pPr>
      <w:spacing w:after="60" w:line="180" w:lineRule="exact"/>
      <w:ind w:left="85" w:hanging="85"/>
    </w:pPr>
    <w:rPr>
      <w:sz w:val="16"/>
      <w:szCs w:val="16"/>
    </w:rPr>
  </w:style>
  <w:style w:type="character" w:customStyle="1" w:styleId="FootnoteTextChar">
    <w:name w:val="Footnote Text Char"/>
    <w:basedOn w:val="DefaultParagraphFont"/>
    <w:link w:val="FootnoteText"/>
    <w:uiPriority w:val="99"/>
    <w:rsid w:val="00C77AA9"/>
    <w:rPr>
      <w:rFonts w:ascii="Arial" w:eastAsia="Times New Roman" w:hAnsi="Arial" w:cs="Times New Roman"/>
      <w:sz w:val="16"/>
      <w:szCs w:val="16"/>
      <w:lang w:eastAsia="en-AU"/>
    </w:rPr>
  </w:style>
  <w:style w:type="character" w:customStyle="1" w:styleId="GT">
    <w:name w:val="G+T"/>
    <w:basedOn w:val="DefaultParagraphFont"/>
    <w:rsid w:val="00C77AA9"/>
    <w:rPr>
      <w:rFonts w:ascii="Arial" w:hAnsi="Arial" w:cs="Arial"/>
      <w:color w:val="0047BB"/>
      <w:sz w:val="18"/>
      <w:szCs w:val="18"/>
    </w:rPr>
  </w:style>
  <w:style w:type="table" w:styleId="TableGrid">
    <w:name w:val="Table Grid"/>
    <w:basedOn w:val="TableNormal"/>
    <w:rsid w:val="00C77AA9"/>
    <w:pPr>
      <w:spacing w:before="120" w:after="120" w:line="240" w:lineRule="atLeast"/>
    </w:pPr>
    <w:rPr>
      <w:rFonts w:ascii="Arial" w:hAnsi="Arial" w:cs="Times New Roman"/>
      <w:sz w:val="20"/>
      <w:szCs w:val="20"/>
      <w:lang w:eastAsia="en-AU"/>
    </w:rPr>
    <w:tblPr/>
  </w:style>
  <w:style w:type="table" w:customStyle="1" w:styleId="GTTable">
    <w:name w:val="G+T Table"/>
    <w:basedOn w:val="TableGrid"/>
    <w:rsid w:val="00C77AA9"/>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Heading">
    <w:name w:val="Heading"/>
    <w:basedOn w:val="Heading1"/>
    <w:next w:val="BodyText"/>
    <w:qFormat/>
    <w:rsid w:val="00C77AA9"/>
    <w:pPr>
      <w:numPr>
        <w:numId w:val="0"/>
      </w:numPr>
    </w:pPr>
  </w:style>
  <w:style w:type="character" w:styleId="HTMLAcronym">
    <w:name w:val="HTML Acronym"/>
    <w:basedOn w:val="DefaultParagraphFont"/>
    <w:semiHidden/>
    <w:rsid w:val="00C77AA9"/>
  </w:style>
  <w:style w:type="paragraph" w:styleId="HTMLAddress">
    <w:name w:val="HTML Address"/>
    <w:basedOn w:val="Normal"/>
    <w:link w:val="HTMLAddressChar"/>
    <w:semiHidden/>
    <w:rsid w:val="00C77AA9"/>
    <w:rPr>
      <w:i/>
      <w:iCs/>
    </w:rPr>
  </w:style>
  <w:style w:type="character" w:customStyle="1" w:styleId="HTMLAddressChar">
    <w:name w:val="HTML Address Char"/>
    <w:basedOn w:val="DefaultParagraphFont"/>
    <w:link w:val="HTMLAddress"/>
    <w:semiHidden/>
    <w:rsid w:val="00C77AA9"/>
    <w:rPr>
      <w:rFonts w:ascii="Arial" w:eastAsia="Times New Roman" w:hAnsi="Arial" w:cs="Times New Roman"/>
      <w:i/>
      <w:iCs/>
      <w:sz w:val="20"/>
      <w:szCs w:val="20"/>
      <w:lang w:eastAsia="en-AU"/>
    </w:rPr>
  </w:style>
  <w:style w:type="character" w:styleId="HTMLCite">
    <w:name w:val="HTML Cite"/>
    <w:basedOn w:val="DefaultParagraphFont"/>
    <w:semiHidden/>
    <w:rsid w:val="00C77AA9"/>
    <w:rPr>
      <w:i/>
      <w:iCs/>
    </w:rPr>
  </w:style>
  <w:style w:type="character" w:styleId="HTMLCode">
    <w:name w:val="HTML Code"/>
    <w:basedOn w:val="DefaultParagraphFont"/>
    <w:semiHidden/>
    <w:rsid w:val="00C77AA9"/>
    <w:rPr>
      <w:rFonts w:ascii="Courier New" w:hAnsi="Courier New" w:cs="Courier New"/>
      <w:sz w:val="20"/>
      <w:szCs w:val="20"/>
    </w:rPr>
  </w:style>
  <w:style w:type="character" w:styleId="HTMLDefinition">
    <w:name w:val="HTML Definition"/>
    <w:basedOn w:val="DefaultParagraphFont"/>
    <w:semiHidden/>
    <w:rsid w:val="00C77AA9"/>
    <w:rPr>
      <w:i/>
      <w:iCs/>
    </w:rPr>
  </w:style>
  <w:style w:type="character" w:styleId="HTMLKeyboard">
    <w:name w:val="HTML Keyboard"/>
    <w:basedOn w:val="DefaultParagraphFont"/>
    <w:semiHidden/>
    <w:rsid w:val="00C77AA9"/>
    <w:rPr>
      <w:rFonts w:ascii="Courier New" w:hAnsi="Courier New" w:cs="Courier New"/>
      <w:sz w:val="20"/>
      <w:szCs w:val="20"/>
    </w:rPr>
  </w:style>
  <w:style w:type="paragraph" w:styleId="HTMLPreformatted">
    <w:name w:val="HTML Preformatted"/>
    <w:basedOn w:val="Normal"/>
    <w:link w:val="HTMLPreformattedChar"/>
    <w:semiHidden/>
    <w:rsid w:val="00C77AA9"/>
    <w:rPr>
      <w:rFonts w:ascii="Courier New" w:hAnsi="Courier New" w:cs="Courier New"/>
    </w:rPr>
  </w:style>
  <w:style w:type="character" w:customStyle="1" w:styleId="HTMLPreformattedChar">
    <w:name w:val="HTML Preformatted Char"/>
    <w:basedOn w:val="DefaultParagraphFont"/>
    <w:link w:val="HTMLPreformatted"/>
    <w:semiHidden/>
    <w:rsid w:val="00C77AA9"/>
    <w:rPr>
      <w:rFonts w:ascii="Courier New" w:eastAsia="Times New Roman" w:hAnsi="Courier New" w:cs="Courier New"/>
      <w:sz w:val="20"/>
      <w:szCs w:val="20"/>
      <w:lang w:eastAsia="en-AU"/>
    </w:rPr>
  </w:style>
  <w:style w:type="character" w:styleId="HTMLSample">
    <w:name w:val="HTML Sample"/>
    <w:basedOn w:val="DefaultParagraphFont"/>
    <w:semiHidden/>
    <w:rsid w:val="00C77AA9"/>
    <w:rPr>
      <w:rFonts w:ascii="Courier New" w:hAnsi="Courier New" w:cs="Courier New"/>
    </w:rPr>
  </w:style>
  <w:style w:type="character" w:styleId="HTMLTypewriter">
    <w:name w:val="HTML Typewriter"/>
    <w:basedOn w:val="DefaultParagraphFont"/>
    <w:semiHidden/>
    <w:rsid w:val="00C77AA9"/>
    <w:rPr>
      <w:rFonts w:ascii="Courier New" w:hAnsi="Courier New" w:cs="Courier New"/>
      <w:sz w:val="20"/>
      <w:szCs w:val="20"/>
    </w:rPr>
  </w:style>
  <w:style w:type="character" w:styleId="HTMLVariable">
    <w:name w:val="HTML Variable"/>
    <w:basedOn w:val="DefaultParagraphFont"/>
    <w:semiHidden/>
    <w:rsid w:val="00C77AA9"/>
    <w:rPr>
      <w:i/>
      <w:iCs/>
    </w:rPr>
  </w:style>
  <w:style w:type="character" w:styleId="Hyperlink">
    <w:name w:val="Hyperlink"/>
    <w:basedOn w:val="DefaultParagraphFont"/>
    <w:semiHidden/>
    <w:rsid w:val="00C77AA9"/>
    <w:rPr>
      <w:color w:val="0000FF"/>
      <w:u w:val="single"/>
    </w:rPr>
  </w:style>
  <w:style w:type="paragraph" w:styleId="Index1">
    <w:name w:val="index 1"/>
    <w:basedOn w:val="Normal"/>
    <w:next w:val="Normal"/>
    <w:autoRedefine/>
    <w:semiHidden/>
    <w:rsid w:val="00C77AA9"/>
    <w:pPr>
      <w:ind w:left="200" w:hanging="200"/>
    </w:pPr>
  </w:style>
  <w:style w:type="paragraph" w:styleId="Index2">
    <w:name w:val="index 2"/>
    <w:basedOn w:val="Normal"/>
    <w:next w:val="Normal"/>
    <w:autoRedefine/>
    <w:semiHidden/>
    <w:rsid w:val="00C77AA9"/>
    <w:pPr>
      <w:ind w:left="400" w:hanging="200"/>
    </w:pPr>
  </w:style>
  <w:style w:type="paragraph" w:styleId="Index3">
    <w:name w:val="index 3"/>
    <w:basedOn w:val="Normal"/>
    <w:next w:val="Normal"/>
    <w:autoRedefine/>
    <w:semiHidden/>
    <w:rsid w:val="00C77AA9"/>
    <w:pPr>
      <w:ind w:left="600" w:hanging="200"/>
    </w:pPr>
  </w:style>
  <w:style w:type="paragraph" w:styleId="Index4">
    <w:name w:val="index 4"/>
    <w:basedOn w:val="Normal"/>
    <w:next w:val="Normal"/>
    <w:autoRedefine/>
    <w:semiHidden/>
    <w:rsid w:val="00C77AA9"/>
    <w:pPr>
      <w:ind w:left="800" w:hanging="200"/>
    </w:pPr>
  </w:style>
  <w:style w:type="paragraph" w:styleId="Index5">
    <w:name w:val="index 5"/>
    <w:basedOn w:val="Normal"/>
    <w:next w:val="Normal"/>
    <w:autoRedefine/>
    <w:semiHidden/>
    <w:rsid w:val="00C77AA9"/>
    <w:pPr>
      <w:ind w:left="1000" w:hanging="200"/>
    </w:pPr>
  </w:style>
  <w:style w:type="paragraph" w:styleId="Index6">
    <w:name w:val="index 6"/>
    <w:basedOn w:val="Normal"/>
    <w:next w:val="Normal"/>
    <w:autoRedefine/>
    <w:semiHidden/>
    <w:rsid w:val="00C77AA9"/>
    <w:pPr>
      <w:ind w:left="1200" w:hanging="200"/>
    </w:pPr>
  </w:style>
  <w:style w:type="paragraph" w:styleId="Index7">
    <w:name w:val="index 7"/>
    <w:basedOn w:val="Normal"/>
    <w:next w:val="Normal"/>
    <w:autoRedefine/>
    <w:semiHidden/>
    <w:rsid w:val="00C77AA9"/>
    <w:pPr>
      <w:ind w:left="1400" w:hanging="200"/>
    </w:pPr>
  </w:style>
  <w:style w:type="paragraph" w:styleId="Index8">
    <w:name w:val="index 8"/>
    <w:basedOn w:val="Normal"/>
    <w:next w:val="Normal"/>
    <w:autoRedefine/>
    <w:semiHidden/>
    <w:rsid w:val="00C77AA9"/>
    <w:pPr>
      <w:ind w:left="1600" w:hanging="200"/>
    </w:pPr>
  </w:style>
  <w:style w:type="paragraph" w:styleId="Index9">
    <w:name w:val="index 9"/>
    <w:basedOn w:val="Normal"/>
    <w:next w:val="Normal"/>
    <w:autoRedefine/>
    <w:semiHidden/>
    <w:rsid w:val="00C77AA9"/>
    <w:pPr>
      <w:ind w:left="1800" w:hanging="200"/>
    </w:pPr>
  </w:style>
  <w:style w:type="paragraph" w:styleId="IndexHeading">
    <w:name w:val="index heading"/>
    <w:basedOn w:val="Normal"/>
    <w:next w:val="Index1"/>
    <w:semiHidden/>
    <w:rsid w:val="00C77AA9"/>
    <w:rPr>
      <w:rFonts w:cs="Arial"/>
      <w:b/>
      <w:bCs/>
    </w:rPr>
  </w:style>
  <w:style w:type="paragraph" w:customStyle="1" w:styleId="Instruction">
    <w:name w:val="Instruction"/>
    <w:basedOn w:val="Normal"/>
    <w:qFormat/>
    <w:rsid w:val="00C77AA9"/>
    <w:pPr>
      <w:tabs>
        <w:tab w:val="num" w:pos="360"/>
      </w:tabs>
      <w:spacing w:before="60" w:after="60"/>
    </w:pPr>
    <w:rPr>
      <w:sz w:val="16"/>
    </w:rPr>
  </w:style>
  <w:style w:type="character" w:styleId="LineNumber">
    <w:name w:val="line number"/>
    <w:basedOn w:val="DefaultParagraphFont"/>
    <w:semiHidden/>
    <w:rsid w:val="00C77AA9"/>
  </w:style>
  <w:style w:type="paragraph" w:styleId="List">
    <w:name w:val="List"/>
    <w:basedOn w:val="Normal"/>
    <w:semiHidden/>
    <w:rsid w:val="00C77AA9"/>
    <w:pPr>
      <w:ind w:left="283" w:hanging="283"/>
    </w:pPr>
  </w:style>
  <w:style w:type="paragraph" w:styleId="List2">
    <w:name w:val="List 2"/>
    <w:basedOn w:val="Normal"/>
    <w:semiHidden/>
    <w:rsid w:val="00C77AA9"/>
    <w:pPr>
      <w:ind w:left="566" w:hanging="283"/>
    </w:pPr>
  </w:style>
  <w:style w:type="paragraph" w:styleId="List3">
    <w:name w:val="List 3"/>
    <w:basedOn w:val="Normal"/>
    <w:semiHidden/>
    <w:rsid w:val="00C77AA9"/>
    <w:pPr>
      <w:ind w:left="849" w:hanging="283"/>
    </w:pPr>
  </w:style>
  <w:style w:type="paragraph" w:styleId="List4">
    <w:name w:val="List 4"/>
    <w:basedOn w:val="Normal"/>
    <w:semiHidden/>
    <w:rsid w:val="00C77AA9"/>
    <w:pPr>
      <w:ind w:left="1132" w:hanging="283"/>
    </w:pPr>
  </w:style>
  <w:style w:type="paragraph" w:styleId="List5">
    <w:name w:val="List 5"/>
    <w:basedOn w:val="Normal"/>
    <w:semiHidden/>
    <w:rsid w:val="00C77AA9"/>
    <w:pPr>
      <w:ind w:left="1415" w:hanging="283"/>
    </w:pPr>
  </w:style>
  <w:style w:type="paragraph" w:styleId="ListBullet">
    <w:name w:val="List Bullet"/>
    <w:basedOn w:val="BodyText"/>
    <w:qFormat/>
    <w:rsid w:val="00C77AA9"/>
    <w:pPr>
      <w:numPr>
        <w:numId w:val="3"/>
      </w:numPr>
    </w:pPr>
  </w:style>
  <w:style w:type="paragraph" w:styleId="ListBullet2">
    <w:name w:val="List Bullet 2"/>
    <w:basedOn w:val="BodyText"/>
    <w:semiHidden/>
    <w:rsid w:val="00C77AA9"/>
    <w:pPr>
      <w:numPr>
        <w:numId w:val="4"/>
      </w:numPr>
      <w:tabs>
        <w:tab w:val="clear" w:pos="567"/>
        <w:tab w:val="num" w:pos="1134"/>
      </w:tabs>
    </w:pPr>
  </w:style>
  <w:style w:type="paragraph" w:styleId="ListBullet3">
    <w:name w:val="List Bullet 3"/>
    <w:basedOn w:val="Normal"/>
    <w:semiHidden/>
    <w:rsid w:val="00C77AA9"/>
    <w:pPr>
      <w:numPr>
        <w:numId w:val="5"/>
      </w:numPr>
      <w:tabs>
        <w:tab w:val="clear" w:pos="926"/>
        <w:tab w:val="num" w:pos="1134"/>
      </w:tabs>
    </w:pPr>
  </w:style>
  <w:style w:type="paragraph" w:styleId="ListBullet4">
    <w:name w:val="List Bullet 4"/>
    <w:basedOn w:val="Normal"/>
    <w:semiHidden/>
    <w:rsid w:val="00C77AA9"/>
    <w:pPr>
      <w:numPr>
        <w:numId w:val="6"/>
      </w:numPr>
      <w:tabs>
        <w:tab w:val="clear" w:pos="1209"/>
        <w:tab w:val="num" w:pos="1287"/>
      </w:tabs>
    </w:pPr>
  </w:style>
  <w:style w:type="paragraph" w:styleId="ListBullet5">
    <w:name w:val="List Bullet 5"/>
    <w:basedOn w:val="Normal"/>
    <w:semiHidden/>
    <w:rsid w:val="00C77AA9"/>
    <w:pPr>
      <w:numPr>
        <w:numId w:val="7"/>
      </w:numPr>
      <w:tabs>
        <w:tab w:val="clear" w:pos="1492"/>
        <w:tab w:val="num" w:pos="1701"/>
      </w:tabs>
    </w:pPr>
  </w:style>
  <w:style w:type="paragraph" w:styleId="ListContinue">
    <w:name w:val="List Continue"/>
    <w:basedOn w:val="Normal"/>
    <w:semiHidden/>
    <w:rsid w:val="00C77AA9"/>
    <w:pPr>
      <w:spacing w:after="120"/>
      <w:ind w:left="283"/>
    </w:pPr>
  </w:style>
  <w:style w:type="paragraph" w:styleId="ListContinue2">
    <w:name w:val="List Continue 2"/>
    <w:basedOn w:val="Normal"/>
    <w:semiHidden/>
    <w:rsid w:val="00C77AA9"/>
    <w:pPr>
      <w:spacing w:after="120"/>
      <w:ind w:left="566"/>
    </w:pPr>
  </w:style>
  <w:style w:type="paragraph" w:styleId="ListContinue3">
    <w:name w:val="List Continue 3"/>
    <w:basedOn w:val="Normal"/>
    <w:semiHidden/>
    <w:rsid w:val="00C77AA9"/>
    <w:pPr>
      <w:spacing w:after="120"/>
      <w:ind w:left="849"/>
    </w:pPr>
  </w:style>
  <w:style w:type="paragraph" w:styleId="ListContinue4">
    <w:name w:val="List Continue 4"/>
    <w:basedOn w:val="Normal"/>
    <w:semiHidden/>
    <w:rsid w:val="00C77AA9"/>
    <w:pPr>
      <w:spacing w:after="120"/>
      <w:ind w:left="1132"/>
    </w:pPr>
  </w:style>
  <w:style w:type="paragraph" w:styleId="ListContinue5">
    <w:name w:val="List Continue 5"/>
    <w:basedOn w:val="Normal"/>
    <w:semiHidden/>
    <w:rsid w:val="00C77AA9"/>
    <w:pPr>
      <w:spacing w:after="120"/>
      <w:ind w:left="1415"/>
    </w:pPr>
  </w:style>
  <w:style w:type="paragraph" w:styleId="ListNumber">
    <w:name w:val="List Number"/>
    <w:basedOn w:val="BodyText"/>
    <w:qFormat/>
    <w:rsid w:val="00C77AA9"/>
    <w:pPr>
      <w:numPr>
        <w:numId w:val="8"/>
      </w:numPr>
    </w:pPr>
  </w:style>
  <w:style w:type="paragraph" w:styleId="ListNumber2">
    <w:name w:val="List Number 2"/>
    <w:basedOn w:val="Normal"/>
    <w:semiHidden/>
    <w:rsid w:val="00C77AA9"/>
    <w:pPr>
      <w:spacing w:after="240"/>
    </w:pPr>
  </w:style>
  <w:style w:type="paragraph" w:styleId="ListNumber3">
    <w:name w:val="List Number 3"/>
    <w:basedOn w:val="Normal"/>
    <w:semiHidden/>
    <w:rsid w:val="00C77AA9"/>
    <w:pPr>
      <w:numPr>
        <w:numId w:val="9"/>
      </w:numPr>
      <w:tabs>
        <w:tab w:val="clear" w:pos="926"/>
        <w:tab w:val="num" w:pos="1701"/>
      </w:tabs>
    </w:pPr>
  </w:style>
  <w:style w:type="paragraph" w:styleId="ListNumber4">
    <w:name w:val="List Number 4"/>
    <w:basedOn w:val="Normal"/>
    <w:semiHidden/>
    <w:rsid w:val="00C77AA9"/>
    <w:pPr>
      <w:numPr>
        <w:numId w:val="10"/>
      </w:numPr>
      <w:tabs>
        <w:tab w:val="clear" w:pos="1209"/>
        <w:tab w:val="num" w:pos="1701"/>
      </w:tabs>
    </w:pPr>
  </w:style>
  <w:style w:type="paragraph" w:styleId="ListNumber5">
    <w:name w:val="List Number 5"/>
    <w:basedOn w:val="Normal"/>
    <w:semiHidden/>
    <w:rsid w:val="00C77AA9"/>
    <w:pPr>
      <w:numPr>
        <w:numId w:val="11"/>
      </w:numPr>
      <w:tabs>
        <w:tab w:val="clear" w:pos="1492"/>
        <w:tab w:val="num" w:pos="1701"/>
      </w:tabs>
    </w:pPr>
  </w:style>
  <w:style w:type="paragraph" w:styleId="MacroText">
    <w:name w:val="macro"/>
    <w:link w:val="MacroTextChar"/>
    <w:semiHidden/>
    <w:rsid w:val="00C77AA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color w:val="333333"/>
      <w:sz w:val="20"/>
      <w:szCs w:val="20"/>
    </w:rPr>
  </w:style>
  <w:style w:type="character" w:customStyle="1" w:styleId="MacroTextChar">
    <w:name w:val="Macro Text Char"/>
    <w:basedOn w:val="DefaultParagraphFont"/>
    <w:link w:val="MacroText"/>
    <w:semiHidden/>
    <w:rsid w:val="00C77AA9"/>
    <w:rPr>
      <w:rFonts w:ascii="Courier New" w:eastAsia="Times New Roman" w:hAnsi="Courier New" w:cs="Courier New"/>
      <w:color w:val="333333"/>
      <w:sz w:val="20"/>
      <w:szCs w:val="20"/>
    </w:rPr>
  </w:style>
  <w:style w:type="table" w:customStyle="1" w:styleId="MarketingTable">
    <w:name w:val="Marketing Table"/>
    <w:basedOn w:val="GTTable"/>
    <w:uiPriority w:val="99"/>
    <w:rsid w:val="00C77AA9"/>
    <w:pPr>
      <w:spacing w:line="240" w:lineRule="atLeast"/>
    </w:pPr>
    <w:rPr>
      <w:color w:val="000000" w:themeColor="text1"/>
    </w:rPr>
    <w:tblPr>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tblCellMar>
    </w:tblPr>
    <w:tcPr>
      <w:shd w:val="clear" w:color="auto" w:fill="auto"/>
      <w:vAlign w:val="center"/>
    </w:tcPr>
    <w:tblStylePr w:type="firstRow">
      <w:pPr>
        <w:keepNext/>
        <w:keepLines/>
        <w:pageBreakBefore w:val="0"/>
        <w:widowControl/>
        <w:suppressLineNumbers w:val="0"/>
        <w:suppressAutoHyphens w:val="0"/>
        <w:wordWrap/>
        <w:contextualSpacing w:val="0"/>
        <w:jc w:val="left"/>
      </w:pPr>
      <w:rPr>
        <w:rFonts w:ascii="Arial" w:hAnsi="Arial"/>
        <w:b/>
        <w:color w:val="FFFFFF" w:themeColor="background1"/>
        <w:sz w:val="20"/>
        <w:u w:val="none"/>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7293B9"/>
        <w:noWrap/>
      </w:tcPr>
    </w:tblStylePr>
    <w:tblStylePr w:type="lastRow">
      <w:pPr>
        <w:keepNext w:val="0"/>
        <w:keepLines w:val="0"/>
        <w:pageBreakBefore w:val="0"/>
        <w:widowControl w:val="0"/>
        <w:suppressLineNumbers w:val="0"/>
        <w:suppressAutoHyphens w:val="0"/>
        <w:wordWrap/>
        <w:contextualSpacing w:val="0"/>
      </w:pPr>
      <w:tblPr/>
      <w:trPr>
        <w:cantSplit/>
      </w:trPr>
    </w:tblStylePr>
    <w:tblStylePr w:type="firstCol">
      <w:pPr>
        <w:keepNext w:val="0"/>
        <w:keepLines w:val="0"/>
        <w:pageBreakBefore w:val="0"/>
        <w:widowControl w:val="0"/>
        <w:suppressLineNumbers w:val="0"/>
        <w:suppressAutoHyphens w:val="0"/>
        <w:wordWrap/>
        <w:contextualSpacing w:val="0"/>
        <w:jc w:val="left"/>
      </w:pPr>
    </w:tblStylePr>
    <w:tblStylePr w:type="lastCol">
      <w:pPr>
        <w:wordWrap/>
        <w:contextualSpacing w:val="0"/>
      </w:pPr>
    </w:tblStylePr>
    <w:tblStylePr w:type="band1Vert">
      <w:pPr>
        <w:wordWrap/>
        <w:contextualSpacing w:val="0"/>
      </w:pPr>
    </w:tblStylePr>
    <w:tblStylePr w:type="band2Vert">
      <w:pPr>
        <w:wordWrap/>
        <w:contextualSpacing w:val="0"/>
      </w:pPr>
    </w:tblStylePr>
    <w:tblStylePr w:type="band1Horz">
      <w:pPr>
        <w:keepNext w:val="0"/>
        <w:keepLines w:val="0"/>
        <w:pageBreakBefore w:val="0"/>
        <w:widowControl w:val="0"/>
        <w:suppressLineNumbers w:val="0"/>
        <w:suppressAutoHyphens w:val="0"/>
        <w:wordWrap/>
      </w:pPr>
      <w:rPr>
        <w:rFonts w:ascii="Arial" w:hAnsi="Arial"/>
        <w:color w:val="000000" w:themeColor="text1"/>
        <w:sz w:val="20"/>
      </w:rPr>
      <w:tblPr/>
      <w:trPr>
        <w:cantSplit/>
      </w:trPr>
    </w:tblStylePr>
    <w:tblStylePr w:type="band2Horz">
      <w:pPr>
        <w:keepNext w:val="0"/>
        <w:keepLines w:val="0"/>
        <w:pageBreakBefore w:val="0"/>
        <w:widowControl w:val="0"/>
        <w:suppressLineNumbers w:val="0"/>
        <w:suppressAutoHyphens w:val="0"/>
        <w:wordWrap/>
      </w:pPr>
      <w:rPr>
        <w:rFonts w:ascii="Arial" w:hAnsi="Arial"/>
        <w:color w:val="000000" w:themeColor="text1"/>
        <w:sz w:val="20"/>
      </w:rPr>
      <w:tblPr/>
      <w:trPr>
        <w:cantSplit/>
      </w:trPr>
    </w:tblStylePr>
  </w:style>
  <w:style w:type="paragraph" w:styleId="MessageHeader">
    <w:name w:val="Message Header"/>
    <w:basedOn w:val="Normal"/>
    <w:link w:val="MessageHeaderChar"/>
    <w:semiHidden/>
    <w:rsid w:val="00C77A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77AA9"/>
    <w:rPr>
      <w:rFonts w:ascii="Arial" w:eastAsia="Times New Roman" w:hAnsi="Arial" w:cs="Arial"/>
      <w:sz w:val="24"/>
      <w:szCs w:val="24"/>
      <w:shd w:val="pct20" w:color="auto" w:fill="auto"/>
      <w:lang w:eastAsia="en-AU"/>
    </w:rPr>
  </w:style>
  <w:style w:type="paragraph" w:styleId="NormalWeb">
    <w:name w:val="Normal (Web)"/>
    <w:basedOn w:val="Normal"/>
    <w:semiHidden/>
    <w:rsid w:val="00C77AA9"/>
    <w:rPr>
      <w:szCs w:val="24"/>
    </w:rPr>
  </w:style>
  <w:style w:type="paragraph" w:styleId="NormalIndent">
    <w:name w:val="Normal Indent"/>
    <w:basedOn w:val="Normal"/>
    <w:semiHidden/>
    <w:rsid w:val="00C77AA9"/>
    <w:pPr>
      <w:ind w:left="720"/>
    </w:pPr>
  </w:style>
  <w:style w:type="paragraph" w:styleId="NoteHeading">
    <w:name w:val="Note Heading"/>
    <w:basedOn w:val="Normal"/>
    <w:next w:val="Normal"/>
    <w:link w:val="NoteHeadingChar"/>
    <w:semiHidden/>
    <w:rsid w:val="00C77AA9"/>
  </w:style>
  <w:style w:type="character" w:customStyle="1" w:styleId="NoteHeadingChar">
    <w:name w:val="Note Heading Char"/>
    <w:basedOn w:val="DefaultParagraphFont"/>
    <w:link w:val="NoteHeading"/>
    <w:semiHidden/>
    <w:rsid w:val="00C77AA9"/>
    <w:rPr>
      <w:rFonts w:ascii="Arial" w:eastAsia="Times New Roman" w:hAnsi="Arial" w:cs="Times New Roman"/>
      <w:sz w:val="20"/>
      <w:szCs w:val="20"/>
      <w:lang w:eastAsia="en-AU"/>
    </w:rPr>
  </w:style>
  <w:style w:type="character" w:styleId="PageNumber">
    <w:name w:val="page number"/>
    <w:basedOn w:val="DefaultParagraphFont"/>
    <w:rsid w:val="00C77AA9"/>
    <w:rPr>
      <w:rFonts w:ascii="Arial" w:hAnsi="Arial"/>
      <w:b/>
      <w:color w:val="auto"/>
      <w:sz w:val="14"/>
      <w:szCs w:val="16"/>
    </w:rPr>
  </w:style>
  <w:style w:type="paragraph" w:styleId="PlainText">
    <w:name w:val="Plain Text"/>
    <w:basedOn w:val="Normal"/>
    <w:link w:val="PlainTextChar"/>
    <w:semiHidden/>
    <w:rsid w:val="00C77AA9"/>
    <w:rPr>
      <w:rFonts w:ascii="Courier New" w:hAnsi="Courier New" w:cs="Courier New"/>
    </w:rPr>
  </w:style>
  <w:style w:type="character" w:customStyle="1" w:styleId="PlainTextChar">
    <w:name w:val="Plain Text Char"/>
    <w:basedOn w:val="DefaultParagraphFont"/>
    <w:link w:val="PlainText"/>
    <w:semiHidden/>
    <w:rsid w:val="00C77AA9"/>
    <w:rPr>
      <w:rFonts w:ascii="Courier New" w:eastAsia="Times New Roman" w:hAnsi="Courier New" w:cs="Courier New"/>
      <w:sz w:val="20"/>
      <w:szCs w:val="20"/>
      <w:lang w:eastAsia="en-AU"/>
    </w:rPr>
  </w:style>
  <w:style w:type="paragraph" w:customStyle="1" w:styleId="PrecCoverListBullet">
    <w:name w:val="Prec Cover List Bullet"/>
    <w:basedOn w:val="ListBullet"/>
    <w:qFormat/>
    <w:rsid w:val="00C77AA9"/>
    <w:pPr>
      <w:numPr>
        <w:numId w:val="12"/>
      </w:numPr>
    </w:pPr>
  </w:style>
  <w:style w:type="paragraph" w:customStyle="1" w:styleId="PrecCoverListBullet2">
    <w:name w:val="Prec Cover List Bullet 2"/>
    <w:basedOn w:val="PrecCoverListBullet"/>
    <w:qFormat/>
    <w:rsid w:val="00C77AA9"/>
    <w:pPr>
      <w:numPr>
        <w:ilvl w:val="1"/>
      </w:numPr>
    </w:pPr>
  </w:style>
  <w:style w:type="paragraph" w:customStyle="1" w:styleId="PrecInstructionNumber">
    <w:name w:val="Prec Instruction Number"/>
    <w:basedOn w:val="Normal"/>
    <w:qFormat/>
    <w:rsid w:val="00C77AA9"/>
    <w:pPr>
      <w:numPr>
        <w:numId w:val="13"/>
      </w:numPr>
      <w:tabs>
        <w:tab w:val="left" w:pos="567"/>
        <w:tab w:val="left" w:pos="851"/>
      </w:tabs>
      <w:spacing w:before="60" w:after="60"/>
    </w:pPr>
    <w:rPr>
      <w:sz w:val="16"/>
    </w:rPr>
  </w:style>
  <w:style w:type="paragraph" w:customStyle="1" w:styleId="PrecListBullet">
    <w:name w:val="Prec List Bullet"/>
    <w:basedOn w:val="ListBullet"/>
    <w:rsid w:val="00C77AA9"/>
    <w:pPr>
      <w:numPr>
        <w:numId w:val="14"/>
      </w:numPr>
      <w:spacing w:before="60" w:after="60"/>
    </w:pPr>
    <w:rPr>
      <w:sz w:val="16"/>
    </w:rPr>
  </w:style>
  <w:style w:type="paragraph" w:customStyle="1" w:styleId="PrecListBullet2">
    <w:name w:val="Prec List Bullet 2"/>
    <w:basedOn w:val="PrecListBullet"/>
    <w:rsid w:val="00C77AA9"/>
    <w:pPr>
      <w:numPr>
        <w:numId w:val="15"/>
      </w:numPr>
      <w:tabs>
        <w:tab w:val="left" w:pos="284"/>
      </w:tabs>
    </w:pPr>
  </w:style>
  <w:style w:type="paragraph" w:customStyle="1" w:styleId="Prectitle">
    <w:name w:val="Prec__title"/>
    <w:basedOn w:val="Normal"/>
    <w:rsid w:val="00C77AA9"/>
    <w:pPr>
      <w:ind w:right="2552"/>
    </w:pPr>
    <w:rPr>
      <w:rFonts w:cs="Arial"/>
      <w:b/>
      <w:bCs/>
      <w:color w:val="0047BB"/>
      <w:sz w:val="36"/>
    </w:rPr>
  </w:style>
  <w:style w:type="paragraph" w:customStyle="1" w:styleId="PrecBodyText">
    <w:name w:val="Prec_BodyText"/>
    <w:basedOn w:val="BodyText"/>
    <w:rsid w:val="00C77AA9"/>
  </w:style>
  <w:style w:type="paragraph" w:customStyle="1" w:styleId="Precheading">
    <w:name w:val="Prec_heading"/>
    <w:basedOn w:val="Normal"/>
    <w:next w:val="BodyText"/>
    <w:rsid w:val="00C77AA9"/>
    <w:pPr>
      <w:pBdr>
        <w:top w:val="single" w:sz="6" w:space="9" w:color="auto"/>
      </w:pBdr>
      <w:spacing w:before="480" w:after="120"/>
    </w:pPr>
    <w:rPr>
      <w:rFonts w:cs="Arial"/>
      <w:b/>
      <w:bCs/>
      <w:color w:val="0047BB"/>
      <w:sz w:val="28"/>
    </w:rPr>
  </w:style>
  <w:style w:type="paragraph" w:styleId="Salutation">
    <w:name w:val="Salutation"/>
    <w:basedOn w:val="Normal"/>
    <w:next w:val="Normal"/>
    <w:link w:val="SalutationChar"/>
    <w:semiHidden/>
    <w:rsid w:val="00C77AA9"/>
  </w:style>
  <w:style w:type="character" w:customStyle="1" w:styleId="SalutationChar">
    <w:name w:val="Salutation Char"/>
    <w:basedOn w:val="DefaultParagraphFont"/>
    <w:link w:val="Salutation"/>
    <w:semiHidden/>
    <w:rsid w:val="00C77AA9"/>
    <w:rPr>
      <w:rFonts w:ascii="Arial" w:eastAsia="Times New Roman" w:hAnsi="Arial" w:cs="Times New Roman"/>
      <w:sz w:val="20"/>
      <w:szCs w:val="20"/>
      <w:lang w:eastAsia="en-AU"/>
    </w:rPr>
  </w:style>
  <w:style w:type="paragraph" w:styleId="Signature">
    <w:name w:val="Signature"/>
    <w:basedOn w:val="Normal"/>
    <w:link w:val="SignatureChar"/>
    <w:semiHidden/>
    <w:rsid w:val="00C77AA9"/>
    <w:pPr>
      <w:ind w:left="4252"/>
    </w:pPr>
  </w:style>
  <w:style w:type="character" w:customStyle="1" w:styleId="SignatureChar">
    <w:name w:val="Signature Char"/>
    <w:basedOn w:val="DefaultParagraphFont"/>
    <w:link w:val="Signature"/>
    <w:semiHidden/>
    <w:rsid w:val="00C77AA9"/>
    <w:rPr>
      <w:rFonts w:ascii="Arial" w:eastAsia="Times New Roman" w:hAnsi="Arial" w:cs="Times New Roman"/>
      <w:sz w:val="20"/>
      <w:szCs w:val="20"/>
      <w:lang w:eastAsia="en-AU"/>
    </w:rPr>
  </w:style>
  <w:style w:type="character" w:styleId="Strong">
    <w:name w:val="Strong"/>
    <w:basedOn w:val="DefaultParagraphFont"/>
    <w:qFormat/>
    <w:rsid w:val="00C77AA9"/>
    <w:rPr>
      <w:rFonts w:ascii="Arial" w:hAnsi="Arial"/>
      <w:b/>
      <w:bCs/>
      <w:sz w:val="20"/>
    </w:rPr>
  </w:style>
  <w:style w:type="paragraph" w:customStyle="1" w:styleId="Subheading">
    <w:name w:val="Subheading"/>
    <w:basedOn w:val="Heading2"/>
    <w:next w:val="BodyText"/>
    <w:qFormat/>
    <w:rsid w:val="00C77AA9"/>
    <w:pPr>
      <w:numPr>
        <w:ilvl w:val="0"/>
        <w:numId w:val="0"/>
      </w:numPr>
    </w:pPr>
    <w:rPr>
      <w:b/>
    </w:rPr>
  </w:style>
  <w:style w:type="paragraph" w:styleId="Subtitle">
    <w:name w:val="Subtitle"/>
    <w:basedOn w:val="Normal"/>
    <w:link w:val="SubtitleChar"/>
    <w:qFormat/>
    <w:rsid w:val="00C77AA9"/>
    <w:pPr>
      <w:spacing w:after="60"/>
      <w:jc w:val="center"/>
      <w:outlineLvl w:val="1"/>
    </w:pPr>
    <w:rPr>
      <w:rFonts w:cs="Arial"/>
      <w:sz w:val="24"/>
      <w:szCs w:val="24"/>
    </w:rPr>
  </w:style>
  <w:style w:type="character" w:customStyle="1" w:styleId="SubtitleChar">
    <w:name w:val="Subtitle Char"/>
    <w:basedOn w:val="DefaultParagraphFont"/>
    <w:link w:val="Subtitle"/>
    <w:rsid w:val="00C77AA9"/>
    <w:rPr>
      <w:rFonts w:ascii="Arial" w:eastAsia="Times New Roman" w:hAnsi="Arial" w:cs="Arial"/>
      <w:sz w:val="24"/>
      <w:szCs w:val="24"/>
      <w:lang w:eastAsia="en-AU"/>
    </w:rPr>
  </w:style>
  <w:style w:type="paragraph" w:customStyle="1" w:styleId="Table">
    <w:name w:val="Table"/>
    <w:basedOn w:val="Normal"/>
    <w:rsid w:val="00C77AA9"/>
    <w:pPr>
      <w:spacing w:before="120" w:after="120"/>
    </w:pPr>
  </w:style>
  <w:style w:type="table" w:styleId="Table3Deffects1">
    <w:name w:val="Table 3D effects 1"/>
    <w:basedOn w:val="TableNormal"/>
    <w:semiHidden/>
    <w:rsid w:val="00C77AA9"/>
    <w:pPr>
      <w:spacing w:after="0" w:line="240" w:lineRule="auto"/>
    </w:pPr>
    <w:rPr>
      <w:rFonts w:ascii="Arial" w:hAnsi="Arial"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7AA9"/>
    <w:pPr>
      <w:spacing w:after="0" w:line="240" w:lineRule="auto"/>
    </w:pPr>
    <w:rPr>
      <w:rFonts w:ascii="Arial" w:hAnsi="Arial"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7AA9"/>
    <w:pPr>
      <w:spacing w:after="0" w:line="240" w:lineRule="auto"/>
    </w:pPr>
    <w:rPr>
      <w:rFonts w:ascii="Arial" w:hAnsi="Arial"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77AA9"/>
    <w:pPr>
      <w:spacing w:after="0" w:line="240" w:lineRule="auto"/>
    </w:pPr>
    <w:rPr>
      <w:rFonts w:ascii="Arial" w:hAnsi="Arial"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7AA9"/>
    <w:pPr>
      <w:spacing w:after="0" w:line="240" w:lineRule="auto"/>
    </w:pPr>
    <w:rPr>
      <w:rFonts w:ascii="Arial" w:hAnsi="Arial"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7AA9"/>
    <w:pPr>
      <w:spacing w:after="0" w:line="240" w:lineRule="auto"/>
    </w:pPr>
    <w:rPr>
      <w:rFonts w:ascii="Arial" w:hAnsi="Arial"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7AA9"/>
    <w:pPr>
      <w:spacing w:after="0" w:line="240" w:lineRule="auto"/>
    </w:pPr>
    <w:rPr>
      <w:rFonts w:ascii="Arial" w:hAnsi="Arial"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77AA9"/>
    <w:pPr>
      <w:spacing w:after="0" w:line="240" w:lineRule="auto"/>
    </w:pPr>
    <w:rPr>
      <w:rFonts w:ascii="Arial" w:hAnsi="Arial"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7AA9"/>
    <w:pPr>
      <w:spacing w:after="0" w:line="240" w:lineRule="auto"/>
    </w:pPr>
    <w:rPr>
      <w:rFonts w:ascii="Arial" w:hAnsi="Arial"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7AA9"/>
    <w:pPr>
      <w:spacing w:after="0" w:line="240" w:lineRule="auto"/>
    </w:pPr>
    <w:rPr>
      <w:rFonts w:ascii="Arial" w:hAnsi="Arial"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77AA9"/>
    <w:pPr>
      <w:spacing w:after="0" w:line="240" w:lineRule="auto"/>
    </w:pPr>
    <w:rPr>
      <w:rFonts w:ascii="Arial" w:hAnsi="Arial"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7AA9"/>
    <w:pPr>
      <w:spacing w:after="0" w:line="240" w:lineRule="auto"/>
    </w:pPr>
    <w:rPr>
      <w:rFonts w:ascii="Arial" w:hAnsi="Arial"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7AA9"/>
    <w:pPr>
      <w:spacing w:after="0" w:line="240" w:lineRule="auto"/>
    </w:pPr>
    <w:rPr>
      <w:rFonts w:ascii="Arial" w:hAnsi="Arial"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7AA9"/>
    <w:pPr>
      <w:spacing w:after="0" w:line="240" w:lineRule="auto"/>
    </w:pPr>
    <w:rPr>
      <w:rFonts w:ascii="Arial" w:hAnsi="Arial"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7AA9"/>
    <w:pPr>
      <w:spacing w:after="0" w:line="240" w:lineRule="auto"/>
    </w:pPr>
    <w:rPr>
      <w:rFonts w:ascii="Arial" w:hAnsi="Arial"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77AA9"/>
    <w:pPr>
      <w:spacing w:after="0" w:line="240" w:lineRule="auto"/>
    </w:pPr>
    <w:rPr>
      <w:rFonts w:ascii="Arial" w:hAnsi="Arial"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77AA9"/>
    <w:pPr>
      <w:spacing w:after="0" w:line="240" w:lineRule="auto"/>
    </w:pPr>
    <w:rPr>
      <w:rFonts w:ascii="Arial" w:hAnsi="Arial"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77AA9"/>
    <w:pPr>
      <w:spacing w:after="0" w:line="240" w:lineRule="auto"/>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7AA9"/>
    <w:pPr>
      <w:spacing w:after="0" w:line="240" w:lineRule="auto"/>
    </w:pPr>
    <w:rPr>
      <w:rFonts w:ascii="Arial" w:hAnsi="Arial"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7AA9"/>
    <w:pPr>
      <w:spacing w:after="0" w:line="240" w:lineRule="auto"/>
    </w:pPr>
    <w:rPr>
      <w:rFonts w:ascii="Arial" w:hAnsi="Arial"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7AA9"/>
    <w:pPr>
      <w:spacing w:after="0" w:line="240" w:lineRule="auto"/>
    </w:pPr>
    <w:rPr>
      <w:rFonts w:ascii="Arial" w:hAnsi="Arial"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7AA9"/>
    <w:pPr>
      <w:spacing w:after="0" w:line="240" w:lineRule="auto"/>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7AA9"/>
    <w:pPr>
      <w:spacing w:after="0" w:line="240" w:lineRule="auto"/>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7AA9"/>
    <w:pPr>
      <w:spacing w:after="0" w:line="240" w:lineRule="auto"/>
    </w:pPr>
    <w:rPr>
      <w:rFonts w:ascii="Arial" w:hAnsi="Arial"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7AA9"/>
    <w:pPr>
      <w:spacing w:after="0" w:line="240" w:lineRule="auto"/>
    </w:pPr>
    <w:rPr>
      <w:rFonts w:ascii="Arial" w:hAnsi="Arial"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77AA9"/>
    <w:pPr>
      <w:spacing w:after="0" w:line="240" w:lineRule="auto"/>
    </w:pPr>
    <w:rPr>
      <w:rFonts w:ascii="Arial" w:hAnsi="Arial"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7AA9"/>
    <w:pPr>
      <w:spacing w:after="0" w:line="240" w:lineRule="auto"/>
    </w:pPr>
    <w:rPr>
      <w:rFonts w:ascii="Arial" w:hAnsi="Arial"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7AA9"/>
    <w:pPr>
      <w:spacing w:after="0" w:line="240" w:lineRule="auto"/>
    </w:pPr>
    <w:rPr>
      <w:rFonts w:ascii="Arial" w:hAnsi="Arial"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7AA9"/>
    <w:pPr>
      <w:spacing w:after="0" w:line="240" w:lineRule="auto"/>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7AA9"/>
    <w:pPr>
      <w:spacing w:after="0" w:line="240" w:lineRule="auto"/>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7AA9"/>
    <w:pPr>
      <w:spacing w:after="0" w:line="240" w:lineRule="auto"/>
    </w:pPr>
    <w:rPr>
      <w:rFonts w:ascii="Arial" w:hAnsi="Arial"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7AA9"/>
    <w:pPr>
      <w:spacing w:after="0" w:line="240" w:lineRule="auto"/>
    </w:pPr>
    <w:rPr>
      <w:rFonts w:ascii="Arial" w:hAnsi="Arial"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7AA9"/>
    <w:pPr>
      <w:spacing w:after="0" w:line="240" w:lineRule="auto"/>
    </w:pPr>
    <w:rPr>
      <w:rFonts w:ascii="Arial" w:hAnsi="Arial"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77AA9"/>
    <w:pPr>
      <w:ind w:left="200" w:hanging="200"/>
    </w:pPr>
  </w:style>
  <w:style w:type="paragraph" w:styleId="TableofFigures">
    <w:name w:val="table of figures"/>
    <w:basedOn w:val="Normal"/>
    <w:next w:val="Normal"/>
    <w:semiHidden/>
    <w:rsid w:val="00C77AA9"/>
    <w:pPr>
      <w:ind w:left="400" w:hanging="400"/>
    </w:pPr>
  </w:style>
  <w:style w:type="table" w:styleId="TableProfessional">
    <w:name w:val="Table Professional"/>
    <w:basedOn w:val="TableNormal"/>
    <w:semiHidden/>
    <w:rsid w:val="00C77AA9"/>
    <w:pPr>
      <w:spacing w:after="0" w:line="240" w:lineRule="auto"/>
    </w:pPr>
    <w:rPr>
      <w:rFonts w:ascii="Arial" w:hAnsi="Arial"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77AA9"/>
    <w:pPr>
      <w:spacing w:after="0" w:line="240" w:lineRule="auto"/>
    </w:pPr>
    <w:rPr>
      <w:rFonts w:ascii="Arial" w:hAnsi="Arial"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7AA9"/>
    <w:pPr>
      <w:spacing w:after="0" w:line="240" w:lineRule="auto"/>
    </w:pPr>
    <w:rPr>
      <w:rFonts w:ascii="Arial" w:hAnsi="Arial"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7AA9"/>
    <w:pPr>
      <w:spacing w:after="0" w:line="240" w:lineRule="auto"/>
    </w:pPr>
    <w:rPr>
      <w:rFonts w:ascii="Arial" w:hAnsi="Arial"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7AA9"/>
    <w:pPr>
      <w:spacing w:after="0" w:line="240" w:lineRule="auto"/>
    </w:pPr>
    <w:rPr>
      <w:rFonts w:ascii="Arial" w:hAnsi="Arial"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7AA9"/>
    <w:pPr>
      <w:spacing w:after="0" w:line="240" w:lineRule="auto"/>
    </w:pPr>
    <w:rPr>
      <w:rFonts w:ascii="Arial" w:hAnsi="Arial"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77AA9"/>
    <w:pPr>
      <w:spacing w:after="0" w:line="240" w:lineRule="auto"/>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77AA9"/>
    <w:pPr>
      <w:spacing w:after="0" w:line="240" w:lineRule="auto"/>
    </w:pPr>
    <w:rPr>
      <w:rFonts w:ascii="Arial" w:hAnsi="Arial"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7AA9"/>
    <w:pPr>
      <w:spacing w:after="0" w:line="240" w:lineRule="auto"/>
    </w:pPr>
    <w:rPr>
      <w:rFonts w:ascii="Arial" w:hAnsi="Arial"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7AA9"/>
    <w:pPr>
      <w:spacing w:after="0" w:line="240" w:lineRule="auto"/>
    </w:pPr>
    <w:rPr>
      <w:rFonts w:ascii="Arial" w:hAnsi="Arial"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77AA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77AA9"/>
    <w:rPr>
      <w:rFonts w:ascii="Arial" w:eastAsia="Times New Roman" w:hAnsi="Arial" w:cs="Arial"/>
      <w:b/>
      <w:bCs/>
      <w:kern w:val="28"/>
      <w:sz w:val="32"/>
      <w:szCs w:val="32"/>
      <w:lang w:eastAsia="en-AU"/>
    </w:rPr>
  </w:style>
  <w:style w:type="paragraph" w:styleId="TOAHeading">
    <w:name w:val="toa heading"/>
    <w:basedOn w:val="Normal"/>
    <w:next w:val="Normal"/>
    <w:semiHidden/>
    <w:rsid w:val="00C77AA9"/>
    <w:pPr>
      <w:spacing w:before="120"/>
    </w:pPr>
    <w:rPr>
      <w:rFonts w:cs="Arial"/>
      <w:b/>
      <w:bCs/>
      <w:sz w:val="24"/>
      <w:szCs w:val="24"/>
    </w:rPr>
  </w:style>
  <w:style w:type="paragraph" w:styleId="TOC1">
    <w:name w:val="toc 1"/>
    <w:basedOn w:val="Normal"/>
    <w:next w:val="Normal"/>
    <w:uiPriority w:val="39"/>
    <w:rsid w:val="00C77AA9"/>
    <w:pPr>
      <w:tabs>
        <w:tab w:val="right" w:pos="7655"/>
      </w:tabs>
      <w:spacing w:after="240"/>
      <w:ind w:left="1701" w:right="1985" w:hanging="567"/>
    </w:pPr>
  </w:style>
  <w:style w:type="paragraph" w:styleId="TOC2">
    <w:name w:val="toc 2"/>
    <w:basedOn w:val="TOC1"/>
    <w:next w:val="TOC1"/>
    <w:uiPriority w:val="39"/>
    <w:rsid w:val="00C77AA9"/>
    <w:pPr>
      <w:tabs>
        <w:tab w:val="left" w:pos="2608"/>
      </w:tabs>
      <w:ind w:left="1486" w:firstLine="0"/>
    </w:pPr>
    <w:rPr>
      <w:noProof/>
    </w:rPr>
  </w:style>
  <w:style w:type="paragraph" w:styleId="TOC3">
    <w:name w:val="toc 3"/>
    <w:basedOn w:val="TOC2"/>
    <w:rsid w:val="00C77AA9"/>
    <w:pPr>
      <w:tabs>
        <w:tab w:val="clear" w:pos="2608"/>
        <w:tab w:val="left" w:pos="2835"/>
      </w:tabs>
    </w:pPr>
  </w:style>
  <w:style w:type="paragraph" w:styleId="TOC4">
    <w:name w:val="toc 4"/>
    <w:basedOn w:val="Normal"/>
    <w:uiPriority w:val="39"/>
    <w:rsid w:val="00C77AA9"/>
  </w:style>
  <w:style w:type="paragraph" w:styleId="TOC5">
    <w:name w:val="toc 5"/>
    <w:basedOn w:val="Normal"/>
    <w:semiHidden/>
    <w:rsid w:val="00C77AA9"/>
  </w:style>
  <w:style w:type="paragraph" w:styleId="TOC6">
    <w:name w:val="toc 6"/>
    <w:basedOn w:val="Normal"/>
    <w:semiHidden/>
    <w:rsid w:val="00C77AA9"/>
  </w:style>
  <w:style w:type="paragraph" w:styleId="TOC7">
    <w:name w:val="toc 7"/>
    <w:basedOn w:val="Normal"/>
    <w:semiHidden/>
    <w:rsid w:val="00C77AA9"/>
  </w:style>
  <w:style w:type="paragraph" w:styleId="TOC8">
    <w:name w:val="toc 8"/>
    <w:basedOn w:val="Normal"/>
    <w:semiHidden/>
    <w:rsid w:val="00C77AA9"/>
  </w:style>
  <w:style w:type="paragraph" w:styleId="TOC9">
    <w:name w:val="toc 9"/>
    <w:basedOn w:val="Normal"/>
    <w:semiHidden/>
    <w:rsid w:val="00C77AA9"/>
  </w:style>
  <w:style w:type="paragraph" w:customStyle="1" w:styleId="xFooter">
    <w:name w:val="xFooter"/>
    <w:basedOn w:val="Normal"/>
    <w:qFormat/>
    <w:rsid w:val="00C77AA9"/>
    <w:pPr>
      <w:tabs>
        <w:tab w:val="right" w:pos="9072"/>
      </w:tabs>
      <w:spacing w:before="120" w:after="120"/>
      <w:ind w:left="-113"/>
    </w:pPr>
    <w:rPr>
      <w:color w:val="000000"/>
      <w:sz w:val="14"/>
      <w:lang w:eastAsia="en-US"/>
    </w:rPr>
  </w:style>
  <w:style w:type="paragraph" w:styleId="ListParagraph">
    <w:name w:val="List Paragraph"/>
    <w:basedOn w:val="Normal"/>
    <w:uiPriority w:val="1"/>
    <w:qFormat/>
    <w:rsid w:val="000F02B4"/>
    <w:pPr>
      <w:ind w:left="720"/>
      <w:contextualSpacing/>
    </w:pPr>
  </w:style>
  <w:style w:type="character" w:customStyle="1" w:styleId="UnresolvedMention1">
    <w:name w:val="Unresolved Mention1"/>
    <w:basedOn w:val="DefaultParagraphFont"/>
    <w:uiPriority w:val="99"/>
    <w:semiHidden/>
    <w:unhideWhenUsed/>
    <w:rsid w:val="0015366A"/>
    <w:rPr>
      <w:color w:val="808080"/>
      <w:shd w:val="clear" w:color="auto" w:fill="E6E6E6"/>
    </w:rPr>
  </w:style>
  <w:style w:type="paragraph" w:customStyle="1" w:styleId="Default">
    <w:name w:val="Default"/>
    <w:rsid w:val="001A0D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rsid w:val="00267483"/>
    <w:rPr>
      <w:color w:val="808080"/>
      <w:shd w:val="clear" w:color="auto" w:fill="E6E6E6"/>
    </w:rPr>
  </w:style>
  <w:style w:type="character" w:customStyle="1" w:styleId="Partreference">
    <w:name w:val="Part reference"/>
    <w:basedOn w:val="DefaultParagraphFont"/>
    <w:rsid w:val="00801E38"/>
    <w:rPr>
      <w:b/>
      <w:sz w:val="16"/>
      <w:szCs w:val="16"/>
    </w:rPr>
  </w:style>
  <w:style w:type="character" w:customStyle="1" w:styleId="UnresolvedMention3">
    <w:name w:val="Unresolved Mention3"/>
    <w:basedOn w:val="DefaultParagraphFont"/>
    <w:rsid w:val="004277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De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5526-4804-4012-8A33-297BBADE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Template>
  <TotalTime>1</TotalTime>
  <Pages>18</Pages>
  <Words>5030</Words>
  <Characters>28677</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Callow</dc:creator>
  <cp:lastModifiedBy>Heather Callow</cp:lastModifiedBy>
  <cp:revision>2</cp:revision>
  <dcterms:created xsi:type="dcterms:W3CDTF">2023-07-11T11:32:00Z</dcterms:created>
  <dcterms:modified xsi:type="dcterms:W3CDTF">2023-07-11T11:32:00Z</dcterms:modified>
</cp:coreProperties>
</file>