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82" w:rsidRPr="0007288F" w:rsidRDefault="00247282" w:rsidP="0007288F">
      <w:pPr>
        <w:pStyle w:val="BodyText3"/>
        <w:spacing w:line="360" w:lineRule="auto"/>
        <w:jc w:val="center"/>
        <w:rPr>
          <w:b/>
          <w:sz w:val="22"/>
          <w:szCs w:val="22"/>
          <w:u w:val="single"/>
        </w:rPr>
      </w:pPr>
      <w:bookmarkStart w:id="0" w:name="_GoBack"/>
      <w:bookmarkEnd w:id="0"/>
      <w:r w:rsidRPr="0007288F">
        <w:rPr>
          <w:b/>
          <w:sz w:val="22"/>
          <w:szCs w:val="22"/>
        </w:rPr>
        <w:t>The Public Policy Exception in the Model Law</w:t>
      </w:r>
      <w:r w:rsidR="006A3933">
        <w:rPr>
          <w:b/>
          <w:sz w:val="22"/>
          <w:szCs w:val="22"/>
        </w:rPr>
        <w:t xml:space="preserve"> on Cross-Border Insolvency</w:t>
      </w:r>
      <w:r w:rsidRPr="0007288F">
        <w:rPr>
          <w:b/>
          <w:sz w:val="22"/>
          <w:szCs w:val="22"/>
        </w:rPr>
        <w:t>:</w:t>
      </w:r>
      <w:r w:rsidRPr="0007288F">
        <w:rPr>
          <w:b/>
          <w:sz w:val="22"/>
          <w:szCs w:val="22"/>
          <w:u w:val="single"/>
        </w:rPr>
        <w:t xml:space="preserve">  </w:t>
      </w:r>
      <w:r w:rsidRPr="0007288F">
        <w:rPr>
          <w:b/>
          <w:sz w:val="22"/>
          <w:szCs w:val="22"/>
          <w:u w:val="single"/>
        </w:rPr>
        <w:br/>
        <w:t>A Comparison of the United States and England</w:t>
      </w:r>
    </w:p>
    <w:p w:rsidR="00247282" w:rsidRPr="0007288F" w:rsidRDefault="00247282" w:rsidP="0007288F">
      <w:pPr>
        <w:pStyle w:val="BodyText3"/>
        <w:spacing w:line="360" w:lineRule="auto"/>
        <w:rPr>
          <w:sz w:val="22"/>
          <w:szCs w:val="22"/>
        </w:rPr>
      </w:pPr>
      <w:r w:rsidRPr="0007288F">
        <w:rPr>
          <w:i/>
          <w:sz w:val="22"/>
          <w:szCs w:val="22"/>
        </w:rPr>
        <w:t>Ronit J. Berkovich</w:t>
      </w:r>
      <w:r w:rsidRPr="0007288F">
        <w:rPr>
          <w:i/>
          <w:sz w:val="22"/>
          <w:szCs w:val="22"/>
        </w:rPr>
        <w:br/>
      </w:r>
      <w:r w:rsidRPr="0007288F">
        <w:rPr>
          <w:sz w:val="22"/>
          <w:szCs w:val="22"/>
        </w:rPr>
        <w:t xml:space="preserve">Weil, </w:t>
      </w:r>
      <w:proofErr w:type="spellStart"/>
      <w:r w:rsidRPr="0007288F">
        <w:rPr>
          <w:sz w:val="22"/>
          <w:szCs w:val="22"/>
        </w:rPr>
        <w:t>Got</w:t>
      </w:r>
      <w:r w:rsidR="00783AA3">
        <w:rPr>
          <w:sz w:val="22"/>
          <w:szCs w:val="22"/>
        </w:rPr>
        <w:t>s</w:t>
      </w:r>
      <w:r w:rsidRPr="0007288F">
        <w:rPr>
          <w:sz w:val="22"/>
          <w:szCs w:val="22"/>
        </w:rPr>
        <w:t>hal</w:t>
      </w:r>
      <w:proofErr w:type="spellEnd"/>
      <w:r w:rsidRPr="0007288F">
        <w:rPr>
          <w:sz w:val="22"/>
          <w:szCs w:val="22"/>
        </w:rPr>
        <w:t xml:space="preserve"> &amp; </w:t>
      </w:r>
      <w:proofErr w:type="spellStart"/>
      <w:r w:rsidRPr="0007288F">
        <w:rPr>
          <w:sz w:val="22"/>
          <w:szCs w:val="22"/>
        </w:rPr>
        <w:t>Manges</w:t>
      </w:r>
      <w:proofErr w:type="spellEnd"/>
      <w:r w:rsidRPr="0007288F">
        <w:rPr>
          <w:sz w:val="22"/>
          <w:szCs w:val="22"/>
        </w:rPr>
        <w:t xml:space="preserve"> LLP</w:t>
      </w:r>
    </w:p>
    <w:p w:rsidR="0007288F" w:rsidRDefault="0007288F">
      <w:pPr>
        <w:rPr>
          <w:rFonts w:eastAsia="Times New Roman" w:cs="Times New Roman"/>
          <w:sz w:val="22"/>
          <w:szCs w:val="22"/>
        </w:rPr>
      </w:pPr>
      <w:r>
        <w:rPr>
          <w:sz w:val="22"/>
          <w:szCs w:val="22"/>
        </w:rPr>
        <w:br w:type="page"/>
      </w:r>
    </w:p>
    <w:p w:rsidR="0007288F" w:rsidRDefault="0007288F">
      <w:pPr>
        <w:rPr>
          <w:sz w:val="22"/>
          <w:szCs w:val="22"/>
        </w:rPr>
      </w:pPr>
    </w:p>
    <w:p w:rsidR="0007288F" w:rsidRDefault="0007288F" w:rsidP="0007288F">
      <w:pPr>
        <w:jc w:val="center"/>
        <w:rPr>
          <w:b/>
          <w:sz w:val="22"/>
          <w:szCs w:val="22"/>
          <w:u w:val="single"/>
        </w:rPr>
      </w:pPr>
      <w:r>
        <w:rPr>
          <w:b/>
          <w:sz w:val="22"/>
          <w:szCs w:val="22"/>
          <w:u w:val="single"/>
        </w:rPr>
        <w:t>Table of Contents</w:t>
      </w:r>
    </w:p>
    <w:p w:rsidR="006A3933" w:rsidRDefault="006A3933" w:rsidP="0007288F">
      <w:pPr>
        <w:jc w:val="center"/>
        <w:rPr>
          <w:b/>
          <w:sz w:val="22"/>
          <w:szCs w:val="22"/>
          <w:u w:val="single"/>
        </w:rPr>
      </w:pPr>
    </w:p>
    <w:p w:rsidR="006A3933" w:rsidRDefault="006A3933" w:rsidP="0007288F">
      <w:pPr>
        <w:jc w:val="center"/>
        <w:rPr>
          <w:b/>
          <w:sz w:val="22"/>
          <w:szCs w:val="22"/>
          <w:u w:val="single"/>
        </w:rPr>
      </w:pPr>
    </w:p>
    <w:p w:rsidR="006A3933" w:rsidRDefault="006A3933" w:rsidP="006A3933">
      <w:pPr>
        <w:pStyle w:val="BodyText3"/>
      </w:pPr>
      <w:r>
        <w:t>1.</w:t>
      </w:r>
      <w:r>
        <w:tab/>
        <w:t>Introduction</w:t>
      </w:r>
      <w:r>
        <w:tab/>
      </w:r>
      <w:r>
        <w:tab/>
      </w:r>
      <w:r>
        <w:tab/>
      </w:r>
      <w:r>
        <w:tab/>
      </w:r>
      <w:r>
        <w:tab/>
      </w:r>
      <w:r>
        <w:tab/>
      </w:r>
      <w:r>
        <w:tab/>
        <w:t>3</w:t>
      </w:r>
    </w:p>
    <w:p w:rsidR="006A3933" w:rsidRDefault="006A3933" w:rsidP="006A3933">
      <w:pPr>
        <w:pStyle w:val="BodyText3"/>
      </w:pPr>
      <w:r>
        <w:t xml:space="preserve">2. </w:t>
      </w:r>
      <w:r>
        <w:tab/>
        <w:t>Overview of the Public Policy Exception</w:t>
      </w:r>
      <w:r>
        <w:tab/>
      </w:r>
      <w:r>
        <w:tab/>
      </w:r>
      <w:r>
        <w:tab/>
        <w:t>4</w:t>
      </w:r>
    </w:p>
    <w:p w:rsidR="006A3933" w:rsidRDefault="006A3933" w:rsidP="006A3933">
      <w:pPr>
        <w:pStyle w:val="BodyText3"/>
      </w:pPr>
      <w:r>
        <w:t>3.</w:t>
      </w:r>
      <w:r>
        <w:tab/>
        <w:t>The United States</w:t>
      </w:r>
      <w:r>
        <w:tab/>
      </w:r>
      <w:r>
        <w:tab/>
      </w:r>
      <w:r>
        <w:tab/>
      </w:r>
      <w:r>
        <w:tab/>
      </w:r>
      <w:r>
        <w:tab/>
      </w:r>
      <w:r>
        <w:tab/>
        <w:t>5</w:t>
      </w:r>
    </w:p>
    <w:p w:rsidR="006A3933" w:rsidRDefault="006A3933" w:rsidP="006A3933">
      <w:pPr>
        <w:pStyle w:val="BodyText3"/>
        <w:ind w:left="720"/>
      </w:pPr>
      <w:r>
        <w:t>3.1</w:t>
      </w:r>
      <w:r>
        <w:tab/>
        <w:t>General Approach of U.S. Courts</w:t>
      </w:r>
      <w:r>
        <w:br/>
      </w:r>
      <w:r>
        <w:tab/>
        <w:t>Applying Public Policy Exception</w:t>
      </w:r>
      <w:r>
        <w:tab/>
      </w:r>
      <w:r>
        <w:tab/>
      </w:r>
      <w:r>
        <w:tab/>
        <w:t>6</w:t>
      </w:r>
    </w:p>
    <w:p w:rsidR="006A3933" w:rsidRDefault="006A3933" w:rsidP="006A3933">
      <w:pPr>
        <w:pStyle w:val="BodyText3"/>
        <w:ind w:left="720"/>
      </w:pPr>
      <w:r>
        <w:t>3.2</w:t>
      </w:r>
      <w:r>
        <w:tab/>
        <w:t xml:space="preserve">U.S. Cases Where Public Policy </w:t>
      </w:r>
      <w:r>
        <w:br/>
      </w:r>
      <w:r>
        <w:tab/>
        <w:t>Exception Has Been Applied Successfully</w:t>
      </w:r>
      <w:r>
        <w:tab/>
      </w:r>
      <w:r>
        <w:tab/>
        <w:t>9</w:t>
      </w:r>
    </w:p>
    <w:p w:rsidR="007D3B11" w:rsidRDefault="007D3B11" w:rsidP="006A3933">
      <w:pPr>
        <w:pStyle w:val="BodyText3"/>
        <w:ind w:left="720"/>
      </w:pPr>
      <w:r>
        <w:t>3.3.</w:t>
      </w:r>
      <w:r>
        <w:tab/>
        <w:t>United States – Final Analysis</w:t>
      </w:r>
      <w:r>
        <w:tab/>
      </w:r>
      <w:r>
        <w:tab/>
      </w:r>
      <w:r>
        <w:tab/>
        <w:t>11</w:t>
      </w:r>
    </w:p>
    <w:p w:rsidR="006A3933" w:rsidRDefault="006A3933" w:rsidP="006A3933">
      <w:pPr>
        <w:pStyle w:val="BodyText3"/>
      </w:pPr>
      <w:r>
        <w:t>4.</w:t>
      </w:r>
      <w:r>
        <w:tab/>
        <w:t>England</w:t>
      </w:r>
      <w:r>
        <w:tab/>
      </w:r>
      <w:r>
        <w:tab/>
      </w:r>
      <w:r>
        <w:tab/>
      </w:r>
      <w:r>
        <w:tab/>
      </w:r>
      <w:r>
        <w:tab/>
      </w:r>
      <w:r>
        <w:tab/>
      </w:r>
      <w:r>
        <w:tab/>
      </w:r>
      <w:r w:rsidR="007D3B11">
        <w:t>12</w:t>
      </w:r>
    </w:p>
    <w:p w:rsidR="006A3933" w:rsidRDefault="006A3933" w:rsidP="006A3933">
      <w:pPr>
        <w:pStyle w:val="BodyText3"/>
        <w:ind w:left="720"/>
      </w:pPr>
      <w:r>
        <w:t>4.1</w:t>
      </w:r>
      <w:r>
        <w:tab/>
        <w:t>The CBIR</w:t>
      </w:r>
      <w:r>
        <w:tab/>
      </w:r>
      <w:r>
        <w:tab/>
      </w:r>
      <w:r>
        <w:tab/>
      </w:r>
      <w:r>
        <w:tab/>
      </w:r>
      <w:r>
        <w:tab/>
      </w:r>
      <w:r>
        <w:tab/>
      </w:r>
      <w:r w:rsidR="007D3B11">
        <w:t>12</w:t>
      </w:r>
    </w:p>
    <w:p w:rsidR="006A3933" w:rsidRDefault="006A3933" w:rsidP="006A3933">
      <w:pPr>
        <w:pStyle w:val="BodyText3"/>
        <w:ind w:left="720"/>
      </w:pPr>
      <w:r>
        <w:t>4.2</w:t>
      </w:r>
      <w:r>
        <w:tab/>
      </w:r>
      <w:proofErr w:type="spellStart"/>
      <w:r>
        <w:rPr>
          <w:i/>
        </w:rPr>
        <w:t>Agrokor</w:t>
      </w:r>
      <w:proofErr w:type="spellEnd"/>
      <w:r>
        <w:rPr>
          <w:i/>
        </w:rPr>
        <w:t>—</w:t>
      </w:r>
      <w:r>
        <w:t>General Principles</w:t>
      </w:r>
      <w:r>
        <w:tab/>
      </w:r>
      <w:r>
        <w:tab/>
      </w:r>
      <w:r>
        <w:tab/>
      </w:r>
      <w:r>
        <w:tab/>
        <w:t>12</w:t>
      </w:r>
    </w:p>
    <w:p w:rsidR="006A3933" w:rsidRDefault="006A3933" w:rsidP="006A3933">
      <w:pPr>
        <w:pStyle w:val="BodyText3"/>
        <w:ind w:left="720"/>
      </w:pPr>
      <w:r>
        <w:t>4.3</w:t>
      </w:r>
      <w:r>
        <w:tab/>
      </w:r>
      <w:proofErr w:type="spellStart"/>
      <w:r>
        <w:rPr>
          <w:i/>
        </w:rPr>
        <w:t>Agrokor</w:t>
      </w:r>
      <w:proofErr w:type="spellEnd"/>
      <w:r>
        <w:t>—Applic</w:t>
      </w:r>
      <w:r w:rsidR="007D3B11">
        <w:t xml:space="preserve">ation to Croatian Proceeding </w:t>
      </w:r>
      <w:r w:rsidR="007D3B11">
        <w:tab/>
        <w:t>14</w:t>
      </w:r>
    </w:p>
    <w:p w:rsidR="006A3933" w:rsidRDefault="006A3933" w:rsidP="006A3933">
      <w:pPr>
        <w:pStyle w:val="BodyText3"/>
        <w:ind w:left="720"/>
      </w:pPr>
      <w:r>
        <w:t>4.4</w:t>
      </w:r>
      <w:r>
        <w:tab/>
      </w:r>
      <w:proofErr w:type="spellStart"/>
      <w:r>
        <w:rPr>
          <w:i/>
        </w:rPr>
        <w:t>Agrokor</w:t>
      </w:r>
      <w:proofErr w:type="spellEnd"/>
      <w:r w:rsidR="007D3B11">
        <w:t>—Unanswered Questions</w:t>
      </w:r>
      <w:r w:rsidR="007D3B11">
        <w:tab/>
      </w:r>
      <w:r w:rsidR="007D3B11">
        <w:tab/>
      </w:r>
      <w:r w:rsidR="007D3B11">
        <w:tab/>
        <w:t>16</w:t>
      </w:r>
    </w:p>
    <w:p w:rsidR="006A3933" w:rsidRPr="001D4306" w:rsidRDefault="00BA24C4" w:rsidP="006A3933">
      <w:pPr>
        <w:pStyle w:val="BodyText3"/>
      </w:pPr>
      <w:r>
        <w:t>5.</w:t>
      </w:r>
      <w:r w:rsidR="006A3933">
        <w:tab/>
        <w:t>Conclusion</w:t>
      </w:r>
      <w:r w:rsidR="006A3933">
        <w:tab/>
      </w:r>
      <w:r w:rsidR="006A3933">
        <w:tab/>
      </w:r>
      <w:r w:rsidR="006A3933">
        <w:tab/>
      </w:r>
      <w:r w:rsidR="006A3933">
        <w:tab/>
      </w:r>
      <w:r w:rsidR="006A3933">
        <w:tab/>
      </w:r>
      <w:r w:rsidR="006A3933">
        <w:tab/>
      </w:r>
      <w:r w:rsidR="006A3933">
        <w:tab/>
      </w:r>
      <w:r w:rsidR="007D3B11">
        <w:t>16</w:t>
      </w:r>
    </w:p>
    <w:p w:rsidR="006A3933" w:rsidRPr="0007288F" w:rsidRDefault="006A3933" w:rsidP="006A3933">
      <w:pPr>
        <w:rPr>
          <w:b/>
          <w:sz w:val="22"/>
          <w:szCs w:val="22"/>
          <w:u w:val="single"/>
        </w:rPr>
      </w:pPr>
    </w:p>
    <w:p w:rsidR="0007288F" w:rsidRDefault="0007288F">
      <w:pPr>
        <w:rPr>
          <w:rFonts w:eastAsia="Times New Roman" w:cs="Times New Roman"/>
          <w:sz w:val="22"/>
          <w:szCs w:val="22"/>
        </w:rPr>
      </w:pPr>
      <w:r>
        <w:rPr>
          <w:sz w:val="22"/>
          <w:szCs w:val="22"/>
        </w:rPr>
        <w:br w:type="page"/>
      </w:r>
    </w:p>
    <w:p w:rsidR="0007288F" w:rsidRPr="0007288F" w:rsidRDefault="0007288F" w:rsidP="0007288F">
      <w:pPr>
        <w:pStyle w:val="BodyText3"/>
        <w:numPr>
          <w:ilvl w:val="0"/>
          <w:numId w:val="33"/>
        </w:numPr>
        <w:spacing w:line="360" w:lineRule="auto"/>
        <w:rPr>
          <w:sz w:val="22"/>
          <w:szCs w:val="22"/>
        </w:rPr>
      </w:pPr>
      <w:r>
        <w:rPr>
          <w:sz w:val="22"/>
          <w:szCs w:val="22"/>
        </w:rPr>
        <w:lastRenderedPageBreak/>
        <w:t>Introduction</w:t>
      </w:r>
    </w:p>
    <w:p w:rsidR="003909B4" w:rsidRPr="0007288F" w:rsidRDefault="003909B4" w:rsidP="0007288F">
      <w:pPr>
        <w:pStyle w:val="BodyText3"/>
        <w:spacing w:line="360" w:lineRule="auto"/>
        <w:rPr>
          <w:sz w:val="22"/>
          <w:szCs w:val="22"/>
        </w:rPr>
      </w:pPr>
      <w:r w:rsidRPr="0007288F">
        <w:rPr>
          <w:sz w:val="22"/>
          <w:szCs w:val="22"/>
        </w:rPr>
        <w:t xml:space="preserve">The UNCITRAL Model Law on Cross-Border Insolvency (the “Model Law”) </w:t>
      </w:r>
      <w:proofErr w:type="gramStart"/>
      <w:r w:rsidRPr="0007288F">
        <w:rPr>
          <w:sz w:val="22"/>
          <w:szCs w:val="22"/>
        </w:rPr>
        <w:t>was intended</w:t>
      </w:r>
      <w:proofErr w:type="gramEnd"/>
      <w:r w:rsidRPr="0007288F">
        <w:rPr>
          <w:sz w:val="22"/>
          <w:szCs w:val="22"/>
        </w:rPr>
        <w:t xml:space="preserve"> to harmonize insolvency proceedings</w:t>
      </w:r>
      <w:r w:rsidR="00D65F70" w:rsidRPr="0007288F">
        <w:rPr>
          <w:sz w:val="22"/>
          <w:szCs w:val="22"/>
        </w:rPr>
        <w:t xml:space="preserve"> where a company has assets or creditors</w:t>
      </w:r>
      <w:r w:rsidR="009A5870" w:rsidRPr="0007288F">
        <w:rPr>
          <w:sz w:val="22"/>
          <w:szCs w:val="22"/>
        </w:rPr>
        <w:t xml:space="preserve"> in numerous jurisdictions</w:t>
      </w:r>
      <w:r w:rsidR="00D65F70" w:rsidRPr="0007288F">
        <w:rPr>
          <w:sz w:val="22"/>
          <w:szCs w:val="22"/>
        </w:rPr>
        <w:t>.</w:t>
      </w:r>
      <w:r w:rsidR="00642FE2" w:rsidRPr="0007288F">
        <w:rPr>
          <w:rStyle w:val="FootnoteReference"/>
          <w:sz w:val="22"/>
          <w:szCs w:val="22"/>
        </w:rPr>
        <w:footnoteReference w:id="1"/>
      </w:r>
      <w:r w:rsidR="00D65F70" w:rsidRPr="0007288F">
        <w:rPr>
          <w:sz w:val="22"/>
          <w:szCs w:val="22"/>
        </w:rPr>
        <w:t xml:space="preserve">  </w:t>
      </w:r>
      <w:r w:rsidR="00707B24" w:rsidRPr="0007288F">
        <w:rPr>
          <w:sz w:val="22"/>
          <w:szCs w:val="22"/>
        </w:rPr>
        <w:t>Broadly speaking, i</w:t>
      </w:r>
      <w:r w:rsidR="00D65F70" w:rsidRPr="0007288F">
        <w:rPr>
          <w:sz w:val="22"/>
          <w:szCs w:val="22"/>
        </w:rPr>
        <w:t xml:space="preserve">t does that by directing that all of the assets of the company </w:t>
      </w:r>
      <w:proofErr w:type="gramStart"/>
      <w:r w:rsidR="00D65F70" w:rsidRPr="0007288F">
        <w:rPr>
          <w:sz w:val="22"/>
          <w:szCs w:val="22"/>
        </w:rPr>
        <w:t>be administered</w:t>
      </w:r>
      <w:proofErr w:type="gramEnd"/>
      <w:r w:rsidR="00D65F70" w:rsidRPr="0007288F">
        <w:rPr>
          <w:sz w:val="22"/>
          <w:szCs w:val="22"/>
        </w:rPr>
        <w:t xml:space="preserve"> in</w:t>
      </w:r>
      <w:r w:rsidR="00247282" w:rsidRPr="0007288F">
        <w:rPr>
          <w:sz w:val="22"/>
          <w:szCs w:val="22"/>
        </w:rPr>
        <w:t xml:space="preserve"> an insolvency proceeding in</w:t>
      </w:r>
      <w:r w:rsidR="00D65F70" w:rsidRPr="0007288F">
        <w:rPr>
          <w:sz w:val="22"/>
          <w:szCs w:val="22"/>
        </w:rPr>
        <w:t xml:space="preserve"> the jurisdiction where the company has its “center of main interest” (COMI)</w:t>
      </w:r>
      <w:r w:rsidR="0028039C">
        <w:rPr>
          <w:sz w:val="22"/>
          <w:szCs w:val="22"/>
        </w:rPr>
        <w:t>, the “main proceeding</w:t>
      </w:r>
      <w:r w:rsidR="00D65F70" w:rsidRPr="0007288F">
        <w:rPr>
          <w:sz w:val="22"/>
          <w:szCs w:val="22"/>
        </w:rPr>
        <w:t>.</w:t>
      </w:r>
      <w:r w:rsidR="0028039C">
        <w:rPr>
          <w:sz w:val="22"/>
          <w:szCs w:val="22"/>
        </w:rPr>
        <w:t>”</w:t>
      </w:r>
      <w:r w:rsidR="00707B24" w:rsidRPr="0007288F">
        <w:rPr>
          <w:rStyle w:val="FootnoteReference"/>
          <w:sz w:val="22"/>
          <w:szCs w:val="22"/>
        </w:rPr>
        <w:footnoteReference w:id="2"/>
      </w:r>
      <w:r w:rsidR="00D65F70" w:rsidRPr="0007288F">
        <w:rPr>
          <w:sz w:val="22"/>
          <w:szCs w:val="22"/>
        </w:rPr>
        <w:t xml:space="preserve">  The </w:t>
      </w:r>
      <w:r w:rsidR="00247282" w:rsidRPr="0007288F">
        <w:rPr>
          <w:sz w:val="22"/>
          <w:szCs w:val="22"/>
        </w:rPr>
        <w:t xml:space="preserve">insolvency </w:t>
      </w:r>
      <w:r w:rsidR="00D65F70" w:rsidRPr="0007288F">
        <w:rPr>
          <w:sz w:val="22"/>
          <w:szCs w:val="22"/>
        </w:rPr>
        <w:t>administrator can then file ancillary proceedings in the other jurisdictions</w:t>
      </w:r>
      <w:r w:rsidR="0028039C">
        <w:rPr>
          <w:sz w:val="22"/>
          <w:szCs w:val="22"/>
        </w:rPr>
        <w:t xml:space="preserve"> to use local courts to direct </w:t>
      </w:r>
      <w:r w:rsidR="00D65F70" w:rsidRPr="0007288F">
        <w:rPr>
          <w:sz w:val="22"/>
          <w:szCs w:val="22"/>
        </w:rPr>
        <w:t xml:space="preserve">the </w:t>
      </w:r>
      <w:r w:rsidR="0028039C">
        <w:rPr>
          <w:sz w:val="22"/>
          <w:szCs w:val="22"/>
        </w:rPr>
        <w:t xml:space="preserve">company’s </w:t>
      </w:r>
      <w:r w:rsidR="00D65F70" w:rsidRPr="0007288F">
        <w:rPr>
          <w:sz w:val="22"/>
          <w:szCs w:val="22"/>
        </w:rPr>
        <w:t xml:space="preserve">assets and creditors to the foreign main proceeding, to </w:t>
      </w:r>
      <w:proofErr w:type="gramStart"/>
      <w:r w:rsidR="00D65F70" w:rsidRPr="0007288F">
        <w:rPr>
          <w:sz w:val="22"/>
          <w:szCs w:val="22"/>
        </w:rPr>
        <w:t>be administered</w:t>
      </w:r>
      <w:proofErr w:type="gramEnd"/>
      <w:r w:rsidR="00D65F70" w:rsidRPr="0007288F">
        <w:rPr>
          <w:sz w:val="22"/>
          <w:szCs w:val="22"/>
        </w:rPr>
        <w:t xml:space="preserve"> in accordance with the </w:t>
      </w:r>
      <w:r w:rsidR="0028039C">
        <w:rPr>
          <w:sz w:val="22"/>
          <w:szCs w:val="22"/>
        </w:rPr>
        <w:t xml:space="preserve">latter </w:t>
      </w:r>
      <w:r w:rsidR="00D65F70" w:rsidRPr="0007288F">
        <w:rPr>
          <w:sz w:val="22"/>
          <w:szCs w:val="22"/>
        </w:rPr>
        <w:t>jurisdiction’s insolvency law, regardless of the differences in the two countries’ insolvency law</w:t>
      </w:r>
      <w:r w:rsidR="00642FE2" w:rsidRPr="0007288F">
        <w:rPr>
          <w:sz w:val="22"/>
          <w:szCs w:val="22"/>
        </w:rPr>
        <w:t>s</w:t>
      </w:r>
      <w:r w:rsidR="00D65F70" w:rsidRPr="0007288F">
        <w:rPr>
          <w:sz w:val="22"/>
          <w:szCs w:val="22"/>
        </w:rPr>
        <w:t>.</w:t>
      </w:r>
      <w:r w:rsidR="00642FE2" w:rsidRPr="0007288F">
        <w:rPr>
          <w:rStyle w:val="FootnoteReference"/>
          <w:sz w:val="22"/>
          <w:szCs w:val="22"/>
        </w:rPr>
        <w:footnoteReference w:id="3"/>
      </w:r>
      <w:r w:rsidR="00D65F70" w:rsidRPr="0007288F">
        <w:rPr>
          <w:sz w:val="22"/>
          <w:szCs w:val="22"/>
        </w:rPr>
        <w:t xml:space="preserve">  It does that by mandating recognit</w:t>
      </w:r>
      <w:r w:rsidR="00247282" w:rsidRPr="0007288F">
        <w:rPr>
          <w:sz w:val="22"/>
          <w:szCs w:val="22"/>
        </w:rPr>
        <w:t>ion of foreign main proceedings</w:t>
      </w:r>
      <w:r w:rsidR="00D65F70" w:rsidRPr="0007288F">
        <w:rPr>
          <w:sz w:val="22"/>
          <w:szCs w:val="22"/>
        </w:rPr>
        <w:t xml:space="preserve"> when certain </w:t>
      </w:r>
      <w:r w:rsidR="00DA26B1" w:rsidRPr="0007288F">
        <w:rPr>
          <w:sz w:val="22"/>
          <w:szCs w:val="22"/>
        </w:rPr>
        <w:t xml:space="preserve">basic </w:t>
      </w:r>
      <w:r w:rsidR="00D65F70" w:rsidRPr="0007288F">
        <w:rPr>
          <w:sz w:val="22"/>
          <w:szCs w:val="22"/>
        </w:rPr>
        <w:t>criteria</w:t>
      </w:r>
      <w:r w:rsidR="00DA26B1" w:rsidRPr="0007288F">
        <w:rPr>
          <w:sz w:val="22"/>
          <w:szCs w:val="22"/>
        </w:rPr>
        <w:t xml:space="preserve"> are </w:t>
      </w:r>
      <w:r w:rsidR="00247282" w:rsidRPr="0007288F">
        <w:rPr>
          <w:sz w:val="22"/>
          <w:szCs w:val="22"/>
        </w:rPr>
        <w:t>satisfied</w:t>
      </w:r>
      <w:r w:rsidR="00DA26B1" w:rsidRPr="0007288F">
        <w:rPr>
          <w:sz w:val="22"/>
          <w:szCs w:val="22"/>
        </w:rPr>
        <w:t xml:space="preserve"> (including that the proceeding must be a collective proceeding for the purpose of reorganizing or liquidating </w:t>
      </w:r>
      <w:r w:rsidR="00247282" w:rsidRPr="0007288F">
        <w:rPr>
          <w:sz w:val="22"/>
          <w:szCs w:val="22"/>
        </w:rPr>
        <w:t>a</w:t>
      </w:r>
      <w:r w:rsidR="00DA26B1" w:rsidRPr="0007288F">
        <w:rPr>
          <w:sz w:val="22"/>
          <w:szCs w:val="22"/>
        </w:rPr>
        <w:t xml:space="preserve"> company).</w:t>
      </w:r>
      <w:r w:rsidR="00DA26B1" w:rsidRPr="0007288F">
        <w:rPr>
          <w:rStyle w:val="FootnoteReference"/>
          <w:sz w:val="22"/>
          <w:szCs w:val="22"/>
        </w:rPr>
        <w:footnoteReference w:id="4"/>
      </w:r>
    </w:p>
    <w:p w:rsidR="009A5870" w:rsidRPr="0007288F" w:rsidRDefault="00D65F70" w:rsidP="0007288F">
      <w:pPr>
        <w:pStyle w:val="BodyText3"/>
        <w:spacing w:line="360" w:lineRule="auto"/>
        <w:rPr>
          <w:sz w:val="22"/>
          <w:szCs w:val="22"/>
        </w:rPr>
      </w:pPr>
      <w:r w:rsidRPr="0007288F">
        <w:rPr>
          <w:sz w:val="22"/>
          <w:szCs w:val="22"/>
        </w:rPr>
        <w:t xml:space="preserve">There is but one exception to that mandatory recognition – the public policy exception.  It </w:t>
      </w:r>
      <w:r w:rsidR="00DE1632" w:rsidRPr="0007288F">
        <w:rPr>
          <w:sz w:val="22"/>
          <w:szCs w:val="22"/>
        </w:rPr>
        <w:t xml:space="preserve">is the one hope a creditor has of persuading its local court to avoid the effect of the foreign insolvency proceeding if the mandatory conditions for recognition have been </w:t>
      </w:r>
      <w:r w:rsidR="00247282" w:rsidRPr="0007288F">
        <w:rPr>
          <w:sz w:val="22"/>
          <w:szCs w:val="22"/>
        </w:rPr>
        <w:t>satisfied</w:t>
      </w:r>
      <w:r w:rsidR="00DE1632" w:rsidRPr="0007288F">
        <w:rPr>
          <w:sz w:val="22"/>
          <w:szCs w:val="22"/>
        </w:rPr>
        <w:t xml:space="preserve">.  </w:t>
      </w:r>
      <w:r w:rsidR="00382EB9" w:rsidRPr="0007288F">
        <w:rPr>
          <w:sz w:val="22"/>
          <w:szCs w:val="22"/>
        </w:rPr>
        <w:t>The public policy exception</w:t>
      </w:r>
      <w:r w:rsidR="00DE1632" w:rsidRPr="0007288F">
        <w:rPr>
          <w:sz w:val="22"/>
          <w:szCs w:val="22"/>
        </w:rPr>
        <w:t xml:space="preserve"> </w:t>
      </w:r>
      <w:r w:rsidRPr="0007288F">
        <w:rPr>
          <w:sz w:val="22"/>
          <w:szCs w:val="22"/>
        </w:rPr>
        <w:t xml:space="preserve">provides that nothing in the Model Law requires a court in an ancillary proceeding to take an action if doing so would be “manifestly contrary” to that country’s public policy.  </w:t>
      </w:r>
    </w:p>
    <w:p w:rsidR="00D65F70" w:rsidRPr="0007288F" w:rsidRDefault="00D65F70" w:rsidP="0007288F">
      <w:pPr>
        <w:pStyle w:val="BodyText3"/>
        <w:spacing w:line="360" w:lineRule="auto"/>
        <w:rPr>
          <w:sz w:val="22"/>
          <w:szCs w:val="22"/>
        </w:rPr>
      </w:pPr>
      <w:r w:rsidRPr="0007288F">
        <w:rPr>
          <w:sz w:val="22"/>
          <w:szCs w:val="22"/>
        </w:rPr>
        <w:t xml:space="preserve">This exception </w:t>
      </w:r>
      <w:r w:rsidR="009A5870" w:rsidRPr="0007288F">
        <w:rPr>
          <w:sz w:val="22"/>
          <w:szCs w:val="22"/>
        </w:rPr>
        <w:t>could be quite significant.  I</w:t>
      </w:r>
      <w:r w:rsidRPr="0007288F">
        <w:rPr>
          <w:sz w:val="22"/>
          <w:szCs w:val="22"/>
        </w:rPr>
        <w:t xml:space="preserve">f interpreted broadly, it has the potential to controvert completely the </w:t>
      </w:r>
      <w:r w:rsidR="009A5870" w:rsidRPr="0007288F">
        <w:rPr>
          <w:sz w:val="22"/>
          <w:szCs w:val="22"/>
        </w:rPr>
        <w:t>purposes</w:t>
      </w:r>
      <w:r w:rsidRPr="0007288F">
        <w:rPr>
          <w:sz w:val="22"/>
          <w:szCs w:val="22"/>
        </w:rPr>
        <w:t xml:space="preserve"> of mandatory recognition.</w:t>
      </w:r>
      <w:r w:rsidR="00DA26B1" w:rsidRPr="0007288F">
        <w:rPr>
          <w:rStyle w:val="FootnoteReference"/>
          <w:sz w:val="22"/>
          <w:szCs w:val="22"/>
        </w:rPr>
        <w:footnoteReference w:id="5"/>
      </w:r>
      <w:r w:rsidRPr="0007288F">
        <w:rPr>
          <w:sz w:val="22"/>
          <w:szCs w:val="22"/>
        </w:rPr>
        <w:t xml:space="preserve">  In other words, if courts in ancillary proceedings were to find generally that any deviation from their own country’s insolvency laws </w:t>
      </w:r>
      <w:r w:rsidR="007D3B11">
        <w:rPr>
          <w:sz w:val="22"/>
          <w:szCs w:val="22"/>
        </w:rPr>
        <w:t xml:space="preserve">is cause </w:t>
      </w:r>
      <w:r w:rsidRPr="0007288F">
        <w:rPr>
          <w:sz w:val="22"/>
          <w:szCs w:val="22"/>
        </w:rPr>
        <w:t xml:space="preserve">to </w:t>
      </w:r>
      <w:r w:rsidR="009A5870" w:rsidRPr="0007288F">
        <w:rPr>
          <w:sz w:val="22"/>
          <w:szCs w:val="22"/>
        </w:rPr>
        <w:t>deny recognition of</w:t>
      </w:r>
      <w:r w:rsidRPr="0007288F">
        <w:rPr>
          <w:sz w:val="22"/>
          <w:szCs w:val="22"/>
        </w:rPr>
        <w:t xml:space="preserve"> </w:t>
      </w:r>
      <w:r w:rsidR="009A5870" w:rsidRPr="0007288F">
        <w:rPr>
          <w:sz w:val="22"/>
          <w:szCs w:val="22"/>
        </w:rPr>
        <w:t xml:space="preserve">a </w:t>
      </w:r>
      <w:r w:rsidRPr="0007288F">
        <w:rPr>
          <w:sz w:val="22"/>
          <w:szCs w:val="22"/>
        </w:rPr>
        <w:t xml:space="preserve">foreign main </w:t>
      </w:r>
      <w:proofErr w:type="gramStart"/>
      <w:r w:rsidRPr="0007288F">
        <w:rPr>
          <w:sz w:val="22"/>
          <w:szCs w:val="22"/>
        </w:rPr>
        <w:t>proceeding,</w:t>
      </w:r>
      <w:proofErr w:type="gramEnd"/>
      <w:r w:rsidRPr="0007288F">
        <w:rPr>
          <w:sz w:val="22"/>
          <w:szCs w:val="22"/>
        </w:rPr>
        <w:t xml:space="preserve"> this would transform the </w:t>
      </w:r>
      <w:r w:rsidR="009A5870" w:rsidRPr="0007288F">
        <w:rPr>
          <w:sz w:val="22"/>
          <w:szCs w:val="22"/>
        </w:rPr>
        <w:t xml:space="preserve">intended </w:t>
      </w:r>
      <w:r w:rsidRPr="0007288F">
        <w:rPr>
          <w:sz w:val="22"/>
          <w:szCs w:val="22"/>
        </w:rPr>
        <w:t>universalistic nature of cross-</w:t>
      </w:r>
      <w:r w:rsidRPr="0007288F">
        <w:rPr>
          <w:sz w:val="22"/>
          <w:szCs w:val="22"/>
        </w:rPr>
        <w:lastRenderedPageBreak/>
        <w:t xml:space="preserve">border proceedings into </w:t>
      </w:r>
      <w:r w:rsidR="0028039C">
        <w:rPr>
          <w:sz w:val="22"/>
          <w:szCs w:val="22"/>
        </w:rPr>
        <w:t xml:space="preserve">a more </w:t>
      </w:r>
      <w:r w:rsidRPr="0007288F">
        <w:rPr>
          <w:sz w:val="22"/>
          <w:szCs w:val="22"/>
        </w:rPr>
        <w:t xml:space="preserve">territorial </w:t>
      </w:r>
      <w:r w:rsidR="0028039C">
        <w:rPr>
          <w:sz w:val="22"/>
          <w:szCs w:val="22"/>
        </w:rPr>
        <w:t>approach</w:t>
      </w:r>
      <w:r w:rsidRPr="0007288F">
        <w:rPr>
          <w:sz w:val="22"/>
          <w:szCs w:val="22"/>
        </w:rPr>
        <w:t>.</w:t>
      </w:r>
      <w:r w:rsidR="00707B24" w:rsidRPr="0007288F">
        <w:rPr>
          <w:rStyle w:val="FootnoteReference"/>
          <w:sz w:val="22"/>
          <w:szCs w:val="22"/>
        </w:rPr>
        <w:footnoteReference w:id="6"/>
      </w:r>
      <w:r w:rsidRPr="0007288F">
        <w:rPr>
          <w:sz w:val="22"/>
          <w:szCs w:val="22"/>
        </w:rPr>
        <w:t xml:space="preserve">  Instead of the company’s worldwide assets being centralized and </w:t>
      </w:r>
      <w:proofErr w:type="gramStart"/>
      <w:r w:rsidRPr="0007288F">
        <w:rPr>
          <w:sz w:val="22"/>
          <w:szCs w:val="22"/>
        </w:rPr>
        <w:t>treated</w:t>
      </w:r>
      <w:proofErr w:type="gramEnd"/>
      <w:r w:rsidRPr="0007288F">
        <w:rPr>
          <w:sz w:val="22"/>
          <w:szCs w:val="22"/>
        </w:rPr>
        <w:t xml:space="preserve"> in accordance with a single insolvency regime, they would be treated in accordance with each country’s particularized interests.  </w:t>
      </w:r>
      <w:r w:rsidR="00707B24" w:rsidRPr="0007288F">
        <w:rPr>
          <w:sz w:val="22"/>
          <w:szCs w:val="22"/>
        </w:rPr>
        <w:t>This would prevent the Model Law from achieving its noble goals of maximization of value and minimization of disruption.</w:t>
      </w:r>
      <w:r w:rsidR="00707B24" w:rsidRPr="0007288F">
        <w:rPr>
          <w:rStyle w:val="FootnoteReference"/>
          <w:sz w:val="22"/>
          <w:szCs w:val="22"/>
        </w:rPr>
        <w:footnoteReference w:id="7"/>
      </w:r>
    </w:p>
    <w:p w:rsidR="00D65F70" w:rsidRPr="0007288F" w:rsidRDefault="00D65F70" w:rsidP="0007288F">
      <w:pPr>
        <w:pStyle w:val="BodyText3"/>
        <w:spacing w:line="360" w:lineRule="auto"/>
        <w:rPr>
          <w:sz w:val="22"/>
          <w:szCs w:val="22"/>
        </w:rPr>
      </w:pPr>
      <w:r w:rsidRPr="0007288F">
        <w:rPr>
          <w:sz w:val="22"/>
          <w:szCs w:val="22"/>
        </w:rPr>
        <w:t xml:space="preserve">Luckily, it seems that many jurisdictions have heeded the direction of the Model Law to interpret the public policy exception very narrowly.  </w:t>
      </w:r>
    </w:p>
    <w:p w:rsidR="00642FE2" w:rsidRPr="0007288F" w:rsidRDefault="00642FE2" w:rsidP="0007288F">
      <w:pPr>
        <w:pStyle w:val="BodyText3"/>
        <w:spacing w:line="360" w:lineRule="auto"/>
        <w:rPr>
          <w:sz w:val="22"/>
          <w:szCs w:val="22"/>
        </w:rPr>
      </w:pPr>
      <w:r w:rsidRPr="0007288F">
        <w:rPr>
          <w:sz w:val="22"/>
          <w:szCs w:val="22"/>
        </w:rPr>
        <w:t xml:space="preserve">This paper analyzes how the courts in each of the United States and England have applied the public policy exception.  They both seem to have done so narrowly, with the United States having more developed case law in this area and England seeming a bit more reluctant to apply it, but having nonetheless done so in a recent high profile case.  </w:t>
      </w:r>
    </w:p>
    <w:p w:rsidR="003909B4" w:rsidRPr="0007288F" w:rsidRDefault="0007288F" w:rsidP="0007288F">
      <w:pPr>
        <w:pStyle w:val="BodyText3"/>
        <w:numPr>
          <w:ilvl w:val="0"/>
          <w:numId w:val="33"/>
        </w:numPr>
        <w:spacing w:line="360" w:lineRule="auto"/>
        <w:rPr>
          <w:sz w:val="22"/>
          <w:szCs w:val="22"/>
        </w:rPr>
      </w:pPr>
      <w:r>
        <w:rPr>
          <w:sz w:val="22"/>
          <w:szCs w:val="22"/>
        </w:rPr>
        <w:t>Overview of t</w:t>
      </w:r>
      <w:r w:rsidR="00DA26B1" w:rsidRPr="0007288F">
        <w:rPr>
          <w:sz w:val="22"/>
          <w:szCs w:val="22"/>
        </w:rPr>
        <w:t>he Public Policy Exception</w:t>
      </w:r>
    </w:p>
    <w:p w:rsidR="00DA26B1" w:rsidRPr="0007288F" w:rsidRDefault="00DA26B1" w:rsidP="0007288F">
      <w:pPr>
        <w:pStyle w:val="BodyText3"/>
        <w:spacing w:line="360" w:lineRule="auto"/>
        <w:rPr>
          <w:sz w:val="22"/>
          <w:szCs w:val="22"/>
        </w:rPr>
      </w:pPr>
      <w:r w:rsidRPr="0007288F">
        <w:rPr>
          <w:sz w:val="22"/>
          <w:szCs w:val="22"/>
        </w:rPr>
        <w:t>The public policy exception</w:t>
      </w:r>
      <w:r w:rsidR="007A5E03">
        <w:rPr>
          <w:sz w:val="22"/>
          <w:szCs w:val="22"/>
        </w:rPr>
        <w:t>, which</w:t>
      </w:r>
      <w:r w:rsidRPr="0007288F">
        <w:rPr>
          <w:sz w:val="22"/>
          <w:szCs w:val="22"/>
        </w:rPr>
        <w:t xml:space="preserve"> is set forth in Article 6 of the Model Law</w:t>
      </w:r>
      <w:r w:rsidR="007A5E03">
        <w:rPr>
          <w:sz w:val="22"/>
          <w:szCs w:val="22"/>
        </w:rPr>
        <w:t xml:space="preserve">, </w:t>
      </w:r>
      <w:proofErr w:type="gramStart"/>
      <w:r w:rsidRPr="0007288F">
        <w:rPr>
          <w:sz w:val="22"/>
          <w:szCs w:val="22"/>
        </w:rPr>
        <w:t>provides:</w:t>
      </w:r>
      <w:proofErr w:type="gramEnd"/>
      <w:r w:rsidRPr="0007288F">
        <w:rPr>
          <w:sz w:val="22"/>
          <w:szCs w:val="22"/>
        </w:rPr>
        <w:t xml:space="preserve">  “Nothing in this Law prevents the court from refusing to take an action governed by this Law if the action would be manifestly contrary to the policy of this State.”</w:t>
      </w:r>
    </w:p>
    <w:p w:rsidR="00DA26B1" w:rsidRPr="0007288F" w:rsidRDefault="00E52468" w:rsidP="0007288F">
      <w:pPr>
        <w:pStyle w:val="BodyText3"/>
        <w:spacing w:line="360" w:lineRule="auto"/>
        <w:rPr>
          <w:sz w:val="22"/>
          <w:szCs w:val="22"/>
        </w:rPr>
      </w:pPr>
      <w:r w:rsidRPr="0007288F">
        <w:rPr>
          <w:sz w:val="22"/>
          <w:szCs w:val="22"/>
        </w:rPr>
        <w:t xml:space="preserve">The Guide notes that the Model Law does not attempt to define public policy, </w:t>
      </w:r>
      <w:proofErr w:type="gramStart"/>
      <w:r w:rsidRPr="0007288F">
        <w:rPr>
          <w:sz w:val="22"/>
          <w:szCs w:val="22"/>
        </w:rPr>
        <w:t>as the concept “is grounded in national law and may differ from State to State.”</w:t>
      </w:r>
      <w:proofErr w:type="gramEnd"/>
      <w:r w:rsidRPr="0007288F">
        <w:rPr>
          <w:rStyle w:val="FootnoteReference"/>
          <w:sz w:val="22"/>
          <w:szCs w:val="22"/>
        </w:rPr>
        <w:footnoteReference w:id="8"/>
      </w:r>
      <w:r w:rsidRPr="0007288F">
        <w:rPr>
          <w:sz w:val="22"/>
          <w:szCs w:val="22"/>
        </w:rPr>
        <w:t xml:space="preserve">  The Guide recognizes that </w:t>
      </w:r>
      <w:r w:rsidR="007D3B11">
        <w:rPr>
          <w:sz w:val="22"/>
          <w:szCs w:val="22"/>
        </w:rPr>
        <w:t xml:space="preserve">countries </w:t>
      </w:r>
      <w:r w:rsidRPr="0007288F">
        <w:rPr>
          <w:sz w:val="22"/>
          <w:szCs w:val="22"/>
        </w:rPr>
        <w:t>may give different meanings to the term “public policy</w:t>
      </w:r>
      <w:r w:rsidR="0028039C">
        <w:rPr>
          <w:sz w:val="22"/>
          <w:szCs w:val="22"/>
        </w:rPr>
        <w:t>,</w:t>
      </w:r>
      <w:r w:rsidRPr="0007288F">
        <w:rPr>
          <w:sz w:val="22"/>
          <w:szCs w:val="22"/>
        </w:rPr>
        <w:t>”</w:t>
      </w:r>
      <w:r w:rsidRPr="0007288F">
        <w:rPr>
          <w:rStyle w:val="FootnoteReference"/>
          <w:sz w:val="22"/>
          <w:szCs w:val="22"/>
        </w:rPr>
        <w:footnoteReference w:id="9"/>
      </w:r>
      <w:r w:rsidRPr="0007288F">
        <w:rPr>
          <w:sz w:val="22"/>
          <w:szCs w:val="22"/>
        </w:rPr>
        <w:t xml:space="preserve"> but </w:t>
      </w:r>
      <w:r w:rsidR="007D3B11">
        <w:rPr>
          <w:sz w:val="22"/>
          <w:szCs w:val="22"/>
        </w:rPr>
        <w:t>explains</w:t>
      </w:r>
      <w:r w:rsidRPr="0007288F">
        <w:rPr>
          <w:sz w:val="22"/>
          <w:szCs w:val="22"/>
        </w:rPr>
        <w:t xml:space="preserve"> that the term “manifestly” means that the exception is to be “interpreted restrictively” and </w:t>
      </w:r>
      <w:proofErr w:type="gramStart"/>
      <w:r w:rsidRPr="0007288F">
        <w:rPr>
          <w:sz w:val="22"/>
          <w:szCs w:val="22"/>
        </w:rPr>
        <w:t>applied</w:t>
      </w:r>
      <w:proofErr w:type="gramEnd"/>
      <w:r w:rsidRPr="0007288F">
        <w:rPr>
          <w:sz w:val="22"/>
          <w:szCs w:val="22"/>
        </w:rPr>
        <w:t xml:space="preserve"> only “under exceptional circumstances </w:t>
      </w:r>
      <w:r w:rsidRPr="0007288F">
        <w:rPr>
          <w:sz w:val="22"/>
          <w:szCs w:val="22"/>
        </w:rPr>
        <w:lastRenderedPageBreak/>
        <w:t>concerning matters of fundamental importance for the enacting state.”</w:t>
      </w:r>
      <w:r w:rsidRPr="0007288F">
        <w:rPr>
          <w:rStyle w:val="FootnoteReference"/>
          <w:sz w:val="22"/>
          <w:szCs w:val="22"/>
        </w:rPr>
        <w:footnoteReference w:id="10"/>
      </w:r>
      <w:r w:rsidRPr="0007288F">
        <w:rPr>
          <w:sz w:val="22"/>
          <w:szCs w:val="22"/>
        </w:rPr>
        <w:t xml:space="preserve">  </w:t>
      </w:r>
      <w:r w:rsidR="007D3B11">
        <w:rPr>
          <w:sz w:val="22"/>
          <w:szCs w:val="22"/>
        </w:rPr>
        <w:t>M</w:t>
      </w:r>
      <w:r w:rsidRPr="0007288F">
        <w:rPr>
          <w:sz w:val="22"/>
          <w:szCs w:val="22"/>
        </w:rPr>
        <w:t>ere differences in the insolvency laws of different jurisdictions</w:t>
      </w:r>
      <w:r w:rsidR="007D3B11">
        <w:rPr>
          <w:sz w:val="22"/>
          <w:szCs w:val="22"/>
        </w:rPr>
        <w:t>, on their own,</w:t>
      </w:r>
      <w:r w:rsidRPr="0007288F">
        <w:rPr>
          <w:sz w:val="22"/>
          <w:szCs w:val="22"/>
        </w:rPr>
        <w:t xml:space="preserve"> should be </w:t>
      </w:r>
      <w:r w:rsidR="007D3B11">
        <w:rPr>
          <w:sz w:val="22"/>
          <w:szCs w:val="22"/>
        </w:rPr>
        <w:t>in</w:t>
      </w:r>
      <w:r w:rsidRPr="0007288F">
        <w:rPr>
          <w:sz w:val="22"/>
          <w:szCs w:val="22"/>
        </w:rPr>
        <w:t>sufficient</w:t>
      </w:r>
      <w:r w:rsidR="007D3B11">
        <w:rPr>
          <w:sz w:val="22"/>
          <w:szCs w:val="22"/>
        </w:rPr>
        <w:t xml:space="preserve"> </w:t>
      </w:r>
      <w:r w:rsidRPr="0007288F">
        <w:rPr>
          <w:sz w:val="22"/>
          <w:szCs w:val="22"/>
        </w:rPr>
        <w:t>to invoke the exception.</w:t>
      </w:r>
      <w:r w:rsidRPr="0007288F">
        <w:rPr>
          <w:rStyle w:val="FootnoteReference"/>
          <w:sz w:val="22"/>
          <w:szCs w:val="22"/>
        </w:rPr>
        <w:footnoteReference w:id="11"/>
      </w:r>
      <w:r w:rsidRPr="0007288F">
        <w:rPr>
          <w:sz w:val="22"/>
          <w:szCs w:val="22"/>
        </w:rPr>
        <w:t xml:space="preserve">  </w:t>
      </w:r>
    </w:p>
    <w:p w:rsidR="00707B24" w:rsidRPr="0007288F" w:rsidRDefault="00707B24" w:rsidP="0007288F">
      <w:pPr>
        <w:pStyle w:val="BodyText3"/>
        <w:keepNext/>
        <w:numPr>
          <w:ilvl w:val="0"/>
          <w:numId w:val="33"/>
        </w:numPr>
        <w:spacing w:line="360" w:lineRule="auto"/>
        <w:rPr>
          <w:sz w:val="22"/>
          <w:szCs w:val="22"/>
        </w:rPr>
      </w:pPr>
      <w:r w:rsidRPr="0007288F">
        <w:rPr>
          <w:sz w:val="22"/>
          <w:szCs w:val="22"/>
        </w:rPr>
        <w:t>The United States</w:t>
      </w:r>
    </w:p>
    <w:p w:rsidR="00707B24" w:rsidRPr="0007288F" w:rsidRDefault="00707B24" w:rsidP="0007288F">
      <w:pPr>
        <w:pStyle w:val="BodyText3"/>
        <w:spacing w:line="360" w:lineRule="auto"/>
        <w:rPr>
          <w:sz w:val="22"/>
          <w:szCs w:val="22"/>
        </w:rPr>
      </w:pPr>
      <w:r w:rsidRPr="0007288F">
        <w:rPr>
          <w:sz w:val="22"/>
          <w:szCs w:val="22"/>
        </w:rPr>
        <w:t>The United States enacted the Model Law as chapter 15 of the United States Bankruptcy Code (Title 11) (the “Bankruptcy Code”).</w:t>
      </w:r>
      <w:r w:rsidR="00A72F68" w:rsidRPr="0007288F">
        <w:rPr>
          <w:rStyle w:val="FootnoteReference"/>
          <w:sz w:val="22"/>
          <w:szCs w:val="22"/>
        </w:rPr>
        <w:footnoteReference w:id="12"/>
      </w:r>
      <w:r w:rsidRPr="0007288F">
        <w:rPr>
          <w:sz w:val="22"/>
          <w:szCs w:val="22"/>
        </w:rPr>
        <w:t xml:space="preserve">  Thus, chapter 15 incorporates both </w:t>
      </w:r>
      <w:r w:rsidR="0028039C">
        <w:rPr>
          <w:sz w:val="22"/>
          <w:szCs w:val="22"/>
        </w:rPr>
        <w:t xml:space="preserve">the </w:t>
      </w:r>
      <w:r w:rsidRPr="0007288F">
        <w:rPr>
          <w:sz w:val="22"/>
          <w:szCs w:val="22"/>
        </w:rPr>
        <w:t>mandatory recognition</w:t>
      </w:r>
      <w:r w:rsidR="0028039C">
        <w:rPr>
          <w:sz w:val="22"/>
          <w:szCs w:val="22"/>
        </w:rPr>
        <w:t xml:space="preserve"> discussed above</w:t>
      </w:r>
      <w:r w:rsidR="00324C42" w:rsidRPr="0007288F">
        <w:rPr>
          <w:rStyle w:val="FootnoteReference"/>
          <w:sz w:val="22"/>
          <w:szCs w:val="22"/>
        </w:rPr>
        <w:footnoteReference w:id="13"/>
      </w:r>
      <w:r w:rsidRPr="0007288F">
        <w:rPr>
          <w:sz w:val="22"/>
          <w:szCs w:val="22"/>
        </w:rPr>
        <w:t xml:space="preserve"> and the public policy exception</w:t>
      </w:r>
      <w:r w:rsidR="00324C42" w:rsidRPr="0007288F">
        <w:rPr>
          <w:sz w:val="22"/>
          <w:szCs w:val="22"/>
        </w:rPr>
        <w:t xml:space="preserve"> (the latter in section 1506 of the Bankruptcy Code)</w:t>
      </w:r>
      <w:r w:rsidRPr="0007288F">
        <w:rPr>
          <w:sz w:val="22"/>
          <w:szCs w:val="22"/>
        </w:rPr>
        <w:t>.</w:t>
      </w:r>
    </w:p>
    <w:p w:rsidR="00707B24" w:rsidRPr="0007288F" w:rsidRDefault="00707B24" w:rsidP="0007288F">
      <w:pPr>
        <w:pStyle w:val="BodyText3"/>
        <w:spacing w:line="360" w:lineRule="auto"/>
        <w:rPr>
          <w:sz w:val="22"/>
          <w:szCs w:val="22"/>
        </w:rPr>
      </w:pPr>
      <w:r w:rsidRPr="0007288F">
        <w:rPr>
          <w:sz w:val="22"/>
          <w:szCs w:val="22"/>
        </w:rPr>
        <w:t>Chapter 15 has become a popular tool for companies restructuring outside the Unite</w:t>
      </w:r>
      <w:r w:rsidR="009A5870" w:rsidRPr="0007288F">
        <w:rPr>
          <w:sz w:val="22"/>
          <w:szCs w:val="22"/>
        </w:rPr>
        <w:t xml:space="preserve">d States, and U.S. courts have </w:t>
      </w:r>
      <w:r w:rsidRPr="0007288F">
        <w:rPr>
          <w:sz w:val="22"/>
          <w:szCs w:val="22"/>
        </w:rPr>
        <w:t xml:space="preserve">had numerous opportunities to decide issues thereunder, including the public policy exception.  Although objectors appear to raise the public policy exception frequently, research revealed only two cases where U.S. courts have refused to recognize a foreign main proceeding </w:t>
      </w:r>
      <w:proofErr w:type="gramStart"/>
      <w:r w:rsidRPr="0007288F">
        <w:rPr>
          <w:sz w:val="22"/>
          <w:szCs w:val="22"/>
        </w:rPr>
        <w:t>on the basis of</w:t>
      </w:r>
      <w:proofErr w:type="gramEnd"/>
      <w:r w:rsidRPr="0007288F">
        <w:rPr>
          <w:sz w:val="22"/>
          <w:szCs w:val="22"/>
        </w:rPr>
        <w:t xml:space="preserve"> the public policy exception and an additional two cases where U.S. courts have limited particular relief on the basis of the public policy exception. </w:t>
      </w:r>
      <w:r w:rsidR="00A72F68" w:rsidRPr="0007288F">
        <w:rPr>
          <w:sz w:val="22"/>
          <w:szCs w:val="22"/>
        </w:rPr>
        <w:t>In t</w:t>
      </w:r>
      <w:r w:rsidRPr="0007288F">
        <w:rPr>
          <w:sz w:val="22"/>
          <w:szCs w:val="22"/>
        </w:rPr>
        <w:t xml:space="preserve">he vast majority of </w:t>
      </w:r>
      <w:r w:rsidR="00A72F68" w:rsidRPr="0007288F">
        <w:rPr>
          <w:sz w:val="22"/>
          <w:szCs w:val="22"/>
        </w:rPr>
        <w:t>cases where it has been raised</w:t>
      </w:r>
      <w:r w:rsidRPr="0007288F">
        <w:rPr>
          <w:sz w:val="22"/>
          <w:szCs w:val="22"/>
        </w:rPr>
        <w:t xml:space="preserve">, U.S. courts have rejected application of the public policy exception and have acted consistently with the Model Law’s mandate of a </w:t>
      </w:r>
      <w:proofErr w:type="gramStart"/>
      <w:r w:rsidRPr="0007288F">
        <w:rPr>
          <w:sz w:val="22"/>
          <w:szCs w:val="22"/>
        </w:rPr>
        <w:t>universalist</w:t>
      </w:r>
      <w:proofErr w:type="gramEnd"/>
      <w:r w:rsidRPr="0007288F">
        <w:rPr>
          <w:sz w:val="22"/>
          <w:szCs w:val="22"/>
        </w:rPr>
        <w:t xml:space="preserve"> approach based on comity.</w:t>
      </w:r>
    </w:p>
    <w:p w:rsidR="00707B24" w:rsidRPr="0007288F" w:rsidRDefault="00324C42" w:rsidP="0007288F">
      <w:pPr>
        <w:pStyle w:val="BodyText3"/>
        <w:keepNext/>
        <w:numPr>
          <w:ilvl w:val="1"/>
          <w:numId w:val="33"/>
        </w:numPr>
        <w:spacing w:line="360" w:lineRule="auto"/>
        <w:rPr>
          <w:sz w:val="22"/>
          <w:szCs w:val="22"/>
        </w:rPr>
      </w:pPr>
      <w:r w:rsidRPr="0007288F">
        <w:rPr>
          <w:sz w:val="22"/>
          <w:szCs w:val="22"/>
        </w:rPr>
        <w:t>General Approach of U.S. Courts</w:t>
      </w:r>
      <w:r w:rsidR="00261EBC" w:rsidRPr="0007288F">
        <w:rPr>
          <w:sz w:val="22"/>
          <w:szCs w:val="22"/>
        </w:rPr>
        <w:t xml:space="preserve"> Applying Public Policy Exception</w:t>
      </w:r>
    </w:p>
    <w:p w:rsidR="001E2FF1" w:rsidRPr="0007288F" w:rsidRDefault="0062169E" w:rsidP="0007288F">
      <w:pPr>
        <w:pStyle w:val="BodyText3"/>
        <w:spacing w:line="360" w:lineRule="auto"/>
        <w:rPr>
          <w:sz w:val="22"/>
          <w:szCs w:val="22"/>
        </w:rPr>
      </w:pPr>
      <w:r w:rsidRPr="0007288F">
        <w:rPr>
          <w:sz w:val="22"/>
          <w:szCs w:val="22"/>
        </w:rPr>
        <w:t>U.S. courts</w:t>
      </w:r>
      <w:r w:rsidR="000C1C49">
        <w:rPr>
          <w:sz w:val="22"/>
          <w:szCs w:val="22"/>
        </w:rPr>
        <w:t>, citing</w:t>
      </w:r>
      <w:r w:rsidRPr="0007288F">
        <w:rPr>
          <w:sz w:val="22"/>
          <w:szCs w:val="22"/>
        </w:rPr>
        <w:t xml:space="preserve"> </w:t>
      </w:r>
      <w:r w:rsidR="004A543E" w:rsidRPr="0007288F">
        <w:rPr>
          <w:sz w:val="22"/>
          <w:szCs w:val="22"/>
        </w:rPr>
        <w:t>the Guide’s view of the public policy exception</w:t>
      </w:r>
      <w:r w:rsidR="000C1C49">
        <w:rPr>
          <w:sz w:val="22"/>
          <w:szCs w:val="22"/>
        </w:rPr>
        <w:t>, have</w:t>
      </w:r>
      <w:r w:rsidR="004A543E" w:rsidRPr="0007288F">
        <w:rPr>
          <w:sz w:val="22"/>
          <w:szCs w:val="22"/>
        </w:rPr>
        <w:t xml:space="preserve"> </w:t>
      </w:r>
      <w:r w:rsidRPr="0007288F">
        <w:rPr>
          <w:sz w:val="22"/>
          <w:szCs w:val="22"/>
        </w:rPr>
        <w:t>generally construed it narrowly.</w:t>
      </w:r>
      <w:r w:rsidR="004A543E" w:rsidRPr="0007288F">
        <w:rPr>
          <w:rStyle w:val="FootnoteReference"/>
          <w:sz w:val="22"/>
          <w:szCs w:val="22"/>
        </w:rPr>
        <w:footnoteReference w:id="14"/>
      </w:r>
      <w:r w:rsidRPr="0007288F">
        <w:rPr>
          <w:sz w:val="22"/>
          <w:szCs w:val="22"/>
        </w:rPr>
        <w:t xml:space="preserve">  </w:t>
      </w:r>
      <w:r w:rsidR="004A543E" w:rsidRPr="0007288F">
        <w:rPr>
          <w:sz w:val="22"/>
          <w:szCs w:val="22"/>
        </w:rPr>
        <w:t>As the influential Third Circuit Court of Appeals noted</w:t>
      </w:r>
      <w:r w:rsidR="00A72F68" w:rsidRPr="0007288F">
        <w:rPr>
          <w:sz w:val="22"/>
          <w:szCs w:val="22"/>
        </w:rPr>
        <w:t xml:space="preserve"> in its seminal </w:t>
      </w:r>
      <w:r w:rsidR="00A72F68" w:rsidRPr="0007288F">
        <w:rPr>
          <w:i/>
          <w:sz w:val="22"/>
          <w:szCs w:val="22"/>
        </w:rPr>
        <w:t xml:space="preserve">ABC Learning </w:t>
      </w:r>
      <w:proofErr w:type="spellStart"/>
      <w:r w:rsidR="00A72F68" w:rsidRPr="0007288F">
        <w:rPr>
          <w:i/>
          <w:sz w:val="22"/>
          <w:szCs w:val="22"/>
        </w:rPr>
        <w:t>Centres</w:t>
      </w:r>
      <w:proofErr w:type="spellEnd"/>
      <w:r w:rsidR="00A72F68" w:rsidRPr="0007288F">
        <w:rPr>
          <w:sz w:val="22"/>
          <w:szCs w:val="22"/>
        </w:rPr>
        <w:t xml:space="preserve"> </w:t>
      </w:r>
      <w:r w:rsidR="000C1C49">
        <w:rPr>
          <w:sz w:val="22"/>
          <w:szCs w:val="22"/>
        </w:rPr>
        <w:t>opinion</w:t>
      </w:r>
      <w:r w:rsidR="004A543E" w:rsidRPr="0007288F">
        <w:rPr>
          <w:sz w:val="22"/>
          <w:szCs w:val="22"/>
        </w:rPr>
        <w:t xml:space="preserve">:  </w:t>
      </w:r>
      <w:r w:rsidR="001E2FF1" w:rsidRPr="0007288F">
        <w:rPr>
          <w:sz w:val="22"/>
          <w:szCs w:val="22"/>
        </w:rPr>
        <w:t xml:space="preserve">“The public policy exception applies ‘where the procedural fairness of the foreign proceeding is </w:t>
      </w:r>
      <w:r w:rsidR="001E2FF1" w:rsidRPr="0007288F">
        <w:rPr>
          <w:sz w:val="22"/>
          <w:szCs w:val="22"/>
        </w:rPr>
        <w:lastRenderedPageBreak/>
        <w:t>in doubt or cannot be cured by the adoption of additional protections’ or where recognition ‘would impinge severely a U.S. constitutional or statutory right.’”</w:t>
      </w:r>
      <w:r w:rsidR="004A543E" w:rsidRPr="0007288F">
        <w:rPr>
          <w:rStyle w:val="FootnoteReference"/>
          <w:sz w:val="22"/>
          <w:szCs w:val="22"/>
        </w:rPr>
        <w:footnoteReference w:id="15"/>
      </w:r>
      <w:r w:rsidR="001E2FF1" w:rsidRPr="0007288F">
        <w:rPr>
          <w:sz w:val="22"/>
          <w:szCs w:val="22"/>
        </w:rPr>
        <w:t xml:space="preserve">  </w:t>
      </w:r>
    </w:p>
    <w:p w:rsidR="001E2FF1" w:rsidRPr="0007288F" w:rsidRDefault="001E2FF1" w:rsidP="0007288F">
      <w:pPr>
        <w:pStyle w:val="BodyText3"/>
        <w:spacing w:line="360" w:lineRule="auto"/>
        <w:rPr>
          <w:sz w:val="22"/>
          <w:szCs w:val="22"/>
        </w:rPr>
      </w:pPr>
      <w:r w:rsidRPr="0007288F">
        <w:rPr>
          <w:sz w:val="22"/>
          <w:szCs w:val="22"/>
        </w:rPr>
        <w:t xml:space="preserve">In </w:t>
      </w:r>
      <w:r w:rsidR="004A543E" w:rsidRPr="0007288F">
        <w:rPr>
          <w:sz w:val="22"/>
          <w:szCs w:val="22"/>
        </w:rPr>
        <w:t>that case</w:t>
      </w:r>
      <w:r w:rsidRPr="0007288F">
        <w:rPr>
          <w:sz w:val="22"/>
          <w:szCs w:val="22"/>
        </w:rPr>
        <w:t xml:space="preserve">, the court rejected an unsecured litigation creditor’s argument that section 1506 </w:t>
      </w:r>
      <w:r w:rsidR="00BB3E53" w:rsidRPr="0007288F">
        <w:rPr>
          <w:sz w:val="22"/>
          <w:szCs w:val="22"/>
        </w:rPr>
        <w:t xml:space="preserve">should be </w:t>
      </w:r>
      <w:r w:rsidRPr="0007288F">
        <w:rPr>
          <w:sz w:val="22"/>
          <w:szCs w:val="22"/>
        </w:rPr>
        <w:t xml:space="preserve">applied to </w:t>
      </w:r>
      <w:r w:rsidR="00BB3E53" w:rsidRPr="0007288F">
        <w:rPr>
          <w:sz w:val="22"/>
          <w:szCs w:val="22"/>
        </w:rPr>
        <w:t xml:space="preserve">block recognition of </w:t>
      </w:r>
      <w:r w:rsidR="0028039C">
        <w:rPr>
          <w:sz w:val="22"/>
          <w:szCs w:val="22"/>
        </w:rPr>
        <w:t>an Austr</w:t>
      </w:r>
      <w:r w:rsidRPr="0007288F">
        <w:rPr>
          <w:sz w:val="22"/>
          <w:szCs w:val="22"/>
        </w:rPr>
        <w:t xml:space="preserve">alian liquidation proceeding because the </w:t>
      </w:r>
      <w:r w:rsidR="00BB3E53" w:rsidRPr="0007288F">
        <w:rPr>
          <w:sz w:val="22"/>
          <w:szCs w:val="22"/>
        </w:rPr>
        <w:t xml:space="preserve">debtors’ assets were fully secured, </w:t>
      </w:r>
      <w:r w:rsidR="004A543E" w:rsidRPr="0007288F">
        <w:rPr>
          <w:sz w:val="22"/>
          <w:szCs w:val="22"/>
        </w:rPr>
        <w:t xml:space="preserve">the appointed receiver would only represent the interest of secured creditors, </w:t>
      </w:r>
      <w:r w:rsidR="00BB3E53" w:rsidRPr="0007288F">
        <w:rPr>
          <w:sz w:val="22"/>
          <w:szCs w:val="22"/>
        </w:rPr>
        <w:t>and the unsecured creditors would not obtain a recovery.</w:t>
      </w:r>
      <w:r w:rsidR="004A543E" w:rsidRPr="0007288F">
        <w:rPr>
          <w:rStyle w:val="FootnoteReference"/>
          <w:sz w:val="22"/>
          <w:szCs w:val="22"/>
        </w:rPr>
        <w:footnoteReference w:id="16"/>
      </w:r>
      <w:r w:rsidR="00BB3E53" w:rsidRPr="0007288F">
        <w:rPr>
          <w:sz w:val="22"/>
          <w:szCs w:val="22"/>
        </w:rPr>
        <w:t xml:space="preserve">  The court found “no exception” in chapter 15 “when a debtor’s assets are fully leveraged.”</w:t>
      </w:r>
      <w:r w:rsidR="004A543E" w:rsidRPr="0007288F">
        <w:rPr>
          <w:rStyle w:val="FootnoteReference"/>
          <w:sz w:val="22"/>
          <w:szCs w:val="22"/>
        </w:rPr>
        <w:footnoteReference w:id="17"/>
      </w:r>
      <w:r w:rsidR="00BB3E53" w:rsidRPr="0007288F">
        <w:rPr>
          <w:sz w:val="22"/>
          <w:szCs w:val="22"/>
        </w:rPr>
        <w:t xml:space="preserve">  </w:t>
      </w:r>
    </w:p>
    <w:p w:rsidR="006A1B4E" w:rsidRPr="0007288F" w:rsidRDefault="00261EBC" w:rsidP="0007288F">
      <w:pPr>
        <w:pStyle w:val="BodyText3"/>
        <w:spacing w:line="360" w:lineRule="auto"/>
        <w:rPr>
          <w:sz w:val="22"/>
          <w:szCs w:val="22"/>
        </w:rPr>
      </w:pPr>
      <w:r w:rsidRPr="0007288F">
        <w:rPr>
          <w:sz w:val="22"/>
          <w:szCs w:val="22"/>
        </w:rPr>
        <w:t xml:space="preserve">The </w:t>
      </w:r>
      <w:r w:rsidR="00A72F68" w:rsidRPr="0007288F">
        <w:rPr>
          <w:sz w:val="22"/>
          <w:szCs w:val="22"/>
        </w:rPr>
        <w:t>2019</w:t>
      </w:r>
      <w:r w:rsidRPr="0007288F">
        <w:rPr>
          <w:sz w:val="22"/>
          <w:szCs w:val="22"/>
        </w:rPr>
        <w:t xml:space="preserve"> case of </w:t>
      </w:r>
      <w:r w:rsidRPr="0007288F">
        <w:rPr>
          <w:i/>
          <w:sz w:val="22"/>
          <w:szCs w:val="22"/>
        </w:rPr>
        <w:t xml:space="preserve">Manley </w:t>
      </w:r>
      <w:r w:rsidRPr="0007288F">
        <w:rPr>
          <w:sz w:val="22"/>
          <w:szCs w:val="22"/>
        </w:rPr>
        <w:t xml:space="preserve">Toys from the </w:t>
      </w:r>
      <w:r w:rsidR="001E2FF1" w:rsidRPr="0007288F">
        <w:rPr>
          <w:sz w:val="22"/>
          <w:szCs w:val="22"/>
        </w:rPr>
        <w:t>District of New Je</w:t>
      </w:r>
      <w:r w:rsidR="00380EF5" w:rsidRPr="0007288F">
        <w:rPr>
          <w:sz w:val="22"/>
          <w:szCs w:val="22"/>
        </w:rPr>
        <w:t>rs</w:t>
      </w:r>
      <w:r w:rsidR="001E2FF1" w:rsidRPr="0007288F">
        <w:rPr>
          <w:sz w:val="22"/>
          <w:szCs w:val="22"/>
        </w:rPr>
        <w:t>e</w:t>
      </w:r>
      <w:r w:rsidR="00380EF5" w:rsidRPr="0007288F">
        <w:rPr>
          <w:sz w:val="22"/>
          <w:szCs w:val="22"/>
        </w:rPr>
        <w:t xml:space="preserve">y </w:t>
      </w:r>
      <w:r w:rsidR="000C1C49">
        <w:rPr>
          <w:sz w:val="22"/>
          <w:szCs w:val="22"/>
        </w:rPr>
        <w:t xml:space="preserve">provides </w:t>
      </w:r>
      <w:r w:rsidRPr="0007288F">
        <w:rPr>
          <w:sz w:val="22"/>
          <w:szCs w:val="22"/>
        </w:rPr>
        <w:t xml:space="preserve">a </w:t>
      </w:r>
      <w:r w:rsidR="000C1C49">
        <w:rPr>
          <w:sz w:val="22"/>
          <w:szCs w:val="22"/>
        </w:rPr>
        <w:t xml:space="preserve">helpful </w:t>
      </w:r>
      <w:r w:rsidRPr="0007288F">
        <w:rPr>
          <w:sz w:val="22"/>
          <w:szCs w:val="22"/>
        </w:rPr>
        <w:t>example of how the courts generally approach the public policy question.</w:t>
      </w:r>
      <w:r w:rsidRPr="0007288F">
        <w:rPr>
          <w:rStyle w:val="FootnoteReference"/>
          <w:sz w:val="22"/>
          <w:szCs w:val="22"/>
        </w:rPr>
        <w:footnoteReference w:id="18"/>
      </w:r>
      <w:r w:rsidRPr="0007288F">
        <w:rPr>
          <w:sz w:val="22"/>
          <w:szCs w:val="22"/>
        </w:rPr>
        <w:t xml:space="preserve">  </w:t>
      </w:r>
      <w:r w:rsidR="006A1B4E" w:rsidRPr="0007288F">
        <w:rPr>
          <w:sz w:val="22"/>
          <w:szCs w:val="22"/>
        </w:rPr>
        <w:t>In that case, facing U.S. litigation pressures, including a federal court in Minnesota having entered a large monetary judgment by a creditor (“Aviva”) against it, Manley Toy commenced a creditors’ voluntary liquidation in Hong Kong.</w:t>
      </w:r>
      <w:r w:rsidR="005A05E4" w:rsidRPr="0007288F">
        <w:rPr>
          <w:rStyle w:val="FootnoteReference"/>
          <w:sz w:val="22"/>
          <w:szCs w:val="22"/>
        </w:rPr>
        <w:footnoteReference w:id="19"/>
      </w:r>
      <w:r w:rsidR="006A1B4E" w:rsidRPr="0007288F">
        <w:rPr>
          <w:sz w:val="22"/>
          <w:szCs w:val="22"/>
        </w:rPr>
        <w:t xml:space="preserve">  </w:t>
      </w:r>
      <w:r w:rsidR="005A05E4" w:rsidRPr="0007288F">
        <w:rPr>
          <w:sz w:val="22"/>
          <w:szCs w:val="22"/>
        </w:rPr>
        <w:t>A mere e</w:t>
      </w:r>
      <w:r w:rsidR="006A1B4E" w:rsidRPr="0007288F">
        <w:rPr>
          <w:sz w:val="22"/>
          <w:szCs w:val="22"/>
        </w:rPr>
        <w:t>leven days before the “Creditor Meeting” in Hong Kong, notice of such m</w:t>
      </w:r>
      <w:r w:rsidR="0028039C">
        <w:rPr>
          <w:sz w:val="22"/>
          <w:szCs w:val="22"/>
        </w:rPr>
        <w:t xml:space="preserve">eeting was sent by regular mail, but not e-mail or fax, </w:t>
      </w:r>
      <w:r w:rsidR="006A1B4E" w:rsidRPr="0007288F">
        <w:rPr>
          <w:sz w:val="22"/>
          <w:szCs w:val="22"/>
        </w:rPr>
        <w:t>to all creditors, including Aviva</w:t>
      </w:r>
      <w:r w:rsidR="000C1C49">
        <w:rPr>
          <w:sz w:val="22"/>
          <w:szCs w:val="22"/>
        </w:rPr>
        <w:t xml:space="preserve">, </w:t>
      </w:r>
      <w:r w:rsidR="000C1C49" w:rsidRPr="0007288F">
        <w:rPr>
          <w:sz w:val="22"/>
          <w:szCs w:val="22"/>
        </w:rPr>
        <w:t>i</w:t>
      </w:r>
      <w:r w:rsidR="000C1C49">
        <w:rPr>
          <w:sz w:val="22"/>
          <w:szCs w:val="22"/>
        </w:rPr>
        <w:t>n compliance with Hong Kong law</w:t>
      </w:r>
      <w:r w:rsidR="0028039C">
        <w:rPr>
          <w:sz w:val="22"/>
          <w:szCs w:val="22"/>
        </w:rPr>
        <w:t>.</w:t>
      </w:r>
      <w:r w:rsidR="0028039C">
        <w:rPr>
          <w:rStyle w:val="FootnoteReference"/>
          <w:sz w:val="22"/>
          <w:szCs w:val="22"/>
        </w:rPr>
        <w:footnoteReference w:id="20"/>
      </w:r>
      <w:r w:rsidR="0028039C">
        <w:rPr>
          <w:sz w:val="22"/>
          <w:szCs w:val="22"/>
        </w:rPr>
        <w:t xml:space="preserve">  </w:t>
      </w:r>
      <w:r w:rsidR="008027E4" w:rsidRPr="0007288F">
        <w:rPr>
          <w:sz w:val="22"/>
          <w:szCs w:val="22"/>
        </w:rPr>
        <w:t xml:space="preserve">A “Committee of Inspection (“COI”) was appointed at that meeting.  </w:t>
      </w:r>
    </w:p>
    <w:p w:rsidR="008027E4" w:rsidRPr="0007288F" w:rsidRDefault="008027E4" w:rsidP="0007288F">
      <w:pPr>
        <w:pStyle w:val="BodyText3"/>
        <w:spacing w:line="360" w:lineRule="auto"/>
        <w:rPr>
          <w:sz w:val="22"/>
          <w:szCs w:val="22"/>
        </w:rPr>
      </w:pPr>
      <w:r w:rsidRPr="0007288F">
        <w:rPr>
          <w:sz w:val="22"/>
          <w:szCs w:val="22"/>
        </w:rPr>
        <w:t xml:space="preserve">Aviva objected to recognition of the </w:t>
      </w:r>
      <w:r w:rsidR="0028039C">
        <w:rPr>
          <w:sz w:val="22"/>
          <w:szCs w:val="22"/>
        </w:rPr>
        <w:t>Hong Kong</w:t>
      </w:r>
      <w:r w:rsidRPr="0007288F">
        <w:rPr>
          <w:sz w:val="22"/>
          <w:szCs w:val="22"/>
        </w:rPr>
        <w:t xml:space="preserve"> proceeding </w:t>
      </w:r>
      <w:r w:rsidR="0028039C">
        <w:rPr>
          <w:sz w:val="22"/>
          <w:szCs w:val="22"/>
        </w:rPr>
        <w:t xml:space="preserve">in the </w:t>
      </w:r>
      <w:r w:rsidR="000C1C49">
        <w:rPr>
          <w:sz w:val="22"/>
          <w:szCs w:val="22"/>
        </w:rPr>
        <w:t xml:space="preserve">U.S. </w:t>
      </w:r>
      <w:r w:rsidR="0028039C">
        <w:rPr>
          <w:sz w:val="22"/>
          <w:szCs w:val="22"/>
        </w:rPr>
        <w:t>chapter 15 case</w:t>
      </w:r>
      <w:r w:rsidR="000C1C49">
        <w:rPr>
          <w:sz w:val="22"/>
          <w:szCs w:val="22"/>
        </w:rPr>
        <w:t xml:space="preserve">, asserting that recognition </w:t>
      </w:r>
      <w:r w:rsidR="0028039C">
        <w:rPr>
          <w:sz w:val="22"/>
          <w:szCs w:val="22"/>
        </w:rPr>
        <w:t xml:space="preserve">would be </w:t>
      </w:r>
      <w:r w:rsidRPr="0007288F">
        <w:rPr>
          <w:sz w:val="22"/>
          <w:szCs w:val="22"/>
        </w:rPr>
        <w:t>manifestly contrary to the public policy of the United States under section 1506 of the Bankruptcy Code.</w:t>
      </w:r>
      <w:r w:rsidR="0028039C">
        <w:rPr>
          <w:rStyle w:val="FootnoteReference"/>
          <w:sz w:val="22"/>
          <w:szCs w:val="22"/>
        </w:rPr>
        <w:footnoteReference w:id="21"/>
      </w:r>
      <w:r w:rsidRPr="0007288F">
        <w:rPr>
          <w:sz w:val="22"/>
          <w:szCs w:val="22"/>
        </w:rPr>
        <w:t xml:space="preserve">  </w:t>
      </w:r>
      <w:proofErr w:type="gramStart"/>
      <w:r w:rsidRPr="0007288F">
        <w:rPr>
          <w:sz w:val="22"/>
          <w:szCs w:val="22"/>
        </w:rPr>
        <w:t>The them</w:t>
      </w:r>
      <w:r w:rsidR="005A05E4" w:rsidRPr="0007288F">
        <w:rPr>
          <w:sz w:val="22"/>
          <w:szCs w:val="22"/>
        </w:rPr>
        <w:t>e</w:t>
      </w:r>
      <w:r w:rsidR="000C1C49">
        <w:rPr>
          <w:sz w:val="22"/>
          <w:szCs w:val="22"/>
        </w:rPr>
        <w:t xml:space="preserve"> of its objection</w:t>
      </w:r>
      <w:r w:rsidRPr="0007288F">
        <w:rPr>
          <w:sz w:val="22"/>
          <w:szCs w:val="22"/>
        </w:rPr>
        <w:t xml:space="preserve"> w</w:t>
      </w:r>
      <w:r w:rsidR="0028039C">
        <w:rPr>
          <w:sz w:val="22"/>
          <w:szCs w:val="22"/>
        </w:rPr>
        <w:t>as</w:t>
      </w:r>
      <w:r w:rsidRPr="0007288F">
        <w:rPr>
          <w:sz w:val="22"/>
          <w:szCs w:val="22"/>
        </w:rPr>
        <w:t xml:space="preserve"> that “the Debtor and its former principals ‘initiated the Hong Kong liquidation and the Chapter 15 case in bad faith,’ as ‘part of the principals’ long-running scheme to defy and undermine the U.S. judicial system,’” including through affiliates purchasing third party debt “to ensure control over the anticipated liquidation, and . . . Aviva’s marginalization from </w:t>
      </w:r>
      <w:r w:rsidRPr="0007288F">
        <w:rPr>
          <w:sz w:val="22"/>
          <w:szCs w:val="22"/>
        </w:rPr>
        <w:lastRenderedPageBreak/>
        <w:t>that process.</w:t>
      </w:r>
      <w:r w:rsidR="0028039C">
        <w:rPr>
          <w:sz w:val="22"/>
          <w:szCs w:val="22"/>
        </w:rPr>
        <w:t>”</w:t>
      </w:r>
      <w:r w:rsidR="0028039C">
        <w:rPr>
          <w:rStyle w:val="FootnoteReference"/>
          <w:sz w:val="22"/>
          <w:szCs w:val="22"/>
        </w:rPr>
        <w:footnoteReference w:id="22"/>
      </w:r>
      <w:proofErr w:type="gramEnd"/>
      <w:r w:rsidRPr="0007288F">
        <w:rPr>
          <w:sz w:val="22"/>
          <w:szCs w:val="22"/>
        </w:rPr>
        <w:t xml:space="preserve">  The bankruptcy court overruled the objections and granted recognition, and on appeal, the district court affirmed.  </w:t>
      </w:r>
    </w:p>
    <w:p w:rsidR="00380EF5" w:rsidRPr="0007288F" w:rsidRDefault="00A72F68" w:rsidP="0007288F">
      <w:pPr>
        <w:pStyle w:val="BodyText3"/>
        <w:spacing w:line="360" w:lineRule="auto"/>
        <w:rPr>
          <w:sz w:val="22"/>
          <w:szCs w:val="22"/>
        </w:rPr>
      </w:pPr>
      <w:r w:rsidRPr="0007288F">
        <w:rPr>
          <w:sz w:val="22"/>
          <w:szCs w:val="22"/>
        </w:rPr>
        <w:t>The court confirmed that</w:t>
      </w:r>
      <w:r w:rsidR="004A526F">
        <w:rPr>
          <w:sz w:val="22"/>
          <w:szCs w:val="22"/>
        </w:rPr>
        <w:t xml:space="preserve"> a finding under section 1506 i</w:t>
      </w:r>
      <w:r w:rsidRPr="0007288F">
        <w:rPr>
          <w:sz w:val="22"/>
          <w:szCs w:val="22"/>
        </w:rPr>
        <w:t xml:space="preserve">s only warranted under “exceptional circumstances” and </w:t>
      </w:r>
      <w:r w:rsidR="0028039C">
        <w:rPr>
          <w:sz w:val="22"/>
          <w:szCs w:val="22"/>
        </w:rPr>
        <w:t xml:space="preserve">applying it </w:t>
      </w:r>
      <w:r w:rsidRPr="0007288F">
        <w:rPr>
          <w:sz w:val="22"/>
          <w:szCs w:val="22"/>
        </w:rPr>
        <w:t xml:space="preserve">requires that a “high standard” </w:t>
      </w:r>
      <w:proofErr w:type="gramStart"/>
      <w:r w:rsidRPr="0007288F">
        <w:rPr>
          <w:sz w:val="22"/>
          <w:szCs w:val="22"/>
        </w:rPr>
        <w:t>be met</w:t>
      </w:r>
      <w:proofErr w:type="gramEnd"/>
      <w:r w:rsidRPr="0007288F">
        <w:rPr>
          <w:sz w:val="22"/>
          <w:szCs w:val="22"/>
        </w:rPr>
        <w:t>.</w:t>
      </w:r>
      <w:r w:rsidRPr="0007288F">
        <w:rPr>
          <w:rStyle w:val="FootnoteReference"/>
          <w:sz w:val="22"/>
          <w:szCs w:val="22"/>
        </w:rPr>
        <w:footnoteReference w:id="23"/>
      </w:r>
      <w:r w:rsidRPr="0007288F">
        <w:rPr>
          <w:sz w:val="22"/>
          <w:szCs w:val="22"/>
        </w:rPr>
        <w:t xml:space="preserve">  </w:t>
      </w:r>
      <w:r w:rsidR="008027E4" w:rsidRPr="0007288F">
        <w:rPr>
          <w:sz w:val="22"/>
          <w:szCs w:val="22"/>
        </w:rPr>
        <w:t xml:space="preserve">The court </w:t>
      </w:r>
      <w:r w:rsidR="00380EF5" w:rsidRPr="0007288F">
        <w:rPr>
          <w:sz w:val="22"/>
          <w:szCs w:val="22"/>
        </w:rPr>
        <w:t xml:space="preserve">held that the late notice of the Creditors Meeting was not sufficient to support a finding that due process </w:t>
      </w:r>
      <w:r w:rsidR="004A526F">
        <w:rPr>
          <w:sz w:val="22"/>
          <w:szCs w:val="22"/>
        </w:rPr>
        <w:t xml:space="preserve">was violated </w:t>
      </w:r>
      <w:r w:rsidR="00380EF5" w:rsidRPr="0007288F">
        <w:rPr>
          <w:sz w:val="22"/>
          <w:szCs w:val="22"/>
        </w:rPr>
        <w:t>for two reasons.</w:t>
      </w:r>
      <w:r w:rsidRPr="0007288F">
        <w:rPr>
          <w:rStyle w:val="FootnoteReference"/>
          <w:sz w:val="22"/>
          <w:szCs w:val="22"/>
        </w:rPr>
        <w:footnoteReference w:id="24"/>
      </w:r>
      <w:r w:rsidR="008027E4" w:rsidRPr="0007288F">
        <w:rPr>
          <w:sz w:val="22"/>
          <w:szCs w:val="22"/>
        </w:rPr>
        <w:t xml:space="preserve">  </w:t>
      </w:r>
      <w:r w:rsidR="00380EF5" w:rsidRPr="0007288F">
        <w:rPr>
          <w:sz w:val="22"/>
          <w:szCs w:val="22"/>
        </w:rPr>
        <w:t xml:space="preserve">First, </w:t>
      </w:r>
      <w:r w:rsidR="005A05E4" w:rsidRPr="0007288F">
        <w:rPr>
          <w:sz w:val="22"/>
          <w:szCs w:val="22"/>
        </w:rPr>
        <w:t xml:space="preserve">the Hong Kong liquidators subsequently offered Aviva to join the COI, effectively remedying any prejudice Aviva may have suffered </w:t>
      </w:r>
      <w:proofErr w:type="gramStart"/>
      <w:r w:rsidR="004A526F">
        <w:rPr>
          <w:sz w:val="22"/>
          <w:szCs w:val="22"/>
        </w:rPr>
        <w:t>as a result</w:t>
      </w:r>
      <w:proofErr w:type="gramEnd"/>
      <w:r w:rsidR="004A526F">
        <w:rPr>
          <w:sz w:val="22"/>
          <w:szCs w:val="22"/>
        </w:rPr>
        <w:t xml:space="preserve"> of </w:t>
      </w:r>
      <w:r w:rsidR="005A05E4" w:rsidRPr="0007288F">
        <w:rPr>
          <w:sz w:val="22"/>
          <w:szCs w:val="22"/>
        </w:rPr>
        <w:t>the late notice.</w:t>
      </w:r>
      <w:r w:rsidR="004A526F">
        <w:rPr>
          <w:rStyle w:val="FootnoteReference"/>
          <w:sz w:val="22"/>
          <w:szCs w:val="22"/>
        </w:rPr>
        <w:footnoteReference w:id="25"/>
      </w:r>
      <w:r w:rsidR="005A05E4" w:rsidRPr="0007288F">
        <w:rPr>
          <w:sz w:val="22"/>
          <w:szCs w:val="22"/>
        </w:rPr>
        <w:t xml:space="preserve">  </w:t>
      </w:r>
      <w:r w:rsidR="00380EF5" w:rsidRPr="0007288F">
        <w:rPr>
          <w:sz w:val="22"/>
          <w:szCs w:val="22"/>
        </w:rPr>
        <w:t xml:space="preserve">Second, the court </w:t>
      </w:r>
      <w:proofErr w:type="gramStart"/>
      <w:r w:rsidR="00380EF5" w:rsidRPr="0007288F">
        <w:rPr>
          <w:sz w:val="22"/>
          <w:szCs w:val="22"/>
        </w:rPr>
        <w:t>noted that</w:t>
      </w:r>
      <w:proofErr w:type="gramEnd"/>
      <w:r w:rsidR="00380EF5" w:rsidRPr="0007288F">
        <w:rPr>
          <w:sz w:val="22"/>
          <w:szCs w:val="22"/>
        </w:rPr>
        <w:t xml:space="preserve"> “there is a procedure in place where a Hong Kong court could invalidate the liquidation if procedural requirements were not satisfied.</w:t>
      </w:r>
      <w:r w:rsidR="008027E4" w:rsidRPr="0007288F">
        <w:rPr>
          <w:sz w:val="22"/>
          <w:szCs w:val="22"/>
        </w:rPr>
        <w:t>”</w:t>
      </w:r>
      <w:r w:rsidR="004A526F">
        <w:rPr>
          <w:rStyle w:val="FootnoteReference"/>
          <w:sz w:val="22"/>
          <w:szCs w:val="22"/>
        </w:rPr>
        <w:footnoteReference w:id="26"/>
      </w:r>
      <w:r w:rsidR="00380EF5" w:rsidRPr="0007288F">
        <w:rPr>
          <w:sz w:val="22"/>
          <w:szCs w:val="22"/>
        </w:rPr>
        <w:t xml:space="preserve">  </w:t>
      </w:r>
    </w:p>
    <w:p w:rsidR="00380EF5" w:rsidRPr="0007288F" w:rsidRDefault="00380EF5" w:rsidP="0007288F">
      <w:pPr>
        <w:pStyle w:val="BodyText3"/>
        <w:spacing w:line="360" w:lineRule="auto"/>
        <w:rPr>
          <w:sz w:val="22"/>
          <w:szCs w:val="22"/>
        </w:rPr>
      </w:pPr>
      <w:r w:rsidRPr="0007288F">
        <w:rPr>
          <w:sz w:val="22"/>
          <w:szCs w:val="22"/>
        </w:rPr>
        <w:t xml:space="preserve">The Court also rejected Aviva’s arguments that </w:t>
      </w:r>
      <w:r w:rsidR="005A05E4" w:rsidRPr="0007288F">
        <w:rPr>
          <w:sz w:val="22"/>
          <w:szCs w:val="22"/>
        </w:rPr>
        <w:t>recognition would “</w:t>
      </w:r>
      <w:r w:rsidRPr="0007288F">
        <w:rPr>
          <w:sz w:val="22"/>
          <w:szCs w:val="22"/>
        </w:rPr>
        <w:t>‘improperly reward’ the Debtor for allegedly ‘deliberately disobeying’ U.S. court orders and ignoring [a judgment from the District of Minnesota], thereby ‘</w:t>
      </w:r>
      <w:proofErr w:type="spellStart"/>
      <w:r w:rsidRPr="0007288F">
        <w:rPr>
          <w:sz w:val="22"/>
          <w:szCs w:val="22"/>
        </w:rPr>
        <w:t>encourag</w:t>
      </w:r>
      <w:proofErr w:type="spellEnd"/>
      <w:r w:rsidRPr="0007288F">
        <w:rPr>
          <w:sz w:val="22"/>
          <w:szCs w:val="22"/>
        </w:rPr>
        <w:t>[</w:t>
      </w:r>
      <w:proofErr w:type="spellStart"/>
      <w:r w:rsidRPr="0007288F">
        <w:rPr>
          <w:sz w:val="22"/>
          <w:szCs w:val="22"/>
        </w:rPr>
        <w:t>ing</w:t>
      </w:r>
      <w:proofErr w:type="spellEnd"/>
      <w:r w:rsidRPr="0007288F">
        <w:rPr>
          <w:sz w:val="22"/>
          <w:szCs w:val="22"/>
        </w:rPr>
        <w:t>]’ other foreign companies to act similarly.”</w:t>
      </w:r>
      <w:r w:rsidR="004A526F">
        <w:rPr>
          <w:rStyle w:val="FootnoteReference"/>
          <w:sz w:val="22"/>
          <w:szCs w:val="22"/>
        </w:rPr>
        <w:footnoteReference w:id="27"/>
      </w:r>
      <w:r w:rsidRPr="0007288F">
        <w:rPr>
          <w:sz w:val="22"/>
          <w:szCs w:val="22"/>
        </w:rPr>
        <w:t xml:space="preserve">    The court held that </w:t>
      </w:r>
      <w:r w:rsidR="005A05E4" w:rsidRPr="0007288F">
        <w:rPr>
          <w:sz w:val="22"/>
          <w:szCs w:val="22"/>
        </w:rPr>
        <w:t xml:space="preserve">public policy did not mandate denying recognition </w:t>
      </w:r>
      <w:r w:rsidRPr="0007288F">
        <w:rPr>
          <w:sz w:val="22"/>
          <w:szCs w:val="22"/>
        </w:rPr>
        <w:t xml:space="preserve">even if </w:t>
      </w:r>
      <w:r w:rsidR="001B269F" w:rsidRPr="0007288F">
        <w:rPr>
          <w:sz w:val="22"/>
          <w:szCs w:val="22"/>
        </w:rPr>
        <w:t>the debtor had not complied with</w:t>
      </w:r>
      <w:r w:rsidR="005A05E4" w:rsidRPr="0007288F">
        <w:rPr>
          <w:sz w:val="22"/>
          <w:szCs w:val="22"/>
        </w:rPr>
        <w:t xml:space="preserve"> various</w:t>
      </w:r>
      <w:r w:rsidR="001B269F" w:rsidRPr="0007288F">
        <w:rPr>
          <w:sz w:val="22"/>
          <w:szCs w:val="22"/>
        </w:rPr>
        <w:t xml:space="preserve"> orders from the Minnesota court and even if “one of the primary motivations in initiating the Hong Kong liquidation was to avoid the imposition of sanctions in the Minnesota” federal action</w:t>
      </w:r>
      <w:r w:rsidR="005A05E4" w:rsidRPr="0007288F">
        <w:rPr>
          <w:sz w:val="22"/>
          <w:szCs w:val="22"/>
        </w:rPr>
        <w:t>.</w:t>
      </w:r>
      <w:r w:rsidR="00A72F68" w:rsidRPr="0007288F">
        <w:rPr>
          <w:rStyle w:val="FootnoteReference"/>
          <w:sz w:val="22"/>
          <w:szCs w:val="22"/>
        </w:rPr>
        <w:footnoteReference w:id="28"/>
      </w:r>
      <w:r w:rsidR="005A05E4" w:rsidRPr="0007288F">
        <w:rPr>
          <w:sz w:val="22"/>
          <w:szCs w:val="22"/>
        </w:rPr>
        <w:t xml:space="preserve">  </w:t>
      </w:r>
      <w:r w:rsidR="001B269F" w:rsidRPr="0007288F">
        <w:rPr>
          <w:sz w:val="22"/>
          <w:szCs w:val="22"/>
        </w:rPr>
        <w:t xml:space="preserve">In doing so, the court rejected the comparison to the </w:t>
      </w:r>
      <w:r w:rsidR="001B269F" w:rsidRPr="0007288F">
        <w:rPr>
          <w:i/>
          <w:sz w:val="22"/>
          <w:szCs w:val="22"/>
        </w:rPr>
        <w:t>Gold &amp; Honey</w:t>
      </w:r>
      <w:r w:rsidR="001B269F" w:rsidRPr="0007288F">
        <w:rPr>
          <w:sz w:val="22"/>
          <w:szCs w:val="22"/>
        </w:rPr>
        <w:t xml:space="preserve"> case</w:t>
      </w:r>
      <w:r w:rsidR="00A72F68" w:rsidRPr="0007288F">
        <w:rPr>
          <w:sz w:val="22"/>
          <w:szCs w:val="22"/>
        </w:rPr>
        <w:t xml:space="preserve"> (discussed below)</w:t>
      </w:r>
      <w:r w:rsidR="001B269F" w:rsidRPr="0007288F">
        <w:rPr>
          <w:sz w:val="22"/>
          <w:szCs w:val="22"/>
        </w:rPr>
        <w:t>, finding that there was no assertion “that any U.S. statute has been, or will be, violated in this case.</w:t>
      </w:r>
      <w:r w:rsidR="004A526F">
        <w:rPr>
          <w:sz w:val="22"/>
          <w:szCs w:val="22"/>
        </w:rPr>
        <w:t>”</w:t>
      </w:r>
      <w:r w:rsidR="00A72F68" w:rsidRPr="0007288F">
        <w:rPr>
          <w:rStyle w:val="FootnoteReference"/>
          <w:sz w:val="22"/>
          <w:szCs w:val="22"/>
        </w:rPr>
        <w:footnoteReference w:id="29"/>
      </w:r>
      <w:r w:rsidR="001B269F" w:rsidRPr="0007288F">
        <w:rPr>
          <w:sz w:val="22"/>
          <w:szCs w:val="22"/>
        </w:rPr>
        <w:t xml:space="preserve">  It also suggested, without holding</w:t>
      </w:r>
      <w:r w:rsidR="00261EBC" w:rsidRPr="0007288F">
        <w:rPr>
          <w:sz w:val="22"/>
          <w:szCs w:val="22"/>
        </w:rPr>
        <w:t>,</w:t>
      </w:r>
      <w:r w:rsidR="001B269F" w:rsidRPr="0007288F">
        <w:rPr>
          <w:sz w:val="22"/>
          <w:szCs w:val="22"/>
        </w:rPr>
        <w:t xml:space="preserve"> “that not any violation of U.S. statute will suffice to support the public policy </w:t>
      </w:r>
      <w:proofErr w:type="gramStart"/>
      <w:r w:rsidR="001B269F" w:rsidRPr="0007288F">
        <w:rPr>
          <w:sz w:val="22"/>
          <w:szCs w:val="22"/>
        </w:rPr>
        <w:t>exception,</w:t>
      </w:r>
      <w:proofErr w:type="gramEnd"/>
      <w:r w:rsidR="001B269F" w:rsidRPr="0007288F">
        <w:rPr>
          <w:sz w:val="22"/>
          <w:szCs w:val="22"/>
        </w:rPr>
        <w:t xml:space="preserve"> rather it </w:t>
      </w:r>
      <w:r w:rsidR="001B269F" w:rsidRPr="0007288F">
        <w:rPr>
          <w:sz w:val="22"/>
          <w:szCs w:val="22"/>
        </w:rPr>
        <w:lastRenderedPageBreak/>
        <w:t>may be that such statute must embody fundamental policy objectives</w:t>
      </w:r>
      <w:r w:rsidR="006A1B4E" w:rsidRPr="0007288F">
        <w:rPr>
          <w:sz w:val="22"/>
          <w:szCs w:val="22"/>
        </w:rPr>
        <w:t>, as the automatic stay statute does, and as the Wiretap Act and the Privacy Act do.”</w:t>
      </w:r>
      <w:r w:rsidR="00A72F68" w:rsidRPr="0007288F">
        <w:rPr>
          <w:rStyle w:val="FootnoteReference"/>
          <w:sz w:val="22"/>
          <w:szCs w:val="22"/>
        </w:rPr>
        <w:footnoteReference w:id="30"/>
      </w:r>
      <w:r w:rsidR="006A1B4E" w:rsidRPr="0007288F">
        <w:rPr>
          <w:sz w:val="22"/>
          <w:szCs w:val="22"/>
        </w:rPr>
        <w:t xml:space="preserve">  </w:t>
      </w:r>
    </w:p>
    <w:p w:rsidR="0043272D" w:rsidRPr="0007288F" w:rsidRDefault="0043272D" w:rsidP="0007288F">
      <w:pPr>
        <w:pStyle w:val="BodyText3"/>
        <w:spacing w:line="360" w:lineRule="auto"/>
        <w:rPr>
          <w:sz w:val="22"/>
          <w:szCs w:val="22"/>
        </w:rPr>
      </w:pPr>
      <w:r w:rsidRPr="0007288F">
        <w:rPr>
          <w:sz w:val="22"/>
          <w:szCs w:val="22"/>
        </w:rPr>
        <w:t xml:space="preserve">Similarly, the bankruptcy court </w:t>
      </w:r>
      <w:r w:rsidR="00BC6CC0" w:rsidRPr="0007288F">
        <w:rPr>
          <w:sz w:val="22"/>
          <w:szCs w:val="22"/>
        </w:rPr>
        <w:t xml:space="preserve">for the Southern District of New York </w:t>
      </w:r>
      <w:r w:rsidRPr="0007288F">
        <w:rPr>
          <w:sz w:val="22"/>
          <w:szCs w:val="22"/>
        </w:rPr>
        <w:t xml:space="preserve">recognized the foreign main proceeding and restructuring plan of </w:t>
      </w:r>
      <w:proofErr w:type="spellStart"/>
      <w:r w:rsidRPr="0007288F">
        <w:rPr>
          <w:sz w:val="22"/>
          <w:szCs w:val="22"/>
        </w:rPr>
        <w:t>Agrokor</w:t>
      </w:r>
      <w:proofErr w:type="spellEnd"/>
      <w:r w:rsidRPr="0007288F">
        <w:rPr>
          <w:sz w:val="22"/>
          <w:szCs w:val="22"/>
        </w:rPr>
        <w:t xml:space="preserve">, a very large Croatian company (discussed below in more detail in the English </w:t>
      </w:r>
      <w:r w:rsidR="004A526F">
        <w:rPr>
          <w:sz w:val="22"/>
          <w:szCs w:val="22"/>
        </w:rPr>
        <w:t>law</w:t>
      </w:r>
      <w:r w:rsidRPr="0007288F">
        <w:rPr>
          <w:sz w:val="22"/>
          <w:szCs w:val="22"/>
        </w:rPr>
        <w:t xml:space="preserve"> </w:t>
      </w:r>
      <w:r w:rsidR="00A72F68" w:rsidRPr="0007288F">
        <w:rPr>
          <w:sz w:val="22"/>
          <w:szCs w:val="22"/>
        </w:rPr>
        <w:t>section</w:t>
      </w:r>
      <w:r w:rsidRPr="0007288F">
        <w:rPr>
          <w:sz w:val="22"/>
          <w:szCs w:val="22"/>
        </w:rPr>
        <w:t xml:space="preserve">). </w:t>
      </w:r>
      <w:r w:rsidRPr="0007288F">
        <w:rPr>
          <w:rStyle w:val="FootnoteReference"/>
          <w:sz w:val="22"/>
          <w:szCs w:val="22"/>
        </w:rPr>
        <w:footnoteReference w:id="31"/>
      </w:r>
      <w:r w:rsidRPr="0007288F">
        <w:rPr>
          <w:sz w:val="22"/>
          <w:szCs w:val="22"/>
        </w:rPr>
        <w:t xml:space="preserve">   </w:t>
      </w:r>
      <w:proofErr w:type="gramStart"/>
      <w:r w:rsidRPr="0007288F">
        <w:rPr>
          <w:sz w:val="22"/>
          <w:szCs w:val="22"/>
        </w:rPr>
        <w:t>Although there were no objections to the recognition, the court closely examined whether recognition was contrary to public policy</w:t>
      </w:r>
      <w:r w:rsidR="00BC6CC0" w:rsidRPr="0007288F">
        <w:rPr>
          <w:sz w:val="22"/>
          <w:szCs w:val="22"/>
        </w:rPr>
        <w:t xml:space="preserve"> and held that it was not</w:t>
      </w:r>
      <w:r w:rsidRPr="0007288F">
        <w:rPr>
          <w:sz w:val="22"/>
          <w:szCs w:val="22"/>
        </w:rPr>
        <w:t xml:space="preserve">, even though several other jurisdictions had </w:t>
      </w:r>
      <w:r w:rsidR="00BC6CC0" w:rsidRPr="0007288F">
        <w:rPr>
          <w:sz w:val="22"/>
          <w:szCs w:val="22"/>
        </w:rPr>
        <w:t>refused to recognize the Croatia</w:t>
      </w:r>
      <w:r w:rsidRPr="0007288F">
        <w:rPr>
          <w:sz w:val="22"/>
          <w:szCs w:val="22"/>
        </w:rPr>
        <w:t xml:space="preserve">n proceedings and even though the court had reason to believe the English court would refuse to recognize any Croatian plan that sought to restructure English debt-governed documents (due to the </w:t>
      </w:r>
      <w:r w:rsidRPr="0007288F">
        <w:rPr>
          <w:i/>
          <w:sz w:val="22"/>
          <w:szCs w:val="22"/>
        </w:rPr>
        <w:t>Gibbs</w:t>
      </w:r>
      <w:r w:rsidRPr="0007288F">
        <w:rPr>
          <w:sz w:val="22"/>
          <w:szCs w:val="22"/>
        </w:rPr>
        <w:t xml:space="preserve"> rule).</w:t>
      </w:r>
      <w:proofErr w:type="gramEnd"/>
      <w:r w:rsidRPr="0007288F">
        <w:rPr>
          <w:sz w:val="22"/>
          <w:szCs w:val="22"/>
        </w:rPr>
        <w:t xml:space="preserve">  N</w:t>
      </w:r>
      <w:r w:rsidR="004A526F">
        <w:rPr>
          <w:sz w:val="22"/>
          <w:szCs w:val="22"/>
        </w:rPr>
        <w:t>either the fact that the Croatia</w:t>
      </w:r>
      <w:r w:rsidRPr="0007288F">
        <w:rPr>
          <w:sz w:val="22"/>
          <w:szCs w:val="22"/>
        </w:rPr>
        <w:t xml:space="preserve">n process </w:t>
      </w:r>
      <w:r w:rsidR="00BC6CC0" w:rsidRPr="0007288F">
        <w:rPr>
          <w:sz w:val="22"/>
          <w:szCs w:val="22"/>
        </w:rPr>
        <w:t>differe</w:t>
      </w:r>
      <w:r w:rsidRPr="0007288F">
        <w:rPr>
          <w:sz w:val="22"/>
          <w:szCs w:val="22"/>
        </w:rPr>
        <w:t xml:space="preserve">d somewhat from what would be permitted in a chapter 11 case nor the fact that other countries might not recognize the plan were reasons to </w:t>
      </w:r>
      <w:r w:rsidR="00A72F68" w:rsidRPr="0007288F">
        <w:rPr>
          <w:sz w:val="22"/>
          <w:szCs w:val="22"/>
        </w:rPr>
        <w:t>deny</w:t>
      </w:r>
      <w:r w:rsidRPr="0007288F">
        <w:rPr>
          <w:sz w:val="22"/>
          <w:szCs w:val="22"/>
        </w:rPr>
        <w:t xml:space="preserve"> comity in the United States.</w:t>
      </w:r>
      <w:r w:rsidR="00A72F68" w:rsidRPr="0007288F">
        <w:rPr>
          <w:rStyle w:val="FootnoteReference"/>
          <w:sz w:val="22"/>
          <w:szCs w:val="22"/>
        </w:rPr>
        <w:footnoteReference w:id="32"/>
      </w:r>
    </w:p>
    <w:p w:rsidR="00261EBC" w:rsidRPr="0007288F" w:rsidRDefault="00261EBC" w:rsidP="0007288F">
      <w:pPr>
        <w:pStyle w:val="BodyText3"/>
        <w:spacing w:line="360" w:lineRule="auto"/>
        <w:rPr>
          <w:sz w:val="22"/>
          <w:szCs w:val="22"/>
        </w:rPr>
      </w:pPr>
      <w:r w:rsidRPr="0007288F">
        <w:rPr>
          <w:sz w:val="22"/>
          <w:szCs w:val="22"/>
        </w:rPr>
        <w:t xml:space="preserve">There are numerous other examples of </w:t>
      </w:r>
      <w:r w:rsidR="00A72F68" w:rsidRPr="0007288F">
        <w:rPr>
          <w:sz w:val="22"/>
          <w:szCs w:val="22"/>
        </w:rPr>
        <w:t xml:space="preserve">U.S. </w:t>
      </w:r>
      <w:r w:rsidRPr="0007288F">
        <w:rPr>
          <w:sz w:val="22"/>
          <w:szCs w:val="22"/>
        </w:rPr>
        <w:t>courts rejecting the public policy exception, including</w:t>
      </w:r>
      <w:r w:rsidR="00101E05">
        <w:rPr>
          <w:sz w:val="22"/>
          <w:szCs w:val="22"/>
        </w:rPr>
        <w:t xml:space="preserve"> (</w:t>
      </w:r>
      <w:proofErr w:type="gramStart"/>
      <w:r w:rsidR="00101E05">
        <w:rPr>
          <w:sz w:val="22"/>
          <w:szCs w:val="22"/>
        </w:rPr>
        <w:t>to name</w:t>
      </w:r>
      <w:proofErr w:type="gramEnd"/>
      <w:r w:rsidR="00101E05">
        <w:rPr>
          <w:sz w:val="22"/>
          <w:szCs w:val="22"/>
        </w:rPr>
        <w:t xml:space="preserve"> only a few)</w:t>
      </w:r>
      <w:r w:rsidRPr="0007288F">
        <w:rPr>
          <w:sz w:val="22"/>
          <w:szCs w:val="22"/>
        </w:rPr>
        <w:t>:</w:t>
      </w:r>
    </w:p>
    <w:p w:rsidR="00261EBC" w:rsidRPr="0007288F" w:rsidRDefault="00261EBC" w:rsidP="0007288F">
      <w:pPr>
        <w:pStyle w:val="BodyText3"/>
        <w:numPr>
          <w:ilvl w:val="0"/>
          <w:numId w:val="34"/>
        </w:numPr>
        <w:spacing w:line="360" w:lineRule="auto"/>
        <w:rPr>
          <w:sz w:val="22"/>
          <w:szCs w:val="22"/>
        </w:rPr>
      </w:pPr>
      <w:proofErr w:type="gramStart"/>
      <w:r w:rsidRPr="0007288F">
        <w:rPr>
          <w:sz w:val="22"/>
          <w:szCs w:val="22"/>
        </w:rPr>
        <w:t>Rejecting arguments t</w:t>
      </w:r>
      <w:r w:rsidR="004A526F">
        <w:rPr>
          <w:sz w:val="22"/>
          <w:szCs w:val="22"/>
        </w:rPr>
        <w:t>hat an Irish proceeding violated</w:t>
      </w:r>
      <w:r w:rsidRPr="0007288F">
        <w:rPr>
          <w:sz w:val="22"/>
          <w:szCs w:val="22"/>
        </w:rPr>
        <w:t xml:space="preserve"> </w:t>
      </w:r>
      <w:r w:rsidR="004A526F">
        <w:rPr>
          <w:sz w:val="22"/>
          <w:szCs w:val="22"/>
        </w:rPr>
        <w:t xml:space="preserve">U.S. </w:t>
      </w:r>
      <w:r w:rsidRPr="0007288F">
        <w:rPr>
          <w:sz w:val="22"/>
          <w:szCs w:val="22"/>
        </w:rPr>
        <w:t>policy due to (i) the Irish liquidators’ alleged lack of inde</w:t>
      </w:r>
      <w:r w:rsidR="00A72F68" w:rsidRPr="0007288F">
        <w:rPr>
          <w:sz w:val="22"/>
          <w:szCs w:val="22"/>
        </w:rPr>
        <w:t>pe</w:t>
      </w:r>
      <w:r w:rsidRPr="0007288F">
        <w:rPr>
          <w:sz w:val="22"/>
          <w:szCs w:val="22"/>
        </w:rPr>
        <w:t xml:space="preserve">ndence from the Irish Finance Minister, (ii) the alleged inability to challenge a transfer </w:t>
      </w:r>
      <w:r w:rsidR="00A153C8" w:rsidRPr="0007288F">
        <w:rPr>
          <w:sz w:val="22"/>
          <w:szCs w:val="22"/>
        </w:rPr>
        <w:t>as a fraudulent transfer</w:t>
      </w:r>
      <w:r w:rsidR="004A526F">
        <w:rPr>
          <w:sz w:val="22"/>
          <w:szCs w:val="22"/>
        </w:rPr>
        <w:t xml:space="preserve"> or</w:t>
      </w:r>
      <w:r w:rsidR="00A153C8" w:rsidRPr="0007288F">
        <w:rPr>
          <w:sz w:val="22"/>
          <w:szCs w:val="22"/>
        </w:rPr>
        <w:t xml:space="preserve"> assert a claim based on violation of transfer restrictions on a loan, (i</w:t>
      </w:r>
      <w:r w:rsidR="004A526F">
        <w:rPr>
          <w:sz w:val="22"/>
          <w:szCs w:val="22"/>
        </w:rPr>
        <w:t>ii</w:t>
      </w:r>
      <w:r w:rsidR="00A153C8" w:rsidRPr="0007288F">
        <w:rPr>
          <w:sz w:val="22"/>
          <w:szCs w:val="22"/>
        </w:rPr>
        <w:t>) the alleged discrimination against U.S. citizens, and (</w:t>
      </w:r>
      <w:r w:rsidR="004A526F">
        <w:rPr>
          <w:sz w:val="22"/>
          <w:szCs w:val="22"/>
        </w:rPr>
        <w:t>i</w:t>
      </w:r>
      <w:r w:rsidR="00A153C8" w:rsidRPr="0007288F">
        <w:rPr>
          <w:sz w:val="22"/>
          <w:szCs w:val="22"/>
        </w:rPr>
        <w:t>v) an allegation that the Irish law would not grant creditors the same “fundamental rights” they would receive in U.S. bankruptcy courts.</w:t>
      </w:r>
      <w:r w:rsidR="00A153C8" w:rsidRPr="0007288F">
        <w:rPr>
          <w:rStyle w:val="FootnoteReference"/>
          <w:sz w:val="22"/>
          <w:szCs w:val="22"/>
        </w:rPr>
        <w:footnoteReference w:id="33"/>
      </w:r>
      <w:proofErr w:type="gramEnd"/>
      <w:r w:rsidR="00A153C8" w:rsidRPr="0007288F">
        <w:rPr>
          <w:sz w:val="22"/>
          <w:szCs w:val="22"/>
        </w:rPr>
        <w:t xml:space="preserve">  The court found no conflict between the applicable Irish law and U.S. law, but that even if one existed, it was insufficient merely to identify such a conflict, as the conflict must actually rise to the “manifestly contrary” standard.”</w:t>
      </w:r>
      <w:r w:rsidR="00A153C8" w:rsidRPr="0007288F">
        <w:rPr>
          <w:rStyle w:val="FootnoteReference"/>
          <w:sz w:val="22"/>
          <w:szCs w:val="22"/>
        </w:rPr>
        <w:footnoteReference w:id="34"/>
      </w:r>
    </w:p>
    <w:p w:rsidR="00AB15EE" w:rsidRPr="0007288F" w:rsidRDefault="00AB15EE" w:rsidP="0007288F">
      <w:pPr>
        <w:pStyle w:val="BodyText3"/>
        <w:numPr>
          <w:ilvl w:val="0"/>
          <w:numId w:val="34"/>
        </w:numPr>
        <w:spacing w:line="360" w:lineRule="auto"/>
        <w:rPr>
          <w:sz w:val="22"/>
          <w:szCs w:val="22"/>
        </w:rPr>
      </w:pPr>
      <w:r w:rsidRPr="0007288F">
        <w:rPr>
          <w:sz w:val="22"/>
          <w:szCs w:val="22"/>
        </w:rPr>
        <w:lastRenderedPageBreak/>
        <w:t xml:space="preserve">Rejecting arguments that an Indian proceeding violated the public policy exception on the basis that unsecured creditors were not automatically included, noting </w:t>
      </w:r>
      <w:proofErr w:type="gramStart"/>
      <w:r w:rsidRPr="0007288F">
        <w:rPr>
          <w:sz w:val="22"/>
          <w:szCs w:val="22"/>
        </w:rPr>
        <w:t>that there was a procedure whereby unsecured creditors could be included</w:t>
      </w:r>
      <w:proofErr w:type="gramEnd"/>
      <w:r w:rsidRPr="0007288F">
        <w:rPr>
          <w:sz w:val="22"/>
          <w:szCs w:val="22"/>
        </w:rPr>
        <w:t>.</w:t>
      </w:r>
      <w:r w:rsidRPr="0007288F">
        <w:rPr>
          <w:rStyle w:val="FootnoteReference"/>
          <w:sz w:val="22"/>
          <w:szCs w:val="22"/>
        </w:rPr>
        <w:footnoteReference w:id="35"/>
      </w:r>
    </w:p>
    <w:p w:rsidR="00AB15EE" w:rsidRPr="0007288F" w:rsidRDefault="00AB15EE" w:rsidP="0007288F">
      <w:pPr>
        <w:pStyle w:val="BodyText3"/>
        <w:numPr>
          <w:ilvl w:val="0"/>
          <w:numId w:val="34"/>
        </w:numPr>
        <w:spacing w:line="360" w:lineRule="auto"/>
        <w:rPr>
          <w:sz w:val="22"/>
          <w:szCs w:val="22"/>
        </w:rPr>
      </w:pPr>
      <w:r w:rsidRPr="0007288F">
        <w:rPr>
          <w:sz w:val="22"/>
          <w:szCs w:val="22"/>
        </w:rPr>
        <w:t>Rejecting arguments that</w:t>
      </w:r>
      <w:r w:rsidR="004A526F">
        <w:rPr>
          <w:sz w:val="22"/>
          <w:szCs w:val="22"/>
        </w:rPr>
        <w:t xml:space="preserve"> the requirement that</w:t>
      </w:r>
      <w:r w:rsidRPr="0007288F">
        <w:rPr>
          <w:sz w:val="22"/>
          <w:szCs w:val="22"/>
        </w:rPr>
        <w:t xml:space="preserve"> </w:t>
      </w:r>
      <w:r w:rsidR="00010B6B" w:rsidRPr="0007288F">
        <w:rPr>
          <w:sz w:val="22"/>
          <w:szCs w:val="22"/>
        </w:rPr>
        <w:t xml:space="preserve">a wrongful death </w:t>
      </w:r>
      <w:r w:rsidR="00C0412E" w:rsidRPr="0007288F">
        <w:rPr>
          <w:sz w:val="22"/>
          <w:szCs w:val="22"/>
        </w:rPr>
        <w:t>claim</w:t>
      </w:r>
      <w:r w:rsidR="00010B6B" w:rsidRPr="0007288F">
        <w:rPr>
          <w:sz w:val="22"/>
          <w:szCs w:val="22"/>
        </w:rPr>
        <w:t xml:space="preserve"> against the debtor </w:t>
      </w:r>
      <w:proofErr w:type="gramStart"/>
      <w:r w:rsidR="00010B6B" w:rsidRPr="0007288F">
        <w:rPr>
          <w:sz w:val="22"/>
          <w:szCs w:val="22"/>
        </w:rPr>
        <w:t>be processed</w:t>
      </w:r>
      <w:proofErr w:type="gramEnd"/>
      <w:r w:rsidR="00010B6B" w:rsidRPr="0007288F">
        <w:rPr>
          <w:sz w:val="22"/>
          <w:szCs w:val="22"/>
        </w:rPr>
        <w:t xml:space="preserve"> in a Canadian insolvency proceeding </w:t>
      </w:r>
      <w:r w:rsidR="004A526F">
        <w:rPr>
          <w:sz w:val="22"/>
          <w:szCs w:val="22"/>
        </w:rPr>
        <w:t xml:space="preserve">without a jury trial right </w:t>
      </w:r>
      <w:r w:rsidRPr="0007288F">
        <w:rPr>
          <w:sz w:val="22"/>
          <w:szCs w:val="22"/>
        </w:rPr>
        <w:t xml:space="preserve">violated public policy </w:t>
      </w:r>
      <w:r w:rsidR="004A526F">
        <w:rPr>
          <w:sz w:val="22"/>
          <w:szCs w:val="22"/>
        </w:rPr>
        <w:t xml:space="preserve">as </w:t>
      </w:r>
      <w:r w:rsidR="00010B6B" w:rsidRPr="0007288F">
        <w:rPr>
          <w:sz w:val="22"/>
          <w:szCs w:val="22"/>
        </w:rPr>
        <w:t>the creditor would have been entitled to</w:t>
      </w:r>
      <w:r w:rsidR="004A526F">
        <w:rPr>
          <w:sz w:val="22"/>
          <w:szCs w:val="22"/>
        </w:rPr>
        <w:t xml:space="preserve"> such a jury trial right</w:t>
      </w:r>
      <w:r w:rsidR="00010B6B" w:rsidRPr="0007288F">
        <w:rPr>
          <w:sz w:val="22"/>
          <w:szCs w:val="22"/>
        </w:rPr>
        <w:t xml:space="preserve"> in the United States</w:t>
      </w:r>
      <w:r w:rsidRPr="0007288F">
        <w:rPr>
          <w:sz w:val="22"/>
          <w:szCs w:val="22"/>
        </w:rPr>
        <w:t>.</w:t>
      </w:r>
      <w:r w:rsidR="00010B6B" w:rsidRPr="0007288F">
        <w:rPr>
          <w:rStyle w:val="FootnoteReference"/>
          <w:sz w:val="22"/>
          <w:szCs w:val="22"/>
        </w:rPr>
        <w:footnoteReference w:id="36"/>
      </w:r>
      <w:r w:rsidRPr="0007288F">
        <w:rPr>
          <w:sz w:val="22"/>
          <w:szCs w:val="22"/>
        </w:rPr>
        <w:t xml:space="preserve">  </w:t>
      </w:r>
    </w:p>
    <w:p w:rsidR="002627B5" w:rsidRPr="0007288F" w:rsidRDefault="00261EBC" w:rsidP="0007288F">
      <w:pPr>
        <w:pStyle w:val="BodyText3"/>
        <w:numPr>
          <w:ilvl w:val="1"/>
          <w:numId w:val="33"/>
        </w:numPr>
        <w:spacing w:line="360" w:lineRule="auto"/>
        <w:rPr>
          <w:sz w:val="22"/>
          <w:szCs w:val="22"/>
        </w:rPr>
      </w:pPr>
      <w:r w:rsidRPr="0007288F">
        <w:rPr>
          <w:sz w:val="22"/>
          <w:szCs w:val="22"/>
        </w:rPr>
        <w:t>U.S. Cases Where Public Policy Exception Has Been Applied Successfully</w:t>
      </w:r>
    </w:p>
    <w:p w:rsidR="00261EBC" w:rsidRPr="0007288F" w:rsidRDefault="00261EBC" w:rsidP="0007288F">
      <w:pPr>
        <w:pStyle w:val="BodyText3"/>
        <w:spacing w:line="360" w:lineRule="auto"/>
        <w:rPr>
          <w:sz w:val="22"/>
          <w:szCs w:val="22"/>
        </w:rPr>
      </w:pPr>
      <w:r w:rsidRPr="0007288F">
        <w:rPr>
          <w:sz w:val="22"/>
          <w:szCs w:val="22"/>
        </w:rPr>
        <w:t xml:space="preserve">As noted, research has revealed only two cases where the public policy exception </w:t>
      </w:r>
      <w:proofErr w:type="gramStart"/>
      <w:r w:rsidRPr="0007288F">
        <w:rPr>
          <w:sz w:val="22"/>
          <w:szCs w:val="22"/>
        </w:rPr>
        <w:t>has been applied</w:t>
      </w:r>
      <w:proofErr w:type="gramEnd"/>
      <w:r w:rsidRPr="0007288F">
        <w:rPr>
          <w:sz w:val="22"/>
          <w:szCs w:val="22"/>
        </w:rPr>
        <w:t xml:space="preserve"> to deny recognition</w:t>
      </w:r>
      <w:r w:rsidR="00C0412E" w:rsidRPr="0007288F">
        <w:rPr>
          <w:sz w:val="22"/>
          <w:szCs w:val="22"/>
        </w:rPr>
        <w:t xml:space="preserve"> of a foreign proceeding</w:t>
      </w:r>
      <w:r w:rsidRPr="0007288F">
        <w:rPr>
          <w:sz w:val="22"/>
          <w:szCs w:val="22"/>
        </w:rPr>
        <w:t xml:space="preserve"> and two cases where it has been applied to limit relief being sought under chapter 15.</w:t>
      </w:r>
    </w:p>
    <w:p w:rsidR="008615AB" w:rsidRPr="0007288F" w:rsidRDefault="008615AB" w:rsidP="0007288F">
      <w:pPr>
        <w:pStyle w:val="BodyText3"/>
        <w:spacing w:line="360" w:lineRule="auto"/>
        <w:rPr>
          <w:sz w:val="22"/>
          <w:szCs w:val="22"/>
        </w:rPr>
      </w:pPr>
      <w:r w:rsidRPr="0007288F">
        <w:rPr>
          <w:i/>
          <w:sz w:val="22"/>
          <w:szCs w:val="22"/>
        </w:rPr>
        <w:t>Gold &amp; Honey</w:t>
      </w:r>
      <w:r w:rsidRPr="0007288F">
        <w:rPr>
          <w:sz w:val="22"/>
          <w:szCs w:val="22"/>
        </w:rPr>
        <w:t xml:space="preserve"> </w:t>
      </w:r>
      <w:r w:rsidR="00C0412E" w:rsidRPr="0007288F">
        <w:rPr>
          <w:sz w:val="22"/>
          <w:szCs w:val="22"/>
        </w:rPr>
        <w:t>was</w:t>
      </w:r>
      <w:r w:rsidRPr="0007288F">
        <w:rPr>
          <w:sz w:val="22"/>
          <w:szCs w:val="22"/>
        </w:rPr>
        <w:t xml:space="preserve"> the first case where section 1506 </w:t>
      </w:r>
      <w:proofErr w:type="gramStart"/>
      <w:r w:rsidRPr="0007288F">
        <w:rPr>
          <w:sz w:val="22"/>
          <w:szCs w:val="22"/>
        </w:rPr>
        <w:t>was applied</w:t>
      </w:r>
      <w:proofErr w:type="gramEnd"/>
      <w:r w:rsidRPr="0007288F">
        <w:rPr>
          <w:sz w:val="22"/>
          <w:szCs w:val="22"/>
        </w:rPr>
        <w:t xml:space="preserve"> to deny recognition.</w:t>
      </w:r>
      <w:r w:rsidRPr="0007288F">
        <w:rPr>
          <w:rStyle w:val="FootnoteReference"/>
          <w:sz w:val="22"/>
          <w:szCs w:val="22"/>
        </w:rPr>
        <w:footnoteReference w:id="37"/>
      </w:r>
      <w:r w:rsidRPr="0007288F">
        <w:rPr>
          <w:sz w:val="22"/>
          <w:szCs w:val="22"/>
        </w:rPr>
        <w:t xml:space="preserve">  In that case, the bankruptcy court denied recognition to an Israeli receivership proceeding filed on behalf of companies that already had chapter 11 cases pending in the United States.</w:t>
      </w:r>
      <w:r w:rsidRPr="0007288F">
        <w:rPr>
          <w:rStyle w:val="FootnoteReference"/>
          <w:sz w:val="22"/>
          <w:szCs w:val="22"/>
        </w:rPr>
        <w:footnoteReference w:id="38"/>
      </w:r>
      <w:r w:rsidR="00C92289" w:rsidRPr="0007288F">
        <w:rPr>
          <w:sz w:val="22"/>
          <w:szCs w:val="22"/>
        </w:rPr>
        <w:t xml:space="preserve">  The court held that </w:t>
      </w:r>
      <w:r w:rsidR="00C0412E" w:rsidRPr="0007288F">
        <w:rPr>
          <w:sz w:val="22"/>
          <w:szCs w:val="22"/>
        </w:rPr>
        <w:t xml:space="preserve">recognition would be manifestly contrary to U.S. public policy, because </w:t>
      </w:r>
      <w:r w:rsidR="00C92289" w:rsidRPr="0007288F">
        <w:rPr>
          <w:sz w:val="22"/>
          <w:szCs w:val="22"/>
        </w:rPr>
        <w:t xml:space="preserve">the Israeli proceedings </w:t>
      </w:r>
      <w:proofErr w:type="gramStart"/>
      <w:r w:rsidR="00C92289" w:rsidRPr="0007288F">
        <w:rPr>
          <w:sz w:val="22"/>
          <w:szCs w:val="22"/>
        </w:rPr>
        <w:t>were filed</w:t>
      </w:r>
      <w:proofErr w:type="gramEnd"/>
      <w:r w:rsidR="00C92289" w:rsidRPr="0007288F">
        <w:rPr>
          <w:sz w:val="22"/>
          <w:szCs w:val="22"/>
        </w:rPr>
        <w:t xml:space="preserve"> in violation of the automatic stay </w:t>
      </w:r>
      <w:r w:rsidR="00C0412E" w:rsidRPr="0007288F">
        <w:rPr>
          <w:sz w:val="22"/>
          <w:szCs w:val="22"/>
        </w:rPr>
        <w:t xml:space="preserve">that went into effect upon the chapter 11 filing </w:t>
      </w:r>
      <w:r w:rsidR="00C92289" w:rsidRPr="0007288F">
        <w:rPr>
          <w:sz w:val="22"/>
          <w:szCs w:val="22"/>
        </w:rPr>
        <w:t xml:space="preserve">and the court’s orders relating to </w:t>
      </w:r>
      <w:r w:rsidR="004A526F">
        <w:rPr>
          <w:sz w:val="22"/>
          <w:szCs w:val="22"/>
        </w:rPr>
        <w:t xml:space="preserve">such </w:t>
      </w:r>
      <w:r w:rsidR="00C0412E" w:rsidRPr="0007288F">
        <w:rPr>
          <w:sz w:val="22"/>
          <w:szCs w:val="22"/>
        </w:rPr>
        <w:t>stay</w:t>
      </w:r>
      <w:r w:rsidR="00C92289" w:rsidRPr="0007288F">
        <w:rPr>
          <w:sz w:val="22"/>
          <w:szCs w:val="22"/>
        </w:rPr>
        <w:t>.</w:t>
      </w:r>
      <w:r w:rsidR="00C92289" w:rsidRPr="0007288F">
        <w:rPr>
          <w:rStyle w:val="FootnoteReference"/>
          <w:sz w:val="22"/>
          <w:szCs w:val="22"/>
        </w:rPr>
        <w:footnoteReference w:id="39"/>
      </w:r>
      <w:r w:rsidR="00C92289" w:rsidRPr="0007288F">
        <w:rPr>
          <w:sz w:val="22"/>
          <w:szCs w:val="22"/>
        </w:rPr>
        <w:t xml:space="preserve">  To hold otherwise would “reward and legitimize” such violations.</w:t>
      </w:r>
      <w:r w:rsidR="00C92289" w:rsidRPr="0007288F">
        <w:rPr>
          <w:rStyle w:val="FootnoteReference"/>
          <w:sz w:val="22"/>
          <w:szCs w:val="22"/>
        </w:rPr>
        <w:footnoteReference w:id="40"/>
      </w:r>
    </w:p>
    <w:p w:rsidR="00C92289" w:rsidRPr="0007288F" w:rsidRDefault="00C92289" w:rsidP="0007288F">
      <w:pPr>
        <w:pStyle w:val="BodyText3"/>
        <w:spacing w:line="360" w:lineRule="auto"/>
        <w:rPr>
          <w:sz w:val="22"/>
          <w:szCs w:val="22"/>
        </w:rPr>
      </w:pPr>
      <w:r w:rsidRPr="0007288F">
        <w:rPr>
          <w:sz w:val="22"/>
          <w:szCs w:val="22"/>
        </w:rPr>
        <w:t xml:space="preserve">In </w:t>
      </w:r>
      <w:proofErr w:type="spellStart"/>
      <w:r w:rsidRPr="0007288F">
        <w:rPr>
          <w:i/>
          <w:sz w:val="22"/>
          <w:szCs w:val="22"/>
        </w:rPr>
        <w:t>Toft</w:t>
      </w:r>
      <w:proofErr w:type="spellEnd"/>
      <w:r w:rsidRPr="0007288F">
        <w:rPr>
          <w:sz w:val="22"/>
          <w:szCs w:val="22"/>
        </w:rPr>
        <w:t>, the bankruptcy court found that a chapter 15 proceeding commenced in the United States for the sole purpose of assisting the German insolvency practitioner gain access to the debtor’s e</w:t>
      </w:r>
      <w:r w:rsidR="00C0412E" w:rsidRPr="0007288F">
        <w:rPr>
          <w:sz w:val="22"/>
          <w:szCs w:val="22"/>
        </w:rPr>
        <w:t>-</w:t>
      </w:r>
      <w:r w:rsidRPr="0007288F">
        <w:rPr>
          <w:sz w:val="22"/>
          <w:szCs w:val="22"/>
        </w:rPr>
        <w:t>mail accounts stored on the servers of two internet service providers (“ISPs”) in the United States would be contrary to the public policy of the United States.</w:t>
      </w:r>
      <w:r w:rsidRPr="0007288F">
        <w:rPr>
          <w:rStyle w:val="FootnoteReference"/>
          <w:sz w:val="22"/>
          <w:szCs w:val="22"/>
        </w:rPr>
        <w:footnoteReference w:id="41"/>
      </w:r>
      <w:r w:rsidRPr="0007288F">
        <w:rPr>
          <w:sz w:val="22"/>
          <w:szCs w:val="22"/>
        </w:rPr>
        <w:t xml:space="preserve">  The ISPs’ presence in the Un</w:t>
      </w:r>
      <w:r w:rsidR="004A526F">
        <w:rPr>
          <w:sz w:val="22"/>
          <w:szCs w:val="22"/>
        </w:rPr>
        <w:t xml:space="preserve">ited States appeared to be the </w:t>
      </w:r>
      <w:r w:rsidRPr="0007288F">
        <w:rPr>
          <w:sz w:val="22"/>
          <w:szCs w:val="22"/>
        </w:rPr>
        <w:t xml:space="preserve">only </w:t>
      </w:r>
      <w:r w:rsidRPr="0007288F">
        <w:rPr>
          <w:sz w:val="22"/>
          <w:szCs w:val="22"/>
        </w:rPr>
        <w:lastRenderedPageBreak/>
        <w:t>connection to the United States.</w:t>
      </w:r>
      <w:r w:rsidRPr="0007288F">
        <w:rPr>
          <w:rStyle w:val="FootnoteReference"/>
          <w:sz w:val="22"/>
          <w:szCs w:val="22"/>
        </w:rPr>
        <w:footnoteReference w:id="42"/>
      </w:r>
      <w:r w:rsidRPr="0007288F">
        <w:rPr>
          <w:sz w:val="22"/>
          <w:szCs w:val="22"/>
        </w:rPr>
        <w:t xml:space="preserve">  The court found that the relief sought would not only not be available in the United States, but would subject the party who carried it out to criminal prosecution, as it would violate privacy laws.</w:t>
      </w:r>
      <w:r w:rsidRPr="0007288F">
        <w:rPr>
          <w:rStyle w:val="FootnoteReference"/>
          <w:sz w:val="22"/>
          <w:szCs w:val="22"/>
        </w:rPr>
        <w:footnoteReference w:id="43"/>
      </w:r>
      <w:r w:rsidRPr="0007288F">
        <w:rPr>
          <w:sz w:val="22"/>
          <w:szCs w:val="22"/>
        </w:rPr>
        <w:t xml:space="preserve">  The court </w:t>
      </w:r>
      <w:proofErr w:type="gramStart"/>
      <w:r w:rsidRPr="0007288F">
        <w:rPr>
          <w:sz w:val="22"/>
          <w:szCs w:val="22"/>
        </w:rPr>
        <w:t>was also offended</w:t>
      </w:r>
      <w:proofErr w:type="gramEnd"/>
      <w:r w:rsidRPr="0007288F">
        <w:rPr>
          <w:sz w:val="22"/>
          <w:szCs w:val="22"/>
        </w:rPr>
        <w:t xml:space="preserve"> by the fact that the relief </w:t>
      </w:r>
      <w:r w:rsidR="00C0412E" w:rsidRPr="0007288F">
        <w:rPr>
          <w:sz w:val="22"/>
          <w:szCs w:val="22"/>
        </w:rPr>
        <w:t xml:space="preserve">was being </w:t>
      </w:r>
      <w:r w:rsidRPr="0007288F">
        <w:rPr>
          <w:sz w:val="22"/>
          <w:szCs w:val="22"/>
        </w:rPr>
        <w:t>sought without notice to the debtor.</w:t>
      </w:r>
      <w:r w:rsidRPr="0007288F">
        <w:rPr>
          <w:rStyle w:val="FootnoteReference"/>
          <w:sz w:val="22"/>
          <w:szCs w:val="22"/>
        </w:rPr>
        <w:footnoteReference w:id="44"/>
      </w:r>
    </w:p>
    <w:p w:rsidR="00261EBC" w:rsidRPr="0007288F" w:rsidRDefault="00A153C8" w:rsidP="0007288F">
      <w:pPr>
        <w:pStyle w:val="BodyText3"/>
        <w:spacing w:line="360" w:lineRule="auto"/>
        <w:rPr>
          <w:sz w:val="22"/>
          <w:szCs w:val="22"/>
        </w:rPr>
      </w:pPr>
      <w:r w:rsidRPr="0007288F">
        <w:rPr>
          <w:sz w:val="22"/>
          <w:szCs w:val="22"/>
        </w:rPr>
        <w:t xml:space="preserve">In </w:t>
      </w:r>
      <w:r w:rsidRPr="0007288F">
        <w:rPr>
          <w:i/>
          <w:sz w:val="22"/>
          <w:szCs w:val="22"/>
        </w:rPr>
        <w:t>In the Matter of Vitro S.A.B. DE C.V. (Ad Hoc Group of Vitro Noteholders v. Vitro S.A.B. de C.V.)</w:t>
      </w:r>
      <w:r w:rsidR="008A71DD" w:rsidRPr="0007288F">
        <w:rPr>
          <w:sz w:val="22"/>
          <w:szCs w:val="22"/>
        </w:rPr>
        <w:t xml:space="preserve">, the bankruptcy court </w:t>
      </w:r>
      <w:r w:rsidR="004A526F">
        <w:rPr>
          <w:sz w:val="22"/>
          <w:szCs w:val="22"/>
        </w:rPr>
        <w:t xml:space="preserve">denied recognition on the basis </w:t>
      </w:r>
      <w:r w:rsidR="008A71DD" w:rsidRPr="0007288F">
        <w:rPr>
          <w:sz w:val="22"/>
          <w:szCs w:val="22"/>
        </w:rPr>
        <w:t xml:space="preserve">that the Mexican </w:t>
      </w:r>
      <w:proofErr w:type="spellStart"/>
      <w:r w:rsidR="008615AB" w:rsidRPr="0007288F">
        <w:rPr>
          <w:sz w:val="22"/>
          <w:szCs w:val="22"/>
        </w:rPr>
        <w:t>C</w:t>
      </w:r>
      <w:r w:rsidR="008A71DD" w:rsidRPr="0007288F">
        <w:rPr>
          <w:i/>
          <w:sz w:val="22"/>
          <w:szCs w:val="22"/>
        </w:rPr>
        <w:t>oncurso</w:t>
      </w:r>
      <w:proofErr w:type="spellEnd"/>
      <w:r w:rsidR="008A71DD" w:rsidRPr="0007288F">
        <w:rPr>
          <w:sz w:val="22"/>
          <w:szCs w:val="22"/>
        </w:rPr>
        <w:t xml:space="preserve"> </w:t>
      </w:r>
      <w:r w:rsidR="008615AB" w:rsidRPr="0007288F">
        <w:rPr>
          <w:sz w:val="22"/>
          <w:szCs w:val="22"/>
        </w:rPr>
        <w:t xml:space="preserve">plan </w:t>
      </w:r>
      <w:r w:rsidR="008A71DD" w:rsidRPr="0007288F">
        <w:rPr>
          <w:sz w:val="22"/>
          <w:szCs w:val="22"/>
        </w:rPr>
        <w:t xml:space="preserve">violated section 1506 of the Bankruptcy Code (the appeals court upheld the decision denying recognition, but </w:t>
      </w:r>
      <w:r w:rsidR="004A526F">
        <w:rPr>
          <w:sz w:val="22"/>
          <w:szCs w:val="22"/>
        </w:rPr>
        <w:t xml:space="preserve">did not reach the section 1506 </w:t>
      </w:r>
      <w:r w:rsidR="008A71DD" w:rsidRPr="0007288F">
        <w:rPr>
          <w:sz w:val="22"/>
          <w:szCs w:val="22"/>
        </w:rPr>
        <w:t>grounds)</w:t>
      </w:r>
      <w:r w:rsidRPr="0007288F">
        <w:rPr>
          <w:sz w:val="22"/>
          <w:szCs w:val="22"/>
        </w:rPr>
        <w:t>.</w:t>
      </w:r>
      <w:r w:rsidRPr="0007288F">
        <w:rPr>
          <w:rStyle w:val="FootnoteReference"/>
          <w:sz w:val="22"/>
          <w:szCs w:val="22"/>
        </w:rPr>
        <w:footnoteReference w:id="45"/>
      </w:r>
      <w:r w:rsidR="008A71DD" w:rsidRPr="0007288F">
        <w:rPr>
          <w:sz w:val="22"/>
          <w:szCs w:val="22"/>
        </w:rPr>
        <w:t xml:space="preserve">  In that case, the bankruptcy court and appeals court found it inappropriate that the plan would release the guaranty claims of the debtor’s creditors against certain non-debtor subsidiaries, and therefore, refused to grant the request under section 1507 to use the court’s discretion to grant the “additional assistance” to enforce the </w:t>
      </w:r>
      <w:r w:rsidR="00AB15EE" w:rsidRPr="0007288F">
        <w:rPr>
          <w:sz w:val="22"/>
          <w:szCs w:val="22"/>
        </w:rPr>
        <w:t xml:space="preserve">non-consensual </w:t>
      </w:r>
      <w:r w:rsidR="008A71DD" w:rsidRPr="0007288F">
        <w:rPr>
          <w:sz w:val="22"/>
          <w:szCs w:val="22"/>
        </w:rPr>
        <w:t>third party releases</w:t>
      </w:r>
      <w:r w:rsidR="004A526F">
        <w:rPr>
          <w:sz w:val="22"/>
          <w:szCs w:val="22"/>
        </w:rPr>
        <w:t>.</w:t>
      </w:r>
      <w:r w:rsidR="004A526F" w:rsidRPr="0007288F">
        <w:rPr>
          <w:rStyle w:val="FootnoteReference"/>
          <w:sz w:val="22"/>
          <w:szCs w:val="22"/>
        </w:rPr>
        <w:footnoteReference w:id="46"/>
      </w:r>
      <w:r w:rsidR="004A526F" w:rsidRPr="0007288F">
        <w:rPr>
          <w:sz w:val="22"/>
          <w:szCs w:val="22"/>
        </w:rPr>
        <w:t xml:space="preserve">  </w:t>
      </w:r>
      <w:r w:rsidR="004A526F">
        <w:rPr>
          <w:sz w:val="22"/>
          <w:szCs w:val="22"/>
        </w:rPr>
        <w:t xml:space="preserve">Such releases </w:t>
      </w:r>
      <w:proofErr w:type="gramStart"/>
      <w:r w:rsidR="00AB15EE" w:rsidRPr="0007288F">
        <w:rPr>
          <w:sz w:val="22"/>
          <w:szCs w:val="22"/>
        </w:rPr>
        <w:t>are generally disfavored</w:t>
      </w:r>
      <w:proofErr w:type="gramEnd"/>
      <w:r w:rsidR="00AB15EE" w:rsidRPr="0007288F">
        <w:rPr>
          <w:sz w:val="22"/>
          <w:szCs w:val="22"/>
        </w:rPr>
        <w:t xml:space="preserve"> although not universally disapproved in U.S. bankruptcy proceedings</w:t>
      </w:r>
      <w:r w:rsidR="008A71DD" w:rsidRPr="0007288F">
        <w:rPr>
          <w:sz w:val="22"/>
          <w:szCs w:val="22"/>
        </w:rPr>
        <w:t>.</w:t>
      </w:r>
      <w:r w:rsidR="004A526F">
        <w:rPr>
          <w:rStyle w:val="FootnoteReference"/>
          <w:sz w:val="22"/>
          <w:szCs w:val="22"/>
        </w:rPr>
        <w:footnoteReference w:id="47"/>
      </w:r>
      <w:r w:rsidR="008A71DD" w:rsidRPr="0007288F">
        <w:rPr>
          <w:sz w:val="22"/>
          <w:szCs w:val="22"/>
        </w:rPr>
        <w:t xml:space="preserve"> Among other relevant facts was the fact </w:t>
      </w:r>
      <w:r w:rsidR="004A526F">
        <w:rPr>
          <w:sz w:val="22"/>
          <w:szCs w:val="22"/>
        </w:rPr>
        <w:t xml:space="preserve">the </w:t>
      </w:r>
      <w:proofErr w:type="spellStart"/>
      <w:r w:rsidR="004A526F">
        <w:rPr>
          <w:sz w:val="22"/>
          <w:szCs w:val="22"/>
        </w:rPr>
        <w:t>debtor’s</w:t>
      </w:r>
      <w:proofErr w:type="spellEnd"/>
      <w:r w:rsidR="004A526F">
        <w:rPr>
          <w:sz w:val="22"/>
          <w:szCs w:val="22"/>
        </w:rPr>
        <w:t xml:space="preserve"> were only able to reach the threshold of majority creditor approval of the plan by including insider votes.</w:t>
      </w:r>
      <w:r w:rsidR="008A71DD" w:rsidRPr="0007288F">
        <w:rPr>
          <w:rStyle w:val="FootnoteReference"/>
          <w:sz w:val="22"/>
          <w:szCs w:val="22"/>
        </w:rPr>
        <w:footnoteReference w:id="48"/>
      </w:r>
      <w:r w:rsidR="00AB15EE" w:rsidRPr="0007288F">
        <w:rPr>
          <w:sz w:val="22"/>
          <w:szCs w:val="22"/>
        </w:rPr>
        <w:t xml:space="preserve">  </w:t>
      </w:r>
    </w:p>
    <w:p w:rsidR="00C0412E" w:rsidRPr="0007288F" w:rsidRDefault="00010B6B" w:rsidP="0007288F">
      <w:pPr>
        <w:pStyle w:val="BodyText3"/>
        <w:spacing w:line="360" w:lineRule="auto"/>
        <w:rPr>
          <w:sz w:val="22"/>
          <w:szCs w:val="22"/>
        </w:rPr>
      </w:pPr>
      <w:r w:rsidRPr="0007288F">
        <w:rPr>
          <w:sz w:val="22"/>
          <w:szCs w:val="22"/>
        </w:rPr>
        <w:t xml:space="preserve">In </w:t>
      </w:r>
      <w:proofErr w:type="spellStart"/>
      <w:r w:rsidRPr="0007288F">
        <w:rPr>
          <w:i/>
          <w:sz w:val="22"/>
          <w:szCs w:val="22"/>
        </w:rPr>
        <w:t>Qimonda</w:t>
      </w:r>
      <w:proofErr w:type="spellEnd"/>
      <w:r w:rsidRPr="0007288F">
        <w:rPr>
          <w:sz w:val="22"/>
          <w:szCs w:val="22"/>
        </w:rPr>
        <w:t xml:space="preserve">, the </w:t>
      </w:r>
      <w:r w:rsidR="004A526F">
        <w:rPr>
          <w:sz w:val="22"/>
          <w:szCs w:val="22"/>
        </w:rPr>
        <w:t xml:space="preserve">bankruptcy court </w:t>
      </w:r>
      <w:r w:rsidR="003D218E">
        <w:rPr>
          <w:sz w:val="22"/>
          <w:szCs w:val="22"/>
        </w:rPr>
        <w:t xml:space="preserve">held that recognition of an </w:t>
      </w:r>
      <w:r w:rsidRPr="0007288F">
        <w:rPr>
          <w:sz w:val="22"/>
          <w:szCs w:val="22"/>
        </w:rPr>
        <w:t>order</w:t>
      </w:r>
      <w:r w:rsidR="003D218E">
        <w:rPr>
          <w:sz w:val="22"/>
          <w:szCs w:val="22"/>
        </w:rPr>
        <w:t xml:space="preserve"> in a German insolvency proceeding</w:t>
      </w:r>
      <w:r w:rsidRPr="0007288F">
        <w:rPr>
          <w:sz w:val="22"/>
          <w:szCs w:val="22"/>
        </w:rPr>
        <w:t xml:space="preserve"> that would terminate a</w:t>
      </w:r>
      <w:r w:rsidR="003A7DB5">
        <w:rPr>
          <w:sz w:val="22"/>
          <w:szCs w:val="22"/>
        </w:rPr>
        <w:t xml:space="preserve"> </w:t>
      </w:r>
      <w:r w:rsidR="00C0412E" w:rsidRPr="0007288F">
        <w:rPr>
          <w:sz w:val="22"/>
          <w:szCs w:val="22"/>
        </w:rPr>
        <w:t>n</w:t>
      </w:r>
      <w:r w:rsidR="003A7DB5">
        <w:rPr>
          <w:sz w:val="22"/>
          <w:szCs w:val="22"/>
        </w:rPr>
        <w:t>on-debtor’s</w:t>
      </w:r>
      <w:r w:rsidR="00C0412E" w:rsidRPr="0007288F">
        <w:rPr>
          <w:sz w:val="22"/>
          <w:szCs w:val="22"/>
        </w:rPr>
        <w:t xml:space="preserve"> intellectual property</w:t>
      </w:r>
      <w:r w:rsidRPr="0007288F">
        <w:rPr>
          <w:sz w:val="22"/>
          <w:szCs w:val="22"/>
        </w:rPr>
        <w:t xml:space="preserve"> license</w:t>
      </w:r>
      <w:r w:rsidR="003D218E">
        <w:rPr>
          <w:sz w:val="22"/>
          <w:szCs w:val="22"/>
        </w:rPr>
        <w:t xml:space="preserve"> </w:t>
      </w:r>
      <w:r w:rsidR="003A7DB5">
        <w:rPr>
          <w:sz w:val="22"/>
          <w:szCs w:val="22"/>
        </w:rPr>
        <w:t xml:space="preserve">from </w:t>
      </w:r>
      <w:r w:rsidR="003D218E">
        <w:rPr>
          <w:sz w:val="22"/>
          <w:szCs w:val="22"/>
        </w:rPr>
        <w:t xml:space="preserve">the debtor </w:t>
      </w:r>
      <w:r w:rsidRPr="0007288F">
        <w:rPr>
          <w:sz w:val="22"/>
          <w:szCs w:val="22"/>
        </w:rPr>
        <w:t>was manifestly contrary to U.S. policy under section 1506.</w:t>
      </w:r>
      <w:r w:rsidR="003D218E" w:rsidRPr="0007288F">
        <w:rPr>
          <w:rStyle w:val="FootnoteReference"/>
          <w:sz w:val="22"/>
          <w:szCs w:val="22"/>
        </w:rPr>
        <w:footnoteReference w:id="49"/>
      </w:r>
      <w:r w:rsidRPr="0007288F">
        <w:rPr>
          <w:sz w:val="22"/>
          <w:szCs w:val="22"/>
        </w:rPr>
        <w:t xml:space="preserve">  The court noted that the U.S. Congress enacted section 365(n) of the </w:t>
      </w:r>
      <w:r w:rsidRPr="0007288F">
        <w:rPr>
          <w:sz w:val="22"/>
          <w:szCs w:val="22"/>
        </w:rPr>
        <w:lastRenderedPageBreak/>
        <w:t>Bankruptcy Code with the specific intent</w:t>
      </w:r>
      <w:r w:rsidR="003A7DB5">
        <w:rPr>
          <w:sz w:val="22"/>
          <w:szCs w:val="22"/>
        </w:rPr>
        <w:t xml:space="preserve"> to protect the rights of license</w:t>
      </w:r>
      <w:r w:rsidRPr="0007288F">
        <w:rPr>
          <w:sz w:val="22"/>
          <w:szCs w:val="22"/>
        </w:rPr>
        <w:t>es of intellectual property.</w:t>
      </w:r>
      <w:r w:rsidRPr="0007288F">
        <w:rPr>
          <w:rStyle w:val="FootnoteReference"/>
          <w:sz w:val="22"/>
          <w:szCs w:val="22"/>
        </w:rPr>
        <w:footnoteReference w:id="50"/>
      </w:r>
      <w:r w:rsidR="00837666" w:rsidRPr="0007288F">
        <w:rPr>
          <w:sz w:val="22"/>
          <w:szCs w:val="22"/>
        </w:rPr>
        <w:t xml:space="preserve">  </w:t>
      </w:r>
      <w:r w:rsidR="003D218E">
        <w:rPr>
          <w:sz w:val="22"/>
          <w:szCs w:val="22"/>
        </w:rPr>
        <w:t xml:space="preserve">On appeal, </w:t>
      </w:r>
      <w:r w:rsidR="00837666" w:rsidRPr="0007288F">
        <w:rPr>
          <w:sz w:val="22"/>
          <w:szCs w:val="22"/>
        </w:rPr>
        <w:t>the Fourth Circuit Court of Appeals affirmed the decision (albeit based on section 1522 of the Bankruptcy Code, which requires a court to “ensure sufficient protection of creditors” when granting discretionary relief).</w:t>
      </w:r>
      <w:r w:rsidR="003D218E">
        <w:rPr>
          <w:rStyle w:val="FootnoteReference"/>
          <w:sz w:val="22"/>
          <w:szCs w:val="22"/>
        </w:rPr>
        <w:footnoteReference w:id="51"/>
      </w:r>
      <w:r w:rsidR="00837666" w:rsidRPr="0007288F">
        <w:rPr>
          <w:sz w:val="22"/>
          <w:szCs w:val="22"/>
        </w:rPr>
        <w:t xml:space="preserve"> </w:t>
      </w:r>
    </w:p>
    <w:p w:rsidR="00010B6B" w:rsidRDefault="00C0412E" w:rsidP="0007288F">
      <w:pPr>
        <w:pStyle w:val="BodyText3"/>
        <w:spacing w:line="360" w:lineRule="auto"/>
        <w:rPr>
          <w:sz w:val="22"/>
          <w:szCs w:val="22"/>
        </w:rPr>
      </w:pPr>
      <w:proofErr w:type="gramStart"/>
      <w:r w:rsidRPr="0007288F">
        <w:rPr>
          <w:sz w:val="22"/>
          <w:szCs w:val="22"/>
        </w:rPr>
        <w:t>Perhaps best illustrating the push and pull involved in the public policy exception, t</w:t>
      </w:r>
      <w:r w:rsidR="00837666" w:rsidRPr="0007288F">
        <w:rPr>
          <w:sz w:val="22"/>
          <w:szCs w:val="22"/>
        </w:rPr>
        <w:t xml:space="preserve">he court </w:t>
      </w:r>
      <w:r w:rsidRPr="0007288F">
        <w:rPr>
          <w:sz w:val="22"/>
          <w:szCs w:val="22"/>
        </w:rPr>
        <w:t xml:space="preserve">acknowledged </w:t>
      </w:r>
      <w:r w:rsidR="00837666" w:rsidRPr="0007288F">
        <w:rPr>
          <w:sz w:val="22"/>
          <w:szCs w:val="22"/>
        </w:rPr>
        <w:t xml:space="preserve">“the importance of Chapter 15 to a global economy” and </w:t>
      </w:r>
      <w:r w:rsidRPr="0007288F">
        <w:rPr>
          <w:sz w:val="22"/>
          <w:szCs w:val="22"/>
        </w:rPr>
        <w:t>stated</w:t>
      </w:r>
      <w:r w:rsidR="00837666" w:rsidRPr="0007288F">
        <w:rPr>
          <w:sz w:val="22"/>
          <w:szCs w:val="22"/>
        </w:rPr>
        <w:t xml:space="preserve"> that chapter 15 “represents a full commitment of the United States to cooperate with foreign insolvency proceedings</w:t>
      </w:r>
      <w:r w:rsidR="00AF2172" w:rsidRPr="0007288F">
        <w:rPr>
          <w:sz w:val="22"/>
          <w:szCs w:val="22"/>
        </w:rPr>
        <w:t xml:space="preserve">,” but the court also </w:t>
      </w:r>
      <w:r w:rsidR="003D218E">
        <w:rPr>
          <w:sz w:val="22"/>
          <w:szCs w:val="22"/>
        </w:rPr>
        <w:t>hedged by noting</w:t>
      </w:r>
      <w:r w:rsidRPr="0007288F">
        <w:rPr>
          <w:sz w:val="22"/>
          <w:szCs w:val="22"/>
        </w:rPr>
        <w:t xml:space="preserve"> </w:t>
      </w:r>
      <w:r w:rsidR="00AF2172" w:rsidRPr="0007288F">
        <w:rPr>
          <w:sz w:val="22"/>
          <w:szCs w:val="22"/>
        </w:rPr>
        <w:t xml:space="preserve">that such commitment “is not untampered,” as manifested in section 1506 of the Bankruptcy Code, as well as in the court’s discretion with respect to the discretionary relief </w:t>
      </w:r>
      <w:r w:rsidR="003D218E">
        <w:rPr>
          <w:sz w:val="22"/>
          <w:szCs w:val="22"/>
        </w:rPr>
        <w:t>available under the statute</w:t>
      </w:r>
      <w:r w:rsidR="00AF2172" w:rsidRPr="0007288F">
        <w:rPr>
          <w:sz w:val="22"/>
          <w:szCs w:val="22"/>
        </w:rPr>
        <w:t>.</w:t>
      </w:r>
      <w:r w:rsidR="00AF2172" w:rsidRPr="0007288F">
        <w:rPr>
          <w:rStyle w:val="FootnoteReference"/>
          <w:sz w:val="22"/>
          <w:szCs w:val="22"/>
        </w:rPr>
        <w:footnoteReference w:id="52"/>
      </w:r>
      <w:proofErr w:type="gramEnd"/>
    </w:p>
    <w:p w:rsidR="007D3B11" w:rsidRDefault="007D3B11" w:rsidP="007D3B11">
      <w:pPr>
        <w:pStyle w:val="BodyText3"/>
        <w:keepNext/>
        <w:numPr>
          <w:ilvl w:val="1"/>
          <w:numId w:val="33"/>
        </w:numPr>
        <w:spacing w:line="360" w:lineRule="auto"/>
        <w:rPr>
          <w:sz w:val="22"/>
          <w:szCs w:val="22"/>
        </w:rPr>
      </w:pPr>
      <w:r>
        <w:rPr>
          <w:sz w:val="22"/>
          <w:szCs w:val="22"/>
        </w:rPr>
        <w:t>United States – Final Analysis</w:t>
      </w:r>
    </w:p>
    <w:p w:rsidR="003D218E" w:rsidRPr="00DF69FB" w:rsidRDefault="003D218E" w:rsidP="0007288F">
      <w:pPr>
        <w:pStyle w:val="BodyText3"/>
        <w:spacing w:line="360" w:lineRule="auto"/>
        <w:rPr>
          <w:sz w:val="22"/>
          <w:szCs w:val="22"/>
        </w:rPr>
      </w:pPr>
      <w:r>
        <w:rPr>
          <w:sz w:val="22"/>
          <w:szCs w:val="22"/>
        </w:rPr>
        <w:t xml:space="preserve">On balance, the cases above demonstrate that it is quite hard for objectors to stand in the way of recognition by relying on section 1506.  </w:t>
      </w:r>
      <w:r w:rsidR="007D3B11">
        <w:rPr>
          <w:sz w:val="22"/>
          <w:szCs w:val="22"/>
        </w:rPr>
        <w:t xml:space="preserve">One </w:t>
      </w:r>
      <w:r>
        <w:rPr>
          <w:sz w:val="22"/>
          <w:szCs w:val="22"/>
        </w:rPr>
        <w:t xml:space="preserve">could argue that there is some </w:t>
      </w:r>
      <w:r w:rsidR="003A7DB5">
        <w:rPr>
          <w:sz w:val="22"/>
          <w:szCs w:val="22"/>
        </w:rPr>
        <w:t>in</w:t>
      </w:r>
      <w:r>
        <w:rPr>
          <w:sz w:val="22"/>
          <w:szCs w:val="22"/>
        </w:rPr>
        <w:t>consistency in the courts</w:t>
      </w:r>
      <w:r w:rsidR="007D3B11">
        <w:rPr>
          <w:sz w:val="22"/>
          <w:szCs w:val="22"/>
        </w:rPr>
        <w:t>’ application</w:t>
      </w:r>
      <w:r w:rsidR="003A7DB5">
        <w:rPr>
          <w:sz w:val="22"/>
          <w:szCs w:val="22"/>
        </w:rPr>
        <w:t xml:space="preserve"> </w:t>
      </w:r>
      <w:r w:rsidR="007D3B11">
        <w:rPr>
          <w:sz w:val="22"/>
          <w:szCs w:val="22"/>
        </w:rPr>
        <w:t xml:space="preserve">of </w:t>
      </w:r>
      <w:r w:rsidR="003A7DB5">
        <w:rPr>
          <w:sz w:val="22"/>
          <w:szCs w:val="22"/>
        </w:rPr>
        <w:t xml:space="preserve">the standard </w:t>
      </w:r>
      <w:r w:rsidR="007D3B11">
        <w:rPr>
          <w:sz w:val="22"/>
          <w:szCs w:val="22"/>
        </w:rPr>
        <w:t xml:space="preserve">– for example, </w:t>
      </w:r>
      <w:r w:rsidR="003A7DB5">
        <w:rPr>
          <w:sz w:val="22"/>
          <w:szCs w:val="22"/>
        </w:rPr>
        <w:t xml:space="preserve">violation of court orders being sufficient in </w:t>
      </w:r>
      <w:r w:rsidR="003A7DB5">
        <w:rPr>
          <w:i/>
          <w:sz w:val="22"/>
          <w:szCs w:val="22"/>
        </w:rPr>
        <w:t>Gold &amp; Honey</w:t>
      </w:r>
      <w:r w:rsidR="003A7DB5">
        <w:rPr>
          <w:sz w:val="22"/>
          <w:szCs w:val="22"/>
        </w:rPr>
        <w:t xml:space="preserve"> but not </w:t>
      </w:r>
      <w:r w:rsidR="007D3B11">
        <w:rPr>
          <w:sz w:val="22"/>
          <w:szCs w:val="22"/>
        </w:rPr>
        <w:t xml:space="preserve">in </w:t>
      </w:r>
      <w:r w:rsidR="003A7DB5">
        <w:rPr>
          <w:i/>
          <w:sz w:val="22"/>
          <w:szCs w:val="22"/>
        </w:rPr>
        <w:t>Manley Toys</w:t>
      </w:r>
      <w:r w:rsidR="00DF69FB">
        <w:rPr>
          <w:i/>
          <w:sz w:val="22"/>
          <w:szCs w:val="22"/>
        </w:rPr>
        <w:t>,</w:t>
      </w:r>
      <w:r w:rsidR="00DF69FB">
        <w:rPr>
          <w:sz w:val="22"/>
          <w:szCs w:val="22"/>
        </w:rPr>
        <w:t xml:space="preserve"> or granting third party releases being sufficient in </w:t>
      </w:r>
      <w:r w:rsidR="00DF69FB">
        <w:rPr>
          <w:i/>
          <w:sz w:val="22"/>
          <w:szCs w:val="22"/>
        </w:rPr>
        <w:t>Vitro</w:t>
      </w:r>
      <w:r w:rsidR="00DF69FB">
        <w:rPr>
          <w:sz w:val="22"/>
          <w:szCs w:val="22"/>
        </w:rPr>
        <w:t xml:space="preserve"> but denial of jury trial </w:t>
      </w:r>
      <w:r w:rsidR="007D3B11">
        <w:rPr>
          <w:sz w:val="22"/>
          <w:szCs w:val="22"/>
        </w:rPr>
        <w:t xml:space="preserve">rights </w:t>
      </w:r>
      <w:r w:rsidR="00DF69FB">
        <w:rPr>
          <w:sz w:val="22"/>
          <w:szCs w:val="22"/>
        </w:rPr>
        <w:t xml:space="preserve">being </w:t>
      </w:r>
      <w:r w:rsidR="0090255A">
        <w:rPr>
          <w:sz w:val="22"/>
          <w:szCs w:val="22"/>
        </w:rPr>
        <w:t>in</w:t>
      </w:r>
      <w:r w:rsidR="00DF69FB">
        <w:rPr>
          <w:sz w:val="22"/>
          <w:szCs w:val="22"/>
        </w:rPr>
        <w:t xml:space="preserve">sufficient in </w:t>
      </w:r>
      <w:r w:rsidR="00DF69FB">
        <w:rPr>
          <w:i/>
          <w:sz w:val="22"/>
          <w:szCs w:val="22"/>
        </w:rPr>
        <w:t>Ephedra</w:t>
      </w:r>
      <w:r w:rsidR="007D3B11">
        <w:rPr>
          <w:sz w:val="22"/>
          <w:szCs w:val="22"/>
        </w:rPr>
        <w:t>.  I</w:t>
      </w:r>
      <w:r w:rsidR="00DF69FB">
        <w:rPr>
          <w:sz w:val="22"/>
          <w:szCs w:val="22"/>
        </w:rPr>
        <w:t xml:space="preserve">f anything, </w:t>
      </w:r>
      <w:r w:rsidR="007D3B11">
        <w:rPr>
          <w:sz w:val="22"/>
          <w:szCs w:val="22"/>
        </w:rPr>
        <w:t xml:space="preserve">however, </w:t>
      </w:r>
      <w:r w:rsidR="00DF69FB">
        <w:rPr>
          <w:sz w:val="22"/>
          <w:szCs w:val="22"/>
        </w:rPr>
        <w:t xml:space="preserve">these cases show that courts very rarely deny relief on the basis of section 1506 even when </w:t>
      </w:r>
      <w:r w:rsidR="007D3B11">
        <w:rPr>
          <w:sz w:val="22"/>
          <w:szCs w:val="22"/>
        </w:rPr>
        <w:t xml:space="preserve">U.S. </w:t>
      </w:r>
      <w:r w:rsidR="00DF69FB">
        <w:rPr>
          <w:sz w:val="22"/>
          <w:szCs w:val="22"/>
        </w:rPr>
        <w:t xml:space="preserve">public policy is </w:t>
      </w:r>
      <w:r w:rsidR="007D3B11">
        <w:rPr>
          <w:sz w:val="22"/>
          <w:szCs w:val="22"/>
        </w:rPr>
        <w:t xml:space="preserve">clearly </w:t>
      </w:r>
      <w:r w:rsidR="00DF69FB">
        <w:rPr>
          <w:sz w:val="22"/>
          <w:szCs w:val="22"/>
        </w:rPr>
        <w:t>implicated (court orders, jury trial rights)</w:t>
      </w:r>
      <w:r w:rsidR="007D3B11">
        <w:rPr>
          <w:sz w:val="22"/>
          <w:szCs w:val="22"/>
        </w:rPr>
        <w:t>, although perhaps not egregiously violated</w:t>
      </w:r>
      <w:r w:rsidR="00DF69FB">
        <w:rPr>
          <w:sz w:val="22"/>
          <w:szCs w:val="22"/>
        </w:rPr>
        <w:t>.</w:t>
      </w:r>
      <w:r w:rsidR="0090255A">
        <w:rPr>
          <w:sz w:val="22"/>
          <w:szCs w:val="22"/>
        </w:rPr>
        <w:t xml:space="preserve">  </w:t>
      </w:r>
      <w:r w:rsidR="007D3B11">
        <w:rPr>
          <w:sz w:val="22"/>
          <w:szCs w:val="22"/>
        </w:rPr>
        <w:t>At least with respect to its narrow application of public policy exception, t</w:t>
      </w:r>
      <w:r w:rsidR="0090255A">
        <w:rPr>
          <w:sz w:val="22"/>
          <w:szCs w:val="22"/>
        </w:rPr>
        <w:t xml:space="preserve">he United States appears to be a model for other countries to follow in </w:t>
      </w:r>
      <w:r w:rsidR="007D3B11">
        <w:rPr>
          <w:sz w:val="22"/>
          <w:szCs w:val="22"/>
        </w:rPr>
        <w:t xml:space="preserve">subordinating national interests to the greater goals of international cooperation in cross-border insolvency proceedings.  </w:t>
      </w:r>
    </w:p>
    <w:p w:rsidR="00261EBC" w:rsidRPr="0007288F" w:rsidRDefault="00AF2172" w:rsidP="0007288F">
      <w:pPr>
        <w:pStyle w:val="BodyText3"/>
        <w:keepNext/>
        <w:numPr>
          <w:ilvl w:val="0"/>
          <w:numId w:val="33"/>
        </w:numPr>
        <w:spacing w:line="360" w:lineRule="auto"/>
        <w:rPr>
          <w:sz w:val="22"/>
          <w:szCs w:val="22"/>
        </w:rPr>
      </w:pPr>
      <w:r w:rsidRPr="0007288F">
        <w:rPr>
          <w:sz w:val="22"/>
          <w:szCs w:val="22"/>
        </w:rPr>
        <w:t>England</w:t>
      </w:r>
    </w:p>
    <w:p w:rsidR="002627B5" w:rsidRPr="0007288F" w:rsidRDefault="002627B5" w:rsidP="0007288F">
      <w:pPr>
        <w:pStyle w:val="BodyText3"/>
        <w:spacing w:line="360" w:lineRule="auto"/>
        <w:rPr>
          <w:sz w:val="22"/>
          <w:szCs w:val="22"/>
        </w:rPr>
      </w:pPr>
      <w:proofErr w:type="gramStart"/>
      <w:r w:rsidRPr="0007288F">
        <w:rPr>
          <w:sz w:val="22"/>
          <w:szCs w:val="22"/>
        </w:rPr>
        <w:t xml:space="preserve">Although courts in </w:t>
      </w:r>
      <w:r w:rsidR="00897A22" w:rsidRPr="0007288F">
        <w:rPr>
          <w:sz w:val="22"/>
          <w:szCs w:val="22"/>
        </w:rPr>
        <w:t>England</w:t>
      </w:r>
      <w:r w:rsidRPr="0007288F">
        <w:rPr>
          <w:sz w:val="22"/>
          <w:szCs w:val="22"/>
        </w:rPr>
        <w:t xml:space="preserve"> have developed somewhat of a sullied reputation for “fairness” in the </w:t>
      </w:r>
      <w:r w:rsidR="001D4E06" w:rsidRPr="0007288F">
        <w:rPr>
          <w:sz w:val="22"/>
          <w:szCs w:val="22"/>
        </w:rPr>
        <w:t xml:space="preserve">international </w:t>
      </w:r>
      <w:r w:rsidRPr="0007288F">
        <w:rPr>
          <w:sz w:val="22"/>
          <w:szCs w:val="22"/>
        </w:rPr>
        <w:t>insolvency arena for the seeming continued insistence on the</w:t>
      </w:r>
      <w:r w:rsidR="00247282" w:rsidRPr="0007288F">
        <w:rPr>
          <w:sz w:val="22"/>
          <w:szCs w:val="22"/>
        </w:rPr>
        <w:t xml:space="preserve"> hated</w:t>
      </w:r>
      <w:r w:rsidRPr="0007288F">
        <w:rPr>
          <w:sz w:val="22"/>
          <w:szCs w:val="22"/>
        </w:rPr>
        <w:t xml:space="preserve"> </w:t>
      </w:r>
      <w:r w:rsidRPr="0007288F">
        <w:rPr>
          <w:i/>
          <w:sz w:val="22"/>
          <w:szCs w:val="22"/>
        </w:rPr>
        <w:t xml:space="preserve">Gibbs </w:t>
      </w:r>
      <w:r w:rsidRPr="0007288F">
        <w:rPr>
          <w:sz w:val="22"/>
          <w:szCs w:val="22"/>
        </w:rPr>
        <w:t>rule</w:t>
      </w:r>
      <w:r w:rsidR="0090255A">
        <w:rPr>
          <w:sz w:val="22"/>
          <w:szCs w:val="22"/>
        </w:rPr>
        <w:t xml:space="preserve"> (</w:t>
      </w:r>
      <w:r w:rsidR="00897A22" w:rsidRPr="0007288F">
        <w:rPr>
          <w:sz w:val="22"/>
          <w:szCs w:val="22"/>
        </w:rPr>
        <w:t xml:space="preserve">as the New York bankruptcy court implied in the </w:t>
      </w:r>
      <w:proofErr w:type="spellStart"/>
      <w:r w:rsidR="00897A22" w:rsidRPr="0007288F">
        <w:rPr>
          <w:i/>
          <w:sz w:val="22"/>
          <w:szCs w:val="22"/>
        </w:rPr>
        <w:t>Agrokor</w:t>
      </w:r>
      <w:proofErr w:type="spellEnd"/>
      <w:r w:rsidR="00897A22" w:rsidRPr="0007288F">
        <w:rPr>
          <w:sz w:val="22"/>
          <w:szCs w:val="22"/>
        </w:rPr>
        <w:t xml:space="preserve"> case</w:t>
      </w:r>
      <w:r w:rsidR="001D4E06" w:rsidRPr="0007288F">
        <w:rPr>
          <w:sz w:val="22"/>
          <w:szCs w:val="22"/>
        </w:rPr>
        <w:t xml:space="preserve"> discussed above</w:t>
      </w:r>
      <w:r w:rsidR="0090255A">
        <w:rPr>
          <w:sz w:val="22"/>
          <w:szCs w:val="22"/>
        </w:rPr>
        <w:t>)</w:t>
      </w:r>
      <w:r w:rsidR="00897A22" w:rsidRPr="0007288F">
        <w:rPr>
          <w:sz w:val="22"/>
          <w:szCs w:val="22"/>
        </w:rPr>
        <w:t xml:space="preserve">, </w:t>
      </w:r>
      <w:r w:rsidRPr="0007288F">
        <w:rPr>
          <w:sz w:val="22"/>
          <w:szCs w:val="22"/>
        </w:rPr>
        <w:t xml:space="preserve">at least in the area of the public policy exception, the </w:t>
      </w:r>
      <w:r w:rsidR="00897A22" w:rsidRPr="0007288F">
        <w:rPr>
          <w:sz w:val="22"/>
          <w:szCs w:val="22"/>
        </w:rPr>
        <w:t>English</w:t>
      </w:r>
      <w:r w:rsidRPr="0007288F">
        <w:rPr>
          <w:sz w:val="22"/>
          <w:szCs w:val="22"/>
        </w:rPr>
        <w:t xml:space="preserve"> courts appear to be “playing nicely in the sandbox” with their follow courts </w:t>
      </w:r>
      <w:r w:rsidRPr="0007288F">
        <w:rPr>
          <w:sz w:val="22"/>
          <w:szCs w:val="22"/>
        </w:rPr>
        <w:lastRenderedPageBreak/>
        <w:t xml:space="preserve">in interpreting a narrow construction of </w:t>
      </w:r>
      <w:r w:rsidR="00897A22" w:rsidRPr="0007288F">
        <w:rPr>
          <w:sz w:val="22"/>
          <w:szCs w:val="22"/>
        </w:rPr>
        <w:t xml:space="preserve">the exception (at least where the </w:t>
      </w:r>
      <w:r w:rsidR="00897A22" w:rsidRPr="0007288F">
        <w:rPr>
          <w:i/>
          <w:sz w:val="22"/>
          <w:szCs w:val="22"/>
        </w:rPr>
        <w:t>Gibbs</w:t>
      </w:r>
      <w:r w:rsidR="00897A22" w:rsidRPr="0007288F">
        <w:rPr>
          <w:sz w:val="22"/>
          <w:szCs w:val="22"/>
        </w:rPr>
        <w:t xml:space="preserve"> rule is not involved)</w:t>
      </w:r>
      <w:r w:rsidRPr="0007288F">
        <w:rPr>
          <w:sz w:val="22"/>
          <w:szCs w:val="22"/>
        </w:rPr>
        <w:t>.</w:t>
      </w:r>
      <w:proofErr w:type="gramEnd"/>
      <w:r w:rsidR="00AF2172" w:rsidRPr="0007288F">
        <w:rPr>
          <w:sz w:val="22"/>
          <w:szCs w:val="22"/>
        </w:rPr>
        <w:t xml:space="preserve">  To date, however, it appears only one </w:t>
      </w:r>
      <w:r w:rsidR="0090255A">
        <w:rPr>
          <w:sz w:val="22"/>
          <w:szCs w:val="22"/>
        </w:rPr>
        <w:t xml:space="preserve">English </w:t>
      </w:r>
      <w:r w:rsidR="00AF2172" w:rsidRPr="0007288F">
        <w:rPr>
          <w:sz w:val="22"/>
          <w:szCs w:val="22"/>
        </w:rPr>
        <w:t>court has issued an opinion regarding the exception</w:t>
      </w:r>
      <w:r w:rsidR="00247282" w:rsidRPr="0007288F">
        <w:rPr>
          <w:sz w:val="22"/>
          <w:szCs w:val="22"/>
        </w:rPr>
        <w:t>,</w:t>
      </w:r>
      <w:r w:rsidR="00247282" w:rsidRPr="0007288F">
        <w:rPr>
          <w:i/>
          <w:sz w:val="22"/>
          <w:szCs w:val="22"/>
        </w:rPr>
        <w:t xml:space="preserve"> In the matter of </w:t>
      </w:r>
      <w:proofErr w:type="spellStart"/>
      <w:r w:rsidR="00247282" w:rsidRPr="0007288F">
        <w:rPr>
          <w:i/>
          <w:sz w:val="22"/>
          <w:szCs w:val="22"/>
        </w:rPr>
        <w:t>Agrokor</w:t>
      </w:r>
      <w:proofErr w:type="spellEnd"/>
      <w:r w:rsidR="00247282" w:rsidRPr="0007288F">
        <w:rPr>
          <w:i/>
          <w:sz w:val="22"/>
          <w:szCs w:val="22"/>
        </w:rPr>
        <w:t xml:space="preserve"> DD and in the matter of the Cross-Border Insolvency Regulations 2006</w:t>
      </w:r>
      <w:r w:rsidR="00247282" w:rsidRPr="0007288F">
        <w:rPr>
          <w:sz w:val="22"/>
          <w:szCs w:val="22"/>
        </w:rPr>
        <w:t>, High Court, Chancery Division, November 9, 2017 ([2017] EWHC 2791 (Ch.)) (</w:t>
      </w:r>
      <w:r w:rsidR="0090255A">
        <w:rPr>
          <w:sz w:val="22"/>
          <w:szCs w:val="22"/>
        </w:rPr>
        <w:t xml:space="preserve">hereinafter, </w:t>
      </w:r>
      <w:r w:rsidR="00247282" w:rsidRPr="0007288F">
        <w:rPr>
          <w:sz w:val="22"/>
          <w:szCs w:val="22"/>
        </w:rPr>
        <w:t>“</w:t>
      </w:r>
      <w:proofErr w:type="spellStart"/>
      <w:r w:rsidR="00247282" w:rsidRPr="0007288F">
        <w:rPr>
          <w:i/>
          <w:sz w:val="22"/>
          <w:szCs w:val="22"/>
        </w:rPr>
        <w:t>Agrokor</w:t>
      </w:r>
      <w:proofErr w:type="spellEnd"/>
      <w:r w:rsidR="00247282" w:rsidRPr="0007288F">
        <w:rPr>
          <w:sz w:val="22"/>
          <w:szCs w:val="22"/>
        </w:rPr>
        <w:t>”)</w:t>
      </w:r>
      <w:r w:rsidR="00AF2172" w:rsidRPr="0007288F">
        <w:rPr>
          <w:sz w:val="22"/>
          <w:szCs w:val="22"/>
        </w:rPr>
        <w:t xml:space="preserve">. </w:t>
      </w:r>
    </w:p>
    <w:p w:rsidR="00AF2172" w:rsidRPr="0007288F" w:rsidRDefault="00AF2172" w:rsidP="0007288F">
      <w:pPr>
        <w:pStyle w:val="BodyText3"/>
        <w:keepNext/>
        <w:numPr>
          <w:ilvl w:val="1"/>
          <w:numId w:val="33"/>
        </w:numPr>
        <w:spacing w:line="360" w:lineRule="auto"/>
        <w:rPr>
          <w:sz w:val="22"/>
          <w:szCs w:val="22"/>
        </w:rPr>
      </w:pPr>
      <w:r w:rsidRPr="0007288F">
        <w:rPr>
          <w:sz w:val="22"/>
          <w:szCs w:val="22"/>
        </w:rPr>
        <w:t>The CBIR</w:t>
      </w:r>
    </w:p>
    <w:p w:rsidR="001B03F8" w:rsidRPr="0007288F" w:rsidRDefault="001B03F8" w:rsidP="0007288F">
      <w:pPr>
        <w:pStyle w:val="BodyText3"/>
        <w:spacing w:line="360" w:lineRule="auto"/>
        <w:rPr>
          <w:sz w:val="22"/>
          <w:szCs w:val="22"/>
        </w:rPr>
      </w:pPr>
      <w:r w:rsidRPr="0007288F">
        <w:rPr>
          <w:sz w:val="22"/>
          <w:szCs w:val="22"/>
        </w:rPr>
        <w:t xml:space="preserve">Great Britain (England, Wales, and Scotland) adopted the Model Law in its Cross-Border Insolvency Regulations 2006 (“CBIR”).  The British </w:t>
      </w:r>
      <w:r w:rsidR="0090255A">
        <w:rPr>
          <w:sz w:val="22"/>
          <w:szCs w:val="22"/>
        </w:rPr>
        <w:t>government has</w:t>
      </w:r>
      <w:r w:rsidRPr="0007288F">
        <w:rPr>
          <w:sz w:val="22"/>
          <w:szCs w:val="22"/>
        </w:rPr>
        <w:t xml:space="preserve"> expressed a view to the Model Law similar to </w:t>
      </w:r>
      <w:r w:rsidR="0090255A">
        <w:rPr>
          <w:sz w:val="22"/>
          <w:szCs w:val="22"/>
        </w:rPr>
        <w:t xml:space="preserve">that </w:t>
      </w:r>
      <w:r w:rsidRPr="0007288F">
        <w:rPr>
          <w:sz w:val="22"/>
          <w:szCs w:val="22"/>
        </w:rPr>
        <w:t>expressed in the United States</w:t>
      </w:r>
      <w:r w:rsidR="0090255A">
        <w:rPr>
          <w:sz w:val="22"/>
          <w:szCs w:val="22"/>
        </w:rPr>
        <w:t xml:space="preserve">:  </w:t>
      </w:r>
    </w:p>
    <w:p w:rsidR="00B217CF" w:rsidRPr="0007288F" w:rsidRDefault="001B03F8" w:rsidP="0007288F">
      <w:pPr>
        <w:pStyle w:val="BodyText3"/>
        <w:ind w:left="720"/>
        <w:rPr>
          <w:sz w:val="22"/>
          <w:szCs w:val="22"/>
        </w:rPr>
      </w:pPr>
      <w:r w:rsidRPr="0007288F">
        <w:rPr>
          <w:sz w:val="22"/>
          <w:szCs w:val="22"/>
        </w:rPr>
        <w:t xml:space="preserve">The British Government has a commitment to the promotion of a rescue culture </w:t>
      </w:r>
      <w:r w:rsidR="00AF2172" w:rsidRPr="0007288F">
        <w:rPr>
          <w:sz w:val="22"/>
          <w:szCs w:val="22"/>
        </w:rPr>
        <w:t>and</w:t>
      </w:r>
      <w:r w:rsidRPr="0007288F">
        <w:rPr>
          <w:sz w:val="22"/>
          <w:szCs w:val="22"/>
        </w:rPr>
        <w:t xml:space="preserve"> supports the Model L</w:t>
      </w:r>
      <w:r w:rsidR="00AF2172" w:rsidRPr="0007288F">
        <w:rPr>
          <w:sz w:val="22"/>
          <w:szCs w:val="22"/>
        </w:rPr>
        <w:t>aw as an appropriate leg</w:t>
      </w:r>
      <w:r w:rsidRPr="0007288F">
        <w:rPr>
          <w:sz w:val="22"/>
          <w:szCs w:val="22"/>
        </w:rPr>
        <w:t>islative tool to support this objective and the wider international stage.  In addition, the implementation of the Model Law will b</w:t>
      </w:r>
      <w:r w:rsidR="00AF2172" w:rsidRPr="0007288F">
        <w:rPr>
          <w:sz w:val="22"/>
          <w:szCs w:val="22"/>
        </w:rPr>
        <w:t>e beneficial in serving the c</w:t>
      </w:r>
      <w:r w:rsidRPr="0007288F">
        <w:rPr>
          <w:sz w:val="22"/>
          <w:szCs w:val="22"/>
        </w:rPr>
        <w:t>a</w:t>
      </w:r>
      <w:r w:rsidR="00AF2172" w:rsidRPr="0007288F">
        <w:rPr>
          <w:sz w:val="22"/>
          <w:szCs w:val="22"/>
        </w:rPr>
        <w:t>u</w:t>
      </w:r>
      <w:r w:rsidRPr="0007288F">
        <w:rPr>
          <w:sz w:val="22"/>
          <w:szCs w:val="22"/>
        </w:rPr>
        <w:t>se of fairness towards creditors who may be located anywhere in the world.  We</w:t>
      </w:r>
      <w:r w:rsidR="00AF2172" w:rsidRPr="0007288F">
        <w:rPr>
          <w:sz w:val="22"/>
          <w:szCs w:val="22"/>
        </w:rPr>
        <w:t xml:space="preserve"> h</w:t>
      </w:r>
      <w:r w:rsidRPr="0007288F">
        <w:rPr>
          <w:sz w:val="22"/>
          <w:szCs w:val="22"/>
        </w:rPr>
        <w:t xml:space="preserve">ope that it may also </w:t>
      </w:r>
      <w:r w:rsidR="00AF2172" w:rsidRPr="0007288F">
        <w:rPr>
          <w:sz w:val="22"/>
          <w:szCs w:val="22"/>
        </w:rPr>
        <w:t>provide an example to other cou</w:t>
      </w:r>
      <w:r w:rsidRPr="0007288F">
        <w:rPr>
          <w:sz w:val="22"/>
          <w:szCs w:val="22"/>
        </w:rPr>
        <w:t>n</w:t>
      </w:r>
      <w:r w:rsidR="00AF2172" w:rsidRPr="0007288F">
        <w:rPr>
          <w:sz w:val="22"/>
          <w:szCs w:val="22"/>
        </w:rPr>
        <w:t>t</w:t>
      </w:r>
      <w:r w:rsidRPr="0007288F">
        <w:rPr>
          <w:sz w:val="22"/>
          <w:szCs w:val="22"/>
        </w:rPr>
        <w:t xml:space="preserve">ries of our readiness </w:t>
      </w:r>
      <w:r w:rsidR="00AF2172" w:rsidRPr="0007288F">
        <w:rPr>
          <w:sz w:val="22"/>
          <w:szCs w:val="22"/>
        </w:rPr>
        <w:t>t</w:t>
      </w:r>
      <w:r w:rsidRPr="0007288F">
        <w:rPr>
          <w:sz w:val="22"/>
          <w:szCs w:val="22"/>
        </w:rPr>
        <w:t>o</w:t>
      </w:r>
      <w:r w:rsidR="00AF2172" w:rsidRPr="0007288F">
        <w:rPr>
          <w:sz w:val="22"/>
          <w:szCs w:val="22"/>
        </w:rPr>
        <w:t xml:space="preserve"> engage in a g</w:t>
      </w:r>
      <w:r w:rsidRPr="0007288F">
        <w:rPr>
          <w:sz w:val="22"/>
          <w:szCs w:val="22"/>
        </w:rPr>
        <w:t>enuine process of cooperation in international insolve</w:t>
      </w:r>
      <w:r w:rsidR="00AF2172" w:rsidRPr="0007288F">
        <w:rPr>
          <w:sz w:val="22"/>
          <w:szCs w:val="22"/>
        </w:rPr>
        <w:t>ncy matters and that our actio</w:t>
      </w:r>
      <w:r w:rsidRPr="0007288F">
        <w:rPr>
          <w:sz w:val="22"/>
          <w:szCs w:val="22"/>
        </w:rPr>
        <w:t>n</w:t>
      </w:r>
      <w:r w:rsidR="00AF2172" w:rsidRPr="0007288F">
        <w:rPr>
          <w:sz w:val="22"/>
          <w:szCs w:val="22"/>
        </w:rPr>
        <w:t>s</w:t>
      </w:r>
      <w:r w:rsidRPr="0007288F">
        <w:rPr>
          <w:sz w:val="22"/>
          <w:szCs w:val="22"/>
        </w:rPr>
        <w:t xml:space="preserve"> will encourage other countr</w:t>
      </w:r>
      <w:r w:rsidR="00B217CF" w:rsidRPr="0007288F">
        <w:rPr>
          <w:sz w:val="22"/>
          <w:szCs w:val="22"/>
        </w:rPr>
        <w:t>i</w:t>
      </w:r>
      <w:r w:rsidR="0090255A">
        <w:rPr>
          <w:sz w:val="22"/>
          <w:szCs w:val="22"/>
        </w:rPr>
        <w:t>es to implement the Model Law….</w:t>
      </w:r>
      <w:r w:rsidR="00B217CF" w:rsidRPr="0007288F">
        <w:rPr>
          <w:sz w:val="22"/>
          <w:szCs w:val="22"/>
        </w:rPr>
        <w:t xml:space="preserve">  As a </w:t>
      </w:r>
      <w:proofErr w:type="gramStart"/>
      <w:r w:rsidR="00B217CF" w:rsidRPr="0007288F">
        <w:rPr>
          <w:sz w:val="22"/>
          <w:szCs w:val="22"/>
        </w:rPr>
        <w:t>result</w:t>
      </w:r>
      <w:proofErr w:type="gramEnd"/>
      <w:r w:rsidR="00A153C8" w:rsidRPr="0007288F">
        <w:rPr>
          <w:sz w:val="22"/>
          <w:szCs w:val="22"/>
        </w:rPr>
        <w:t xml:space="preserve"> </w:t>
      </w:r>
      <w:r w:rsidR="00B217CF" w:rsidRPr="0007288F">
        <w:rPr>
          <w:sz w:val="22"/>
          <w:szCs w:val="22"/>
        </w:rPr>
        <w:t xml:space="preserve">funds available for distribution to </w:t>
      </w:r>
      <w:r w:rsidR="00AF2172" w:rsidRPr="0007288F">
        <w:rPr>
          <w:sz w:val="22"/>
          <w:szCs w:val="22"/>
        </w:rPr>
        <w:t>c</w:t>
      </w:r>
      <w:r w:rsidR="00B217CF" w:rsidRPr="0007288F">
        <w:rPr>
          <w:sz w:val="22"/>
          <w:szCs w:val="22"/>
        </w:rPr>
        <w:t>reditors, wherever they are located, should increase.</w:t>
      </w:r>
      <w:r w:rsidR="00247282" w:rsidRPr="0007288F">
        <w:rPr>
          <w:rStyle w:val="FootnoteReference"/>
          <w:sz w:val="22"/>
          <w:szCs w:val="22"/>
        </w:rPr>
        <w:footnoteReference w:id="53"/>
      </w:r>
      <w:r w:rsidR="00B217CF" w:rsidRPr="0007288F">
        <w:rPr>
          <w:sz w:val="22"/>
          <w:szCs w:val="22"/>
        </w:rPr>
        <w:t xml:space="preserve">  </w:t>
      </w:r>
    </w:p>
    <w:p w:rsidR="00B217CF" w:rsidRPr="0007288F" w:rsidRDefault="00B217CF" w:rsidP="0007288F">
      <w:pPr>
        <w:pStyle w:val="BodyText3"/>
        <w:spacing w:line="360" w:lineRule="auto"/>
        <w:rPr>
          <w:sz w:val="22"/>
          <w:szCs w:val="22"/>
        </w:rPr>
      </w:pPr>
      <w:r w:rsidRPr="0007288F">
        <w:rPr>
          <w:sz w:val="22"/>
          <w:szCs w:val="22"/>
        </w:rPr>
        <w:t>N</w:t>
      </w:r>
      <w:r w:rsidR="00AF2172" w:rsidRPr="0007288F">
        <w:rPr>
          <w:sz w:val="22"/>
          <w:szCs w:val="22"/>
        </w:rPr>
        <w:t xml:space="preserve">otwithstanding the general respect for comity, </w:t>
      </w:r>
      <w:r w:rsidR="001D4E06" w:rsidRPr="0007288F">
        <w:rPr>
          <w:sz w:val="22"/>
          <w:szCs w:val="22"/>
        </w:rPr>
        <w:t xml:space="preserve">however, </w:t>
      </w:r>
      <w:r w:rsidRPr="0007288F">
        <w:rPr>
          <w:sz w:val="22"/>
          <w:szCs w:val="22"/>
        </w:rPr>
        <w:t>“</w:t>
      </w:r>
      <w:r w:rsidR="00AF2172" w:rsidRPr="0007288F">
        <w:rPr>
          <w:sz w:val="22"/>
          <w:szCs w:val="22"/>
        </w:rPr>
        <w:t>[i]</w:t>
      </w:r>
      <w:r w:rsidRPr="0007288F">
        <w:rPr>
          <w:sz w:val="22"/>
          <w:szCs w:val="22"/>
        </w:rPr>
        <w:t xml:space="preserve">t does not automatically follow that the order of the [foreign] court will be recognized </w:t>
      </w:r>
      <w:r w:rsidR="00AF2172" w:rsidRPr="0007288F">
        <w:rPr>
          <w:sz w:val="22"/>
          <w:szCs w:val="22"/>
        </w:rPr>
        <w:t xml:space="preserve">[under the CBIR] </w:t>
      </w:r>
      <w:r w:rsidRPr="0007288F">
        <w:rPr>
          <w:sz w:val="22"/>
          <w:szCs w:val="22"/>
        </w:rPr>
        <w:t xml:space="preserve">and, if need be, enforced, outside </w:t>
      </w:r>
      <w:r w:rsidR="00AF2172" w:rsidRPr="0007288F">
        <w:rPr>
          <w:sz w:val="22"/>
          <w:szCs w:val="22"/>
        </w:rPr>
        <w:t>[the foreign country</w:t>
      </w:r>
      <w:r w:rsidRPr="0007288F">
        <w:rPr>
          <w:sz w:val="22"/>
          <w:szCs w:val="22"/>
        </w:rPr>
        <w:t>.”</w:t>
      </w:r>
      <w:r w:rsidR="00247282" w:rsidRPr="0007288F">
        <w:rPr>
          <w:rStyle w:val="FootnoteReference"/>
          <w:sz w:val="22"/>
          <w:szCs w:val="22"/>
        </w:rPr>
        <w:footnoteReference w:id="54"/>
      </w:r>
      <w:r w:rsidRPr="0007288F">
        <w:rPr>
          <w:sz w:val="22"/>
          <w:szCs w:val="22"/>
        </w:rPr>
        <w:t xml:space="preserve">  </w:t>
      </w:r>
      <w:r w:rsidR="00247282" w:rsidRPr="0007288F">
        <w:rPr>
          <w:sz w:val="22"/>
          <w:szCs w:val="22"/>
        </w:rPr>
        <w:t>To this end</w:t>
      </w:r>
      <w:r w:rsidRPr="0007288F">
        <w:rPr>
          <w:sz w:val="22"/>
          <w:szCs w:val="22"/>
        </w:rPr>
        <w:t>, the CBIR provides that “Nothing in this Law prevents the court from refusing to take an action governed by this Law if the action would be manifestly contrary to the public policy of Great Britain or any part of it.”</w:t>
      </w:r>
      <w:r w:rsidR="00247282" w:rsidRPr="0007288F">
        <w:rPr>
          <w:rStyle w:val="FootnoteReference"/>
          <w:sz w:val="22"/>
          <w:szCs w:val="22"/>
        </w:rPr>
        <w:footnoteReference w:id="55"/>
      </w:r>
      <w:r w:rsidRPr="0007288F">
        <w:rPr>
          <w:sz w:val="22"/>
          <w:szCs w:val="22"/>
        </w:rPr>
        <w:t xml:space="preserve">  </w:t>
      </w:r>
    </w:p>
    <w:p w:rsidR="00AF2172" w:rsidRPr="0007288F" w:rsidRDefault="00AF2172" w:rsidP="0007288F">
      <w:pPr>
        <w:pStyle w:val="BodyText3"/>
        <w:numPr>
          <w:ilvl w:val="1"/>
          <w:numId w:val="33"/>
        </w:numPr>
        <w:spacing w:line="360" w:lineRule="auto"/>
        <w:rPr>
          <w:sz w:val="22"/>
          <w:szCs w:val="22"/>
        </w:rPr>
      </w:pPr>
      <w:proofErr w:type="spellStart"/>
      <w:r w:rsidRPr="006A3933">
        <w:rPr>
          <w:i/>
          <w:sz w:val="22"/>
          <w:szCs w:val="22"/>
        </w:rPr>
        <w:t>Agrokor</w:t>
      </w:r>
      <w:proofErr w:type="spellEnd"/>
      <w:r w:rsidR="00200D90" w:rsidRPr="0007288F">
        <w:rPr>
          <w:sz w:val="22"/>
          <w:szCs w:val="22"/>
        </w:rPr>
        <w:t xml:space="preserve"> – General Principles</w:t>
      </w:r>
    </w:p>
    <w:p w:rsidR="002627B5" w:rsidRPr="0007288F" w:rsidRDefault="00796620" w:rsidP="0007288F">
      <w:pPr>
        <w:pStyle w:val="BodyText3"/>
        <w:spacing w:line="360" w:lineRule="auto"/>
        <w:rPr>
          <w:sz w:val="22"/>
          <w:szCs w:val="22"/>
        </w:rPr>
      </w:pPr>
      <w:proofErr w:type="spellStart"/>
      <w:r w:rsidRPr="0007288F">
        <w:rPr>
          <w:i/>
          <w:sz w:val="22"/>
          <w:szCs w:val="22"/>
        </w:rPr>
        <w:t>Agrokor</w:t>
      </w:r>
      <w:proofErr w:type="spellEnd"/>
      <w:r w:rsidRPr="0007288F">
        <w:rPr>
          <w:sz w:val="22"/>
          <w:szCs w:val="22"/>
        </w:rPr>
        <w:t xml:space="preserve"> </w:t>
      </w:r>
      <w:r w:rsidR="00C1103C" w:rsidRPr="0007288F">
        <w:rPr>
          <w:sz w:val="22"/>
          <w:szCs w:val="22"/>
        </w:rPr>
        <w:t>was the first contested recognition application in the United Kingdom under the CBIR.</w:t>
      </w:r>
      <w:r w:rsidR="00C1103C" w:rsidRPr="0007288F">
        <w:rPr>
          <w:rStyle w:val="FootnoteReference"/>
          <w:sz w:val="22"/>
          <w:szCs w:val="22"/>
        </w:rPr>
        <w:footnoteReference w:id="56"/>
      </w:r>
      <w:r w:rsidR="00C1103C" w:rsidRPr="0007288F">
        <w:rPr>
          <w:sz w:val="22"/>
          <w:szCs w:val="22"/>
        </w:rPr>
        <w:t xml:space="preserve">  </w:t>
      </w:r>
      <w:r w:rsidR="002627B5" w:rsidRPr="0007288F">
        <w:rPr>
          <w:sz w:val="22"/>
          <w:szCs w:val="22"/>
        </w:rPr>
        <w:t xml:space="preserve">In that case, the High Court </w:t>
      </w:r>
      <w:r w:rsidR="00C1103C" w:rsidRPr="0007288F">
        <w:rPr>
          <w:sz w:val="22"/>
          <w:szCs w:val="22"/>
        </w:rPr>
        <w:t xml:space="preserve">of England &amp; Wales </w:t>
      </w:r>
      <w:r w:rsidR="002627B5" w:rsidRPr="0007288F">
        <w:rPr>
          <w:sz w:val="22"/>
          <w:szCs w:val="22"/>
        </w:rPr>
        <w:t xml:space="preserve">determined that </w:t>
      </w:r>
      <w:r w:rsidR="00AF2172" w:rsidRPr="0007288F">
        <w:rPr>
          <w:sz w:val="22"/>
          <w:szCs w:val="22"/>
        </w:rPr>
        <w:t>recognition</w:t>
      </w:r>
      <w:r w:rsidR="001D4E06" w:rsidRPr="0007288F">
        <w:rPr>
          <w:sz w:val="22"/>
          <w:szCs w:val="22"/>
        </w:rPr>
        <w:t xml:space="preserve"> of</w:t>
      </w:r>
      <w:r w:rsidR="00AF2172" w:rsidRPr="0007288F">
        <w:rPr>
          <w:sz w:val="22"/>
          <w:szCs w:val="22"/>
        </w:rPr>
        <w:t xml:space="preserve"> </w:t>
      </w:r>
      <w:r w:rsidR="001D4E06" w:rsidRPr="0007288F">
        <w:rPr>
          <w:sz w:val="22"/>
          <w:szCs w:val="22"/>
        </w:rPr>
        <w:t xml:space="preserve">the </w:t>
      </w:r>
      <w:r w:rsidRPr="0007288F">
        <w:rPr>
          <w:sz w:val="22"/>
          <w:szCs w:val="22"/>
        </w:rPr>
        <w:t>Croatia</w:t>
      </w:r>
      <w:r w:rsidR="002627B5" w:rsidRPr="0007288F">
        <w:rPr>
          <w:sz w:val="22"/>
          <w:szCs w:val="22"/>
        </w:rPr>
        <w:t>n in</w:t>
      </w:r>
      <w:r w:rsidR="0090255A">
        <w:rPr>
          <w:sz w:val="22"/>
          <w:szCs w:val="22"/>
        </w:rPr>
        <w:t xml:space="preserve">solvency proceeding of </w:t>
      </w:r>
      <w:proofErr w:type="spellStart"/>
      <w:r w:rsidR="0090255A">
        <w:rPr>
          <w:sz w:val="22"/>
          <w:szCs w:val="22"/>
        </w:rPr>
        <w:t>Agrokor</w:t>
      </w:r>
      <w:proofErr w:type="spellEnd"/>
      <w:r w:rsidR="002627B5" w:rsidRPr="0007288F">
        <w:rPr>
          <w:sz w:val="22"/>
          <w:szCs w:val="22"/>
        </w:rPr>
        <w:t xml:space="preserve"> was not contrary to the public policy of Great Britain.  </w:t>
      </w:r>
      <w:r w:rsidR="00AF2172" w:rsidRPr="0007288F">
        <w:rPr>
          <w:sz w:val="22"/>
          <w:szCs w:val="22"/>
        </w:rPr>
        <w:t>T</w:t>
      </w:r>
      <w:r w:rsidR="00B217CF" w:rsidRPr="0007288F">
        <w:rPr>
          <w:sz w:val="22"/>
          <w:szCs w:val="22"/>
        </w:rPr>
        <w:t xml:space="preserve">he government of Croatia </w:t>
      </w:r>
      <w:r w:rsidR="00AF2172" w:rsidRPr="0007288F">
        <w:rPr>
          <w:sz w:val="22"/>
          <w:szCs w:val="22"/>
        </w:rPr>
        <w:t xml:space="preserve">had </w:t>
      </w:r>
      <w:r w:rsidR="00B217CF" w:rsidRPr="0007288F">
        <w:rPr>
          <w:sz w:val="22"/>
          <w:szCs w:val="22"/>
        </w:rPr>
        <w:t xml:space="preserve">enacted the relevant law specifically to deal with </w:t>
      </w:r>
      <w:proofErr w:type="spellStart"/>
      <w:r w:rsidR="00B217CF" w:rsidRPr="0007288F">
        <w:rPr>
          <w:sz w:val="22"/>
          <w:szCs w:val="22"/>
        </w:rPr>
        <w:t>Agrokor</w:t>
      </w:r>
      <w:proofErr w:type="spellEnd"/>
      <w:r w:rsidR="00B217CF" w:rsidRPr="0007288F">
        <w:rPr>
          <w:sz w:val="22"/>
          <w:szCs w:val="22"/>
        </w:rPr>
        <w:t xml:space="preserve">, given its </w:t>
      </w:r>
      <w:r w:rsidR="001D4E06" w:rsidRPr="0007288F">
        <w:rPr>
          <w:sz w:val="22"/>
          <w:szCs w:val="22"/>
        </w:rPr>
        <w:t xml:space="preserve">national </w:t>
      </w:r>
      <w:r w:rsidR="00B217CF" w:rsidRPr="0007288F">
        <w:rPr>
          <w:sz w:val="22"/>
          <w:szCs w:val="22"/>
        </w:rPr>
        <w:t>importance</w:t>
      </w:r>
      <w:r w:rsidR="0090255A">
        <w:rPr>
          <w:sz w:val="22"/>
          <w:szCs w:val="22"/>
        </w:rPr>
        <w:t xml:space="preserve"> as the largest </w:t>
      </w:r>
      <w:r w:rsidR="0090255A">
        <w:rPr>
          <w:sz w:val="22"/>
          <w:szCs w:val="22"/>
        </w:rPr>
        <w:lastRenderedPageBreak/>
        <w:t>privately owned company in the country</w:t>
      </w:r>
      <w:r w:rsidR="00B217CF" w:rsidRPr="0007288F">
        <w:rPr>
          <w:sz w:val="22"/>
          <w:szCs w:val="22"/>
        </w:rPr>
        <w:t xml:space="preserve">.  </w:t>
      </w:r>
      <w:r w:rsidR="001D4E06" w:rsidRPr="0007288F">
        <w:rPr>
          <w:sz w:val="22"/>
          <w:szCs w:val="22"/>
        </w:rPr>
        <w:t xml:space="preserve">A recognition proceeding was filed in England, as the company had </w:t>
      </w:r>
      <w:r w:rsidR="00B217CF" w:rsidRPr="0007288F">
        <w:rPr>
          <w:sz w:val="22"/>
          <w:szCs w:val="22"/>
        </w:rPr>
        <w:t>English law</w:t>
      </w:r>
      <w:r w:rsidR="001D4E06" w:rsidRPr="0007288F">
        <w:rPr>
          <w:sz w:val="22"/>
          <w:szCs w:val="22"/>
        </w:rPr>
        <w:t xml:space="preserve"> debt</w:t>
      </w:r>
      <w:r w:rsidR="00B217CF" w:rsidRPr="0007288F">
        <w:rPr>
          <w:sz w:val="22"/>
          <w:szCs w:val="22"/>
        </w:rPr>
        <w:t xml:space="preserve"> and its major bank had commenced arbitrations in England.</w:t>
      </w:r>
      <w:r w:rsidR="001D4E06" w:rsidRPr="0007288F">
        <w:rPr>
          <w:rStyle w:val="FootnoteReference"/>
          <w:sz w:val="22"/>
          <w:szCs w:val="22"/>
        </w:rPr>
        <w:footnoteReference w:id="57"/>
      </w:r>
      <w:r w:rsidR="00B217CF" w:rsidRPr="0007288F">
        <w:rPr>
          <w:sz w:val="22"/>
          <w:szCs w:val="22"/>
        </w:rPr>
        <w:t xml:space="preserve">  </w:t>
      </w:r>
    </w:p>
    <w:p w:rsidR="00B217CF" w:rsidRPr="0007288F" w:rsidRDefault="00200D90" w:rsidP="0007288F">
      <w:pPr>
        <w:pStyle w:val="BodyText3"/>
        <w:spacing w:line="360" w:lineRule="auto"/>
        <w:rPr>
          <w:sz w:val="22"/>
          <w:szCs w:val="22"/>
        </w:rPr>
      </w:pPr>
      <w:r w:rsidRPr="0007288F">
        <w:rPr>
          <w:sz w:val="22"/>
          <w:szCs w:val="22"/>
        </w:rPr>
        <w:t xml:space="preserve">Perhaps recognizing that as the first English court to decide the issue, it had an obligation to consider the full scope of the public policy exception, the court made several helpful pronouncements as to how English courts should think </w:t>
      </w:r>
      <w:r w:rsidR="001D4E06" w:rsidRPr="0007288F">
        <w:rPr>
          <w:sz w:val="22"/>
          <w:szCs w:val="22"/>
        </w:rPr>
        <w:t xml:space="preserve">about </w:t>
      </w:r>
      <w:r w:rsidRPr="0007288F">
        <w:rPr>
          <w:sz w:val="22"/>
          <w:szCs w:val="22"/>
        </w:rPr>
        <w:t>it:</w:t>
      </w:r>
      <w:r w:rsidR="000A6791" w:rsidRPr="0007288F">
        <w:rPr>
          <w:sz w:val="22"/>
          <w:szCs w:val="22"/>
        </w:rPr>
        <w:t xml:space="preserve">  </w:t>
      </w:r>
    </w:p>
    <w:p w:rsidR="00923162" w:rsidRPr="0007288F" w:rsidRDefault="0090255A" w:rsidP="0007288F">
      <w:pPr>
        <w:pStyle w:val="BodyText3"/>
        <w:ind w:left="720"/>
        <w:rPr>
          <w:sz w:val="22"/>
          <w:szCs w:val="22"/>
        </w:rPr>
      </w:pPr>
      <w:r>
        <w:rPr>
          <w:sz w:val="22"/>
          <w:szCs w:val="22"/>
        </w:rPr>
        <w:t>[T]</w:t>
      </w:r>
      <w:proofErr w:type="spellStart"/>
      <w:r w:rsidR="00796620" w:rsidRPr="0007288F">
        <w:rPr>
          <w:sz w:val="22"/>
          <w:szCs w:val="22"/>
        </w:rPr>
        <w:t>hese</w:t>
      </w:r>
      <w:proofErr w:type="spellEnd"/>
      <w:r w:rsidR="00796620" w:rsidRPr="0007288F">
        <w:rPr>
          <w:sz w:val="22"/>
          <w:szCs w:val="22"/>
        </w:rPr>
        <w:t xml:space="preserve"> types of </w:t>
      </w:r>
      <w:r w:rsidR="00923162" w:rsidRPr="0007288F">
        <w:rPr>
          <w:sz w:val="22"/>
          <w:szCs w:val="22"/>
        </w:rPr>
        <w:t>public policy clauses are common in international conventions (see for example the Hague Conventions on private international law).  The form including the word “manifestly” before “contrary” or “incompat</w:t>
      </w:r>
      <w:r w:rsidR="00AF2172" w:rsidRPr="0007288F">
        <w:rPr>
          <w:sz w:val="22"/>
          <w:szCs w:val="22"/>
        </w:rPr>
        <w:t>ible” is well known.  The inclus</w:t>
      </w:r>
      <w:r w:rsidR="00923162" w:rsidRPr="0007288F">
        <w:rPr>
          <w:sz w:val="22"/>
          <w:szCs w:val="22"/>
        </w:rPr>
        <w:t xml:space="preserve">ion of the word “manifestly” must mean something more than mere contrariness or incompatibility.  </w:t>
      </w:r>
      <w:proofErr w:type="gramStart"/>
      <w:r w:rsidR="00923162" w:rsidRPr="0007288F">
        <w:rPr>
          <w:sz w:val="22"/>
          <w:szCs w:val="22"/>
        </w:rPr>
        <w:t>So</w:t>
      </w:r>
      <w:proofErr w:type="gramEnd"/>
      <w:r w:rsidR="00923162" w:rsidRPr="0007288F">
        <w:rPr>
          <w:sz w:val="22"/>
          <w:szCs w:val="22"/>
        </w:rPr>
        <w:t xml:space="preserve"> it should be harder to demonstrate that something is </w:t>
      </w:r>
      <w:r w:rsidR="00923162" w:rsidRPr="0007288F">
        <w:rPr>
          <w:i/>
          <w:sz w:val="22"/>
          <w:szCs w:val="22"/>
        </w:rPr>
        <w:t>manifestly</w:t>
      </w:r>
      <w:r w:rsidR="00796620" w:rsidRPr="0007288F">
        <w:rPr>
          <w:sz w:val="22"/>
          <w:szCs w:val="22"/>
        </w:rPr>
        <w:t xml:space="preserve"> contrary to public</w:t>
      </w:r>
      <w:r w:rsidR="00923162" w:rsidRPr="0007288F">
        <w:rPr>
          <w:sz w:val="22"/>
          <w:szCs w:val="22"/>
        </w:rPr>
        <w:t xml:space="preserve"> policy than it is simply contrary.  What is not clear is how much harder.  One view is that “manifestly” means “more serious”, rather like “gross” in the phrase “gross negligence”.  Another view is that manifestly” does not add any further depth to the requirement.  It is still the standard of being “contrary to public policy” after all.  </w:t>
      </w:r>
      <w:proofErr w:type="gramStart"/>
      <w:r w:rsidR="00923162" w:rsidRPr="0007288F">
        <w:rPr>
          <w:sz w:val="22"/>
          <w:szCs w:val="22"/>
        </w:rPr>
        <w:t>But</w:t>
      </w:r>
      <w:proofErr w:type="gramEnd"/>
      <w:r w:rsidR="00923162" w:rsidRPr="0007288F">
        <w:rPr>
          <w:sz w:val="22"/>
          <w:szCs w:val="22"/>
        </w:rPr>
        <w:t xml:space="preserve"> it does add the need for </w:t>
      </w:r>
      <w:r w:rsidR="00923162" w:rsidRPr="0007288F">
        <w:rPr>
          <w:i/>
          <w:sz w:val="22"/>
          <w:szCs w:val="22"/>
        </w:rPr>
        <w:t>clarity</w:t>
      </w:r>
      <w:r w:rsidR="00923162" w:rsidRPr="0007288F">
        <w:rPr>
          <w:sz w:val="22"/>
          <w:szCs w:val="22"/>
        </w:rPr>
        <w:t>.  Where there is any doubt or any confusion as to whether it is contrary to or incompatible with public policy, there cannot be anything “manifestly” contrary to public policy.</w:t>
      </w:r>
      <w:r w:rsidR="00796620" w:rsidRPr="0007288F">
        <w:rPr>
          <w:rStyle w:val="FootnoteReference"/>
          <w:sz w:val="22"/>
          <w:szCs w:val="22"/>
        </w:rPr>
        <w:footnoteReference w:id="58"/>
      </w:r>
    </w:p>
    <w:p w:rsidR="007B2023" w:rsidRPr="0007288F" w:rsidRDefault="00796620" w:rsidP="0007288F">
      <w:pPr>
        <w:pStyle w:val="BodyText3"/>
        <w:spacing w:line="360" w:lineRule="auto"/>
        <w:rPr>
          <w:sz w:val="22"/>
          <w:szCs w:val="22"/>
        </w:rPr>
      </w:pPr>
      <w:r w:rsidRPr="0007288F">
        <w:rPr>
          <w:sz w:val="22"/>
          <w:szCs w:val="22"/>
        </w:rPr>
        <w:t>I</w:t>
      </w:r>
      <w:r w:rsidR="00923162" w:rsidRPr="0007288F">
        <w:rPr>
          <w:sz w:val="22"/>
          <w:szCs w:val="22"/>
        </w:rPr>
        <w:t>n determining the standard for the public policy except</w:t>
      </w:r>
      <w:r w:rsidRPr="0007288F">
        <w:rPr>
          <w:sz w:val="22"/>
          <w:szCs w:val="22"/>
        </w:rPr>
        <w:t>ion, the court referred both to</w:t>
      </w:r>
      <w:r w:rsidR="00923162" w:rsidRPr="0007288F">
        <w:rPr>
          <w:sz w:val="22"/>
          <w:szCs w:val="22"/>
        </w:rPr>
        <w:t xml:space="preserve"> the Guide and the </w:t>
      </w:r>
      <w:proofErr w:type="spellStart"/>
      <w:r w:rsidR="00923162" w:rsidRPr="0007288F">
        <w:rPr>
          <w:i/>
          <w:sz w:val="22"/>
          <w:szCs w:val="22"/>
        </w:rPr>
        <w:t>Ashapura</w:t>
      </w:r>
      <w:proofErr w:type="spellEnd"/>
      <w:r w:rsidR="00923162" w:rsidRPr="0007288F">
        <w:rPr>
          <w:sz w:val="22"/>
          <w:szCs w:val="22"/>
        </w:rPr>
        <w:t xml:space="preserve"> decision from the United States </w:t>
      </w:r>
      <w:r w:rsidR="00AF2172" w:rsidRPr="0007288F">
        <w:rPr>
          <w:sz w:val="22"/>
          <w:szCs w:val="22"/>
        </w:rPr>
        <w:t xml:space="preserve">(discussed above) </w:t>
      </w:r>
      <w:r w:rsidR="00923162" w:rsidRPr="0007288F">
        <w:rPr>
          <w:sz w:val="22"/>
          <w:szCs w:val="22"/>
        </w:rPr>
        <w:t xml:space="preserve">to </w:t>
      </w:r>
      <w:proofErr w:type="gramStart"/>
      <w:r w:rsidR="00923162" w:rsidRPr="0007288F">
        <w:rPr>
          <w:sz w:val="22"/>
          <w:szCs w:val="22"/>
        </w:rPr>
        <w:t>conclude that</w:t>
      </w:r>
      <w:proofErr w:type="gramEnd"/>
      <w:r w:rsidR="00923162" w:rsidRPr="0007288F">
        <w:rPr>
          <w:sz w:val="22"/>
          <w:szCs w:val="22"/>
        </w:rPr>
        <w:t xml:space="preserve"> “the exception for manifest contrariness to public policy is to be narrowly construed.”</w:t>
      </w:r>
      <w:r w:rsidRPr="0007288F">
        <w:rPr>
          <w:rStyle w:val="FootnoteReference"/>
          <w:sz w:val="22"/>
          <w:szCs w:val="22"/>
        </w:rPr>
        <w:footnoteReference w:id="59"/>
      </w:r>
      <w:r w:rsidR="00923162" w:rsidRPr="0007288F">
        <w:rPr>
          <w:sz w:val="22"/>
          <w:szCs w:val="22"/>
        </w:rPr>
        <w:t xml:space="preserve">  </w:t>
      </w:r>
      <w:proofErr w:type="gramStart"/>
      <w:r w:rsidRPr="0007288F">
        <w:rPr>
          <w:sz w:val="22"/>
          <w:szCs w:val="22"/>
        </w:rPr>
        <w:t xml:space="preserve">Because, as </w:t>
      </w:r>
      <w:r w:rsidR="007B2023" w:rsidRPr="0007288F">
        <w:rPr>
          <w:sz w:val="22"/>
          <w:szCs w:val="22"/>
        </w:rPr>
        <w:t xml:space="preserve">the </w:t>
      </w:r>
      <w:r w:rsidRPr="0007288F">
        <w:rPr>
          <w:sz w:val="22"/>
          <w:szCs w:val="22"/>
        </w:rPr>
        <w:t>court in</w:t>
      </w:r>
      <w:r w:rsidR="00200D90" w:rsidRPr="0007288F">
        <w:rPr>
          <w:sz w:val="22"/>
          <w:szCs w:val="22"/>
        </w:rPr>
        <w:t xml:space="preserve"> </w:t>
      </w:r>
      <w:r w:rsidR="007B2023" w:rsidRPr="0007288F">
        <w:rPr>
          <w:i/>
          <w:sz w:val="22"/>
          <w:szCs w:val="22"/>
        </w:rPr>
        <w:t xml:space="preserve">Nordic Trustee ASA v. OGX </w:t>
      </w:r>
      <w:proofErr w:type="spellStart"/>
      <w:r w:rsidR="007B2023" w:rsidRPr="0007288F">
        <w:rPr>
          <w:i/>
          <w:sz w:val="22"/>
          <w:szCs w:val="22"/>
        </w:rPr>
        <w:t>Petroleo</w:t>
      </w:r>
      <w:proofErr w:type="spellEnd"/>
      <w:r w:rsidR="007B2023" w:rsidRPr="0007288F">
        <w:rPr>
          <w:i/>
          <w:sz w:val="22"/>
          <w:szCs w:val="22"/>
        </w:rPr>
        <w:t xml:space="preserve"> e Gas SA, </w:t>
      </w:r>
      <w:r w:rsidR="007B2023" w:rsidRPr="0007288F">
        <w:rPr>
          <w:sz w:val="22"/>
          <w:szCs w:val="22"/>
        </w:rPr>
        <w:t>Re [2016] EWHC 25 (</w:t>
      </w:r>
      <w:proofErr w:type="spellStart"/>
      <w:r w:rsidR="007B2023" w:rsidRPr="0007288F">
        <w:rPr>
          <w:sz w:val="22"/>
          <w:szCs w:val="22"/>
        </w:rPr>
        <w:t>Ch</w:t>
      </w:r>
      <w:proofErr w:type="spellEnd"/>
      <w:r w:rsidR="007B2023" w:rsidRPr="0007288F">
        <w:rPr>
          <w:sz w:val="22"/>
          <w:szCs w:val="22"/>
        </w:rPr>
        <w:t>); [2016] Bus L.R. 121</w:t>
      </w:r>
      <w:r w:rsidRPr="0007288F">
        <w:rPr>
          <w:sz w:val="22"/>
          <w:szCs w:val="22"/>
        </w:rPr>
        <w:t xml:space="preserve"> noted, </w:t>
      </w:r>
      <w:r w:rsidR="007B2023" w:rsidRPr="0007288F">
        <w:rPr>
          <w:sz w:val="22"/>
          <w:szCs w:val="22"/>
        </w:rPr>
        <w:t>“in the ordinary case</w:t>
      </w:r>
      <w:r w:rsidRPr="0007288F">
        <w:rPr>
          <w:sz w:val="22"/>
          <w:szCs w:val="22"/>
        </w:rPr>
        <w:t>,</w:t>
      </w:r>
      <w:r w:rsidR="007B2023" w:rsidRPr="0007288F">
        <w:rPr>
          <w:sz w:val="22"/>
          <w:szCs w:val="22"/>
        </w:rPr>
        <w:t xml:space="preserve">” </w:t>
      </w:r>
      <w:r w:rsidR="0090255A">
        <w:rPr>
          <w:sz w:val="22"/>
          <w:szCs w:val="22"/>
        </w:rPr>
        <w:t xml:space="preserve">recognition of </w:t>
      </w:r>
      <w:r w:rsidR="007B2023" w:rsidRPr="0007288F">
        <w:rPr>
          <w:sz w:val="22"/>
          <w:szCs w:val="22"/>
        </w:rPr>
        <w:t xml:space="preserve">a foreign proceeding </w:t>
      </w:r>
      <w:r w:rsidR="0090255A">
        <w:rPr>
          <w:sz w:val="22"/>
          <w:szCs w:val="22"/>
        </w:rPr>
        <w:t xml:space="preserve">is mandatory </w:t>
      </w:r>
      <w:r w:rsidR="007B2023" w:rsidRPr="0007288F">
        <w:rPr>
          <w:sz w:val="22"/>
          <w:szCs w:val="22"/>
        </w:rPr>
        <w:t xml:space="preserve">if the applicant can satisfy the requirements of Articles 15 and 17 of the Model Law, </w:t>
      </w:r>
      <w:r w:rsidRPr="0007288F">
        <w:rPr>
          <w:sz w:val="22"/>
          <w:szCs w:val="22"/>
        </w:rPr>
        <w:t xml:space="preserve">the public policy exception </w:t>
      </w:r>
      <w:r w:rsidR="007B2023" w:rsidRPr="0007288F">
        <w:rPr>
          <w:sz w:val="22"/>
          <w:szCs w:val="22"/>
        </w:rPr>
        <w:t xml:space="preserve">is intended to be </w:t>
      </w:r>
      <w:r w:rsidRPr="0007288F">
        <w:rPr>
          <w:sz w:val="22"/>
          <w:szCs w:val="22"/>
        </w:rPr>
        <w:t>“</w:t>
      </w:r>
      <w:r w:rsidR="007B2023" w:rsidRPr="0007288F">
        <w:rPr>
          <w:sz w:val="22"/>
          <w:szCs w:val="22"/>
        </w:rPr>
        <w:t>rest</w:t>
      </w:r>
      <w:r w:rsidRPr="0007288F">
        <w:rPr>
          <w:sz w:val="22"/>
          <w:szCs w:val="22"/>
        </w:rPr>
        <w:t>rictively interpreted.”</w:t>
      </w:r>
      <w:r w:rsidRPr="0007288F">
        <w:rPr>
          <w:rStyle w:val="FootnoteReference"/>
          <w:sz w:val="22"/>
          <w:szCs w:val="22"/>
        </w:rPr>
        <w:footnoteReference w:id="60"/>
      </w:r>
      <w:proofErr w:type="gramEnd"/>
      <w:r w:rsidRPr="0007288F">
        <w:rPr>
          <w:sz w:val="22"/>
          <w:szCs w:val="22"/>
        </w:rPr>
        <w:t xml:space="preserve">  </w:t>
      </w:r>
    </w:p>
    <w:p w:rsidR="007B2023" w:rsidRPr="0007288F" w:rsidRDefault="00796620" w:rsidP="0007288F">
      <w:pPr>
        <w:pStyle w:val="BodyText3"/>
        <w:spacing w:line="360" w:lineRule="auto"/>
        <w:rPr>
          <w:sz w:val="22"/>
          <w:szCs w:val="22"/>
        </w:rPr>
      </w:pPr>
      <w:proofErr w:type="gramStart"/>
      <w:r w:rsidRPr="0007288F">
        <w:rPr>
          <w:sz w:val="22"/>
          <w:szCs w:val="22"/>
        </w:rPr>
        <w:t xml:space="preserve">The court further </w:t>
      </w:r>
      <w:r w:rsidR="007B2023" w:rsidRPr="0007288F">
        <w:rPr>
          <w:sz w:val="22"/>
          <w:szCs w:val="22"/>
        </w:rPr>
        <w:t xml:space="preserve">quoted the court from </w:t>
      </w:r>
      <w:r w:rsidR="007B2023" w:rsidRPr="0007288F">
        <w:rPr>
          <w:i/>
          <w:sz w:val="22"/>
          <w:szCs w:val="22"/>
        </w:rPr>
        <w:t xml:space="preserve">Bud-bank Leasing SP zo o, </w:t>
      </w:r>
      <w:r w:rsidR="007B2023" w:rsidRPr="0007288F">
        <w:rPr>
          <w:sz w:val="22"/>
          <w:szCs w:val="22"/>
        </w:rPr>
        <w:t xml:space="preserve">Re [2010] B.C.C. 255, which held that “The fact that foreign proceedings may differ from those of this country, as they invariably do, even in relation to creditors’ rights in respect of priorities, would not of itself be a reason to refuse relief (see, for </w:t>
      </w:r>
      <w:r w:rsidR="007B2023" w:rsidRPr="0007288F">
        <w:rPr>
          <w:sz w:val="22"/>
          <w:szCs w:val="22"/>
        </w:rPr>
        <w:lastRenderedPageBreak/>
        <w:t xml:space="preserve">example, the recent decision of the House of Lords in </w:t>
      </w:r>
      <w:r w:rsidR="007B2023" w:rsidRPr="0007288F">
        <w:rPr>
          <w:i/>
          <w:sz w:val="22"/>
          <w:szCs w:val="22"/>
        </w:rPr>
        <w:t>McGrath v. Riddell [2008] UKHL 21</w:t>
      </w:r>
      <w:r w:rsidR="007B2023" w:rsidRPr="0007288F">
        <w:rPr>
          <w:sz w:val="22"/>
          <w:szCs w:val="22"/>
        </w:rPr>
        <w:t xml:space="preserve"> [better known as </w:t>
      </w:r>
      <w:r w:rsidR="007B2023" w:rsidRPr="0007288F">
        <w:rPr>
          <w:i/>
          <w:sz w:val="22"/>
          <w:szCs w:val="22"/>
        </w:rPr>
        <w:t>Re HIH Casualty &amp; General Insurance Ltd</w:t>
      </w:r>
      <w:r w:rsidR="007B2023" w:rsidRPr="0007288F">
        <w:rPr>
          <w:sz w:val="22"/>
          <w:szCs w:val="22"/>
        </w:rPr>
        <w:t>. [2008] 1 W.L.R. 852</w:t>
      </w:r>
      <w:r w:rsidR="007B2023" w:rsidRPr="0090255A">
        <w:rPr>
          <w:sz w:val="22"/>
          <w:szCs w:val="22"/>
        </w:rPr>
        <w:t>].</w:t>
      </w:r>
      <w:r w:rsidR="00200D90" w:rsidRPr="0090255A">
        <w:rPr>
          <w:sz w:val="22"/>
          <w:szCs w:val="22"/>
        </w:rPr>
        <w:t>”</w:t>
      </w:r>
      <w:r w:rsidRPr="0090255A">
        <w:rPr>
          <w:rStyle w:val="FootnoteReference"/>
          <w:sz w:val="22"/>
          <w:szCs w:val="22"/>
        </w:rPr>
        <w:footnoteReference w:id="61"/>
      </w:r>
      <w:proofErr w:type="gramEnd"/>
    </w:p>
    <w:p w:rsidR="00200D90" w:rsidRPr="0007288F" w:rsidRDefault="00200D90" w:rsidP="0007288F">
      <w:pPr>
        <w:pStyle w:val="BodyText3"/>
        <w:numPr>
          <w:ilvl w:val="1"/>
          <w:numId w:val="33"/>
        </w:numPr>
        <w:spacing w:line="360" w:lineRule="auto"/>
        <w:rPr>
          <w:sz w:val="22"/>
          <w:szCs w:val="22"/>
        </w:rPr>
      </w:pPr>
      <w:proofErr w:type="spellStart"/>
      <w:r w:rsidRPr="006A3933">
        <w:rPr>
          <w:i/>
          <w:sz w:val="22"/>
          <w:szCs w:val="22"/>
        </w:rPr>
        <w:t>Agrokor</w:t>
      </w:r>
      <w:proofErr w:type="spellEnd"/>
      <w:r w:rsidRPr="0007288F">
        <w:rPr>
          <w:sz w:val="22"/>
          <w:szCs w:val="22"/>
        </w:rPr>
        <w:t xml:space="preserve"> – Application to Croatian Proceeding</w:t>
      </w:r>
    </w:p>
    <w:p w:rsidR="00200D90" w:rsidRPr="0007288F" w:rsidRDefault="004B0B4E" w:rsidP="0007288F">
      <w:pPr>
        <w:pStyle w:val="BodyText3"/>
        <w:spacing w:line="360" w:lineRule="auto"/>
        <w:rPr>
          <w:sz w:val="22"/>
          <w:szCs w:val="22"/>
        </w:rPr>
      </w:pPr>
      <w:r w:rsidRPr="0007288F">
        <w:rPr>
          <w:sz w:val="22"/>
          <w:szCs w:val="22"/>
        </w:rPr>
        <w:t>Notwithstanding these</w:t>
      </w:r>
      <w:r w:rsidR="00200D90" w:rsidRPr="0007288F">
        <w:rPr>
          <w:sz w:val="22"/>
          <w:szCs w:val="22"/>
        </w:rPr>
        <w:t xml:space="preserve"> broad</w:t>
      </w:r>
      <w:r w:rsidRPr="0007288F">
        <w:rPr>
          <w:sz w:val="22"/>
          <w:szCs w:val="22"/>
        </w:rPr>
        <w:t xml:space="preserve"> pronouncements, </w:t>
      </w:r>
      <w:r w:rsidR="00200D90" w:rsidRPr="0007288F">
        <w:rPr>
          <w:sz w:val="22"/>
          <w:szCs w:val="22"/>
        </w:rPr>
        <w:t>the English court seemed to struggle with the issue</w:t>
      </w:r>
      <w:r w:rsidR="00796620" w:rsidRPr="0007288F">
        <w:rPr>
          <w:sz w:val="22"/>
          <w:szCs w:val="22"/>
        </w:rPr>
        <w:t xml:space="preserve"> of whether to grant recognition</w:t>
      </w:r>
      <w:r w:rsidR="00200D90" w:rsidRPr="0007288F">
        <w:rPr>
          <w:sz w:val="22"/>
          <w:szCs w:val="22"/>
        </w:rPr>
        <w:t xml:space="preserve">, but ultimately </w:t>
      </w:r>
      <w:r w:rsidR="00796620" w:rsidRPr="0007288F">
        <w:rPr>
          <w:sz w:val="22"/>
          <w:szCs w:val="22"/>
        </w:rPr>
        <w:t>did so</w:t>
      </w:r>
      <w:r w:rsidR="00200D90" w:rsidRPr="0007288F">
        <w:rPr>
          <w:sz w:val="22"/>
          <w:szCs w:val="22"/>
        </w:rPr>
        <w:t xml:space="preserve">.  </w:t>
      </w:r>
    </w:p>
    <w:p w:rsidR="004B0B4E" w:rsidRPr="0007288F" w:rsidRDefault="004B0B4E" w:rsidP="0007288F">
      <w:pPr>
        <w:pStyle w:val="BodyText3"/>
        <w:spacing w:line="360" w:lineRule="auto"/>
        <w:rPr>
          <w:sz w:val="22"/>
          <w:szCs w:val="22"/>
        </w:rPr>
      </w:pPr>
      <w:r w:rsidRPr="0007288F">
        <w:rPr>
          <w:sz w:val="22"/>
          <w:szCs w:val="22"/>
        </w:rPr>
        <w:t xml:space="preserve">The </w:t>
      </w:r>
      <w:r w:rsidR="00200D90" w:rsidRPr="0007288F">
        <w:rPr>
          <w:sz w:val="22"/>
          <w:szCs w:val="22"/>
        </w:rPr>
        <w:t xml:space="preserve">objecting </w:t>
      </w:r>
      <w:r w:rsidRPr="0007288F">
        <w:rPr>
          <w:sz w:val="22"/>
          <w:szCs w:val="22"/>
        </w:rPr>
        <w:t>bank pointed to two ways in which the Croatian proceeding alleged</w:t>
      </w:r>
      <w:r w:rsidR="00200D90" w:rsidRPr="0007288F">
        <w:rPr>
          <w:sz w:val="22"/>
          <w:szCs w:val="22"/>
        </w:rPr>
        <w:t>ly violated Eng</w:t>
      </w:r>
      <w:r w:rsidRPr="0007288F">
        <w:rPr>
          <w:sz w:val="22"/>
          <w:szCs w:val="22"/>
        </w:rPr>
        <w:t xml:space="preserve">lish public policy:  (i) the English law requirement that creditors receive </w:t>
      </w:r>
      <w:proofErr w:type="spellStart"/>
      <w:r w:rsidRPr="0007288F">
        <w:rPr>
          <w:sz w:val="22"/>
          <w:szCs w:val="22"/>
        </w:rPr>
        <w:t>pari</w:t>
      </w:r>
      <w:proofErr w:type="spellEnd"/>
      <w:r w:rsidRPr="0007288F">
        <w:rPr>
          <w:sz w:val="22"/>
          <w:szCs w:val="22"/>
        </w:rPr>
        <w:t xml:space="preserve"> </w:t>
      </w:r>
      <w:proofErr w:type="spellStart"/>
      <w:r w:rsidRPr="0007288F">
        <w:rPr>
          <w:sz w:val="22"/>
          <w:szCs w:val="22"/>
        </w:rPr>
        <w:t>passu</w:t>
      </w:r>
      <w:proofErr w:type="spellEnd"/>
      <w:r w:rsidRPr="0007288F">
        <w:rPr>
          <w:sz w:val="22"/>
          <w:szCs w:val="22"/>
        </w:rPr>
        <w:t xml:space="preserve"> treatment in insolvency proceedings and (ii) the English law requirement that creditors should receive a right to object to their treatment in insolvency proceedings.</w:t>
      </w:r>
      <w:r w:rsidR="00796620" w:rsidRPr="0007288F">
        <w:rPr>
          <w:rStyle w:val="FootnoteReference"/>
          <w:sz w:val="22"/>
          <w:szCs w:val="22"/>
        </w:rPr>
        <w:footnoteReference w:id="62"/>
      </w:r>
      <w:r w:rsidRPr="0007288F">
        <w:rPr>
          <w:sz w:val="22"/>
          <w:szCs w:val="22"/>
        </w:rPr>
        <w:t xml:space="preserve">  </w:t>
      </w:r>
    </w:p>
    <w:p w:rsidR="00200D90" w:rsidRPr="0007288F" w:rsidRDefault="00796620" w:rsidP="0007288F">
      <w:pPr>
        <w:pStyle w:val="BodyText3"/>
        <w:spacing w:line="360" w:lineRule="auto"/>
        <w:rPr>
          <w:sz w:val="22"/>
          <w:szCs w:val="22"/>
        </w:rPr>
      </w:pPr>
      <w:r w:rsidRPr="0007288F">
        <w:rPr>
          <w:sz w:val="22"/>
          <w:szCs w:val="22"/>
        </w:rPr>
        <w:t>The court noted that there were</w:t>
      </w:r>
      <w:r w:rsidR="004B0B4E" w:rsidRPr="0007288F">
        <w:rPr>
          <w:sz w:val="22"/>
          <w:szCs w:val="22"/>
        </w:rPr>
        <w:t xml:space="preserve"> conflicting English cases on the issue of the importance of the </w:t>
      </w:r>
      <w:proofErr w:type="spellStart"/>
      <w:r w:rsidR="004B0B4E" w:rsidRPr="0007288F">
        <w:rPr>
          <w:sz w:val="22"/>
          <w:szCs w:val="22"/>
        </w:rPr>
        <w:t>pari</w:t>
      </w:r>
      <w:proofErr w:type="spellEnd"/>
      <w:r w:rsidR="004B0B4E" w:rsidRPr="0007288F">
        <w:rPr>
          <w:sz w:val="22"/>
          <w:szCs w:val="22"/>
        </w:rPr>
        <w:t xml:space="preserve"> </w:t>
      </w:r>
      <w:proofErr w:type="spellStart"/>
      <w:r w:rsidR="004B0B4E" w:rsidRPr="0007288F">
        <w:rPr>
          <w:sz w:val="22"/>
          <w:szCs w:val="22"/>
        </w:rPr>
        <w:t>passu</w:t>
      </w:r>
      <w:proofErr w:type="spellEnd"/>
      <w:r w:rsidR="004B0B4E" w:rsidRPr="0007288F">
        <w:rPr>
          <w:sz w:val="22"/>
          <w:szCs w:val="22"/>
        </w:rPr>
        <w:t xml:space="preserve"> principle in English law.  </w:t>
      </w:r>
      <w:proofErr w:type="gramStart"/>
      <w:r w:rsidR="004B0B4E" w:rsidRPr="0007288F">
        <w:rPr>
          <w:sz w:val="22"/>
          <w:szCs w:val="22"/>
        </w:rPr>
        <w:t xml:space="preserve">On the one hand was the case of </w:t>
      </w:r>
      <w:r w:rsidR="00200D90" w:rsidRPr="0007288F">
        <w:rPr>
          <w:sz w:val="22"/>
          <w:szCs w:val="22"/>
        </w:rPr>
        <w:t xml:space="preserve"> </w:t>
      </w:r>
      <w:r w:rsidR="00200D90" w:rsidRPr="0007288F">
        <w:rPr>
          <w:i/>
          <w:sz w:val="22"/>
          <w:szCs w:val="22"/>
        </w:rPr>
        <w:t>Bank of Credit and Commerce International (SA) (In Liquidation) (No. 10),</w:t>
      </w:r>
      <w:r w:rsidR="00200D90" w:rsidRPr="0007288F">
        <w:rPr>
          <w:sz w:val="22"/>
          <w:szCs w:val="22"/>
        </w:rPr>
        <w:t xml:space="preserve"> Re [1997] Ch. 213; [1997] 2 W.L.R. 172 [1996] B.C.C. 980, </w:t>
      </w:r>
      <w:r w:rsidR="0090255A">
        <w:rPr>
          <w:sz w:val="22"/>
          <w:szCs w:val="22"/>
        </w:rPr>
        <w:t xml:space="preserve">in which </w:t>
      </w:r>
      <w:r w:rsidR="00200D90" w:rsidRPr="0007288F">
        <w:rPr>
          <w:sz w:val="22"/>
          <w:szCs w:val="22"/>
        </w:rPr>
        <w:t xml:space="preserve">the English court refused to transfer funds from England to Luxembourg to the extent that the creditors’ setoff rights against the funds would not be recognized in </w:t>
      </w:r>
      <w:r w:rsidR="0090255A">
        <w:rPr>
          <w:sz w:val="22"/>
          <w:szCs w:val="22"/>
        </w:rPr>
        <w:t xml:space="preserve">the </w:t>
      </w:r>
      <w:r w:rsidR="00200D90" w:rsidRPr="0007288F">
        <w:rPr>
          <w:sz w:val="22"/>
          <w:szCs w:val="22"/>
        </w:rPr>
        <w:t>Luxembourg</w:t>
      </w:r>
      <w:r w:rsidR="0090255A">
        <w:rPr>
          <w:sz w:val="22"/>
          <w:szCs w:val="22"/>
        </w:rPr>
        <w:t xml:space="preserve"> insolvency proceeding</w:t>
      </w:r>
      <w:r w:rsidR="00200D90" w:rsidRPr="0007288F">
        <w:rPr>
          <w:sz w:val="22"/>
          <w:szCs w:val="22"/>
        </w:rPr>
        <w:t>.</w:t>
      </w:r>
      <w:r w:rsidRPr="0007288F">
        <w:rPr>
          <w:rStyle w:val="FootnoteReference"/>
          <w:sz w:val="22"/>
          <w:szCs w:val="22"/>
        </w:rPr>
        <w:footnoteReference w:id="63"/>
      </w:r>
      <w:proofErr w:type="gramEnd"/>
      <w:r w:rsidR="00200D90" w:rsidRPr="0007288F">
        <w:rPr>
          <w:sz w:val="22"/>
          <w:szCs w:val="22"/>
        </w:rPr>
        <w:t xml:space="preserve">  </w:t>
      </w:r>
    </w:p>
    <w:p w:rsidR="00923162" w:rsidRPr="0007288F" w:rsidRDefault="00200D90" w:rsidP="0007288F">
      <w:pPr>
        <w:pStyle w:val="BodyText3"/>
        <w:spacing w:line="360" w:lineRule="auto"/>
        <w:rPr>
          <w:sz w:val="22"/>
          <w:szCs w:val="22"/>
        </w:rPr>
      </w:pPr>
      <w:r w:rsidRPr="0007288F">
        <w:rPr>
          <w:sz w:val="22"/>
          <w:szCs w:val="22"/>
        </w:rPr>
        <w:t xml:space="preserve">On the other hand was </w:t>
      </w:r>
      <w:r w:rsidR="004B0B4E" w:rsidRPr="0007288F">
        <w:rPr>
          <w:i/>
          <w:sz w:val="22"/>
          <w:szCs w:val="22"/>
        </w:rPr>
        <w:t>Bank of Credit and Commerce International SA (In Liquidation) (No.3),</w:t>
      </w:r>
      <w:r w:rsidR="004B0B4E" w:rsidRPr="0007288F">
        <w:rPr>
          <w:sz w:val="22"/>
          <w:szCs w:val="22"/>
        </w:rPr>
        <w:t xml:space="preserve"> Re [1992] B.C.C. 715; [1993] B.C.L.C. 1490 (CA), which was decided prior to the enactment of the CIBR.  The court there said that departure from the </w:t>
      </w:r>
      <w:proofErr w:type="spellStart"/>
      <w:r w:rsidR="004B0B4E" w:rsidRPr="0007288F">
        <w:rPr>
          <w:sz w:val="22"/>
          <w:szCs w:val="22"/>
        </w:rPr>
        <w:t>pari</w:t>
      </w:r>
      <w:proofErr w:type="spellEnd"/>
      <w:r w:rsidR="004B0B4E" w:rsidRPr="0007288F">
        <w:rPr>
          <w:sz w:val="22"/>
          <w:szCs w:val="22"/>
        </w:rPr>
        <w:t xml:space="preserve"> </w:t>
      </w:r>
      <w:proofErr w:type="spellStart"/>
      <w:r w:rsidR="004B0B4E" w:rsidRPr="0007288F">
        <w:rPr>
          <w:sz w:val="22"/>
          <w:szCs w:val="22"/>
        </w:rPr>
        <w:t>passu</w:t>
      </w:r>
      <w:proofErr w:type="spellEnd"/>
      <w:r w:rsidR="004B0B4E" w:rsidRPr="0007288F">
        <w:rPr>
          <w:sz w:val="22"/>
          <w:szCs w:val="22"/>
        </w:rPr>
        <w:t xml:space="preserve"> principle of distribution is acceptable where doing so is ancillary to the liquidator’</w:t>
      </w:r>
      <w:r w:rsidRPr="0007288F">
        <w:rPr>
          <w:sz w:val="22"/>
          <w:szCs w:val="22"/>
        </w:rPr>
        <w:t>s</w:t>
      </w:r>
      <w:r w:rsidR="004B0B4E" w:rsidRPr="0007288F">
        <w:rPr>
          <w:sz w:val="22"/>
          <w:szCs w:val="22"/>
        </w:rPr>
        <w:t xml:space="preserve"> compromise powers under the relevant insolvency statute.</w:t>
      </w:r>
      <w:r w:rsidR="00796620" w:rsidRPr="0007288F">
        <w:rPr>
          <w:rStyle w:val="FootnoteReference"/>
          <w:sz w:val="22"/>
          <w:szCs w:val="22"/>
        </w:rPr>
        <w:footnoteReference w:id="64"/>
      </w:r>
      <w:r w:rsidR="004B0B4E" w:rsidRPr="0007288F">
        <w:rPr>
          <w:sz w:val="22"/>
          <w:szCs w:val="22"/>
        </w:rPr>
        <w:t xml:space="preserve">  </w:t>
      </w:r>
    </w:p>
    <w:p w:rsidR="00E0114C" w:rsidRPr="0007288F" w:rsidRDefault="00200D90" w:rsidP="0007288F">
      <w:pPr>
        <w:pStyle w:val="BodyText3"/>
        <w:spacing w:line="360" w:lineRule="auto"/>
        <w:rPr>
          <w:sz w:val="22"/>
          <w:szCs w:val="22"/>
        </w:rPr>
      </w:pPr>
      <w:r w:rsidRPr="0007288F">
        <w:rPr>
          <w:sz w:val="22"/>
          <w:szCs w:val="22"/>
        </w:rPr>
        <w:t>S</w:t>
      </w:r>
      <w:r w:rsidR="00796620" w:rsidRPr="0007288F">
        <w:rPr>
          <w:sz w:val="22"/>
          <w:szCs w:val="22"/>
        </w:rPr>
        <w:t>imilar to the latter case</w:t>
      </w:r>
      <w:r w:rsidR="00E0114C" w:rsidRPr="0007288F">
        <w:rPr>
          <w:sz w:val="22"/>
          <w:szCs w:val="22"/>
        </w:rPr>
        <w:t xml:space="preserve">, in the </w:t>
      </w:r>
      <w:r w:rsidR="00E0114C" w:rsidRPr="0007288F">
        <w:rPr>
          <w:i/>
          <w:sz w:val="22"/>
          <w:szCs w:val="22"/>
        </w:rPr>
        <w:t>HIH</w:t>
      </w:r>
      <w:r w:rsidR="00E0114C" w:rsidRPr="0007288F">
        <w:rPr>
          <w:sz w:val="22"/>
          <w:szCs w:val="22"/>
        </w:rPr>
        <w:t xml:space="preserve"> case referenced above, the House of Lords seemed torn </w:t>
      </w:r>
      <w:r w:rsidRPr="0007288F">
        <w:rPr>
          <w:sz w:val="22"/>
          <w:szCs w:val="22"/>
        </w:rPr>
        <w:t xml:space="preserve">as to </w:t>
      </w:r>
      <w:r w:rsidR="00E0114C" w:rsidRPr="0007288F">
        <w:rPr>
          <w:sz w:val="22"/>
          <w:szCs w:val="22"/>
        </w:rPr>
        <w:t xml:space="preserve">whether to transfer assets in England to an </w:t>
      </w:r>
      <w:r w:rsidR="007A5E03">
        <w:rPr>
          <w:sz w:val="22"/>
          <w:szCs w:val="22"/>
        </w:rPr>
        <w:t xml:space="preserve">Australian </w:t>
      </w:r>
      <w:r w:rsidR="00E0114C" w:rsidRPr="0007288F">
        <w:rPr>
          <w:sz w:val="22"/>
          <w:szCs w:val="22"/>
        </w:rPr>
        <w:t xml:space="preserve">insolvency proceeding for distribution even though the </w:t>
      </w:r>
      <w:r w:rsidR="009A5870" w:rsidRPr="0007288F">
        <w:rPr>
          <w:sz w:val="22"/>
          <w:szCs w:val="22"/>
        </w:rPr>
        <w:t xml:space="preserve">Australian </w:t>
      </w:r>
      <w:r w:rsidR="00E0114C" w:rsidRPr="0007288F">
        <w:rPr>
          <w:sz w:val="22"/>
          <w:szCs w:val="22"/>
        </w:rPr>
        <w:t xml:space="preserve">courts would give preference to certain insurance creditors in violation of the </w:t>
      </w:r>
      <w:proofErr w:type="spellStart"/>
      <w:r w:rsidR="00E0114C" w:rsidRPr="0007288F">
        <w:rPr>
          <w:sz w:val="22"/>
          <w:szCs w:val="22"/>
        </w:rPr>
        <w:t>pari</w:t>
      </w:r>
      <w:proofErr w:type="spellEnd"/>
      <w:r w:rsidR="00E0114C" w:rsidRPr="0007288F">
        <w:rPr>
          <w:sz w:val="22"/>
          <w:szCs w:val="22"/>
        </w:rPr>
        <w:t xml:space="preserve"> </w:t>
      </w:r>
      <w:proofErr w:type="spellStart"/>
      <w:r w:rsidR="00E0114C" w:rsidRPr="0007288F">
        <w:rPr>
          <w:sz w:val="22"/>
          <w:szCs w:val="22"/>
        </w:rPr>
        <w:t>passu</w:t>
      </w:r>
      <w:proofErr w:type="spellEnd"/>
      <w:r w:rsidR="00E0114C" w:rsidRPr="0007288F">
        <w:rPr>
          <w:sz w:val="22"/>
          <w:szCs w:val="22"/>
        </w:rPr>
        <w:t xml:space="preserve"> principle.</w:t>
      </w:r>
      <w:r w:rsidR="00796620" w:rsidRPr="0007288F">
        <w:rPr>
          <w:rStyle w:val="FootnoteReference"/>
          <w:sz w:val="22"/>
          <w:szCs w:val="22"/>
        </w:rPr>
        <w:footnoteReference w:id="65"/>
      </w:r>
      <w:r w:rsidR="00E0114C" w:rsidRPr="0007288F">
        <w:rPr>
          <w:sz w:val="22"/>
          <w:szCs w:val="22"/>
        </w:rPr>
        <w:t xml:space="preserve">  Ultimately, the court allowed the funds to </w:t>
      </w:r>
      <w:proofErr w:type="gramStart"/>
      <w:r w:rsidR="00E0114C" w:rsidRPr="0007288F">
        <w:rPr>
          <w:sz w:val="22"/>
          <w:szCs w:val="22"/>
        </w:rPr>
        <w:t>be transmitted</w:t>
      </w:r>
      <w:proofErr w:type="gramEnd"/>
      <w:r w:rsidR="00E0114C" w:rsidRPr="0007288F">
        <w:rPr>
          <w:sz w:val="22"/>
          <w:szCs w:val="22"/>
        </w:rPr>
        <w:t xml:space="preserve"> in light of a particular statute that </w:t>
      </w:r>
      <w:r w:rsidR="00E0114C" w:rsidRPr="0007288F">
        <w:rPr>
          <w:sz w:val="22"/>
          <w:szCs w:val="22"/>
        </w:rPr>
        <w:lastRenderedPageBreak/>
        <w:t xml:space="preserve">gave the court discretion to do so (but was inapplicable in the </w:t>
      </w:r>
      <w:proofErr w:type="spellStart"/>
      <w:r w:rsidR="00E0114C" w:rsidRPr="007A5E03">
        <w:rPr>
          <w:i/>
          <w:sz w:val="22"/>
          <w:szCs w:val="22"/>
        </w:rPr>
        <w:t>Agrokor</w:t>
      </w:r>
      <w:proofErr w:type="spellEnd"/>
      <w:r w:rsidR="00E0114C" w:rsidRPr="0007288F">
        <w:rPr>
          <w:sz w:val="22"/>
          <w:szCs w:val="22"/>
        </w:rPr>
        <w:t xml:space="preserve"> situation).</w:t>
      </w:r>
      <w:r w:rsidR="00796620" w:rsidRPr="0007288F">
        <w:rPr>
          <w:rStyle w:val="FootnoteReference"/>
          <w:sz w:val="22"/>
          <w:szCs w:val="22"/>
        </w:rPr>
        <w:footnoteReference w:id="66"/>
      </w:r>
      <w:r w:rsidR="00E0114C" w:rsidRPr="0007288F">
        <w:rPr>
          <w:sz w:val="22"/>
          <w:szCs w:val="22"/>
        </w:rPr>
        <w:t xml:space="preserve">  </w:t>
      </w:r>
      <w:proofErr w:type="gramStart"/>
      <w:r w:rsidR="00E0114C" w:rsidRPr="0007288F">
        <w:rPr>
          <w:sz w:val="22"/>
          <w:szCs w:val="22"/>
        </w:rPr>
        <w:t>It is interesting, however, that even there</w:t>
      </w:r>
      <w:r w:rsidR="009A5870" w:rsidRPr="0007288F">
        <w:rPr>
          <w:sz w:val="22"/>
          <w:szCs w:val="22"/>
        </w:rPr>
        <w:t xml:space="preserve">, two judges </w:t>
      </w:r>
      <w:r w:rsidR="00243B65">
        <w:rPr>
          <w:sz w:val="22"/>
          <w:szCs w:val="22"/>
        </w:rPr>
        <w:t>appeared</w:t>
      </w:r>
      <w:r w:rsidR="009A5870" w:rsidRPr="0007288F">
        <w:rPr>
          <w:sz w:val="22"/>
          <w:szCs w:val="22"/>
        </w:rPr>
        <w:t xml:space="preserve"> to disagree with the importance of the principle, as</w:t>
      </w:r>
      <w:r w:rsidR="00E0114C" w:rsidRPr="0007288F">
        <w:rPr>
          <w:sz w:val="22"/>
          <w:szCs w:val="22"/>
        </w:rPr>
        <w:t xml:space="preserve"> one judge </w:t>
      </w:r>
      <w:r w:rsidR="007A5E03">
        <w:rPr>
          <w:sz w:val="22"/>
          <w:szCs w:val="22"/>
        </w:rPr>
        <w:t>expressed that</w:t>
      </w:r>
      <w:r w:rsidR="00E0114C" w:rsidRPr="0007288F">
        <w:rPr>
          <w:sz w:val="22"/>
          <w:szCs w:val="22"/>
        </w:rPr>
        <w:t xml:space="preserve"> “de </w:t>
      </w:r>
      <w:proofErr w:type="spellStart"/>
      <w:r w:rsidR="00E0114C" w:rsidRPr="0007288F">
        <w:rPr>
          <w:sz w:val="22"/>
          <w:szCs w:val="22"/>
        </w:rPr>
        <w:t>minimis</w:t>
      </w:r>
      <w:proofErr w:type="spellEnd"/>
      <w:r w:rsidR="00E0114C" w:rsidRPr="0007288F">
        <w:rPr>
          <w:sz w:val="22"/>
          <w:szCs w:val="22"/>
        </w:rPr>
        <w:t xml:space="preserve"> variations” from the </w:t>
      </w:r>
      <w:proofErr w:type="spellStart"/>
      <w:r w:rsidR="00E0114C" w:rsidRPr="0007288F">
        <w:rPr>
          <w:sz w:val="22"/>
          <w:szCs w:val="22"/>
        </w:rPr>
        <w:t>pari</w:t>
      </w:r>
      <w:proofErr w:type="spellEnd"/>
      <w:r w:rsidR="00E0114C" w:rsidRPr="0007288F">
        <w:rPr>
          <w:sz w:val="22"/>
          <w:szCs w:val="22"/>
        </w:rPr>
        <w:t xml:space="preserve"> </w:t>
      </w:r>
      <w:proofErr w:type="spellStart"/>
      <w:r w:rsidR="00E0114C" w:rsidRPr="0007288F">
        <w:rPr>
          <w:sz w:val="22"/>
          <w:szCs w:val="22"/>
        </w:rPr>
        <w:t>passu</w:t>
      </w:r>
      <w:proofErr w:type="spellEnd"/>
      <w:r w:rsidR="00E0114C" w:rsidRPr="0007288F">
        <w:rPr>
          <w:sz w:val="22"/>
          <w:szCs w:val="22"/>
        </w:rPr>
        <w:t xml:space="preserve"> principle should not prevent deference to a foreign insolvency proceeding, while another judge “in respectful disagreement” believed that English courts generally had no jurisdiction to deprive English creditors of </w:t>
      </w:r>
      <w:proofErr w:type="spellStart"/>
      <w:r w:rsidR="00E0114C" w:rsidRPr="0007288F">
        <w:rPr>
          <w:sz w:val="22"/>
          <w:szCs w:val="22"/>
        </w:rPr>
        <w:t>pari</w:t>
      </w:r>
      <w:proofErr w:type="spellEnd"/>
      <w:r w:rsidR="00E0114C" w:rsidRPr="0007288F">
        <w:rPr>
          <w:sz w:val="22"/>
          <w:szCs w:val="22"/>
        </w:rPr>
        <w:t xml:space="preserve"> </w:t>
      </w:r>
      <w:proofErr w:type="spellStart"/>
      <w:r w:rsidR="00E0114C" w:rsidRPr="0007288F">
        <w:rPr>
          <w:sz w:val="22"/>
          <w:szCs w:val="22"/>
        </w:rPr>
        <w:t>passu</w:t>
      </w:r>
      <w:proofErr w:type="spellEnd"/>
      <w:r w:rsidR="00E0114C" w:rsidRPr="0007288F">
        <w:rPr>
          <w:sz w:val="22"/>
          <w:szCs w:val="22"/>
        </w:rPr>
        <w:t xml:space="preserve"> rights.</w:t>
      </w:r>
      <w:r w:rsidR="00796620" w:rsidRPr="0007288F">
        <w:rPr>
          <w:rStyle w:val="FootnoteReference"/>
          <w:sz w:val="22"/>
          <w:szCs w:val="22"/>
        </w:rPr>
        <w:footnoteReference w:id="67"/>
      </w:r>
      <w:proofErr w:type="gramEnd"/>
      <w:r w:rsidR="00E0114C" w:rsidRPr="0007288F">
        <w:rPr>
          <w:sz w:val="22"/>
          <w:szCs w:val="22"/>
        </w:rPr>
        <w:t xml:space="preserve">  </w:t>
      </w:r>
    </w:p>
    <w:p w:rsidR="00BC49C9" w:rsidRPr="0007288F" w:rsidRDefault="00BC49C9" w:rsidP="0007288F">
      <w:pPr>
        <w:pStyle w:val="BodyText3"/>
        <w:spacing w:line="360" w:lineRule="auto"/>
        <w:rPr>
          <w:sz w:val="22"/>
          <w:szCs w:val="22"/>
        </w:rPr>
      </w:pPr>
      <w:r w:rsidRPr="0007288F">
        <w:rPr>
          <w:sz w:val="22"/>
          <w:szCs w:val="22"/>
        </w:rPr>
        <w:t xml:space="preserve">The English court in the </w:t>
      </w:r>
      <w:proofErr w:type="spellStart"/>
      <w:r w:rsidRPr="0007288F">
        <w:rPr>
          <w:i/>
          <w:sz w:val="22"/>
          <w:szCs w:val="22"/>
        </w:rPr>
        <w:t>Agrokor</w:t>
      </w:r>
      <w:proofErr w:type="spellEnd"/>
      <w:r w:rsidRPr="0007288F">
        <w:rPr>
          <w:sz w:val="22"/>
          <w:szCs w:val="22"/>
        </w:rPr>
        <w:t xml:space="preserve"> case ended up side-stepping the issue by noting that </w:t>
      </w:r>
      <w:r w:rsidR="007A5E03">
        <w:rPr>
          <w:sz w:val="22"/>
          <w:szCs w:val="22"/>
        </w:rPr>
        <w:t xml:space="preserve">it was only deciding whether to recognize </w:t>
      </w:r>
      <w:r w:rsidRPr="0007288F">
        <w:rPr>
          <w:sz w:val="22"/>
          <w:szCs w:val="22"/>
        </w:rPr>
        <w:t xml:space="preserve">the </w:t>
      </w:r>
      <w:r w:rsidR="0043272D" w:rsidRPr="0007288F">
        <w:rPr>
          <w:sz w:val="22"/>
          <w:szCs w:val="22"/>
        </w:rPr>
        <w:t xml:space="preserve">foreign </w:t>
      </w:r>
      <w:r w:rsidRPr="0007288F">
        <w:rPr>
          <w:sz w:val="22"/>
          <w:szCs w:val="22"/>
        </w:rPr>
        <w:t xml:space="preserve">proceeding, not </w:t>
      </w:r>
      <w:r w:rsidR="007A5E03">
        <w:rPr>
          <w:sz w:val="22"/>
          <w:szCs w:val="22"/>
        </w:rPr>
        <w:t xml:space="preserve">whether to grant recognition to </w:t>
      </w:r>
      <w:r w:rsidRPr="0007288F">
        <w:rPr>
          <w:sz w:val="22"/>
          <w:szCs w:val="22"/>
        </w:rPr>
        <w:t>the settlement agreement (or other distribution mechanism) where</w:t>
      </w:r>
      <w:r w:rsidR="007A5E03">
        <w:rPr>
          <w:sz w:val="22"/>
          <w:szCs w:val="22"/>
        </w:rPr>
        <w:t xml:space="preserve"> the treatment of creditors (</w:t>
      </w:r>
      <w:proofErr w:type="spellStart"/>
      <w:r w:rsidR="007A5E03">
        <w:rPr>
          <w:sz w:val="22"/>
          <w:szCs w:val="22"/>
        </w:rPr>
        <w:t>pari</w:t>
      </w:r>
      <w:proofErr w:type="spellEnd"/>
      <w:r w:rsidR="007A5E03">
        <w:rPr>
          <w:sz w:val="22"/>
          <w:szCs w:val="22"/>
        </w:rPr>
        <w:t xml:space="preserve"> </w:t>
      </w:r>
      <w:proofErr w:type="spellStart"/>
      <w:r w:rsidR="007A5E03">
        <w:rPr>
          <w:sz w:val="22"/>
          <w:szCs w:val="22"/>
        </w:rPr>
        <w:t>passu</w:t>
      </w:r>
      <w:proofErr w:type="spellEnd"/>
      <w:r w:rsidR="007A5E03">
        <w:rPr>
          <w:sz w:val="22"/>
          <w:szCs w:val="22"/>
        </w:rPr>
        <w:t xml:space="preserve"> or otherwise)</w:t>
      </w:r>
      <w:r w:rsidRPr="0007288F">
        <w:rPr>
          <w:sz w:val="22"/>
          <w:szCs w:val="22"/>
        </w:rPr>
        <w:t xml:space="preserve"> would</w:t>
      </w:r>
      <w:r w:rsidR="009A5870" w:rsidRPr="0007288F">
        <w:rPr>
          <w:sz w:val="22"/>
          <w:szCs w:val="22"/>
        </w:rPr>
        <w:t xml:space="preserve"> actually</w:t>
      </w:r>
      <w:r w:rsidRPr="0007288F">
        <w:rPr>
          <w:sz w:val="22"/>
          <w:szCs w:val="22"/>
        </w:rPr>
        <w:t xml:space="preserve"> be determined</w:t>
      </w:r>
      <w:r w:rsidR="00D56AE3" w:rsidRPr="0007288F">
        <w:rPr>
          <w:sz w:val="22"/>
          <w:szCs w:val="22"/>
        </w:rPr>
        <w:t>.</w:t>
      </w:r>
      <w:r w:rsidR="009A5870" w:rsidRPr="0007288F">
        <w:rPr>
          <w:rStyle w:val="FootnoteReference"/>
          <w:sz w:val="22"/>
          <w:szCs w:val="22"/>
        </w:rPr>
        <w:footnoteReference w:id="68"/>
      </w:r>
      <w:r w:rsidR="00D56AE3" w:rsidRPr="0007288F">
        <w:rPr>
          <w:sz w:val="22"/>
          <w:szCs w:val="22"/>
        </w:rPr>
        <w:t xml:space="preserve">  </w:t>
      </w:r>
      <w:r w:rsidR="003909B4" w:rsidRPr="0007288F">
        <w:rPr>
          <w:sz w:val="22"/>
          <w:szCs w:val="22"/>
        </w:rPr>
        <w:t xml:space="preserve">The court also </w:t>
      </w:r>
      <w:r w:rsidR="0043272D" w:rsidRPr="0007288F">
        <w:rPr>
          <w:sz w:val="22"/>
          <w:szCs w:val="22"/>
        </w:rPr>
        <w:t xml:space="preserve">seemed comforted by the fact </w:t>
      </w:r>
      <w:r w:rsidR="003909B4" w:rsidRPr="0007288F">
        <w:rPr>
          <w:sz w:val="22"/>
          <w:szCs w:val="22"/>
        </w:rPr>
        <w:t>that the liquidator express</w:t>
      </w:r>
      <w:r w:rsidR="007A5E03">
        <w:rPr>
          <w:sz w:val="22"/>
          <w:szCs w:val="22"/>
        </w:rPr>
        <w:t>ed</w:t>
      </w:r>
      <w:r w:rsidR="003909B4" w:rsidRPr="0007288F">
        <w:rPr>
          <w:sz w:val="22"/>
          <w:szCs w:val="22"/>
        </w:rPr>
        <w:t xml:space="preserve"> an intent to </w:t>
      </w:r>
      <w:r w:rsidR="007A5E03">
        <w:rPr>
          <w:sz w:val="22"/>
          <w:szCs w:val="22"/>
        </w:rPr>
        <w:t xml:space="preserve">apply </w:t>
      </w:r>
      <w:r w:rsidR="003909B4" w:rsidRPr="0007288F">
        <w:rPr>
          <w:sz w:val="22"/>
          <w:szCs w:val="22"/>
        </w:rPr>
        <w:t xml:space="preserve">the </w:t>
      </w:r>
      <w:proofErr w:type="spellStart"/>
      <w:r w:rsidR="003909B4" w:rsidRPr="0007288F">
        <w:rPr>
          <w:sz w:val="22"/>
          <w:szCs w:val="22"/>
        </w:rPr>
        <w:t>pari</w:t>
      </w:r>
      <w:proofErr w:type="spellEnd"/>
      <w:r w:rsidR="003909B4" w:rsidRPr="0007288F">
        <w:rPr>
          <w:sz w:val="22"/>
          <w:szCs w:val="22"/>
        </w:rPr>
        <w:t xml:space="preserve"> </w:t>
      </w:r>
      <w:proofErr w:type="spellStart"/>
      <w:r w:rsidR="003909B4" w:rsidRPr="0007288F">
        <w:rPr>
          <w:sz w:val="22"/>
          <w:szCs w:val="22"/>
        </w:rPr>
        <w:t>passu</w:t>
      </w:r>
      <w:proofErr w:type="spellEnd"/>
      <w:r w:rsidR="003909B4" w:rsidRPr="0007288F">
        <w:rPr>
          <w:sz w:val="22"/>
          <w:szCs w:val="22"/>
        </w:rPr>
        <w:t xml:space="preserve"> principle.</w:t>
      </w:r>
      <w:r w:rsidR="009A5870" w:rsidRPr="0007288F">
        <w:rPr>
          <w:rStyle w:val="FootnoteReference"/>
          <w:sz w:val="22"/>
          <w:szCs w:val="22"/>
        </w:rPr>
        <w:footnoteReference w:id="69"/>
      </w:r>
      <w:r w:rsidR="003909B4" w:rsidRPr="0007288F">
        <w:rPr>
          <w:sz w:val="22"/>
          <w:szCs w:val="22"/>
        </w:rPr>
        <w:t xml:space="preserve">  </w:t>
      </w:r>
      <w:r w:rsidR="00D56AE3" w:rsidRPr="0007288F">
        <w:rPr>
          <w:sz w:val="22"/>
          <w:szCs w:val="22"/>
        </w:rPr>
        <w:t xml:space="preserve">However, </w:t>
      </w:r>
      <w:r w:rsidR="003909B4" w:rsidRPr="0007288F">
        <w:rPr>
          <w:sz w:val="22"/>
          <w:szCs w:val="22"/>
        </w:rPr>
        <w:t xml:space="preserve">the Court </w:t>
      </w:r>
      <w:r w:rsidR="00D56AE3" w:rsidRPr="0007288F">
        <w:rPr>
          <w:sz w:val="22"/>
          <w:szCs w:val="22"/>
        </w:rPr>
        <w:t xml:space="preserve">did </w:t>
      </w:r>
      <w:r w:rsidR="007A5E03">
        <w:rPr>
          <w:sz w:val="22"/>
          <w:szCs w:val="22"/>
        </w:rPr>
        <w:t xml:space="preserve">note that giving </w:t>
      </w:r>
      <w:r w:rsidR="00D56AE3" w:rsidRPr="0007288F">
        <w:rPr>
          <w:sz w:val="22"/>
          <w:szCs w:val="22"/>
        </w:rPr>
        <w:t xml:space="preserve">priority to certain creditors is not necessarily a violation of public policy, given that the policy of </w:t>
      </w:r>
      <w:proofErr w:type="spellStart"/>
      <w:r w:rsidR="00D56AE3" w:rsidRPr="0007288F">
        <w:rPr>
          <w:sz w:val="22"/>
          <w:szCs w:val="22"/>
        </w:rPr>
        <w:t>pari</w:t>
      </w:r>
      <w:proofErr w:type="spellEnd"/>
      <w:r w:rsidR="00D56AE3" w:rsidRPr="0007288F">
        <w:rPr>
          <w:sz w:val="22"/>
          <w:szCs w:val="22"/>
        </w:rPr>
        <w:t xml:space="preserve"> </w:t>
      </w:r>
      <w:proofErr w:type="spellStart"/>
      <w:r w:rsidR="00D56AE3" w:rsidRPr="0007288F">
        <w:rPr>
          <w:sz w:val="22"/>
          <w:szCs w:val="22"/>
        </w:rPr>
        <w:t>passu</w:t>
      </w:r>
      <w:proofErr w:type="spellEnd"/>
      <w:r w:rsidR="00D56AE3" w:rsidRPr="0007288F">
        <w:rPr>
          <w:sz w:val="22"/>
          <w:szCs w:val="22"/>
        </w:rPr>
        <w:t xml:space="preserve"> principle </w:t>
      </w:r>
      <w:proofErr w:type="gramStart"/>
      <w:r w:rsidR="00D56AE3" w:rsidRPr="0007288F">
        <w:rPr>
          <w:sz w:val="22"/>
          <w:szCs w:val="22"/>
        </w:rPr>
        <w:t>can be overridden</w:t>
      </w:r>
      <w:proofErr w:type="gramEnd"/>
      <w:r w:rsidR="00D56AE3" w:rsidRPr="0007288F">
        <w:rPr>
          <w:sz w:val="22"/>
          <w:szCs w:val="22"/>
        </w:rPr>
        <w:t xml:space="preserve"> even in English cases, as discussed above.</w:t>
      </w:r>
      <w:r w:rsidR="009A5870" w:rsidRPr="0007288F">
        <w:rPr>
          <w:rStyle w:val="FootnoteReference"/>
          <w:sz w:val="22"/>
          <w:szCs w:val="22"/>
        </w:rPr>
        <w:footnoteReference w:id="70"/>
      </w:r>
      <w:r w:rsidR="00D56AE3" w:rsidRPr="0007288F">
        <w:rPr>
          <w:sz w:val="22"/>
          <w:szCs w:val="22"/>
        </w:rPr>
        <w:t xml:space="preserve">  </w:t>
      </w:r>
    </w:p>
    <w:p w:rsidR="00D56AE3" w:rsidRPr="0007288F" w:rsidRDefault="00D56AE3" w:rsidP="0007288F">
      <w:pPr>
        <w:pStyle w:val="BodyText3"/>
        <w:spacing w:line="360" w:lineRule="auto"/>
        <w:rPr>
          <w:sz w:val="22"/>
          <w:szCs w:val="22"/>
        </w:rPr>
      </w:pPr>
      <w:r w:rsidRPr="0007288F">
        <w:rPr>
          <w:sz w:val="22"/>
          <w:szCs w:val="22"/>
        </w:rPr>
        <w:t>On the creditor’s second contention, the court noted that although creditors did not have the right to object to the settlement, they did have the right to appeal</w:t>
      </w:r>
      <w:r w:rsidR="009A5870" w:rsidRPr="0007288F">
        <w:rPr>
          <w:sz w:val="22"/>
          <w:szCs w:val="22"/>
        </w:rPr>
        <w:t>, which was sufficient</w:t>
      </w:r>
      <w:r w:rsidRPr="0007288F">
        <w:rPr>
          <w:sz w:val="22"/>
          <w:szCs w:val="22"/>
        </w:rPr>
        <w:t>.</w:t>
      </w:r>
      <w:r w:rsidR="009A5870" w:rsidRPr="0007288F">
        <w:rPr>
          <w:rStyle w:val="FootnoteReference"/>
          <w:sz w:val="22"/>
          <w:szCs w:val="22"/>
        </w:rPr>
        <w:footnoteReference w:id="71"/>
      </w:r>
      <w:r w:rsidRPr="0007288F">
        <w:rPr>
          <w:sz w:val="22"/>
          <w:szCs w:val="22"/>
        </w:rPr>
        <w:t xml:space="preserve">  </w:t>
      </w:r>
    </w:p>
    <w:p w:rsidR="003909B4" w:rsidRPr="0007288F" w:rsidRDefault="003909B4" w:rsidP="0007288F">
      <w:pPr>
        <w:pStyle w:val="BodyText3"/>
        <w:spacing w:line="360" w:lineRule="auto"/>
        <w:rPr>
          <w:sz w:val="22"/>
          <w:szCs w:val="22"/>
        </w:rPr>
      </w:pPr>
      <w:r w:rsidRPr="0007288F">
        <w:rPr>
          <w:sz w:val="22"/>
          <w:szCs w:val="22"/>
        </w:rPr>
        <w:t>In general, the court made it clear that the fact that the main proceeding might be less favorable to certain creditors under English law is not necessarily a violation of public policy.</w:t>
      </w:r>
      <w:r w:rsidR="009A5870" w:rsidRPr="0007288F">
        <w:rPr>
          <w:rStyle w:val="FootnoteReference"/>
          <w:sz w:val="22"/>
          <w:szCs w:val="22"/>
        </w:rPr>
        <w:footnoteReference w:id="72"/>
      </w:r>
      <w:r w:rsidRPr="0007288F">
        <w:rPr>
          <w:sz w:val="22"/>
          <w:szCs w:val="22"/>
        </w:rPr>
        <w:t xml:space="preserve">  </w:t>
      </w:r>
    </w:p>
    <w:p w:rsidR="004B0B4E" w:rsidRPr="0007288F" w:rsidRDefault="00BC6CC0" w:rsidP="007D3B11">
      <w:pPr>
        <w:pStyle w:val="BodyText3"/>
        <w:keepNext/>
        <w:numPr>
          <w:ilvl w:val="1"/>
          <w:numId w:val="33"/>
        </w:numPr>
        <w:spacing w:line="360" w:lineRule="auto"/>
        <w:rPr>
          <w:sz w:val="22"/>
          <w:szCs w:val="22"/>
        </w:rPr>
      </w:pPr>
      <w:proofErr w:type="spellStart"/>
      <w:r w:rsidRPr="006A3933">
        <w:rPr>
          <w:i/>
          <w:sz w:val="22"/>
          <w:szCs w:val="22"/>
        </w:rPr>
        <w:t>Agrokor</w:t>
      </w:r>
      <w:proofErr w:type="spellEnd"/>
      <w:r w:rsidRPr="0007288F">
        <w:rPr>
          <w:sz w:val="22"/>
          <w:szCs w:val="22"/>
        </w:rPr>
        <w:t xml:space="preserve"> –Unanswered Questions</w:t>
      </w:r>
    </w:p>
    <w:p w:rsidR="00BC6CC0" w:rsidRPr="0007288F" w:rsidRDefault="00BC6CC0" w:rsidP="0007288F">
      <w:pPr>
        <w:pStyle w:val="BodyText3"/>
        <w:spacing w:line="360" w:lineRule="auto"/>
        <w:rPr>
          <w:sz w:val="22"/>
          <w:szCs w:val="22"/>
        </w:rPr>
      </w:pPr>
      <w:r w:rsidRPr="0007288F">
        <w:rPr>
          <w:sz w:val="22"/>
          <w:szCs w:val="22"/>
        </w:rPr>
        <w:t>It is unclear whether the English courts were given a chance to prove the New York bankruptcy court correct (or wrong) that</w:t>
      </w:r>
      <w:r w:rsidR="00180180" w:rsidRPr="0007288F">
        <w:rPr>
          <w:sz w:val="22"/>
          <w:szCs w:val="22"/>
        </w:rPr>
        <w:t xml:space="preserve"> based</w:t>
      </w:r>
      <w:r w:rsidRPr="0007288F">
        <w:rPr>
          <w:sz w:val="22"/>
          <w:szCs w:val="22"/>
        </w:rPr>
        <w:t xml:space="preserve"> the </w:t>
      </w:r>
      <w:r w:rsidRPr="0007288F">
        <w:rPr>
          <w:i/>
          <w:sz w:val="22"/>
          <w:szCs w:val="22"/>
        </w:rPr>
        <w:t>Gibbs</w:t>
      </w:r>
      <w:r w:rsidRPr="0007288F">
        <w:rPr>
          <w:sz w:val="22"/>
          <w:szCs w:val="22"/>
        </w:rPr>
        <w:t xml:space="preserve"> rule, the English courts would deny recognition of the Croatian restructuring/settlement plan to the extent it purported to cover English</w:t>
      </w:r>
      <w:r w:rsidR="00871A35" w:rsidRPr="0007288F">
        <w:rPr>
          <w:sz w:val="22"/>
          <w:szCs w:val="22"/>
        </w:rPr>
        <w:t>-law governed</w:t>
      </w:r>
      <w:r w:rsidRPr="0007288F">
        <w:rPr>
          <w:sz w:val="22"/>
          <w:szCs w:val="22"/>
        </w:rPr>
        <w:t xml:space="preserve"> debt.  Instead, it </w:t>
      </w:r>
      <w:r w:rsidR="007A5E03">
        <w:rPr>
          <w:sz w:val="22"/>
          <w:szCs w:val="22"/>
        </w:rPr>
        <w:lastRenderedPageBreak/>
        <w:t xml:space="preserve">appears </w:t>
      </w:r>
      <w:r w:rsidRPr="0007288F">
        <w:rPr>
          <w:sz w:val="22"/>
          <w:szCs w:val="22"/>
        </w:rPr>
        <w:t xml:space="preserve">that the parties involved decided it would be safer to </w:t>
      </w:r>
      <w:r w:rsidR="00871A35" w:rsidRPr="0007288F">
        <w:rPr>
          <w:sz w:val="22"/>
          <w:szCs w:val="22"/>
        </w:rPr>
        <w:t xml:space="preserve">have the English-law governed debt restructured in an English scheme of arrangement, which </w:t>
      </w:r>
      <w:proofErr w:type="gramStart"/>
      <w:r w:rsidR="00871A35" w:rsidRPr="0007288F">
        <w:rPr>
          <w:sz w:val="22"/>
          <w:szCs w:val="22"/>
        </w:rPr>
        <w:t>was approved</w:t>
      </w:r>
      <w:proofErr w:type="gramEnd"/>
      <w:r w:rsidR="00871A35" w:rsidRPr="0007288F">
        <w:rPr>
          <w:sz w:val="22"/>
          <w:szCs w:val="22"/>
        </w:rPr>
        <w:t xml:space="preserve"> in 2019.</w:t>
      </w:r>
      <w:r w:rsidR="00871A35" w:rsidRPr="0007288F">
        <w:rPr>
          <w:rStyle w:val="FootnoteReference"/>
          <w:sz w:val="22"/>
          <w:szCs w:val="22"/>
        </w:rPr>
        <w:footnoteReference w:id="73"/>
      </w:r>
    </w:p>
    <w:p w:rsidR="00871A35" w:rsidRPr="0007288F" w:rsidRDefault="00871A35" w:rsidP="0007288F">
      <w:pPr>
        <w:pStyle w:val="BodyText3"/>
        <w:numPr>
          <w:ilvl w:val="0"/>
          <w:numId w:val="33"/>
        </w:numPr>
        <w:spacing w:line="360" w:lineRule="auto"/>
        <w:rPr>
          <w:sz w:val="22"/>
          <w:szCs w:val="22"/>
        </w:rPr>
      </w:pPr>
      <w:r w:rsidRPr="0007288F">
        <w:rPr>
          <w:sz w:val="22"/>
          <w:szCs w:val="22"/>
        </w:rPr>
        <w:t>Conclusion</w:t>
      </w:r>
    </w:p>
    <w:p w:rsidR="00871A35" w:rsidRPr="0007288F" w:rsidRDefault="00871A35" w:rsidP="0007288F">
      <w:pPr>
        <w:pStyle w:val="BodyText3"/>
        <w:spacing w:line="360" w:lineRule="auto"/>
        <w:rPr>
          <w:sz w:val="22"/>
          <w:szCs w:val="22"/>
        </w:rPr>
      </w:pPr>
      <w:r w:rsidRPr="0007288F">
        <w:rPr>
          <w:sz w:val="22"/>
          <w:szCs w:val="22"/>
        </w:rPr>
        <w:t>Courts in both the United States and England appear to adhere to the request of the drafters of the Model Law to construe the public policy exception narrowly to ensure</w:t>
      </w:r>
      <w:r w:rsidR="0007288F" w:rsidRPr="0007288F">
        <w:rPr>
          <w:sz w:val="22"/>
          <w:szCs w:val="22"/>
        </w:rPr>
        <w:t xml:space="preserve"> that</w:t>
      </w:r>
      <w:r w:rsidRPr="0007288F">
        <w:rPr>
          <w:sz w:val="22"/>
          <w:szCs w:val="22"/>
        </w:rPr>
        <w:t xml:space="preserve"> its goal of universality </w:t>
      </w:r>
      <w:proofErr w:type="gramStart"/>
      <w:r w:rsidRPr="0007288F">
        <w:rPr>
          <w:sz w:val="22"/>
          <w:szCs w:val="22"/>
        </w:rPr>
        <w:t>is achieved</w:t>
      </w:r>
      <w:proofErr w:type="gramEnd"/>
      <w:r w:rsidRPr="0007288F">
        <w:rPr>
          <w:sz w:val="22"/>
          <w:szCs w:val="22"/>
        </w:rPr>
        <w:t xml:space="preserve">.  </w:t>
      </w:r>
      <w:r w:rsidR="00897A22" w:rsidRPr="0007288F">
        <w:rPr>
          <w:sz w:val="22"/>
          <w:szCs w:val="22"/>
        </w:rPr>
        <w:t>Nevertheless, it seems England may be slightly more likely to invoke the public policy exception</w:t>
      </w:r>
      <w:r w:rsidR="0007288F" w:rsidRPr="0007288F">
        <w:rPr>
          <w:sz w:val="22"/>
          <w:szCs w:val="22"/>
        </w:rPr>
        <w:t xml:space="preserve"> and deny</w:t>
      </w:r>
      <w:r w:rsidR="007A5E03">
        <w:rPr>
          <w:sz w:val="22"/>
          <w:szCs w:val="22"/>
        </w:rPr>
        <w:t xml:space="preserve"> recognition</w:t>
      </w:r>
      <w:r w:rsidR="00897A22" w:rsidRPr="0007288F">
        <w:rPr>
          <w:sz w:val="22"/>
          <w:szCs w:val="22"/>
        </w:rPr>
        <w:t xml:space="preserve">, especially when the foreign proceeding seeks to restructure English law governed debt.  </w:t>
      </w:r>
    </w:p>
    <w:sectPr w:rsidR="00871A35" w:rsidRPr="0007288F" w:rsidSect="0007288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870" w:rsidRDefault="009A5870">
      <w:r>
        <w:separator/>
      </w:r>
    </w:p>
  </w:endnote>
  <w:endnote w:type="continuationSeparator" w:id="0">
    <w:p w:rsidR="009A5870" w:rsidRDefault="009A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35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9A5870">
    <w:pPr>
      <w:pStyle w:val="Footer"/>
    </w:pPr>
    <w:r>
      <w:ptab w:relativeTo="margin" w:alignment="center" w:leader="none"/>
    </w:r>
    <w:r w:rsidRPr="00ED2ACF">
      <w:fldChar w:fldCharType="begin"/>
    </w:r>
    <w:r w:rsidRPr="00ED2ACF">
      <w:instrText xml:space="preserve">Page </w:instrText>
    </w:r>
    <w:r w:rsidRPr="00ED2ACF">
      <w:fldChar w:fldCharType="separate"/>
    </w:r>
    <w:r w:rsidR="00BA24C4">
      <w:rPr>
        <w:noProof/>
      </w:rPr>
      <w:t>2</w:t>
    </w:r>
    <w:r w:rsidRPr="00ED2ACF">
      <w:fldChar w:fldCharType="end"/>
    </w:r>
  </w:p>
  <w:p w:rsidR="009A5870" w:rsidRDefault="00353D9F" w:rsidP="00353D9F">
    <w:pPr>
      <w:pStyle w:val="Footer"/>
    </w:pPr>
    <w:r>
      <w:rPr>
        <w:rFonts w:ascii="Arial" w:hAnsi="Arial" w:cs="Arial"/>
        <w:caps/>
        <w:sz w:val="14"/>
      </w:rPr>
      <w:fldChar w:fldCharType="begin"/>
    </w:r>
    <w:r>
      <w:rPr>
        <w:rFonts w:ascii="Arial" w:hAnsi="Arial" w:cs="Arial"/>
        <w:caps/>
        <w:sz w:val="14"/>
      </w:rPr>
      <w:instrText xml:space="preserve"> </w:instrText>
    </w:r>
    <w:r w:rsidRPr="00353D9F">
      <w:rPr>
        <w:rFonts w:ascii="Arial" w:hAnsi="Arial" w:cs="Arial"/>
        <w:caps/>
        <w:sz w:val="14"/>
      </w:rPr>
      <w:instrText>IF "</w:instrText>
    </w:r>
    <w:r w:rsidRPr="00353D9F">
      <w:rPr>
        <w:rFonts w:ascii="Arial" w:hAnsi="Arial" w:cs="Arial"/>
        <w:caps/>
        <w:sz w:val="14"/>
      </w:rPr>
      <w:fldChar w:fldCharType="begin"/>
    </w:r>
    <w:r w:rsidRPr="00353D9F">
      <w:rPr>
        <w:rFonts w:ascii="Arial" w:hAnsi="Arial" w:cs="Arial"/>
        <w:caps/>
        <w:sz w:val="14"/>
      </w:rPr>
      <w:instrText xml:space="preserve"> DOCVARIABLE "SWDocIDLocation" </w:instrText>
    </w:r>
    <w:r w:rsidRPr="00353D9F">
      <w:rPr>
        <w:rFonts w:ascii="Arial" w:hAnsi="Arial" w:cs="Arial"/>
        <w:caps/>
        <w:sz w:val="14"/>
      </w:rPr>
      <w:fldChar w:fldCharType="separate"/>
    </w:r>
    <w:r w:rsidR="00F1339F">
      <w:rPr>
        <w:rFonts w:ascii="Arial" w:hAnsi="Arial" w:cs="Arial"/>
        <w:caps/>
        <w:sz w:val="14"/>
      </w:rPr>
      <w:instrText>1</w:instrText>
    </w:r>
    <w:r w:rsidRPr="00353D9F">
      <w:rPr>
        <w:rFonts w:ascii="Arial" w:hAnsi="Arial" w:cs="Arial"/>
        <w:caps/>
        <w:sz w:val="14"/>
      </w:rPr>
      <w:fldChar w:fldCharType="end"/>
    </w:r>
    <w:r w:rsidRPr="00353D9F">
      <w:rPr>
        <w:rFonts w:ascii="Arial" w:hAnsi="Arial" w:cs="Arial"/>
        <w:caps/>
        <w:sz w:val="14"/>
      </w:rPr>
      <w:instrText>" = "1" "</w:instrText>
    </w:r>
    <w:r w:rsidRPr="00353D9F">
      <w:rPr>
        <w:rFonts w:ascii="Arial" w:hAnsi="Arial" w:cs="Arial"/>
        <w:caps/>
        <w:sz w:val="14"/>
      </w:rPr>
      <w:fldChar w:fldCharType="begin"/>
    </w:r>
    <w:r w:rsidRPr="00353D9F">
      <w:rPr>
        <w:rFonts w:ascii="Arial" w:hAnsi="Arial" w:cs="Arial"/>
        <w:caps/>
        <w:sz w:val="14"/>
      </w:rPr>
      <w:instrText xml:space="preserve"> DOCPROPERTY "SWDocID" </w:instrText>
    </w:r>
    <w:r w:rsidRPr="00353D9F">
      <w:rPr>
        <w:rFonts w:ascii="Arial" w:hAnsi="Arial" w:cs="Arial"/>
        <w:caps/>
        <w:sz w:val="14"/>
      </w:rPr>
      <w:fldChar w:fldCharType="separate"/>
    </w:r>
    <w:r w:rsidR="00F1339F">
      <w:rPr>
        <w:rFonts w:ascii="Arial" w:hAnsi="Arial" w:cs="Arial"/>
        <w:caps/>
        <w:sz w:val="14"/>
      </w:rPr>
      <w:instrText>WEIL:\97382024\2\US.NY</w:instrText>
    </w:r>
    <w:r w:rsidRPr="00353D9F">
      <w:rPr>
        <w:rFonts w:ascii="Arial" w:hAnsi="Arial" w:cs="Arial"/>
        <w:caps/>
        <w:sz w:val="14"/>
      </w:rPr>
      <w:fldChar w:fldCharType="end"/>
    </w:r>
    <w:r w:rsidRPr="00353D9F">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F1339F">
      <w:rPr>
        <w:rFonts w:ascii="Arial" w:hAnsi="Arial" w:cs="Arial"/>
        <w:caps/>
        <w:noProof/>
        <w:sz w:val="14"/>
      </w:rPr>
      <w:t>WEIL:\97382024\2\US.NY</w:t>
    </w:r>
    <w:r>
      <w:rPr>
        <w:rFonts w:ascii="Arial" w:hAnsi="Arial" w:cs="Arial"/>
        <w:cap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353D9F">
    <w:pPr>
      <w:pStyle w:val="Footer"/>
    </w:pPr>
  </w:p>
  <w:p w:rsidR="00353D9F" w:rsidRDefault="00353D9F" w:rsidP="00353D9F">
    <w:pPr>
      <w:pStyle w:val="Footer"/>
    </w:pPr>
    <w:r>
      <w:rPr>
        <w:rFonts w:ascii="Arial" w:hAnsi="Arial" w:cs="Arial"/>
        <w:caps/>
        <w:sz w:val="14"/>
      </w:rPr>
      <w:fldChar w:fldCharType="begin"/>
    </w:r>
    <w:r>
      <w:rPr>
        <w:rFonts w:ascii="Arial" w:hAnsi="Arial" w:cs="Arial"/>
        <w:caps/>
        <w:sz w:val="14"/>
      </w:rPr>
      <w:instrText xml:space="preserve"> </w:instrText>
    </w:r>
    <w:r w:rsidRPr="00353D9F">
      <w:rPr>
        <w:rFonts w:ascii="Arial" w:hAnsi="Arial" w:cs="Arial"/>
        <w:caps/>
        <w:sz w:val="14"/>
      </w:rPr>
      <w:instrText>IF "</w:instrText>
    </w:r>
    <w:r w:rsidRPr="00353D9F">
      <w:rPr>
        <w:rFonts w:ascii="Arial" w:hAnsi="Arial" w:cs="Arial"/>
        <w:caps/>
        <w:sz w:val="14"/>
      </w:rPr>
      <w:fldChar w:fldCharType="begin"/>
    </w:r>
    <w:r w:rsidRPr="00353D9F">
      <w:rPr>
        <w:rFonts w:ascii="Arial" w:hAnsi="Arial" w:cs="Arial"/>
        <w:caps/>
        <w:sz w:val="14"/>
      </w:rPr>
      <w:instrText xml:space="preserve"> DOCVARIABLE "SWDocIDLocation" </w:instrText>
    </w:r>
    <w:r w:rsidRPr="00353D9F">
      <w:rPr>
        <w:rFonts w:ascii="Arial" w:hAnsi="Arial" w:cs="Arial"/>
        <w:caps/>
        <w:sz w:val="14"/>
      </w:rPr>
      <w:fldChar w:fldCharType="separate"/>
    </w:r>
    <w:r w:rsidR="00F1339F">
      <w:rPr>
        <w:rFonts w:ascii="Arial" w:hAnsi="Arial" w:cs="Arial"/>
        <w:caps/>
        <w:sz w:val="14"/>
      </w:rPr>
      <w:instrText>1</w:instrText>
    </w:r>
    <w:r w:rsidRPr="00353D9F">
      <w:rPr>
        <w:rFonts w:ascii="Arial" w:hAnsi="Arial" w:cs="Arial"/>
        <w:caps/>
        <w:sz w:val="14"/>
      </w:rPr>
      <w:fldChar w:fldCharType="end"/>
    </w:r>
    <w:r w:rsidRPr="00353D9F">
      <w:rPr>
        <w:rFonts w:ascii="Arial" w:hAnsi="Arial" w:cs="Arial"/>
        <w:caps/>
        <w:sz w:val="14"/>
      </w:rPr>
      <w:instrText>" = "1" "</w:instrText>
    </w:r>
    <w:r w:rsidRPr="00353D9F">
      <w:rPr>
        <w:rFonts w:ascii="Arial" w:hAnsi="Arial" w:cs="Arial"/>
        <w:caps/>
        <w:sz w:val="14"/>
      </w:rPr>
      <w:fldChar w:fldCharType="begin"/>
    </w:r>
    <w:r w:rsidRPr="00353D9F">
      <w:rPr>
        <w:rFonts w:ascii="Arial" w:hAnsi="Arial" w:cs="Arial"/>
        <w:caps/>
        <w:sz w:val="14"/>
      </w:rPr>
      <w:instrText xml:space="preserve"> DOCPROPERTY "SWDocID" </w:instrText>
    </w:r>
    <w:r w:rsidRPr="00353D9F">
      <w:rPr>
        <w:rFonts w:ascii="Arial" w:hAnsi="Arial" w:cs="Arial"/>
        <w:caps/>
        <w:sz w:val="14"/>
      </w:rPr>
      <w:fldChar w:fldCharType="separate"/>
    </w:r>
    <w:r w:rsidR="00F1339F">
      <w:rPr>
        <w:rFonts w:ascii="Arial" w:hAnsi="Arial" w:cs="Arial"/>
        <w:caps/>
        <w:sz w:val="14"/>
      </w:rPr>
      <w:instrText>WEIL:\97382024\2\US.NY</w:instrText>
    </w:r>
    <w:r w:rsidRPr="00353D9F">
      <w:rPr>
        <w:rFonts w:ascii="Arial" w:hAnsi="Arial" w:cs="Arial"/>
        <w:caps/>
        <w:sz w:val="14"/>
      </w:rPr>
      <w:fldChar w:fldCharType="end"/>
    </w:r>
    <w:r w:rsidRPr="00353D9F">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F1339F">
      <w:rPr>
        <w:rFonts w:ascii="Arial" w:hAnsi="Arial" w:cs="Arial"/>
        <w:caps/>
        <w:noProof/>
        <w:sz w:val="14"/>
      </w:rPr>
      <w:t>WEIL:\97382024\2\US.NY</w:t>
    </w:r>
    <w:r>
      <w:rPr>
        <w:rFonts w:ascii="Arial" w:hAnsi="Arial" w:cs="Arial"/>
        <w: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870" w:rsidRDefault="009A5870">
      <w:r>
        <w:separator/>
      </w:r>
    </w:p>
  </w:footnote>
  <w:footnote w:type="continuationSeparator" w:id="0">
    <w:p w:rsidR="009A5870" w:rsidRDefault="009A5870">
      <w:r>
        <w:continuationSeparator/>
      </w:r>
    </w:p>
  </w:footnote>
  <w:footnote w:id="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Guide to Enactment and Interpretation of the UNCITRAL Model Law on Cross Border Insolvency, United Nations Commission on International Trade Law, United Nations, New York, 2014 (hereinafter, the “Guide”), I.A.1., pg. 19.  </w:t>
      </w:r>
    </w:p>
  </w:footnote>
  <w:footnote w:id="2">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00243B65">
        <w:rPr>
          <w:i/>
          <w:sz w:val="22"/>
          <w:szCs w:val="22"/>
        </w:rPr>
        <w:t>Ibid.</w:t>
      </w:r>
      <w:r w:rsidRPr="0007288F">
        <w:rPr>
          <w:sz w:val="22"/>
          <w:szCs w:val="22"/>
        </w:rPr>
        <w:t>,</w:t>
      </w:r>
      <w:proofErr w:type="gramEnd"/>
      <w:r w:rsidRPr="0007288F">
        <w:rPr>
          <w:sz w:val="22"/>
          <w:szCs w:val="22"/>
        </w:rPr>
        <w:t xml:space="preserve"> </w:t>
      </w:r>
      <w:r w:rsidR="0028039C" w:rsidRPr="0007288F">
        <w:rPr>
          <w:sz w:val="22"/>
          <w:szCs w:val="22"/>
        </w:rPr>
        <w:t xml:space="preserve">I.A.1., pg. 19 </w:t>
      </w:r>
      <w:r w:rsidR="0028039C">
        <w:rPr>
          <w:sz w:val="22"/>
          <w:szCs w:val="22"/>
        </w:rPr>
        <w:t xml:space="preserve">and </w:t>
      </w:r>
      <w:r w:rsidRPr="0007288F">
        <w:rPr>
          <w:sz w:val="22"/>
          <w:szCs w:val="22"/>
        </w:rPr>
        <w:t xml:space="preserve">IV.B.31., pg. 28; </w:t>
      </w:r>
      <w:r w:rsidRPr="0007288F">
        <w:rPr>
          <w:i/>
          <w:sz w:val="22"/>
          <w:szCs w:val="22"/>
        </w:rPr>
        <w:t xml:space="preserve">In re ABC Learning </w:t>
      </w:r>
      <w:proofErr w:type="spellStart"/>
      <w:r w:rsidRPr="0007288F">
        <w:rPr>
          <w:i/>
          <w:sz w:val="22"/>
          <w:szCs w:val="22"/>
        </w:rPr>
        <w:t>Centres</w:t>
      </w:r>
      <w:proofErr w:type="spellEnd"/>
      <w:r w:rsidRPr="0007288F">
        <w:rPr>
          <w:i/>
          <w:sz w:val="22"/>
          <w:szCs w:val="22"/>
        </w:rPr>
        <w:t xml:space="preserve"> Ltd</w:t>
      </w:r>
      <w:r w:rsidRPr="0007288F">
        <w:rPr>
          <w:sz w:val="22"/>
          <w:szCs w:val="22"/>
        </w:rPr>
        <w:t>., 726 F.3d 301, 306-307 (3d Cir. 2013) (“[A]</w:t>
      </w:r>
      <w:proofErr w:type="spellStart"/>
      <w:r w:rsidRPr="0007288F">
        <w:rPr>
          <w:sz w:val="22"/>
          <w:szCs w:val="22"/>
        </w:rPr>
        <w:t>ncillary</w:t>
      </w:r>
      <w:proofErr w:type="spellEnd"/>
      <w:r w:rsidRPr="0007288F">
        <w:rPr>
          <w:sz w:val="22"/>
          <w:szCs w:val="22"/>
        </w:rPr>
        <w:t xml:space="preserve"> proceedings bring people and property beyond the foreign main proceeding’s jurisdiction into the foreign main proceeding through the exercise of the [ancillary state’s] jurisdiction.”) (</w:t>
      </w:r>
      <w:proofErr w:type="gramStart"/>
      <w:r w:rsidRPr="0007288F">
        <w:rPr>
          <w:sz w:val="22"/>
          <w:szCs w:val="22"/>
        </w:rPr>
        <w:t>applying</w:t>
      </w:r>
      <w:proofErr w:type="gramEnd"/>
      <w:r w:rsidRPr="0007288F">
        <w:rPr>
          <w:sz w:val="22"/>
          <w:szCs w:val="22"/>
        </w:rPr>
        <w:t xml:space="preserve"> chapter 15 of the Bankruptcy Code (as defined below)). </w:t>
      </w:r>
    </w:p>
  </w:footnote>
  <w:footnote w:id="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243B65">
        <w:rPr>
          <w:i/>
          <w:sz w:val="22"/>
          <w:szCs w:val="22"/>
        </w:rPr>
        <w:t>Ibid.</w:t>
      </w:r>
      <w:r w:rsidRPr="0007288F">
        <w:rPr>
          <w:sz w:val="22"/>
          <w:szCs w:val="22"/>
        </w:rPr>
        <w:t xml:space="preserve">, I.A.3., pg. 19 (“The Model Law </w:t>
      </w:r>
      <w:r w:rsidR="007A5E03">
        <w:rPr>
          <w:sz w:val="22"/>
          <w:szCs w:val="22"/>
        </w:rPr>
        <w:t xml:space="preserve">. . . </w:t>
      </w:r>
      <w:r w:rsidRPr="0007288F">
        <w:rPr>
          <w:sz w:val="22"/>
          <w:szCs w:val="22"/>
        </w:rPr>
        <w:t xml:space="preserve">provides a framework for cooperation between jurisdictions, offering solutions that help in several modest but significant ways and facilitate and promote a uniform approach to cross-border insolvency.”); </w:t>
      </w:r>
      <w:r w:rsidR="00243B65">
        <w:rPr>
          <w:i/>
          <w:sz w:val="22"/>
          <w:szCs w:val="22"/>
        </w:rPr>
        <w:t>Ibid.</w:t>
      </w:r>
      <w:r w:rsidRPr="0007288F">
        <w:rPr>
          <w:sz w:val="22"/>
          <w:szCs w:val="22"/>
        </w:rPr>
        <w:t>, IV.A.25., pg. 27.</w:t>
      </w:r>
    </w:p>
  </w:footnote>
  <w:footnote w:id="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00243B65">
        <w:rPr>
          <w:i/>
          <w:sz w:val="22"/>
          <w:szCs w:val="22"/>
        </w:rPr>
        <w:t>Ibid.</w:t>
      </w:r>
      <w:r w:rsidRPr="0007288F">
        <w:rPr>
          <w:sz w:val="22"/>
          <w:szCs w:val="22"/>
        </w:rPr>
        <w:t>,</w:t>
      </w:r>
      <w:proofErr w:type="gramEnd"/>
      <w:r w:rsidRPr="0007288F">
        <w:rPr>
          <w:sz w:val="22"/>
          <w:szCs w:val="22"/>
        </w:rPr>
        <w:t xml:space="preserve"> IV.B.29., pg. 28.  </w:t>
      </w:r>
    </w:p>
  </w:footnote>
  <w:footnote w:id="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00243B65">
        <w:rPr>
          <w:i/>
          <w:sz w:val="22"/>
          <w:szCs w:val="22"/>
        </w:rPr>
        <w:t>Ibid.</w:t>
      </w:r>
      <w:r w:rsidRPr="0007288F">
        <w:rPr>
          <w:sz w:val="22"/>
          <w:szCs w:val="22"/>
        </w:rPr>
        <w:t>,</w:t>
      </w:r>
      <w:proofErr w:type="gramEnd"/>
      <w:r w:rsidRPr="0007288F">
        <w:rPr>
          <w:sz w:val="22"/>
          <w:szCs w:val="22"/>
        </w:rPr>
        <w:t xml:space="preserve"> at I.B.5-9. pg. 20-22 (explaining the problems with the prior system that led to the Model Law).</w:t>
      </w:r>
    </w:p>
  </w:footnote>
  <w:footnote w:id="6">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ABC Learning </w:t>
      </w:r>
      <w:proofErr w:type="spellStart"/>
      <w:r w:rsidRPr="0007288F">
        <w:rPr>
          <w:i/>
          <w:sz w:val="22"/>
          <w:szCs w:val="22"/>
        </w:rPr>
        <w:t>Centres</w:t>
      </w:r>
      <w:proofErr w:type="spellEnd"/>
      <w:r w:rsidRPr="0007288F">
        <w:rPr>
          <w:i/>
          <w:sz w:val="22"/>
          <w:szCs w:val="22"/>
        </w:rPr>
        <w:t xml:space="preserve">, </w:t>
      </w:r>
      <w:r w:rsidRPr="0007288F">
        <w:rPr>
          <w:sz w:val="22"/>
          <w:szCs w:val="22"/>
        </w:rPr>
        <w:t xml:space="preserve">726 F.3d at 306 (The court noted that the Model Law “reflects a universalism approach to transnational insolvency.  It treats the multinational bankruptcy as a single process in the foreign main proceeding, with other courts assisting in that single proceeding.”  This is in contrast to a “territorialism approach” where “a debtor must initiate insolvency actions in each country where property </w:t>
      </w:r>
      <w:proofErr w:type="gramStart"/>
      <w:r w:rsidRPr="0007288F">
        <w:rPr>
          <w:sz w:val="22"/>
          <w:szCs w:val="22"/>
        </w:rPr>
        <w:t>is found</w:t>
      </w:r>
      <w:proofErr w:type="gramEnd"/>
      <w:r w:rsidRPr="0007288F">
        <w:rPr>
          <w:sz w:val="22"/>
          <w:szCs w:val="22"/>
        </w:rPr>
        <w:t xml:space="preserve">” and that property is seized and distributed “according to each country’s insolvency proceedings.”). </w:t>
      </w:r>
    </w:p>
  </w:footnote>
  <w:footnote w:id="7">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243B65">
        <w:rPr>
          <w:i/>
          <w:sz w:val="22"/>
          <w:szCs w:val="22"/>
        </w:rPr>
        <w:t>Ibid.</w:t>
      </w:r>
      <w:r w:rsidRPr="0007288F">
        <w:rPr>
          <w:sz w:val="22"/>
          <w:szCs w:val="22"/>
        </w:rPr>
        <w:t xml:space="preserve">at 301 (“UNCITRAL developed the Model Law </w:t>
      </w:r>
      <w:r w:rsidR="007A5E03">
        <w:rPr>
          <w:sz w:val="22"/>
          <w:szCs w:val="22"/>
        </w:rPr>
        <w:t>. . .</w:t>
      </w:r>
      <w:r w:rsidRPr="0007288F">
        <w:rPr>
          <w:sz w:val="22"/>
          <w:szCs w:val="22"/>
        </w:rPr>
        <w:t xml:space="preserve"> in response to the challenges of multinational bankruptcies where multiple insolvency regimes lacked effective mechanisms for coordination.  Multiple systems limited the ability of any one bankruptcy regime to protected assets against dissipation, and allowed creditors to skip ahead of their priority be seizing assets in foreign jurisdictions.”).  </w:t>
      </w:r>
    </w:p>
  </w:footnote>
  <w:footnote w:id="8">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Guide, </w:t>
      </w:r>
      <w:proofErr w:type="gramStart"/>
      <w:r w:rsidRPr="0007288F">
        <w:rPr>
          <w:sz w:val="22"/>
          <w:szCs w:val="22"/>
        </w:rPr>
        <w:t>V.101.,</w:t>
      </w:r>
      <w:proofErr w:type="gramEnd"/>
      <w:r w:rsidRPr="0007288F">
        <w:rPr>
          <w:sz w:val="22"/>
          <w:szCs w:val="22"/>
        </w:rPr>
        <w:t xml:space="preserve"> pg. 52.  </w:t>
      </w:r>
    </w:p>
  </w:footnote>
  <w:footnote w:id="9">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00243B65">
        <w:rPr>
          <w:i/>
          <w:sz w:val="22"/>
          <w:szCs w:val="22"/>
        </w:rPr>
        <w:t>Ibid.</w:t>
      </w:r>
      <w:r w:rsidRPr="0007288F">
        <w:rPr>
          <w:sz w:val="22"/>
          <w:szCs w:val="22"/>
        </w:rPr>
        <w:t>,</w:t>
      </w:r>
      <w:proofErr w:type="gramEnd"/>
      <w:r w:rsidRPr="0007288F">
        <w:rPr>
          <w:sz w:val="22"/>
          <w:szCs w:val="22"/>
        </w:rPr>
        <w:t xml:space="preserve"> V.102., pg. 52.</w:t>
      </w:r>
    </w:p>
  </w:footnote>
  <w:footnote w:id="10">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Guide, </w:t>
      </w:r>
      <w:proofErr w:type="gramStart"/>
      <w:r w:rsidRPr="0007288F">
        <w:rPr>
          <w:sz w:val="22"/>
          <w:szCs w:val="22"/>
        </w:rPr>
        <w:t>V.104.,</w:t>
      </w:r>
      <w:proofErr w:type="gramEnd"/>
      <w:r w:rsidRPr="0007288F">
        <w:rPr>
          <w:sz w:val="22"/>
          <w:szCs w:val="22"/>
        </w:rPr>
        <w:t xml:space="preserve"> pg. 52.  The Guide also suggests that there is a growing recognition among states that the term “public policy” </w:t>
      </w:r>
      <w:proofErr w:type="gramStart"/>
      <w:r w:rsidRPr="0007288F">
        <w:rPr>
          <w:sz w:val="22"/>
          <w:szCs w:val="22"/>
        </w:rPr>
        <w:t>must be understood</w:t>
      </w:r>
      <w:proofErr w:type="gramEnd"/>
      <w:r w:rsidRPr="0007288F">
        <w:rPr>
          <w:sz w:val="22"/>
          <w:szCs w:val="22"/>
        </w:rPr>
        <w:t xml:space="preserve"> “more restrictively” in the arena of international cooperation than in domestic policy due to “the realization that international cooperation would be unduly hampered if ‘public policy’ were to be understood in an extensive manner.”  </w:t>
      </w:r>
      <w:proofErr w:type="gramStart"/>
      <w:r w:rsidR="00243B65">
        <w:rPr>
          <w:i/>
          <w:sz w:val="22"/>
          <w:szCs w:val="22"/>
        </w:rPr>
        <w:t>Ibid.</w:t>
      </w:r>
      <w:r w:rsidRPr="0007288F">
        <w:rPr>
          <w:sz w:val="22"/>
          <w:szCs w:val="22"/>
        </w:rPr>
        <w:t>,</w:t>
      </w:r>
      <w:proofErr w:type="gramEnd"/>
      <w:r w:rsidRPr="0007288F">
        <w:rPr>
          <w:sz w:val="22"/>
          <w:szCs w:val="22"/>
        </w:rPr>
        <w:t xml:space="preserve"> V.103., pg. 52.  </w:t>
      </w:r>
    </w:p>
  </w:footnote>
  <w:footnote w:id="1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00243B65">
        <w:rPr>
          <w:i/>
          <w:sz w:val="22"/>
          <w:szCs w:val="22"/>
        </w:rPr>
        <w:t>Ibid.</w:t>
      </w:r>
      <w:r w:rsidRPr="0007288F">
        <w:rPr>
          <w:sz w:val="22"/>
          <w:szCs w:val="22"/>
        </w:rPr>
        <w:t>,</w:t>
      </w:r>
      <w:proofErr w:type="gramEnd"/>
      <w:r w:rsidRPr="0007288F">
        <w:rPr>
          <w:sz w:val="22"/>
          <w:szCs w:val="22"/>
        </w:rPr>
        <w:t xml:space="preserve"> IV.B.30., pg. 28.</w:t>
      </w:r>
    </w:p>
  </w:footnote>
  <w:footnote w:id="12">
    <w:p w:rsidR="00A72F68" w:rsidRPr="0007288F" w:rsidRDefault="00A72F68" w:rsidP="00A72F68">
      <w:pPr>
        <w:pStyle w:val="BodyText3"/>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ABC Learning </w:t>
      </w:r>
      <w:proofErr w:type="spellStart"/>
      <w:r w:rsidRPr="0007288F">
        <w:rPr>
          <w:i/>
          <w:sz w:val="22"/>
          <w:szCs w:val="22"/>
        </w:rPr>
        <w:t>Centres</w:t>
      </w:r>
      <w:proofErr w:type="spellEnd"/>
      <w:r w:rsidRPr="0007288F">
        <w:rPr>
          <w:i/>
          <w:sz w:val="22"/>
          <w:szCs w:val="22"/>
        </w:rPr>
        <w:t xml:space="preserve">, </w:t>
      </w:r>
      <w:r w:rsidRPr="0007288F">
        <w:rPr>
          <w:sz w:val="22"/>
          <w:szCs w:val="22"/>
        </w:rPr>
        <w:t xml:space="preserve">726 F.3d at </w:t>
      </w:r>
      <w:r w:rsidR="007A5E03">
        <w:rPr>
          <w:sz w:val="22"/>
          <w:szCs w:val="22"/>
        </w:rPr>
        <w:t>306</w:t>
      </w:r>
      <w:r w:rsidRPr="0007288F">
        <w:rPr>
          <w:sz w:val="22"/>
          <w:szCs w:val="22"/>
        </w:rPr>
        <w:t xml:space="preserve">.  </w:t>
      </w:r>
    </w:p>
  </w:footnote>
  <w:footnote w:id="13">
    <w:p w:rsidR="009A5870" w:rsidRPr="0007288F" w:rsidRDefault="009A5870" w:rsidP="000C1C49">
      <w:pPr>
        <w:pStyle w:val="BodyText3"/>
        <w:rPr>
          <w:sz w:val="22"/>
          <w:szCs w:val="22"/>
        </w:rPr>
      </w:pPr>
      <w:r w:rsidRPr="0007288F">
        <w:rPr>
          <w:rStyle w:val="FootnoteReference"/>
          <w:sz w:val="22"/>
          <w:szCs w:val="22"/>
        </w:rPr>
        <w:footnoteRef/>
      </w:r>
      <w:r w:rsidRPr="0007288F">
        <w:rPr>
          <w:sz w:val="22"/>
          <w:szCs w:val="22"/>
        </w:rPr>
        <w:t xml:space="preserve"> </w:t>
      </w:r>
      <w:proofErr w:type="gramStart"/>
      <w:r w:rsidRPr="0007288F">
        <w:rPr>
          <w:sz w:val="22"/>
          <w:szCs w:val="22"/>
        </w:rPr>
        <w:t xml:space="preserve">Section 1517 of the Bankruptcy Court provides that the bankruptcy court “shall” enter an order recognizing a foreign main proceeding if (i) </w:t>
      </w:r>
      <w:r w:rsidR="000C1C49">
        <w:rPr>
          <w:sz w:val="22"/>
          <w:szCs w:val="22"/>
        </w:rPr>
        <w:t xml:space="preserve">it </w:t>
      </w:r>
      <w:r w:rsidRPr="0007288F">
        <w:rPr>
          <w:sz w:val="22"/>
          <w:szCs w:val="22"/>
        </w:rPr>
        <w:t>satisfies the requirements for a foreign main proceeding under section 1502, (ii) the foreign representative applying for recognition is a person or body, and (iii) the petition meets the requirements of section 1515 (logistical requirements for filing a petition).</w:t>
      </w:r>
      <w:proofErr w:type="gramEnd"/>
      <w:r w:rsidRPr="0007288F">
        <w:rPr>
          <w:sz w:val="22"/>
          <w:szCs w:val="22"/>
        </w:rPr>
        <w:t xml:space="preserve">  </w:t>
      </w:r>
    </w:p>
  </w:footnote>
  <w:footnote w:id="1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See, e.g., ABC Learning </w:t>
      </w:r>
      <w:proofErr w:type="spellStart"/>
      <w:r w:rsidRPr="0007288F">
        <w:rPr>
          <w:i/>
          <w:sz w:val="22"/>
          <w:szCs w:val="22"/>
        </w:rPr>
        <w:t>Centres</w:t>
      </w:r>
      <w:proofErr w:type="spellEnd"/>
      <w:r w:rsidRPr="0007288F">
        <w:rPr>
          <w:sz w:val="22"/>
          <w:szCs w:val="22"/>
        </w:rPr>
        <w:t>, 728 F.3d. at 309.</w:t>
      </w:r>
    </w:p>
  </w:footnote>
  <w:footnote w:id="1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A72F68" w:rsidRPr="0007288F">
        <w:rPr>
          <w:i/>
          <w:sz w:val="22"/>
          <w:szCs w:val="22"/>
        </w:rPr>
        <w:t>Ibid.</w:t>
      </w:r>
      <w:r w:rsidRPr="0007288F">
        <w:rPr>
          <w:sz w:val="22"/>
          <w:szCs w:val="22"/>
        </w:rPr>
        <w:t xml:space="preserve"> at 309 (quoting </w:t>
      </w:r>
      <w:r w:rsidRPr="0007288F">
        <w:rPr>
          <w:i/>
          <w:sz w:val="22"/>
          <w:szCs w:val="22"/>
        </w:rPr>
        <w:t xml:space="preserve">In re </w:t>
      </w:r>
      <w:proofErr w:type="spellStart"/>
      <w:r w:rsidRPr="0007288F">
        <w:rPr>
          <w:i/>
          <w:sz w:val="22"/>
          <w:szCs w:val="22"/>
        </w:rPr>
        <w:t>Qimonda</w:t>
      </w:r>
      <w:proofErr w:type="spellEnd"/>
      <w:r w:rsidRPr="0007288F">
        <w:rPr>
          <w:i/>
          <w:sz w:val="22"/>
          <w:szCs w:val="22"/>
        </w:rPr>
        <w:t xml:space="preserve"> AG </w:t>
      </w:r>
      <w:proofErr w:type="spellStart"/>
      <w:r w:rsidRPr="0007288F">
        <w:rPr>
          <w:i/>
          <w:sz w:val="22"/>
          <w:szCs w:val="22"/>
        </w:rPr>
        <w:t>Bankr</w:t>
      </w:r>
      <w:proofErr w:type="spellEnd"/>
      <w:r w:rsidRPr="0007288F">
        <w:rPr>
          <w:i/>
          <w:sz w:val="22"/>
          <w:szCs w:val="22"/>
        </w:rPr>
        <w:t xml:space="preserve">. </w:t>
      </w:r>
      <w:proofErr w:type="spellStart"/>
      <w:proofErr w:type="gramStart"/>
      <w:r w:rsidRPr="0007288F">
        <w:rPr>
          <w:i/>
          <w:sz w:val="22"/>
          <w:szCs w:val="22"/>
        </w:rPr>
        <w:t>Litig</w:t>
      </w:r>
      <w:proofErr w:type="spellEnd"/>
      <w:r w:rsidRPr="0007288F">
        <w:rPr>
          <w:i/>
          <w:sz w:val="22"/>
          <w:szCs w:val="22"/>
        </w:rPr>
        <w:t>.</w:t>
      </w:r>
      <w:r w:rsidRPr="0007288F">
        <w:rPr>
          <w:sz w:val="22"/>
          <w:szCs w:val="22"/>
        </w:rPr>
        <w:t>,</w:t>
      </w:r>
      <w:proofErr w:type="gramEnd"/>
      <w:r w:rsidRPr="0007288F">
        <w:rPr>
          <w:sz w:val="22"/>
          <w:szCs w:val="22"/>
        </w:rPr>
        <w:t xml:space="preserve"> 433 B.R. 547, 570 (E.D. Va. 2010)).  </w:t>
      </w:r>
    </w:p>
  </w:footnote>
  <w:footnote w:id="16">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A72F68" w:rsidRPr="0007288F">
        <w:rPr>
          <w:i/>
          <w:sz w:val="22"/>
          <w:szCs w:val="22"/>
        </w:rPr>
        <w:t>Ibid.</w:t>
      </w:r>
      <w:r w:rsidR="00A72F68" w:rsidRPr="0007288F">
        <w:rPr>
          <w:sz w:val="22"/>
          <w:szCs w:val="22"/>
        </w:rPr>
        <w:t xml:space="preserve"> </w:t>
      </w:r>
      <w:r w:rsidRPr="0007288F">
        <w:rPr>
          <w:sz w:val="22"/>
          <w:szCs w:val="22"/>
        </w:rPr>
        <w:t xml:space="preserve">at 308.  </w:t>
      </w:r>
    </w:p>
  </w:footnote>
  <w:footnote w:id="17">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A72F68" w:rsidRPr="0007288F">
        <w:rPr>
          <w:i/>
          <w:sz w:val="22"/>
          <w:szCs w:val="22"/>
        </w:rPr>
        <w:t>Ibid.</w:t>
      </w:r>
      <w:r w:rsidR="00A72F68" w:rsidRPr="0007288F">
        <w:rPr>
          <w:sz w:val="22"/>
          <w:szCs w:val="22"/>
        </w:rPr>
        <w:t xml:space="preserve"> </w:t>
      </w:r>
    </w:p>
  </w:footnote>
  <w:footnote w:id="18">
    <w:p w:rsidR="009A5870" w:rsidRPr="0007288F" w:rsidRDefault="009A5870" w:rsidP="00261EBC">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ASI, Inc. v. Foreign Liquidators (In re Manley Toys, Ltd.)</w:t>
      </w:r>
      <w:r w:rsidRPr="0007288F">
        <w:rPr>
          <w:sz w:val="22"/>
          <w:szCs w:val="22"/>
        </w:rPr>
        <w:t xml:space="preserve">, 2019 LEXIS 39023 (D.N.J. 2019).  </w:t>
      </w:r>
    </w:p>
  </w:footnote>
  <w:footnote w:id="19">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A72F68" w:rsidRPr="0007288F">
        <w:rPr>
          <w:i/>
          <w:sz w:val="22"/>
          <w:szCs w:val="22"/>
        </w:rPr>
        <w:t>Ibid.</w:t>
      </w:r>
      <w:r w:rsidR="00A72F68" w:rsidRPr="0007288F">
        <w:rPr>
          <w:sz w:val="22"/>
          <w:szCs w:val="22"/>
        </w:rPr>
        <w:t xml:space="preserve"> </w:t>
      </w:r>
      <w:r w:rsidRPr="0007288F">
        <w:rPr>
          <w:sz w:val="22"/>
          <w:szCs w:val="22"/>
        </w:rPr>
        <w:t xml:space="preserve">at *1-2.  </w:t>
      </w:r>
    </w:p>
  </w:footnote>
  <w:footnote w:id="20">
    <w:p w:rsidR="0028039C" w:rsidRPr="0028039C" w:rsidRDefault="0028039C">
      <w:pPr>
        <w:pStyle w:val="FootnoteText"/>
      </w:pPr>
      <w:r>
        <w:rPr>
          <w:rStyle w:val="FootnoteReference"/>
        </w:rPr>
        <w:footnoteRef/>
      </w:r>
      <w:r>
        <w:t xml:space="preserve"> </w:t>
      </w:r>
      <w:r>
        <w:rPr>
          <w:i/>
        </w:rPr>
        <w:t>Ibid.</w:t>
      </w:r>
      <w:r>
        <w:t xml:space="preserve"> at *2-3.</w:t>
      </w:r>
    </w:p>
  </w:footnote>
  <w:footnote w:id="21">
    <w:p w:rsidR="0028039C" w:rsidRPr="0028039C" w:rsidRDefault="0028039C">
      <w:pPr>
        <w:pStyle w:val="FootnoteText"/>
      </w:pPr>
      <w:r>
        <w:rPr>
          <w:rStyle w:val="FootnoteReference"/>
        </w:rPr>
        <w:footnoteRef/>
      </w:r>
      <w:r>
        <w:t xml:space="preserve"> </w:t>
      </w:r>
      <w:r>
        <w:rPr>
          <w:i/>
        </w:rPr>
        <w:t>Ibid.</w:t>
      </w:r>
      <w:r>
        <w:t xml:space="preserve"> at *5-6.</w:t>
      </w:r>
    </w:p>
  </w:footnote>
  <w:footnote w:id="22">
    <w:p w:rsidR="0028039C" w:rsidRPr="0028039C" w:rsidRDefault="0028039C">
      <w:pPr>
        <w:pStyle w:val="FootnoteText"/>
      </w:pPr>
      <w:r>
        <w:rPr>
          <w:rStyle w:val="FootnoteReference"/>
        </w:rPr>
        <w:footnoteRef/>
      </w:r>
      <w:r>
        <w:t xml:space="preserve"> </w:t>
      </w:r>
      <w:r>
        <w:rPr>
          <w:i/>
        </w:rPr>
        <w:t>Ibid.</w:t>
      </w:r>
      <w:r>
        <w:t xml:space="preserve"> at *3-4.</w:t>
      </w:r>
    </w:p>
  </w:footnote>
  <w:footnote w:id="23">
    <w:p w:rsidR="00A72F68" w:rsidRPr="0007288F" w:rsidRDefault="00A72F68" w:rsidP="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*18-19.  </w:t>
      </w:r>
    </w:p>
  </w:footnote>
  <w:footnote w:id="24">
    <w:p w:rsidR="00A72F68" w:rsidRPr="0007288F" w:rsidRDefault="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*16-17.  </w:t>
      </w:r>
    </w:p>
  </w:footnote>
  <w:footnote w:id="25">
    <w:p w:rsidR="004A526F" w:rsidRDefault="004A526F">
      <w:pPr>
        <w:pStyle w:val="FootnoteText"/>
      </w:pPr>
      <w:r>
        <w:rPr>
          <w:rStyle w:val="FootnoteReference"/>
        </w:rPr>
        <w:footnoteRef/>
      </w:r>
      <w:r>
        <w:t xml:space="preserve"> </w:t>
      </w:r>
      <w:r w:rsidRPr="0007288F">
        <w:rPr>
          <w:i/>
          <w:sz w:val="22"/>
          <w:szCs w:val="22"/>
        </w:rPr>
        <w:t>I</w:t>
      </w:r>
      <w:r>
        <w:rPr>
          <w:i/>
          <w:sz w:val="22"/>
          <w:szCs w:val="22"/>
        </w:rPr>
        <w:t>bi</w:t>
      </w:r>
      <w:r w:rsidRPr="0007288F">
        <w:rPr>
          <w:i/>
          <w:sz w:val="22"/>
          <w:szCs w:val="22"/>
        </w:rPr>
        <w:t>d.</w:t>
      </w:r>
      <w:r w:rsidRPr="0007288F">
        <w:rPr>
          <w:sz w:val="22"/>
          <w:szCs w:val="22"/>
        </w:rPr>
        <w:t xml:space="preserve"> </w:t>
      </w:r>
    </w:p>
  </w:footnote>
  <w:footnote w:id="26">
    <w:p w:rsidR="004A526F" w:rsidRDefault="004A526F">
      <w:pPr>
        <w:pStyle w:val="FootnoteText"/>
      </w:pPr>
      <w:r>
        <w:rPr>
          <w:rStyle w:val="FootnoteReference"/>
        </w:rPr>
        <w:footnoteRef/>
      </w:r>
      <w:r>
        <w:t xml:space="preserve"> </w:t>
      </w:r>
      <w:r w:rsidRPr="0007288F">
        <w:rPr>
          <w:i/>
          <w:sz w:val="22"/>
          <w:szCs w:val="22"/>
        </w:rPr>
        <w:t>I</w:t>
      </w:r>
      <w:r>
        <w:rPr>
          <w:i/>
          <w:sz w:val="22"/>
          <w:szCs w:val="22"/>
        </w:rPr>
        <w:t>bi</w:t>
      </w:r>
      <w:r w:rsidRPr="0007288F">
        <w:rPr>
          <w:i/>
          <w:sz w:val="22"/>
          <w:szCs w:val="22"/>
        </w:rPr>
        <w:t>d.</w:t>
      </w:r>
      <w:r w:rsidRPr="0007288F">
        <w:rPr>
          <w:sz w:val="22"/>
          <w:szCs w:val="22"/>
        </w:rPr>
        <w:t xml:space="preserve"> </w:t>
      </w:r>
    </w:p>
  </w:footnote>
  <w:footnote w:id="27">
    <w:p w:rsidR="004A526F" w:rsidRDefault="004A526F">
      <w:pPr>
        <w:pStyle w:val="FootnoteText"/>
      </w:pPr>
      <w:r>
        <w:rPr>
          <w:rStyle w:val="FootnoteReference"/>
        </w:rPr>
        <w:footnoteRef/>
      </w:r>
      <w:r>
        <w:t xml:space="preserve"> </w:t>
      </w:r>
      <w:r w:rsidRPr="0007288F">
        <w:rPr>
          <w:i/>
          <w:sz w:val="22"/>
          <w:szCs w:val="22"/>
        </w:rPr>
        <w:t>I</w:t>
      </w:r>
      <w:r>
        <w:rPr>
          <w:i/>
          <w:sz w:val="22"/>
          <w:szCs w:val="22"/>
        </w:rPr>
        <w:t>bi</w:t>
      </w:r>
      <w:r w:rsidRPr="0007288F">
        <w:rPr>
          <w:i/>
          <w:sz w:val="22"/>
          <w:szCs w:val="22"/>
        </w:rPr>
        <w:t>d.</w:t>
      </w:r>
      <w:r w:rsidRPr="0007288F">
        <w:rPr>
          <w:sz w:val="22"/>
          <w:szCs w:val="22"/>
        </w:rPr>
        <w:t xml:space="preserve"> </w:t>
      </w:r>
    </w:p>
  </w:footnote>
  <w:footnote w:id="28">
    <w:p w:rsidR="00A72F68" w:rsidRPr="004A526F" w:rsidRDefault="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00243B65">
        <w:rPr>
          <w:i/>
          <w:sz w:val="22"/>
          <w:szCs w:val="22"/>
        </w:rPr>
        <w:t>.</w:t>
      </w:r>
      <w:r w:rsidR="004A526F">
        <w:rPr>
          <w:sz w:val="22"/>
          <w:szCs w:val="22"/>
        </w:rPr>
        <w:t xml:space="preserve"> </w:t>
      </w:r>
    </w:p>
  </w:footnote>
  <w:footnote w:id="29">
    <w:p w:rsidR="00A72F68" w:rsidRPr="0007288F" w:rsidRDefault="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*18.  </w:t>
      </w:r>
    </w:p>
  </w:footnote>
  <w:footnote w:id="30">
    <w:p w:rsidR="00A72F68" w:rsidRPr="0007288F" w:rsidRDefault="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*18, fn. 10.  </w:t>
      </w:r>
    </w:p>
  </w:footnote>
  <w:footnote w:id="3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In re </w:t>
      </w:r>
      <w:proofErr w:type="spellStart"/>
      <w:r w:rsidRPr="0007288F">
        <w:rPr>
          <w:i/>
          <w:sz w:val="22"/>
          <w:szCs w:val="22"/>
        </w:rPr>
        <w:t>Agrokor</w:t>
      </w:r>
      <w:proofErr w:type="spellEnd"/>
      <w:r w:rsidRPr="0007288F">
        <w:rPr>
          <w:i/>
          <w:sz w:val="22"/>
          <w:szCs w:val="22"/>
        </w:rPr>
        <w:t xml:space="preserve"> </w:t>
      </w:r>
      <w:proofErr w:type="spellStart"/>
      <w:proofErr w:type="gramStart"/>
      <w:r w:rsidRPr="0007288F">
        <w:rPr>
          <w:i/>
          <w:sz w:val="22"/>
          <w:szCs w:val="22"/>
        </w:rPr>
        <w:t>d.d</w:t>
      </w:r>
      <w:proofErr w:type="spellEnd"/>
      <w:proofErr w:type="gramEnd"/>
      <w:r w:rsidRPr="0007288F">
        <w:rPr>
          <w:i/>
          <w:sz w:val="22"/>
          <w:szCs w:val="22"/>
        </w:rPr>
        <w:t>.</w:t>
      </w:r>
      <w:r w:rsidRPr="0007288F">
        <w:rPr>
          <w:sz w:val="22"/>
          <w:szCs w:val="22"/>
        </w:rPr>
        <w:t>, 591 B.R. 163 (</w:t>
      </w:r>
      <w:proofErr w:type="spellStart"/>
      <w:r w:rsidRPr="0007288F">
        <w:rPr>
          <w:sz w:val="22"/>
          <w:szCs w:val="22"/>
        </w:rPr>
        <w:t>Bankr</w:t>
      </w:r>
      <w:proofErr w:type="spellEnd"/>
      <w:r w:rsidRPr="0007288F">
        <w:rPr>
          <w:sz w:val="22"/>
          <w:szCs w:val="22"/>
        </w:rPr>
        <w:t>. S.D.N.Y. 2018).</w:t>
      </w:r>
    </w:p>
  </w:footnote>
  <w:footnote w:id="32">
    <w:p w:rsidR="00A72F68" w:rsidRPr="0007288F" w:rsidRDefault="00A72F68">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196-97.</w:t>
      </w:r>
    </w:p>
  </w:footnote>
  <w:footnote w:id="3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In re Ir. Bank Resolution Corp. (In Special Liquidation)</w:t>
      </w:r>
      <w:r w:rsidRPr="0007288F">
        <w:rPr>
          <w:sz w:val="22"/>
          <w:szCs w:val="22"/>
        </w:rPr>
        <w:t>,</w:t>
      </w:r>
      <w:r w:rsidRPr="0007288F">
        <w:rPr>
          <w:i/>
          <w:sz w:val="22"/>
          <w:szCs w:val="22"/>
        </w:rPr>
        <w:t xml:space="preserve"> </w:t>
      </w:r>
      <w:r w:rsidRPr="0007288F">
        <w:rPr>
          <w:sz w:val="22"/>
          <w:szCs w:val="22"/>
        </w:rPr>
        <w:t xml:space="preserve">2014 </w:t>
      </w:r>
      <w:proofErr w:type="spellStart"/>
      <w:r w:rsidRPr="0007288F">
        <w:rPr>
          <w:sz w:val="22"/>
          <w:szCs w:val="22"/>
        </w:rPr>
        <w:t>Bankr</w:t>
      </w:r>
      <w:proofErr w:type="spellEnd"/>
      <w:r w:rsidRPr="0007288F">
        <w:rPr>
          <w:sz w:val="22"/>
          <w:szCs w:val="22"/>
        </w:rPr>
        <w:t>. LEXIS 1990 (</w:t>
      </w:r>
      <w:proofErr w:type="spellStart"/>
      <w:r w:rsidRPr="0007288F">
        <w:rPr>
          <w:sz w:val="22"/>
          <w:szCs w:val="22"/>
        </w:rPr>
        <w:t>Bankr</w:t>
      </w:r>
      <w:proofErr w:type="spellEnd"/>
      <w:r w:rsidRPr="0007288F">
        <w:rPr>
          <w:sz w:val="22"/>
          <w:szCs w:val="22"/>
        </w:rPr>
        <w:t>. D. Del. Apr. 30, 2014), at *58.</w:t>
      </w:r>
    </w:p>
  </w:footnote>
  <w:footnote w:id="3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Id.</w:t>
      </w:r>
      <w:r w:rsidRPr="0007288F">
        <w:rPr>
          <w:sz w:val="22"/>
          <w:szCs w:val="22"/>
        </w:rPr>
        <w:t xml:space="preserve"> at 59, 67.</w:t>
      </w:r>
    </w:p>
  </w:footnote>
  <w:footnote w:id="3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In re </w:t>
      </w:r>
      <w:proofErr w:type="spellStart"/>
      <w:r w:rsidRPr="0007288F">
        <w:rPr>
          <w:i/>
          <w:sz w:val="22"/>
          <w:szCs w:val="22"/>
        </w:rPr>
        <w:t>Ashapura</w:t>
      </w:r>
      <w:proofErr w:type="spellEnd"/>
      <w:r w:rsidRPr="0007288F">
        <w:rPr>
          <w:i/>
          <w:sz w:val="22"/>
          <w:szCs w:val="22"/>
        </w:rPr>
        <w:t xml:space="preserve"> </w:t>
      </w:r>
      <w:proofErr w:type="spellStart"/>
      <w:r w:rsidRPr="0007288F">
        <w:rPr>
          <w:i/>
          <w:sz w:val="22"/>
          <w:szCs w:val="22"/>
        </w:rPr>
        <w:t>Minechem</w:t>
      </w:r>
      <w:proofErr w:type="spellEnd"/>
      <w:r w:rsidRPr="0007288F">
        <w:rPr>
          <w:i/>
          <w:sz w:val="22"/>
          <w:szCs w:val="22"/>
        </w:rPr>
        <w:t xml:space="preserve"> Ltd.</w:t>
      </w:r>
      <w:r w:rsidRPr="0007288F">
        <w:rPr>
          <w:sz w:val="22"/>
          <w:szCs w:val="22"/>
        </w:rPr>
        <w:t>, 480 B.R. 129, 140, 144 (S.D.N.Y. 2012).</w:t>
      </w:r>
    </w:p>
  </w:footnote>
  <w:footnote w:id="36">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In re Ephedra Prods. </w:t>
      </w:r>
      <w:proofErr w:type="spellStart"/>
      <w:r w:rsidRPr="0007288F">
        <w:rPr>
          <w:i/>
          <w:sz w:val="22"/>
          <w:szCs w:val="22"/>
        </w:rPr>
        <w:t>Liab</w:t>
      </w:r>
      <w:proofErr w:type="spellEnd"/>
      <w:r w:rsidRPr="0007288F">
        <w:rPr>
          <w:i/>
          <w:sz w:val="22"/>
          <w:szCs w:val="22"/>
        </w:rPr>
        <w:t xml:space="preserve">. </w:t>
      </w:r>
      <w:proofErr w:type="spellStart"/>
      <w:proofErr w:type="gramStart"/>
      <w:r w:rsidRPr="0007288F">
        <w:rPr>
          <w:i/>
          <w:sz w:val="22"/>
          <w:szCs w:val="22"/>
        </w:rPr>
        <w:t>Litig</w:t>
      </w:r>
      <w:proofErr w:type="spellEnd"/>
      <w:r w:rsidRPr="0007288F">
        <w:rPr>
          <w:i/>
          <w:sz w:val="22"/>
          <w:szCs w:val="22"/>
        </w:rPr>
        <w:t>.</w:t>
      </w:r>
      <w:r w:rsidRPr="0007288F">
        <w:rPr>
          <w:sz w:val="22"/>
          <w:szCs w:val="22"/>
        </w:rPr>
        <w:t>,</w:t>
      </w:r>
      <w:proofErr w:type="gramEnd"/>
      <w:r w:rsidRPr="0007288F">
        <w:rPr>
          <w:sz w:val="22"/>
          <w:szCs w:val="22"/>
        </w:rPr>
        <w:t xml:space="preserve"> 349 B.R. 333, 336-37 (S.D.N.Y. 2006).</w:t>
      </w:r>
    </w:p>
  </w:footnote>
  <w:footnote w:id="37">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Pr="0007288F">
        <w:rPr>
          <w:sz w:val="22"/>
          <w:szCs w:val="22"/>
        </w:rPr>
        <w:t>410</w:t>
      </w:r>
      <w:proofErr w:type="gramEnd"/>
      <w:r w:rsidRPr="0007288F">
        <w:rPr>
          <w:sz w:val="22"/>
          <w:szCs w:val="22"/>
        </w:rPr>
        <w:t xml:space="preserve"> B.R. 357 (</w:t>
      </w:r>
      <w:proofErr w:type="spellStart"/>
      <w:r w:rsidRPr="0007288F">
        <w:rPr>
          <w:sz w:val="22"/>
          <w:szCs w:val="22"/>
        </w:rPr>
        <w:t>Bankr</w:t>
      </w:r>
      <w:proofErr w:type="spellEnd"/>
      <w:r w:rsidRPr="0007288F">
        <w:rPr>
          <w:sz w:val="22"/>
          <w:szCs w:val="22"/>
        </w:rPr>
        <w:t>. E.D.N.Y. 2009).</w:t>
      </w:r>
    </w:p>
  </w:footnote>
  <w:footnote w:id="38">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w:t>
      </w:r>
      <w:r w:rsidR="00C0412E" w:rsidRPr="0007288F">
        <w:rPr>
          <w:i/>
          <w:sz w:val="22"/>
          <w:szCs w:val="22"/>
        </w:rPr>
        <w:t>bi</w:t>
      </w:r>
      <w:r w:rsidRPr="0007288F">
        <w:rPr>
          <w:i/>
          <w:sz w:val="22"/>
          <w:szCs w:val="22"/>
        </w:rPr>
        <w:t>d.</w:t>
      </w:r>
      <w:r w:rsidRPr="0007288F">
        <w:rPr>
          <w:sz w:val="22"/>
          <w:szCs w:val="22"/>
        </w:rPr>
        <w:t xml:space="preserve"> at 360.  </w:t>
      </w:r>
    </w:p>
  </w:footnote>
  <w:footnote w:id="39">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w:t>
      </w:r>
      <w:r w:rsidR="00C0412E" w:rsidRPr="0007288F">
        <w:rPr>
          <w:i/>
          <w:sz w:val="22"/>
          <w:szCs w:val="22"/>
        </w:rPr>
        <w:t>bi</w:t>
      </w:r>
      <w:r w:rsidRPr="0007288F">
        <w:rPr>
          <w:i/>
          <w:sz w:val="22"/>
          <w:szCs w:val="22"/>
        </w:rPr>
        <w:t>d.</w:t>
      </w:r>
      <w:r w:rsidRPr="0007288F">
        <w:rPr>
          <w:sz w:val="22"/>
          <w:szCs w:val="22"/>
        </w:rPr>
        <w:t xml:space="preserve"> at 371.</w:t>
      </w:r>
    </w:p>
  </w:footnote>
  <w:footnote w:id="40">
    <w:p w:rsidR="009A5870" w:rsidRPr="0007288F" w:rsidRDefault="009A5870">
      <w:pPr>
        <w:pStyle w:val="FootnoteText"/>
        <w:rPr>
          <w:i/>
          <w:sz w:val="22"/>
          <w:szCs w:val="22"/>
        </w:rPr>
      </w:pPr>
      <w:r w:rsidRPr="0007288F">
        <w:rPr>
          <w:rStyle w:val="FootnoteReference"/>
          <w:sz w:val="22"/>
          <w:szCs w:val="22"/>
        </w:rPr>
        <w:footnoteRef/>
      </w:r>
      <w:r w:rsidRPr="0007288F">
        <w:rPr>
          <w:sz w:val="22"/>
          <w:szCs w:val="22"/>
        </w:rPr>
        <w:t xml:space="preserve"> </w:t>
      </w:r>
      <w:r w:rsidR="00C0412E" w:rsidRPr="0007288F">
        <w:rPr>
          <w:i/>
          <w:sz w:val="22"/>
          <w:szCs w:val="22"/>
        </w:rPr>
        <w:t>Ibid.</w:t>
      </w:r>
    </w:p>
  </w:footnote>
  <w:footnote w:id="4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 xml:space="preserve">In re </w:t>
      </w:r>
      <w:proofErr w:type="spellStart"/>
      <w:r w:rsidRPr="0007288F">
        <w:rPr>
          <w:i/>
          <w:sz w:val="22"/>
          <w:szCs w:val="22"/>
        </w:rPr>
        <w:t>Toft</w:t>
      </w:r>
      <w:proofErr w:type="spellEnd"/>
      <w:r w:rsidRPr="0007288F">
        <w:rPr>
          <w:sz w:val="22"/>
          <w:szCs w:val="22"/>
        </w:rPr>
        <w:t>, 453 B.R. 186 (</w:t>
      </w:r>
      <w:proofErr w:type="spellStart"/>
      <w:r w:rsidRPr="0007288F">
        <w:rPr>
          <w:sz w:val="22"/>
          <w:szCs w:val="22"/>
        </w:rPr>
        <w:t>Bankr</w:t>
      </w:r>
      <w:proofErr w:type="spellEnd"/>
      <w:r w:rsidRPr="0007288F">
        <w:rPr>
          <w:sz w:val="22"/>
          <w:szCs w:val="22"/>
        </w:rPr>
        <w:t>. S.D.N.Y. 2011).</w:t>
      </w:r>
    </w:p>
  </w:footnote>
  <w:footnote w:id="42">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C0412E" w:rsidRPr="0007288F">
        <w:rPr>
          <w:i/>
          <w:sz w:val="22"/>
          <w:szCs w:val="22"/>
        </w:rPr>
        <w:t>Ibid.</w:t>
      </w:r>
      <w:r w:rsidRPr="0007288F">
        <w:rPr>
          <w:sz w:val="22"/>
          <w:szCs w:val="22"/>
        </w:rPr>
        <w:t xml:space="preserve"> at 188.</w:t>
      </w:r>
    </w:p>
  </w:footnote>
  <w:footnote w:id="4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C0412E" w:rsidRPr="0007288F">
        <w:rPr>
          <w:i/>
          <w:sz w:val="22"/>
          <w:szCs w:val="22"/>
        </w:rPr>
        <w:t>Ibid.</w:t>
      </w:r>
      <w:r w:rsidRPr="0007288F">
        <w:rPr>
          <w:sz w:val="22"/>
          <w:szCs w:val="22"/>
        </w:rPr>
        <w:t xml:space="preserve">at 196.  </w:t>
      </w:r>
    </w:p>
  </w:footnote>
  <w:footnote w:id="4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00C0412E" w:rsidRPr="0007288F">
        <w:rPr>
          <w:i/>
          <w:sz w:val="22"/>
          <w:szCs w:val="22"/>
        </w:rPr>
        <w:t>Ibid.</w:t>
      </w:r>
      <w:r w:rsidRPr="0007288F">
        <w:rPr>
          <w:sz w:val="22"/>
          <w:szCs w:val="22"/>
        </w:rPr>
        <w:t xml:space="preserve"> at 200-201.</w:t>
      </w:r>
    </w:p>
  </w:footnote>
  <w:footnote w:id="4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701 F.3d 1031, 1069 (</w:t>
      </w:r>
      <w:proofErr w:type="gramStart"/>
      <w:r w:rsidRPr="0007288F">
        <w:rPr>
          <w:sz w:val="22"/>
          <w:szCs w:val="22"/>
        </w:rPr>
        <w:t>5th</w:t>
      </w:r>
      <w:proofErr w:type="gramEnd"/>
      <w:r w:rsidRPr="0007288F">
        <w:rPr>
          <w:sz w:val="22"/>
          <w:szCs w:val="22"/>
        </w:rPr>
        <w:t xml:space="preserve"> Cir. 2012).  The bankruptcy court held that particularly given the case law in the Fifth Circuit prohibiting third party releases (notwithstanding that other circuits had upheld them), “the protection of third party claims in a bankruptcy case is a fundamental policy of the United States.”  </w:t>
      </w:r>
      <w:r w:rsidRPr="0007288F">
        <w:rPr>
          <w:i/>
          <w:sz w:val="22"/>
          <w:szCs w:val="22"/>
        </w:rPr>
        <w:t>In re Vitro, S.A.B. de CV</w:t>
      </w:r>
      <w:r w:rsidRPr="0007288F">
        <w:rPr>
          <w:sz w:val="22"/>
          <w:szCs w:val="22"/>
        </w:rPr>
        <w:t>, 473 B.R. 117 (</w:t>
      </w:r>
      <w:proofErr w:type="spellStart"/>
      <w:r w:rsidRPr="0007288F">
        <w:rPr>
          <w:sz w:val="22"/>
          <w:szCs w:val="22"/>
        </w:rPr>
        <w:t>Bankr</w:t>
      </w:r>
      <w:proofErr w:type="spellEnd"/>
      <w:r w:rsidRPr="0007288F">
        <w:rPr>
          <w:sz w:val="22"/>
          <w:szCs w:val="22"/>
        </w:rPr>
        <w:t>. S.D. Tex. 2012).</w:t>
      </w:r>
    </w:p>
  </w:footnote>
  <w:footnote w:id="46">
    <w:p w:rsidR="004A526F" w:rsidRPr="0007288F" w:rsidRDefault="004A526F" w:rsidP="004A526F">
      <w:pPr>
        <w:pStyle w:val="FootnoteText"/>
        <w:rPr>
          <w:sz w:val="22"/>
          <w:szCs w:val="22"/>
        </w:rPr>
      </w:pPr>
      <w:r w:rsidRPr="0007288F">
        <w:rPr>
          <w:rStyle w:val="FootnoteReference"/>
          <w:sz w:val="22"/>
          <w:szCs w:val="22"/>
        </w:rPr>
        <w:footnoteRef/>
      </w:r>
      <w:r w:rsidRPr="0007288F">
        <w:rPr>
          <w:sz w:val="22"/>
          <w:szCs w:val="22"/>
        </w:rPr>
        <w:t xml:space="preserve"> </w:t>
      </w:r>
      <w:proofErr w:type="gramStart"/>
      <w:r w:rsidRPr="0007288F">
        <w:rPr>
          <w:sz w:val="22"/>
          <w:szCs w:val="22"/>
        </w:rPr>
        <w:t>701</w:t>
      </w:r>
      <w:proofErr w:type="gramEnd"/>
      <w:r w:rsidRPr="0007288F">
        <w:rPr>
          <w:sz w:val="22"/>
          <w:szCs w:val="22"/>
        </w:rPr>
        <w:t xml:space="preserve"> F.3d, at 1069.</w:t>
      </w:r>
    </w:p>
  </w:footnote>
  <w:footnote w:id="47">
    <w:p w:rsidR="004A526F" w:rsidRPr="004A526F" w:rsidRDefault="004A526F">
      <w:pPr>
        <w:pStyle w:val="FootnoteText"/>
        <w:rPr>
          <w:i/>
        </w:rPr>
      </w:pPr>
      <w:r>
        <w:rPr>
          <w:rStyle w:val="FootnoteReference"/>
        </w:rPr>
        <w:footnoteRef/>
      </w:r>
      <w:r>
        <w:t xml:space="preserve"> </w:t>
      </w:r>
      <w:r>
        <w:rPr>
          <w:i/>
        </w:rPr>
        <w:t>Ibid.</w:t>
      </w:r>
    </w:p>
  </w:footnote>
  <w:footnote w:id="48">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Id.</w:t>
      </w:r>
      <w:r w:rsidRPr="0007288F">
        <w:rPr>
          <w:sz w:val="22"/>
          <w:szCs w:val="22"/>
        </w:rPr>
        <w:t xml:space="preserve"> at 1067.</w:t>
      </w:r>
    </w:p>
  </w:footnote>
  <w:footnote w:id="49">
    <w:p w:rsidR="003D218E" w:rsidRPr="0007288F" w:rsidRDefault="003D218E" w:rsidP="003D218E">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Jaffe v. Samsung Electronics Co., Ltd.,</w:t>
      </w:r>
      <w:r w:rsidRPr="0007288F">
        <w:rPr>
          <w:sz w:val="22"/>
          <w:szCs w:val="22"/>
        </w:rPr>
        <w:t xml:space="preserve"> 737 F.3d 14, 18 (</w:t>
      </w:r>
      <w:proofErr w:type="gramStart"/>
      <w:r w:rsidRPr="0007288F">
        <w:rPr>
          <w:sz w:val="22"/>
          <w:szCs w:val="22"/>
        </w:rPr>
        <w:t>4th</w:t>
      </w:r>
      <w:proofErr w:type="gramEnd"/>
      <w:r w:rsidRPr="0007288F">
        <w:rPr>
          <w:sz w:val="22"/>
          <w:szCs w:val="22"/>
        </w:rPr>
        <w:t xml:space="preserve"> Cir. 2013).</w:t>
      </w:r>
      <w:r>
        <w:rPr>
          <w:sz w:val="22"/>
          <w:szCs w:val="22"/>
        </w:rPr>
        <w:t xml:space="preserve">  This followed a district court order directing the bankruptcy court to consider the issue after it had previously approved the recognition.  </w:t>
      </w:r>
      <w:r>
        <w:rPr>
          <w:i/>
          <w:sz w:val="22"/>
          <w:szCs w:val="22"/>
        </w:rPr>
        <w:t xml:space="preserve">In re </w:t>
      </w:r>
      <w:proofErr w:type="spellStart"/>
      <w:r w:rsidRPr="003D218E">
        <w:rPr>
          <w:i/>
          <w:sz w:val="22"/>
          <w:szCs w:val="22"/>
        </w:rPr>
        <w:t>Qimonda</w:t>
      </w:r>
      <w:proofErr w:type="spellEnd"/>
      <w:r w:rsidRPr="003D218E">
        <w:rPr>
          <w:i/>
          <w:sz w:val="22"/>
          <w:szCs w:val="22"/>
        </w:rPr>
        <w:t>,</w:t>
      </w:r>
      <w:r>
        <w:rPr>
          <w:sz w:val="22"/>
          <w:szCs w:val="22"/>
        </w:rPr>
        <w:t xml:space="preserve"> </w:t>
      </w:r>
      <w:r w:rsidRPr="0007288F">
        <w:rPr>
          <w:sz w:val="22"/>
          <w:szCs w:val="22"/>
        </w:rPr>
        <w:t>433 B.R. 547, 570-71 (E.D. Va. 2010).</w:t>
      </w:r>
    </w:p>
  </w:footnote>
  <w:footnote w:id="50">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w:t>
      </w:r>
      <w:r w:rsidR="00C0412E" w:rsidRPr="0007288F">
        <w:rPr>
          <w:i/>
          <w:sz w:val="22"/>
          <w:szCs w:val="22"/>
        </w:rPr>
        <w:t>bi</w:t>
      </w:r>
      <w:r w:rsidRPr="0007288F">
        <w:rPr>
          <w:i/>
          <w:sz w:val="22"/>
          <w:szCs w:val="22"/>
        </w:rPr>
        <w:t>d.</w:t>
      </w:r>
      <w:r w:rsidRPr="0007288F">
        <w:rPr>
          <w:sz w:val="22"/>
          <w:szCs w:val="22"/>
        </w:rPr>
        <w:t xml:space="preserve"> at 567.</w:t>
      </w:r>
    </w:p>
  </w:footnote>
  <w:footnote w:id="51">
    <w:p w:rsidR="003D218E" w:rsidRPr="003D218E" w:rsidRDefault="003D218E">
      <w:pPr>
        <w:pStyle w:val="FootnoteText"/>
      </w:pPr>
      <w:r>
        <w:rPr>
          <w:rStyle w:val="FootnoteReference"/>
        </w:rPr>
        <w:footnoteRef/>
      </w:r>
      <w:r>
        <w:t xml:space="preserve"> </w:t>
      </w:r>
      <w:r>
        <w:rPr>
          <w:i/>
        </w:rPr>
        <w:t>Jaffe</w:t>
      </w:r>
      <w:r>
        <w:t>, 737 F.3d at 14.</w:t>
      </w:r>
    </w:p>
  </w:footnote>
  <w:footnote w:id="52">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w:t>
      </w:r>
      <w:r w:rsidR="00C0412E" w:rsidRPr="0007288F">
        <w:rPr>
          <w:i/>
          <w:sz w:val="22"/>
          <w:szCs w:val="22"/>
        </w:rPr>
        <w:t>bi</w:t>
      </w:r>
      <w:r w:rsidRPr="0007288F">
        <w:rPr>
          <w:i/>
          <w:sz w:val="22"/>
          <w:szCs w:val="22"/>
        </w:rPr>
        <w:t>d.</w:t>
      </w:r>
      <w:r w:rsidRPr="0007288F">
        <w:rPr>
          <w:sz w:val="22"/>
          <w:szCs w:val="22"/>
        </w:rPr>
        <w:t xml:space="preserve"> at 31-32.</w:t>
      </w:r>
    </w:p>
  </w:footnote>
  <w:footnote w:id="5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spellStart"/>
      <w:r w:rsidRPr="0007288F">
        <w:rPr>
          <w:i/>
          <w:sz w:val="22"/>
          <w:szCs w:val="22"/>
        </w:rPr>
        <w:t>Agrokor</w:t>
      </w:r>
      <w:proofErr w:type="spellEnd"/>
      <w:r w:rsidRPr="0007288F">
        <w:rPr>
          <w:sz w:val="22"/>
          <w:szCs w:val="22"/>
        </w:rPr>
        <w:t xml:space="preserve"> at 337-38.</w:t>
      </w:r>
    </w:p>
  </w:footnote>
  <w:footnote w:id="5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337.</w:t>
      </w:r>
    </w:p>
  </w:footnote>
  <w:footnote w:id="5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339.</w:t>
      </w:r>
    </w:p>
  </w:footnote>
  <w:footnote w:id="56">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Kirkland Alert, </w:t>
      </w:r>
      <w:proofErr w:type="spellStart"/>
      <w:r w:rsidRPr="0007288F">
        <w:rPr>
          <w:i/>
          <w:sz w:val="22"/>
          <w:szCs w:val="22"/>
        </w:rPr>
        <w:t>Agrokor’s</w:t>
      </w:r>
      <w:proofErr w:type="spellEnd"/>
      <w:r w:rsidRPr="0007288F">
        <w:rPr>
          <w:i/>
          <w:sz w:val="22"/>
          <w:szCs w:val="22"/>
        </w:rPr>
        <w:t xml:space="preserve"> Landmark Dual Recognition Proceedings in the U.K. and U.S.; Bankruptcy Court Finds Gibbs Rule Does Not Prevent Recognition and Enforcement under Chapter 15</w:t>
      </w:r>
      <w:r w:rsidRPr="0007288F">
        <w:rPr>
          <w:sz w:val="22"/>
          <w:szCs w:val="22"/>
        </w:rPr>
        <w:t xml:space="preserve">, Nov. 5, 2018.  </w:t>
      </w:r>
    </w:p>
  </w:footnote>
  <w:footnote w:id="57">
    <w:p w:rsidR="001D4E06" w:rsidRPr="0007288F" w:rsidRDefault="001D4E06">
      <w:pPr>
        <w:pStyle w:val="FootnoteText"/>
        <w:rPr>
          <w:sz w:val="22"/>
          <w:szCs w:val="22"/>
        </w:rPr>
      </w:pPr>
      <w:r w:rsidRPr="0007288F">
        <w:rPr>
          <w:rStyle w:val="FootnoteReference"/>
          <w:sz w:val="22"/>
          <w:szCs w:val="22"/>
        </w:rPr>
        <w:footnoteRef/>
      </w:r>
      <w:r w:rsidRPr="0007288F">
        <w:rPr>
          <w:sz w:val="22"/>
          <w:szCs w:val="22"/>
        </w:rPr>
        <w:t xml:space="preserve"> </w:t>
      </w:r>
      <w:proofErr w:type="spellStart"/>
      <w:r w:rsidRPr="0007288F">
        <w:rPr>
          <w:i/>
          <w:sz w:val="22"/>
          <w:szCs w:val="22"/>
        </w:rPr>
        <w:t>Agrokor</w:t>
      </w:r>
      <w:proofErr w:type="spellEnd"/>
      <w:r w:rsidRPr="0007288F">
        <w:rPr>
          <w:sz w:val="22"/>
          <w:szCs w:val="22"/>
        </w:rPr>
        <w:t xml:space="preserve"> at 337.</w:t>
      </w:r>
    </w:p>
  </w:footnote>
  <w:footnote w:id="58">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proofErr w:type="spellStart"/>
      <w:r w:rsidRPr="0007288F">
        <w:rPr>
          <w:i/>
          <w:sz w:val="22"/>
          <w:szCs w:val="22"/>
        </w:rPr>
        <w:t>Agrokor</w:t>
      </w:r>
      <w:proofErr w:type="spellEnd"/>
      <w:r w:rsidRPr="0007288F">
        <w:rPr>
          <w:sz w:val="22"/>
          <w:szCs w:val="22"/>
        </w:rPr>
        <w:t xml:space="preserve"> at 370.</w:t>
      </w:r>
    </w:p>
  </w:footnote>
  <w:footnote w:id="59">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371 (The court explicitly noted that the legislative history of the CBIR </w:t>
      </w:r>
      <w:proofErr w:type="gramStart"/>
      <w:r w:rsidRPr="0007288F">
        <w:rPr>
          <w:sz w:val="22"/>
          <w:szCs w:val="22"/>
        </w:rPr>
        <w:t>stated that</w:t>
      </w:r>
      <w:proofErr w:type="gramEnd"/>
      <w:r w:rsidRPr="0007288F">
        <w:rPr>
          <w:sz w:val="22"/>
          <w:szCs w:val="22"/>
        </w:rPr>
        <w:t xml:space="preserve"> “the [Guide] will be a useful tool in interpreting the text” given that the Model Law is intended to be “interpreted purposively.”).</w:t>
      </w:r>
    </w:p>
  </w:footnote>
  <w:footnote w:id="60">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p>
  </w:footnote>
  <w:footnote w:id="6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p>
  </w:footnote>
  <w:footnote w:id="62">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373.</w:t>
      </w:r>
    </w:p>
  </w:footnote>
  <w:footnote w:id="6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374-75.</w:t>
      </w:r>
    </w:p>
  </w:footnote>
  <w:footnote w:id="64">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374.</w:t>
      </w:r>
    </w:p>
  </w:footnote>
  <w:footnote w:id="65">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375.</w:t>
      </w:r>
    </w:p>
  </w:footnote>
  <w:footnote w:id="66">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p>
  </w:footnote>
  <w:footnote w:id="67">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375-76.</w:t>
      </w:r>
    </w:p>
  </w:footnote>
  <w:footnote w:id="68">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376.</w:t>
      </w:r>
    </w:p>
  </w:footnote>
  <w:footnote w:id="69">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377.</w:t>
      </w:r>
    </w:p>
  </w:footnote>
  <w:footnote w:id="70">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00513A08">
        <w:rPr>
          <w:sz w:val="22"/>
          <w:szCs w:val="22"/>
        </w:rPr>
        <w:t xml:space="preserve"> at 376-77.</w:t>
      </w:r>
    </w:p>
  </w:footnote>
  <w:footnote w:id="71">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376.</w:t>
      </w:r>
    </w:p>
  </w:footnote>
  <w:footnote w:id="72">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w:t>
      </w:r>
      <w:r w:rsidRPr="0007288F">
        <w:rPr>
          <w:i/>
          <w:sz w:val="22"/>
          <w:szCs w:val="22"/>
        </w:rPr>
        <w:t>Ibid.</w:t>
      </w:r>
      <w:r w:rsidRPr="0007288F">
        <w:rPr>
          <w:sz w:val="22"/>
          <w:szCs w:val="22"/>
        </w:rPr>
        <w:t xml:space="preserve"> at 377.</w:t>
      </w:r>
    </w:p>
  </w:footnote>
  <w:footnote w:id="73">
    <w:p w:rsidR="009A5870" w:rsidRPr="0007288F" w:rsidRDefault="009A5870">
      <w:pPr>
        <w:pStyle w:val="FootnoteText"/>
        <w:rPr>
          <w:sz w:val="22"/>
          <w:szCs w:val="22"/>
        </w:rPr>
      </w:pPr>
      <w:r w:rsidRPr="0007288F">
        <w:rPr>
          <w:rStyle w:val="FootnoteReference"/>
          <w:sz w:val="22"/>
          <w:szCs w:val="22"/>
        </w:rPr>
        <w:footnoteRef/>
      </w:r>
      <w:r w:rsidRPr="0007288F">
        <w:rPr>
          <w:sz w:val="22"/>
          <w:szCs w:val="22"/>
        </w:rPr>
        <w:t xml:space="preserve"> Declan Bush, “New </w:t>
      </w:r>
      <w:proofErr w:type="spellStart"/>
      <w:r w:rsidRPr="0007288F">
        <w:rPr>
          <w:sz w:val="22"/>
          <w:szCs w:val="22"/>
        </w:rPr>
        <w:t>Agrokor</w:t>
      </w:r>
      <w:proofErr w:type="spellEnd"/>
      <w:r w:rsidRPr="0007288F">
        <w:rPr>
          <w:sz w:val="22"/>
          <w:szCs w:val="22"/>
        </w:rPr>
        <w:t xml:space="preserve"> to be renamed as UK Scheme Approved,” Global Restructuring Review, 28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35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353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9F" w:rsidRDefault="0035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1" w15:restartNumberingAfterBreak="0">
    <w:nsid w:val="0FA2787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3" w15:restartNumberingAfterBreak="0">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95A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761B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17" w15:restartNumberingAfterBreak="0">
    <w:nsid w:val="36B453F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042608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5E22E39"/>
    <w:multiLevelType w:val="hybridMultilevel"/>
    <w:tmpl w:val="E1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21" w15:restartNumberingAfterBreak="0">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num w:numId="1">
    <w:abstractNumId w:val="10"/>
  </w:num>
  <w:num w:numId="2">
    <w:abstractNumId w:val="9"/>
  </w:num>
  <w:num w:numId="3">
    <w:abstractNumId w:val="9"/>
  </w:num>
  <w:num w:numId="4">
    <w:abstractNumId w:val="8"/>
  </w:num>
  <w:num w:numId="5">
    <w:abstractNumId w:val="8"/>
  </w:num>
  <w:num w:numId="6">
    <w:abstractNumId w:val="10"/>
  </w:num>
  <w:num w:numId="7">
    <w:abstractNumId w:val="21"/>
  </w:num>
  <w:num w:numId="8">
    <w:abstractNumId w:val="16"/>
  </w:num>
  <w:num w:numId="9">
    <w:abstractNumId w:val="20"/>
  </w:num>
  <w:num w:numId="10">
    <w:abstractNumId w:val="12"/>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3"/>
  </w:num>
  <w:num w:numId="30">
    <w:abstractNumId w:val="15"/>
  </w:num>
  <w:num w:numId="31">
    <w:abstractNumId w:val="11"/>
  </w:num>
  <w:num w:numId="32">
    <w:abstractNumId w:val="18"/>
  </w:num>
  <w:num w:numId="33">
    <w:abstractNumId w:val="1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380EF5"/>
    <w:rsid w:val="00001B3F"/>
    <w:rsid w:val="00010584"/>
    <w:rsid w:val="00010B6B"/>
    <w:rsid w:val="00047EC5"/>
    <w:rsid w:val="00067890"/>
    <w:rsid w:val="0007288F"/>
    <w:rsid w:val="000A6791"/>
    <w:rsid w:val="000B525F"/>
    <w:rsid w:val="000C1C49"/>
    <w:rsid w:val="000C7955"/>
    <w:rsid w:val="000D49BE"/>
    <w:rsid w:val="00101E05"/>
    <w:rsid w:val="001062E4"/>
    <w:rsid w:val="00167D33"/>
    <w:rsid w:val="00180180"/>
    <w:rsid w:val="0018722A"/>
    <w:rsid w:val="00193C5B"/>
    <w:rsid w:val="001B03F8"/>
    <w:rsid w:val="001B269F"/>
    <w:rsid w:val="001C36C1"/>
    <w:rsid w:val="001D4E06"/>
    <w:rsid w:val="001E2FF1"/>
    <w:rsid w:val="00200D90"/>
    <w:rsid w:val="00216E8F"/>
    <w:rsid w:val="00243B65"/>
    <w:rsid w:val="00247282"/>
    <w:rsid w:val="00247378"/>
    <w:rsid w:val="00257B7D"/>
    <w:rsid w:val="00261EBC"/>
    <w:rsid w:val="002627B5"/>
    <w:rsid w:val="0028039C"/>
    <w:rsid w:val="0028197A"/>
    <w:rsid w:val="00324C42"/>
    <w:rsid w:val="003515B7"/>
    <w:rsid w:val="00353D9F"/>
    <w:rsid w:val="00380EF5"/>
    <w:rsid w:val="00382EB9"/>
    <w:rsid w:val="003909B4"/>
    <w:rsid w:val="003A7DB5"/>
    <w:rsid w:val="003D218E"/>
    <w:rsid w:val="003E369F"/>
    <w:rsid w:val="003E3D7F"/>
    <w:rsid w:val="004147EA"/>
    <w:rsid w:val="0043272D"/>
    <w:rsid w:val="004601E1"/>
    <w:rsid w:val="00460FC6"/>
    <w:rsid w:val="0047486C"/>
    <w:rsid w:val="004A526F"/>
    <w:rsid w:val="004A543E"/>
    <w:rsid w:val="004B0B4E"/>
    <w:rsid w:val="0050636D"/>
    <w:rsid w:val="00513A08"/>
    <w:rsid w:val="005322C8"/>
    <w:rsid w:val="005A05E4"/>
    <w:rsid w:val="005B00F4"/>
    <w:rsid w:val="0062169E"/>
    <w:rsid w:val="00642FE2"/>
    <w:rsid w:val="00684B4C"/>
    <w:rsid w:val="00694E29"/>
    <w:rsid w:val="006A1B4E"/>
    <w:rsid w:val="006A3933"/>
    <w:rsid w:val="006C7625"/>
    <w:rsid w:val="006C7BCE"/>
    <w:rsid w:val="006D79F0"/>
    <w:rsid w:val="006F4730"/>
    <w:rsid w:val="00707B24"/>
    <w:rsid w:val="00714171"/>
    <w:rsid w:val="0073732F"/>
    <w:rsid w:val="00783AA3"/>
    <w:rsid w:val="00796620"/>
    <w:rsid w:val="007A5E03"/>
    <w:rsid w:val="007B2023"/>
    <w:rsid w:val="007D3B11"/>
    <w:rsid w:val="007D5D5D"/>
    <w:rsid w:val="008027E4"/>
    <w:rsid w:val="00837666"/>
    <w:rsid w:val="008615AB"/>
    <w:rsid w:val="008648A6"/>
    <w:rsid w:val="00871A35"/>
    <w:rsid w:val="00874E6E"/>
    <w:rsid w:val="00892551"/>
    <w:rsid w:val="00897A22"/>
    <w:rsid w:val="008A71DD"/>
    <w:rsid w:val="008B0970"/>
    <w:rsid w:val="0090255A"/>
    <w:rsid w:val="00923162"/>
    <w:rsid w:val="00987CEC"/>
    <w:rsid w:val="009958E7"/>
    <w:rsid w:val="009A5870"/>
    <w:rsid w:val="009C76A7"/>
    <w:rsid w:val="009E5A4F"/>
    <w:rsid w:val="00A153C8"/>
    <w:rsid w:val="00A72F68"/>
    <w:rsid w:val="00A922CF"/>
    <w:rsid w:val="00AB15EE"/>
    <w:rsid w:val="00AD746F"/>
    <w:rsid w:val="00AF2172"/>
    <w:rsid w:val="00B03F3D"/>
    <w:rsid w:val="00B217CF"/>
    <w:rsid w:val="00B31343"/>
    <w:rsid w:val="00B70D1F"/>
    <w:rsid w:val="00B84887"/>
    <w:rsid w:val="00B938E5"/>
    <w:rsid w:val="00BA24C4"/>
    <w:rsid w:val="00BA2B75"/>
    <w:rsid w:val="00BB3E53"/>
    <w:rsid w:val="00BC49C9"/>
    <w:rsid w:val="00BC6CC0"/>
    <w:rsid w:val="00BD3F33"/>
    <w:rsid w:val="00C0412E"/>
    <w:rsid w:val="00C04575"/>
    <w:rsid w:val="00C1103C"/>
    <w:rsid w:val="00C250E4"/>
    <w:rsid w:val="00C32536"/>
    <w:rsid w:val="00C50A26"/>
    <w:rsid w:val="00C617B3"/>
    <w:rsid w:val="00C76A88"/>
    <w:rsid w:val="00C92289"/>
    <w:rsid w:val="00CC46B4"/>
    <w:rsid w:val="00CE0990"/>
    <w:rsid w:val="00CF39F5"/>
    <w:rsid w:val="00D2618F"/>
    <w:rsid w:val="00D56AE3"/>
    <w:rsid w:val="00D65BE2"/>
    <w:rsid w:val="00D65F70"/>
    <w:rsid w:val="00DA26B1"/>
    <w:rsid w:val="00DB47D5"/>
    <w:rsid w:val="00DB5191"/>
    <w:rsid w:val="00DB5CB1"/>
    <w:rsid w:val="00DE1632"/>
    <w:rsid w:val="00DF69FB"/>
    <w:rsid w:val="00E0114C"/>
    <w:rsid w:val="00E52468"/>
    <w:rsid w:val="00EC2A7C"/>
    <w:rsid w:val="00EC431B"/>
    <w:rsid w:val="00ED2ACF"/>
    <w:rsid w:val="00ED40E2"/>
    <w:rsid w:val="00EE1E83"/>
    <w:rsid w:val="00F130FB"/>
    <w:rsid w:val="00F1339F"/>
    <w:rsid w:val="00F145C9"/>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D6EDF"/>
  <w15:docId w15:val="{F8A52D00-8FE2-4D66-A11E-4A2D41E7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97" w:unhideWhenUsed="1" w:qFormat="1"/>
    <w:lsdException w:name="heading 1" w:uiPriority="29" w:qFormat="1"/>
    <w:lsdException w:name="heading 2" w:semiHidden="1" w:uiPriority="29" w:unhideWhenUsed="1" w:qFormat="1"/>
    <w:lsdException w:name="heading 3" w:semiHidden="1" w:uiPriority="29" w:unhideWhenUsed="1"/>
    <w:lsdException w:name="heading 4" w:semiHidden="1" w:uiPriority="29" w:unhideWhenUsed="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lsdException w:name="heading 9" w:semiHidden="1" w:uiPriority="2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1"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11" w:qFormat="1"/>
    <w:lsdException w:name="Closing" w:semiHidden="1" w:unhideWhenUsed="1"/>
    <w:lsdException w:name="Signature" w:semiHidden="1" w:unhideWhenUsed="1" w:qFormat="1"/>
    <w:lsdException w:name="Default Paragraph Font" w:semiHidden="1" w:uiPriority="1" w:unhideWhenUsed="1"/>
    <w:lsdException w:name="Body Text" w:semiHidden="1" w:uiPriority="7"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12" w:unhideWhenUsed="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iPriority="7" w:unhideWhenUsed="1" w:qFormat="1"/>
    <w:lsdException w:name="Body Text 3" w:semiHidden="1" w:uiPriority="3" w:unhideWhenUsed="1" w:qFormat="1"/>
    <w:lsdException w:name="Body Text Indent 2" w:semiHidden="1" w:uiPriority="39" w:unhideWhenUsed="1"/>
    <w:lsdException w:name="Body Text Indent 3" w:semiHidden="1" w:uiPriority="39" w:unhideWhenUsed="1"/>
    <w:lsdException w:name="Block Text" w:semiHidden="1" w:uiPriority="13"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4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rsid w:val="00C250E4"/>
  </w:style>
  <w:style w:type="paragraph" w:styleId="Heading1">
    <w:name w:val="heading 1"/>
    <w:basedOn w:val="Normal"/>
    <w:next w:val="Normal"/>
    <w:link w:val="Heading1Char"/>
    <w:uiPriority w:val="27"/>
    <w:qFormat/>
    <w:rsid w:val="0028197A"/>
    <w:pPr>
      <w:keepNext/>
      <w:spacing w:after="240"/>
      <w:outlineLvl w:val="0"/>
    </w:pPr>
    <w:rPr>
      <w:rFonts w:eastAsia="Times New Roman" w:cs="Times New Roman"/>
      <w:b/>
    </w:rPr>
  </w:style>
  <w:style w:type="paragraph" w:styleId="Heading2">
    <w:name w:val="heading 2"/>
    <w:basedOn w:val="Normal"/>
    <w:next w:val="Normal"/>
    <w:link w:val="Heading2Char"/>
    <w:uiPriority w:val="27"/>
    <w:semiHidden/>
    <w:unhideWhenUsed/>
    <w:qFormat/>
    <w:rsid w:val="0028197A"/>
    <w:pPr>
      <w:keepNext/>
      <w:spacing w:after="240"/>
      <w:outlineLvl w:val="1"/>
    </w:pPr>
    <w:rPr>
      <w:rFonts w:eastAsia="Times New Roman" w:cs="Times New Roman"/>
      <w:i/>
    </w:rPr>
  </w:style>
  <w:style w:type="paragraph" w:styleId="Heading3">
    <w:name w:val="heading 3"/>
    <w:basedOn w:val="Normal"/>
    <w:next w:val="Normal"/>
    <w:link w:val="Heading3Char"/>
    <w:uiPriority w:val="29"/>
    <w:semiHidden/>
    <w:unhideWhenUsed/>
    <w:rsid w:val="0028197A"/>
    <w:pPr>
      <w:keepNext/>
      <w:spacing w:after="240"/>
      <w:outlineLvl w:val="2"/>
    </w:pPr>
    <w:rPr>
      <w:rFonts w:eastAsia="Times New Roman" w:cs="Times New Roman"/>
      <w:u w:val="single"/>
    </w:rPr>
  </w:style>
  <w:style w:type="paragraph" w:styleId="Heading4">
    <w:name w:val="heading 4"/>
    <w:basedOn w:val="Normal"/>
    <w:next w:val="Normal"/>
    <w:link w:val="Heading4Char"/>
    <w:uiPriority w:val="29"/>
    <w:semiHidden/>
    <w:unhideWhenUsed/>
    <w:rsid w:val="0028197A"/>
    <w:pPr>
      <w:keepNext/>
      <w:spacing w:after="240"/>
      <w:outlineLvl w:val="3"/>
    </w:pPr>
    <w:rPr>
      <w:rFonts w:eastAsia="Times New Roman" w:cs="Times New Roman"/>
      <w:b/>
      <w:u w:val="single"/>
    </w:rPr>
  </w:style>
  <w:style w:type="paragraph" w:styleId="Heading5">
    <w:name w:val="heading 5"/>
    <w:basedOn w:val="Normal"/>
    <w:next w:val="Normal"/>
    <w:link w:val="Heading5Char"/>
    <w:uiPriority w:val="29"/>
    <w:semiHidden/>
    <w:unhideWhenUsed/>
    <w:rsid w:val="0028197A"/>
    <w:pPr>
      <w:spacing w:after="240"/>
      <w:outlineLvl w:val="4"/>
    </w:pPr>
    <w:rPr>
      <w:rFonts w:eastAsia="Times New Roman" w:cs="Times New Roman"/>
      <w:bCs/>
      <w:i/>
      <w:iCs/>
      <w:szCs w:val="26"/>
      <w:u w:val="single"/>
    </w:rPr>
  </w:style>
  <w:style w:type="paragraph" w:styleId="Heading6">
    <w:name w:val="heading 6"/>
    <w:basedOn w:val="Normal"/>
    <w:next w:val="Normal"/>
    <w:link w:val="Heading6Char"/>
    <w:uiPriority w:val="29"/>
    <w:semiHidden/>
    <w:unhideWhenUsed/>
    <w:rsid w:val="0028197A"/>
    <w:pPr>
      <w:spacing w:after="240"/>
      <w:outlineLvl w:val="5"/>
    </w:pPr>
    <w:rPr>
      <w:rFonts w:eastAsia="Times New Roman" w:cs="Times New Roman"/>
      <w:b/>
      <w:bCs/>
      <w:i/>
      <w:szCs w:val="22"/>
    </w:rPr>
  </w:style>
  <w:style w:type="paragraph" w:styleId="Heading7">
    <w:name w:val="heading 7"/>
    <w:basedOn w:val="Normal"/>
    <w:next w:val="Normal"/>
    <w:link w:val="Heading7Char"/>
    <w:uiPriority w:val="29"/>
    <w:semiHidden/>
    <w:unhideWhenUsed/>
    <w:rsid w:val="0028197A"/>
    <w:pPr>
      <w:spacing w:after="240"/>
      <w:outlineLvl w:val="6"/>
    </w:pPr>
    <w:rPr>
      <w:rFonts w:eastAsia="Times New Roman" w:cs="Times New Roman"/>
    </w:rPr>
  </w:style>
  <w:style w:type="paragraph" w:styleId="Heading8">
    <w:name w:val="heading 8"/>
    <w:basedOn w:val="Normal"/>
    <w:next w:val="Normal"/>
    <w:link w:val="Heading8Char"/>
    <w:uiPriority w:val="29"/>
    <w:semiHidden/>
    <w:unhideWhenUsed/>
    <w:rsid w:val="0028197A"/>
    <w:pPr>
      <w:spacing w:after="240"/>
      <w:outlineLvl w:val="7"/>
    </w:pPr>
    <w:rPr>
      <w:rFonts w:eastAsia="Times New Roman" w:cs="Times New Roman"/>
    </w:rPr>
  </w:style>
  <w:style w:type="paragraph" w:styleId="Heading9">
    <w:name w:val="heading 9"/>
    <w:basedOn w:val="Normal"/>
    <w:next w:val="Normal"/>
    <w:link w:val="Heading9Char"/>
    <w:uiPriority w:val="29"/>
    <w:semiHidden/>
    <w:unhideWhenUsed/>
    <w:rsid w:val="0028197A"/>
    <w:p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7"/>
    <w:rsid w:val="00C250E4"/>
    <w:rPr>
      <w:rFonts w:eastAsia="Times New Roman" w:cs="Times New Roman"/>
      <w:b/>
    </w:rPr>
  </w:style>
  <w:style w:type="character" w:customStyle="1" w:styleId="Heading2Char">
    <w:name w:val="Heading 2 Char"/>
    <w:basedOn w:val="DefaultParagraphFont"/>
    <w:link w:val="Heading2"/>
    <w:uiPriority w:val="27"/>
    <w:semiHidden/>
    <w:rsid w:val="00C250E4"/>
    <w:rPr>
      <w:rFonts w:eastAsia="Times New Roman" w:cs="Times New Roman"/>
      <w:i/>
    </w:rPr>
  </w:style>
  <w:style w:type="character" w:customStyle="1" w:styleId="Heading3Char">
    <w:name w:val="Heading 3 Char"/>
    <w:basedOn w:val="DefaultParagraphFont"/>
    <w:link w:val="Heading3"/>
    <w:uiPriority w:val="29"/>
    <w:semiHidden/>
    <w:rsid w:val="003E3D7F"/>
    <w:rPr>
      <w:rFonts w:eastAsia="Times New Roman" w:cs="Times New Roman"/>
      <w:u w:val="single"/>
    </w:rPr>
  </w:style>
  <w:style w:type="character" w:customStyle="1" w:styleId="Heading4Char">
    <w:name w:val="Heading 4 Char"/>
    <w:basedOn w:val="DefaultParagraphFont"/>
    <w:link w:val="Heading4"/>
    <w:uiPriority w:val="29"/>
    <w:semiHidden/>
    <w:rsid w:val="003E3D7F"/>
    <w:rPr>
      <w:rFonts w:eastAsia="Times New Roman" w:cs="Times New Roman"/>
      <w:b/>
      <w:u w:val="single"/>
    </w:rPr>
  </w:style>
  <w:style w:type="character" w:customStyle="1" w:styleId="Heading5Char">
    <w:name w:val="Heading 5 Char"/>
    <w:basedOn w:val="DefaultParagraphFont"/>
    <w:link w:val="Heading5"/>
    <w:uiPriority w:val="29"/>
    <w:semiHidden/>
    <w:rsid w:val="003E3D7F"/>
    <w:rPr>
      <w:rFonts w:eastAsia="Times New Roman" w:cs="Times New Roman"/>
      <w:bCs/>
      <w:i/>
      <w:iCs/>
      <w:szCs w:val="26"/>
      <w:u w:val="single"/>
    </w:rPr>
  </w:style>
  <w:style w:type="character" w:customStyle="1" w:styleId="Heading6Char">
    <w:name w:val="Heading 6 Char"/>
    <w:basedOn w:val="DefaultParagraphFont"/>
    <w:link w:val="Heading6"/>
    <w:uiPriority w:val="29"/>
    <w:semiHidden/>
    <w:rsid w:val="003E3D7F"/>
    <w:rPr>
      <w:rFonts w:eastAsia="Times New Roman" w:cs="Times New Roman"/>
      <w:b/>
      <w:bCs/>
      <w:i/>
      <w:szCs w:val="22"/>
    </w:rPr>
  </w:style>
  <w:style w:type="character" w:customStyle="1" w:styleId="Heading7Char">
    <w:name w:val="Heading 7 Char"/>
    <w:basedOn w:val="DefaultParagraphFont"/>
    <w:link w:val="Heading7"/>
    <w:uiPriority w:val="29"/>
    <w:semiHidden/>
    <w:rsid w:val="003E3D7F"/>
    <w:rPr>
      <w:rFonts w:eastAsia="Times New Roman" w:cs="Times New Roman"/>
    </w:rPr>
  </w:style>
  <w:style w:type="character" w:customStyle="1" w:styleId="Heading8Char">
    <w:name w:val="Heading 8 Char"/>
    <w:basedOn w:val="DefaultParagraphFont"/>
    <w:link w:val="Heading8"/>
    <w:uiPriority w:val="29"/>
    <w:semiHidden/>
    <w:rsid w:val="003E3D7F"/>
    <w:rPr>
      <w:rFonts w:eastAsia="Times New Roman" w:cs="Times New Roman"/>
    </w:rPr>
  </w:style>
  <w:style w:type="character" w:customStyle="1" w:styleId="Heading9Char">
    <w:name w:val="Heading 9 Char"/>
    <w:basedOn w:val="DefaultParagraphFont"/>
    <w:link w:val="Heading9"/>
    <w:uiPriority w:val="29"/>
    <w:semiHidden/>
    <w:rsid w:val="003E3D7F"/>
    <w:rPr>
      <w:rFonts w:eastAsia="Times New Roman" w:cs="Times New Roman"/>
    </w:rPr>
  </w:style>
  <w:style w:type="paragraph" w:styleId="List">
    <w:name w:val="List"/>
    <w:basedOn w:val="Normal"/>
    <w:uiPriority w:val="20"/>
    <w:qFormat/>
    <w:rsid w:val="0028197A"/>
    <w:pPr>
      <w:numPr>
        <w:numId w:val="6"/>
      </w:numPr>
      <w:spacing w:after="240"/>
    </w:pPr>
    <w:rPr>
      <w:rFonts w:eastAsia="Times New Roman" w:cs="Times New Roman"/>
    </w:rPr>
  </w:style>
  <w:style w:type="paragraph" w:styleId="ListBullet">
    <w:name w:val="List Bullet"/>
    <w:basedOn w:val="Normal"/>
    <w:uiPriority w:val="17"/>
    <w:qFormat/>
    <w:rsid w:val="0028197A"/>
    <w:pPr>
      <w:numPr>
        <w:numId w:val="11"/>
      </w:numPr>
      <w:spacing w:after="240"/>
    </w:pPr>
    <w:rPr>
      <w:rFonts w:eastAsia="Times New Roman" w:cs="Times New Roman"/>
    </w:rPr>
  </w:style>
  <w:style w:type="paragraph" w:styleId="ListNumber">
    <w:name w:val="List Number"/>
    <w:basedOn w:val="Normal"/>
    <w:uiPriority w:val="17"/>
    <w:qFormat/>
    <w:rsid w:val="0028197A"/>
    <w:pPr>
      <w:numPr>
        <w:numId w:val="20"/>
      </w:numPr>
      <w:spacing w:after="240"/>
    </w:pPr>
    <w:rPr>
      <w:rFonts w:eastAsia="Times New Roman" w:cs="Times New Roman"/>
    </w:rPr>
  </w:style>
  <w:style w:type="paragraph" w:styleId="Title">
    <w:name w:val="Title"/>
    <w:basedOn w:val="Normal"/>
    <w:link w:val="TitleChar"/>
    <w:uiPriority w:val="30"/>
    <w:qFormat/>
    <w:rsid w:val="0028197A"/>
    <w:pPr>
      <w:keepNext/>
      <w:spacing w:after="240"/>
      <w:jc w:val="center"/>
      <w:outlineLvl w:val="0"/>
    </w:pPr>
    <w:rPr>
      <w:rFonts w:eastAsia="Times New Roman" w:cs="Times New Roman"/>
      <w:b/>
    </w:rPr>
  </w:style>
  <w:style w:type="character" w:customStyle="1" w:styleId="TitleChar">
    <w:name w:val="Title Char"/>
    <w:basedOn w:val="DefaultParagraphFont"/>
    <w:link w:val="Title"/>
    <w:uiPriority w:val="30"/>
    <w:rsid w:val="00C250E4"/>
    <w:rPr>
      <w:rFonts w:eastAsia="Times New Roman" w:cs="Times New Roman"/>
      <w:b/>
    </w:rPr>
  </w:style>
  <w:style w:type="paragraph" w:styleId="BodyText">
    <w:name w:val="Body Text"/>
    <w:basedOn w:val="Normal"/>
    <w:link w:val="BodyTextChar"/>
    <w:uiPriority w:val="3"/>
    <w:qFormat/>
    <w:rsid w:val="0028197A"/>
    <w:pPr>
      <w:spacing w:after="240"/>
      <w:ind w:firstLine="1440"/>
    </w:pPr>
    <w:rPr>
      <w:rFonts w:eastAsia="Times New Roman" w:cs="Times New Roman"/>
    </w:rPr>
  </w:style>
  <w:style w:type="character" w:customStyle="1" w:styleId="BodyTextChar">
    <w:name w:val="Body Text Char"/>
    <w:basedOn w:val="DefaultParagraphFont"/>
    <w:link w:val="BodyText"/>
    <w:uiPriority w:val="3"/>
    <w:rsid w:val="00C250E4"/>
    <w:rPr>
      <w:rFonts w:eastAsia="Times New Roman" w:cs="Times New Roman"/>
    </w:rPr>
  </w:style>
  <w:style w:type="paragraph" w:styleId="Subtitle">
    <w:name w:val="Subtitle"/>
    <w:basedOn w:val="Normal"/>
    <w:link w:val="SubtitleChar"/>
    <w:uiPriority w:val="31"/>
    <w:qFormat/>
    <w:rsid w:val="0028197A"/>
    <w:pPr>
      <w:keepNext/>
      <w:spacing w:after="240"/>
      <w:jc w:val="center"/>
      <w:outlineLvl w:val="1"/>
    </w:pPr>
    <w:rPr>
      <w:rFonts w:eastAsia="Times New Roman" w:cs="Times New Roman"/>
    </w:rPr>
  </w:style>
  <w:style w:type="character" w:customStyle="1" w:styleId="SubtitleChar">
    <w:name w:val="Subtitle Char"/>
    <w:basedOn w:val="DefaultParagraphFont"/>
    <w:link w:val="Subtitle"/>
    <w:uiPriority w:val="31"/>
    <w:rsid w:val="00C250E4"/>
    <w:rPr>
      <w:rFonts w:eastAsia="Times New Roman" w:cs="Times New Roman"/>
    </w:rPr>
  </w:style>
  <w:style w:type="paragraph" w:styleId="BodyText3">
    <w:name w:val="Body Text 3"/>
    <w:basedOn w:val="Normal"/>
    <w:link w:val="BodyText3Char"/>
    <w:uiPriority w:val="3"/>
    <w:qFormat/>
    <w:rsid w:val="0028197A"/>
    <w:pPr>
      <w:spacing w:after="240"/>
    </w:pPr>
    <w:rPr>
      <w:rFonts w:eastAsia="Times New Roman" w:cs="Times New Roman"/>
    </w:rPr>
  </w:style>
  <w:style w:type="character" w:customStyle="1" w:styleId="BodyText3Char">
    <w:name w:val="Body Text 3 Char"/>
    <w:basedOn w:val="DefaultParagraphFont"/>
    <w:link w:val="BodyText3"/>
    <w:uiPriority w:val="3"/>
    <w:rsid w:val="00C250E4"/>
    <w:rPr>
      <w:rFonts w:eastAsia="Times New Roman" w:cs="Times New Roman"/>
    </w:rPr>
  </w:style>
  <w:style w:type="paragraph" w:styleId="BlockText">
    <w:name w:val="Block Text"/>
    <w:basedOn w:val="Normal"/>
    <w:uiPriority w:val="7"/>
    <w:qFormat/>
    <w:rsid w:val="0028197A"/>
    <w:pPr>
      <w:spacing w:after="240"/>
      <w:ind w:left="1440" w:right="1440"/>
    </w:pPr>
    <w:rPr>
      <w:rFonts w:eastAsia="Times New Roman" w:cs="Times New Roman"/>
    </w:rPr>
  </w:style>
  <w:style w:type="paragraph" w:styleId="List2">
    <w:name w:val="List 2"/>
    <w:basedOn w:val="Normal"/>
    <w:uiPriority w:val="21"/>
    <w:semiHidden/>
    <w:unhideWhenUsed/>
    <w:rsid w:val="0028197A"/>
    <w:pPr>
      <w:numPr>
        <w:numId w:val="7"/>
      </w:numPr>
      <w:spacing w:after="240"/>
    </w:pPr>
    <w:rPr>
      <w:rFonts w:eastAsia="Times New Roman" w:cs="Times New Roman"/>
    </w:rPr>
  </w:style>
  <w:style w:type="paragraph" w:styleId="List3">
    <w:name w:val="List 3"/>
    <w:basedOn w:val="Normal"/>
    <w:uiPriority w:val="21"/>
    <w:semiHidden/>
    <w:unhideWhenUsed/>
    <w:rsid w:val="0028197A"/>
    <w:pPr>
      <w:numPr>
        <w:numId w:val="8"/>
      </w:numPr>
      <w:spacing w:after="240"/>
    </w:pPr>
    <w:rPr>
      <w:rFonts w:eastAsia="Times New Roman" w:cs="Times New Roman"/>
    </w:rPr>
  </w:style>
  <w:style w:type="paragraph" w:styleId="List4">
    <w:name w:val="List 4"/>
    <w:basedOn w:val="Normal"/>
    <w:uiPriority w:val="21"/>
    <w:semiHidden/>
    <w:unhideWhenUsed/>
    <w:rsid w:val="0028197A"/>
    <w:pPr>
      <w:numPr>
        <w:numId w:val="9"/>
      </w:numPr>
      <w:spacing w:after="240"/>
    </w:pPr>
    <w:rPr>
      <w:rFonts w:eastAsia="Times New Roman" w:cs="Times New Roman"/>
    </w:rPr>
  </w:style>
  <w:style w:type="paragraph" w:styleId="List5">
    <w:name w:val="List 5"/>
    <w:basedOn w:val="Normal"/>
    <w:uiPriority w:val="21"/>
    <w:semiHidden/>
    <w:unhideWhenUsed/>
    <w:rsid w:val="0028197A"/>
    <w:pPr>
      <w:numPr>
        <w:numId w:val="10"/>
      </w:numPr>
      <w:spacing w:after="240"/>
    </w:pPr>
    <w:rPr>
      <w:rFonts w:eastAsia="Times New Roman" w:cs="Times New Roman"/>
    </w:rPr>
  </w:style>
  <w:style w:type="paragraph" w:styleId="ListBullet2">
    <w:name w:val="List Bullet 2"/>
    <w:basedOn w:val="Normal"/>
    <w:uiPriority w:val="17"/>
    <w:semiHidden/>
    <w:unhideWhenUsed/>
    <w:rsid w:val="0028197A"/>
    <w:pPr>
      <w:numPr>
        <w:numId w:val="13"/>
      </w:numPr>
      <w:spacing w:after="240"/>
    </w:pPr>
    <w:rPr>
      <w:rFonts w:eastAsia="Times New Roman" w:cs="Times New Roman"/>
    </w:rPr>
  </w:style>
  <w:style w:type="paragraph" w:styleId="ListBullet3">
    <w:name w:val="List Bullet 3"/>
    <w:basedOn w:val="Normal"/>
    <w:uiPriority w:val="17"/>
    <w:semiHidden/>
    <w:unhideWhenUsed/>
    <w:rsid w:val="0028197A"/>
    <w:pPr>
      <w:numPr>
        <w:numId w:val="15"/>
      </w:numPr>
      <w:spacing w:after="240"/>
    </w:pPr>
    <w:rPr>
      <w:rFonts w:eastAsia="Times New Roman" w:cs="Times New Roman"/>
    </w:rPr>
  </w:style>
  <w:style w:type="paragraph" w:styleId="ListBullet4">
    <w:name w:val="List Bullet 4"/>
    <w:basedOn w:val="Normal"/>
    <w:uiPriority w:val="17"/>
    <w:semiHidden/>
    <w:unhideWhenUsed/>
    <w:rsid w:val="0028197A"/>
    <w:pPr>
      <w:numPr>
        <w:numId w:val="17"/>
      </w:numPr>
      <w:spacing w:after="240"/>
    </w:pPr>
    <w:rPr>
      <w:rFonts w:eastAsia="Times New Roman" w:cs="Times New Roman"/>
    </w:rPr>
  </w:style>
  <w:style w:type="paragraph" w:styleId="ListBullet5">
    <w:name w:val="List Bullet 5"/>
    <w:basedOn w:val="Normal"/>
    <w:uiPriority w:val="17"/>
    <w:semiHidden/>
    <w:unhideWhenUsed/>
    <w:rsid w:val="0028197A"/>
    <w:pPr>
      <w:numPr>
        <w:numId w:val="19"/>
      </w:numPr>
      <w:spacing w:after="240"/>
    </w:pPr>
    <w:rPr>
      <w:rFonts w:eastAsia="Times New Roman" w:cs="Times New Roman"/>
    </w:rPr>
  </w:style>
  <w:style w:type="paragraph" w:styleId="ListContinue">
    <w:name w:val="List Continue"/>
    <w:basedOn w:val="Normal"/>
    <w:uiPriority w:val="21"/>
    <w:semiHidden/>
    <w:unhideWhenUsed/>
    <w:rsid w:val="0028197A"/>
    <w:pPr>
      <w:spacing w:after="240"/>
      <w:ind w:left="720"/>
    </w:pPr>
    <w:rPr>
      <w:rFonts w:eastAsia="Times New Roman" w:cs="Times New Roman"/>
    </w:rPr>
  </w:style>
  <w:style w:type="paragraph" w:styleId="ListContinue2">
    <w:name w:val="List Continue 2"/>
    <w:basedOn w:val="Normal"/>
    <w:uiPriority w:val="21"/>
    <w:semiHidden/>
    <w:unhideWhenUsed/>
    <w:rsid w:val="0028197A"/>
    <w:pPr>
      <w:spacing w:after="240"/>
      <w:ind w:left="1440"/>
    </w:pPr>
    <w:rPr>
      <w:rFonts w:eastAsia="Times New Roman" w:cs="Times New Roman"/>
    </w:rPr>
  </w:style>
  <w:style w:type="paragraph" w:styleId="ListContinue3">
    <w:name w:val="List Continue 3"/>
    <w:basedOn w:val="Normal"/>
    <w:uiPriority w:val="21"/>
    <w:semiHidden/>
    <w:unhideWhenUsed/>
    <w:rsid w:val="0028197A"/>
    <w:pPr>
      <w:spacing w:after="240"/>
      <w:ind w:left="2160"/>
    </w:pPr>
    <w:rPr>
      <w:rFonts w:eastAsia="Times New Roman" w:cs="Times New Roman"/>
    </w:rPr>
  </w:style>
  <w:style w:type="paragraph" w:styleId="ListContinue4">
    <w:name w:val="List Continue 4"/>
    <w:basedOn w:val="Normal"/>
    <w:uiPriority w:val="21"/>
    <w:semiHidden/>
    <w:unhideWhenUsed/>
    <w:rsid w:val="0028197A"/>
    <w:pPr>
      <w:spacing w:after="240"/>
      <w:ind w:left="2880"/>
    </w:pPr>
    <w:rPr>
      <w:rFonts w:eastAsia="Times New Roman" w:cs="Times New Roman"/>
    </w:rPr>
  </w:style>
  <w:style w:type="paragraph" w:styleId="ListContinue5">
    <w:name w:val="List Continue 5"/>
    <w:basedOn w:val="Normal"/>
    <w:uiPriority w:val="21"/>
    <w:semiHidden/>
    <w:unhideWhenUsed/>
    <w:rsid w:val="0028197A"/>
    <w:pPr>
      <w:spacing w:after="240"/>
      <w:ind w:left="3600"/>
    </w:pPr>
    <w:rPr>
      <w:rFonts w:eastAsia="Times New Roman" w:cs="Times New Roman"/>
    </w:rPr>
  </w:style>
  <w:style w:type="paragraph" w:styleId="ListNumber2">
    <w:name w:val="List Number 2"/>
    <w:basedOn w:val="Normal"/>
    <w:uiPriority w:val="17"/>
    <w:semiHidden/>
    <w:unhideWhenUsed/>
    <w:rsid w:val="0028197A"/>
    <w:pPr>
      <w:numPr>
        <w:numId w:val="22"/>
      </w:numPr>
      <w:spacing w:after="240"/>
    </w:pPr>
    <w:rPr>
      <w:rFonts w:eastAsia="Times New Roman" w:cs="Times New Roman"/>
    </w:rPr>
  </w:style>
  <w:style w:type="paragraph" w:styleId="ListNumber3">
    <w:name w:val="List Number 3"/>
    <w:basedOn w:val="Normal"/>
    <w:uiPriority w:val="17"/>
    <w:semiHidden/>
    <w:unhideWhenUsed/>
    <w:rsid w:val="0028197A"/>
    <w:pPr>
      <w:numPr>
        <w:numId w:val="24"/>
      </w:numPr>
      <w:spacing w:after="240"/>
    </w:pPr>
    <w:rPr>
      <w:rFonts w:eastAsia="Times New Roman" w:cs="Times New Roman"/>
    </w:rPr>
  </w:style>
  <w:style w:type="paragraph" w:styleId="ListNumber4">
    <w:name w:val="List Number 4"/>
    <w:basedOn w:val="Normal"/>
    <w:uiPriority w:val="17"/>
    <w:semiHidden/>
    <w:unhideWhenUsed/>
    <w:rsid w:val="0028197A"/>
    <w:pPr>
      <w:numPr>
        <w:numId w:val="26"/>
      </w:numPr>
      <w:spacing w:after="240"/>
    </w:pPr>
    <w:rPr>
      <w:rFonts w:eastAsia="Times New Roman" w:cs="Times New Roman"/>
    </w:rPr>
  </w:style>
  <w:style w:type="paragraph" w:styleId="ListNumber5">
    <w:name w:val="List Number 5"/>
    <w:basedOn w:val="Normal"/>
    <w:uiPriority w:val="17"/>
    <w:semiHidden/>
    <w:unhideWhenUsed/>
    <w:rsid w:val="0028197A"/>
    <w:pPr>
      <w:numPr>
        <w:numId w:val="28"/>
      </w:numPr>
      <w:spacing w:after="240"/>
    </w:pPr>
    <w:rPr>
      <w:rFonts w:eastAsia="Times New Roman" w:cs="Times New Roman"/>
    </w:rPr>
  </w:style>
  <w:style w:type="paragraph" w:customStyle="1" w:styleId="BlockText2">
    <w:name w:val="Block Text 2"/>
    <w:basedOn w:val="Normal"/>
    <w:uiPriority w:val="14"/>
    <w:semiHidden/>
    <w:unhideWhenUsed/>
    <w:rsid w:val="0028197A"/>
    <w:pPr>
      <w:spacing w:line="480" w:lineRule="auto"/>
      <w:ind w:left="1440" w:right="1440"/>
    </w:pPr>
    <w:rPr>
      <w:rFonts w:eastAsia="Times New Roman" w:cs="Times New Roman"/>
    </w:rPr>
  </w:style>
  <w:style w:type="paragraph" w:customStyle="1" w:styleId="BlockTextTab">
    <w:name w:val="Block Text Tab"/>
    <w:basedOn w:val="Normal"/>
    <w:uiPriority w:val="39"/>
    <w:semiHidden/>
    <w:unhideWhenUsed/>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3"/>
    <w:qFormat/>
    <w:rsid w:val="00D2618F"/>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3"/>
    <w:rsid w:val="00C250E4"/>
    <w:rPr>
      <w:rFonts w:eastAsia="Times New Roman" w:cs="Times New Roman"/>
    </w:rPr>
  </w:style>
  <w:style w:type="paragraph" w:customStyle="1" w:styleId="BodyText4">
    <w:name w:val="Body Text 4"/>
    <w:basedOn w:val="Normal"/>
    <w:uiPriority w:val="3"/>
    <w:qFormat/>
    <w:rsid w:val="0028197A"/>
    <w:pPr>
      <w:spacing w:line="480" w:lineRule="auto"/>
    </w:pPr>
    <w:rPr>
      <w:rFonts w:eastAsia="Times New Roman" w:cs="Times New Roman"/>
    </w:rPr>
  </w:style>
  <w:style w:type="paragraph" w:styleId="BodyTextFirstIndent">
    <w:name w:val="Body Text First Indent"/>
    <w:basedOn w:val="Normal"/>
    <w:link w:val="BodyTextFirstIndentChar"/>
    <w:uiPriority w:val="39"/>
    <w:semiHidden/>
    <w:unhideWhenUsed/>
    <w:rsid w:val="0028197A"/>
    <w:pPr>
      <w:spacing w:after="240"/>
      <w:ind w:left="1440" w:firstLine="720"/>
    </w:pPr>
    <w:rPr>
      <w:rFonts w:eastAsia="Times New Roman" w:cs="Times New Roman"/>
    </w:rPr>
  </w:style>
  <w:style w:type="character" w:customStyle="1" w:styleId="BodyTextFirstIndentChar">
    <w:name w:val="Body Text First Indent Char"/>
    <w:basedOn w:val="BodyTextChar"/>
    <w:link w:val="BodyTextFirstIndent"/>
    <w:uiPriority w:val="39"/>
    <w:semiHidden/>
    <w:rsid w:val="003E3D7F"/>
    <w:rPr>
      <w:rFonts w:eastAsia="Times New Roman" w:cs="Times New Roman"/>
    </w:rPr>
  </w:style>
  <w:style w:type="paragraph" w:styleId="BodyTextIndent">
    <w:name w:val="Body Text Indent"/>
    <w:basedOn w:val="Normal"/>
    <w:link w:val="BodyTextIndentChar"/>
    <w:uiPriority w:val="39"/>
    <w:semiHidden/>
    <w:unhideWhenUsed/>
    <w:rsid w:val="0028197A"/>
    <w:pPr>
      <w:spacing w:after="240"/>
      <w:ind w:left="1440"/>
    </w:pPr>
    <w:rPr>
      <w:rFonts w:eastAsia="Times New Roman" w:cs="Times New Roman"/>
    </w:rPr>
  </w:style>
  <w:style w:type="character" w:customStyle="1" w:styleId="BodyTextIndentChar">
    <w:name w:val="Body Text Indent Char"/>
    <w:basedOn w:val="DefaultParagraphFont"/>
    <w:link w:val="BodyTextIndent"/>
    <w:uiPriority w:val="39"/>
    <w:semiHidden/>
    <w:rsid w:val="003E3D7F"/>
    <w:rPr>
      <w:rFonts w:eastAsia="Times New Roman" w:cs="Times New Roman"/>
    </w:rPr>
  </w:style>
  <w:style w:type="paragraph" w:styleId="BodyTextFirstIndent2">
    <w:name w:val="Body Text First Indent 2"/>
    <w:basedOn w:val="Normal"/>
    <w:link w:val="BodyTextFirstIndent2Char"/>
    <w:uiPriority w:val="39"/>
    <w:semiHidden/>
    <w:unhideWhenUsed/>
    <w:rsid w:val="007D5D5D"/>
    <w:pPr>
      <w:spacing w:line="480" w:lineRule="auto"/>
      <w:ind w:left="1440" w:firstLine="720"/>
    </w:pPr>
    <w:rPr>
      <w:rFonts w:eastAsia="Times New Roman" w:cs="Times New Roman"/>
    </w:rPr>
  </w:style>
  <w:style w:type="character" w:customStyle="1" w:styleId="BodyTextFirstIndent2Char">
    <w:name w:val="Body Text First Indent 2 Char"/>
    <w:basedOn w:val="BodyTextIndentChar"/>
    <w:link w:val="BodyTextFirstIndent2"/>
    <w:uiPriority w:val="39"/>
    <w:semiHidden/>
    <w:rsid w:val="003E3D7F"/>
    <w:rPr>
      <w:rFonts w:eastAsia="Times New Roman" w:cs="Times New Roman"/>
    </w:rPr>
  </w:style>
  <w:style w:type="paragraph" w:styleId="BodyTextIndent2">
    <w:name w:val="Body Text Indent 2"/>
    <w:basedOn w:val="Normal"/>
    <w:link w:val="BodyTextIndent2Char"/>
    <w:uiPriority w:val="39"/>
    <w:semiHidden/>
    <w:unhideWhenUsed/>
    <w:rsid w:val="007D5D5D"/>
    <w:pPr>
      <w:spacing w:line="480" w:lineRule="auto"/>
      <w:ind w:left="1440"/>
    </w:pPr>
    <w:rPr>
      <w:rFonts w:eastAsia="Times New Roman" w:cs="Times New Roman"/>
    </w:rPr>
  </w:style>
  <w:style w:type="character" w:customStyle="1" w:styleId="BodyTextIndent2Char">
    <w:name w:val="Body Text Indent 2 Char"/>
    <w:basedOn w:val="DefaultParagraphFont"/>
    <w:link w:val="BodyTextIndent2"/>
    <w:uiPriority w:val="39"/>
    <w:semiHidden/>
    <w:rsid w:val="003E3D7F"/>
    <w:rPr>
      <w:rFonts w:eastAsia="Times New Roman" w:cs="Times New Roman"/>
    </w:rPr>
  </w:style>
  <w:style w:type="paragraph" w:styleId="BodyTextIndent3">
    <w:name w:val="Body Text Indent 3"/>
    <w:basedOn w:val="Normal"/>
    <w:link w:val="BodyTextIndent3Char"/>
    <w:uiPriority w:val="39"/>
    <w:semiHidden/>
    <w:unhideWhenUsed/>
    <w:rsid w:val="0028197A"/>
    <w:pPr>
      <w:tabs>
        <w:tab w:val="left" w:pos="4320"/>
      </w:tabs>
      <w:spacing w:after="240"/>
      <w:ind w:left="4320" w:hanging="4320"/>
    </w:pPr>
    <w:rPr>
      <w:rFonts w:eastAsia="Times New Roman" w:cs="Times New Roman"/>
    </w:rPr>
  </w:style>
  <w:style w:type="character" w:customStyle="1" w:styleId="BodyTextIndent3Char">
    <w:name w:val="Body Text Indent 3 Char"/>
    <w:basedOn w:val="DefaultParagraphFont"/>
    <w:link w:val="BodyTextIndent3"/>
    <w:uiPriority w:val="39"/>
    <w:semiHidden/>
    <w:rsid w:val="003E3D7F"/>
    <w:rPr>
      <w:rFonts w:eastAsia="Times New Roman" w:cs="Times New Roman"/>
    </w:rPr>
  </w:style>
  <w:style w:type="character" w:styleId="Emphasis">
    <w:name w:val="Emphasis"/>
    <w:basedOn w:val="DefaultParagraphFont"/>
    <w:uiPriority w:val="99"/>
    <w:semiHidden/>
    <w:unhideWhenUsed/>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pPr>
    <w:rPr>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unhideWhenUsed/>
    <w:rsid w:val="008648A6"/>
  </w:style>
  <w:style w:type="character" w:customStyle="1" w:styleId="FooterChar">
    <w:name w:val="Footer Char"/>
    <w:basedOn w:val="DefaultParagraphFont"/>
    <w:link w:val="Footer"/>
    <w:uiPriority w:val="99"/>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pPr>
    <w:rPr>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unhideWhenUsed/>
    <w:rsid w:val="008648A6"/>
    <w:rPr>
      <w:rFonts w:eastAsia="Times New Roman" w:cs="Times New Roman"/>
    </w:rPr>
  </w:style>
  <w:style w:type="character" w:customStyle="1" w:styleId="HeaderChar">
    <w:name w:val="Header Char"/>
    <w:basedOn w:val="DefaultParagraphFont"/>
    <w:link w:val="Header"/>
    <w:uiPriority w:val="99"/>
    <w:rsid w:val="008648A6"/>
    <w:rPr>
      <w:rFonts w:eastAsia="Times New Roman" w:cs="Times New Roman"/>
    </w:rPr>
  </w:style>
  <w:style w:type="paragraph" w:customStyle="1" w:styleId="Memohead">
    <w:name w:val="Memohead"/>
    <w:uiPriority w:val="99"/>
    <w:semiHidden/>
    <w:unhideWhenUsed/>
    <w:rsid w:val="0028197A"/>
    <w:pPr>
      <w:spacing w:after="240"/>
    </w:pPr>
    <w:rPr>
      <w:rFonts w:eastAsia="Times New Roman" w:cs="Times New Roman"/>
      <w:b/>
      <w:noProof/>
    </w:rPr>
  </w:style>
  <w:style w:type="paragraph" w:styleId="ListParagraph">
    <w:name w:val="List Paragraph"/>
    <w:basedOn w:val="Normal"/>
    <w:uiPriority w:val="99"/>
    <w:semiHidden/>
    <w:unhideWhenUsed/>
    <w:rsid w:val="0028197A"/>
    <w:pPr>
      <w:spacing w:after="240"/>
      <w:ind w:left="720"/>
      <w:contextualSpacing/>
    </w:pPr>
  </w:style>
  <w:style w:type="paragraph" w:styleId="PlainText">
    <w:name w:val="Plain Text"/>
    <w:basedOn w:val="Normal"/>
    <w:link w:val="PlainTextChar"/>
    <w:uiPriority w:val="99"/>
    <w:semiHidden/>
    <w:unhideWhenUsed/>
    <w:rsid w:val="008648A6"/>
    <w:rPr>
      <w:rFonts w:eastAsia="Times New Roman" w:cs="Times New Roman"/>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unhideWhenUsed/>
    <w:rsid w:val="008648A6"/>
    <w:rPr>
      <w:i/>
      <w:iCs/>
      <w:color w:val="000000" w:themeColor="text1"/>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qFormat/>
    <w:rsid w:val="0028197A"/>
    <w:pPr>
      <w:spacing w:after="240"/>
      <w:ind w:left="4320"/>
    </w:pPr>
    <w:rPr>
      <w:rFonts w:eastAsia="Times New Roman" w:cs="Times New Roman"/>
    </w:rPr>
  </w:style>
  <w:style w:type="character" w:customStyle="1" w:styleId="SignatureChar">
    <w:name w:val="Signature Char"/>
    <w:basedOn w:val="DefaultParagraphFont"/>
    <w:link w:val="Signature"/>
    <w:uiPriority w:val="44"/>
    <w:rsid w:val="00C250E4"/>
    <w:rPr>
      <w:rFonts w:eastAsia="Times New Roman" w:cs="Times New Roman"/>
    </w:rPr>
  </w:style>
  <w:style w:type="character" w:styleId="Strong">
    <w:name w:val="Strong"/>
    <w:basedOn w:val="DefaultParagraphFont"/>
    <w:uiPriority w:val="99"/>
    <w:semiHidden/>
    <w:unhideWhenUsed/>
    <w:rsid w:val="008648A6"/>
    <w:rPr>
      <w:b/>
      <w:bCs/>
    </w:rPr>
  </w:style>
  <w:style w:type="character" w:styleId="SubtleEmphasis">
    <w:name w:val="Subtle Emphasis"/>
    <w:basedOn w:val="DefaultParagraphFont"/>
    <w:uiPriority w:val="99"/>
    <w:semiHidden/>
    <w:unhideWhenUsed/>
    <w:rsid w:val="008648A6"/>
    <w:rPr>
      <w:i/>
      <w:iCs/>
      <w:color w:val="808080" w:themeColor="text1" w:themeTint="7F"/>
    </w:rPr>
  </w:style>
  <w:style w:type="character" w:styleId="SubtleReference">
    <w:name w:val="Subtle Reference"/>
    <w:basedOn w:val="DefaultParagraphFont"/>
    <w:uiPriority w:val="99"/>
    <w:semiHidden/>
    <w:unhideWhenUsed/>
    <w:rsid w:val="008648A6"/>
    <w:rPr>
      <w:smallCaps/>
      <w:color w:val="C0504D" w:themeColor="accent2"/>
      <w:u w:val="single"/>
    </w:rPr>
  </w:style>
  <w:style w:type="character" w:customStyle="1" w:styleId="TrailerWGM">
    <w:name w:val="Trailer WGM"/>
    <w:basedOn w:val="DefaultParagraphFont"/>
    <w:uiPriority w:val="99"/>
    <w:semiHidden/>
    <w:unhideWhenUsed/>
    <w:rsid w:val="008648A6"/>
    <w:rPr>
      <w:caps/>
      <w:sz w:val="14"/>
    </w:rPr>
  </w:style>
  <w:style w:type="table" w:styleId="TableGrid">
    <w:name w:val="Table Grid"/>
    <w:basedOn w:val="TableNormal"/>
    <w:uiPriority w:val="59"/>
    <w:semiHidden/>
    <w:unhideWhenUsed/>
    <w:rsid w:val="003E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unhideWhenUsed/>
    <w:rsid w:val="0028197A"/>
    <w:pPr>
      <w:spacing w:after="240"/>
    </w:pPr>
    <w:rPr>
      <w:b/>
      <w:bCs/>
      <w:color w:val="4F81BD" w:themeColor="accent1"/>
      <w:sz w:val="18"/>
      <w:szCs w:val="18"/>
    </w:rPr>
  </w:style>
  <w:style w:type="character" w:styleId="IntenseEmphasis">
    <w:name w:val="Intense Emphasis"/>
    <w:basedOn w:val="DefaultParagraphFont"/>
    <w:uiPriority w:val="99"/>
    <w:semiHidden/>
    <w:unhideWhenUsed/>
    <w:rsid w:val="00460FC6"/>
    <w:rPr>
      <w:b/>
      <w:bCs/>
      <w:i/>
      <w:iCs/>
      <w:color w:val="4F81BD" w:themeColor="accent1"/>
    </w:rPr>
  </w:style>
  <w:style w:type="paragraph" w:styleId="IntenseQuote">
    <w:name w:val="Intense Quote"/>
    <w:basedOn w:val="Normal"/>
    <w:next w:val="Normal"/>
    <w:link w:val="IntenseQuoteChar"/>
    <w:uiPriority w:val="99"/>
    <w:semiHidden/>
    <w:unhideWhenUsed/>
    <w:rsid w:val="00460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pPr>
    <w:rPr>
      <w:rFonts w:eastAsiaTheme="majorEastAsia" w:cstheme="majorBidi"/>
      <w:b/>
      <w:bCs/>
      <w:szCs w:val="28"/>
    </w:rPr>
  </w:style>
  <w:style w:type="character" w:styleId="BookTitle">
    <w:name w:val="Book Title"/>
    <w:basedOn w:val="DefaultParagraphFont"/>
    <w:uiPriority w:val="99"/>
    <w:semiHidden/>
    <w:unhideWhenUsed/>
    <w:rsid w:val="00C32536"/>
    <w:rPr>
      <w:b/>
      <w:bCs/>
      <w:smallCaps/>
      <w:spacing w:val="5"/>
    </w:rPr>
  </w:style>
  <w:style w:type="character" w:styleId="IntenseReference">
    <w:name w:val="Intense Reference"/>
    <w:basedOn w:val="DefaultParagraphFont"/>
    <w:uiPriority w:val="99"/>
    <w:semiHidden/>
    <w:unhideWhenUsed/>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pPr>
  </w:style>
  <w:style w:type="paragraph" w:styleId="Bibliography">
    <w:name w:val="Bibliography"/>
    <w:basedOn w:val="Normal"/>
    <w:next w:val="Normal"/>
    <w:uiPriority w:val="37"/>
    <w:semiHidden/>
    <w:unhideWhenUsed/>
    <w:rsid w:val="0028197A"/>
    <w:pPr>
      <w:spacing w:after="240"/>
    </w:pPr>
  </w:style>
  <w:style w:type="paragraph" w:styleId="EnvelopeAddress">
    <w:name w:val="envelope address"/>
    <w:basedOn w:val="Normal"/>
    <w:uiPriority w:val="99"/>
    <w:semiHidden/>
    <w:unhideWhenUsed/>
    <w:rsid w:val="002819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8197A"/>
    <w:rPr>
      <w:rFonts w:eastAsiaTheme="majorEastAsia" w:cstheme="majorBidi"/>
      <w:sz w:val="20"/>
      <w:szCs w:val="20"/>
    </w:rPr>
  </w:style>
  <w:style w:type="paragraph" w:styleId="TOC1">
    <w:name w:val="toc 1"/>
    <w:basedOn w:val="Normal"/>
    <w:next w:val="Normal"/>
    <w:autoRedefine/>
    <w:uiPriority w:val="49"/>
    <w:semiHidden/>
    <w:unhideWhenUsed/>
    <w:rsid w:val="00247378"/>
    <w:pPr>
      <w:spacing w:after="120"/>
      <w:ind w:left="720" w:right="720" w:hanging="720"/>
    </w:pPr>
  </w:style>
  <w:style w:type="paragraph" w:styleId="TOC2">
    <w:name w:val="toc 2"/>
    <w:basedOn w:val="Normal"/>
    <w:next w:val="Normal"/>
    <w:autoRedefine/>
    <w:uiPriority w:val="49"/>
    <w:semiHidden/>
    <w:unhideWhenUsed/>
    <w:rsid w:val="00247378"/>
    <w:pPr>
      <w:spacing w:after="120"/>
      <w:ind w:left="1440" w:right="720" w:hanging="720"/>
    </w:pPr>
  </w:style>
  <w:style w:type="paragraph" w:styleId="TOC3">
    <w:name w:val="toc 3"/>
    <w:basedOn w:val="Normal"/>
    <w:next w:val="Normal"/>
    <w:autoRedefine/>
    <w:uiPriority w:val="49"/>
    <w:semiHidden/>
    <w:unhideWhenUsed/>
    <w:rsid w:val="00247378"/>
    <w:pPr>
      <w:spacing w:after="120"/>
      <w:ind w:left="2160" w:right="720" w:hanging="720"/>
    </w:pPr>
  </w:style>
  <w:style w:type="paragraph" w:styleId="TOC4">
    <w:name w:val="toc 4"/>
    <w:basedOn w:val="Normal"/>
    <w:next w:val="Normal"/>
    <w:autoRedefine/>
    <w:uiPriority w:val="49"/>
    <w:semiHidden/>
    <w:unhideWhenUsed/>
    <w:rsid w:val="00247378"/>
    <w:pPr>
      <w:spacing w:after="120"/>
      <w:ind w:left="2880" w:right="720" w:hanging="720"/>
    </w:pPr>
  </w:style>
  <w:style w:type="paragraph" w:styleId="TOC5">
    <w:name w:val="toc 5"/>
    <w:basedOn w:val="Normal"/>
    <w:next w:val="Normal"/>
    <w:autoRedefine/>
    <w:uiPriority w:val="49"/>
    <w:semiHidden/>
    <w:unhideWhenUsed/>
    <w:rsid w:val="00247378"/>
    <w:pPr>
      <w:spacing w:after="120"/>
      <w:ind w:left="3600" w:right="720" w:hanging="720"/>
    </w:pPr>
  </w:style>
  <w:style w:type="paragraph" w:styleId="TOC6">
    <w:name w:val="toc 6"/>
    <w:basedOn w:val="Normal"/>
    <w:next w:val="Normal"/>
    <w:autoRedefine/>
    <w:uiPriority w:val="49"/>
    <w:semiHidden/>
    <w:unhideWhenUsed/>
    <w:rsid w:val="00247378"/>
    <w:pPr>
      <w:spacing w:after="120"/>
      <w:ind w:left="4320" w:right="720" w:hanging="720"/>
    </w:pPr>
  </w:style>
  <w:style w:type="paragraph" w:styleId="TOC7">
    <w:name w:val="toc 7"/>
    <w:basedOn w:val="Normal"/>
    <w:next w:val="Normal"/>
    <w:autoRedefine/>
    <w:uiPriority w:val="49"/>
    <w:semiHidden/>
    <w:unhideWhenUsed/>
    <w:rsid w:val="00247378"/>
    <w:pPr>
      <w:spacing w:after="120"/>
      <w:ind w:left="4320" w:right="720" w:hanging="720"/>
    </w:pPr>
  </w:style>
  <w:style w:type="paragraph" w:styleId="TOC8">
    <w:name w:val="toc 8"/>
    <w:basedOn w:val="Normal"/>
    <w:next w:val="Normal"/>
    <w:autoRedefine/>
    <w:uiPriority w:val="49"/>
    <w:semiHidden/>
    <w:unhideWhenUsed/>
    <w:rsid w:val="00247378"/>
    <w:pPr>
      <w:spacing w:after="120"/>
      <w:ind w:left="4320" w:right="720" w:hanging="720"/>
    </w:pPr>
  </w:style>
  <w:style w:type="paragraph" w:styleId="TOC9">
    <w:name w:val="toc 9"/>
    <w:basedOn w:val="Normal"/>
    <w:next w:val="Normal"/>
    <w:autoRedefine/>
    <w:uiPriority w:val="49"/>
    <w:semiHidden/>
    <w:unhideWhenUsed/>
    <w:rsid w:val="00247378"/>
    <w:pPr>
      <w:spacing w:after="120"/>
      <w:ind w:left="4320" w:right="720" w:hanging="720"/>
    </w:pPr>
  </w:style>
  <w:style w:type="paragraph" w:styleId="Index1">
    <w:name w:val="index 1"/>
    <w:basedOn w:val="Normal"/>
    <w:next w:val="Normal"/>
    <w:autoRedefine/>
    <w:uiPriority w:val="99"/>
    <w:semiHidden/>
    <w:unhideWhenUsed/>
    <w:rsid w:val="0028197A"/>
    <w:pPr>
      <w:ind w:left="240" w:hanging="240"/>
    </w:pPr>
  </w:style>
  <w:style w:type="paragraph" w:styleId="IndexHeading">
    <w:name w:val="index heading"/>
    <w:basedOn w:val="Normal"/>
    <w:next w:val="Index1"/>
    <w:uiPriority w:val="99"/>
    <w:semiHidden/>
    <w:unhideWhenUsed/>
    <w:rsid w:val="0028197A"/>
    <w:pPr>
      <w:spacing w:after="240"/>
    </w:pPr>
    <w:rPr>
      <w:rFonts w:eastAsiaTheme="majorEastAsia" w:cstheme="majorBidi"/>
      <w:b/>
      <w:bCs/>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pPr>
    <w:rPr>
      <w:rFonts w:eastAsiaTheme="majorEastAsia" w:cstheme="majorBidi"/>
      <w:b/>
      <w:bCs/>
    </w:rPr>
  </w:style>
  <w:style w:type="numbering" w:styleId="111111">
    <w:name w:val="Outline List 2"/>
    <w:basedOn w:val="NoList"/>
    <w:uiPriority w:val="99"/>
    <w:semiHidden/>
    <w:unhideWhenUsed/>
    <w:rsid w:val="00C76A88"/>
    <w:pPr>
      <w:numPr>
        <w:numId w:val="30"/>
      </w:numPr>
    </w:pPr>
  </w:style>
  <w:style w:type="numbering" w:styleId="1ai">
    <w:name w:val="Outline List 1"/>
    <w:basedOn w:val="NoList"/>
    <w:uiPriority w:val="99"/>
    <w:semiHidden/>
    <w:unhideWhenUsed/>
    <w:rsid w:val="00C76A88"/>
    <w:pPr>
      <w:numPr>
        <w:numId w:val="31"/>
      </w:numPr>
    </w:pPr>
  </w:style>
  <w:style w:type="numbering" w:styleId="ArticleSection">
    <w:name w:val="Outline List 3"/>
    <w:basedOn w:val="NoList"/>
    <w:uiPriority w:val="99"/>
    <w:semiHidden/>
    <w:unhideWhenUsed/>
    <w:rsid w:val="00C76A88"/>
    <w:pPr>
      <w:numPr>
        <w:numId w:val="32"/>
      </w:numPr>
    </w:pPr>
  </w:style>
  <w:style w:type="paragraph" w:styleId="BalloonText">
    <w:name w:val="Balloon Text"/>
    <w:basedOn w:val="Normal"/>
    <w:link w:val="BalloonTextChar"/>
    <w:uiPriority w:val="99"/>
    <w:semiHidden/>
    <w:unhideWhenUsed/>
    <w:rsid w:val="00C76A88"/>
    <w:rPr>
      <w:rFonts w:ascii="Tahoma" w:hAnsi="Tahoma" w:cs="Tahoma"/>
      <w:sz w:val="16"/>
      <w:szCs w:val="16"/>
    </w:rPr>
  </w:style>
  <w:style w:type="character" w:customStyle="1" w:styleId="BalloonTextChar">
    <w:name w:val="Balloon Text Char"/>
    <w:basedOn w:val="DefaultParagraphFont"/>
    <w:link w:val="BalloonText"/>
    <w:uiPriority w:val="99"/>
    <w:semiHidden/>
    <w:rsid w:val="00C76A88"/>
    <w:rPr>
      <w:rFonts w:ascii="Tahoma" w:hAnsi="Tahoma" w:cs="Tahoma"/>
      <w:sz w:val="16"/>
      <w:szCs w:val="16"/>
    </w:rPr>
  </w:style>
  <w:style w:type="paragraph" w:styleId="Closing">
    <w:name w:val="Closing"/>
    <w:basedOn w:val="Normal"/>
    <w:link w:val="ClosingChar"/>
    <w:uiPriority w:val="99"/>
    <w:semiHidden/>
    <w:unhideWhenUsed/>
    <w:rsid w:val="00C76A88"/>
    <w:pPr>
      <w:ind w:left="4320"/>
    </w:pPr>
  </w:style>
  <w:style w:type="character" w:customStyle="1" w:styleId="ClosingChar">
    <w:name w:val="Closing Char"/>
    <w:basedOn w:val="DefaultParagraphFont"/>
    <w:link w:val="Closing"/>
    <w:uiPriority w:val="99"/>
    <w:semiHidden/>
    <w:rsid w:val="00C76A88"/>
  </w:style>
  <w:style w:type="table" w:styleId="ColorfulGrid">
    <w:name w:val="Colorful Grid"/>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76A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76A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76A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76A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76A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76A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76A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76A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76A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76A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76A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76A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76A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76A88"/>
    <w:rPr>
      <w:sz w:val="16"/>
      <w:szCs w:val="16"/>
    </w:rPr>
  </w:style>
  <w:style w:type="paragraph" w:styleId="CommentText">
    <w:name w:val="annotation text"/>
    <w:basedOn w:val="Normal"/>
    <w:link w:val="CommentTextChar"/>
    <w:uiPriority w:val="99"/>
    <w:semiHidden/>
    <w:unhideWhenUsed/>
    <w:rsid w:val="00C76A88"/>
    <w:rPr>
      <w:sz w:val="20"/>
      <w:szCs w:val="20"/>
    </w:rPr>
  </w:style>
  <w:style w:type="character" w:customStyle="1" w:styleId="CommentTextChar">
    <w:name w:val="Comment Text Char"/>
    <w:basedOn w:val="DefaultParagraphFont"/>
    <w:link w:val="CommentText"/>
    <w:uiPriority w:val="99"/>
    <w:semiHidden/>
    <w:rsid w:val="00C76A88"/>
    <w:rPr>
      <w:sz w:val="20"/>
      <w:szCs w:val="20"/>
    </w:rPr>
  </w:style>
  <w:style w:type="paragraph" w:styleId="CommentSubject">
    <w:name w:val="annotation subject"/>
    <w:basedOn w:val="CommentText"/>
    <w:next w:val="CommentText"/>
    <w:link w:val="CommentSubjectChar"/>
    <w:uiPriority w:val="99"/>
    <w:semiHidden/>
    <w:unhideWhenUsed/>
    <w:rsid w:val="00C76A88"/>
    <w:rPr>
      <w:b/>
      <w:bCs/>
    </w:rPr>
  </w:style>
  <w:style w:type="character" w:customStyle="1" w:styleId="CommentSubjectChar">
    <w:name w:val="Comment Subject Char"/>
    <w:basedOn w:val="CommentTextChar"/>
    <w:link w:val="CommentSubject"/>
    <w:uiPriority w:val="99"/>
    <w:semiHidden/>
    <w:rsid w:val="00C76A88"/>
    <w:rPr>
      <w:b/>
      <w:bCs/>
      <w:sz w:val="20"/>
      <w:szCs w:val="20"/>
    </w:rPr>
  </w:style>
  <w:style w:type="table" w:styleId="DarkList">
    <w:name w:val="Dark List"/>
    <w:basedOn w:val="TableNormal"/>
    <w:uiPriority w:val="70"/>
    <w:semiHidden/>
    <w:unhideWhenUsed/>
    <w:rsid w:val="00C76A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76A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76A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76A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76A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76A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76A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C76A88"/>
  </w:style>
  <w:style w:type="character" w:customStyle="1" w:styleId="DateChar">
    <w:name w:val="Date Char"/>
    <w:basedOn w:val="DefaultParagraphFont"/>
    <w:link w:val="Date"/>
    <w:uiPriority w:val="99"/>
    <w:semiHidden/>
    <w:rsid w:val="00C76A88"/>
  </w:style>
  <w:style w:type="paragraph" w:styleId="DocumentMap">
    <w:name w:val="Document Map"/>
    <w:basedOn w:val="Normal"/>
    <w:link w:val="DocumentMapChar"/>
    <w:uiPriority w:val="99"/>
    <w:semiHidden/>
    <w:unhideWhenUsed/>
    <w:rsid w:val="00C76A88"/>
    <w:rPr>
      <w:rFonts w:ascii="Tahoma" w:hAnsi="Tahoma" w:cs="Tahoma"/>
      <w:sz w:val="16"/>
      <w:szCs w:val="16"/>
    </w:rPr>
  </w:style>
  <w:style w:type="character" w:customStyle="1" w:styleId="DocumentMapChar">
    <w:name w:val="Document Map Char"/>
    <w:basedOn w:val="DefaultParagraphFont"/>
    <w:link w:val="DocumentMap"/>
    <w:uiPriority w:val="99"/>
    <w:semiHidden/>
    <w:rsid w:val="00C76A88"/>
    <w:rPr>
      <w:rFonts w:ascii="Tahoma" w:hAnsi="Tahoma" w:cs="Tahoma"/>
      <w:sz w:val="16"/>
      <w:szCs w:val="16"/>
    </w:rPr>
  </w:style>
  <w:style w:type="paragraph" w:styleId="E-mailSignature">
    <w:name w:val="E-mail Signature"/>
    <w:basedOn w:val="Normal"/>
    <w:link w:val="E-mailSignatureChar"/>
    <w:uiPriority w:val="99"/>
    <w:semiHidden/>
    <w:unhideWhenUsed/>
    <w:rsid w:val="00C76A88"/>
  </w:style>
  <w:style w:type="character" w:customStyle="1" w:styleId="E-mailSignatureChar">
    <w:name w:val="E-mail Signature Char"/>
    <w:basedOn w:val="DefaultParagraphFont"/>
    <w:link w:val="E-mailSignature"/>
    <w:uiPriority w:val="99"/>
    <w:semiHidden/>
    <w:rsid w:val="00C76A88"/>
  </w:style>
  <w:style w:type="character" w:styleId="FollowedHyperlink">
    <w:name w:val="FollowedHyperlink"/>
    <w:basedOn w:val="DefaultParagraphFont"/>
    <w:uiPriority w:val="99"/>
    <w:semiHidden/>
    <w:unhideWhenUsed/>
    <w:rsid w:val="00C76A88"/>
    <w:rPr>
      <w:color w:val="800080" w:themeColor="followedHyperlink"/>
      <w:u w:val="single"/>
    </w:rPr>
  </w:style>
  <w:style w:type="character" w:styleId="HTMLAcronym">
    <w:name w:val="HTML Acronym"/>
    <w:basedOn w:val="DefaultParagraphFont"/>
    <w:uiPriority w:val="99"/>
    <w:semiHidden/>
    <w:unhideWhenUsed/>
    <w:rsid w:val="00C76A88"/>
  </w:style>
  <w:style w:type="paragraph" w:styleId="HTMLAddress">
    <w:name w:val="HTML Address"/>
    <w:basedOn w:val="Normal"/>
    <w:link w:val="HTMLAddressChar"/>
    <w:uiPriority w:val="99"/>
    <w:semiHidden/>
    <w:unhideWhenUsed/>
    <w:rsid w:val="00C76A88"/>
    <w:rPr>
      <w:i/>
      <w:iCs/>
    </w:rPr>
  </w:style>
  <w:style w:type="character" w:customStyle="1" w:styleId="HTMLAddressChar">
    <w:name w:val="HTML Address Char"/>
    <w:basedOn w:val="DefaultParagraphFont"/>
    <w:link w:val="HTMLAddress"/>
    <w:uiPriority w:val="99"/>
    <w:semiHidden/>
    <w:rsid w:val="00C76A88"/>
    <w:rPr>
      <w:i/>
      <w:iCs/>
    </w:rPr>
  </w:style>
  <w:style w:type="character" w:styleId="HTMLCite">
    <w:name w:val="HTML Cite"/>
    <w:basedOn w:val="DefaultParagraphFont"/>
    <w:uiPriority w:val="99"/>
    <w:semiHidden/>
    <w:unhideWhenUsed/>
    <w:rsid w:val="00C76A88"/>
    <w:rPr>
      <w:i/>
      <w:iCs/>
    </w:rPr>
  </w:style>
  <w:style w:type="character" w:styleId="HTMLCode">
    <w:name w:val="HTML Code"/>
    <w:basedOn w:val="DefaultParagraphFont"/>
    <w:uiPriority w:val="99"/>
    <w:semiHidden/>
    <w:unhideWhenUsed/>
    <w:rsid w:val="00C76A88"/>
    <w:rPr>
      <w:rFonts w:ascii="Consolas" w:hAnsi="Consolas" w:cs="Consolas"/>
      <w:sz w:val="20"/>
      <w:szCs w:val="20"/>
    </w:rPr>
  </w:style>
  <w:style w:type="character" w:styleId="HTMLDefinition">
    <w:name w:val="HTML Definition"/>
    <w:basedOn w:val="DefaultParagraphFont"/>
    <w:uiPriority w:val="99"/>
    <w:semiHidden/>
    <w:unhideWhenUsed/>
    <w:rsid w:val="00C76A88"/>
    <w:rPr>
      <w:i/>
      <w:iCs/>
    </w:rPr>
  </w:style>
  <w:style w:type="character" w:styleId="HTMLKeyboard">
    <w:name w:val="HTML Keyboard"/>
    <w:basedOn w:val="DefaultParagraphFont"/>
    <w:uiPriority w:val="99"/>
    <w:semiHidden/>
    <w:unhideWhenUsed/>
    <w:rsid w:val="00C76A88"/>
    <w:rPr>
      <w:rFonts w:ascii="Consolas" w:hAnsi="Consolas" w:cs="Consolas"/>
      <w:sz w:val="20"/>
      <w:szCs w:val="20"/>
    </w:rPr>
  </w:style>
  <w:style w:type="paragraph" w:styleId="HTMLPreformatted">
    <w:name w:val="HTML Preformatted"/>
    <w:basedOn w:val="Normal"/>
    <w:link w:val="HTMLPreformattedChar"/>
    <w:uiPriority w:val="99"/>
    <w:semiHidden/>
    <w:unhideWhenUsed/>
    <w:rsid w:val="00C76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6A88"/>
    <w:rPr>
      <w:rFonts w:ascii="Consolas" w:hAnsi="Consolas" w:cs="Consolas"/>
      <w:sz w:val="20"/>
      <w:szCs w:val="20"/>
    </w:rPr>
  </w:style>
  <w:style w:type="character" w:styleId="HTMLSample">
    <w:name w:val="HTML Sample"/>
    <w:basedOn w:val="DefaultParagraphFont"/>
    <w:uiPriority w:val="99"/>
    <w:semiHidden/>
    <w:unhideWhenUsed/>
    <w:rsid w:val="00C76A88"/>
    <w:rPr>
      <w:rFonts w:ascii="Consolas" w:hAnsi="Consolas" w:cs="Consolas"/>
      <w:sz w:val="24"/>
      <w:szCs w:val="24"/>
    </w:rPr>
  </w:style>
  <w:style w:type="character" w:styleId="HTMLTypewriter">
    <w:name w:val="HTML Typewriter"/>
    <w:basedOn w:val="DefaultParagraphFont"/>
    <w:uiPriority w:val="99"/>
    <w:semiHidden/>
    <w:unhideWhenUsed/>
    <w:rsid w:val="00C76A88"/>
    <w:rPr>
      <w:rFonts w:ascii="Consolas" w:hAnsi="Consolas" w:cs="Consolas"/>
      <w:sz w:val="20"/>
      <w:szCs w:val="20"/>
    </w:rPr>
  </w:style>
  <w:style w:type="character" w:styleId="HTMLVariable">
    <w:name w:val="HTML Variable"/>
    <w:basedOn w:val="DefaultParagraphFont"/>
    <w:uiPriority w:val="99"/>
    <w:semiHidden/>
    <w:unhideWhenUsed/>
    <w:rsid w:val="00C76A88"/>
    <w:rPr>
      <w:i/>
      <w:iCs/>
    </w:rPr>
  </w:style>
  <w:style w:type="character" w:styleId="Hyperlink">
    <w:name w:val="Hyperlink"/>
    <w:basedOn w:val="DefaultParagraphFont"/>
    <w:uiPriority w:val="99"/>
    <w:semiHidden/>
    <w:unhideWhenUsed/>
    <w:rsid w:val="00C76A88"/>
    <w:rPr>
      <w:color w:val="0000FF" w:themeColor="hyperlink"/>
      <w:u w:val="single"/>
    </w:rPr>
  </w:style>
  <w:style w:type="paragraph" w:styleId="Index2">
    <w:name w:val="index 2"/>
    <w:basedOn w:val="Normal"/>
    <w:next w:val="Normal"/>
    <w:autoRedefine/>
    <w:uiPriority w:val="99"/>
    <w:semiHidden/>
    <w:unhideWhenUsed/>
    <w:rsid w:val="00C76A88"/>
    <w:pPr>
      <w:ind w:left="480" w:hanging="240"/>
    </w:pPr>
  </w:style>
  <w:style w:type="paragraph" w:styleId="Index3">
    <w:name w:val="index 3"/>
    <w:basedOn w:val="Normal"/>
    <w:next w:val="Normal"/>
    <w:autoRedefine/>
    <w:uiPriority w:val="99"/>
    <w:semiHidden/>
    <w:unhideWhenUsed/>
    <w:rsid w:val="00C76A88"/>
    <w:pPr>
      <w:ind w:left="720" w:hanging="240"/>
    </w:pPr>
  </w:style>
  <w:style w:type="paragraph" w:styleId="Index4">
    <w:name w:val="index 4"/>
    <w:basedOn w:val="Normal"/>
    <w:next w:val="Normal"/>
    <w:autoRedefine/>
    <w:uiPriority w:val="99"/>
    <w:semiHidden/>
    <w:unhideWhenUsed/>
    <w:rsid w:val="00C76A88"/>
    <w:pPr>
      <w:ind w:left="960" w:hanging="240"/>
    </w:pPr>
  </w:style>
  <w:style w:type="paragraph" w:styleId="Index5">
    <w:name w:val="index 5"/>
    <w:basedOn w:val="Normal"/>
    <w:next w:val="Normal"/>
    <w:autoRedefine/>
    <w:uiPriority w:val="99"/>
    <w:semiHidden/>
    <w:unhideWhenUsed/>
    <w:rsid w:val="00C76A88"/>
    <w:pPr>
      <w:ind w:left="1200" w:hanging="240"/>
    </w:pPr>
  </w:style>
  <w:style w:type="paragraph" w:styleId="Index6">
    <w:name w:val="index 6"/>
    <w:basedOn w:val="Normal"/>
    <w:next w:val="Normal"/>
    <w:autoRedefine/>
    <w:uiPriority w:val="99"/>
    <w:semiHidden/>
    <w:unhideWhenUsed/>
    <w:rsid w:val="00C76A88"/>
    <w:pPr>
      <w:ind w:left="1440" w:hanging="240"/>
    </w:pPr>
  </w:style>
  <w:style w:type="paragraph" w:styleId="Index7">
    <w:name w:val="index 7"/>
    <w:basedOn w:val="Normal"/>
    <w:next w:val="Normal"/>
    <w:autoRedefine/>
    <w:uiPriority w:val="99"/>
    <w:semiHidden/>
    <w:unhideWhenUsed/>
    <w:rsid w:val="00C76A88"/>
    <w:pPr>
      <w:ind w:left="1680" w:hanging="240"/>
    </w:pPr>
  </w:style>
  <w:style w:type="paragraph" w:styleId="Index8">
    <w:name w:val="index 8"/>
    <w:basedOn w:val="Normal"/>
    <w:next w:val="Normal"/>
    <w:autoRedefine/>
    <w:uiPriority w:val="99"/>
    <w:semiHidden/>
    <w:unhideWhenUsed/>
    <w:rsid w:val="00C76A88"/>
    <w:pPr>
      <w:ind w:left="1920" w:hanging="240"/>
    </w:pPr>
  </w:style>
  <w:style w:type="paragraph" w:styleId="Index9">
    <w:name w:val="index 9"/>
    <w:basedOn w:val="Normal"/>
    <w:next w:val="Normal"/>
    <w:autoRedefine/>
    <w:uiPriority w:val="99"/>
    <w:semiHidden/>
    <w:unhideWhenUsed/>
    <w:rsid w:val="00C76A88"/>
    <w:pPr>
      <w:ind w:left="2160" w:hanging="240"/>
    </w:pPr>
  </w:style>
  <w:style w:type="table" w:styleId="LightGrid">
    <w:name w:val="Light Grid"/>
    <w:basedOn w:val="TableNormal"/>
    <w:uiPriority w:val="62"/>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76A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76A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76A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76A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76A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76A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76A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76A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76A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76A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76A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76A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76A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76A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76A88"/>
  </w:style>
  <w:style w:type="paragraph" w:styleId="MacroText">
    <w:name w:val="macro"/>
    <w:link w:val="MacroTextChar"/>
    <w:uiPriority w:val="99"/>
    <w:semiHidden/>
    <w:unhideWhenUsed/>
    <w:rsid w:val="00C76A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76A88"/>
    <w:rPr>
      <w:rFonts w:ascii="Consolas" w:hAnsi="Consolas" w:cs="Consolas"/>
      <w:sz w:val="20"/>
      <w:szCs w:val="20"/>
    </w:rPr>
  </w:style>
  <w:style w:type="table" w:styleId="MediumGrid1">
    <w:name w:val="Medium Grid 1"/>
    <w:basedOn w:val="TableNormal"/>
    <w:uiPriority w:val="67"/>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76A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76A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76A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76A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76A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76A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76A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76A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6A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6A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6A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6A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6A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6A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6A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6A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6A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76A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6A88"/>
    <w:rPr>
      <w:rFonts w:asciiTheme="majorHAnsi" w:eastAsiaTheme="majorEastAsia" w:hAnsiTheme="majorHAnsi" w:cstheme="majorBidi"/>
      <w:shd w:val="pct20" w:color="auto" w:fill="auto"/>
    </w:rPr>
  </w:style>
  <w:style w:type="paragraph" w:styleId="NoSpacing">
    <w:name w:val="No Spacing"/>
    <w:uiPriority w:val="98"/>
    <w:semiHidden/>
    <w:unhideWhenUsed/>
    <w:rsid w:val="00C76A88"/>
  </w:style>
  <w:style w:type="paragraph" w:styleId="NormalWeb">
    <w:name w:val="Normal (Web)"/>
    <w:basedOn w:val="Normal"/>
    <w:uiPriority w:val="99"/>
    <w:semiHidden/>
    <w:unhideWhenUsed/>
    <w:rsid w:val="00C76A88"/>
    <w:rPr>
      <w:rFonts w:cs="Times New Roman"/>
    </w:rPr>
  </w:style>
  <w:style w:type="paragraph" w:styleId="NormalIndent">
    <w:name w:val="Normal Indent"/>
    <w:basedOn w:val="Normal"/>
    <w:uiPriority w:val="99"/>
    <w:semiHidden/>
    <w:unhideWhenUsed/>
    <w:rsid w:val="00C76A88"/>
    <w:pPr>
      <w:ind w:left="720"/>
    </w:pPr>
  </w:style>
  <w:style w:type="paragraph" w:styleId="NoteHeading">
    <w:name w:val="Note Heading"/>
    <w:basedOn w:val="Normal"/>
    <w:next w:val="Normal"/>
    <w:link w:val="NoteHeadingChar"/>
    <w:uiPriority w:val="99"/>
    <w:semiHidden/>
    <w:unhideWhenUsed/>
    <w:rsid w:val="00C76A88"/>
  </w:style>
  <w:style w:type="character" w:customStyle="1" w:styleId="NoteHeadingChar">
    <w:name w:val="Note Heading Char"/>
    <w:basedOn w:val="DefaultParagraphFont"/>
    <w:link w:val="NoteHeading"/>
    <w:uiPriority w:val="99"/>
    <w:semiHidden/>
    <w:rsid w:val="00C76A88"/>
  </w:style>
  <w:style w:type="character" w:styleId="PlaceholderText">
    <w:name w:val="Placeholder Text"/>
    <w:basedOn w:val="DefaultParagraphFont"/>
    <w:uiPriority w:val="99"/>
    <w:semiHidden/>
    <w:unhideWhenUsed/>
    <w:rsid w:val="00C76A88"/>
    <w:rPr>
      <w:color w:val="808080"/>
    </w:rPr>
  </w:style>
  <w:style w:type="table" w:styleId="Table3Deffects1">
    <w:name w:val="Table 3D effects 1"/>
    <w:basedOn w:val="TableNormal"/>
    <w:uiPriority w:val="99"/>
    <w:semiHidden/>
    <w:unhideWhenUsed/>
    <w:rsid w:val="00C76A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6A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6A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6A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6A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6A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6A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6A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6A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6A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6A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6A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6A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6A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6A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6A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6A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6A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6A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6A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6A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76A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6A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6A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6A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6A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6A88"/>
    <w:pPr>
      <w:ind w:left="240" w:hanging="240"/>
    </w:pPr>
  </w:style>
  <w:style w:type="paragraph" w:styleId="TableofFigures">
    <w:name w:val="table of figures"/>
    <w:basedOn w:val="Normal"/>
    <w:next w:val="Normal"/>
    <w:uiPriority w:val="99"/>
    <w:semiHidden/>
    <w:unhideWhenUsed/>
    <w:rsid w:val="00C76A88"/>
  </w:style>
  <w:style w:type="table" w:styleId="TableProfessional">
    <w:name w:val="Table Professional"/>
    <w:basedOn w:val="TableNormal"/>
    <w:uiPriority w:val="99"/>
    <w:semiHidden/>
    <w:unhideWhenUsed/>
    <w:rsid w:val="00C7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6A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6A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6A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6A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6A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6A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6A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6A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unhideWhenUsed/>
    <w:rsid w:val="00EC2A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semiHidden/>
    <w:unhideWhenUsed/>
    <w:rsid w:val="00EC2A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semiHidden/>
    <w:unhideWhenUsed/>
    <w:rsid w:val="00EC2A7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unhideWhenUsed/>
    <w:rsid w:val="00EC2A7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semiHidden/>
    <w:unhideWhenUsed/>
    <w:rsid w:val="00EC2A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semiHidden/>
    <w:unhideWhenUsed/>
    <w:rsid w:val="00EC2A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semiHidden/>
    <w:unhideWhenUsed/>
    <w:rsid w:val="00EC2A7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EC2A7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EC2A7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EC2A7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EC2A7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EC2A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EC2A7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semiHidden/>
    <w:unhideWhenUsed/>
    <w:rsid w:val="00EC2A7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Accent5">
    <w:name w:val="List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3">
    <w:name w:val="List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2">
    <w:name w:val="List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
    <w:name w:val="List Table 5 Dark"/>
    <w:basedOn w:val="TableNormal"/>
    <w:uiPriority w:val="50"/>
    <w:semiHidden/>
    <w:unhideWhenUsed/>
    <w:rsid w:val="00EC2A7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EC2A7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EC2A7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EC2A7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EC2A7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EC2A7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EC2A7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4">
    <w:name w:val="List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3">
    <w:name w:val="List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2">
    <w:name w:val="List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semiHidden/>
    <w:unhideWhenUsed/>
    <w:rsid w:val="00EC2A7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semiHidden/>
    <w:unhideWhenUsed/>
    <w:rsid w:val="00EC2A7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semiHidden/>
    <w:unhideWhenUsed/>
    <w:rsid w:val="00EC2A7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4">
    <w:name w:val="List Table 3 Accent 4"/>
    <w:basedOn w:val="TableNormal"/>
    <w:uiPriority w:val="48"/>
    <w:semiHidden/>
    <w:unhideWhenUsed/>
    <w:rsid w:val="00EC2A7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3">
    <w:name w:val="List Table 3 Accent 3"/>
    <w:basedOn w:val="TableNormal"/>
    <w:uiPriority w:val="48"/>
    <w:semiHidden/>
    <w:unhideWhenUsed/>
    <w:rsid w:val="00EC2A7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2">
    <w:name w:val="List Table 3 Accent 2"/>
    <w:basedOn w:val="TableNormal"/>
    <w:uiPriority w:val="48"/>
    <w:semiHidden/>
    <w:unhideWhenUsed/>
    <w:rsid w:val="00EC2A7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1">
    <w:name w:val="List Table 3 Accent 1"/>
    <w:basedOn w:val="TableNormal"/>
    <w:uiPriority w:val="48"/>
    <w:semiHidden/>
    <w:unhideWhenUsed/>
    <w:rsid w:val="00EC2A7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2">
    <w:name w:val="List Table 2"/>
    <w:basedOn w:val="TableNormal"/>
    <w:uiPriority w:val="47"/>
    <w:semiHidden/>
    <w:unhideWhenUsed/>
    <w:rsid w:val="00EC2A7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semiHidden/>
    <w:unhideWhenUsed/>
    <w:rsid w:val="00EC2A7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5">
    <w:name w:val="List Table 2 Accent 5"/>
    <w:basedOn w:val="TableNormal"/>
    <w:uiPriority w:val="47"/>
    <w:semiHidden/>
    <w:unhideWhenUsed/>
    <w:rsid w:val="00EC2A7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semiHidden/>
    <w:unhideWhenUsed/>
    <w:rsid w:val="00EC2A7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3">
    <w:name w:val="List Table 2 Accent 3"/>
    <w:basedOn w:val="TableNormal"/>
    <w:uiPriority w:val="47"/>
    <w:semiHidden/>
    <w:unhideWhenUsed/>
    <w:rsid w:val="00EC2A7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2">
    <w:name w:val="List Table 2 Accent 2"/>
    <w:basedOn w:val="TableNormal"/>
    <w:uiPriority w:val="47"/>
    <w:semiHidden/>
    <w:unhideWhenUsed/>
    <w:rsid w:val="00EC2A7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1">
    <w:name w:val="List Table 2 Accent 1"/>
    <w:basedOn w:val="TableNormal"/>
    <w:uiPriority w:val="47"/>
    <w:semiHidden/>
    <w:unhideWhenUsed/>
    <w:rsid w:val="00EC2A7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semiHidden/>
    <w:unhideWhenUsed/>
    <w:rsid w:val="00EC2A7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semiHidden/>
    <w:unhideWhenUsed/>
    <w:rsid w:val="00EC2A7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1Light-Accent5">
    <w:name w:val="List Table 1 Light Accent 5"/>
    <w:basedOn w:val="TableNormal"/>
    <w:uiPriority w:val="46"/>
    <w:semiHidden/>
    <w:unhideWhenUsed/>
    <w:rsid w:val="00EC2A7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4">
    <w:name w:val="List Table 1 Light Accent 4"/>
    <w:basedOn w:val="TableNormal"/>
    <w:uiPriority w:val="46"/>
    <w:semiHidden/>
    <w:unhideWhenUsed/>
    <w:rsid w:val="00EC2A7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3">
    <w:name w:val="List Table 1 Light Accent 3"/>
    <w:basedOn w:val="TableNormal"/>
    <w:uiPriority w:val="46"/>
    <w:semiHidden/>
    <w:unhideWhenUsed/>
    <w:rsid w:val="00EC2A7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2">
    <w:name w:val="List Table 1 Light Accent 2"/>
    <w:basedOn w:val="TableNormal"/>
    <w:uiPriority w:val="46"/>
    <w:semiHidden/>
    <w:unhideWhenUsed/>
    <w:rsid w:val="00EC2A7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1">
    <w:name w:val="List Table 1 Light Accent 1"/>
    <w:basedOn w:val="TableNormal"/>
    <w:uiPriority w:val="46"/>
    <w:semiHidden/>
    <w:unhideWhenUsed/>
    <w:rsid w:val="00EC2A7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
    <w:name w:val="Grid Table 7 Colorful"/>
    <w:basedOn w:val="TableNormal"/>
    <w:uiPriority w:val="52"/>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6">
    <w:name w:val="Grid Table 7 Colorful Accent 6"/>
    <w:basedOn w:val="TableNormal"/>
    <w:uiPriority w:val="52"/>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4">
    <w:name w:val="Grid Table 7 Colorful Accent 4"/>
    <w:basedOn w:val="TableNormal"/>
    <w:uiPriority w:val="52"/>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3">
    <w:name w:val="Grid Table 7 Colorful Accent 3"/>
    <w:basedOn w:val="TableNormal"/>
    <w:uiPriority w:val="52"/>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2">
    <w:name w:val="Grid Table 7 Colorful Accent 2"/>
    <w:basedOn w:val="TableNormal"/>
    <w:uiPriority w:val="52"/>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1">
    <w:name w:val="Grid Table 7 Colorful Accent 1"/>
    <w:basedOn w:val="TableNormal"/>
    <w:uiPriority w:val="52"/>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
    <w:name w:val="Grid Table 6 Colorful"/>
    <w:basedOn w:val="TableNormal"/>
    <w:uiPriority w:val="51"/>
    <w:semiHidden/>
    <w:unhideWhenUsed/>
    <w:rsid w:val="00EC2A7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semiHidden/>
    <w:unhideWhenUsed/>
    <w:rsid w:val="00EC2A7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5">
    <w:name w:val="Grid Table 6 Colorful Accent 5"/>
    <w:basedOn w:val="TableNormal"/>
    <w:uiPriority w:val="51"/>
    <w:semiHidden/>
    <w:unhideWhenUsed/>
    <w:rsid w:val="00EC2A7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4">
    <w:name w:val="Grid Table 6 Colorful Accent 4"/>
    <w:basedOn w:val="TableNormal"/>
    <w:uiPriority w:val="51"/>
    <w:semiHidden/>
    <w:unhideWhenUsed/>
    <w:rsid w:val="00EC2A7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3">
    <w:name w:val="Grid Table 6 Colorful Accent 3"/>
    <w:basedOn w:val="TableNormal"/>
    <w:uiPriority w:val="51"/>
    <w:semiHidden/>
    <w:unhideWhenUsed/>
    <w:rsid w:val="00EC2A7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2">
    <w:name w:val="Grid Table 6 Colorful Accent 2"/>
    <w:basedOn w:val="TableNormal"/>
    <w:uiPriority w:val="51"/>
    <w:semiHidden/>
    <w:unhideWhenUsed/>
    <w:rsid w:val="00EC2A7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semiHidden/>
    <w:unhideWhenUsed/>
    <w:rsid w:val="00EC2A7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6">
    <w:name w:val="Grid Table 5 Dark Accent 6"/>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5">
    <w:name w:val="Grid Table 5 Dark Accent 5"/>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1">
    <w:name w:val="Grid Table 5 Dark Accent 1"/>
    <w:basedOn w:val="TableNormal"/>
    <w:uiPriority w:val="50"/>
    <w:semiHidden/>
    <w:unhideWhenUsed/>
    <w:rsid w:val="00EC2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
    <w:name w:val="Grid Table 4"/>
    <w:basedOn w:val="TableNormal"/>
    <w:uiPriority w:val="49"/>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1">
    <w:name w:val="Grid Table 4 Accent 1"/>
    <w:basedOn w:val="TableNormal"/>
    <w:uiPriority w:val="49"/>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semiHidden/>
    <w:unhideWhenUsed/>
    <w:rsid w:val="00EC2A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6">
    <w:name w:val="Grid Table 3 Accent 6"/>
    <w:basedOn w:val="TableNormal"/>
    <w:uiPriority w:val="48"/>
    <w:semiHidden/>
    <w:unhideWhenUsed/>
    <w:rsid w:val="00EC2A7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3-Accent5">
    <w:name w:val="Grid Table 3 Accent 5"/>
    <w:basedOn w:val="TableNormal"/>
    <w:uiPriority w:val="48"/>
    <w:semiHidden/>
    <w:unhideWhenUsed/>
    <w:rsid w:val="00EC2A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4">
    <w:name w:val="Grid Table 3 Accent 4"/>
    <w:basedOn w:val="TableNormal"/>
    <w:uiPriority w:val="48"/>
    <w:semiHidden/>
    <w:unhideWhenUsed/>
    <w:rsid w:val="00EC2A7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3">
    <w:name w:val="Grid Table 3 Accent 3"/>
    <w:basedOn w:val="TableNormal"/>
    <w:uiPriority w:val="48"/>
    <w:semiHidden/>
    <w:unhideWhenUsed/>
    <w:rsid w:val="00EC2A7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semiHidden/>
    <w:unhideWhenUsed/>
    <w:rsid w:val="00EC2A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1">
    <w:name w:val="Grid Table 3 Accent 1"/>
    <w:basedOn w:val="TableNormal"/>
    <w:uiPriority w:val="48"/>
    <w:semiHidden/>
    <w:unhideWhenUsed/>
    <w:rsid w:val="00EC2A7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
    <w:name w:val="Grid Table 2"/>
    <w:basedOn w:val="TableNormal"/>
    <w:uiPriority w:val="47"/>
    <w:semiHidden/>
    <w:unhideWhenUsed/>
    <w:rsid w:val="00EC2A7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semiHidden/>
    <w:unhideWhenUsed/>
    <w:rsid w:val="00EC2A7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5">
    <w:name w:val="Grid Table 2 Accent 5"/>
    <w:basedOn w:val="TableNormal"/>
    <w:uiPriority w:val="47"/>
    <w:semiHidden/>
    <w:unhideWhenUsed/>
    <w:rsid w:val="00EC2A7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semiHidden/>
    <w:unhideWhenUsed/>
    <w:rsid w:val="00EC2A7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semiHidden/>
    <w:unhideWhenUsed/>
    <w:rsid w:val="00EC2A7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semiHidden/>
    <w:unhideWhenUsed/>
    <w:rsid w:val="00EC2A7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semiHidden/>
    <w:unhideWhenUsed/>
    <w:rsid w:val="00EC2A7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semiHidden/>
    <w:unhideWhenUsed/>
    <w:rsid w:val="00E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EC2A7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EC2A7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EC2A7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EC2A7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EC2A7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EC2A7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FD5A94-3E63-401C-AA98-DCD6A6CE07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3.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weilnormal</Template>
  <TotalTime>66</TotalTime>
  <Pages>16</Pages>
  <Words>3325</Words>
  <Characters>23016</Characters>
  <Application>Microsoft Office Word</Application>
  <DocSecurity>0</DocSecurity>
  <Lines>959</Lines>
  <Paragraphs>1053</Paragraphs>
  <ScaleCrop>false</ScaleCrop>
  <HeadingPairs>
    <vt:vector size="2" baseType="variant">
      <vt:variant>
        <vt:lpstr>Title</vt:lpstr>
      </vt:variant>
      <vt:variant>
        <vt:i4>1</vt:i4>
      </vt:variant>
    </vt:vector>
  </HeadingPairs>
  <TitlesOfParts>
    <vt:vector size="1" baseType="lpstr">
      <vt:lpstr>Local: C:\TEMP\Weil Normal Templates\NewNormal-Weilv7US.dotm</vt:lpstr>
    </vt:vector>
  </TitlesOfParts>
  <Company>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C:\TEMP\Weil Normal Templates\NewNormal-Weilv7US.dotm</dc:title>
  <dc:creator>Berkovich, Ronit</dc:creator>
  <cp:lastModifiedBy>Berkovich, Ronit</cp:lastModifiedBy>
  <cp:revision>7</cp:revision>
  <dcterms:created xsi:type="dcterms:W3CDTF">2020-02-17T19:46:00Z</dcterms:created>
  <dcterms:modified xsi:type="dcterms:W3CDTF">2020-02-17T20:52:00Z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WEIL:\97382024\2\US.NY</vt:lpwstr>
  </property>
</Properties>
</file>