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567F" w14:textId="5092FC29" w:rsidR="007A3EF0" w:rsidRDefault="007A3EF0" w:rsidP="007A3EF0">
      <w:pPr>
        <w:jc w:val="right"/>
        <w:rPr>
          <w:rFonts w:ascii="Cambria" w:hAnsi="Cambria" w:cs="Arial"/>
          <w:b/>
          <w:bCs/>
          <w:sz w:val="24"/>
          <w:szCs w:val="24"/>
        </w:rPr>
      </w:pPr>
      <w:r>
        <w:rPr>
          <w:rFonts w:ascii="Cambria" w:hAnsi="Cambria" w:cs="Arial"/>
          <w:b/>
          <w:bCs/>
          <w:sz w:val="24"/>
          <w:szCs w:val="24"/>
        </w:rPr>
        <w:t>Tim Prudhoe, 2022/2023</w:t>
      </w:r>
    </w:p>
    <w:p w14:paraId="7EB6E08D" w14:textId="0D15A062" w:rsidR="00584263" w:rsidRPr="007A3EF0" w:rsidRDefault="001D0599" w:rsidP="00EA2B14">
      <w:pPr>
        <w:jc w:val="both"/>
        <w:rPr>
          <w:rFonts w:ascii="Cambria" w:hAnsi="Cambria" w:cs="Arial"/>
          <w:b/>
          <w:bCs/>
          <w:sz w:val="24"/>
          <w:szCs w:val="24"/>
        </w:rPr>
      </w:pPr>
      <w:r>
        <w:rPr>
          <w:rFonts w:ascii="Cambria" w:hAnsi="Cambria" w:cs="Arial"/>
          <w:b/>
          <w:bCs/>
          <w:sz w:val="24"/>
          <w:szCs w:val="24"/>
        </w:rPr>
        <w:t>Short Paper</w:t>
      </w:r>
      <w:r w:rsidR="007A3EF0">
        <w:rPr>
          <w:rFonts w:ascii="Cambria" w:hAnsi="Cambria" w:cs="Arial"/>
          <w:b/>
          <w:bCs/>
          <w:sz w:val="24"/>
          <w:szCs w:val="24"/>
        </w:rPr>
        <w:t xml:space="preserve"> (due </w:t>
      </w:r>
      <w:r>
        <w:rPr>
          <w:rFonts w:ascii="Cambria" w:hAnsi="Cambria" w:cs="Arial"/>
          <w:b/>
          <w:bCs/>
          <w:sz w:val="24"/>
          <w:szCs w:val="24"/>
        </w:rPr>
        <w:t>9.7</w:t>
      </w:r>
      <w:r w:rsidR="007A3EF0">
        <w:rPr>
          <w:rFonts w:ascii="Cambria" w:hAnsi="Cambria" w:cs="Arial"/>
          <w:b/>
          <w:bCs/>
          <w:sz w:val="24"/>
          <w:szCs w:val="24"/>
        </w:rPr>
        <w:t>.2023)</w:t>
      </w:r>
    </w:p>
    <w:p w14:paraId="2781AE61" w14:textId="77777777" w:rsidR="00584263" w:rsidRDefault="00584263" w:rsidP="00EA2B14">
      <w:pPr>
        <w:jc w:val="both"/>
        <w:rPr>
          <w:rFonts w:ascii="Cambria" w:hAnsi="Cambria" w:cs="Arial"/>
          <w:b/>
          <w:bCs/>
          <w:sz w:val="24"/>
          <w:szCs w:val="24"/>
        </w:rPr>
      </w:pPr>
    </w:p>
    <w:p w14:paraId="6A8E2FB6" w14:textId="7B41B58C" w:rsidR="006B3C9F" w:rsidRPr="006B3C9F" w:rsidRDefault="006B3C9F" w:rsidP="00EA2B14">
      <w:pPr>
        <w:jc w:val="both"/>
        <w:rPr>
          <w:rFonts w:ascii="Cambria" w:hAnsi="Cambria" w:cs="Arial"/>
          <w:b/>
          <w:bCs/>
          <w:i/>
          <w:iCs/>
          <w:sz w:val="24"/>
          <w:szCs w:val="24"/>
        </w:rPr>
      </w:pPr>
      <w:r>
        <w:rPr>
          <w:rFonts w:ascii="Cambria" w:hAnsi="Cambria" w:cs="Arial"/>
          <w:b/>
          <w:bCs/>
          <w:i/>
          <w:iCs/>
          <w:sz w:val="24"/>
          <w:szCs w:val="24"/>
        </w:rPr>
        <w:t xml:space="preserve">“Offer a comparative analysis of the balance between liquidation and restructuring goals and proceedings in </w:t>
      </w:r>
      <w:r w:rsidR="007378B8">
        <w:rPr>
          <w:rFonts w:ascii="Cambria" w:hAnsi="Cambria" w:cs="Arial"/>
          <w:b/>
          <w:bCs/>
          <w:i/>
          <w:iCs/>
          <w:sz w:val="24"/>
          <w:szCs w:val="24"/>
        </w:rPr>
        <w:t>two jurisdictions that are not your home jurisdiction (those two jurisdictions being Jamaica and Guyana)</w:t>
      </w:r>
    </w:p>
    <w:p w14:paraId="565A3E20" w14:textId="77777777" w:rsidR="007378B8" w:rsidRDefault="007378B8" w:rsidP="00EA2B14">
      <w:pPr>
        <w:jc w:val="both"/>
        <w:rPr>
          <w:rFonts w:ascii="Cambria" w:hAnsi="Cambria" w:cs="Arial"/>
          <w:b/>
          <w:bCs/>
          <w:sz w:val="24"/>
          <w:szCs w:val="24"/>
        </w:rPr>
      </w:pPr>
    </w:p>
    <w:p w14:paraId="416EFA52" w14:textId="321D6B08" w:rsidR="007378B8" w:rsidRDefault="007378B8" w:rsidP="00EA2B14">
      <w:pPr>
        <w:jc w:val="both"/>
        <w:rPr>
          <w:rFonts w:ascii="Cambria" w:hAnsi="Cambria" w:cs="Arial"/>
          <w:b/>
          <w:bCs/>
          <w:sz w:val="24"/>
          <w:szCs w:val="24"/>
        </w:rPr>
      </w:pPr>
      <w:r>
        <w:rPr>
          <w:rFonts w:ascii="Cambria" w:hAnsi="Cambria" w:cs="Arial"/>
          <w:b/>
          <w:bCs/>
          <w:sz w:val="24"/>
          <w:szCs w:val="24"/>
        </w:rPr>
        <w:t>Contents</w:t>
      </w:r>
    </w:p>
    <w:tbl>
      <w:tblPr>
        <w:tblStyle w:val="TableGrid"/>
        <w:tblW w:w="0" w:type="auto"/>
        <w:tblLook w:val="04A0" w:firstRow="1" w:lastRow="0" w:firstColumn="1" w:lastColumn="0" w:noHBand="0" w:noVBand="1"/>
      </w:tblPr>
      <w:tblGrid>
        <w:gridCol w:w="2337"/>
        <w:gridCol w:w="2337"/>
      </w:tblGrid>
      <w:tr w:rsidR="002E12C4" w14:paraId="4754B521" w14:textId="77777777" w:rsidTr="007378B8">
        <w:tc>
          <w:tcPr>
            <w:tcW w:w="2337" w:type="dxa"/>
          </w:tcPr>
          <w:p w14:paraId="33B93DEF" w14:textId="1644A802" w:rsidR="002E12C4" w:rsidRPr="002E12C4" w:rsidRDefault="002E12C4" w:rsidP="00EA2B14">
            <w:pPr>
              <w:jc w:val="both"/>
              <w:rPr>
                <w:rFonts w:ascii="Cambria" w:hAnsi="Cambria" w:cs="Arial"/>
                <w:sz w:val="24"/>
                <w:szCs w:val="24"/>
              </w:rPr>
            </w:pPr>
          </w:p>
        </w:tc>
        <w:tc>
          <w:tcPr>
            <w:tcW w:w="2337" w:type="dxa"/>
          </w:tcPr>
          <w:p w14:paraId="6489B8C3" w14:textId="45D5F2C8" w:rsidR="002E12C4" w:rsidRPr="002E12C4" w:rsidRDefault="002E12C4" w:rsidP="00EA2B14">
            <w:pPr>
              <w:jc w:val="both"/>
              <w:rPr>
                <w:rFonts w:ascii="Cambria" w:hAnsi="Cambria" w:cs="Arial"/>
                <w:sz w:val="24"/>
                <w:szCs w:val="24"/>
              </w:rPr>
            </w:pPr>
            <w:r>
              <w:rPr>
                <w:rFonts w:ascii="Cambria" w:hAnsi="Cambria" w:cs="Arial"/>
                <w:sz w:val="24"/>
                <w:szCs w:val="24"/>
              </w:rPr>
              <w:t>Page number(s)</w:t>
            </w:r>
          </w:p>
        </w:tc>
      </w:tr>
      <w:tr w:rsidR="002E12C4" w14:paraId="752410EA" w14:textId="77777777" w:rsidTr="007378B8">
        <w:tc>
          <w:tcPr>
            <w:tcW w:w="2337" w:type="dxa"/>
          </w:tcPr>
          <w:p w14:paraId="17B57D05" w14:textId="5F8C7FA0" w:rsidR="002E12C4" w:rsidRPr="002E12C4" w:rsidRDefault="002E12C4" w:rsidP="00EA2B14">
            <w:pPr>
              <w:jc w:val="both"/>
              <w:rPr>
                <w:rFonts w:ascii="Cambria" w:hAnsi="Cambria" w:cs="Arial"/>
                <w:sz w:val="24"/>
                <w:szCs w:val="24"/>
              </w:rPr>
            </w:pPr>
            <w:r>
              <w:rPr>
                <w:rFonts w:ascii="Cambria" w:hAnsi="Cambria" w:cs="Arial"/>
                <w:sz w:val="24"/>
                <w:szCs w:val="24"/>
              </w:rPr>
              <w:t>Introduction</w:t>
            </w:r>
          </w:p>
        </w:tc>
        <w:tc>
          <w:tcPr>
            <w:tcW w:w="2337" w:type="dxa"/>
          </w:tcPr>
          <w:p w14:paraId="2889EDFA" w14:textId="22B527E8" w:rsidR="002E12C4" w:rsidRPr="002E12C4" w:rsidRDefault="002E12C4" w:rsidP="00EA2B14">
            <w:pPr>
              <w:jc w:val="both"/>
              <w:rPr>
                <w:rFonts w:ascii="Cambria" w:hAnsi="Cambria" w:cs="Arial"/>
                <w:sz w:val="24"/>
                <w:szCs w:val="24"/>
              </w:rPr>
            </w:pPr>
            <w:r>
              <w:rPr>
                <w:rFonts w:ascii="Cambria" w:hAnsi="Cambria" w:cs="Arial"/>
                <w:sz w:val="24"/>
                <w:szCs w:val="24"/>
              </w:rPr>
              <w:t>1-2</w:t>
            </w:r>
          </w:p>
        </w:tc>
      </w:tr>
      <w:tr w:rsidR="002E12C4" w14:paraId="62A0C015" w14:textId="77777777" w:rsidTr="007378B8">
        <w:tc>
          <w:tcPr>
            <w:tcW w:w="2337" w:type="dxa"/>
          </w:tcPr>
          <w:p w14:paraId="03A9E004" w14:textId="24C3E3FD" w:rsidR="002E12C4" w:rsidRPr="002E12C4" w:rsidRDefault="002E12C4" w:rsidP="002E12C4">
            <w:pPr>
              <w:rPr>
                <w:rFonts w:ascii="Cambria" w:hAnsi="Cambria" w:cs="Arial"/>
                <w:sz w:val="24"/>
                <w:szCs w:val="24"/>
              </w:rPr>
            </w:pPr>
            <w:r>
              <w:rPr>
                <w:rFonts w:ascii="Cambria" w:hAnsi="Cambria" w:cs="Arial"/>
                <w:sz w:val="24"/>
                <w:szCs w:val="24"/>
              </w:rPr>
              <w:t xml:space="preserve">Applicable legal provisions </w:t>
            </w:r>
          </w:p>
        </w:tc>
        <w:tc>
          <w:tcPr>
            <w:tcW w:w="2337" w:type="dxa"/>
          </w:tcPr>
          <w:p w14:paraId="2703A86F" w14:textId="4005F49F" w:rsidR="002E12C4" w:rsidRPr="002E12C4" w:rsidRDefault="002E12C4" w:rsidP="00EA2B14">
            <w:pPr>
              <w:jc w:val="both"/>
              <w:rPr>
                <w:rFonts w:ascii="Cambria" w:hAnsi="Cambria" w:cs="Arial"/>
                <w:sz w:val="24"/>
                <w:szCs w:val="24"/>
              </w:rPr>
            </w:pPr>
            <w:r w:rsidRPr="002E12C4">
              <w:rPr>
                <w:rFonts w:ascii="Cambria" w:hAnsi="Cambria" w:cs="Arial"/>
                <w:sz w:val="24"/>
                <w:szCs w:val="24"/>
              </w:rPr>
              <w:t>2-3</w:t>
            </w:r>
          </w:p>
        </w:tc>
      </w:tr>
      <w:tr w:rsidR="002E12C4" w14:paraId="44D76942" w14:textId="77777777" w:rsidTr="007378B8">
        <w:tc>
          <w:tcPr>
            <w:tcW w:w="2337" w:type="dxa"/>
          </w:tcPr>
          <w:p w14:paraId="4BF5C4DD" w14:textId="0E59B042" w:rsidR="002E12C4" w:rsidRPr="002E12C4" w:rsidRDefault="002E12C4" w:rsidP="00EA2B14">
            <w:pPr>
              <w:jc w:val="both"/>
              <w:rPr>
                <w:rFonts w:ascii="Cambria" w:hAnsi="Cambria" w:cs="Arial"/>
                <w:sz w:val="24"/>
                <w:szCs w:val="24"/>
              </w:rPr>
            </w:pPr>
            <w:r>
              <w:rPr>
                <w:rFonts w:ascii="Cambria" w:hAnsi="Cambria" w:cs="Arial"/>
                <w:sz w:val="24"/>
                <w:szCs w:val="24"/>
              </w:rPr>
              <w:t>Discussion</w:t>
            </w:r>
          </w:p>
        </w:tc>
        <w:tc>
          <w:tcPr>
            <w:tcW w:w="2337" w:type="dxa"/>
          </w:tcPr>
          <w:p w14:paraId="2E8E326B" w14:textId="5F880F9B" w:rsidR="002E12C4" w:rsidRPr="002E12C4" w:rsidRDefault="002E12C4" w:rsidP="00EA2B14">
            <w:pPr>
              <w:jc w:val="both"/>
              <w:rPr>
                <w:rFonts w:ascii="Cambria" w:hAnsi="Cambria" w:cs="Arial"/>
                <w:sz w:val="24"/>
                <w:szCs w:val="24"/>
              </w:rPr>
            </w:pPr>
            <w:r w:rsidRPr="002E12C4">
              <w:rPr>
                <w:rFonts w:ascii="Cambria" w:hAnsi="Cambria" w:cs="Arial"/>
                <w:sz w:val="24"/>
                <w:szCs w:val="24"/>
              </w:rPr>
              <w:t>3-7</w:t>
            </w:r>
          </w:p>
        </w:tc>
      </w:tr>
      <w:tr w:rsidR="002E12C4" w14:paraId="604AEB91" w14:textId="77777777" w:rsidTr="007378B8">
        <w:tc>
          <w:tcPr>
            <w:tcW w:w="2337" w:type="dxa"/>
          </w:tcPr>
          <w:p w14:paraId="16EDDFD2" w14:textId="6E17E468" w:rsidR="002E12C4" w:rsidRPr="002E12C4" w:rsidRDefault="002E12C4" w:rsidP="00EA2B14">
            <w:pPr>
              <w:jc w:val="both"/>
              <w:rPr>
                <w:rFonts w:ascii="Cambria" w:hAnsi="Cambria" w:cs="Arial"/>
                <w:sz w:val="24"/>
                <w:szCs w:val="24"/>
              </w:rPr>
            </w:pPr>
            <w:r>
              <w:rPr>
                <w:rFonts w:ascii="Cambria" w:hAnsi="Cambria" w:cs="Arial"/>
                <w:sz w:val="24"/>
                <w:szCs w:val="24"/>
              </w:rPr>
              <w:t>Conclusion</w:t>
            </w:r>
          </w:p>
        </w:tc>
        <w:tc>
          <w:tcPr>
            <w:tcW w:w="2337" w:type="dxa"/>
          </w:tcPr>
          <w:p w14:paraId="3EB042C5" w14:textId="4616933B" w:rsidR="002E12C4" w:rsidRPr="002E12C4" w:rsidRDefault="002E12C4" w:rsidP="00EA2B14">
            <w:pPr>
              <w:jc w:val="both"/>
              <w:rPr>
                <w:rFonts w:ascii="Cambria" w:hAnsi="Cambria" w:cs="Arial"/>
                <w:sz w:val="24"/>
                <w:szCs w:val="24"/>
              </w:rPr>
            </w:pPr>
            <w:r>
              <w:rPr>
                <w:rFonts w:ascii="Cambria" w:hAnsi="Cambria" w:cs="Arial"/>
                <w:sz w:val="24"/>
                <w:szCs w:val="24"/>
              </w:rPr>
              <w:t>7-</w:t>
            </w:r>
          </w:p>
        </w:tc>
      </w:tr>
      <w:tr w:rsidR="002E12C4" w14:paraId="695539B5" w14:textId="77777777" w:rsidTr="007378B8">
        <w:tc>
          <w:tcPr>
            <w:tcW w:w="2337" w:type="dxa"/>
          </w:tcPr>
          <w:p w14:paraId="353BF83C" w14:textId="77777777" w:rsidR="002E12C4" w:rsidRDefault="002E12C4" w:rsidP="00EA2B14">
            <w:pPr>
              <w:jc w:val="both"/>
              <w:rPr>
                <w:rFonts w:ascii="Cambria" w:hAnsi="Cambria" w:cs="Arial"/>
                <w:b/>
                <w:bCs/>
                <w:sz w:val="24"/>
                <w:szCs w:val="24"/>
              </w:rPr>
            </w:pPr>
          </w:p>
        </w:tc>
        <w:tc>
          <w:tcPr>
            <w:tcW w:w="2337" w:type="dxa"/>
          </w:tcPr>
          <w:p w14:paraId="58AEF87A" w14:textId="77777777" w:rsidR="002E12C4" w:rsidRDefault="002E12C4" w:rsidP="00EA2B14">
            <w:pPr>
              <w:jc w:val="both"/>
              <w:rPr>
                <w:rFonts w:ascii="Cambria" w:hAnsi="Cambria" w:cs="Arial"/>
                <w:b/>
                <w:bCs/>
                <w:sz w:val="24"/>
                <w:szCs w:val="24"/>
              </w:rPr>
            </w:pPr>
          </w:p>
        </w:tc>
      </w:tr>
    </w:tbl>
    <w:p w14:paraId="697D4311" w14:textId="77777777" w:rsidR="007378B8" w:rsidRDefault="007378B8" w:rsidP="00EA2B14">
      <w:pPr>
        <w:jc w:val="both"/>
        <w:rPr>
          <w:rFonts w:ascii="Cambria" w:hAnsi="Cambria" w:cs="Arial"/>
          <w:b/>
          <w:bCs/>
          <w:sz w:val="24"/>
          <w:szCs w:val="24"/>
        </w:rPr>
      </w:pPr>
    </w:p>
    <w:p w14:paraId="5A70B984" w14:textId="2D1DB56D" w:rsidR="007378B8" w:rsidRDefault="007378B8" w:rsidP="00EA2B14">
      <w:pPr>
        <w:jc w:val="both"/>
        <w:rPr>
          <w:rFonts w:ascii="Cambria" w:hAnsi="Cambria" w:cs="Arial"/>
          <w:b/>
          <w:bCs/>
          <w:sz w:val="24"/>
          <w:szCs w:val="24"/>
        </w:rPr>
      </w:pPr>
      <w:r>
        <w:rPr>
          <w:rFonts w:ascii="Cambria" w:hAnsi="Cambria" w:cs="Arial"/>
          <w:b/>
          <w:bCs/>
          <w:sz w:val="24"/>
          <w:szCs w:val="24"/>
        </w:rPr>
        <w:t>Introduction</w:t>
      </w:r>
    </w:p>
    <w:p w14:paraId="4E3FE7D7" w14:textId="2BC09AF9" w:rsidR="00514E06" w:rsidRDefault="00511246" w:rsidP="00EA2B14">
      <w:pPr>
        <w:jc w:val="both"/>
        <w:rPr>
          <w:rFonts w:ascii="Cambria" w:hAnsi="Cambria" w:cs="Arial"/>
          <w:sz w:val="24"/>
          <w:szCs w:val="24"/>
        </w:rPr>
      </w:pPr>
      <w:r>
        <w:rPr>
          <w:rFonts w:ascii="Cambria" w:hAnsi="Cambria" w:cs="Arial"/>
          <w:b/>
          <w:bCs/>
          <w:sz w:val="24"/>
          <w:szCs w:val="24"/>
        </w:rPr>
        <w:tab/>
      </w:r>
      <w:r w:rsidR="00A7221F">
        <w:rPr>
          <w:rFonts w:ascii="Cambria" w:hAnsi="Cambria" w:cs="Arial"/>
          <w:sz w:val="24"/>
          <w:szCs w:val="24"/>
        </w:rPr>
        <w:t xml:space="preserve">This paper offers analysis </w:t>
      </w:r>
      <w:r w:rsidR="00EE73A8">
        <w:rPr>
          <w:rFonts w:ascii="Cambria" w:hAnsi="Cambria" w:cs="Arial"/>
          <w:sz w:val="24"/>
          <w:szCs w:val="24"/>
        </w:rPr>
        <w:t xml:space="preserve">to the extent currently possible </w:t>
      </w:r>
      <w:r w:rsidR="00A7221F">
        <w:rPr>
          <w:rFonts w:ascii="Cambria" w:hAnsi="Cambria" w:cs="Arial"/>
          <w:sz w:val="24"/>
          <w:szCs w:val="24"/>
        </w:rPr>
        <w:t xml:space="preserve">in respect of two </w:t>
      </w:r>
      <w:r>
        <w:rPr>
          <w:rFonts w:ascii="Cambria" w:hAnsi="Cambria" w:cs="Arial"/>
          <w:sz w:val="24"/>
          <w:szCs w:val="24"/>
        </w:rPr>
        <w:t>jurisdictions having gained independence from the United Kingdom</w:t>
      </w:r>
      <w:r>
        <w:rPr>
          <w:rStyle w:val="FootnoteReference"/>
          <w:rFonts w:ascii="Cambria" w:hAnsi="Cambria" w:cs="Arial"/>
          <w:sz w:val="24"/>
          <w:szCs w:val="24"/>
        </w:rPr>
        <w:footnoteReference w:id="1"/>
      </w:r>
      <w:r w:rsidR="00A7221F">
        <w:rPr>
          <w:rFonts w:ascii="Cambria" w:hAnsi="Cambria" w:cs="Arial"/>
          <w:sz w:val="24"/>
          <w:szCs w:val="24"/>
        </w:rPr>
        <w:t xml:space="preserve"> in the 1960s. </w:t>
      </w:r>
      <w:r w:rsidR="00514E06">
        <w:rPr>
          <w:rFonts w:ascii="Cambria" w:hAnsi="Cambria" w:cs="Arial"/>
          <w:sz w:val="24"/>
          <w:szCs w:val="24"/>
        </w:rPr>
        <w:t>A</w:t>
      </w:r>
      <w:r w:rsidR="00514E06">
        <w:rPr>
          <w:rFonts w:ascii="Cambria" w:hAnsi="Cambria" w:cs="Arial"/>
          <w:sz w:val="24"/>
          <w:szCs w:val="24"/>
        </w:rPr>
        <w:t xml:space="preserve">lso </w:t>
      </w:r>
      <w:r w:rsidR="00514E06">
        <w:rPr>
          <w:rFonts w:ascii="Cambria" w:hAnsi="Cambria" w:cs="Arial"/>
          <w:sz w:val="24"/>
          <w:szCs w:val="24"/>
        </w:rPr>
        <w:t xml:space="preserve">dealt with is </w:t>
      </w:r>
      <w:r w:rsidR="00514E06">
        <w:rPr>
          <w:rFonts w:ascii="Cambria" w:hAnsi="Cambria" w:cs="Arial"/>
          <w:sz w:val="24"/>
          <w:szCs w:val="24"/>
        </w:rPr>
        <w:t xml:space="preserve">where further analysis is needed, </w:t>
      </w:r>
      <w:r w:rsidR="00514E06">
        <w:rPr>
          <w:rFonts w:ascii="Cambria" w:hAnsi="Cambria" w:cs="Arial"/>
          <w:sz w:val="24"/>
          <w:szCs w:val="24"/>
        </w:rPr>
        <w:t xml:space="preserve">subject to the availability of </w:t>
      </w:r>
      <w:r w:rsidR="00514E06">
        <w:rPr>
          <w:rFonts w:ascii="Cambria" w:hAnsi="Cambria" w:cs="Arial"/>
          <w:sz w:val="24"/>
          <w:szCs w:val="24"/>
        </w:rPr>
        <w:t>additional information with which to perform that</w:t>
      </w:r>
      <w:r w:rsidR="00980051">
        <w:rPr>
          <w:rFonts w:ascii="Cambria" w:hAnsi="Cambria" w:cs="Arial"/>
          <w:sz w:val="24"/>
          <w:szCs w:val="24"/>
        </w:rPr>
        <w:t>.</w:t>
      </w:r>
    </w:p>
    <w:p w14:paraId="7D401461" w14:textId="77777777" w:rsidR="00B23B14" w:rsidRDefault="00B23B14" w:rsidP="00B23B14">
      <w:pPr>
        <w:jc w:val="both"/>
        <w:rPr>
          <w:rFonts w:ascii="Cambria" w:hAnsi="Cambria" w:cs="Arial"/>
          <w:sz w:val="24"/>
          <w:szCs w:val="24"/>
        </w:rPr>
      </w:pPr>
    </w:p>
    <w:p w14:paraId="14F321B6" w14:textId="3F280477" w:rsidR="00531AD7" w:rsidRDefault="00BB1917" w:rsidP="00B23B14">
      <w:pPr>
        <w:jc w:val="both"/>
        <w:rPr>
          <w:rFonts w:ascii="Cambria" w:hAnsi="Cambria" w:cs="Arial"/>
          <w:sz w:val="24"/>
          <w:szCs w:val="24"/>
        </w:rPr>
      </w:pPr>
      <w:r>
        <w:rPr>
          <w:rFonts w:ascii="Cambria" w:hAnsi="Cambria" w:cs="Arial"/>
          <w:sz w:val="24"/>
          <w:szCs w:val="24"/>
        </w:rPr>
        <w:t xml:space="preserve">Both </w:t>
      </w:r>
      <w:r w:rsidR="00980051">
        <w:rPr>
          <w:rFonts w:ascii="Cambria" w:hAnsi="Cambria" w:cs="Arial"/>
          <w:sz w:val="24"/>
          <w:szCs w:val="24"/>
        </w:rPr>
        <w:t xml:space="preserve">jurisdictions </w:t>
      </w:r>
      <w:r w:rsidR="00AD1B81">
        <w:rPr>
          <w:rFonts w:ascii="Cambria" w:hAnsi="Cambria" w:cs="Arial"/>
          <w:sz w:val="24"/>
          <w:szCs w:val="24"/>
        </w:rPr>
        <w:t>are Caribbean Community (CARICOM) member states</w:t>
      </w:r>
      <w:r w:rsidR="00980051">
        <w:rPr>
          <w:rFonts w:ascii="Cambria" w:hAnsi="Cambria" w:cs="Arial"/>
          <w:sz w:val="24"/>
          <w:szCs w:val="24"/>
        </w:rPr>
        <w:t xml:space="preserve"> and </w:t>
      </w:r>
      <w:r>
        <w:rPr>
          <w:rFonts w:ascii="Cambria" w:hAnsi="Cambria" w:cs="Arial"/>
          <w:sz w:val="24"/>
          <w:szCs w:val="24"/>
        </w:rPr>
        <w:t xml:space="preserve">start from </w:t>
      </w:r>
      <w:r w:rsidR="00AD1B81">
        <w:rPr>
          <w:rFonts w:ascii="Cambria" w:hAnsi="Cambria" w:cs="Arial"/>
          <w:sz w:val="24"/>
          <w:szCs w:val="24"/>
        </w:rPr>
        <w:t xml:space="preserve">a </w:t>
      </w:r>
      <w:r>
        <w:rPr>
          <w:rFonts w:ascii="Cambria" w:hAnsi="Cambria" w:cs="Arial"/>
          <w:sz w:val="24"/>
          <w:szCs w:val="24"/>
        </w:rPr>
        <w:t>clear English law “footprint”</w:t>
      </w:r>
      <w:r w:rsidR="00AD1B81">
        <w:rPr>
          <w:rFonts w:ascii="Cambria" w:hAnsi="Cambria" w:cs="Arial"/>
          <w:sz w:val="24"/>
          <w:szCs w:val="24"/>
        </w:rPr>
        <w:t xml:space="preserve">. </w:t>
      </w:r>
    </w:p>
    <w:p w14:paraId="1D994D97" w14:textId="77777777" w:rsidR="00B23B14" w:rsidRDefault="00B23B14" w:rsidP="00B23B14">
      <w:pPr>
        <w:jc w:val="both"/>
        <w:rPr>
          <w:rFonts w:ascii="Cambria" w:hAnsi="Cambria" w:cs="Arial"/>
          <w:sz w:val="24"/>
          <w:szCs w:val="24"/>
        </w:rPr>
      </w:pPr>
    </w:p>
    <w:p w14:paraId="7A0629B2" w14:textId="1E5AD490" w:rsidR="00531AD7" w:rsidRDefault="00AD1B81" w:rsidP="00B23B14">
      <w:pPr>
        <w:jc w:val="both"/>
        <w:rPr>
          <w:rFonts w:ascii="Cambria" w:hAnsi="Cambria" w:cs="Arial"/>
          <w:sz w:val="24"/>
          <w:szCs w:val="24"/>
        </w:rPr>
      </w:pPr>
      <w:r>
        <w:rPr>
          <w:rFonts w:ascii="Cambria" w:hAnsi="Cambria" w:cs="Arial"/>
          <w:sz w:val="24"/>
          <w:szCs w:val="24"/>
        </w:rPr>
        <w:t>D</w:t>
      </w:r>
      <w:r w:rsidR="00BB1917">
        <w:rPr>
          <w:rFonts w:ascii="Cambria" w:hAnsi="Cambria" w:cs="Arial"/>
          <w:sz w:val="24"/>
          <w:szCs w:val="24"/>
        </w:rPr>
        <w:t xml:space="preserve">iscussed below is the extent to which Jamaica’s current insolvency and restructuring regime </w:t>
      </w:r>
      <w:r w:rsidR="00980051">
        <w:rPr>
          <w:rFonts w:ascii="Cambria" w:hAnsi="Cambria" w:cs="Arial"/>
          <w:sz w:val="24"/>
          <w:szCs w:val="24"/>
        </w:rPr>
        <w:t xml:space="preserve">closely </w:t>
      </w:r>
      <w:r w:rsidR="00BB1917">
        <w:rPr>
          <w:rFonts w:ascii="Cambria" w:hAnsi="Cambria" w:cs="Arial"/>
          <w:sz w:val="24"/>
          <w:szCs w:val="24"/>
        </w:rPr>
        <w:t>follow</w:t>
      </w:r>
      <w:r w:rsidR="00980051">
        <w:rPr>
          <w:rFonts w:ascii="Cambria" w:hAnsi="Cambria" w:cs="Arial"/>
          <w:sz w:val="24"/>
          <w:szCs w:val="24"/>
        </w:rPr>
        <w:t>s</w:t>
      </w:r>
      <w:r w:rsidR="00BB1917">
        <w:rPr>
          <w:rFonts w:ascii="Cambria" w:hAnsi="Cambria" w:cs="Arial"/>
          <w:sz w:val="24"/>
          <w:szCs w:val="24"/>
        </w:rPr>
        <w:t xml:space="preserve"> the Canadian model</w:t>
      </w:r>
      <w:r w:rsidR="00980051">
        <w:rPr>
          <w:rFonts w:ascii="Cambria" w:hAnsi="Cambria" w:cs="Arial"/>
          <w:sz w:val="24"/>
          <w:szCs w:val="24"/>
        </w:rPr>
        <w:t>: i</w:t>
      </w:r>
      <w:r w:rsidR="00EE73A8">
        <w:rPr>
          <w:rFonts w:ascii="Cambria" w:hAnsi="Cambria" w:cs="Arial"/>
          <w:sz w:val="24"/>
          <w:szCs w:val="24"/>
        </w:rPr>
        <w:t xml:space="preserve">tself, based partly on the English model (as discussed further below). </w:t>
      </w:r>
      <w:r w:rsidR="00C74498">
        <w:rPr>
          <w:rFonts w:ascii="Cambria" w:hAnsi="Cambria" w:cs="Arial"/>
          <w:sz w:val="24"/>
          <w:szCs w:val="24"/>
        </w:rPr>
        <w:t>Guyana, remain</w:t>
      </w:r>
      <w:r w:rsidR="00980051">
        <w:rPr>
          <w:rFonts w:ascii="Cambria" w:hAnsi="Cambria" w:cs="Arial"/>
          <w:sz w:val="24"/>
          <w:szCs w:val="24"/>
        </w:rPr>
        <w:t>s</w:t>
      </w:r>
      <w:r w:rsidR="00C74498">
        <w:rPr>
          <w:rFonts w:ascii="Cambria" w:hAnsi="Cambria" w:cs="Arial"/>
          <w:sz w:val="24"/>
          <w:szCs w:val="24"/>
        </w:rPr>
        <w:t xml:space="preserve"> mor</w:t>
      </w:r>
      <w:r w:rsidR="002D7BB0">
        <w:rPr>
          <w:rFonts w:ascii="Cambria" w:hAnsi="Cambria" w:cs="Arial"/>
          <w:sz w:val="24"/>
          <w:szCs w:val="24"/>
        </w:rPr>
        <w:t>e</w:t>
      </w:r>
      <w:r w:rsidR="00C74498">
        <w:rPr>
          <w:rFonts w:ascii="Cambria" w:hAnsi="Cambria" w:cs="Arial"/>
          <w:sz w:val="24"/>
          <w:szCs w:val="24"/>
        </w:rPr>
        <w:t xml:space="preserve"> discernibl</w:t>
      </w:r>
      <w:r w:rsidR="002D7BB0">
        <w:rPr>
          <w:rFonts w:ascii="Cambria" w:hAnsi="Cambria" w:cs="Arial"/>
          <w:sz w:val="24"/>
          <w:szCs w:val="24"/>
        </w:rPr>
        <w:t>y</w:t>
      </w:r>
      <w:r w:rsidR="00C74498">
        <w:rPr>
          <w:rFonts w:ascii="Cambria" w:hAnsi="Cambria" w:cs="Arial"/>
          <w:sz w:val="24"/>
          <w:szCs w:val="24"/>
        </w:rPr>
        <w:t xml:space="preserve"> English</w:t>
      </w:r>
      <w:r w:rsidR="002D7BB0">
        <w:rPr>
          <w:rFonts w:ascii="Cambria" w:hAnsi="Cambria" w:cs="Arial"/>
          <w:sz w:val="24"/>
          <w:szCs w:val="24"/>
        </w:rPr>
        <w:t>,</w:t>
      </w:r>
      <w:r w:rsidR="00C74498">
        <w:rPr>
          <w:rFonts w:ascii="Cambria" w:hAnsi="Cambria" w:cs="Arial"/>
          <w:sz w:val="24"/>
          <w:szCs w:val="24"/>
        </w:rPr>
        <w:t xml:space="preserve"> is in </w:t>
      </w:r>
      <w:r w:rsidR="00AD0AE1">
        <w:rPr>
          <w:rFonts w:ascii="Cambria" w:hAnsi="Cambria" w:cs="Arial"/>
          <w:sz w:val="24"/>
          <w:szCs w:val="24"/>
        </w:rPr>
        <w:t xml:space="preserve">clear </w:t>
      </w:r>
      <w:r w:rsidR="00C74498">
        <w:rPr>
          <w:rFonts w:ascii="Cambria" w:hAnsi="Cambria" w:cs="Arial"/>
          <w:sz w:val="24"/>
          <w:szCs w:val="24"/>
        </w:rPr>
        <w:t xml:space="preserve">need of </w:t>
      </w:r>
      <w:r w:rsidR="00494573">
        <w:rPr>
          <w:rFonts w:ascii="Cambria" w:hAnsi="Cambria" w:cs="Arial"/>
          <w:sz w:val="24"/>
          <w:szCs w:val="24"/>
        </w:rPr>
        <w:t>moderni</w:t>
      </w:r>
      <w:r w:rsidR="005C7F10">
        <w:rPr>
          <w:rFonts w:ascii="Cambria" w:hAnsi="Cambria" w:cs="Arial"/>
          <w:sz w:val="24"/>
          <w:szCs w:val="24"/>
        </w:rPr>
        <w:t>s</w:t>
      </w:r>
      <w:r w:rsidR="00494573">
        <w:rPr>
          <w:rFonts w:ascii="Cambria" w:hAnsi="Cambria" w:cs="Arial"/>
          <w:sz w:val="24"/>
          <w:szCs w:val="24"/>
        </w:rPr>
        <w:t>ation.</w:t>
      </w:r>
      <w:r w:rsidR="002D7BB0">
        <w:rPr>
          <w:rStyle w:val="FootnoteReference"/>
          <w:rFonts w:ascii="Cambria" w:hAnsi="Cambria" w:cs="Arial"/>
          <w:sz w:val="24"/>
          <w:szCs w:val="24"/>
        </w:rPr>
        <w:footnoteReference w:id="2"/>
      </w:r>
      <w:r w:rsidR="00531AD7">
        <w:rPr>
          <w:rFonts w:ascii="Cambria" w:hAnsi="Cambria" w:cs="Arial"/>
          <w:sz w:val="24"/>
          <w:szCs w:val="24"/>
        </w:rPr>
        <w:t xml:space="preserve"> Related to that, public access to judicial resources such as reports of decided </w:t>
      </w:r>
      <w:r w:rsidR="00531AD7">
        <w:rPr>
          <w:rFonts w:ascii="Cambria" w:hAnsi="Cambria" w:cs="Arial"/>
          <w:sz w:val="24"/>
          <w:szCs w:val="24"/>
        </w:rPr>
        <w:lastRenderedPageBreak/>
        <w:t>cases</w:t>
      </w:r>
      <w:r w:rsidR="00584EAB">
        <w:rPr>
          <w:rFonts w:ascii="Cambria" w:hAnsi="Cambria" w:cs="Arial"/>
          <w:sz w:val="24"/>
          <w:szCs w:val="24"/>
        </w:rPr>
        <w:t xml:space="preserve"> at first instance (aka “trial court level)</w:t>
      </w:r>
      <w:r w:rsidR="00980051">
        <w:rPr>
          <w:rFonts w:ascii="Cambria" w:hAnsi="Cambria" w:cs="Arial"/>
          <w:sz w:val="24"/>
          <w:szCs w:val="24"/>
        </w:rPr>
        <w:t xml:space="preserve"> needs to be addressed as soon as possible</w:t>
      </w:r>
      <w:r w:rsidR="00584EAB">
        <w:rPr>
          <w:rFonts w:ascii="Cambria" w:hAnsi="Cambria" w:cs="Arial"/>
          <w:sz w:val="24"/>
          <w:szCs w:val="24"/>
        </w:rPr>
        <w:t>.</w:t>
      </w:r>
      <w:r w:rsidR="00584EAB">
        <w:rPr>
          <w:rStyle w:val="FootnoteReference"/>
          <w:rFonts w:ascii="Cambria" w:hAnsi="Cambria" w:cs="Arial"/>
          <w:sz w:val="24"/>
          <w:szCs w:val="24"/>
        </w:rPr>
        <w:footnoteReference w:id="3"/>
      </w:r>
      <w:r w:rsidR="00584EAB">
        <w:rPr>
          <w:rFonts w:ascii="Cambria" w:hAnsi="Cambria" w:cs="Arial"/>
          <w:sz w:val="24"/>
          <w:szCs w:val="24"/>
        </w:rPr>
        <w:t xml:space="preserve"> </w:t>
      </w:r>
      <w:r w:rsidR="00C74498">
        <w:rPr>
          <w:rFonts w:ascii="Cambria" w:hAnsi="Cambria" w:cs="Arial"/>
          <w:sz w:val="24"/>
          <w:szCs w:val="24"/>
        </w:rPr>
        <w:t xml:space="preserve"> </w:t>
      </w:r>
      <w:r w:rsidR="00A50066">
        <w:rPr>
          <w:rFonts w:ascii="Cambria" w:hAnsi="Cambria" w:cs="Arial"/>
          <w:sz w:val="24"/>
          <w:szCs w:val="24"/>
        </w:rPr>
        <w:t>Achievement of balance (or lack thereof</w:t>
      </w:r>
      <w:r w:rsidR="00651732">
        <w:rPr>
          <w:rFonts w:ascii="Cambria" w:hAnsi="Cambria" w:cs="Arial"/>
          <w:sz w:val="24"/>
          <w:szCs w:val="24"/>
        </w:rPr>
        <w:t>)</w:t>
      </w:r>
      <w:r w:rsidR="00A50066">
        <w:rPr>
          <w:rFonts w:ascii="Cambria" w:hAnsi="Cambria" w:cs="Arial"/>
          <w:sz w:val="24"/>
          <w:szCs w:val="24"/>
        </w:rPr>
        <w:t xml:space="preserve"> in terms of actual deployment of legislative resources lacks the necessary current datasets. </w:t>
      </w:r>
      <w:r w:rsidR="00980051">
        <w:rPr>
          <w:rFonts w:ascii="Cambria" w:hAnsi="Cambria" w:cs="Arial"/>
          <w:sz w:val="24"/>
          <w:szCs w:val="24"/>
        </w:rPr>
        <w:t>W</w:t>
      </w:r>
      <w:r w:rsidR="00A50066">
        <w:rPr>
          <w:rFonts w:ascii="Cambria" w:hAnsi="Cambria" w:cs="Arial"/>
          <w:sz w:val="24"/>
          <w:szCs w:val="24"/>
        </w:rPr>
        <w:t xml:space="preserve">ith Guyana experiencing since 2019 unprecedented economic growth </w:t>
      </w:r>
      <w:proofErr w:type="gramStart"/>
      <w:r w:rsidR="00A50066">
        <w:rPr>
          <w:rFonts w:ascii="Cambria" w:hAnsi="Cambria" w:cs="Arial"/>
          <w:sz w:val="24"/>
          <w:szCs w:val="24"/>
        </w:rPr>
        <w:t>as a result of</w:t>
      </w:r>
      <w:proofErr w:type="gramEnd"/>
      <w:r w:rsidR="00A50066">
        <w:rPr>
          <w:rFonts w:ascii="Cambria" w:hAnsi="Cambria" w:cs="Arial"/>
          <w:sz w:val="24"/>
          <w:szCs w:val="24"/>
        </w:rPr>
        <w:t xml:space="preserve"> largescale finds of offshore oil, </w:t>
      </w:r>
      <w:r w:rsidR="00980051">
        <w:rPr>
          <w:rFonts w:ascii="Cambria" w:hAnsi="Cambria" w:cs="Arial"/>
          <w:sz w:val="24"/>
          <w:szCs w:val="24"/>
        </w:rPr>
        <w:t xml:space="preserve">resources exist by which to fund for the necessary </w:t>
      </w:r>
      <w:r w:rsidR="00A50066">
        <w:rPr>
          <w:rFonts w:ascii="Cambria" w:hAnsi="Cambria" w:cs="Arial"/>
          <w:sz w:val="24"/>
          <w:szCs w:val="24"/>
        </w:rPr>
        <w:t xml:space="preserve">rapid improvement in available statistical data and </w:t>
      </w:r>
      <w:r w:rsidR="006E05B8">
        <w:rPr>
          <w:rFonts w:ascii="Cambria" w:hAnsi="Cambria" w:cs="Arial"/>
          <w:sz w:val="24"/>
          <w:szCs w:val="24"/>
        </w:rPr>
        <w:t>policy positions around corporate reconstruction</w:t>
      </w:r>
      <w:r w:rsidR="00651732">
        <w:rPr>
          <w:rFonts w:ascii="Cambria" w:hAnsi="Cambria" w:cs="Arial"/>
          <w:sz w:val="24"/>
          <w:szCs w:val="24"/>
        </w:rPr>
        <w:t xml:space="preserve">. </w:t>
      </w:r>
      <w:r w:rsidR="00EE73A8">
        <w:rPr>
          <w:rFonts w:ascii="Cambria" w:hAnsi="Cambria" w:cs="Arial"/>
          <w:sz w:val="24"/>
          <w:szCs w:val="24"/>
        </w:rPr>
        <w:t xml:space="preserve">The need for improved transparent in respect of Guyana </w:t>
      </w:r>
      <w:r w:rsidR="00651732">
        <w:rPr>
          <w:rFonts w:ascii="Cambria" w:hAnsi="Cambria" w:cs="Arial"/>
          <w:sz w:val="24"/>
          <w:szCs w:val="24"/>
        </w:rPr>
        <w:t>is especially relevant where World Bank information available from 2019 indicates that average recovery rates (that is, for creditors) as low as 18 cents on the dollar.</w:t>
      </w:r>
      <w:r w:rsidR="00FF7057">
        <w:rPr>
          <w:rStyle w:val="FootnoteReference"/>
          <w:rFonts w:ascii="Cambria" w:hAnsi="Cambria" w:cs="Arial"/>
          <w:sz w:val="24"/>
          <w:szCs w:val="24"/>
        </w:rPr>
        <w:footnoteReference w:id="4"/>
      </w:r>
      <w:r w:rsidR="00651732">
        <w:rPr>
          <w:rFonts w:ascii="Cambria" w:hAnsi="Cambria" w:cs="Arial"/>
          <w:sz w:val="24"/>
          <w:szCs w:val="24"/>
        </w:rPr>
        <w:t xml:space="preserve">  </w:t>
      </w:r>
    </w:p>
    <w:p w14:paraId="654DA577" w14:textId="77777777" w:rsidR="00B23B14" w:rsidRDefault="00B23B14" w:rsidP="00B23B14">
      <w:pPr>
        <w:jc w:val="both"/>
        <w:rPr>
          <w:rFonts w:ascii="Cambria" w:hAnsi="Cambria" w:cs="Arial"/>
          <w:sz w:val="24"/>
          <w:szCs w:val="24"/>
        </w:rPr>
      </w:pPr>
    </w:p>
    <w:p w14:paraId="4C68312C" w14:textId="5917126F" w:rsidR="00514E06" w:rsidRDefault="00514E06" w:rsidP="00B23B14">
      <w:pPr>
        <w:jc w:val="both"/>
        <w:rPr>
          <w:rFonts w:ascii="Cambria" w:hAnsi="Cambria" w:cs="Arial"/>
          <w:sz w:val="24"/>
          <w:szCs w:val="24"/>
        </w:rPr>
      </w:pPr>
      <w:r>
        <w:rPr>
          <w:rFonts w:ascii="Cambria" w:hAnsi="Cambria" w:cs="Arial"/>
          <w:sz w:val="24"/>
          <w:szCs w:val="24"/>
        </w:rPr>
        <w:t>Solvent liquidations are commonplace</w:t>
      </w:r>
      <w:r w:rsidR="00EB0B09">
        <w:rPr>
          <w:rFonts w:ascii="Cambria" w:hAnsi="Cambria" w:cs="Arial"/>
          <w:sz w:val="24"/>
          <w:szCs w:val="24"/>
        </w:rPr>
        <w:t xml:space="preserve"> and </w:t>
      </w:r>
      <w:r>
        <w:rPr>
          <w:rFonts w:ascii="Cambria" w:hAnsi="Cambria" w:cs="Arial"/>
          <w:sz w:val="24"/>
          <w:szCs w:val="24"/>
        </w:rPr>
        <w:t>outside of insolvency issues</w:t>
      </w:r>
      <w:r w:rsidR="00EB0B09">
        <w:rPr>
          <w:rFonts w:ascii="Cambria" w:hAnsi="Cambria" w:cs="Arial"/>
          <w:sz w:val="24"/>
          <w:szCs w:val="24"/>
        </w:rPr>
        <w:t xml:space="preserve">. They </w:t>
      </w:r>
      <w:r>
        <w:rPr>
          <w:rFonts w:ascii="Cambria" w:hAnsi="Cambria" w:cs="Arial"/>
          <w:sz w:val="24"/>
          <w:szCs w:val="24"/>
        </w:rPr>
        <w:t xml:space="preserve">therefore fall outside the scope of this paper. </w:t>
      </w:r>
    </w:p>
    <w:p w14:paraId="1D893205" w14:textId="77777777" w:rsidR="002D7BB0" w:rsidRPr="00511246" w:rsidRDefault="002D7BB0" w:rsidP="00EA2B14">
      <w:pPr>
        <w:jc w:val="both"/>
        <w:rPr>
          <w:rFonts w:ascii="Cambria" w:hAnsi="Cambria" w:cs="Arial"/>
          <w:sz w:val="24"/>
          <w:szCs w:val="24"/>
        </w:rPr>
      </w:pPr>
    </w:p>
    <w:p w14:paraId="20F80483" w14:textId="5B8702AD" w:rsidR="00531AD7" w:rsidRPr="00EB0B09" w:rsidRDefault="007378B8" w:rsidP="00531AD7">
      <w:pPr>
        <w:jc w:val="both"/>
        <w:rPr>
          <w:rFonts w:ascii="Cambria" w:hAnsi="Cambria" w:cs="Arial"/>
          <w:b/>
          <w:bCs/>
          <w:sz w:val="24"/>
          <w:szCs w:val="24"/>
        </w:rPr>
      </w:pPr>
      <w:r>
        <w:rPr>
          <w:rFonts w:ascii="Cambria" w:hAnsi="Cambria" w:cs="Arial"/>
          <w:b/>
          <w:bCs/>
          <w:sz w:val="24"/>
          <w:szCs w:val="24"/>
        </w:rPr>
        <w:t>Applicable legal provisions</w:t>
      </w:r>
    </w:p>
    <w:p w14:paraId="238DDDE3" w14:textId="77777777" w:rsidR="00531AD7" w:rsidRDefault="00531AD7" w:rsidP="00531AD7">
      <w:pPr>
        <w:pStyle w:val="ListParagraph"/>
        <w:numPr>
          <w:ilvl w:val="0"/>
          <w:numId w:val="9"/>
        </w:numPr>
        <w:jc w:val="both"/>
        <w:rPr>
          <w:rFonts w:ascii="Cambria" w:hAnsi="Cambria" w:cs="Arial"/>
          <w:b/>
          <w:bCs/>
          <w:i/>
          <w:iCs/>
          <w:sz w:val="24"/>
          <w:szCs w:val="24"/>
        </w:rPr>
      </w:pPr>
      <w:r>
        <w:rPr>
          <w:rFonts w:ascii="Cambria" w:hAnsi="Cambria" w:cs="Arial"/>
          <w:b/>
          <w:bCs/>
          <w:i/>
          <w:iCs/>
          <w:sz w:val="24"/>
          <w:szCs w:val="24"/>
        </w:rPr>
        <w:t>Jamaica</w:t>
      </w:r>
    </w:p>
    <w:p w14:paraId="14860DC2" w14:textId="77777777" w:rsidR="00531AD7" w:rsidRDefault="00531AD7" w:rsidP="00531AD7">
      <w:pPr>
        <w:jc w:val="both"/>
        <w:rPr>
          <w:rFonts w:ascii="Cambria" w:hAnsi="Cambria"/>
          <w:sz w:val="24"/>
          <w:szCs w:val="24"/>
        </w:rPr>
      </w:pPr>
      <w:r>
        <w:rPr>
          <w:rFonts w:ascii="Cambria" w:hAnsi="Cambria"/>
          <w:sz w:val="24"/>
          <w:szCs w:val="24"/>
        </w:rPr>
        <w:t xml:space="preserve">Regarding Jamaica, the </w:t>
      </w:r>
      <w:r w:rsidRPr="00AA3343">
        <w:rPr>
          <w:rFonts w:ascii="Cambria" w:hAnsi="Cambria"/>
          <w:sz w:val="24"/>
          <w:szCs w:val="24"/>
          <w:u w:val="single"/>
        </w:rPr>
        <w:t>Insolvency Act</w:t>
      </w:r>
      <w:r>
        <w:rPr>
          <w:rFonts w:ascii="Cambria" w:hAnsi="Cambria"/>
          <w:sz w:val="24"/>
          <w:szCs w:val="24"/>
        </w:rPr>
        <w:t xml:space="preserve"> of 2014 </w:t>
      </w:r>
      <w:r w:rsidRPr="00AA3343">
        <w:rPr>
          <w:rFonts w:ascii="Cambria" w:hAnsi="Cambria"/>
          <w:sz w:val="24"/>
          <w:szCs w:val="24"/>
        </w:rPr>
        <w:t>consolidat</w:t>
      </w:r>
      <w:r>
        <w:rPr>
          <w:rFonts w:ascii="Cambria" w:hAnsi="Cambria"/>
          <w:sz w:val="24"/>
          <w:szCs w:val="24"/>
        </w:rPr>
        <w:t>es</w:t>
      </w:r>
      <w:r w:rsidRPr="00AA3343">
        <w:rPr>
          <w:rFonts w:ascii="Cambria" w:hAnsi="Cambria"/>
          <w:sz w:val="24"/>
          <w:szCs w:val="24"/>
        </w:rPr>
        <w:t xml:space="preserve"> the legislative provisions </w:t>
      </w:r>
      <w:r>
        <w:rPr>
          <w:rFonts w:ascii="Cambria" w:hAnsi="Cambria"/>
          <w:sz w:val="24"/>
          <w:szCs w:val="24"/>
        </w:rPr>
        <w:t>for</w:t>
      </w:r>
      <w:r w:rsidRPr="00AA3343">
        <w:rPr>
          <w:rFonts w:ascii="Cambria" w:hAnsi="Cambria"/>
          <w:sz w:val="24"/>
          <w:szCs w:val="24"/>
        </w:rPr>
        <w:t xml:space="preserve"> both personal and corporate insolvency</w:t>
      </w:r>
      <w:r>
        <w:rPr>
          <w:rFonts w:ascii="Cambria" w:hAnsi="Cambria"/>
          <w:sz w:val="24"/>
          <w:szCs w:val="24"/>
        </w:rPr>
        <w:t xml:space="preserve">. The latter having previously been contained within the </w:t>
      </w:r>
      <w:r w:rsidRPr="00AC63D7">
        <w:rPr>
          <w:rFonts w:ascii="Cambria" w:hAnsi="Cambria"/>
          <w:sz w:val="24"/>
          <w:szCs w:val="24"/>
          <w:u w:val="single"/>
        </w:rPr>
        <w:t>Companies Act</w:t>
      </w:r>
      <w:r w:rsidRPr="00AA3343">
        <w:rPr>
          <w:rFonts w:ascii="Cambria" w:hAnsi="Cambria"/>
          <w:sz w:val="24"/>
          <w:szCs w:val="24"/>
        </w:rPr>
        <w:t xml:space="preserve"> </w:t>
      </w:r>
      <w:r>
        <w:rPr>
          <w:rFonts w:ascii="Cambria" w:hAnsi="Cambria"/>
          <w:sz w:val="24"/>
          <w:szCs w:val="24"/>
        </w:rPr>
        <w:t xml:space="preserve">of </w:t>
      </w:r>
      <w:r w:rsidRPr="00AA3343">
        <w:rPr>
          <w:rFonts w:ascii="Cambria" w:hAnsi="Cambria"/>
          <w:sz w:val="24"/>
          <w:szCs w:val="24"/>
        </w:rPr>
        <w:t xml:space="preserve">2004, </w:t>
      </w:r>
      <w:r>
        <w:rPr>
          <w:rFonts w:ascii="Cambria" w:hAnsi="Cambria"/>
          <w:sz w:val="24"/>
          <w:szCs w:val="24"/>
        </w:rPr>
        <w:t xml:space="preserve">as amended. </w:t>
      </w:r>
      <w:r w:rsidRPr="00AC63D7">
        <w:rPr>
          <w:rFonts w:ascii="Cambria" w:hAnsi="Cambria"/>
          <w:i/>
          <w:iCs/>
          <w:sz w:val="24"/>
          <w:szCs w:val="24"/>
        </w:rPr>
        <w:t>Solvent</w:t>
      </w:r>
      <w:r>
        <w:rPr>
          <w:rFonts w:ascii="Cambria" w:hAnsi="Cambria"/>
          <w:sz w:val="24"/>
          <w:szCs w:val="24"/>
        </w:rPr>
        <w:t xml:space="preserve"> liquidation remains dealt with under the </w:t>
      </w:r>
      <w:r w:rsidRPr="00AC63D7">
        <w:rPr>
          <w:rFonts w:ascii="Cambria" w:hAnsi="Cambria"/>
          <w:sz w:val="24"/>
          <w:szCs w:val="24"/>
          <w:u w:val="single"/>
        </w:rPr>
        <w:t>Companies Act</w:t>
      </w:r>
      <w:r>
        <w:rPr>
          <w:rFonts w:ascii="Cambria" w:hAnsi="Cambria"/>
          <w:sz w:val="24"/>
          <w:szCs w:val="24"/>
        </w:rPr>
        <w:t>. Following the Canadian model, the insolvent company and its assets are received by the bankrupt estate of the company, and which is under the control of a trustee in bankruptcy.</w:t>
      </w:r>
    </w:p>
    <w:p w14:paraId="7F46728C" w14:textId="77777777" w:rsidR="00B23B14" w:rsidRDefault="00B23B14" w:rsidP="00531AD7">
      <w:pPr>
        <w:jc w:val="both"/>
        <w:rPr>
          <w:rFonts w:ascii="Cambria" w:hAnsi="Cambria"/>
          <w:sz w:val="24"/>
          <w:szCs w:val="24"/>
        </w:rPr>
      </w:pPr>
    </w:p>
    <w:p w14:paraId="75CA791B" w14:textId="6ED1BCD7" w:rsidR="00531AD7" w:rsidRDefault="00531AD7" w:rsidP="00531AD7">
      <w:pPr>
        <w:jc w:val="both"/>
        <w:rPr>
          <w:rFonts w:ascii="Cambria" w:hAnsi="Cambria"/>
          <w:sz w:val="24"/>
          <w:szCs w:val="24"/>
        </w:rPr>
      </w:pPr>
      <w:r>
        <w:rPr>
          <w:rFonts w:ascii="Cambria" w:hAnsi="Cambria"/>
          <w:sz w:val="24"/>
          <w:szCs w:val="24"/>
        </w:rPr>
        <w:t xml:space="preserve">Scope for restructuring exists by way of what is referred to in the legislation “a proposal” and which give the protection of a stay (that is, “suspension”) in respect of any creditor enforcement efforts (ss. 2 and 5) </w:t>
      </w:r>
    </w:p>
    <w:p w14:paraId="7EA779A0" w14:textId="77777777" w:rsidR="00B23B14" w:rsidRDefault="00B23B14" w:rsidP="00531AD7">
      <w:pPr>
        <w:jc w:val="both"/>
        <w:rPr>
          <w:rFonts w:ascii="Cambria" w:hAnsi="Cambria"/>
          <w:sz w:val="24"/>
          <w:szCs w:val="24"/>
        </w:rPr>
      </w:pPr>
    </w:p>
    <w:p w14:paraId="7394F266" w14:textId="4CA55B2C" w:rsidR="00531AD7" w:rsidRDefault="00531AD7" w:rsidP="00531AD7">
      <w:pPr>
        <w:jc w:val="both"/>
        <w:rPr>
          <w:rFonts w:ascii="Cambria" w:hAnsi="Cambria"/>
          <w:sz w:val="24"/>
          <w:szCs w:val="24"/>
        </w:rPr>
      </w:pPr>
      <w:r>
        <w:rPr>
          <w:rFonts w:ascii="Cambria" w:hAnsi="Cambria"/>
          <w:sz w:val="24"/>
          <w:szCs w:val="24"/>
        </w:rPr>
        <w:t xml:space="preserve">These provisions of the Insolvency Act together will be referred to in this paper as “the Jamaica Legislation”. </w:t>
      </w:r>
    </w:p>
    <w:p w14:paraId="1880E2EA" w14:textId="77777777" w:rsidR="00531AD7" w:rsidRPr="00531AD7" w:rsidRDefault="00531AD7" w:rsidP="00531AD7">
      <w:pPr>
        <w:jc w:val="both"/>
        <w:rPr>
          <w:rFonts w:ascii="Cambria" w:hAnsi="Cambria" w:cs="Arial"/>
          <w:b/>
          <w:bCs/>
          <w:i/>
          <w:iCs/>
          <w:sz w:val="24"/>
          <w:szCs w:val="24"/>
        </w:rPr>
      </w:pPr>
    </w:p>
    <w:p w14:paraId="26A4DF3D" w14:textId="2B7ACC30" w:rsidR="008D46BA" w:rsidRPr="008D46BA" w:rsidRDefault="008D46BA" w:rsidP="008D46BA">
      <w:pPr>
        <w:pStyle w:val="ListParagraph"/>
        <w:numPr>
          <w:ilvl w:val="0"/>
          <w:numId w:val="9"/>
        </w:numPr>
        <w:jc w:val="both"/>
        <w:rPr>
          <w:rFonts w:ascii="Cambria" w:hAnsi="Cambria" w:cs="Arial"/>
          <w:b/>
          <w:bCs/>
          <w:i/>
          <w:iCs/>
          <w:sz w:val="24"/>
          <w:szCs w:val="24"/>
        </w:rPr>
      </w:pPr>
      <w:r>
        <w:rPr>
          <w:rFonts w:ascii="Cambria" w:hAnsi="Cambria" w:cs="Arial"/>
          <w:b/>
          <w:bCs/>
          <w:i/>
          <w:iCs/>
          <w:sz w:val="24"/>
          <w:szCs w:val="24"/>
        </w:rPr>
        <w:t>Guyana</w:t>
      </w:r>
    </w:p>
    <w:p w14:paraId="2F9C019F" w14:textId="4229E574" w:rsidR="00065EDB" w:rsidRDefault="00B220F4" w:rsidP="00EA2B14">
      <w:pPr>
        <w:jc w:val="both"/>
        <w:rPr>
          <w:rFonts w:ascii="Cambria" w:hAnsi="Cambria" w:cs="Arial"/>
          <w:sz w:val="24"/>
          <w:szCs w:val="24"/>
        </w:rPr>
      </w:pPr>
      <w:r>
        <w:rPr>
          <w:rFonts w:ascii="Cambria" w:hAnsi="Cambria" w:cs="Arial"/>
          <w:sz w:val="24"/>
          <w:szCs w:val="24"/>
        </w:rPr>
        <w:t xml:space="preserve">In the context of Guyana, the </w:t>
      </w:r>
      <w:r>
        <w:rPr>
          <w:rFonts w:ascii="Cambria" w:hAnsi="Cambria" w:cs="Arial"/>
          <w:sz w:val="24"/>
          <w:szCs w:val="24"/>
          <w:u w:val="single"/>
        </w:rPr>
        <w:t>Companies Act</w:t>
      </w:r>
      <w:r>
        <w:rPr>
          <w:rFonts w:ascii="Cambria" w:hAnsi="Cambria" w:cs="Arial"/>
          <w:sz w:val="24"/>
          <w:szCs w:val="24"/>
        </w:rPr>
        <w:t xml:space="preserve"> (Ch. 89:01 at Part V)</w:t>
      </w:r>
      <w:r w:rsidR="003F7EFD">
        <w:rPr>
          <w:rFonts w:ascii="Cambria" w:hAnsi="Cambria" w:cs="Arial"/>
          <w:sz w:val="24"/>
          <w:szCs w:val="24"/>
        </w:rPr>
        <w:t xml:space="preserve"> </w:t>
      </w:r>
      <w:r w:rsidR="00AA3343">
        <w:rPr>
          <w:rFonts w:ascii="Cambria" w:hAnsi="Cambria" w:cs="Arial"/>
          <w:sz w:val="24"/>
          <w:szCs w:val="24"/>
        </w:rPr>
        <w:t xml:space="preserve">of 1991, as amended, </w:t>
      </w:r>
      <w:r w:rsidR="003F7EFD">
        <w:rPr>
          <w:rFonts w:ascii="Cambria" w:hAnsi="Cambria" w:cs="Arial"/>
          <w:sz w:val="24"/>
          <w:szCs w:val="24"/>
        </w:rPr>
        <w:t xml:space="preserve">provides both for </w:t>
      </w:r>
      <w:r w:rsidR="00014494">
        <w:rPr>
          <w:rFonts w:ascii="Cambria" w:hAnsi="Cambria" w:cs="Arial"/>
          <w:sz w:val="24"/>
          <w:szCs w:val="24"/>
        </w:rPr>
        <w:t xml:space="preserve">voluntary and court-ordered </w:t>
      </w:r>
      <w:r w:rsidR="003F7EFD">
        <w:rPr>
          <w:rFonts w:ascii="Cambria" w:hAnsi="Cambria" w:cs="Arial"/>
          <w:sz w:val="24"/>
          <w:szCs w:val="24"/>
        </w:rPr>
        <w:t>winding-up</w:t>
      </w:r>
      <w:r w:rsidR="00014494">
        <w:rPr>
          <w:rFonts w:ascii="Cambria" w:hAnsi="Cambria" w:cs="Arial"/>
          <w:sz w:val="24"/>
          <w:szCs w:val="24"/>
        </w:rPr>
        <w:t xml:space="preserve"> </w:t>
      </w:r>
      <w:r w:rsidR="003F7EFD">
        <w:rPr>
          <w:rFonts w:ascii="Cambria" w:hAnsi="Cambria" w:cs="Arial"/>
          <w:sz w:val="24"/>
          <w:szCs w:val="24"/>
        </w:rPr>
        <w:t>and (ss.348-</w:t>
      </w:r>
      <w:r w:rsidR="00014494">
        <w:rPr>
          <w:rFonts w:ascii="Cambria" w:hAnsi="Cambria" w:cs="Arial"/>
          <w:sz w:val="24"/>
          <w:szCs w:val="24"/>
        </w:rPr>
        <w:t xml:space="preserve">467). Within this, (s.369) there is provision of appointment of a </w:t>
      </w:r>
      <w:r w:rsidR="00014494">
        <w:rPr>
          <w:rFonts w:ascii="Cambria" w:hAnsi="Cambria" w:cs="Arial"/>
          <w:i/>
          <w:iCs/>
          <w:sz w:val="24"/>
          <w:szCs w:val="24"/>
        </w:rPr>
        <w:t xml:space="preserve">provisional </w:t>
      </w:r>
      <w:r w:rsidR="00014494">
        <w:rPr>
          <w:rFonts w:ascii="Cambria" w:hAnsi="Cambria" w:cs="Arial"/>
          <w:sz w:val="24"/>
          <w:szCs w:val="24"/>
        </w:rPr>
        <w:t>liquidator at any time after the presentation of a winding-up petition.</w:t>
      </w:r>
      <w:r w:rsidR="003F7EFD">
        <w:rPr>
          <w:rStyle w:val="FootnoteReference"/>
          <w:rFonts w:ascii="Cambria" w:hAnsi="Cambria" w:cs="Arial"/>
          <w:sz w:val="24"/>
          <w:szCs w:val="24"/>
        </w:rPr>
        <w:footnoteReference w:id="5"/>
      </w:r>
      <w:r w:rsidR="00014494">
        <w:rPr>
          <w:rFonts w:ascii="Cambria" w:hAnsi="Cambria" w:cs="Arial"/>
          <w:sz w:val="24"/>
          <w:szCs w:val="24"/>
        </w:rPr>
        <w:t xml:space="preserve"> “Presentation” in the context of a winding-up petition is </w:t>
      </w:r>
      <w:r w:rsidR="00065EDB">
        <w:rPr>
          <w:rFonts w:ascii="Cambria" w:hAnsi="Cambria" w:cs="Arial"/>
          <w:sz w:val="24"/>
          <w:szCs w:val="24"/>
        </w:rPr>
        <w:t>not defined but appears to equate to issuance out of the Court Registry for hearing.</w:t>
      </w:r>
      <w:r w:rsidR="00065EDB">
        <w:rPr>
          <w:rStyle w:val="FootnoteReference"/>
          <w:rFonts w:ascii="Cambria" w:hAnsi="Cambria" w:cs="Arial"/>
          <w:sz w:val="24"/>
          <w:szCs w:val="24"/>
        </w:rPr>
        <w:footnoteReference w:id="6"/>
      </w:r>
      <w:r w:rsidR="00EB0B09">
        <w:rPr>
          <w:rFonts w:ascii="Cambria" w:hAnsi="Cambria" w:cs="Arial"/>
          <w:sz w:val="24"/>
          <w:szCs w:val="24"/>
        </w:rPr>
        <w:t xml:space="preserve"> </w:t>
      </w:r>
      <w:r w:rsidR="00065EDB">
        <w:rPr>
          <w:rFonts w:ascii="Cambria" w:hAnsi="Cambria" w:cs="Arial"/>
          <w:sz w:val="24"/>
          <w:szCs w:val="24"/>
        </w:rPr>
        <w:t xml:space="preserve">As regards scope for </w:t>
      </w:r>
      <w:r w:rsidR="00FF28AB">
        <w:rPr>
          <w:rFonts w:ascii="Cambria" w:hAnsi="Cambria" w:cs="Arial"/>
          <w:sz w:val="24"/>
          <w:szCs w:val="24"/>
        </w:rPr>
        <w:t xml:space="preserve">restructuring, the same legislation (at Part II, Division K, “Arrangements for Reconstruction”) provides for this (ss.217-220). </w:t>
      </w:r>
    </w:p>
    <w:p w14:paraId="5379C430" w14:textId="77777777" w:rsidR="00B23B14" w:rsidRDefault="00B23B14" w:rsidP="00B23B14">
      <w:pPr>
        <w:jc w:val="both"/>
        <w:rPr>
          <w:rFonts w:ascii="Cambria" w:hAnsi="Cambria" w:cs="Arial"/>
          <w:sz w:val="24"/>
          <w:szCs w:val="24"/>
        </w:rPr>
      </w:pPr>
    </w:p>
    <w:p w14:paraId="1351C174" w14:textId="79F1FCBC" w:rsidR="008D46BA" w:rsidRDefault="00EB0B09" w:rsidP="00B23B14">
      <w:pPr>
        <w:jc w:val="both"/>
        <w:rPr>
          <w:rFonts w:ascii="Cambria" w:hAnsi="Cambria" w:cs="Arial"/>
          <w:sz w:val="24"/>
          <w:szCs w:val="24"/>
        </w:rPr>
      </w:pPr>
      <w:r>
        <w:rPr>
          <w:rFonts w:ascii="Cambria" w:hAnsi="Cambria" w:cs="Arial"/>
          <w:sz w:val="24"/>
          <w:szCs w:val="24"/>
        </w:rPr>
        <w:t>Together, t</w:t>
      </w:r>
      <w:r w:rsidR="00DF55AD">
        <w:rPr>
          <w:rFonts w:ascii="Cambria" w:hAnsi="Cambria" w:cs="Arial"/>
          <w:sz w:val="24"/>
          <w:szCs w:val="24"/>
        </w:rPr>
        <w:t>hese provisions will be referred to in this paper as “the Guyana Legislation”.</w:t>
      </w:r>
      <w:r w:rsidR="00B220F4">
        <w:rPr>
          <w:rFonts w:ascii="Cambria" w:hAnsi="Cambria" w:cs="Arial"/>
          <w:sz w:val="24"/>
          <w:szCs w:val="24"/>
        </w:rPr>
        <w:t xml:space="preserve"> </w:t>
      </w:r>
    </w:p>
    <w:p w14:paraId="63C28025" w14:textId="77777777" w:rsidR="009E438A" w:rsidRPr="009E438A" w:rsidRDefault="009E438A" w:rsidP="008D46BA">
      <w:pPr>
        <w:jc w:val="both"/>
        <w:rPr>
          <w:rFonts w:ascii="Cambria" w:hAnsi="Cambria"/>
          <w:sz w:val="24"/>
          <w:szCs w:val="24"/>
        </w:rPr>
      </w:pPr>
    </w:p>
    <w:p w14:paraId="1E6D6B00" w14:textId="66AE9300" w:rsidR="00462DBB" w:rsidRPr="00462DBB" w:rsidRDefault="007378B8" w:rsidP="00EA2B14">
      <w:pPr>
        <w:jc w:val="both"/>
        <w:rPr>
          <w:rFonts w:ascii="Cambria" w:hAnsi="Cambria" w:cs="Arial"/>
          <w:b/>
          <w:bCs/>
          <w:sz w:val="24"/>
          <w:szCs w:val="24"/>
        </w:rPr>
      </w:pPr>
      <w:r>
        <w:rPr>
          <w:rFonts w:ascii="Cambria" w:hAnsi="Cambria" w:cs="Arial"/>
          <w:b/>
          <w:bCs/>
          <w:sz w:val="24"/>
          <w:szCs w:val="24"/>
        </w:rPr>
        <w:t>Discussion</w:t>
      </w:r>
    </w:p>
    <w:p w14:paraId="0022799B" w14:textId="7C278FA9" w:rsidR="005C7F10" w:rsidRDefault="00DF55AD" w:rsidP="00B23B14">
      <w:pPr>
        <w:jc w:val="both"/>
        <w:rPr>
          <w:rFonts w:ascii="Cambria" w:hAnsi="Cambria" w:cs="Arial"/>
          <w:sz w:val="24"/>
          <w:szCs w:val="24"/>
        </w:rPr>
      </w:pPr>
      <w:r>
        <w:rPr>
          <w:rFonts w:ascii="Cambria" w:hAnsi="Cambria" w:cs="Arial"/>
          <w:sz w:val="24"/>
          <w:szCs w:val="24"/>
        </w:rPr>
        <w:t xml:space="preserve">Although </w:t>
      </w:r>
      <w:r w:rsidR="00462DBB">
        <w:rPr>
          <w:rFonts w:ascii="Cambria" w:hAnsi="Cambria" w:cs="Arial"/>
          <w:sz w:val="24"/>
          <w:szCs w:val="24"/>
        </w:rPr>
        <w:t xml:space="preserve">found </w:t>
      </w:r>
      <w:r>
        <w:rPr>
          <w:rFonts w:ascii="Cambria" w:hAnsi="Cambria" w:cs="Arial"/>
          <w:sz w:val="24"/>
          <w:szCs w:val="24"/>
        </w:rPr>
        <w:t xml:space="preserve">elsewhere within the </w:t>
      </w:r>
      <w:r>
        <w:rPr>
          <w:rFonts w:ascii="Cambria" w:hAnsi="Cambria" w:cs="Arial"/>
          <w:sz w:val="24"/>
          <w:szCs w:val="24"/>
          <w:u w:val="single"/>
        </w:rPr>
        <w:t>Insolvency Act</w:t>
      </w:r>
      <w:r w:rsidR="00821BC8">
        <w:rPr>
          <w:rFonts w:ascii="Cambria" w:hAnsi="Cambria" w:cs="Arial"/>
          <w:sz w:val="24"/>
          <w:szCs w:val="24"/>
        </w:rPr>
        <w:t xml:space="preserve">, by </w:t>
      </w:r>
      <w:r>
        <w:rPr>
          <w:rFonts w:ascii="Cambria" w:hAnsi="Cambria" w:cs="Arial"/>
          <w:sz w:val="24"/>
          <w:szCs w:val="24"/>
        </w:rPr>
        <w:t>s. 3 of</w:t>
      </w:r>
      <w:r w:rsidR="005C7F10">
        <w:rPr>
          <w:rFonts w:ascii="Cambria" w:hAnsi="Cambria" w:cs="Arial"/>
          <w:sz w:val="24"/>
          <w:szCs w:val="24"/>
        </w:rPr>
        <w:t xml:space="preserve"> th</w:t>
      </w:r>
      <w:r w:rsidR="00EB0B09">
        <w:rPr>
          <w:rFonts w:ascii="Cambria" w:hAnsi="Cambria" w:cs="Arial"/>
          <w:sz w:val="24"/>
          <w:szCs w:val="24"/>
        </w:rPr>
        <w:t xml:space="preserve">at legislation </w:t>
      </w:r>
      <w:r w:rsidR="00821BC8">
        <w:rPr>
          <w:rFonts w:ascii="Cambria" w:hAnsi="Cambria" w:cs="Arial"/>
          <w:sz w:val="24"/>
          <w:szCs w:val="24"/>
        </w:rPr>
        <w:t xml:space="preserve">Jamaica </w:t>
      </w:r>
      <w:r w:rsidR="005C7F10">
        <w:rPr>
          <w:rFonts w:ascii="Cambria" w:hAnsi="Cambria" w:cs="Arial"/>
          <w:sz w:val="24"/>
          <w:szCs w:val="24"/>
        </w:rPr>
        <w:t>does set out the</w:t>
      </w:r>
      <w:r w:rsidR="00EE73A8">
        <w:rPr>
          <w:rFonts w:ascii="Cambria" w:hAnsi="Cambria" w:cs="Arial"/>
          <w:sz w:val="24"/>
          <w:szCs w:val="24"/>
        </w:rPr>
        <w:t xml:space="preserve"> relevant</w:t>
      </w:r>
      <w:r w:rsidR="005C7F10">
        <w:rPr>
          <w:rFonts w:ascii="Cambria" w:hAnsi="Cambria" w:cs="Arial"/>
          <w:sz w:val="24"/>
          <w:szCs w:val="24"/>
        </w:rPr>
        <w:t xml:space="preserve"> legislative intent. </w:t>
      </w:r>
      <w:r w:rsidR="00462DBB">
        <w:rPr>
          <w:rFonts w:ascii="Cambria" w:hAnsi="Cambria" w:cs="Arial"/>
          <w:sz w:val="24"/>
          <w:szCs w:val="24"/>
        </w:rPr>
        <w:t>That is stated a</w:t>
      </w:r>
      <w:r w:rsidR="005C7F10">
        <w:rPr>
          <w:rFonts w:ascii="Cambria" w:hAnsi="Cambria" w:cs="Arial"/>
          <w:sz w:val="24"/>
          <w:szCs w:val="24"/>
        </w:rPr>
        <w:t>s follows:</w:t>
      </w:r>
    </w:p>
    <w:p w14:paraId="7C0CC81C" w14:textId="77777777" w:rsidR="005C7F10" w:rsidRDefault="005C7F10" w:rsidP="00EA2B14">
      <w:pPr>
        <w:jc w:val="both"/>
        <w:rPr>
          <w:rFonts w:ascii="Cambria" w:hAnsi="Cambria" w:cs="Arial"/>
          <w:i/>
          <w:iCs/>
          <w:sz w:val="24"/>
          <w:szCs w:val="24"/>
        </w:rPr>
      </w:pPr>
      <w:r>
        <w:rPr>
          <w:rFonts w:ascii="Cambria" w:hAnsi="Cambria" w:cs="Arial"/>
          <w:sz w:val="24"/>
          <w:szCs w:val="24"/>
        </w:rPr>
        <w:tab/>
      </w:r>
      <w:r>
        <w:rPr>
          <w:rFonts w:ascii="Cambria" w:hAnsi="Cambria" w:cs="Arial"/>
          <w:i/>
          <w:iCs/>
          <w:sz w:val="24"/>
          <w:szCs w:val="24"/>
        </w:rPr>
        <w:t>“Objects of Act:</w:t>
      </w:r>
    </w:p>
    <w:p w14:paraId="688FEDB3" w14:textId="0CC5C88B" w:rsidR="005C7F10" w:rsidRDefault="005C7F10" w:rsidP="00EA2B14">
      <w:pPr>
        <w:jc w:val="both"/>
        <w:rPr>
          <w:rFonts w:ascii="Cambria" w:hAnsi="Cambria" w:cs="Arial"/>
          <w:i/>
          <w:iCs/>
          <w:sz w:val="24"/>
          <w:szCs w:val="24"/>
        </w:rPr>
      </w:pPr>
      <w:r>
        <w:rPr>
          <w:rFonts w:ascii="Cambria" w:hAnsi="Cambria" w:cs="Arial"/>
          <w:i/>
          <w:iCs/>
          <w:sz w:val="24"/>
          <w:szCs w:val="24"/>
        </w:rPr>
        <w:tab/>
        <w:t>3.</w:t>
      </w:r>
      <w:r>
        <w:rPr>
          <w:rFonts w:ascii="Cambria" w:hAnsi="Cambria" w:cs="Arial"/>
          <w:i/>
          <w:iCs/>
          <w:sz w:val="24"/>
          <w:szCs w:val="24"/>
        </w:rPr>
        <w:tab/>
        <w:t xml:space="preserve">This Act seeks to create an environment which aids in – </w:t>
      </w:r>
    </w:p>
    <w:p w14:paraId="6A650D02" w14:textId="77777777" w:rsidR="005C7F10" w:rsidRDefault="005C7F10" w:rsidP="005C7F10">
      <w:pPr>
        <w:ind w:left="1440"/>
        <w:jc w:val="both"/>
        <w:rPr>
          <w:rFonts w:ascii="Cambria" w:hAnsi="Cambria" w:cs="Arial"/>
          <w:i/>
          <w:iCs/>
          <w:sz w:val="24"/>
          <w:szCs w:val="24"/>
        </w:rPr>
      </w:pPr>
      <w:r>
        <w:rPr>
          <w:rFonts w:ascii="Cambria" w:hAnsi="Cambria" w:cs="Arial"/>
          <w:i/>
          <w:iCs/>
          <w:sz w:val="24"/>
          <w:szCs w:val="24"/>
        </w:rPr>
        <w:t>(a) the rehabilitation of debtors and the preservation of viable companies having due regard to the protection of the rights of creditors and other stakeholders; and</w:t>
      </w:r>
    </w:p>
    <w:p w14:paraId="1BDF44B0" w14:textId="499E07E0" w:rsidR="007378B8" w:rsidRDefault="005C7F10" w:rsidP="005C7F10">
      <w:pPr>
        <w:ind w:left="1440"/>
        <w:jc w:val="both"/>
        <w:rPr>
          <w:rFonts w:ascii="Cambria" w:hAnsi="Cambria" w:cs="Arial"/>
          <w:sz w:val="24"/>
          <w:szCs w:val="24"/>
        </w:rPr>
      </w:pPr>
      <w:r>
        <w:rPr>
          <w:rFonts w:ascii="Cambria" w:hAnsi="Cambria" w:cs="Arial"/>
          <w:i/>
          <w:iCs/>
          <w:sz w:val="24"/>
          <w:szCs w:val="24"/>
        </w:rPr>
        <w:t>(b) fair allocation of the costs of insolvencies with the with the overriding interest of strengthening and protecting Jamaica’s economic and financial system and the availability and flow of credit within the economy.”</w:t>
      </w:r>
      <w:r w:rsidR="00DF55AD">
        <w:rPr>
          <w:rFonts w:ascii="Cambria" w:hAnsi="Cambria" w:cs="Arial"/>
          <w:sz w:val="24"/>
          <w:szCs w:val="24"/>
        </w:rPr>
        <w:t xml:space="preserve">  </w:t>
      </w:r>
    </w:p>
    <w:p w14:paraId="7CDA7075" w14:textId="77777777" w:rsidR="00D91318" w:rsidRDefault="00D91318" w:rsidP="00EA2B14">
      <w:pPr>
        <w:jc w:val="both"/>
        <w:rPr>
          <w:rFonts w:ascii="Cambria" w:hAnsi="Cambria" w:cs="Arial"/>
          <w:sz w:val="24"/>
          <w:szCs w:val="24"/>
        </w:rPr>
      </w:pPr>
    </w:p>
    <w:p w14:paraId="18085031" w14:textId="77777777" w:rsidR="00B23B14" w:rsidRDefault="00B23B14" w:rsidP="00EA2B14">
      <w:pPr>
        <w:jc w:val="both"/>
        <w:rPr>
          <w:rFonts w:ascii="Cambria" w:hAnsi="Cambria" w:cs="Arial"/>
          <w:sz w:val="24"/>
          <w:szCs w:val="24"/>
        </w:rPr>
      </w:pPr>
    </w:p>
    <w:p w14:paraId="16349C6E" w14:textId="77777777" w:rsidR="00B23B14" w:rsidRDefault="000A09B0" w:rsidP="00B23B14">
      <w:pPr>
        <w:jc w:val="both"/>
        <w:rPr>
          <w:rFonts w:ascii="Cambria" w:hAnsi="Cambria" w:cs="Arial"/>
          <w:sz w:val="24"/>
          <w:szCs w:val="24"/>
        </w:rPr>
      </w:pPr>
      <w:r>
        <w:rPr>
          <w:rFonts w:ascii="Cambria" w:hAnsi="Cambria" w:cs="Arial"/>
          <w:sz w:val="24"/>
          <w:szCs w:val="24"/>
        </w:rPr>
        <w:t xml:space="preserve">The Jamaica Legislation follows closely </w:t>
      </w:r>
      <w:r w:rsidR="0028625F">
        <w:rPr>
          <w:rFonts w:ascii="Cambria" w:hAnsi="Cambria" w:cs="Arial"/>
          <w:sz w:val="24"/>
          <w:szCs w:val="24"/>
        </w:rPr>
        <w:t xml:space="preserve">the 1985 </w:t>
      </w:r>
      <w:r>
        <w:rPr>
          <w:rFonts w:ascii="Cambria" w:hAnsi="Cambria" w:cs="Arial"/>
          <w:sz w:val="24"/>
          <w:szCs w:val="24"/>
        </w:rPr>
        <w:t xml:space="preserve">Canadian </w:t>
      </w:r>
      <w:r>
        <w:rPr>
          <w:rFonts w:ascii="Cambria" w:hAnsi="Cambria" w:cs="Arial"/>
          <w:sz w:val="24"/>
          <w:szCs w:val="24"/>
          <w:u w:val="single"/>
        </w:rPr>
        <w:t>Bankruptcy and Insolvency Act</w:t>
      </w:r>
      <w:r w:rsidR="0028625F">
        <w:rPr>
          <w:rFonts w:ascii="Cambria" w:hAnsi="Cambria" w:cs="Arial"/>
          <w:sz w:val="24"/>
          <w:szCs w:val="24"/>
        </w:rPr>
        <w:t xml:space="preserve"> (“the BIA”). </w:t>
      </w:r>
      <w:r>
        <w:rPr>
          <w:rFonts w:ascii="Cambria" w:hAnsi="Cambria" w:cs="Arial"/>
          <w:sz w:val="24"/>
          <w:szCs w:val="24"/>
        </w:rPr>
        <w:t>That legislation similarly pro</w:t>
      </w:r>
      <w:r>
        <w:rPr>
          <w:rFonts w:ascii="Cambria" w:hAnsi="Cambria" w:cs="Arial"/>
          <w:sz w:val="24"/>
          <w:szCs w:val="24"/>
        </w:rPr>
        <w:t xml:space="preserve">vides the debtor with the opportunity for a “fresh </w:t>
      </w:r>
      <w:r>
        <w:rPr>
          <w:rFonts w:ascii="Cambria" w:hAnsi="Cambria" w:cs="Arial"/>
          <w:sz w:val="24"/>
          <w:szCs w:val="24"/>
        </w:rPr>
        <w:lastRenderedPageBreak/>
        <w:t>start”,</w:t>
      </w:r>
      <w:r w:rsidR="002B2BB7">
        <w:rPr>
          <w:rFonts w:ascii="Cambria" w:hAnsi="Cambria" w:cs="Arial"/>
          <w:sz w:val="24"/>
          <w:szCs w:val="24"/>
        </w:rPr>
        <w:t xml:space="preserve"> </w:t>
      </w:r>
      <w:r>
        <w:rPr>
          <w:rFonts w:ascii="Cambria" w:hAnsi="Cambria" w:cs="Arial"/>
          <w:sz w:val="24"/>
          <w:szCs w:val="24"/>
        </w:rPr>
        <w:t>b</w:t>
      </w:r>
      <w:r w:rsidR="00EB0B09">
        <w:rPr>
          <w:rFonts w:ascii="Cambria" w:hAnsi="Cambria" w:cs="Arial"/>
          <w:sz w:val="24"/>
          <w:szCs w:val="24"/>
        </w:rPr>
        <w:t>y</w:t>
      </w:r>
      <w:r>
        <w:rPr>
          <w:rFonts w:ascii="Cambria" w:hAnsi="Cambria" w:cs="Arial"/>
          <w:sz w:val="24"/>
          <w:szCs w:val="24"/>
        </w:rPr>
        <w:t xml:space="preserve"> giving the insolvency business the chance to restructure by which to become financially viable.</w:t>
      </w:r>
      <w:r>
        <w:rPr>
          <w:rStyle w:val="FootnoteReference"/>
          <w:rFonts w:ascii="Cambria" w:hAnsi="Cambria" w:cs="Arial"/>
          <w:sz w:val="24"/>
          <w:szCs w:val="24"/>
        </w:rPr>
        <w:footnoteReference w:id="7"/>
      </w:r>
      <w:r>
        <w:rPr>
          <w:rFonts w:ascii="Cambria" w:hAnsi="Cambria" w:cs="Arial"/>
          <w:sz w:val="24"/>
          <w:szCs w:val="24"/>
        </w:rPr>
        <w:t xml:space="preserve">  </w:t>
      </w:r>
    </w:p>
    <w:p w14:paraId="75C00730" w14:textId="77777777" w:rsidR="00B23B14" w:rsidRDefault="00B23B14" w:rsidP="00B23B14">
      <w:pPr>
        <w:jc w:val="both"/>
        <w:rPr>
          <w:rFonts w:ascii="Cambria" w:hAnsi="Cambria" w:cs="Arial"/>
          <w:sz w:val="24"/>
          <w:szCs w:val="24"/>
        </w:rPr>
      </w:pPr>
    </w:p>
    <w:p w14:paraId="29353730" w14:textId="77777777" w:rsidR="00B23B14" w:rsidRDefault="000A09B0" w:rsidP="00B23B14">
      <w:pPr>
        <w:jc w:val="both"/>
        <w:rPr>
          <w:rFonts w:ascii="Cambria" w:hAnsi="Cambria" w:cs="Arial"/>
          <w:sz w:val="24"/>
          <w:szCs w:val="24"/>
        </w:rPr>
      </w:pPr>
      <w:r>
        <w:rPr>
          <w:rFonts w:ascii="Cambria" w:hAnsi="Cambria" w:cs="Arial"/>
          <w:sz w:val="24"/>
          <w:szCs w:val="24"/>
        </w:rPr>
        <w:t>Th</w:t>
      </w:r>
      <w:r w:rsidR="0028625F">
        <w:rPr>
          <w:rFonts w:ascii="Cambria" w:hAnsi="Cambria" w:cs="Arial"/>
          <w:sz w:val="24"/>
          <w:szCs w:val="24"/>
        </w:rPr>
        <w:t>e BIA</w:t>
      </w:r>
      <w:r>
        <w:rPr>
          <w:rFonts w:ascii="Cambria" w:hAnsi="Cambria" w:cs="Arial"/>
          <w:sz w:val="24"/>
          <w:szCs w:val="24"/>
        </w:rPr>
        <w:t xml:space="preserve"> has been described as remedial legislation serving the dual purposes of equitable distribution of the bankrupt’s assets amongst creditor and the financial rehabilitation of the bankrupt.</w:t>
      </w:r>
      <w:r w:rsidR="0028625F">
        <w:rPr>
          <w:rFonts w:ascii="Cambria" w:hAnsi="Cambria" w:cs="Arial"/>
          <w:sz w:val="24"/>
          <w:szCs w:val="24"/>
        </w:rPr>
        <w:t>.</w:t>
      </w:r>
      <w:r>
        <w:rPr>
          <w:rStyle w:val="FootnoteReference"/>
          <w:rFonts w:ascii="Cambria" w:hAnsi="Cambria" w:cs="Arial"/>
          <w:sz w:val="24"/>
          <w:szCs w:val="24"/>
        </w:rPr>
        <w:footnoteReference w:id="8"/>
      </w:r>
      <w:r w:rsidR="0028625F">
        <w:rPr>
          <w:rFonts w:ascii="Cambria" w:hAnsi="Cambria" w:cs="Arial"/>
          <w:sz w:val="24"/>
          <w:szCs w:val="24"/>
        </w:rPr>
        <w:t xml:space="preserve"> The BIA is said to be less flexible (thereby giving rise to reduced scope for the exercise of judicial discretion) tha</w:t>
      </w:r>
      <w:r w:rsidR="00CB3B88">
        <w:rPr>
          <w:rFonts w:ascii="Cambria" w:hAnsi="Cambria" w:cs="Arial"/>
          <w:sz w:val="24"/>
          <w:szCs w:val="24"/>
        </w:rPr>
        <w:t>n</w:t>
      </w:r>
      <w:r w:rsidR="0028625F">
        <w:rPr>
          <w:rFonts w:ascii="Cambria" w:hAnsi="Cambria" w:cs="Arial"/>
          <w:sz w:val="24"/>
          <w:szCs w:val="24"/>
        </w:rPr>
        <w:t xml:space="preserve"> the 1985 </w:t>
      </w:r>
      <w:r w:rsidR="0028625F">
        <w:rPr>
          <w:rFonts w:ascii="Cambria" w:hAnsi="Cambria" w:cs="Arial"/>
          <w:sz w:val="24"/>
          <w:szCs w:val="24"/>
          <w:u w:val="single"/>
        </w:rPr>
        <w:t>Companies Creditors Arrangements Act</w:t>
      </w:r>
      <w:r w:rsidR="0028625F">
        <w:rPr>
          <w:rFonts w:ascii="Cambria" w:hAnsi="Cambria" w:cs="Arial"/>
          <w:sz w:val="24"/>
          <w:szCs w:val="24"/>
        </w:rPr>
        <w:t xml:space="preserve"> (“the CCAA”)</w:t>
      </w:r>
      <w:r w:rsidR="001242E3">
        <w:rPr>
          <w:rFonts w:ascii="Cambria" w:hAnsi="Cambria" w:cs="Arial"/>
          <w:sz w:val="24"/>
          <w:szCs w:val="24"/>
        </w:rPr>
        <w:t xml:space="preserve">, other Canadian legislation dealing with restructuring. </w:t>
      </w:r>
      <w:r w:rsidR="00CB3B88">
        <w:rPr>
          <w:rFonts w:ascii="Cambria" w:hAnsi="Cambria" w:cs="Arial"/>
          <w:sz w:val="24"/>
          <w:szCs w:val="24"/>
        </w:rPr>
        <w:t xml:space="preserve">The CCAA was enacted to allow companies to restructure debt instead, simply, of liquidating assets. The original version of the </w:t>
      </w:r>
      <w:r w:rsidR="002B2BB7">
        <w:rPr>
          <w:rFonts w:ascii="Cambria" w:hAnsi="Cambria" w:cs="Arial"/>
          <w:sz w:val="24"/>
          <w:szCs w:val="24"/>
        </w:rPr>
        <w:t>BIA - in its then unamended form – had no restructuring provisions. Since amendments during the period 1992-2007, t</w:t>
      </w:r>
      <w:r w:rsidR="0028625F">
        <w:rPr>
          <w:rFonts w:ascii="Cambria" w:hAnsi="Cambria" w:cs="Arial"/>
          <w:sz w:val="24"/>
          <w:szCs w:val="24"/>
        </w:rPr>
        <w:t xml:space="preserve">he BIA </w:t>
      </w:r>
      <w:r w:rsidR="001242E3">
        <w:rPr>
          <w:rFonts w:ascii="Cambria" w:hAnsi="Cambria" w:cs="Arial"/>
          <w:sz w:val="24"/>
          <w:szCs w:val="24"/>
        </w:rPr>
        <w:t xml:space="preserve">now </w:t>
      </w:r>
      <w:r w:rsidR="0028625F">
        <w:rPr>
          <w:rFonts w:ascii="Cambria" w:hAnsi="Cambria" w:cs="Arial"/>
          <w:sz w:val="24"/>
          <w:szCs w:val="24"/>
        </w:rPr>
        <w:t>offers a proposal route for creditors to agree acceptance of less-than-full repayment, an extension of time and / or a scheme of arrangement in terms of the alternation of the debt and equity structure.</w:t>
      </w:r>
      <w:r w:rsidR="00314788">
        <w:rPr>
          <w:rStyle w:val="FootnoteReference"/>
          <w:rFonts w:ascii="Cambria" w:hAnsi="Cambria" w:cs="Arial"/>
          <w:sz w:val="24"/>
          <w:szCs w:val="24"/>
        </w:rPr>
        <w:footnoteReference w:id="9"/>
      </w:r>
    </w:p>
    <w:p w14:paraId="15FD7F25" w14:textId="77777777" w:rsidR="00B23B14" w:rsidRDefault="00B23B14" w:rsidP="00B23B14">
      <w:pPr>
        <w:jc w:val="both"/>
        <w:rPr>
          <w:rFonts w:ascii="Cambria" w:hAnsi="Cambria" w:cs="Arial"/>
          <w:sz w:val="24"/>
          <w:szCs w:val="24"/>
        </w:rPr>
      </w:pPr>
    </w:p>
    <w:p w14:paraId="00F05978" w14:textId="7693933F" w:rsidR="00E80D94" w:rsidRDefault="00821BC8" w:rsidP="00B23B14">
      <w:pPr>
        <w:jc w:val="both"/>
        <w:rPr>
          <w:rFonts w:ascii="Cambria" w:hAnsi="Cambria" w:cs="Arial"/>
          <w:sz w:val="24"/>
          <w:szCs w:val="24"/>
        </w:rPr>
      </w:pPr>
      <w:r>
        <w:rPr>
          <w:rFonts w:ascii="Cambria" w:hAnsi="Cambria" w:cs="Arial"/>
          <w:sz w:val="24"/>
          <w:szCs w:val="24"/>
        </w:rPr>
        <w:t>That proposal part of the BIA is reflected at s.11 of the Jamaica Legislation and includes pre-insolvency (</w:t>
      </w:r>
      <w:r>
        <w:rPr>
          <w:rFonts w:ascii="Cambria" w:hAnsi="Cambria" w:cs="Arial"/>
          <w:i/>
          <w:iCs/>
          <w:sz w:val="24"/>
          <w:szCs w:val="24"/>
        </w:rPr>
        <w:t>“(a) a person facing imminent insolvency”</w:t>
      </w:r>
      <w:r>
        <w:rPr>
          <w:rFonts w:ascii="Cambria" w:hAnsi="Cambria" w:cs="Arial"/>
          <w:sz w:val="24"/>
          <w:szCs w:val="24"/>
        </w:rPr>
        <w:t xml:space="preserve">), insolvency but not adjudicated </w:t>
      </w:r>
      <w:r w:rsidR="00DD72A3">
        <w:rPr>
          <w:rFonts w:ascii="Cambria" w:hAnsi="Cambria" w:cs="Arial"/>
          <w:sz w:val="24"/>
          <w:szCs w:val="24"/>
        </w:rPr>
        <w:t>bankruptcy</w:t>
      </w:r>
      <w:r>
        <w:rPr>
          <w:rFonts w:ascii="Cambria" w:hAnsi="Cambria" w:cs="Arial"/>
          <w:sz w:val="24"/>
          <w:szCs w:val="24"/>
        </w:rPr>
        <w:t xml:space="preserve"> (</w:t>
      </w:r>
      <w:r>
        <w:rPr>
          <w:rFonts w:ascii="Cambria" w:hAnsi="Cambria" w:cs="Arial"/>
          <w:i/>
          <w:iCs/>
          <w:sz w:val="24"/>
          <w:szCs w:val="24"/>
        </w:rPr>
        <w:t>“(b) an insolvent person”</w:t>
      </w:r>
      <w:r>
        <w:rPr>
          <w:rFonts w:ascii="Cambria" w:hAnsi="Cambria" w:cs="Arial"/>
          <w:sz w:val="24"/>
          <w:szCs w:val="24"/>
        </w:rPr>
        <w:t>) and a bankrupt (s.11(1)(f)). A “person” is defined to include a company (s.2).</w:t>
      </w:r>
      <w:r w:rsidR="00EB0B09">
        <w:rPr>
          <w:rFonts w:ascii="Cambria" w:hAnsi="Cambria" w:cs="Arial"/>
          <w:sz w:val="24"/>
          <w:szCs w:val="24"/>
        </w:rPr>
        <w:t xml:space="preserve"> </w:t>
      </w:r>
      <w:r w:rsidR="00AB6BFE">
        <w:rPr>
          <w:rFonts w:ascii="Cambria" w:hAnsi="Cambria" w:cs="Arial"/>
          <w:sz w:val="24"/>
          <w:szCs w:val="24"/>
        </w:rPr>
        <w:t xml:space="preserve">That the Jamaica Legislation provides scope for reorganisation is discussed in </w:t>
      </w:r>
      <w:r w:rsidR="00AB6BFE">
        <w:rPr>
          <w:rFonts w:ascii="Cambria" w:hAnsi="Cambria" w:cs="Arial"/>
          <w:sz w:val="24"/>
          <w:szCs w:val="24"/>
          <w:u w:val="single"/>
        </w:rPr>
        <w:t xml:space="preserve">Development Bank of Jamaica v Proactive Financial Services </w:t>
      </w:r>
      <w:r w:rsidR="00AB6BFE">
        <w:rPr>
          <w:rFonts w:ascii="Cambria" w:hAnsi="Cambria" w:cs="Arial"/>
          <w:sz w:val="24"/>
          <w:szCs w:val="24"/>
        </w:rPr>
        <w:t>[2017] JMCC COMM 31</w:t>
      </w:r>
      <w:r w:rsidR="00E80D94">
        <w:rPr>
          <w:rFonts w:ascii="Cambria" w:hAnsi="Cambria" w:cs="Arial"/>
          <w:sz w:val="24"/>
          <w:szCs w:val="24"/>
        </w:rPr>
        <w:t xml:space="preserve">: at [5] </w:t>
      </w:r>
    </w:p>
    <w:p w14:paraId="607800AB" w14:textId="27B0A578" w:rsidR="00963548" w:rsidRDefault="00E80D94" w:rsidP="00E80D94">
      <w:pPr>
        <w:ind w:left="720"/>
        <w:jc w:val="both"/>
        <w:rPr>
          <w:rFonts w:ascii="Cambria" w:hAnsi="Cambria" w:cs="Arial"/>
          <w:sz w:val="24"/>
          <w:szCs w:val="24"/>
        </w:rPr>
      </w:pPr>
      <w:r>
        <w:rPr>
          <w:rFonts w:ascii="Cambria" w:hAnsi="Cambria" w:cs="Arial"/>
          <w:i/>
          <w:iCs/>
          <w:sz w:val="24"/>
          <w:szCs w:val="24"/>
        </w:rPr>
        <w:t>“[i]t has…introduced a new type of thinking to bankruptcy law in Jamaica, namely, rehabilitation and rescue. The idea is that the insolvent person, where possible, should emerge being able to ‘restart’ life after the previous debt has been satisfactorily dealt with under the insolvency regime”.</w:t>
      </w:r>
      <w:r w:rsidR="00AB6BFE">
        <w:rPr>
          <w:rFonts w:ascii="Cambria" w:hAnsi="Cambria" w:cs="Arial"/>
          <w:sz w:val="24"/>
          <w:szCs w:val="24"/>
        </w:rPr>
        <w:t xml:space="preserve"> </w:t>
      </w:r>
    </w:p>
    <w:p w14:paraId="7AEA0B83" w14:textId="77777777" w:rsidR="00556862" w:rsidRDefault="00556862" w:rsidP="00EA2B14">
      <w:pPr>
        <w:jc w:val="both"/>
        <w:rPr>
          <w:rFonts w:ascii="Cambria" w:hAnsi="Cambria" w:cs="Arial"/>
          <w:sz w:val="24"/>
          <w:szCs w:val="24"/>
        </w:rPr>
      </w:pPr>
    </w:p>
    <w:p w14:paraId="51ADC798" w14:textId="77777777" w:rsidR="00B23B14" w:rsidRDefault="00B23B14" w:rsidP="00EA2B14">
      <w:pPr>
        <w:jc w:val="both"/>
        <w:rPr>
          <w:rFonts w:ascii="Cambria" w:hAnsi="Cambria" w:cs="Arial"/>
          <w:sz w:val="24"/>
          <w:szCs w:val="24"/>
        </w:rPr>
      </w:pPr>
    </w:p>
    <w:p w14:paraId="17C9383B" w14:textId="0E5F218F" w:rsidR="00EE73A8" w:rsidRDefault="00556862" w:rsidP="00B23B14">
      <w:pPr>
        <w:jc w:val="both"/>
        <w:rPr>
          <w:rFonts w:ascii="Cambria" w:hAnsi="Cambria" w:cs="Arial"/>
          <w:sz w:val="24"/>
          <w:szCs w:val="24"/>
        </w:rPr>
      </w:pPr>
      <w:r>
        <w:rPr>
          <w:rFonts w:ascii="Cambria" w:hAnsi="Cambria" w:cs="Arial"/>
          <w:sz w:val="24"/>
          <w:szCs w:val="24"/>
        </w:rPr>
        <w:t xml:space="preserve">The process of having a proposal by the debtor accepted is governed by s.17 of the </w:t>
      </w:r>
      <w:r w:rsidR="001242E3" w:rsidRPr="001242E3">
        <w:rPr>
          <w:rFonts w:ascii="Cambria" w:hAnsi="Cambria" w:cs="Arial"/>
          <w:sz w:val="24"/>
          <w:szCs w:val="24"/>
          <w:u w:val="single"/>
        </w:rPr>
        <w:t>Insolvency Act</w:t>
      </w:r>
      <w:r>
        <w:rPr>
          <w:rFonts w:ascii="Cambria" w:hAnsi="Cambria" w:cs="Arial"/>
          <w:sz w:val="24"/>
          <w:szCs w:val="24"/>
        </w:rPr>
        <w:t xml:space="preserve"> and understandably requires a proposal in writing</w:t>
      </w:r>
      <w:r w:rsidR="001242E3">
        <w:rPr>
          <w:rFonts w:ascii="Cambria" w:hAnsi="Cambria" w:cs="Arial"/>
          <w:sz w:val="24"/>
          <w:szCs w:val="24"/>
        </w:rPr>
        <w:t>. I</w:t>
      </w:r>
      <w:r>
        <w:rPr>
          <w:rFonts w:ascii="Cambria" w:hAnsi="Cambria" w:cs="Arial"/>
          <w:sz w:val="24"/>
          <w:szCs w:val="24"/>
        </w:rPr>
        <w:t xml:space="preserve">f already adjudged bankrupt, a </w:t>
      </w:r>
      <w:r>
        <w:rPr>
          <w:rFonts w:ascii="Cambria" w:hAnsi="Cambria" w:cs="Arial"/>
          <w:sz w:val="24"/>
          <w:szCs w:val="24"/>
        </w:rPr>
        <w:lastRenderedPageBreak/>
        <w:t>statement of affairs is also required.</w:t>
      </w:r>
      <w:r>
        <w:rPr>
          <w:rStyle w:val="FootnoteReference"/>
          <w:rFonts w:ascii="Cambria" w:hAnsi="Cambria" w:cs="Arial"/>
          <w:sz w:val="24"/>
          <w:szCs w:val="24"/>
        </w:rPr>
        <w:footnoteReference w:id="10"/>
      </w:r>
      <w:r>
        <w:rPr>
          <w:rFonts w:ascii="Cambria" w:hAnsi="Cambria" w:cs="Arial"/>
          <w:sz w:val="24"/>
          <w:szCs w:val="24"/>
        </w:rPr>
        <w:t xml:space="preserve"> A proposal can be made to the </w:t>
      </w:r>
      <w:proofErr w:type="gramStart"/>
      <w:r>
        <w:rPr>
          <w:rFonts w:ascii="Cambria" w:hAnsi="Cambria" w:cs="Arial"/>
          <w:sz w:val="24"/>
          <w:szCs w:val="24"/>
        </w:rPr>
        <w:t>creditors as a whole, or</w:t>
      </w:r>
      <w:proofErr w:type="gramEnd"/>
      <w:r>
        <w:rPr>
          <w:rFonts w:ascii="Cambria" w:hAnsi="Cambria" w:cs="Arial"/>
          <w:sz w:val="24"/>
          <w:szCs w:val="24"/>
        </w:rPr>
        <w:t xml:space="preserve"> to specific classes of creditors. It can include secured creditors</w:t>
      </w:r>
      <w:r w:rsidR="00E26E52">
        <w:rPr>
          <w:rFonts w:ascii="Cambria" w:hAnsi="Cambria" w:cs="Arial"/>
          <w:sz w:val="24"/>
          <w:szCs w:val="24"/>
        </w:rPr>
        <w:t>.</w:t>
      </w:r>
      <w:r w:rsidR="00E26E52">
        <w:rPr>
          <w:rStyle w:val="FootnoteReference"/>
          <w:rFonts w:ascii="Cambria" w:hAnsi="Cambria" w:cs="Arial"/>
          <w:sz w:val="24"/>
          <w:szCs w:val="24"/>
        </w:rPr>
        <w:footnoteReference w:id="11"/>
      </w:r>
      <w:r w:rsidR="00E26E52">
        <w:rPr>
          <w:rFonts w:ascii="Cambria" w:hAnsi="Cambria" w:cs="Arial"/>
          <w:sz w:val="24"/>
          <w:szCs w:val="24"/>
        </w:rPr>
        <w:t xml:space="preserve"> A meeting of creditors then takes place within 21 days of the proposal. 10 days ahead of that meeting a copy of the proposal and a summary of assets and liabilities is circulated to the creditors, together with of list of creditors and amounts owed. The summary financial information is subject to appraisal by the trustee and for which the trustee</w:t>
      </w:r>
      <w:r w:rsidR="001242E3">
        <w:rPr>
          <w:rStyle w:val="FootnoteReference"/>
          <w:rFonts w:ascii="Cambria" w:hAnsi="Cambria" w:cs="Arial"/>
          <w:sz w:val="24"/>
          <w:szCs w:val="24"/>
        </w:rPr>
        <w:footnoteReference w:id="12"/>
      </w:r>
      <w:r w:rsidR="00E26E52">
        <w:rPr>
          <w:rFonts w:ascii="Cambria" w:hAnsi="Cambria" w:cs="Arial"/>
          <w:sz w:val="24"/>
          <w:szCs w:val="24"/>
        </w:rPr>
        <w:t xml:space="preserve"> has powers of access to the debtor’s premises, </w:t>
      </w:r>
      <w:proofErr w:type="gramStart"/>
      <w:r w:rsidR="00E26E52">
        <w:rPr>
          <w:rFonts w:ascii="Cambria" w:hAnsi="Cambria" w:cs="Arial"/>
          <w:sz w:val="24"/>
          <w:szCs w:val="24"/>
        </w:rPr>
        <w:t>book</w:t>
      </w:r>
      <w:proofErr w:type="gramEnd"/>
      <w:r w:rsidR="00E26E52">
        <w:rPr>
          <w:rFonts w:ascii="Cambria" w:hAnsi="Cambria" w:cs="Arial"/>
          <w:sz w:val="24"/>
          <w:szCs w:val="24"/>
        </w:rPr>
        <w:t xml:space="preserve"> and records.</w:t>
      </w:r>
      <w:r w:rsidR="00E26E52">
        <w:rPr>
          <w:rStyle w:val="FootnoteReference"/>
          <w:rFonts w:ascii="Cambria" w:hAnsi="Cambria" w:cs="Arial"/>
          <w:sz w:val="24"/>
          <w:szCs w:val="24"/>
        </w:rPr>
        <w:footnoteReference w:id="13"/>
      </w:r>
      <w:r w:rsidR="00E26E52">
        <w:rPr>
          <w:rFonts w:ascii="Cambria" w:hAnsi="Cambria" w:cs="Arial"/>
          <w:sz w:val="24"/>
          <w:szCs w:val="24"/>
        </w:rPr>
        <w:t xml:space="preserve"> Proofs of claim must have been filed for that creditor to be able to vote on the proposal.</w:t>
      </w:r>
    </w:p>
    <w:p w14:paraId="28DAFAC2" w14:textId="77777777" w:rsidR="00B23B14" w:rsidRDefault="00B23B14" w:rsidP="00B23B14">
      <w:pPr>
        <w:jc w:val="both"/>
        <w:rPr>
          <w:rFonts w:ascii="Cambria" w:hAnsi="Cambria" w:cs="Arial"/>
          <w:sz w:val="24"/>
          <w:szCs w:val="24"/>
        </w:rPr>
      </w:pPr>
    </w:p>
    <w:p w14:paraId="53832FFD" w14:textId="12CEF6B3" w:rsidR="001242E3" w:rsidRDefault="00E26E52" w:rsidP="00B23B14">
      <w:pPr>
        <w:jc w:val="both"/>
        <w:rPr>
          <w:rFonts w:ascii="Cambria" w:hAnsi="Cambria" w:cs="Arial"/>
          <w:sz w:val="24"/>
          <w:szCs w:val="24"/>
        </w:rPr>
      </w:pPr>
      <w:r>
        <w:rPr>
          <w:rFonts w:ascii="Cambria" w:hAnsi="Cambria" w:cs="Arial"/>
          <w:sz w:val="24"/>
          <w:szCs w:val="24"/>
        </w:rPr>
        <w:t xml:space="preserve">The proposal is accepted by </w:t>
      </w:r>
      <w:r w:rsidR="00466F5E">
        <w:rPr>
          <w:rFonts w:ascii="Cambria" w:hAnsi="Cambria" w:cs="Arial"/>
          <w:sz w:val="24"/>
          <w:szCs w:val="24"/>
        </w:rPr>
        <w:t xml:space="preserve">a majority in the </w:t>
      </w:r>
      <w:r w:rsidR="00466F5E">
        <w:rPr>
          <w:rFonts w:ascii="Cambria" w:hAnsi="Cambria" w:cs="Arial"/>
          <w:i/>
          <w:iCs/>
          <w:sz w:val="24"/>
          <w:szCs w:val="24"/>
        </w:rPr>
        <w:t xml:space="preserve">number </w:t>
      </w:r>
      <w:r w:rsidR="00466F5E">
        <w:rPr>
          <w:rFonts w:ascii="Cambria" w:hAnsi="Cambria" w:cs="Arial"/>
          <w:sz w:val="24"/>
          <w:szCs w:val="24"/>
        </w:rPr>
        <w:t>of creditors in attendance at the meeting and at least two-third of the proven claims in attendance at the meeting. Acceptance that way</w:t>
      </w:r>
      <w:r w:rsidR="00462DBB">
        <w:rPr>
          <w:rFonts w:ascii="Cambria" w:hAnsi="Cambria" w:cs="Arial"/>
          <w:sz w:val="24"/>
          <w:szCs w:val="24"/>
        </w:rPr>
        <w:t xml:space="preserve"> is deemed an approval by court. That is subject to an objecting creditor or Supervisor</w:t>
      </w:r>
      <w:r w:rsidR="00462DBB">
        <w:rPr>
          <w:rStyle w:val="FootnoteReference"/>
          <w:rFonts w:ascii="Cambria" w:hAnsi="Cambria" w:cs="Arial"/>
          <w:sz w:val="24"/>
          <w:szCs w:val="24"/>
        </w:rPr>
        <w:footnoteReference w:id="14"/>
      </w:r>
      <w:r w:rsidR="00462DBB">
        <w:rPr>
          <w:rFonts w:ascii="Cambria" w:hAnsi="Cambria" w:cs="Arial"/>
          <w:sz w:val="24"/>
          <w:szCs w:val="24"/>
        </w:rPr>
        <w:t xml:space="preserve"> within 15 days (which triggers involvement of the court). In the experience of the writer, in the context of other jurisdiction a proof of claim need only have been submitted (not actually </w:t>
      </w:r>
      <w:r w:rsidR="00462DBB" w:rsidRPr="00462DBB">
        <w:rPr>
          <w:rFonts w:ascii="Cambria" w:hAnsi="Cambria" w:cs="Arial"/>
          <w:i/>
          <w:iCs/>
          <w:sz w:val="24"/>
          <w:szCs w:val="24"/>
        </w:rPr>
        <w:t>determined</w:t>
      </w:r>
      <w:r w:rsidR="00462DBB">
        <w:rPr>
          <w:rFonts w:ascii="Cambria" w:hAnsi="Cambria" w:cs="Arial"/>
          <w:sz w:val="24"/>
          <w:szCs w:val="24"/>
        </w:rPr>
        <w:t>) in to be admitted for the purposes of voting.</w:t>
      </w:r>
    </w:p>
    <w:p w14:paraId="75550CAF" w14:textId="77777777" w:rsidR="00B23B14" w:rsidRDefault="00B23B14" w:rsidP="00B23B14">
      <w:pPr>
        <w:jc w:val="both"/>
        <w:rPr>
          <w:rFonts w:ascii="Cambria" w:hAnsi="Cambria" w:cs="Arial"/>
          <w:sz w:val="24"/>
          <w:szCs w:val="24"/>
        </w:rPr>
      </w:pPr>
    </w:p>
    <w:p w14:paraId="7816B180" w14:textId="73D2B41F" w:rsidR="00BB654D" w:rsidRDefault="00531AD7" w:rsidP="00B23B14">
      <w:pPr>
        <w:jc w:val="both"/>
        <w:rPr>
          <w:rFonts w:ascii="Cambria" w:hAnsi="Cambria" w:cs="Arial"/>
          <w:sz w:val="24"/>
          <w:szCs w:val="24"/>
        </w:rPr>
      </w:pPr>
      <w:r>
        <w:rPr>
          <w:rFonts w:ascii="Cambria" w:hAnsi="Cambria" w:cs="Arial"/>
          <w:sz w:val="24"/>
          <w:szCs w:val="24"/>
        </w:rPr>
        <w:t xml:space="preserve">Absent both </w:t>
      </w:r>
      <w:r w:rsidR="001242E3">
        <w:rPr>
          <w:rFonts w:ascii="Cambria" w:hAnsi="Cambria" w:cs="Arial"/>
          <w:sz w:val="24"/>
          <w:szCs w:val="24"/>
        </w:rPr>
        <w:t xml:space="preserve">from </w:t>
      </w:r>
      <w:r>
        <w:rPr>
          <w:rFonts w:ascii="Cambria" w:hAnsi="Cambria" w:cs="Arial"/>
          <w:sz w:val="24"/>
          <w:szCs w:val="24"/>
        </w:rPr>
        <w:t xml:space="preserve">the Guyana Legislation and the </w:t>
      </w:r>
      <w:r w:rsidRPr="00DF55AD">
        <w:rPr>
          <w:rFonts w:ascii="Cambria" w:hAnsi="Cambria" w:cs="Arial"/>
          <w:sz w:val="24"/>
          <w:szCs w:val="24"/>
          <w:u w:val="single"/>
        </w:rPr>
        <w:t>Companies Act</w:t>
      </w:r>
      <w:r>
        <w:rPr>
          <w:rFonts w:ascii="Cambria" w:hAnsi="Cambria" w:cs="Arial"/>
          <w:sz w:val="24"/>
          <w:szCs w:val="24"/>
        </w:rPr>
        <w:t xml:space="preserve"> </w:t>
      </w:r>
      <w:proofErr w:type="gramStart"/>
      <w:r>
        <w:rPr>
          <w:rFonts w:ascii="Cambria" w:hAnsi="Cambria" w:cs="Arial"/>
          <w:sz w:val="24"/>
          <w:szCs w:val="24"/>
        </w:rPr>
        <w:t xml:space="preserve">as a whole </w:t>
      </w:r>
      <w:r w:rsidRPr="00DF55AD">
        <w:rPr>
          <w:rFonts w:ascii="Cambria" w:hAnsi="Cambria" w:cs="Arial"/>
          <w:sz w:val="24"/>
          <w:szCs w:val="24"/>
        </w:rPr>
        <w:t>is</w:t>
      </w:r>
      <w:proofErr w:type="gramEnd"/>
      <w:r>
        <w:rPr>
          <w:rFonts w:ascii="Cambria" w:hAnsi="Cambria" w:cs="Arial"/>
          <w:sz w:val="24"/>
          <w:szCs w:val="24"/>
        </w:rPr>
        <w:t xml:space="preserve"> any general statement of the intention of the either the insolvency or reorganisation provisions respectively</w:t>
      </w:r>
      <w:r w:rsidR="00584EAB">
        <w:rPr>
          <w:rFonts w:ascii="Cambria" w:hAnsi="Cambria" w:cs="Arial"/>
          <w:sz w:val="24"/>
          <w:szCs w:val="24"/>
        </w:rPr>
        <w:t>.</w:t>
      </w:r>
      <w:r w:rsidR="001242E3">
        <w:rPr>
          <w:rFonts w:ascii="Cambria" w:hAnsi="Cambria" w:cs="Arial"/>
          <w:sz w:val="24"/>
          <w:szCs w:val="24"/>
        </w:rPr>
        <w:t xml:space="preserve"> That reflects, in large part, the current absence in Guyana of </w:t>
      </w:r>
      <w:r w:rsidR="00F174FC">
        <w:rPr>
          <w:rFonts w:ascii="Cambria" w:hAnsi="Cambria" w:cs="Arial"/>
          <w:sz w:val="24"/>
          <w:szCs w:val="24"/>
        </w:rPr>
        <w:t>freestanding insolvency legislation. I</w:t>
      </w:r>
      <w:r w:rsidR="00C742DE">
        <w:rPr>
          <w:rFonts w:ascii="Cambria" w:hAnsi="Cambria" w:cs="Arial"/>
          <w:sz w:val="24"/>
          <w:szCs w:val="24"/>
        </w:rPr>
        <w:t>n English equivalency terms, t</w:t>
      </w:r>
      <w:r w:rsidR="00963548">
        <w:rPr>
          <w:rFonts w:ascii="Cambria" w:hAnsi="Cambria" w:cs="Arial"/>
          <w:sz w:val="24"/>
          <w:szCs w:val="24"/>
        </w:rPr>
        <w:t>he Guyana Legislation at s217</w:t>
      </w:r>
      <w:r w:rsidR="00C742DE">
        <w:rPr>
          <w:rFonts w:ascii="Cambria" w:hAnsi="Cambria" w:cs="Arial"/>
          <w:sz w:val="24"/>
          <w:szCs w:val="24"/>
        </w:rPr>
        <w:t xml:space="preserve"> offers a blend of the (solvent) company voluntary arrangement (“CVA”) and (insolvent) scheme of arrangement. </w:t>
      </w:r>
    </w:p>
    <w:p w14:paraId="26385F6D" w14:textId="77777777" w:rsidR="00B23B14" w:rsidRDefault="00B23B14" w:rsidP="00B23B14">
      <w:pPr>
        <w:jc w:val="both"/>
        <w:rPr>
          <w:rFonts w:ascii="Cambria" w:hAnsi="Cambria" w:cs="Arial"/>
          <w:sz w:val="24"/>
          <w:szCs w:val="24"/>
        </w:rPr>
      </w:pPr>
    </w:p>
    <w:p w14:paraId="4FE297AB" w14:textId="3247F66B" w:rsidR="00C742DE" w:rsidRPr="00DA367F" w:rsidRDefault="00C742DE" w:rsidP="00B23B14">
      <w:pPr>
        <w:jc w:val="both"/>
        <w:rPr>
          <w:rFonts w:ascii="Cambria" w:hAnsi="Cambria" w:cs="Arial"/>
          <w:sz w:val="24"/>
          <w:szCs w:val="24"/>
        </w:rPr>
      </w:pPr>
      <w:r>
        <w:rPr>
          <w:rFonts w:ascii="Cambria" w:hAnsi="Cambria" w:cs="Arial"/>
          <w:sz w:val="24"/>
          <w:szCs w:val="24"/>
        </w:rPr>
        <w:t xml:space="preserve">The CVA came into existence under the England and Wales </w:t>
      </w:r>
      <w:r>
        <w:rPr>
          <w:rFonts w:ascii="Cambria" w:hAnsi="Cambria" w:cs="Arial"/>
          <w:sz w:val="24"/>
          <w:szCs w:val="24"/>
          <w:u w:val="single"/>
        </w:rPr>
        <w:t>Insolvency Act 1986</w:t>
      </w:r>
      <w:r>
        <w:rPr>
          <w:rFonts w:ascii="Cambria" w:hAnsi="Cambria" w:cs="Arial"/>
          <w:sz w:val="24"/>
          <w:szCs w:val="24"/>
        </w:rPr>
        <w:t xml:space="preserve"> and does not require insolvency. </w:t>
      </w:r>
      <w:proofErr w:type="gramStart"/>
      <w:r>
        <w:rPr>
          <w:rFonts w:ascii="Cambria" w:hAnsi="Cambria" w:cs="Arial"/>
          <w:sz w:val="24"/>
          <w:szCs w:val="24"/>
        </w:rPr>
        <w:t>A majority of</w:t>
      </w:r>
      <w:proofErr w:type="gramEnd"/>
      <w:r>
        <w:rPr>
          <w:rFonts w:ascii="Cambria" w:hAnsi="Cambria" w:cs="Arial"/>
          <w:sz w:val="24"/>
          <w:szCs w:val="24"/>
        </w:rPr>
        <w:t xml:space="preserve"> three-quarters in value of approving creditors to bind minority creditors under a CVA is mirrored in the </w:t>
      </w:r>
      <w:r w:rsidR="00F174FC">
        <w:rPr>
          <w:rFonts w:ascii="Cambria" w:hAnsi="Cambria" w:cs="Arial"/>
          <w:sz w:val="24"/>
          <w:szCs w:val="24"/>
        </w:rPr>
        <w:t>Guyana Legislation at</w:t>
      </w:r>
      <w:r>
        <w:rPr>
          <w:rFonts w:ascii="Cambria" w:hAnsi="Cambria" w:cs="Arial"/>
          <w:sz w:val="24"/>
          <w:szCs w:val="24"/>
        </w:rPr>
        <w:t xml:space="preserve"> s.217.</w:t>
      </w:r>
      <w:r w:rsidR="00397BDB">
        <w:rPr>
          <w:rFonts w:ascii="Cambria" w:hAnsi="Cambria" w:cs="Arial"/>
          <w:sz w:val="24"/>
          <w:szCs w:val="24"/>
        </w:rPr>
        <w:t xml:space="preserve"> Where there is a need to bind secured creditors (which a CVA does not), in the England and Wales context </w:t>
      </w:r>
      <w:r w:rsidR="00397BDB">
        <w:rPr>
          <w:rFonts w:ascii="Cambria" w:hAnsi="Cambria" w:cs="Arial"/>
          <w:sz w:val="24"/>
          <w:szCs w:val="24"/>
        </w:rPr>
        <w:lastRenderedPageBreak/>
        <w:t xml:space="preserve">a scheme of arrangement (section 895 of the </w:t>
      </w:r>
      <w:r w:rsidR="00397BDB">
        <w:rPr>
          <w:rFonts w:ascii="Cambria" w:hAnsi="Cambria" w:cs="Arial"/>
          <w:sz w:val="24"/>
          <w:szCs w:val="24"/>
          <w:u w:val="single"/>
        </w:rPr>
        <w:t>Companies Act 2006</w:t>
      </w:r>
      <w:r w:rsidR="00397BDB">
        <w:rPr>
          <w:rFonts w:ascii="Cambria" w:hAnsi="Cambria" w:cs="Arial"/>
          <w:sz w:val="24"/>
          <w:szCs w:val="24"/>
        </w:rPr>
        <w:t xml:space="preserve">) would be used. </w:t>
      </w:r>
      <w:r w:rsidR="00325CEE">
        <w:rPr>
          <w:rStyle w:val="FootnoteReference"/>
          <w:rFonts w:ascii="Cambria" w:hAnsi="Cambria" w:cs="Arial"/>
          <w:sz w:val="24"/>
          <w:szCs w:val="24"/>
        </w:rPr>
        <w:footnoteReference w:id="15"/>
      </w:r>
      <w:r w:rsidR="00325CEE">
        <w:rPr>
          <w:rFonts w:ascii="Cambria" w:hAnsi="Cambria" w:cs="Arial"/>
          <w:sz w:val="24"/>
          <w:szCs w:val="24"/>
        </w:rPr>
        <w:t xml:space="preserve"> Section 217 is to the equivalent effect</w:t>
      </w:r>
      <w:r w:rsidR="00BB654D">
        <w:rPr>
          <w:rFonts w:ascii="Cambria" w:hAnsi="Cambria" w:cs="Arial"/>
          <w:sz w:val="24"/>
          <w:szCs w:val="24"/>
        </w:rPr>
        <w:t>. It requires</w:t>
      </w:r>
      <w:r w:rsidR="00F93439">
        <w:rPr>
          <w:rFonts w:ascii="Cambria" w:hAnsi="Cambria" w:cs="Arial"/>
          <w:sz w:val="24"/>
          <w:szCs w:val="24"/>
        </w:rPr>
        <w:t xml:space="preserve"> </w:t>
      </w:r>
      <w:r w:rsidR="00BB654D">
        <w:rPr>
          <w:rFonts w:ascii="Cambria" w:hAnsi="Cambria" w:cs="Arial"/>
          <w:sz w:val="24"/>
          <w:szCs w:val="24"/>
        </w:rPr>
        <w:t>a</w:t>
      </w:r>
      <w:r w:rsidR="00F93439">
        <w:rPr>
          <w:rFonts w:ascii="Cambria" w:hAnsi="Cambria" w:cs="Arial"/>
          <w:sz w:val="24"/>
          <w:szCs w:val="24"/>
        </w:rPr>
        <w:t xml:space="preserve"> three-quarters in value of creditors or class of creditors if a scheme proposed in respect of only that class (s.217(2) </w:t>
      </w:r>
      <w:r w:rsidR="00F93439">
        <w:rPr>
          <w:rFonts w:ascii="Cambria" w:hAnsi="Cambria" w:cs="Arial"/>
          <w:i/>
          <w:iCs/>
          <w:sz w:val="24"/>
          <w:szCs w:val="24"/>
        </w:rPr>
        <w:t xml:space="preserve">“…the compromise or arrangement shall, if sanctioned by the court, be binding on all the creditors or the class of creditor…as the case may be”. </w:t>
      </w:r>
      <w:r w:rsidR="00BB654D">
        <w:rPr>
          <w:rFonts w:ascii="Cambria" w:hAnsi="Cambria" w:cs="Arial"/>
          <w:sz w:val="24"/>
          <w:szCs w:val="24"/>
        </w:rPr>
        <w:t xml:space="preserve">Unlike the Jamaica position, it is not clear form the legislation whether voting status requires an actual proved claim (as distinct from a submitted proof of claim for subsequent consideration) </w:t>
      </w:r>
      <w:r w:rsidR="00DA367F">
        <w:rPr>
          <w:rFonts w:ascii="Cambria" w:hAnsi="Cambria" w:cs="Arial"/>
          <w:sz w:val="24"/>
          <w:szCs w:val="24"/>
        </w:rPr>
        <w:t xml:space="preserve">Section 217 is not equivalent to the amendment introduced to the </w:t>
      </w:r>
      <w:r w:rsidR="00DA367F">
        <w:rPr>
          <w:rFonts w:ascii="Cambria" w:hAnsi="Cambria" w:cs="Arial"/>
          <w:sz w:val="24"/>
          <w:szCs w:val="24"/>
          <w:u w:val="single"/>
        </w:rPr>
        <w:t>Companies Act 2006</w:t>
      </w:r>
      <w:r w:rsidR="00DA367F">
        <w:rPr>
          <w:rFonts w:ascii="Cambria" w:hAnsi="Cambria" w:cs="Arial"/>
          <w:sz w:val="24"/>
          <w:szCs w:val="24"/>
        </w:rPr>
        <w:t xml:space="preserve"> (ss901A-901J) by the </w:t>
      </w:r>
      <w:r w:rsidR="00DA367F">
        <w:rPr>
          <w:rFonts w:ascii="Cambria" w:hAnsi="Cambria" w:cs="Arial"/>
          <w:sz w:val="24"/>
          <w:szCs w:val="24"/>
          <w:u w:val="single"/>
        </w:rPr>
        <w:t>Corporate Insolvency and Governance Act 2020</w:t>
      </w:r>
      <w:r w:rsidR="00DA367F">
        <w:rPr>
          <w:rFonts w:ascii="Cambria" w:hAnsi="Cambria" w:cs="Arial"/>
          <w:sz w:val="24"/>
          <w:szCs w:val="24"/>
        </w:rPr>
        <w:t xml:space="preserve">, by which a restructuring plan was </w:t>
      </w:r>
      <w:r w:rsidR="00DD72A3">
        <w:rPr>
          <w:rFonts w:ascii="Cambria" w:hAnsi="Cambria" w:cs="Arial"/>
          <w:sz w:val="24"/>
          <w:szCs w:val="24"/>
        </w:rPr>
        <w:t>created,</w:t>
      </w:r>
      <w:r w:rsidR="00DA367F">
        <w:rPr>
          <w:rFonts w:ascii="Cambria" w:hAnsi="Cambria" w:cs="Arial"/>
          <w:sz w:val="24"/>
          <w:szCs w:val="24"/>
        </w:rPr>
        <w:t xml:space="preserve"> and which applies to a wider range of English companies than the scheme of arrangement. </w:t>
      </w:r>
    </w:p>
    <w:p w14:paraId="45D32103" w14:textId="77777777" w:rsidR="00B23B14" w:rsidRDefault="00B23B14" w:rsidP="00BB654D">
      <w:pPr>
        <w:ind w:firstLine="720"/>
        <w:jc w:val="both"/>
        <w:rPr>
          <w:rFonts w:ascii="Cambria" w:hAnsi="Cambria" w:cs="Arial"/>
          <w:sz w:val="24"/>
          <w:szCs w:val="24"/>
        </w:rPr>
      </w:pPr>
    </w:p>
    <w:p w14:paraId="5BAA3A56" w14:textId="5BB18F4B" w:rsidR="00C742DE" w:rsidRDefault="00EE73A8" w:rsidP="00B23B14">
      <w:pPr>
        <w:jc w:val="both"/>
        <w:rPr>
          <w:rFonts w:ascii="Cambria" w:hAnsi="Cambria" w:cs="Arial"/>
          <w:sz w:val="24"/>
          <w:szCs w:val="24"/>
        </w:rPr>
      </w:pPr>
      <w:r>
        <w:rPr>
          <w:rFonts w:ascii="Cambria" w:hAnsi="Cambria" w:cs="Arial"/>
          <w:sz w:val="24"/>
          <w:szCs w:val="24"/>
        </w:rPr>
        <w:t xml:space="preserve">Discussion in the context of “just and equitable” winding-up on appeal from the Guyana Court of Appeal to the Caribbean Court of Justice in </w:t>
      </w:r>
      <w:r>
        <w:rPr>
          <w:rFonts w:ascii="Cambria" w:hAnsi="Cambria" w:cs="Arial"/>
          <w:sz w:val="24"/>
          <w:szCs w:val="24"/>
          <w:u w:val="single"/>
        </w:rPr>
        <w:t xml:space="preserve">Nabi and others v Sheermohamed and others </w:t>
      </w:r>
      <w:r>
        <w:rPr>
          <w:rFonts w:ascii="Cambria" w:hAnsi="Cambria" w:cs="Arial"/>
          <w:sz w:val="24"/>
          <w:szCs w:val="24"/>
        </w:rPr>
        <w:t>[2020] CCJ 15 (AJ( GY; (2020) 100 WIR 423 at [39]-[42] the judgment (</w:t>
      </w:r>
      <w:r w:rsidR="003D6009">
        <w:rPr>
          <w:rFonts w:ascii="Cambria" w:hAnsi="Cambria" w:cs="Arial"/>
          <w:sz w:val="24"/>
          <w:szCs w:val="24"/>
        </w:rPr>
        <w:t xml:space="preserve">Wit and Burgess JCCJ) discusses the extent to which the Guyana </w:t>
      </w:r>
      <w:r w:rsidR="003D6009" w:rsidRPr="00BB654D">
        <w:rPr>
          <w:rFonts w:ascii="Cambria" w:hAnsi="Cambria" w:cs="Arial"/>
          <w:sz w:val="24"/>
          <w:szCs w:val="24"/>
          <w:u w:val="single"/>
        </w:rPr>
        <w:t>Companies Act</w:t>
      </w:r>
      <w:r w:rsidR="003D6009">
        <w:rPr>
          <w:rFonts w:ascii="Cambria" w:hAnsi="Cambria" w:cs="Arial"/>
          <w:sz w:val="24"/>
          <w:szCs w:val="24"/>
        </w:rPr>
        <w:t xml:space="preserve"> is based </w:t>
      </w:r>
      <w:r w:rsidR="00CB3B88">
        <w:rPr>
          <w:rFonts w:ascii="Cambria" w:hAnsi="Cambria" w:cs="Arial"/>
          <w:sz w:val="24"/>
          <w:szCs w:val="24"/>
        </w:rPr>
        <w:t xml:space="preserve">(at least in part) </w:t>
      </w:r>
      <w:r w:rsidR="003D6009">
        <w:rPr>
          <w:rFonts w:ascii="Cambria" w:hAnsi="Cambria" w:cs="Arial"/>
          <w:sz w:val="24"/>
          <w:szCs w:val="24"/>
        </w:rPr>
        <w:t xml:space="preserve">on the </w:t>
      </w:r>
      <w:r w:rsidR="003D6009">
        <w:rPr>
          <w:rFonts w:ascii="Cambria" w:hAnsi="Cambria" w:cs="Arial"/>
          <w:sz w:val="24"/>
          <w:szCs w:val="24"/>
          <w:u w:val="single"/>
        </w:rPr>
        <w:t>Canadian Business Corporations Act</w:t>
      </w:r>
      <w:r w:rsidR="003D6009" w:rsidRPr="00CB3B88">
        <w:rPr>
          <w:rStyle w:val="FootnoteReference"/>
          <w:rFonts w:ascii="Cambria" w:hAnsi="Cambria" w:cs="Arial"/>
          <w:sz w:val="24"/>
          <w:szCs w:val="24"/>
        </w:rPr>
        <w:footnoteReference w:id="16"/>
      </w:r>
      <w:r w:rsidR="00CB3B88">
        <w:rPr>
          <w:rFonts w:ascii="Cambria" w:hAnsi="Cambria" w:cs="Arial"/>
          <w:sz w:val="24"/>
          <w:szCs w:val="24"/>
        </w:rPr>
        <w:t xml:space="preserve">, which in turn has roots traceable as far back at the </w:t>
      </w:r>
      <w:r w:rsidR="00CB3B88" w:rsidRPr="00CB3B88">
        <w:rPr>
          <w:rFonts w:ascii="Cambria" w:hAnsi="Cambria" w:cs="Arial"/>
          <w:sz w:val="24"/>
          <w:szCs w:val="24"/>
          <w:u w:val="single"/>
        </w:rPr>
        <w:t>English Joint Stock Companies Act 1848</w:t>
      </w:r>
      <w:r w:rsidR="004560BD">
        <w:rPr>
          <w:rFonts w:ascii="Cambria" w:hAnsi="Cambria" w:cs="Arial"/>
          <w:sz w:val="24"/>
          <w:szCs w:val="24"/>
          <w:u w:val="single"/>
        </w:rPr>
        <w:t>.</w:t>
      </w:r>
      <w:r w:rsidR="00CB3B88" w:rsidRPr="004560BD">
        <w:rPr>
          <w:rStyle w:val="FootnoteReference"/>
          <w:rFonts w:ascii="Cambria" w:hAnsi="Cambria" w:cs="Arial"/>
          <w:sz w:val="24"/>
          <w:szCs w:val="24"/>
        </w:rPr>
        <w:footnoteReference w:id="17"/>
      </w:r>
      <w:r w:rsidRPr="004560BD">
        <w:rPr>
          <w:rFonts w:ascii="Cambria" w:hAnsi="Cambria" w:cs="Arial"/>
          <w:sz w:val="24"/>
          <w:szCs w:val="24"/>
        </w:rPr>
        <w:t xml:space="preserve"> </w:t>
      </w:r>
      <w:r>
        <w:rPr>
          <w:rFonts w:ascii="Cambria" w:hAnsi="Cambria" w:cs="Arial"/>
          <w:sz w:val="24"/>
          <w:szCs w:val="24"/>
        </w:rPr>
        <w:t xml:space="preserve"> </w:t>
      </w:r>
      <w:r w:rsidR="004560BD">
        <w:rPr>
          <w:rFonts w:ascii="Cambria" w:hAnsi="Cambria" w:cs="Arial"/>
          <w:sz w:val="24"/>
          <w:szCs w:val="24"/>
        </w:rPr>
        <w:t xml:space="preserve">The benefits of that include, of course, an established body of case law. </w:t>
      </w:r>
    </w:p>
    <w:p w14:paraId="2AD5963A" w14:textId="09D9E7B1" w:rsidR="00A46348" w:rsidRDefault="00A46348" w:rsidP="00EA2B14">
      <w:pPr>
        <w:jc w:val="both"/>
        <w:rPr>
          <w:rFonts w:ascii="Cambria" w:hAnsi="Cambria" w:cs="Arial"/>
          <w:b/>
          <w:bCs/>
          <w:sz w:val="24"/>
          <w:szCs w:val="24"/>
        </w:rPr>
      </w:pPr>
    </w:p>
    <w:p w14:paraId="3F6D98DF" w14:textId="0969C94F" w:rsidR="00A46348" w:rsidRPr="00450417" w:rsidRDefault="00A46348" w:rsidP="00EA2B14">
      <w:pPr>
        <w:jc w:val="both"/>
        <w:rPr>
          <w:rFonts w:ascii="Cambria" w:hAnsi="Cambria" w:cs="Arial"/>
          <w:sz w:val="24"/>
          <w:szCs w:val="24"/>
        </w:rPr>
      </w:pPr>
      <w:r>
        <w:rPr>
          <w:rFonts w:ascii="Cambria" w:hAnsi="Cambria" w:cs="Arial"/>
          <w:sz w:val="24"/>
          <w:szCs w:val="24"/>
        </w:rPr>
        <w:t>Significan</w:t>
      </w:r>
      <w:r w:rsidR="00450417">
        <w:rPr>
          <w:rFonts w:ascii="Cambria" w:hAnsi="Cambria" w:cs="Arial"/>
          <w:sz w:val="24"/>
          <w:szCs w:val="24"/>
        </w:rPr>
        <w:t>t</w:t>
      </w:r>
      <w:r>
        <w:rPr>
          <w:rFonts w:ascii="Cambria" w:hAnsi="Cambria" w:cs="Arial"/>
          <w:sz w:val="24"/>
          <w:szCs w:val="24"/>
        </w:rPr>
        <w:t xml:space="preserve"> in the insolvency practitioner’s “armory” in the G</w:t>
      </w:r>
      <w:r w:rsidR="00450417">
        <w:rPr>
          <w:rFonts w:ascii="Cambria" w:hAnsi="Cambria" w:cs="Arial"/>
          <w:sz w:val="24"/>
          <w:szCs w:val="24"/>
        </w:rPr>
        <w:t xml:space="preserve">uyana context is the ability to restructure in the context of a </w:t>
      </w:r>
      <w:r w:rsidR="00450417">
        <w:rPr>
          <w:rFonts w:ascii="Cambria" w:hAnsi="Cambria" w:cs="Arial"/>
          <w:i/>
          <w:iCs/>
          <w:sz w:val="24"/>
          <w:szCs w:val="24"/>
        </w:rPr>
        <w:t xml:space="preserve">provisional </w:t>
      </w:r>
      <w:r w:rsidR="00450417">
        <w:rPr>
          <w:rFonts w:ascii="Cambria" w:hAnsi="Cambria" w:cs="Arial"/>
          <w:sz w:val="24"/>
          <w:szCs w:val="24"/>
        </w:rPr>
        <w:t xml:space="preserve">liquidation (as set out above). In other jurisdictions following the English model, this has led to </w:t>
      </w:r>
      <w:r w:rsidR="001F3EA1">
        <w:rPr>
          <w:rFonts w:ascii="Cambria" w:hAnsi="Cambria" w:cs="Arial"/>
          <w:i/>
          <w:iCs/>
          <w:sz w:val="24"/>
          <w:szCs w:val="24"/>
        </w:rPr>
        <w:t xml:space="preserve">de facto </w:t>
      </w:r>
      <w:r w:rsidR="00450417">
        <w:rPr>
          <w:rFonts w:ascii="Cambria" w:hAnsi="Cambria" w:cs="Arial"/>
          <w:sz w:val="24"/>
          <w:szCs w:val="24"/>
        </w:rPr>
        <w:t>restructuring</w:t>
      </w:r>
      <w:r w:rsidR="001F3EA1">
        <w:rPr>
          <w:rFonts w:ascii="Cambria" w:hAnsi="Cambria" w:cs="Arial"/>
          <w:sz w:val="24"/>
          <w:szCs w:val="24"/>
        </w:rPr>
        <w:t xml:space="preserve"> within what is usually referred to as “light-touch” provisional liquidation. This generally involves a protocol by which the subject company’s management remains in operational / day-to-day control, supervised by the provision liquidator.</w:t>
      </w:r>
      <w:r w:rsidR="001F3EA1">
        <w:rPr>
          <w:rStyle w:val="FootnoteReference"/>
          <w:rFonts w:ascii="Cambria" w:hAnsi="Cambria" w:cs="Arial"/>
          <w:sz w:val="24"/>
          <w:szCs w:val="24"/>
        </w:rPr>
        <w:footnoteReference w:id="18"/>
      </w:r>
      <w:r w:rsidR="001F3EA1">
        <w:rPr>
          <w:rFonts w:ascii="Cambria" w:hAnsi="Cambria" w:cs="Arial"/>
          <w:sz w:val="24"/>
          <w:szCs w:val="24"/>
        </w:rPr>
        <w:t xml:space="preserve"> During that time management pursue </w:t>
      </w:r>
      <w:r w:rsidR="001F3EA1">
        <w:rPr>
          <w:rFonts w:ascii="Cambria" w:hAnsi="Cambria" w:cs="Arial"/>
          <w:sz w:val="24"/>
          <w:szCs w:val="24"/>
        </w:rPr>
        <w:lastRenderedPageBreak/>
        <w:t xml:space="preserve">implementation of a compromise with its creditors. </w:t>
      </w:r>
      <w:r w:rsidR="002E12C4">
        <w:rPr>
          <w:rFonts w:ascii="Cambria" w:hAnsi="Cambria" w:cs="Arial"/>
          <w:sz w:val="24"/>
          <w:szCs w:val="24"/>
        </w:rPr>
        <w:t>That flexibility is currently absent from the Jamaica process.</w:t>
      </w:r>
      <w:r w:rsidR="00450417">
        <w:rPr>
          <w:rFonts w:ascii="Cambria" w:hAnsi="Cambria" w:cs="Arial"/>
          <w:sz w:val="24"/>
          <w:szCs w:val="24"/>
        </w:rPr>
        <w:t xml:space="preserve">  </w:t>
      </w:r>
    </w:p>
    <w:p w14:paraId="6EF9B4CA" w14:textId="77777777" w:rsidR="00A46348" w:rsidRDefault="00A46348" w:rsidP="00EA2B14">
      <w:pPr>
        <w:jc w:val="both"/>
        <w:rPr>
          <w:rFonts w:ascii="Cambria" w:hAnsi="Cambria" w:cs="Arial"/>
          <w:b/>
          <w:bCs/>
          <w:sz w:val="24"/>
          <w:szCs w:val="24"/>
        </w:rPr>
      </w:pPr>
    </w:p>
    <w:p w14:paraId="3D32EA8B" w14:textId="63323C00" w:rsidR="007378B8" w:rsidRDefault="007378B8" w:rsidP="00EA2B14">
      <w:pPr>
        <w:jc w:val="both"/>
        <w:rPr>
          <w:rFonts w:ascii="Cambria" w:hAnsi="Cambria" w:cs="Arial"/>
          <w:b/>
          <w:bCs/>
          <w:sz w:val="24"/>
          <w:szCs w:val="24"/>
        </w:rPr>
      </w:pPr>
      <w:r>
        <w:rPr>
          <w:rFonts w:ascii="Cambria" w:hAnsi="Cambria" w:cs="Arial"/>
          <w:b/>
          <w:bCs/>
          <w:sz w:val="24"/>
          <w:szCs w:val="24"/>
        </w:rPr>
        <w:t>Conclusion</w:t>
      </w:r>
    </w:p>
    <w:p w14:paraId="3C5DDF9F" w14:textId="77777777" w:rsidR="0089726A" w:rsidRDefault="00B23B14" w:rsidP="004560BD">
      <w:pPr>
        <w:jc w:val="both"/>
        <w:rPr>
          <w:rFonts w:ascii="Cambria" w:hAnsi="Cambria" w:cs="Arial"/>
          <w:sz w:val="24"/>
          <w:szCs w:val="24"/>
        </w:rPr>
      </w:pPr>
      <w:r>
        <w:rPr>
          <w:rFonts w:ascii="Cambria" w:hAnsi="Cambria" w:cs="Arial"/>
          <w:sz w:val="24"/>
          <w:szCs w:val="24"/>
        </w:rPr>
        <w:t xml:space="preserve">Where liquidation cannot be avoided, applicable data from Jamaica is at least </w:t>
      </w:r>
      <w:r w:rsidR="004560BD">
        <w:rPr>
          <w:rFonts w:ascii="Cambria" w:hAnsi="Cambria" w:cs="Arial"/>
          <w:sz w:val="24"/>
          <w:szCs w:val="24"/>
        </w:rPr>
        <w:t xml:space="preserve">better than the equivalent for Guyana. </w:t>
      </w:r>
      <w:r w:rsidR="000003EF">
        <w:rPr>
          <w:rFonts w:ascii="Cambria" w:hAnsi="Cambria" w:cs="Arial"/>
          <w:sz w:val="24"/>
          <w:szCs w:val="24"/>
        </w:rPr>
        <w:t>Certainly, n</w:t>
      </w:r>
      <w:r w:rsidR="004560BD">
        <w:rPr>
          <w:rFonts w:ascii="Cambria" w:hAnsi="Cambria" w:cs="Arial"/>
          <w:sz w:val="24"/>
          <w:szCs w:val="24"/>
        </w:rPr>
        <w:t>either shines</w:t>
      </w:r>
      <w:r w:rsidR="000003EF">
        <w:rPr>
          <w:rFonts w:ascii="Cambria" w:hAnsi="Cambria" w:cs="Arial"/>
          <w:sz w:val="24"/>
          <w:szCs w:val="24"/>
        </w:rPr>
        <w:t xml:space="preserve"> in terms of creditor recovery in the context of insolvent liquidation</w:t>
      </w:r>
      <w:r w:rsidR="004560BD">
        <w:rPr>
          <w:rFonts w:ascii="Cambria" w:hAnsi="Cambria" w:cs="Arial"/>
          <w:sz w:val="24"/>
          <w:szCs w:val="24"/>
        </w:rPr>
        <w:t xml:space="preserve">. </w:t>
      </w:r>
    </w:p>
    <w:p w14:paraId="7DC3B261" w14:textId="77777777" w:rsidR="0089726A" w:rsidRDefault="0089726A" w:rsidP="004560BD">
      <w:pPr>
        <w:jc w:val="both"/>
        <w:rPr>
          <w:rFonts w:ascii="Cambria" w:hAnsi="Cambria" w:cs="Arial"/>
          <w:sz w:val="24"/>
          <w:szCs w:val="24"/>
        </w:rPr>
      </w:pPr>
    </w:p>
    <w:p w14:paraId="1345B3A0" w14:textId="77777777" w:rsidR="0089726A" w:rsidRDefault="004560BD" w:rsidP="004560BD">
      <w:pPr>
        <w:jc w:val="both"/>
        <w:rPr>
          <w:rFonts w:ascii="Cambria" w:hAnsi="Cambria" w:cs="Arial"/>
          <w:sz w:val="24"/>
          <w:szCs w:val="24"/>
        </w:rPr>
      </w:pPr>
      <w:r>
        <w:rPr>
          <w:rFonts w:ascii="Cambria" w:hAnsi="Cambria" w:cs="Arial"/>
          <w:sz w:val="24"/>
          <w:szCs w:val="24"/>
        </w:rPr>
        <w:t xml:space="preserve">In </w:t>
      </w:r>
      <w:r>
        <w:rPr>
          <w:rFonts w:ascii="Cambria" w:hAnsi="Cambria" w:cs="Arial"/>
          <w:sz w:val="24"/>
          <w:szCs w:val="24"/>
        </w:rPr>
        <w:t>Jamaica, bankruptcy proceedings (as they are known there), take a year to resolve, costing 18% of the estate value with an average recovery rate of 65%</w:t>
      </w:r>
      <w:r>
        <w:rPr>
          <w:rFonts w:ascii="Cambria" w:hAnsi="Cambria" w:cs="Arial"/>
          <w:sz w:val="24"/>
          <w:szCs w:val="24"/>
        </w:rPr>
        <w:t xml:space="preserve">. Compare that to Guyana: </w:t>
      </w:r>
      <w:r>
        <w:rPr>
          <w:rFonts w:ascii="Cambria" w:hAnsi="Cambria" w:cs="Arial"/>
          <w:sz w:val="24"/>
          <w:szCs w:val="24"/>
        </w:rPr>
        <w:t>tak</w:t>
      </w:r>
      <w:r>
        <w:rPr>
          <w:rFonts w:ascii="Cambria" w:hAnsi="Cambria" w:cs="Arial"/>
          <w:sz w:val="24"/>
          <w:szCs w:val="24"/>
        </w:rPr>
        <w:t>ing</w:t>
      </w:r>
      <w:r>
        <w:rPr>
          <w:rFonts w:ascii="Cambria" w:hAnsi="Cambria" w:cs="Arial"/>
          <w:sz w:val="24"/>
          <w:szCs w:val="24"/>
        </w:rPr>
        <w:t xml:space="preserve"> 3 years on average</w:t>
      </w:r>
      <w:r>
        <w:rPr>
          <w:rFonts w:ascii="Cambria" w:hAnsi="Cambria" w:cs="Arial"/>
          <w:sz w:val="24"/>
          <w:szCs w:val="24"/>
        </w:rPr>
        <w:t xml:space="preserve">, </w:t>
      </w:r>
      <w:r>
        <w:rPr>
          <w:rFonts w:ascii="Cambria" w:hAnsi="Cambria" w:cs="Arial"/>
          <w:sz w:val="24"/>
          <w:szCs w:val="24"/>
        </w:rPr>
        <w:t>costing 28.5% of the debtor’s estate,</w:t>
      </w:r>
      <w:r>
        <w:rPr>
          <w:rFonts w:ascii="Cambria" w:hAnsi="Cambria" w:cs="Arial"/>
          <w:sz w:val="24"/>
          <w:szCs w:val="24"/>
        </w:rPr>
        <w:t xml:space="preserve"> </w:t>
      </w:r>
      <w:r>
        <w:rPr>
          <w:rFonts w:ascii="Cambria" w:hAnsi="Cambria" w:cs="Arial"/>
          <w:sz w:val="24"/>
          <w:szCs w:val="24"/>
        </w:rPr>
        <w:t xml:space="preserve">with the most likely outcome being that the company will be sold piecemeal. </w:t>
      </w:r>
      <w:r>
        <w:rPr>
          <w:rFonts w:ascii="Cambria" w:hAnsi="Cambria" w:cs="Arial"/>
          <w:sz w:val="24"/>
          <w:szCs w:val="24"/>
        </w:rPr>
        <w:t>In Guyana t</w:t>
      </w:r>
      <w:r>
        <w:rPr>
          <w:rFonts w:ascii="Cambria" w:hAnsi="Cambria" w:cs="Arial"/>
          <w:sz w:val="24"/>
          <w:szCs w:val="24"/>
        </w:rPr>
        <w:t xml:space="preserve">he average recovery rate is </w:t>
      </w:r>
      <w:r>
        <w:rPr>
          <w:rFonts w:ascii="Cambria" w:hAnsi="Cambria" w:cs="Arial"/>
          <w:sz w:val="24"/>
          <w:szCs w:val="24"/>
        </w:rPr>
        <w:t xml:space="preserve">as low as </w:t>
      </w:r>
      <w:r>
        <w:rPr>
          <w:rFonts w:ascii="Cambria" w:hAnsi="Cambria" w:cs="Arial"/>
          <w:sz w:val="24"/>
          <w:szCs w:val="24"/>
        </w:rPr>
        <w:t>18 cents on the dollar</w:t>
      </w:r>
      <w:r>
        <w:rPr>
          <w:rFonts w:ascii="Cambria" w:hAnsi="Cambria" w:cs="Arial"/>
          <w:sz w:val="24"/>
          <w:szCs w:val="24"/>
        </w:rPr>
        <w:t>. Both datasets</w:t>
      </w:r>
      <w:r w:rsidR="000003EF">
        <w:rPr>
          <w:rFonts w:ascii="Cambria" w:hAnsi="Cambria" w:cs="Arial"/>
          <w:sz w:val="24"/>
          <w:szCs w:val="24"/>
        </w:rPr>
        <w:t xml:space="preserve"> are from 2019, so pre-COVID</w:t>
      </w:r>
      <w:r>
        <w:rPr>
          <w:rStyle w:val="FootnoteReference"/>
          <w:rFonts w:ascii="Cambria" w:hAnsi="Cambria" w:cs="Arial"/>
          <w:sz w:val="24"/>
          <w:szCs w:val="24"/>
        </w:rPr>
        <w:footnoteReference w:id="19"/>
      </w:r>
      <w:r w:rsidR="000003EF">
        <w:rPr>
          <w:rFonts w:ascii="Cambria" w:hAnsi="Cambria" w:cs="Arial"/>
          <w:sz w:val="24"/>
          <w:szCs w:val="24"/>
        </w:rPr>
        <w:t xml:space="preserve">. </w:t>
      </w:r>
    </w:p>
    <w:p w14:paraId="0F63CE55" w14:textId="77777777" w:rsidR="0089726A" w:rsidRDefault="0089726A" w:rsidP="004560BD">
      <w:pPr>
        <w:jc w:val="both"/>
        <w:rPr>
          <w:rFonts w:ascii="Cambria" w:hAnsi="Cambria" w:cs="Arial"/>
          <w:sz w:val="24"/>
          <w:szCs w:val="24"/>
        </w:rPr>
      </w:pPr>
    </w:p>
    <w:p w14:paraId="447449B3" w14:textId="6233C497" w:rsidR="002C7D39" w:rsidRDefault="000003EF" w:rsidP="0089726A">
      <w:pPr>
        <w:jc w:val="both"/>
        <w:rPr>
          <w:rFonts w:ascii="Cambria" w:hAnsi="Cambria" w:cs="Arial"/>
          <w:sz w:val="24"/>
          <w:szCs w:val="24"/>
        </w:rPr>
      </w:pPr>
      <w:r>
        <w:rPr>
          <w:rFonts w:ascii="Cambria" w:hAnsi="Cambria" w:cs="Arial"/>
          <w:sz w:val="24"/>
          <w:szCs w:val="24"/>
        </w:rPr>
        <w:t>In respect of Guyana, significant oil finds since that time have led to predictions of very significant economic growth</w:t>
      </w:r>
      <w:r w:rsidR="00B23B14">
        <w:rPr>
          <w:rFonts w:ascii="Cambria" w:hAnsi="Cambria" w:cs="Arial"/>
          <w:sz w:val="24"/>
          <w:szCs w:val="24"/>
        </w:rPr>
        <w:t>.</w:t>
      </w:r>
      <w:r>
        <w:rPr>
          <w:rStyle w:val="FootnoteReference"/>
          <w:rFonts w:ascii="Cambria" w:hAnsi="Cambria" w:cs="Arial"/>
          <w:sz w:val="24"/>
          <w:szCs w:val="24"/>
        </w:rPr>
        <w:footnoteReference w:id="20"/>
      </w:r>
      <w:r w:rsidR="004560BD">
        <w:rPr>
          <w:rFonts w:ascii="Cambria" w:hAnsi="Cambria" w:cs="Arial"/>
          <w:sz w:val="24"/>
          <w:szCs w:val="24"/>
        </w:rPr>
        <w:t xml:space="preserve"> </w:t>
      </w:r>
      <w:r w:rsidR="00B23B14">
        <w:rPr>
          <w:rFonts w:ascii="Cambria" w:hAnsi="Cambria" w:cs="Arial"/>
          <w:sz w:val="24"/>
          <w:szCs w:val="24"/>
        </w:rPr>
        <w:t>So for at least Guyana there is the opportunity to</w:t>
      </w:r>
      <w:r w:rsidR="002E12C4">
        <w:rPr>
          <w:rFonts w:ascii="Cambria" w:hAnsi="Cambria" w:cs="Arial"/>
          <w:sz w:val="24"/>
          <w:szCs w:val="24"/>
        </w:rPr>
        <w:t xml:space="preserve"> legislate during a period of what is expected to be sustain economic prosperity</w:t>
      </w:r>
      <w:r w:rsidR="0089726A">
        <w:rPr>
          <w:rFonts w:ascii="Cambria" w:hAnsi="Cambria" w:cs="Arial"/>
          <w:sz w:val="24"/>
          <w:szCs w:val="24"/>
        </w:rPr>
        <w:t>.</w:t>
      </w:r>
      <w:r w:rsidR="002E12C4">
        <w:rPr>
          <w:rFonts w:ascii="Cambria" w:hAnsi="Cambria" w:cs="Arial"/>
          <w:sz w:val="24"/>
          <w:szCs w:val="24"/>
        </w:rPr>
        <w:t xml:space="preserve"> </w:t>
      </w:r>
      <w:r w:rsidR="0089726A">
        <w:rPr>
          <w:rFonts w:ascii="Cambria" w:hAnsi="Cambria" w:cs="Arial"/>
          <w:sz w:val="24"/>
          <w:szCs w:val="24"/>
        </w:rPr>
        <w:t>I</w:t>
      </w:r>
      <w:r w:rsidR="00980051">
        <w:rPr>
          <w:rFonts w:ascii="Cambria" w:hAnsi="Cambria" w:cs="Arial"/>
          <w:sz w:val="24"/>
          <w:szCs w:val="24"/>
        </w:rPr>
        <w:t xml:space="preserve">nterest in the geographic region encompassing both jurisdictions </w:t>
      </w:r>
      <w:r w:rsidR="00DD72A3">
        <w:rPr>
          <w:rFonts w:ascii="Cambria" w:hAnsi="Cambria" w:cs="Arial"/>
          <w:sz w:val="24"/>
          <w:szCs w:val="24"/>
        </w:rPr>
        <w:t>provide</w:t>
      </w:r>
      <w:r w:rsidR="00980051">
        <w:rPr>
          <w:rFonts w:ascii="Cambria" w:hAnsi="Cambria" w:cs="Arial"/>
          <w:sz w:val="24"/>
          <w:szCs w:val="24"/>
        </w:rPr>
        <w:t xml:space="preserve"> scope for cautious optimism that legislative attention will be given to necessary amendment.</w:t>
      </w:r>
      <w:r w:rsidR="00980051">
        <w:rPr>
          <w:rStyle w:val="FootnoteReference"/>
          <w:rFonts w:ascii="Cambria" w:hAnsi="Cambria" w:cs="Arial"/>
          <w:sz w:val="24"/>
          <w:szCs w:val="24"/>
        </w:rPr>
        <w:footnoteReference w:id="21"/>
      </w:r>
      <w:r w:rsidR="00980051">
        <w:rPr>
          <w:rFonts w:ascii="Cambria" w:hAnsi="Cambria" w:cs="Arial"/>
          <w:sz w:val="24"/>
          <w:szCs w:val="24"/>
        </w:rPr>
        <w:t xml:space="preserve"> </w:t>
      </w:r>
    </w:p>
    <w:p w14:paraId="6B26F0C5" w14:textId="77777777" w:rsidR="002C7D39" w:rsidRDefault="002C7D39" w:rsidP="0089726A">
      <w:pPr>
        <w:jc w:val="both"/>
        <w:rPr>
          <w:rFonts w:ascii="Cambria" w:hAnsi="Cambria" w:cs="Arial"/>
          <w:sz w:val="24"/>
          <w:szCs w:val="24"/>
        </w:rPr>
      </w:pPr>
    </w:p>
    <w:p w14:paraId="48C940D7" w14:textId="4B2794B4" w:rsidR="00980051" w:rsidRDefault="0089726A" w:rsidP="0089726A">
      <w:pPr>
        <w:jc w:val="both"/>
        <w:rPr>
          <w:rFonts w:ascii="Cambria" w:hAnsi="Cambria" w:cs="Arial"/>
          <w:sz w:val="24"/>
          <w:szCs w:val="24"/>
        </w:rPr>
      </w:pPr>
      <w:r>
        <w:rPr>
          <w:rFonts w:ascii="Cambria" w:hAnsi="Cambria" w:cs="Arial"/>
          <w:sz w:val="24"/>
          <w:szCs w:val="24"/>
        </w:rPr>
        <w:t>In the Jamaica context</w:t>
      </w:r>
      <w:r w:rsidR="008973E2">
        <w:rPr>
          <w:rFonts w:ascii="Cambria" w:hAnsi="Cambria" w:cs="Arial"/>
          <w:sz w:val="24"/>
          <w:szCs w:val="24"/>
        </w:rPr>
        <w:t xml:space="preserve">, ongoing </w:t>
      </w:r>
      <w:r w:rsidR="00F70DD5">
        <w:rPr>
          <w:rFonts w:ascii="Cambria" w:hAnsi="Cambria" w:cs="Arial"/>
          <w:sz w:val="24"/>
          <w:szCs w:val="24"/>
        </w:rPr>
        <w:t xml:space="preserve">attempts to progress a voluntary insolvent liquidation in respect of </w:t>
      </w:r>
      <w:r w:rsidR="00A74BA8">
        <w:rPr>
          <w:rFonts w:ascii="Cambria" w:hAnsi="Cambria" w:cs="Arial"/>
          <w:sz w:val="24"/>
          <w:szCs w:val="24"/>
        </w:rPr>
        <w:t xml:space="preserve">the well-published fraud involving </w:t>
      </w:r>
      <w:r w:rsidR="00F70DD5">
        <w:rPr>
          <w:rFonts w:ascii="Cambria" w:hAnsi="Cambria" w:cs="Arial"/>
          <w:sz w:val="24"/>
          <w:szCs w:val="24"/>
        </w:rPr>
        <w:t>Stocks &amp; Securities Limited</w:t>
      </w:r>
      <w:r w:rsidR="00A74BA8">
        <w:rPr>
          <w:rStyle w:val="FootnoteReference"/>
          <w:rFonts w:ascii="Cambria" w:hAnsi="Cambria" w:cs="Arial"/>
          <w:sz w:val="24"/>
          <w:szCs w:val="24"/>
        </w:rPr>
        <w:footnoteReference w:id="22"/>
      </w:r>
      <w:r w:rsidR="00A74BA8">
        <w:rPr>
          <w:rFonts w:ascii="Cambria" w:hAnsi="Cambria" w:cs="Arial"/>
          <w:sz w:val="24"/>
          <w:szCs w:val="24"/>
        </w:rPr>
        <w:t xml:space="preserve"> are opposed in </w:t>
      </w:r>
      <w:r w:rsidR="008973E2">
        <w:rPr>
          <w:rFonts w:ascii="Cambria" w:hAnsi="Cambria" w:cs="Arial"/>
          <w:sz w:val="24"/>
          <w:szCs w:val="24"/>
        </w:rPr>
        <w:t>proceedings</w:t>
      </w:r>
      <w:r>
        <w:rPr>
          <w:rFonts w:ascii="Cambria" w:hAnsi="Cambria" w:cs="Arial"/>
          <w:sz w:val="24"/>
          <w:szCs w:val="24"/>
        </w:rPr>
        <w:t xml:space="preserve"> </w:t>
      </w:r>
      <w:r w:rsidR="002C7D39">
        <w:rPr>
          <w:rFonts w:ascii="Cambria" w:hAnsi="Cambria" w:cs="Arial"/>
          <w:sz w:val="24"/>
          <w:szCs w:val="24"/>
        </w:rPr>
        <w:t xml:space="preserve">pursued by the </w:t>
      </w:r>
      <w:r w:rsidR="008973E2">
        <w:rPr>
          <w:rFonts w:ascii="Cambria" w:hAnsi="Cambria" w:cs="Arial"/>
          <w:sz w:val="24"/>
          <w:szCs w:val="24"/>
        </w:rPr>
        <w:t xml:space="preserve">Financial Services Commission </w:t>
      </w:r>
      <w:r w:rsidR="002C7D39">
        <w:rPr>
          <w:rFonts w:ascii="Cambria" w:hAnsi="Cambria" w:cs="Arial"/>
          <w:sz w:val="24"/>
          <w:szCs w:val="24"/>
        </w:rPr>
        <w:t xml:space="preserve">that are next due for hearing in </w:t>
      </w:r>
      <w:r w:rsidR="002C7D39">
        <w:rPr>
          <w:rFonts w:ascii="Cambria" w:hAnsi="Cambria" w:cs="Arial"/>
          <w:sz w:val="24"/>
          <w:szCs w:val="24"/>
        </w:rPr>
        <w:lastRenderedPageBreak/>
        <w:t>early November 2023</w:t>
      </w:r>
      <w:r w:rsidR="002C7D39">
        <w:rPr>
          <w:rStyle w:val="FootnoteReference"/>
          <w:rFonts w:ascii="Cambria" w:hAnsi="Cambria" w:cs="Arial"/>
          <w:sz w:val="24"/>
          <w:szCs w:val="24"/>
        </w:rPr>
        <w:footnoteReference w:id="23"/>
      </w:r>
      <w:r w:rsidR="002C7D39">
        <w:rPr>
          <w:rFonts w:ascii="Cambria" w:hAnsi="Cambria" w:cs="Arial"/>
          <w:sz w:val="24"/>
          <w:szCs w:val="24"/>
        </w:rPr>
        <w:t>. The question is therefore raised whether</w:t>
      </w:r>
      <w:r>
        <w:rPr>
          <w:rFonts w:ascii="Cambria" w:hAnsi="Cambria" w:cs="Arial"/>
          <w:sz w:val="24"/>
          <w:szCs w:val="24"/>
        </w:rPr>
        <w:t xml:space="preserve"> </w:t>
      </w:r>
      <w:r w:rsidR="002C7D39">
        <w:rPr>
          <w:rFonts w:ascii="Cambria" w:hAnsi="Cambria" w:cs="Arial"/>
          <w:sz w:val="24"/>
          <w:szCs w:val="24"/>
        </w:rPr>
        <w:t>available processes in respect</w:t>
      </w:r>
      <w:r>
        <w:rPr>
          <w:rFonts w:ascii="Cambria" w:hAnsi="Cambria" w:cs="Arial"/>
          <w:sz w:val="24"/>
          <w:szCs w:val="24"/>
        </w:rPr>
        <w:t xml:space="preserve"> </w:t>
      </w:r>
      <w:r w:rsidR="002C7D39">
        <w:rPr>
          <w:rFonts w:ascii="Cambria" w:hAnsi="Cambria" w:cs="Arial"/>
          <w:sz w:val="24"/>
          <w:szCs w:val="24"/>
        </w:rPr>
        <w:t xml:space="preserve">of </w:t>
      </w:r>
      <w:r>
        <w:rPr>
          <w:rFonts w:ascii="Cambria" w:hAnsi="Cambria" w:cs="Arial"/>
          <w:sz w:val="24"/>
          <w:szCs w:val="24"/>
        </w:rPr>
        <w:t xml:space="preserve">insolvent liquidation </w:t>
      </w:r>
      <w:r w:rsidR="002C7D39">
        <w:rPr>
          <w:rFonts w:ascii="Cambria" w:hAnsi="Cambria" w:cs="Arial"/>
          <w:sz w:val="24"/>
          <w:szCs w:val="24"/>
        </w:rPr>
        <w:t xml:space="preserve">are even yet </w:t>
      </w:r>
      <w:r w:rsidR="008973E2">
        <w:rPr>
          <w:rFonts w:ascii="Cambria" w:hAnsi="Cambria" w:cs="Arial"/>
          <w:sz w:val="24"/>
          <w:szCs w:val="24"/>
        </w:rPr>
        <w:t xml:space="preserve">sufficiently embraced as a </w:t>
      </w:r>
      <w:r w:rsidR="00F70DD5">
        <w:rPr>
          <w:rFonts w:ascii="Cambria" w:hAnsi="Cambria" w:cs="Arial"/>
          <w:sz w:val="24"/>
          <w:szCs w:val="24"/>
        </w:rPr>
        <w:t>methodology.</w:t>
      </w:r>
      <w:r w:rsidR="0047677A">
        <w:rPr>
          <w:rStyle w:val="FootnoteReference"/>
          <w:rFonts w:ascii="Cambria" w:hAnsi="Cambria" w:cs="Arial"/>
          <w:sz w:val="24"/>
          <w:szCs w:val="24"/>
        </w:rPr>
        <w:footnoteReference w:id="24"/>
      </w:r>
      <w:r w:rsidR="00F70DD5">
        <w:rPr>
          <w:rFonts w:ascii="Cambria" w:hAnsi="Cambria" w:cs="Arial"/>
          <w:sz w:val="24"/>
          <w:szCs w:val="24"/>
        </w:rPr>
        <w:t xml:space="preserve"> </w:t>
      </w:r>
      <w:r w:rsidR="00980051">
        <w:rPr>
          <w:rFonts w:ascii="Cambria" w:hAnsi="Cambria" w:cs="Arial"/>
          <w:sz w:val="24"/>
          <w:szCs w:val="24"/>
        </w:rPr>
        <w:t xml:space="preserve"> </w:t>
      </w:r>
      <w:r w:rsidR="002C7D39">
        <w:rPr>
          <w:rFonts w:ascii="Cambria" w:hAnsi="Cambria" w:cs="Arial"/>
          <w:sz w:val="24"/>
          <w:szCs w:val="24"/>
        </w:rPr>
        <w:t>Scope for much further progress in a still-developing area of the law in two jurisdictions with overlapping legal legacies.</w:t>
      </w:r>
    </w:p>
    <w:p w14:paraId="16B65928" w14:textId="77777777" w:rsidR="007378B8" w:rsidRDefault="007378B8" w:rsidP="00EA2B14">
      <w:pPr>
        <w:jc w:val="both"/>
        <w:rPr>
          <w:rFonts w:ascii="Cambria" w:hAnsi="Cambria" w:cs="Arial"/>
          <w:b/>
          <w:bCs/>
          <w:sz w:val="24"/>
          <w:szCs w:val="24"/>
        </w:rPr>
      </w:pPr>
    </w:p>
    <w:p w14:paraId="137AE586" w14:textId="0438EFEB" w:rsidR="007378B8" w:rsidRDefault="007378B8" w:rsidP="00EA2B14">
      <w:pPr>
        <w:jc w:val="both"/>
        <w:rPr>
          <w:rFonts w:ascii="Cambria" w:hAnsi="Cambria" w:cs="Arial"/>
          <w:b/>
          <w:bCs/>
          <w:sz w:val="24"/>
          <w:szCs w:val="24"/>
        </w:rPr>
      </w:pPr>
      <w:r>
        <w:rPr>
          <w:rFonts w:ascii="Cambria" w:hAnsi="Cambria" w:cs="Arial"/>
          <w:b/>
          <w:bCs/>
          <w:sz w:val="24"/>
          <w:szCs w:val="24"/>
        </w:rPr>
        <w:t>Bibliography</w:t>
      </w:r>
    </w:p>
    <w:p w14:paraId="78D060AA" w14:textId="4EFFDC20" w:rsidR="007378B8" w:rsidRPr="002D7BB0" w:rsidRDefault="007378B8" w:rsidP="007378B8">
      <w:pPr>
        <w:pStyle w:val="ListParagraph"/>
        <w:numPr>
          <w:ilvl w:val="0"/>
          <w:numId w:val="8"/>
        </w:numPr>
        <w:jc w:val="both"/>
        <w:rPr>
          <w:rFonts w:ascii="Cambria" w:hAnsi="Cambria" w:cs="Arial"/>
          <w:b/>
          <w:bCs/>
          <w:sz w:val="24"/>
          <w:szCs w:val="24"/>
        </w:rPr>
      </w:pPr>
      <w:r>
        <w:rPr>
          <w:rFonts w:ascii="Cambria" w:hAnsi="Cambria" w:cs="Arial"/>
          <w:sz w:val="24"/>
          <w:szCs w:val="24"/>
        </w:rPr>
        <w:t xml:space="preserve">Judicial Reform and Institutional Strengthening (Jurist) Project (funded by the Government of Canada), </w:t>
      </w:r>
      <w:hyperlink r:id="rId8" w:history="1">
        <w:r w:rsidRPr="00A44188">
          <w:rPr>
            <w:rStyle w:val="Hyperlink"/>
            <w:rFonts w:ascii="Cambria" w:hAnsi="Cambria" w:cs="Arial"/>
            <w:sz w:val="24"/>
            <w:szCs w:val="24"/>
          </w:rPr>
          <w:t>https://juristproject.org</w:t>
        </w:r>
      </w:hyperlink>
      <w:r>
        <w:t xml:space="preserve"> </w:t>
      </w:r>
    </w:p>
    <w:p w14:paraId="648C2351" w14:textId="77777777" w:rsidR="000A09B0" w:rsidRPr="000A09B0" w:rsidRDefault="002D7BB0" w:rsidP="000A09B0">
      <w:pPr>
        <w:pStyle w:val="ListParagraph"/>
        <w:numPr>
          <w:ilvl w:val="0"/>
          <w:numId w:val="8"/>
        </w:numPr>
        <w:jc w:val="both"/>
        <w:rPr>
          <w:rFonts w:ascii="Cambria" w:hAnsi="Cambria" w:cs="Arial"/>
          <w:b/>
          <w:bCs/>
          <w:sz w:val="24"/>
          <w:szCs w:val="24"/>
        </w:rPr>
      </w:pPr>
      <w:r>
        <w:rPr>
          <w:rFonts w:ascii="Cambria" w:hAnsi="Cambria"/>
          <w:sz w:val="24"/>
          <w:szCs w:val="24"/>
        </w:rPr>
        <w:t>New York Time, 13.6.2023 “Oil prices are falling as fuel demand weakens”</w:t>
      </w:r>
    </w:p>
    <w:p w14:paraId="3E769E85" w14:textId="6B5CF953" w:rsidR="000A09B0" w:rsidRPr="004560BD" w:rsidRDefault="000A09B0" w:rsidP="004560BD">
      <w:pPr>
        <w:pStyle w:val="ListParagraph"/>
        <w:numPr>
          <w:ilvl w:val="0"/>
          <w:numId w:val="8"/>
        </w:numPr>
        <w:jc w:val="both"/>
        <w:rPr>
          <w:rFonts w:ascii="Cambria" w:hAnsi="Cambria" w:cs="Arial"/>
          <w:b/>
          <w:bCs/>
          <w:sz w:val="24"/>
          <w:szCs w:val="24"/>
        </w:rPr>
      </w:pPr>
      <w:r w:rsidRPr="000A09B0">
        <w:rPr>
          <w:rFonts w:ascii="Cambria" w:hAnsi="Cambria"/>
          <w:sz w:val="24"/>
          <w:szCs w:val="24"/>
        </w:rPr>
        <w:t xml:space="preserve">Sarra, Janis </w:t>
      </w:r>
      <w:r w:rsidRPr="000A09B0">
        <w:rPr>
          <w:rFonts w:ascii="Cambria" w:hAnsi="Cambria"/>
          <w:sz w:val="24"/>
          <w:szCs w:val="24"/>
        </w:rPr>
        <w:t>“Economic Rehabilitation: Understanding the Growth in Consumer Proposals under Canadian Insolvency Legislation” (2009) 24 BFLR at 1</w:t>
      </w:r>
    </w:p>
    <w:p w14:paraId="5BD36372" w14:textId="04CE00A4" w:rsidR="00BB1917" w:rsidRPr="00BB1917" w:rsidRDefault="00BB1917" w:rsidP="006E05B8">
      <w:pPr>
        <w:pStyle w:val="ListParagraph"/>
        <w:numPr>
          <w:ilvl w:val="0"/>
          <w:numId w:val="8"/>
        </w:numPr>
        <w:rPr>
          <w:rFonts w:ascii="Cambria" w:hAnsi="Cambria" w:cs="Arial"/>
          <w:b/>
          <w:bCs/>
          <w:sz w:val="24"/>
          <w:szCs w:val="24"/>
        </w:rPr>
      </w:pPr>
      <w:bookmarkStart w:id="1" w:name="_Hlk139870935"/>
      <w:r>
        <w:rPr>
          <w:rFonts w:ascii="Cambria" w:hAnsi="Cambria"/>
          <w:sz w:val="24"/>
          <w:szCs w:val="24"/>
        </w:rPr>
        <w:t xml:space="preserve">World Bank archive, “Doing Business”: </w:t>
      </w:r>
      <w:bookmarkStart w:id="2" w:name="_Hlk139947629"/>
      <w:r>
        <w:rPr>
          <w:rFonts w:ascii="Cambria" w:hAnsi="Cambria"/>
          <w:sz w:val="24"/>
          <w:szCs w:val="24"/>
        </w:rPr>
        <w:fldChar w:fldCharType="begin"/>
      </w:r>
      <w:r>
        <w:rPr>
          <w:rFonts w:ascii="Cambria" w:hAnsi="Cambria"/>
          <w:sz w:val="24"/>
          <w:szCs w:val="24"/>
        </w:rPr>
        <w:instrText>HYPERLINK "</w:instrText>
      </w:r>
      <w:r w:rsidRPr="00BB1917">
        <w:rPr>
          <w:rFonts w:ascii="Cambria" w:hAnsi="Cambria"/>
          <w:sz w:val="24"/>
          <w:szCs w:val="24"/>
        </w:rPr>
        <w:instrText>https://archive.doingbusiness.org/en/data/exploretopics/resolving-insolvency</w:instrText>
      </w:r>
      <w:r>
        <w:rPr>
          <w:rFonts w:ascii="Cambria" w:hAnsi="Cambria"/>
          <w:sz w:val="24"/>
          <w:szCs w:val="24"/>
        </w:rPr>
        <w:instrText>"</w:instrText>
      </w:r>
      <w:r>
        <w:rPr>
          <w:rFonts w:ascii="Cambria" w:hAnsi="Cambria"/>
          <w:sz w:val="24"/>
          <w:szCs w:val="24"/>
        </w:rPr>
        <w:fldChar w:fldCharType="separate"/>
      </w:r>
      <w:r w:rsidRPr="00DC7EFD">
        <w:rPr>
          <w:rStyle w:val="Hyperlink"/>
          <w:rFonts w:ascii="Cambria" w:hAnsi="Cambria"/>
          <w:sz w:val="24"/>
          <w:szCs w:val="24"/>
        </w:rPr>
        <w:t>https://archive.doingbusiness.org/en/data/exploretopics/resolving-insolvency</w:t>
      </w:r>
      <w:r>
        <w:rPr>
          <w:rFonts w:ascii="Cambria" w:hAnsi="Cambria"/>
          <w:sz w:val="24"/>
          <w:szCs w:val="24"/>
        </w:rPr>
        <w:fldChar w:fldCharType="end"/>
      </w:r>
      <w:bookmarkEnd w:id="1"/>
      <w:bookmarkEnd w:id="2"/>
    </w:p>
    <w:p w14:paraId="3EDEF242" w14:textId="5D01D513" w:rsidR="00BB1917" w:rsidRDefault="006E05B8" w:rsidP="006E05B8">
      <w:pPr>
        <w:pStyle w:val="ListParagraph"/>
        <w:jc w:val="both"/>
        <w:rPr>
          <w:rFonts w:ascii="Cambria" w:hAnsi="Cambria" w:cs="Arial"/>
          <w:sz w:val="24"/>
          <w:szCs w:val="24"/>
        </w:rPr>
      </w:pPr>
      <w:r>
        <w:rPr>
          <w:rFonts w:ascii="Cambria" w:hAnsi="Cambria" w:cs="Arial"/>
          <w:sz w:val="24"/>
          <w:szCs w:val="24"/>
        </w:rPr>
        <w:t xml:space="preserve">(resolving insolvency </w:t>
      </w:r>
      <w:bookmarkStart w:id="3" w:name="_Hlk139947420"/>
      <w:r>
        <w:rPr>
          <w:rFonts w:ascii="Cambria" w:hAnsi="Cambria" w:cs="Arial"/>
          <w:sz w:val="24"/>
          <w:szCs w:val="24"/>
        </w:rPr>
        <w:t>in Guyana takes 3 years on average; costing 28.5</w:t>
      </w:r>
      <w:r w:rsidR="0021650A">
        <w:rPr>
          <w:rFonts w:ascii="Cambria" w:hAnsi="Cambria" w:cs="Arial"/>
          <w:sz w:val="24"/>
          <w:szCs w:val="24"/>
        </w:rPr>
        <w:t>%</w:t>
      </w:r>
      <w:r>
        <w:rPr>
          <w:rFonts w:ascii="Cambria" w:hAnsi="Cambria" w:cs="Arial"/>
          <w:sz w:val="24"/>
          <w:szCs w:val="24"/>
        </w:rPr>
        <w:t xml:space="preserve"> of the debtor’s estate, with the most likely outcome being that the company will be sold piecemeal</w:t>
      </w:r>
      <w:r w:rsidR="0021650A">
        <w:rPr>
          <w:rFonts w:ascii="Cambria" w:hAnsi="Cambria" w:cs="Arial"/>
          <w:sz w:val="24"/>
          <w:szCs w:val="24"/>
        </w:rPr>
        <w:t>. The average recovery rate is 18 cents on the dollar</w:t>
      </w:r>
      <w:bookmarkEnd w:id="3"/>
      <w:r w:rsidR="0021650A">
        <w:rPr>
          <w:rFonts w:ascii="Cambria" w:hAnsi="Cambria" w:cs="Arial"/>
          <w:sz w:val="24"/>
          <w:szCs w:val="24"/>
        </w:rPr>
        <w:t>.</w:t>
      </w:r>
    </w:p>
    <w:p w14:paraId="35CD78CE" w14:textId="51D27E7A" w:rsidR="0021650A" w:rsidRDefault="0021650A" w:rsidP="006E05B8">
      <w:pPr>
        <w:pStyle w:val="ListParagraph"/>
        <w:jc w:val="both"/>
        <w:rPr>
          <w:rFonts w:ascii="Cambria" w:hAnsi="Cambria" w:cs="Arial"/>
          <w:sz w:val="24"/>
          <w:szCs w:val="24"/>
        </w:rPr>
      </w:pPr>
      <w:r>
        <w:rPr>
          <w:rFonts w:ascii="Cambria" w:hAnsi="Cambria" w:cs="Arial"/>
          <w:sz w:val="24"/>
          <w:szCs w:val="24"/>
        </w:rPr>
        <w:t xml:space="preserve">Also </w:t>
      </w:r>
      <w:hyperlink r:id="rId9" w:history="1">
        <w:r w:rsidRPr="00DC7EFD">
          <w:rPr>
            <w:rStyle w:val="Hyperlink"/>
            <w:rFonts w:ascii="Cambria" w:hAnsi="Cambria" w:cs="Arial"/>
            <w:sz w:val="24"/>
            <w:szCs w:val="24"/>
          </w:rPr>
          <w:t>https://www.state.gov/reports/2022-investment-climate-statements/guyana/</w:t>
        </w:r>
      </w:hyperlink>
    </w:p>
    <w:p w14:paraId="663B9BEB" w14:textId="1684C270" w:rsidR="0021650A" w:rsidRDefault="0021650A" w:rsidP="006E05B8">
      <w:pPr>
        <w:pStyle w:val="ListParagraph"/>
        <w:jc w:val="both"/>
        <w:rPr>
          <w:rFonts w:ascii="Cambria" w:hAnsi="Cambria" w:cs="Arial"/>
          <w:sz w:val="24"/>
          <w:szCs w:val="24"/>
        </w:rPr>
      </w:pPr>
      <w:r>
        <w:rPr>
          <w:rFonts w:ascii="Cambria" w:hAnsi="Cambria" w:cs="Arial"/>
          <w:sz w:val="24"/>
          <w:szCs w:val="24"/>
        </w:rPr>
        <w:t xml:space="preserve">In respect of </w:t>
      </w:r>
      <w:bookmarkStart w:id="4" w:name="_Hlk139947353"/>
      <w:r>
        <w:rPr>
          <w:rFonts w:ascii="Cambria" w:hAnsi="Cambria" w:cs="Arial"/>
          <w:sz w:val="24"/>
          <w:szCs w:val="24"/>
        </w:rPr>
        <w:t xml:space="preserve">Jamaica, bankruptcy proceedings (as they are known there), take a year to resolve, </w:t>
      </w:r>
      <w:r w:rsidR="00651732">
        <w:rPr>
          <w:rFonts w:ascii="Cambria" w:hAnsi="Cambria" w:cs="Arial"/>
          <w:sz w:val="24"/>
          <w:szCs w:val="24"/>
        </w:rPr>
        <w:t>costing 18% of the estate value with an average recovery rate of 65%</w:t>
      </w:r>
      <w:bookmarkEnd w:id="4"/>
    </w:p>
    <w:p w14:paraId="742A9678" w14:textId="5DB841D6" w:rsidR="00651732" w:rsidRDefault="00651732" w:rsidP="006E05B8">
      <w:pPr>
        <w:pStyle w:val="ListParagraph"/>
        <w:jc w:val="both"/>
        <w:rPr>
          <w:rFonts w:ascii="Cambria" w:hAnsi="Cambria" w:cs="Arial"/>
          <w:sz w:val="24"/>
          <w:szCs w:val="24"/>
        </w:rPr>
      </w:pPr>
      <w:hyperlink r:id="rId10" w:history="1">
        <w:r w:rsidRPr="00DC7EFD">
          <w:rPr>
            <w:rStyle w:val="Hyperlink"/>
            <w:rFonts w:ascii="Cambria" w:hAnsi="Cambria" w:cs="Arial"/>
            <w:sz w:val="24"/>
            <w:szCs w:val="24"/>
          </w:rPr>
          <w:t>https://www.state.gov/reports/2020-investment-climate-statements/jamaica__trashed/</w:t>
        </w:r>
      </w:hyperlink>
    </w:p>
    <w:p w14:paraId="5321B628" w14:textId="77777777" w:rsidR="007B0F8D" w:rsidRPr="002E12C4" w:rsidRDefault="007B0F8D" w:rsidP="002E12C4">
      <w:pPr>
        <w:rPr>
          <w:rFonts w:ascii="Cambria" w:hAnsi="Cambria" w:cs="Arial"/>
          <w:sz w:val="24"/>
          <w:szCs w:val="24"/>
        </w:rPr>
      </w:pPr>
    </w:p>
    <w:p w14:paraId="4997799F" w14:textId="41C5C2DF" w:rsidR="007B0F8D" w:rsidRDefault="007B0F8D" w:rsidP="007B0F8D">
      <w:pPr>
        <w:pStyle w:val="ListParagraph"/>
        <w:ind w:left="284"/>
        <w:jc w:val="right"/>
        <w:rPr>
          <w:rFonts w:ascii="Cambria" w:hAnsi="Cambria" w:cs="Arial"/>
          <w:sz w:val="24"/>
          <w:szCs w:val="24"/>
        </w:rPr>
      </w:pPr>
      <w:r>
        <w:rPr>
          <w:rFonts w:ascii="Cambria" w:hAnsi="Cambria" w:cs="Arial"/>
          <w:sz w:val="24"/>
          <w:szCs w:val="24"/>
        </w:rPr>
        <w:t>Tim Prudhoe</w:t>
      </w:r>
    </w:p>
    <w:p w14:paraId="3D25F0C3" w14:textId="1196D4FC" w:rsidR="007B0F8D" w:rsidRPr="007A3EF0" w:rsidRDefault="002C7D39" w:rsidP="007B0F8D">
      <w:pPr>
        <w:pStyle w:val="ListParagraph"/>
        <w:ind w:left="284"/>
        <w:jc w:val="right"/>
        <w:rPr>
          <w:rFonts w:ascii="Cambria" w:hAnsi="Cambria" w:cs="Arial"/>
          <w:sz w:val="24"/>
          <w:szCs w:val="24"/>
        </w:rPr>
      </w:pPr>
      <w:r>
        <w:rPr>
          <w:rFonts w:ascii="Cambria" w:hAnsi="Cambria" w:cs="Arial"/>
          <w:sz w:val="24"/>
          <w:szCs w:val="24"/>
        </w:rPr>
        <w:t>2700 words</w:t>
      </w:r>
    </w:p>
    <w:p w14:paraId="6AC75945" w14:textId="77777777" w:rsidR="00D40BC5" w:rsidRPr="007A3EF0" w:rsidRDefault="00D40BC5" w:rsidP="00345A06">
      <w:pPr>
        <w:tabs>
          <w:tab w:val="left" w:pos="426"/>
        </w:tabs>
        <w:jc w:val="both"/>
        <w:rPr>
          <w:rFonts w:ascii="Cambria" w:hAnsi="Cambria" w:cs="Arial"/>
          <w:sz w:val="24"/>
          <w:szCs w:val="24"/>
        </w:rPr>
      </w:pPr>
    </w:p>
    <w:sectPr w:rsidR="00D40BC5" w:rsidRPr="007A3E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4A17" w14:textId="77777777" w:rsidR="000E3343" w:rsidRDefault="000E3343" w:rsidP="000E3343">
      <w:pPr>
        <w:spacing w:after="0" w:line="240" w:lineRule="auto"/>
      </w:pPr>
      <w:r>
        <w:separator/>
      </w:r>
    </w:p>
  </w:endnote>
  <w:endnote w:type="continuationSeparator" w:id="0">
    <w:p w14:paraId="38B081F3" w14:textId="77777777" w:rsidR="000E3343" w:rsidRDefault="000E3343" w:rsidP="000E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altName w:val="Nirmala UI"/>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BE99" w14:textId="77777777" w:rsidR="007B0F8D" w:rsidRDefault="007B0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40282"/>
      <w:docPartObj>
        <w:docPartGallery w:val="Page Numbers (Bottom of Page)"/>
        <w:docPartUnique/>
      </w:docPartObj>
    </w:sdtPr>
    <w:sdtEndPr>
      <w:rPr>
        <w:noProof/>
      </w:rPr>
    </w:sdtEndPr>
    <w:sdtContent>
      <w:p w14:paraId="18C73D9F" w14:textId="01B7FBA1" w:rsidR="007B0F8D" w:rsidRDefault="007B0F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AE7CC" w14:textId="77777777" w:rsidR="007B0F8D" w:rsidRDefault="007B0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72C7" w14:textId="77777777" w:rsidR="007B0F8D" w:rsidRDefault="007B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9EF9" w14:textId="77777777" w:rsidR="000E3343" w:rsidRDefault="000E3343" w:rsidP="000E3343">
      <w:pPr>
        <w:spacing w:after="0" w:line="240" w:lineRule="auto"/>
      </w:pPr>
      <w:r>
        <w:separator/>
      </w:r>
    </w:p>
  </w:footnote>
  <w:footnote w:type="continuationSeparator" w:id="0">
    <w:p w14:paraId="44B9ECF9" w14:textId="77777777" w:rsidR="000E3343" w:rsidRDefault="000E3343" w:rsidP="000E3343">
      <w:pPr>
        <w:spacing w:after="0" w:line="240" w:lineRule="auto"/>
      </w:pPr>
      <w:r>
        <w:continuationSeparator/>
      </w:r>
    </w:p>
  </w:footnote>
  <w:footnote w:id="1">
    <w:p w14:paraId="6F0010FF" w14:textId="76908AB3" w:rsidR="00511246" w:rsidRPr="00511246" w:rsidRDefault="00511246" w:rsidP="00584EAB">
      <w:pPr>
        <w:pStyle w:val="FootnoteText"/>
        <w:jc w:val="both"/>
        <w:rPr>
          <w:rFonts w:ascii="Cambria" w:hAnsi="Cambria"/>
          <w:sz w:val="24"/>
          <w:szCs w:val="24"/>
        </w:rPr>
      </w:pPr>
      <w:r>
        <w:rPr>
          <w:rStyle w:val="FootnoteReference"/>
        </w:rPr>
        <w:footnoteRef/>
      </w:r>
      <w:r w:rsidR="00A7221F">
        <w:rPr>
          <w:rFonts w:ascii="Cambria" w:hAnsi="Cambria"/>
          <w:sz w:val="24"/>
          <w:szCs w:val="24"/>
        </w:rPr>
        <w:t xml:space="preserve">Jamaica gained independence on 6.8.1962, remaining a member of the Commonwealth. </w:t>
      </w:r>
      <w:r w:rsidR="00A50066">
        <w:rPr>
          <w:rFonts w:ascii="Cambria" w:hAnsi="Cambria"/>
          <w:sz w:val="24"/>
          <w:szCs w:val="24"/>
        </w:rPr>
        <w:t>Formerly</w:t>
      </w:r>
      <w:r>
        <w:rPr>
          <w:rFonts w:ascii="Cambria" w:hAnsi="Cambria"/>
          <w:sz w:val="24"/>
          <w:szCs w:val="24"/>
        </w:rPr>
        <w:t xml:space="preserve"> British Guiana, Guyana became independent on 26.5.1966 and became a republic on 23 February 1970, </w:t>
      </w:r>
      <w:r w:rsidR="00A7221F">
        <w:rPr>
          <w:rFonts w:ascii="Cambria" w:hAnsi="Cambria"/>
          <w:sz w:val="24"/>
          <w:szCs w:val="24"/>
        </w:rPr>
        <w:t xml:space="preserve">also </w:t>
      </w:r>
      <w:r>
        <w:rPr>
          <w:rFonts w:ascii="Cambria" w:hAnsi="Cambria"/>
          <w:sz w:val="24"/>
          <w:szCs w:val="24"/>
        </w:rPr>
        <w:t xml:space="preserve">remaining a member of the Commonwealth.  </w:t>
      </w:r>
      <w:r w:rsidR="00A50066">
        <w:rPr>
          <w:rFonts w:ascii="Cambria" w:hAnsi="Cambria"/>
          <w:sz w:val="24"/>
          <w:szCs w:val="24"/>
        </w:rPr>
        <w:t>Guyana is located on So</w:t>
      </w:r>
      <w:r w:rsidR="006E05B8">
        <w:rPr>
          <w:rFonts w:ascii="Cambria" w:hAnsi="Cambria"/>
          <w:sz w:val="24"/>
          <w:szCs w:val="24"/>
        </w:rPr>
        <w:t>u</w:t>
      </w:r>
      <w:r w:rsidR="00A50066">
        <w:rPr>
          <w:rFonts w:ascii="Cambria" w:hAnsi="Cambria"/>
          <w:sz w:val="24"/>
          <w:szCs w:val="24"/>
        </w:rPr>
        <w:t>th America’s North Atlantic coast, bordering Vene</w:t>
      </w:r>
      <w:r w:rsidR="006E05B8">
        <w:rPr>
          <w:rFonts w:ascii="Cambria" w:hAnsi="Cambria"/>
          <w:sz w:val="24"/>
          <w:szCs w:val="24"/>
        </w:rPr>
        <w:t xml:space="preserve">zuela, </w:t>
      </w:r>
      <w:proofErr w:type="gramStart"/>
      <w:r w:rsidR="006E05B8">
        <w:rPr>
          <w:rFonts w:ascii="Cambria" w:hAnsi="Cambria"/>
          <w:sz w:val="24"/>
          <w:szCs w:val="24"/>
        </w:rPr>
        <w:t>Suriname</w:t>
      </w:r>
      <w:proofErr w:type="gramEnd"/>
      <w:r w:rsidR="006E05B8">
        <w:rPr>
          <w:rFonts w:ascii="Cambria" w:hAnsi="Cambria"/>
          <w:sz w:val="24"/>
          <w:szCs w:val="24"/>
        </w:rPr>
        <w:t xml:space="preserve"> and Brazil. The only English-speaking country on the continent</w:t>
      </w:r>
    </w:p>
  </w:footnote>
  <w:footnote w:id="2">
    <w:p w14:paraId="664A03CD" w14:textId="5FF630E3" w:rsidR="002D7BB0" w:rsidRPr="002D7BB0" w:rsidRDefault="002D7BB0" w:rsidP="00584EAB">
      <w:pPr>
        <w:pStyle w:val="FootnoteText"/>
        <w:rPr>
          <w:rFonts w:ascii="Cambria" w:hAnsi="Cambria"/>
          <w:sz w:val="24"/>
          <w:szCs w:val="24"/>
        </w:rPr>
      </w:pPr>
      <w:r>
        <w:rPr>
          <w:rStyle w:val="FootnoteReference"/>
        </w:rPr>
        <w:footnoteRef/>
      </w:r>
      <w:r w:rsidR="00AD1B81">
        <w:rPr>
          <w:rFonts w:ascii="Cambria" w:hAnsi="Cambria"/>
          <w:sz w:val="24"/>
          <w:szCs w:val="24"/>
        </w:rPr>
        <w:t>Recent (and large) oil discovery in Guyana is well publicised. I</w:t>
      </w:r>
      <w:r>
        <w:rPr>
          <w:rFonts w:ascii="Cambria" w:hAnsi="Cambria"/>
          <w:sz w:val="24"/>
          <w:szCs w:val="24"/>
        </w:rPr>
        <w:t xml:space="preserve">ncreased oil production in Guyana, Brazil, Iran and Russia (the later exporting to China and India during sanctions elsewhere) is now capable of lowing oil prices:    </w:t>
      </w:r>
      <w:hyperlink r:id="rId1" w:history="1">
        <w:r w:rsidRPr="00DC7EFD">
          <w:rPr>
            <w:rStyle w:val="Hyperlink"/>
            <w:rFonts w:ascii="Cambria" w:hAnsi="Cambria"/>
            <w:sz w:val="24"/>
            <w:szCs w:val="24"/>
          </w:rPr>
          <w:t>https://www.nytimes.com/live/2023/06/13/business/cpi-inflation-fed?smid=nytcore-android-share#oil-prices-are-falling-as-fuel-demand-weakens</w:t>
        </w:r>
      </w:hyperlink>
      <w:r>
        <w:rPr>
          <w:rFonts w:ascii="Cambria" w:hAnsi="Cambria"/>
          <w:sz w:val="24"/>
          <w:szCs w:val="24"/>
        </w:rPr>
        <w:t xml:space="preserve"> </w:t>
      </w:r>
    </w:p>
  </w:footnote>
  <w:footnote w:id="3">
    <w:p w14:paraId="01F9F97C" w14:textId="72CBDD08" w:rsidR="00584EAB" w:rsidRPr="00584EAB" w:rsidRDefault="00584EAB" w:rsidP="00584EAB">
      <w:pPr>
        <w:pStyle w:val="FootnoteText"/>
        <w:jc w:val="both"/>
        <w:rPr>
          <w:rFonts w:ascii="Cambria" w:hAnsi="Cambria"/>
          <w:sz w:val="24"/>
          <w:szCs w:val="24"/>
        </w:rPr>
      </w:pPr>
      <w:r>
        <w:rPr>
          <w:rStyle w:val="FootnoteReference"/>
        </w:rPr>
        <w:footnoteRef/>
      </w:r>
      <w:r>
        <w:t xml:space="preserve"> </w:t>
      </w:r>
      <w:r>
        <w:rPr>
          <w:rFonts w:ascii="Cambria" w:hAnsi="Cambria"/>
          <w:sz w:val="24"/>
          <w:szCs w:val="24"/>
        </w:rPr>
        <w:t xml:space="preserve">The West Indian Law Reports and, to a lesser extent, the Law Reports of the Commonwealth report Guyana cases on appeal – both in the Guyana Court of Appeal and, on further appeal from that court, in the Caribbean Court of Justice. But does so only on a selective / infrequent basis </w:t>
      </w:r>
    </w:p>
  </w:footnote>
  <w:footnote w:id="4">
    <w:p w14:paraId="35FC2A93" w14:textId="1CBF8227" w:rsidR="00FF7057" w:rsidRPr="00FF7057" w:rsidRDefault="00FF7057">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World Bank archive, “Doing Business”: </w:t>
      </w:r>
      <w:hyperlink r:id="rId2" w:history="1">
        <w:r w:rsidRPr="00DC7EFD">
          <w:rPr>
            <w:rStyle w:val="Hyperlink"/>
            <w:rFonts w:ascii="Cambria" w:hAnsi="Cambria"/>
            <w:sz w:val="24"/>
            <w:szCs w:val="24"/>
          </w:rPr>
          <w:t>https://archive.doingbusiness.org/en/data/exploretopics/resolving-insolvency</w:t>
        </w:r>
      </w:hyperlink>
    </w:p>
  </w:footnote>
  <w:footnote w:id="5">
    <w:p w14:paraId="2994A8DE" w14:textId="112AA7AE" w:rsidR="003F7EFD" w:rsidRPr="003F7EFD" w:rsidRDefault="003F7EFD">
      <w:pPr>
        <w:pStyle w:val="FootnoteText"/>
        <w:rPr>
          <w:rFonts w:ascii="Cambria" w:hAnsi="Cambria"/>
          <w:sz w:val="24"/>
          <w:szCs w:val="24"/>
        </w:rPr>
      </w:pPr>
      <w:r>
        <w:rPr>
          <w:rStyle w:val="FootnoteReference"/>
        </w:rPr>
        <w:footnoteRef/>
      </w:r>
      <w:r>
        <w:t xml:space="preserve"> </w:t>
      </w:r>
      <w:hyperlink r:id="rId3" w:history="1">
        <w:r w:rsidRPr="003F7EFD">
          <w:rPr>
            <w:rStyle w:val="Hyperlink"/>
            <w:rFonts w:ascii="Cambria" w:hAnsi="Cambria"/>
            <w:sz w:val="24"/>
            <w:szCs w:val="24"/>
          </w:rPr>
          <w:t>https://www.mola.gov.gy/chapter-08901-companies-act</w:t>
        </w:r>
      </w:hyperlink>
    </w:p>
  </w:footnote>
  <w:footnote w:id="6">
    <w:p w14:paraId="6AD8F653" w14:textId="61F2B561" w:rsidR="00065EDB" w:rsidRPr="00065EDB" w:rsidRDefault="00065EDB">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Section 357 deals with powers (of the court) on the </w:t>
      </w:r>
      <w:r>
        <w:rPr>
          <w:rFonts w:ascii="Cambria" w:hAnsi="Cambria"/>
          <w:i/>
          <w:iCs/>
          <w:sz w:val="24"/>
          <w:szCs w:val="24"/>
        </w:rPr>
        <w:t xml:space="preserve">hearing </w:t>
      </w:r>
      <w:r>
        <w:rPr>
          <w:rFonts w:ascii="Cambria" w:hAnsi="Cambria"/>
          <w:sz w:val="24"/>
          <w:szCs w:val="24"/>
        </w:rPr>
        <w:t xml:space="preserve">of the winding-up petition; </w:t>
      </w:r>
      <w:r w:rsidR="00DD72A3">
        <w:rPr>
          <w:rFonts w:ascii="Cambria" w:hAnsi="Cambria"/>
          <w:sz w:val="24"/>
          <w:szCs w:val="24"/>
        </w:rPr>
        <w:t>so,</w:t>
      </w:r>
      <w:r>
        <w:rPr>
          <w:rFonts w:ascii="Cambria" w:hAnsi="Cambria"/>
          <w:sz w:val="24"/>
          <w:szCs w:val="24"/>
        </w:rPr>
        <w:t xml:space="preserve"> for the concept of a provisional liquidator to have meaning, it may be prior to then hearing of the  petition itself: the inference being that the petition is presented (as opposed, </w:t>
      </w:r>
      <w:proofErr w:type="gramStart"/>
      <w:r>
        <w:rPr>
          <w:rFonts w:ascii="Cambria" w:hAnsi="Cambria"/>
          <w:sz w:val="24"/>
          <w:szCs w:val="24"/>
        </w:rPr>
        <w:t>actually to</w:t>
      </w:r>
      <w:proofErr w:type="gramEnd"/>
      <w:r>
        <w:rPr>
          <w:rFonts w:ascii="Cambria" w:hAnsi="Cambria"/>
          <w:sz w:val="24"/>
          <w:szCs w:val="24"/>
        </w:rPr>
        <w:t xml:space="preserve"> being heard) when issued – that is, for subsequent hearing - by the Court Registry. </w:t>
      </w:r>
    </w:p>
  </w:footnote>
  <w:footnote w:id="7">
    <w:p w14:paraId="7F5B36E1" w14:textId="5D019792" w:rsidR="000A09B0" w:rsidRPr="000A09B0" w:rsidRDefault="000A09B0">
      <w:pPr>
        <w:pStyle w:val="FootnoteText"/>
        <w:rPr>
          <w:rFonts w:ascii="Cambria" w:hAnsi="Cambria"/>
          <w:sz w:val="24"/>
          <w:szCs w:val="24"/>
        </w:rPr>
      </w:pPr>
      <w:r>
        <w:rPr>
          <w:rStyle w:val="FootnoteReference"/>
        </w:rPr>
        <w:footnoteRef/>
      </w:r>
      <w:r>
        <w:t xml:space="preserve"> </w:t>
      </w:r>
      <w:bookmarkStart w:id="0" w:name="_Hlk139849803"/>
      <w:r>
        <w:rPr>
          <w:rFonts w:ascii="Cambria" w:hAnsi="Cambria"/>
          <w:sz w:val="24"/>
          <w:szCs w:val="24"/>
        </w:rPr>
        <w:t>“Economic Rehabilitation: Understanding the Growth in Consumer Proposals under Canadian Insolvency Legislation” (2009) 24 BFLR at 1</w:t>
      </w:r>
    </w:p>
    <w:bookmarkEnd w:id="0"/>
  </w:footnote>
  <w:footnote w:id="8">
    <w:p w14:paraId="17BBB0AF" w14:textId="190BD0A0" w:rsidR="000A09B0" w:rsidRDefault="000A09B0">
      <w:pPr>
        <w:pStyle w:val="FootnoteText"/>
        <w:rPr>
          <w:rFonts w:ascii="Cambria" w:hAnsi="Cambria"/>
          <w:sz w:val="24"/>
          <w:szCs w:val="24"/>
        </w:rPr>
      </w:pPr>
      <w:r>
        <w:rPr>
          <w:rStyle w:val="FootnoteReference"/>
        </w:rPr>
        <w:footnoteRef/>
      </w:r>
      <w:r>
        <w:t xml:space="preserve"> </w:t>
      </w:r>
      <w:r>
        <w:rPr>
          <w:rFonts w:ascii="Cambria" w:hAnsi="Cambria"/>
          <w:sz w:val="24"/>
          <w:szCs w:val="24"/>
          <w:u w:val="single"/>
        </w:rPr>
        <w:t>Orphan Well Association v Grant Thornton</w:t>
      </w:r>
      <w:r>
        <w:rPr>
          <w:rFonts w:ascii="Cambria" w:hAnsi="Cambria"/>
          <w:sz w:val="24"/>
          <w:szCs w:val="24"/>
        </w:rPr>
        <w:t xml:space="preserve"> 2019 SCC 5 at [67], on appeal from the Court of Appeal of the Province of Alberta:</w:t>
      </w:r>
    </w:p>
    <w:p w14:paraId="7DB89A91" w14:textId="57BE22A8" w:rsidR="000A09B0" w:rsidRDefault="000A09B0">
      <w:pPr>
        <w:pStyle w:val="FootnoteText"/>
        <w:rPr>
          <w:rFonts w:ascii="Cambria" w:hAnsi="Cambria"/>
          <w:sz w:val="24"/>
          <w:szCs w:val="24"/>
        </w:rPr>
      </w:pPr>
      <w:hyperlink r:id="rId4" w:history="1">
        <w:r w:rsidRPr="00DC7EFD">
          <w:rPr>
            <w:rStyle w:val="Hyperlink"/>
            <w:rFonts w:ascii="Cambria" w:hAnsi="Cambria"/>
            <w:sz w:val="24"/>
            <w:szCs w:val="24"/>
          </w:rPr>
          <w:t>https://www.canlii.org/en/ca/scc/doc/2019/2019scc5/2019scc5.html</w:t>
        </w:r>
      </w:hyperlink>
    </w:p>
    <w:p w14:paraId="091B3710" w14:textId="77777777" w:rsidR="000A09B0" w:rsidRPr="000A09B0" w:rsidRDefault="000A09B0">
      <w:pPr>
        <w:pStyle w:val="FootnoteText"/>
        <w:rPr>
          <w:rFonts w:ascii="Cambria" w:hAnsi="Cambria"/>
          <w:sz w:val="24"/>
          <w:szCs w:val="24"/>
        </w:rPr>
      </w:pPr>
    </w:p>
  </w:footnote>
  <w:footnote w:id="9">
    <w:p w14:paraId="287278EA" w14:textId="0A3B83A0" w:rsidR="00314788" w:rsidRPr="00314788" w:rsidRDefault="00314788" w:rsidP="00314788">
      <w:pPr>
        <w:pStyle w:val="FootnoteText"/>
        <w:jc w:val="both"/>
        <w:rPr>
          <w:rFonts w:ascii="Cambria" w:hAnsi="Cambria"/>
          <w:sz w:val="24"/>
          <w:szCs w:val="24"/>
        </w:rPr>
      </w:pPr>
      <w:r>
        <w:rPr>
          <w:rStyle w:val="FootnoteReference"/>
        </w:rPr>
        <w:footnoteRef/>
      </w:r>
      <w:r>
        <w:t xml:space="preserve"> </w:t>
      </w:r>
      <w:r>
        <w:rPr>
          <w:rFonts w:ascii="Cambria" w:hAnsi="Cambria"/>
          <w:sz w:val="24"/>
          <w:szCs w:val="24"/>
        </w:rPr>
        <w:t>Since those amendments, the BIA resembles the CCAA much more closely; if enacted today, there would likely be only a single statute, instead of two.</w:t>
      </w:r>
    </w:p>
  </w:footnote>
  <w:footnote w:id="10">
    <w:p w14:paraId="2279614F" w14:textId="24F37918" w:rsidR="00556862" w:rsidRPr="00556862" w:rsidRDefault="00556862" w:rsidP="00556862">
      <w:pPr>
        <w:pStyle w:val="FootnoteText"/>
        <w:jc w:val="both"/>
        <w:rPr>
          <w:rFonts w:ascii="Cambria" w:hAnsi="Cambria"/>
          <w:sz w:val="24"/>
          <w:szCs w:val="24"/>
        </w:rPr>
      </w:pPr>
      <w:r>
        <w:rPr>
          <w:rStyle w:val="FootnoteReference"/>
        </w:rPr>
        <w:footnoteRef/>
      </w:r>
      <w:r>
        <w:t xml:space="preserve"> </w:t>
      </w:r>
      <w:r>
        <w:rPr>
          <w:rFonts w:ascii="Cambria" w:hAnsi="Cambria"/>
          <w:sz w:val="24"/>
          <w:szCs w:val="24"/>
        </w:rPr>
        <w:t xml:space="preserve">Section 126(e) of the </w:t>
      </w:r>
      <w:r w:rsidR="001242E3">
        <w:rPr>
          <w:rFonts w:ascii="Cambria" w:hAnsi="Cambria"/>
          <w:sz w:val="24"/>
          <w:szCs w:val="24"/>
        </w:rPr>
        <w:t>Insolvency Act</w:t>
      </w:r>
      <w:r>
        <w:rPr>
          <w:rFonts w:ascii="Cambria" w:hAnsi="Cambria"/>
          <w:sz w:val="24"/>
          <w:szCs w:val="24"/>
        </w:rPr>
        <w:t xml:space="preserve"> sets out the requirements of a statement of affairs: (i) particulars of assets and liabilities, (ii) names and addresses of the creditors, (iii) details of securities held by the respective creditors; (iv) the dates when such securities granted, (iv) any other information reasonably required by the trustee.</w:t>
      </w:r>
    </w:p>
  </w:footnote>
  <w:footnote w:id="11">
    <w:p w14:paraId="358FA1B5" w14:textId="2AA6AD9D" w:rsidR="00E26E52" w:rsidRPr="00E26E52" w:rsidRDefault="00E26E52">
      <w:pPr>
        <w:pStyle w:val="FootnoteText"/>
        <w:rPr>
          <w:rFonts w:ascii="Cambria" w:hAnsi="Cambria"/>
          <w:i/>
          <w:iCs/>
          <w:sz w:val="24"/>
          <w:szCs w:val="24"/>
        </w:rPr>
      </w:pPr>
      <w:r>
        <w:rPr>
          <w:rStyle w:val="FootnoteReference"/>
        </w:rPr>
        <w:footnoteRef/>
      </w:r>
      <w:r>
        <w:t xml:space="preserve"> </w:t>
      </w:r>
      <w:r>
        <w:rPr>
          <w:rFonts w:ascii="Cambria" w:hAnsi="Cambria"/>
          <w:sz w:val="24"/>
          <w:szCs w:val="24"/>
        </w:rPr>
        <w:t xml:space="preserve">Section 18(1)(b) </w:t>
      </w:r>
      <w:r>
        <w:rPr>
          <w:rFonts w:ascii="Cambria" w:hAnsi="Cambria"/>
          <w:i/>
          <w:iCs/>
          <w:sz w:val="24"/>
          <w:szCs w:val="24"/>
        </w:rPr>
        <w:t>“(A proposal under this Part may be made to….(b) secured creditors in respect of any class of secured claim)”</w:t>
      </w:r>
    </w:p>
  </w:footnote>
  <w:footnote w:id="12">
    <w:p w14:paraId="144BF604" w14:textId="02217D58" w:rsidR="001242E3" w:rsidRPr="001242E3" w:rsidRDefault="001242E3">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In this context, a Governor General appointee referred to as “the Government Trustee” (s.227 of the </w:t>
      </w:r>
      <w:r w:rsidRPr="00B23B14">
        <w:rPr>
          <w:rFonts w:ascii="Cambria" w:hAnsi="Cambria"/>
          <w:sz w:val="24"/>
          <w:szCs w:val="24"/>
          <w:u w:val="single"/>
        </w:rPr>
        <w:t>Insolvency Act</w:t>
      </w:r>
      <w:r>
        <w:rPr>
          <w:rFonts w:ascii="Cambria" w:hAnsi="Cambria"/>
          <w:sz w:val="24"/>
          <w:szCs w:val="24"/>
        </w:rPr>
        <w:t>).</w:t>
      </w:r>
    </w:p>
  </w:footnote>
  <w:footnote w:id="13">
    <w:p w14:paraId="44351B0F" w14:textId="696DD146" w:rsidR="00E26E52" w:rsidRPr="00E26E52" w:rsidRDefault="00E26E52">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Section 28 of the </w:t>
      </w:r>
      <w:r w:rsidR="001242E3" w:rsidRPr="00B23B14">
        <w:rPr>
          <w:rFonts w:ascii="Cambria" w:hAnsi="Cambria"/>
          <w:sz w:val="24"/>
          <w:szCs w:val="24"/>
          <w:u w:val="single"/>
        </w:rPr>
        <w:t>Insolvency Ac</w:t>
      </w:r>
      <w:r w:rsidR="001242E3">
        <w:rPr>
          <w:rFonts w:ascii="Cambria" w:hAnsi="Cambria"/>
          <w:sz w:val="24"/>
          <w:szCs w:val="24"/>
        </w:rPr>
        <w:t>t</w:t>
      </w:r>
      <w:r>
        <w:rPr>
          <w:rFonts w:ascii="Cambria" w:hAnsi="Cambria"/>
          <w:sz w:val="24"/>
          <w:szCs w:val="24"/>
        </w:rPr>
        <w:t xml:space="preserve">. </w:t>
      </w:r>
    </w:p>
  </w:footnote>
  <w:footnote w:id="14">
    <w:p w14:paraId="64277762" w14:textId="04AF71B7" w:rsidR="00462DBB" w:rsidRPr="00462DBB" w:rsidRDefault="00462DBB" w:rsidP="00462DBB">
      <w:pPr>
        <w:pStyle w:val="FootnoteText"/>
        <w:jc w:val="both"/>
        <w:rPr>
          <w:rFonts w:ascii="Cambria" w:hAnsi="Cambria"/>
          <w:i/>
          <w:iCs/>
          <w:sz w:val="24"/>
          <w:szCs w:val="24"/>
        </w:rPr>
      </w:pPr>
      <w:r>
        <w:rPr>
          <w:rStyle w:val="FootnoteReference"/>
        </w:rPr>
        <w:footnoteRef/>
      </w:r>
      <w:r>
        <w:t xml:space="preserve"> </w:t>
      </w:r>
      <w:r>
        <w:rPr>
          <w:rFonts w:ascii="Cambria" w:hAnsi="Cambria"/>
          <w:sz w:val="24"/>
          <w:szCs w:val="24"/>
        </w:rPr>
        <w:t xml:space="preserve">That is, the Supervisor of Insolvency: s.222 of the Insolvency Act: </w:t>
      </w:r>
      <w:r>
        <w:rPr>
          <w:rFonts w:ascii="Cambria" w:hAnsi="Cambria"/>
          <w:i/>
          <w:iCs/>
          <w:sz w:val="24"/>
          <w:szCs w:val="24"/>
        </w:rPr>
        <w:t>“222. For the purposes of the Act, there shall be a Supervisor of Insolvency, who shall be a public officer designated by the Minister as such”.</w:t>
      </w:r>
    </w:p>
  </w:footnote>
  <w:footnote w:id="15">
    <w:p w14:paraId="0E4091C7" w14:textId="3A0601EA" w:rsidR="00325CEE" w:rsidRPr="001242E3" w:rsidRDefault="00325CEE" w:rsidP="00325CEE">
      <w:pPr>
        <w:pStyle w:val="FootnoteText"/>
        <w:jc w:val="both"/>
        <w:rPr>
          <w:rFonts w:ascii="Cambria" w:hAnsi="Cambria"/>
          <w:i/>
          <w:iCs/>
          <w:sz w:val="24"/>
          <w:szCs w:val="24"/>
          <w:u w:val="single"/>
        </w:rPr>
      </w:pPr>
      <w:r>
        <w:rPr>
          <w:rStyle w:val="FootnoteReference"/>
        </w:rPr>
        <w:footnoteRef/>
      </w:r>
      <w:r>
        <w:t xml:space="preserve"> </w:t>
      </w:r>
      <w:r>
        <w:rPr>
          <w:rFonts w:ascii="Cambria" w:hAnsi="Cambria"/>
          <w:sz w:val="24"/>
          <w:szCs w:val="24"/>
        </w:rPr>
        <w:t xml:space="preserve">Section 895(1)(a) </w:t>
      </w:r>
      <w:r w:rsidRPr="001242E3">
        <w:rPr>
          <w:rFonts w:ascii="Cambria" w:hAnsi="Cambria"/>
          <w:i/>
          <w:iCs/>
          <w:sz w:val="24"/>
          <w:szCs w:val="24"/>
        </w:rPr>
        <w:t>“….where a compromise or arrangement is proposed between a company and – its creditors or any class of them”</w:t>
      </w:r>
      <w:r>
        <w:rPr>
          <w:rFonts w:ascii="Cambria" w:hAnsi="Cambria"/>
          <w:sz w:val="24"/>
          <w:szCs w:val="24"/>
        </w:rPr>
        <w:t xml:space="preserve"> and s.899(3) </w:t>
      </w:r>
      <w:r w:rsidRPr="001242E3">
        <w:rPr>
          <w:rFonts w:ascii="Cambria" w:hAnsi="Cambria"/>
          <w:i/>
          <w:iCs/>
          <w:sz w:val="24"/>
          <w:szCs w:val="24"/>
        </w:rPr>
        <w:t>“A compromise or arrangement sanctioned by the court is binding on – (a) all creditors or the class of creditors…(as the case may be)…</w:t>
      </w:r>
      <w:r w:rsidR="001242E3">
        <w:rPr>
          <w:rFonts w:ascii="Cambria" w:hAnsi="Cambria"/>
          <w:i/>
          <w:iCs/>
          <w:sz w:val="24"/>
          <w:szCs w:val="24"/>
        </w:rPr>
        <w:t>”</w:t>
      </w:r>
    </w:p>
  </w:footnote>
  <w:footnote w:id="16">
    <w:p w14:paraId="02CD3744" w14:textId="43531827" w:rsidR="003D6009" w:rsidRPr="003D6009" w:rsidRDefault="003D6009" w:rsidP="00CB3B88">
      <w:pPr>
        <w:pStyle w:val="FootnoteText"/>
        <w:jc w:val="both"/>
        <w:rPr>
          <w:rFonts w:ascii="Cambria" w:hAnsi="Cambria"/>
          <w:sz w:val="24"/>
          <w:szCs w:val="24"/>
        </w:rPr>
      </w:pPr>
      <w:r>
        <w:rPr>
          <w:rStyle w:val="FootnoteReference"/>
        </w:rPr>
        <w:footnoteRef/>
      </w:r>
      <w:r>
        <w:t xml:space="preserve"> </w:t>
      </w:r>
      <w:r>
        <w:rPr>
          <w:rFonts w:ascii="Cambria" w:hAnsi="Cambria"/>
          <w:sz w:val="24"/>
          <w:szCs w:val="24"/>
        </w:rPr>
        <w:t>Whether best described as a fascinating “mélange” or the road to madness, discerning sources of law in the Caribbean is an ever-lasting research project of-and-in-itself: the Caribbean Court of Justice</w:t>
      </w:r>
      <w:r w:rsidR="00CB3B88">
        <w:rPr>
          <w:rFonts w:ascii="Cambria" w:hAnsi="Cambria"/>
          <w:sz w:val="24"/>
          <w:szCs w:val="24"/>
        </w:rPr>
        <w:t>, i</w:t>
      </w:r>
      <w:r>
        <w:rPr>
          <w:rFonts w:ascii="Cambria" w:hAnsi="Cambria"/>
          <w:sz w:val="24"/>
          <w:szCs w:val="24"/>
        </w:rPr>
        <w:t xml:space="preserve">n interpreting the Guyana </w:t>
      </w:r>
      <w:r>
        <w:rPr>
          <w:rFonts w:ascii="Cambria" w:hAnsi="Cambria"/>
          <w:sz w:val="24"/>
          <w:szCs w:val="24"/>
          <w:u w:val="single"/>
        </w:rPr>
        <w:t>Companies Act</w:t>
      </w:r>
      <w:r>
        <w:rPr>
          <w:rFonts w:ascii="Cambria" w:hAnsi="Cambria"/>
          <w:sz w:val="24"/>
          <w:szCs w:val="24"/>
        </w:rPr>
        <w:t xml:space="preserve"> in </w:t>
      </w:r>
      <w:r>
        <w:rPr>
          <w:rFonts w:ascii="Cambria" w:hAnsi="Cambria"/>
          <w:sz w:val="24"/>
          <w:szCs w:val="24"/>
          <w:u w:val="single"/>
        </w:rPr>
        <w:t xml:space="preserve">Nabi and others </w:t>
      </w:r>
      <w:r>
        <w:rPr>
          <w:rFonts w:ascii="Cambria" w:hAnsi="Cambria"/>
          <w:sz w:val="24"/>
          <w:szCs w:val="24"/>
        </w:rPr>
        <w:t xml:space="preserve">were looking at </w:t>
      </w:r>
      <w:r>
        <w:rPr>
          <w:rFonts w:ascii="Cambria" w:hAnsi="Cambria"/>
          <w:sz w:val="24"/>
          <w:szCs w:val="24"/>
          <w:u w:val="single"/>
        </w:rPr>
        <w:t xml:space="preserve">Galantis v. Alexiou </w:t>
      </w:r>
      <w:r>
        <w:rPr>
          <w:rFonts w:ascii="Cambria" w:hAnsi="Cambria"/>
          <w:sz w:val="24"/>
          <w:szCs w:val="24"/>
        </w:rPr>
        <w:t xml:space="preserve">[2019] UKPC 15, [2019] 3 LRC 545, [2019] 1 WLR 3636 – where s.280 of the Bahamas </w:t>
      </w:r>
      <w:r w:rsidRPr="003D6009">
        <w:rPr>
          <w:rFonts w:ascii="Cambria" w:hAnsi="Cambria"/>
          <w:sz w:val="24"/>
          <w:szCs w:val="24"/>
          <w:u w:val="single"/>
        </w:rPr>
        <w:t>Companies Act 1992</w:t>
      </w:r>
      <w:r>
        <w:rPr>
          <w:rFonts w:ascii="Cambria" w:hAnsi="Cambria"/>
          <w:sz w:val="24"/>
          <w:szCs w:val="24"/>
        </w:rPr>
        <w:t xml:space="preserve"> which was based entirely on the Canad</w:t>
      </w:r>
      <w:r w:rsidR="00CB3B88">
        <w:rPr>
          <w:rFonts w:ascii="Cambria" w:hAnsi="Cambria"/>
          <w:sz w:val="24"/>
          <w:szCs w:val="24"/>
        </w:rPr>
        <w:t xml:space="preserve">a Business Companies Act. </w:t>
      </w:r>
      <w:r>
        <w:rPr>
          <w:rFonts w:ascii="Cambria" w:hAnsi="Cambria"/>
          <w:sz w:val="24"/>
          <w:szCs w:val="24"/>
        </w:rPr>
        <w:t xml:space="preserve"> </w:t>
      </w:r>
    </w:p>
  </w:footnote>
  <w:footnote w:id="17">
    <w:p w14:paraId="42751E6F" w14:textId="47511628" w:rsidR="00CB3B88" w:rsidRPr="00CB3B88" w:rsidRDefault="00CB3B88">
      <w:pPr>
        <w:pStyle w:val="FootnoteText"/>
        <w:rPr>
          <w:rFonts w:ascii="Cambria" w:hAnsi="Cambria"/>
          <w:sz w:val="24"/>
          <w:szCs w:val="24"/>
        </w:rPr>
      </w:pPr>
      <w:r>
        <w:rPr>
          <w:rStyle w:val="FootnoteReference"/>
        </w:rPr>
        <w:footnoteRef/>
      </w:r>
      <w:r>
        <w:t xml:space="preserve"> </w:t>
      </w:r>
      <w:r>
        <w:rPr>
          <w:rFonts w:ascii="Cambria" w:hAnsi="Cambria"/>
          <w:sz w:val="24"/>
          <w:szCs w:val="24"/>
        </w:rPr>
        <w:t>Later consolidated in the English Companies Acts of 1862 and 1908.</w:t>
      </w:r>
    </w:p>
  </w:footnote>
  <w:footnote w:id="18">
    <w:p w14:paraId="6CE7AE17" w14:textId="0B4A0C13" w:rsidR="001F3EA1" w:rsidRPr="001F3EA1" w:rsidRDefault="001F3EA1">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This has been seen in at least The Bahamas (Companies Act, Ch.308; s.199(2)); British Virgin Islands: for </w:t>
      </w:r>
      <w:r w:rsidR="00DD72A3">
        <w:rPr>
          <w:rFonts w:ascii="Cambria" w:hAnsi="Cambria"/>
          <w:sz w:val="24"/>
          <w:szCs w:val="24"/>
        </w:rPr>
        <w:t>example,</w:t>
      </w:r>
      <w:r>
        <w:rPr>
          <w:rFonts w:ascii="Cambria" w:hAnsi="Cambria"/>
          <w:sz w:val="24"/>
          <w:szCs w:val="24"/>
        </w:rPr>
        <w:t xml:space="preserve"> in </w:t>
      </w:r>
      <w:r>
        <w:rPr>
          <w:rFonts w:ascii="Cambria" w:hAnsi="Cambria"/>
          <w:sz w:val="24"/>
          <w:szCs w:val="24"/>
          <w:u w:val="single"/>
        </w:rPr>
        <w:t>Re: Constellation Overseas Ltd</w:t>
      </w:r>
      <w:r>
        <w:rPr>
          <w:rFonts w:ascii="Cambria" w:hAnsi="Cambria"/>
          <w:sz w:val="24"/>
          <w:szCs w:val="24"/>
        </w:rPr>
        <w:t xml:space="preserve"> BVIHC(COM) 2018/0206 of 5.2.2019; Cayman Islands (Companies Act, 2022 revision, section 104(4); Bermuda (Companies Act 1981, section 170 </w:t>
      </w:r>
    </w:p>
  </w:footnote>
  <w:footnote w:id="19">
    <w:p w14:paraId="36711FBF" w14:textId="2791529E" w:rsidR="004560BD" w:rsidRPr="004560BD" w:rsidRDefault="004560BD">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As of 2019, from the World Bank: </w:t>
      </w:r>
      <w:hyperlink r:id="rId5" w:history="1">
        <w:r w:rsidR="000003EF" w:rsidRPr="00DC7EFD">
          <w:rPr>
            <w:rStyle w:val="Hyperlink"/>
            <w:rFonts w:ascii="Cambria" w:hAnsi="Cambria"/>
            <w:sz w:val="24"/>
            <w:szCs w:val="24"/>
          </w:rPr>
          <w:t>https://archive.doingbusiness.org/en/data/exploretopics/resolving-insolvency</w:t>
        </w:r>
      </w:hyperlink>
      <w:r w:rsidR="000003EF">
        <w:rPr>
          <w:rFonts w:ascii="Cambria" w:hAnsi="Cambria"/>
          <w:sz w:val="24"/>
          <w:szCs w:val="24"/>
        </w:rPr>
        <w:t xml:space="preserve"> </w:t>
      </w:r>
    </w:p>
  </w:footnote>
  <w:footnote w:id="20">
    <w:p w14:paraId="22885D7B" w14:textId="7927059A" w:rsidR="000003EF" w:rsidRPr="000003EF" w:rsidRDefault="000003EF">
      <w:pPr>
        <w:pStyle w:val="FootnoteText"/>
        <w:rPr>
          <w:rFonts w:ascii="Cambria" w:hAnsi="Cambria"/>
          <w:sz w:val="24"/>
          <w:szCs w:val="24"/>
        </w:rPr>
      </w:pPr>
      <w:r>
        <w:rPr>
          <w:rStyle w:val="FootnoteReference"/>
        </w:rPr>
        <w:footnoteRef/>
      </w:r>
      <w:r w:rsidRPr="000003EF">
        <w:t xml:space="preserve"> </w:t>
      </w:r>
      <w:r w:rsidRPr="000003EF">
        <w:rPr>
          <w:rFonts w:ascii="Cambria" w:hAnsi="Cambria"/>
          <w:sz w:val="24"/>
          <w:szCs w:val="24"/>
        </w:rPr>
        <w:t xml:space="preserve">Guyana’s economy </w:t>
      </w:r>
      <w:r>
        <w:rPr>
          <w:rFonts w:ascii="Cambria" w:hAnsi="Cambria"/>
          <w:sz w:val="24"/>
          <w:szCs w:val="24"/>
        </w:rPr>
        <w:t>grew by 19.9% in 2021 and was projected to grow by as much as 47.9% in 2022</w:t>
      </w:r>
      <w:r w:rsidR="00B23B14">
        <w:rPr>
          <w:rFonts w:ascii="Cambria" w:hAnsi="Cambria"/>
          <w:sz w:val="24"/>
          <w:szCs w:val="24"/>
        </w:rPr>
        <w:t xml:space="preserve"> (making it one of the fastest growing economies in the world)</w:t>
      </w:r>
      <w:r>
        <w:rPr>
          <w:rFonts w:ascii="Cambria" w:hAnsi="Cambria"/>
          <w:sz w:val="24"/>
          <w:szCs w:val="24"/>
        </w:rPr>
        <w:t xml:space="preserve">: </w:t>
      </w:r>
      <w:hyperlink r:id="rId6" w:history="1">
        <w:r w:rsidRPr="000003EF">
          <w:rPr>
            <w:rStyle w:val="Hyperlink"/>
            <w:rFonts w:ascii="Cambria" w:hAnsi="Cambria"/>
            <w:sz w:val="24"/>
            <w:szCs w:val="24"/>
          </w:rPr>
          <w:t>https://www.state.gov/reports/2022-investment-climate-statements/guyana/</w:t>
        </w:r>
      </w:hyperlink>
    </w:p>
  </w:footnote>
  <w:footnote w:id="21">
    <w:p w14:paraId="2698943C" w14:textId="690ED75C" w:rsidR="00980051" w:rsidRPr="00494573" w:rsidRDefault="00980051" w:rsidP="00980051">
      <w:pPr>
        <w:pStyle w:val="FootnoteText"/>
        <w:jc w:val="both"/>
        <w:rPr>
          <w:rFonts w:ascii="Cambria" w:hAnsi="Cambria"/>
          <w:sz w:val="24"/>
          <w:szCs w:val="24"/>
        </w:rPr>
      </w:pPr>
      <w:r>
        <w:rPr>
          <w:rStyle w:val="FootnoteReference"/>
        </w:rPr>
        <w:footnoteRef/>
      </w:r>
      <w:r>
        <w:rPr>
          <w:rFonts w:ascii="Cambria" w:hAnsi="Cambria"/>
          <w:sz w:val="24"/>
          <w:szCs w:val="24"/>
        </w:rPr>
        <w:t>See, for example, the research project ending July 2023 run by the British Institute of International and Comparative Law (funded under the 11</w:t>
      </w:r>
      <w:r w:rsidRPr="00494573">
        <w:rPr>
          <w:rFonts w:ascii="Cambria" w:hAnsi="Cambria"/>
          <w:sz w:val="24"/>
          <w:szCs w:val="24"/>
          <w:vertAlign w:val="superscript"/>
        </w:rPr>
        <w:t>th</w:t>
      </w:r>
      <w:r>
        <w:rPr>
          <w:rFonts w:ascii="Cambria" w:hAnsi="Cambria"/>
          <w:sz w:val="24"/>
          <w:szCs w:val="24"/>
        </w:rPr>
        <w:t xml:space="preserve"> European Development Fund (European Commission), relating to Strengthening for CARICOM Integration and Cooperation Process. </w:t>
      </w:r>
      <w:hyperlink r:id="rId7" w:history="1">
        <w:r w:rsidRPr="00DC7EFD">
          <w:rPr>
            <w:rStyle w:val="Hyperlink"/>
            <w:rFonts w:ascii="Cambria" w:hAnsi="Cambria"/>
            <w:sz w:val="24"/>
            <w:szCs w:val="24"/>
          </w:rPr>
          <w:t>https://www.biicl.org/projects/caricom-project-to-harmonize-company-and-insolvency-laws?cookiesset=1&amp;ts=1688756327</w:t>
        </w:r>
      </w:hyperlink>
    </w:p>
  </w:footnote>
  <w:footnote w:id="22">
    <w:p w14:paraId="7A842A57" w14:textId="1522B312" w:rsidR="00A74BA8" w:rsidRPr="00A74BA8" w:rsidRDefault="00A74BA8">
      <w:pPr>
        <w:pStyle w:val="FootnoteText"/>
        <w:rPr>
          <w:rFonts w:ascii="Cambria" w:hAnsi="Cambria"/>
          <w:sz w:val="24"/>
          <w:szCs w:val="24"/>
        </w:rPr>
      </w:pPr>
      <w:r>
        <w:rPr>
          <w:rStyle w:val="FootnoteReference"/>
        </w:rPr>
        <w:footnoteRef/>
      </w:r>
      <w:r>
        <w:t xml:space="preserve"> </w:t>
      </w:r>
      <w:hyperlink r:id="rId8" w:history="1">
        <w:r w:rsidRPr="00A74BA8">
          <w:rPr>
            <w:rStyle w:val="Hyperlink"/>
            <w:rFonts w:ascii="Cambria" w:hAnsi="Cambria"/>
            <w:sz w:val="24"/>
            <w:szCs w:val="24"/>
          </w:rPr>
          <w:t>https://jamaica-gleaner.com/article/news/20230208/prosecutors-cops-reviewing-ssl-fraud-evidence</w:t>
        </w:r>
      </w:hyperlink>
    </w:p>
    <w:p w14:paraId="6C4E1FFE" w14:textId="77777777" w:rsidR="00A74BA8" w:rsidRPr="00A74BA8" w:rsidRDefault="00A74BA8">
      <w:pPr>
        <w:pStyle w:val="FootnoteText"/>
        <w:rPr>
          <w:rFonts w:ascii="Cambria" w:hAnsi="Cambria"/>
          <w:sz w:val="24"/>
          <w:szCs w:val="24"/>
        </w:rPr>
      </w:pPr>
    </w:p>
  </w:footnote>
  <w:footnote w:id="23">
    <w:p w14:paraId="26BEDE97" w14:textId="5CCE8090" w:rsidR="002C7D39" w:rsidRPr="002C7D39" w:rsidRDefault="002C7D39">
      <w:pPr>
        <w:pStyle w:val="FootnoteText"/>
        <w:rPr>
          <w:rFonts w:ascii="Cambria" w:hAnsi="Cambria"/>
          <w:sz w:val="24"/>
          <w:szCs w:val="24"/>
        </w:rPr>
      </w:pPr>
      <w:r>
        <w:rPr>
          <w:rStyle w:val="FootnoteReference"/>
        </w:rPr>
        <w:footnoteRef/>
      </w:r>
      <w:r>
        <w:t xml:space="preserve"> </w:t>
      </w:r>
      <w:r w:rsidRPr="002C7D39">
        <w:rPr>
          <w:rFonts w:ascii="Cambria" w:hAnsi="Cambria"/>
          <w:sz w:val="24"/>
          <w:szCs w:val="24"/>
          <w:u w:val="single"/>
        </w:rPr>
        <w:t>Financial Services Commission v Stocks and Shares Limited and others</w:t>
      </w:r>
      <w:r>
        <w:rPr>
          <w:rFonts w:ascii="Cambria" w:hAnsi="Cambria"/>
          <w:sz w:val="24"/>
          <w:szCs w:val="24"/>
        </w:rPr>
        <w:t xml:space="preserve">, Supreme Court of Jamaica, Commission Division, Claim SU 2023 / CD00034. </w:t>
      </w:r>
    </w:p>
  </w:footnote>
  <w:footnote w:id="24">
    <w:p w14:paraId="6C6EB870" w14:textId="0411B628" w:rsidR="0047677A" w:rsidRPr="0047677A" w:rsidRDefault="0047677A">
      <w:pPr>
        <w:pStyle w:val="FootnoteText"/>
        <w:rPr>
          <w:rFonts w:ascii="Cambria" w:hAnsi="Cambria"/>
          <w:sz w:val="24"/>
          <w:szCs w:val="24"/>
        </w:rPr>
      </w:pPr>
      <w:r>
        <w:rPr>
          <w:rStyle w:val="FootnoteReference"/>
        </w:rPr>
        <w:footnoteRef/>
      </w:r>
      <w:r>
        <w:t xml:space="preserve"> </w:t>
      </w:r>
      <w:hyperlink r:id="rId9" w:history="1">
        <w:r w:rsidRPr="00DC7EFD">
          <w:rPr>
            <w:rStyle w:val="Hyperlink"/>
            <w:rFonts w:ascii="Cambria" w:hAnsi="Cambria"/>
            <w:sz w:val="24"/>
            <w:szCs w:val="24"/>
          </w:rPr>
          <w:t>https://www.fscjamaica.org/public-statement-by-the-financial-services-commission-onstocks-securities-limited/</w:t>
        </w:r>
      </w:hyperlink>
      <w:r>
        <w:rPr>
          <w:rFonts w:ascii="Cambria" w:hAnsi="Cambria"/>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CC10" w14:textId="77777777" w:rsidR="007B0F8D" w:rsidRDefault="007B0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0FB1" w14:textId="77777777" w:rsidR="007B0F8D" w:rsidRDefault="007B0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7B2D" w14:textId="77777777" w:rsidR="007B0F8D" w:rsidRDefault="007B0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866"/>
    <w:multiLevelType w:val="hybridMultilevel"/>
    <w:tmpl w:val="238CF722"/>
    <w:lvl w:ilvl="0" w:tplc="DDD0336C">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12352DD2"/>
    <w:multiLevelType w:val="hybridMultilevel"/>
    <w:tmpl w:val="38A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2040D"/>
    <w:multiLevelType w:val="hybridMultilevel"/>
    <w:tmpl w:val="50C87256"/>
    <w:lvl w:ilvl="0" w:tplc="BC66113A">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3E25"/>
    <w:multiLevelType w:val="hybridMultilevel"/>
    <w:tmpl w:val="A85C63B4"/>
    <w:lvl w:ilvl="0" w:tplc="05AE39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7105FA"/>
    <w:multiLevelType w:val="hybridMultilevel"/>
    <w:tmpl w:val="F24E5698"/>
    <w:lvl w:ilvl="0" w:tplc="EA7412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FD1DC3"/>
    <w:multiLevelType w:val="hybridMultilevel"/>
    <w:tmpl w:val="2A1E3016"/>
    <w:lvl w:ilvl="0" w:tplc="2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D01DE"/>
    <w:multiLevelType w:val="hybridMultilevel"/>
    <w:tmpl w:val="83A6DB5C"/>
    <w:lvl w:ilvl="0" w:tplc="F76C9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D11C9"/>
    <w:multiLevelType w:val="hybridMultilevel"/>
    <w:tmpl w:val="7CD21644"/>
    <w:lvl w:ilvl="0" w:tplc="74C6733E">
      <w:start w:val="1"/>
      <w:numFmt w:val="decimal"/>
      <w:lvlText w:val="%1."/>
      <w:lvlJc w:val="left"/>
      <w:pPr>
        <w:ind w:left="720" w:hanging="360"/>
      </w:pPr>
      <w:rPr>
        <w:rFonts w:hint="default"/>
        <w:b w:val="0"/>
        <w:bCs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6F0A26E8"/>
    <w:multiLevelType w:val="hybridMultilevel"/>
    <w:tmpl w:val="5400EC94"/>
    <w:lvl w:ilvl="0" w:tplc="7DEAF608">
      <w:start w:val="10"/>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16cid:durableId="1940869622">
    <w:abstractNumId w:val="5"/>
  </w:num>
  <w:num w:numId="2" w16cid:durableId="1074863340">
    <w:abstractNumId w:val="0"/>
  </w:num>
  <w:num w:numId="3" w16cid:durableId="1758866946">
    <w:abstractNumId w:val="8"/>
  </w:num>
  <w:num w:numId="4" w16cid:durableId="2058771291">
    <w:abstractNumId w:val="1"/>
  </w:num>
  <w:num w:numId="5" w16cid:durableId="944966981">
    <w:abstractNumId w:val="7"/>
  </w:num>
  <w:num w:numId="6" w16cid:durableId="1900821712">
    <w:abstractNumId w:val="6"/>
  </w:num>
  <w:num w:numId="7" w16cid:durableId="1195578989">
    <w:abstractNumId w:val="4"/>
  </w:num>
  <w:num w:numId="8" w16cid:durableId="2105613185">
    <w:abstractNumId w:val="2"/>
  </w:num>
  <w:num w:numId="9" w16cid:durableId="1127504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68"/>
    <w:rsid w:val="000003EF"/>
    <w:rsid w:val="0000665F"/>
    <w:rsid w:val="00006820"/>
    <w:rsid w:val="00012943"/>
    <w:rsid w:val="000141B4"/>
    <w:rsid w:val="00014494"/>
    <w:rsid w:val="00060024"/>
    <w:rsid w:val="00065EDB"/>
    <w:rsid w:val="000708AC"/>
    <w:rsid w:val="0009121D"/>
    <w:rsid w:val="000A09B0"/>
    <w:rsid w:val="000A7793"/>
    <w:rsid w:val="000B0740"/>
    <w:rsid w:val="000D3B69"/>
    <w:rsid w:val="000E3343"/>
    <w:rsid w:val="000F0967"/>
    <w:rsid w:val="000F6377"/>
    <w:rsid w:val="00123B97"/>
    <w:rsid w:val="001242E3"/>
    <w:rsid w:val="001426F8"/>
    <w:rsid w:val="00150E45"/>
    <w:rsid w:val="001C5688"/>
    <w:rsid w:val="001C7B09"/>
    <w:rsid w:val="001D0599"/>
    <w:rsid w:val="001D14A6"/>
    <w:rsid w:val="001F1A0F"/>
    <w:rsid w:val="001F3EA1"/>
    <w:rsid w:val="001F41BF"/>
    <w:rsid w:val="0021650A"/>
    <w:rsid w:val="002351F9"/>
    <w:rsid w:val="0028625F"/>
    <w:rsid w:val="002A03D8"/>
    <w:rsid w:val="002A08AF"/>
    <w:rsid w:val="002B2BB7"/>
    <w:rsid w:val="002C7D39"/>
    <w:rsid w:val="002D0306"/>
    <w:rsid w:val="002D7BB0"/>
    <w:rsid w:val="002E12C4"/>
    <w:rsid w:val="002E164D"/>
    <w:rsid w:val="002F7618"/>
    <w:rsid w:val="00314788"/>
    <w:rsid w:val="00325CEE"/>
    <w:rsid w:val="00333C6D"/>
    <w:rsid w:val="00337CEE"/>
    <w:rsid w:val="00345A06"/>
    <w:rsid w:val="003603E0"/>
    <w:rsid w:val="00372AAE"/>
    <w:rsid w:val="00373C75"/>
    <w:rsid w:val="00380B94"/>
    <w:rsid w:val="00393067"/>
    <w:rsid w:val="00397A2A"/>
    <w:rsid w:val="00397BDB"/>
    <w:rsid w:val="003A372C"/>
    <w:rsid w:val="003B6A41"/>
    <w:rsid w:val="003D6009"/>
    <w:rsid w:val="003F7EFD"/>
    <w:rsid w:val="00412456"/>
    <w:rsid w:val="00412559"/>
    <w:rsid w:val="0041617C"/>
    <w:rsid w:val="00417A6A"/>
    <w:rsid w:val="004341C9"/>
    <w:rsid w:val="00436A25"/>
    <w:rsid w:val="00450417"/>
    <w:rsid w:val="004560BD"/>
    <w:rsid w:val="00462DBB"/>
    <w:rsid w:val="00466F5E"/>
    <w:rsid w:val="004743EF"/>
    <w:rsid w:val="0047677A"/>
    <w:rsid w:val="004772CD"/>
    <w:rsid w:val="00491420"/>
    <w:rsid w:val="00493905"/>
    <w:rsid w:val="00494573"/>
    <w:rsid w:val="004B64D3"/>
    <w:rsid w:val="004C3455"/>
    <w:rsid w:val="004E0005"/>
    <w:rsid w:val="00511246"/>
    <w:rsid w:val="00514E06"/>
    <w:rsid w:val="00517414"/>
    <w:rsid w:val="00531AD7"/>
    <w:rsid w:val="005441E4"/>
    <w:rsid w:val="0055201E"/>
    <w:rsid w:val="005541BE"/>
    <w:rsid w:val="00556862"/>
    <w:rsid w:val="00562CEE"/>
    <w:rsid w:val="00584263"/>
    <w:rsid w:val="00584EAB"/>
    <w:rsid w:val="005877A5"/>
    <w:rsid w:val="005A104D"/>
    <w:rsid w:val="005C7F10"/>
    <w:rsid w:val="005D4F90"/>
    <w:rsid w:val="005D7B6C"/>
    <w:rsid w:val="005F0910"/>
    <w:rsid w:val="0060123F"/>
    <w:rsid w:val="00613648"/>
    <w:rsid w:val="006353C2"/>
    <w:rsid w:val="00640304"/>
    <w:rsid w:val="00651732"/>
    <w:rsid w:val="00657749"/>
    <w:rsid w:val="00673DAB"/>
    <w:rsid w:val="006A564B"/>
    <w:rsid w:val="006A7BBF"/>
    <w:rsid w:val="006B1347"/>
    <w:rsid w:val="006B3C9F"/>
    <w:rsid w:val="006E05B8"/>
    <w:rsid w:val="0070752B"/>
    <w:rsid w:val="00724872"/>
    <w:rsid w:val="007378B8"/>
    <w:rsid w:val="007A3EF0"/>
    <w:rsid w:val="007A6A05"/>
    <w:rsid w:val="007B0F8D"/>
    <w:rsid w:val="007B18F4"/>
    <w:rsid w:val="007E3542"/>
    <w:rsid w:val="007E5609"/>
    <w:rsid w:val="00816D0D"/>
    <w:rsid w:val="00821A13"/>
    <w:rsid w:val="00821BC8"/>
    <w:rsid w:val="008266CE"/>
    <w:rsid w:val="00831774"/>
    <w:rsid w:val="00832C82"/>
    <w:rsid w:val="0089726A"/>
    <w:rsid w:val="008973E2"/>
    <w:rsid w:val="008B0AD1"/>
    <w:rsid w:val="008D46BA"/>
    <w:rsid w:val="008D5108"/>
    <w:rsid w:val="008F3054"/>
    <w:rsid w:val="008F3106"/>
    <w:rsid w:val="008F57C9"/>
    <w:rsid w:val="008F6B8D"/>
    <w:rsid w:val="0094576D"/>
    <w:rsid w:val="00951BDD"/>
    <w:rsid w:val="00961584"/>
    <w:rsid w:val="00963548"/>
    <w:rsid w:val="0097561F"/>
    <w:rsid w:val="00980051"/>
    <w:rsid w:val="00996844"/>
    <w:rsid w:val="009A55CD"/>
    <w:rsid w:val="009A7246"/>
    <w:rsid w:val="009D0E3D"/>
    <w:rsid w:val="009E438A"/>
    <w:rsid w:val="00A02D69"/>
    <w:rsid w:val="00A048C8"/>
    <w:rsid w:val="00A1044C"/>
    <w:rsid w:val="00A2786D"/>
    <w:rsid w:val="00A46348"/>
    <w:rsid w:val="00A50066"/>
    <w:rsid w:val="00A63058"/>
    <w:rsid w:val="00A713E1"/>
    <w:rsid w:val="00A7221F"/>
    <w:rsid w:val="00A74BA8"/>
    <w:rsid w:val="00A77560"/>
    <w:rsid w:val="00A8638B"/>
    <w:rsid w:val="00A93D83"/>
    <w:rsid w:val="00AA3343"/>
    <w:rsid w:val="00AB0807"/>
    <w:rsid w:val="00AB6BFE"/>
    <w:rsid w:val="00AC63D7"/>
    <w:rsid w:val="00AD0AE1"/>
    <w:rsid w:val="00AD1B81"/>
    <w:rsid w:val="00AF4464"/>
    <w:rsid w:val="00B220F4"/>
    <w:rsid w:val="00B23B14"/>
    <w:rsid w:val="00B27280"/>
    <w:rsid w:val="00B37175"/>
    <w:rsid w:val="00B37E53"/>
    <w:rsid w:val="00B76197"/>
    <w:rsid w:val="00BA0C0F"/>
    <w:rsid w:val="00BA6249"/>
    <w:rsid w:val="00BB1917"/>
    <w:rsid w:val="00BB654D"/>
    <w:rsid w:val="00BD3448"/>
    <w:rsid w:val="00C125A4"/>
    <w:rsid w:val="00C13CC2"/>
    <w:rsid w:val="00C35D61"/>
    <w:rsid w:val="00C663AE"/>
    <w:rsid w:val="00C742DE"/>
    <w:rsid w:val="00C74498"/>
    <w:rsid w:val="00C818F3"/>
    <w:rsid w:val="00C96DE1"/>
    <w:rsid w:val="00CA1B62"/>
    <w:rsid w:val="00CB3B88"/>
    <w:rsid w:val="00CC343D"/>
    <w:rsid w:val="00CC76AF"/>
    <w:rsid w:val="00CE3FCA"/>
    <w:rsid w:val="00CF453A"/>
    <w:rsid w:val="00D2562F"/>
    <w:rsid w:val="00D25FF6"/>
    <w:rsid w:val="00D3425C"/>
    <w:rsid w:val="00D40BC5"/>
    <w:rsid w:val="00D5695D"/>
    <w:rsid w:val="00D843DF"/>
    <w:rsid w:val="00D91318"/>
    <w:rsid w:val="00D97F43"/>
    <w:rsid w:val="00DA367F"/>
    <w:rsid w:val="00DD29C4"/>
    <w:rsid w:val="00DD72A3"/>
    <w:rsid w:val="00DF55AD"/>
    <w:rsid w:val="00E001B1"/>
    <w:rsid w:val="00E26E52"/>
    <w:rsid w:val="00E40411"/>
    <w:rsid w:val="00E736BF"/>
    <w:rsid w:val="00E80BC2"/>
    <w:rsid w:val="00E80D94"/>
    <w:rsid w:val="00E963A0"/>
    <w:rsid w:val="00EA1B68"/>
    <w:rsid w:val="00EA1CE4"/>
    <w:rsid w:val="00EA2B14"/>
    <w:rsid w:val="00EB0B09"/>
    <w:rsid w:val="00EC190C"/>
    <w:rsid w:val="00EC5C7E"/>
    <w:rsid w:val="00ED2BEB"/>
    <w:rsid w:val="00EE73A8"/>
    <w:rsid w:val="00EF7768"/>
    <w:rsid w:val="00F06FB5"/>
    <w:rsid w:val="00F13F0F"/>
    <w:rsid w:val="00F174FC"/>
    <w:rsid w:val="00F27A47"/>
    <w:rsid w:val="00F27E7C"/>
    <w:rsid w:val="00F41974"/>
    <w:rsid w:val="00F70DD5"/>
    <w:rsid w:val="00F85564"/>
    <w:rsid w:val="00F930A5"/>
    <w:rsid w:val="00F931E0"/>
    <w:rsid w:val="00F93439"/>
    <w:rsid w:val="00F93B78"/>
    <w:rsid w:val="00FF28AB"/>
    <w:rsid w:val="00FF705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D33"/>
  <w15:chartTrackingRefBased/>
  <w15:docId w15:val="{CF923DE8-F548-4C2F-9166-D0F4E148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68"/>
    <w:pPr>
      <w:ind w:left="720"/>
      <w:contextualSpacing/>
    </w:pPr>
  </w:style>
  <w:style w:type="paragraph" w:styleId="FootnoteText">
    <w:name w:val="footnote text"/>
    <w:basedOn w:val="Normal"/>
    <w:link w:val="FootnoteTextChar"/>
    <w:uiPriority w:val="99"/>
    <w:semiHidden/>
    <w:unhideWhenUsed/>
    <w:rsid w:val="000E3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343"/>
    <w:rPr>
      <w:sz w:val="20"/>
      <w:szCs w:val="20"/>
    </w:rPr>
  </w:style>
  <w:style w:type="character" w:styleId="FootnoteReference">
    <w:name w:val="footnote reference"/>
    <w:basedOn w:val="DefaultParagraphFont"/>
    <w:uiPriority w:val="99"/>
    <w:semiHidden/>
    <w:unhideWhenUsed/>
    <w:rsid w:val="000E3343"/>
    <w:rPr>
      <w:vertAlign w:val="superscript"/>
    </w:rPr>
  </w:style>
  <w:style w:type="paragraph" w:styleId="Header">
    <w:name w:val="header"/>
    <w:basedOn w:val="Normal"/>
    <w:link w:val="HeaderChar"/>
    <w:uiPriority w:val="99"/>
    <w:unhideWhenUsed/>
    <w:rsid w:val="007B0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8D"/>
  </w:style>
  <w:style w:type="paragraph" w:styleId="Footer">
    <w:name w:val="footer"/>
    <w:basedOn w:val="Normal"/>
    <w:link w:val="FooterChar"/>
    <w:uiPriority w:val="99"/>
    <w:unhideWhenUsed/>
    <w:rsid w:val="007B0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F8D"/>
  </w:style>
  <w:style w:type="table" w:styleId="TableGrid">
    <w:name w:val="Table Grid"/>
    <w:basedOn w:val="TableNormal"/>
    <w:uiPriority w:val="39"/>
    <w:rsid w:val="0073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8B8"/>
    <w:rPr>
      <w:color w:val="0000FF"/>
      <w:u w:val="single"/>
    </w:rPr>
  </w:style>
  <w:style w:type="character" w:styleId="UnresolvedMention">
    <w:name w:val="Unresolved Mention"/>
    <w:basedOn w:val="DefaultParagraphFont"/>
    <w:uiPriority w:val="99"/>
    <w:semiHidden/>
    <w:unhideWhenUsed/>
    <w:rsid w:val="0073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stprojec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te.gov/reports/2020-investment-climate-statements/jamaica__trashed/" TargetMode="External"/><Relationship Id="rId4" Type="http://schemas.openxmlformats.org/officeDocument/2006/relationships/settings" Target="settings.xml"/><Relationship Id="rId9" Type="http://schemas.openxmlformats.org/officeDocument/2006/relationships/hyperlink" Target="https://www.state.gov/reports/2022-investment-climate-statements/guyan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jamaica-gleaner.com/article/news/20230208/prosecutors-cops-reviewing-ssl-fraud-evidence" TargetMode="External"/><Relationship Id="rId3" Type="http://schemas.openxmlformats.org/officeDocument/2006/relationships/hyperlink" Target="https://www.mola.gov.gy/chapter-08901-companies-act" TargetMode="External"/><Relationship Id="rId7" Type="http://schemas.openxmlformats.org/officeDocument/2006/relationships/hyperlink" Target="https://www.biicl.org/projects/caricom-project-to-harmonize-company-and-insolvency-laws?cookiesset=1&amp;ts=1688756327" TargetMode="External"/><Relationship Id="rId2" Type="http://schemas.openxmlformats.org/officeDocument/2006/relationships/hyperlink" Target="https://archive.doingbusiness.org/en/data/exploretopics/resolving-insolvency" TargetMode="External"/><Relationship Id="rId1" Type="http://schemas.openxmlformats.org/officeDocument/2006/relationships/hyperlink" Target="https://www.nytimes.com/live/2023/06/13/business/cpi-inflation-fed?smid=nytcore-android-share#oil-prices-are-falling-as-fuel-demand-weakens" TargetMode="External"/><Relationship Id="rId6" Type="http://schemas.openxmlformats.org/officeDocument/2006/relationships/hyperlink" Target="https://www.state.gov/reports/2022-investment-climate-statements/guyana/" TargetMode="External"/><Relationship Id="rId5" Type="http://schemas.openxmlformats.org/officeDocument/2006/relationships/hyperlink" Target="https://archive.doingbusiness.org/en/data/exploretopics/resolving-insolvency" TargetMode="External"/><Relationship Id="rId4" Type="http://schemas.openxmlformats.org/officeDocument/2006/relationships/hyperlink" Target="https://www.canlii.org/en/ca/scc/doc/2019/2019scc5/2019scc5.html" TargetMode="External"/><Relationship Id="rId9" Type="http://schemas.openxmlformats.org/officeDocument/2006/relationships/hyperlink" Target="https://www.fscjamaica.org/public-statement-by-the-financial-services-commission-onstocks-securities-lim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17B7-384E-48FC-9C3B-2B41C9AC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8</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Prudhoe</dc:creator>
  <cp:keywords/>
  <dc:description/>
  <cp:lastModifiedBy>Tim Prudhoe</cp:lastModifiedBy>
  <cp:revision>25</cp:revision>
  <dcterms:created xsi:type="dcterms:W3CDTF">2023-07-09T20:43:00Z</dcterms:created>
  <dcterms:modified xsi:type="dcterms:W3CDTF">2023-07-11T11:09:00Z</dcterms:modified>
</cp:coreProperties>
</file>