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310533" w:rsidRDefault="000F6063" w:rsidP="007E03FA">
      <w:pPr>
        <w:pStyle w:val="ListParagraph"/>
        <w:numPr>
          <w:ilvl w:val="0"/>
          <w:numId w:val="31"/>
        </w:numPr>
        <w:ind w:left="426"/>
        <w:rPr>
          <w:rFonts w:ascii="Avenir Next" w:hAnsi="Avenir Next" w:cs="Arial"/>
          <w:sz w:val="22"/>
          <w:szCs w:val="22"/>
          <w:lang w:val="en-GB"/>
        </w:rPr>
      </w:pPr>
      <w:r w:rsidRPr="006C37F3">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5ED73FD0" w:rsidR="000F6063" w:rsidRDefault="000F6063" w:rsidP="00A26898">
      <w:pPr>
        <w:rPr>
          <w:rFonts w:ascii="Avenir Next" w:hAnsi="Avenir Next" w:cs="Arial"/>
          <w:sz w:val="22"/>
          <w:szCs w:val="22"/>
          <w:lang w:val="en-GB"/>
        </w:rPr>
      </w:pPr>
    </w:p>
    <w:p w14:paraId="02B7E5EF" w14:textId="0585F54D" w:rsidR="006C37F3" w:rsidRPr="00310533" w:rsidRDefault="006C37F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9061B" w:rsidRDefault="000F6063" w:rsidP="007E03FA">
      <w:pPr>
        <w:pStyle w:val="ListParagraph"/>
        <w:numPr>
          <w:ilvl w:val="0"/>
          <w:numId w:val="32"/>
        </w:numPr>
        <w:ind w:left="426"/>
        <w:rPr>
          <w:rFonts w:ascii="Avenir Next" w:hAnsi="Avenir Next" w:cs="Arial"/>
          <w:sz w:val="22"/>
          <w:szCs w:val="22"/>
          <w:highlight w:val="yellow"/>
          <w:lang w:val="en-GB"/>
        </w:rPr>
      </w:pPr>
      <w:r w:rsidRPr="0039061B">
        <w:rPr>
          <w:rFonts w:ascii="Avenir Next" w:hAnsi="Avenir Next" w:cs="Arial"/>
          <w:sz w:val="22"/>
          <w:szCs w:val="22"/>
          <w:highlight w:val="yellow"/>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39061B"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39061B">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39061B">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39061B" w:rsidRDefault="00CB2364" w:rsidP="00924973">
      <w:pPr>
        <w:pStyle w:val="ListParagraph"/>
        <w:numPr>
          <w:ilvl w:val="0"/>
          <w:numId w:val="34"/>
        </w:numPr>
        <w:ind w:left="426"/>
        <w:rPr>
          <w:rFonts w:ascii="Avenir Next" w:hAnsi="Avenir Next" w:cs="Arial"/>
          <w:sz w:val="22"/>
          <w:szCs w:val="22"/>
          <w:highlight w:val="yellow"/>
          <w:lang w:val="en-GB"/>
        </w:rPr>
      </w:pPr>
      <w:r w:rsidRPr="0039061B">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F43F88" w:rsidRDefault="000F6063" w:rsidP="00924973">
      <w:pPr>
        <w:pStyle w:val="ListParagraph"/>
        <w:numPr>
          <w:ilvl w:val="0"/>
          <w:numId w:val="35"/>
        </w:numPr>
        <w:ind w:left="426"/>
        <w:rPr>
          <w:rFonts w:ascii="Avenir Next" w:hAnsi="Avenir Next" w:cs="Arial"/>
          <w:sz w:val="22"/>
          <w:szCs w:val="22"/>
          <w:highlight w:val="yellow"/>
          <w:lang w:val="en-GB"/>
        </w:rPr>
      </w:pPr>
      <w:r w:rsidRPr="00F43F88">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F43F88" w:rsidRDefault="00E177F0" w:rsidP="00924973">
      <w:pPr>
        <w:pStyle w:val="ListParagraph"/>
        <w:numPr>
          <w:ilvl w:val="0"/>
          <w:numId w:val="36"/>
        </w:numPr>
        <w:ind w:left="426"/>
        <w:rPr>
          <w:rFonts w:ascii="Avenir Next" w:hAnsi="Avenir Next" w:cs="Arial"/>
          <w:sz w:val="22"/>
          <w:szCs w:val="22"/>
          <w:highlight w:val="yellow"/>
          <w:lang w:val="en-GB"/>
        </w:rPr>
      </w:pPr>
      <w:r w:rsidRPr="00F43F88">
        <w:rPr>
          <w:rFonts w:ascii="Avenir Next" w:hAnsi="Avenir Next" w:cs="Arial"/>
          <w:sz w:val="22"/>
          <w:szCs w:val="22"/>
          <w:highlight w:val="yellow"/>
          <w:lang w:val="en-GB"/>
        </w:rPr>
        <w:t>May enforce their security without leave of the court</w:t>
      </w:r>
      <w:r w:rsidR="00803C72" w:rsidRPr="00F43F88">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E6035E" w:rsidRDefault="000F6063" w:rsidP="00924973">
      <w:pPr>
        <w:pStyle w:val="ListParagraph"/>
        <w:numPr>
          <w:ilvl w:val="0"/>
          <w:numId w:val="37"/>
        </w:numPr>
        <w:ind w:left="426"/>
        <w:jc w:val="both"/>
        <w:rPr>
          <w:rFonts w:ascii="Avenir Next" w:hAnsi="Avenir Next" w:cs="Arial"/>
          <w:sz w:val="22"/>
          <w:szCs w:val="22"/>
          <w:highlight w:val="yellow"/>
          <w:lang w:val="en-GB"/>
        </w:rPr>
      </w:pPr>
      <w:r w:rsidRPr="00E6035E">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F86B7E" w:rsidRDefault="00853B56" w:rsidP="00924973">
      <w:pPr>
        <w:pStyle w:val="ListParagraph"/>
        <w:numPr>
          <w:ilvl w:val="0"/>
          <w:numId w:val="38"/>
        </w:numPr>
        <w:ind w:left="426"/>
        <w:jc w:val="both"/>
        <w:rPr>
          <w:rFonts w:ascii="Avenir Next" w:hAnsi="Avenir Next" w:cs="Arial"/>
          <w:sz w:val="22"/>
          <w:szCs w:val="22"/>
          <w:highlight w:val="yellow"/>
          <w:lang w:val="en-GB"/>
        </w:rPr>
      </w:pPr>
      <w:r w:rsidRPr="00F86B7E">
        <w:rPr>
          <w:rFonts w:ascii="Avenir Next" w:hAnsi="Avenir Next" w:cs="Arial"/>
          <w:sz w:val="22"/>
          <w:szCs w:val="22"/>
          <w:highlight w:val="yellow"/>
          <w:lang w:val="en-GB"/>
        </w:rPr>
        <w:t>Amounts due to p</w:t>
      </w:r>
      <w:r w:rsidR="005327B7" w:rsidRPr="00F86B7E">
        <w:rPr>
          <w:rFonts w:ascii="Avenir Next" w:hAnsi="Avenir Next" w:cs="Arial"/>
          <w:sz w:val="22"/>
          <w:szCs w:val="22"/>
          <w:highlight w:val="yellow"/>
          <w:lang w:val="en-GB"/>
        </w:rPr>
        <w:t>referred shareholders</w:t>
      </w:r>
      <w:r w:rsidR="00803C72" w:rsidRPr="00F86B7E">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A17460">
        <w:rPr>
          <w:rFonts w:ascii="Avenir Next" w:hAnsi="Avenir Next" w:cs="Arial"/>
          <w:sz w:val="22"/>
          <w:szCs w:val="22"/>
          <w:highlight w:val="yellow"/>
          <w:lang w:val="en-GB"/>
        </w:rPr>
        <w:t>The board of directors decides it is “just and equitable” for the company to be wound up</w:t>
      </w:r>
      <w:r w:rsidR="00D06A87" w:rsidRPr="00310533">
        <w:rPr>
          <w:rFonts w:ascii="Avenir Next" w:hAnsi="Avenir Next" w:cs="Arial"/>
          <w:sz w:val="22"/>
          <w:szCs w:val="22"/>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more than 75% 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553363">
        <w:rPr>
          <w:rFonts w:ascii="Avenir Next" w:hAnsi="Avenir Next" w:cs="Arial"/>
          <w:sz w:val="22"/>
          <w:szCs w:val="22"/>
          <w:highlight w:val="yellow"/>
          <w:lang w:val="en-GB"/>
        </w:rPr>
        <w:t>More than 50% representing 75% or more in value of the creditors must agree</w:t>
      </w:r>
      <w:r w:rsidRPr="00310533">
        <w:rPr>
          <w:rFonts w:ascii="Avenir Next" w:hAnsi="Avenir Next" w:cs="Arial"/>
          <w:sz w:val="22"/>
          <w:szCs w:val="22"/>
          <w:lang w:val="en-GB"/>
        </w:rPr>
        <w:t>.</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61E25E7F" w:rsidR="002B3A96" w:rsidRPr="00310533" w:rsidRDefault="000334D5"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Islands maintains central registries for certain types of assets – real estate, ships, aircraft, motor vehicles and intellectual property. For other types of security interests, a company is obligated to maintain a registry internally, though some companies do not comply with this obligation. For assets which may be registered in a central registry, doing so imputes notice to any third-party purchaser of the asset, such that they will take the asset subject to the registered security interest. Doing this allows a secured party to maintain their security by preventing a purchaser from obtaining a superior right to the collateral. </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0F741EBD" w:rsidR="00AB0E3A" w:rsidRPr="00310533" w:rsidRDefault="000334D5"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the Cayman Islands Grand Court has the power to assist foreign bankruptcy proceedings via </w:t>
      </w:r>
      <w:r w:rsidR="00381D50">
        <w:rPr>
          <w:rFonts w:ascii="Avenir Next" w:hAnsi="Avenir Next" w:cs="Arial"/>
          <w:color w:val="808080" w:themeColor="background1" w:themeShade="80"/>
          <w:sz w:val="22"/>
          <w:szCs w:val="22"/>
          <w:lang w:val="en-GB"/>
        </w:rPr>
        <w:t>Part XVII of the Companies Act. In order to invoke such assistance, the foreign representative must prove to the Court that the Court should use its discretionary powers to aid the foreign representative. T</w:t>
      </w:r>
      <w:r>
        <w:rPr>
          <w:rFonts w:ascii="Avenir Next" w:hAnsi="Avenir Next" w:cs="Arial"/>
          <w:color w:val="808080" w:themeColor="background1" w:themeShade="80"/>
          <w:sz w:val="22"/>
          <w:szCs w:val="22"/>
          <w:lang w:val="en-GB"/>
        </w:rPr>
        <w:t>he Foreign Bankruptcy Proceedings (International Cooperation) Rules 2018 (FBPR)</w:t>
      </w:r>
      <w:r w:rsidR="00381D50">
        <w:rPr>
          <w:rFonts w:ascii="Avenir Next" w:hAnsi="Avenir Next" w:cs="Arial"/>
          <w:color w:val="808080" w:themeColor="background1" w:themeShade="80"/>
          <w:sz w:val="22"/>
          <w:szCs w:val="22"/>
          <w:lang w:val="en-GB"/>
        </w:rPr>
        <w:t xml:space="preserve"> provide the procedures by which the foreign representative can be recognized by the Court. </w:t>
      </w:r>
      <w:r>
        <w:rPr>
          <w:rFonts w:ascii="Avenir Next" w:hAnsi="Avenir Next" w:cs="Arial"/>
          <w:color w:val="808080" w:themeColor="background1" w:themeShade="80"/>
          <w:sz w:val="22"/>
          <w:szCs w:val="22"/>
          <w:lang w:val="en-GB"/>
        </w:rPr>
        <w:t xml:space="preserve"> </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28F2972D" w:rsidR="00E4294D" w:rsidRDefault="000E470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vast majority of foreign judgments that are recognized in the Cayman Islands are recognized under the common law. To achieve recognition, a litigant must follow the standard procedure for litigation and must show that (1) the judgment is final, (2) the foreign court had jurisdiction over the debtor, (3) the foreign judgment was not obtained by fraud, (4) the foreign judgement does not run afoul of domestic public policy, and (5) </w:t>
      </w:r>
      <w:r w:rsidR="000B47D1">
        <w:rPr>
          <w:rFonts w:ascii="Avenir Next" w:hAnsi="Avenir Next" w:cs="Arial"/>
          <w:color w:val="808080" w:themeColor="background1" w:themeShade="80"/>
          <w:sz w:val="22"/>
          <w:szCs w:val="22"/>
          <w:lang w:val="en-GB"/>
        </w:rPr>
        <w:t xml:space="preserve">the foreign judgment was not obtained contrary to the rules of natural justice. Furthermore, the litigant must comply with the 6-year statute of limitations. </w:t>
      </w:r>
    </w:p>
    <w:p w14:paraId="2F861A8C" w14:textId="7DA8267D" w:rsidR="00E4294D" w:rsidRDefault="000B47D1"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Far less common are foreign judgments recognized under the Foreign Judgments Reciprocal Enforcement Act (1996). Because the statute requires the issuing jurisdiction to assure substantial reciprocity to judgments entered in the Cayman Islands, only the Superior Court of Australia enjoys the privileges of the Statute. </w:t>
      </w:r>
    </w:p>
    <w:p w14:paraId="36D994B4" w14:textId="542A8AA4" w:rsidR="000B47D1" w:rsidRDefault="000B47D1" w:rsidP="002A37BB">
      <w:pPr>
        <w:jc w:val="both"/>
        <w:rPr>
          <w:rFonts w:ascii="Avenir Next" w:hAnsi="Avenir Next" w:cs="Arial"/>
          <w:color w:val="808080" w:themeColor="background1" w:themeShade="80"/>
          <w:sz w:val="22"/>
          <w:szCs w:val="22"/>
          <w:lang w:val="en-GB"/>
        </w:rPr>
      </w:pPr>
    </w:p>
    <w:p w14:paraId="7F1599D4" w14:textId="13C9305D" w:rsidR="000B47D1" w:rsidRPr="000B47D1" w:rsidRDefault="000B47D1"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Islands is not party to any applicable treaties. </w:t>
      </w: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0B689830" w14:textId="5A805F63" w:rsidR="00AC2C38" w:rsidRDefault="00AC2C38"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99 of the Companies act provides the possibility for a liquidator to re-capture property dispositions (including grants of security) made after the deemed commencement of winding up. While some post-petition grants may be acceptable and even validated by the Court, post-petition grants of estate property which occurred when the company was </w:t>
      </w:r>
      <w:r w:rsidR="00D41885">
        <w:rPr>
          <w:rFonts w:ascii="Avenir Next" w:hAnsi="Avenir Next" w:cs="Arial"/>
          <w:color w:val="808080" w:themeColor="background1" w:themeShade="80"/>
          <w:sz w:val="22"/>
          <w:szCs w:val="22"/>
          <w:lang w:val="en-GB"/>
        </w:rPr>
        <w:t>insolvent,</w:t>
      </w:r>
      <w:r>
        <w:rPr>
          <w:rFonts w:ascii="Avenir Next" w:hAnsi="Avenir Next" w:cs="Arial"/>
          <w:color w:val="808080" w:themeColor="background1" w:themeShade="80"/>
          <w:sz w:val="22"/>
          <w:szCs w:val="22"/>
          <w:lang w:val="en-GB"/>
        </w:rPr>
        <w:t xml:space="preserve"> and which do not provide value to the estate are likely to be undone through compelled repayment. </w:t>
      </w:r>
    </w:p>
    <w:p w14:paraId="20ECC13F" w14:textId="35BE464F" w:rsidR="00AC2C38" w:rsidRDefault="00AC2C38" w:rsidP="002A37BB">
      <w:pPr>
        <w:jc w:val="both"/>
        <w:rPr>
          <w:rFonts w:ascii="Avenir Next" w:hAnsi="Avenir Next" w:cs="Arial"/>
          <w:color w:val="808080" w:themeColor="background1" w:themeShade="80"/>
          <w:sz w:val="22"/>
          <w:szCs w:val="22"/>
          <w:lang w:val="en-GB"/>
        </w:rPr>
      </w:pPr>
    </w:p>
    <w:p w14:paraId="5F9C15EB" w14:textId="7F13AED4" w:rsidR="00AC2C38" w:rsidRDefault="00AC2C38"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no petition has been filed at the time of the transfer, Section 99 (discussed above) will not apply and instead parties must rely on Section 145, which outlines voidable preferences. Section 145 incorporates a 6-month look back period from the deemed commencement of liquidation and applies when the dominant intention of the companies’ directors in making the transfer was to give the applicable creditor preference over other creditors. To give “preference” to a creditor simply means allowing that creditor to be in a better position than it would have been absent the transfer, so if the primary purpose of the transfer was some intention other than to give preference to the creditor (i.e. the </w:t>
      </w:r>
      <w:r w:rsidR="00D41885">
        <w:rPr>
          <w:rFonts w:ascii="Avenir Next" w:hAnsi="Avenir Next" w:cs="Arial"/>
          <w:color w:val="808080" w:themeColor="background1" w:themeShade="80"/>
          <w:sz w:val="22"/>
          <w:szCs w:val="22"/>
          <w:lang w:val="en-GB"/>
        </w:rPr>
        <w:t>preferential treatment</w:t>
      </w:r>
      <w:r>
        <w:rPr>
          <w:rFonts w:ascii="Avenir Next" w:hAnsi="Avenir Next" w:cs="Arial"/>
          <w:color w:val="808080" w:themeColor="background1" w:themeShade="80"/>
          <w:sz w:val="22"/>
          <w:szCs w:val="22"/>
          <w:lang w:val="en-GB"/>
        </w:rPr>
        <w:t xml:space="preserve"> was merely incidental to the dominant intention), then the transfer will be protected. However, transfers to related parties are deemed preferential. </w:t>
      </w:r>
    </w:p>
    <w:p w14:paraId="6DBC2E68" w14:textId="674D3FB1" w:rsidR="004060CE" w:rsidRDefault="004060CE" w:rsidP="002A37BB">
      <w:pPr>
        <w:jc w:val="both"/>
        <w:rPr>
          <w:rFonts w:ascii="Avenir Next" w:hAnsi="Avenir Next" w:cs="Arial"/>
          <w:color w:val="808080" w:themeColor="background1" w:themeShade="80"/>
          <w:sz w:val="22"/>
          <w:szCs w:val="22"/>
          <w:lang w:val="en-GB"/>
        </w:rPr>
      </w:pPr>
    </w:p>
    <w:p w14:paraId="19916981" w14:textId="571C15A9" w:rsidR="004060CE" w:rsidRPr="00AC2C38" w:rsidRDefault="004060CE"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to seeing their transfers unwound, directors may also find themselves to be personally liable for any losses they caused the company to incur as a result of their breach of fiduciary duty. </w:t>
      </w:r>
      <w:r w:rsidR="00D41885">
        <w:rPr>
          <w:rFonts w:ascii="Avenir Next" w:hAnsi="Avenir Next" w:cs="Arial"/>
          <w:color w:val="808080" w:themeColor="background1" w:themeShade="80"/>
          <w:sz w:val="22"/>
          <w:szCs w:val="22"/>
          <w:lang w:val="en-GB"/>
        </w:rPr>
        <w:t xml:space="preserve">Cayman Courts have found that when a company is insolvent, the directors’ duty is to act in the best interests of the company, which also requires consideration of the best interests of creditors. A breach of this duty may result in personal liability for the director. </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7DDFFF04" w14:textId="11090674" w:rsidR="00D4783A" w:rsidRDefault="005A791A"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statement above is misleading. </w:t>
      </w:r>
      <w:r w:rsidR="00D7523E">
        <w:rPr>
          <w:rFonts w:ascii="Avenir Next" w:hAnsi="Avenir Next" w:cs="Arial"/>
          <w:color w:val="808080" w:themeColor="background1" w:themeShade="80"/>
          <w:sz w:val="22"/>
          <w:szCs w:val="22"/>
          <w:lang w:val="en-GB"/>
        </w:rPr>
        <w:t>Receivership and receivers can be helpful tools in the insolvency context. For example, many</w:t>
      </w:r>
      <w:r w:rsidR="00D4783A">
        <w:rPr>
          <w:rFonts w:ascii="Avenir Next" w:hAnsi="Avenir Next" w:cs="Arial"/>
          <w:color w:val="808080" w:themeColor="background1" w:themeShade="80"/>
          <w:sz w:val="22"/>
          <w:szCs w:val="22"/>
          <w:lang w:val="en-GB"/>
        </w:rPr>
        <w:t xml:space="preserve"> security instruments give the secured creditor the right to appoint a receiver when the debtor defaults. Utilizing a receiver to maintain and sell the charged assets offers an alternative, out-of-court procedure for secured creditors to realize on the collateral. This can be helpful and cost efficient for a creditor not only because court supervision is not required, but also because the receiver owes its duties to the creditor, not the debtor company.</w:t>
      </w:r>
    </w:p>
    <w:p w14:paraId="18438271" w14:textId="77777777" w:rsidR="00D4783A" w:rsidRDefault="00D4783A" w:rsidP="002A37BB">
      <w:pPr>
        <w:jc w:val="both"/>
        <w:rPr>
          <w:rFonts w:ascii="Avenir Next" w:hAnsi="Avenir Next" w:cs="Arial"/>
          <w:color w:val="808080" w:themeColor="background1" w:themeShade="80"/>
          <w:sz w:val="22"/>
          <w:szCs w:val="22"/>
          <w:lang w:val="en-GB"/>
        </w:rPr>
      </w:pPr>
    </w:p>
    <w:p w14:paraId="4F35CF3F" w14:textId="7B6F2D56" w:rsidR="00D4783A" w:rsidRPr="00D4783A" w:rsidRDefault="00D4783A"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Receivers might also be utilized in the insolvency of a Segregated Portfolio Company (SPC). Because the assets and liabilities of an SPC are separate from the assets of any other portfolio, sometimes the assets of a particular portfolio may be worth less than the liabilities and no additional assets can be reached. In this instance, a Court might appoint a receiver to act as a liquidator. </w:t>
      </w: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77777777" w:rsidR="00A30968" w:rsidRPr="00310533" w:rsidRDefault="00A30968" w:rsidP="00AF60EB">
      <w:pPr>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351D67C3" w14:textId="3D1412DF" w:rsidR="00D677B2" w:rsidRDefault="00D677B2"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protecting its interests, BITB must act like both a secured creditor (as it relates to the $180MM mortgage over the boats) and like an unsecured creditor (as it relates to the unsecured portion of the $300 MM loan). Regarding the secured portion of BITB’s claim, BITB may consider moving forward with enforcing its interest in the boats by taking possession of them and exercising its power of sale. Doing this acts to prevent further deterioration of the collateral, which is presumably sitting at poorly maintained docks given VP’s lack of cash flow. With regard to the unsecured debt, BITB may consider petitioning for a winding up of VP in order to stem the loss of assets and compel repayment. </w:t>
      </w:r>
    </w:p>
    <w:p w14:paraId="4624D991" w14:textId="0EBB6060" w:rsidR="00E111F6" w:rsidRDefault="00E111F6" w:rsidP="00087F21">
      <w:pPr>
        <w:jc w:val="both"/>
        <w:rPr>
          <w:rFonts w:ascii="Avenir Next" w:hAnsi="Avenir Next" w:cs="Arial"/>
          <w:color w:val="808080" w:themeColor="background1" w:themeShade="80"/>
          <w:sz w:val="22"/>
          <w:szCs w:val="22"/>
          <w:lang w:val="en-GB"/>
        </w:rPr>
      </w:pPr>
    </w:p>
    <w:p w14:paraId="37182B3E" w14:textId="0AEC18A5" w:rsidR="00E111F6" w:rsidRDefault="00E111F6"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JoBo will have a harder time protecting its interest in its arbitration award because the Cayman Islands is not a party to any international treaties which compel it to recognize foreign arbitral awards. However, JoBo may consider filing suit in the Cayman Islands and domesticating its judgment with the Cayman courts. To do this, JoBo must rely on the common law process </w:t>
      </w:r>
      <w:r w:rsidR="00B16D51">
        <w:rPr>
          <w:rFonts w:ascii="Avenir Next" w:hAnsi="Avenir Next" w:cs="Arial"/>
          <w:color w:val="808080" w:themeColor="background1" w:themeShade="80"/>
          <w:sz w:val="22"/>
          <w:szCs w:val="22"/>
          <w:lang w:val="en-GB"/>
        </w:rPr>
        <w:t>for</w:t>
      </w:r>
      <w:r>
        <w:rPr>
          <w:rFonts w:ascii="Avenir Next" w:hAnsi="Avenir Next" w:cs="Arial"/>
          <w:color w:val="808080" w:themeColor="background1" w:themeShade="80"/>
          <w:sz w:val="22"/>
          <w:szCs w:val="22"/>
          <w:lang w:val="en-GB"/>
        </w:rPr>
        <w:t xml:space="preserve"> the recognition of foreign judgments.</w:t>
      </w:r>
    </w:p>
    <w:p w14:paraId="5226482D" w14:textId="21ABB7DF" w:rsidR="00E111F6" w:rsidRDefault="00E111F6" w:rsidP="00087F21">
      <w:pPr>
        <w:jc w:val="both"/>
        <w:rPr>
          <w:rFonts w:ascii="Avenir Next" w:hAnsi="Avenir Next" w:cs="Arial"/>
          <w:color w:val="808080" w:themeColor="background1" w:themeShade="80"/>
          <w:sz w:val="22"/>
          <w:szCs w:val="22"/>
          <w:lang w:val="en-GB"/>
        </w:rPr>
      </w:pPr>
    </w:p>
    <w:p w14:paraId="53B9B177" w14:textId="49BDF988" w:rsidR="00E111F6" w:rsidRDefault="00E111F6"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employees of VP are unsecured, preferential creditors. As unsecured creditors, they may seek to wind up the company. In a liquidation, sums due to employees are considered preferential debts and will be paid prior to debts due to shareholders. </w:t>
      </w:r>
    </w:p>
    <w:p w14:paraId="181AAC21" w14:textId="524A19AC" w:rsidR="00E111F6" w:rsidRDefault="00E111F6" w:rsidP="00087F21">
      <w:pPr>
        <w:jc w:val="both"/>
        <w:rPr>
          <w:rFonts w:ascii="Avenir Next" w:hAnsi="Avenir Next" w:cs="Arial"/>
          <w:color w:val="808080" w:themeColor="background1" w:themeShade="80"/>
          <w:sz w:val="22"/>
          <w:szCs w:val="22"/>
          <w:lang w:val="en-GB"/>
        </w:rPr>
      </w:pPr>
    </w:p>
    <w:p w14:paraId="7FC7B159" w14:textId="653B4BB5" w:rsidR="00E111F6" w:rsidRDefault="00E111F6"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Courts have jurisdiction over VP for three independently sufficient reasons: (1) VP is incorporated in the Cayman Islands; (2) VP carries on business in the Cayman Islands, and (3) VP has assets in the Cayman Islands. </w:t>
      </w:r>
    </w:p>
    <w:p w14:paraId="2ED4457B" w14:textId="207A5AA6" w:rsidR="00807792" w:rsidRDefault="00807792" w:rsidP="00087F21">
      <w:pPr>
        <w:jc w:val="both"/>
        <w:rPr>
          <w:rFonts w:ascii="Avenir Next" w:hAnsi="Avenir Next" w:cs="Arial"/>
          <w:color w:val="808080" w:themeColor="background1" w:themeShade="80"/>
          <w:sz w:val="22"/>
          <w:szCs w:val="22"/>
          <w:lang w:val="en-GB"/>
        </w:rPr>
      </w:pPr>
    </w:p>
    <w:p w14:paraId="20F90F1E" w14:textId="63C32985" w:rsidR="00807792" w:rsidRDefault="00807792"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 to August 2022, VP would have been forced to protect itself and its ability to reorganize through a provisional liquidation.  However, through newly enacted law, VP may now protect itself and reorganize through the use of a restructuring officer. This is particularly beneficial because the filing of such an action automatically triggers an extraterritorial moratorium, giving VP the breathing room to reorganize under court supervision and with the help of a restructuring officer.</w:t>
      </w:r>
    </w:p>
    <w:p w14:paraId="511CAC68" w14:textId="540EEA7F" w:rsidR="00807792" w:rsidRDefault="00807792" w:rsidP="00087F21">
      <w:pPr>
        <w:jc w:val="both"/>
        <w:rPr>
          <w:rFonts w:ascii="Avenir Next" w:hAnsi="Avenir Next" w:cs="Arial"/>
          <w:color w:val="808080" w:themeColor="background1" w:themeShade="80"/>
          <w:sz w:val="22"/>
          <w:szCs w:val="22"/>
          <w:lang w:val="en-GB"/>
        </w:rPr>
      </w:pPr>
    </w:p>
    <w:p w14:paraId="5B46E65F" w14:textId="15D504D9" w:rsidR="00807792" w:rsidRDefault="00807792"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it’s not clear how the new legislation will play out, it is likely that the Rackham family may continue to exercise certain managerial powers, while other powers will be ceded to the restructuring officer, as determined by the court. </w:t>
      </w:r>
    </w:p>
    <w:p w14:paraId="2827AE68" w14:textId="155AA0C1" w:rsidR="00807792" w:rsidRDefault="00807792" w:rsidP="00087F21">
      <w:pPr>
        <w:jc w:val="both"/>
        <w:rPr>
          <w:rFonts w:ascii="Avenir Next" w:hAnsi="Avenir Next" w:cs="Arial"/>
          <w:color w:val="808080" w:themeColor="background1" w:themeShade="80"/>
          <w:sz w:val="22"/>
          <w:szCs w:val="22"/>
          <w:lang w:val="en-GB"/>
        </w:rPr>
      </w:pPr>
    </w:p>
    <w:p w14:paraId="50D5BED7" w14:textId="43D5A5FD" w:rsidR="00807792" w:rsidRPr="00807792" w:rsidRDefault="00807792"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sanctioning a restructuring scheme, the Court will consider (1) the company’s compliance with the convening orders, (2) whether the majority fairly represents the class of creditors eligible to participate in the scheme, and (3) whether the arrangement would be reasonably approved by an honest member of the class convened, taking into account other reasonable alternatives. </w:t>
      </w: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E36D" w14:textId="77777777" w:rsidR="007B37D2" w:rsidRDefault="007B37D2" w:rsidP="00241B44">
      <w:r>
        <w:separator/>
      </w:r>
    </w:p>
  </w:endnote>
  <w:endnote w:type="continuationSeparator" w:id="0">
    <w:p w14:paraId="094E299A" w14:textId="77777777" w:rsidR="007B37D2" w:rsidRDefault="007B37D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DE1BEBD"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A11910">
      <w:rPr>
        <w:rFonts w:ascii="Arial" w:hAnsi="Arial" w:cs="Arial"/>
        <w:sz w:val="18"/>
        <w:szCs w:val="18"/>
        <w:lang w:val="en-GB"/>
      </w:rPr>
      <w:t>202223-948</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BDC2" w14:textId="77777777" w:rsidR="00A11910" w:rsidRDefault="00A11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DA2F" w14:textId="77777777" w:rsidR="007B37D2" w:rsidRDefault="007B37D2" w:rsidP="00241B44">
      <w:r>
        <w:separator/>
      </w:r>
    </w:p>
  </w:footnote>
  <w:footnote w:type="continuationSeparator" w:id="0">
    <w:p w14:paraId="49BC8789" w14:textId="77777777" w:rsidR="007B37D2" w:rsidRDefault="007B37D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A427" w14:textId="77777777" w:rsidR="00A11910" w:rsidRDefault="00A11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2D28" w14:textId="77777777" w:rsidR="00A11910" w:rsidRDefault="00A11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5CF1" w14:textId="77777777" w:rsidR="00A11910" w:rsidRDefault="00A11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414928">
    <w:abstractNumId w:val="39"/>
  </w:num>
  <w:num w:numId="2" w16cid:durableId="1055349499">
    <w:abstractNumId w:val="22"/>
  </w:num>
  <w:num w:numId="3" w16cid:durableId="305286735">
    <w:abstractNumId w:val="18"/>
  </w:num>
  <w:num w:numId="4" w16cid:durableId="728499605">
    <w:abstractNumId w:val="37"/>
  </w:num>
  <w:num w:numId="5" w16cid:durableId="903837180">
    <w:abstractNumId w:val="19"/>
  </w:num>
  <w:num w:numId="6" w16cid:durableId="1820800792">
    <w:abstractNumId w:val="31"/>
  </w:num>
  <w:num w:numId="7" w16cid:durableId="1172183874">
    <w:abstractNumId w:val="38"/>
  </w:num>
  <w:num w:numId="8" w16cid:durableId="1084187191">
    <w:abstractNumId w:val="34"/>
  </w:num>
  <w:num w:numId="9" w16cid:durableId="391320344">
    <w:abstractNumId w:val="16"/>
  </w:num>
  <w:num w:numId="10" w16cid:durableId="2070610629">
    <w:abstractNumId w:val="10"/>
  </w:num>
  <w:num w:numId="11" w16cid:durableId="144592647">
    <w:abstractNumId w:val="12"/>
  </w:num>
  <w:num w:numId="12" w16cid:durableId="1371878287">
    <w:abstractNumId w:val="17"/>
  </w:num>
  <w:num w:numId="13" w16cid:durableId="1415584991">
    <w:abstractNumId w:val="25"/>
  </w:num>
  <w:num w:numId="14" w16cid:durableId="306665285">
    <w:abstractNumId w:val="3"/>
  </w:num>
  <w:num w:numId="15" w16cid:durableId="94254169">
    <w:abstractNumId w:val="13"/>
  </w:num>
  <w:num w:numId="16" w16cid:durableId="1892380804">
    <w:abstractNumId w:val="36"/>
  </w:num>
  <w:num w:numId="17" w16cid:durableId="1928683849">
    <w:abstractNumId w:val="6"/>
  </w:num>
  <w:num w:numId="18" w16cid:durableId="797453575">
    <w:abstractNumId w:val="8"/>
  </w:num>
  <w:num w:numId="19" w16cid:durableId="176966521">
    <w:abstractNumId w:val="28"/>
  </w:num>
  <w:num w:numId="20" w16cid:durableId="56443402">
    <w:abstractNumId w:val="26"/>
  </w:num>
  <w:num w:numId="21" w16cid:durableId="1422262904">
    <w:abstractNumId w:val="2"/>
  </w:num>
  <w:num w:numId="22" w16cid:durableId="1833521684">
    <w:abstractNumId w:val="11"/>
  </w:num>
  <w:num w:numId="23" w16cid:durableId="709763697">
    <w:abstractNumId w:val="40"/>
  </w:num>
  <w:num w:numId="24" w16cid:durableId="481582835">
    <w:abstractNumId w:val="0"/>
  </w:num>
  <w:num w:numId="25" w16cid:durableId="82798723">
    <w:abstractNumId w:val="32"/>
  </w:num>
  <w:num w:numId="26" w16cid:durableId="910044115">
    <w:abstractNumId w:val="9"/>
  </w:num>
  <w:num w:numId="27" w16cid:durableId="131215077">
    <w:abstractNumId w:val="14"/>
  </w:num>
  <w:num w:numId="28" w16cid:durableId="1870801698">
    <w:abstractNumId w:val="4"/>
  </w:num>
  <w:num w:numId="29" w16cid:durableId="1691955606">
    <w:abstractNumId w:val="7"/>
  </w:num>
  <w:num w:numId="30" w16cid:durableId="1793673367">
    <w:abstractNumId w:val="20"/>
  </w:num>
  <w:num w:numId="31" w16cid:durableId="311103733">
    <w:abstractNumId w:val="27"/>
  </w:num>
  <w:num w:numId="32" w16cid:durableId="293685088">
    <w:abstractNumId w:val="23"/>
  </w:num>
  <w:num w:numId="33" w16cid:durableId="1407217147">
    <w:abstractNumId w:val="29"/>
  </w:num>
  <w:num w:numId="34" w16cid:durableId="230773248">
    <w:abstractNumId w:val="21"/>
  </w:num>
  <w:num w:numId="35" w16cid:durableId="812407279">
    <w:abstractNumId w:val="15"/>
  </w:num>
  <w:num w:numId="36" w16cid:durableId="962493616">
    <w:abstractNumId w:val="1"/>
  </w:num>
  <w:num w:numId="37" w16cid:durableId="1489131401">
    <w:abstractNumId w:val="30"/>
  </w:num>
  <w:num w:numId="38" w16cid:durableId="2144155617">
    <w:abstractNumId w:val="24"/>
  </w:num>
  <w:num w:numId="39" w16cid:durableId="2133480847">
    <w:abstractNumId w:val="35"/>
  </w:num>
  <w:num w:numId="40" w16cid:durableId="1662809960">
    <w:abstractNumId w:val="33"/>
  </w:num>
  <w:num w:numId="41" w16cid:durableId="13356523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34D5"/>
    <w:rsid w:val="00037621"/>
    <w:rsid w:val="00044D46"/>
    <w:rsid w:val="00045088"/>
    <w:rsid w:val="00045904"/>
    <w:rsid w:val="000502FD"/>
    <w:rsid w:val="000535D5"/>
    <w:rsid w:val="000577D2"/>
    <w:rsid w:val="00065166"/>
    <w:rsid w:val="000659CF"/>
    <w:rsid w:val="00082609"/>
    <w:rsid w:val="000851CC"/>
    <w:rsid w:val="00087F21"/>
    <w:rsid w:val="00093BE8"/>
    <w:rsid w:val="000A407B"/>
    <w:rsid w:val="000A68ED"/>
    <w:rsid w:val="000A7BE7"/>
    <w:rsid w:val="000B47D1"/>
    <w:rsid w:val="000B5FF1"/>
    <w:rsid w:val="000B609F"/>
    <w:rsid w:val="000C3F26"/>
    <w:rsid w:val="000D33BB"/>
    <w:rsid w:val="000D55A8"/>
    <w:rsid w:val="000E470C"/>
    <w:rsid w:val="000E4841"/>
    <w:rsid w:val="000F030D"/>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D4935"/>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1D50"/>
    <w:rsid w:val="00382C98"/>
    <w:rsid w:val="0038533C"/>
    <w:rsid w:val="00386568"/>
    <w:rsid w:val="0039061B"/>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0CE"/>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26D1"/>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363"/>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A791A"/>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C37F3"/>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7D2"/>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07792"/>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11910"/>
    <w:rsid w:val="00A17460"/>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C38"/>
    <w:rsid w:val="00AC2F1F"/>
    <w:rsid w:val="00AC3839"/>
    <w:rsid w:val="00AC43F8"/>
    <w:rsid w:val="00AC7082"/>
    <w:rsid w:val="00AD12C7"/>
    <w:rsid w:val="00AD4BE8"/>
    <w:rsid w:val="00AF228E"/>
    <w:rsid w:val="00AF60EB"/>
    <w:rsid w:val="00B016A8"/>
    <w:rsid w:val="00B14819"/>
    <w:rsid w:val="00B15E2F"/>
    <w:rsid w:val="00B16D51"/>
    <w:rsid w:val="00B17AA9"/>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41885"/>
    <w:rsid w:val="00D4783A"/>
    <w:rsid w:val="00D53719"/>
    <w:rsid w:val="00D6188D"/>
    <w:rsid w:val="00D63EFD"/>
    <w:rsid w:val="00D677B2"/>
    <w:rsid w:val="00D73E9C"/>
    <w:rsid w:val="00D7523E"/>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1F6"/>
    <w:rsid w:val="00E11C54"/>
    <w:rsid w:val="00E15BA9"/>
    <w:rsid w:val="00E177F0"/>
    <w:rsid w:val="00E25582"/>
    <w:rsid w:val="00E26E19"/>
    <w:rsid w:val="00E31DF3"/>
    <w:rsid w:val="00E4294D"/>
    <w:rsid w:val="00E450A4"/>
    <w:rsid w:val="00E45C5C"/>
    <w:rsid w:val="00E467A3"/>
    <w:rsid w:val="00E506BE"/>
    <w:rsid w:val="00E55547"/>
    <w:rsid w:val="00E55912"/>
    <w:rsid w:val="00E6035E"/>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43F88"/>
    <w:rsid w:val="00F5524B"/>
    <w:rsid w:val="00F60538"/>
    <w:rsid w:val="00F61DD2"/>
    <w:rsid w:val="00F66AFF"/>
    <w:rsid w:val="00F71433"/>
    <w:rsid w:val="00F730FA"/>
    <w:rsid w:val="00F86B7E"/>
    <w:rsid w:val="00F97C5B"/>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2329</TotalTime>
  <Pages>9</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L. Grube</cp:lastModifiedBy>
  <cp:revision>19</cp:revision>
  <cp:lastPrinted>2019-08-27T05:42:00Z</cp:lastPrinted>
  <dcterms:created xsi:type="dcterms:W3CDTF">2023-06-17T20:05:00Z</dcterms:created>
  <dcterms:modified xsi:type="dcterms:W3CDTF">2023-07-09T21:28:00Z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y fmtid="{D5CDD505-2E9C-101B-9397-08002B2CF9AE}" pid="3" name="PingId">
    <vt:lpwstr>b8974b4e-6af1-42ca-99ba-a8ab15795b0f</vt:lpwstr>
  </property>
</Properties>
</file>