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4723" w14:textId="77777777" w:rsidR="00FD6A8B" w:rsidRDefault="00FD6A8B" w:rsidP="006E119F">
      <w:pPr>
        <w:pStyle w:val="Title"/>
        <w:rPr>
          <w:rFonts w:hint="eastAsia"/>
          <w:b/>
          <w:bCs/>
          <w:sz w:val="72"/>
          <w:szCs w:val="72"/>
        </w:rPr>
      </w:pPr>
    </w:p>
    <w:p w14:paraId="07D5108C" w14:textId="77777777" w:rsidR="00FD6A8B" w:rsidRDefault="00FD6A8B" w:rsidP="006E119F">
      <w:pPr>
        <w:pStyle w:val="Title"/>
        <w:rPr>
          <w:b/>
          <w:bCs/>
          <w:sz w:val="72"/>
          <w:szCs w:val="72"/>
        </w:rPr>
      </w:pPr>
    </w:p>
    <w:p w14:paraId="5BBBDE76" w14:textId="77777777" w:rsidR="00FD6A8B" w:rsidRDefault="00FD6A8B" w:rsidP="006E119F">
      <w:pPr>
        <w:pStyle w:val="Title"/>
        <w:rPr>
          <w:b/>
          <w:bCs/>
          <w:sz w:val="72"/>
          <w:szCs w:val="72"/>
        </w:rPr>
      </w:pPr>
    </w:p>
    <w:p w14:paraId="5AE1CFE3" w14:textId="77777777" w:rsidR="00FD6A8B" w:rsidRDefault="00FD6A8B" w:rsidP="006E119F">
      <w:pPr>
        <w:pStyle w:val="Title"/>
        <w:rPr>
          <w:b/>
          <w:bCs/>
          <w:sz w:val="72"/>
          <w:szCs w:val="72"/>
        </w:rPr>
      </w:pPr>
    </w:p>
    <w:p w14:paraId="50713243" w14:textId="77777777" w:rsidR="00FD6A8B" w:rsidRDefault="00FD6A8B" w:rsidP="006E119F">
      <w:pPr>
        <w:pStyle w:val="Title"/>
        <w:rPr>
          <w:b/>
          <w:bCs/>
          <w:sz w:val="72"/>
          <w:szCs w:val="72"/>
        </w:rPr>
      </w:pPr>
    </w:p>
    <w:p w14:paraId="5ABCE69D" w14:textId="7D1F0FA5" w:rsidR="00BE73CB" w:rsidRPr="00BE73CB" w:rsidRDefault="00C86F56" w:rsidP="006E119F">
      <w:pPr>
        <w:pStyle w:val="Title"/>
        <w:rPr>
          <w:b/>
          <w:bCs/>
          <w:sz w:val="72"/>
          <w:szCs w:val="72"/>
        </w:rPr>
      </w:pPr>
      <w:r>
        <w:rPr>
          <w:b/>
          <w:bCs/>
          <w:sz w:val="72"/>
          <w:szCs w:val="72"/>
        </w:rPr>
        <w:t xml:space="preserve">The </w:t>
      </w:r>
      <w:r w:rsidR="0007799F" w:rsidRPr="00BE73CB">
        <w:rPr>
          <w:b/>
          <w:bCs/>
          <w:sz w:val="72"/>
          <w:szCs w:val="72"/>
        </w:rPr>
        <w:t xml:space="preserve">Roles </w:t>
      </w:r>
      <w:r w:rsidR="00DE2639">
        <w:rPr>
          <w:b/>
          <w:bCs/>
          <w:sz w:val="72"/>
          <w:szCs w:val="72"/>
        </w:rPr>
        <w:t xml:space="preserve">and Applications </w:t>
      </w:r>
      <w:r w:rsidR="0007799F" w:rsidRPr="00BE73CB">
        <w:rPr>
          <w:b/>
          <w:bCs/>
          <w:sz w:val="72"/>
          <w:szCs w:val="72"/>
        </w:rPr>
        <w:t xml:space="preserve">of </w:t>
      </w:r>
      <w:r w:rsidR="00BE73CB" w:rsidRPr="00BE73CB">
        <w:rPr>
          <w:b/>
          <w:bCs/>
          <w:sz w:val="72"/>
          <w:szCs w:val="72"/>
        </w:rPr>
        <w:t>V</w:t>
      </w:r>
      <w:r w:rsidR="0007799F" w:rsidRPr="00BE73CB">
        <w:rPr>
          <w:b/>
          <w:bCs/>
          <w:sz w:val="72"/>
          <w:szCs w:val="72"/>
        </w:rPr>
        <w:t xml:space="preserve">aluation </w:t>
      </w:r>
      <w:r w:rsidR="00DE2639">
        <w:rPr>
          <w:b/>
          <w:bCs/>
          <w:sz w:val="72"/>
          <w:szCs w:val="72"/>
        </w:rPr>
        <w:t>in</w:t>
      </w:r>
      <w:r w:rsidR="0007799F" w:rsidRPr="00BE73CB">
        <w:rPr>
          <w:b/>
          <w:bCs/>
          <w:sz w:val="72"/>
          <w:szCs w:val="72"/>
        </w:rPr>
        <w:t xml:space="preserve"> </w:t>
      </w:r>
    </w:p>
    <w:p w14:paraId="2F3C477B" w14:textId="4A0A2EA4" w:rsidR="003A6A59" w:rsidRPr="00BE73CB" w:rsidRDefault="00BE73CB" w:rsidP="006E119F">
      <w:pPr>
        <w:pStyle w:val="Title"/>
        <w:rPr>
          <w:b/>
          <w:bCs/>
          <w:sz w:val="72"/>
          <w:szCs w:val="72"/>
        </w:rPr>
      </w:pPr>
      <w:r w:rsidRPr="00BE73CB">
        <w:rPr>
          <w:b/>
          <w:bCs/>
          <w:sz w:val="72"/>
          <w:szCs w:val="72"/>
        </w:rPr>
        <w:t>R</w:t>
      </w:r>
      <w:r w:rsidR="00323ED7" w:rsidRPr="00BE73CB">
        <w:rPr>
          <w:b/>
          <w:bCs/>
          <w:sz w:val="72"/>
          <w:szCs w:val="72"/>
        </w:rPr>
        <w:t xml:space="preserve">estructuring and </w:t>
      </w:r>
      <w:r w:rsidRPr="00BE73CB">
        <w:rPr>
          <w:b/>
          <w:bCs/>
          <w:sz w:val="72"/>
          <w:szCs w:val="72"/>
        </w:rPr>
        <w:t>I</w:t>
      </w:r>
      <w:r w:rsidR="00323ED7" w:rsidRPr="00BE73CB">
        <w:rPr>
          <w:b/>
          <w:bCs/>
          <w:sz w:val="72"/>
          <w:szCs w:val="72"/>
        </w:rPr>
        <w:t xml:space="preserve">nsolvency </w:t>
      </w:r>
      <w:r w:rsidRPr="00BE73CB">
        <w:rPr>
          <w:b/>
          <w:bCs/>
          <w:sz w:val="72"/>
          <w:szCs w:val="72"/>
        </w:rPr>
        <w:t>C</w:t>
      </w:r>
      <w:r w:rsidR="00323ED7" w:rsidRPr="00BE73CB">
        <w:rPr>
          <w:b/>
          <w:bCs/>
          <w:sz w:val="72"/>
          <w:szCs w:val="72"/>
        </w:rPr>
        <w:t>ontext</w:t>
      </w:r>
    </w:p>
    <w:p w14:paraId="46632D84" w14:textId="77777777" w:rsidR="003A6A59" w:rsidRPr="00BE73CB" w:rsidRDefault="003A6A59" w:rsidP="00365370">
      <w:pPr>
        <w:spacing w:after="0" w:line="360" w:lineRule="auto"/>
        <w:jc w:val="both"/>
        <w:rPr>
          <w:b/>
          <w:bCs/>
          <w:sz w:val="24"/>
          <w:szCs w:val="24"/>
        </w:rPr>
      </w:pPr>
    </w:p>
    <w:p w14:paraId="1F4133A9" w14:textId="77777777" w:rsidR="002E19F7" w:rsidRDefault="002E19F7" w:rsidP="00365370">
      <w:pPr>
        <w:spacing w:after="0" w:line="360" w:lineRule="auto"/>
        <w:jc w:val="both"/>
      </w:pPr>
    </w:p>
    <w:p w14:paraId="5B18A360" w14:textId="77777777" w:rsidR="002E19F7" w:rsidRDefault="002E19F7" w:rsidP="00365370">
      <w:pPr>
        <w:spacing w:after="0" w:line="360" w:lineRule="auto"/>
        <w:jc w:val="both"/>
      </w:pPr>
    </w:p>
    <w:p w14:paraId="53CC17D5" w14:textId="57BB1D4B" w:rsidR="002E19F7" w:rsidRDefault="002E19F7">
      <w:r>
        <w:br w:type="page"/>
      </w:r>
    </w:p>
    <w:sdt>
      <w:sdtPr>
        <w:rPr>
          <w:rFonts w:asciiTheme="minorHAnsi" w:eastAsiaTheme="minorEastAsia" w:hAnsiTheme="minorHAnsi" w:cstheme="minorBidi"/>
          <w:color w:val="auto"/>
          <w:sz w:val="22"/>
          <w:szCs w:val="22"/>
          <w:lang w:val="en-AU" w:eastAsia="zh-TW"/>
        </w:rPr>
        <w:id w:val="307595903"/>
        <w:docPartObj>
          <w:docPartGallery w:val="Table of Contents"/>
          <w:docPartUnique/>
        </w:docPartObj>
      </w:sdtPr>
      <w:sdtEndPr>
        <w:rPr>
          <w:b/>
          <w:bCs/>
          <w:noProof/>
        </w:rPr>
      </w:sdtEndPr>
      <w:sdtContent>
        <w:p w14:paraId="76A9B38D" w14:textId="7B3DB3E1" w:rsidR="00122BDA" w:rsidRPr="006E119F" w:rsidRDefault="00122BDA">
          <w:pPr>
            <w:pStyle w:val="TOCHeading"/>
            <w:rPr>
              <w:b/>
              <w:bCs/>
              <w:color w:val="auto"/>
            </w:rPr>
          </w:pPr>
          <w:r w:rsidRPr="006E119F">
            <w:rPr>
              <w:b/>
              <w:bCs/>
              <w:color w:val="auto"/>
            </w:rPr>
            <w:t>Contents</w:t>
          </w:r>
        </w:p>
        <w:p w14:paraId="2DCE7118" w14:textId="71BF7E6E" w:rsidR="00374DAF" w:rsidRDefault="00122BDA">
          <w:pPr>
            <w:pStyle w:val="TOC1"/>
            <w:tabs>
              <w:tab w:val="left" w:pos="440"/>
              <w:tab w:val="right" w:leader="dot" w:pos="9061"/>
            </w:tabs>
            <w:rPr>
              <w:noProof/>
              <w:kern w:val="2"/>
              <w:lang w:val="en-GB" w:eastAsia="zh-CN"/>
              <w14:ligatures w14:val="standardContextual"/>
            </w:rPr>
          </w:pPr>
          <w:r>
            <w:fldChar w:fldCharType="begin"/>
          </w:r>
          <w:r>
            <w:instrText xml:space="preserve"> TOC \o "1-3" \h \z \u </w:instrText>
          </w:r>
          <w:r>
            <w:fldChar w:fldCharType="separate"/>
          </w:r>
          <w:hyperlink w:anchor="_Toc139797172" w:history="1">
            <w:r w:rsidR="00374DAF" w:rsidRPr="00DD3BD6">
              <w:rPr>
                <w:rStyle w:val="Hyperlink"/>
                <w:rFonts w:cstheme="majorHAnsi"/>
                <w:b/>
                <w:bCs/>
                <w:noProof/>
              </w:rPr>
              <w:t>1.</w:t>
            </w:r>
            <w:r w:rsidR="00374DAF">
              <w:rPr>
                <w:noProof/>
                <w:kern w:val="2"/>
                <w:lang w:val="en-GB" w:eastAsia="zh-CN"/>
                <w14:ligatures w14:val="standardContextual"/>
              </w:rPr>
              <w:tab/>
            </w:r>
            <w:r w:rsidR="00374DAF" w:rsidRPr="00DD3BD6">
              <w:rPr>
                <w:rStyle w:val="Hyperlink"/>
                <w:rFonts w:cstheme="majorHAnsi"/>
                <w:b/>
                <w:bCs/>
                <w:noProof/>
              </w:rPr>
              <w:t>Introduction</w:t>
            </w:r>
            <w:r w:rsidR="00374DAF">
              <w:rPr>
                <w:noProof/>
                <w:webHidden/>
              </w:rPr>
              <w:tab/>
            </w:r>
            <w:r w:rsidR="00374DAF">
              <w:rPr>
                <w:noProof/>
                <w:webHidden/>
              </w:rPr>
              <w:fldChar w:fldCharType="begin"/>
            </w:r>
            <w:r w:rsidR="00374DAF">
              <w:rPr>
                <w:noProof/>
                <w:webHidden/>
              </w:rPr>
              <w:instrText xml:space="preserve"> PAGEREF _Toc139797172 \h </w:instrText>
            </w:r>
            <w:r w:rsidR="00374DAF">
              <w:rPr>
                <w:noProof/>
                <w:webHidden/>
              </w:rPr>
            </w:r>
            <w:r w:rsidR="00374DAF">
              <w:rPr>
                <w:noProof/>
                <w:webHidden/>
              </w:rPr>
              <w:fldChar w:fldCharType="separate"/>
            </w:r>
            <w:r w:rsidR="00374DAF">
              <w:rPr>
                <w:noProof/>
                <w:webHidden/>
              </w:rPr>
              <w:t>3</w:t>
            </w:r>
            <w:r w:rsidR="00374DAF">
              <w:rPr>
                <w:noProof/>
                <w:webHidden/>
              </w:rPr>
              <w:fldChar w:fldCharType="end"/>
            </w:r>
          </w:hyperlink>
        </w:p>
        <w:p w14:paraId="63D5706C" w14:textId="4084437F" w:rsidR="00374DAF" w:rsidRDefault="00374DAF">
          <w:pPr>
            <w:pStyle w:val="TOC1"/>
            <w:tabs>
              <w:tab w:val="left" w:pos="440"/>
              <w:tab w:val="right" w:leader="dot" w:pos="9061"/>
            </w:tabs>
            <w:rPr>
              <w:noProof/>
              <w:kern w:val="2"/>
              <w:lang w:val="en-GB" w:eastAsia="zh-CN"/>
              <w14:ligatures w14:val="standardContextual"/>
            </w:rPr>
          </w:pPr>
          <w:hyperlink w:anchor="_Toc139797173" w:history="1">
            <w:r w:rsidRPr="00DD3BD6">
              <w:rPr>
                <w:rStyle w:val="Hyperlink"/>
                <w:rFonts w:cstheme="majorHAnsi"/>
                <w:b/>
                <w:bCs/>
                <w:noProof/>
              </w:rPr>
              <w:t>2.</w:t>
            </w:r>
            <w:r>
              <w:rPr>
                <w:noProof/>
                <w:kern w:val="2"/>
                <w:lang w:val="en-GB" w:eastAsia="zh-CN"/>
                <w14:ligatures w14:val="standardContextual"/>
              </w:rPr>
              <w:tab/>
            </w:r>
            <w:r w:rsidRPr="00DD3BD6">
              <w:rPr>
                <w:rStyle w:val="Hyperlink"/>
                <w:rFonts w:cstheme="majorHAnsi"/>
                <w:b/>
                <w:bCs/>
                <w:noProof/>
              </w:rPr>
              <w:t>What is valuation?  What is value?  Who determines them?</w:t>
            </w:r>
            <w:r>
              <w:rPr>
                <w:noProof/>
                <w:webHidden/>
              </w:rPr>
              <w:tab/>
            </w:r>
            <w:r>
              <w:rPr>
                <w:noProof/>
                <w:webHidden/>
              </w:rPr>
              <w:fldChar w:fldCharType="begin"/>
            </w:r>
            <w:r>
              <w:rPr>
                <w:noProof/>
                <w:webHidden/>
              </w:rPr>
              <w:instrText xml:space="preserve"> PAGEREF _Toc139797173 \h </w:instrText>
            </w:r>
            <w:r>
              <w:rPr>
                <w:noProof/>
                <w:webHidden/>
              </w:rPr>
            </w:r>
            <w:r>
              <w:rPr>
                <w:noProof/>
                <w:webHidden/>
              </w:rPr>
              <w:fldChar w:fldCharType="separate"/>
            </w:r>
            <w:r>
              <w:rPr>
                <w:noProof/>
                <w:webHidden/>
              </w:rPr>
              <w:t>4</w:t>
            </w:r>
            <w:r>
              <w:rPr>
                <w:noProof/>
                <w:webHidden/>
              </w:rPr>
              <w:fldChar w:fldCharType="end"/>
            </w:r>
          </w:hyperlink>
        </w:p>
        <w:p w14:paraId="0E46BCC0" w14:textId="39C1F70C" w:rsidR="00374DAF" w:rsidRDefault="00374DAF" w:rsidP="00374DAF">
          <w:pPr>
            <w:pStyle w:val="TOC2"/>
            <w:tabs>
              <w:tab w:val="right" w:leader="dot" w:pos="9061"/>
            </w:tabs>
            <w:ind w:left="426"/>
            <w:rPr>
              <w:noProof/>
              <w:kern w:val="2"/>
              <w:lang w:val="en-GB" w:eastAsia="zh-CN"/>
              <w14:ligatures w14:val="standardContextual"/>
            </w:rPr>
          </w:pPr>
          <w:hyperlink w:anchor="_Toc139797174" w:history="1">
            <w:r w:rsidRPr="00DD3BD6">
              <w:rPr>
                <w:rStyle w:val="Hyperlink"/>
                <w:i/>
                <w:iCs/>
                <w:noProof/>
              </w:rPr>
              <w:t>2.1 General definition of fair value and treatment of valuation</w:t>
            </w:r>
            <w:r>
              <w:rPr>
                <w:noProof/>
                <w:webHidden/>
              </w:rPr>
              <w:tab/>
            </w:r>
            <w:r>
              <w:rPr>
                <w:noProof/>
                <w:webHidden/>
              </w:rPr>
              <w:fldChar w:fldCharType="begin"/>
            </w:r>
            <w:r>
              <w:rPr>
                <w:noProof/>
                <w:webHidden/>
              </w:rPr>
              <w:instrText xml:space="preserve"> PAGEREF _Toc139797174 \h </w:instrText>
            </w:r>
            <w:r>
              <w:rPr>
                <w:noProof/>
                <w:webHidden/>
              </w:rPr>
            </w:r>
            <w:r>
              <w:rPr>
                <w:noProof/>
                <w:webHidden/>
              </w:rPr>
              <w:fldChar w:fldCharType="separate"/>
            </w:r>
            <w:r>
              <w:rPr>
                <w:noProof/>
                <w:webHidden/>
              </w:rPr>
              <w:t>4</w:t>
            </w:r>
            <w:r>
              <w:rPr>
                <w:noProof/>
                <w:webHidden/>
              </w:rPr>
              <w:fldChar w:fldCharType="end"/>
            </w:r>
          </w:hyperlink>
        </w:p>
        <w:p w14:paraId="4AC3B93D" w14:textId="7FE0CD1F" w:rsidR="00374DAF" w:rsidRDefault="00374DAF" w:rsidP="00374DAF">
          <w:pPr>
            <w:pStyle w:val="TOC2"/>
            <w:tabs>
              <w:tab w:val="right" w:leader="dot" w:pos="9061"/>
            </w:tabs>
            <w:ind w:left="426"/>
            <w:rPr>
              <w:noProof/>
              <w:kern w:val="2"/>
              <w:lang w:val="en-GB" w:eastAsia="zh-CN"/>
              <w14:ligatures w14:val="standardContextual"/>
            </w:rPr>
          </w:pPr>
          <w:hyperlink w:anchor="_Toc139797175" w:history="1">
            <w:r w:rsidRPr="00DD3BD6">
              <w:rPr>
                <w:rStyle w:val="Hyperlink"/>
                <w:i/>
                <w:iCs/>
                <w:noProof/>
              </w:rPr>
              <w:t>2.2 Valuation in restructuring &amp; insolvency context</w:t>
            </w:r>
            <w:r>
              <w:rPr>
                <w:noProof/>
                <w:webHidden/>
              </w:rPr>
              <w:tab/>
            </w:r>
            <w:r>
              <w:rPr>
                <w:noProof/>
                <w:webHidden/>
              </w:rPr>
              <w:fldChar w:fldCharType="begin"/>
            </w:r>
            <w:r>
              <w:rPr>
                <w:noProof/>
                <w:webHidden/>
              </w:rPr>
              <w:instrText xml:space="preserve"> PAGEREF _Toc139797175 \h </w:instrText>
            </w:r>
            <w:r>
              <w:rPr>
                <w:noProof/>
                <w:webHidden/>
              </w:rPr>
            </w:r>
            <w:r>
              <w:rPr>
                <w:noProof/>
                <w:webHidden/>
              </w:rPr>
              <w:fldChar w:fldCharType="separate"/>
            </w:r>
            <w:r>
              <w:rPr>
                <w:noProof/>
                <w:webHidden/>
              </w:rPr>
              <w:t>4</w:t>
            </w:r>
            <w:r>
              <w:rPr>
                <w:noProof/>
                <w:webHidden/>
              </w:rPr>
              <w:fldChar w:fldCharType="end"/>
            </w:r>
          </w:hyperlink>
        </w:p>
        <w:p w14:paraId="51A6286F" w14:textId="1C7E4132" w:rsidR="00374DAF" w:rsidRDefault="00374DAF">
          <w:pPr>
            <w:pStyle w:val="TOC1"/>
            <w:tabs>
              <w:tab w:val="left" w:pos="440"/>
              <w:tab w:val="right" w:leader="dot" w:pos="9061"/>
            </w:tabs>
            <w:rPr>
              <w:noProof/>
              <w:kern w:val="2"/>
              <w:lang w:val="en-GB" w:eastAsia="zh-CN"/>
              <w14:ligatures w14:val="standardContextual"/>
            </w:rPr>
          </w:pPr>
          <w:hyperlink w:anchor="_Toc139797176" w:history="1">
            <w:r w:rsidRPr="00DD3BD6">
              <w:rPr>
                <w:rStyle w:val="Hyperlink"/>
                <w:rFonts w:cstheme="majorHAnsi"/>
                <w:b/>
                <w:bCs/>
                <w:noProof/>
              </w:rPr>
              <w:t>3.</w:t>
            </w:r>
            <w:r>
              <w:rPr>
                <w:noProof/>
                <w:kern w:val="2"/>
                <w:lang w:val="en-GB" w:eastAsia="zh-CN"/>
                <w14:ligatures w14:val="standardContextual"/>
              </w:rPr>
              <w:tab/>
            </w:r>
            <w:r w:rsidRPr="00DD3BD6">
              <w:rPr>
                <w:rStyle w:val="Hyperlink"/>
                <w:rFonts w:cstheme="majorHAnsi"/>
                <w:b/>
                <w:bCs/>
                <w:noProof/>
              </w:rPr>
              <w:t>How are valuation methodology and value chosen?</w:t>
            </w:r>
            <w:r>
              <w:rPr>
                <w:noProof/>
                <w:webHidden/>
              </w:rPr>
              <w:tab/>
            </w:r>
            <w:r>
              <w:rPr>
                <w:noProof/>
                <w:webHidden/>
              </w:rPr>
              <w:fldChar w:fldCharType="begin"/>
            </w:r>
            <w:r>
              <w:rPr>
                <w:noProof/>
                <w:webHidden/>
              </w:rPr>
              <w:instrText xml:space="preserve"> PAGEREF _Toc139797176 \h </w:instrText>
            </w:r>
            <w:r>
              <w:rPr>
                <w:noProof/>
                <w:webHidden/>
              </w:rPr>
            </w:r>
            <w:r>
              <w:rPr>
                <w:noProof/>
                <w:webHidden/>
              </w:rPr>
              <w:fldChar w:fldCharType="separate"/>
            </w:r>
            <w:r>
              <w:rPr>
                <w:noProof/>
                <w:webHidden/>
              </w:rPr>
              <w:t>5</w:t>
            </w:r>
            <w:r>
              <w:rPr>
                <w:noProof/>
                <w:webHidden/>
              </w:rPr>
              <w:fldChar w:fldCharType="end"/>
            </w:r>
          </w:hyperlink>
        </w:p>
        <w:p w14:paraId="6E6A0AE7" w14:textId="4348C023" w:rsidR="00374DAF" w:rsidRDefault="00374DAF" w:rsidP="00374DAF">
          <w:pPr>
            <w:pStyle w:val="TOC2"/>
            <w:tabs>
              <w:tab w:val="right" w:leader="dot" w:pos="9061"/>
            </w:tabs>
            <w:ind w:left="426"/>
            <w:rPr>
              <w:noProof/>
              <w:kern w:val="2"/>
              <w:lang w:val="en-GB" w:eastAsia="zh-CN"/>
              <w14:ligatures w14:val="standardContextual"/>
            </w:rPr>
          </w:pPr>
          <w:hyperlink w:anchor="_Toc139797177" w:history="1">
            <w:r w:rsidRPr="00DD3BD6">
              <w:rPr>
                <w:rStyle w:val="Hyperlink"/>
                <w:i/>
                <w:iCs/>
                <w:noProof/>
              </w:rPr>
              <w:t>3.1 Sears Holdings Corporation</w:t>
            </w:r>
            <w:r>
              <w:rPr>
                <w:noProof/>
                <w:webHidden/>
              </w:rPr>
              <w:tab/>
            </w:r>
            <w:r>
              <w:rPr>
                <w:noProof/>
                <w:webHidden/>
              </w:rPr>
              <w:fldChar w:fldCharType="begin"/>
            </w:r>
            <w:r>
              <w:rPr>
                <w:noProof/>
                <w:webHidden/>
              </w:rPr>
              <w:instrText xml:space="preserve"> PAGEREF _Toc139797177 \h </w:instrText>
            </w:r>
            <w:r>
              <w:rPr>
                <w:noProof/>
                <w:webHidden/>
              </w:rPr>
            </w:r>
            <w:r>
              <w:rPr>
                <w:noProof/>
                <w:webHidden/>
              </w:rPr>
              <w:fldChar w:fldCharType="separate"/>
            </w:r>
            <w:r>
              <w:rPr>
                <w:noProof/>
                <w:webHidden/>
              </w:rPr>
              <w:t>5</w:t>
            </w:r>
            <w:r>
              <w:rPr>
                <w:noProof/>
                <w:webHidden/>
              </w:rPr>
              <w:fldChar w:fldCharType="end"/>
            </w:r>
          </w:hyperlink>
        </w:p>
        <w:p w14:paraId="7531454A" w14:textId="482257BE" w:rsidR="00374DAF" w:rsidRDefault="00374DAF" w:rsidP="00374DAF">
          <w:pPr>
            <w:pStyle w:val="TOC2"/>
            <w:tabs>
              <w:tab w:val="right" w:leader="dot" w:pos="9061"/>
            </w:tabs>
            <w:ind w:left="426"/>
            <w:rPr>
              <w:noProof/>
              <w:kern w:val="2"/>
              <w:lang w:val="en-GB" w:eastAsia="zh-CN"/>
              <w14:ligatures w14:val="standardContextual"/>
            </w:rPr>
          </w:pPr>
          <w:hyperlink w:anchor="_Toc139797178" w:history="1">
            <w:r w:rsidRPr="00DD3BD6">
              <w:rPr>
                <w:rStyle w:val="Hyperlink"/>
                <w:i/>
                <w:iCs/>
                <w:noProof/>
              </w:rPr>
              <w:t>3.2 Smile Telecoms Holdings Ltd</w:t>
            </w:r>
            <w:r>
              <w:rPr>
                <w:noProof/>
                <w:webHidden/>
              </w:rPr>
              <w:tab/>
            </w:r>
            <w:r>
              <w:rPr>
                <w:noProof/>
                <w:webHidden/>
              </w:rPr>
              <w:fldChar w:fldCharType="begin"/>
            </w:r>
            <w:r>
              <w:rPr>
                <w:noProof/>
                <w:webHidden/>
              </w:rPr>
              <w:instrText xml:space="preserve"> PAGEREF _Toc139797178 \h </w:instrText>
            </w:r>
            <w:r>
              <w:rPr>
                <w:noProof/>
                <w:webHidden/>
              </w:rPr>
            </w:r>
            <w:r>
              <w:rPr>
                <w:noProof/>
                <w:webHidden/>
              </w:rPr>
              <w:fldChar w:fldCharType="separate"/>
            </w:r>
            <w:r>
              <w:rPr>
                <w:noProof/>
                <w:webHidden/>
              </w:rPr>
              <w:t>6</w:t>
            </w:r>
            <w:r>
              <w:rPr>
                <w:noProof/>
                <w:webHidden/>
              </w:rPr>
              <w:fldChar w:fldCharType="end"/>
            </w:r>
          </w:hyperlink>
        </w:p>
        <w:p w14:paraId="7E3C0E02" w14:textId="2D59FE39" w:rsidR="00374DAF" w:rsidRDefault="00374DAF" w:rsidP="00374DAF">
          <w:pPr>
            <w:pStyle w:val="TOC2"/>
            <w:tabs>
              <w:tab w:val="right" w:leader="dot" w:pos="9061"/>
            </w:tabs>
            <w:ind w:left="426"/>
            <w:rPr>
              <w:noProof/>
              <w:kern w:val="2"/>
              <w:lang w:val="en-GB" w:eastAsia="zh-CN"/>
              <w14:ligatures w14:val="standardContextual"/>
            </w:rPr>
          </w:pPr>
          <w:hyperlink w:anchor="_Toc139797179" w:history="1">
            <w:r w:rsidRPr="00DD3BD6">
              <w:rPr>
                <w:rStyle w:val="Hyperlink"/>
                <w:i/>
                <w:iCs/>
                <w:noProof/>
              </w:rPr>
              <w:t>3.3 Adler Group SA</w:t>
            </w:r>
            <w:r>
              <w:rPr>
                <w:noProof/>
                <w:webHidden/>
              </w:rPr>
              <w:tab/>
            </w:r>
            <w:r>
              <w:rPr>
                <w:noProof/>
                <w:webHidden/>
              </w:rPr>
              <w:fldChar w:fldCharType="begin"/>
            </w:r>
            <w:r>
              <w:rPr>
                <w:noProof/>
                <w:webHidden/>
              </w:rPr>
              <w:instrText xml:space="preserve"> PAGEREF _Toc139797179 \h </w:instrText>
            </w:r>
            <w:r>
              <w:rPr>
                <w:noProof/>
                <w:webHidden/>
              </w:rPr>
            </w:r>
            <w:r>
              <w:rPr>
                <w:noProof/>
                <w:webHidden/>
              </w:rPr>
              <w:fldChar w:fldCharType="separate"/>
            </w:r>
            <w:r>
              <w:rPr>
                <w:noProof/>
                <w:webHidden/>
              </w:rPr>
              <w:t>8</w:t>
            </w:r>
            <w:r>
              <w:rPr>
                <w:noProof/>
                <w:webHidden/>
              </w:rPr>
              <w:fldChar w:fldCharType="end"/>
            </w:r>
          </w:hyperlink>
        </w:p>
        <w:p w14:paraId="60F252BE" w14:textId="0B768D11" w:rsidR="00374DAF" w:rsidRDefault="00374DAF">
          <w:pPr>
            <w:pStyle w:val="TOC1"/>
            <w:tabs>
              <w:tab w:val="left" w:pos="440"/>
              <w:tab w:val="right" w:leader="dot" w:pos="9061"/>
            </w:tabs>
            <w:rPr>
              <w:noProof/>
              <w:kern w:val="2"/>
              <w:lang w:val="en-GB" w:eastAsia="zh-CN"/>
              <w14:ligatures w14:val="standardContextual"/>
            </w:rPr>
          </w:pPr>
          <w:hyperlink w:anchor="_Toc139797180" w:history="1">
            <w:r w:rsidRPr="00DD3BD6">
              <w:rPr>
                <w:rStyle w:val="Hyperlink"/>
                <w:rFonts w:cstheme="majorHAnsi"/>
                <w:b/>
                <w:bCs/>
                <w:noProof/>
              </w:rPr>
              <w:t>4.</w:t>
            </w:r>
            <w:r>
              <w:rPr>
                <w:noProof/>
                <w:kern w:val="2"/>
                <w:lang w:val="en-GB" w:eastAsia="zh-CN"/>
                <w14:ligatures w14:val="standardContextual"/>
              </w:rPr>
              <w:tab/>
            </w:r>
            <w:r w:rsidRPr="00DD3BD6">
              <w:rPr>
                <w:rStyle w:val="Hyperlink"/>
                <w:rFonts w:cstheme="majorHAnsi"/>
                <w:b/>
                <w:bCs/>
                <w:noProof/>
              </w:rPr>
              <w:t>Conclusion</w:t>
            </w:r>
            <w:r>
              <w:rPr>
                <w:noProof/>
                <w:webHidden/>
              </w:rPr>
              <w:tab/>
            </w:r>
            <w:r>
              <w:rPr>
                <w:noProof/>
                <w:webHidden/>
              </w:rPr>
              <w:fldChar w:fldCharType="begin"/>
            </w:r>
            <w:r>
              <w:rPr>
                <w:noProof/>
                <w:webHidden/>
              </w:rPr>
              <w:instrText xml:space="preserve"> PAGEREF _Toc139797180 \h </w:instrText>
            </w:r>
            <w:r>
              <w:rPr>
                <w:noProof/>
                <w:webHidden/>
              </w:rPr>
            </w:r>
            <w:r>
              <w:rPr>
                <w:noProof/>
                <w:webHidden/>
              </w:rPr>
              <w:fldChar w:fldCharType="separate"/>
            </w:r>
            <w:r>
              <w:rPr>
                <w:noProof/>
                <w:webHidden/>
              </w:rPr>
              <w:t>9</w:t>
            </w:r>
            <w:r>
              <w:rPr>
                <w:noProof/>
                <w:webHidden/>
              </w:rPr>
              <w:fldChar w:fldCharType="end"/>
            </w:r>
          </w:hyperlink>
        </w:p>
        <w:p w14:paraId="4B5D3224" w14:textId="7297B4BA" w:rsidR="00374DAF" w:rsidRDefault="00374DAF">
          <w:pPr>
            <w:pStyle w:val="TOC1"/>
            <w:tabs>
              <w:tab w:val="left" w:pos="440"/>
              <w:tab w:val="right" w:leader="dot" w:pos="9061"/>
            </w:tabs>
            <w:rPr>
              <w:noProof/>
              <w:kern w:val="2"/>
              <w:lang w:val="en-GB" w:eastAsia="zh-CN"/>
              <w14:ligatures w14:val="standardContextual"/>
            </w:rPr>
          </w:pPr>
          <w:hyperlink w:anchor="_Toc139797181" w:history="1">
            <w:r w:rsidRPr="00DD3BD6">
              <w:rPr>
                <w:rStyle w:val="Hyperlink"/>
                <w:rFonts w:cstheme="majorHAnsi"/>
                <w:b/>
                <w:bCs/>
                <w:noProof/>
              </w:rPr>
              <w:t>5.</w:t>
            </w:r>
            <w:r>
              <w:rPr>
                <w:noProof/>
                <w:kern w:val="2"/>
                <w:lang w:val="en-GB" w:eastAsia="zh-CN"/>
                <w14:ligatures w14:val="standardContextual"/>
              </w:rPr>
              <w:tab/>
            </w:r>
            <w:r w:rsidRPr="00DD3BD6">
              <w:rPr>
                <w:rStyle w:val="Hyperlink"/>
                <w:rFonts w:cstheme="majorHAnsi"/>
                <w:b/>
                <w:bCs/>
                <w:noProof/>
              </w:rPr>
              <w:t>Bibliography</w:t>
            </w:r>
            <w:r>
              <w:rPr>
                <w:noProof/>
                <w:webHidden/>
              </w:rPr>
              <w:tab/>
            </w:r>
            <w:r>
              <w:rPr>
                <w:noProof/>
                <w:webHidden/>
              </w:rPr>
              <w:fldChar w:fldCharType="begin"/>
            </w:r>
            <w:r>
              <w:rPr>
                <w:noProof/>
                <w:webHidden/>
              </w:rPr>
              <w:instrText xml:space="preserve"> PAGEREF _Toc139797181 \h </w:instrText>
            </w:r>
            <w:r>
              <w:rPr>
                <w:noProof/>
                <w:webHidden/>
              </w:rPr>
            </w:r>
            <w:r>
              <w:rPr>
                <w:noProof/>
                <w:webHidden/>
              </w:rPr>
              <w:fldChar w:fldCharType="separate"/>
            </w:r>
            <w:r>
              <w:rPr>
                <w:noProof/>
                <w:webHidden/>
              </w:rPr>
              <w:t>11</w:t>
            </w:r>
            <w:r>
              <w:rPr>
                <w:noProof/>
                <w:webHidden/>
              </w:rPr>
              <w:fldChar w:fldCharType="end"/>
            </w:r>
          </w:hyperlink>
        </w:p>
        <w:p w14:paraId="675A2A4C" w14:textId="5159773A" w:rsidR="00122BDA" w:rsidRDefault="00122BDA">
          <w:r>
            <w:rPr>
              <w:b/>
              <w:bCs/>
              <w:noProof/>
            </w:rPr>
            <w:fldChar w:fldCharType="end"/>
          </w:r>
        </w:p>
      </w:sdtContent>
    </w:sdt>
    <w:p w14:paraId="405FBB0F" w14:textId="77777777" w:rsidR="002E19F7" w:rsidRDefault="002E19F7" w:rsidP="00365370">
      <w:pPr>
        <w:spacing w:after="0" w:line="360" w:lineRule="auto"/>
        <w:jc w:val="both"/>
      </w:pPr>
    </w:p>
    <w:p w14:paraId="5F2536D8" w14:textId="0E2D938A" w:rsidR="003A6A59" w:rsidRDefault="003A6A59">
      <w:r>
        <w:br w:type="page"/>
      </w:r>
    </w:p>
    <w:p w14:paraId="0581DF2A" w14:textId="723E2957" w:rsidR="003A6A59" w:rsidRPr="00725165" w:rsidRDefault="00B323E2" w:rsidP="00187C9B">
      <w:pPr>
        <w:pStyle w:val="Heading1"/>
        <w:numPr>
          <w:ilvl w:val="0"/>
          <w:numId w:val="9"/>
        </w:numPr>
        <w:ind w:left="567" w:hanging="567"/>
        <w:rPr>
          <w:rFonts w:cstheme="majorHAnsi"/>
          <w:b/>
          <w:bCs/>
          <w:color w:val="auto"/>
        </w:rPr>
      </w:pPr>
      <w:bookmarkStart w:id="0" w:name="_Toc139797172"/>
      <w:r w:rsidRPr="00725165">
        <w:rPr>
          <w:rFonts w:cstheme="majorHAnsi"/>
          <w:b/>
          <w:bCs/>
          <w:color w:val="auto"/>
        </w:rPr>
        <w:lastRenderedPageBreak/>
        <w:t>Introduction</w:t>
      </w:r>
      <w:bookmarkEnd w:id="0"/>
    </w:p>
    <w:p w14:paraId="353DD1D3" w14:textId="319B55EE" w:rsidR="00A60B2D" w:rsidRDefault="000C239F" w:rsidP="000C7F73">
      <w:pPr>
        <w:spacing w:after="120" w:line="360" w:lineRule="auto"/>
        <w:jc w:val="both"/>
      </w:pPr>
      <w:r>
        <w:t xml:space="preserve">Valuation has been playing an important role nowadays, particular in the restructuring and insolvency space.  </w:t>
      </w:r>
      <w:r w:rsidR="00753A3F">
        <w:t>It is a crucial tool to monetarise</w:t>
      </w:r>
      <w:r w:rsidR="00AE0CAA">
        <w:t xml:space="preserve"> </w:t>
      </w:r>
      <w:r w:rsidR="00753A3F">
        <w:t>a restructuring plan which relevant stakeholders are required to evaluate to determine its fairness</w:t>
      </w:r>
      <w:r w:rsidR="00A60B2D">
        <w:t xml:space="preserve"> and whether it is acceptable</w:t>
      </w:r>
      <w:r w:rsidR="00753A3F">
        <w:t xml:space="preserve">.  </w:t>
      </w:r>
      <w:r w:rsidR="00C44B84">
        <w:t>There is a wide range of aspects in the restructuring plan which require valuation</w:t>
      </w:r>
      <w:r w:rsidR="00C44B84" w:rsidRPr="00E65794">
        <w:t xml:space="preserve">.  For example, value of the business, claims by the secured or unsecured creditors, assets or collaterals, </w:t>
      </w:r>
      <w:r w:rsidR="009845A3" w:rsidRPr="00E65794">
        <w:t xml:space="preserve">cross-class cram down, </w:t>
      </w:r>
      <w:r w:rsidR="004B3265" w:rsidRPr="00E65794">
        <w:t xml:space="preserve">break-even, </w:t>
      </w:r>
      <w:r w:rsidR="00C44B84" w:rsidRPr="00E65794">
        <w:t xml:space="preserve">contingency, etc.  </w:t>
      </w:r>
      <w:r w:rsidR="00753A3F" w:rsidRPr="00E65794">
        <w:t>Valuation</w:t>
      </w:r>
      <w:r w:rsidR="00A60B2D" w:rsidRPr="00E65794">
        <w:t xml:space="preserve">, if used properly, plays a big part </w:t>
      </w:r>
      <w:r w:rsidR="00C44B84" w:rsidRPr="00E65794">
        <w:t>to</w:t>
      </w:r>
      <w:r w:rsidR="00C44B84">
        <w:t xml:space="preserve"> address these iss</w:t>
      </w:r>
      <w:r w:rsidR="00476528">
        <w:t xml:space="preserve">ues and assist </w:t>
      </w:r>
      <w:r w:rsidR="00A60B2D">
        <w:t xml:space="preserve">in the decision-making process.  </w:t>
      </w:r>
    </w:p>
    <w:p w14:paraId="6C2287D7" w14:textId="02C7408A" w:rsidR="000C239F" w:rsidRDefault="00A60B2D" w:rsidP="000C7F73">
      <w:pPr>
        <w:spacing w:after="120" w:line="360" w:lineRule="auto"/>
        <w:jc w:val="both"/>
      </w:pPr>
      <w:r>
        <w:t xml:space="preserve">However, valuation has also been one of the </w:t>
      </w:r>
      <w:r w:rsidR="007E1DB7">
        <w:t>intense</w:t>
      </w:r>
      <w:r w:rsidR="001E3AE0">
        <w:t xml:space="preserve"> </w:t>
      </w:r>
      <w:r>
        <w:t xml:space="preserve">arguments </w:t>
      </w:r>
      <w:r w:rsidR="001E3AE0">
        <w:t xml:space="preserve">in the court given that it requires professional judgement.  As </w:t>
      </w:r>
      <w:r w:rsidR="00945CEC">
        <w:t>many have</w:t>
      </w:r>
      <w:r w:rsidR="001E3AE0">
        <w:t xml:space="preserve"> said, business valuation is both an art and a science.  </w:t>
      </w:r>
      <w:r w:rsidR="00945CEC">
        <w:t>While it requires certain financial and accounting background with calculation, i</w:t>
      </w:r>
      <w:r w:rsidR="001E3AE0">
        <w:t xml:space="preserve">t </w:t>
      </w:r>
      <w:r w:rsidR="00945CEC">
        <w:t xml:space="preserve">also </w:t>
      </w:r>
      <w:r w:rsidR="001E3AE0">
        <w:t xml:space="preserve">requires the selection of the appropriate </w:t>
      </w:r>
      <w:r w:rsidR="00187C9B">
        <w:t xml:space="preserve">methodology and </w:t>
      </w:r>
      <w:r w:rsidR="001E3AE0">
        <w:t xml:space="preserve">assumption, usually within a set of limitations such as information asymmetry or uncertainty on future events.  It is further complicated with the different perspectives held by various stakeholders.  Therefore, the choice of the justifiable valuation methodology, </w:t>
      </w:r>
      <w:r w:rsidR="000B4B1F">
        <w:t xml:space="preserve">value, </w:t>
      </w:r>
      <w:r w:rsidR="001E3AE0">
        <w:t>approach, assumptions</w:t>
      </w:r>
      <w:r w:rsidR="0029656B">
        <w:t>, timing</w:t>
      </w:r>
      <w:r w:rsidR="001E3AE0">
        <w:t>, has given rise to the disputes among different stakeholders</w:t>
      </w:r>
      <w:r w:rsidR="00CA7253">
        <w:t xml:space="preserve"> when eva</w:t>
      </w:r>
      <w:r w:rsidR="00C44B84">
        <w:t>luating a restructuring plan</w:t>
      </w:r>
      <w:r w:rsidR="001E3AE0">
        <w:t xml:space="preserve">.  </w:t>
      </w:r>
    </w:p>
    <w:p w14:paraId="6BC66455" w14:textId="20C4A280" w:rsidR="000C5BC0" w:rsidRDefault="008C2EEC" w:rsidP="000C7F73">
      <w:pPr>
        <w:spacing w:after="120" w:line="360" w:lineRule="auto"/>
        <w:jc w:val="both"/>
      </w:pPr>
      <w:r>
        <w:t xml:space="preserve">The essential elements to be met </w:t>
      </w:r>
      <w:proofErr w:type="gramStart"/>
      <w:r>
        <w:t>in order to</w:t>
      </w:r>
      <w:proofErr w:type="gramEnd"/>
      <w:r>
        <w:t xml:space="preserve"> satisfy the court that a restructuring plan should be sanctioned require the </w:t>
      </w:r>
      <w:r w:rsidRPr="007A3628">
        <w:t xml:space="preserve">assistance of valuation.  </w:t>
      </w:r>
      <w:r w:rsidR="00E2471D" w:rsidRPr="007A3628">
        <w:t xml:space="preserve">The </w:t>
      </w:r>
      <w:r w:rsidR="0059682E">
        <w:t>“</w:t>
      </w:r>
      <w:r w:rsidR="00E2471D" w:rsidRPr="007A3628">
        <w:t>no worse off</w:t>
      </w:r>
      <w:r w:rsidR="00A4629C">
        <w:t>”</w:t>
      </w:r>
      <w:r w:rsidR="00E2471D" w:rsidRPr="007A3628">
        <w:t xml:space="preserve"> test and </w:t>
      </w:r>
      <w:r w:rsidR="00FE4800" w:rsidRPr="007A3628">
        <w:t xml:space="preserve">the </w:t>
      </w:r>
      <w:r w:rsidR="0059682E">
        <w:t>“</w:t>
      </w:r>
      <w:r w:rsidR="00E2471D" w:rsidRPr="007A3628">
        <w:t>genuine economic interest</w:t>
      </w:r>
      <w:r w:rsidR="00A4629C">
        <w:t>”</w:t>
      </w:r>
      <w:r w:rsidR="00E2471D" w:rsidRPr="007A3628">
        <w:t xml:space="preserve"> test under </w:t>
      </w:r>
      <w:r w:rsidRPr="007A3628">
        <w:t>Part 26A</w:t>
      </w:r>
      <w:r w:rsidR="00E2471D" w:rsidRPr="007A3628">
        <w:t xml:space="preserve"> of the UK Companies Act 2006</w:t>
      </w:r>
      <w:r w:rsidRPr="007A3628">
        <w:t>,</w:t>
      </w:r>
      <w:r w:rsidR="00C727DA" w:rsidRPr="00C727DA">
        <w:rPr>
          <w:rStyle w:val="FootnoteReference"/>
        </w:rPr>
        <w:t xml:space="preserve"> </w:t>
      </w:r>
      <w:r w:rsidR="00C727DA" w:rsidRPr="007A3628">
        <w:rPr>
          <w:rStyle w:val="FootnoteReference"/>
        </w:rPr>
        <w:footnoteReference w:id="1"/>
      </w:r>
      <w:r w:rsidRPr="007A3628">
        <w:t xml:space="preserve"> </w:t>
      </w:r>
      <w:r w:rsidR="00890950" w:rsidRPr="007A3628">
        <w:t xml:space="preserve">and the </w:t>
      </w:r>
      <w:r w:rsidR="00A4629C">
        <w:t>“</w:t>
      </w:r>
      <w:r w:rsidR="00065495" w:rsidRPr="007A3628">
        <w:t>best interests of creditor</w:t>
      </w:r>
      <w:r w:rsidR="00E05FFC">
        <w:t>s”</w:t>
      </w:r>
      <w:r w:rsidR="00065495" w:rsidRPr="007A3628">
        <w:t xml:space="preserve"> test and </w:t>
      </w:r>
      <w:r w:rsidR="00FE4800" w:rsidRPr="007A3628">
        <w:t xml:space="preserve">the </w:t>
      </w:r>
      <w:r w:rsidR="00E05FFC">
        <w:t>“</w:t>
      </w:r>
      <w:r w:rsidR="00FE4800" w:rsidRPr="007A3628">
        <w:t>absolute priority</w:t>
      </w:r>
      <w:r w:rsidR="00E05FFC">
        <w:t>”</w:t>
      </w:r>
      <w:r w:rsidR="00FE4800" w:rsidRPr="007A3628">
        <w:t xml:space="preserve"> test under </w:t>
      </w:r>
      <w:r w:rsidRPr="007A3628">
        <w:t>Chapter 11</w:t>
      </w:r>
      <w:r w:rsidR="00FE4800" w:rsidRPr="007A3628">
        <w:t xml:space="preserve"> of the US Bankruptcy Code</w:t>
      </w:r>
      <w:r w:rsidR="00C0429F" w:rsidRPr="007A3628">
        <w:rPr>
          <w:rStyle w:val="FootnoteReference"/>
        </w:rPr>
        <w:footnoteReference w:id="2"/>
      </w:r>
      <w:r w:rsidR="00890950" w:rsidRPr="007A3628">
        <w:t xml:space="preserve"> </w:t>
      </w:r>
      <w:r w:rsidR="00BD4292" w:rsidRPr="007A3628">
        <w:t xml:space="preserve">are the elements that need to be met for sanction of a restructuring plan in which valuation </w:t>
      </w:r>
      <w:r w:rsidR="007A3628" w:rsidRPr="007A3628">
        <w:t>can assist in answering the question</w:t>
      </w:r>
      <w:r w:rsidR="00187C9B">
        <w:t>s</w:t>
      </w:r>
      <w:r w:rsidR="00CB0208" w:rsidRPr="007A3628">
        <w:t>.  Similar concept</w:t>
      </w:r>
      <w:r w:rsidR="00A100C0">
        <w:t>s</w:t>
      </w:r>
      <w:r w:rsidR="00CB0208" w:rsidRPr="007A3628">
        <w:t xml:space="preserve"> w</w:t>
      </w:r>
      <w:r w:rsidR="00A100C0">
        <w:t>ere</w:t>
      </w:r>
      <w:r w:rsidR="00CB0208" w:rsidRPr="007A3628">
        <w:t xml:space="preserve"> also introduced in </w:t>
      </w:r>
      <w:r w:rsidR="0029656B">
        <w:t xml:space="preserve">the restructuring regime in </w:t>
      </w:r>
      <w:r w:rsidR="00CB0208" w:rsidRPr="007A3628">
        <w:t xml:space="preserve">the </w:t>
      </w:r>
      <w:r w:rsidR="00E33F3C" w:rsidRPr="007A3628">
        <w:t>Netherlands</w:t>
      </w:r>
      <w:r w:rsidR="00436247" w:rsidRPr="007A3628">
        <w:t xml:space="preserve"> </w:t>
      </w:r>
      <w:r w:rsidR="00E33F3C" w:rsidRPr="007A3628">
        <w:t xml:space="preserve">under </w:t>
      </w:r>
      <w:r w:rsidR="00E33F3C" w:rsidRPr="00DE2639">
        <w:t xml:space="preserve">the Dutch </w:t>
      </w:r>
      <w:r w:rsidR="00436247" w:rsidRPr="00DE2639">
        <w:t xml:space="preserve">Wet </w:t>
      </w:r>
      <w:proofErr w:type="spellStart"/>
      <w:r w:rsidR="000A6020">
        <w:t>H</w:t>
      </w:r>
      <w:r w:rsidR="00436247" w:rsidRPr="00DE2639">
        <w:t>omologatie</w:t>
      </w:r>
      <w:proofErr w:type="spellEnd"/>
      <w:r w:rsidR="00436247" w:rsidRPr="00DE2639">
        <w:t xml:space="preserve"> </w:t>
      </w:r>
      <w:proofErr w:type="spellStart"/>
      <w:r w:rsidR="000A6020">
        <w:t>O</w:t>
      </w:r>
      <w:r w:rsidR="00436247" w:rsidRPr="00DE2639">
        <w:t>nderhands</w:t>
      </w:r>
      <w:proofErr w:type="spellEnd"/>
      <w:r w:rsidR="00436247" w:rsidRPr="00DE2639">
        <w:t xml:space="preserve"> </w:t>
      </w:r>
      <w:proofErr w:type="spellStart"/>
      <w:r w:rsidR="000A6020">
        <w:t>A</w:t>
      </w:r>
      <w:r w:rsidR="00436247" w:rsidRPr="00DE2639">
        <w:t>kkoord</w:t>
      </w:r>
      <w:proofErr w:type="spellEnd"/>
      <w:r w:rsidR="00436247" w:rsidRPr="00DE2639">
        <w:t xml:space="preserve"> (WHOA) and </w:t>
      </w:r>
      <w:r w:rsidR="00187C9B" w:rsidRPr="00DE2639">
        <w:t xml:space="preserve">in </w:t>
      </w:r>
      <w:r w:rsidR="00436247" w:rsidRPr="00DE2639">
        <w:t>the European Union</w:t>
      </w:r>
      <w:r w:rsidR="00DE2639" w:rsidRPr="00DE2639">
        <w:t>.</w:t>
      </w:r>
      <w:r w:rsidR="002451FC" w:rsidRPr="00DE2639">
        <w:rPr>
          <w:rStyle w:val="FootnoteReference"/>
        </w:rPr>
        <w:footnoteReference w:id="3"/>
      </w:r>
      <w:r w:rsidR="00436247">
        <w:t xml:space="preserve">  </w:t>
      </w:r>
    </w:p>
    <w:p w14:paraId="624A5C1D" w14:textId="3CFD017E" w:rsidR="001E3AE0" w:rsidRDefault="00E85DB4" w:rsidP="000C7F73">
      <w:pPr>
        <w:spacing w:after="120" w:line="360" w:lineRule="auto"/>
        <w:jc w:val="both"/>
      </w:pPr>
      <w:r>
        <w:t xml:space="preserve">Valuation is </w:t>
      </w:r>
      <w:r w:rsidR="00DC7D2C">
        <w:t>not straightforward</w:t>
      </w:r>
      <w:r w:rsidR="00DC618F">
        <w:t xml:space="preserve"> due to the ever-changing world.  It </w:t>
      </w:r>
      <w:r w:rsidR="00B913EE" w:rsidRPr="00B913EE">
        <w:t>“</w:t>
      </w:r>
      <w:r w:rsidR="00DC618F" w:rsidRPr="00B913EE">
        <w:rPr>
          <w:i/>
          <w:iCs/>
        </w:rPr>
        <w:t xml:space="preserve">can be difficult </w:t>
      </w:r>
      <w:r w:rsidR="00B913EE" w:rsidRPr="00B913EE">
        <w:rPr>
          <w:i/>
          <w:iCs/>
        </w:rPr>
        <w:t>and give rise to valuation disputes between parties that are both costly and time-consuming, involving expert testimony and protracted litigation</w:t>
      </w:r>
      <w:r w:rsidR="00B913EE">
        <w:t>”</w:t>
      </w:r>
      <w:r w:rsidR="00DE2639">
        <w:t>.</w:t>
      </w:r>
      <w:r w:rsidR="00B913EE">
        <w:rPr>
          <w:rStyle w:val="FootnoteReference"/>
        </w:rPr>
        <w:footnoteReference w:id="4"/>
      </w:r>
      <w:r w:rsidR="00DC618F">
        <w:t xml:space="preserve"> </w:t>
      </w:r>
      <w:r w:rsidR="00B913EE">
        <w:t xml:space="preserve"> </w:t>
      </w:r>
      <w:r w:rsidR="009478D6">
        <w:t>T</w:t>
      </w:r>
      <w:r w:rsidR="00BE400C">
        <w:t xml:space="preserve">he number of stakeholders involved </w:t>
      </w:r>
      <w:r w:rsidR="009478D6">
        <w:t xml:space="preserve">in the restructuring plan of a debtor gives rise to different perceptions </w:t>
      </w:r>
      <w:r w:rsidR="006D7049">
        <w:t xml:space="preserve">on how valuation should be </w:t>
      </w:r>
      <w:r w:rsidR="006D7049" w:rsidRPr="0035565E">
        <w:t xml:space="preserve">conducted.  </w:t>
      </w:r>
      <w:r w:rsidR="00061055" w:rsidRPr="0035565E">
        <w:t xml:space="preserve">It often leads to cost issue </w:t>
      </w:r>
      <w:r w:rsidR="00613D26" w:rsidRPr="0035565E">
        <w:t>too which sometimes discriminate</w:t>
      </w:r>
      <w:r w:rsidR="00187C9B">
        <w:t>s</w:t>
      </w:r>
      <w:r w:rsidR="00613D26" w:rsidRPr="0035565E">
        <w:t xml:space="preserve"> small vendors and employees.  </w:t>
      </w:r>
      <w:r w:rsidR="00945CEC" w:rsidRPr="0035565E">
        <w:t xml:space="preserve">Therefore, it is important </w:t>
      </w:r>
      <w:r w:rsidR="00945CEC" w:rsidRPr="0035565E">
        <w:lastRenderedPageBreak/>
        <w:t xml:space="preserve">for restructuring professionals to understand the selection </w:t>
      </w:r>
      <w:r w:rsidR="00441D98" w:rsidRPr="0035565E">
        <w:t xml:space="preserve">and the rationale behind the selection </w:t>
      </w:r>
      <w:r w:rsidR="00945CEC" w:rsidRPr="0035565E">
        <w:t>of the proper, but may not necessarily the best, valuation methodolog</w:t>
      </w:r>
      <w:r w:rsidR="0035565E" w:rsidRPr="0035565E">
        <w:t>y</w:t>
      </w:r>
      <w:r w:rsidR="00945CEC" w:rsidRPr="0035565E">
        <w:t xml:space="preserve">, </w:t>
      </w:r>
      <w:r w:rsidR="006047AE" w:rsidRPr="0035565E">
        <w:t>values</w:t>
      </w:r>
      <w:r w:rsidR="00945CEC" w:rsidRPr="0035565E">
        <w:t>, and the pros and cons of each.</w:t>
      </w:r>
    </w:p>
    <w:p w14:paraId="45AA318C" w14:textId="03E8F6F7" w:rsidR="00CF14EB" w:rsidRDefault="00F07663" w:rsidP="00725165">
      <w:pPr>
        <w:pStyle w:val="Heading1"/>
        <w:numPr>
          <w:ilvl w:val="0"/>
          <w:numId w:val="9"/>
        </w:numPr>
        <w:ind w:left="567" w:hanging="567"/>
        <w:rPr>
          <w:rFonts w:cstheme="majorHAnsi"/>
          <w:b/>
          <w:bCs/>
          <w:color w:val="auto"/>
        </w:rPr>
      </w:pPr>
      <w:bookmarkStart w:id="1" w:name="_Toc139797173"/>
      <w:r>
        <w:rPr>
          <w:rFonts w:cstheme="majorHAnsi"/>
          <w:b/>
          <w:bCs/>
          <w:color w:val="auto"/>
        </w:rPr>
        <w:t>What is valuation?  What is value?</w:t>
      </w:r>
      <w:r w:rsidR="003A34A7">
        <w:rPr>
          <w:rFonts w:cstheme="majorHAnsi"/>
          <w:b/>
          <w:bCs/>
          <w:color w:val="auto"/>
        </w:rPr>
        <w:t xml:space="preserve">  Who determines them?</w:t>
      </w:r>
      <w:bookmarkEnd w:id="1"/>
    </w:p>
    <w:p w14:paraId="6979B9E0" w14:textId="65877C25" w:rsidR="00C87CFE" w:rsidRPr="00C87CFE" w:rsidRDefault="00725165" w:rsidP="00C87CFE">
      <w:pPr>
        <w:pStyle w:val="Heading2"/>
        <w:rPr>
          <w:i/>
          <w:iCs/>
          <w:color w:val="auto"/>
        </w:rPr>
      </w:pPr>
      <w:bookmarkStart w:id="2" w:name="_Toc139797174"/>
      <w:r>
        <w:rPr>
          <w:i/>
          <w:iCs/>
          <w:color w:val="auto"/>
        </w:rPr>
        <w:t xml:space="preserve">2.1 </w:t>
      </w:r>
      <w:r w:rsidR="00955752">
        <w:rPr>
          <w:i/>
          <w:iCs/>
          <w:color w:val="auto"/>
        </w:rPr>
        <w:t>General definition of fair value</w:t>
      </w:r>
      <w:r w:rsidR="005F162A">
        <w:rPr>
          <w:i/>
          <w:iCs/>
          <w:color w:val="auto"/>
        </w:rPr>
        <w:t xml:space="preserve"> and treatment of valuation</w:t>
      </w:r>
      <w:bookmarkEnd w:id="2"/>
    </w:p>
    <w:p w14:paraId="6DA056C0" w14:textId="7052BF1D" w:rsidR="00945CEC" w:rsidRDefault="00030C98" w:rsidP="000C7F73">
      <w:pPr>
        <w:spacing w:after="120" w:line="360" w:lineRule="auto"/>
        <w:jc w:val="both"/>
      </w:pPr>
      <w:r>
        <w:t xml:space="preserve">The Organisation for Economic Co-operation and Development </w:t>
      </w:r>
      <w:r w:rsidR="00E13ABC">
        <w:t>(“</w:t>
      </w:r>
      <w:r w:rsidR="00E13ABC" w:rsidRPr="00E13ABC">
        <w:rPr>
          <w:b/>
          <w:bCs/>
        </w:rPr>
        <w:t>OECD</w:t>
      </w:r>
      <w:r w:rsidR="00E13ABC" w:rsidRPr="00E13ABC">
        <w:t>”</w:t>
      </w:r>
      <w:r w:rsidR="00E13ABC">
        <w:t xml:space="preserve">) </w:t>
      </w:r>
      <w:r w:rsidR="00DA7D61">
        <w:t>defines</w:t>
      </w:r>
      <w:r>
        <w:t xml:space="preserve"> fair value, </w:t>
      </w:r>
      <w:r w:rsidR="00DA7D61">
        <w:t xml:space="preserve">which is </w:t>
      </w:r>
      <w:r>
        <w:t xml:space="preserve">interchangeably as market value, as </w:t>
      </w:r>
      <w:r w:rsidRPr="00030C98">
        <w:rPr>
          <w:i/>
          <w:iCs/>
        </w:rPr>
        <w:t xml:space="preserve">the price at which an </w:t>
      </w:r>
      <w:r w:rsidRPr="00725165">
        <w:rPr>
          <w:i/>
          <w:iCs/>
        </w:rPr>
        <w:t xml:space="preserve">asset would change hands between a </w:t>
      </w:r>
      <w:r w:rsidRPr="00725165">
        <w:rPr>
          <w:b/>
          <w:bCs/>
          <w:i/>
          <w:iCs/>
        </w:rPr>
        <w:t>willing buyer</w:t>
      </w:r>
      <w:r w:rsidRPr="00725165">
        <w:rPr>
          <w:i/>
          <w:iCs/>
        </w:rPr>
        <w:t xml:space="preserve"> and a </w:t>
      </w:r>
      <w:r w:rsidRPr="00725165">
        <w:rPr>
          <w:b/>
          <w:bCs/>
          <w:i/>
          <w:iCs/>
        </w:rPr>
        <w:t>willing seller</w:t>
      </w:r>
      <w:r w:rsidRPr="00725165">
        <w:rPr>
          <w:i/>
          <w:iCs/>
        </w:rPr>
        <w:t xml:space="preserve">, </w:t>
      </w:r>
      <w:r w:rsidRPr="00725165">
        <w:rPr>
          <w:b/>
          <w:bCs/>
          <w:i/>
          <w:iCs/>
        </w:rPr>
        <w:t>neither being under any compulsion</w:t>
      </w:r>
      <w:r w:rsidRPr="00725165">
        <w:rPr>
          <w:i/>
          <w:iCs/>
        </w:rPr>
        <w:t xml:space="preserve"> to buy or to sell and </w:t>
      </w:r>
      <w:r w:rsidRPr="00725165">
        <w:rPr>
          <w:b/>
          <w:bCs/>
          <w:i/>
          <w:iCs/>
        </w:rPr>
        <w:t>both having reasonable knowledge of relevant facts</w:t>
      </w:r>
      <w:r w:rsidRPr="00725165">
        <w:t>.</w:t>
      </w:r>
      <w:r w:rsidRPr="00725165">
        <w:rPr>
          <w:rStyle w:val="FootnoteReference"/>
        </w:rPr>
        <w:footnoteReference w:id="5"/>
      </w:r>
      <w:r w:rsidRPr="00725165">
        <w:t xml:space="preserve">  Traditionally, </w:t>
      </w:r>
      <w:r w:rsidR="00E13ABC" w:rsidRPr="00725165">
        <w:t>valuation methods</w:t>
      </w:r>
      <w:r w:rsidR="00E13ABC">
        <w:t xml:space="preserve"> include (i) m</w:t>
      </w:r>
      <w:r w:rsidR="00E13ABC" w:rsidRPr="00E13ABC">
        <w:t xml:space="preserve">ultiples or </w:t>
      </w:r>
      <w:r w:rsidR="00E13ABC">
        <w:t>c</w:t>
      </w:r>
      <w:r w:rsidR="00E13ABC" w:rsidRPr="00E13ABC">
        <w:t>omparables</w:t>
      </w:r>
      <w:r w:rsidR="00E13ABC">
        <w:t xml:space="preserve"> (i.e. market-based), (ii) discounted cash flow method (i.e. income-based), and (iii) asset-based method.  </w:t>
      </w:r>
      <w:r w:rsidR="00B4253F">
        <w:t xml:space="preserve">The choice of which depends on </w:t>
      </w:r>
      <w:r w:rsidR="007E1DB7">
        <w:t>numerous factors</w:t>
      </w:r>
      <w:r w:rsidR="00B4253F">
        <w:t xml:space="preserve"> including nature of the business, </w:t>
      </w:r>
      <w:r w:rsidR="00A550DE">
        <w:t xml:space="preserve">purpose, </w:t>
      </w:r>
      <w:r w:rsidR="00B4253F">
        <w:t xml:space="preserve">information available and its </w:t>
      </w:r>
      <w:r w:rsidR="00B4253F" w:rsidRPr="000C696F">
        <w:t>reliability, etc</w:t>
      </w:r>
      <w:r w:rsidR="00A550DE" w:rsidRPr="000C696F">
        <w:t>.</w:t>
      </w:r>
      <w:r w:rsidR="00EE736D" w:rsidRPr="000C696F">
        <w:t>, and more importantly, judgement</w:t>
      </w:r>
      <w:r w:rsidR="00B4253F" w:rsidRPr="000C696F">
        <w:t xml:space="preserve">.  </w:t>
      </w:r>
      <w:r w:rsidR="00E13ABC" w:rsidRPr="000C696F">
        <w:rPr>
          <w:iCs/>
        </w:rPr>
        <w:t xml:space="preserve">It is noted </w:t>
      </w:r>
      <w:r w:rsidR="001660AE">
        <w:rPr>
          <w:iCs/>
        </w:rPr>
        <w:t xml:space="preserve">that </w:t>
      </w:r>
      <w:r w:rsidR="00E13ABC" w:rsidRPr="000C696F">
        <w:t>the terms in the definition of fair value given by OECD</w:t>
      </w:r>
      <w:r w:rsidR="00E13ABC">
        <w:t xml:space="preserve"> </w:t>
      </w:r>
      <w:r w:rsidR="001660AE">
        <w:t xml:space="preserve">include </w:t>
      </w:r>
      <w:r w:rsidR="00E13ABC">
        <w:t>“willing buyer”, “willing seller”, and “neither being under any compulsion”.</w:t>
      </w:r>
      <w:r w:rsidR="00441D98">
        <w:t xml:space="preserve">  In restructuring and insolvency context, a buyer or a seller may, in certain circumstances, comprise or be compelled to accept a deal that it would not be willing to </w:t>
      </w:r>
      <w:r w:rsidR="00441D98" w:rsidRPr="007A5464">
        <w:t>accept in usual circumstance.  This gives rise to the concept of</w:t>
      </w:r>
      <w:r w:rsidR="001660AE">
        <w:t xml:space="preserve"> full value and compromised value expressing in the terms such as</w:t>
      </w:r>
      <w:r w:rsidR="00441D98" w:rsidRPr="007A5464">
        <w:t xml:space="preserve"> enterprise value, </w:t>
      </w:r>
      <w:r w:rsidR="00115F21" w:rsidRPr="007A5464">
        <w:t xml:space="preserve">going concern value, </w:t>
      </w:r>
      <w:r w:rsidR="00441D98" w:rsidRPr="007A5464">
        <w:t>net</w:t>
      </w:r>
      <w:r w:rsidR="007A5464" w:rsidRPr="007A5464">
        <w:t xml:space="preserve"> </w:t>
      </w:r>
      <w:r w:rsidR="00441D98" w:rsidRPr="007A5464">
        <w:t xml:space="preserve">orderly </w:t>
      </w:r>
      <w:r w:rsidR="007A5464" w:rsidRPr="007A5464">
        <w:t xml:space="preserve">liquidation </w:t>
      </w:r>
      <w:r w:rsidR="00441D98" w:rsidRPr="007A5464">
        <w:t>value</w:t>
      </w:r>
      <w:r w:rsidR="00BD6942">
        <w:t xml:space="preserve"> (“</w:t>
      </w:r>
      <w:r w:rsidR="00BD6942" w:rsidRPr="00BD6942">
        <w:rPr>
          <w:b/>
          <w:bCs/>
        </w:rPr>
        <w:t>NOLV</w:t>
      </w:r>
      <w:r w:rsidR="00BD6942">
        <w:t>”)</w:t>
      </w:r>
      <w:r w:rsidR="00441D98" w:rsidRPr="007A5464">
        <w:t xml:space="preserve">, liquidation value, forced sale value, etc.  </w:t>
      </w:r>
      <w:r w:rsidR="00B4253F" w:rsidRPr="007A5464">
        <w:t>The different “values” that may</w:t>
      </w:r>
      <w:r w:rsidR="00B4253F">
        <w:t xml:space="preserve"> </w:t>
      </w:r>
      <w:r w:rsidR="001660AE">
        <w:t>be used</w:t>
      </w:r>
      <w:r w:rsidR="00B4253F">
        <w:t xml:space="preserve"> depends on the circumstances</w:t>
      </w:r>
      <w:r w:rsidR="00F56E62">
        <w:t>.</w:t>
      </w:r>
      <w:r w:rsidR="00B4253F">
        <w:t xml:space="preserve"> </w:t>
      </w:r>
      <w:r w:rsidR="00F56E62">
        <w:t xml:space="preserve"> C</w:t>
      </w:r>
      <w:r w:rsidR="00B4253F">
        <w:t xml:space="preserve">ombining with various other </w:t>
      </w:r>
      <w:r w:rsidR="00EE736D">
        <w:t xml:space="preserve">monetary and non-monetary </w:t>
      </w:r>
      <w:r w:rsidR="00B4253F">
        <w:t>comp</w:t>
      </w:r>
      <w:r w:rsidR="00EE736D">
        <w:t>on</w:t>
      </w:r>
      <w:r w:rsidR="00B4253F">
        <w:t>ents</w:t>
      </w:r>
      <w:r w:rsidR="00EE736D">
        <w:t xml:space="preserve">, for example forecasts, market multiples, discount </w:t>
      </w:r>
      <w:r w:rsidR="00EE736D" w:rsidRPr="00030AF7">
        <w:t>rate, timing, quality and location of an asset, economic environment, government policy, form</w:t>
      </w:r>
      <w:r w:rsidR="00F56E62" w:rsidRPr="00030AF7">
        <w:t>s</w:t>
      </w:r>
      <w:r w:rsidR="00EE736D" w:rsidRPr="00030AF7">
        <w:t xml:space="preserve"> the centr</w:t>
      </w:r>
      <w:r w:rsidR="00030AF7" w:rsidRPr="00030AF7">
        <w:t>al</w:t>
      </w:r>
      <w:r w:rsidR="00EE736D" w:rsidRPr="00030AF7">
        <w:t xml:space="preserve"> a</w:t>
      </w:r>
      <w:r w:rsidR="00EE736D">
        <w:t>rgument of valuation.</w:t>
      </w:r>
    </w:p>
    <w:p w14:paraId="21495330" w14:textId="6FC49597" w:rsidR="005F162A" w:rsidRPr="005F162A" w:rsidRDefault="00725165" w:rsidP="005F162A">
      <w:pPr>
        <w:pStyle w:val="Heading2"/>
        <w:rPr>
          <w:i/>
          <w:iCs/>
          <w:color w:val="auto"/>
        </w:rPr>
      </w:pPr>
      <w:bookmarkStart w:id="3" w:name="_Toc139797175"/>
      <w:r>
        <w:rPr>
          <w:i/>
          <w:iCs/>
          <w:color w:val="auto"/>
        </w:rPr>
        <w:t xml:space="preserve">2.2 </w:t>
      </w:r>
      <w:r w:rsidR="00EE3B75">
        <w:rPr>
          <w:i/>
          <w:iCs/>
          <w:color w:val="auto"/>
        </w:rPr>
        <w:t>Valuation in restructuring &amp; insolvency context</w:t>
      </w:r>
      <w:bookmarkEnd w:id="3"/>
    </w:p>
    <w:p w14:paraId="6701FF4A" w14:textId="7B696AAB" w:rsidR="001C4A88" w:rsidRDefault="001C4A88" w:rsidP="000C7F73">
      <w:pPr>
        <w:spacing w:after="120" w:line="360" w:lineRule="auto"/>
        <w:jc w:val="both"/>
      </w:pPr>
      <w:r>
        <w:t xml:space="preserve">A few common values </w:t>
      </w:r>
      <w:r w:rsidR="00784AD7">
        <w:t>are always utilised in the restructuring context</w:t>
      </w:r>
      <w:r w:rsidR="008606C6">
        <w:t xml:space="preserve"> and have been discussed in numerous </w:t>
      </w:r>
      <w:r w:rsidR="00A8722E">
        <w:t xml:space="preserve">business </w:t>
      </w:r>
      <w:r w:rsidR="008606C6">
        <w:t>literatures</w:t>
      </w:r>
      <w:r w:rsidR="00784AD7">
        <w:t xml:space="preserve">.  </w:t>
      </w:r>
      <w:r w:rsidR="00C0158E">
        <w:t>E</w:t>
      </w:r>
      <w:r w:rsidR="00450473">
        <w:t>nterprise value</w:t>
      </w:r>
      <w:r w:rsidR="0014415D">
        <w:t xml:space="preserve"> (sometimes</w:t>
      </w:r>
      <w:r w:rsidR="006A6461">
        <w:t xml:space="preserve"> reorganisation value)</w:t>
      </w:r>
      <w:r w:rsidR="00450473">
        <w:t xml:space="preserve"> is measured</w:t>
      </w:r>
      <w:r w:rsidR="006A6461">
        <w:t xml:space="preserve"> </w:t>
      </w:r>
      <w:r w:rsidR="00450473">
        <w:t>using the market values</w:t>
      </w:r>
      <w:r w:rsidR="00923193">
        <w:t xml:space="preserve"> or the observed acquisition prices</w:t>
      </w:r>
      <w:r w:rsidR="00450473">
        <w:t xml:space="preserve"> of comparable companies</w:t>
      </w:r>
      <w:r w:rsidR="00DE2639">
        <w:t>.</w:t>
      </w:r>
      <w:r w:rsidR="00450473">
        <w:rPr>
          <w:rStyle w:val="FootnoteReference"/>
        </w:rPr>
        <w:footnoteReference w:id="6"/>
      </w:r>
      <w:r w:rsidR="00535EC9">
        <w:t xml:space="preserve">  </w:t>
      </w:r>
      <w:r w:rsidR="002B4363">
        <w:t>G</w:t>
      </w:r>
      <w:r w:rsidR="002B4363" w:rsidRPr="002B4363">
        <w:t xml:space="preserve">oing concern </w:t>
      </w:r>
      <w:r w:rsidR="002B4363">
        <w:t>value</w:t>
      </w:r>
      <w:r w:rsidR="001C1BF2">
        <w:t xml:space="preserve"> </w:t>
      </w:r>
      <w:r w:rsidR="002B4363" w:rsidRPr="002B4363">
        <w:t xml:space="preserve">is </w:t>
      </w:r>
      <w:r w:rsidR="006A1816">
        <w:t>the value under the</w:t>
      </w:r>
      <w:r w:rsidR="002B4363" w:rsidRPr="002B4363">
        <w:t xml:space="preserve"> assumption of a continuation of business without halt for the foreseen future</w:t>
      </w:r>
      <w:r w:rsidR="00DE2639">
        <w:t>.</w:t>
      </w:r>
      <w:r w:rsidR="006A1816">
        <w:rPr>
          <w:rStyle w:val="FootnoteReference"/>
        </w:rPr>
        <w:footnoteReference w:id="7"/>
      </w:r>
      <w:r w:rsidR="002B4363">
        <w:t xml:space="preserve">  </w:t>
      </w:r>
      <w:r w:rsidR="00031438">
        <w:t xml:space="preserve">Liquidation value </w:t>
      </w:r>
      <w:r w:rsidR="000D51FC">
        <w:t>is often performed simply, without reflecting basic economic rules which affect the valuation result</w:t>
      </w:r>
      <w:r w:rsidR="00FE304B">
        <w:t>, and is distorted significantly</w:t>
      </w:r>
      <w:r w:rsidR="00DE2639">
        <w:t>.</w:t>
      </w:r>
      <w:r w:rsidR="00FE304B">
        <w:rPr>
          <w:rStyle w:val="FootnoteReference"/>
        </w:rPr>
        <w:footnoteReference w:id="8"/>
      </w:r>
      <w:r w:rsidR="008606C6">
        <w:t xml:space="preserve">  </w:t>
      </w:r>
    </w:p>
    <w:p w14:paraId="21109D87" w14:textId="3CC01359" w:rsidR="00441D98" w:rsidRDefault="00F56E62" w:rsidP="000C7F73">
      <w:pPr>
        <w:spacing w:after="120" w:line="360" w:lineRule="auto"/>
        <w:jc w:val="both"/>
      </w:pPr>
      <w:r>
        <w:lastRenderedPageBreak/>
        <w:t xml:space="preserve">While valuation is an essential element to quantify a restructuring plan, the </w:t>
      </w:r>
      <w:r w:rsidR="00A86077">
        <w:t xml:space="preserve">restructuring </w:t>
      </w:r>
      <w:r w:rsidR="001660AE">
        <w:t xml:space="preserve">related </w:t>
      </w:r>
      <w:r>
        <w:t xml:space="preserve">legislations are silent </w:t>
      </w:r>
      <w:r w:rsidR="00A94DFA">
        <w:t>as to</w:t>
      </w:r>
      <w:r>
        <w:t xml:space="preserve"> the valuation methodology in most of the jurisdictions.  </w:t>
      </w:r>
      <w:r w:rsidR="00A94DFA">
        <w:t xml:space="preserve">A close description can be found in </w:t>
      </w:r>
      <w:r w:rsidR="002C693E">
        <w:t>s</w:t>
      </w:r>
      <w:r w:rsidR="00A94DFA">
        <w:t xml:space="preserve">ection 506(a)(1) of the US Bankruptcy Code where it states that the value shall be determined </w:t>
      </w:r>
      <w:r w:rsidR="00A94DFA" w:rsidRPr="00A94DFA">
        <w:rPr>
          <w:i/>
          <w:iCs/>
        </w:rPr>
        <w:t>“in light of the purpose of the valuation and of the proposed disposition or use of such property”</w:t>
      </w:r>
      <w:r w:rsidR="00A94DFA">
        <w:t xml:space="preserve">.  While this provides guidance on the approach in obtaining a value, it still does not specify the valuation methodology that should be employed.  The silence </w:t>
      </w:r>
      <w:r w:rsidR="001660AE">
        <w:t>as to</w:t>
      </w:r>
      <w:r w:rsidR="00A94DFA">
        <w:t xml:space="preserve"> the valuation methodology in most of the restructuring legislations </w:t>
      </w:r>
      <w:r w:rsidR="005E1F31">
        <w:t xml:space="preserve">echoes </w:t>
      </w:r>
      <w:r w:rsidR="00A94DFA">
        <w:t xml:space="preserve">the fact that </w:t>
      </w:r>
      <w:r w:rsidR="005E1F31">
        <w:t xml:space="preserve">the selection of which requires professional judgement.  It also leaves sufficient room for restructuring professionals and the court to determine which valuation methodology and value are the most appropriate </w:t>
      </w:r>
      <w:proofErr w:type="gramStart"/>
      <w:r w:rsidR="005E1F31">
        <w:t>taking into account</w:t>
      </w:r>
      <w:proofErr w:type="gramEnd"/>
      <w:r w:rsidR="005E1F31">
        <w:t xml:space="preserve"> the actual circumstances.</w:t>
      </w:r>
    </w:p>
    <w:p w14:paraId="3235B28B" w14:textId="604C573D" w:rsidR="00E226C5" w:rsidRDefault="00E226C5" w:rsidP="000C7F73">
      <w:pPr>
        <w:spacing w:after="120" w:line="360" w:lineRule="auto"/>
        <w:jc w:val="both"/>
      </w:pPr>
      <w:r>
        <w:t>As mentioned above, various components play their own parts in the valuation</w:t>
      </w:r>
      <w:r w:rsidR="001660AE">
        <w:t xml:space="preserve"> to determine the most appropriate valuation methodology and value</w:t>
      </w:r>
      <w:r>
        <w:t xml:space="preserve">.  Simply </w:t>
      </w:r>
      <w:r w:rsidR="001660AE">
        <w:t>choosing</w:t>
      </w:r>
      <w:r>
        <w:t xml:space="preserve"> which value, for example enterprise value </w:t>
      </w:r>
      <w:r w:rsidR="00DD1E28">
        <w:t>versus</w:t>
      </w:r>
      <w:r>
        <w:t xml:space="preserve"> liquidation value, should be applied is insufficient to answer all issues related to the valuation exercise.  </w:t>
      </w:r>
      <w:r w:rsidR="00097300">
        <w:t xml:space="preserve">All relevant aspects are required to be considered individually and </w:t>
      </w:r>
      <w:proofErr w:type="gramStart"/>
      <w:r w:rsidR="00097300">
        <w:t>as a whole to</w:t>
      </w:r>
      <w:proofErr w:type="gramEnd"/>
      <w:r w:rsidR="00097300">
        <w:t xml:space="preserve"> </w:t>
      </w:r>
      <w:r w:rsidR="001660AE">
        <w:t xml:space="preserve">make use of valuation to assist in </w:t>
      </w:r>
      <w:r w:rsidR="0058146C">
        <w:t>evaluating a restructuring plan</w:t>
      </w:r>
      <w:r w:rsidR="00097300">
        <w:t xml:space="preserve">.  </w:t>
      </w:r>
    </w:p>
    <w:p w14:paraId="1F1FA4F2" w14:textId="54D84205" w:rsidR="00B742E5" w:rsidRDefault="00AE714C" w:rsidP="00725165">
      <w:pPr>
        <w:pStyle w:val="Heading1"/>
        <w:numPr>
          <w:ilvl w:val="0"/>
          <w:numId w:val="9"/>
        </w:numPr>
        <w:ind w:left="567" w:hanging="567"/>
        <w:rPr>
          <w:rFonts w:cstheme="majorHAnsi"/>
          <w:b/>
          <w:bCs/>
          <w:color w:val="auto"/>
        </w:rPr>
      </w:pPr>
      <w:bookmarkStart w:id="4" w:name="_Toc139797176"/>
      <w:r>
        <w:rPr>
          <w:rFonts w:cstheme="majorHAnsi"/>
          <w:b/>
          <w:bCs/>
          <w:color w:val="auto"/>
        </w:rPr>
        <w:t xml:space="preserve">How </w:t>
      </w:r>
      <w:r w:rsidR="00EF64A0">
        <w:rPr>
          <w:rFonts w:cstheme="majorHAnsi"/>
          <w:b/>
          <w:bCs/>
          <w:color w:val="auto"/>
        </w:rPr>
        <w:t xml:space="preserve">are </w:t>
      </w:r>
      <w:r>
        <w:rPr>
          <w:rFonts w:cstheme="majorHAnsi"/>
          <w:b/>
          <w:bCs/>
          <w:color w:val="auto"/>
        </w:rPr>
        <w:t xml:space="preserve">valuation methodology </w:t>
      </w:r>
      <w:r w:rsidR="00EF64A0">
        <w:rPr>
          <w:rFonts w:cstheme="majorHAnsi"/>
          <w:b/>
          <w:bCs/>
          <w:color w:val="auto"/>
        </w:rPr>
        <w:t>and value chosen?</w:t>
      </w:r>
      <w:bookmarkEnd w:id="4"/>
      <w:r w:rsidR="00EF64A0">
        <w:rPr>
          <w:rFonts w:cstheme="majorHAnsi"/>
          <w:b/>
          <w:bCs/>
          <w:color w:val="auto"/>
        </w:rPr>
        <w:t xml:space="preserve"> </w:t>
      </w:r>
    </w:p>
    <w:p w14:paraId="53E6EAF5" w14:textId="6FE3C687" w:rsidR="00F71FDF" w:rsidRDefault="00725165" w:rsidP="00F71FDF">
      <w:pPr>
        <w:pStyle w:val="Heading2"/>
        <w:rPr>
          <w:i/>
          <w:iCs/>
          <w:color w:val="auto"/>
        </w:rPr>
      </w:pPr>
      <w:bookmarkStart w:id="5" w:name="_Toc139797177"/>
      <w:r>
        <w:rPr>
          <w:i/>
          <w:iCs/>
          <w:color w:val="auto"/>
        </w:rPr>
        <w:t xml:space="preserve">3.1 </w:t>
      </w:r>
      <w:r w:rsidR="00F71FDF" w:rsidRPr="00F71FDF">
        <w:rPr>
          <w:i/>
          <w:iCs/>
          <w:color w:val="auto"/>
        </w:rPr>
        <w:t>Sears Holdings Corporation</w:t>
      </w:r>
      <w:bookmarkEnd w:id="5"/>
    </w:p>
    <w:p w14:paraId="6AD9A786" w14:textId="6CBC80E8" w:rsidR="00171B84" w:rsidRPr="00EB2013" w:rsidRDefault="00EB2013" w:rsidP="000C7F73">
      <w:pPr>
        <w:spacing w:before="120" w:after="0" w:line="360" w:lineRule="auto"/>
        <w:jc w:val="both"/>
        <w:rPr>
          <w:u w:val="single"/>
        </w:rPr>
      </w:pPr>
      <w:r w:rsidRPr="00EB2013">
        <w:rPr>
          <w:u w:val="single"/>
        </w:rPr>
        <w:t>General facts</w:t>
      </w:r>
    </w:p>
    <w:p w14:paraId="1395809C" w14:textId="30D4E465" w:rsidR="0027385E" w:rsidRDefault="00097300" w:rsidP="00097300">
      <w:pPr>
        <w:spacing w:after="0" w:line="360" w:lineRule="auto"/>
        <w:jc w:val="both"/>
      </w:pPr>
      <w:r>
        <w:t xml:space="preserve">In </w:t>
      </w:r>
      <w:r>
        <w:rPr>
          <w:i/>
          <w:iCs/>
        </w:rPr>
        <w:t>R</w:t>
      </w:r>
      <w:r w:rsidRPr="00097300">
        <w:rPr>
          <w:i/>
          <w:iCs/>
        </w:rPr>
        <w:t>e Sears Holdings Corp., 51 F.4th 53 (2d Cir. 2022)</w:t>
      </w:r>
      <w:r>
        <w:t xml:space="preserve">, </w:t>
      </w:r>
      <w:r w:rsidR="00086CFB">
        <w:t>t</w:t>
      </w:r>
      <w:r w:rsidR="0038716B">
        <w:t xml:space="preserve">he </w:t>
      </w:r>
      <w:r w:rsidR="00BD6942">
        <w:t xml:space="preserve">appeal </w:t>
      </w:r>
      <w:r w:rsidR="0038716B">
        <w:t xml:space="preserve">court gave an analysis on whether the value in a best-case-scenario sale (i.e. market price or full retail price), an orderly going-out-of-business sale (i.e. NOLV), or a force liquidation sale would be the best estimate.  </w:t>
      </w:r>
      <w:r w:rsidR="009F743B">
        <w:t>The appeal application was made by the second-lien holder to challenge the bankruptcy court’s valuation methodology, as well as to its valuation of several specific categories of collateral</w:t>
      </w:r>
      <w:r w:rsidR="00384B47">
        <w:t>, including the inventory and the letters of credit</w:t>
      </w:r>
      <w:r w:rsidR="009F743B">
        <w:t>.</w:t>
      </w:r>
      <w:r w:rsidR="00137769">
        <w:t xml:space="preserve">  The valuation was relevant to the second-lien holder as it would determine whether the second-lien holder had a super-priority claim pursuant to section 507(b) of the US Bankruptcy Code.  </w:t>
      </w:r>
    </w:p>
    <w:p w14:paraId="7C145C11" w14:textId="7A8353D5" w:rsidR="00137769" w:rsidRDefault="00137769" w:rsidP="000C7F73">
      <w:pPr>
        <w:spacing w:after="120" w:line="360" w:lineRule="auto"/>
        <w:jc w:val="both"/>
      </w:pPr>
      <w:r>
        <w:t xml:space="preserve">The US Circuit Judge upheld the decision of the bankruptcy court </w:t>
      </w:r>
      <w:r w:rsidR="00DF548C">
        <w:t xml:space="preserve">that, among other things, </w:t>
      </w:r>
      <w:r w:rsidR="00086CFB">
        <w:t xml:space="preserve">the </w:t>
      </w:r>
      <w:r w:rsidR="00DF548C">
        <w:t xml:space="preserve">inventory </w:t>
      </w:r>
      <w:r w:rsidR="00086CFB">
        <w:t>of Sears Holdings Corporation and its affili</w:t>
      </w:r>
      <w:r w:rsidR="00595FD6">
        <w:t>ates (“</w:t>
      </w:r>
      <w:r w:rsidR="00595FD6" w:rsidRPr="00595FD6">
        <w:rPr>
          <w:b/>
          <w:bCs/>
        </w:rPr>
        <w:t>Sears</w:t>
      </w:r>
      <w:r w:rsidR="00595FD6">
        <w:t xml:space="preserve">”) </w:t>
      </w:r>
      <w:r w:rsidR="00DF548C">
        <w:t xml:space="preserve">be valued at the </w:t>
      </w:r>
      <w:r w:rsidR="003229BB" w:rsidRPr="00BD6942">
        <w:t>NOLV</w:t>
      </w:r>
      <w:r w:rsidR="009453A1">
        <w:t xml:space="preserve"> and the </w:t>
      </w:r>
      <w:proofErr w:type="gramStart"/>
      <w:r w:rsidR="009453A1">
        <w:t>full face</w:t>
      </w:r>
      <w:proofErr w:type="gramEnd"/>
      <w:r w:rsidR="009453A1">
        <w:t xml:space="preserve"> value of the undrawn letters of credit be deducted</w:t>
      </w:r>
      <w:r w:rsidR="00D44B42">
        <w:t xml:space="preserve"> when </w:t>
      </w:r>
      <w:r w:rsidR="00F1449D">
        <w:t>assessing the best case scenario</w:t>
      </w:r>
      <w:r w:rsidR="009453A1">
        <w:t>.</w:t>
      </w:r>
    </w:p>
    <w:p w14:paraId="1926E802" w14:textId="786ADC17" w:rsidR="00EB2013" w:rsidRPr="00EB2013" w:rsidRDefault="00F14F5A" w:rsidP="000C7F73">
      <w:pPr>
        <w:spacing w:before="120" w:after="0" w:line="360" w:lineRule="auto"/>
        <w:jc w:val="both"/>
        <w:rPr>
          <w:u w:val="single"/>
        </w:rPr>
      </w:pPr>
      <w:r>
        <w:rPr>
          <w:u w:val="single"/>
        </w:rPr>
        <w:t>Rulings and comments</w:t>
      </w:r>
    </w:p>
    <w:p w14:paraId="31146470" w14:textId="0153C9C7" w:rsidR="0009472E" w:rsidRDefault="00AC6A42" w:rsidP="000C7F73">
      <w:pPr>
        <w:spacing w:after="120" w:line="360" w:lineRule="auto"/>
        <w:jc w:val="both"/>
      </w:pPr>
      <w:r>
        <w:t>The US Circuit Judge pointed out at the beginning of the decision</w:t>
      </w:r>
      <w:r w:rsidR="00BD6942">
        <w:t xml:space="preserve"> handed down</w:t>
      </w:r>
      <w:r>
        <w:t xml:space="preserve"> that the core of the case came down to a fundamental concept: </w:t>
      </w:r>
      <w:r w:rsidRPr="009F743B">
        <w:rPr>
          <w:i/>
          <w:iCs/>
        </w:rPr>
        <w:t>how to value the assets and liabilities of a company</w:t>
      </w:r>
      <w:r w:rsidR="00DE2639" w:rsidRPr="00DE2639">
        <w:t>.</w:t>
      </w:r>
      <w:r>
        <w:rPr>
          <w:rStyle w:val="FootnoteReference"/>
          <w:i/>
          <w:iCs/>
        </w:rPr>
        <w:footnoteReference w:id="9"/>
      </w:r>
      <w:r>
        <w:t xml:space="preserve">  </w:t>
      </w:r>
      <w:r w:rsidR="003229BB">
        <w:t xml:space="preserve">The bankruptcy court decided that it would value the inventory based on the NOLV, a point at the price </w:t>
      </w:r>
      <w:r w:rsidR="003229BB">
        <w:lastRenderedPageBreak/>
        <w:t>less than the full retail price but more than the liquidation value</w:t>
      </w:r>
      <w:r w:rsidR="00DE2639">
        <w:t>.</w:t>
      </w:r>
      <w:r w:rsidR="003229BB">
        <w:rPr>
          <w:rStyle w:val="FootnoteReference"/>
        </w:rPr>
        <w:footnoteReference w:id="10"/>
      </w:r>
      <w:r w:rsidR="003229BB" w:rsidRPr="003229BB">
        <w:t xml:space="preserve"> </w:t>
      </w:r>
      <w:r w:rsidR="003229BB">
        <w:t xml:space="preserve"> Referencing to </w:t>
      </w:r>
      <w:r w:rsidR="002C693E">
        <w:t>s</w:t>
      </w:r>
      <w:r w:rsidR="003229BB">
        <w:t>ection 506(a)(1), the court gave opinion that the value of Sears’ inventory should be calculated “in light of the disposition or use” in fact “proposed”, not the various dispositions or uses that might have been proposed, and that this proposal must guide the valuation exercise</w:t>
      </w:r>
      <w:r w:rsidR="00DE2639">
        <w:t>.</w:t>
      </w:r>
      <w:r w:rsidR="003229BB">
        <w:rPr>
          <w:rStyle w:val="FootnoteReference"/>
        </w:rPr>
        <w:footnoteReference w:id="11"/>
      </w:r>
      <w:r w:rsidR="003229BB">
        <w:t xml:space="preserve">  </w:t>
      </w:r>
    </w:p>
    <w:p w14:paraId="6FE1226E" w14:textId="641A8036" w:rsidR="00AE23A4" w:rsidRDefault="003229BB" w:rsidP="000C7F73">
      <w:pPr>
        <w:spacing w:after="120" w:line="360" w:lineRule="auto"/>
        <w:jc w:val="both"/>
      </w:pPr>
      <w:r>
        <w:t>While at the outset, neither Sears nor the second-lien holder knew how the inventory would be sold</w:t>
      </w:r>
      <w:r w:rsidR="0009472E">
        <w:t xml:space="preserve">, the court recognised that Sears was in financial distress and a company-wide liquidation was possible.  Therefore, the court rejected the second-lien holder’s argument that the </w:t>
      </w:r>
      <w:r w:rsidR="00C26213">
        <w:t xml:space="preserve">full </w:t>
      </w:r>
      <w:r w:rsidR="0009472E">
        <w:t>retail price should be adopted but settled on the NOLV</w:t>
      </w:r>
      <w:r w:rsidR="00172512">
        <w:t xml:space="preserve">.  The second-lien holder argued that the bankruptcy court should follow </w:t>
      </w:r>
      <w:r w:rsidR="00172512" w:rsidRPr="00172512">
        <w:rPr>
          <w:i/>
          <w:iCs/>
        </w:rPr>
        <w:t>Associates Commercial Corp. v. Rash, 520 U.S. 953 (1997)</w:t>
      </w:r>
      <w:r w:rsidR="00172512">
        <w:t xml:space="preserve"> whereas inventory was valued at its replacement value.  The court disagreed with the argument as in </w:t>
      </w:r>
      <w:r w:rsidR="00172512" w:rsidRPr="00172512">
        <w:rPr>
          <w:i/>
          <w:iCs/>
        </w:rPr>
        <w:t>Rash</w:t>
      </w:r>
      <w:r w:rsidR="00172512">
        <w:t xml:space="preserve">, the inventory was retained and used by the debtor, as opposed to Sears’ intention to dispose the inventory.  </w:t>
      </w:r>
      <w:r w:rsidR="00AE23A4">
        <w:t xml:space="preserve">When determining the point price range between the retail price and the liquidation price, </w:t>
      </w:r>
      <w:r w:rsidR="00172512">
        <w:t>the court applied a percentage, representing the realisable value net of selling costs in an orderly liquidation, adjusted with corporate overhead</w:t>
      </w:r>
      <w:r w:rsidR="00DE2639">
        <w:t>.</w:t>
      </w:r>
      <w:r w:rsidR="00172512">
        <w:rPr>
          <w:rStyle w:val="FootnoteReference"/>
        </w:rPr>
        <w:footnoteReference w:id="12"/>
      </w:r>
    </w:p>
    <w:p w14:paraId="53E67024" w14:textId="10AD70B3" w:rsidR="00172512" w:rsidRDefault="005D7480" w:rsidP="000C7F73">
      <w:pPr>
        <w:spacing w:after="120" w:line="360" w:lineRule="auto"/>
        <w:jc w:val="both"/>
      </w:pPr>
      <w:r>
        <w:t xml:space="preserve">The valuation of contingent liability which in this case, the letters of credit, was also considered by the court.  One of the arguments of the second-lien holder was that the letters of credits should be valued at the amount that was </w:t>
      </w:r>
      <w:proofErr w:type="gramStart"/>
      <w:r>
        <w:t>actually drawn</w:t>
      </w:r>
      <w:proofErr w:type="gramEnd"/>
      <w:r>
        <w:t xml:space="preserve"> during the bankruptcy proceeding.  However, the court ruled that it was necessary to discount contingent liability by the probability that the contingency would occur </w:t>
      </w:r>
      <w:proofErr w:type="gramStart"/>
      <w:r>
        <w:t>taking into account</w:t>
      </w:r>
      <w:proofErr w:type="gramEnd"/>
      <w:r>
        <w:t xml:space="preserve"> the “</w:t>
      </w:r>
      <w:r w:rsidRPr="005D7480">
        <w:rPr>
          <w:i/>
          <w:iCs/>
        </w:rPr>
        <w:t>resulting need to tap available sources of capital</w:t>
      </w:r>
      <w:r>
        <w:t>”</w:t>
      </w:r>
      <w:r w:rsidR="00DE2639">
        <w:t>,</w:t>
      </w:r>
      <w:r w:rsidR="00A34991">
        <w:rPr>
          <w:rStyle w:val="FootnoteReference"/>
        </w:rPr>
        <w:footnoteReference w:id="13"/>
      </w:r>
      <w:r>
        <w:t xml:space="preserve"> as opposed to the second-lien holder’s after-the-fact valuation methodology as it defeated the </w:t>
      </w:r>
      <w:r w:rsidR="00835A0D">
        <w:t>purpose</w:t>
      </w:r>
      <w:r>
        <w:t xml:space="preserve"> of valuation as at the petition date.</w:t>
      </w:r>
    </w:p>
    <w:p w14:paraId="430AAE3E" w14:textId="381D282A" w:rsidR="007E7F62" w:rsidRDefault="00D76CBB" w:rsidP="000C7F73">
      <w:pPr>
        <w:spacing w:after="120" w:line="360" w:lineRule="auto"/>
        <w:jc w:val="both"/>
      </w:pPr>
      <w:r>
        <w:t xml:space="preserve">In </w:t>
      </w:r>
      <w:r w:rsidRPr="00D76CBB">
        <w:rPr>
          <w:i/>
          <w:iCs/>
        </w:rPr>
        <w:t>Sears</w:t>
      </w:r>
      <w:r>
        <w:t xml:space="preserve">, the court took the approach that </w:t>
      </w:r>
      <w:r w:rsidR="00B310EC">
        <w:t xml:space="preserve">the NOLV reflected the actual circumstances considering that given </w:t>
      </w:r>
      <w:r w:rsidR="00060897">
        <w:t>the financial distress it would not be able to sell the inventory a</w:t>
      </w:r>
      <w:r w:rsidR="00945C62">
        <w:t xml:space="preserve">t its full retail price but could still avoid a forced liquidation sale.  </w:t>
      </w:r>
      <w:r w:rsidR="00EC6AEC">
        <w:t xml:space="preserve">This </w:t>
      </w:r>
      <w:proofErr w:type="gramStart"/>
      <w:r w:rsidR="00CA5334">
        <w:t>is a reflection of</w:t>
      </w:r>
      <w:proofErr w:type="gramEnd"/>
      <w:r w:rsidR="00CA5334">
        <w:t xml:space="preserve"> the closet estimate of the most appropriate scenario.  However, </w:t>
      </w:r>
      <w:r w:rsidR="00375B7F">
        <w:t xml:space="preserve">the application of the percentage would require judgement or individually review of </w:t>
      </w:r>
      <w:r w:rsidR="00154B0A">
        <w:t xml:space="preserve">the items which would increase costs.  Similarly, </w:t>
      </w:r>
      <w:r w:rsidR="00501403">
        <w:t xml:space="preserve">determining the probability that the contingent liability </w:t>
      </w:r>
      <w:r w:rsidR="0053602F">
        <w:t>would become actual required research and analys</w:t>
      </w:r>
      <w:r w:rsidR="00B958C1">
        <w:t>is on the applicable percentage.</w:t>
      </w:r>
    </w:p>
    <w:p w14:paraId="6212CEBE" w14:textId="5B73B267" w:rsidR="00F71FDF" w:rsidRPr="00F71FDF" w:rsidRDefault="00725165" w:rsidP="00F71FDF">
      <w:pPr>
        <w:pStyle w:val="Heading2"/>
        <w:rPr>
          <w:i/>
          <w:iCs/>
          <w:color w:val="auto"/>
        </w:rPr>
      </w:pPr>
      <w:bookmarkStart w:id="6" w:name="_Toc139797178"/>
      <w:r>
        <w:rPr>
          <w:i/>
          <w:iCs/>
          <w:color w:val="auto"/>
        </w:rPr>
        <w:t xml:space="preserve">3.2 </w:t>
      </w:r>
      <w:r w:rsidR="00F71FDF" w:rsidRPr="00F71FDF">
        <w:rPr>
          <w:i/>
          <w:iCs/>
          <w:color w:val="auto"/>
        </w:rPr>
        <w:t>Smile Telecoms Holdings Ltd</w:t>
      </w:r>
      <w:bookmarkEnd w:id="6"/>
    </w:p>
    <w:p w14:paraId="1C09FB89" w14:textId="77777777" w:rsidR="00F14F5A" w:rsidRPr="00EB2013" w:rsidRDefault="00F14F5A" w:rsidP="000C7F73">
      <w:pPr>
        <w:spacing w:before="120" w:after="0" w:line="360" w:lineRule="auto"/>
        <w:jc w:val="both"/>
        <w:rPr>
          <w:u w:val="single"/>
        </w:rPr>
      </w:pPr>
      <w:r w:rsidRPr="00EB2013">
        <w:rPr>
          <w:u w:val="single"/>
        </w:rPr>
        <w:t>General facts</w:t>
      </w:r>
    </w:p>
    <w:p w14:paraId="364B5BE5" w14:textId="7D888C75" w:rsidR="00441D98" w:rsidRDefault="00E226C5" w:rsidP="000C7F73">
      <w:pPr>
        <w:spacing w:after="120" w:line="360" w:lineRule="auto"/>
        <w:jc w:val="both"/>
      </w:pPr>
      <w:r>
        <w:lastRenderedPageBreak/>
        <w:t xml:space="preserve">In </w:t>
      </w:r>
      <w:r w:rsidRPr="00E226C5">
        <w:rPr>
          <w:i/>
          <w:iCs/>
        </w:rPr>
        <w:t>Re Smile Telecoms Holdings Ltd [2022] EWHC 740 (Ch)</w:t>
      </w:r>
      <w:r>
        <w:t xml:space="preserve">, </w:t>
      </w:r>
      <w:r w:rsidR="008D1E37">
        <w:t xml:space="preserve">the </w:t>
      </w:r>
      <w:r w:rsidR="00F8145F">
        <w:t>selection of the</w:t>
      </w:r>
      <w:r w:rsidR="00300528">
        <w:t xml:space="preserve"> valuation methodology</w:t>
      </w:r>
      <w:r w:rsidR="00F8145F">
        <w:t xml:space="preserve"> was considered.</w:t>
      </w:r>
      <w:r w:rsidR="0067245B">
        <w:t xml:space="preserve">  The </w:t>
      </w:r>
      <w:r w:rsidR="008A2E76">
        <w:t xml:space="preserve">court </w:t>
      </w:r>
      <w:r w:rsidR="002B5908">
        <w:t>ruled on whether the assets of Smile Telecom</w:t>
      </w:r>
      <w:r w:rsidR="00FF7526">
        <w:t>s Holdings Limited and its group of operating companies (“</w:t>
      </w:r>
      <w:r w:rsidR="00FF7526" w:rsidRPr="00FF7526">
        <w:rPr>
          <w:b/>
          <w:bCs/>
        </w:rPr>
        <w:t>Smile</w:t>
      </w:r>
      <w:r w:rsidR="00FF7526">
        <w:t>”)</w:t>
      </w:r>
      <w:r w:rsidR="002B5908">
        <w:t xml:space="preserve"> </w:t>
      </w:r>
      <w:r w:rsidR="00D64E13">
        <w:t xml:space="preserve">should be valued </w:t>
      </w:r>
      <w:r w:rsidR="004208B9">
        <w:t>under</w:t>
      </w:r>
      <w:r w:rsidR="00BF27F1">
        <w:t xml:space="preserve"> desktop valuation, market sale or</w:t>
      </w:r>
      <w:r w:rsidR="004208B9">
        <w:t xml:space="preserve"> </w:t>
      </w:r>
      <w:r w:rsidR="00864997">
        <w:t>distressed sale</w:t>
      </w:r>
      <w:r w:rsidR="008C56C1">
        <w:t xml:space="preserve"> </w:t>
      </w:r>
      <w:proofErr w:type="gramStart"/>
      <w:r w:rsidR="008C56C1">
        <w:t>s</w:t>
      </w:r>
      <w:r w:rsidR="00BD0EE3">
        <w:t>o as to</w:t>
      </w:r>
      <w:proofErr w:type="gramEnd"/>
      <w:r w:rsidR="00BD0EE3">
        <w:t xml:space="preserve"> determine if the senior lend</w:t>
      </w:r>
      <w:r w:rsidR="008E2E42">
        <w:t>er</w:t>
      </w:r>
      <w:r w:rsidR="00BD0EE3">
        <w:t>s</w:t>
      </w:r>
      <w:r w:rsidR="002E61D1">
        <w:t xml:space="preserve"> would be “out of the money”.</w:t>
      </w:r>
      <w:r w:rsidR="008E2E42">
        <w:t xml:space="preserve">  The value </w:t>
      </w:r>
      <w:r w:rsidR="00D87AAB">
        <w:t>wa</w:t>
      </w:r>
      <w:r w:rsidR="008E2E42">
        <w:t xml:space="preserve">s relevant to the senior lenders </w:t>
      </w:r>
      <w:r w:rsidR="004261A1">
        <w:t xml:space="preserve">as that would determine if the senior lenders had a </w:t>
      </w:r>
      <w:r w:rsidR="00EB6559">
        <w:t>genuine economic interest in Smile.</w:t>
      </w:r>
    </w:p>
    <w:p w14:paraId="0F27B0D0" w14:textId="5F6069DC" w:rsidR="00EB6559" w:rsidRDefault="009F0F3E" w:rsidP="000C7F73">
      <w:pPr>
        <w:spacing w:after="120" w:line="360" w:lineRule="auto"/>
        <w:jc w:val="both"/>
      </w:pPr>
      <w:r>
        <w:t xml:space="preserve">Smile proposed a restructuring plan </w:t>
      </w:r>
      <w:r w:rsidR="00A15618">
        <w:t xml:space="preserve">to </w:t>
      </w:r>
      <w:r w:rsidR="00CA4710">
        <w:t>secure additional liquidity to avoid immediate administration</w:t>
      </w:r>
      <w:r w:rsidR="004732C1">
        <w:t xml:space="preserve"> and </w:t>
      </w:r>
      <w:r w:rsidR="00A256AA">
        <w:t xml:space="preserve">to </w:t>
      </w:r>
      <w:r w:rsidR="004732C1">
        <w:t>restructur</w:t>
      </w:r>
      <w:r w:rsidR="00A256AA">
        <w:t xml:space="preserve">e the debts </w:t>
      </w:r>
      <w:proofErr w:type="gramStart"/>
      <w:r w:rsidR="00A256AA">
        <w:t xml:space="preserve">so </w:t>
      </w:r>
      <w:r w:rsidR="0003704C">
        <w:t>as to</w:t>
      </w:r>
      <w:proofErr w:type="gramEnd"/>
      <w:r w:rsidR="0003704C">
        <w:t xml:space="preserve"> enable it to dispose the assets on a solvent basis. </w:t>
      </w:r>
      <w:r w:rsidR="004732C1">
        <w:t xml:space="preserve"> </w:t>
      </w:r>
      <w:proofErr w:type="gramStart"/>
      <w:r w:rsidR="00CA6297">
        <w:t>In the event that</w:t>
      </w:r>
      <w:proofErr w:type="gramEnd"/>
      <w:r w:rsidR="00CA6297">
        <w:t xml:space="preserve"> the restructuring plan was not sanctioned, </w:t>
      </w:r>
      <w:r w:rsidR="00E5375B">
        <w:t xml:space="preserve">Smile would be placed into insolvency process.  </w:t>
      </w:r>
      <w:r w:rsidR="00123981">
        <w:t xml:space="preserve">Smile </w:t>
      </w:r>
      <w:r w:rsidR="00863334">
        <w:t xml:space="preserve">filed valuation evidence </w:t>
      </w:r>
      <w:r w:rsidR="002356D7">
        <w:t xml:space="preserve">concerning </w:t>
      </w:r>
      <w:r w:rsidR="005D494B">
        <w:t xml:space="preserve">a desktop valuation </w:t>
      </w:r>
      <w:r w:rsidR="00F801B2">
        <w:t xml:space="preserve">on </w:t>
      </w:r>
      <w:r w:rsidR="005D494B">
        <w:t xml:space="preserve">the </w:t>
      </w:r>
      <w:r w:rsidR="00AB0633">
        <w:t>best and worst scenarios</w:t>
      </w:r>
      <w:r w:rsidR="005D494B">
        <w:t xml:space="preserve"> of </w:t>
      </w:r>
      <w:r w:rsidR="002356D7">
        <w:t>the disposal process</w:t>
      </w:r>
      <w:r w:rsidR="00B7745D">
        <w:t xml:space="preserve"> with discount</w:t>
      </w:r>
      <w:r w:rsidR="00B9280F">
        <w:t xml:space="preserve"> applied for distressed sales to reflect </w:t>
      </w:r>
      <w:r w:rsidR="0093083B">
        <w:t>the absence of extensive warranties</w:t>
      </w:r>
      <w:r w:rsidR="005D494B">
        <w:t>.</w:t>
      </w:r>
      <w:r w:rsidR="009B3AB8">
        <w:t xml:space="preserve">  A sale process was also </w:t>
      </w:r>
      <w:r w:rsidR="009B0C0E">
        <w:t xml:space="preserve">conducted whereas </w:t>
      </w:r>
      <w:r w:rsidR="00BD6942">
        <w:t xml:space="preserve">a </w:t>
      </w:r>
      <w:r w:rsidR="009B0C0E">
        <w:t>non-binding offer</w:t>
      </w:r>
      <w:r w:rsidR="00BD6942">
        <w:t xml:space="preserve"> received</w:t>
      </w:r>
      <w:r w:rsidR="009B0C0E">
        <w:t xml:space="preserve"> was </w:t>
      </w:r>
      <w:r w:rsidR="00EE42C4">
        <w:t>below the worst scenario value.</w:t>
      </w:r>
    </w:p>
    <w:p w14:paraId="1C132D19" w14:textId="77777777" w:rsidR="00F14F5A" w:rsidRPr="00EB2013" w:rsidRDefault="00F14F5A" w:rsidP="000C7F73">
      <w:pPr>
        <w:spacing w:before="120" w:after="0" w:line="360" w:lineRule="auto"/>
        <w:jc w:val="both"/>
        <w:rPr>
          <w:u w:val="single"/>
        </w:rPr>
      </w:pPr>
      <w:r>
        <w:rPr>
          <w:u w:val="single"/>
        </w:rPr>
        <w:t>Rulings and comments</w:t>
      </w:r>
    </w:p>
    <w:p w14:paraId="1A295918" w14:textId="2F7B7A50" w:rsidR="00EE42C4" w:rsidRDefault="00844AB9" w:rsidP="000C7F73">
      <w:pPr>
        <w:spacing w:after="120" w:line="360" w:lineRule="auto"/>
        <w:jc w:val="both"/>
      </w:pPr>
      <w:r>
        <w:t xml:space="preserve">Making reference to </w:t>
      </w:r>
      <w:r w:rsidR="000D6EE7">
        <w:t>the convening judgem</w:t>
      </w:r>
      <w:r w:rsidR="00BB4854">
        <w:t xml:space="preserve">ent for the order under </w:t>
      </w:r>
      <w:r w:rsidR="002C693E">
        <w:t>s</w:t>
      </w:r>
      <w:r w:rsidR="00BB4854">
        <w:t xml:space="preserve">ection 901C(4) of the </w:t>
      </w:r>
      <w:r w:rsidR="008040E6">
        <w:t xml:space="preserve">UK </w:t>
      </w:r>
      <w:r w:rsidR="00BB4854">
        <w:t>Companies Act 2006</w:t>
      </w:r>
      <w:r w:rsidR="008040E6">
        <w:t xml:space="preserve"> made </w:t>
      </w:r>
      <w:r w:rsidR="006417EA">
        <w:t>in</w:t>
      </w:r>
      <w:r w:rsidR="000D6EE7">
        <w:t xml:space="preserve"> </w:t>
      </w:r>
      <w:r w:rsidR="000D6EE7" w:rsidRPr="00E226C5">
        <w:rPr>
          <w:i/>
          <w:iCs/>
        </w:rPr>
        <w:t xml:space="preserve">Re Smile Telecoms Holdings Ltd [2022] EWHC </w:t>
      </w:r>
      <w:r w:rsidR="00356762">
        <w:rPr>
          <w:i/>
          <w:iCs/>
        </w:rPr>
        <w:t>387</w:t>
      </w:r>
      <w:r w:rsidR="000D6EE7" w:rsidRPr="00E226C5">
        <w:rPr>
          <w:i/>
          <w:iCs/>
        </w:rPr>
        <w:t xml:space="preserve"> (Ch)</w:t>
      </w:r>
      <w:r w:rsidR="000D6EE7">
        <w:t>,</w:t>
      </w:r>
      <w:r w:rsidR="002F39A3">
        <w:t xml:space="preserve"> the court </w:t>
      </w:r>
      <w:r w:rsidR="000526FE">
        <w:t>held that the senior lenders were clearly out of money in both the best and worst scenarios.</w:t>
      </w:r>
      <w:r w:rsidR="00947712" w:rsidRPr="00947712">
        <w:rPr>
          <w:rStyle w:val="FootnoteReference"/>
        </w:rPr>
        <w:t xml:space="preserve"> </w:t>
      </w:r>
      <w:r w:rsidR="00947712">
        <w:rPr>
          <w:rStyle w:val="FootnoteReference"/>
        </w:rPr>
        <w:footnoteReference w:id="14"/>
      </w:r>
      <w:r w:rsidR="000526FE">
        <w:t xml:space="preserve">  </w:t>
      </w:r>
      <w:r w:rsidR="00FF06B9">
        <w:t xml:space="preserve">It also held that </w:t>
      </w:r>
      <w:r w:rsidR="002A0361">
        <w:t xml:space="preserve">applying discount </w:t>
      </w:r>
      <w:r w:rsidR="00EC4C63">
        <w:t xml:space="preserve">is a commonplace to reflect the fact that any sale out of an </w:t>
      </w:r>
      <w:r w:rsidR="00EC4C63" w:rsidRPr="00DE2639">
        <w:t xml:space="preserve">insolvency process would </w:t>
      </w:r>
      <w:r w:rsidR="001B2210" w:rsidRPr="00DE2639">
        <w:t>likely to be discounted</w:t>
      </w:r>
      <w:r w:rsidR="00DE2639" w:rsidRPr="00DE2639">
        <w:t>.</w:t>
      </w:r>
      <w:r w:rsidR="001B2210" w:rsidRPr="00DE2639">
        <w:rPr>
          <w:rStyle w:val="FootnoteReference"/>
        </w:rPr>
        <w:footnoteReference w:id="15"/>
      </w:r>
      <w:r w:rsidR="001B2210" w:rsidRPr="00DE2639">
        <w:t xml:space="preserve">  </w:t>
      </w:r>
      <w:r w:rsidR="000526FE" w:rsidRPr="00DE2639">
        <w:t xml:space="preserve">Further, </w:t>
      </w:r>
      <w:r w:rsidR="00AE0539" w:rsidRPr="00DE2639">
        <w:t>the valuation evidence was supported by “</w:t>
      </w:r>
      <w:r w:rsidR="00AE0539" w:rsidRPr="00DE2639">
        <w:rPr>
          <w:i/>
          <w:iCs/>
        </w:rPr>
        <w:t>real world evidence</w:t>
      </w:r>
      <w:r w:rsidR="00AE0539" w:rsidRPr="00DE2639">
        <w:t>”</w:t>
      </w:r>
      <w:r w:rsidR="00DE2639" w:rsidRPr="00DE2639">
        <w:rPr>
          <w:rStyle w:val="FootnoteReference"/>
        </w:rPr>
        <w:footnoteReference w:id="16"/>
      </w:r>
      <w:r w:rsidR="00AE0539" w:rsidRPr="00DE2639">
        <w:t xml:space="preserve"> </w:t>
      </w:r>
      <w:r w:rsidR="00D6786A" w:rsidRPr="00DE2639">
        <w:t>–</w:t>
      </w:r>
      <w:r w:rsidR="00AE0539" w:rsidRPr="00DE2639">
        <w:t xml:space="preserve"> </w:t>
      </w:r>
      <w:r w:rsidR="00D6786A" w:rsidRPr="00DE2639">
        <w:t xml:space="preserve">the marketing and sale process.  </w:t>
      </w:r>
      <w:r w:rsidR="00260EB8" w:rsidRPr="00DE2639">
        <w:t xml:space="preserve">The court was convinced that </w:t>
      </w:r>
      <w:r w:rsidR="00FE05E7" w:rsidRPr="00DE2639">
        <w:t>this was the “</w:t>
      </w:r>
      <w:r w:rsidR="00FE05E7" w:rsidRPr="00DE2639">
        <w:rPr>
          <w:i/>
          <w:iCs/>
        </w:rPr>
        <w:t>best</w:t>
      </w:r>
      <w:r w:rsidR="00FE05E7" w:rsidRPr="00FE05E7">
        <w:rPr>
          <w:i/>
          <w:iCs/>
        </w:rPr>
        <w:t xml:space="preserve"> evidence of the actual valuation of the assets</w:t>
      </w:r>
      <w:r w:rsidR="00FE05E7">
        <w:t>”</w:t>
      </w:r>
      <w:r w:rsidR="00DE2639">
        <w:t>.</w:t>
      </w:r>
      <w:r w:rsidR="00315CD1">
        <w:rPr>
          <w:rStyle w:val="FootnoteReference"/>
        </w:rPr>
        <w:footnoteReference w:id="17"/>
      </w:r>
      <w:r w:rsidR="006863F8">
        <w:t xml:space="preserve">  </w:t>
      </w:r>
      <w:r w:rsidR="00BA4953">
        <w:t xml:space="preserve">On the other hand, the court </w:t>
      </w:r>
      <w:r w:rsidR="00631974">
        <w:t xml:space="preserve">was unsatisfied with the </w:t>
      </w:r>
      <w:r w:rsidR="00E4294F">
        <w:t>last-minute</w:t>
      </w:r>
      <w:r w:rsidR="00631974">
        <w:t xml:space="preserve"> challenge by the </w:t>
      </w:r>
      <w:r w:rsidR="00B06BF0">
        <w:t>senior lenders on Smile’s valuation evidence withou</w:t>
      </w:r>
      <w:r w:rsidR="00EA6394">
        <w:t xml:space="preserve">t </w:t>
      </w:r>
      <w:r w:rsidR="00544ADF">
        <w:t xml:space="preserve">any assistance to the court.  </w:t>
      </w:r>
      <w:r w:rsidR="000601FF">
        <w:t>Accordingly, the court ruled that the senior lenders were well out of money and did not have genuine economic interest in Smile.</w:t>
      </w:r>
    </w:p>
    <w:p w14:paraId="148AA71E" w14:textId="39ECDABD" w:rsidR="00AD4B65" w:rsidRDefault="00505347" w:rsidP="00B263B9">
      <w:pPr>
        <w:widowControl w:val="0"/>
        <w:spacing w:after="120" w:line="360" w:lineRule="auto"/>
        <w:jc w:val="both"/>
      </w:pPr>
      <w:r>
        <w:t xml:space="preserve">To </w:t>
      </w:r>
      <w:r w:rsidR="00FB798B">
        <w:t xml:space="preserve">work out </w:t>
      </w:r>
      <w:r w:rsidR="008F325D">
        <w:t>whether there is genuine economic interest, i</w:t>
      </w:r>
      <w:r w:rsidR="0090568B">
        <w:t xml:space="preserve">n </w:t>
      </w:r>
      <w:r w:rsidR="0090568B" w:rsidRPr="0090568B">
        <w:rPr>
          <w:i/>
          <w:iCs/>
        </w:rPr>
        <w:t>Smile</w:t>
      </w:r>
      <w:r w:rsidR="0090568B">
        <w:t xml:space="preserve">, the court </w:t>
      </w:r>
      <w:r w:rsidR="0059652C">
        <w:t xml:space="preserve">utilised the desktop valuation as </w:t>
      </w:r>
      <w:r w:rsidR="00BD6942">
        <w:t xml:space="preserve">a </w:t>
      </w:r>
      <w:r w:rsidR="0059652C">
        <w:t xml:space="preserve">guidance on the </w:t>
      </w:r>
      <w:r w:rsidR="00D86AB7">
        <w:t>outcome from the disposal process and</w:t>
      </w:r>
      <w:r w:rsidR="00BD6942">
        <w:t xml:space="preserve"> </w:t>
      </w:r>
      <w:proofErr w:type="gramStart"/>
      <w:r w:rsidR="00BD6942">
        <w:t>made</w:t>
      </w:r>
      <w:r w:rsidR="00D86AB7">
        <w:t xml:space="preserve"> </w:t>
      </w:r>
      <w:r w:rsidR="00BD6942">
        <w:t>reference</w:t>
      </w:r>
      <w:proofErr w:type="gramEnd"/>
      <w:r w:rsidR="00BD6942">
        <w:t xml:space="preserve"> </w:t>
      </w:r>
      <w:r w:rsidR="00BF6C9A">
        <w:t>to the</w:t>
      </w:r>
      <w:r w:rsidR="00BD6942">
        <w:t xml:space="preserve"> non-binding</w:t>
      </w:r>
      <w:r w:rsidR="00BF6C9A">
        <w:t xml:space="preserve"> offer, which was </w:t>
      </w:r>
      <w:r w:rsidR="00C82AD0">
        <w:t xml:space="preserve">lower than value in </w:t>
      </w:r>
      <w:r w:rsidR="00BF6C9A">
        <w:t xml:space="preserve">the worst scenario from the </w:t>
      </w:r>
      <w:r w:rsidR="00C82AD0">
        <w:t xml:space="preserve">desktop valuation, </w:t>
      </w:r>
      <w:r w:rsidR="006102FD">
        <w:t xml:space="preserve">obtained from the sale process to determine that the </w:t>
      </w:r>
      <w:r w:rsidR="00411959">
        <w:t>market testing value</w:t>
      </w:r>
      <w:r w:rsidR="002A61BB">
        <w:t xml:space="preserve"> </w:t>
      </w:r>
      <w:r w:rsidR="00B35880">
        <w:t>demonstrated the actual value of the assets.</w:t>
      </w:r>
      <w:r w:rsidR="00967F02">
        <w:t xml:space="preserve">  This is a cost-effective </w:t>
      </w:r>
      <w:r w:rsidR="00C84C2C">
        <w:t xml:space="preserve">and efficient </w:t>
      </w:r>
      <w:r w:rsidR="00967F02">
        <w:t xml:space="preserve">approach </w:t>
      </w:r>
      <w:r w:rsidR="00D4011E">
        <w:t xml:space="preserve">should the circumstances allow </w:t>
      </w:r>
      <w:r w:rsidR="007A27DE">
        <w:t xml:space="preserve">and justify </w:t>
      </w:r>
      <w:r w:rsidR="00D4011E">
        <w:t xml:space="preserve">(in this case, the sale process was conducted </w:t>
      </w:r>
      <w:r w:rsidR="00D75A2B">
        <w:t>simultaneously)</w:t>
      </w:r>
      <w:r w:rsidR="00C84C2C">
        <w:t xml:space="preserve"> as it can avoid the </w:t>
      </w:r>
      <w:r w:rsidR="00DF4849">
        <w:t xml:space="preserve">need of </w:t>
      </w:r>
      <w:r w:rsidR="00C84C2C">
        <w:t xml:space="preserve">lengthy computation </w:t>
      </w:r>
      <w:r w:rsidR="00DF4849">
        <w:t xml:space="preserve">and </w:t>
      </w:r>
      <w:r w:rsidR="00845287">
        <w:t xml:space="preserve">making and justifying </w:t>
      </w:r>
      <w:r w:rsidR="00DF4849">
        <w:t>assumption</w:t>
      </w:r>
      <w:r w:rsidR="00845287">
        <w:t>s</w:t>
      </w:r>
      <w:r w:rsidR="00D75A2B">
        <w:t xml:space="preserve">.  </w:t>
      </w:r>
      <w:r w:rsidR="007A27DE">
        <w:t xml:space="preserve">In contrast, </w:t>
      </w:r>
      <w:r w:rsidR="0009055F">
        <w:t xml:space="preserve">this may add to unnecessary costs and delay </w:t>
      </w:r>
      <w:r w:rsidR="0009055F">
        <w:lastRenderedPageBreak/>
        <w:t xml:space="preserve">the restructuring process if the sale process </w:t>
      </w:r>
      <w:r w:rsidR="00D35D40">
        <w:t>is conducted simply to obtain a market testing value.</w:t>
      </w:r>
      <w:r w:rsidR="00B263B9" w:rsidRPr="00B263B9">
        <w:rPr>
          <w:rStyle w:val="FootnoteReference"/>
        </w:rPr>
        <w:t xml:space="preserve"> </w:t>
      </w:r>
      <w:r w:rsidR="00B263B9">
        <w:rPr>
          <w:rStyle w:val="FootnoteReference"/>
        </w:rPr>
        <w:footnoteReference w:id="18"/>
      </w:r>
      <w:r w:rsidR="00D35D40">
        <w:t xml:space="preserve">  </w:t>
      </w:r>
      <w:r w:rsidR="0057589B">
        <w:t xml:space="preserve">It should also be noted that, in </w:t>
      </w:r>
      <w:r w:rsidR="0057589B" w:rsidRPr="0057589B">
        <w:rPr>
          <w:i/>
          <w:iCs/>
        </w:rPr>
        <w:t>Smile</w:t>
      </w:r>
      <w:r w:rsidR="0057589B">
        <w:t xml:space="preserve">, the court </w:t>
      </w:r>
      <w:r w:rsidR="00744D75">
        <w:t xml:space="preserve">also </w:t>
      </w:r>
      <w:r w:rsidR="0057589B">
        <w:t>criti</w:t>
      </w:r>
      <w:r w:rsidR="00A62048">
        <w:t>cised the lack of assistance provided by the senior lenders</w:t>
      </w:r>
      <w:r w:rsidR="003242F6">
        <w:t xml:space="preserve"> to </w:t>
      </w:r>
      <w:r w:rsidR="00B01DA9">
        <w:t xml:space="preserve">the court to </w:t>
      </w:r>
      <w:r w:rsidR="003242F6">
        <w:t>justify their challenge to Smile’s valuation evidence.</w:t>
      </w:r>
    </w:p>
    <w:p w14:paraId="0C572C87" w14:textId="7C4458FE" w:rsidR="00F71FDF" w:rsidRPr="00F71FDF" w:rsidRDefault="00725165" w:rsidP="00F71FDF">
      <w:pPr>
        <w:pStyle w:val="Heading2"/>
        <w:rPr>
          <w:i/>
          <w:iCs/>
          <w:color w:val="auto"/>
        </w:rPr>
      </w:pPr>
      <w:bookmarkStart w:id="7" w:name="_Toc139797179"/>
      <w:r>
        <w:rPr>
          <w:i/>
          <w:iCs/>
          <w:color w:val="auto"/>
        </w:rPr>
        <w:t xml:space="preserve">3.3 </w:t>
      </w:r>
      <w:r w:rsidR="00F71FDF" w:rsidRPr="00F71FDF">
        <w:rPr>
          <w:i/>
          <w:iCs/>
          <w:color w:val="auto"/>
        </w:rPr>
        <w:t>Adler Group SA</w:t>
      </w:r>
      <w:bookmarkEnd w:id="7"/>
    </w:p>
    <w:p w14:paraId="4861BF3D" w14:textId="77777777" w:rsidR="00F14F5A" w:rsidRPr="00EB2013" w:rsidRDefault="00F14F5A" w:rsidP="000C7F73">
      <w:pPr>
        <w:spacing w:before="120" w:after="0" w:line="360" w:lineRule="auto"/>
        <w:jc w:val="both"/>
        <w:rPr>
          <w:u w:val="single"/>
        </w:rPr>
      </w:pPr>
      <w:r w:rsidRPr="00EB2013">
        <w:rPr>
          <w:u w:val="single"/>
        </w:rPr>
        <w:t>General facts</w:t>
      </w:r>
    </w:p>
    <w:p w14:paraId="6817A1FF" w14:textId="6B5EB832" w:rsidR="006417EA" w:rsidRPr="00DE2639" w:rsidRDefault="006417EA" w:rsidP="000C7F73">
      <w:pPr>
        <w:spacing w:after="120" w:line="360" w:lineRule="auto"/>
        <w:jc w:val="both"/>
      </w:pPr>
      <w:r w:rsidRPr="00DE2639">
        <w:t xml:space="preserve">In </w:t>
      </w:r>
      <w:r w:rsidRPr="00DE2639">
        <w:rPr>
          <w:i/>
          <w:iCs/>
        </w:rPr>
        <w:t>AGPS Bondco Plc [2023] EWHC 916</w:t>
      </w:r>
      <w:r w:rsidR="008A5C88" w:rsidRPr="00DE2639">
        <w:rPr>
          <w:i/>
          <w:iCs/>
        </w:rPr>
        <w:t xml:space="preserve"> (Ch)</w:t>
      </w:r>
      <w:r w:rsidR="008A5C88" w:rsidRPr="00DE2639">
        <w:t xml:space="preserve">, conflicting valuation </w:t>
      </w:r>
      <w:r w:rsidR="00BB1E48" w:rsidRPr="00DE2639">
        <w:t>evidence</w:t>
      </w:r>
      <w:r w:rsidR="001C2A6C" w:rsidRPr="00DE2639">
        <w:t xml:space="preserve"> w</w:t>
      </w:r>
      <w:r w:rsidR="00BB1E48">
        <w:t>as</w:t>
      </w:r>
      <w:r w:rsidR="001C2A6C" w:rsidRPr="00DE2639">
        <w:t xml:space="preserve"> produced by opposing parties which </w:t>
      </w:r>
      <w:r w:rsidR="006F2907" w:rsidRPr="00DE2639">
        <w:t xml:space="preserve">both attempted to </w:t>
      </w:r>
      <w:r w:rsidR="00161753" w:rsidRPr="00DE2639">
        <w:t xml:space="preserve">determine </w:t>
      </w:r>
      <w:r w:rsidR="00904A70" w:rsidRPr="00DE2639">
        <w:t xml:space="preserve">the </w:t>
      </w:r>
      <w:r w:rsidR="00161753" w:rsidRPr="00DE2639">
        <w:t xml:space="preserve">historical gross asset value, and to </w:t>
      </w:r>
      <w:r w:rsidR="006D78E6" w:rsidRPr="00DE2639">
        <w:t xml:space="preserve">value the </w:t>
      </w:r>
      <w:r w:rsidR="006F2907" w:rsidRPr="00DE2639">
        <w:t xml:space="preserve">business by forecasting </w:t>
      </w:r>
      <w:r w:rsidR="00E31232" w:rsidRPr="00DE2639">
        <w:t xml:space="preserve">the </w:t>
      </w:r>
      <w:r w:rsidR="005B6B0E" w:rsidRPr="00DE2639">
        <w:t xml:space="preserve">future </w:t>
      </w:r>
      <w:r w:rsidR="006D78E6" w:rsidRPr="00DE2639">
        <w:t xml:space="preserve">sale of residential properties and </w:t>
      </w:r>
      <w:r w:rsidR="0087039D" w:rsidRPr="00DE2639">
        <w:t xml:space="preserve">assessing the value of the development properties.  </w:t>
      </w:r>
      <w:r w:rsidR="00FF5611" w:rsidRPr="00DE2639">
        <w:t>AGPS BondCo PLC</w:t>
      </w:r>
      <w:r w:rsidR="00042C4B" w:rsidRPr="00DE2639">
        <w:t xml:space="preserve"> (“</w:t>
      </w:r>
      <w:r w:rsidR="00042C4B" w:rsidRPr="00DE2639">
        <w:rPr>
          <w:b/>
          <w:bCs/>
        </w:rPr>
        <w:t>AGPS</w:t>
      </w:r>
      <w:r w:rsidR="00042C4B" w:rsidRPr="00DE2639">
        <w:t>”)</w:t>
      </w:r>
      <w:r w:rsidR="00643474" w:rsidRPr="00DE2639">
        <w:t>, a subsidiary of Adler Group SA</w:t>
      </w:r>
      <w:r w:rsidR="00594CCC" w:rsidRPr="00DE2639">
        <w:t xml:space="preserve"> (“</w:t>
      </w:r>
      <w:r w:rsidR="00594CCC" w:rsidRPr="00DE2639">
        <w:rPr>
          <w:b/>
          <w:bCs/>
        </w:rPr>
        <w:t>Adler</w:t>
      </w:r>
      <w:r w:rsidR="00A87041" w:rsidRPr="00DE2639">
        <w:t>”)</w:t>
      </w:r>
      <w:r w:rsidR="00643474" w:rsidRPr="00DE2639">
        <w:t xml:space="preserve">, </w:t>
      </w:r>
      <w:r w:rsidR="00E533CC" w:rsidRPr="00DE2639">
        <w:t xml:space="preserve">applied for order </w:t>
      </w:r>
      <w:r w:rsidR="00965D33" w:rsidRPr="00DE2639">
        <w:t xml:space="preserve">under Part 26A of the UK Companies Act 2006 </w:t>
      </w:r>
      <w:r w:rsidR="00E533CC" w:rsidRPr="00DE2639">
        <w:t xml:space="preserve">to </w:t>
      </w:r>
      <w:r w:rsidR="00013959" w:rsidRPr="00DE2639">
        <w:t>sanction</w:t>
      </w:r>
      <w:r w:rsidR="00F97173" w:rsidRPr="00DE2639">
        <w:t xml:space="preserve"> a restructuring plan</w:t>
      </w:r>
      <w:r w:rsidR="00965D33" w:rsidRPr="00DE2639">
        <w:t xml:space="preserve"> </w:t>
      </w:r>
      <w:r w:rsidR="001F2AD5" w:rsidRPr="00DE2639">
        <w:t>to attempt to orderly wind down and sell the assets</w:t>
      </w:r>
      <w:r w:rsidR="002C29C8" w:rsidRPr="00DE2639">
        <w:t>, rather than rescu</w:t>
      </w:r>
      <w:r w:rsidR="00744D75" w:rsidRPr="00DE2639">
        <w:t>e</w:t>
      </w:r>
      <w:r w:rsidR="002C29C8" w:rsidRPr="00DE2639">
        <w:t xml:space="preserve"> the business as a going concern</w:t>
      </w:r>
      <w:r w:rsidR="00F97173" w:rsidRPr="00DE2639">
        <w:t>.</w:t>
      </w:r>
      <w:r w:rsidR="00F75641" w:rsidRPr="00DE2639">
        <w:t xml:space="preserve">  </w:t>
      </w:r>
      <w:r w:rsidR="00F83822" w:rsidRPr="00DE2639">
        <w:t>Both AGPS and t</w:t>
      </w:r>
      <w:r w:rsidR="00F75641" w:rsidRPr="00DE2639">
        <w:t>he opposing part</w:t>
      </w:r>
      <w:r w:rsidR="00F83822" w:rsidRPr="00DE2639">
        <w:t xml:space="preserve">y, </w:t>
      </w:r>
      <w:r w:rsidR="000D3E07" w:rsidRPr="00DE2639">
        <w:t>an ad hoc group</w:t>
      </w:r>
      <w:r w:rsidR="0054001B" w:rsidRPr="00DE2639">
        <w:t xml:space="preserve"> of holders of the senior unsecured notes (“</w:t>
      </w:r>
      <w:r w:rsidR="0054001B" w:rsidRPr="00DE2639">
        <w:rPr>
          <w:b/>
          <w:bCs/>
        </w:rPr>
        <w:t>AHG</w:t>
      </w:r>
      <w:r w:rsidR="0054001B" w:rsidRPr="00DE2639">
        <w:t>”),</w:t>
      </w:r>
      <w:r w:rsidR="00F75641" w:rsidRPr="00DE2639">
        <w:t xml:space="preserve"> agreed that if the </w:t>
      </w:r>
      <w:r w:rsidR="00F471D6" w:rsidRPr="00DE2639">
        <w:t xml:space="preserve">restructuring plan was not sanctioned, </w:t>
      </w:r>
      <w:r w:rsidR="00DF1A65" w:rsidRPr="00DE2639">
        <w:t>AGP</w:t>
      </w:r>
      <w:r w:rsidR="004724BE" w:rsidRPr="00DE2639">
        <w:t xml:space="preserve">S (together with </w:t>
      </w:r>
      <w:r w:rsidR="00594CCC" w:rsidRPr="00DE2639">
        <w:t>Adler and other subsidiaries)</w:t>
      </w:r>
      <w:r w:rsidR="000A6471" w:rsidRPr="00DE2639">
        <w:t xml:space="preserve"> would have no choice but to file formal insolvency proceedings</w:t>
      </w:r>
      <w:r w:rsidR="00E12361" w:rsidRPr="00DE2639">
        <w:t xml:space="preserve"> and would realise less on the sale of its assets than it would have should the restructuring plan was sanctioned.</w:t>
      </w:r>
      <w:r w:rsidR="00D87AAB" w:rsidRPr="00DE2639">
        <w:t xml:space="preserve">  The valuation </w:t>
      </w:r>
      <w:r w:rsidR="00A837FB" w:rsidRPr="00DE2639">
        <w:t>was</w:t>
      </w:r>
      <w:r w:rsidR="0054001B" w:rsidRPr="00DE2639">
        <w:t xml:space="preserve"> relevant to AHG</w:t>
      </w:r>
      <w:r w:rsidR="00A837FB" w:rsidRPr="00DE2639">
        <w:t xml:space="preserve"> </w:t>
      </w:r>
      <w:r w:rsidR="00697899" w:rsidRPr="00DE2639">
        <w:t xml:space="preserve">which argued </w:t>
      </w:r>
      <w:r w:rsidR="00C162B7" w:rsidRPr="00DE2639">
        <w:t>that</w:t>
      </w:r>
      <w:r w:rsidR="00744D75" w:rsidRPr="00DE2639">
        <w:t>,</w:t>
      </w:r>
      <w:r w:rsidR="00C162B7" w:rsidRPr="00DE2639">
        <w:t xml:space="preserve"> </w:t>
      </w:r>
      <w:r w:rsidR="00744D75" w:rsidRPr="00DE2639">
        <w:t xml:space="preserve">should the restructuring plan be sanctioned, </w:t>
      </w:r>
      <w:r w:rsidR="00C162B7" w:rsidRPr="00DE2639">
        <w:t>it would be</w:t>
      </w:r>
      <w:r w:rsidR="00FA6730" w:rsidRPr="00DE2639">
        <w:t xml:space="preserve"> worse off </w:t>
      </w:r>
      <w:r w:rsidR="00C162B7" w:rsidRPr="00DE2639">
        <w:t xml:space="preserve">than in </w:t>
      </w:r>
      <w:r w:rsidR="00B42861" w:rsidRPr="00DE2639">
        <w:t>liquidation</w:t>
      </w:r>
      <w:r w:rsidR="00327C37" w:rsidRPr="00DE2639">
        <w:t>.</w:t>
      </w:r>
    </w:p>
    <w:p w14:paraId="71D29273" w14:textId="77777777" w:rsidR="00F14F5A" w:rsidRPr="00DE2639" w:rsidRDefault="00F14F5A" w:rsidP="000C7F73">
      <w:pPr>
        <w:spacing w:before="120" w:after="0" w:line="360" w:lineRule="auto"/>
        <w:jc w:val="both"/>
        <w:rPr>
          <w:u w:val="single"/>
        </w:rPr>
      </w:pPr>
      <w:r w:rsidRPr="00DE2639">
        <w:rPr>
          <w:u w:val="single"/>
        </w:rPr>
        <w:t>Rulings and comments</w:t>
      </w:r>
    </w:p>
    <w:p w14:paraId="36E250C1" w14:textId="1724EA76" w:rsidR="005E69DF" w:rsidRDefault="00547F44" w:rsidP="000C7F73">
      <w:pPr>
        <w:spacing w:after="120" w:line="360" w:lineRule="auto"/>
        <w:jc w:val="both"/>
      </w:pPr>
      <w:r w:rsidRPr="00DE2639">
        <w:t xml:space="preserve">The </w:t>
      </w:r>
      <w:r w:rsidR="004E73D9" w:rsidRPr="00DE2639">
        <w:t xml:space="preserve">court noted that the </w:t>
      </w:r>
      <w:r w:rsidR="00E94762" w:rsidRPr="00DE2639">
        <w:t xml:space="preserve">real differences between the conflicting valuation evidence </w:t>
      </w:r>
      <w:r w:rsidR="00DC5B3E" w:rsidRPr="00DE2639">
        <w:t xml:space="preserve">related to </w:t>
      </w:r>
      <w:r w:rsidR="001A1DA8" w:rsidRPr="00DE2639">
        <w:t>the components in the valuation</w:t>
      </w:r>
      <w:r w:rsidR="004429F2" w:rsidRPr="00DE2639">
        <w:t xml:space="preserve"> which in this case</w:t>
      </w:r>
      <w:r w:rsidR="007A38A9">
        <w:t xml:space="preserve"> – </w:t>
      </w:r>
      <w:r w:rsidR="004429F2" w:rsidRPr="00DE2639">
        <w:t>the</w:t>
      </w:r>
      <w:r w:rsidR="007A38A9">
        <w:t xml:space="preserve"> </w:t>
      </w:r>
      <w:r w:rsidR="004429F2" w:rsidRPr="00DE2639">
        <w:t>yields</w:t>
      </w:r>
      <w:r w:rsidR="004429F2">
        <w:t xml:space="preserve"> </w:t>
      </w:r>
      <w:r w:rsidR="00391465">
        <w:t>and the inputs into development appraisals</w:t>
      </w:r>
      <w:r w:rsidR="00DE2639">
        <w:t>.</w:t>
      </w:r>
      <w:r w:rsidR="00BE1563">
        <w:rPr>
          <w:rStyle w:val="FootnoteReference"/>
        </w:rPr>
        <w:footnoteReference w:id="19"/>
      </w:r>
      <w:r w:rsidR="00D85D5D">
        <w:t xml:space="preserve">  </w:t>
      </w:r>
      <w:r w:rsidR="00877363">
        <w:t xml:space="preserve">The </w:t>
      </w:r>
      <w:r w:rsidR="00B0214F">
        <w:t>c</w:t>
      </w:r>
      <w:r w:rsidR="00877363">
        <w:t xml:space="preserve">ourt was </w:t>
      </w:r>
      <w:r w:rsidR="005F1B57">
        <w:t xml:space="preserve">satisfied with </w:t>
      </w:r>
      <w:r w:rsidR="006F4953">
        <w:t>AGPS</w:t>
      </w:r>
      <w:r w:rsidR="00594F22">
        <w:t xml:space="preserve">’s </w:t>
      </w:r>
      <w:r w:rsidR="005F1B57">
        <w:t xml:space="preserve">valuation </w:t>
      </w:r>
      <w:r w:rsidR="00594F22">
        <w:t xml:space="preserve">evidence </w:t>
      </w:r>
      <w:r w:rsidR="004D7879">
        <w:t>on the capitalisation rates</w:t>
      </w:r>
      <w:r w:rsidR="00BB55AA">
        <w:t xml:space="preserve"> adopted in the discounted cash flow valuation</w:t>
      </w:r>
      <w:r w:rsidR="00072811">
        <w:t xml:space="preserve"> </w:t>
      </w:r>
      <w:r w:rsidR="00AB2857">
        <w:t>which were</w:t>
      </w:r>
      <w:r w:rsidR="00072811">
        <w:t xml:space="preserve"> cross checked against comparable evidence</w:t>
      </w:r>
      <w:r w:rsidR="00AB2857">
        <w:t xml:space="preserve"> and sales data</w:t>
      </w:r>
      <w:r w:rsidR="00805065">
        <w:t xml:space="preserve"> and adjusted where necessary.</w:t>
      </w:r>
      <w:r w:rsidR="00B0214F">
        <w:t xml:space="preserve">  The court also </w:t>
      </w:r>
      <w:r w:rsidR="00A67693">
        <w:t xml:space="preserve">satisfied with the </w:t>
      </w:r>
      <w:r w:rsidR="00797BB0">
        <w:t>residual valuation method adopted</w:t>
      </w:r>
      <w:r w:rsidR="00D61FB5">
        <w:t>, using a specialist piece of software,</w:t>
      </w:r>
      <w:r w:rsidR="00797BB0">
        <w:t xml:space="preserve"> to value the development properties </w:t>
      </w:r>
      <w:r w:rsidR="00081C18">
        <w:t xml:space="preserve">which </w:t>
      </w:r>
      <w:r w:rsidR="00F544A3">
        <w:t xml:space="preserve">was routinely used to value the development </w:t>
      </w:r>
      <w:r w:rsidR="00E53078">
        <w:t xml:space="preserve">portfolio of the </w:t>
      </w:r>
      <w:r w:rsidR="00F544A3">
        <w:t xml:space="preserve">Adler’s group </w:t>
      </w:r>
      <w:r w:rsidR="00E53078">
        <w:t>by computing the market value</w:t>
      </w:r>
      <w:r w:rsidR="00D61FB5">
        <w:t xml:space="preserve"> </w:t>
      </w:r>
      <w:r w:rsidR="007053CA">
        <w:t>and appropriating project costs of each property.</w:t>
      </w:r>
      <w:r w:rsidR="006B5394">
        <w:t xml:space="preserve">  Therefore, the court preferred </w:t>
      </w:r>
      <w:r w:rsidR="001E436A">
        <w:t>the value computed and submitted by AGPS.</w:t>
      </w:r>
    </w:p>
    <w:p w14:paraId="06BFF7E1" w14:textId="116F5A6C" w:rsidR="001E436A" w:rsidRDefault="003B290A" w:rsidP="000C7F73">
      <w:pPr>
        <w:spacing w:after="120" w:line="360" w:lineRule="auto"/>
        <w:jc w:val="both"/>
      </w:pPr>
      <w:proofErr w:type="gramStart"/>
      <w:r>
        <w:t>In order to</w:t>
      </w:r>
      <w:proofErr w:type="gramEnd"/>
      <w:r>
        <w:t xml:space="preserve"> consider liquidation value, AGPS submitted evidence </w:t>
      </w:r>
      <w:r w:rsidR="00936498">
        <w:t>on the appropriate insolvency discount</w:t>
      </w:r>
      <w:r w:rsidR="007E1DB7">
        <w:t>,</w:t>
      </w:r>
      <w:r w:rsidR="00936498">
        <w:t xml:space="preserve"> which was identified by conducting interviews with </w:t>
      </w:r>
      <w:r w:rsidR="00EC28BC">
        <w:t>experts</w:t>
      </w:r>
      <w:r w:rsidR="00263427">
        <w:t>, and gave evidence about the factors which gave rise to an insolvency discount.</w:t>
      </w:r>
      <w:r w:rsidR="00D573CD">
        <w:t xml:space="preserve">  The court was </w:t>
      </w:r>
      <w:r w:rsidR="00B11B52">
        <w:t xml:space="preserve">satisfied that </w:t>
      </w:r>
      <w:r w:rsidR="003657EC">
        <w:t>AGPS’s</w:t>
      </w:r>
      <w:r w:rsidR="00B11B52">
        <w:t xml:space="preserve"> evidence was supported with </w:t>
      </w:r>
      <w:r w:rsidR="00F80136">
        <w:t xml:space="preserve">substance, </w:t>
      </w:r>
      <w:r w:rsidR="003657EC">
        <w:t xml:space="preserve">and the </w:t>
      </w:r>
      <w:r w:rsidR="008A5526">
        <w:t xml:space="preserve">insolvency discount </w:t>
      </w:r>
      <w:r w:rsidR="00F45227">
        <w:t xml:space="preserve">was </w:t>
      </w:r>
      <w:r w:rsidR="008A5526">
        <w:t xml:space="preserve">identified by each expert </w:t>
      </w:r>
      <w:r w:rsidR="000D7834">
        <w:t>with</w:t>
      </w:r>
      <w:r w:rsidR="008A5526">
        <w:t xml:space="preserve"> reasons, as opposed </w:t>
      </w:r>
      <w:r w:rsidR="008A5526">
        <w:lastRenderedPageBreak/>
        <w:t xml:space="preserve">to </w:t>
      </w:r>
      <w:r w:rsidR="000E6C80">
        <w:t>the absence of details in AHG’s evidence.</w:t>
      </w:r>
      <w:r w:rsidR="00F50705">
        <w:t xml:space="preserve">  </w:t>
      </w:r>
      <w:proofErr w:type="gramStart"/>
      <w:r w:rsidR="00C37988">
        <w:t>Taking into account</w:t>
      </w:r>
      <w:proofErr w:type="gramEnd"/>
      <w:r w:rsidR="00C37988">
        <w:t xml:space="preserve"> the valuations and the insolvency discounts, the court </w:t>
      </w:r>
      <w:r w:rsidR="00FA0017">
        <w:t xml:space="preserve">was satisfied that AHG would be </w:t>
      </w:r>
      <w:r w:rsidR="000D7834">
        <w:t>“</w:t>
      </w:r>
      <w:r w:rsidR="00FA0017">
        <w:t>no worse off</w:t>
      </w:r>
      <w:r w:rsidR="000D7834">
        <w:t>”</w:t>
      </w:r>
      <w:r w:rsidR="00FA0017">
        <w:t xml:space="preserve"> under the restructuring plan.</w:t>
      </w:r>
    </w:p>
    <w:p w14:paraId="52539306" w14:textId="13C0E576" w:rsidR="002F418F" w:rsidRDefault="0067199C" w:rsidP="000C7F73">
      <w:pPr>
        <w:spacing w:after="120" w:line="360" w:lineRule="auto"/>
        <w:jc w:val="both"/>
      </w:pPr>
      <w:r>
        <w:t xml:space="preserve">While the conflicting valuation </w:t>
      </w:r>
      <w:r w:rsidR="00B01DA9">
        <w:t>evidence</w:t>
      </w:r>
      <w:r w:rsidR="00EB08D0">
        <w:t xml:space="preserve"> both attempted to compute the value </w:t>
      </w:r>
      <w:r w:rsidR="00B01DA9">
        <w:t xml:space="preserve">using the same valuation methodology, </w:t>
      </w:r>
      <w:r w:rsidR="00095C05">
        <w:t xml:space="preserve">the court made ruling on the components and assumptions </w:t>
      </w:r>
      <w:r w:rsidR="004F4A8F">
        <w:t xml:space="preserve">adopted to compute the value.  </w:t>
      </w:r>
      <w:r w:rsidR="005C3977">
        <w:t>The capitalisation ra</w:t>
      </w:r>
      <w:r w:rsidR="00394E84">
        <w:t>tes adopted in the discounted cash flow method</w:t>
      </w:r>
      <w:r w:rsidR="00F97639">
        <w:t xml:space="preserve"> required market research</w:t>
      </w:r>
      <w:r w:rsidR="00057FE7">
        <w:t xml:space="preserve"> which could be time consuming.  </w:t>
      </w:r>
      <w:r w:rsidR="00681362">
        <w:t>In addition</w:t>
      </w:r>
      <w:r w:rsidR="00551C97">
        <w:t xml:space="preserve">, it may not be accurate given information asymmetry.  In </w:t>
      </w:r>
      <w:r w:rsidR="00775BBE" w:rsidRPr="00775BBE">
        <w:rPr>
          <w:i/>
          <w:iCs/>
        </w:rPr>
        <w:t>AGPS</w:t>
      </w:r>
      <w:r w:rsidR="00775BBE">
        <w:t xml:space="preserve">, this rate </w:t>
      </w:r>
      <w:r w:rsidR="00FC3D9F">
        <w:t xml:space="preserve">could be obtained relatively easily as </w:t>
      </w:r>
      <w:r w:rsidR="00412FDC">
        <w:t xml:space="preserve">the group </w:t>
      </w:r>
      <w:r w:rsidR="00FC3D9F">
        <w:t xml:space="preserve">has routinely </w:t>
      </w:r>
      <w:r w:rsidR="00412FDC">
        <w:t xml:space="preserve">inspect and monitor </w:t>
      </w:r>
      <w:r w:rsidR="00681362">
        <w:t xml:space="preserve">its development portfolio.  Further, </w:t>
      </w:r>
      <w:r w:rsidR="0059482F">
        <w:t xml:space="preserve">the </w:t>
      </w:r>
      <w:r w:rsidR="00620DB9">
        <w:t xml:space="preserve">value was cross checked </w:t>
      </w:r>
      <w:r w:rsidR="00A77A1E">
        <w:t>with open data and adjusted to enhance accuracy</w:t>
      </w:r>
      <w:r w:rsidR="00C80CBE">
        <w:t xml:space="preserve">, though there would be cost concern.  </w:t>
      </w:r>
      <w:r w:rsidR="001315C6">
        <w:t xml:space="preserve">The insolvency discount obtained to compute the liquidation value was done through </w:t>
      </w:r>
      <w:r w:rsidR="00461C93">
        <w:t xml:space="preserve">interviews with experts which ensured the reliability of </w:t>
      </w:r>
      <w:r w:rsidR="00322DF5">
        <w:t>this component.</w:t>
      </w:r>
      <w:r w:rsidR="002F418F">
        <w:t xml:space="preserve">  It can also be noted in </w:t>
      </w:r>
      <w:r w:rsidR="002F418F" w:rsidRPr="002F418F">
        <w:rPr>
          <w:i/>
          <w:iCs/>
        </w:rPr>
        <w:t>AGPS</w:t>
      </w:r>
      <w:r w:rsidR="002F418F" w:rsidRPr="002F418F">
        <w:t xml:space="preserve"> </w:t>
      </w:r>
      <w:r w:rsidR="002F418F">
        <w:t xml:space="preserve">that, the court adopted different valuation methodology to value different types of assets subject to their characteristics and information available.  </w:t>
      </w:r>
    </w:p>
    <w:p w14:paraId="50BDD17C" w14:textId="6E8ED585" w:rsidR="00F71FDF" w:rsidRPr="00122BDA" w:rsidRDefault="00E2488F" w:rsidP="00725165">
      <w:pPr>
        <w:pStyle w:val="Heading1"/>
        <w:numPr>
          <w:ilvl w:val="0"/>
          <w:numId w:val="9"/>
        </w:numPr>
        <w:ind w:left="567" w:hanging="567"/>
        <w:rPr>
          <w:rFonts w:cstheme="majorHAnsi"/>
          <w:b/>
          <w:bCs/>
          <w:color w:val="auto"/>
        </w:rPr>
      </w:pPr>
      <w:bookmarkStart w:id="8" w:name="_Toc139797180"/>
      <w:r w:rsidRPr="00122BDA">
        <w:rPr>
          <w:rFonts w:cstheme="majorHAnsi"/>
          <w:b/>
          <w:bCs/>
          <w:color w:val="auto"/>
        </w:rPr>
        <w:t>Conclusion</w:t>
      </w:r>
      <w:bookmarkEnd w:id="8"/>
    </w:p>
    <w:p w14:paraId="2A1988BE" w14:textId="516AEFFB" w:rsidR="00C01F1E" w:rsidRDefault="009E1D4E" w:rsidP="000C7F73">
      <w:pPr>
        <w:spacing w:after="120" w:line="360" w:lineRule="auto"/>
        <w:jc w:val="both"/>
      </w:pPr>
      <w:r>
        <w:t>The “no worse off</w:t>
      </w:r>
      <w:r w:rsidR="008D69DB">
        <w:t xml:space="preserve">” </w:t>
      </w:r>
      <w:r>
        <w:t xml:space="preserve">test in </w:t>
      </w:r>
      <w:r w:rsidR="008D69DB">
        <w:t>Part 26A</w:t>
      </w:r>
      <w:r>
        <w:t xml:space="preserve"> and the “</w:t>
      </w:r>
      <w:r w:rsidR="008D69DB">
        <w:t>best interests of creditors” test in Chapter 11</w:t>
      </w:r>
      <w:r w:rsidR="00214E0A">
        <w:t xml:space="preserve"> share certain similarities.  They both require that the dissenting </w:t>
      </w:r>
      <w:r w:rsidR="004A775D">
        <w:t>class of creditors</w:t>
      </w:r>
      <w:r w:rsidR="002F418F">
        <w:t>,</w:t>
      </w:r>
      <w:r w:rsidR="00CE3D5A">
        <w:rPr>
          <w:rStyle w:val="FootnoteReference"/>
        </w:rPr>
        <w:footnoteReference w:id="20"/>
      </w:r>
      <w:r w:rsidR="004A775D">
        <w:t xml:space="preserve"> </w:t>
      </w:r>
      <w:r w:rsidR="00813B4A">
        <w:t xml:space="preserve">who </w:t>
      </w:r>
      <w:r w:rsidR="000B67FB">
        <w:t xml:space="preserve">would be </w:t>
      </w:r>
      <w:r w:rsidR="00813B4A">
        <w:t>crammed down in the restructuring plan</w:t>
      </w:r>
      <w:r w:rsidR="002F418F">
        <w:t>,</w:t>
      </w:r>
      <w:r w:rsidR="00813B4A">
        <w:t xml:space="preserve"> </w:t>
      </w:r>
      <w:r w:rsidR="000B67FB">
        <w:t xml:space="preserve">would not receive </w:t>
      </w:r>
      <w:r w:rsidR="00D14C48">
        <w:t xml:space="preserve">less than what they would have received in </w:t>
      </w:r>
      <w:r w:rsidR="00100BDE">
        <w:t>the relevant alternative</w:t>
      </w:r>
      <w:r w:rsidR="00D14C48">
        <w:t>.</w:t>
      </w:r>
      <w:r w:rsidR="002F418F" w:rsidRPr="002F418F">
        <w:rPr>
          <w:rStyle w:val="FootnoteReference"/>
        </w:rPr>
        <w:t xml:space="preserve"> </w:t>
      </w:r>
      <w:r w:rsidR="002F418F">
        <w:rPr>
          <w:rStyle w:val="FootnoteReference"/>
        </w:rPr>
        <w:footnoteReference w:id="21"/>
      </w:r>
      <w:r w:rsidR="00F662D1">
        <w:t xml:space="preserve">  </w:t>
      </w:r>
      <w:r w:rsidR="00973743">
        <w:t>Part 26A also introduce</w:t>
      </w:r>
      <w:r w:rsidR="0029136A">
        <w:t>s</w:t>
      </w:r>
      <w:r w:rsidR="00973743">
        <w:t xml:space="preserve"> the concept of </w:t>
      </w:r>
      <w:r w:rsidR="003F27F0">
        <w:t>“</w:t>
      </w:r>
      <w:r w:rsidR="00973743">
        <w:t>genuine economic interest</w:t>
      </w:r>
      <w:r w:rsidR="003F27F0">
        <w:t>”</w:t>
      </w:r>
      <w:r w:rsidR="00973743">
        <w:t xml:space="preserve"> in which </w:t>
      </w:r>
      <w:r w:rsidR="00DD0630">
        <w:t xml:space="preserve">dissenting </w:t>
      </w:r>
      <w:r w:rsidR="00CE3D5A">
        <w:t xml:space="preserve">creditors </w:t>
      </w:r>
      <w:r w:rsidR="00840675">
        <w:t xml:space="preserve">who would not receive a payment in the relevant alternative scenario </w:t>
      </w:r>
      <w:r w:rsidR="00CA1A11">
        <w:t>could be excluded from voting</w:t>
      </w:r>
      <w:r w:rsidR="00416051">
        <w:t>.</w:t>
      </w:r>
      <w:r w:rsidR="00354229">
        <w:t xml:space="preserve">  </w:t>
      </w:r>
      <w:r w:rsidR="005F2ADC">
        <w:t>Accordingly, v</w:t>
      </w:r>
      <w:r w:rsidR="00354229">
        <w:t xml:space="preserve">aluation </w:t>
      </w:r>
      <w:r w:rsidR="007F3B80">
        <w:t>would be</w:t>
      </w:r>
      <w:r w:rsidR="00354229">
        <w:t xml:space="preserve"> the key </w:t>
      </w:r>
      <w:r w:rsidR="005F2ADC">
        <w:t xml:space="preserve">to differentiate </w:t>
      </w:r>
      <w:r w:rsidR="007F3B80">
        <w:t>various circumstances</w:t>
      </w:r>
      <w:r w:rsidR="00B263B9">
        <w:t xml:space="preserve"> (</w:t>
      </w:r>
      <w:proofErr w:type="gramStart"/>
      <w:r w:rsidR="00B263B9">
        <w:t>e.g.</w:t>
      </w:r>
      <w:proofErr w:type="gramEnd"/>
      <w:r w:rsidR="00B263B9">
        <w:t xml:space="preserve"> restructuring v</w:t>
      </w:r>
      <w:r w:rsidR="006E4E14">
        <w:t>er</w:t>
      </w:r>
      <w:r w:rsidR="00B263B9">
        <w:t>s</w:t>
      </w:r>
      <w:r w:rsidR="006E4E14">
        <w:t>us</w:t>
      </w:r>
      <w:r w:rsidR="00B263B9">
        <w:t xml:space="preserve"> liquidation, in the money v</w:t>
      </w:r>
      <w:r w:rsidR="006E4E14">
        <w:t>ersu</w:t>
      </w:r>
      <w:r w:rsidR="00B263B9">
        <w:t>s out of money)</w:t>
      </w:r>
      <w:r w:rsidR="007F3B80">
        <w:t xml:space="preserve"> and</w:t>
      </w:r>
      <w:r w:rsidR="001E0949">
        <w:t xml:space="preserve"> assist in determining whether a restructuring plan should be sanctioned.</w:t>
      </w:r>
    </w:p>
    <w:p w14:paraId="787D93BA" w14:textId="13D44E1E" w:rsidR="00C01F1E" w:rsidRDefault="000848B6" w:rsidP="00B263B9">
      <w:pPr>
        <w:widowControl w:val="0"/>
        <w:spacing w:after="120" w:line="360" w:lineRule="auto"/>
        <w:jc w:val="both"/>
      </w:pPr>
      <w:r>
        <w:t xml:space="preserve">Neither jurisdiction </w:t>
      </w:r>
      <w:r w:rsidR="001C2742">
        <w:t xml:space="preserve">has </w:t>
      </w:r>
      <w:r w:rsidR="00850FED">
        <w:t xml:space="preserve">specified </w:t>
      </w:r>
      <w:r w:rsidR="00857516">
        <w:t>or stuck with one</w:t>
      </w:r>
      <w:r w:rsidR="00850FED">
        <w:t xml:space="preserve"> valuation methodology </w:t>
      </w:r>
      <w:r w:rsidR="00F505F5">
        <w:t>or</w:t>
      </w:r>
      <w:r w:rsidR="00850FED">
        <w:t xml:space="preserve"> value </w:t>
      </w:r>
      <w:r w:rsidR="008F5A7F">
        <w:t>that should be</w:t>
      </w:r>
      <w:r w:rsidR="00850FED">
        <w:t xml:space="preserve"> adopted</w:t>
      </w:r>
      <w:r w:rsidR="008F5A7F">
        <w:t xml:space="preserve"> in the legislations</w:t>
      </w:r>
      <w:r w:rsidR="000127C7">
        <w:t xml:space="preserve"> or by the court</w:t>
      </w:r>
      <w:r w:rsidR="00601291">
        <w:t xml:space="preserve"> as there is no </w:t>
      </w:r>
      <w:r w:rsidR="006267DF" w:rsidRPr="000B76AC">
        <w:t>one rule</w:t>
      </w:r>
      <w:r w:rsidR="00F63E9A" w:rsidRPr="000B76AC">
        <w:t xml:space="preserve"> fits all situation.  </w:t>
      </w:r>
      <w:r w:rsidR="001E26ED" w:rsidRPr="000B76AC">
        <w:t xml:space="preserve">In addition, </w:t>
      </w:r>
      <w:r w:rsidR="00022CD7" w:rsidRPr="000B76AC">
        <w:t xml:space="preserve">no one can say one </w:t>
      </w:r>
      <w:r w:rsidR="00655085" w:rsidRPr="000B76AC">
        <w:t xml:space="preserve">jurisdiction </w:t>
      </w:r>
      <w:r w:rsidR="00022CD7" w:rsidRPr="000B76AC">
        <w:t xml:space="preserve">has been addressing the issues in valuation better than others given </w:t>
      </w:r>
      <w:r w:rsidR="00B263B9">
        <w:t>their</w:t>
      </w:r>
      <w:r w:rsidR="00022CD7" w:rsidRPr="000B76AC">
        <w:t xml:space="preserve"> judgmental nature.  Furthermore</w:t>
      </w:r>
      <w:r w:rsidR="0073441E" w:rsidRPr="000B76AC">
        <w:t xml:space="preserve">, </w:t>
      </w:r>
      <w:r w:rsidR="00EB6114" w:rsidRPr="000B76AC">
        <w:t xml:space="preserve">as it has been acknowledged by various judges, </w:t>
      </w:r>
      <w:r w:rsidR="00083188" w:rsidRPr="000B76AC">
        <w:t>valuation is arithmetical</w:t>
      </w:r>
      <w:r w:rsidR="00DE2639">
        <w:t>,</w:t>
      </w:r>
      <w:r w:rsidR="007B7B0A" w:rsidRPr="000B76AC">
        <w:rPr>
          <w:rStyle w:val="FootnoteReference"/>
        </w:rPr>
        <w:footnoteReference w:id="22"/>
      </w:r>
      <w:r w:rsidR="008B28E1" w:rsidRPr="000B76AC">
        <w:t xml:space="preserve"> contains </w:t>
      </w:r>
      <w:r w:rsidR="00C05A70" w:rsidRPr="000B76AC">
        <w:t xml:space="preserve">inherent </w:t>
      </w:r>
      <w:r w:rsidR="008B28E1" w:rsidRPr="000B76AC">
        <w:t>uncerta</w:t>
      </w:r>
      <w:r w:rsidR="00E56F0C" w:rsidRPr="000B76AC">
        <w:t>inty</w:t>
      </w:r>
      <w:r w:rsidR="0068060E" w:rsidRPr="000B76AC">
        <w:rPr>
          <w:rStyle w:val="FootnoteReference"/>
        </w:rPr>
        <w:footnoteReference w:id="23"/>
      </w:r>
      <w:r w:rsidR="00B57580" w:rsidRPr="000B76AC">
        <w:t xml:space="preserve"> and significant degree of </w:t>
      </w:r>
      <w:r w:rsidR="003C3A25" w:rsidRPr="000B76AC">
        <w:t>scepticism</w:t>
      </w:r>
      <w:r w:rsidR="00DE2639">
        <w:t>,</w:t>
      </w:r>
      <w:r w:rsidR="00856D04" w:rsidRPr="000B76AC">
        <w:rPr>
          <w:rStyle w:val="FootnoteReference"/>
        </w:rPr>
        <w:footnoteReference w:id="24"/>
      </w:r>
      <w:r w:rsidR="00E56F0C" w:rsidRPr="000B76AC">
        <w:t xml:space="preserve"> </w:t>
      </w:r>
      <w:r w:rsidR="005444D2" w:rsidRPr="000B76AC">
        <w:t xml:space="preserve">may not </w:t>
      </w:r>
      <w:r w:rsidR="005444D2" w:rsidRPr="000B76AC">
        <w:lastRenderedPageBreak/>
        <w:t>necessary be reliable</w:t>
      </w:r>
      <w:r w:rsidR="00DE2639">
        <w:t>,</w:t>
      </w:r>
      <w:r w:rsidR="00357FC9" w:rsidRPr="000B76AC">
        <w:rPr>
          <w:rStyle w:val="FootnoteReference"/>
        </w:rPr>
        <w:footnoteReference w:id="25"/>
      </w:r>
      <w:r w:rsidR="005444D2" w:rsidRPr="000B76AC">
        <w:t xml:space="preserve"> </w:t>
      </w:r>
      <w:r w:rsidR="00FA0A6B" w:rsidRPr="000B76AC">
        <w:t xml:space="preserve">and </w:t>
      </w:r>
      <w:r w:rsidR="00970AF5" w:rsidRPr="000B76AC">
        <w:t>future looking</w:t>
      </w:r>
      <w:r w:rsidR="00FA0A6B" w:rsidRPr="000B76AC">
        <w:t>.</w:t>
      </w:r>
      <w:r w:rsidR="00970AF5">
        <w:t xml:space="preserve"> </w:t>
      </w:r>
    </w:p>
    <w:p w14:paraId="57908D9B" w14:textId="1674E46C" w:rsidR="00C316CF" w:rsidRDefault="00A37986" w:rsidP="000C7F73">
      <w:pPr>
        <w:spacing w:after="120" w:line="360" w:lineRule="auto"/>
        <w:jc w:val="both"/>
      </w:pPr>
      <w:r>
        <w:t xml:space="preserve">When conducting valuation exercise, </w:t>
      </w:r>
      <w:r w:rsidR="00397847">
        <w:t xml:space="preserve">one should consider the circumstances and purpose of the valuation.  </w:t>
      </w:r>
      <w:r w:rsidR="005D1F85">
        <w:t xml:space="preserve">The NOLV approach </w:t>
      </w:r>
      <w:r w:rsidR="008E13A8">
        <w:t xml:space="preserve">applied in </w:t>
      </w:r>
      <w:r w:rsidR="005D1F85" w:rsidRPr="009A7CC5">
        <w:rPr>
          <w:i/>
          <w:iCs/>
        </w:rPr>
        <w:t>Sears</w:t>
      </w:r>
      <w:r w:rsidR="005D1F85">
        <w:t xml:space="preserve"> </w:t>
      </w:r>
      <w:r w:rsidR="008E13A8">
        <w:t xml:space="preserve">is not applicable </w:t>
      </w:r>
      <w:r w:rsidR="00014A9A">
        <w:t xml:space="preserve">to the market testing </w:t>
      </w:r>
      <w:r w:rsidR="00B87918">
        <w:t xml:space="preserve">approach </w:t>
      </w:r>
      <w:r w:rsidR="00344412">
        <w:t xml:space="preserve">in </w:t>
      </w:r>
      <w:r w:rsidR="00344412" w:rsidRPr="009A7CC5">
        <w:rPr>
          <w:i/>
          <w:iCs/>
        </w:rPr>
        <w:t>Smile</w:t>
      </w:r>
      <w:r w:rsidR="00344412">
        <w:t xml:space="preserve"> given the different circumstances</w:t>
      </w:r>
      <w:r w:rsidR="000B6BF5">
        <w:t xml:space="preserve">, time </w:t>
      </w:r>
      <w:r w:rsidR="007855C9">
        <w:t xml:space="preserve">constraint </w:t>
      </w:r>
      <w:r w:rsidR="00344412">
        <w:t xml:space="preserve">and </w:t>
      </w:r>
      <w:r w:rsidR="009A7CC5">
        <w:t xml:space="preserve">availability of information.  </w:t>
      </w:r>
      <w:r w:rsidR="001A6801">
        <w:t xml:space="preserve">The asset (or liability) class that is being valued </w:t>
      </w:r>
      <w:r w:rsidR="00B7683F">
        <w:t xml:space="preserve">is also an important factor.  </w:t>
      </w:r>
      <w:r w:rsidR="00F84811">
        <w:t xml:space="preserve">It would be </w:t>
      </w:r>
      <w:r w:rsidR="000E5633">
        <w:t xml:space="preserve">so wrong to adopt the valuation methodology </w:t>
      </w:r>
      <w:r w:rsidR="00F72CFC">
        <w:t xml:space="preserve">in </w:t>
      </w:r>
      <w:r w:rsidR="000E5633">
        <w:t>valu</w:t>
      </w:r>
      <w:r w:rsidR="00F72CFC">
        <w:t>ing</w:t>
      </w:r>
      <w:r w:rsidR="000E5633">
        <w:t xml:space="preserve"> the properties in </w:t>
      </w:r>
      <w:r w:rsidR="000E5633" w:rsidRPr="00620736">
        <w:rPr>
          <w:i/>
          <w:iCs/>
        </w:rPr>
        <w:t>AGPS</w:t>
      </w:r>
      <w:r w:rsidR="00F72CFC">
        <w:t xml:space="preserve"> to value the inventory </w:t>
      </w:r>
      <w:r w:rsidR="00620736">
        <w:t xml:space="preserve">in </w:t>
      </w:r>
      <w:r w:rsidR="00620736" w:rsidRPr="00620736">
        <w:rPr>
          <w:i/>
          <w:iCs/>
        </w:rPr>
        <w:t>Sears</w:t>
      </w:r>
      <w:r w:rsidR="00620736">
        <w:t>.</w:t>
      </w:r>
      <w:r w:rsidR="00DC084F">
        <w:t xml:space="preserve">  </w:t>
      </w:r>
      <w:r w:rsidR="006E06E2">
        <w:t xml:space="preserve">In addition, the components </w:t>
      </w:r>
      <w:r w:rsidR="0085735A">
        <w:t xml:space="preserve">in the valuation need to be carefully </w:t>
      </w:r>
      <w:r w:rsidR="00D14DB0">
        <w:t xml:space="preserve">scrutinised which sometimes involve </w:t>
      </w:r>
      <w:r w:rsidR="009954EC">
        <w:t xml:space="preserve">valuation of their own.  </w:t>
      </w:r>
      <w:r w:rsidR="00A26F5F">
        <w:t>Further</w:t>
      </w:r>
      <w:r w:rsidR="006E06E2">
        <w:t>more</w:t>
      </w:r>
      <w:r w:rsidR="00A26F5F">
        <w:t>, the timing of the valuation should also be considered</w:t>
      </w:r>
      <w:r w:rsidR="00D24AA3">
        <w:t xml:space="preserve"> in which </w:t>
      </w:r>
      <w:r w:rsidR="0025614A">
        <w:t xml:space="preserve">the valuation should be conducted </w:t>
      </w:r>
      <w:r w:rsidR="001870B4">
        <w:t xml:space="preserve">as at the relevant date (usually </w:t>
      </w:r>
      <w:r w:rsidR="007024BF">
        <w:t>t</w:t>
      </w:r>
      <w:r w:rsidR="001870B4">
        <w:t>he petition date)</w:t>
      </w:r>
      <w:r w:rsidR="001870B4">
        <w:rPr>
          <w:rStyle w:val="FootnoteReference"/>
        </w:rPr>
        <w:footnoteReference w:id="26"/>
      </w:r>
      <w:r w:rsidR="001870B4">
        <w:t xml:space="preserve"> </w:t>
      </w:r>
      <w:r w:rsidR="004D3524">
        <w:t xml:space="preserve">but not </w:t>
      </w:r>
      <w:r w:rsidR="00EF2C30">
        <w:t>conducting</w:t>
      </w:r>
      <w:r w:rsidR="000B6AA7">
        <w:t xml:space="preserve"> after-the-fact</w:t>
      </w:r>
      <w:r w:rsidR="00EF2C30">
        <w:t xml:space="preserve"> valuation</w:t>
      </w:r>
      <w:r w:rsidR="00B263B9">
        <w:t>.</w:t>
      </w:r>
      <w:r w:rsidR="000B6AA7">
        <w:rPr>
          <w:rStyle w:val="FootnoteReference"/>
        </w:rPr>
        <w:footnoteReference w:id="27"/>
      </w:r>
      <w:r w:rsidR="00224000">
        <w:t xml:space="preserve">  Lastly, </w:t>
      </w:r>
      <w:proofErr w:type="gramStart"/>
      <w:r w:rsidR="00B3559A">
        <w:t>substantive</w:t>
      </w:r>
      <w:proofErr w:type="gramEnd"/>
      <w:r w:rsidR="00B3559A">
        <w:t xml:space="preserve"> and </w:t>
      </w:r>
      <w:r w:rsidR="00231B8F">
        <w:t xml:space="preserve">relevant </w:t>
      </w:r>
      <w:r w:rsidR="00E56D10">
        <w:t xml:space="preserve">materials </w:t>
      </w:r>
      <w:r w:rsidR="007B2BA9">
        <w:t>would be required</w:t>
      </w:r>
      <w:r w:rsidR="00D344DB">
        <w:t xml:space="preserve"> to </w:t>
      </w:r>
      <w:r w:rsidR="00231B8F">
        <w:t xml:space="preserve">assist the court in understanding </w:t>
      </w:r>
      <w:r w:rsidR="00E56D10">
        <w:t>the valuation evidence</w:t>
      </w:r>
      <w:r w:rsidR="00B3559A">
        <w:t>.</w:t>
      </w:r>
      <w:r w:rsidR="007024BF">
        <w:t xml:space="preserve">  </w:t>
      </w:r>
    </w:p>
    <w:p w14:paraId="7CF165A8" w14:textId="77777777" w:rsidR="00C316CF" w:rsidRDefault="00C316CF" w:rsidP="00365370">
      <w:pPr>
        <w:spacing w:after="0" w:line="360" w:lineRule="auto"/>
        <w:jc w:val="both"/>
      </w:pPr>
    </w:p>
    <w:p w14:paraId="75EF69F0" w14:textId="77777777" w:rsidR="000B6AA7" w:rsidRDefault="000B6AA7" w:rsidP="00365370">
      <w:pPr>
        <w:spacing w:after="0" w:line="360" w:lineRule="auto"/>
        <w:jc w:val="both"/>
      </w:pPr>
    </w:p>
    <w:p w14:paraId="7EEA80A5" w14:textId="77777777" w:rsidR="00EC02CC" w:rsidRDefault="00EC02CC" w:rsidP="00365370">
      <w:pPr>
        <w:spacing w:after="0" w:line="360" w:lineRule="auto"/>
        <w:jc w:val="both"/>
      </w:pPr>
    </w:p>
    <w:p w14:paraId="241FAA53" w14:textId="151A6884" w:rsidR="00C443E6" w:rsidRDefault="00C443E6">
      <w:r>
        <w:br w:type="page"/>
      </w:r>
    </w:p>
    <w:p w14:paraId="31285351" w14:textId="57A198F2" w:rsidR="00030C98" w:rsidRPr="00D02F3B" w:rsidRDefault="00D02F3B" w:rsidP="00D02F3B">
      <w:pPr>
        <w:pStyle w:val="Heading1"/>
        <w:numPr>
          <w:ilvl w:val="0"/>
          <w:numId w:val="9"/>
        </w:numPr>
        <w:ind w:left="567" w:hanging="567"/>
        <w:rPr>
          <w:rFonts w:cstheme="majorHAnsi"/>
          <w:b/>
          <w:bCs/>
          <w:color w:val="auto"/>
        </w:rPr>
      </w:pPr>
      <w:bookmarkStart w:id="9" w:name="_Toc139797181"/>
      <w:r w:rsidRPr="00D02F3B">
        <w:rPr>
          <w:rFonts w:cstheme="majorHAnsi"/>
          <w:b/>
          <w:bCs/>
          <w:color w:val="auto"/>
        </w:rPr>
        <w:t>Bibliography</w:t>
      </w:r>
      <w:bookmarkEnd w:id="9"/>
    </w:p>
    <w:p w14:paraId="7D4D729D" w14:textId="0C4D7B85" w:rsidR="00A74589" w:rsidRDefault="00D02F3B" w:rsidP="00650D70">
      <w:pPr>
        <w:spacing w:after="0" w:line="360" w:lineRule="auto"/>
        <w:ind w:left="284" w:hanging="284"/>
        <w:jc w:val="both"/>
      </w:pPr>
      <w:r w:rsidRPr="00D02F3B">
        <w:t>11 U.S. Code</w:t>
      </w:r>
    </w:p>
    <w:p w14:paraId="59A745F4" w14:textId="77777777" w:rsidR="00543121" w:rsidRDefault="00543121" w:rsidP="00650D70">
      <w:pPr>
        <w:spacing w:after="0" w:line="360" w:lineRule="auto"/>
        <w:ind w:left="284" w:hanging="284"/>
        <w:jc w:val="both"/>
      </w:pPr>
      <w:r w:rsidRPr="00514B90">
        <w:t xml:space="preserve">A N Goldman, G W Shuster Jr., B W </w:t>
      </w:r>
      <w:proofErr w:type="spellStart"/>
      <w:r w:rsidRPr="00514B90">
        <w:t>Joveland</w:t>
      </w:r>
      <w:proofErr w:type="spellEnd"/>
      <w:r w:rsidRPr="00514B90">
        <w:t xml:space="preserve">, L R </w:t>
      </w:r>
      <w:proofErr w:type="spellStart"/>
      <w:r w:rsidRPr="00514B90">
        <w:t>Lifland</w:t>
      </w:r>
      <w:proofErr w:type="spellEnd"/>
      <w:r w:rsidRPr="00514B90">
        <w:t xml:space="preserve"> and A Pierce, Covid-19: Rethinking Chapter 11 Bankruptcy Valuation Issues in the Crises</w:t>
      </w:r>
    </w:p>
    <w:p w14:paraId="1DB385F8" w14:textId="77777777" w:rsidR="00543121" w:rsidRDefault="00543121" w:rsidP="00650D70">
      <w:pPr>
        <w:spacing w:after="0" w:line="360" w:lineRule="auto"/>
        <w:ind w:left="284" w:hanging="284"/>
        <w:jc w:val="both"/>
      </w:pPr>
      <w:r w:rsidRPr="00543121">
        <w:t xml:space="preserve">ABT Auto Investments Ltd v </w:t>
      </w:r>
      <w:proofErr w:type="spellStart"/>
      <w:r w:rsidRPr="00543121">
        <w:t>Aapico</w:t>
      </w:r>
      <w:proofErr w:type="spellEnd"/>
      <w:r w:rsidRPr="00543121">
        <w:t xml:space="preserve"> Investment Pte Ltd and Others [2022] EWHC 2839 (Comm) </w:t>
      </w:r>
    </w:p>
    <w:p w14:paraId="527B912F" w14:textId="77777777" w:rsidR="00543121" w:rsidRDefault="00543121" w:rsidP="00650D70">
      <w:pPr>
        <w:spacing w:after="0" w:line="360" w:lineRule="auto"/>
        <w:ind w:left="284" w:hanging="284"/>
        <w:jc w:val="both"/>
      </w:pPr>
      <w:r w:rsidRPr="00D02F3B">
        <w:t>Companies Act 2006 (UK)</w:t>
      </w:r>
    </w:p>
    <w:p w14:paraId="2BA99444" w14:textId="77777777" w:rsidR="00543121" w:rsidRDefault="00543121" w:rsidP="00650D70">
      <w:pPr>
        <w:spacing w:after="0" w:line="360" w:lineRule="auto"/>
        <w:ind w:left="284" w:hanging="284"/>
        <w:jc w:val="both"/>
      </w:pPr>
      <w:r w:rsidRPr="008E10E0">
        <w:t xml:space="preserve">ESL </w:t>
      </w:r>
      <w:proofErr w:type="spellStart"/>
      <w:r w:rsidRPr="008E10E0">
        <w:t>Invs</w:t>
      </w:r>
      <w:proofErr w:type="spellEnd"/>
      <w:r w:rsidRPr="008E10E0">
        <w:t xml:space="preserve">. v. Sears Holdings Corp. (In re Sears Holdings Corp.), 621 B.R. 563, 569 (S.D.N.Y. 2020), </w:t>
      </w:r>
      <w:proofErr w:type="spellStart"/>
      <w:r w:rsidRPr="008E10E0">
        <w:t>Casetext</w:t>
      </w:r>
      <w:proofErr w:type="spellEnd"/>
      <w:r w:rsidRPr="008E10E0">
        <w:t xml:space="preserve"> Inc.</w:t>
      </w:r>
    </w:p>
    <w:p w14:paraId="3EE17A1C" w14:textId="7461A9BB" w:rsidR="00D02F3B" w:rsidRDefault="00D02F3B" w:rsidP="00650D70">
      <w:pPr>
        <w:spacing w:after="0" w:line="360" w:lineRule="auto"/>
        <w:ind w:left="284" w:hanging="284"/>
        <w:jc w:val="both"/>
      </w:pPr>
      <w:r w:rsidRPr="00D02F3B">
        <w:t>European Union (Preventive Restructuring) Regulations 2022</w:t>
      </w:r>
    </w:p>
    <w:p w14:paraId="38ABA411" w14:textId="77777777" w:rsidR="00543121" w:rsidRDefault="00543121" w:rsidP="00650D70">
      <w:pPr>
        <w:spacing w:after="0" w:line="360" w:lineRule="auto"/>
        <w:ind w:left="284" w:hanging="284"/>
        <w:jc w:val="both"/>
      </w:pPr>
      <w:r w:rsidRPr="008E10E0">
        <w:t xml:space="preserve">F </w:t>
      </w:r>
      <w:proofErr w:type="spellStart"/>
      <w:r w:rsidRPr="008E10E0">
        <w:t>Poborsky</w:t>
      </w:r>
      <w:proofErr w:type="spellEnd"/>
      <w:r w:rsidRPr="008E10E0">
        <w:t>, ‘Fundamentals of the Liquidation Method of Business Valuation’, Procedia Economics and Finance 25</w:t>
      </w:r>
    </w:p>
    <w:p w14:paraId="58645608" w14:textId="77777777" w:rsidR="00543121" w:rsidRDefault="00543121" w:rsidP="00650D70">
      <w:pPr>
        <w:spacing w:after="0" w:line="360" w:lineRule="auto"/>
        <w:ind w:left="284" w:hanging="284"/>
        <w:jc w:val="both"/>
      </w:pPr>
      <w:r w:rsidRPr="008E10E0">
        <w:t xml:space="preserve">J Aronsson and A </w:t>
      </w:r>
      <w:proofErr w:type="spellStart"/>
      <w:r w:rsidRPr="008E10E0">
        <w:t>Granstedt</w:t>
      </w:r>
      <w:proofErr w:type="spellEnd"/>
      <w:r w:rsidRPr="008E10E0">
        <w:t>, A Qualitative Look into Auditor’s Going Concern Assessment (Jonkoping University International Business School 2021)</w:t>
      </w:r>
    </w:p>
    <w:p w14:paraId="45E46F21" w14:textId="77777777" w:rsidR="00543121" w:rsidRDefault="00543121" w:rsidP="00650D70">
      <w:pPr>
        <w:spacing w:after="0" w:line="360" w:lineRule="auto"/>
        <w:ind w:left="284" w:hanging="284"/>
        <w:jc w:val="both"/>
      </w:pPr>
      <w:r w:rsidRPr="008E10E0">
        <w:t>Kenneth M. Ayotte &amp; Edward R. Morrison, Valuation Disputes in Corporate Bankruptcy, 166 U. PA. L. REV. 1819 (2018)</w:t>
      </w:r>
    </w:p>
    <w:p w14:paraId="7528AD6D" w14:textId="4F16738F" w:rsidR="008E10E0" w:rsidRDefault="008E10E0" w:rsidP="00650D70">
      <w:pPr>
        <w:spacing w:after="0" w:line="360" w:lineRule="auto"/>
        <w:ind w:left="284" w:hanging="284"/>
        <w:jc w:val="both"/>
      </w:pPr>
      <w:r w:rsidRPr="008E10E0">
        <w:t>Private Pensions: OECD Classification and Glossary</w:t>
      </w:r>
    </w:p>
    <w:p w14:paraId="359F2257" w14:textId="77777777" w:rsidR="00543121" w:rsidRDefault="00543121" w:rsidP="00650D70">
      <w:pPr>
        <w:spacing w:after="0" w:line="360" w:lineRule="auto"/>
        <w:ind w:left="284" w:hanging="284"/>
        <w:jc w:val="both"/>
      </w:pPr>
      <w:r w:rsidRPr="00543121">
        <w:t xml:space="preserve">Re AGPS </w:t>
      </w:r>
      <w:proofErr w:type="spellStart"/>
      <w:r w:rsidRPr="00543121">
        <w:t>Bondco</w:t>
      </w:r>
      <w:proofErr w:type="spellEnd"/>
      <w:r w:rsidRPr="00543121">
        <w:t xml:space="preserve"> Plc [2023] EWHC 916 (Ch)</w:t>
      </w:r>
    </w:p>
    <w:p w14:paraId="02AC8357" w14:textId="74BC839E" w:rsidR="008E10E0" w:rsidRDefault="008E10E0" w:rsidP="00650D70">
      <w:pPr>
        <w:spacing w:after="0" w:line="360" w:lineRule="auto"/>
        <w:ind w:left="284" w:hanging="284"/>
        <w:jc w:val="both"/>
      </w:pPr>
      <w:r w:rsidRPr="008E10E0">
        <w:t>Re Sears Holdings Corp., 51 F.4th 53 (2d Cir. 2022)</w:t>
      </w:r>
    </w:p>
    <w:p w14:paraId="01BEABCE" w14:textId="30990715" w:rsidR="008E10E0" w:rsidRDefault="008E10E0" w:rsidP="00650D70">
      <w:pPr>
        <w:spacing w:after="0" w:line="360" w:lineRule="auto"/>
        <w:ind w:left="284" w:hanging="284"/>
        <w:jc w:val="both"/>
      </w:pPr>
      <w:r w:rsidRPr="008E10E0">
        <w:t>Re Smile Telecoms Holdings Ltd [2022] EWHC 740 (Ch)</w:t>
      </w:r>
    </w:p>
    <w:p w14:paraId="1D99A954" w14:textId="4E2E55AE" w:rsidR="00543121" w:rsidRDefault="00543121" w:rsidP="00650D70">
      <w:pPr>
        <w:spacing w:after="0" w:line="360" w:lineRule="auto"/>
        <w:ind w:left="284" w:hanging="284"/>
        <w:jc w:val="both"/>
      </w:pPr>
      <w:r>
        <w:t xml:space="preserve">Re </w:t>
      </w:r>
      <w:r w:rsidRPr="00543121">
        <w:t>Virgin Active Holdings Limited [2021] EWHC 1246 (Ch)</w:t>
      </w:r>
    </w:p>
    <w:p w14:paraId="7D978E08" w14:textId="0AD3DADC" w:rsidR="00543121" w:rsidRDefault="00543121" w:rsidP="00650D70">
      <w:pPr>
        <w:spacing w:after="0" w:line="360" w:lineRule="auto"/>
        <w:ind w:left="284" w:hanging="284"/>
        <w:jc w:val="both"/>
      </w:pPr>
      <w:r w:rsidRPr="00D02F3B">
        <w:t>The Directive (EU) 2019/1023 of the European Parliament and of the Council</w:t>
      </w:r>
    </w:p>
    <w:p w14:paraId="0324DD15" w14:textId="3A30C01E" w:rsidR="00543121" w:rsidRDefault="00543121" w:rsidP="008E10E0">
      <w:pPr>
        <w:spacing w:after="0" w:line="360" w:lineRule="auto"/>
        <w:ind w:left="426" w:hanging="426"/>
        <w:jc w:val="both"/>
      </w:pPr>
    </w:p>
    <w:p w14:paraId="4D76884A" w14:textId="77777777" w:rsidR="00881417" w:rsidRDefault="00881417" w:rsidP="008E10E0">
      <w:pPr>
        <w:spacing w:after="0" w:line="360" w:lineRule="auto"/>
        <w:ind w:left="426" w:hanging="426"/>
        <w:jc w:val="both"/>
      </w:pPr>
    </w:p>
    <w:p w14:paraId="4C3B8B28" w14:textId="77777777" w:rsidR="00881417" w:rsidRDefault="00881417" w:rsidP="008E10E0">
      <w:pPr>
        <w:spacing w:after="0" w:line="360" w:lineRule="auto"/>
        <w:ind w:left="426" w:hanging="426"/>
        <w:jc w:val="both"/>
      </w:pPr>
    </w:p>
    <w:p w14:paraId="4199723D" w14:textId="33D4941F" w:rsidR="00237F78" w:rsidRDefault="00237F78">
      <w:r>
        <w:br w:type="page"/>
      </w:r>
    </w:p>
    <w:p w14:paraId="15C30D07" w14:textId="77777777" w:rsidR="00237F78" w:rsidRDefault="00237F78" w:rsidP="008E10E0">
      <w:pPr>
        <w:spacing w:after="0" w:line="360" w:lineRule="auto"/>
        <w:ind w:left="426" w:hanging="426"/>
        <w:jc w:val="both"/>
        <w:sectPr w:rsidR="00237F78" w:rsidSect="00851CA5">
          <w:footerReference w:type="default" r:id="rId8"/>
          <w:pgSz w:w="11907" w:h="16840" w:code="9"/>
          <w:pgMar w:top="1418" w:right="1418" w:bottom="1418" w:left="1418" w:header="720" w:footer="720" w:gutter="0"/>
          <w:cols w:space="720"/>
          <w:docGrid w:linePitch="360"/>
        </w:sectPr>
      </w:pPr>
    </w:p>
    <w:p w14:paraId="6BBE965B" w14:textId="77777777" w:rsidR="006D68D1" w:rsidRDefault="006D68D1" w:rsidP="006D68D1">
      <w:pPr>
        <w:pStyle w:val="BodyText"/>
        <w:ind w:left="100"/>
        <w:rPr>
          <w:rFonts w:ascii="Times New Roman"/>
        </w:rPr>
      </w:pPr>
      <w:r>
        <w:rPr>
          <w:rFonts w:ascii="Times New Roman"/>
          <w:noProof/>
        </w:rPr>
        <mc:AlternateContent>
          <mc:Choice Requires="wpg">
            <w:drawing>
              <wp:inline distT="0" distB="0" distL="0" distR="0" wp14:anchorId="412F181A" wp14:editId="46BC72CA">
                <wp:extent cx="7112634" cy="1050925"/>
                <wp:effectExtent l="0" t="0" r="0"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12634" cy="1050925"/>
                          <a:chOff x="0" y="0"/>
                          <a:chExt cx="7112634" cy="1050925"/>
                        </a:xfrm>
                      </wpg:grpSpPr>
                      <pic:pic xmlns:pic="http://schemas.openxmlformats.org/drawingml/2006/picture">
                        <pic:nvPicPr>
                          <pic:cNvPr id="2" name="Image 2"/>
                          <pic:cNvPicPr/>
                        </pic:nvPicPr>
                        <pic:blipFill>
                          <a:blip r:embed="rId9" cstate="print"/>
                          <a:stretch>
                            <a:fillRect/>
                          </a:stretch>
                        </pic:blipFill>
                        <pic:spPr>
                          <a:xfrm>
                            <a:off x="0" y="0"/>
                            <a:ext cx="7112012" cy="1050772"/>
                          </a:xfrm>
                          <a:prstGeom prst="rect">
                            <a:avLst/>
                          </a:prstGeom>
                        </pic:spPr>
                      </pic:pic>
                      <wps:wsp>
                        <wps:cNvPr id="3" name="Textbox 3"/>
                        <wps:cNvSpPr txBox="1"/>
                        <wps:spPr>
                          <a:xfrm>
                            <a:off x="0" y="0"/>
                            <a:ext cx="7112634" cy="1050925"/>
                          </a:xfrm>
                          <a:prstGeom prst="rect">
                            <a:avLst/>
                          </a:prstGeom>
                        </wps:spPr>
                        <wps:txbx>
                          <w:txbxContent>
                            <w:p w14:paraId="6E841E3D" w14:textId="77777777" w:rsidR="006D68D1" w:rsidRDefault="006D68D1" w:rsidP="006D68D1">
                              <w:pPr>
                                <w:spacing w:before="1"/>
                                <w:rPr>
                                  <w:rFonts w:ascii="Times New Roman"/>
                                  <w:sz w:val="41"/>
                                </w:rPr>
                              </w:pPr>
                            </w:p>
                            <w:p w14:paraId="5D88FF7F" w14:textId="77777777" w:rsidR="006D68D1" w:rsidRDefault="006D68D1" w:rsidP="006D68D1">
                              <w:pPr>
                                <w:ind w:left="1158"/>
                                <w:rPr>
                                  <w:rFonts w:ascii="Trebuchet MS"/>
                                  <w:b/>
                                  <w:sz w:val="37"/>
                                </w:rPr>
                              </w:pPr>
                              <w:r>
                                <w:rPr>
                                  <w:rFonts w:ascii="Trebuchet MS"/>
                                  <w:b/>
                                  <w:color w:val="231F20"/>
                                  <w:spacing w:val="16"/>
                                  <w:sz w:val="37"/>
                                </w:rPr>
                                <w:t>Appendix</w:t>
                              </w:r>
                              <w:r>
                                <w:rPr>
                                  <w:rFonts w:ascii="Trebuchet MS"/>
                                  <w:b/>
                                  <w:color w:val="231F20"/>
                                  <w:spacing w:val="34"/>
                                  <w:sz w:val="37"/>
                                </w:rPr>
                                <w:t xml:space="preserve"> </w:t>
                              </w:r>
                              <w:r>
                                <w:rPr>
                                  <w:rFonts w:ascii="Trebuchet MS"/>
                                  <w:b/>
                                  <w:color w:val="231F20"/>
                                  <w:sz w:val="37"/>
                                </w:rPr>
                                <w:t>A:</w:t>
                              </w:r>
                              <w:r>
                                <w:rPr>
                                  <w:rFonts w:ascii="Trebuchet MS"/>
                                  <w:b/>
                                  <w:color w:val="231F20"/>
                                  <w:spacing w:val="33"/>
                                  <w:sz w:val="37"/>
                                </w:rPr>
                                <w:t xml:space="preserve"> </w:t>
                              </w:r>
                              <w:r>
                                <w:rPr>
                                  <w:rFonts w:ascii="Trebuchet MS"/>
                                  <w:b/>
                                  <w:color w:val="231F20"/>
                                  <w:spacing w:val="15"/>
                                  <w:sz w:val="37"/>
                                </w:rPr>
                                <w:t>Author</w:t>
                              </w:r>
                              <w:r>
                                <w:rPr>
                                  <w:rFonts w:ascii="Trebuchet MS"/>
                                  <w:b/>
                                  <w:color w:val="231F20"/>
                                  <w:spacing w:val="36"/>
                                  <w:sz w:val="37"/>
                                </w:rPr>
                                <w:t xml:space="preserve"> </w:t>
                              </w:r>
                              <w:r>
                                <w:rPr>
                                  <w:rFonts w:ascii="Trebuchet MS"/>
                                  <w:b/>
                                  <w:color w:val="231F20"/>
                                  <w:spacing w:val="16"/>
                                  <w:sz w:val="37"/>
                                </w:rPr>
                                <w:t>Statement</w:t>
                              </w:r>
                              <w:r>
                                <w:rPr>
                                  <w:rFonts w:ascii="Trebuchet MS"/>
                                  <w:b/>
                                  <w:color w:val="231F20"/>
                                  <w:spacing w:val="34"/>
                                  <w:sz w:val="37"/>
                                </w:rPr>
                                <w:t xml:space="preserve"> </w:t>
                              </w:r>
                              <w:r>
                                <w:rPr>
                                  <w:rFonts w:ascii="Trebuchet MS"/>
                                  <w:b/>
                                  <w:color w:val="231F20"/>
                                  <w:spacing w:val="12"/>
                                  <w:sz w:val="37"/>
                                </w:rPr>
                                <w:t>for</w:t>
                              </w:r>
                              <w:r>
                                <w:rPr>
                                  <w:rFonts w:ascii="Trebuchet MS"/>
                                  <w:b/>
                                  <w:color w:val="231F20"/>
                                  <w:spacing w:val="35"/>
                                  <w:sz w:val="37"/>
                                </w:rPr>
                                <w:t xml:space="preserve"> </w:t>
                              </w:r>
                              <w:r>
                                <w:rPr>
                                  <w:rFonts w:ascii="Trebuchet MS"/>
                                  <w:b/>
                                  <w:color w:val="231F20"/>
                                  <w:spacing w:val="15"/>
                                  <w:sz w:val="37"/>
                                </w:rPr>
                                <w:t>Short</w:t>
                              </w:r>
                              <w:r>
                                <w:rPr>
                                  <w:rFonts w:ascii="Trebuchet MS"/>
                                  <w:b/>
                                  <w:color w:val="231F20"/>
                                  <w:spacing w:val="34"/>
                                  <w:sz w:val="37"/>
                                </w:rPr>
                                <w:t xml:space="preserve"> </w:t>
                              </w:r>
                              <w:r>
                                <w:rPr>
                                  <w:rFonts w:ascii="Trebuchet MS"/>
                                  <w:b/>
                                  <w:color w:val="231F20"/>
                                  <w:spacing w:val="15"/>
                                  <w:sz w:val="37"/>
                                </w:rPr>
                                <w:t>Paper</w:t>
                              </w:r>
                            </w:p>
                          </w:txbxContent>
                        </wps:txbx>
                        <wps:bodyPr wrap="square" lIns="0" tIns="0" rIns="0" bIns="0" rtlCol="0">
                          <a:noAutofit/>
                        </wps:bodyPr>
                      </wps:wsp>
                    </wpg:wgp>
                  </a:graphicData>
                </a:graphic>
              </wp:inline>
            </w:drawing>
          </mc:Choice>
          <mc:Fallback>
            <w:pict>
              <v:group w14:anchorId="412F181A" id="Group 1" o:spid="_x0000_s1026" style="width:560.05pt;height:82.75pt;mso-position-horizontal-relative:char;mso-position-vertical-relative:line" coordsize="71126,10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GQ7jmgIAAIAGAAAOAAAAZHJzL2Uyb0RvYy54bWycldtO3DAQhu8r9R0s&#10;30M2S4E2IovaUhASoqjQB3AcJ7GID7WdTfbtO+Mku4hF4nCx1ji2x5//OezZ+aBashbOS6Nzmh4u&#10;KBGam1LqOqd/Hy4PvlLiA9Mla40WOd0IT89Xnz+d9TYTS9OYthSOgBPts97mtAnBZknieSMU84fG&#10;Cg2LlXGKBZi6Oikd68G7apPlYnGS9MaV1hkuvIevF+MiXUX/VSV4+F1VXgTS5hTYQhxdHAsck9UZ&#10;y2rHbCP5hME+QKGY1HDp1tUFC4x0Tu65UpI7400VDrlRiakqyUV8A7wmXTx7zZUznY1vqbO+tluZ&#10;QNpnOn3YLb9dXzl7b+/cSA/mjeGPHnRJeltnT9dxXu82D5VTeAgeQYao6GarqBgC4fDxNE2XJ0df&#10;KOGwli6OF9+Wx6PmvIHA7J3jza9XTiYsGy+OeFscK3kGv0kisPYkej2V4FTonKCTE/UmH4q5x84e&#10;QDQtC7KQrQybmJkQN4TS6zvJUV2cgJp3jsgyp0tKNFNQENeK1YIsUZR5B+5H/feOF620l7JtUXW0&#10;J1BI52fp8MJbx1S7MLxTQoexdpxogdlo30jrKXGZUIUAOHddphAyqNsAhNZJHcag+eBE4A3eXwHH&#10;HygvBGXZdiFC7zjxCX5KrrfmyyIFceZ8OT2N0myjzjLrfLgSRhE0gBUYQGqWsfWNn2jmLZOGI0Ak&#10;Ax5sDdBr/KwezPb0e1c53TfMCkBAt7sAH80BfoBaKMxAjlDCaQ/WGwnDDwMlks7f36vTS3X1YZ0Q&#10;bARAKwzFMNEWptwAbA8tMqf+X8ewQNprDaJhP50NNxvFbLjQ/jSx62J0tPneBVPJGCG8YvQbu0yM&#10;RrRim4sJNbVk7KNP53HX7o9j9R8AAP//AwBQSwMECgAAAAAAAAAhAK0X5p2vBwAArwcAABQAAABk&#10;cnMvbWVkaWEvaW1hZ2UxLnBuZ4lQTkcNChoKAAAADUlIRFIAAAPoAAAAsQgDAAAAYBRndAAAAwBQ&#10;TFRFvL7Avb/BvcDAu7zBqKqtp6mspqirpqqs7O3t2ert2Ovt1+rs2Ovs2Ors3uvr3Onq1+vs3Orr&#10;2evt2uzu0+jq1Ons3Orr8Pb28ff48fb27fHy/f39////+Pj5+/39/f7//f3+7fLz1unr1+vt3ens&#10;3Ozu3O3v3e7u4u3u9/n6+Pr89/r89vj78fT2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SUNIkQAAAAFiS0dEAIgFHUgAAAAJcEhZcwAA&#10;DsQAAA7EAZUrDhsAAARISURBVHic7dprb9xEAIbRDaSls7GlKoAaiYpUoBZB+/9/H+vNema8dkD9&#10;EBX8ntNcdn2b8eVp1MvhMLm5uZm+HJ7eTJ/fHQ7fT69urLfe+j2s/89MxHrrrX+x9bevNty+ev3D&#10;+cXrW+utt/7/v/7w5k053g3DOH9cjOd34/ljeFoxnreYFg3ty7xx3eqyw3DZYeyOOSy3nzecNxnH&#10;5UDdm/6A88DzNvVNne04XibUZjzWk+vGqnO6jDwuNutnVw9c9+jP6fKrzmZs16Ebsx9+vgjjuDhQ&#10;t34++zaLekrzYPXm9Jt1d2iox+/uy1jPs59mHWIx9jxKW9CWjIsTHNrLbmEdqD/n7oq1+cyzbre9&#10;vy/1YEO7xd01u7oGy8lcPX8X7SmYn9xu8ounsz4T14/F2O/eFrUb0CYxP0Lzg1nvY3fU+ggO3c7j&#10;6gzq/awPZXePhm6iq2tyCv0I7Nwp9Lvj3Vtgx8op9PH49lv/dgO8pHuhw/4JHQIIHQIIHQIIHQII&#10;HQIIHQIIHQIIHQIIHQIIHQIIHQIIHQIIHQIIHQIIHQIIHQIIHQIIHQIIHQIIHQIIHQIIHQIIHQII&#10;HQIIHQIIHQIIHQIIHQIIHQIIHQIIHQIIHQIIHQIIHQIIHQIIHQIIHQIIHQIIHQIIHQIIHQIIHQII&#10;HQIIHQIIHQIIHQIIHQIIHQIIHQIIHQIIHQIIHQIIHQIIHQIIHQIIHQIIHQIIHQIIHQIIHQIIHQII&#10;HQIIHQIIHQIIHQIIHQIIHQIIHQIIHQIIHQIIHQIIHQIIHQIIHQIIHQIIHQIIHQIIHQIIHQIIHQII&#10;HQIIHQIIHQIIHQIIHQIIHQIIHQIIHQIIHQIIHQIIHQIIHQIIHQIIHQIIHQIIHQIIHQIIHQIIHQII&#10;HQIIHQIIHQIIHQIIHQIIHQIIHQIIHQIIHQIIHQIIHQIIHQIIHQIIHQIIHQIIHQIIHQIIHQIIHQII&#10;HQIIHQIIHQIIHQIIHQIIHQIIHQIIHQIIHQIIHQIIHQIIHQIIHQIIHQIIHQIIHQIIHQIIHQIIHQII&#10;HQIIHQIIHQIIHQIIHQIIHQIIHQIIHQJMoZdyLMCO/XgK/Sdg334+hf4O2LeHU+i/vAf27RT6r48f&#10;HoEde+8nOgQQOgQQOgSYQvdndNg3P9EhwfTv6A/vHoA9m/4L7H25v3w0T2/KvLicP9vL+uV+vdNi&#10;QVksLP33crW49HvVJctjLmd6mcVykuf9F4NO76/Pb3vi11NqL66muLX3eYyrKa922375j5NqR9+Y&#10;17M7l/7b8mV/vbYGrKdc2vxLt9/GPqu7NA/53DRXV7xcH2k1y61DfcXlbMMsx1w9n6X7Or9ZDVNW&#10;03t2dosb98yEN7bZPHBZXbf5zb+c/vRfYH8D9u33U+gfP338BOzYH6fQ//zrM7BnX/ytOwQ4h/74&#10;rWcBvCg/0SGA0CGA0CGA0CGA0CGA0CGA0CHA363/OYMnzPpuAAAAAElFTkSuQmCCUEsDBBQABgAI&#10;AAAAIQAKis6a3AAAAAYBAAAPAAAAZHJzL2Rvd25yZXYueG1sTI9Ba8MwDIXvg/4Ho8Juq+OOlJHF&#10;KaVsO5XB2sHYTY3VJDSWQ+wm6b+fu8t2EU888d6nfD3ZVgzU+8axBrVIQBCXzjRcafg8vD48gfAB&#10;2WDrmDRcycO6mN3lmBk38gcN+1CJGMI+Qw11CF0mpS9rsugXriOO3sn1FkNc+0qaHscYblu5TJKV&#10;tNhwbKixo21N5Xl/sRreRhw3j+pl2J1P2+v3IX3/2inS+n4+bZ5BBJrC3zHc8CM6FJHp6C5svGg1&#10;xEfC77x5apkoEMeoVmkKssjlf/zi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LgZDuOaAgAAgAYAAA4AAAAAAAAAAAAAAAAAOgIAAGRycy9lMm9Eb2MueG1sUEsB&#10;Ai0ACgAAAAAAAAAhAK0X5p2vBwAArwcAABQAAAAAAAAAAAAAAAAAAAUAAGRycy9tZWRpYS9pbWFn&#10;ZTEucG5nUEsBAi0AFAAGAAgAAAAhAAqKzprcAAAABgEAAA8AAAAAAAAAAAAAAAAA4QwAAGRycy9k&#10;b3ducmV2LnhtbFBLAQItABQABgAIAAAAIQCqJg6+vAAAACEBAAAZAAAAAAAAAAAAAAAAAOoNAABk&#10;cnMvX3JlbHMvZTJvRG9jLnhtbC5yZWxzUEsFBgAAAAAGAAYAfAEAAN0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1120;height:10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06swQAAANoAAAAPAAAAZHJzL2Rvd25yZXYueG1sRI9Bi8Iw&#10;FITvC/6H8AQvi6YKilSjaEH0tNAq4vHRPNti81KaqPXfbwTB4zAz3zDLdWdq8aDWVZYVjEcRCOLc&#10;6ooLBafjbjgH4TyyxtoyKXiRg/Wq97PEWNsnp/TIfCEChF2MCkrvm1hKl5dk0I1sQxy8q20N+iDb&#10;QuoWnwFuajmJopk0WHFYKLGhpKT8lt2Ngt29uXXbNEn3v38zOa032bm6JEoN+t1mAcJT57/hT/ug&#10;FUzgfSXcALn6BwAA//8DAFBLAQItABQABgAIAAAAIQDb4fbL7gAAAIUBAAATAAAAAAAAAAAAAAAA&#10;AAAAAABbQ29udGVudF9UeXBlc10ueG1sUEsBAi0AFAAGAAgAAAAhAFr0LFu/AAAAFQEAAAsAAAAA&#10;AAAAAAAAAAAAHwEAAF9yZWxzLy5yZWxzUEsBAi0AFAAGAAgAAAAhADpnTqz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box 3" o:spid="_x0000_s1028" type="#_x0000_t202" style="position:absolute;width:71126;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6E841E3D" w14:textId="77777777" w:rsidR="006D68D1" w:rsidRDefault="006D68D1" w:rsidP="006D68D1">
                        <w:pPr>
                          <w:spacing w:before="1"/>
                          <w:rPr>
                            <w:rFonts w:ascii="Times New Roman"/>
                            <w:sz w:val="41"/>
                          </w:rPr>
                        </w:pPr>
                      </w:p>
                      <w:p w14:paraId="5D88FF7F" w14:textId="77777777" w:rsidR="006D68D1" w:rsidRDefault="006D68D1" w:rsidP="006D68D1">
                        <w:pPr>
                          <w:ind w:left="1158"/>
                          <w:rPr>
                            <w:rFonts w:ascii="Trebuchet MS"/>
                            <w:b/>
                            <w:sz w:val="37"/>
                          </w:rPr>
                        </w:pPr>
                        <w:r>
                          <w:rPr>
                            <w:rFonts w:ascii="Trebuchet MS"/>
                            <w:b/>
                            <w:color w:val="231F20"/>
                            <w:spacing w:val="16"/>
                            <w:sz w:val="37"/>
                          </w:rPr>
                          <w:t>Appendix</w:t>
                        </w:r>
                        <w:r>
                          <w:rPr>
                            <w:rFonts w:ascii="Trebuchet MS"/>
                            <w:b/>
                            <w:color w:val="231F20"/>
                            <w:spacing w:val="34"/>
                            <w:sz w:val="37"/>
                          </w:rPr>
                          <w:t xml:space="preserve"> </w:t>
                        </w:r>
                        <w:r>
                          <w:rPr>
                            <w:rFonts w:ascii="Trebuchet MS"/>
                            <w:b/>
                            <w:color w:val="231F20"/>
                            <w:sz w:val="37"/>
                          </w:rPr>
                          <w:t>A:</w:t>
                        </w:r>
                        <w:r>
                          <w:rPr>
                            <w:rFonts w:ascii="Trebuchet MS"/>
                            <w:b/>
                            <w:color w:val="231F20"/>
                            <w:spacing w:val="33"/>
                            <w:sz w:val="37"/>
                          </w:rPr>
                          <w:t xml:space="preserve"> </w:t>
                        </w:r>
                        <w:r>
                          <w:rPr>
                            <w:rFonts w:ascii="Trebuchet MS"/>
                            <w:b/>
                            <w:color w:val="231F20"/>
                            <w:spacing w:val="15"/>
                            <w:sz w:val="37"/>
                          </w:rPr>
                          <w:t>Author</w:t>
                        </w:r>
                        <w:r>
                          <w:rPr>
                            <w:rFonts w:ascii="Trebuchet MS"/>
                            <w:b/>
                            <w:color w:val="231F20"/>
                            <w:spacing w:val="36"/>
                            <w:sz w:val="37"/>
                          </w:rPr>
                          <w:t xml:space="preserve"> </w:t>
                        </w:r>
                        <w:r>
                          <w:rPr>
                            <w:rFonts w:ascii="Trebuchet MS"/>
                            <w:b/>
                            <w:color w:val="231F20"/>
                            <w:spacing w:val="16"/>
                            <w:sz w:val="37"/>
                          </w:rPr>
                          <w:t>Statement</w:t>
                        </w:r>
                        <w:r>
                          <w:rPr>
                            <w:rFonts w:ascii="Trebuchet MS"/>
                            <w:b/>
                            <w:color w:val="231F20"/>
                            <w:spacing w:val="34"/>
                            <w:sz w:val="37"/>
                          </w:rPr>
                          <w:t xml:space="preserve"> </w:t>
                        </w:r>
                        <w:r>
                          <w:rPr>
                            <w:rFonts w:ascii="Trebuchet MS"/>
                            <w:b/>
                            <w:color w:val="231F20"/>
                            <w:spacing w:val="12"/>
                            <w:sz w:val="37"/>
                          </w:rPr>
                          <w:t>for</w:t>
                        </w:r>
                        <w:r>
                          <w:rPr>
                            <w:rFonts w:ascii="Trebuchet MS"/>
                            <w:b/>
                            <w:color w:val="231F20"/>
                            <w:spacing w:val="35"/>
                            <w:sz w:val="37"/>
                          </w:rPr>
                          <w:t xml:space="preserve"> </w:t>
                        </w:r>
                        <w:r>
                          <w:rPr>
                            <w:rFonts w:ascii="Trebuchet MS"/>
                            <w:b/>
                            <w:color w:val="231F20"/>
                            <w:spacing w:val="15"/>
                            <w:sz w:val="37"/>
                          </w:rPr>
                          <w:t>Short</w:t>
                        </w:r>
                        <w:r>
                          <w:rPr>
                            <w:rFonts w:ascii="Trebuchet MS"/>
                            <w:b/>
                            <w:color w:val="231F20"/>
                            <w:spacing w:val="34"/>
                            <w:sz w:val="37"/>
                          </w:rPr>
                          <w:t xml:space="preserve"> </w:t>
                        </w:r>
                        <w:r>
                          <w:rPr>
                            <w:rFonts w:ascii="Trebuchet MS"/>
                            <w:b/>
                            <w:color w:val="231F20"/>
                            <w:spacing w:val="15"/>
                            <w:sz w:val="37"/>
                          </w:rPr>
                          <w:t>Paper</w:t>
                        </w:r>
                      </w:p>
                    </w:txbxContent>
                  </v:textbox>
                </v:shape>
                <w10:anchorlock/>
              </v:group>
            </w:pict>
          </mc:Fallback>
        </mc:AlternateContent>
      </w:r>
    </w:p>
    <w:p w14:paraId="099B1E7E" w14:textId="77777777" w:rsidR="006D68D1" w:rsidRDefault="006D68D1" w:rsidP="006D68D1">
      <w:pPr>
        <w:pStyle w:val="BodyText"/>
        <w:rPr>
          <w:rFonts w:ascii="Times New Roman"/>
          <w:sz w:val="22"/>
        </w:rPr>
      </w:pPr>
    </w:p>
    <w:p w14:paraId="1EED7DF3" w14:textId="77777777" w:rsidR="006D68D1" w:rsidRDefault="006D68D1" w:rsidP="006D68D1">
      <w:pPr>
        <w:pStyle w:val="BodyText"/>
        <w:spacing w:before="120"/>
        <w:ind w:left="1310"/>
      </w:pPr>
      <w:r>
        <w:rPr>
          <w:color w:val="231F20"/>
        </w:rPr>
        <w:t>The</w:t>
      </w:r>
      <w:r>
        <w:rPr>
          <w:color w:val="231F20"/>
          <w:spacing w:val="31"/>
        </w:rPr>
        <w:t xml:space="preserve"> </w:t>
      </w:r>
      <w:r>
        <w:rPr>
          <w:color w:val="231F20"/>
        </w:rPr>
        <w:t>following</w:t>
      </w:r>
      <w:r>
        <w:rPr>
          <w:color w:val="231F20"/>
          <w:spacing w:val="32"/>
        </w:rPr>
        <w:t xml:space="preserve"> </w:t>
      </w:r>
      <w:r>
        <w:rPr>
          <w:color w:val="231F20"/>
        </w:rPr>
        <w:t>statement</w:t>
      </w:r>
      <w:r>
        <w:rPr>
          <w:color w:val="231F20"/>
          <w:spacing w:val="32"/>
        </w:rPr>
        <w:t xml:space="preserve"> </w:t>
      </w:r>
      <w:r>
        <w:rPr>
          <w:color w:val="231F20"/>
        </w:rPr>
        <w:t>must</w:t>
      </w:r>
      <w:r>
        <w:rPr>
          <w:color w:val="231F20"/>
          <w:spacing w:val="31"/>
        </w:rPr>
        <w:t xml:space="preserve"> </w:t>
      </w:r>
      <w:r>
        <w:rPr>
          <w:color w:val="231F20"/>
        </w:rPr>
        <w:t>be</w:t>
      </w:r>
      <w:r>
        <w:rPr>
          <w:color w:val="231F20"/>
          <w:spacing w:val="32"/>
        </w:rPr>
        <w:t xml:space="preserve"> </w:t>
      </w:r>
      <w:r>
        <w:rPr>
          <w:color w:val="231F20"/>
        </w:rPr>
        <w:t>appended</w:t>
      </w:r>
      <w:r>
        <w:rPr>
          <w:color w:val="231F20"/>
          <w:spacing w:val="32"/>
        </w:rPr>
        <w:t xml:space="preserve"> </w:t>
      </w:r>
      <w:r>
        <w:rPr>
          <w:color w:val="231F20"/>
        </w:rPr>
        <w:t>to</w:t>
      </w:r>
      <w:r>
        <w:rPr>
          <w:color w:val="231F20"/>
          <w:spacing w:val="31"/>
        </w:rPr>
        <w:t xml:space="preserve"> </w:t>
      </w:r>
      <w:r>
        <w:rPr>
          <w:color w:val="231F20"/>
        </w:rPr>
        <w:t>the</w:t>
      </w:r>
      <w:r>
        <w:rPr>
          <w:color w:val="231F20"/>
          <w:spacing w:val="32"/>
        </w:rPr>
        <w:t xml:space="preserve"> </w:t>
      </w:r>
      <w:r>
        <w:rPr>
          <w:color w:val="231F20"/>
        </w:rPr>
        <w:t>cover</w:t>
      </w:r>
      <w:r>
        <w:rPr>
          <w:color w:val="231F20"/>
          <w:spacing w:val="32"/>
        </w:rPr>
        <w:t xml:space="preserve"> </w:t>
      </w:r>
      <w:r>
        <w:rPr>
          <w:color w:val="231F20"/>
        </w:rPr>
        <w:t>of</w:t>
      </w:r>
      <w:r>
        <w:rPr>
          <w:color w:val="231F20"/>
          <w:spacing w:val="31"/>
        </w:rPr>
        <w:t xml:space="preserve"> </w:t>
      </w:r>
      <w:r>
        <w:rPr>
          <w:color w:val="231F20"/>
        </w:rPr>
        <w:t>your</w:t>
      </w:r>
      <w:r>
        <w:rPr>
          <w:color w:val="231F20"/>
          <w:spacing w:val="32"/>
        </w:rPr>
        <w:t xml:space="preserve"> </w:t>
      </w:r>
      <w:r>
        <w:rPr>
          <w:color w:val="231F20"/>
        </w:rPr>
        <w:t>Short</w:t>
      </w:r>
      <w:r>
        <w:rPr>
          <w:color w:val="231F20"/>
          <w:spacing w:val="32"/>
        </w:rPr>
        <w:t xml:space="preserve"> </w:t>
      </w:r>
      <w:r>
        <w:rPr>
          <w:color w:val="231F20"/>
          <w:spacing w:val="-2"/>
        </w:rPr>
        <w:t>Paper:</w:t>
      </w:r>
    </w:p>
    <w:p w14:paraId="18059345" w14:textId="77777777" w:rsidR="006D68D1" w:rsidRDefault="006D68D1" w:rsidP="006D68D1">
      <w:pPr>
        <w:pStyle w:val="BodyText"/>
        <w:spacing w:before="1"/>
        <w:rPr>
          <w:sz w:val="29"/>
        </w:rPr>
      </w:pPr>
    </w:p>
    <w:p w14:paraId="28EF7630" w14:textId="77777777" w:rsidR="006D68D1" w:rsidRPr="00C535B1" w:rsidRDefault="006D68D1" w:rsidP="006D68D1">
      <w:pPr>
        <w:pStyle w:val="Heading1"/>
        <w:ind w:left="4388" w:right="4259"/>
        <w:jc w:val="center"/>
        <w:rPr>
          <w:b/>
          <w:bCs/>
        </w:rPr>
      </w:pPr>
      <w:r w:rsidRPr="00C535B1">
        <w:rPr>
          <w:b/>
          <w:bCs/>
          <w:color w:val="231F20"/>
        </w:rPr>
        <w:t>Author</w:t>
      </w:r>
      <w:r w:rsidRPr="00C535B1">
        <w:rPr>
          <w:b/>
          <w:bCs/>
          <w:color w:val="231F20"/>
          <w:spacing w:val="-10"/>
        </w:rPr>
        <w:t xml:space="preserve"> </w:t>
      </w:r>
      <w:r w:rsidRPr="00C535B1">
        <w:rPr>
          <w:b/>
          <w:bCs/>
          <w:color w:val="231F20"/>
          <w:spacing w:val="-2"/>
        </w:rPr>
        <w:t>Statement</w:t>
      </w:r>
    </w:p>
    <w:p w14:paraId="0595EB27" w14:textId="77777777" w:rsidR="006D68D1" w:rsidRDefault="006D68D1" w:rsidP="006D68D1">
      <w:pPr>
        <w:pStyle w:val="BodyText"/>
        <w:rPr>
          <w:b/>
        </w:rPr>
      </w:pPr>
    </w:p>
    <w:p w14:paraId="636AF73B" w14:textId="77777777" w:rsidR="006D68D1" w:rsidRDefault="006D68D1" w:rsidP="006D68D1">
      <w:pPr>
        <w:pStyle w:val="BodyText"/>
        <w:rPr>
          <w:b/>
        </w:rPr>
      </w:pPr>
    </w:p>
    <w:p w14:paraId="199B77E4" w14:textId="77777777" w:rsidR="006D68D1" w:rsidRDefault="006D68D1" w:rsidP="006D68D1">
      <w:pPr>
        <w:pStyle w:val="BodyText"/>
        <w:rPr>
          <w:b/>
        </w:rPr>
      </w:pPr>
    </w:p>
    <w:p w14:paraId="7C53170D" w14:textId="77777777" w:rsidR="006D68D1" w:rsidRDefault="006D68D1" w:rsidP="006D68D1">
      <w:pPr>
        <w:pStyle w:val="BodyText"/>
        <w:spacing w:before="5"/>
        <w:rPr>
          <w:b/>
          <w:sz w:val="23"/>
        </w:rPr>
      </w:pPr>
    </w:p>
    <w:p w14:paraId="1AA85AE4" w14:textId="77777777" w:rsidR="006D68D1" w:rsidRDefault="006D68D1" w:rsidP="006D68D1">
      <w:pPr>
        <w:pStyle w:val="BodyText"/>
        <w:spacing w:before="95"/>
        <w:ind w:left="1416"/>
        <w:rPr>
          <w:rFonts w:ascii="Palatino Linotype"/>
        </w:rPr>
      </w:pPr>
      <w:r>
        <w:rPr>
          <w:rFonts w:ascii="Palatino Linotype"/>
          <w:color w:val="231F20"/>
          <w:spacing w:val="-8"/>
        </w:rPr>
        <w:t>Chun</w:t>
      </w:r>
      <w:r>
        <w:rPr>
          <w:rFonts w:ascii="Palatino Linotype"/>
          <w:color w:val="231F20"/>
          <w:spacing w:val="-1"/>
        </w:rPr>
        <w:t xml:space="preserve"> </w:t>
      </w:r>
      <w:r>
        <w:rPr>
          <w:rFonts w:ascii="Palatino Linotype"/>
          <w:color w:val="231F20"/>
          <w:spacing w:val="-8"/>
        </w:rPr>
        <w:t>Yin</w:t>
      </w:r>
      <w:r>
        <w:rPr>
          <w:rFonts w:ascii="Palatino Linotype"/>
          <w:color w:val="231F20"/>
        </w:rPr>
        <w:t xml:space="preserve"> </w:t>
      </w:r>
      <w:r>
        <w:rPr>
          <w:rFonts w:ascii="Palatino Linotype"/>
          <w:color w:val="231F20"/>
          <w:spacing w:val="-8"/>
        </w:rPr>
        <w:t>Law</w:t>
      </w:r>
      <w:r>
        <w:rPr>
          <w:rFonts w:ascii="Palatino Linotype"/>
          <w:color w:val="231F20"/>
          <w:spacing w:val="-1"/>
        </w:rPr>
        <w:t xml:space="preserve"> </w:t>
      </w:r>
      <w:r>
        <w:rPr>
          <w:rFonts w:ascii="Palatino Linotype"/>
          <w:color w:val="231F20"/>
          <w:spacing w:val="-8"/>
        </w:rPr>
        <w:t>(Johnny</w:t>
      </w:r>
      <w:r>
        <w:rPr>
          <w:rFonts w:ascii="Palatino Linotype"/>
          <w:color w:val="231F20"/>
        </w:rPr>
        <w:t xml:space="preserve"> </w:t>
      </w:r>
      <w:r>
        <w:rPr>
          <w:rFonts w:ascii="Palatino Linotype"/>
          <w:color w:val="231F20"/>
          <w:spacing w:val="-8"/>
        </w:rPr>
        <w:t>Law)</w:t>
      </w:r>
    </w:p>
    <w:p w14:paraId="47B39865" w14:textId="77777777" w:rsidR="006D68D1" w:rsidRDefault="006D68D1" w:rsidP="006D68D1">
      <w:pPr>
        <w:pStyle w:val="BodyText"/>
        <w:spacing w:before="4"/>
        <w:rPr>
          <w:rFonts w:ascii="Palatino Linotype"/>
          <w:sz w:val="3"/>
        </w:rPr>
      </w:pPr>
      <w:r>
        <w:rPr>
          <w:noProof/>
        </w:rPr>
        <mc:AlternateContent>
          <mc:Choice Requires="wps">
            <w:drawing>
              <wp:anchor distT="0" distB="0" distL="0" distR="0" simplePos="0" relativeHeight="251660288" behindDoc="1" locked="0" layoutInCell="1" allowOverlap="1" wp14:anchorId="468C84F3" wp14:editId="17D548C1">
                <wp:simplePos x="0" y="0"/>
                <wp:positionH relativeFrom="page">
                  <wp:posOffset>1099224</wp:posOffset>
                </wp:positionH>
                <wp:positionV relativeFrom="paragraph">
                  <wp:posOffset>43545</wp:posOffset>
                </wp:positionV>
                <wp:extent cx="282575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0" cy="1270"/>
                        </a:xfrm>
                        <a:custGeom>
                          <a:avLst/>
                          <a:gdLst/>
                          <a:ahLst/>
                          <a:cxnLst/>
                          <a:rect l="l" t="t" r="r" b="b"/>
                          <a:pathLst>
                            <a:path w="2825750">
                              <a:moveTo>
                                <a:pt x="0" y="0"/>
                              </a:moveTo>
                              <a:lnTo>
                                <a:pt x="2825633" y="0"/>
                              </a:lnTo>
                            </a:path>
                          </a:pathLst>
                        </a:custGeom>
                        <a:ln w="6594">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7C31D35" id="Graphic 4" o:spid="_x0000_s1026" style="position:absolute;margin-left:86.55pt;margin-top:3.45pt;width:222.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2825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H0GAIAAFsEAAAOAAAAZHJzL2Uyb0RvYy54bWysVMFu2zAMvQ/YPwi6L07cJe2MOMXQLMOA&#10;oi3QDDsrshwbk0WNUmLn70fJdpJ1t2EX4Umkqff4KC/vu0azo0JXg8n5bDLlTBkJRW32Of++3Xy4&#10;48x5YQqhwaicn5Tj96v375atzVQKFehCIaMixmWtzXnlvc2SxMlKNcJNwCpDwRKwEZ62uE8KFC1V&#10;b3SSTqeLpAUsLIJUztHpug/yVaxflkr657J0yjOdc+Lm44px3YU1WS1Ftkdhq1oONMQ/sGhEbejS&#10;c6m18IIdsP6rVFNLBAeln0hoEijLWqqogdTMpm/UvFbCqqiFmuPsuU3u/5WVT8dX+4KBurOPIH86&#10;6kjSWpedI2HjhpyuxCbkEnHWxS6ezl1UnWeSDtO7dH47p2ZLis3S29jkRGTjt/Lg/FcFsY44Pjrf&#10;e1CMSFQjkp0ZIZKTwUMdPfSckYfIGXm46z20wofvArkAWXshEs4aOKotxKh/w5yoXaLaXGcFKYub&#10;G85GlZTbZxAI11CvehCvJnwtTpvAYjH/9DGOhgNdF5ta68DC4X73oJEdBYlK09mX2SbooAp/pFl0&#10;fi1c1efF0JCmzeBTb00waQfF6QVZS9Occ/frIFBxpr8ZGpcw+iPAEexGgF4/QHwgsUF057b7IdCy&#10;cH3OPTn7BOMwimw0LUg/54YvDXw+eCjr4GicoZ7RsKEJjgKH1xaeyPU+Zl3+CavfAAAA//8DAFBL&#10;AwQUAAYACAAAACEATGOSFNsAAAAHAQAADwAAAGRycy9kb3ducmV2LnhtbEyOwU7DMBBE70j8g7VI&#10;3KhjQE4JcaoKgbghWqgqbk6yTSLidYjdJvw9ywmOTzOaeflqdr044Rg6TwbUIgGBVPm6o8bA+9vT&#10;1RJEiJZq23tCA98YYFWcn+U2q/1EGzxtYyN4hEJmDbQxDpmUoWrR2bDwAxJnBz86GxnHRtajnXjc&#10;9fI6SbR0tiN+aO2ADy1Wn9ujM3BIX772pa70bdDr8Py4mz5S9WrM5cW8vgcRcY5/ZfjVZ3Uo2Kn0&#10;R6qD6JnTG8VVA/oOBOdaLZlLA6kCWeTyv3/xAwAA//8DAFBLAQItABQABgAIAAAAIQC2gziS/gAA&#10;AOEBAAATAAAAAAAAAAAAAAAAAAAAAABbQ29udGVudF9UeXBlc10ueG1sUEsBAi0AFAAGAAgAAAAh&#10;ADj9If/WAAAAlAEAAAsAAAAAAAAAAAAAAAAALwEAAF9yZWxzLy5yZWxzUEsBAi0AFAAGAAgAAAAh&#10;AFlYMfQYAgAAWwQAAA4AAAAAAAAAAAAAAAAALgIAAGRycy9lMm9Eb2MueG1sUEsBAi0AFAAGAAgA&#10;AAAhAExjkhTbAAAABwEAAA8AAAAAAAAAAAAAAAAAcgQAAGRycy9kb3ducmV2LnhtbFBLBQYAAAAA&#10;BAAEAPMAAAB6BQAAAAA=&#10;" path="m,l2825633,e" filled="f" strokecolor="#221e1f" strokeweight=".18317mm">
                <v:path arrowok="t"/>
                <w10:wrap type="topAndBottom" anchorx="page"/>
              </v:shape>
            </w:pict>
          </mc:Fallback>
        </mc:AlternateContent>
      </w:r>
    </w:p>
    <w:p w14:paraId="4FEA440A" w14:textId="77777777" w:rsidR="006D68D1" w:rsidRDefault="006D68D1" w:rsidP="006D68D1">
      <w:pPr>
        <w:pStyle w:val="Heading1"/>
        <w:spacing w:before="66"/>
        <w:ind w:left="1311"/>
      </w:pPr>
      <w:r>
        <w:rPr>
          <w:color w:val="231F20"/>
          <w:spacing w:val="-2"/>
        </w:rPr>
        <w:t>Full</w:t>
      </w:r>
      <w:r>
        <w:rPr>
          <w:color w:val="231F20"/>
          <w:spacing w:val="-8"/>
        </w:rPr>
        <w:t xml:space="preserve"> </w:t>
      </w:r>
      <w:r>
        <w:rPr>
          <w:color w:val="231F20"/>
          <w:spacing w:val="-4"/>
        </w:rPr>
        <w:t>name</w:t>
      </w:r>
    </w:p>
    <w:p w14:paraId="69411C4E" w14:textId="77777777" w:rsidR="006D68D1" w:rsidRDefault="006D68D1" w:rsidP="006D68D1">
      <w:pPr>
        <w:pStyle w:val="BodyText"/>
        <w:rPr>
          <w:b/>
          <w:sz w:val="28"/>
        </w:rPr>
      </w:pPr>
    </w:p>
    <w:p w14:paraId="01E7D307" w14:textId="77777777" w:rsidR="006D68D1" w:rsidRDefault="006D68D1" w:rsidP="006D68D1">
      <w:pPr>
        <w:pStyle w:val="BodyText"/>
        <w:spacing w:before="10"/>
        <w:rPr>
          <w:b/>
          <w:sz w:val="25"/>
        </w:rPr>
      </w:pPr>
    </w:p>
    <w:p w14:paraId="35975C3B" w14:textId="77777777" w:rsidR="006D68D1" w:rsidRDefault="006D68D1" w:rsidP="006D68D1">
      <w:pPr>
        <w:ind w:left="4389" w:right="4259"/>
        <w:jc w:val="center"/>
        <w:rPr>
          <w:b/>
          <w:sz w:val="20"/>
        </w:rPr>
      </w:pPr>
      <w:r>
        <w:rPr>
          <w:b/>
          <w:color w:val="231F20"/>
          <w:sz w:val="20"/>
        </w:rPr>
        <w:t>DECLARATION</w:t>
      </w:r>
      <w:r>
        <w:rPr>
          <w:b/>
          <w:color w:val="231F20"/>
          <w:spacing w:val="5"/>
          <w:sz w:val="20"/>
        </w:rPr>
        <w:t xml:space="preserve"> </w:t>
      </w:r>
      <w:r>
        <w:rPr>
          <w:b/>
          <w:color w:val="231F20"/>
          <w:sz w:val="20"/>
        </w:rPr>
        <w:t>OF</w:t>
      </w:r>
      <w:r>
        <w:rPr>
          <w:b/>
          <w:color w:val="231F20"/>
          <w:spacing w:val="5"/>
          <w:sz w:val="20"/>
        </w:rPr>
        <w:t xml:space="preserve"> </w:t>
      </w:r>
      <w:r>
        <w:rPr>
          <w:b/>
          <w:color w:val="231F20"/>
          <w:spacing w:val="-2"/>
          <w:sz w:val="20"/>
        </w:rPr>
        <w:t>HONOUR</w:t>
      </w:r>
    </w:p>
    <w:p w14:paraId="0ABA0F1E" w14:textId="77777777" w:rsidR="006D68D1" w:rsidRDefault="006D68D1" w:rsidP="006D68D1">
      <w:pPr>
        <w:pStyle w:val="BodyText"/>
        <w:spacing w:before="192"/>
        <w:ind w:left="1311"/>
      </w:pPr>
      <w:r>
        <w:rPr>
          <w:color w:val="231F20"/>
        </w:rPr>
        <w:t>I</w:t>
      </w:r>
      <w:r>
        <w:rPr>
          <w:color w:val="231F20"/>
          <w:spacing w:val="-14"/>
        </w:rPr>
        <w:t xml:space="preserve"> </w:t>
      </w:r>
      <w:r>
        <w:rPr>
          <w:color w:val="231F20"/>
        </w:rPr>
        <w:t>declare</w:t>
      </w:r>
      <w:r>
        <w:rPr>
          <w:color w:val="231F20"/>
          <w:spacing w:val="-12"/>
        </w:rPr>
        <w:t xml:space="preserve"> </w:t>
      </w:r>
      <w:r>
        <w:rPr>
          <w:color w:val="231F20"/>
        </w:rPr>
        <w:t>that</w:t>
      </w:r>
      <w:r>
        <w:rPr>
          <w:color w:val="231F20"/>
          <w:spacing w:val="-7"/>
        </w:rPr>
        <w:t xml:space="preserve"> </w:t>
      </w:r>
      <w:r>
        <w:rPr>
          <w:color w:val="231F20"/>
        </w:rPr>
        <w:t>the</w:t>
      </w:r>
      <w:r>
        <w:rPr>
          <w:color w:val="231F20"/>
          <w:spacing w:val="-7"/>
        </w:rPr>
        <w:t xml:space="preserve"> </w:t>
      </w:r>
      <w:r>
        <w:rPr>
          <w:color w:val="231F20"/>
        </w:rPr>
        <w:t>paper,</w:t>
      </w:r>
      <w:r>
        <w:rPr>
          <w:color w:val="231F20"/>
          <w:spacing w:val="-7"/>
        </w:rPr>
        <w:t xml:space="preserve"> </w:t>
      </w:r>
      <w:r>
        <w:rPr>
          <w:color w:val="231F20"/>
        </w:rPr>
        <w:t>titled</w:t>
      </w:r>
      <w:r>
        <w:rPr>
          <w:color w:val="231F20"/>
          <w:spacing w:val="-8"/>
        </w:rPr>
        <w:t xml:space="preserve"> </w:t>
      </w:r>
      <w:proofErr w:type="gramStart"/>
      <w:r>
        <w:rPr>
          <w:color w:val="231F20"/>
        </w:rPr>
        <w:t>“</w:t>
      </w:r>
      <w:r>
        <w:rPr>
          <w:color w:val="231F20"/>
          <w:spacing w:val="-6"/>
        </w:rPr>
        <w:t xml:space="preserve"> </w:t>
      </w:r>
      <w:r>
        <w:rPr>
          <w:color w:val="231F20"/>
          <w:spacing w:val="-40"/>
          <w:w w:val="105"/>
        </w:rPr>
        <w:t>…</w:t>
      </w:r>
      <w:proofErr w:type="gramEnd"/>
      <w:r>
        <w:rPr>
          <w:rFonts w:ascii="Palatino Linotype" w:hAnsi="Palatino Linotype"/>
          <w:color w:val="231F20"/>
          <w:spacing w:val="-90"/>
          <w:w w:val="106"/>
          <w:position w:val="12"/>
        </w:rPr>
        <w:t>T</w:t>
      </w:r>
      <w:r>
        <w:rPr>
          <w:color w:val="231F20"/>
          <w:spacing w:val="-120"/>
          <w:w w:val="105"/>
        </w:rPr>
        <w:t>…</w:t>
      </w:r>
      <w:r>
        <w:rPr>
          <w:rFonts w:ascii="Palatino Linotype" w:hAnsi="Palatino Linotype"/>
          <w:color w:val="231F20"/>
          <w:spacing w:val="-1"/>
          <w:w w:val="97"/>
          <w:position w:val="12"/>
        </w:rPr>
        <w:t>h</w:t>
      </w:r>
      <w:r>
        <w:rPr>
          <w:rFonts w:ascii="Palatino Linotype" w:hAnsi="Palatino Linotype"/>
          <w:color w:val="231F20"/>
          <w:spacing w:val="-80"/>
          <w:w w:val="94"/>
          <w:position w:val="12"/>
        </w:rPr>
        <w:t>e</w:t>
      </w:r>
      <w:r>
        <w:rPr>
          <w:color w:val="231F20"/>
          <w:spacing w:val="-83"/>
          <w:w w:val="105"/>
        </w:rPr>
        <w:t>…</w:t>
      </w:r>
      <w:r>
        <w:rPr>
          <w:rFonts w:ascii="Palatino Linotype" w:hAnsi="Palatino Linotype"/>
          <w:color w:val="231F20"/>
          <w:spacing w:val="-48"/>
          <w:w w:val="98"/>
          <w:position w:val="12"/>
        </w:rPr>
        <w:t>R</w:t>
      </w:r>
      <w:r>
        <w:rPr>
          <w:color w:val="231F20"/>
          <w:spacing w:val="-162"/>
          <w:w w:val="105"/>
        </w:rPr>
        <w:t>…</w:t>
      </w:r>
      <w:r>
        <w:rPr>
          <w:rFonts w:ascii="Palatino Linotype" w:hAnsi="Palatino Linotype"/>
          <w:color w:val="231F20"/>
          <w:spacing w:val="-1"/>
          <w:w w:val="96"/>
          <w:position w:val="12"/>
        </w:rPr>
        <w:t>ol</w:t>
      </w:r>
      <w:r>
        <w:rPr>
          <w:rFonts w:ascii="Palatino Linotype" w:hAnsi="Palatino Linotype"/>
          <w:color w:val="231F20"/>
          <w:spacing w:val="-85"/>
          <w:w w:val="94"/>
          <w:position w:val="12"/>
        </w:rPr>
        <w:t>e</w:t>
      </w:r>
      <w:r>
        <w:rPr>
          <w:color w:val="231F20"/>
          <w:spacing w:val="-124"/>
          <w:w w:val="105"/>
        </w:rPr>
        <w:t>…</w:t>
      </w:r>
      <w:r>
        <w:rPr>
          <w:rFonts w:ascii="Palatino Linotype" w:hAnsi="Palatino Linotype"/>
          <w:color w:val="231F20"/>
          <w:w w:val="91"/>
          <w:position w:val="12"/>
        </w:rPr>
        <w:t>s</w:t>
      </w:r>
      <w:r>
        <w:rPr>
          <w:rFonts w:ascii="Palatino Linotype" w:hAnsi="Palatino Linotype"/>
          <w:color w:val="231F20"/>
          <w:spacing w:val="-5"/>
          <w:position w:val="12"/>
        </w:rPr>
        <w:t xml:space="preserve"> </w:t>
      </w:r>
      <w:r>
        <w:rPr>
          <w:rFonts w:ascii="Palatino Linotype" w:hAnsi="Palatino Linotype"/>
          <w:color w:val="231F20"/>
          <w:spacing w:val="-91"/>
          <w:w w:val="94"/>
          <w:position w:val="12"/>
        </w:rPr>
        <w:t>a</w:t>
      </w:r>
      <w:r>
        <w:rPr>
          <w:color w:val="231F20"/>
          <w:spacing w:val="-119"/>
          <w:w w:val="106"/>
        </w:rPr>
        <w:t>…</w:t>
      </w:r>
      <w:proofErr w:type="spellStart"/>
      <w:r>
        <w:rPr>
          <w:rFonts w:ascii="Palatino Linotype" w:hAnsi="Palatino Linotype"/>
          <w:color w:val="231F20"/>
          <w:spacing w:val="-1"/>
          <w:position w:val="12"/>
        </w:rPr>
        <w:t>n</w:t>
      </w:r>
      <w:r>
        <w:rPr>
          <w:rFonts w:ascii="Palatino Linotype" w:hAnsi="Palatino Linotype"/>
          <w:color w:val="231F20"/>
          <w:spacing w:val="-105"/>
          <w:w w:val="92"/>
          <w:position w:val="12"/>
        </w:rPr>
        <w:t>d</w:t>
      </w:r>
      <w:proofErr w:type="spellEnd"/>
      <w:r>
        <w:rPr>
          <w:color w:val="231F20"/>
          <w:spacing w:val="-58"/>
          <w:w w:val="106"/>
        </w:rPr>
        <w:t>…</w:t>
      </w:r>
      <w:r>
        <w:rPr>
          <w:rFonts w:ascii="Palatino Linotype" w:hAnsi="Palatino Linotype"/>
          <w:color w:val="231F20"/>
          <w:spacing w:val="-87"/>
          <w:w w:val="95"/>
          <w:position w:val="12"/>
        </w:rPr>
        <w:t>A</w:t>
      </w:r>
      <w:r>
        <w:rPr>
          <w:color w:val="231F20"/>
          <w:spacing w:val="-122"/>
          <w:w w:val="106"/>
        </w:rPr>
        <w:t>…</w:t>
      </w:r>
      <w:r>
        <w:rPr>
          <w:rFonts w:ascii="Palatino Linotype" w:hAnsi="Palatino Linotype"/>
          <w:color w:val="231F20"/>
          <w:spacing w:val="-1"/>
          <w:w w:val="93"/>
          <w:position w:val="12"/>
        </w:rPr>
        <w:t>p</w:t>
      </w:r>
      <w:r>
        <w:rPr>
          <w:rFonts w:ascii="Palatino Linotype" w:hAnsi="Palatino Linotype"/>
          <w:color w:val="231F20"/>
          <w:spacing w:val="-96"/>
          <w:w w:val="93"/>
          <w:position w:val="12"/>
        </w:rPr>
        <w:t>p</w:t>
      </w:r>
      <w:r>
        <w:rPr>
          <w:color w:val="231F20"/>
          <w:spacing w:val="-113"/>
          <w:w w:val="106"/>
        </w:rPr>
        <w:t>…</w:t>
      </w:r>
      <w:proofErr w:type="spellStart"/>
      <w:r>
        <w:rPr>
          <w:rFonts w:ascii="Palatino Linotype" w:hAnsi="Palatino Linotype"/>
          <w:color w:val="231F20"/>
          <w:spacing w:val="-1"/>
          <w:w w:val="95"/>
          <w:position w:val="12"/>
        </w:rPr>
        <w:t>li</w:t>
      </w:r>
      <w:r>
        <w:rPr>
          <w:rFonts w:ascii="Palatino Linotype" w:hAnsi="Palatino Linotype"/>
          <w:color w:val="231F20"/>
          <w:spacing w:val="-83"/>
          <w:w w:val="101"/>
          <w:position w:val="12"/>
        </w:rPr>
        <w:t>c</w:t>
      </w:r>
      <w:proofErr w:type="spellEnd"/>
      <w:r>
        <w:rPr>
          <w:color w:val="231F20"/>
          <w:spacing w:val="-126"/>
          <w:w w:val="106"/>
        </w:rPr>
        <w:t>…</w:t>
      </w:r>
      <w:r>
        <w:rPr>
          <w:rFonts w:ascii="Palatino Linotype" w:hAnsi="Palatino Linotype"/>
          <w:color w:val="231F20"/>
          <w:spacing w:val="-1"/>
          <w:w w:val="94"/>
          <w:position w:val="12"/>
        </w:rPr>
        <w:t>a</w:t>
      </w:r>
      <w:r>
        <w:rPr>
          <w:rFonts w:ascii="Palatino Linotype" w:hAnsi="Palatino Linotype"/>
          <w:color w:val="231F20"/>
          <w:spacing w:val="-29"/>
          <w:position w:val="12"/>
        </w:rPr>
        <w:t>t</w:t>
      </w:r>
      <w:r>
        <w:rPr>
          <w:color w:val="231F20"/>
          <w:spacing w:val="-180"/>
          <w:w w:val="106"/>
        </w:rPr>
        <w:t>…</w:t>
      </w:r>
      <w:r>
        <w:rPr>
          <w:rFonts w:ascii="Palatino Linotype" w:hAnsi="Palatino Linotype"/>
          <w:color w:val="231F20"/>
          <w:spacing w:val="-1"/>
          <w:w w:val="99"/>
          <w:position w:val="12"/>
        </w:rPr>
        <w:t>io</w:t>
      </w:r>
      <w:r>
        <w:rPr>
          <w:rFonts w:ascii="Palatino Linotype" w:hAnsi="Palatino Linotype"/>
          <w:color w:val="231F20"/>
          <w:spacing w:val="-95"/>
          <w:position w:val="12"/>
        </w:rPr>
        <w:t>n</w:t>
      </w:r>
      <w:r>
        <w:rPr>
          <w:color w:val="231F20"/>
          <w:spacing w:val="-115"/>
          <w:w w:val="106"/>
        </w:rPr>
        <w:t>…</w:t>
      </w:r>
      <w:r>
        <w:rPr>
          <w:rFonts w:ascii="Palatino Linotype" w:hAnsi="Palatino Linotype"/>
          <w:color w:val="231F20"/>
          <w:w w:val="92"/>
          <w:position w:val="12"/>
        </w:rPr>
        <w:t>s</w:t>
      </w:r>
      <w:r>
        <w:rPr>
          <w:rFonts w:ascii="Palatino Linotype" w:hAnsi="Palatino Linotype"/>
          <w:color w:val="231F20"/>
          <w:spacing w:val="-13"/>
          <w:position w:val="12"/>
        </w:rPr>
        <w:t xml:space="preserve"> </w:t>
      </w:r>
      <w:r>
        <w:rPr>
          <w:color w:val="231F20"/>
          <w:spacing w:val="-200"/>
          <w:w w:val="105"/>
        </w:rPr>
        <w:t>…</w:t>
      </w:r>
      <w:r>
        <w:rPr>
          <w:rFonts w:ascii="Palatino Linotype" w:hAnsi="Palatino Linotype"/>
          <w:color w:val="231F20"/>
          <w:w w:val="97"/>
          <w:position w:val="12"/>
        </w:rPr>
        <w:t>of</w:t>
      </w:r>
      <w:r>
        <w:rPr>
          <w:rFonts w:ascii="Palatino Linotype" w:hAnsi="Palatino Linotype"/>
          <w:color w:val="231F20"/>
          <w:spacing w:val="-19"/>
          <w:position w:val="12"/>
        </w:rPr>
        <w:t xml:space="preserve"> </w:t>
      </w:r>
      <w:r>
        <w:rPr>
          <w:color w:val="231F20"/>
          <w:spacing w:val="-195"/>
          <w:w w:val="105"/>
        </w:rPr>
        <w:t>…</w:t>
      </w:r>
      <w:proofErr w:type="spellStart"/>
      <w:r>
        <w:rPr>
          <w:rFonts w:ascii="Palatino Linotype" w:hAnsi="Palatino Linotype"/>
          <w:color w:val="231F20"/>
          <w:spacing w:val="-1"/>
          <w:w w:val="103"/>
          <w:position w:val="12"/>
        </w:rPr>
        <w:t>V</w:t>
      </w:r>
      <w:r>
        <w:rPr>
          <w:rFonts w:ascii="Palatino Linotype" w:hAnsi="Palatino Linotype"/>
          <w:color w:val="231F20"/>
          <w:spacing w:val="-43"/>
          <w:w w:val="93"/>
          <w:position w:val="12"/>
        </w:rPr>
        <w:t>a</w:t>
      </w:r>
      <w:proofErr w:type="spellEnd"/>
      <w:r>
        <w:rPr>
          <w:color w:val="231F20"/>
          <w:spacing w:val="-166"/>
          <w:w w:val="105"/>
        </w:rPr>
        <w:t>…</w:t>
      </w:r>
      <w:proofErr w:type="spellStart"/>
      <w:r>
        <w:rPr>
          <w:rFonts w:ascii="Palatino Linotype" w:hAnsi="Palatino Linotype"/>
          <w:color w:val="231F20"/>
          <w:spacing w:val="-1"/>
          <w:w w:val="93"/>
          <w:position w:val="12"/>
        </w:rPr>
        <w:t>lu</w:t>
      </w:r>
      <w:r>
        <w:rPr>
          <w:rFonts w:ascii="Palatino Linotype" w:hAnsi="Palatino Linotype"/>
          <w:color w:val="231F20"/>
          <w:spacing w:val="-88"/>
          <w:w w:val="93"/>
          <w:position w:val="12"/>
        </w:rPr>
        <w:t>a</w:t>
      </w:r>
      <w:proofErr w:type="spellEnd"/>
      <w:r>
        <w:rPr>
          <w:color w:val="231F20"/>
          <w:spacing w:val="-121"/>
          <w:w w:val="105"/>
        </w:rPr>
        <w:t>…</w:t>
      </w:r>
      <w:proofErr w:type="spellStart"/>
      <w:r>
        <w:rPr>
          <w:rFonts w:ascii="Palatino Linotype" w:hAnsi="Palatino Linotype"/>
          <w:color w:val="231F20"/>
          <w:spacing w:val="-1"/>
          <w:w w:val="98"/>
          <w:position w:val="12"/>
        </w:rPr>
        <w:t>ti</w:t>
      </w:r>
      <w:r>
        <w:rPr>
          <w:rFonts w:ascii="Palatino Linotype" w:hAnsi="Palatino Linotype"/>
          <w:color w:val="231F20"/>
          <w:spacing w:val="-104"/>
          <w:w w:val="99"/>
          <w:position w:val="12"/>
        </w:rPr>
        <w:t>o</w:t>
      </w:r>
      <w:proofErr w:type="spellEnd"/>
      <w:r>
        <w:rPr>
          <w:color w:val="231F20"/>
          <w:spacing w:val="-106"/>
          <w:w w:val="105"/>
        </w:rPr>
        <w:t>…</w:t>
      </w:r>
      <w:r>
        <w:rPr>
          <w:rFonts w:ascii="Palatino Linotype" w:hAnsi="Palatino Linotype"/>
          <w:color w:val="231F20"/>
          <w:spacing w:val="-10"/>
          <w:w w:val="99"/>
          <w:position w:val="12"/>
        </w:rPr>
        <w:t>n</w:t>
      </w:r>
      <w:r>
        <w:rPr>
          <w:color w:val="231F20"/>
          <w:spacing w:val="-154"/>
          <w:w w:val="105"/>
        </w:rPr>
        <w:t>…</w:t>
      </w:r>
      <w:r>
        <w:rPr>
          <w:rFonts w:ascii="Palatino Linotype" w:hAnsi="Palatino Linotype"/>
          <w:color w:val="231F20"/>
          <w:spacing w:val="-1"/>
          <w:w w:val="97"/>
          <w:position w:val="12"/>
        </w:rPr>
        <w:t>i</w:t>
      </w:r>
      <w:r>
        <w:rPr>
          <w:rFonts w:ascii="Palatino Linotype" w:hAnsi="Palatino Linotype"/>
          <w:color w:val="231F20"/>
          <w:spacing w:val="-17"/>
          <w:w w:val="99"/>
          <w:position w:val="12"/>
        </w:rPr>
        <w:t>n</w:t>
      </w:r>
      <w:r>
        <w:rPr>
          <w:color w:val="231F20"/>
          <w:spacing w:val="-146"/>
          <w:w w:val="105"/>
        </w:rPr>
        <w:t>…</w:t>
      </w:r>
      <w:r>
        <w:rPr>
          <w:rFonts w:ascii="Palatino Linotype" w:hAnsi="Palatino Linotype"/>
          <w:color w:val="231F20"/>
          <w:spacing w:val="-1"/>
          <w:w w:val="98"/>
          <w:position w:val="12"/>
        </w:rPr>
        <w:t>R</w:t>
      </w:r>
      <w:r>
        <w:rPr>
          <w:rFonts w:ascii="Palatino Linotype" w:hAnsi="Palatino Linotype"/>
          <w:color w:val="231F20"/>
          <w:spacing w:val="-72"/>
          <w:w w:val="94"/>
          <w:position w:val="12"/>
        </w:rPr>
        <w:t>e</w:t>
      </w:r>
      <w:r>
        <w:rPr>
          <w:color w:val="231F20"/>
          <w:spacing w:val="-138"/>
          <w:w w:val="105"/>
        </w:rPr>
        <w:t>…</w:t>
      </w:r>
      <w:proofErr w:type="spellStart"/>
      <w:r>
        <w:rPr>
          <w:rFonts w:ascii="Palatino Linotype" w:hAnsi="Palatino Linotype"/>
          <w:color w:val="231F20"/>
          <w:spacing w:val="-1"/>
          <w:w w:val="91"/>
          <w:position w:val="12"/>
        </w:rPr>
        <w:t>s</w:t>
      </w:r>
      <w:r>
        <w:rPr>
          <w:rFonts w:ascii="Palatino Linotype" w:hAnsi="Palatino Linotype"/>
          <w:color w:val="231F20"/>
          <w:spacing w:val="-3"/>
          <w:w w:val="99"/>
          <w:position w:val="12"/>
        </w:rPr>
        <w:t>t</w:t>
      </w:r>
      <w:proofErr w:type="spellEnd"/>
      <w:r>
        <w:rPr>
          <w:color w:val="231F20"/>
          <w:spacing w:val="-207"/>
          <w:w w:val="105"/>
        </w:rPr>
        <w:t>…</w:t>
      </w:r>
      <w:proofErr w:type="spellStart"/>
      <w:r>
        <w:rPr>
          <w:rFonts w:ascii="Palatino Linotype" w:hAnsi="Palatino Linotype"/>
          <w:color w:val="231F20"/>
          <w:spacing w:val="-1"/>
          <w:w w:val="95"/>
          <w:position w:val="12"/>
        </w:rPr>
        <w:t>ru</w:t>
      </w:r>
      <w:r>
        <w:rPr>
          <w:rFonts w:ascii="Palatino Linotype" w:hAnsi="Palatino Linotype"/>
          <w:color w:val="231F20"/>
          <w:spacing w:val="-69"/>
          <w:position w:val="12"/>
        </w:rPr>
        <w:t>c</w:t>
      </w:r>
      <w:proofErr w:type="spellEnd"/>
      <w:r>
        <w:rPr>
          <w:color w:val="231F20"/>
          <w:spacing w:val="-141"/>
          <w:w w:val="105"/>
        </w:rPr>
        <w:t>…</w:t>
      </w:r>
      <w:proofErr w:type="spellStart"/>
      <w:r>
        <w:rPr>
          <w:rFonts w:ascii="Palatino Linotype" w:hAnsi="Palatino Linotype"/>
          <w:color w:val="231F20"/>
          <w:spacing w:val="-1"/>
          <w:w w:val="99"/>
          <w:position w:val="12"/>
        </w:rPr>
        <w:t>t</w:t>
      </w:r>
      <w:r>
        <w:rPr>
          <w:rFonts w:ascii="Palatino Linotype" w:hAnsi="Palatino Linotype"/>
          <w:color w:val="231F20"/>
          <w:spacing w:val="-34"/>
          <w:w w:val="93"/>
          <w:position w:val="12"/>
        </w:rPr>
        <w:t>u</w:t>
      </w:r>
      <w:proofErr w:type="spellEnd"/>
      <w:r>
        <w:rPr>
          <w:color w:val="231F20"/>
          <w:spacing w:val="-176"/>
          <w:w w:val="105"/>
        </w:rPr>
        <w:t>…</w:t>
      </w:r>
      <w:proofErr w:type="spellStart"/>
      <w:r>
        <w:rPr>
          <w:rFonts w:ascii="Palatino Linotype" w:hAnsi="Palatino Linotype"/>
          <w:color w:val="231F20"/>
          <w:spacing w:val="-1"/>
          <w:w w:val="98"/>
          <w:position w:val="12"/>
        </w:rPr>
        <w:t>ri</w:t>
      </w:r>
      <w:r>
        <w:rPr>
          <w:rFonts w:ascii="Palatino Linotype" w:hAnsi="Palatino Linotype"/>
          <w:color w:val="231F20"/>
          <w:spacing w:val="-71"/>
          <w:w w:val="99"/>
          <w:position w:val="12"/>
        </w:rPr>
        <w:t>n</w:t>
      </w:r>
      <w:proofErr w:type="spellEnd"/>
      <w:r>
        <w:rPr>
          <w:color w:val="231F20"/>
          <w:spacing w:val="-139"/>
          <w:w w:val="105"/>
        </w:rPr>
        <w:t>…</w:t>
      </w:r>
      <w:r>
        <w:rPr>
          <w:rFonts w:ascii="Palatino Linotype" w:hAnsi="Palatino Linotype"/>
          <w:color w:val="231F20"/>
          <w:w w:val="89"/>
          <w:position w:val="12"/>
        </w:rPr>
        <w:t>g</w:t>
      </w:r>
      <w:r>
        <w:rPr>
          <w:rFonts w:ascii="Palatino Linotype" w:hAnsi="Palatino Linotype"/>
          <w:color w:val="231F20"/>
          <w:spacing w:val="-10"/>
          <w:position w:val="12"/>
        </w:rPr>
        <w:t xml:space="preserve"> </w:t>
      </w:r>
      <w:r>
        <w:rPr>
          <w:color w:val="231F20"/>
          <w:spacing w:val="-203"/>
          <w:w w:val="106"/>
        </w:rPr>
        <w:t>…</w:t>
      </w:r>
      <w:r>
        <w:rPr>
          <w:rFonts w:ascii="Palatino Linotype" w:hAnsi="Palatino Linotype"/>
          <w:color w:val="231F20"/>
          <w:spacing w:val="-1"/>
          <w:w w:val="94"/>
          <w:position w:val="12"/>
        </w:rPr>
        <w:t>a</w:t>
      </w:r>
      <w:r>
        <w:rPr>
          <w:rFonts w:ascii="Palatino Linotype" w:hAnsi="Palatino Linotype"/>
          <w:color w:val="231F20"/>
          <w:spacing w:val="-2"/>
          <w:position w:val="12"/>
        </w:rPr>
        <w:t>n</w:t>
      </w:r>
      <w:r>
        <w:rPr>
          <w:color w:val="231F20"/>
          <w:spacing w:val="-207"/>
          <w:w w:val="106"/>
        </w:rPr>
        <w:t>…</w:t>
      </w:r>
      <w:r>
        <w:rPr>
          <w:rFonts w:ascii="Palatino Linotype" w:hAnsi="Palatino Linotype"/>
          <w:color w:val="231F20"/>
          <w:w w:val="92"/>
          <w:position w:val="12"/>
        </w:rPr>
        <w:t>d</w:t>
      </w:r>
      <w:r>
        <w:rPr>
          <w:rFonts w:ascii="Palatino Linotype" w:hAnsi="Palatino Linotype"/>
          <w:color w:val="231F20"/>
          <w:spacing w:val="46"/>
          <w:position w:val="12"/>
        </w:rPr>
        <w:t xml:space="preserve"> </w:t>
      </w:r>
      <w:r>
        <w:rPr>
          <w:color w:val="231F20"/>
          <w:spacing w:val="-5"/>
        </w:rPr>
        <w:t>……</w:t>
      </w:r>
    </w:p>
    <w:p w14:paraId="1EE2A78D" w14:textId="77777777" w:rsidR="006D68D1" w:rsidRDefault="006D68D1" w:rsidP="006D68D1">
      <w:pPr>
        <w:pStyle w:val="BodyText"/>
        <w:spacing w:before="160" w:line="224" w:lineRule="exact"/>
        <w:ind w:left="1563"/>
        <w:rPr>
          <w:rFonts w:ascii="Palatino Linotype"/>
        </w:rPr>
      </w:pPr>
      <w:r>
        <w:rPr>
          <w:rFonts w:ascii="Palatino Linotype"/>
          <w:color w:val="231F20"/>
          <w:w w:val="90"/>
        </w:rPr>
        <w:t>Insolvency</w:t>
      </w:r>
      <w:r>
        <w:rPr>
          <w:rFonts w:ascii="Palatino Linotype"/>
          <w:color w:val="231F20"/>
          <w:spacing w:val="14"/>
        </w:rPr>
        <w:t xml:space="preserve"> </w:t>
      </w:r>
      <w:r>
        <w:rPr>
          <w:rFonts w:ascii="Palatino Linotype"/>
          <w:color w:val="231F20"/>
          <w:spacing w:val="-2"/>
        </w:rPr>
        <w:t>Context</w:t>
      </w:r>
    </w:p>
    <w:p w14:paraId="784281CB" w14:textId="77777777" w:rsidR="006D68D1" w:rsidRDefault="006D68D1" w:rsidP="006D68D1">
      <w:pPr>
        <w:spacing w:line="185" w:lineRule="exact"/>
        <w:ind w:left="1310"/>
        <w:rPr>
          <w:sz w:val="20"/>
        </w:rPr>
      </w:pPr>
      <w:r>
        <w:rPr>
          <w:color w:val="231F20"/>
          <w:spacing w:val="-2"/>
          <w:w w:val="105"/>
          <w:sz w:val="20"/>
        </w:rPr>
        <w:t>………………………………………………………………………………………………………………..”</w:t>
      </w:r>
    </w:p>
    <w:p w14:paraId="2A7A4414" w14:textId="77777777" w:rsidR="006D68D1" w:rsidRDefault="006D68D1" w:rsidP="006D68D1">
      <w:pPr>
        <w:pStyle w:val="BodyText"/>
        <w:spacing w:before="1"/>
        <w:rPr>
          <w:sz w:val="29"/>
        </w:rPr>
      </w:pPr>
    </w:p>
    <w:p w14:paraId="2F928C82" w14:textId="77777777" w:rsidR="006D68D1" w:rsidRDefault="006D68D1" w:rsidP="006D68D1">
      <w:pPr>
        <w:pStyle w:val="BodyText"/>
        <w:spacing w:line="297" w:lineRule="auto"/>
        <w:ind w:left="1310" w:right="1088"/>
      </w:pPr>
      <w:r>
        <w:rPr>
          <w:color w:val="231F20"/>
          <w:spacing w:val="-2"/>
          <w:w w:val="110"/>
        </w:rPr>
        <w:t>is</w:t>
      </w:r>
      <w:r>
        <w:rPr>
          <w:color w:val="231F20"/>
          <w:spacing w:val="-9"/>
          <w:w w:val="110"/>
        </w:rPr>
        <w:t xml:space="preserve"> </w:t>
      </w:r>
      <w:r>
        <w:rPr>
          <w:color w:val="231F20"/>
          <w:spacing w:val="-2"/>
          <w:w w:val="110"/>
        </w:rPr>
        <w:t>my</w:t>
      </w:r>
      <w:r>
        <w:rPr>
          <w:color w:val="231F20"/>
          <w:spacing w:val="-9"/>
          <w:w w:val="110"/>
        </w:rPr>
        <w:t xml:space="preserve"> </w:t>
      </w:r>
      <w:r>
        <w:rPr>
          <w:color w:val="231F20"/>
          <w:spacing w:val="-2"/>
          <w:w w:val="110"/>
        </w:rPr>
        <w:t>own</w:t>
      </w:r>
      <w:r>
        <w:rPr>
          <w:color w:val="231F20"/>
          <w:spacing w:val="-9"/>
          <w:w w:val="110"/>
        </w:rPr>
        <w:t xml:space="preserve"> </w:t>
      </w:r>
      <w:r>
        <w:rPr>
          <w:color w:val="231F20"/>
          <w:spacing w:val="-2"/>
          <w:w w:val="110"/>
        </w:rPr>
        <w:t>work,</w:t>
      </w:r>
      <w:r>
        <w:rPr>
          <w:color w:val="231F20"/>
          <w:spacing w:val="-9"/>
          <w:w w:val="110"/>
        </w:rPr>
        <w:t xml:space="preserve"> </w:t>
      </w:r>
      <w:r>
        <w:rPr>
          <w:color w:val="231F20"/>
          <w:spacing w:val="-2"/>
          <w:w w:val="110"/>
        </w:rPr>
        <w:t>that</w:t>
      </w:r>
      <w:r>
        <w:rPr>
          <w:color w:val="231F20"/>
          <w:spacing w:val="-9"/>
          <w:w w:val="110"/>
        </w:rPr>
        <w:t xml:space="preserve"> </w:t>
      </w:r>
      <w:r>
        <w:rPr>
          <w:color w:val="231F20"/>
          <w:spacing w:val="-2"/>
          <w:w w:val="110"/>
        </w:rPr>
        <w:t>it</w:t>
      </w:r>
      <w:r>
        <w:rPr>
          <w:color w:val="231F20"/>
          <w:spacing w:val="-9"/>
          <w:w w:val="110"/>
        </w:rPr>
        <w:t xml:space="preserve"> </w:t>
      </w:r>
      <w:r>
        <w:rPr>
          <w:color w:val="231F20"/>
          <w:spacing w:val="-2"/>
          <w:w w:val="110"/>
        </w:rPr>
        <w:t>has</w:t>
      </w:r>
      <w:r>
        <w:rPr>
          <w:color w:val="231F20"/>
          <w:spacing w:val="-9"/>
          <w:w w:val="110"/>
        </w:rPr>
        <w:t xml:space="preserve"> </w:t>
      </w:r>
      <w:r>
        <w:rPr>
          <w:color w:val="231F20"/>
          <w:spacing w:val="-2"/>
          <w:w w:val="110"/>
        </w:rPr>
        <w:t>been</w:t>
      </w:r>
      <w:r>
        <w:rPr>
          <w:color w:val="231F20"/>
          <w:spacing w:val="-9"/>
          <w:w w:val="110"/>
        </w:rPr>
        <w:t xml:space="preserve"> </w:t>
      </w:r>
      <w:r>
        <w:rPr>
          <w:color w:val="231F20"/>
          <w:spacing w:val="-2"/>
          <w:w w:val="110"/>
        </w:rPr>
        <w:t>prepared</w:t>
      </w:r>
      <w:r>
        <w:rPr>
          <w:color w:val="231F20"/>
          <w:spacing w:val="-9"/>
          <w:w w:val="110"/>
        </w:rPr>
        <w:t xml:space="preserve"> </w:t>
      </w:r>
      <w:r>
        <w:rPr>
          <w:color w:val="231F20"/>
          <w:spacing w:val="-2"/>
          <w:w w:val="110"/>
        </w:rPr>
        <w:t>independently</w:t>
      </w:r>
      <w:r>
        <w:rPr>
          <w:color w:val="231F20"/>
          <w:spacing w:val="-9"/>
          <w:w w:val="110"/>
        </w:rPr>
        <w:t xml:space="preserve"> </w:t>
      </w:r>
      <w:r>
        <w:rPr>
          <w:color w:val="231F20"/>
          <w:spacing w:val="-2"/>
          <w:w w:val="110"/>
        </w:rPr>
        <w:t>and</w:t>
      </w:r>
      <w:r>
        <w:rPr>
          <w:color w:val="231F20"/>
          <w:spacing w:val="-9"/>
          <w:w w:val="110"/>
        </w:rPr>
        <w:t xml:space="preserve"> </w:t>
      </w:r>
      <w:r>
        <w:rPr>
          <w:color w:val="231F20"/>
          <w:spacing w:val="-2"/>
          <w:w w:val="110"/>
        </w:rPr>
        <w:t>that</w:t>
      </w:r>
      <w:r>
        <w:rPr>
          <w:color w:val="231F20"/>
          <w:spacing w:val="-9"/>
          <w:w w:val="110"/>
        </w:rPr>
        <w:t xml:space="preserve"> </w:t>
      </w:r>
      <w:r>
        <w:rPr>
          <w:color w:val="231F20"/>
          <w:spacing w:val="-2"/>
          <w:w w:val="110"/>
        </w:rPr>
        <w:t>all</w:t>
      </w:r>
      <w:r>
        <w:rPr>
          <w:color w:val="231F20"/>
          <w:spacing w:val="-9"/>
          <w:w w:val="110"/>
        </w:rPr>
        <w:t xml:space="preserve"> </w:t>
      </w:r>
      <w:r>
        <w:rPr>
          <w:color w:val="231F20"/>
          <w:spacing w:val="-2"/>
          <w:w w:val="110"/>
        </w:rPr>
        <w:t>references</w:t>
      </w:r>
      <w:r>
        <w:rPr>
          <w:color w:val="231F20"/>
          <w:spacing w:val="-9"/>
          <w:w w:val="110"/>
        </w:rPr>
        <w:t xml:space="preserve"> </w:t>
      </w:r>
      <w:r>
        <w:rPr>
          <w:color w:val="231F20"/>
          <w:spacing w:val="-2"/>
          <w:w w:val="110"/>
        </w:rPr>
        <w:t>to,</w:t>
      </w:r>
      <w:r>
        <w:rPr>
          <w:color w:val="231F20"/>
          <w:spacing w:val="-9"/>
          <w:w w:val="110"/>
        </w:rPr>
        <w:t xml:space="preserve"> </w:t>
      </w:r>
      <w:r>
        <w:rPr>
          <w:color w:val="231F20"/>
          <w:spacing w:val="-2"/>
          <w:w w:val="110"/>
        </w:rPr>
        <w:t xml:space="preserve">or </w:t>
      </w:r>
      <w:r>
        <w:rPr>
          <w:color w:val="231F20"/>
          <w:w w:val="110"/>
        </w:rPr>
        <w:t>quotations</w:t>
      </w:r>
      <w:r>
        <w:rPr>
          <w:color w:val="231F20"/>
          <w:spacing w:val="-4"/>
          <w:w w:val="110"/>
        </w:rPr>
        <w:t xml:space="preserve"> </w:t>
      </w:r>
      <w:r>
        <w:rPr>
          <w:color w:val="231F20"/>
          <w:w w:val="110"/>
        </w:rPr>
        <w:t>from,</w:t>
      </w:r>
      <w:r>
        <w:rPr>
          <w:color w:val="231F20"/>
          <w:spacing w:val="-4"/>
          <w:w w:val="110"/>
        </w:rPr>
        <w:t xml:space="preserve"> </w:t>
      </w:r>
      <w:r>
        <w:rPr>
          <w:color w:val="231F20"/>
          <w:w w:val="110"/>
        </w:rPr>
        <w:t>the</w:t>
      </w:r>
      <w:r>
        <w:rPr>
          <w:color w:val="231F20"/>
          <w:spacing w:val="-4"/>
          <w:w w:val="110"/>
        </w:rPr>
        <w:t xml:space="preserve"> </w:t>
      </w:r>
      <w:r>
        <w:rPr>
          <w:color w:val="231F20"/>
          <w:w w:val="110"/>
        </w:rPr>
        <w:t>work</w:t>
      </w:r>
      <w:r>
        <w:rPr>
          <w:color w:val="231F20"/>
          <w:spacing w:val="-4"/>
          <w:w w:val="110"/>
        </w:rPr>
        <w:t xml:space="preserve"> </w:t>
      </w:r>
      <w:r>
        <w:rPr>
          <w:color w:val="231F20"/>
          <w:w w:val="110"/>
        </w:rPr>
        <w:t>of</w:t>
      </w:r>
      <w:r>
        <w:rPr>
          <w:color w:val="231F20"/>
          <w:spacing w:val="-4"/>
          <w:w w:val="110"/>
        </w:rPr>
        <w:t xml:space="preserve"> </w:t>
      </w:r>
      <w:r>
        <w:rPr>
          <w:color w:val="231F20"/>
          <w:w w:val="110"/>
        </w:rPr>
        <w:t>others</w:t>
      </w:r>
      <w:r>
        <w:rPr>
          <w:color w:val="231F20"/>
          <w:spacing w:val="-4"/>
          <w:w w:val="110"/>
        </w:rPr>
        <w:t xml:space="preserve"> </w:t>
      </w:r>
      <w:r>
        <w:rPr>
          <w:color w:val="231F20"/>
          <w:w w:val="110"/>
        </w:rPr>
        <w:t>are</w:t>
      </w:r>
      <w:r>
        <w:rPr>
          <w:color w:val="231F20"/>
          <w:spacing w:val="-4"/>
          <w:w w:val="110"/>
        </w:rPr>
        <w:t xml:space="preserve"> </w:t>
      </w:r>
      <w:r>
        <w:rPr>
          <w:color w:val="231F20"/>
          <w:w w:val="110"/>
        </w:rPr>
        <w:t>fully</w:t>
      </w:r>
      <w:r>
        <w:rPr>
          <w:color w:val="231F20"/>
          <w:spacing w:val="-4"/>
          <w:w w:val="110"/>
        </w:rPr>
        <w:t xml:space="preserve"> </w:t>
      </w:r>
      <w:r>
        <w:rPr>
          <w:color w:val="231F20"/>
          <w:w w:val="110"/>
        </w:rPr>
        <w:t>and</w:t>
      </w:r>
      <w:r>
        <w:rPr>
          <w:color w:val="231F20"/>
          <w:spacing w:val="-4"/>
          <w:w w:val="110"/>
        </w:rPr>
        <w:t xml:space="preserve"> </w:t>
      </w:r>
      <w:r>
        <w:rPr>
          <w:color w:val="231F20"/>
          <w:w w:val="110"/>
        </w:rPr>
        <w:t>correctly</w:t>
      </w:r>
      <w:r>
        <w:rPr>
          <w:color w:val="231F20"/>
          <w:spacing w:val="-4"/>
          <w:w w:val="110"/>
        </w:rPr>
        <w:t xml:space="preserve"> </w:t>
      </w:r>
      <w:r>
        <w:rPr>
          <w:color w:val="231F20"/>
          <w:w w:val="110"/>
        </w:rPr>
        <w:t>cited.</w:t>
      </w:r>
    </w:p>
    <w:p w14:paraId="24251784" w14:textId="77777777" w:rsidR="006D68D1" w:rsidRDefault="006D68D1" w:rsidP="006D68D1">
      <w:pPr>
        <w:pStyle w:val="BodyText"/>
      </w:pPr>
    </w:p>
    <w:p w14:paraId="3E03F6F3" w14:textId="77777777" w:rsidR="006D68D1" w:rsidRDefault="006D68D1" w:rsidP="006D68D1">
      <w:pPr>
        <w:pStyle w:val="BodyText"/>
      </w:pPr>
    </w:p>
    <w:p w14:paraId="39259382" w14:textId="77777777" w:rsidR="006D68D1" w:rsidRDefault="006D68D1" w:rsidP="006D68D1">
      <w:pPr>
        <w:pStyle w:val="BodyText"/>
      </w:pPr>
    </w:p>
    <w:p w14:paraId="7198A3C9" w14:textId="77777777" w:rsidR="006D68D1" w:rsidRDefault="006D68D1" w:rsidP="006D68D1">
      <w:pPr>
        <w:pStyle w:val="BodyText"/>
      </w:pPr>
    </w:p>
    <w:p w14:paraId="07D053C1" w14:textId="77777777" w:rsidR="006D68D1" w:rsidRDefault="006D68D1" w:rsidP="006D68D1">
      <w:pPr>
        <w:pStyle w:val="BodyText"/>
        <w:spacing w:before="6"/>
        <w:rPr>
          <w:sz w:val="11"/>
        </w:rPr>
      </w:pPr>
    </w:p>
    <w:p w14:paraId="5E29BECC" w14:textId="77777777" w:rsidR="006D68D1" w:rsidRDefault="006D68D1" w:rsidP="006D68D1">
      <w:pPr>
        <w:pStyle w:val="BodyText"/>
        <w:spacing w:line="20" w:lineRule="exact"/>
        <w:ind w:left="1310"/>
        <w:rPr>
          <w:sz w:val="2"/>
        </w:rPr>
      </w:pPr>
      <w:r>
        <w:rPr>
          <w:noProof/>
          <w:sz w:val="2"/>
        </w:rPr>
        <mc:AlternateContent>
          <mc:Choice Requires="wpg">
            <w:drawing>
              <wp:inline distT="0" distB="0" distL="0" distR="0" wp14:anchorId="6C54CBDC" wp14:editId="0C1D9629">
                <wp:extent cx="1577340" cy="6985"/>
                <wp:effectExtent l="9525" t="0" r="0" b="2539"/>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77340" cy="6985"/>
                          <a:chOff x="0" y="0"/>
                          <a:chExt cx="1577340" cy="6985"/>
                        </a:xfrm>
                      </wpg:grpSpPr>
                      <wps:wsp>
                        <wps:cNvPr id="6" name="Graphic 6"/>
                        <wps:cNvSpPr/>
                        <wps:spPr>
                          <a:xfrm>
                            <a:off x="0" y="3297"/>
                            <a:ext cx="1577340" cy="1270"/>
                          </a:xfrm>
                          <a:custGeom>
                            <a:avLst/>
                            <a:gdLst/>
                            <a:ahLst/>
                            <a:cxnLst/>
                            <a:rect l="l" t="t" r="r" b="b"/>
                            <a:pathLst>
                              <a:path w="1577340">
                                <a:moveTo>
                                  <a:pt x="0" y="0"/>
                                </a:moveTo>
                                <a:lnTo>
                                  <a:pt x="1577097" y="0"/>
                                </a:lnTo>
                              </a:path>
                            </a:pathLst>
                          </a:custGeom>
                          <a:ln w="6594">
                            <a:solidFill>
                              <a:srgbClr val="221E1F"/>
                            </a:solidFill>
                            <a:prstDash val="solid"/>
                          </a:ln>
                        </wps:spPr>
                        <wps:bodyPr wrap="square" lIns="0" tIns="0" rIns="0" bIns="0" rtlCol="0">
                          <a:prstTxWarp prst="textNoShape">
                            <a:avLst/>
                          </a:prstTxWarp>
                          <a:noAutofit/>
                        </wps:bodyPr>
                      </wps:wsp>
                    </wpg:wgp>
                  </a:graphicData>
                </a:graphic>
              </wp:inline>
            </w:drawing>
          </mc:Choice>
          <mc:Fallback>
            <w:pict>
              <v:group w14:anchorId="7EEE95B2" id="Group 5" o:spid="_x0000_s1026" style="width:124.2pt;height:.55pt;mso-position-horizontal-relative:char;mso-position-vertical-relative:line" coordsize="157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uCcgIAAJAFAAAOAAAAZHJzL2Uyb0RvYy54bWykVE1v4jAQva+0/8HyfQlJC5SIUK1KQStV&#10;baWy2rNxnA+tY3vHhtB/v2OHAKXVHrqX6Nkez8x78+LZ7b6RZCfA1lplNB4MKRGK67xWZUZ/rpff&#10;biixjqmcSa1ERl+Fpbfzr19mrUlFoistcwEEkyibtiajlXMmjSLLK9EwO9BGKDwsNDTM4RLKKAfW&#10;YvZGRslwOI5aDbkBzYW1uLvoDuk85C8Kwd1TUVjhiMwo9ubCF8J347/RfMbSEpipan5og32ii4bV&#10;CoseUy2YY2QL9btUTc1BW124AddNpIui5iJwQDbx8ILNCvTWBC5l2pbmKBNKe6HTp9Pyx90KzIt5&#10;hq57hA+a/7aoS9SaMj0/9+vyFLwvoPGXkATZB0Vfj4qKvSMcN+PRZHJ1jcJzPBtPb0ad4LzCqby7&#10;xKv7f12LWNqVDI0dG2kNOseexLH/J85LxYwImltP/hlInWPrlCjWoH9XB6uMPRFfGmO8eoeVPQj5&#10;oTZXyXTS8f9QnjiZBD8eebKUb61bCR1kZrsH6zq75j1iVY/4XvUQ0PTe7jLY3VGCdgdK0O6brrph&#10;zt/zs/OQtKc5+b1G78Rah1N3MSNs7XQq1XmUn/QQ+ZHeBBjbRSDwZdBQHQilEZ+Tk8p3MR5Nr8Nf&#10;ZLWs82Utpe/CQrm5k0B2DEklSXwfLz0PzPAmzIB1C2arLi4cHcKkCma2aTcdP7WNzl9xtC1OM6P2&#10;z5aBoET+UGge/0r0AHqw6QE4eafDWxIEwprr/S8GhvjyGXU42Ufde4il/dA89WOsv6n0963TRe0n&#10;in7uOzos0M8Bhd8e0Zt35Xwdok4P6fwvAAAA//8DAFBLAwQUAAYACAAAACEADs6HJNoAAAADAQAA&#10;DwAAAGRycy9kb3ducmV2LnhtbEyPQUvDQBCF74L/YRnBm92kVikxm1KKeiqCrSDeptlpEpqdDdlt&#10;kv57Ry96eTC8x3vf5KvJtWqgPjSeDaSzBBRx6W3DlYGP/cvdElSIyBZbz2TgQgFWxfVVjpn1I7/T&#10;sIuVkhIOGRqoY+wyrUNZk8Mw8x2xeEffO4xy9pW2PY5S7lo9T5JH7bBhWaixo01N5Wl3dgZeRxzX&#10;9+nzsD0dN5ev/cPb5zYlY25vpvUTqEhT/AvDD76gQyFMB39mG1RrQB6JvyrefLFcgDpIKAVd5Po/&#10;e/ENAAD//wMAUEsBAi0AFAAGAAgAAAAhALaDOJL+AAAA4QEAABMAAAAAAAAAAAAAAAAAAAAAAFtD&#10;b250ZW50X1R5cGVzXS54bWxQSwECLQAUAAYACAAAACEAOP0h/9YAAACUAQAACwAAAAAAAAAAAAAA&#10;AAAvAQAAX3JlbHMvLnJlbHNQSwECLQAUAAYACAAAACEAAusbgnICAACQBQAADgAAAAAAAAAAAAAA&#10;AAAuAgAAZHJzL2Uyb0RvYy54bWxQSwECLQAUAAYACAAAACEADs6HJNoAAAADAQAADwAAAAAAAAAA&#10;AAAAAADMBAAAZHJzL2Rvd25yZXYueG1sUEsFBgAAAAAEAAQA8wAAANMFAAAAAA==&#10;">
                <v:shape id="Graphic 6" o:spid="_x0000_s1027" style="position:absolute;top:32;width:15773;height:13;visibility:visible;mso-wrap-style:square;v-text-anchor:top" coordsize="1577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05wgAAANoAAAAPAAAAZHJzL2Rvd25yZXYueG1sRI9BawIx&#10;FITvQv9DeIXeull7kHY1ighKaU91Fa/PzXM3unlZk3Td/vumUPA4zMw3zGwx2Fb05INxrGCc5SCI&#10;K6cN1wp25fr5FUSIyBpbx6TghwIs5g+jGRba3fiL+m2sRYJwKFBBE2NXSBmqhiyGzHXEyTs5bzEm&#10;6WupPd4S3LbyJc8n0qLhtNBgR6uGqsv22yo4l37fBjp+rPMrfZry8NZvjFbq6XFYTkFEGuI9/N9+&#10;1wom8Hcl3QA5/wUAAP//AwBQSwECLQAUAAYACAAAACEA2+H2y+4AAACFAQAAEwAAAAAAAAAAAAAA&#10;AAAAAAAAW0NvbnRlbnRfVHlwZXNdLnhtbFBLAQItABQABgAIAAAAIQBa9CxbvwAAABUBAAALAAAA&#10;AAAAAAAAAAAAAB8BAABfcmVscy8ucmVsc1BLAQItABQABgAIAAAAIQDShN05wgAAANoAAAAPAAAA&#10;AAAAAAAAAAAAAAcCAABkcnMvZG93bnJldi54bWxQSwUGAAAAAAMAAwC3AAAA9gIAAAAA&#10;" path="m,l1577097,e" filled="f" strokecolor="#221e1f" strokeweight=".18317mm">
                  <v:path arrowok="t"/>
                </v:shape>
                <w10:anchorlock/>
              </v:group>
            </w:pict>
          </mc:Fallback>
        </mc:AlternateContent>
      </w:r>
    </w:p>
    <w:p w14:paraId="02896DFB" w14:textId="77777777" w:rsidR="006D68D1" w:rsidRDefault="006D68D1" w:rsidP="006D68D1">
      <w:pPr>
        <w:spacing w:line="20" w:lineRule="exact"/>
        <w:rPr>
          <w:sz w:val="2"/>
        </w:rPr>
        <w:sectPr w:rsidR="006D68D1" w:rsidSect="006D68D1">
          <w:pgSz w:w="12240" w:h="15840"/>
          <w:pgMar w:top="20" w:right="400" w:bottom="280" w:left="420" w:header="720" w:footer="720" w:gutter="0"/>
          <w:cols w:space="720"/>
        </w:sectPr>
      </w:pPr>
    </w:p>
    <w:p w14:paraId="591787DF" w14:textId="77777777" w:rsidR="00C535B1" w:rsidRPr="00C535B1" w:rsidRDefault="006D68D1" w:rsidP="006D68D1">
      <w:pPr>
        <w:pStyle w:val="Heading1"/>
        <w:spacing w:before="56" w:line="588" w:lineRule="auto"/>
        <w:ind w:left="1134"/>
        <w:rPr>
          <w:b/>
          <w:bCs/>
          <w:color w:val="231F20"/>
          <w:spacing w:val="-2"/>
        </w:rPr>
      </w:pPr>
      <w:r w:rsidRPr="00C535B1">
        <w:rPr>
          <w:b/>
          <w:bCs/>
          <w:noProof/>
        </w:rPr>
        <w:drawing>
          <wp:anchor distT="0" distB="0" distL="0" distR="0" simplePos="0" relativeHeight="251659264" behindDoc="0" locked="0" layoutInCell="1" allowOverlap="1" wp14:anchorId="66165146" wp14:editId="0138D4FB">
            <wp:simplePos x="0" y="0"/>
            <wp:positionH relativeFrom="page">
              <wp:posOffset>1013794</wp:posOffset>
            </wp:positionH>
            <wp:positionV relativeFrom="paragraph">
              <wp:posOffset>-537086</wp:posOffset>
            </wp:positionV>
            <wp:extent cx="1894194" cy="577728"/>
            <wp:effectExtent l="0" t="0" r="0" b="0"/>
            <wp:wrapNone/>
            <wp:docPr id="7" name="Image 7" descr="A white letter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A white letter on a black background&#10;&#10;Description automatically generated"/>
                    <pic:cNvPicPr/>
                  </pic:nvPicPr>
                  <pic:blipFill>
                    <a:blip r:embed="rId11" cstate="print"/>
                    <a:stretch>
                      <a:fillRect/>
                    </a:stretch>
                  </pic:blipFill>
                  <pic:spPr>
                    <a:xfrm>
                      <a:off x="0" y="0"/>
                      <a:ext cx="1894194" cy="577728"/>
                    </a:xfrm>
                    <a:prstGeom prst="rect">
                      <a:avLst/>
                    </a:prstGeom>
                  </pic:spPr>
                </pic:pic>
              </a:graphicData>
            </a:graphic>
          </wp:anchor>
        </w:drawing>
      </w:r>
      <w:r w:rsidRPr="00C535B1">
        <w:rPr>
          <w:b/>
          <w:bCs/>
          <w:color w:val="231F20"/>
          <w:spacing w:val="-2"/>
        </w:rPr>
        <w:t>Signed</w:t>
      </w:r>
    </w:p>
    <w:p w14:paraId="24A56427" w14:textId="23E0C829" w:rsidR="00C535B1" w:rsidRDefault="006D68D1" w:rsidP="00C535B1">
      <w:pPr>
        <w:pStyle w:val="Heading1"/>
        <w:spacing w:before="56" w:line="588" w:lineRule="auto"/>
        <w:ind w:left="1134" w:right="-1557"/>
        <w:rPr>
          <w:color w:val="231F20"/>
          <w:spacing w:val="-2"/>
        </w:rPr>
      </w:pPr>
      <w:r w:rsidRPr="00C535B1">
        <w:rPr>
          <w:b/>
          <w:bCs/>
          <w:color w:val="231F20"/>
          <w:spacing w:val="-2"/>
        </w:rPr>
        <w:t>Date:</w:t>
      </w:r>
      <w:r w:rsidR="00C535B1">
        <w:rPr>
          <w:color w:val="231F20"/>
          <w:spacing w:val="-2"/>
        </w:rPr>
        <w:t xml:space="preserve"> </w:t>
      </w:r>
      <w:r w:rsidR="00C535B1" w:rsidRPr="00C535B1">
        <w:rPr>
          <w:color w:val="231F20"/>
          <w:spacing w:val="-2"/>
        </w:rPr>
        <w:t>9 July 2023</w:t>
      </w:r>
    </w:p>
    <w:p w14:paraId="6D4CEFCD" w14:textId="1B3B30C7" w:rsidR="006D68D1" w:rsidRDefault="006D68D1" w:rsidP="006D68D1">
      <w:pPr>
        <w:pStyle w:val="Heading1"/>
        <w:spacing w:before="56" w:line="588" w:lineRule="auto"/>
        <w:ind w:left="1134"/>
        <w:rPr>
          <w:b/>
        </w:rPr>
      </w:pPr>
      <w:r w:rsidRPr="00C535B1">
        <w:rPr>
          <w:b/>
          <w:bCs/>
          <w:color w:val="231F20"/>
          <w:spacing w:val="-2"/>
        </w:rPr>
        <w:t>Place:</w:t>
      </w:r>
      <w:r w:rsidR="00C535B1">
        <w:rPr>
          <w:color w:val="231F20"/>
          <w:spacing w:val="-2"/>
        </w:rPr>
        <w:t xml:space="preserve"> </w:t>
      </w:r>
      <w:r w:rsidR="00C535B1" w:rsidRPr="00C535B1">
        <w:rPr>
          <w:color w:val="231F20"/>
          <w:spacing w:val="-2"/>
        </w:rPr>
        <w:t>British Virgin Islands</w:t>
      </w:r>
    </w:p>
    <w:p w14:paraId="4D24D411" w14:textId="04AC18F6" w:rsidR="006D68D1" w:rsidRDefault="006D68D1" w:rsidP="00C535B1">
      <w:pPr>
        <w:rPr>
          <w:rFonts w:ascii="Palatino Linotype"/>
        </w:rPr>
      </w:pPr>
    </w:p>
    <w:sectPr w:rsidR="006D68D1">
      <w:type w:val="continuous"/>
      <w:pgSz w:w="12240" w:h="15840"/>
      <w:pgMar w:top="20" w:right="40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8586" w14:textId="77777777" w:rsidR="00216CDC" w:rsidRDefault="00216CDC" w:rsidP="007E459E">
      <w:pPr>
        <w:spacing w:after="0" w:line="240" w:lineRule="auto"/>
      </w:pPr>
      <w:r>
        <w:separator/>
      </w:r>
    </w:p>
  </w:endnote>
  <w:endnote w:type="continuationSeparator" w:id="0">
    <w:p w14:paraId="28FDD2A3" w14:textId="77777777" w:rsidR="00216CDC" w:rsidRDefault="00216CDC" w:rsidP="007E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A29C" w14:textId="77777777" w:rsidR="00FD6A8B" w:rsidRPr="00FD6A8B" w:rsidRDefault="00FD6A8B" w:rsidP="00FD6A8B">
    <w:pPr>
      <w:pStyle w:val="Footer"/>
      <w:tabs>
        <w:tab w:val="clear" w:pos="4513"/>
      </w:tabs>
      <w:jc w:val="right"/>
      <w:rPr>
        <w:i/>
        <w:iCs/>
        <w:color w:val="A6A6A6" w:themeColor="background1" w:themeShade="A6"/>
      </w:rPr>
    </w:pPr>
    <w:r w:rsidRPr="00FD6A8B">
      <w:rPr>
        <w:i/>
        <w:iCs/>
        <w:color w:val="A6A6A6" w:themeColor="background1" w:themeShade="A6"/>
      </w:rPr>
      <w:t xml:space="preserve">Page </w:t>
    </w:r>
    <w:r w:rsidRPr="00FD6A8B">
      <w:rPr>
        <w:i/>
        <w:iCs/>
        <w:color w:val="A6A6A6" w:themeColor="background1" w:themeShade="A6"/>
      </w:rPr>
      <w:fldChar w:fldCharType="begin"/>
    </w:r>
    <w:r w:rsidRPr="00FD6A8B">
      <w:rPr>
        <w:i/>
        <w:iCs/>
        <w:color w:val="A6A6A6" w:themeColor="background1" w:themeShade="A6"/>
      </w:rPr>
      <w:instrText xml:space="preserve"> PAGE  \* Arabic  \* MERGEFORMAT </w:instrText>
    </w:r>
    <w:r w:rsidRPr="00FD6A8B">
      <w:rPr>
        <w:i/>
        <w:iCs/>
        <w:color w:val="A6A6A6" w:themeColor="background1" w:themeShade="A6"/>
      </w:rPr>
      <w:fldChar w:fldCharType="separate"/>
    </w:r>
    <w:r w:rsidRPr="00FD6A8B">
      <w:rPr>
        <w:i/>
        <w:iCs/>
        <w:noProof/>
        <w:color w:val="A6A6A6" w:themeColor="background1" w:themeShade="A6"/>
      </w:rPr>
      <w:t>2</w:t>
    </w:r>
    <w:r w:rsidRPr="00FD6A8B">
      <w:rPr>
        <w:i/>
        <w:iCs/>
        <w:color w:val="A6A6A6" w:themeColor="background1" w:themeShade="A6"/>
      </w:rPr>
      <w:fldChar w:fldCharType="end"/>
    </w:r>
    <w:r w:rsidRPr="00FD6A8B">
      <w:rPr>
        <w:i/>
        <w:iCs/>
        <w:color w:val="A6A6A6" w:themeColor="background1" w:themeShade="A6"/>
      </w:rPr>
      <w:t xml:space="preserve"> of </w:t>
    </w:r>
    <w:r w:rsidRPr="00FD6A8B">
      <w:rPr>
        <w:i/>
        <w:iCs/>
        <w:color w:val="A6A6A6" w:themeColor="background1" w:themeShade="A6"/>
      </w:rPr>
      <w:fldChar w:fldCharType="begin"/>
    </w:r>
    <w:r w:rsidRPr="00FD6A8B">
      <w:rPr>
        <w:i/>
        <w:iCs/>
        <w:color w:val="A6A6A6" w:themeColor="background1" w:themeShade="A6"/>
      </w:rPr>
      <w:instrText xml:space="preserve"> NUMPAGES  \* Arabic  \* MERGEFORMAT </w:instrText>
    </w:r>
    <w:r w:rsidRPr="00FD6A8B">
      <w:rPr>
        <w:i/>
        <w:iCs/>
        <w:color w:val="A6A6A6" w:themeColor="background1" w:themeShade="A6"/>
      </w:rPr>
      <w:fldChar w:fldCharType="separate"/>
    </w:r>
    <w:r w:rsidRPr="00FD6A8B">
      <w:rPr>
        <w:i/>
        <w:iCs/>
        <w:noProof/>
        <w:color w:val="A6A6A6" w:themeColor="background1" w:themeShade="A6"/>
      </w:rPr>
      <w:t>2</w:t>
    </w:r>
    <w:r w:rsidRPr="00FD6A8B">
      <w:rPr>
        <w:i/>
        <w:iCs/>
        <w:color w:val="A6A6A6" w:themeColor="background1" w:themeShade="A6"/>
      </w:rPr>
      <w:fldChar w:fldCharType="end"/>
    </w:r>
  </w:p>
  <w:p w14:paraId="7B159FFB" w14:textId="77777777" w:rsidR="00FD6A8B" w:rsidRDefault="00FD6A8B">
    <w:pPr>
      <w:pStyle w:val="Footer"/>
    </w:pPr>
  </w:p>
  <w:p w14:paraId="13178109" w14:textId="77777777" w:rsidR="00000000" w:rsidRDefault="00C535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78D4" w14:textId="77777777" w:rsidR="00216CDC" w:rsidRDefault="00216CDC" w:rsidP="007E459E">
      <w:pPr>
        <w:spacing w:after="0" w:line="240" w:lineRule="auto"/>
      </w:pPr>
      <w:r>
        <w:separator/>
      </w:r>
    </w:p>
  </w:footnote>
  <w:footnote w:type="continuationSeparator" w:id="0">
    <w:p w14:paraId="7207764B" w14:textId="77777777" w:rsidR="00216CDC" w:rsidRDefault="00216CDC" w:rsidP="007E459E">
      <w:pPr>
        <w:spacing w:after="0" w:line="240" w:lineRule="auto"/>
      </w:pPr>
      <w:r>
        <w:continuationSeparator/>
      </w:r>
    </w:p>
  </w:footnote>
  <w:footnote w:id="1">
    <w:p w14:paraId="6CFB82E0" w14:textId="15FD98D6" w:rsidR="00C727DA" w:rsidRDefault="00C727DA" w:rsidP="00C727DA">
      <w:pPr>
        <w:pStyle w:val="FootnoteText"/>
      </w:pPr>
      <w:r>
        <w:rPr>
          <w:rStyle w:val="FootnoteReference"/>
        </w:rPr>
        <w:footnoteRef/>
      </w:r>
      <w:r>
        <w:t xml:space="preserve"> </w:t>
      </w:r>
      <w:r w:rsidR="00602C52" w:rsidRPr="00A62E81">
        <w:rPr>
          <w:i/>
          <w:iCs/>
        </w:rPr>
        <w:t xml:space="preserve">Companies </w:t>
      </w:r>
      <w:r w:rsidR="0052644C" w:rsidRPr="00A62E81">
        <w:rPr>
          <w:i/>
          <w:iCs/>
        </w:rPr>
        <w:t>Act 2006 (UK)</w:t>
      </w:r>
      <w:r w:rsidR="0052644C" w:rsidRPr="007365FF">
        <w:t xml:space="preserve"> s</w:t>
      </w:r>
      <w:r w:rsidR="0052644C">
        <w:t xml:space="preserve"> 901G.</w:t>
      </w:r>
    </w:p>
  </w:footnote>
  <w:footnote w:id="2">
    <w:p w14:paraId="53B806B5" w14:textId="7947A72E" w:rsidR="00C0429F" w:rsidRDefault="00C0429F" w:rsidP="00C0429F">
      <w:pPr>
        <w:pStyle w:val="FootnoteText"/>
      </w:pPr>
      <w:r>
        <w:rPr>
          <w:rStyle w:val="FootnoteReference"/>
        </w:rPr>
        <w:footnoteRef/>
      </w:r>
      <w:r>
        <w:t xml:space="preserve"> </w:t>
      </w:r>
      <w:r w:rsidR="00C978BE" w:rsidRPr="00A62E81">
        <w:rPr>
          <w:i/>
          <w:iCs/>
        </w:rPr>
        <w:t>11 U.S. Code</w:t>
      </w:r>
      <w:r w:rsidR="00C978BE" w:rsidRPr="00C978BE">
        <w:t xml:space="preserve"> § 1129</w:t>
      </w:r>
      <w:r>
        <w:t>.</w:t>
      </w:r>
    </w:p>
  </w:footnote>
  <w:footnote w:id="3">
    <w:p w14:paraId="1BE08E93" w14:textId="3BD9EC6B" w:rsidR="002451FC" w:rsidRDefault="002451FC">
      <w:pPr>
        <w:pStyle w:val="FootnoteText"/>
      </w:pPr>
      <w:r>
        <w:rPr>
          <w:rStyle w:val="FootnoteReference"/>
        </w:rPr>
        <w:footnoteRef/>
      </w:r>
      <w:r>
        <w:t xml:space="preserve"> </w:t>
      </w:r>
      <w:r w:rsidR="00FA50BA">
        <w:t xml:space="preserve">The </w:t>
      </w:r>
      <w:r w:rsidR="000D62EE">
        <w:t>D</w:t>
      </w:r>
      <w:r w:rsidR="000D62EE" w:rsidRPr="002451FC">
        <w:t>irective (</w:t>
      </w:r>
      <w:r w:rsidR="000D62EE">
        <w:t>EU</w:t>
      </w:r>
      <w:r w:rsidR="000D62EE" w:rsidRPr="002451FC">
        <w:t xml:space="preserve">) 2019/1023 of the </w:t>
      </w:r>
      <w:r w:rsidR="000D62EE">
        <w:t>E</w:t>
      </w:r>
      <w:r w:rsidR="000D62EE" w:rsidRPr="002451FC">
        <w:t xml:space="preserve">uropean </w:t>
      </w:r>
      <w:r w:rsidR="000D62EE">
        <w:t>P</w:t>
      </w:r>
      <w:r w:rsidR="000D62EE" w:rsidRPr="002451FC">
        <w:t xml:space="preserve">arliament and of the </w:t>
      </w:r>
      <w:r w:rsidR="000D62EE">
        <w:t>C</w:t>
      </w:r>
      <w:r w:rsidR="000D62EE" w:rsidRPr="002451FC">
        <w:t>ouncil</w:t>
      </w:r>
      <w:r w:rsidR="00FA50BA">
        <w:t xml:space="preserve"> and the </w:t>
      </w:r>
      <w:r w:rsidR="00FA50BA" w:rsidRPr="00FA50BA">
        <w:t>European Union (Preventive Restructuring) Regulations 2022</w:t>
      </w:r>
      <w:r w:rsidR="000D62EE">
        <w:t>.</w:t>
      </w:r>
    </w:p>
  </w:footnote>
  <w:footnote w:id="4">
    <w:p w14:paraId="126B197A" w14:textId="25EDAC0C" w:rsidR="00B913EE" w:rsidRDefault="00B913EE">
      <w:pPr>
        <w:pStyle w:val="FootnoteText"/>
      </w:pPr>
      <w:r>
        <w:rPr>
          <w:rStyle w:val="FootnoteReference"/>
        </w:rPr>
        <w:footnoteRef/>
      </w:r>
      <w:r>
        <w:t xml:space="preserve"> </w:t>
      </w:r>
      <w:r w:rsidR="00F15188">
        <w:t xml:space="preserve">A N Goldman, G W </w:t>
      </w:r>
      <w:r w:rsidR="00C41C45">
        <w:t xml:space="preserve">Shuster Jr., B W Joveland, L R Lifland and A Pierce, </w:t>
      </w:r>
      <w:r w:rsidRPr="004C448F">
        <w:rPr>
          <w:i/>
          <w:iCs/>
        </w:rPr>
        <w:t>Covid-19</w:t>
      </w:r>
      <w:r w:rsidR="00A227BE" w:rsidRPr="004C448F">
        <w:rPr>
          <w:i/>
          <w:iCs/>
        </w:rPr>
        <w:t>: Rethinking Chapter 11 Bankruptcy Valuation Issues in the Crise</w:t>
      </w:r>
      <w:r w:rsidR="00485078">
        <w:rPr>
          <w:i/>
          <w:iCs/>
        </w:rPr>
        <w:t>s</w:t>
      </w:r>
      <w:r w:rsidR="00485078">
        <w:t>, at &lt;&lt;</w:t>
      </w:r>
      <w:r w:rsidR="00485078" w:rsidRPr="00485078">
        <w:t>https://www.wilmerhale.com/en/insights/client-alerts/20200421-covid19-rethinking-chapter-11-bankruptcy-valuation-issues-in-the-crisis</w:t>
      </w:r>
      <w:r w:rsidR="00485078">
        <w:t>&gt;&gt;, accessed on 2 July 2023</w:t>
      </w:r>
      <w:r w:rsidR="007365FF">
        <w:t>.</w:t>
      </w:r>
    </w:p>
  </w:footnote>
  <w:footnote w:id="5">
    <w:p w14:paraId="16A9EED8" w14:textId="54169F1B" w:rsidR="00030C98" w:rsidRDefault="00030C98">
      <w:pPr>
        <w:pStyle w:val="FootnoteText"/>
      </w:pPr>
      <w:r>
        <w:rPr>
          <w:rStyle w:val="FootnoteReference"/>
        </w:rPr>
        <w:footnoteRef/>
      </w:r>
      <w:r>
        <w:t xml:space="preserve"> </w:t>
      </w:r>
      <w:r w:rsidRPr="00EB5EB6">
        <w:rPr>
          <w:i/>
          <w:iCs/>
        </w:rPr>
        <w:t>Private Pensions: OECD Classification and Glossary</w:t>
      </w:r>
      <w:r w:rsidR="00A1257F">
        <w:t>, p 43</w:t>
      </w:r>
      <w:r>
        <w:t>.</w:t>
      </w:r>
    </w:p>
  </w:footnote>
  <w:footnote w:id="6">
    <w:p w14:paraId="3D1FCE60" w14:textId="64706ADD" w:rsidR="00450473" w:rsidRDefault="00450473" w:rsidP="000B022C">
      <w:pPr>
        <w:pStyle w:val="FootnoteText"/>
      </w:pPr>
      <w:r>
        <w:rPr>
          <w:rStyle w:val="FootnoteReference"/>
        </w:rPr>
        <w:footnoteRef/>
      </w:r>
      <w:r>
        <w:t xml:space="preserve"> </w:t>
      </w:r>
      <w:r w:rsidR="000B022C">
        <w:t xml:space="preserve">Kenneth M. Ayotte &amp; Edward R. Morrison, </w:t>
      </w:r>
      <w:r w:rsidR="000B022C" w:rsidRPr="00487F0D">
        <w:rPr>
          <w:i/>
          <w:iCs/>
        </w:rPr>
        <w:t>Valuation Disputes in Corporate Bankruptcy</w:t>
      </w:r>
      <w:r w:rsidR="000B022C">
        <w:t>, 166 U. PA. L. REV.</w:t>
      </w:r>
      <w:r w:rsidR="003D5F33">
        <w:t xml:space="preserve"> </w:t>
      </w:r>
      <w:r w:rsidR="000B022C">
        <w:t>1819 (2018)</w:t>
      </w:r>
      <w:r w:rsidR="00044C14">
        <w:t>, p 1830.</w:t>
      </w:r>
    </w:p>
  </w:footnote>
  <w:footnote w:id="7">
    <w:p w14:paraId="5CF598E4" w14:textId="0BE428BC" w:rsidR="006A1816" w:rsidRDefault="006A1816">
      <w:pPr>
        <w:pStyle w:val="FootnoteText"/>
      </w:pPr>
      <w:r>
        <w:rPr>
          <w:rStyle w:val="FootnoteReference"/>
        </w:rPr>
        <w:footnoteRef/>
      </w:r>
      <w:r>
        <w:t xml:space="preserve"> </w:t>
      </w:r>
      <w:r w:rsidR="00FF1B5F">
        <w:t xml:space="preserve">J Aronsson and A Granstedt, </w:t>
      </w:r>
      <w:r w:rsidRPr="00487F0D">
        <w:rPr>
          <w:i/>
          <w:iCs/>
        </w:rPr>
        <w:t>A Qualitative Look into Auditor’s Going Concern Assessment</w:t>
      </w:r>
      <w:r w:rsidR="00FF1B5F">
        <w:t xml:space="preserve"> (</w:t>
      </w:r>
      <w:r w:rsidR="001E53A4">
        <w:t xml:space="preserve">Jonkoping University International Business School </w:t>
      </w:r>
      <w:r w:rsidR="00FF1B5F">
        <w:t>2021)</w:t>
      </w:r>
      <w:r w:rsidR="000E6927">
        <w:t>, p 12.</w:t>
      </w:r>
    </w:p>
  </w:footnote>
  <w:footnote w:id="8">
    <w:p w14:paraId="60343F5D" w14:textId="7714FD92" w:rsidR="00FE304B" w:rsidRDefault="00FE304B">
      <w:pPr>
        <w:pStyle w:val="FootnoteText"/>
      </w:pPr>
      <w:r>
        <w:rPr>
          <w:rStyle w:val="FootnoteReference"/>
        </w:rPr>
        <w:footnoteRef/>
      </w:r>
      <w:r>
        <w:t xml:space="preserve"> </w:t>
      </w:r>
      <w:r w:rsidR="00492A2F">
        <w:t xml:space="preserve">F </w:t>
      </w:r>
      <w:r w:rsidR="004D50BD">
        <w:t xml:space="preserve">Poborsky, </w:t>
      </w:r>
      <w:r w:rsidR="00E14DA0">
        <w:t>‘</w:t>
      </w:r>
      <w:r>
        <w:t>Fundamentals of the Liquidation Method</w:t>
      </w:r>
      <w:r w:rsidR="004D50BD">
        <w:t xml:space="preserve"> of Business Valuation</w:t>
      </w:r>
      <w:r w:rsidR="00E14DA0">
        <w:t xml:space="preserve">’, </w:t>
      </w:r>
      <w:r w:rsidR="00E14DA0" w:rsidRPr="004C448F">
        <w:rPr>
          <w:i/>
          <w:iCs/>
        </w:rPr>
        <w:t>Procedia Economics and Finance 25</w:t>
      </w:r>
      <w:r w:rsidR="009E4225">
        <w:t>, p</w:t>
      </w:r>
      <w:r w:rsidR="003C7D5F">
        <w:t xml:space="preserve"> 393</w:t>
      </w:r>
      <w:r>
        <w:t>.</w:t>
      </w:r>
    </w:p>
  </w:footnote>
  <w:footnote w:id="9">
    <w:p w14:paraId="53462466" w14:textId="30FB1694" w:rsidR="00AC6A42" w:rsidRDefault="00AC6A42" w:rsidP="00AC6A42">
      <w:pPr>
        <w:pStyle w:val="FootnoteText"/>
      </w:pPr>
      <w:r>
        <w:rPr>
          <w:rStyle w:val="FootnoteReference"/>
        </w:rPr>
        <w:footnoteRef/>
      </w:r>
      <w:r>
        <w:t xml:space="preserve"> </w:t>
      </w:r>
      <w:r w:rsidRPr="002352FC">
        <w:rPr>
          <w:i/>
          <w:iCs/>
        </w:rPr>
        <w:t>Re Sears Holdings Corp., 51 F.4th 53 (2d Cir. 2022)</w:t>
      </w:r>
      <w:r w:rsidR="007B1E6C">
        <w:t>, p 4.</w:t>
      </w:r>
    </w:p>
  </w:footnote>
  <w:footnote w:id="10">
    <w:p w14:paraId="6D81312A" w14:textId="01C8AC9F" w:rsidR="003229BB" w:rsidRDefault="003229BB">
      <w:pPr>
        <w:pStyle w:val="FootnoteText"/>
      </w:pPr>
      <w:r>
        <w:rPr>
          <w:rStyle w:val="FootnoteReference"/>
        </w:rPr>
        <w:footnoteRef/>
      </w:r>
      <w:r>
        <w:t xml:space="preserve"> </w:t>
      </w:r>
      <w:r w:rsidR="0008555B" w:rsidRPr="00A62E81">
        <w:rPr>
          <w:i/>
          <w:iCs/>
        </w:rPr>
        <w:t>Ibid</w:t>
      </w:r>
      <w:r w:rsidR="0008555B">
        <w:t>, p 9.</w:t>
      </w:r>
    </w:p>
  </w:footnote>
  <w:footnote w:id="11">
    <w:p w14:paraId="7BC8B80B" w14:textId="49DA3643" w:rsidR="003229BB" w:rsidRDefault="003229BB" w:rsidP="003229BB">
      <w:pPr>
        <w:pStyle w:val="FootnoteText"/>
      </w:pPr>
      <w:r>
        <w:rPr>
          <w:rStyle w:val="FootnoteReference"/>
        </w:rPr>
        <w:footnoteRef/>
      </w:r>
      <w:r>
        <w:t xml:space="preserve"> </w:t>
      </w:r>
      <w:r w:rsidR="002352FC" w:rsidRPr="00A62E81">
        <w:rPr>
          <w:i/>
          <w:iCs/>
        </w:rPr>
        <w:t>Ibid</w:t>
      </w:r>
      <w:r w:rsidR="002352FC">
        <w:t>, p 28.</w:t>
      </w:r>
    </w:p>
  </w:footnote>
  <w:footnote w:id="12">
    <w:p w14:paraId="31846047" w14:textId="33DE4DD6" w:rsidR="00172512" w:rsidRPr="002D16A2" w:rsidRDefault="00172512">
      <w:pPr>
        <w:pStyle w:val="FootnoteText"/>
      </w:pPr>
      <w:r>
        <w:rPr>
          <w:rStyle w:val="FootnoteReference"/>
        </w:rPr>
        <w:footnoteRef/>
      </w:r>
      <w:r>
        <w:t xml:space="preserve"> </w:t>
      </w:r>
      <w:r w:rsidRPr="002352FC">
        <w:rPr>
          <w:i/>
          <w:iCs/>
        </w:rPr>
        <w:t>ESL Invs. v. Sears Holdings Corp. (In re Sears Holdings Corp.), 621 B.R. 563, 569 (S.D.N.Y. 2020)</w:t>
      </w:r>
      <w:r w:rsidR="002D16A2">
        <w:t>, Casetext</w:t>
      </w:r>
      <w:r w:rsidR="00D86662">
        <w:t xml:space="preserve"> Inc., p 5.</w:t>
      </w:r>
    </w:p>
  </w:footnote>
  <w:footnote w:id="13">
    <w:p w14:paraId="26A0D424" w14:textId="5F5FEE41" w:rsidR="00A34991" w:rsidRDefault="00A34991">
      <w:pPr>
        <w:pStyle w:val="FootnoteText"/>
      </w:pPr>
      <w:r>
        <w:rPr>
          <w:rStyle w:val="FootnoteReference"/>
        </w:rPr>
        <w:footnoteRef/>
      </w:r>
      <w:r>
        <w:t xml:space="preserve"> </w:t>
      </w:r>
      <w:r w:rsidR="00EB5EB6" w:rsidRPr="00EB5EB6">
        <w:rPr>
          <w:i/>
          <w:iCs/>
        </w:rPr>
        <w:t>Supra</w:t>
      </w:r>
      <w:r w:rsidR="00016C30">
        <w:t xml:space="preserve"> </w:t>
      </w:r>
      <w:r w:rsidR="00BC19A6">
        <w:t>n</w:t>
      </w:r>
      <w:r w:rsidR="00016C30">
        <w:t xml:space="preserve"> 11</w:t>
      </w:r>
      <w:r w:rsidR="00144A46">
        <w:t>.</w:t>
      </w:r>
    </w:p>
  </w:footnote>
  <w:footnote w:id="14">
    <w:p w14:paraId="75A7552C" w14:textId="77777777" w:rsidR="00947712" w:rsidRDefault="00947712" w:rsidP="00947712">
      <w:pPr>
        <w:pStyle w:val="FootnoteText"/>
      </w:pPr>
      <w:r>
        <w:rPr>
          <w:rStyle w:val="FootnoteReference"/>
        </w:rPr>
        <w:footnoteRef/>
      </w:r>
      <w:r>
        <w:t xml:space="preserve"> </w:t>
      </w:r>
      <w:r w:rsidRPr="00437E22">
        <w:rPr>
          <w:i/>
          <w:iCs/>
        </w:rPr>
        <w:t>Re Smile Telecoms Holdings Ltd [2022] EWHC 740 (Ch)</w:t>
      </w:r>
      <w:r>
        <w:t>, para 36.</w:t>
      </w:r>
    </w:p>
  </w:footnote>
  <w:footnote w:id="15">
    <w:p w14:paraId="46515CC9" w14:textId="7440ADFC" w:rsidR="001B2210" w:rsidRDefault="001B2210">
      <w:pPr>
        <w:pStyle w:val="FootnoteText"/>
      </w:pPr>
      <w:r>
        <w:rPr>
          <w:rStyle w:val="FootnoteReference"/>
        </w:rPr>
        <w:footnoteRef/>
      </w:r>
      <w:r>
        <w:t xml:space="preserve"> </w:t>
      </w:r>
      <w:r w:rsidR="005B0F51" w:rsidRPr="00EB5EB6">
        <w:rPr>
          <w:i/>
          <w:iCs/>
        </w:rPr>
        <w:t>Ibid</w:t>
      </w:r>
      <w:r w:rsidR="005B0F51">
        <w:t>.</w:t>
      </w:r>
    </w:p>
  </w:footnote>
  <w:footnote w:id="16">
    <w:p w14:paraId="288E29AA" w14:textId="339F5498" w:rsidR="00DE2639" w:rsidRDefault="00DE2639">
      <w:pPr>
        <w:pStyle w:val="FootnoteText"/>
      </w:pPr>
      <w:r>
        <w:rPr>
          <w:rStyle w:val="FootnoteReference"/>
        </w:rPr>
        <w:footnoteRef/>
      </w:r>
      <w:r>
        <w:t xml:space="preserve"> </w:t>
      </w:r>
      <w:r w:rsidRPr="00DE2639">
        <w:rPr>
          <w:i/>
          <w:iCs/>
        </w:rPr>
        <w:t>Ibid</w:t>
      </w:r>
      <w:r>
        <w:t>.</w:t>
      </w:r>
    </w:p>
  </w:footnote>
  <w:footnote w:id="17">
    <w:p w14:paraId="04E9E311" w14:textId="392C21F6" w:rsidR="00315CD1" w:rsidRDefault="00315CD1">
      <w:pPr>
        <w:pStyle w:val="FootnoteText"/>
      </w:pPr>
      <w:r>
        <w:rPr>
          <w:rStyle w:val="FootnoteReference"/>
        </w:rPr>
        <w:footnoteRef/>
      </w:r>
      <w:r>
        <w:t xml:space="preserve"> </w:t>
      </w:r>
      <w:r w:rsidR="005B0F51" w:rsidRPr="00EB5EB6">
        <w:rPr>
          <w:i/>
          <w:iCs/>
        </w:rPr>
        <w:t>Ibid</w:t>
      </w:r>
      <w:r w:rsidR="005B0F51">
        <w:t>.</w:t>
      </w:r>
    </w:p>
  </w:footnote>
  <w:footnote w:id="18">
    <w:p w14:paraId="567A2F95" w14:textId="7D8164A1" w:rsidR="00B263B9" w:rsidRDefault="00B263B9" w:rsidP="00B263B9">
      <w:pPr>
        <w:pStyle w:val="FootnoteText"/>
      </w:pPr>
      <w:r>
        <w:rPr>
          <w:rStyle w:val="FootnoteReference"/>
        </w:rPr>
        <w:footnoteRef/>
      </w:r>
      <w:r>
        <w:t xml:space="preserve"> In the matter Virgin Active, the court ruled that there is no absolute obligation to conduct market testing.  Whether or not it was necessary or practicable depends on whether it would be likely to have a result in a materially more reliable valuation.  </w:t>
      </w:r>
      <w:r w:rsidRPr="008E10E0">
        <w:rPr>
          <w:i/>
          <w:iCs/>
        </w:rPr>
        <w:t>See Virgin Active Holdings Limited</w:t>
      </w:r>
      <w:r w:rsidR="00543121">
        <w:rPr>
          <w:i/>
          <w:iCs/>
        </w:rPr>
        <w:t xml:space="preserve"> [2021] EWHC 1246 (Ch)</w:t>
      </w:r>
      <w:r>
        <w:t>, para 138-141.</w:t>
      </w:r>
    </w:p>
  </w:footnote>
  <w:footnote w:id="19">
    <w:p w14:paraId="322BCA83" w14:textId="3F0F828B" w:rsidR="00BE1563" w:rsidRDefault="00BE1563">
      <w:pPr>
        <w:pStyle w:val="FootnoteText"/>
      </w:pPr>
      <w:r>
        <w:rPr>
          <w:rStyle w:val="FootnoteReference"/>
        </w:rPr>
        <w:footnoteRef/>
      </w:r>
      <w:r>
        <w:t xml:space="preserve"> </w:t>
      </w:r>
      <w:r w:rsidR="00EE00E6">
        <w:t xml:space="preserve">Re </w:t>
      </w:r>
      <w:r w:rsidR="0051717D" w:rsidRPr="0051717D">
        <w:rPr>
          <w:i/>
          <w:iCs/>
        </w:rPr>
        <w:t>AGPS Bondco Plc [2023] EWHC 916 (Ch)</w:t>
      </w:r>
      <w:r w:rsidR="0051717D">
        <w:t>, p</w:t>
      </w:r>
      <w:r w:rsidR="002256CB">
        <w:t>ara</w:t>
      </w:r>
      <w:r w:rsidR="0051717D">
        <w:t xml:space="preserve"> </w:t>
      </w:r>
      <w:r w:rsidR="002256CB">
        <w:t>95</w:t>
      </w:r>
      <w:r w:rsidR="0051717D">
        <w:t>.</w:t>
      </w:r>
    </w:p>
  </w:footnote>
  <w:footnote w:id="20">
    <w:p w14:paraId="40D407FE" w14:textId="189FD831" w:rsidR="00CE3D5A" w:rsidRDefault="00CE3D5A">
      <w:pPr>
        <w:pStyle w:val="FootnoteText"/>
      </w:pPr>
      <w:r>
        <w:rPr>
          <w:rStyle w:val="FootnoteReference"/>
        </w:rPr>
        <w:footnoteRef/>
      </w:r>
      <w:r>
        <w:t xml:space="preserve"> </w:t>
      </w:r>
      <w:r w:rsidR="00DC21D1">
        <w:t xml:space="preserve">Under </w:t>
      </w:r>
      <w:r>
        <w:t>US</w:t>
      </w:r>
      <w:r w:rsidR="00DC21D1">
        <w:t xml:space="preserve"> Chapter 11</w:t>
      </w:r>
      <w:r>
        <w:t xml:space="preserve">, </w:t>
      </w:r>
      <w:r w:rsidR="002B3D5E">
        <w:t xml:space="preserve">they are referred as </w:t>
      </w:r>
      <w:r>
        <w:t xml:space="preserve">impaired </w:t>
      </w:r>
      <w:r w:rsidR="00997E4F">
        <w:t>class of claims or interests</w:t>
      </w:r>
      <w:r>
        <w:t>.</w:t>
      </w:r>
      <w:r w:rsidR="002B3D5E">
        <w:t xml:space="preserve">  See above n 2.</w:t>
      </w:r>
    </w:p>
  </w:footnote>
  <w:footnote w:id="21">
    <w:p w14:paraId="46F832F0" w14:textId="77777777" w:rsidR="002F418F" w:rsidRDefault="002F418F" w:rsidP="002F418F">
      <w:pPr>
        <w:pStyle w:val="FootnoteText"/>
      </w:pPr>
      <w:r>
        <w:rPr>
          <w:rStyle w:val="FootnoteReference"/>
        </w:rPr>
        <w:footnoteRef/>
      </w:r>
      <w:r>
        <w:t xml:space="preserve"> Under UK Part 26A, relevant alternative is described as “the most likely to occur in relation to the company if the compromise or arrangement were not sanctioned”.  See above n 1.  Under US Chapter 11, relevant alternative is the liquidation procedure under Chapter 7 of the Bankruptcy Code.  See above n 2.</w:t>
      </w:r>
    </w:p>
  </w:footnote>
  <w:footnote w:id="22">
    <w:p w14:paraId="4B5C59F9" w14:textId="4EEDEA47" w:rsidR="007B7B0A" w:rsidRDefault="007B7B0A" w:rsidP="007B7B0A">
      <w:pPr>
        <w:pStyle w:val="FootnoteText"/>
      </w:pPr>
      <w:r>
        <w:rPr>
          <w:rStyle w:val="FootnoteReference"/>
        </w:rPr>
        <w:footnoteRef/>
      </w:r>
      <w:r>
        <w:t xml:space="preserve"> </w:t>
      </w:r>
      <w:r w:rsidR="002A2C35">
        <w:rPr>
          <w:i/>
          <w:iCs/>
        </w:rPr>
        <w:t xml:space="preserve">Supra </w:t>
      </w:r>
      <w:r w:rsidR="002A2C35" w:rsidRPr="002A2C35">
        <w:t>n 17</w:t>
      </w:r>
      <w:r w:rsidR="00C1325A">
        <w:t xml:space="preserve">, </w:t>
      </w:r>
      <w:r w:rsidR="002A2C35">
        <w:t>para 256</w:t>
      </w:r>
      <w:r>
        <w:t>.</w:t>
      </w:r>
    </w:p>
  </w:footnote>
  <w:footnote w:id="23">
    <w:p w14:paraId="0CB2B33A" w14:textId="2C17370E" w:rsidR="0068060E" w:rsidRDefault="0068060E">
      <w:pPr>
        <w:pStyle w:val="FootnoteText"/>
      </w:pPr>
      <w:r>
        <w:rPr>
          <w:rStyle w:val="FootnoteReference"/>
        </w:rPr>
        <w:footnoteRef/>
      </w:r>
      <w:r>
        <w:t xml:space="preserve"> </w:t>
      </w:r>
      <w:r w:rsidR="00571EC3">
        <w:rPr>
          <w:i/>
          <w:iCs/>
        </w:rPr>
        <w:t>Ibid</w:t>
      </w:r>
      <w:r w:rsidR="00BF0E09">
        <w:t>, p</w:t>
      </w:r>
      <w:r w:rsidR="007F02AC">
        <w:t xml:space="preserve">ara 212, </w:t>
      </w:r>
      <w:r w:rsidR="007F4FBC">
        <w:t>291</w:t>
      </w:r>
      <w:r w:rsidR="006A0457">
        <w:t>, 300</w:t>
      </w:r>
      <w:r w:rsidR="00290CB3">
        <w:t xml:space="preserve">.  </w:t>
      </w:r>
      <w:proofErr w:type="gramStart"/>
      <w:r w:rsidR="00571EC3">
        <w:t>Also</w:t>
      </w:r>
      <w:proofErr w:type="gramEnd"/>
      <w:r w:rsidR="00571EC3">
        <w:t xml:space="preserve"> </w:t>
      </w:r>
      <w:r w:rsidR="00571EC3" w:rsidRPr="00571EC3">
        <w:rPr>
          <w:i/>
          <w:iCs/>
        </w:rPr>
        <w:t>supra</w:t>
      </w:r>
      <w:r w:rsidR="00571EC3">
        <w:t xml:space="preserve"> n 13</w:t>
      </w:r>
      <w:r w:rsidR="00290CB3">
        <w:t>, p 5, 19</w:t>
      </w:r>
      <w:r w:rsidR="00513514">
        <w:t>, 27</w:t>
      </w:r>
      <w:r w:rsidR="00290CB3">
        <w:t>.</w:t>
      </w:r>
    </w:p>
  </w:footnote>
  <w:footnote w:id="24">
    <w:p w14:paraId="0903235F" w14:textId="359A49D1" w:rsidR="00856D04" w:rsidRPr="00856D04" w:rsidRDefault="00856D04">
      <w:pPr>
        <w:pStyle w:val="FootnoteText"/>
      </w:pPr>
      <w:r>
        <w:rPr>
          <w:rStyle w:val="FootnoteReference"/>
        </w:rPr>
        <w:footnoteRef/>
      </w:r>
      <w:r>
        <w:t xml:space="preserve"> </w:t>
      </w:r>
      <w:r w:rsidRPr="00856D04">
        <w:t xml:space="preserve">In </w:t>
      </w:r>
      <w:r w:rsidRPr="00856D04">
        <w:rPr>
          <w:i/>
          <w:iCs/>
        </w:rPr>
        <w:t>ABT Auto Investments Ltd v Aapico Investment Pte Ltd and Others [2022] EWHC 2839 (Comm)</w:t>
      </w:r>
      <w:r>
        <w:t xml:space="preserve">, </w:t>
      </w:r>
      <w:r w:rsidR="006D71B1">
        <w:t>para 173.</w:t>
      </w:r>
    </w:p>
  </w:footnote>
  <w:footnote w:id="25">
    <w:p w14:paraId="58E367E0" w14:textId="04FE73D7" w:rsidR="00357FC9" w:rsidRDefault="00357FC9">
      <w:pPr>
        <w:pStyle w:val="FootnoteText"/>
      </w:pPr>
      <w:r>
        <w:rPr>
          <w:rStyle w:val="FootnoteReference"/>
        </w:rPr>
        <w:footnoteRef/>
      </w:r>
      <w:r>
        <w:t xml:space="preserve"> Ibid.</w:t>
      </w:r>
    </w:p>
  </w:footnote>
  <w:footnote w:id="26">
    <w:p w14:paraId="25BEF844" w14:textId="631AB5BD" w:rsidR="001870B4" w:rsidRDefault="001870B4">
      <w:pPr>
        <w:pStyle w:val="FootnoteText"/>
      </w:pPr>
      <w:r>
        <w:rPr>
          <w:rStyle w:val="FootnoteReference"/>
        </w:rPr>
        <w:footnoteRef/>
      </w:r>
      <w:r>
        <w:t xml:space="preserve"> </w:t>
      </w:r>
      <w:r w:rsidR="008A10CB" w:rsidRPr="008A10CB">
        <w:rPr>
          <w:i/>
          <w:iCs/>
        </w:rPr>
        <w:t>Supra</w:t>
      </w:r>
      <w:r w:rsidR="008A10CB">
        <w:t xml:space="preserve"> n 20</w:t>
      </w:r>
      <w:r w:rsidR="00217A10">
        <w:t>, para 217(4), (6).</w:t>
      </w:r>
    </w:p>
  </w:footnote>
  <w:footnote w:id="27">
    <w:p w14:paraId="3B10A6C4" w14:textId="47633CA9" w:rsidR="000B6AA7" w:rsidRDefault="000B6AA7">
      <w:pPr>
        <w:pStyle w:val="FootnoteText"/>
      </w:pPr>
      <w:r>
        <w:rPr>
          <w:rStyle w:val="FootnoteReference"/>
        </w:rPr>
        <w:footnoteRef/>
      </w:r>
      <w:r>
        <w:t xml:space="preserve"> </w:t>
      </w:r>
      <w:r w:rsidR="00CF3D4C" w:rsidRPr="00701190">
        <w:rPr>
          <w:i/>
          <w:iCs/>
        </w:rPr>
        <w:t>Supra</w:t>
      </w:r>
      <w:r w:rsidR="00765E9F">
        <w:t xml:space="preserve"> n 13, p 29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01B"/>
    <w:multiLevelType w:val="hybridMultilevel"/>
    <w:tmpl w:val="85409142"/>
    <w:lvl w:ilvl="0" w:tplc="192868C4">
      <w:start w:val="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85CA1"/>
    <w:multiLevelType w:val="hybridMultilevel"/>
    <w:tmpl w:val="15C44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FC30DC"/>
    <w:multiLevelType w:val="hybridMultilevel"/>
    <w:tmpl w:val="7CFE7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A1D6D"/>
    <w:multiLevelType w:val="hybridMultilevel"/>
    <w:tmpl w:val="E01E73CC"/>
    <w:lvl w:ilvl="0" w:tplc="9CB2FCF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A19A1"/>
    <w:multiLevelType w:val="hybridMultilevel"/>
    <w:tmpl w:val="D096BEC0"/>
    <w:lvl w:ilvl="0" w:tplc="1F321AD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13AED"/>
    <w:multiLevelType w:val="hybridMultilevel"/>
    <w:tmpl w:val="682CEF56"/>
    <w:lvl w:ilvl="0" w:tplc="9D184B6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72D55"/>
    <w:multiLevelType w:val="hybridMultilevel"/>
    <w:tmpl w:val="35B84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0326F"/>
    <w:multiLevelType w:val="hybridMultilevel"/>
    <w:tmpl w:val="490CA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BF0040"/>
    <w:multiLevelType w:val="hybridMultilevel"/>
    <w:tmpl w:val="C08C5E34"/>
    <w:lvl w:ilvl="0" w:tplc="F95CF7E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2636224">
    <w:abstractNumId w:val="4"/>
  </w:num>
  <w:num w:numId="2" w16cid:durableId="249656711">
    <w:abstractNumId w:val="0"/>
  </w:num>
  <w:num w:numId="3" w16cid:durableId="1977176499">
    <w:abstractNumId w:val="8"/>
  </w:num>
  <w:num w:numId="4" w16cid:durableId="994529717">
    <w:abstractNumId w:val="5"/>
  </w:num>
  <w:num w:numId="5" w16cid:durableId="899249647">
    <w:abstractNumId w:val="7"/>
  </w:num>
  <w:num w:numId="6" w16cid:durableId="1037657001">
    <w:abstractNumId w:val="6"/>
  </w:num>
  <w:num w:numId="7" w16cid:durableId="1741177853">
    <w:abstractNumId w:val="1"/>
  </w:num>
  <w:num w:numId="8" w16cid:durableId="937056950">
    <w:abstractNumId w:val="3"/>
  </w:num>
  <w:num w:numId="9" w16cid:durableId="1224751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A5"/>
    <w:rsid w:val="00000634"/>
    <w:rsid w:val="000010B9"/>
    <w:rsid w:val="00001E79"/>
    <w:rsid w:val="000022AF"/>
    <w:rsid w:val="000026C8"/>
    <w:rsid w:val="00002D6E"/>
    <w:rsid w:val="0000310E"/>
    <w:rsid w:val="00003135"/>
    <w:rsid w:val="000033E6"/>
    <w:rsid w:val="0000368F"/>
    <w:rsid w:val="000040DA"/>
    <w:rsid w:val="00004718"/>
    <w:rsid w:val="00004725"/>
    <w:rsid w:val="00004771"/>
    <w:rsid w:val="00004A14"/>
    <w:rsid w:val="00004E05"/>
    <w:rsid w:val="00005F3E"/>
    <w:rsid w:val="00006845"/>
    <w:rsid w:val="00012566"/>
    <w:rsid w:val="000127C7"/>
    <w:rsid w:val="00013959"/>
    <w:rsid w:val="00013FCF"/>
    <w:rsid w:val="00014A9A"/>
    <w:rsid w:val="00014FBC"/>
    <w:rsid w:val="0001502A"/>
    <w:rsid w:val="00016C30"/>
    <w:rsid w:val="000173D3"/>
    <w:rsid w:val="00017F34"/>
    <w:rsid w:val="0002063B"/>
    <w:rsid w:val="00020DAB"/>
    <w:rsid w:val="00021DD7"/>
    <w:rsid w:val="00022CD7"/>
    <w:rsid w:val="000231A6"/>
    <w:rsid w:val="000240E4"/>
    <w:rsid w:val="00024439"/>
    <w:rsid w:val="0002472B"/>
    <w:rsid w:val="000259C2"/>
    <w:rsid w:val="000279F7"/>
    <w:rsid w:val="00027C6E"/>
    <w:rsid w:val="00030443"/>
    <w:rsid w:val="00030AF7"/>
    <w:rsid w:val="00030C98"/>
    <w:rsid w:val="00031438"/>
    <w:rsid w:val="000326EC"/>
    <w:rsid w:val="00032B6F"/>
    <w:rsid w:val="00033E30"/>
    <w:rsid w:val="00036134"/>
    <w:rsid w:val="0003703A"/>
    <w:rsid w:val="0003704C"/>
    <w:rsid w:val="00040B44"/>
    <w:rsid w:val="00041202"/>
    <w:rsid w:val="000419E0"/>
    <w:rsid w:val="00042C4B"/>
    <w:rsid w:val="00044C14"/>
    <w:rsid w:val="00045F7F"/>
    <w:rsid w:val="0004667F"/>
    <w:rsid w:val="0005200C"/>
    <w:rsid w:val="0005218E"/>
    <w:rsid w:val="000526FE"/>
    <w:rsid w:val="00053DB4"/>
    <w:rsid w:val="000553DB"/>
    <w:rsid w:val="000558E6"/>
    <w:rsid w:val="000566F8"/>
    <w:rsid w:val="00057FE7"/>
    <w:rsid w:val="000601FF"/>
    <w:rsid w:val="00060897"/>
    <w:rsid w:val="00061055"/>
    <w:rsid w:val="000611BE"/>
    <w:rsid w:val="000627B5"/>
    <w:rsid w:val="0006293D"/>
    <w:rsid w:val="0006532B"/>
    <w:rsid w:val="00065495"/>
    <w:rsid w:val="00065549"/>
    <w:rsid w:val="000674BC"/>
    <w:rsid w:val="00067B76"/>
    <w:rsid w:val="00067BEC"/>
    <w:rsid w:val="0007092C"/>
    <w:rsid w:val="00071341"/>
    <w:rsid w:val="0007138A"/>
    <w:rsid w:val="00071B1C"/>
    <w:rsid w:val="00072811"/>
    <w:rsid w:val="0007311D"/>
    <w:rsid w:val="00074003"/>
    <w:rsid w:val="0007477A"/>
    <w:rsid w:val="00074BBA"/>
    <w:rsid w:val="00074D3F"/>
    <w:rsid w:val="0007695B"/>
    <w:rsid w:val="00076AB9"/>
    <w:rsid w:val="00076D80"/>
    <w:rsid w:val="0007799F"/>
    <w:rsid w:val="00080A07"/>
    <w:rsid w:val="00080A98"/>
    <w:rsid w:val="00081C18"/>
    <w:rsid w:val="00082754"/>
    <w:rsid w:val="0008284A"/>
    <w:rsid w:val="00083188"/>
    <w:rsid w:val="00083A16"/>
    <w:rsid w:val="000848B6"/>
    <w:rsid w:val="0008525F"/>
    <w:rsid w:val="0008555B"/>
    <w:rsid w:val="000860F8"/>
    <w:rsid w:val="00086CFB"/>
    <w:rsid w:val="000876CF"/>
    <w:rsid w:val="000903A2"/>
    <w:rsid w:val="000904FE"/>
    <w:rsid w:val="0009055F"/>
    <w:rsid w:val="0009124C"/>
    <w:rsid w:val="00091807"/>
    <w:rsid w:val="00093FFC"/>
    <w:rsid w:val="000945DF"/>
    <w:rsid w:val="0009472E"/>
    <w:rsid w:val="00095C05"/>
    <w:rsid w:val="00096573"/>
    <w:rsid w:val="00097300"/>
    <w:rsid w:val="00097711"/>
    <w:rsid w:val="00097AEF"/>
    <w:rsid w:val="00097E64"/>
    <w:rsid w:val="000A0FE9"/>
    <w:rsid w:val="000A1727"/>
    <w:rsid w:val="000A3039"/>
    <w:rsid w:val="000A4F40"/>
    <w:rsid w:val="000A4F89"/>
    <w:rsid w:val="000A5C10"/>
    <w:rsid w:val="000A6020"/>
    <w:rsid w:val="000A6471"/>
    <w:rsid w:val="000A6A26"/>
    <w:rsid w:val="000B022C"/>
    <w:rsid w:val="000B270E"/>
    <w:rsid w:val="000B2863"/>
    <w:rsid w:val="000B28F1"/>
    <w:rsid w:val="000B3B99"/>
    <w:rsid w:val="000B3E56"/>
    <w:rsid w:val="000B4B1F"/>
    <w:rsid w:val="000B67FB"/>
    <w:rsid w:val="000B6863"/>
    <w:rsid w:val="000B6AA7"/>
    <w:rsid w:val="000B6BF5"/>
    <w:rsid w:val="000B6E04"/>
    <w:rsid w:val="000B76AC"/>
    <w:rsid w:val="000C0082"/>
    <w:rsid w:val="000C0622"/>
    <w:rsid w:val="000C07ED"/>
    <w:rsid w:val="000C1458"/>
    <w:rsid w:val="000C15EB"/>
    <w:rsid w:val="000C239F"/>
    <w:rsid w:val="000C29A1"/>
    <w:rsid w:val="000C2B1C"/>
    <w:rsid w:val="000C3F0D"/>
    <w:rsid w:val="000C5BC0"/>
    <w:rsid w:val="000C696F"/>
    <w:rsid w:val="000C7A82"/>
    <w:rsid w:val="000C7F73"/>
    <w:rsid w:val="000D0BFE"/>
    <w:rsid w:val="000D14D8"/>
    <w:rsid w:val="000D2089"/>
    <w:rsid w:val="000D3302"/>
    <w:rsid w:val="000D3E07"/>
    <w:rsid w:val="000D4A61"/>
    <w:rsid w:val="000D4AFA"/>
    <w:rsid w:val="000D51FC"/>
    <w:rsid w:val="000D53A9"/>
    <w:rsid w:val="000D62EE"/>
    <w:rsid w:val="000D6EE7"/>
    <w:rsid w:val="000D7461"/>
    <w:rsid w:val="000D7834"/>
    <w:rsid w:val="000E06BD"/>
    <w:rsid w:val="000E3506"/>
    <w:rsid w:val="000E4140"/>
    <w:rsid w:val="000E458D"/>
    <w:rsid w:val="000E466C"/>
    <w:rsid w:val="000E47D2"/>
    <w:rsid w:val="000E4C82"/>
    <w:rsid w:val="000E5633"/>
    <w:rsid w:val="000E62C2"/>
    <w:rsid w:val="000E636B"/>
    <w:rsid w:val="000E63B3"/>
    <w:rsid w:val="000E6674"/>
    <w:rsid w:val="000E6927"/>
    <w:rsid w:val="000E6C80"/>
    <w:rsid w:val="000E7660"/>
    <w:rsid w:val="000E7D07"/>
    <w:rsid w:val="000E7EC6"/>
    <w:rsid w:val="000F0CDB"/>
    <w:rsid w:val="000F2378"/>
    <w:rsid w:val="000F4023"/>
    <w:rsid w:val="000F5FB3"/>
    <w:rsid w:val="001006A6"/>
    <w:rsid w:val="00100BDE"/>
    <w:rsid w:val="0010157C"/>
    <w:rsid w:val="0010158D"/>
    <w:rsid w:val="00102AF3"/>
    <w:rsid w:val="00103086"/>
    <w:rsid w:val="00104450"/>
    <w:rsid w:val="001049DD"/>
    <w:rsid w:val="00105C4E"/>
    <w:rsid w:val="00107593"/>
    <w:rsid w:val="00110465"/>
    <w:rsid w:val="0011152C"/>
    <w:rsid w:val="001115B3"/>
    <w:rsid w:val="00111910"/>
    <w:rsid w:val="00112043"/>
    <w:rsid w:val="001121B0"/>
    <w:rsid w:val="00112B51"/>
    <w:rsid w:val="00115F21"/>
    <w:rsid w:val="001165CC"/>
    <w:rsid w:val="00116A7B"/>
    <w:rsid w:val="0011748E"/>
    <w:rsid w:val="00117BB5"/>
    <w:rsid w:val="0012019E"/>
    <w:rsid w:val="001226BB"/>
    <w:rsid w:val="00122712"/>
    <w:rsid w:val="0012292E"/>
    <w:rsid w:val="00122BDA"/>
    <w:rsid w:val="00122D81"/>
    <w:rsid w:val="001230B3"/>
    <w:rsid w:val="00123981"/>
    <w:rsid w:val="00124C4F"/>
    <w:rsid w:val="00124DEC"/>
    <w:rsid w:val="00125809"/>
    <w:rsid w:val="00125854"/>
    <w:rsid w:val="0012656C"/>
    <w:rsid w:val="00126910"/>
    <w:rsid w:val="00130153"/>
    <w:rsid w:val="00130393"/>
    <w:rsid w:val="001312E6"/>
    <w:rsid w:val="001315C6"/>
    <w:rsid w:val="00131C0E"/>
    <w:rsid w:val="00132F15"/>
    <w:rsid w:val="00133CCD"/>
    <w:rsid w:val="0013468A"/>
    <w:rsid w:val="00134C2B"/>
    <w:rsid w:val="001351A0"/>
    <w:rsid w:val="001351CE"/>
    <w:rsid w:val="00136252"/>
    <w:rsid w:val="0013735D"/>
    <w:rsid w:val="0013758E"/>
    <w:rsid w:val="00137769"/>
    <w:rsid w:val="00140982"/>
    <w:rsid w:val="0014415D"/>
    <w:rsid w:val="00144166"/>
    <w:rsid w:val="001442D0"/>
    <w:rsid w:val="001446F2"/>
    <w:rsid w:val="00144A46"/>
    <w:rsid w:val="00145A59"/>
    <w:rsid w:val="00147B8C"/>
    <w:rsid w:val="00152ACF"/>
    <w:rsid w:val="001540B0"/>
    <w:rsid w:val="00154B0A"/>
    <w:rsid w:val="001556E6"/>
    <w:rsid w:val="001556F7"/>
    <w:rsid w:val="0015639B"/>
    <w:rsid w:val="00156543"/>
    <w:rsid w:val="00156583"/>
    <w:rsid w:val="00160D71"/>
    <w:rsid w:val="00161753"/>
    <w:rsid w:val="001629BE"/>
    <w:rsid w:val="001633DE"/>
    <w:rsid w:val="001658D8"/>
    <w:rsid w:val="00165DD5"/>
    <w:rsid w:val="001660AE"/>
    <w:rsid w:val="00166745"/>
    <w:rsid w:val="0016696D"/>
    <w:rsid w:val="0016749A"/>
    <w:rsid w:val="0017178F"/>
    <w:rsid w:val="00171B84"/>
    <w:rsid w:val="00172512"/>
    <w:rsid w:val="00173D6D"/>
    <w:rsid w:val="00174D03"/>
    <w:rsid w:val="00174DB1"/>
    <w:rsid w:val="001753E7"/>
    <w:rsid w:val="00175CE1"/>
    <w:rsid w:val="001772FE"/>
    <w:rsid w:val="001817FF"/>
    <w:rsid w:val="00182435"/>
    <w:rsid w:val="00182821"/>
    <w:rsid w:val="00183C60"/>
    <w:rsid w:val="001870B4"/>
    <w:rsid w:val="001872B7"/>
    <w:rsid w:val="00187C9B"/>
    <w:rsid w:val="001911EA"/>
    <w:rsid w:val="00192265"/>
    <w:rsid w:val="001932FF"/>
    <w:rsid w:val="0019365A"/>
    <w:rsid w:val="00193A29"/>
    <w:rsid w:val="00193DE8"/>
    <w:rsid w:val="0019439E"/>
    <w:rsid w:val="00195810"/>
    <w:rsid w:val="001960A6"/>
    <w:rsid w:val="0019709E"/>
    <w:rsid w:val="001970C7"/>
    <w:rsid w:val="001A0648"/>
    <w:rsid w:val="001A07F0"/>
    <w:rsid w:val="001A1306"/>
    <w:rsid w:val="001A1DA8"/>
    <w:rsid w:val="001A20D1"/>
    <w:rsid w:val="001A22E3"/>
    <w:rsid w:val="001A239A"/>
    <w:rsid w:val="001A4105"/>
    <w:rsid w:val="001A41C4"/>
    <w:rsid w:val="001A5925"/>
    <w:rsid w:val="001A5FFC"/>
    <w:rsid w:val="001A6596"/>
    <w:rsid w:val="001A6801"/>
    <w:rsid w:val="001A71B3"/>
    <w:rsid w:val="001A7AB8"/>
    <w:rsid w:val="001A7BAE"/>
    <w:rsid w:val="001A7CBE"/>
    <w:rsid w:val="001B1C21"/>
    <w:rsid w:val="001B2210"/>
    <w:rsid w:val="001B2F36"/>
    <w:rsid w:val="001B3253"/>
    <w:rsid w:val="001B34E1"/>
    <w:rsid w:val="001B3C10"/>
    <w:rsid w:val="001B3F43"/>
    <w:rsid w:val="001B4724"/>
    <w:rsid w:val="001B490D"/>
    <w:rsid w:val="001B5D13"/>
    <w:rsid w:val="001B704F"/>
    <w:rsid w:val="001B7C10"/>
    <w:rsid w:val="001B7E69"/>
    <w:rsid w:val="001C0C88"/>
    <w:rsid w:val="001C0F10"/>
    <w:rsid w:val="001C1BF2"/>
    <w:rsid w:val="001C2742"/>
    <w:rsid w:val="001C2A6C"/>
    <w:rsid w:val="001C34DB"/>
    <w:rsid w:val="001C3BB4"/>
    <w:rsid w:val="001C48E3"/>
    <w:rsid w:val="001C4A88"/>
    <w:rsid w:val="001C65D0"/>
    <w:rsid w:val="001D13D5"/>
    <w:rsid w:val="001D14A4"/>
    <w:rsid w:val="001D5B0F"/>
    <w:rsid w:val="001D6FF5"/>
    <w:rsid w:val="001D775C"/>
    <w:rsid w:val="001E0249"/>
    <w:rsid w:val="001E0949"/>
    <w:rsid w:val="001E1823"/>
    <w:rsid w:val="001E1D2A"/>
    <w:rsid w:val="001E26ED"/>
    <w:rsid w:val="001E2F17"/>
    <w:rsid w:val="001E3AE0"/>
    <w:rsid w:val="001E3FD7"/>
    <w:rsid w:val="001E4312"/>
    <w:rsid w:val="001E436A"/>
    <w:rsid w:val="001E4572"/>
    <w:rsid w:val="001E53A4"/>
    <w:rsid w:val="001E5DFD"/>
    <w:rsid w:val="001E6CDC"/>
    <w:rsid w:val="001F0D18"/>
    <w:rsid w:val="001F262B"/>
    <w:rsid w:val="001F2AD5"/>
    <w:rsid w:val="001F3840"/>
    <w:rsid w:val="001F58F6"/>
    <w:rsid w:val="001F5C29"/>
    <w:rsid w:val="002005BD"/>
    <w:rsid w:val="002030BB"/>
    <w:rsid w:val="00203A71"/>
    <w:rsid w:val="00203B2D"/>
    <w:rsid w:val="00203B84"/>
    <w:rsid w:val="00204B17"/>
    <w:rsid w:val="00206A93"/>
    <w:rsid w:val="00207D67"/>
    <w:rsid w:val="002111DC"/>
    <w:rsid w:val="00211B54"/>
    <w:rsid w:val="00211D4B"/>
    <w:rsid w:val="00211F09"/>
    <w:rsid w:val="00212320"/>
    <w:rsid w:val="00213C0E"/>
    <w:rsid w:val="00214E0A"/>
    <w:rsid w:val="00215614"/>
    <w:rsid w:val="00216CDC"/>
    <w:rsid w:val="0021709D"/>
    <w:rsid w:val="00217452"/>
    <w:rsid w:val="00217A10"/>
    <w:rsid w:val="002202A0"/>
    <w:rsid w:val="00221AC7"/>
    <w:rsid w:val="00221F6B"/>
    <w:rsid w:val="00224000"/>
    <w:rsid w:val="0022462A"/>
    <w:rsid w:val="002256CB"/>
    <w:rsid w:val="00226FF6"/>
    <w:rsid w:val="00231B8F"/>
    <w:rsid w:val="00232A68"/>
    <w:rsid w:val="0023456B"/>
    <w:rsid w:val="00234D32"/>
    <w:rsid w:val="002352FC"/>
    <w:rsid w:val="002356D7"/>
    <w:rsid w:val="002359C6"/>
    <w:rsid w:val="00235AF0"/>
    <w:rsid w:val="00237F78"/>
    <w:rsid w:val="002403EC"/>
    <w:rsid w:val="002419E6"/>
    <w:rsid w:val="00241CEC"/>
    <w:rsid w:val="00242EAD"/>
    <w:rsid w:val="00243803"/>
    <w:rsid w:val="0024385F"/>
    <w:rsid w:val="00243884"/>
    <w:rsid w:val="00244F0B"/>
    <w:rsid w:val="002451FC"/>
    <w:rsid w:val="0024595A"/>
    <w:rsid w:val="00246AD2"/>
    <w:rsid w:val="00247F20"/>
    <w:rsid w:val="002501D0"/>
    <w:rsid w:val="002505B1"/>
    <w:rsid w:val="00250FE7"/>
    <w:rsid w:val="0025110D"/>
    <w:rsid w:val="00251A6F"/>
    <w:rsid w:val="00251B04"/>
    <w:rsid w:val="002529C3"/>
    <w:rsid w:val="00253FA5"/>
    <w:rsid w:val="00254A33"/>
    <w:rsid w:val="00255DBC"/>
    <w:rsid w:val="0025614A"/>
    <w:rsid w:val="00256320"/>
    <w:rsid w:val="00257F02"/>
    <w:rsid w:val="002604F8"/>
    <w:rsid w:val="002605BE"/>
    <w:rsid w:val="002606EC"/>
    <w:rsid w:val="00260EB8"/>
    <w:rsid w:val="0026152D"/>
    <w:rsid w:val="00261806"/>
    <w:rsid w:val="00262DD9"/>
    <w:rsid w:val="00262F89"/>
    <w:rsid w:val="00263427"/>
    <w:rsid w:val="002640EA"/>
    <w:rsid w:val="002651F2"/>
    <w:rsid w:val="002652EA"/>
    <w:rsid w:val="00266EA8"/>
    <w:rsid w:val="0027021C"/>
    <w:rsid w:val="0027069F"/>
    <w:rsid w:val="00270AA9"/>
    <w:rsid w:val="00271864"/>
    <w:rsid w:val="00271936"/>
    <w:rsid w:val="00273758"/>
    <w:rsid w:val="0027385E"/>
    <w:rsid w:val="00273CF4"/>
    <w:rsid w:val="00274B42"/>
    <w:rsid w:val="00275DF4"/>
    <w:rsid w:val="00276DA4"/>
    <w:rsid w:val="00280887"/>
    <w:rsid w:val="0028312B"/>
    <w:rsid w:val="00283AF6"/>
    <w:rsid w:val="00285A67"/>
    <w:rsid w:val="002860E4"/>
    <w:rsid w:val="0028636A"/>
    <w:rsid w:val="00287261"/>
    <w:rsid w:val="0029009B"/>
    <w:rsid w:val="00290CB3"/>
    <w:rsid w:val="0029136A"/>
    <w:rsid w:val="0029177D"/>
    <w:rsid w:val="00291EA0"/>
    <w:rsid w:val="00292604"/>
    <w:rsid w:val="00293418"/>
    <w:rsid w:val="0029492F"/>
    <w:rsid w:val="00294D5B"/>
    <w:rsid w:val="002950E1"/>
    <w:rsid w:val="00295960"/>
    <w:rsid w:val="0029656B"/>
    <w:rsid w:val="00297812"/>
    <w:rsid w:val="00297C1A"/>
    <w:rsid w:val="002A0361"/>
    <w:rsid w:val="002A126B"/>
    <w:rsid w:val="002A142E"/>
    <w:rsid w:val="002A1A00"/>
    <w:rsid w:val="002A2C35"/>
    <w:rsid w:val="002A454C"/>
    <w:rsid w:val="002A4886"/>
    <w:rsid w:val="002A4B8F"/>
    <w:rsid w:val="002A61BB"/>
    <w:rsid w:val="002B1DA1"/>
    <w:rsid w:val="002B2E1B"/>
    <w:rsid w:val="002B2E2A"/>
    <w:rsid w:val="002B33D2"/>
    <w:rsid w:val="002B36CB"/>
    <w:rsid w:val="002B3D5E"/>
    <w:rsid w:val="002B4363"/>
    <w:rsid w:val="002B5908"/>
    <w:rsid w:val="002B73F9"/>
    <w:rsid w:val="002B7762"/>
    <w:rsid w:val="002B7BF1"/>
    <w:rsid w:val="002C0B13"/>
    <w:rsid w:val="002C0C24"/>
    <w:rsid w:val="002C1BB5"/>
    <w:rsid w:val="002C22D3"/>
    <w:rsid w:val="002C29C8"/>
    <w:rsid w:val="002C2A85"/>
    <w:rsid w:val="002C3EAD"/>
    <w:rsid w:val="002C423F"/>
    <w:rsid w:val="002C4E1C"/>
    <w:rsid w:val="002C5D93"/>
    <w:rsid w:val="002C63D5"/>
    <w:rsid w:val="002C693E"/>
    <w:rsid w:val="002C7797"/>
    <w:rsid w:val="002D13EB"/>
    <w:rsid w:val="002D16A2"/>
    <w:rsid w:val="002D3500"/>
    <w:rsid w:val="002E17C8"/>
    <w:rsid w:val="002E19F7"/>
    <w:rsid w:val="002E1E2D"/>
    <w:rsid w:val="002E1EFC"/>
    <w:rsid w:val="002E2DB9"/>
    <w:rsid w:val="002E3F92"/>
    <w:rsid w:val="002E47DA"/>
    <w:rsid w:val="002E47E2"/>
    <w:rsid w:val="002E4C83"/>
    <w:rsid w:val="002E4DF0"/>
    <w:rsid w:val="002E560E"/>
    <w:rsid w:val="002E61D1"/>
    <w:rsid w:val="002E690C"/>
    <w:rsid w:val="002E7692"/>
    <w:rsid w:val="002E77D4"/>
    <w:rsid w:val="002E7944"/>
    <w:rsid w:val="002E7E16"/>
    <w:rsid w:val="002F19D8"/>
    <w:rsid w:val="002F1ED7"/>
    <w:rsid w:val="002F2A36"/>
    <w:rsid w:val="002F30DA"/>
    <w:rsid w:val="002F3227"/>
    <w:rsid w:val="002F39A3"/>
    <w:rsid w:val="002F3A42"/>
    <w:rsid w:val="002F3F65"/>
    <w:rsid w:val="002F418F"/>
    <w:rsid w:val="002F67F5"/>
    <w:rsid w:val="002F77DE"/>
    <w:rsid w:val="00300528"/>
    <w:rsid w:val="00301BEC"/>
    <w:rsid w:val="00303B9E"/>
    <w:rsid w:val="00303C80"/>
    <w:rsid w:val="003041F4"/>
    <w:rsid w:val="00306760"/>
    <w:rsid w:val="00306FA4"/>
    <w:rsid w:val="003100FA"/>
    <w:rsid w:val="003107A7"/>
    <w:rsid w:val="003118F2"/>
    <w:rsid w:val="00311E05"/>
    <w:rsid w:val="00313117"/>
    <w:rsid w:val="00315293"/>
    <w:rsid w:val="00315CD1"/>
    <w:rsid w:val="00321653"/>
    <w:rsid w:val="003220D3"/>
    <w:rsid w:val="003229BB"/>
    <w:rsid w:val="00322DF5"/>
    <w:rsid w:val="00323A30"/>
    <w:rsid w:val="00323ED7"/>
    <w:rsid w:val="00323F7B"/>
    <w:rsid w:val="003242F6"/>
    <w:rsid w:val="0032519A"/>
    <w:rsid w:val="0032643A"/>
    <w:rsid w:val="00327A61"/>
    <w:rsid w:val="00327ABA"/>
    <w:rsid w:val="00327C37"/>
    <w:rsid w:val="00330422"/>
    <w:rsid w:val="00330884"/>
    <w:rsid w:val="00332F09"/>
    <w:rsid w:val="00333556"/>
    <w:rsid w:val="0033421A"/>
    <w:rsid w:val="00334DFB"/>
    <w:rsid w:val="0033513E"/>
    <w:rsid w:val="003377F6"/>
    <w:rsid w:val="00340758"/>
    <w:rsid w:val="00340AA3"/>
    <w:rsid w:val="003419AC"/>
    <w:rsid w:val="00342219"/>
    <w:rsid w:val="00343A47"/>
    <w:rsid w:val="00344412"/>
    <w:rsid w:val="00344D61"/>
    <w:rsid w:val="003468DD"/>
    <w:rsid w:val="00347B29"/>
    <w:rsid w:val="00350D1F"/>
    <w:rsid w:val="00350FF6"/>
    <w:rsid w:val="00350FFD"/>
    <w:rsid w:val="00352248"/>
    <w:rsid w:val="003526DA"/>
    <w:rsid w:val="0035342F"/>
    <w:rsid w:val="00353CE0"/>
    <w:rsid w:val="00354229"/>
    <w:rsid w:val="00354C87"/>
    <w:rsid w:val="0035565E"/>
    <w:rsid w:val="00355FE4"/>
    <w:rsid w:val="00356762"/>
    <w:rsid w:val="003572B3"/>
    <w:rsid w:val="00357337"/>
    <w:rsid w:val="00357B67"/>
    <w:rsid w:val="00357FC9"/>
    <w:rsid w:val="00360E4D"/>
    <w:rsid w:val="00361107"/>
    <w:rsid w:val="00361B1F"/>
    <w:rsid w:val="00361EDE"/>
    <w:rsid w:val="00361F93"/>
    <w:rsid w:val="003628A6"/>
    <w:rsid w:val="003628BC"/>
    <w:rsid w:val="00365025"/>
    <w:rsid w:val="00365370"/>
    <w:rsid w:val="003655C0"/>
    <w:rsid w:val="003657EC"/>
    <w:rsid w:val="0036621C"/>
    <w:rsid w:val="0036757E"/>
    <w:rsid w:val="00370C59"/>
    <w:rsid w:val="003712C6"/>
    <w:rsid w:val="003713E4"/>
    <w:rsid w:val="00372011"/>
    <w:rsid w:val="00372BF2"/>
    <w:rsid w:val="0037440E"/>
    <w:rsid w:val="00374DAF"/>
    <w:rsid w:val="00375B7F"/>
    <w:rsid w:val="00376A23"/>
    <w:rsid w:val="00376C82"/>
    <w:rsid w:val="00377159"/>
    <w:rsid w:val="00377944"/>
    <w:rsid w:val="00380D81"/>
    <w:rsid w:val="003821ED"/>
    <w:rsid w:val="00382A11"/>
    <w:rsid w:val="00382E36"/>
    <w:rsid w:val="00383250"/>
    <w:rsid w:val="00383A6B"/>
    <w:rsid w:val="003843FB"/>
    <w:rsid w:val="00384B47"/>
    <w:rsid w:val="0038552A"/>
    <w:rsid w:val="00385C48"/>
    <w:rsid w:val="0038716B"/>
    <w:rsid w:val="00391465"/>
    <w:rsid w:val="00391A8D"/>
    <w:rsid w:val="00391C97"/>
    <w:rsid w:val="003940D4"/>
    <w:rsid w:val="00394E84"/>
    <w:rsid w:val="003956DC"/>
    <w:rsid w:val="003959F6"/>
    <w:rsid w:val="00396CBE"/>
    <w:rsid w:val="003977EE"/>
    <w:rsid w:val="00397847"/>
    <w:rsid w:val="003A01B2"/>
    <w:rsid w:val="003A0307"/>
    <w:rsid w:val="003A11AC"/>
    <w:rsid w:val="003A190F"/>
    <w:rsid w:val="003A195C"/>
    <w:rsid w:val="003A1AD6"/>
    <w:rsid w:val="003A2EC5"/>
    <w:rsid w:val="003A3153"/>
    <w:rsid w:val="003A34A7"/>
    <w:rsid w:val="003A4A58"/>
    <w:rsid w:val="003A5F79"/>
    <w:rsid w:val="003A6130"/>
    <w:rsid w:val="003A695C"/>
    <w:rsid w:val="003A6A59"/>
    <w:rsid w:val="003A7108"/>
    <w:rsid w:val="003A742B"/>
    <w:rsid w:val="003B092A"/>
    <w:rsid w:val="003B0F4D"/>
    <w:rsid w:val="003B10E1"/>
    <w:rsid w:val="003B14F0"/>
    <w:rsid w:val="003B178C"/>
    <w:rsid w:val="003B28C0"/>
    <w:rsid w:val="003B290A"/>
    <w:rsid w:val="003B2D28"/>
    <w:rsid w:val="003B2E25"/>
    <w:rsid w:val="003B32E9"/>
    <w:rsid w:val="003B3B40"/>
    <w:rsid w:val="003B7347"/>
    <w:rsid w:val="003B75CE"/>
    <w:rsid w:val="003C06BF"/>
    <w:rsid w:val="003C113F"/>
    <w:rsid w:val="003C1FDA"/>
    <w:rsid w:val="003C3A25"/>
    <w:rsid w:val="003C4397"/>
    <w:rsid w:val="003C445F"/>
    <w:rsid w:val="003C4B65"/>
    <w:rsid w:val="003C5039"/>
    <w:rsid w:val="003C5C3C"/>
    <w:rsid w:val="003C6710"/>
    <w:rsid w:val="003C79EF"/>
    <w:rsid w:val="003C7D5F"/>
    <w:rsid w:val="003C7FCF"/>
    <w:rsid w:val="003D0F87"/>
    <w:rsid w:val="003D0FFD"/>
    <w:rsid w:val="003D11BC"/>
    <w:rsid w:val="003D1913"/>
    <w:rsid w:val="003D363A"/>
    <w:rsid w:val="003D4489"/>
    <w:rsid w:val="003D5F33"/>
    <w:rsid w:val="003E0A96"/>
    <w:rsid w:val="003E0C0D"/>
    <w:rsid w:val="003E1D70"/>
    <w:rsid w:val="003E4691"/>
    <w:rsid w:val="003E4953"/>
    <w:rsid w:val="003E5711"/>
    <w:rsid w:val="003E5EDB"/>
    <w:rsid w:val="003E6572"/>
    <w:rsid w:val="003F0CAD"/>
    <w:rsid w:val="003F27F0"/>
    <w:rsid w:val="003F2C5E"/>
    <w:rsid w:val="003F5629"/>
    <w:rsid w:val="003F6549"/>
    <w:rsid w:val="0040013D"/>
    <w:rsid w:val="004004A7"/>
    <w:rsid w:val="0040137D"/>
    <w:rsid w:val="00401ADD"/>
    <w:rsid w:val="00402D38"/>
    <w:rsid w:val="004039B4"/>
    <w:rsid w:val="00403EAE"/>
    <w:rsid w:val="00404907"/>
    <w:rsid w:val="004110E8"/>
    <w:rsid w:val="00411959"/>
    <w:rsid w:val="00411C30"/>
    <w:rsid w:val="00411CCC"/>
    <w:rsid w:val="00412FDC"/>
    <w:rsid w:val="00413786"/>
    <w:rsid w:val="00413EAC"/>
    <w:rsid w:val="00414245"/>
    <w:rsid w:val="0041429A"/>
    <w:rsid w:val="00414ADB"/>
    <w:rsid w:val="00415A0B"/>
    <w:rsid w:val="00415B0D"/>
    <w:rsid w:val="00416051"/>
    <w:rsid w:val="004165BE"/>
    <w:rsid w:val="00416A86"/>
    <w:rsid w:val="004208B9"/>
    <w:rsid w:val="00420E16"/>
    <w:rsid w:val="00421B95"/>
    <w:rsid w:val="00422FDF"/>
    <w:rsid w:val="00423626"/>
    <w:rsid w:val="00425E0F"/>
    <w:rsid w:val="004261A1"/>
    <w:rsid w:val="004309D1"/>
    <w:rsid w:val="00430F08"/>
    <w:rsid w:val="004314B2"/>
    <w:rsid w:val="00431C33"/>
    <w:rsid w:val="00432137"/>
    <w:rsid w:val="00432774"/>
    <w:rsid w:val="00433A02"/>
    <w:rsid w:val="0043414D"/>
    <w:rsid w:val="004350B4"/>
    <w:rsid w:val="004352E0"/>
    <w:rsid w:val="00436247"/>
    <w:rsid w:val="004362D9"/>
    <w:rsid w:val="00436D7B"/>
    <w:rsid w:val="00437E22"/>
    <w:rsid w:val="0044003A"/>
    <w:rsid w:val="004403A4"/>
    <w:rsid w:val="00441037"/>
    <w:rsid w:val="00441969"/>
    <w:rsid w:val="00441D98"/>
    <w:rsid w:val="004429F2"/>
    <w:rsid w:val="00442CCD"/>
    <w:rsid w:val="00442E17"/>
    <w:rsid w:val="00443D63"/>
    <w:rsid w:val="004446D9"/>
    <w:rsid w:val="00444BC7"/>
    <w:rsid w:val="00444F12"/>
    <w:rsid w:val="00446A14"/>
    <w:rsid w:val="004477DA"/>
    <w:rsid w:val="0044780D"/>
    <w:rsid w:val="0045029A"/>
    <w:rsid w:val="00450473"/>
    <w:rsid w:val="0045089A"/>
    <w:rsid w:val="004508C7"/>
    <w:rsid w:val="00450E93"/>
    <w:rsid w:val="00450F7B"/>
    <w:rsid w:val="0045166E"/>
    <w:rsid w:val="004530F2"/>
    <w:rsid w:val="00455AD9"/>
    <w:rsid w:val="00455DFB"/>
    <w:rsid w:val="0046051E"/>
    <w:rsid w:val="0046087D"/>
    <w:rsid w:val="00460C88"/>
    <w:rsid w:val="00461479"/>
    <w:rsid w:val="00461C93"/>
    <w:rsid w:val="004620C7"/>
    <w:rsid w:val="004626B1"/>
    <w:rsid w:val="004645FD"/>
    <w:rsid w:val="004650CC"/>
    <w:rsid w:val="004674F4"/>
    <w:rsid w:val="00467657"/>
    <w:rsid w:val="004716B6"/>
    <w:rsid w:val="004724BE"/>
    <w:rsid w:val="004732C1"/>
    <w:rsid w:val="00475F81"/>
    <w:rsid w:val="00476528"/>
    <w:rsid w:val="0047667D"/>
    <w:rsid w:val="004805D5"/>
    <w:rsid w:val="0048171E"/>
    <w:rsid w:val="00482366"/>
    <w:rsid w:val="00482D21"/>
    <w:rsid w:val="00483EB0"/>
    <w:rsid w:val="004840F3"/>
    <w:rsid w:val="00484981"/>
    <w:rsid w:val="00485078"/>
    <w:rsid w:val="004858AD"/>
    <w:rsid w:val="00486E23"/>
    <w:rsid w:val="004878FC"/>
    <w:rsid w:val="00487998"/>
    <w:rsid w:val="00487A7A"/>
    <w:rsid w:val="00487F0D"/>
    <w:rsid w:val="00490683"/>
    <w:rsid w:val="00490A6D"/>
    <w:rsid w:val="0049251E"/>
    <w:rsid w:val="00492829"/>
    <w:rsid w:val="00492A09"/>
    <w:rsid w:val="00492A2F"/>
    <w:rsid w:val="00494E61"/>
    <w:rsid w:val="00495EC7"/>
    <w:rsid w:val="004961AC"/>
    <w:rsid w:val="004A375B"/>
    <w:rsid w:val="004A3C77"/>
    <w:rsid w:val="004A6932"/>
    <w:rsid w:val="004A7076"/>
    <w:rsid w:val="004A7348"/>
    <w:rsid w:val="004A775D"/>
    <w:rsid w:val="004B1751"/>
    <w:rsid w:val="004B1BFC"/>
    <w:rsid w:val="004B21A3"/>
    <w:rsid w:val="004B3265"/>
    <w:rsid w:val="004B4068"/>
    <w:rsid w:val="004B567A"/>
    <w:rsid w:val="004B5E62"/>
    <w:rsid w:val="004B6BDA"/>
    <w:rsid w:val="004C0373"/>
    <w:rsid w:val="004C0418"/>
    <w:rsid w:val="004C0575"/>
    <w:rsid w:val="004C153D"/>
    <w:rsid w:val="004C3FFD"/>
    <w:rsid w:val="004C4091"/>
    <w:rsid w:val="004C448F"/>
    <w:rsid w:val="004C452E"/>
    <w:rsid w:val="004C50C5"/>
    <w:rsid w:val="004C6CA9"/>
    <w:rsid w:val="004C71BC"/>
    <w:rsid w:val="004D03BF"/>
    <w:rsid w:val="004D0782"/>
    <w:rsid w:val="004D3220"/>
    <w:rsid w:val="004D3524"/>
    <w:rsid w:val="004D35A1"/>
    <w:rsid w:val="004D3D26"/>
    <w:rsid w:val="004D429A"/>
    <w:rsid w:val="004D42C4"/>
    <w:rsid w:val="004D4B89"/>
    <w:rsid w:val="004D4DD4"/>
    <w:rsid w:val="004D4E36"/>
    <w:rsid w:val="004D50BD"/>
    <w:rsid w:val="004D53DA"/>
    <w:rsid w:val="004D5528"/>
    <w:rsid w:val="004D6B59"/>
    <w:rsid w:val="004D6F35"/>
    <w:rsid w:val="004D7879"/>
    <w:rsid w:val="004D7CF0"/>
    <w:rsid w:val="004E02BF"/>
    <w:rsid w:val="004E30BA"/>
    <w:rsid w:val="004E4043"/>
    <w:rsid w:val="004E4CAA"/>
    <w:rsid w:val="004E58BC"/>
    <w:rsid w:val="004E6113"/>
    <w:rsid w:val="004E6EC6"/>
    <w:rsid w:val="004E70E6"/>
    <w:rsid w:val="004E73D9"/>
    <w:rsid w:val="004E7759"/>
    <w:rsid w:val="004F1B2D"/>
    <w:rsid w:val="004F1C2A"/>
    <w:rsid w:val="004F229A"/>
    <w:rsid w:val="004F2E36"/>
    <w:rsid w:val="004F3022"/>
    <w:rsid w:val="004F4799"/>
    <w:rsid w:val="004F4A59"/>
    <w:rsid w:val="004F4A8F"/>
    <w:rsid w:val="004F5264"/>
    <w:rsid w:val="004F6589"/>
    <w:rsid w:val="004F7A58"/>
    <w:rsid w:val="005006F1"/>
    <w:rsid w:val="00501403"/>
    <w:rsid w:val="0050147E"/>
    <w:rsid w:val="0050224E"/>
    <w:rsid w:val="0050388F"/>
    <w:rsid w:val="005039A9"/>
    <w:rsid w:val="00504552"/>
    <w:rsid w:val="00505347"/>
    <w:rsid w:val="00505DDD"/>
    <w:rsid w:val="0050657C"/>
    <w:rsid w:val="00507BDB"/>
    <w:rsid w:val="00511A30"/>
    <w:rsid w:val="00511A5C"/>
    <w:rsid w:val="00512DFE"/>
    <w:rsid w:val="00512FB6"/>
    <w:rsid w:val="005132BE"/>
    <w:rsid w:val="00513514"/>
    <w:rsid w:val="00514B90"/>
    <w:rsid w:val="00514CD4"/>
    <w:rsid w:val="00515F86"/>
    <w:rsid w:val="00516CD1"/>
    <w:rsid w:val="0051717D"/>
    <w:rsid w:val="00517DE0"/>
    <w:rsid w:val="005205F6"/>
    <w:rsid w:val="00520D2A"/>
    <w:rsid w:val="00521768"/>
    <w:rsid w:val="00522336"/>
    <w:rsid w:val="005224C4"/>
    <w:rsid w:val="00522624"/>
    <w:rsid w:val="005239B2"/>
    <w:rsid w:val="0052416D"/>
    <w:rsid w:val="0052464C"/>
    <w:rsid w:val="00524B40"/>
    <w:rsid w:val="005255C7"/>
    <w:rsid w:val="00525C66"/>
    <w:rsid w:val="0052644C"/>
    <w:rsid w:val="00526456"/>
    <w:rsid w:val="00527E76"/>
    <w:rsid w:val="0053018A"/>
    <w:rsid w:val="00531B4B"/>
    <w:rsid w:val="00531CE7"/>
    <w:rsid w:val="00532462"/>
    <w:rsid w:val="00533769"/>
    <w:rsid w:val="00534202"/>
    <w:rsid w:val="00535BA1"/>
    <w:rsid w:val="00535EC9"/>
    <w:rsid w:val="0053602F"/>
    <w:rsid w:val="00537067"/>
    <w:rsid w:val="005371EE"/>
    <w:rsid w:val="00537B3A"/>
    <w:rsid w:val="0054001B"/>
    <w:rsid w:val="005406F4"/>
    <w:rsid w:val="00541E79"/>
    <w:rsid w:val="00541F79"/>
    <w:rsid w:val="00543121"/>
    <w:rsid w:val="0054339A"/>
    <w:rsid w:val="005444D2"/>
    <w:rsid w:val="00544ADF"/>
    <w:rsid w:val="00544B37"/>
    <w:rsid w:val="0054595D"/>
    <w:rsid w:val="00547571"/>
    <w:rsid w:val="00547F44"/>
    <w:rsid w:val="005519E6"/>
    <w:rsid w:val="00551C97"/>
    <w:rsid w:val="00552B23"/>
    <w:rsid w:val="00552E4E"/>
    <w:rsid w:val="00553820"/>
    <w:rsid w:val="00553D5B"/>
    <w:rsid w:val="0055620D"/>
    <w:rsid w:val="005562F9"/>
    <w:rsid w:val="0055697F"/>
    <w:rsid w:val="005570A9"/>
    <w:rsid w:val="0055751E"/>
    <w:rsid w:val="00557652"/>
    <w:rsid w:val="00560C7A"/>
    <w:rsid w:val="00560E5F"/>
    <w:rsid w:val="00562C6A"/>
    <w:rsid w:val="0056465C"/>
    <w:rsid w:val="005649A1"/>
    <w:rsid w:val="00564CA1"/>
    <w:rsid w:val="005651DF"/>
    <w:rsid w:val="005675D6"/>
    <w:rsid w:val="005707BC"/>
    <w:rsid w:val="00571EC3"/>
    <w:rsid w:val="005723C6"/>
    <w:rsid w:val="0057259A"/>
    <w:rsid w:val="00573171"/>
    <w:rsid w:val="00574718"/>
    <w:rsid w:val="00574E18"/>
    <w:rsid w:val="0057589B"/>
    <w:rsid w:val="005758D5"/>
    <w:rsid w:val="005759D3"/>
    <w:rsid w:val="005759D5"/>
    <w:rsid w:val="00577B2C"/>
    <w:rsid w:val="005805A6"/>
    <w:rsid w:val="00580613"/>
    <w:rsid w:val="00580F74"/>
    <w:rsid w:val="0058146C"/>
    <w:rsid w:val="0058201A"/>
    <w:rsid w:val="00582066"/>
    <w:rsid w:val="005831EC"/>
    <w:rsid w:val="00583243"/>
    <w:rsid w:val="00583629"/>
    <w:rsid w:val="00584A1C"/>
    <w:rsid w:val="00584EC4"/>
    <w:rsid w:val="00585CA9"/>
    <w:rsid w:val="00585E4B"/>
    <w:rsid w:val="005868E5"/>
    <w:rsid w:val="00593CE9"/>
    <w:rsid w:val="005941A4"/>
    <w:rsid w:val="0059482F"/>
    <w:rsid w:val="00594CCC"/>
    <w:rsid w:val="00594F22"/>
    <w:rsid w:val="005955F0"/>
    <w:rsid w:val="00595FD6"/>
    <w:rsid w:val="0059652C"/>
    <w:rsid w:val="0059682E"/>
    <w:rsid w:val="00597840"/>
    <w:rsid w:val="00597D50"/>
    <w:rsid w:val="00597E99"/>
    <w:rsid w:val="005A1655"/>
    <w:rsid w:val="005A2E3B"/>
    <w:rsid w:val="005A32C3"/>
    <w:rsid w:val="005A373E"/>
    <w:rsid w:val="005A471F"/>
    <w:rsid w:val="005A4DBD"/>
    <w:rsid w:val="005A55AB"/>
    <w:rsid w:val="005A6F3C"/>
    <w:rsid w:val="005A74E6"/>
    <w:rsid w:val="005B0340"/>
    <w:rsid w:val="005B0620"/>
    <w:rsid w:val="005B0F51"/>
    <w:rsid w:val="005B20FD"/>
    <w:rsid w:val="005B2667"/>
    <w:rsid w:val="005B2DFD"/>
    <w:rsid w:val="005B32C0"/>
    <w:rsid w:val="005B331C"/>
    <w:rsid w:val="005B4510"/>
    <w:rsid w:val="005B6991"/>
    <w:rsid w:val="005B6B0E"/>
    <w:rsid w:val="005B76C6"/>
    <w:rsid w:val="005B7AA7"/>
    <w:rsid w:val="005B7F6E"/>
    <w:rsid w:val="005C0FB8"/>
    <w:rsid w:val="005C2F41"/>
    <w:rsid w:val="005C3513"/>
    <w:rsid w:val="005C3725"/>
    <w:rsid w:val="005C3977"/>
    <w:rsid w:val="005C496F"/>
    <w:rsid w:val="005C497A"/>
    <w:rsid w:val="005C4C00"/>
    <w:rsid w:val="005C5EDD"/>
    <w:rsid w:val="005D1F85"/>
    <w:rsid w:val="005D2F41"/>
    <w:rsid w:val="005D37C2"/>
    <w:rsid w:val="005D494B"/>
    <w:rsid w:val="005D5ECF"/>
    <w:rsid w:val="005D60E1"/>
    <w:rsid w:val="005D709D"/>
    <w:rsid w:val="005D7480"/>
    <w:rsid w:val="005D7512"/>
    <w:rsid w:val="005E0C46"/>
    <w:rsid w:val="005E1F31"/>
    <w:rsid w:val="005E2755"/>
    <w:rsid w:val="005E302F"/>
    <w:rsid w:val="005E33D7"/>
    <w:rsid w:val="005E46B7"/>
    <w:rsid w:val="005E4993"/>
    <w:rsid w:val="005E5F0A"/>
    <w:rsid w:val="005E69DF"/>
    <w:rsid w:val="005E6DA2"/>
    <w:rsid w:val="005E7F7B"/>
    <w:rsid w:val="005F0822"/>
    <w:rsid w:val="005F162A"/>
    <w:rsid w:val="005F1A27"/>
    <w:rsid w:val="005F1B57"/>
    <w:rsid w:val="005F1BE4"/>
    <w:rsid w:val="005F1E2C"/>
    <w:rsid w:val="005F2ADC"/>
    <w:rsid w:val="005F318B"/>
    <w:rsid w:val="005F3549"/>
    <w:rsid w:val="005F39C9"/>
    <w:rsid w:val="005F4C94"/>
    <w:rsid w:val="005F7894"/>
    <w:rsid w:val="006009FD"/>
    <w:rsid w:val="00601291"/>
    <w:rsid w:val="006020B1"/>
    <w:rsid w:val="00602281"/>
    <w:rsid w:val="006028E8"/>
    <w:rsid w:val="00602C52"/>
    <w:rsid w:val="006030A7"/>
    <w:rsid w:val="00603153"/>
    <w:rsid w:val="006038DF"/>
    <w:rsid w:val="006047AE"/>
    <w:rsid w:val="00606AA4"/>
    <w:rsid w:val="006072D8"/>
    <w:rsid w:val="006102FD"/>
    <w:rsid w:val="00611E4B"/>
    <w:rsid w:val="00612831"/>
    <w:rsid w:val="00612D03"/>
    <w:rsid w:val="0061303E"/>
    <w:rsid w:val="00613523"/>
    <w:rsid w:val="00613D26"/>
    <w:rsid w:val="00613F31"/>
    <w:rsid w:val="006146E2"/>
    <w:rsid w:val="00614875"/>
    <w:rsid w:val="0061499B"/>
    <w:rsid w:val="00615C19"/>
    <w:rsid w:val="00615D77"/>
    <w:rsid w:val="006160EB"/>
    <w:rsid w:val="0061618A"/>
    <w:rsid w:val="006165E8"/>
    <w:rsid w:val="00616986"/>
    <w:rsid w:val="0061715E"/>
    <w:rsid w:val="006171C9"/>
    <w:rsid w:val="00617A0D"/>
    <w:rsid w:val="00617DB1"/>
    <w:rsid w:val="00617F93"/>
    <w:rsid w:val="00620736"/>
    <w:rsid w:val="00620A54"/>
    <w:rsid w:val="00620D7F"/>
    <w:rsid w:val="00620DB9"/>
    <w:rsid w:val="006216CE"/>
    <w:rsid w:val="00621ED6"/>
    <w:rsid w:val="00622463"/>
    <w:rsid w:val="006225A9"/>
    <w:rsid w:val="00624803"/>
    <w:rsid w:val="00624B4D"/>
    <w:rsid w:val="006267DF"/>
    <w:rsid w:val="00626BB4"/>
    <w:rsid w:val="00627FDF"/>
    <w:rsid w:val="006315C6"/>
    <w:rsid w:val="00631974"/>
    <w:rsid w:val="00634C3B"/>
    <w:rsid w:val="00635CA2"/>
    <w:rsid w:val="00635F65"/>
    <w:rsid w:val="0063662E"/>
    <w:rsid w:val="0064097E"/>
    <w:rsid w:val="006409E5"/>
    <w:rsid w:val="006417EA"/>
    <w:rsid w:val="00641BB6"/>
    <w:rsid w:val="0064227E"/>
    <w:rsid w:val="00642774"/>
    <w:rsid w:val="0064328A"/>
    <w:rsid w:val="00643474"/>
    <w:rsid w:val="00645E65"/>
    <w:rsid w:val="00646258"/>
    <w:rsid w:val="00646C65"/>
    <w:rsid w:val="00646E26"/>
    <w:rsid w:val="00650D4F"/>
    <w:rsid w:val="00650D70"/>
    <w:rsid w:val="00650F45"/>
    <w:rsid w:val="00652074"/>
    <w:rsid w:val="006525DF"/>
    <w:rsid w:val="0065341D"/>
    <w:rsid w:val="006543FE"/>
    <w:rsid w:val="00654954"/>
    <w:rsid w:val="00654B1B"/>
    <w:rsid w:val="00654D81"/>
    <w:rsid w:val="00654E72"/>
    <w:rsid w:val="00654EAC"/>
    <w:rsid w:val="00655085"/>
    <w:rsid w:val="006562E9"/>
    <w:rsid w:val="006568DA"/>
    <w:rsid w:val="006568F2"/>
    <w:rsid w:val="0065746B"/>
    <w:rsid w:val="00657571"/>
    <w:rsid w:val="00657851"/>
    <w:rsid w:val="00657B94"/>
    <w:rsid w:val="0066031E"/>
    <w:rsid w:val="00661F2A"/>
    <w:rsid w:val="00663D2F"/>
    <w:rsid w:val="00665C8E"/>
    <w:rsid w:val="00666737"/>
    <w:rsid w:val="006679B5"/>
    <w:rsid w:val="00667ACC"/>
    <w:rsid w:val="006714C6"/>
    <w:rsid w:val="0067199C"/>
    <w:rsid w:val="00671DB4"/>
    <w:rsid w:val="0067245B"/>
    <w:rsid w:val="00674C66"/>
    <w:rsid w:val="006752AE"/>
    <w:rsid w:val="006753E3"/>
    <w:rsid w:val="00675D3F"/>
    <w:rsid w:val="00675F1E"/>
    <w:rsid w:val="00677B6C"/>
    <w:rsid w:val="0068060E"/>
    <w:rsid w:val="006806DE"/>
    <w:rsid w:val="00681067"/>
    <w:rsid w:val="00681362"/>
    <w:rsid w:val="00681376"/>
    <w:rsid w:val="006817C1"/>
    <w:rsid w:val="006842CB"/>
    <w:rsid w:val="006863F8"/>
    <w:rsid w:val="006874FD"/>
    <w:rsid w:val="00690601"/>
    <w:rsid w:val="00690ACA"/>
    <w:rsid w:val="00691242"/>
    <w:rsid w:val="00691A0D"/>
    <w:rsid w:val="00692D8E"/>
    <w:rsid w:val="00693623"/>
    <w:rsid w:val="006949EA"/>
    <w:rsid w:val="00694A99"/>
    <w:rsid w:val="00694B00"/>
    <w:rsid w:val="00697899"/>
    <w:rsid w:val="006A0192"/>
    <w:rsid w:val="006A0457"/>
    <w:rsid w:val="006A073F"/>
    <w:rsid w:val="006A0EA1"/>
    <w:rsid w:val="006A0EB2"/>
    <w:rsid w:val="006A0EBA"/>
    <w:rsid w:val="006A1213"/>
    <w:rsid w:val="006A1816"/>
    <w:rsid w:val="006A1ED9"/>
    <w:rsid w:val="006A2649"/>
    <w:rsid w:val="006A475F"/>
    <w:rsid w:val="006A5C4D"/>
    <w:rsid w:val="006A6263"/>
    <w:rsid w:val="006A6461"/>
    <w:rsid w:val="006A6833"/>
    <w:rsid w:val="006B09FF"/>
    <w:rsid w:val="006B0CF0"/>
    <w:rsid w:val="006B4F78"/>
    <w:rsid w:val="006B5394"/>
    <w:rsid w:val="006B53F5"/>
    <w:rsid w:val="006B5886"/>
    <w:rsid w:val="006B6991"/>
    <w:rsid w:val="006B7219"/>
    <w:rsid w:val="006C0097"/>
    <w:rsid w:val="006C033C"/>
    <w:rsid w:val="006C1298"/>
    <w:rsid w:val="006C30CF"/>
    <w:rsid w:val="006C37E1"/>
    <w:rsid w:val="006C3DC2"/>
    <w:rsid w:val="006C401C"/>
    <w:rsid w:val="006C4904"/>
    <w:rsid w:val="006C493C"/>
    <w:rsid w:val="006C6714"/>
    <w:rsid w:val="006C6C98"/>
    <w:rsid w:val="006D1737"/>
    <w:rsid w:val="006D1C18"/>
    <w:rsid w:val="006D2DDF"/>
    <w:rsid w:val="006D2EC9"/>
    <w:rsid w:val="006D2FB9"/>
    <w:rsid w:val="006D4239"/>
    <w:rsid w:val="006D5817"/>
    <w:rsid w:val="006D68D1"/>
    <w:rsid w:val="006D6AA4"/>
    <w:rsid w:val="006D7049"/>
    <w:rsid w:val="006D71B1"/>
    <w:rsid w:val="006D720F"/>
    <w:rsid w:val="006D7596"/>
    <w:rsid w:val="006D76E9"/>
    <w:rsid w:val="006D78E6"/>
    <w:rsid w:val="006E06E2"/>
    <w:rsid w:val="006E119F"/>
    <w:rsid w:val="006E14AF"/>
    <w:rsid w:val="006E1C8C"/>
    <w:rsid w:val="006E24A6"/>
    <w:rsid w:val="006E3536"/>
    <w:rsid w:val="006E3A4D"/>
    <w:rsid w:val="006E3C3A"/>
    <w:rsid w:val="006E4A48"/>
    <w:rsid w:val="006E4E14"/>
    <w:rsid w:val="006E6801"/>
    <w:rsid w:val="006E7FE4"/>
    <w:rsid w:val="006F0CEC"/>
    <w:rsid w:val="006F1B1E"/>
    <w:rsid w:val="006F200E"/>
    <w:rsid w:val="006F2907"/>
    <w:rsid w:val="006F2FEE"/>
    <w:rsid w:val="006F3BC8"/>
    <w:rsid w:val="006F3BF5"/>
    <w:rsid w:val="006F4953"/>
    <w:rsid w:val="006F537F"/>
    <w:rsid w:val="006F5838"/>
    <w:rsid w:val="006F6082"/>
    <w:rsid w:val="006F784D"/>
    <w:rsid w:val="0070044D"/>
    <w:rsid w:val="0070063C"/>
    <w:rsid w:val="0070079F"/>
    <w:rsid w:val="00701190"/>
    <w:rsid w:val="007022DE"/>
    <w:rsid w:val="007024BF"/>
    <w:rsid w:val="00702EC2"/>
    <w:rsid w:val="00702FC8"/>
    <w:rsid w:val="00703CC3"/>
    <w:rsid w:val="007053CA"/>
    <w:rsid w:val="007063E4"/>
    <w:rsid w:val="00706626"/>
    <w:rsid w:val="00706647"/>
    <w:rsid w:val="0070746B"/>
    <w:rsid w:val="007102CB"/>
    <w:rsid w:val="00710DB2"/>
    <w:rsid w:val="00713807"/>
    <w:rsid w:val="007143B2"/>
    <w:rsid w:val="007144F2"/>
    <w:rsid w:val="007148AD"/>
    <w:rsid w:val="00714B6D"/>
    <w:rsid w:val="00715520"/>
    <w:rsid w:val="00721593"/>
    <w:rsid w:val="007215E8"/>
    <w:rsid w:val="00721C55"/>
    <w:rsid w:val="00722BF8"/>
    <w:rsid w:val="00722D1E"/>
    <w:rsid w:val="00722EE8"/>
    <w:rsid w:val="007233A3"/>
    <w:rsid w:val="00724259"/>
    <w:rsid w:val="00724953"/>
    <w:rsid w:val="00725165"/>
    <w:rsid w:val="007279A4"/>
    <w:rsid w:val="00727F04"/>
    <w:rsid w:val="0073066C"/>
    <w:rsid w:val="00731B80"/>
    <w:rsid w:val="00732FDE"/>
    <w:rsid w:val="0073441E"/>
    <w:rsid w:val="007344BD"/>
    <w:rsid w:val="00734CF3"/>
    <w:rsid w:val="007352CF"/>
    <w:rsid w:val="00735A34"/>
    <w:rsid w:val="00735ED8"/>
    <w:rsid w:val="007365FF"/>
    <w:rsid w:val="00736C31"/>
    <w:rsid w:val="00737CAE"/>
    <w:rsid w:val="00740DE0"/>
    <w:rsid w:val="00741237"/>
    <w:rsid w:val="0074326F"/>
    <w:rsid w:val="0074387B"/>
    <w:rsid w:val="00744595"/>
    <w:rsid w:val="0074489C"/>
    <w:rsid w:val="00744D75"/>
    <w:rsid w:val="00745AC9"/>
    <w:rsid w:val="00746AC1"/>
    <w:rsid w:val="00747481"/>
    <w:rsid w:val="00752C11"/>
    <w:rsid w:val="00752E6F"/>
    <w:rsid w:val="007531F0"/>
    <w:rsid w:val="00753522"/>
    <w:rsid w:val="00753A3F"/>
    <w:rsid w:val="0075460D"/>
    <w:rsid w:val="00755358"/>
    <w:rsid w:val="00756196"/>
    <w:rsid w:val="007561B3"/>
    <w:rsid w:val="007563CE"/>
    <w:rsid w:val="00756EC2"/>
    <w:rsid w:val="00757625"/>
    <w:rsid w:val="00757956"/>
    <w:rsid w:val="00760619"/>
    <w:rsid w:val="00760C54"/>
    <w:rsid w:val="00760C85"/>
    <w:rsid w:val="007617A7"/>
    <w:rsid w:val="00763F9F"/>
    <w:rsid w:val="00764DE5"/>
    <w:rsid w:val="00765C38"/>
    <w:rsid w:val="00765E9F"/>
    <w:rsid w:val="00766121"/>
    <w:rsid w:val="0076666C"/>
    <w:rsid w:val="00766CEB"/>
    <w:rsid w:val="007701C7"/>
    <w:rsid w:val="00770DC4"/>
    <w:rsid w:val="00771E9A"/>
    <w:rsid w:val="0077243F"/>
    <w:rsid w:val="007735B3"/>
    <w:rsid w:val="00774A01"/>
    <w:rsid w:val="00774DF9"/>
    <w:rsid w:val="00775BBE"/>
    <w:rsid w:val="00776295"/>
    <w:rsid w:val="00780106"/>
    <w:rsid w:val="00781B80"/>
    <w:rsid w:val="00782832"/>
    <w:rsid w:val="00784383"/>
    <w:rsid w:val="00784AD7"/>
    <w:rsid w:val="007855C9"/>
    <w:rsid w:val="00785993"/>
    <w:rsid w:val="00786F84"/>
    <w:rsid w:val="00787C2E"/>
    <w:rsid w:val="00790437"/>
    <w:rsid w:val="00790550"/>
    <w:rsid w:val="00790C59"/>
    <w:rsid w:val="007944E2"/>
    <w:rsid w:val="00794691"/>
    <w:rsid w:val="00795F58"/>
    <w:rsid w:val="007968C7"/>
    <w:rsid w:val="007970CA"/>
    <w:rsid w:val="00797BB0"/>
    <w:rsid w:val="007A2480"/>
    <w:rsid w:val="007A27DE"/>
    <w:rsid w:val="007A2FC9"/>
    <w:rsid w:val="007A3628"/>
    <w:rsid w:val="007A38A9"/>
    <w:rsid w:val="007A3B4D"/>
    <w:rsid w:val="007A5001"/>
    <w:rsid w:val="007A50F3"/>
    <w:rsid w:val="007A5464"/>
    <w:rsid w:val="007A5B06"/>
    <w:rsid w:val="007A6CEA"/>
    <w:rsid w:val="007A7034"/>
    <w:rsid w:val="007B0541"/>
    <w:rsid w:val="007B1BBE"/>
    <w:rsid w:val="007B1E6C"/>
    <w:rsid w:val="007B2B0E"/>
    <w:rsid w:val="007B2BA9"/>
    <w:rsid w:val="007B4334"/>
    <w:rsid w:val="007B6420"/>
    <w:rsid w:val="007B6717"/>
    <w:rsid w:val="007B73BA"/>
    <w:rsid w:val="007B7B0A"/>
    <w:rsid w:val="007B7DB4"/>
    <w:rsid w:val="007C39F0"/>
    <w:rsid w:val="007C4672"/>
    <w:rsid w:val="007C4CC2"/>
    <w:rsid w:val="007C59DE"/>
    <w:rsid w:val="007C66BC"/>
    <w:rsid w:val="007D0A61"/>
    <w:rsid w:val="007D1FA8"/>
    <w:rsid w:val="007D25E0"/>
    <w:rsid w:val="007D35E1"/>
    <w:rsid w:val="007D38D9"/>
    <w:rsid w:val="007D4CE1"/>
    <w:rsid w:val="007D597E"/>
    <w:rsid w:val="007D5A28"/>
    <w:rsid w:val="007D728E"/>
    <w:rsid w:val="007E18C5"/>
    <w:rsid w:val="007E1D66"/>
    <w:rsid w:val="007E1DB7"/>
    <w:rsid w:val="007E2489"/>
    <w:rsid w:val="007E2834"/>
    <w:rsid w:val="007E4522"/>
    <w:rsid w:val="007E459E"/>
    <w:rsid w:val="007E548E"/>
    <w:rsid w:val="007E7169"/>
    <w:rsid w:val="007E7F62"/>
    <w:rsid w:val="007F02AC"/>
    <w:rsid w:val="007F0989"/>
    <w:rsid w:val="007F13C6"/>
    <w:rsid w:val="007F2F6A"/>
    <w:rsid w:val="007F37D2"/>
    <w:rsid w:val="007F3B80"/>
    <w:rsid w:val="007F4289"/>
    <w:rsid w:val="007F4E41"/>
    <w:rsid w:val="007F4FBC"/>
    <w:rsid w:val="007F5AF4"/>
    <w:rsid w:val="007F5EC7"/>
    <w:rsid w:val="007F62D8"/>
    <w:rsid w:val="007F6A83"/>
    <w:rsid w:val="00800413"/>
    <w:rsid w:val="008029CB"/>
    <w:rsid w:val="00803CD5"/>
    <w:rsid w:val="008040E6"/>
    <w:rsid w:val="008044C7"/>
    <w:rsid w:val="00805065"/>
    <w:rsid w:val="00805662"/>
    <w:rsid w:val="00805762"/>
    <w:rsid w:val="0080585F"/>
    <w:rsid w:val="00806777"/>
    <w:rsid w:val="00806DBF"/>
    <w:rsid w:val="00806E7B"/>
    <w:rsid w:val="008075D3"/>
    <w:rsid w:val="00810068"/>
    <w:rsid w:val="0081072A"/>
    <w:rsid w:val="0081098B"/>
    <w:rsid w:val="008126B0"/>
    <w:rsid w:val="0081348D"/>
    <w:rsid w:val="00813499"/>
    <w:rsid w:val="00813B4A"/>
    <w:rsid w:val="00814D3D"/>
    <w:rsid w:val="008162A3"/>
    <w:rsid w:val="008175C0"/>
    <w:rsid w:val="00817614"/>
    <w:rsid w:val="00817887"/>
    <w:rsid w:val="008178FA"/>
    <w:rsid w:val="0082047A"/>
    <w:rsid w:val="0082049E"/>
    <w:rsid w:val="0082088F"/>
    <w:rsid w:val="00821AD1"/>
    <w:rsid w:val="008233A3"/>
    <w:rsid w:val="008236BE"/>
    <w:rsid w:val="0082615C"/>
    <w:rsid w:val="00826259"/>
    <w:rsid w:val="0082627E"/>
    <w:rsid w:val="008269CC"/>
    <w:rsid w:val="00830362"/>
    <w:rsid w:val="0083117B"/>
    <w:rsid w:val="008316F6"/>
    <w:rsid w:val="008323FE"/>
    <w:rsid w:val="0083274E"/>
    <w:rsid w:val="008327E3"/>
    <w:rsid w:val="008328FB"/>
    <w:rsid w:val="00832FD7"/>
    <w:rsid w:val="0083362B"/>
    <w:rsid w:val="00833CBD"/>
    <w:rsid w:val="00834D9D"/>
    <w:rsid w:val="00835956"/>
    <w:rsid w:val="00835A0D"/>
    <w:rsid w:val="0083784E"/>
    <w:rsid w:val="00840060"/>
    <w:rsid w:val="00840675"/>
    <w:rsid w:val="00840C0F"/>
    <w:rsid w:val="0084222D"/>
    <w:rsid w:val="00842792"/>
    <w:rsid w:val="00842D20"/>
    <w:rsid w:val="00844AB9"/>
    <w:rsid w:val="00845287"/>
    <w:rsid w:val="0084533C"/>
    <w:rsid w:val="00845768"/>
    <w:rsid w:val="0084669A"/>
    <w:rsid w:val="00846D6B"/>
    <w:rsid w:val="00847E0D"/>
    <w:rsid w:val="0085086F"/>
    <w:rsid w:val="00850FED"/>
    <w:rsid w:val="00851CA5"/>
    <w:rsid w:val="00851FA3"/>
    <w:rsid w:val="008525E7"/>
    <w:rsid w:val="00853B89"/>
    <w:rsid w:val="008541C4"/>
    <w:rsid w:val="00856D04"/>
    <w:rsid w:val="00856D36"/>
    <w:rsid w:val="0085735A"/>
    <w:rsid w:val="008574F9"/>
    <w:rsid w:val="00857516"/>
    <w:rsid w:val="00857955"/>
    <w:rsid w:val="008606C6"/>
    <w:rsid w:val="00862435"/>
    <w:rsid w:val="00863334"/>
    <w:rsid w:val="00863618"/>
    <w:rsid w:val="008637F8"/>
    <w:rsid w:val="00864997"/>
    <w:rsid w:val="00864F9F"/>
    <w:rsid w:val="008658CB"/>
    <w:rsid w:val="0087039D"/>
    <w:rsid w:val="00872FE9"/>
    <w:rsid w:val="00873931"/>
    <w:rsid w:val="008749C4"/>
    <w:rsid w:val="00875346"/>
    <w:rsid w:val="0087543E"/>
    <w:rsid w:val="008765CD"/>
    <w:rsid w:val="00877066"/>
    <w:rsid w:val="00877363"/>
    <w:rsid w:val="0087774F"/>
    <w:rsid w:val="00881417"/>
    <w:rsid w:val="0088472D"/>
    <w:rsid w:val="00885331"/>
    <w:rsid w:val="008856BF"/>
    <w:rsid w:val="008856F6"/>
    <w:rsid w:val="00885AE7"/>
    <w:rsid w:val="008868E6"/>
    <w:rsid w:val="00890950"/>
    <w:rsid w:val="0089500E"/>
    <w:rsid w:val="00896F0D"/>
    <w:rsid w:val="0089749B"/>
    <w:rsid w:val="00897538"/>
    <w:rsid w:val="00897686"/>
    <w:rsid w:val="008A10CB"/>
    <w:rsid w:val="008A2B4C"/>
    <w:rsid w:val="008A2E76"/>
    <w:rsid w:val="008A2F68"/>
    <w:rsid w:val="008A38CF"/>
    <w:rsid w:val="008A4176"/>
    <w:rsid w:val="008A543B"/>
    <w:rsid w:val="008A5526"/>
    <w:rsid w:val="008A5B6F"/>
    <w:rsid w:val="008A5C88"/>
    <w:rsid w:val="008A6AE8"/>
    <w:rsid w:val="008A7B7D"/>
    <w:rsid w:val="008B26E6"/>
    <w:rsid w:val="008B28E1"/>
    <w:rsid w:val="008B30BC"/>
    <w:rsid w:val="008B36DF"/>
    <w:rsid w:val="008B47ED"/>
    <w:rsid w:val="008B4FC7"/>
    <w:rsid w:val="008B4FF3"/>
    <w:rsid w:val="008B6180"/>
    <w:rsid w:val="008B68A1"/>
    <w:rsid w:val="008C0CDA"/>
    <w:rsid w:val="008C1572"/>
    <w:rsid w:val="008C2EEC"/>
    <w:rsid w:val="008C3C1C"/>
    <w:rsid w:val="008C5166"/>
    <w:rsid w:val="008C5591"/>
    <w:rsid w:val="008C56C1"/>
    <w:rsid w:val="008C5A6B"/>
    <w:rsid w:val="008C6730"/>
    <w:rsid w:val="008C69AE"/>
    <w:rsid w:val="008D0005"/>
    <w:rsid w:val="008D089D"/>
    <w:rsid w:val="008D0B9C"/>
    <w:rsid w:val="008D1549"/>
    <w:rsid w:val="008D15EA"/>
    <w:rsid w:val="008D1E37"/>
    <w:rsid w:val="008D26E0"/>
    <w:rsid w:val="008D3AC3"/>
    <w:rsid w:val="008D3F78"/>
    <w:rsid w:val="008D69DB"/>
    <w:rsid w:val="008D6E7E"/>
    <w:rsid w:val="008E10E0"/>
    <w:rsid w:val="008E13A8"/>
    <w:rsid w:val="008E1BCB"/>
    <w:rsid w:val="008E244D"/>
    <w:rsid w:val="008E25CF"/>
    <w:rsid w:val="008E264B"/>
    <w:rsid w:val="008E2E42"/>
    <w:rsid w:val="008E403A"/>
    <w:rsid w:val="008E4231"/>
    <w:rsid w:val="008E48A6"/>
    <w:rsid w:val="008E4CDF"/>
    <w:rsid w:val="008E52B5"/>
    <w:rsid w:val="008E5B69"/>
    <w:rsid w:val="008E6B2B"/>
    <w:rsid w:val="008E7ED7"/>
    <w:rsid w:val="008F0770"/>
    <w:rsid w:val="008F1A75"/>
    <w:rsid w:val="008F1DA0"/>
    <w:rsid w:val="008F2FF7"/>
    <w:rsid w:val="008F325D"/>
    <w:rsid w:val="008F3AFE"/>
    <w:rsid w:val="008F4602"/>
    <w:rsid w:val="008F529F"/>
    <w:rsid w:val="008F57DB"/>
    <w:rsid w:val="008F59E3"/>
    <w:rsid w:val="008F5A7F"/>
    <w:rsid w:val="008F6E0C"/>
    <w:rsid w:val="008F7C08"/>
    <w:rsid w:val="00900257"/>
    <w:rsid w:val="00900F8F"/>
    <w:rsid w:val="00901982"/>
    <w:rsid w:val="00904A70"/>
    <w:rsid w:val="0090568B"/>
    <w:rsid w:val="00906806"/>
    <w:rsid w:val="00906EBF"/>
    <w:rsid w:val="00906F63"/>
    <w:rsid w:val="009076CA"/>
    <w:rsid w:val="00910065"/>
    <w:rsid w:val="00910DD8"/>
    <w:rsid w:val="00910F75"/>
    <w:rsid w:val="009110D4"/>
    <w:rsid w:val="0091127F"/>
    <w:rsid w:val="009118A6"/>
    <w:rsid w:val="00911E6D"/>
    <w:rsid w:val="00912ACA"/>
    <w:rsid w:val="009135E2"/>
    <w:rsid w:val="009136C3"/>
    <w:rsid w:val="0091428C"/>
    <w:rsid w:val="00914317"/>
    <w:rsid w:val="0091477B"/>
    <w:rsid w:val="00914855"/>
    <w:rsid w:val="009162CD"/>
    <w:rsid w:val="00920C3F"/>
    <w:rsid w:val="009211A5"/>
    <w:rsid w:val="00923057"/>
    <w:rsid w:val="009230B3"/>
    <w:rsid w:val="00923193"/>
    <w:rsid w:val="00924CF5"/>
    <w:rsid w:val="00925CEB"/>
    <w:rsid w:val="00926BE5"/>
    <w:rsid w:val="00927943"/>
    <w:rsid w:val="00927C44"/>
    <w:rsid w:val="0093083B"/>
    <w:rsid w:val="0093101D"/>
    <w:rsid w:val="009313C1"/>
    <w:rsid w:val="0093193C"/>
    <w:rsid w:val="00931A12"/>
    <w:rsid w:val="00932FF5"/>
    <w:rsid w:val="009330EF"/>
    <w:rsid w:val="009337AB"/>
    <w:rsid w:val="00933B70"/>
    <w:rsid w:val="00934106"/>
    <w:rsid w:val="00934A26"/>
    <w:rsid w:val="0093583C"/>
    <w:rsid w:val="00935D75"/>
    <w:rsid w:val="009360D8"/>
    <w:rsid w:val="00936498"/>
    <w:rsid w:val="0093751C"/>
    <w:rsid w:val="009379C3"/>
    <w:rsid w:val="0094394B"/>
    <w:rsid w:val="00944C9E"/>
    <w:rsid w:val="009453A1"/>
    <w:rsid w:val="00945B5E"/>
    <w:rsid w:val="00945C62"/>
    <w:rsid w:val="00945CEC"/>
    <w:rsid w:val="00946F59"/>
    <w:rsid w:val="009476F9"/>
    <w:rsid w:val="00947712"/>
    <w:rsid w:val="009478D6"/>
    <w:rsid w:val="0095045E"/>
    <w:rsid w:val="0095047C"/>
    <w:rsid w:val="00950595"/>
    <w:rsid w:val="00950846"/>
    <w:rsid w:val="0095295A"/>
    <w:rsid w:val="00954024"/>
    <w:rsid w:val="009544AC"/>
    <w:rsid w:val="00954965"/>
    <w:rsid w:val="00955752"/>
    <w:rsid w:val="00955DDA"/>
    <w:rsid w:val="00956107"/>
    <w:rsid w:val="00960248"/>
    <w:rsid w:val="0096250B"/>
    <w:rsid w:val="00962B28"/>
    <w:rsid w:val="00962C18"/>
    <w:rsid w:val="00962E9B"/>
    <w:rsid w:val="00963193"/>
    <w:rsid w:val="00964B42"/>
    <w:rsid w:val="00964D69"/>
    <w:rsid w:val="00965D33"/>
    <w:rsid w:val="00967205"/>
    <w:rsid w:val="00967F02"/>
    <w:rsid w:val="00967F3E"/>
    <w:rsid w:val="00970591"/>
    <w:rsid w:val="00970AF5"/>
    <w:rsid w:val="009717CF"/>
    <w:rsid w:val="00973743"/>
    <w:rsid w:val="00973D16"/>
    <w:rsid w:val="0097531B"/>
    <w:rsid w:val="00975438"/>
    <w:rsid w:val="00976A39"/>
    <w:rsid w:val="00976FC1"/>
    <w:rsid w:val="009777B6"/>
    <w:rsid w:val="009779A5"/>
    <w:rsid w:val="009807F9"/>
    <w:rsid w:val="009809E8"/>
    <w:rsid w:val="009810B1"/>
    <w:rsid w:val="00981231"/>
    <w:rsid w:val="00981A25"/>
    <w:rsid w:val="00981ED3"/>
    <w:rsid w:val="00981F35"/>
    <w:rsid w:val="00981F8B"/>
    <w:rsid w:val="009829CE"/>
    <w:rsid w:val="0098319A"/>
    <w:rsid w:val="009839A7"/>
    <w:rsid w:val="00983DDA"/>
    <w:rsid w:val="009845A3"/>
    <w:rsid w:val="00984D38"/>
    <w:rsid w:val="00984D53"/>
    <w:rsid w:val="00984FCE"/>
    <w:rsid w:val="009852D2"/>
    <w:rsid w:val="009855BD"/>
    <w:rsid w:val="00986DF7"/>
    <w:rsid w:val="0098711C"/>
    <w:rsid w:val="00987D88"/>
    <w:rsid w:val="00987F72"/>
    <w:rsid w:val="00987FC7"/>
    <w:rsid w:val="00990E1F"/>
    <w:rsid w:val="00991231"/>
    <w:rsid w:val="00991AB9"/>
    <w:rsid w:val="00991F60"/>
    <w:rsid w:val="009937F3"/>
    <w:rsid w:val="00993F6E"/>
    <w:rsid w:val="00993FDC"/>
    <w:rsid w:val="0099458A"/>
    <w:rsid w:val="00995332"/>
    <w:rsid w:val="009954EC"/>
    <w:rsid w:val="00996CA9"/>
    <w:rsid w:val="009977EB"/>
    <w:rsid w:val="00997E05"/>
    <w:rsid w:val="00997E4F"/>
    <w:rsid w:val="009A051C"/>
    <w:rsid w:val="009A16D2"/>
    <w:rsid w:val="009A1CFE"/>
    <w:rsid w:val="009A2CA8"/>
    <w:rsid w:val="009A3116"/>
    <w:rsid w:val="009A3408"/>
    <w:rsid w:val="009A3CAC"/>
    <w:rsid w:val="009A453E"/>
    <w:rsid w:val="009A49EE"/>
    <w:rsid w:val="009A5779"/>
    <w:rsid w:val="009A6741"/>
    <w:rsid w:val="009A692A"/>
    <w:rsid w:val="009A6976"/>
    <w:rsid w:val="009A7CC5"/>
    <w:rsid w:val="009B02E2"/>
    <w:rsid w:val="009B04FA"/>
    <w:rsid w:val="009B0C0E"/>
    <w:rsid w:val="009B3AB8"/>
    <w:rsid w:val="009B426F"/>
    <w:rsid w:val="009B4B7D"/>
    <w:rsid w:val="009B52F9"/>
    <w:rsid w:val="009B6DDF"/>
    <w:rsid w:val="009B793D"/>
    <w:rsid w:val="009C00FF"/>
    <w:rsid w:val="009C043D"/>
    <w:rsid w:val="009C1322"/>
    <w:rsid w:val="009C1FC8"/>
    <w:rsid w:val="009C5098"/>
    <w:rsid w:val="009C59E4"/>
    <w:rsid w:val="009C6170"/>
    <w:rsid w:val="009C7548"/>
    <w:rsid w:val="009D0B8D"/>
    <w:rsid w:val="009D2014"/>
    <w:rsid w:val="009D2254"/>
    <w:rsid w:val="009D3011"/>
    <w:rsid w:val="009D31F5"/>
    <w:rsid w:val="009D41B1"/>
    <w:rsid w:val="009D4BB4"/>
    <w:rsid w:val="009D6B89"/>
    <w:rsid w:val="009D76F8"/>
    <w:rsid w:val="009D7A11"/>
    <w:rsid w:val="009E0FD7"/>
    <w:rsid w:val="009E1D4E"/>
    <w:rsid w:val="009E1FAC"/>
    <w:rsid w:val="009E36E2"/>
    <w:rsid w:val="009E4225"/>
    <w:rsid w:val="009E462B"/>
    <w:rsid w:val="009E490D"/>
    <w:rsid w:val="009E493F"/>
    <w:rsid w:val="009E4DEF"/>
    <w:rsid w:val="009E62D9"/>
    <w:rsid w:val="009E6408"/>
    <w:rsid w:val="009E6EF0"/>
    <w:rsid w:val="009E7937"/>
    <w:rsid w:val="009F0F3E"/>
    <w:rsid w:val="009F15C4"/>
    <w:rsid w:val="009F164A"/>
    <w:rsid w:val="009F1D05"/>
    <w:rsid w:val="009F1EE8"/>
    <w:rsid w:val="009F2702"/>
    <w:rsid w:val="009F3113"/>
    <w:rsid w:val="009F3D7E"/>
    <w:rsid w:val="009F3EE6"/>
    <w:rsid w:val="009F4847"/>
    <w:rsid w:val="009F4B13"/>
    <w:rsid w:val="009F4F78"/>
    <w:rsid w:val="009F743B"/>
    <w:rsid w:val="009F78F1"/>
    <w:rsid w:val="00A0248A"/>
    <w:rsid w:val="00A02904"/>
    <w:rsid w:val="00A04594"/>
    <w:rsid w:val="00A0547F"/>
    <w:rsid w:val="00A05F67"/>
    <w:rsid w:val="00A074E2"/>
    <w:rsid w:val="00A100C0"/>
    <w:rsid w:val="00A10BF4"/>
    <w:rsid w:val="00A121BB"/>
    <w:rsid w:val="00A1257F"/>
    <w:rsid w:val="00A12A72"/>
    <w:rsid w:val="00A150BF"/>
    <w:rsid w:val="00A15618"/>
    <w:rsid w:val="00A15E5D"/>
    <w:rsid w:val="00A16A04"/>
    <w:rsid w:val="00A203EE"/>
    <w:rsid w:val="00A20BA2"/>
    <w:rsid w:val="00A21BA9"/>
    <w:rsid w:val="00A21C8D"/>
    <w:rsid w:val="00A227BE"/>
    <w:rsid w:val="00A23BD5"/>
    <w:rsid w:val="00A23E81"/>
    <w:rsid w:val="00A23FBF"/>
    <w:rsid w:val="00A240B2"/>
    <w:rsid w:val="00A256AA"/>
    <w:rsid w:val="00A26F5F"/>
    <w:rsid w:val="00A27303"/>
    <w:rsid w:val="00A27506"/>
    <w:rsid w:val="00A27C11"/>
    <w:rsid w:val="00A27CC5"/>
    <w:rsid w:val="00A27D51"/>
    <w:rsid w:val="00A31D17"/>
    <w:rsid w:val="00A32279"/>
    <w:rsid w:val="00A334FF"/>
    <w:rsid w:val="00A3402E"/>
    <w:rsid w:val="00A345F1"/>
    <w:rsid w:val="00A3494A"/>
    <w:rsid w:val="00A34991"/>
    <w:rsid w:val="00A374E1"/>
    <w:rsid w:val="00A37986"/>
    <w:rsid w:val="00A37EFB"/>
    <w:rsid w:val="00A41067"/>
    <w:rsid w:val="00A414F5"/>
    <w:rsid w:val="00A422C9"/>
    <w:rsid w:val="00A423F2"/>
    <w:rsid w:val="00A43F93"/>
    <w:rsid w:val="00A44DFE"/>
    <w:rsid w:val="00A452F0"/>
    <w:rsid w:val="00A45CDD"/>
    <w:rsid w:val="00A461A1"/>
    <w:rsid w:val="00A4629C"/>
    <w:rsid w:val="00A465B3"/>
    <w:rsid w:val="00A51D0E"/>
    <w:rsid w:val="00A53F34"/>
    <w:rsid w:val="00A54DBE"/>
    <w:rsid w:val="00A550DE"/>
    <w:rsid w:val="00A55243"/>
    <w:rsid w:val="00A55C5D"/>
    <w:rsid w:val="00A573A0"/>
    <w:rsid w:val="00A60B2D"/>
    <w:rsid w:val="00A62048"/>
    <w:rsid w:val="00A62E81"/>
    <w:rsid w:val="00A646E2"/>
    <w:rsid w:val="00A654B3"/>
    <w:rsid w:val="00A661C2"/>
    <w:rsid w:val="00A66DCA"/>
    <w:rsid w:val="00A67693"/>
    <w:rsid w:val="00A67D8E"/>
    <w:rsid w:val="00A70180"/>
    <w:rsid w:val="00A7147B"/>
    <w:rsid w:val="00A72C8A"/>
    <w:rsid w:val="00A73988"/>
    <w:rsid w:val="00A73DD2"/>
    <w:rsid w:val="00A74589"/>
    <w:rsid w:val="00A74B1F"/>
    <w:rsid w:val="00A75148"/>
    <w:rsid w:val="00A7516F"/>
    <w:rsid w:val="00A77930"/>
    <w:rsid w:val="00A77A1E"/>
    <w:rsid w:val="00A80A82"/>
    <w:rsid w:val="00A80E72"/>
    <w:rsid w:val="00A8142F"/>
    <w:rsid w:val="00A8170F"/>
    <w:rsid w:val="00A820EC"/>
    <w:rsid w:val="00A83003"/>
    <w:rsid w:val="00A8325F"/>
    <w:rsid w:val="00A8379E"/>
    <w:rsid w:val="00A837FB"/>
    <w:rsid w:val="00A83AF5"/>
    <w:rsid w:val="00A8583D"/>
    <w:rsid w:val="00A86077"/>
    <w:rsid w:val="00A8642F"/>
    <w:rsid w:val="00A87041"/>
    <w:rsid w:val="00A8722E"/>
    <w:rsid w:val="00A87859"/>
    <w:rsid w:val="00A92290"/>
    <w:rsid w:val="00A92973"/>
    <w:rsid w:val="00A92C0C"/>
    <w:rsid w:val="00A9381B"/>
    <w:rsid w:val="00A93A64"/>
    <w:rsid w:val="00A941ED"/>
    <w:rsid w:val="00A94DFA"/>
    <w:rsid w:val="00A956CB"/>
    <w:rsid w:val="00A95B43"/>
    <w:rsid w:val="00A95D60"/>
    <w:rsid w:val="00AA0212"/>
    <w:rsid w:val="00AA0BCC"/>
    <w:rsid w:val="00AA1168"/>
    <w:rsid w:val="00AA1E0D"/>
    <w:rsid w:val="00AA2237"/>
    <w:rsid w:val="00AA28E1"/>
    <w:rsid w:val="00AA326E"/>
    <w:rsid w:val="00AA329E"/>
    <w:rsid w:val="00AA7FED"/>
    <w:rsid w:val="00AB03E4"/>
    <w:rsid w:val="00AB0521"/>
    <w:rsid w:val="00AB0633"/>
    <w:rsid w:val="00AB2857"/>
    <w:rsid w:val="00AB2B6D"/>
    <w:rsid w:val="00AB3BD7"/>
    <w:rsid w:val="00AB3DC5"/>
    <w:rsid w:val="00AB520E"/>
    <w:rsid w:val="00AB671B"/>
    <w:rsid w:val="00AB6EFB"/>
    <w:rsid w:val="00AB7C26"/>
    <w:rsid w:val="00AC0D97"/>
    <w:rsid w:val="00AC33CE"/>
    <w:rsid w:val="00AC37BC"/>
    <w:rsid w:val="00AC3B1F"/>
    <w:rsid w:val="00AC44A6"/>
    <w:rsid w:val="00AC4A0A"/>
    <w:rsid w:val="00AC4DDA"/>
    <w:rsid w:val="00AC6651"/>
    <w:rsid w:val="00AC6A42"/>
    <w:rsid w:val="00AD00E5"/>
    <w:rsid w:val="00AD0E73"/>
    <w:rsid w:val="00AD0ED1"/>
    <w:rsid w:val="00AD13FC"/>
    <w:rsid w:val="00AD1566"/>
    <w:rsid w:val="00AD1A0A"/>
    <w:rsid w:val="00AD1DEC"/>
    <w:rsid w:val="00AD1E7A"/>
    <w:rsid w:val="00AD308C"/>
    <w:rsid w:val="00AD4B65"/>
    <w:rsid w:val="00AD5774"/>
    <w:rsid w:val="00AD5EB7"/>
    <w:rsid w:val="00AE0539"/>
    <w:rsid w:val="00AE0CAA"/>
    <w:rsid w:val="00AE1E53"/>
    <w:rsid w:val="00AE23A4"/>
    <w:rsid w:val="00AE2AF6"/>
    <w:rsid w:val="00AE3020"/>
    <w:rsid w:val="00AE424C"/>
    <w:rsid w:val="00AE4D8B"/>
    <w:rsid w:val="00AE515C"/>
    <w:rsid w:val="00AE539C"/>
    <w:rsid w:val="00AE552B"/>
    <w:rsid w:val="00AE57FF"/>
    <w:rsid w:val="00AE5AE0"/>
    <w:rsid w:val="00AE5EA1"/>
    <w:rsid w:val="00AE714C"/>
    <w:rsid w:val="00AF3114"/>
    <w:rsid w:val="00AF371D"/>
    <w:rsid w:val="00AF3FF3"/>
    <w:rsid w:val="00AF400A"/>
    <w:rsid w:val="00AF6933"/>
    <w:rsid w:val="00AF6B36"/>
    <w:rsid w:val="00AF6BA2"/>
    <w:rsid w:val="00AF7D4B"/>
    <w:rsid w:val="00B01DA9"/>
    <w:rsid w:val="00B0214F"/>
    <w:rsid w:val="00B0289F"/>
    <w:rsid w:val="00B02D16"/>
    <w:rsid w:val="00B03CCA"/>
    <w:rsid w:val="00B03F30"/>
    <w:rsid w:val="00B046B7"/>
    <w:rsid w:val="00B04D39"/>
    <w:rsid w:val="00B05815"/>
    <w:rsid w:val="00B06BF0"/>
    <w:rsid w:val="00B07AFE"/>
    <w:rsid w:val="00B10122"/>
    <w:rsid w:val="00B11B52"/>
    <w:rsid w:val="00B136F8"/>
    <w:rsid w:val="00B13897"/>
    <w:rsid w:val="00B153E2"/>
    <w:rsid w:val="00B15F3D"/>
    <w:rsid w:val="00B16D39"/>
    <w:rsid w:val="00B17EF5"/>
    <w:rsid w:val="00B20716"/>
    <w:rsid w:val="00B2192A"/>
    <w:rsid w:val="00B25257"/>
    <w:rsid w:val="00B263B9"/>
    <w:rsid w:val="00B27771"/>
    <w:rsid w:val="00B307B3"/>
    <w:rsid w:val="00B30F1A"/>
    <w:rsid w:val="00B30F69"/>
    <w:rsid w:val="00B310EC"/>
    <w:rsid w:val="00B323E2"/>
    <w:rsid w:val="00B33C6C"/>
    <w:rsid w:val="00B35574"/>
    <w:rsid w:val="00B3559A"/>
    <w:rsid w:val="00B35880"/>
    <w:rsid w:val="00B363A1"/>
    <w:rsid w:val="00B365C1"/>
    <w:rsid w:val="00B36E13"/>
    <w:rsid w:val="00B37CDA"/>
    <w:rsid w:val="00B411E3"/>
    <w:rsid w:val="00B4185A"/>
    <w:rsid w:val="00B4253F"/>
    <w:rsid w:val="00B426EC"/>
    <w:rsid w:val="00B42861"/>
    <w:rsid w:val="00B461F1"/>
    <w:rsid w:val="00B46353"/>
    <w:rsid w:val="00B46D10"/>
    <w:rsid w:val="00B47463"/>
    <w:rsid w:val="00B51477"/>
    <w:rsid w:val="00B51B85"/>
    <w:rsid w:val="00B5272F"/>
    <w:rsid w:val="00B542C3"/>
    <w:rsid w:val="00B56B76"/>
    <w:rsid w:val="00B56CCF"/>
    <w:rsid w:val="00B56E51"/>
    <w:rsid w:val="00B56EFD"/>
    <w:rsid w:val="00B571D6"/>
    <w:rsid w:val="00B57580"/>
    <w:rsid w:val="00B57ACF"/>
    <w:rsid w:val="00B57FC1"/>
    <w:rsid w:val="00B60746"/>
    <w:rsid w:val="00B61074"/>
    <w:rsid w:val="00B611BB"/>
    <w:rsid w:val="00B62042"/>
    <w:rsid w:val="00B624FF"/>
    <w:rsid w:val="00B6500A"/>
    <w:rsid w:val="00B658BB"/>
    <w:rsid w:val="00B668C5"/>
    <w:rsid w:val="00B67B6F"/>
    <w:rsid w:val="00B707F3"/>
    <w:rsid w:val="00B70FEB"/>
    <w:rsid w:val="00B71294"/>
    <w:rsid w:val="00B71AF8"/>
    <w:rsid w:val="00B72845"/>
    <w:rsid w:val="00B742E5"/>
    <w:rsid w:val="00B75A51"/>
    <w:rsid w:val="00B7672D"/>
    <w:rsid w:val="00B7683F"/>
    <w:rsid w:val="00B76C2F"/>
    <w:rsid w:val="00B7745D"/>
    <w:rsid w:val="00B81128"/>
    <w:rsid w:val="00B8137F"/>
    <w:rsid w:val="00B837C7"/>
    <w:rsid w:val="00B84A03"/>
    <w:rsid w:val="00B85756"/>
    <w:rsid w:val="00B86D13"/>
    <w:rsid w:val="00B873EF"/>
    <w:rsid w:val="00B877D6"/>
    <w:rsid w:val="00B87918"/>
    <w:rsid w:val="00B87AB1"/>
    <w:rsid w:val="00B9070C"/>
    <w:rsid w:val="00B90780"/>
    <w:rsid w:val="00B90AD6"/>
    <w:rsid w:val="00B913EE"/>
    <w:rsid w:val="00B92202"/>
    <w:rsid w:val="00B9280F"/>
    <w:rsid w:val="00B932D9"/>
    <w:rsid w:val="00B93CBC"/>
    <w:rsid w:val="00B9507B"/>
    <w:rsid w:val="00B958C1"/>
    <w:rsid w:val="00BA016A"/>
    <w:rsid w:val="00BA0FC8"/>
    <w:rsid w:val="00BA1738"/>
    <w:rsid w:val="00BA1A1F"/>
    <w:rsid w:val="00BA265E"/>
    <w:rsid w:val="00BA4953"/>
    <w:rsid w:val="00BA50FB"/>
    <w:rsid w:val="00BA564E"/>
    <w:rsid w:val="00BA5E6E"/>
    <w:rsid w:val="00BA743E"/>
    <w:rsid w:val="00BA7D1C"/>
    <w:rsid w:val="00BB067B"/>
    <w:rsid w:val="00BB1E48"/>
    <w:rsid w:val="00BB24E0"/>
    <w:rsid w:val="00BB3F6A"/>
    <w:rsid w:val="00BB4854"/>
    <w:rsid w:val="00BB4DF1"/>
    <w:rsid w:val="00BB55AA"/>
    <w:rsid w:val="00BB6165"/>
    <w:rsid w:val="00BB7AD5"/>
    <w:rsid w:val="00BC1522"/>
    <w:rsid w:val="00BC19A6"/>
    <w:rsid w:val="00BC2160"/>
    <w:rsid w:val="00BC246A"/>
    <w:rsid w:val="00BC25A0"/>
    <w:rsid w:val="00BC31EA"/>
    <w:rsid w:val="00BC3E89"/>
    <w:rsid w:val="00BC426B"/>
    <w:rsid w:val="00BC5A1A"/>
    <w:rsid w:val="00BC6248"/>
    <w:rsid w:val="00BC625B"/>
    <w:rsid w:val="00BC635B"/>
    <w:rsid w:val="00BC6726"/>
    <w:rsid w:val="00BC6851"/>
    <w:rsid w:val="00BD0362"/>
    <w:rsid w:val="00BD0B8F"/>
    <w:rsid w:val="00BD0EE3"/>
    <w:rsid w:val="00BD1362"/>
    <w:rsid w:val="00BD1AFE"/>
    <w:rsid w:val="00BD2799"/>
    <w:rsid w:val="00BD291D"/>
    <w:rsid w:val="00BD4292"/>
    <w:rsid w:val="00BD4546"/>
    <w:rsid w:val="00BD4AF0"/>
    <w:rsid w:val="00BD6942"/>
    <w:rsid w:val="00BE04AF"/>
    <w:rsid w:val="00BE1563"/>
    <w:rsid w:val="00BE19B7"/>
    <w:rsid w:val="00BE2430"/>
    <w:rsid w:val="00BE400C"/>
    <w:rsid w:val="00BE412F"/>
    <w:rsid w:val="00BE5E4E"/>
    <w:rsid w:val="00BE73BF"/>
    <w:rsid w:val="00BE73CB"/>
    <w:rsid w:val="00BF0C9D"/>
    <w:rsid w:val="00BF0E09"/>
    <w:rsid w:val="00BF27F1"/>
    <w:rsid w:val="00BF345A"/>
    <w:rsid w:val="00BF3F28"/>
    <w:rsid w:val="00BF62B7"/>
    <w:rsid w:val="00BF6C9A"/>
    <w:rsid w:val="00BF7E17"/>
    <w:rsid w:val="00C0045D"/>
    <w:rsid w:val="00C008CC"/>
    <w:rsid w:val="00C009C3"/>
    <w:rsid w:val="00C01034"/>
    <w:rsid w:val="00C0158E"/>
    <w:rsid w:val="00C01F1E"/>
    <w:rsid w:val="00C02886"/>
    <w:rsid w:val="00C03FB1"/>
    <w:rsid w:val="00C0429F"/>
    <w:rsid w:val="00C04905"/>
    <w:rsid w:val="00C05A70"/>
    <w:rsid w:val="00C06B0B"/>
    <w:rsid w:val="00C06B47"/>
    <w:rsid w:val="00C075C1"/>
    <w:rsid w:val="00C07A8F"/>
    <w:rsid w:val="00C12A06"/>
    <w:rsid w:val="00C1325A"/>
    <w:rsid w:val="00C1405E"/>
    <w:rsid w:val="00C162B7"/>
    <w:rsid w:val="00C167A8"/>
    <w:rsid w:val="00C172A7"/>
    <w:rsid w:val="00C2147D"/>
    <w:rsid w:val="00C217BD"/>
    <w:rsid w:val="00C22040"/>
    <w:rsid w:val="00C232FE"/>
    <w:rsid w:val="00C23F70"/>
    <w:rsid w:val="00C24361"/>
    <w:rsid w:val="00C247C3"/>
    <w:rsid w:val="00C26213"/>
    <w:rsid w:val="00C26909"/>
    <w:rsid w:val="00C27ED8"/>
    <w:rsid w:val="00C31595"/>
    <w:rsid w:val="00C316CF"/>
    <w:rsid w:val="00C32095"/>
    <w:rsid w:val="00C329D4"/>
    <w:rsid w:val="00C33092"/>
    <w:rsid w:val="00C33C0B"/>
    <w:rsid w:val="00C33C8B"/>
    <w:rsid w:val="00C364B6"/>
    <w:rsid w:val="00C37988"/>
    <w:rsid w:val="00C379DB"/>
    <w:rsid w:val="00C404B7"/>
    <w:rsid w:val="00C41C45"/>
    <w:rsid w:val="00C424E8"/>
    <w:rsid w:val="00C4306E"/>
    <w:rsid w:val="00C443E6"/>
    <w:rsid w:val="00C4463E"/>
    <w:rsid w:val="00C447A5"/>
    <w:rsid w:val="00C44B84"/>
    <w:rsid w:val="00C47C40"/>
    <w:rsid w:val="00C5111E"/>
    <w:rsid w:val="00C519DD"/>
    <w:rsid w:val="00C535B1"/>
    <w:rsid w:val="00C549BB"/>
    <w:rsid w:val="00C54E76"/>
    <w:rsid w:val="00C5665A"/>
    <w:rsid w:val="00C567ED"/>
    <w:rsid w:val="00C56A54"/>
    <w:rsid w:val="00C56D84"/>
    <w:rsid w:val="00C571BD"/>
    <w:rsid w:val="00C602CA"/>
    <w:rsid w:val="00C61469"/>
    <w:rsid w:val="00C614EC"/>
    <w:rsid w:val="00C63607"/>
    <w:rsid w:val="00C6523F"/>
    <w:rsid w:val="00C65558"/>
    <w:rsid w:val="00C65563"/>
    <w:rsid w:val="00C67450"/>
    <w:rsid w:val="00C70268"/>
    <w:rsid w:val="00C70656"/>
    <w:rsid w:val="00C727DA"/>
    <w:rsid w:val="00C73A44"/>
    <w:rsid w:val="00C7423A"/>
    <w:rsid w:val="00C744D2"/>
    <w:rsid w:val="00C77D4A"/>
    <w:rsid w:val="00C80CAB"/>
    <w:rsid w:val="00C80CBE"/>
    <w:rsid w:val="00C8141F"/>
    <w:rsid w:val="00C81D5E"/>
    <w:rsid w:val="00C82840"/>
    <w:rsid w:val="00C829C2"/>
    <w:rsid w:val="00C82AD0"/>
    <w:rsid w:val="00C8395A"/>
    <w:rsid w:val="00C83CF9"/>
    <w:rsid w:val="00C847C9"/>
    <w:rsid w:val="00C84C2C"/>
    <w:rsid w:val="00C85E7F"/>
    <w:rsid w:val="00C86F56"/>
    <w:rsid w:val="00C8766E"/>
    <w:rsid w:val="00C87CFE"/>
    <w:rsid w:val="00C90243"/>
    <w:rsid w:val="00C90908"/>
    <w:rsid w:val="00C91AB0"/>
    <w:rsid w:val="00C92A9D"/>
    <w:rsid w:val="00C94487"/>
    <w:rsid w:val="00C94D31"/>
    <w:rsid w:val="00C95193"/>
    <w:rsid w:val="00C96C6A"/>
    <w:rsid w:val="00C978BE"/>
    <w:rsid w:val="00CA0B6F"/>
    <w:rsid w:val="00CA0EA9"/>
    <w:rsid w:val="00CA0EF2"/>
    <w:rsid w:val="00CA1A11"/>
    <w:rsid w:val="00CA216B"/>
    <w:rsid w:val="00CA25E7"/>
    <w:rsid w:val="00CA294B"/>
    <w:rsid w:val="00CA4027"/>
    <w:rsid w:val="00CA4710"/>
    <w:rsid w:val="00CA5334"/>
    <w:rsid w:val="00CA55FE"/>
    <w:rsid w:val="00CA5AB2"/>
    <w:rsid w:val="00CA6297"/>
    <w:rsid w:val="00CA68CB"/>
    <w:rsid w:val="00CA7253"/>
    <w:rsid w:val="00CB0208"/>
    <w:rsid w:val="00CB0CE5"/>
    <w:rsid w:val="00CB2220"/>
    <w:rsid w:val="00CB3382"/>
    <w:rsid w:val="00CB33DD"/>
    <w:rsid w:val="00CB48DD"/>
    <w:rsid w:val="00CB4FE9"/>
    <w:rsid w:val="00CB5C92"/>
    <w:rsid w:val="00CC1407"/>
    <w:rsid w:val="00CC18BC"/>
    <w:rsid w:val="00CC3D8C"/>
    <w:rsid w:val="00CC6921"/>
    <w:rsid w:val="00CC6E9F"/>
    <w:rsid w:val="00CD2788"/>
    <w:rsid w:val="00CD38D2"/>
    <w:rsid w:val="00CD4613"/>
    <w:rsid w:val="00CD4760"/>
    <w:rsid w:val="00CD476E"/>
    <w:rsid w:val="00CD4B82"/>
    <w:rsid w:val="00CD574C"/>
    <w:rsid w:val="00CE18AB"/>
    <w:rsid w:val="00CE2AFE"/>
    <w:rsid w:val="00CE37BF"/>
    <w:rsid w:val="00CE3D5A"/>
    <w:rsid w:val="00CE4131"/>
    <w:rsid w:val="00CE49AE"/>
    <w:rsid w:val="00CE49BF"/>
    <w:rsid w:val="00CE5A6F"/>
    <w:rsid w:val="00CE5CA1"/>
    <w:rsid w:val="00CE5D0D"/>
    <w:rsid w:val="00CE680C"/>
    <w:rsid w:val="00CE685E"/>
    <w:rsid w:val="00CE6E43"/>
    <w:rsid w:val="00CE6EB8"/>
    <w:rsid w:val="00CE7FA2"/>
    <w:rsid w:val="00CF095E"/>
    <w:rsid w:val="00CF0DF2"/>
    <w:rsid w:val="00CF0FD6"/>
    <w:rsid w:val="00CF14EB"/>
    <w:rsid w:val="00CF18AF"/>
    <w:rsid w:val="00CF3D4C"/>
    <w:rsid w:val="00CF4BE5"/>
    <w:rsid w:val="00CF68E2"/>
    <w:rsid w:val="00CF70B6"/>
    <w:rsid w:val="00CF755C"/>
    <w:rsid w:val="00CF76A4"/>
    <w:rsid w:val="00D00D2B"/>
    <w:rsid w:val="00D01AF0"/>
    <w:rsid w:val="00D02F3B"/>
    <w:rsid w:val="00D04023"/>
    <w:rsid w:val="00D04595"/>
    <w:rsid w:val="00D04A87"/>
    <w:rsid w:val="00D0577D"/>
    <w:rsid w:val="00D0651C"/>
    <w:rsid w:val="00D07FB4"/>
    <w:rsid w:val="00D11C66"/>
    <w:rsid w:val="00D12AE7"/>
    <w:rsid w:val="00D13353"/>
    <w:rsid w:val="00D1420B"/>
    <w:rsid w:val="00D14933"/>
    <w:rsid w:val="00D14C48"/>
    <w:rsid w:val="00D14DB0"/>
    <w:rsid w:val="00D14F10"/>
    <w:rsid w:val="00D153AD"/>
    <w:rsid w:val="00D1626F"/>
    <w:rsid w:val="00D165D8"/>
    <w:rsid w:val="00D17CB7"/>
    <w:rsid w:val="00D2028E"/>
    <w:rsid w:val="00D202FC"/>
    <w:rsid w:val="00D20BC4"/>
    <w:rsid w:val="00D24AA3"/>
    <w:rsid w:val="00D24FDF"/>
    <w:rsid w:val="00D26FCB"/>
    <w:rsid w:val="00D27046"/>
    <w:rsid w:val="00D270CF"/>
    <w:rsid w:val="00D32DB1"/>
    <w:rsid w:val="00D334C7"/>
    <w:rsid w:val="00D34017"/>
    <w:rsid w:val="00D344DB"/>
    <w:rsid w:val="00D34F9C"/>
    <w:rsid w:val="00D3514B"/>
    <w:rsid w:val="00D355B9"/>
    <w:rsid w:val="00D358BF"/>
    <w:rsid w:val="00D35D40"/>
    <w:rsid w:val="00D366BB"/>
    <w:rsid w:val="00D4011E"/>
    <w:rsid w:val="00D410C8"/>
    <w:rsid w:val="00D41327"/>
    <w:rsid w:val="00D44783"/>
    <w:rsid w:val="00D44B42"/>
    <w:rsid w:val="00D46268"/>
    <w:rsid w:val="00D46418"/>
    <w:rsid w:val="00D46779"/>
    <w:rsid w:val="00D47EFC"/>
    <w:rsid w:val="00D51617"/>
    <w:rsid w:val="00D51E38"/>
    <w:rsid w:val="00D521AB"/>
    <w:rsid w:val="00D523A1"/>
    <w:rsid w:val="00D52DA6"/>
    <w:rsid w:val="00D52F01"/>
    <w:rsid w:val="00D53C3E"/>
    <w:rsid w:val="00D53D69"/>
    <w:rsid w:val="00D542DE"/>
    <w:rsid w:val="00D544CC"/>
    <w:rsid w:val="00D55836"/>
    <w:rsid w:val="00D55E2E"/>
    <w:rsid w:val="00D56B9C"/>
    <w:rsid w:val="00D573CD"/>
    <w:rsid w:val="00D60937"/>
    <w:rsid w:val="00D613CD"/>
    <w:rsid w:val="00D61FB5"/>
    <w:rsid w:val="00D62AC1"/>
    <w:rsid w:val="00D63FAE"/>
    <w:rsid w:val="00D64E13"/>
    <w:rsid w:val="00D6525F"/>
    <w:rsid w:val="00D6786A"/>
    <w:rsid w:val="00D7139C"/>
    <w:rsid w:val="00D750DF"/>
    <w:rsid w:val="00D751DD"/>
    <w:rsid w:val="00D75868"/>
    <w:rsid w:val="00D75A2B"/>
    <w:rsid w:val="00D75FE3"/>
    <w:rsid w:val="00D76497"/>
    <w:rsid w:val="00D76CBB"/>
    <w:rsid w:val="00D806BF"/>
    <w:rsid w:val="00D80EAD"/>
    <w:rsid w:val="00D814CB"/>
    <w:rsid w:val="00D81F47"/>
    <w:rsid w:val="00D8310B"/>
    <w:rsid w:val="00D84CDF"/>
    <w:rsid w:val="00D84CF3"/>
    <w:rsid w:val="00D85BF7"/>
    <w:rsid w:val="00D85D5D"/>
    <w:rsid w:val="00D863FB"/>
    <w:rsid w:val="00D86662"/>
    <w:rsid w:val="00D8668A"/>
    <w:rsid w:val="00D86AB7"/>
    <w:rsid w:val="00D87AAB"/>
    <w:rsid w:val="00D92BE5"/>
    <w:rsid w:val="00D92CE4"/>
    <w:rsid w:val="00D9340F"/>
    <w:rsid w:val="00D9444F"/>
    <w:rsid w:val="00D94A51"/>
    <w:rsid w:val="00D95956"/>
    <w:rsid w:val="00D95AC2"/>
    <w:rsid w:val="00D95C11"/>
    <w:rsid w:val="00D96E62"/>
    <w:rsid w:val="00D97B7B"/>
    <w:rsid w:val="00DA05FA"/>
    <w:rsid w:val="00DA13F5"/>
    <w:rsid w:val="00DA1701"/>
    <w:rsid w:val="00DA2AE7"/>
    <w:rsid w:val="00DA3F7D"/>
    <w:rsid w:val="00DA514D"/>
    <w:rsid w:val="00DA5460"/>
    <w:rsid w:val="00DA551E"/>
    <w:rsid w:val="00DA57B7"/>
    <w:rsid w:val="00DA5FE3"/>
    <w:rsid w:val="00DA6C9A"/>
    <w:rsid w:val="00DA7316"/>
    <w:rsid w:val="00DA7B69"/>
    <w:rsid w:val="00DA7D61"/>
    <w:rsid w:val="00DB06D4"/>
    <w:rsid w:val="00DB0EF8"/>
    <w:rsid w:val="00DB2D5B"/>
    <w:rsid w:val="00DB46E6"/>
    <w:rsid w:val="00DB4E57"/>
    <w:rsid w:val="00DB50B1"/>
    <w:rsid w:val="00DC084F"/>
    <w:rsid w:val="00DC0A53"/>
    <w:rsid w:val="00DC21D1"/>
    <w:rsid w:val="00DC390D"/>
    <w:rsid w:val="00DC5773"/>
    <w:rsid w:val="00DC5B3E"/>
    <w:rsid w:val="00DC618F"/>
    <w:rsid w:val="00DC69F2"/>
    <w:rsid w:val="00DC7D2C"/>
    <w:rsid w:val="00DD02DB"/>
    <w:rsid w:val="00DD0630"/>
    <w:rsid w:val="00DD160B"/>
    <w:rsid w:val="00DD1E28"/>
    <w:rsid w:val="00DD2C3E"/>
    <w:rsid w:val="00DD3A9C"/>
    <w:rsid w:val="00DD40BC"/>
    <w:rsid w:val="00DD455B"/>
    <w:rsid w:val="00DD5597"/>
    <w:rsid w:val="00DD6CE6"/>
    <w:rsid w:val="00DD733B"/>
    <w:rsid w:val="00DD7B7C"/>
    <w:rsid w:val="00DE2639"/>
    <w:rsid w:val="00DE2866"/>
    <w:rsid w:val="00DE30BE"/>
    <w:rsid w:val="00DE34E3"/>
    <w:rsid w:val="00DE79BE"/>
    <w:rsid w:val="00DF1A65"/>
    <w:rsid w:val="00DF2D2E"/>
    <w:rsid w:val="00DF4633"/>
    <w:rsid w:val="00DF4849"/>
    <w:rsid w:val="00DF548C"/>
    <w:rsid w:val="00DF7941"/>
    <w:rsid w:val="00DF7B09"/>
    <w:rsid w:val="00E0058F"/>
    <w:rsid w:val="00E00BE2"/>
    <w:rsid w:val="00E01688"/>
    <w:rsid w:val="00E01F89"/>
    <w:rsid w:val="00E02550"/>
    <w:rsid w:val="00E04F8E"/>
    <w:rsid w:val="00E05FFC"/>
    <w:rsid w:val="00E07D23"/>
    <w:rsid w:val="00E07D8A"/>
    <w:rsid w:val="00E103C1"/>
    <w:rsid w:val="00E117BF"/>
    <w:rsid w:val="00E12103"/>
    <w:rsid w:val="00E12361"/>
    <w:rsid w:val="00E1293F"/>
    <w:rsid w:val="00E13308"/>
    <w:rsid w:val="00E13ABC"/>
    <w:rsid w:val="00E13CE1"/>
    <w:rsid w:val="00E147E9"/>
    <w:rsid w:val="00E14DA0"/>
    <w:rsid w:val="00E16393"/>
    <w:rsid w:val="00E16F6F"/>
    <w:rsid w:val="00E17207"/>
    <w:rsid w:val="00E17B2B"/>
    <w:rsid w:val="00E20D49"/>
    <w:rsid w:val="00E21B22"/>
    <w:rsid w:val="00E226C5"/>
    <w:rsid w:val="00E22F31"/>
    <w:rsid w:val="00E234D9"/>
    <w:rsid w:val="00E2471D"/>
    <w:rsid w:val="00E2488F"/>
    <w:rsid w:val="00E24DC0"/>
    <w:rsid w:val="00E25139"/>
    <w:rsid w:val="00E25281"/>
    <w:rsid w:val="00E25846"/>
    <w:rsid w:val="00E269C7"/>
    <w:rsid w:val="00E27337"/>
    <w:rsid w:val="00E31232"/>
    <w:rsid w:val="00E32E18"/>
    <w:rsid w:val="00E333D1"/>
    <w:rsid w:val="00E33598"/>
    <w:rsid w:val="00E33753"/>
    <w:rsid w:val="00E33F3C"/>
    <w:rsid w:val="00E34A0A"/>
    <w:rsid w:val="00E375FB"/>
    <w:rsid w:val="00E4024D"/>
    <w:rsid w:val="00E41398"/>
    <w:rsid w:val="00E413E4"/>
    <w:rsid w:val="00E41CBE"/>
    <w:rsid w:val="00E41D1E"/>
    <w:rsid w:val="00E42441"/>
    <w:rsid w:val="00E4272D"/>
    <w:rsid w:val="00E4294F"/>
    <w:rsid w:val="00E42C1D"/>
    <w:rsid w:val="00E431F1"/>
    <w:rsid w:val="00E43320"/>
    <w:rsid w:val="00E43E7E"/>
    <w:rsid w:val="00E4402E"/>
    <w:rsid w:val="00E441CF"/>
    <w:rsid w:val="00E4769C"/>
    <w:rsid w:val="00E476DE"/>
    <w:rsid w:val="00E47ED4"/>
    <w:rsid w:val="00E5096A"/>
    <w:rsid w:val="00E52033"/>
    <w:rsid w:val="00E52F16"/>
    <w:rsid w:val="00E53078"/>
    <w:rsid w:val="00E53376"/>
    <w:rsid w:val="00E533CC"/>
    <w:rsid w:val="00E5375B"/>
    <w:rsid w:val="00E5441E"/>
    <w:rsid w:val="00E56D10"/>
    <w:rsid w:val="00E56F0C"/>
    <w:rsid w:val="00E61738"/>
    <w:rsid w:val="00E61C1B"/>
    <w:rsid w:val="00E61EBA"/>
    <w:rsid w:val="00E63C9F"/>
    <w:rsid w:val="00E63FED"/>
    <w:rsid w:val="00E641CD"/>
    <w:rsid w:val="00E64518"/>
    <w:rsid w:val="00E64F60"/>
    <w:rsid w:val="00E6536E"/>
    <w:rsid w:val="00E65794"/>
    <w:rsid w:val="00E65EE9"/>
    <w:rsid w:val="00E70FBA"/>
    <w:rsid w:val="00E7124E"/>
    <w:rsid w:val="00E71CD7"/>
    <w:rsid w:val="00E72217"/>
    <w:rsid w:val="00E724DE"/>
    <w:rsid w:val="00E72E09"/>
    <w:rsid w:val="00E73753"/>
    <w:rsid w:val="00E73F05"/>
    <w:rsid w:val="00E7536C"/>
    <w:rsid w:val="00E776F2"/>
    <w:rsid w:val="00E77E35"/>
    <w:rsid w:val="00E80FAC"/>
    <w:rsid w:val="00E8202C"/>
    <w:rsid w:val="00E82633"/>
    <w:rsid w:val="00E82EBD"/>
    <w:rsid w:val="00E84C10"/>
    <w:rsid w:val="00E85DB4"/>
    <w:rsid w:val="00E907FA"/>
    <w:rsid w:val="00E92CA9"/>
    <w:rsid w:val="00E92DF8"/>
    <w:rsid w:val="00E930B5"/>
    <w:rsid w:val="00E93291"/>
    <w:rsid w:val="00E935FE"/>
    <w:rsid w:val="00E93E90"/>
    <w:rsid w:val="00E941FE"/>
    <w:rsid w:val="00E94337"/>
    <w:rsid w:val="00E94423"/>
    <w:rsid w:val="00E94762"/>
    <w:rsid w:val="00EA00DF"/>
    <w:rsid w:val="00EA06FC"/>
    <w:rsid w:val="00EA0C1E"/>
    <w:rsid w:val="00EA1783"/>
    <w:rsid w:val="00EA19FD"/>
    <w:rsid w:val="00EA2FC2"/>
    <w:rsid w:val="00EA4185"/>
    <w:rsid w:val="00EA529B"/>
    <w:rsid w:val="00EA59BD"/>
    <w:rsid w:val="00EA5C6B"/>
    <w:rsid w:val="00EA6394"/>
    <w:rsid w:val="00EA77FA"/>
    <w:rsid w:val="00EB08D0"/>
    <w:rsid w:val="00EB1F79"/>
    <w:rsid w:val="00EB2013"/>
    <w:rsid w:val="00EB3491"/>
    <w:rsid w:val="00EB3EA1"/>
    <w:rsid w:val="00EB4A88"/>
    <w:rsid w:val="00EB5BB7"/>
    <w:rsid w:val="00EB5D02"/>
    <w:rsid w:val="00EB5EB6"/>
    <w:rsid w:val="00EB6114"/>
    <w:rsid w:val="00EB6559"/>
    <w:rsid w:val="00EB6DFE"/>
    <w:rsid w:val="00EC02CC"/>
    <w:rsid w:val="00EC0C7D"/>
    <w:rsid w:val="00EC0E4A"/>
    <w:rsid w:val="00EC1512"/>
    <w:rsid w:val="00EC2629"/>
    <w:rsid w:val="00EC28BC"/>
    <w:rsid w:val="00EC328D"/>
    <w:rsid w:val="00EC4A96"/>
    <w:rsid w:val="00EC4C63"/>
    <w:rsid w:val="00EC5E2B"/>
    <w:rsid w:val="00EC67D9"/>
    <w:rsid w:val="00EC6AEC"/>
    <w:rsid w:val="00ED0906"/>
    <w:rsid w:val="00ED1CEE"/>
    <w:rsid w:val="00ED1EE8"/>
    <w:rsid w:val="00ED3B35"/>
    <w:rsid w:val="00ED4F7B"/>
    <w:rsid w:val="00ED71B3"/>
    <w:rsid w:val="00ED7270"/>
    <w:rsid w:val="00ED7AD0"/>
    <w:rsid w:val="00EE00E6"/>
    <w:rsid w:val="00EE1299"/>
    <w:rsid w:val="00EE1661"/>
    <w:rsid w:val="00EE2314"/>
    <w:rsid w:val="00EE3B75"/>
    <w:rsid w:val="00EE40F0"/>
    <w:rsid w:val="00EE42C4"/>
    <w:rsid w:val="00EE48AA"/>
    <w:rsid w:val="00EE5F39"/>
    <w:rsid w:val="00EE64A0"/>
    <w:rsid w:val="00EE7054"/>
    <w:rsid w:val="00EE736D"/>
    <w:rsid w:val="00EE7C16"/>
    <w:rsid w:val="00EE7F2A"/>
    <w:rsid w:val="00EE7F6E"/>
    <w:rsid w:val="00EE7F86"/>
    <w:rsid w:val="00EF0194"/>
    <w:rsid w:val="00EF0B01"/>
    <w:rsid w:val="00EF1E81"/>
    <w:rsid w:val="00EF25D1"/>
    <w:rsid w:val="00EF2B35"/>
    <w:rsid w:val="00EF2C30"/>
    <w:rsid w:val="00EF35DF"/>
    <w:rsid w:val="00EF5CC3"/>
    <w:rsid w:val="00EF64A0"/>
    <w:rsid w:val="00EF70D9"/>
    <w:rsid w:val="00EF7513"/>
    <w:rsid w:val="00F00C3E"/>
    <w:rsid w:val="00F00FFF"/>
    <w:rsid w:val="00F0205E"/>
    <w:rsid w:val="00F033BA"/>
    <w:rsid w:val="00F033E2"/>
    <w:rsid w:val="00F03491"/>
    <w:rsid w:val="00F04673"/>
    <w:rsid w:val="00F049B6"/>
    <w:rsid w:val="00F052C6"/>
    <w:rsid w:val="00F059E3"/>
    <w:rsid w:val="00F05D85"/>
    <w:rsid w:val="00F06247"/>
    <w:rsid w:val="00F065DB"/>
    <w:rsid w:val="00F07663"/>
    <w:rsid w:val="00F109F1"/>
    <w:rsid w:val="00F1138E"/>
    <w:rsid w:val="00F11B3C"/>
    <w:rsid w:val="00F1233B"/>
    <w:rsid w:val="00F13B5A"/>
    <w:rsid w:val="00F13B9A"/>
    <w:rsid w:val="00F1449D"/>
    <w:rsid w:val="00F14F5A"/>
    <w:rsid w:val="00F15188"/>
    <w:rsid w:val="00F160E1"/>
    <w:rsid w:val="00F16259"/>
    <w:rsid w:val="00F16268"/>
    <w:rsid w:val="00F20ACC"/>
    <w:rsid w:val="00F2117F"/>
    <w:rsid w:val="00F22A9F"/>
    <w:rsid w:val="00F24076"/>
    <w:rsid w:val="00F24FA6"/>
    <w:rsid w:val="00F2589F"/>
    <w:rsid w:val="00F26266"/>
    <w:rsid w:val="00F301BE"/>
    <w:rsid w:val="00F30389"/>
    <w:rsid w:val="00F31033"/>
    <w:rsid w:val="00F3195D"/>
    <w:rsid w:val="00F32127"/>
    <w:rsid w:val="00F33AE3"/>
    <w:rsid w:val="00F33C87"/>
    <w:rsid w:val="00F37B7C"/>
    <w:rsid w:val="00F37F85"/>
    <w:rsid w:val="00F400CF"/>
    <w:rsid w:val="00F401D5"/>
    <w:rsid w:val="00F41C09"/>
    <w:rsid w:val="00F422B3"/>
    <w:rsid w:val="00F42787"/>
    <w:rsid w:val="00F43832"/>
    <w:rsid w:val="00F44D0D"/>
    <w:rsid w:val="00F44EB5"/>
    <w:rsid w:val="00F451A3"/>
    <w:rsid w:val="00F45227"/>
    <w:rsid w:val="00F45BE6"/>
    <w:rsid w:val="00F45DE6"/>
    <w:rsid w:val="00F46326"/>
    <w:rsid w:val="00F471D6"/>
    <w:rsid w:val="00F50046"/>
    <w:rsid w:val="00F50519"/>
    <w:rsid w:val="00F505F5"/>
    <w:rsid w:val="00F50705"/>
    <w:rsid w:val="00F50B15"/>
    <w:rsid w:val="00F5111C"/>
    <w:rsid w:val="00F515C8"/>
    <w:rsid w:val="00F544A3"/>
    <w:rsid w:val="00F54E2A"/>
    <w:rsid w:val="00F56E62"/>
    <w:rsid w:val="00F6040C"/>
    <w:rsid w:val="00F614DC"/>
    <w:rsid w:val="00F62232"/>
    <w:rsid w:val="00F62449"/>
    <w:rsid w:val="00F62C55"/>
    <w:rsid w:val="00F63E9A"/>
    <w:rsid w:val="00F63EC0"/>
    <w:rsid w:val="00F64729"/>
    <w:rsid w:val="00F64A2E"/>
    <w:rsid w:val="00F658AD"/>
    <w:rsid w:val="00F65D8E"/>
    <w:rsid w:val="00F65F68"/>
    <w:rsid w:val="00F662D1"/>
    <w:rsid w:val="00F70197"/>
    <w:rsid w:val="00F70910"/>
    <w:rsid w:val="00F71EE7"/>
    <w:rsid w:val="00F71FDF"/>
    <w:rsid w:val="00F7234F"/>
    <w:rsid w:val="00F724DC"/>
    <w:rsid w:val="00F72CFC"/>
    <w:rsid w:val="00F73629"/>
    <w:rsid w:val="00F745C3"/>
    <w:rsid w:val="00F74DBF"/>
    <w:rsid w:val="00F75064"/>
    <w:rsid w:val="00F751FF"/>
    <w:rsid w:val="00F75641"/>
    <w:rsid w:val="00F77A94"/>
    <w:rsid w:val="00F77D0B"/>
    <w:rsid w:val="00F80136"/>
    <w:rsid w:val="00F801B2"/>
    <w:rsid w:val="00F8145F"/>
    <w:rsid w:val="00F8194C"/>
    <w:rsid w:val="00F82545"/>
    <w:rsid w:val="00F83822"/>
    <w:rsid w:val="00F83CE5"/>
    <w:rsid w:val="00F84811"/>
    <w:rsid w:val="00F850C0"/>
    <w:rsid w:val="00F854ED"/>
    <w:rsid w:val="00F86252"/>
    <w:rsid w:val="00F869FB"/>
    <w:rsid w:val="00F87B5A"/>
    <w:rsid w:val="00F90E45"/>
    <w:rsid w:val="00F913E6"/>
    <w:rsid w:val="00F91999"/>
    <w:rsid w:val="00F93EA5"/>
    <w:rsid w:val="00F9413B"/>
    <w:rsid w:val="00F94472"/>
    <w:rsid w:val="00F96B0A"/>
    <w:rsid w:val="00F97173"/>
    <w:rsid w:val="00F97639"/>
    <w:rsid w:val="00F97B98"/>
    <w:rsid w:val="00FA0017"/>
    <w:rsid w:val="00FA0A6B"/>
    <w:rsid w:val="00FA1234"/>
    <w:rsid w:val="00FA14D3"/>
    <w:rsid w:val="00FA153A"/>
    <w:rsid w:val="00FA197E"/>
    <w:rsid w:val="00FA1A98"/>
    <w:rsid w:val="00FA1CD2"/>
    <w:rsid w:val="00FA2BB7"/>
    <w:rsid w:val="00FA3B70"/>
    <w:rsid w:val="00FA50BA"/>
    <w:rsid w:val="00FA5153"/>
    <w:rsid w:val="00FA5E49"/>
    <w:rsid w:val="00FA6730"/>
    <w:rsid w:val="00FA68B3"/>
    <w:rsid w:val="00FA6C25"/>
    <w:rsid w:val="00FA7510"/>
    <w:rsid w:val="00FB1342"/>
    <w:rsid w:val="00FB235D"/>
    <w:rsid w:val="00FB2ADE"/>
    <w:rsid w:val="00FB2B08"/>
    <w:rsid w:val="00FB5076"/>
    <w:rsid w:val="00FB5DC5"/>
    <w:rsid w:val="00FB6915"/>
    <w:rsid w:val="00FB798B"/>
    <w:rsid w:val="00FC332A"/>
    <w:rsid w:val="00FC38E5"/>
    <w:rsid w:val="00FC3D9F"/>
    <w:rsid w:val="00FC4A2F"/>
    <w:rsid w:val="00FC5242"/>
    <w:rsid w:val="00FC53DB"/>
    <w:rsid w:val="00FC5A05"/>
    <w:rsid w:val="00FC5C56"/>
    <w:rsid w:val="00FC734E"/>
    <w:rsid w:val="00FC7A05"/>
    <w:rsid w:val="00FD09FD"/>
    <w:rsid w:val="00FD13FA"/>
    <w:rsid w:val="00FD1628"/>
    <w:rsid w:val="00FD1ABC"/>
    <w:rsid w:val="00FD1B37"/>
    <w:rsid w:val="00FD1ED8"/>
    <w:rsid w:val="00FD2669"/>
    <w:rsid w:val="00FD351B"/>
    <w:rsid w:val="00FD3D16"/>
    <w:rsid w:val="00FD3EB6"/>
    <w:rsid w:val="00FD54AB"/>
    <w:rsid w:val="00FD6A8B"/>
    <w:rsid w:val="00FD7716"/>
    <w:rsid w:val="00FD78BC"/>
    <w:rsid w:val="00FE05E7"/>
    <w:rsid w:val="00FE1567"/>
    <w:rsid w:val="00FE1FA2"/>
    <w:rsid w:val="00FE2C62"/>
    <w:rsid w:val="00FE304B"/>
    <w:rsid w:val="00FE316B"/>
    <w:rsid w:val="00FE472D"/>
    <w:rsid w:val="00FE4800"/>
    <w:rsid w:val="00FE4C6E"/>
    <w:rsid w:val="00FE567A"/>
    <w:rsid w:val="00FE657E"/>
    <w:rsid w:val="00FF056C"/>
    <w:rsid w:val="00FF06B9"/>
    <w:rsid w:val="00FF0C17"/>
    <w:rsid w:val="00FF1B5F"/>
    <w:rsid w:val="00FF3163"/>
    <w:rsid w:val="00FF3295"/>
    <w:rsid w:val="00FF5611"/>
    <w:rsid w:val="00FF5E33"/>
    <w:rsid w:val="00FF6981"/>
    <w:rsid w:val="00FF752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8853B"/>
  <w15:chartTrackingRefBased/>
  <w15:docId w15:val="{FF20B5EF-FBAF-4A3F-8E86-86E5068C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3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A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59E"/>
  </w:style>
  <w:style w:type="paragraph" w:styleId="Footer">
    <w:name w:val="footer"/>
    <w:basedOn w:val="Normal"/>
    <w:link w:val="FooterChar"/>
    <w:uiPriority w:val="99"/>
    <w:unhideWhenUsed/>
    <w:rsid w:val="007E4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59E"/>
  </w:style>
  <w:style w:type="paragraph" w:styleId="ListParagraph">
    <w:name w:val="List Paragraph"/>
    <w:basedOn w:val="Normal"/>
    <w:uiPriority w:val="34"/>
    <w:qFormat/>
    <w:rsid w:val="001872B7"/>
    <w:pPr>
      <w:ind w:left="720"/>
      <w:contextualSpacing/>
    </w:pPr>
  </w:style>
  <w:style w:type="paragraph" w:styleId="FootnoteText">
    <w:name w:val="footnote text"/>
    <w:basedOn w:val="Normal"/>
    <w:link w:val="FootnoteTextChar"/>
    <w:uiPriority w:val="99"/>
    <w:semiHidden/>
    <w:unhideWhenUsed/>
    <w:rsid w:val="00AF4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00A"/>
    <w:rPr>
      <w:sz w:val="20"/>
      <w:szCs w:val="20"/>
    </w:rPr>
  </w:style>
  <w:style w:type="character" w:styleId="FootnoteReference">
    <w:name w:val="footnote reference"/>
    <w:basedOn w:val="DefaultParagraphFont"/>
    <w:uiPriority w:val="99"/>
    <w:semiHidden/>
    <w:unhideWhenUsed/>
    <w:rsid w:val="00AF400A"/>
    <w:rPr>
      <w:vertAlign w:val="superscript"/>
    </w:rPr>
  </w:style>
  <w:style w:type="character" w:styleId="CommentReference">
    <w:name w:val="annotation reference"/>
    <w:basedOn w:val="DefaultParagraphFont"/>
    <w:uiPriority w:val="99"/>
    <w:semiHidden/>
    <w:unhideWhenUsed/>
    <w:rsid w:val="00097300"/>
    <w:rPr>
      <w:sz w:val="16"/>
      <w:szCs w:val="16"/>
    </w:rPr>
  </w:style>
  <w:style w:type="paragraph" w:styleId="CommentText">
    <w:name w:val="annotation text"/>
    <w:basedOn w:val="Normal"/>
    <w:link w:val="CommentTextChar"/>
    <w:uiPriority w:val="99"/>
    <w:unhideWhenUsed/>
    <w:rsid w:val="00097300"/>
    <w:pPr>
      <w:spacing w:line="240" w:lineRule="auto"/>
    </w:pPr>
    <w:rPr>
      <w:sz w:val="20"/>
      <w:szCs w:val="20"/>
    </w:rPr>
  </w:style>
  <w:style w:type="character" w:customStyle="1" w:styleId="CommentTextChar">
    <w:name w:val="Comment Text Char"/>
    <w:basedOn w:val="DefaultParagraphFont"/>
    <w:link w:val="CommentText"/>
    <w:uiPriority w:val="99"/>
    <w:rsid w:val="00097300"/>
    <w:rPr>
      <w:sz w:val="20"/>
      <w:szCs w:val="20"/>
    </w:rPr>
  </w:style>
  <w:style w:type="paragraph" w:styleId="CommentSubject">
    <w:name w:val="annotation subject"/>
    <w:basedOn w:val="CommentText"/>
    <w:next w:val="CommentText"/>
    <w:link w:val="CommentSubjectChar"/>
    <w:uiPriority w:val="99"/>
    <w:semiHidden/>
    <w:unhideWhenUsed/>
    <w:rsid w:val="00097300"/>
    <w:rPr>
      <w:b/>
      <w:bCs/>
    </w:rPr>
  </w:style>
  <w:style w:type="character" w:customStyle="1" w:styleId="CommentSubjectChar">
    <w:name w:val="Comment Subject Char"/>
    <w:basedOn w:val="CommentTextChar"/>
    <w:link w:val="CommentSubject"/>
    <w:uiPriority w:val="99"/>
    <w:semiHidden/>
    <w:rsid w:val="00097300"/>
    <w:rPr>
      <w:b/>
      <w:bCs/>
      <w:sz w:val="20"/>
      <w:szCs w:val="20"/>
    </w:rPr>
  </w:style>
  <w:style w:type="character" w:customStyle="1" w:styleId="Heading1Char">
    <w:name w:val="Heading 1 Char"/>
    <w:basedOn w:val="DefaultParagraphFont"/>
    <w:link w:val="Heading1"/>
    <w:uiPriority w:val="9"/>
    <w:rsid w:val="00B323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6A1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85078"/>
    <w:rPr>
      <w:color w:val="0563C1" w:themeColor="hyperlink"/>
      <w:u w:val="single"/>
    </w:rPr>
  </w:style>
  <w:style w:type="character" w:styleId="UnresolvedMention">
    <w:name w:val="Unresolved Mention"/>
    <w:basedOn w:val="DefaultParagraphFont"/>
    <w:uiPriority w:val="99"/>
    <w:semiHidden/>
    <w:unhideWhenUsed/>
    <w:rsid w:val="00485078"/>
    <w:rPr>
      <w:color w:val="605E5C"/>
      <w:shd w:val="clear" w:color="auto" w:fill="E1DFDD"/>
    </w:rPr>
  </w:style>
  <w:style w:type="paragraph" w:styleId="TOCHeading">
    <w:name w:val="TOC Heading"/>
    <w:basedOn w:val="Heading1"/>
    <w:next w:val="Normal"/>
    <w:uiPriority w:val="39"/>
    <w:unhideWhenUsed/>
    <w:qFormat/>
    <w:rsid w:val="00122BDA"/>
    <w:pPr>
      <w:outlineLvl w:val="9"/>
    </w:pPr>
    <w:rPr>
      <w:lang w:val="en-US" w:eastAsia="en-US"/>
    </w:rPr>
  </w:style>
  <w:style w:type="paragraph" w:styleId="TOC1">
    <w:name w:val="toc 1"/>
    <w:basedOn w:val="Normal"/>
    <w:next w:val="Normal"/>
    <w:autoRedefine/>
    <w:uiPriority w:val="39"/>
    <w:unhideWhenUsed/>
    <w:rsid w:val="00122BDA"/>
    <w:pPr>
      <w:spacing w:after="100"/>
    </w:pPr>
  </w:style>
  <w:style w:type="paragraph" w:styleId="TOC2">
    <w:name w:val="toc 2"/>
    <w:basedOn w:val="Normal"/>
    <w:next w:val="Normal"/>
    <w:autoRedefine/>
    <w:uiPriority w:val="39"/>
    <w:unhideWhenUsed/>
    <w:rsid w:val="00122BDA"/>
    <w:pPr>
      <w:spacing w:after="100"/>
      <w:ind w:left="220"/>
    </w:pPr>
  </w:style>
  <w:style w:type="paragraph" w:styleId="Title">
    <w:name w:val="Title"/>
    <w:basedOn w:val="Normal"/>
    <w:next w:val="Normal"/>
    <w:link w:val="TitleChar"/>
    <w:uiPriority w:val="10"/>
    <w:qFormat/>
    <w:rsid w:val="006E11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19F"/>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6D68D1"/>
    <w:pPr>
      <w:widowControl w:val="0"/>
      <w:autoSpaceDE w:val="0"/>
      <w:autoSpaceDN w:val="0"/>
      <w:spacing w:after="0" w:line="240" w:lineRule="auto"/>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6D68D1"/>
    <w:rPr>
      <w:rFonts w:ascii="Arial" w:eastAsia="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B32E3-9BB5-4D37-A79E-B10B9B64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3325</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Law</dc:creator>
  <cp:keywords/>
  <dc:description/>
  <cp:lastModifiedBy>Johnny Law</cp:lastModifiedBy>
  <cp:revision>7</cp:revision>
  <dcterms:created xsi:type="dcterms:W3CDTF">2023-07-09T16:52:00Z</dcterms:created>
  <dcterms:modified xsi:type="dcterms:W3CDTF">2023-07-09T17:02:00Z</dcterms:modified>
</cp:coreProperties>
</file>