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7F85" w14:textId="0CA54E0F" w:rsidR="00A96F1F" w:rsidRDefault="00C5261B" w:rsidP="00E43E63">
      <w:pPr>
        <w:widowControl w:val="0"/>
        <w:pBdr>
          <w:bottom w:val="single" w:sz="4" w:space="1" w:color="auto"/>
        </w:pBdr>
        <w:spacing w:after="120" w:line="240" w:lineRule="auto"/>
        <w:rPr>
          <w:rFonts w:ascii="Arial" w:hAnsi="Arial" w:cs="Arial"/>
          <w:b/>
          <w:bCs/>
          <w:lang w:val="en-GB"/>
        </w:rPr>
      </w:pPr>
      <w:r>
        <w:rPr>
          <w:rFonts w:ascii="Arial" w:hAnsi="Arial" w:cs="Arial"/>
          <w:b/>
          <w:bCs/>
          <w:lang w:val="en-GB"/>
        </w:rPr>
        <w:t>Comparison of UK and US restructuring regimes as reorganisation tools for foreign debtors</w:t>
      </w:r>
    </w:p>
    <w:p w14:paraId="3560B1E2" w14:textId="59938DB6" w:rsidR="00C5261B" w:rsidRPr="00C5261B" w:rsidRDefault="00C5261B" w:rsidP="00E43E63">
      <w:pPr>
        <w:widowControl w:val="0"/>
        <w:pBdr>
          <w:bottom w:val="single" w:sz="4" w:space="1" w:color="auto"/>
        </w:pBdr>
        <w:spacing w:after="120" w:line="240" w:lineRule="auto"/>
        <w:rPr>
          <w:rFonts w:ascii="Arial" w:hAnsi="Arial" w:cs="Arial"/>
          <w:sz w:val="20"/>
          <w:szCs w:val="20"/>
          <w:lang w:val="en-GB"/>
        </w:rPr>
      </w:pPr>
      <w:r w:rsidRPr="00C5261B">
        <w:rPr>
          <w:rFonts w:ascii="Arial" w:hAnsi="Arial" w:cs="Arial"/>
          <w:b/>
          <w:bCs/>
          <w:sz w:val="20"/>
          <w:szCs w:val="20"/>
          <w:lang w:val="en-GB"/>
        </w:rPr>
        <w:t>Author</w:t>
      </w:r>
      <w:r>
        <w:rPr>
          <w:rFonts w:ascii="Arial" w:hAnsi="Arial" w:cs="Arial"/>
          <w:sz w:val="20"/>
          <w:szCs w:val="20"/>
          <w:lang w:val="en-GB"/>
        </w:rPr>
        <w:t xml:space="preserve">: </w:t>
      </w:r>
      <w:r w:rsidRPr="00C5261B">
        <w:rPr>
          <w:rFonts w:ascii="Arial" w:hAnsi="Arial" w:cs="Arial"/>
          <w:sz w:val="20"/>
          <w:szCs w:val="20"/>
          <w:lang w:val="en-GB"/>
        </w:rPr>
        <w:t>Urmika Tripathi</w:t>
      </w:r>
    </w:p>
    <w:sdt>
      <w:sdtPr>
        <w:rPr>
          <w:rFonts w:ascii="Arial" w:hAnsi="Arial" w:cs="Arial"/>
        </w:rPr>
        <w:id w:val="1254633703"/>
        <w:docPartObj>
          <w:docPartGallery w:val="Table of Contents"/>
          <w:docPartUnique/>
        </w:docPartObj>
      </w:sdtPr>
      <w:sdtEndPr>
        <w:rPr>
          <w:b/>
          <w:bCs/>
          <w:noProof/>
        </w:rPr>
      </w:sdtEndPr>
      <w:sdtContent>
        <w:p w14:paraId="76E53DD5" w14:textId="0B4E717C" w:rsidR="00516235" w:rsidRPr="00F73A1B" w:rsidRDefault="00516235" w:rsidP="00F73A1B">
          <w:pPr>
            <w:widowControl w:val="0"/>
            <w:spacing w:after="0" w:line="240" w:lineRule="auto"/>
            <w:jc w:val="center"/>
            <w:rPr>
              <w:rFonts w:ascii="Arial" w:hAnsi="Arial" w:cs="Arial"/>
              <w:b/>
              <w:bCs/>
              <w:sz w:val="20"/>
              <w:szCs w:val="20"/>
              <w:lang w:val="en-GB"/>
            </w:rPr>
          </w:pPr>
          <w:r w:rsidRPr="00F73A1B">
            <w:rPr>
              <w:rFonts w:ascii="Arial" w:hAnsi="Arial" w:cs="Arial"/>
              <w:b/>
              <w:bCs/>
              <w:sz w:val="20"/>
              <w:szCs w:val="20"/>
              <w:lang w:val="en-GB"/>
            </w:rPr>
            <w:t>Table of Contents</w:t>
          </w:r>
        </w:p>
        <w:p w14:paraId="332D20D5" w14:textId="71FAB4AB" w:rsidR="00F73A1B" w:rsidRPr="00F73A1B" w:rsidRDefault="00516235" w:rsidP="00F73A1B">
          <w:pPr>
            <w:pStyle w:val="TOC1"/>
            <w:tabs>
              <w:tab w:val="left" w:pos="440"/>
              <w:tab w:val="right" w:leader="dot" w:pos="9016"/>
            </w:tabs>
            <w:spacing w:after="0" w:line="240" w:lineRule="auto"/>
            <w:rPr>
              <w:rFonts w:ascii="Arial" w:eastAsiaTheme="minorEastAsia" w:hAnsi="Arial" w:cs="Arial"/>
              <w:noProof/>
              <w:sz w:val="20"/>
              <w:szCs w:val="20"/>
              <w:lang w:eastAsia="en-IN"/>
            </w:rPr>
          </w:pPr>
          <w:r w:rsidRPr="00F73A1B">
            <w:rPr>
              <w:rFonts w:ascii="Arial" w:hAnsi="Arial" w:cs="Arial"/>
              <w:sz w:val="20"/>
              <w:szCs w:val="20"/>
            </w:rPr>
            <w:fldChar w:fldCharType="begin"/>
          </w:r>
          <w:r w:rsidRPr="00F73A1B">
            <w:rPr>
              <w:rFonts w:ascii="Arial" w:hAnsi="Arial" w:cs="Arial"/>
              <w:sz w:val="20"/>
              <w:szCs w:val="20"/>
            </w:rPr>
            <w:instrText xml:space="preserve"> TOC \o "1-3" \h \z \u </w:instrText>
          </w:r>
          <w:r w:rsidRPr="00F73A1B">
            <w:rPr>
              <w:rFonts w:ascii="Arial" w:hAnsi="Arial" w:cs="Arial"/>
              <w:sz w:val="20"/>
              <w:szCs w:val="20"/>
            </w:rPr>
            <w:fldChar w:fldCharType="separate"/>
          </w:r>
          <w:hyperlink w:anchor="_Toc139801749" w:history="1">
            <w:r w:rsidR="00F73A1B" w:rsidRPr="00F73A1B">
              <w:rPr>
                <w:rStyle w:val="Hyperlink"/>
                <w:rFonts w:ascii="Arial" w:hAnsi="Arial" w:cs="Arial"/>
                <w:b/>
                <w:bCs/>
                <w:noProof/>
                <w:sz w:val="20"/>
                <w:szCs w:val="20"/>
                <w:lang w:val="en-GB"/>
              </w:rPr>
              <w:t>1.</w:t>
            </w:r>
            <w:r w:rsidR="00F73A1B" w:rsidRPr="00F73A1B">
              <w:rPr>
                <w:rFonts w:ascii="Arial" w:eastAsiaTheme="minorEastAsia" w:hAnsi="Arial" w:cs="Arial"/>
                <w:noProof/>
                <w:sz w:val="20"/>
                <w:szCs w:val="20"/>
                <w:lang w:eastAsia="en-IN"/>
              </w:rPr>
              <w:tab/>
            </w:r>
            <w:r w:rsidR="00F73A1B" w:rsidRPr="00F73A1B">
              <w:rPr>
                <w:rStyle w:val="Hyperlink"/>
                <w:rFonts w:ascii="Arial" w:hAnsi="Arial" w:cs="Arial"/>
                <w:b/>
                <w:bCs/>
                <w:noProof/>
                <w:sz w:val="20"/>
                <w:szCs w:val="20"/>
                <w:lang w:val="en-GB"/>
              </w:rPr>
              <w:t>Introduction</w:t>
            </w:r>
            <w:r w:rsidR="00F73A1B" w:rsidRPr="00F73A1B">
              <w:rPr>
                <w:rFonts w:ascii="Arial" w:hAnsi="Arial" w:cs="Arial"/>
                <w:noProof/>
                <w:webHidden/>
                <w:sz w:val="20"/>
                <w:szCs w:val="20"/>
              </w:rPr>
              <w:tab/>
            </w:r>
            <w:r w:rsidR="00F73A1B" w:rsidRPr="00F73A1B">
              <w:rPr>
                <w:rFonts w:ascii="Arial" w:hAnsi="Arial" w:cs="Arial"/>
                <w:noProof/>
                <w:webHidden/>
                <w:sz w:val="20"/>
                <w:szCs w:val="20"/>
              </w:rPr>
              <w:fldChar w:fldCharType="begin"/>
            </w:r>
            <w:r w:rsidR="00F73A1B" w:rsidRPr="00F73A1B">
              <w:rPr>
                <w:rFonts w:ascii="Arial" w:hAnsi="Arial" w:cs="Arial"/>
                <w:noProof/>
                <w:webHidden/>
                <w:sz w:val="20"/>
                <w:szCs w:val="20"/>
              </w:rPr>
              <w:instrText xml:space="preserve"> PAGEREF _Toc139801749 \h </w:instrText>
            </w:r>
            <w:r w:rsidR="00F73A1B" w:rsidRPr="00F73A1B">
              <w:rPr>
                <w:rFonts w:ascii="Arial" w:hAnsi="Arial" w:cs="Arial"/>
                <w:noProof/>
                <w:webHidden/>
                <w:sz w:val="20"/>
                <w:szCs w:val="20"/>
              </w:rPr>
            </w:r>
            <w:r w:rsidR="00F73A1B" w:rsidRPr="00F73A1B">
              <w:rPr>
                <w:rFonts w:ascii="Arial" w:hAnsi="Arial" w:cs="Arial"/>
                <w:noProof/>
                <w:webHidden/>
                <w:sz w:val="20"/>
                <w:szCs w:val="20"/>
              </w:rPr>
              <w:fldChar w:fldCharType="separate"/>
            </w:r>
            <w:r w:rsidR="00F73A1B" w:rsidRPr="00F73A1B">
              <w:rPr>
                <w:rFonts w:ascii="Arial" w:hAnsi="Arial" w:cs="Arial"/>
                <w:noProof/>
                <w:webHidden/>
                <w:sz w:val="20"/>
                <w:szCs w:val="20"/>
              </w:rPr>
              <w:t>1</w:t>
            </w:r>
            <w:r w:rsidR="00F73A1B" w:rsidRPr="00F73A1B">
              <w:rPr>
                <w:rFonts w:ascii="Arial" w:hAnsi="Arial" w:cs="Arial"/>
                <w:noProof/>
                <w:webHidden/>
                <w:sz w:val="20"/>
                <w:szCs w:val="20"/>
              </w:rPr>
              <w:fldChar w:fldCharType="end"/>
            </w:r>
          </w:hyperlink>
        </w:p>
        <w:p w14:paraId="6551503C" w14:textId="3BD22940" w:rsidR="00F73A1B" w:rsidRPr="00F73A1B" w:rsidRDefault="00F73A1B" w:rsidP="00F73A1B">
          <w:pPr>
            <w:pStyle w:val="TOC1"/>
            <w:tabs>
              <w:tab w:val="left" w:pos="440"/>
              <w:tab w:val="right" w:leader="dot" w:pos="9016"/>
            </w:tabs>
            <w:spacing w:after="0" w:line="240" w:lineRule="auto"/>
            <w:rPr>
              <w:rFonts w:ascii="Arial" w:eastAsiaTheme="minorEastAsia" w:hAnsi="Arial" w:cs="Arial"/>
              <w:noProof/>
              <w:sz w:val="20"/>
              <w:szCs w:val="20"/>
              <w:lang w:eastAsia="en-IN"/>
            </w:rPr>
          </w:pPr>
          <w:hyperlink w:anchor="_Toc139801750" w:history="1">
            <w:r w:rsidRPr="00F73A1B">
              <w:rPr>
                <w:rStyle w:val="Hyperlink"/>
                <w:rFonts w:ascii="Arial" w:hAnsi="Arial" w:cs="Arial"/>
                <w:b/>
                <w:bCs/>
                <w:noProof/>
                <w:sz w:val="20"/>
                <w:szCs w:val="20"/>
                <w:lang w:val="en-GB"/>
              </w:rPr>
              <w:t>2.</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Restructuring Mechanisms in the US and UK</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_Toc139801750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2</w:t>
            </w:r>
            <w:r w:rsidRPr="00F73A1B">
              <w:rPr>
                <w:rFonts w:ascii="Arial" w:hAnsi="Arial" w:cs="Arial"/>
                <w:noProof/>
                <w:webHidden/>
                <w:sz w:val="20"/>
                <w:szCs w:val="20"/>
              </w:rPr>
              <w:fldChar w:fldCharType="end"/>
            </w:r>
          </w:hyperlink>
        </w:p>
        <w:p w14:paraId="7B800B39" w14:textId="2D55249E" w:rsidR="00F73A1B" w:rsidRPr="00F73A1B" w:rsidRDefault="00F73A1B" w:rsidP="00F73A1B">
          <w:pPr>
            <w:pStyle w:val="TOC2"/>
            <w:tabs>
              <w:tab w:val="left" w:pos="880"/>
              <w:tab w:val="right" w:leader="dot" w:pos="9016"/>
            </w:tabs>
            <w:spacing w:after="0" w:line="240" w:lineRule="auto"/>
            <w:rPr>
              <w:rFonts w:ascii="Arial" w:eastAsiaTheme="minorEastAsia" w:hAnsi="Arial" w:cs="Arial"/>
              <w:b/>
              <w:bCs/>
              <w:noProof/>
              <w:sz w:val="20"/>
              <w:szCs w:val="20"/>
              <w:lang w:eastAsia="en-IN"/>
            </w:rPr>
          </w:pPr>
          <w:hyperlink w:anchor="_Toc139801751" w:history="1">
            <w:r w:rsidRPr="00F73A1B">
              <w:rPr>
                <w:rStyle w:val="Hyperlink"/>
                <w:rFonts w:ascii="Arial" w:hAnsi="Arial" w:cs="Arial"/>
                <w:b/>
                <w:bCs/>
                <w:noProof/>
                <w:sz w:val="20"/>
                <w:szCs w:val="20"/>
                <w:lang w:val="en-GB"/>
              </w:rPr>
              <w:t>2.1</w:t>
            </w:r>
            <w:r w:rsidRPr="00F73A1B">
              <w:rPr>
                <w:rFonts w:ascii="Arial" w:eastAsiaTheme="minorEastAsia" w:hAnsi="Arial" w:cs="Arial"/>
                <w:b/>
                <w:bCs/>
                <w:noProof/>
                <w:sz w:val="20"/>
                <w:szCs w:val="20"/>
                <w:lang w:eastAsia="en-IN"/>
              </w:rPr>
              <w:tab/>
            </w:r>
            <w:r w:rsidRPr="00F73A1B">
              <w:rPr>
                <w:rStyle w:val="Hyperlink"/>
                <w:rFonts w:ascii="Arial" w:hAnsi="Arial" w:cs="Arial"/>
                <w:b/>
                <w:bCs/>
                <w:noProof/>
                <w:sz w:val="20"/>
                <w:szCs w:val="20"/>
                <w:lang w:val="en-GB"/>
              </w:rPr>
              <w:t>Chapter 11 proceedings in the US</w:t>
            </w:r>
            <w:r w:rsidRPr="00F73A1B">
              <w:rPr>
                <w:rFonts w:ascii="Arial" w:hAnsi="Arial" w:cs="Arial"/>
                <w:b/>
                <w:bCs/>
                <w:noProof/>
                <w:webHidden/>
                <w:sz w:val="20"/>
                <w:szCs w:val="20"/>
              </w:rPr>
              <w:tab/>
            </w:r>
            <w:r w:rsidRPr="00F73A1B">
              <w:rPr>
                <w:rFonts w:ascii="Arial" w:hAnsi="Arial" w:cs="Arial"/>
                <w:b/>
                <w:bCs/>
                <w:noProof/>
                <w:webHidden/>
                <w:sz w:val="20"/>
                <w:szCs w:val="20"/>
              </w:rPr>
              <w:fldChar w:fldCharType="begin"/>
            </w:r>
            <w:r w:rsidRPr="00F73A1B">
              <w:rPr>
                <w:rFonts w:ascii="Arial" w:hAnsi="Arial" w:cs="Arial"/>
                <w:b/>
                <w:bCs/>
                <w:noProof/>
                <w:webHidden/>
                <w:sz w:val="20"/>
                <w:szCs w:val="20"/>
              </w:rPr>
              <w:instrText xml:space="preserve"> PAGEREF _Toc139801751 \h </w:instrText>
            </w:r>
            <w:r w:rsidRPr="00F73A1B">
              <w:rPr>
                <w:rFonts w:ascii="Arial" w:hAnsi="Arial" w:cs="Arial"/>
                <w:b/>
                <w:bCs/>
                <w:noProof/>
                <w:webHidden/>
                <w:sz w:val="20"/>
                <w:szCs w:val="20"/>
              </w:rPr>
            </w:r>
            <w:r w:rsidRPr="00F73A1B">
              <w:rPr>
                <w:rFonts w:ascii="Arial" w:hAnsi="Arial" w:cs="Arial"/>
                <w:b/>
                <w:bCs/>
                <w:noProof/>
                <w:webHidden/>
                <w:sz w:val="20"/>
                <w:szCs w:val="20"/>
              </w:rPr>
              <w:fldChar w:fldCharType="separate"/>
            </w:r>
            <w:r w:rsidRPr="00F73A1B">
              <w:rPr>
                <w:rFonts w:ascii="Arial" w:hAnsi="Arial" w:cs="Arial"/>
                <w:b/>
                <w:bCs/>
                <w:noProof/>
                <w:webHidden/>
                <w:sz w:val="20"/>
                <w:szCs w:val="20"/>
              </w:rPr>
              <w:t>2</w:t>
            </w:r>
            <w:r w:rsidRPr="00F73A1B">
              <w:rPr>
                <w:rFonts w:ascii="Arial" w:hAnsi="Arial" w:cs="Arial"/>
                <w:b/>
                <w:bCs/>
                <w:noProof/>
                <w:webHidden/>
                <w:sz w:val="20"/>
                <w:szCs w:val="20"/>
              </w:rPr>
              <w:fldChar w:fldCharType="end"/>
            </w:r>
          </w:hyperlink>
        </w:p>
        <w:p w14:paraId="7A3B8C74" w14:textId="2697A50B" w:rsidR="00F73A1B" w:rsidRPr="00F73A1B" w:rsidRDefault="00F73A1B" w:rsidP="00F73A1B">
          <w:pPr>
            <w:pStyle w:val="TOC2"/>
            <w:tabs>
              <w:tab w:val="left" w:pos="880"/>
              <w:tab w:val="right" w:leader="dot" w:pos="9016"/>
            </w:tabs>
            <w:spacing w:after="0" w:line="240" w:lineRule="auto"/>
            <w:rPr>
              <w:rFonts w:ascii="Arial" w:eastAsiaTheme="minorEastAsia" w:hAnsi="Arial" w:cs="Arial"/>
              <w:noProof/>
              <w:sz w:val="20"/>
              <w:szCs w:val="20"/>
              <w:lang w:eastAsia="en-IN"/>
            </w:rPr>
          </w:pPr>
          <w:hyperlink w:anchor="_Toc139801752" w:history="1">
            <w:r w:rsidRPr="00F73A1B">
              <w:rPr>
                <w:rStyle w:val="Hyperlink"/>
                <w:rFonts w:ascii="Arial" w:hAnsi="Arial" w:cs="Arial"/>
                <w:b/>
                <w:bCs/>
                <w:noProof/>
                <w:sz w:val="20"/>
                <w:szCs w:val="20"/>
                <w:lang w:val="en-GB"/>
              </w:rPr>
              <w:t>2.2</w:t>
            </w:r>
            <w:r w:rsidRPr="00F73A1B">
              <w:rPr>
                <w:rFonts w:ascii="Arial" w:eastAsiaTheme="minorEastAsia" w:hAnsi="Arial" w:cs="Arial"/>
                <w:b/>
                <w:bCs/>
                <w:noProof/>
                <w:sz w:val="20"/>
                <w:szCs w:val="20"/>
                <w:lang w:eastAsia="en-IN"/>
              </w:rPr>
              <w:tab/>
            </w:r>
            <w:r w:rsidRPr="00F73A1B">
              <w:rPr>
                <w:rStyle w:val="Hyperlink"/>
                <w:rFonts w:ascii="Arial" w:hAnsi="Arial" w:cs="Arial"/>
                <w:b/>
                <w:bCs/>
                <w:noProof/>
                <w:sz w:val="20"/>
                <w:szCs w:val="20"/>
                <w:lang w:val="en-GB"/>
              </w:rPr>
              <w:t>Reorganisation procedures in the UK</w:t>
            </w:r>
            <w:r w:rsidRPr="00F73A1B">
              <w:rPr>
                <w:rFonts w:ascii="Arial" w:hAnsi="Arial" w:cs="Arial"/>
                <w:b/>
                <w:bCs/>
                <w:noProof/>
                <w:webHidden/>
                <w:sz w:val="20"/>
                <w:szCs w:val="20"/>
              </w:rPr>
              <w:tab/>
            </w:r>
            <w:r w:rsidRPr="00F73A1B">
              <w:rPr>
                <w:rFonts w:ascii="Arial" w:hAnsi="Arial" w:cs="Arial"/>
                <w:b/>
                <w:bCs/>
                <w:noProof/>
                <w:webHidden/>
                <w:sz w:val="20"/>
                <w:szCs w:val="20"/>
              </w:rPr>
              <w:fldChar w:fldCharType="begin"/>
            </w:r>
            <w:r w:rsidRPr="00F73A1B">
              <w:rPr>
                <w:rFonts w:ascii="Arial" w:hAnsi="Arial" w:cs="Arial"/>
                <w:b/>
                <w:bCs/>
                <w:noProof/>
                <w:webHidden/>
                <w:sz w:val="20"/>
                <w:szCs w:val="20"/>
              </w:rPr>
              <w:instrText xml:space="preserve"> PAGEREF _Toc139801752 \h </w:instrText>
            </w:r>
            <w:r w:rsidRPr="00F73A1B">
              <w:rPr>
                <w:rFonts w:ascii="Arial" w:hAnsi="Arial" w:cs="Arial"/>
                <w:b/>
                <w:bCs/>
                <w:noProof/>
                <w:webHidden/>
                <w:sz w:val="20"/>
                <w:szCs w:val="20"/>
              </w:rPr>
            </w:r>
            <w:r w:rsidRPr="00F73A1B">
              <w:rPr>
                <w:rFonts w:ascii="Arial" w:hAnsi="Arial" w:cs="Arial"/>
                <w:b/>
                <w:bCs/>
                <w:noProof/>
                <w:webHidden/>
                <w:sz w:val="20"/>
                <w:szCs w:val="20"/>
              </w:rPr>
              <w:fldChar w:fldCharType="separate"/>
            </w:r>
            <w:r w:rsidRPr="00F73A1B">
              <w:rPr>
                <w:rFonts w:ascii="Arial" w:hAnsi="Arial" w:cs="Arial"/>
                <w:b/>
                <w:bCs/>
                <w:noProof/>
                <w:webHidden/>
                <w:sz w:val="20"/>
                <w:szCs w:val="20"/>
              </w:rPr>
              <w:t>2</w:t>
            </w:r>
            <w:r w:rsidRPr="00F73A1B">
              <w:rPr>
                <w:rFonts w:ascii="Arial" w:hAnsi="Arial" w:cs="Arial"/>
                <w:b/>
                <w:bCs/>
                <w:noProof/>
                <w:webHidden/>
                <w:sz w:val="20"/>
                <w:szCs w:val="20"/>
              </w:rPr>
              <w:fldChar w:fldCharType="end"/>
            </w:r>
          </w:hyperlink>
        </w:p>
        <w:p w14:paraId="59883CFE" w14:textId="3FD6733F" w:rsidR="00F73A1B" w:rsidRPr="00F73A1B" w:rsidRDefault="00F73A1B" w:rsidP="00F73A1B">
          <w:pPr>
            <w:pStyle w:val="TOC1"/>
            <w:tabs>
              <w:tab w:val="left" w:pos="440"/>
              <w:tab w:val="right" w:leader="dot" w:pos="9016"/>
            </w:tabs>
            <w:spacing w:after="0" w:line="240" w:lineRule="auto"/>
            <w:rPr>
              <w:rFonts w:ascii="Arial" w:eastAsiaTheme="minorEastAsia" w:hAnsi="Arial" w:cs="Arial"/>
              <w:noProof/>
              <w:sz w:val="20"/>
              <w:szCs w:val="20"/>
              <w:lang w:eastAsia="en-IN"/>
            </w:rPr>
          </w:pPr>
          <w:hyperlink w:anchor="_Toc139801753" w:history="1">
            <w:r w:rsidRPr="00F73A1B">
              <w:rPr>
                <w:rStyle w:val="Hyperlink"/>
                <w:rFonts w:ascii="Arial" w:hAnsi="Arial" w:cs="Arial"/>
                <w:b/>
                <w:bCs/>
                <w:noProof/>
                <w:sz w:val="20"/>
                <w:szCs w:val="20"/>
                <w:lang w:val="en-GB"/>
              </w:rPr>
              <w:t>3.</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Legal rules and case laws relevant to eligibility of foreign debtors</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_Toc139801753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4</w:t>
            </w:r>
            <w:r w:rsidRPr="00F73A1B">
              <w:rPr>
                <w:rFonts w:ascii="Arial" w:hAnsi="Arial" w:cs="Arial"/>
                <w:noProof/>
                <w:webHidden/>
                <w:sz w:val="20"/>
                <w:szCs w:val="20"/>
              </w:rPr>
              <w:fldChar w:fldCharType="end"/>
            </w:r>
          </w:hyperlink>
        </w:p>
        <w:p w14:paraId="5A98CA0B" w14:textId="54B796AB" w:rsidR="00F73A1B" w:rsidRPr="00F73A1B" w:rsidRDefault="00F73A1B" w:rsidP="00F73A1B">
          <w:pPr>
            <w:pStyle w:val="TOC2"/>
            <w:tabs>
              <w:tab w:val="left" w:pos="880"/>
              <w:tab w:val="right" w:leader="dot" w:pos="9016"/>
            </w:tabs>
            <w:spacing w:after="0" w:line="240" w:lineRule="auto"/>
            <w:rPr>
              <w:rFonts w:ascii="Arial" w:eastAsiaTheme="minorEastAsia" w:hAnsi="Arial" w:cs="Arial"/>
              <w:noProof/>
              <w:sz w:val="20"/>
              <w:szCs w:val="20"/>
              <w:lang w:eastAsia="en-IN"/>
            </w:rPr>
          </w:pPr>
          <w:hyperlink w:anchor="_Toc139801754" w:history="1">
            <w:r w:rsidRPr="00F73A1B">
              <w:rPr>
                <w:rStyle w:val="Hyperlink"/>
                <w:rFonts w:ascii="Arial" w:hAnsi="Arial" w:cs="Arial"/>
                <w:b/>
                <w:bCs/>
                <w:noProof/>
                <w:sz w:val="20"/>
                <w:szCs w:val="20"/>
                <w:lang w:val="en-GB"/>
              </w:rPr>
              <w:t>3.1</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US</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_Toc139801754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4</w:t>
            </w:r>
            <w:r w:rsidRPr="00F73A1B">
              <w:rPr>
                <w:rFonts w:ascii="Arial" w:hAnsi="Arial" w:cs="Arial"/>
                <w:noProof/>
                <w:webHidden/>
                <w:sz w:val="20"/>
                <w:szCs w:val="20"/>
              </w:rPr>
              <w:fldChar w:fldCharType="end"/>
            </w:r>
          </w:hyperlink>
        </w:p>
        <w:p w14:paraId="328BE5CF" w14:textId="566D6E08" w:rsidR="00F73A1B" w:rsidRPr="00F73A1B" w:rsidRDefault="00F73A1B" w:rsidP="00F73A1B">
          <w:pPr>
            <w:pStyle w:val="TOC3"/>
            <w:tabs>
              <w:tab w:val="left" w:pos="880"/>
              <w:tab w:val="right" w:leader="dot" w:pos="9016"/>
            </w:tabs>
            <w:spacing w:after="0" w:line="240" w:lineRule="auto"/>
            <w:rPr>
              <w:rFonts w:ascii="Arial" w:eastAsiaTheme="minorEastAsia" w:hAnsi="Arial" w:cs="Arial"/>
              <w:noProof/>
              <w:sz w:val="20"/>
              <w:szCs w:val="20"/>
              <w:lang w:eastAsia="en-IN"/>
            </w:rPr>
          </w:pPr>
          <w:hyperlink w:anchor="_Toc139801755" w:history="1">
            <w:r w:rsidRPr="00F73A1B">
              <w:rPr>
                <w:rStyle w:val="Hyperlink"/>
                <w:rFonts w:ascii="Arial" w:hAnsi="Arial" w:cs="Arial"/>
                <w:b/>
                <w:bCs/>
                <w:noProof/>
                <w:sz w:val="20"/>
                <w:szCs w:val="20"/>
                <w:lang w:val="en-GB"/>
              </w:rPr>
              <w:t>(i)</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Section 109(a) of the US Bankruptcy Code</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_Toc139801755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4</w:t>
            </w:r>
            <w:r w:rsidRPr="00F73A1B">
              <w:rPr>
                <w:rFonts w:ascii="Arial" w:hAnsi="Arial" w:cs="Arial"/>
                <w:noProof/>
                <w:webHidden/>
                <w:sz w:val="20"/>
                <w:szCs w:val="20"/>
              </w:rPr>
              <w:fldChar w:fldCharType="end"/>
            </w:r>
          </w:hyperlink>
        </w:p>
        <w:p w14:paraId="3BFBF98F" w14:textId="2A851D1A" w:rsidR="00F73A1B" w:rsidRPr="00F73A1B" w:rsidRDefault="00F73A1B" w:rsidP="00F73A1B">
          <w:pPr>
            <w:pStyle w:val="TOC3"/>
            <w:tabs>
              <w:tab w:val="left" w:pos="1100"/>
              <w:tab w:val="right" w:leader="dot" w:pos="9016"/>
            </w:tabs>
            <w:spacing w:after="0" w:line="240" w:lineRule="auto"/>
            <w:rPr>
              <w:rFonts w:ascii="Arial" w:eastAsiaTheme="minorEastAsia" w:hAnsi="Arial" w:cs="Arial"/>
              <w:noProof/>
              <w:sz w:val="20"/>
              <w:szCs w:val="20"/>
              <w:lang w:eastAsia="en-IN"/>
            </w:rPr>
          </w:pPr>
          <w:hyperlink w:anchor="_Toc139801756" w:history="1">
            <w:r w:rsidRPr="00F73A1B">
              <w:rPr>
                <w:rStyle w:val="Hyperlink"/>
                <w:rFonts w:ascii="Arial" w:hAnsi="Arial" w:cs="Arial"/>
                <w:b/>
                <w:bCs/>
                <w:noProof/>
                <w:sz w:val="20"/>
                <w:szCs w:val="20"/>
                <w:lang w:val="en-GB"/>
              </w:rPr>
              <w:t>(ii)</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What qualifies as “property”?</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_Toc139801756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4</w:t>
            </w:r>
            <w:r w:rsidRPr="00F73A1B">
              <w:rPr>
                <w:rFonts w:ascii="Arial" w:hAnsi="Arial" w:cs="Arial"/>
                <w:noProof/>
                <w:webHidden/>
                <w:sz w:val="20"/>
                <w:szCs w:val="20"/>
              </w:rPr>
              <w:fldChar w:fldCharType="end"/>
            </w:r>
          </w:hyperlink>
        </w:p>
        <w:p w14:paraId="4CA1C81A" w14:textId="4276D877" w:rsidR="00F73A1B" w:rsidRPr="00F73A1B" w:rsidRDefault="00F73A1B" w:rsidP="00F73A1B">
          <w:pPr>
            <w:pStyle w:val="TOC3"/>
            <w:tabs>
              <w:tab w:val="left" w:pos="1100"/>
              <w:tab w:val="right" w:leader="dot" w:pos="9016"/>
            </w:tabs>
            <w:spacing w:after="0" w:line="240" w:lineRule="auto"/>
            <w:rPr>
              <w:rFonts w:ascii="Arial" w:eastAsiaTheme="minorEastAsia" w:hAnsi="Arial" w:cs="Arial"/>
              <w:noProof/>
              <w:sz w:val="20"/>
              <w:szCs w:val="20"/>
              <w:lang w:eastAsia="en-IN"/>
            </w:rPr>
          </w:pPr>
          <w:hyperlink w:anchor="_Toc139801757" w:history="1">
            <w:r w:rsidRPr="00F73A1B">
              <w:rPr>
                <w:rStyle w:val="Hyperlink"/>
                <w:rFonts w:ascii="Arial" w:hAnsi="Arial" w:cs="Arial"/>
                <w:b/>
                <w:bCs/>
                <w:noProof/>
                <w:sz w:val="20"/>
                <w:szCs w:val="20"/>
                <w:lang w:val="en-GB"/>
              </w:rPr>
              <w:t>(iii)</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Potential reasons for dismissal</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_Toc139801757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5</w:t>
            </w:r>
            <w:r w:rsidRPr="00F73A1B">
              <w:rPr>
                <w:rFonts w:ascii="Arial" w:hAnsi="Arial" w:cs="Arial"/>
                <w:noProof/>
                <w:webHidden/>
                <w:sz w:val="20"/>
                <w:szCs w:val="20"/>
              </w:rPr>
              <w:fldChar w:fldCharType="end"/>
            </w:r>
          </w:hyperlink>
        </w:p>
        <w:p w14:paraId="75866F86" w14:textId="7567315E" w:rsidR="00F73A1B" w:rsidRPr="00F73A1B" w:rsidRDefault="00F73A1B" w:rsidP="00F73A1B">
          <w:pPr>
            <w:pStyle w:val="TOC2"/>
            <w:tabs>
              <w:tab w:val="left" w:pos="880"/>
              <w:tab w:val="right" w:leader="dot" w:pos="9016"/>
            </w:tabs>
            <w:spacing w:after="0" w:line="240" w:lineRule="auto"/>
            <w:rPr>
              <w:rFonts w:ascii="Arial" w:eastAsiaTheme="minorEastAsia" w:hAnsi="Arial" w:cs="Arial"/>
              <w:noProof/>
              <w:sz w:val="20"/>
              <w:szCs w:val="20"/>
              <w:lang w:eastAsia="en-IN"/>
            </w:rPr>
          </w:pPr>
          <w:hyperlink w:anchor="_Toc139801758" w:history="1">
            <w:r w:rsidRPr="00F73A1B">
              <w:rPr>
                <w:rStyle w:val="Hyperlink"/>
                <w:rFonts w:ascii="Arial" w:hAnsi="Arial" w:cs="Arial"/>
                <w:b/>
                <w:bCs/>
                <w:noProof/>
                <w:sz w:val="20"/>
                <w:szCs w:val="20"/>
                <w:lang w:val="en-GB"/>
              </w:rPr>
              <w:t>3.2</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UK</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_Toc139801758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6</w:t>
            </w:r>
            <w:r w:rsidRPr="00F73A1B">
              <w:rPr>
                <w:rFonts w:ascii="Arial" w:hAnsi="Arial" w:cs="Arial"/>
                <w:noProof/>
                <w:webHidden/>
                <w:sz w:val="20"/>
                <w:szCs w:val="20"/>
              </w:rPr>
              <w:fldChar w:fldCharType="end"/>
            </w:r>
          </w:hyperlink>
        </w:p>
        <w:p w14:paraId="41715EF7" w14:textId="2E3DDE26" w:rsidR="00F73A1B" w:rsidRPr="00F73A1B" w:rsidRDefault="00F73A1B" w:rsidP="00F73A1B">
          <w:pPr>
            <w:pStyle w:val="TOC3"/>
            <w:tabs>
              <w:tab w:val="left" w:pos="880"/>
              <w:tab w:val="right" w:leader="dot" w:pos="9016"/>
            </w:tabs>
            <w:spacing w:after="0" w:line="240" w:lineRule="auto"/>
            <w:rPr>
              <w:rFonts w:ascii="Arial" w:eastAsiaTheme="minorEastAsia" w:hAnsi="Arial" w:cs="Arial"/>
              <w:noProof/>
              <w:sz w:val="20"/>
              <w:szCs w:val="20"/>
              <w:lang w:eastAsia="en-IN"/>
            </w:rPr>
          </w:pPr>
          <w:hyperlink w:anchor="_Toc139801759" w:history="1">
            <w:r w:rsidRPr="00F73A1B">
              <w:rPr>
                <w:rStyle w:val="Hyperlink"/>
                <w:rFonts w:ascii="Arial" w:hAnsi="Arial" w:cs="Arial"/>
                <w:b/>
                <w:noProof/>
                <w:sz w:val="20"/>
                <w:szCs w:val="20"/>
                <w:lang w:val="en-GB"/>
              </w:rPr>
              <w:t>(i)</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Eligibility requirements for SOAs and RPs</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_Toc139801759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6</w:t>
            </w:r>
            <w:r w:rsidRPr="00F73A1B">
              <w:rPr>
                <w:rFonts w:ascii="Arial" w:hAnsi="Arial" w:cs="Arial"/>
                <w:noProof/>
                <w:webHidden/>
                <w:sz w:val="20"/>
                <w:szCs w:val="20"/>
              </w:rPr>
              <w:fldChar w:fldCharType="end"/>
            </w:r>
          </w:hyperlink>
        </w:p>
        <w:p w14:paraId="35550A2A" w14:textId="42E34824" w:rsidR="00F73A1B" w:rsidRPr="00F73A1B" w:rsidRDefault="00F73A1B" w:rsidP="00F73A1B">
          <w:pPr>
            <w:pStyle w:val="TOC3"/>
            <w:tabs>
              <w:tab w:val="left" w:pos="1100"/>
              <w:tab w:val="right" w:leader="dot" w:pos="9016"/>
            </w:tabs>
            <w:spacing w:after="0" w:line="240" w:lineRule="auto"/>
            <w:rPr>
              <w:rFonts w:ascii="Arial" w:eastAsiaTheme="minorEastAsia" w:hAnsi="Arial" w:cs="Arial"/>
              <w:noProof/>
              <w:sz w:val="20"/>
              <w:szCs w:val="20"/>
              <w:lang w:eastAsia="en-IN"/>
            </w:rPr>
          </w:pPr>
          <w:hyperlink w:anchor="_Toc139801760" w:history="1">
            <w:r w:rsidRPr="00F73A1B">
              <w:rPr>
                <w:rStyle w:val="Hyperlink"/>
                <w:rFonts w:ascii="Arial" w:hAnsi="Arial" w:cs="Arial"/>
                <w:b/>
                <w:noProof/>
                <w:sz w:val="20"/>
                <w:szCs w:val="20"/>
                <w:lang w:val="en-GB"/>
              </w:rPr>
              <w:t>(ii)</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‘COMI’ shift</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_Toc139801760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7</w:t>
            </w:r>
            <w:r w:rsidRPr="00F73A1B">
              <w:rPr>
                <w:rFonts w:ascii="Arial" w:hAnsi="Arial" w:cs="Arial"/>
                <w:noProof/>
                <w:webHidden/>
                <w:sz w:val="20"/>
                <w:szCs w:val="20"/>
              </w:rPr>
              <w:fldChar w:fldCharType="end"/>
            </w:r>
          </w:hyperlink>
        </w:p>
        <w:p w14:paraId="1A73BE55" w14:textId="5C1033F0" w:rsidR="00F73A1B" w:rsidRPr="00F73A1B" w:rsidRDefault="00F73A1B" w:rsidP="00F73A1B">
          <w:pPr>
            <w:pStyle w:val="TOC1"/>
            <w:tabs>
              <w:tab w:val="left" w:pos="440"/>
              <w:tab w:val="right" w:leader="dot" w:pos="9016"/>
            </w:tabs>
            <w:spacing w:after="0" w:line="240" w:lineRule="auto"/>
            <w:rPr>
              <w:rFonts w:ascii="Arial" w:eastAsiaTheme="minorEastAsia" w:hAnsi="Arial" w:cs="Arial"/>
              <w:noProof/>
              <w:sz w:val="20"/>
              <w:szCs w:val="20"/>
              <w:lang w:eastAsia="en-IN"/>
            </w:rPr>
          </w:pPr>
          <w:hyperlink w:anchor="_Toc139801761" w:history="1">
            <w:r w:rsidRPr="00F73A1B">
              <w:rPr>
                <w:rStyle w:val="Hyperlink"/>
                <w:rFonts w:ascii="Arial" w:hAnsi="Arial" w:cs="Arial"/>
                <w:b/>
                <w:bCs/>
                <w:noProof/>
                <w:sz w:val="20"/>
                <w:szCs w:val="20"/>
                <w:lang w:val="en-GB"/>
              </w:rPr>
              <w:t>4.</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Enforcement of US or UK court rulings elsewhere</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_Toc139801761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8</w:t>
            </w:r>
            <w:r w:rsidRPr="00F73A1B">
              <w:rPr>
                <w:rFonts w:ascii="Arial" w:hAnsi="Arial" w:cs="Arial"/>
                <w:noProof/>
                <w:webHidden/>
                <w:sz w:val="20"/>
                <w:szCs w:val="20"/>
              </w:rPr>
              <w:fldChar w:fldCharType="end"/>
            </w:r>
          </w:hyperlink>
        </w:p>
        <w:p w14:paraId="65598AE2" w14:textId="3F93B038" w:rsidR="00F73A1B" w:rsidRPr="00F73A1B" w:rsidRDefault="00F73A1B" w:rsidP="00F73A1B">
          <w:pPr>
            <w:pStyle w:val="TOC2"/>
            <w:tabs>
              <w:tab w:val="left" w:pos="880"/>
              <w:tab w:val="right" w:leader="dot" w:pos="9016"/>
            </w:tabs>
            <w:spacing w:after="0" w:line="240" w:lineRule="auto"/>
            <w:rPr>
              <w:rFonts w:ascii="Arial" w:eastAsiaTheme="minorEastAsia" w:hAnsi="Arial" w:cs="Arial"/>
              <w:noProof/>
              <w:sz w:val="20"/>
              <w:szCs w:val="20"/>
              <w:lang w:eastAsia="en-IN"/>
            </w:rPr>
          </w:pPr>
          <w:hyperlink w:anchor="_Toc139801762" w:history="1">
            <w:r w:rsidRPr="00F73A1B">
              <w:rPr>
                <w:rStyle w:val="Hyperlink"/>
                <w:rFonts w:ascii="Arial" w:hAnsi="Arial" w:cs="Arial"/>
                <w:b/>
                <w:bCs/>
                <w:noProof/>
                <w:sz w:val="20"/>
                <w:szCs w:val="20"/>
                <w:lang w:val="en-GB"/>
              </w:rPr>
              <w:t>4.1</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General Framework for recognition and enforcement of insolvency proceedings and judgments</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_Toc139801762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8</w:t>
            </w:r>
            <w:r w:rsidRPr="00F73A1B">
              <w:rPr>
                <w:rFonts w:ascii="Arial" w:hAnsi="Arial" w:cs="Arial"/>
                <w:noProof/>
                <w:webHidden/>
                <w:sz w:val="20"/>
                <w:szCs w:val="20"/>
              </w:rPr>
              <w:fldChar w:fldCharType="end"/>
            </w:r>
          </w:hyperlink>
        </w:p>
        <w:p w14:paraId="3731EF4C" w14:textId="347C42D1" w:rsidR="00F73A1B" w:rsidRPr="00F73A1B" w:rsidRDefault="00F73A1B" w:rsidP="00F73A1B">
          <w:pPr>
            <w:pStyle w:val="TOC2"/>
            <w:tabs>
              <w:tab w:val="left" w:pos="880"/>
              <w:tab w:val="right" w:leader="dot" w:pos="9016"/>
            </w:tabs>
            <w:spacing w:after="0" w:line="240" w:lineRule="auto"/>
            <w:rPr>
              <w:rFonts w:ascii="Arial" w:eastAsiaTheme="minorEastAsia" w:hAnsi="Arial" w:cs="Arial"/>
              <w:noProof/>
              <w:sz w:val="20"/>
              <w:szCs w:val="20"/>
              <w:lang w:eastAsia="en-IN"/>
            </w:rPr>
          </w:pPr>
          <w:hyperlink w:anchor="_Toc139801763" w:history="1">
            <w:r w:rsidRPr="00F73A1B">
              <w:rPr>
                <w:rStyle w:val="Hyperlink"/>
                <w:rFonts w:ascii="Arial" w:hAnsi="Arial" w:cs="Arial"/>
                <w:b/>
                <w:bCs/>
                <w:noProof/>
                <w:sz w:val="20"/>
                <w:szCs w:val="20"/>
                <w:lang w:val="en-GB"/>
              </w:rPr>
              <w:t>4.2</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US</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_Toc139801763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9</w:t>
            </w:r>
            <w:r w:rsidRPr="00F73A1B">
              <w:rPr>
                <w:rFonts w:ascii="Arial" w:hAnsi="Arial" w:cs="Arial"/>
                <w:noProof/>
                <w:webHidden/>
                <w:sz w:val="20"/>
                <w:szCs w:val="20"/>
              </w:rPr>
              <w:fldChar w:fldCharType="end"/>
            </w:r>
          </w:hyperlink>
        </w:p>
        <w:p w14:paraId="11B5FF5E" w14:textId="37261AF4" w:rsidR="00F73A1B" w:rsidRPr="00F73A1B" w:rsidRDefault="00F73A1B" w:rsidP="00F73A1B">
          <w:pPr>
            <w:pStyle w:val="TOC2"/>
            <w:tabs>
              <w:tab w:val="left" w:pos="880"/>
              <w:tab w:val="right" w:leader="dot" w:pos="9016"/>
            </w:tabs>
            <w:spacing w:after="0" w:line="240" w:lineRule="auto"/>
            <w:rPr>
              <w:rFonts w:ascii="Arial" w:eastAsiaTheme="minorEastAsia" w:hAnsi="Arial" w:cs="Arial"/>
              <w:noProof/>
              <w:sz w:val="20"/>
              <w:szCs w:val="20"/>
              <w:lang w:eastAsia="en-IN"/>
            </w:rPr>
          </w:pPr>
          <w:hyperlink w:anchor="_Toc139801764" w:history="1">
            <w:r w:rsidRPr="00F73A1B">
              <w:rPr>
                <w:rStyle w:val="Hyperlink"/>
                <w:rFonts w:ascii="Arial" w:hAnsi="Arial" w:cs="Arial"/>
                <w:b/>
                <w:bCs/>
                <w:noProof/>
                <w:sz w:val="20"/>
                <w:szCs w:val="20"/>
                <w:lang w:val="en-GB"/>
              </w:rPr>
              <w:t>4.3</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UK</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_Toc139801764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9</w:t>
            </w:r>
            <w:r w:rsidRPr="00F73A1B">
              <w:rPr>
                <w:rFonts w:ascii="Arial" w:hAnsi="Arial" w:cs="Arial"/>
                <w:noProof/>
                <w:webHidden/>
                <w:sz w:val="20"/>
                <w:szCs w:val="20"/>
              </w:rPr>
              <w:fldChar w:fldCharType="end"/>
            </w:r>
          </w:hyperlink>
        </w:p>
        <w:p w14:paraId="0E127AF0" w14:textId="49F25B57" w:rsidR="00F73A1B" w:rsidRPr="00F73A1B" w:rsidRDefault="00F73A1B" w:rsidP="00F73A1B">
          <w:pPr>
            <w:pStyle w:val="TOC1"/>
            <w:tabs>
              <w:tab w:val="left" w:pos="440"/>
              <w:tab w:val="right" w:leader="dot" w:pos="9016"/>
            </w:tabs>
            <w:spacing w:after="0" w:line="240" w:lineRule="auto"/>
            <w:rPr>
              <w:rFonts w:ascii="Arial" w:eastAsiaTheme="minorEastAsia" w:hAnsi="Arial" w:cs="Arial"/>
              <w:noProof/>
              <w:sz w:val="20"/>
              <w:szCs w:val="20"/>
              <w:lang w:eastAsia="en-IN"/>
            </w:rPr>
          </w:pPr>
          <w:hyperlink w:anchor="_Toc139801765" w:history="1">
            <w:r w:rsidRPr="00F73A1B">
              <w:rPr>
                <w:rStyle w:val="Hyperlink"/>
                <w:rFonts w:ascii="Arial" w:hAnsi="Arial" w:cs="Arial"/>
                <w:b/>
                <w:bCs/>
                <w:noProof/>
                <w:sz w:val="20"/>
                <w:szCs w:val="20"/>
                <w:lang w:val="en-GB"/>
              </w:rPr>
              <w:t>5.</w:t>
            </w:r>
            <w:r w:rsidRPr="00F73A1B">
              <w:rPr>
                <w:rFonts w:ascii="Arial" w:eastAsiaTheme="minorEastAsia" w:hAnsi="Arial" w:cs="Arial"/>
                <w:noProof/>
                <w:sz w:val="20"/>
                <w:szCs w:val="20"/>
                <w:lang w:eastAsia="en-IN"/>
              </w:rPr>
              <w:tab/>
            </w:r>
            <w:r w:rsidRPr="00F73A1B">
              <w:rPr>
                <w:rStyle w:val="Hyperlink"/>
                <w:rFonts w:ascii="Arial" w:hAnsi="Arial" w:cs="Arial"/>
                <w:b/>
                <w:bCs/>
                <w:noProof/>
                <w:sz w:val="20"/>
                <w:szCs w:val="20"/>
                <w:lang w:val="en-GB"/>
              </w:rPr>
              <w:t>Conclusion</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_Toc139801765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10</w:t>
            </w:r>
            <w:r w:rsidRPr="00F73A1B">
              <w:rPr>
                <w:rFonts w:ascii="Arial" w:hAnsi="Arial" w:cs="Arial"/>
                <w:noProof/>
                <w:webHidden/>
                <w:sz w:val="20"/>
                <w:szCs w:val="20"/>
              </w:rPr>
              <w:fldChar w:fldCharType="end"/>
            </w:r>
          </w:hyperlink>
        </w:p>
        <w:p w14:paraId="76030F18" w14:textId="2AB763CC" w:rsidR="00F73A1B" w:rsidRPr="00F73A1B" w:rsidRDefault="00F73A1B" w:rsidP="00F73A1B">
          <w:pPr>
            <w:pStyle w:val="TOC1"/>
            <w:tabs>
              <w:tab w:val="right" w:leader="dot" w:pos="9016"/>
            </w:tabs>
            <w:spacing w:after="0" w:line="240" w:lineRule="auto"/>
            <w:rPr>
              <w:rFonts w:ascii="Arial" w:eastAsiaTheme="minorEastAsia" w:hAnsi="Arial" w:cs="Arial"/>
              <w:noProof/>
              <w:sz w:val="20"/>
              <w:szCs w:val="20"/>
              <w:lang w:eastAsia="en-IN"/>
            </w:rPr>
          </w:pPr>
          <w:hyperlink w:anchor="_Toc139801766" w:history="1">
            <w:r w:rsidRPr="00F73A1B">
              <w:rPr>
                <w:rStyle w:val="Hyperlink"/>
                <w:rFonts w:ascii="Arial" w:hAnsi="Arial" w:cs="Arial"/>
                <w:b/>
                <w:bCs/>
                <w:noProof/>
                <w:sz w:val="20"/>
                <w:szCs w:val="20"/>
                <w:lang w:val="en-GB"/>
              </w:rPr>
              <w:t>Bibliography</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_Toc139801766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12</w:t>
            </w:r>
            <w:r w:rsidRPr="00F73A1B">
              <w:rPr>
                <w:rFonts w:ascii="Arial" w:hAnsi="Arial" w:cs="Arial"/>
                <w:noProof/>
                <w:webHidden/>
                <w:sz w:val="20"/>
                <w:szCs w:val="20"/>
              </w:rPr>
              <w:fldChar w:fldCharType="end"/>
            </w:r>
          </w:hyperlink>
        </w:p>
        <w:p w14:paraId="6E66F79D" w14:textId="7E5A8EA3" w:rsidR="00F73A1B" w:rsidRPr="00F73A1B" w:rsidRDefault="00F73A1B" w:rsidP="00F73A1B">
          <w:pPr>
            <w:pStyle w:val="TOC1"/>
            <w:tabs>
              <w:tab w:val="right" w:leader="dot" w:pos="9016"/>
            </w:tabs>
            <w:spacing w:after="0" w:line="240" w:lineRule="auto"/>
            <w:rPr>
              <w:rFonts w:ascii="Arial" w:eastAsiaTheme="minorEastAsia" w:hAnsi="Arial" w:cs="Arial"/>
              <w:noProof/>
              <w:sz w:val="20"/>
              <w:szCs w:val="20"/>
              <w:lang w:eastAsia="en-IN"/>
            </w:rPr>
          </w:pPr>
          <w:hyperlink w:anchor="_Toc139801767" w:history="1">
            <w:r w:rsidRPr="00F73A1B">
              <w:rPr>
                <w:rStyle w:val="Hyperlink"/>
                <w:rFonts w:ascii="Arial" w:hAnsi="Arial" w:cs="Arial"/>
                <w:b/>
                <w:bCs/>
                <w:noProof/>
                <w:sz w:val="20"/>
                <w:szCs w:val="20"/>
                <w:lang w:val="en-GB"/>
              </w:rPr>
              <w:t>Author statement</w:t>
            </w:r>
            <w:r w:rsidRPr="00F73A1B">
              <w:rPr>
                <w:rFonts w:ascii="Arial" w:hAnsi="Arial" w:cs="Arial"/>
                <w:noProof/>
                <w:webHidden/>
                <w:sz w:val="20"/>
                <w:szCs w:val="20"/>
              </w:rPr>
              <w:tab/>
            </w:r>
            <w:r w:rsidRPr="00F73A1B">
              <w:rPr>
                <w:rFonts w:ascii="Arial" w:hAnsi="Arial" w:cs="Arial"/>
                <w:noProof/>
                <w:webHidden/>
                <w:sz w:val="20"/>
                <w:szCs w:val="20"/>
              </w:rPr>
              <w:fldChar w:fldCharType="begin"/>
            </w:r>
            <w:r w:rsidRPr="00F73A1B">
              <w:rPr>
                <w:rFonts w:ascii="Arial" w:hAnsi="Arial" w:cs="Arial"/>
                <w:noProof/>
                <w:webHidden/>
                <w:sz w:val="20"/>
                <w:szCs w:val="20"/>
              </w:rPr>
              <w:instrText xml:space="preserve"> PAGEREF _Toc139801767 \h </w:instrText>
            </w:r>
            <w:r w:rsidRPr="00F73A1B">
              <w:rPr>
                <w:rFonts w:ascii="Arial" w:hAnsi="Arial" w:cs="Arial"/>
                <w:noProof/>
                <w:webHidden/>
                <w:sz w:val="20"/>
                <w:szCs w:val="20"/>
              </w:rPr>
            </w:r>
            <w:r w:rsidRPr="00F73A1B">
              <w:rPr>
                <w:rFonts w:ascii="Arial" w:hAnsi="Arial" w:cs="Arial"/>
                <w:noProof/>
                <w:webHidden/>
                <w:sz w:val="20"/>
                <w:szCs w:val="20"/>
              </w:rPr>
              <w:fldChar w:fldCharType="separate"/>
            </w:r>
            <w:r w:rsidRPr="00F73A1B">
              <w:rPr>
                <w:rFonts w:ascii="Arial" w:hAnsi="Arial" w:cs="Arial"/>
                <w:noProof/>
                <w:webHidden/>
                <w:sz w:val="20"/>
                <w:szCs w:val="20"/>
              </w:rPr>
              <w:t>13</w:t>
            </w:r>
            <w:r w:rsidRPr="00F73A1B">
              <w:rPr>
                <w:rFonts w:ascii="Arial" w:hAnsi="Arial" w:cs="Arial"/>
                <w:noProof/>
                <w:webHidden/>
                <w:sz w:val="20"/>
                <w:szCs w:val="20"/>
              </w:rPr>
              <w:fldChar w:fldCharType="end"/>
            </w:r>
          </w:hyperlink>
        </w:p>
        <w:p w14:paraId="4AB58359" w14:textId="7F363173" w:rsidR="00C5261B" w:rsidRDefault="00516235" w:rsidP="00F73A1B">
          <w:pPr>
            <w:widowControl w:val="0"/>
            <w:spacing w:after="0" w:line="240" w:lineRule="auto"/>
            <w:rPr>
              <w:rFonts w:ascii="Arial" w:hAnsi="Arial" w:cs="Arial"/>
              <w:b/>
              <w:bCs/>
              <w:noProof/>
            </w:rPr>
          </w:pPr>
          <w:r w:rsidRPr="00F73A1B">
            <w:rPr>
              <w:rFonts w:ascii="Arial" w:hAnsi="Arial" w:cs="Arial"/>
              <w:b/>
              <w:bCs/>
              <w:noProof/>
              <w:sz w:val="20"/>
              <w:szCs w:val="20"/>
            </w:rPr>
            <w:fldChar w:fldCharType="end"/>
          </w:r>
        </w:p>
      </w:sdtContent>
    </w:sdt>
    <w:p w14:paraId="3555B532" w14:textId="07BBCD09" w:rsidR="00A96F1F" w:rsidRPr="00E87355" w:rsidRDefault="00A96F1F" w:rsidP="00E43E63">
      <w:pPr>
        <w:pStyle w:val="ListParagraph"/>
        <w:widowControl w:val="0"/>
        <w:numPr>
          <w:ilvl w:val="0"/>
          <w:numId w:val="2"/>
        </w:numPr>
        <w:spacing w:after="120" w:line="360" w:lineRule="auto"/>
        <w:ind w:left="357" w:hanging="357"/>
        <w:outlineLvl w:val="0"/>
        <w:rPr>
          <w:rFonts w:ascii="Arial" w:hAnsi="Arial" w:cs="Arial"/>
          <w:b/>
          <w:bCs/>
          <w:lang w:val="en-GB"/>
        </w:rPr>
      </w:pPr>
      <w:bookmarkStart w:id="0" w:name="_Toc139801749"/>
      <w:r w:rsidRPr="00E87355">
        <w:rPr>
          <w:rFonts w:ascii="Arial" w:hAnsi="Arial" w:cs="Arial"/>
          <w:b/>
          <w:bCs/>
          <w:lang w:val="en-GB"/>
        </w:rPr>
        <w:t>Introduction</w:t>
      </w:r>
      <w:bookmarkEnd w:id="0"/>
    </w:p>
    <w:p w14:paraId="512CC43E" w14:textId="4CE93B21" w:rsidR="00A3535B" w:rsidRPr="00E87355" w:rsidRDefault="00A3535B" w:rsidP="00E43E63">
      <w:pPr>
        <w:widowControl w:val="0"/>
        <w:spacing w:after="120" w:line="360" w:lineRule="auto"/>
        <w:jc w:val="both"/>
        <w:rPr>
          <w:rFonts w:ascii="Arial" w:hAnsi="Arial" w:cs="Arial"/>
          <w:lang w:val="en-GB"/>
        </w:rPr>
      </w:pPr>
      <w:r w:rsidRPr="00E87355">
        <w:rPr>
          <w:rFonts w:ascii="Arial" w:hAnsi="Arial" w:cs="Arial"/>
          <w:lang w:val="en-GB"/>
        </w:rPr>
        <w:t>Sophisticated systems and s</w:t>
      </w:r>
      <w:r w:rsidR="002445CE" w:rsidRPr="00E87355">
        <w:rPr>
          <w:rFonts w:ascii="Arial" w:hAnsi="Arial" w:cs="Arial"/>
          <w:lang w:val="en-GB"/>
        </w:rPr>
        <w:t xml:space="preserve">ubstantive advantages offered by </w:t>
      </w:r>
      <w:r w:rsidR="00F532E3" w:rsidRPr="00E87355">
        <w:rPr>
          <w:rFonts w:ascii="Arial" w:hAnsi="Arial" w:cs="Arial"/>
          <w:lang w:val="en-GB"/>
        </w:rPr>
        <w:t>different</w:t>
      </w:r>
      <w:r w:rsidR="002445CE" w:rsidRPr="00E87355">
        <w:rPr>
          <w:rFonts w:ascii="Arial" w:hAnsi="Arial" w:cs="Arial"/>
          <w:lang w:val="en-GB"/>
        </w:rPr>
        <w:t xml:space="preserve"> restructuring regimes </w:t>
      </w:r>
      <w:r w:rsidR="005C5D1D" w:rsidRPr="00E87355">
        <w:rPr>
          <w:rFonts w:ascii="Arial" w:hAnsi="Arial" w:cs="Arial"/>
          <w:lang w:val="en-GB"/>
        </w:rPr>
        <w:t xml:space="preserve">can </w:t>
      </w:r>
      <w:r w:rsidRPr="00E87355">
        <w:rPr>
          <w:rFonts w:ascii="Arial" w:hAnsi="Arial" w:cs="Arial"/>
          <w:lang w:val="en-GB"/>
        </w:rPr>
        <w:t>attract</w:t>
      </w:r>
      <w:r w:rsidR="002445CE" w:rsidRPr="00E87355">
        <w:rPr>
          <w:rFonts w:ascii="Arial" w:hAnsi="Arial" w:cs="Arial"/>
          <w:lang w:val="en-GB"/>
        </w:rPr>
        <w:t xml:space="preserve"> debtors to </w:t>
      </w:r>
      <w:r w:rsidRPr="00E87355">
        <w:rPr>
          <w:rFonts w:ascii="Arial" w:hAnsi="Arial" w:cs="Arial"/>
          <w:lang w:val="en-GB"/>
        </w:rPr>
        <w:t xml:space="preserve">restructure under </w:t>
      </w:r>
      <w:r w:rsidR="002445CE" w:rsidRPr="00E87355">
        <w:rPr>
          <w:rFonts w:ascii="Arial" w:hAnsi="Arial" w:cs="Arial"/>
          <w:lang w:val="en-GB"/>
        </w:rPr>
        <w:t>foreign restructuring system</w:t>
      </w:r>
      <w:r w:rsidR="009A5247" w:rsidRPr="00E87355">
        <w:rPr>
          <w:rFonts w:ascii="Arial" w:hAnsi="Arial" w:cs="Arial"/>
          <w:lang w:val="en-GB"/>
        </w:rPr>
        <w:t>s instead of their home jurisdiction</w:t>
      </w:r>
      <w:r w:rsidR="002445CE" w:rsidRPr="00E87355">
        <w:rPr>
          <w:rFonts w:ascii="Arial" w:hAnsi="Arial" w:cs="Arial"/>
          <w:lang w:val="en-GB"/>
        </w:rPr>
        <w:t xml:space="preserve">. </w:t>
      </w:r>
      <w:r w:rsidR="005C5D1D" w:rsidRPr="00E87355">
        <w:rPr>
          <w:rFonts w:ascii="Arial" w:hAnsi="Arial" w:cs="Arial"/>
          <w:lang w:val="en-GB"/>
        </w:rPr>
        <w:t>Beneficial features that may attract debtors</w:t>
      </w:r>
      <w:r w:rsidR="005F22FE" w:rsidRPr="00E87355">
        <w:rPr>
          <w:rFonts w:ascii="Arial" w:hAnsi="Arial" w:cs="Arial"/>
          <w:lang w:val="en-GB"/>
        </w:rPr>
        <w:t xml:space="preserve"> to utilise foreign restructuring regimes</w:t>
      </w:r>
      <w:r w:rsidR="005C5D1D" w:rsidRPr="00E87355">
        <w:rPr>
          <w:rFonts w:ascii="Arial" w:hAnsi="Arial" w:cs="Arial"/>
          <w:lang w:val="en-GB"/>
        </w:rPr>
        <w:t xml:space="preserve"> </w:t>
      </w:r>
      <w:r w:rsidR="00F532E3" w:rsidRPr="00E87355">
        <w:rPr>
          <w:rFonts w:ascii="Arial" w:hAnsi="Arial" w:cs="Arial"/>
          <w:lang w:val="en-GB"/>
        </w:rPr>
        <w:t xml:space="preserve">include: debtor-in-possession restructuring models, cram-down mechanisms for creditors, world-wide stay on enforcement actions, efficient and sophisticated </w:t>
      </w:r>
      <w:r w:rsidRPr="00E87355">
        <w:rPr>
          <w:rFonts w:ascii="Arial" w:hAnsi="Arial" w:cs="Arial"/>
          <w:lang w:val="en-GB"/>
        </w:rPr>
        <w:t>judicial systems</w:t>
      </w:r>
      <w:r w:rsidR="00F532E3" w:rsidRPr="00E87355">
        <w:rPr>
          <w:rFonts w:ascii="Arial" w:hAnsi="Arial" w:cs="Arial"/>
          <w:lang w:val="en-GB"/>
        </w:rPr>
        <w:t>.</w:t>
      </w:r>
      <w:r w:rsidR="007E6198" w:rsidRPr="00E87355">
        <w:rPr>
          <w:rFonts w:ascii="Arial" w:hAnsi="Arial" w:cs="Arial"/>
          <w:lang w:val="en-GB"/>
        </w:rPr>
        <w:t xml:space="preserve"> </w:t>
      </w:r>
    </w:p>
    <w:p w14:paraId="654DAF42" w14:textId="77777777" w:rsidR="00E20181" w:rsidRPr="00E87355" w:rsidRDefault="002445CE" w:rsidP="00E43E63">
      <w:pPr>
        <w:widowControl w:val="0"/>
        <w:spacing w:after="120" w:line="360" w:lineRule="auto"/>
        <w:jc w:val="both"/>
        <w:rPr>
          <w:rFonts w:ascii="Arial" w:hAnsi="Arial" w:cs="Arial"/>
          <w:lang w:val="en-GB"/>
        </w:rPr>
      </w:pPr>
      <w:r w:rsidRPr="00E87355">
        <w:rPr>
          <w:rFonts w:ascii="Arial" w:hAnsi="Arial" w:cs="Arial"/>
          <w:lang w:val="en-GB"/>
        </w:rPr>
        <w:t>In the last few decades, the United States of America</w:t>
      </w:r>
      <w:r w:rsidR="00F532E3" w:rsidRPr="00E87355">
        <w:rPr>
          <w:rFonts w:ascii="Arial" w:hAnsi="Arial" w:cs="Arial"/>
          <w:lang w:val="en-GB"/>
        </w:rPr>
        <w:t xml:space="preserve"> (US)</w:t>
      </w:r>
      <w:r w:rsidRPr="00E87355">
        <w:rPr>
          <w:rFonts w:ascii="Arial" w:hAnsi="Arial" w:cs="Arial"/>
          <w:lang w:val="en-GB"/>
        </w:rPr>
        <w:t xml:space="preserve"> and the United Kingdom </w:t>
      </w:r>
      <w:r w:rsidR="00F532E3" w:rsidRPr="00E87355">
        <w:rPr>
          <w:rFonts w:ascii="Arial" w:hAnsi="Arial" w:cs="Arial"/>
          <w:lang w:val="en-GB"/>
        </w:rPr>
        <w:t xml:space="preserve">(UK) </w:t>
      </w:r>
      <w:r w:rsidRPr="00E87355">
        <w:rPr>
          <w:rFonts w:ascii="Arial" w:hAnsi="Arial" w:cs="Arial"/>
          <w:lang w:val="en-GB"/>
        </w:rPr>
        <w:t>have emer</w:t>
      </w:r>
      <w:r w:rsidR="00F532E3" w:rsidRPr="00E87355">
        <w:rPr>
          <w:rFonts w:ascii="Arial" w:hAnsi="Arial" w:cs="Arial"/>
          <w:lang w:val="en-GB"/>
        </w:rPr>
        <w:t>ged as attractive restructuring venues for debtors around the world.</w:t>
      </w:r>
      <w:r w:rsidR="00F532E3" w:rsidRPr="00E87355">
        <w:rPr>
          <w:rStyle w:val="FootnoteReference"/>
          <w:rFonts w:ascii="Arial" w:hAnsi="Arial" w:cs="Arial"/>
          <w:lang w:val="en-GB"/>
        </w:rPr>
        <w:footnoteReference w:id="1"/>
      </w:r>
      <w:r w:rsidR="00CC3AEC" w:rsidRPr="00E87355">
        <w:rPr>
          <w:rFonts w:ascii="Arial" w:hAnsi="Arial" w:cs="Arial"/>
          <w:lang w:val="en-GB"/>
        </w:rPr>
        <w:t xml:space="preserve"> The </w:t>
      </w:r>
      <w:r w:rsidR="00E20181" w:rsidRPr="00E87355">
        <w:rPr>
          <w:rFonts w:ascii="Arial" w:hAnsi="Arial" w:cs="Arial"/>
          <w:lang w:val="en-GB"/>
        </w:rPr>
        <w:t>flexible</w:t>
      </w:r>
      <w:r w:rsidR="00CC3AEC" w:rsidRPr="00E87355">
        <w:rPr>
          <w:rFonts w:ascii="Arial" w:hAnsi="Arial" w:cs="Arial"/>
          <w:lang w:val="en-GB"/>
        </w:rPr>
        <w:t xml:space="preserve"> eligibility requirements for foreign debtors coupled with attractive features and sophisticated systems have attracted debtors to these two venues. </w:t>
      </w:r>
    </w:p>
    <w:p w14:paraId="4B6F605F" w14:textId="62620459" w:rsidR="00CB7E0C" w:rsidRPr="00E87355" w:rsidRDefault="00CB7E0C" w:rsidP="00E43E63">
      <w:pPr>
        <w:widowControl w:val="0"/>
        <w:spacing w:after="120" w:line="360" w:lineRule="auto"/>
        <w:jc w:val="both"/>
        <w:rPr>
          <w:rFonts w:ascii="Arial" w:hAnsi="Arial" w:cs="Arial"/>
          <w:lang w:val="en-GB"/>
        </w:rPr>
      </w:pPr>
      <w:r w:rsidRPr="00E87355">
        <w:rPr>
          <w:rFonts w:ascii="Arial" w:hAnsi="Arial" w:cs="Arial"/>
          <w:lang w:val="en-GB"/>
        </w:rPr>
        <w:t>T</w:t>
      </w:r>
      <w:r w:rsidR="005C5D1D" w:rsidRPr="00E87355">
        <w:rPr>
          <w:rFonts w:ascii="Arial" w:hAnsi="Arial" w:cs="Arial"/>
          <w:lang w:val="en-GB"/>
        </w:rPr>
        <w:t>h</w:t>
      </w:r>
      <w:r w:rsidR="007E6198" w:rsidRPr="00E87355">
        <w:rPr>
          <w:rFonts w:ascii="Arial" w:hAnsi="Arial" w:cs="Arial"/>
          <w:lang w:val="en-GB"/>
        </w:rPr>
        <w:t>is paper</w:t>
      </w:r>
      <w:r w:rsidR="00D21719" w:rsidRPr="00E87355">
        <w:rPr>
          <w:rFonts w:ascii="Arial" w:hAnsi="Arial" w:cs="Arial"/>
          <w:lang w:val="en-GB"/>
        </w:rPr>
        <w:t xml:space="preserve"> compares the jurisdictional thresholds</w:t>
      </w:r>
      <w:r w:rsidRPr="00E87355">
        <w:rPr>
          <w:rFonts w:ascii="Arial" w:hAnsi="Arial" w:cs="Arial"/>
          <w:lang w:val="en-GB"/>
        </w:rPr>
        <w:t xml:space="preserve"> and eligibility requirements</w:t>
      </w:r>
      <w:r w:rsidR="00D21719" w:rsidRPr="00E87355">
        <w:rPr>
          <w:rFonts w:ascii="Arial" w:hAnsi="Arial" w:cs="Arial"/>
          <w:lang w:val="en-GB"/>
        </w:rPr>
        <w:t xml:space="preserve"> for foreign </w:t>
      </w:r>
      <w:r w:rsidR="00D21719" w:rsidRPr="00E87355">
        <w:rPr>
          <w:rFonts w:ascii="Arial" w:hAnsi="Arial" w:cs="Arial"/>
          <w:lang w:val="en-GB"/>
        </w:rPr>
        <w:lastRenderedPageBreak/>
        <w:t xml:space="preserve">debtors </w:t>
      </w:r>
      <w:r w:rsidRPr="00E87355">
        <w:rPr>
          <w:rFonts w:ascii="Arial" w:hAnsi="Arial" w:cs="Arial"/>
          <w:lang w:val="en-GB"/>
        </w:rPr>
        <w:t xml:space="preserve">seeking </w:t>
      </w:r>
      <w:r w:rsidR="00D21719" w:rsidRPr="00E87355">
        <w:rPr>
          <w:rFonts w:ascii="Arial" w:hAnsi="Arial" w:cs="Arial"/>
          <w:lang w:val="en-GB"/>
        </w:rPr>
        <w:t>to undergo a restructuring in the US and UK</w:t>
      </w:r>
      <w:r w:rsidRPr="00E87355">
        <w:rPr>
          <w:rFonts w:ascii="Arial" w:hAnsi="Arial" w:cs="Arial"/>
          <w:lang w:val="en-GB"/>
        </w:rPr>
        <w:t xml:space="preserve"> with the objective of comparing the ease of access to these regimes for foreign debtors.</w:t>
      </w:r>
      <w:r w:rsidR="005C5D1D" w:rsidRPr="00E87355">
        <w:rPr>
          <w:rFonts w:ascii="Arial" w:hAnsi="Arial" w:cs="Arial"/>
          <w:lang w:val="en-GB"/>
        </w:rPr>
        <w:t xml:space="preserve"> </w:t>
      </w:r>
      <w:r w:rsidRPr="00E87355">
        <w:rPr>
          <w:rFonts w:ascii="Arial" w:hAnsi="Arial" w:cs="Arial"/>
          <w:lang w:val="en-GB"/>
        </w:rPr>
        <w:t>It also discusses</w:t>
      </w:r>
      <w:r w:rsidR="005C5D1D" w:rsidRPr="00E87355">
        <w:rPr>
          <w:rFonts w:ascii="Arial" w:hAnsi="Arial" w:cs="Arial"/>
          <w:lang w:val="en-GB"/>
        </w:rPr>
        <w:t xml:space="preserve"> the enforceability of US and UK court rulings in other jurisdictions</w:t>
      </w:r>
      <w:r w:rsidR="00D21719" w:rsidRPr="00E87355">
        <w:rPr>
          <w:rFonts w:ascii="Arial" w:hAnsi="Arial" w:cs="Arial"/>
          <w:lang w:val="en-GB"/>
        </w:rPr>
        <w:t xml:space="preserve">. </w:t>
      </w:r>
    </w:p>
    <w:p w14:paraId="455D4E6C" w14:textId="350D31E2" w:rsidR="00691682" w:rsidRPr="00E87355" w:rsidRDefault="00893CC4" w:rsidP="00E43E63">
      <w:pPr>
        <w:widowControl w:val="0"/>
        <w:spacing w:after="120" w:line="360" w:lineRule="auto"/>
        <w:jc w:val="both"/>
        <w:rPr>
          <w:rFonts w:ascii="Arial" w:hAnsi="Arial" w:cs="Arial"/>
          <w:lang w:val="en-GB"/>
        </w:rPr>
      </w:pPr>
      <w:r w:rsidRPr="00E87355">
        <w:rPr>
          <w:rFonts w:ascii="Arial" w:hAnsi="Arial" w:cs="Arial"/>
          <w:lang w:val="en-GB"/>
        </w:rPr>
        <w:t xml:space="preserve">Part 2 of the paper briefly describes the key reorganisation procedures available in the US and UK. </w:t>
      </w:r>
      <w:r w:rsidR="00D21719" w:rsidRPr="00E87355">
        <w:rPr>
          <w:rFonts w:ascii="Arial" w:hAnsi="Arial" w:cs="Arial"/>
          <w:lang w:val="en-GB"/>
        </w:rPr>
        <w:t xml:space="preserve">Part </w:t>
      </w:r>
      <w:r w:rsidRPr="00E87355">
        <w:rPr>
          <w:rFonts w:ascii="Arial" w:hAnsi="Arial" w:cs="Arial"/>
          <w:lang w:val="en-GB"/>
        </w:rPr>
        <w:t>3</w:t>
      </w:r>
      <w:r w:rsidR="00D21719" w:rsidRPr="00E87355">
        <w:rPr>
          <w:rFonts w:ascii="Arial" w:hAnsi="Arial" w:cs="Arial"/>
          <w:lang w:val="en-GB"/>
        </w:rPr>
        <w:t xml:space="preserve"> of this paper explores the</w:t>
      </w:r>
      <w:r w:rsidR="007E6198" w:rsidRPr="00E87355">
        <w:rPr>
          <w:rFonts w:ascii="Arial" w:hAnsi="Arial" w:cs="Arial"/>
          <w:lang w:val="en-GB"/>
        </w:rPr>
        <w:t xml:space="preserve"> legal requirements </w:t>
      </w:r>
      <w:r w:rsidR="00CB7E0C" w:rsidRPr="00E87355">
        <w:rPr>
          <w:rFonts w:ascii="Arial" w:hAnsi="Arial" w:cs="Arial"/>
          <w:lang w:val="en-GB"/>
        </w:rPr>
        <w:t>that need to be fulfilled to allow</w:t>
      </w:r>
      <w:r w:rsidR="007E6198" w:rsidRPr="00E87355">
        <w:rPr>
          <w:rFonts w:ascii="Arial" w:hAnsi="Arial" w:cs="Arial"/>
          <w:lang w:val="en-GB"/>
        </w:rPr>
        <w:t xml:space="preserve"> a foreign debtor to </w:t>
      </w:r>
      <w:r w:rsidR="00CB7E0C" w:rsidRPr="00E87355">
        <w:rPr>
          <w:rFonts w:ascii="Arial" w:hAnsi="Arial" w:cs="Arial"/>
          <w:lang w:val="en-GB"/>
        </w:rPr>
        <w:t>access the US and UK restructuring systems</w:t>
      </w:r>
      <w:r w:rsidR="007E6198" w:rsidRPr="00E87355">
        <w:rPr>
          <w:rFonts w:ascii="Arial" w:hAnsi="Arial" w:cs="Arial"/>
          <w:lang w:val="en-GB"/>
        </w:rPr>
        <w:t>. This is achieved through a detailed discussion of the legal rules and case laws relevant to establishing jurisdiction over the restructuring of a foreign debtor.</w:t>
      </w:r>
      <w:r w:rsidR="00D21719" w:rsidRPr="00E87355">
        <w:rPr>
          <w:rFonts w:ascii="Arial" w:hAnsi="Arial" w:cs="Arial"/>
          <w:lang w:val="en-GB"/>
        </w:rPr>
        <w:t xml:space="preserve"> Part </w:t>
      </w:r>
      <w:r w:rsidR="002D03A5">
        <w:rPr>
          <w:rFonts w:ascii="Arial" w:hAnsi="Arial" w:cs="Arial"/>
          <w:lang w:val="en-GB"/>
        </w:rPr>
        <w:t>4</w:t>
      </w:r>
      <w:r w:rsidR="00D21719" w:rsidRPr="00E87355">
        <w:rPr>
          <w:rFonts w:ascii="Arial" w:hAnsi="Arial" w:cs="Arial"/>
          <w:lang w:val="en-GB"/>
        </w:rPr>
        <w:t xml:space="preserve"> of the paper</w:t>
      </w:r>
      <w:r w:rsidR="007E6198" w:rsidRPr="00E87355">
        <w:rPr>
          <w:rFonts w:ascii="Arial" w:hAnsi="Arial" w:cs="Arial"/>
          <w:lang w:val="en-GB"/>
        </w:rPr>
        <w:t xml:space="preserve"> </w:t>
      </w:r>
      <w:r w:rsidR="00CB7E0C" w:rsidRPr="00E87355">
        <w:rPr>
          <w:rFonts w:ascii="Arial" w:hAnsi="Arial" w:cs="Arial"/>
          <w:lang w:val="en-GB"/>
        </w:rPr>
        <w:t xml:space="preserve">discusses </w:t>
      </w:r>
      <w:r w:rsidR="007E6198" w:rsidRPr="00E87355">
        <w:rPr>
          <w:rFonts w:ascii="Arial" w:hAnsi="Arial" w:cs="Arial"/>
          <w:lang w:val="en-GB"/>
        </w:rPr>
        <w:t xml:space="preserve">the enforceability of US and UK court rulings in other jurisdictions. </w:t>
      </w:r>
      <w:r w:rsidR="00CB7E0C" w:rsidRPr="00E87355">
        <w:rPr>
          <w:rFonts w:ascii="Arial" w:hAnsi="Arial" w:cs="Arial"/>
          <w:lang w:val="en-GB"/>
        </w:rPr>
        <w:t xml:space="preserve">Part </w:t>
      </w:r>
      <w:r w:rsidR="002D03A5">
        <w:rPr>
          <w:rFonts w:ascii="Arial" w:hAnsi="Arial" w:cs="Arial"/>
          <w:lang w:val="en-GB"/>
        </w:rPr>
        <w:t>5</w:t>
      </w:r>
      <w:r w:rsidR="00CB7E0C" w:rsidRPr="00E87355">
        <w:rPr>
          <w:rFonts w:ascii="Arial" w:hAnsi="Arial" w:cs="Arial"/>
          <w:lang w:val="en-GB"/>
        </w:rPr>
        <w:t xml:space="preserve"> concludes. </w:t>
      </w:r>
    </w:p>
    <w:p w14:paraId="4F8E433C" w14:textId="1BC16BFD" w:rsidR="00893CC4" w:rsidRPr="00E87355" w:rsidRDefault="007E6198" w:rsidP="00E43E63">
      <w:pPr>
        <w:widowControl w:val="0"/>
        <w:spacing w:after="120" w:line="360" w:lineRule="auto"/>
        <w:jc w:val="both"/>
        <w:rPr>
          <w:rFonts w:ascii="Arial" w:hAnsi="Arial" w:cs="Arial"/>
          <w:lang w:val="en-GB"/>
        </w:rPr>
      </w:pPr>
      <w:r w:rsidRPr="00E87355">
        <w:rPr>
          <w:rFonts w:ascii="Arial" w:hAnsi="Arial" w:cs="Arial"/>
          <w:lang w:val="en-GB"/>
        </w:rPr>
        <w:t xml:space="preserve">The scope of this paper is </w:t>
      </w:r>
      <w:r w:rsidR="001650C4" w:rsidRPr="00E87355">
        <w:rPr>
          <w:rFonts w:ascii="Arial" w:hAnsi="Arial" w:cs="Arial"/>
          <w:lang w:val="en-GB"/>
        </w:rPr>
        <w:t>focused on</w:t>
      </w:r>
      <w:r w:rsidRPr="00E87355">
        <w:rPr>
          <w:rFonts w:ascii="Arial" w:hAnsi="Arial" w:cs="Arial"/>
          <w:lang w:val="en-GB"/>
        </w:rPr>
        <w:t xml:space="preserve"> analysing </w:t>
      </w:r>
      <w:r w:rsidR="00CB7E0C" w:rsidRPr="00E87355">
        <w:rPr>
          <w:rFonts w:ascii="Arial" w:hAnsi="Arial" w:cs="Arial"/>
          <w:lang w:val="en-GB"/>
        </w:rPr>
        <w:t>utilisation</w:t>
      </w:r>
      <w:r w:rsidRPr="00E87355">
        <w:rPr>
          <w:rFonts w:ascii="Arial" w:hAnsi="Arial" w:cs="Arial"/>
          <w:lang w:val="en-GB"/>
        </w:rPr>
        <w:t xml:space="preserve"> of reorganisation procedures</w:t>
      </w:r>
      <w:r w:rsidR="001650C4" w:rsidRPr="00E87355">
        <w:rPr>
          <w:rFonts w:ascii="Arial" w:hAnsi="Arial" w:cs="Arial"/>
          <w:lang w:val="en-GB"/>
        </w:rPr>
        <w:t xml:space="preserve"> (and not liquidation proceedings)</w:t>
      </w:r>
      <w:r w:rsidRPr="00E87355">
        <w:rPr>
          <w:rFonts w:ascii="Arial" w:hAnsi="Arial" w:cs="Arial"/>
          <w:lang w:val="en-GB"/>
        </w:rPr>
        <w:t xml:space="preserve"> in the US and UK </w:t>
      </w:r>
      <w:r w:rsidR="00CB7E0C" w:rsidRPr="00E87355">
        <w:rPr>
          <w:rFonts w:ascii="Arial" w:hAnsi="Arial" w:cs="Arial"/>
          <w:lang w:val="en-GB"/>
        </w:rPr>
        <w:t>by</w:t>
      </w:r>
      <w:r w:rsidRPr="00E87355">
        <w:rPr>
          <w:rFonts w:ascii="Arial" w:hAnsi="Arial" w:cs="Arial"/>
          <w:lang w:val="en-GB"/>
        </w:rPr>
        <w:t xml:space="preserve"> foreign corporate debtors</w:t>
      </w:r>
      <w:r w:rsidR="00E20181" w:rsidRPr="00E87355">
        <w:rPr>
          <w:rFonts w:ascii="Arial" w:hAnsi="Arial" w:cs="Arial"/>
          <w:lang w:val="en-GB"/>
        </w:rPr>
        <w:t xml:space="preserve"> (and not individuals)</w:t>
      </w:r>
      <w:r w:rsidRPr="00E87355">
        <w:rPr>
          <w:rFonts w:ascii="Arial" w:hAnsi="Arial" w:cs="Arial"/>
          <w:lang w:val="en-GB"/>
        </w:rPr>
        <w:t xml:space="preserve">. It is also limited to </w:t>
      </w:r>
      <w:r w:rsidR="00CB7E0C" w:rsidRPr="00E87355">
        <w:rPr>
          <w:rFonts w:ascii="Arial" w:hAnsi="Arial" w:cs="Arial"/>
          <w:lang w:val="en-GB"/>
        </w:rPr>
        <w:t>exploring</w:t>
      </w:r>
      <w:r w:rsidR="005C5D1D" w:rsidRPr="00E87355">
        <w:rPr>
          <w:rFonts w:ascii="Arial" w:hAnsi="Arial" w:cs="Arial"/>
          <w:lang w:val="en-GB"/>
        </w:rPr>
        <w:t xml:space="preserve"> </w:t>
      </w:r>
      <w:r w:rsidR="006A33F1" w:rsidRPr="00E87355">
        <w:rPr>
          <w:rFonts w:ascii="Arial" w:hAnsi="Arial" w:cs="Arial"/>
          <w:lang w:val="en-GB"/>
        </w:rPr>
        <w:t xml:space="preserve">legal </w:t>
      </w:r>
      <w:r w:rsidR="00893CC4" w:rsidRPr="00E87355">
        <w:rPr>
          <w:rFonts w:ascii="Arial" w:hAnsi="Arial" w:cs="Arial"/>
          <w:lang w:val="en-GB"/>
        </w:rPr>
        <w:t xml:space="preserve">issues </w:t>
      </w:r>
      <w:r w:rsidR="006A33F1" w:rsidRPr="00E87355">
        <w:rPr>
          <w:rFonts w:ascii="Arial" w:hAnsi="Arial" w:cs="Arial"/>
          <w:lang w:val="en-GB"/>
        </w:rPr>
        <w:t xml:space="preserve">in cases where foreign debtors are seeking to primarily restructure under the UK or US </w:t>
      </w:r>
      <w:r w:rsidR="001650C4" w:rsidRPr="00E87355">
        <w:rPr>
          <w:rFonts w:ascii="Arial" w:hAnsi="Arial" w:cs="Arial"/>
          <w:lang w:val="en-GB"/>
        </w:rPr>
        <w:t>regimes</w:t>
      </w:r>
      <w:r w:rsidR="006A33F1" w:rsidRPr="00E87355">
        <w:rPr>
          <w:rFonts w:ascii="Arial" w:hAnsi="Arial" w:cs="Arial"/>
          <w:lang w:val="en-GB"/>
        </w:rPr>
        <w:t xml:space="preserve"> and </w:t>
      </w:r>
      <w:r w:rsidR="00E20181" w:rsidRPr="00E87355">
        <w:rPr>
          <w:rFonts w:ascii="Arial" w:hAnsi="Arial" w:cs="Arial"/>
          <w:lang w:val="en-GB"/>
        </w:rPr>
        <w:t xml:space="preserve">does not discuss </w:t>
      </w:r>
      <w:r w:rsidR="00893CC4" w:rsidRPr="00E87355">
        <w:rPr>
          <w:rFonts w:ascii="Arial" w:hAnsi="Arial" w:cs="Arial"/>
          <w:lang w:val="en-GB"/>
        </w:rPr>
        <w:t xml:space="preserve">the US or UK regime for </w:t>
      </w:r>
      <w:r w:rsidR="006A33F1" w:rsidRPr="00E87355">
        <w:rPr>
          <w:rFonts w:ascii="Arial" w:hAnsi="Arial" w:cs="Arial"/>
          <w:lang w:val="en-GB"/>
        </w:rPr>
        <w:t>recognition of foreign insolvency proceedings</w:t>
      </w:r>
      <w:r w:rsidR="00C45C17" w:rsidRPr="00E87355">
        <w:rPr>
          <w:rFonts w:ascii="Arial" w:hAnsi="Arial" w:cs="Arial"/>
          <w:lang w:val="en-GB"/>
        </w:rPr>
        <w:t xml:space="preserve"> of a debtor</w:t>
      </w:r>
      <w:r w:rsidR="00893CC4" w:rsidRPr="00E87355">
        <w:rPr>
          <w:rFonts w:ascii="Arial" w:hAnsi="Arial" w:cs="Arial"/>
          <w:lang w:val="en-GB"/>
        </w:rPr>
        <w:t xml:space="preserve">. </w:t>
      </w:r>
    </w:p>
    <w:p w14:paraId="546E2A4E" w14:textId="2E3D5756" w:rsidR="001650C4" w:rsidRPr="004449F3" w:rsidRDefault="00EE5891" w:rsidP="00E43E63">
      <w:pPr>
        <w:pStyle w:val="ListParagraph"/>
        <w:widowControl w:val="0"/>
        <w:numPr>
          <w:ilvl w:val="0"/>
          <w:numId w:val="2"/>
        </w:numPr>
        <w:spacing w:after="120" w:line="360" w:lineRule="auto"/>
        <w:ind w:left="357" w:hanging="357"/>
        <w:outlineLvl w:val="0"/>
        <w:rPr>
          <w:rFonts w:ascii="Arial" w:hAnsi="Arial" w:cs="Arial"/>
          <w:b/>
          <w:bCs/>
          <w:lang w:val="en-GB"/>
        </w:rPr>
      </w:pPr>
      <w:bookmarkStart w:id="3" w:name="_Toc139801750"/>
      <w:r w:rsidRPr="00E87355">
        <w:rPr>
          <w:rFonts w:ascii="Arial" w:hAnsi="Arial" w:cs="Arial"/>
          <w:b/>
          <w:bCs/>
          <w:lang w:val="en-GB"/>
        </w:rPr>
        <w:t>Restructuring Mechanisms in the US and UK</w:t>
      </w:r>
      <w:bookmarkEnd w:id="3"/>
      <w:r w:rsidRPr="00E87355">
        <w:rPr>
          <w:rFonts w:ascii="Arial" w:hAnsi="Arial" w:cs="Arial"/>
          <w:b/>
          <w:bCs/>
          <w:lang w:val="en-GB"/>
        </w:rPr>
        <w:t xml:space="preserve"> </w:t>
      </w:r>
    </w:p>
    <w:p w14:paraId="6097D7FD" w14:textId="6E2C8C73" w:rsidR="00EE5891" w:rsidRPr="00E87355" w:rsidRDefault="00EE5891" w:rsidP="00E43E63">
      <w:pPr>
        <w:pStyle w:val="ListParagraph"/>
        <w:widowControl w:val="0"/>
        <w:numPr>
          <w:ilvl w:val="1"/>
          <w:numId w:val="2"/>
        </w:numPr>
        <w:spacing w:after="120" w:line="360" w:lineRule="auto"/>
        <w:ind w:left="369" w:hanging="369"/>
        <w:jc w:val="both"/>
        <w:outlineLvl w:val="1"/>
        <w:rPr>
          <w:rFonts w:ascii="Arial" w:hAnsi="Arial" w:cs="Arial"/>
          <w:b/>
          <w:bCs/>
          <w:lang w:val="en-GB"/>
        </w:rPr>
      </w:pPr>
      <w:bookmarkStart w:id="4" w:name="_Toc139801751"/>
      <w:r w:rsidRPr="00E87355">
        <w:rPr>
          <w:rFonts w:ascii="Arial" w:hAnsi="Arial" w:cs="Arial"/>
          <w:b/>
          <w:bCs/>
          <w:lang w:val="en-GB"/>
        </w:rPr>
        <w:t>Chapter 11 proceedings in the US</w:t>
      </w:r>
      <w:bookmarkEnd w:id="4"/>
      <w:r w:rsidRPr="00E87355">
        <w:rPr>
          <w:rFonts w:ascii="Arial" w:hAnsi="Arial" w:cs="Arial"/>
          <w:b/>
          <w:bCs/>
          <w:lang w:val="en-GB"/>
        </w:rPr>
        <w:t xml:space="preserve"> </w:t>
      </w:r>
    </w:p>
    <w:p w14:paraId="3F979021" w14:textId="237AE9CD" w:rsidR="00EE5891" w:rsidRPr="00E87355" w:rsidRDefault="000477DA" w:rsidP="00E43E63">
      <w:pPr>
        <w:widowControl w:val="0"/>
        <w:spacing w:after="120" w:line="360" w:lineRule="auto"/>
        <w:jc w:val="both"/>
        <w:rPr>
          <w:rFonts w:ascii="Arial" w:hAnsi="Arial" w:cs="Arial"/>
          <w:lang w:val="en-GB"/>
        </w:rPr>
      </w:pPr>
      <w:r w:rsidRPr="00E87355">
        <w:rPr>
          <w:rFonts w:ascii="Arial" w:hAnsi="Arial" w:cs="Arial"/>
          <w:lang w:val="en-GB"/>
        </w:rPr>
        <w:t>US’ restructuring regime is provided under Chapter 11 of the US Bankruptcy Code.</w:t>
      </w:r>
      <w:r w:rsidR="00667C43" w:rsidRPr="00E87355">
        <w:rPr>
          <w:rFonts w:ascii="Arial" w:hAnsi="Arial" w:cs="Arial"/>
          <w:lang w:val="en-GB"/>
        </w:rPr>
        <w:t xml:space="preserve"> Chapter 11 provides debtors with a mechanism to conduct a restructuring while remaining in control of the business and negotiat</w:t>
      </w:r>
      <w:r w:rsidR="00893CC4" w:rsidRPr="00E87355">
        <w:rPr>
          <w:rFonts w:ascii="Arial" w:hAnsi="Arial" w:cs="Arial"/>
          <w:lang w:val="en-GB"/>
        </w:rPr>
        <w:t>ing</w:t>
      </w:r>
      <w:r w:rsidR="00667C43" w:rsidRPr="00E87355">
        <w:rPr>
          <w:rFonts w:ascii="Arial" w:hAnsi="Arial" w:cs="Arial"/>
          <w:lang w:val="en-GB"/>
        </w:rPr>
        <w:t xml:space="preserve"> a restructuring</w:t>
      </w:r>
      <w:r w:rsidR="00893CC4" w:rsidRPr="00E87355">
        <w:rPr>
          <w:rFonts w:ascii="Arial" w:hAnsi="Arial" w:cs="Arial"/>
          <w:lang w:val="en-GB"/>
        </w:rPr>
        <w:t xml:space="preserve"> plan</w:t>
      </w:r>
      <w:r w:rsidR="00667C43" w:rsidRPr="00E87355">
        <w:rPr>
          <w:rFonts w:ascii="Arial" w:hAnsi="Arial" w:cs="Arial"/>
          <w:lang w:val="en-GB"/>
        </w:rPr>
        <w:t xml:space="preserve"> which binds all of its creditors and shareholders.</w:t>
      </w:r>
      <w:r w:rsidRPr="00E87355">
        <w:rPr>
          <w:rFonts w:ascii="Arial" w:hAnsi="Arial" w:cs="Arial"/>
          <w:lang w:val="en-GB"/>
        </w:rPr>
        <w:t xml:space="preserve"> Key beneficial features of Chapter 11 proceedings which make it an attractive restructuring avenue for debtors include: a debtor-in-possession model, worldwide stay </w:t>
      </w:r>
      <w:r w:rsidR="00893CC4" w:rsidRPr="00E87355">
        <w:rPr>
          <w:rFonts w:ascii="Arial" w:hAnsi="Arial" w:cs="Arial"/>
          <w:lang w:val="en-GB"/>
        </w:rPr>
        <w:t xml:space="preserve">protecting assets </w:t>
      </w:r>
      <w:r w:rsidRPr="00E87355">
        <w:rPr>
          <w:rFonts w:ascii="Arial" w:hAnsi="Arial" w:cs="Arial"/>
          <w:lang w:val="en-GB"/>
        </w:rPr>
        <w:t xml:space="preserve">against </w:t>
      </w:r>
      <w:r w:rsidR="00CE4C40" w:rsidRPr="00E87355">
        <w:rPr>
          <w:rFonts w:ascii="Arial" w:hAnsi="Arial" w:cs="Arial"/>
          <w:lang w:val="en-GB"/>
        </w:rPr>
        <w:t>creditor action</w:t>
      </w:r>
      <w:r w:rsidR="00893CC4" w:rsidRPr="00E87355">
        <w:rPr>
          <w:rFonts w:ascii="Arial" w:hAnsi="Arial" w:cs="Arial"/>
          <w:lang w:val="en-GB"/>
        </w:rPr>
        <w:t>s</w:t>
      </w:r>
      <w:r w:rsidRPr="00E87355">
        <w:rPr>
          <w:rFonts w:ascii="Arial" w:hAnsi="Arial" w:cs="Arial"/>
          <w:lang w:val="en-GB"/>
        </w:rPr>
        <w:t>, ability to cram-down dissenting creditors</w:t>
      </w:r>
      <w:r w:rsidR="001650C4" w:rsidRPr="00E87355">
        <w:rPr>
          <w:rFonts w:ascii="Arial" w:hAnsi="Arial" w:cs="Arial"/>
          <w:lang w:val="en-GB"/>
        </w:rPr>
        <w:t xml:space="preserve"> and</w:t>
      </w:r>
      <w:r w:rsidRPr="00E87355">
        <w:rPr>
          <w:rFonts w:ascii="Arial" w:hAnsi="Arial" w:cs="Arial"/>
          <w:lang w:val="en-GB"/>
        </w:rPr>
        <w:t xml:space="preserve"> ability to obtain </w:t>
      </w:r>
      <w:r w:rsidR="00893CC4" w:rsidRPr="00E87355">
        <w:rPr>
          <w:rFonts w:ascii="Arial" w:hAnsi="Arial" w:cs="Arial"/>
          <w:lang w:val="en-GB"/>
        </w:rPr>
        <w:t>new</w:t>
      </w:r>
      <w:r w:rsidRPr="00E87355">
        <w:rPr>
          <w:rFonts w:ascii="Arial" w:hAnsi="Arial" w:cs="Arial"/>
          <w:lang w:val="en-GB"/>
        </w:rPr>
        <w:t xml:space="preserve"> financ</w:t>
      </w:r>
      <w:r w:rsidR="00893CC4" w:rsidRPr="00E87355">
        <w:rPr>
          <w:rFonts w:ascii="Arial" w:hAnsi="Arial" w:cs="Arial"/>
          <w:lang w:val="en-GB"/>
        </w:rPr>
        <w:t>ing</w:t>
      </w:r>
      <w:r w:rsidRPr="00E87355">
        <w:rPr>
          <w:rFonts w:ascii="Arial" w:hAnsi="Arial" w:cs="Arial"/>
          <w:lang w:val="en-GB"/>
        </w:rPr>
        <w:t xml:space="preserve"> with a super-priority.</w:t>
      </w:r>
      <w:r w:rsidRPr="00E87355">
        <w:rPr>
          <w:rStyle w:val="FootnoteReference"/>
          <w:rFonts w:ascii="Arial" w:hAnsi="Arial" w:cs="Arial"/>
          <w:lang w:val="en-GB"/>
        </w:rPr>
        <w:footnoteReference w:id="2"/>
      </w:r>
      <w:r w:rsidRPr="00E87355">
        <w:rPr>
          <w:rFonts w:ascii="Arial" w:hAnsi="Arial" w:cs="Arial"/>
          <w:lang w:val="en-GB"/>
        </w:rPr>
        <w:t xml:space="preserve">  </w:t>
      </w:r>
    </w:p>
    <w:p w14:paraId="49B0B473" w14:textId="16FCD8EC" w:rsidR="00EE5891" w:rsidRPr="00E87355" w:rsidRDefault="00472B1A" w:rsidP="00E43E63">
      <w:pPr>
        <w:pStyle w:val="ListParagraph"/>
        <w:widowControl w:val="0"/>
        <w:numPr>
          <w:ilvl w:val="1"/>
          <w:numId w:val="2"/>
        </w:numPr>
        <w:spacing w:after="120" w:line="360" w:lineRule="auto"/>
        <w:ind w:left="369" w:hanging="369"/>
        <w:jc w:val="both"/>
        <w:outlineLvl w:val="1"/>
        <w:rPr>
          <w:rFonts w:ascii="Arial" w:hAnsi="Arial" w:cs="Arial"/>
          <w:b/>
          <w:bCs/>
          <w:lang w:val="en-GB"/>
        </w:rPr>
      </w:pPr>
      <w:bookmarkStart w:id="5" w:name="_Toc139801752"/>
      <w:r w:rsidRPr="00E87355">
        <w:rPr>
          <w:rFonts w:ascii="Arial" w:hAnsi="Arial" w:cs="Arial"/>
          <w:b/>
          <w:bCs/>
          <w:lang w:val="en-GB"/>
        </w:rPr>
        <w:t>Reorganisation procedures</w:t>
      </w:r>
      <w:r w:rsidR="00EE5891" w:rsidRPr="00E87355">
        <w:rPr>
          <w:rFonts w:ascii="Arial" w:hAnsi="Arial" w:cs="Arial"/>
          <w:b/>
          <w:bCs/>
          <w:lang w:val="en-GB"/>
        </w:rPr>
        <w:t xml:space="preserve"> in the UK</w:t>
      </w:r>
      <w:bookmarkEnd w:id="5"/>
      <w:r w:rsidRPr="00E87355">
        <w:rPr>
          <w:rFonts w:ascii="Arial" w:hAnsi="Arial" w:cs="Arial"/>
          <w:b/>
          <w:bCs/>
          <w:lang w:val="en-GB"/>
        </w:rPr>
        <w:t xml:space="preserve"> </w:t>
      </w:r>
    </w:p>
    <w:p w14:paraId="7A61A967" w14:textId="2F4DEAF7" w:rsidR="00D81288" w:rsidRPr="00E87355" w:rsidRDefault="00472B1A" w:rsidP="00E43E63">
      <w:pPr>
        <w:widowControl w:val="0"/>
        <w:spacing w:after="120" w:line="360" w:lineRule="auto"/>
        <w:jc w:val="both"/>
        <w:rPr>
          <w:rFonts w:ascii="Arial" w:hAnsi="Arial" w:cs="Arial"/>
          <w:lang w:val="en-GB"/>
        </w:rPr>
      </w:pPr>
      <w:r w:rsidRPr="00E87355">
        <w:rPr>
          <w:rFonts w:ascii="Arial" w:hAnsi="Arial" w:cs="Arial"/>
          <w:lang w:val="en-GB"/>
        </w:rPr>
        <w:t>Key</w:t>
      </w:r>
      <w:r w:rsidR="00CE4C40" w:rsidRPr="00E87355">
        <w:rPr>
          <w:rFonts w:ascii="Arial" w:hAnsi="Arial" w:cs="Arial"/>
          <w:lang w:val="en-GB"/>
        </w:rPr>
        <w:t xml:space="preserve"> </w:t>
      </w:r>
      <w:r w:rsidR="00B60405" w:rsidRPr="00E87355">
        <w:rPr>
          <w:rFonts w:ascii="Arial" w:hAnsi="Arial" w:cs="Arial"/>
          <w:lang w:val="en-GB"/>
        </w:rPr>
        <w:t xml:space="preserve">restructuring mechanisms </w:t>
      </w:r>
      <w:r w:rsidRPr="00E87355">
        <w:rPr>
          <w:rFonts w:ascii="Arial" w:hAnsi="Arial" w:cs="Arial"/>
          <w:lang w:val="en-GB"/>
        </w:rPr>
        <w:t>under UK’s restructuring regimes are</w:t>
      </w:r>
      <w:r w:rsidR="00B60405" w:rsidRPr="00E87355">
        <w:rPr>
          <w:rFonts w:ascii="Arial" w:hAnsi="Arial" w:cs="Arial"/>
          <w:lang w:val="en-GB"/>
        </w:rPr>
        <w:t>: administration</w:t>
      </w:r>
      <w:r w:rsidR="007710C6" w:rsidRPr="00E87355">
        <w:rPr>
          <w:rStyle w:val="FootnoteReference"/>
          <w:rFonts w:ascii="Arial" w:hAnsi="Arial" w:cs="Arial"/>
          <w:lang w:val="en-GB"/>
        </w:rPr>
        <w:footnoteReference w:id="3"/>
      </w:r>
      <w:r w:rsidR="00B60405" w:rsidRPr="00E87355">
        <w:rPr>
          <w:rFonts w:ascii="Arial" w:hAnsi="Arial" w:cs="Arial"/>
          <w:lang w:val="en-GB"/>
        </w:rPr>
        <w:t xml:space="preserve">, </w:t>
      </w:r>
      <w:r w:rsidR="00B60405" w:rsidRPr="00E87355">
        <w:rPr>
          <w:rFonts w:ascii="Arial" w:hAnsi="Arial" w:cs="Arial"/>
          <w:lang w:val="en-GB"/>
        </w:rPr>
        <w:lastRenderedPageBreak/>
        <w:t>company voluntary arrangement</w:t>
      </w:r>
      <w:r w:rsidR="006B53AD" w:rsidRPr="00E87355">
        <w:rPr>
          <w:rFonts w:ascii="Arial" w:hAnsi="Arial" w:cs="Arial"/>
          <w:lang w:val="en-GB"/>
        </w:rPr>
        <w:t>s</w:t>
      </w:r>
      <w:r w:rsidR="00463A8D" w:rsidRPr="00E87355">
        <w:rPr>
          <w:rStyle w:val="FootnoteReference"/>
          <w:rFonts w:ascii="Arial" w:hAnsi="Arial" w:cs="Arial"/>
          <w:lang w:val="en-GB"/>
        </w:rPr>
        <w:footnoteReference w:id="4"/>
      </w:r>
      <w:r w:rsidR="006B53AD" w:rsidRPr="00E87355">
        <w:rPr>
          <w:rFonts w:ascii="Arial" w:hAnsi="Arial" w:cs="Arial"/>
          <w:lang w:val="en-GB"/>
        </w:rPr>
        <w:t xml:space="preserve"> (CVAs)</w:t>
      </w:r>
      <w:r w:rsidR="00B60405" w:rsidRPr="00E87355">
        <w:rPr>
          <w:rFonts w:ascii="Arial" w:hAnsi="Arial" w:cs="Arial"/>
          <w:lang w:val="en-GB"/>
        </w:rPr>
        <w:t>, scheme</w:t>
      </w:r>
      <w:r w:rsidR="00384197" w:rsidRPr="00E87355">
        <w:rPr>
          <w:rFonts w:ascii="Arial" w:hAnsi="Arial" w:cs="Arial"/>
          <w:lang w:val="en-GB"/>
        </w:rPr>
        <w:t>s</w:t>
      </w:r>
      <w:r w:rsidR="00B60405" w:rsidRPr="00E87355">
        <w:rPr>
          <w:rFonts w:ascii="Arial" w:hAnsi="Arial" w:cs="Arial"/>
          <w:lang w:val="en-GB"/>
        </w:rPr>
        <w:t xml:space="preserve"> of arrangement</w:t>
      </w:r>
      <w:r w:rsidR="00384197" w:rsidRPr="00E87355">
        <w:rPr>
          <w:rStyle w:val="FootnoteReference"/>
          <w:rFonts w:ascii="Arial" w:hAnsi="Arial" w:cs="Arial"/>
          <w:lang w:val="en-GB"/>
        </w:rPr>
        <w:footnoteReference w:id="5"/>
      </w:r>
      <w:r w:rsidR="00C11B59" w:rsidRPr="00E87355">
        <w:rPr>
          <w:rFonts w:ascii="Arial" w:hAnsi="Arial" w:cs="Arial"/>
          <w:lang w:val="en-GB"/>
        </w:rPr>
        <w:t xml:space="preserve"> (SOAs)</w:t>
      </w:r>
      <w:r w:rsidR="006B53AD" w:rsidRPr="00E87355">
        <w:rPr>
          <w:rFonts w:ascii="Arial" w:hAnsi="Arial" w:cs="Arial"/>
          <w:lang w:val="en-GB"/>
        </w:rPr>
        <w:t xml:space="preserve"> and </w:t>
      </w:r>
      <w:r w:rsidRPr="00E87355">
        <w:rPr>
          <w:rFonts w:ascii="Arial" w:hAnsi="Arial" w:cs="Arial"/>
          <w:lang w:val="en-GB"/>
        </w:rPr>
        <w:t xml:space="preserve">the </w:t>
      </w:r>
      <w:r w:rsidR="001650C4" w:rsidRPr="00E87355">
        <w:rPr>
          <w:rFonts w:ascii="Arial" w:hAnsi="Arial" w:cs="Arial"/>
          <w:lang w:val="en-GB"/>
        </w:rPr>
        <w:t>recently introduced</w:t>
      </w:r>
      <w:r w:rsidRPr="00E87355">
        <w:rPr>
          <w:rFonts w:ascii="Arial" w:hAnsi="Arial" w:cs="Arial"/>
          <w:lang w:val="en-GB"/>
        </w:rPr>
        <w:t xml:space="preserve"> restructuring plan</w:t>
      </w:r>
      <w:r w:rsidR="001650C4" w:rsidRPr="00E87355">
        <w:rPr>
          <w:rFonts w:ascii="Arial" w:hAnsi="Arial" w:cs="Arial"/>
          <w:lang w:val="en-GB"/>
        </w:rPr>
        <w:t xml:space="preserve"> (RP)</w:t>
      </w:r>
      <w:r w:rsidR="00384197" w:rsidRPr="00E87355">
        <w:rPr>
          <w:rStyle w:val="FootnoteReference"/>
          <w:rFonts w:ascii="Arial" w:hAnsi="Arial" w:cs="Arial"/>
          <w:lang w:val="en-GB"/>
        </w:rPr>
        <w:footnoteReference w:id="6"/>
      </w:r>
      <w:r w:rsidR="00B60405" w:rsidRPr="00E87355">
        <w:rPr>
          <w:rFonts w:ascii="Arial" w:hAnsi="Arial" w:cs="Arial"/>
          <w:lang w:val="en-GB"/>
        </w:rPr>
        <w:t xml:space="preserve">. </w:t>
      </w:r>
      <w:r w:rsidRPr="00E87355">
        <w:rPr>
          <w:rFonts w:ascii="Arial" w:hAnsi="Arial" w:cs="Arial"/>
          <w:lang w:val="en-GB"/>
        </w:rPr>
        <w:t>Administration and CVAs are provided under UK’s Insolvency Act 1986 (IA 1986)</w:t>
      </w:r>
      <w:r w:rsidR="00667C43" w:rsidRPr="00E87355">
        <w:rPr>
          <w:rFonts w:ascii="Arial" w:hAnsi="Arial" w:cs="Arial"/>
          <w:lang w:val="en-GB"/>
        </w:rPr>
        <w:t xml:space="preserve"> while</w:t>
      </w:r>
      <w:r w:rsidRPr="00E87355">
        <w:rPr>
          <w:rFonts w:ascii="Arial" w:hAnsi="Arial" w:cs="Arial"/>
          <w:lang w:val="en-GB"/>
        </w:rPr>
        <w:t>, SOAs and restructuring plan</w:t>
      </w:r>
      <w:r w:rsidR="00667C43" w:rsidRPr="00E87355">
        <w:rPr>
          <w:rFonts w:ascii="Arial" w:hAnsi="Arial" w:cs="Arial"/>
          <w:lang w:val="en-GB"/>
        </w:rPr>
        <w:t>,</w:t>
      </w:r>
      <w:r w:rsidRPr="00E87355">
        <w:rPr>
          <w:rFonts w:ascii="Arial" w:hAnsi="Arial" w:cs="Arial"/>
          <w:lang w:val="en-GB"/>
        </w:rPr>
        <w:t xml:space="preserve"> are covered under UK’s Companies Act 2006 (CA 2006). </w:t>
      </w:r>
    </w:p>
    <w:p w14:paraId="2D848836" w14:textId="641F0984" w:rsidR="00555D00" w:rsidRPr="00E87355" w:rsidRDefault="00472B1A" w:rsidP="00E43E63">
      <w:pPr>
        <w:widowControl w:val="0"/>
        <w:spacing w:after="120" w:line="360" w:lineRule="auto"/>
        <w:jc w:val="both"/>
        <w:rPr>
          <w:rFonts w:ascii="Arial" w:hAnsi="Arial" w:cs="Arial"/>
          <w:lang w:val="en-GB"/>
        </w:rPr>
      </w:pPr>
      <w:r w:rsidRPr="00E87355">
        <w:rPr>
          <w:rFonts w:ascii="Arial" w:hAnsi="Arial" w:cs="Arial"/>
          <w:lang w:val="en-GB"/>
        </w:rPr>
        <w:t>Prior to Brexit</w:t>
      </w:r>
      <w:r w:rsidR="00C11B59" w:rsidRPr="00E87355">
        <w:rPr>
          <w:rFonts w:ascii="Arial" w:hAnsi="Arial" w:cs="Arial"/>
          <w:lang w:val="en-GB"/>
        </w:rPr>
        <w:t xml:space="preserve"> (i.e., UK’s departure from the European Union (EU))</w:t>
      </w:r>
      <w:r w:rsidRPr="00E87355">
        <w:rPr>
          <w:rFonts w:ascii="Arial" w:hAnsi="Arial" w:cs="Arial"/>
          <w:lang w:val="en-GB"/>
        </w:rPr>
        <w:t>, UK’s jurisdiction to open administration and CVAs was</w:t>
      </w:r>
      <w:r w:rsidR="003F3A33" w:rsidRPr="00E87355">
        <w:rPr>
          <w:rFonts w:ascii="Arial" w:hAnsi="Arial" w:cs="Arial"/>
          <w:lang w:val="en-GB"/>
        </w:rPr>
        <w:t xml:space="preserve"> also</w:t>
      </w:r>
      <w:r w:rsidRPr="00E87355">
        <w:rPr>
          <w:rFonts w:ascii="Arial" w:hAnsi="Arial" w:cs="Arial"/>
          <w:lang w:val="en-GB"/>
        </w:rPr>
        <w:t xml:space="preserve"> governed by</w:t>
      </w:r>
      <w:r w:rsidR="009030C4" w:rsidRPr="00E87355">
        <w:rPr>
          <w:rFonts w:ascii="Arial" w:hAnsi="Arial" w:cs="Arial"/>
          <w:lang w:val="en-GB"/>
        </w:rPr>
        <w:t xml:space="preserve"> EU’s Recast Insolvency</w:t>
      </w:r>
      <w:r w:rsidRPr="00E87355">
        <w:rPr>
          <w:rFonts w:ascii="Arial" w:hAnsi="Arial" w:cs="Arial"/>
          <w:lang w:val="en-GB"/>
        </w:rPr>
        <w:t xml:space="preserve"> Regulation (EU) 2015/848</w:t>
      </w:r>
      <w:r w:rsidR="009030C4" w:rsidRPr="00E87355">
        <w:rPr>
          <w:rFonts w:ascii="Arial" w:hAnsi="Arial" w:cs="Arial"/>
          <w:lang w:val="en-GB"/>
        </w:rPr>
        <w:t xml:space="preserve"> (RIR)</w:t>
      </w:r>
      <w:r w:rsidRPr="00E87355">
        <w:rPr>
          <w:rFonts w:ascii="Arial" w:hAnsi="Arial" w:cs="Arial"/>
          <w:lang w:val="en-GB"/>
        </w:rPr>
        <w:t xml:space="preserve"> recasting Regulation 1346/2000, which grants the jurisdiction to open </w:t>
      </w:r>
      <w:r w:rsidR="003F3A33" w:rsidRPr="00E87355">
        <w:rPr>
          <w:rFonts w:ascii="Arial" w:hAnsi="Arial" w:cs="Arial"/>
          <w:lang w:val="en-GB"/>
        </w:rPr>
        <w:t>‘</w:t>
      </w:r>
      <w:r w:rsidRPr="00E87355">
        <w:rPr>
          <w:rFonts w:ascii="Arial" w:hAnsi="Arial" w:cs="Arial"/>
          <w:lang w:val="en-GB"/>
        </w:rPr>
        <w:t>main</w:t>
      </w:r>
      <w:r w:rsidR="003F3A33" w:rsidRPr="00E87355">
        <w:rPr>
          <w:rFonts w:ascii="Arial" w:hAnsi="Arial" w:cs="Arial"/>
          <w:lang w:val="en-GB"/>
        </w:rPr>
        <w:t>’</w:t>
      </w:r>
      <w:r w:rsidRPr="00E87355">
        <w:rPr>
          <w:rFonts w:ascii="Arial" w:hAnsi="Arial" w:cs="Arial"/>
          <w:lang w:val="en-GB"/>
        </w:rPr>
        <w:t xml:space="preserve"> insolvency proceedings</w:t>
      </w:r>
      <w:r w:rsidR="002C5B05" w:rsidRPr="00E87355">
        <w:rPr>
          <w:rStyle w:val="FootnoteReference"/>
          <w:rFonts w:ascii="Arial" w:hAnsi="Arial" w:cs="Arial"/>
          <w:lang w:val="en-GB"/>
        </w:rPr>
        <w:footnoteReference w:id="7"/>
      </w:r>
      <w:r w:rsidRPr="00E87355">
        <w:rPr>
          <w:rFonts w:ascii="Arial" w:hAnsi="Arial" w:cs="Arial"/>
          <w:lang w:val="en-GB"/>
        </w:rPr>
        <w:t xml:space="preserve"> to the </w:t>
      </w:r>
      <w:r w:rsidR="003F3A33" w:rsidRPr="00E87355">
        <w:rPr>
          <w:rFonts w:ascii="Arial" w:hAnsi="Arial" w:cs="Arial"/>
          <w:lang w:val="en-GB"/>
        </w:rPr>
        <w:t xml:space="preserve">EU </w:t>
      </w:r>
      <w:r w:rsidRPr="00E87355">
        <w:rPr>
          <w:rFonts w:ascii="Arial" w:hAnsi="Arial" w:cs="Arial"/>
          <w:lang w:val="en-GB"/>
        </w:rPr>
        <w:t>State where the debtor has its centre of main interest</w:t>
      </w:r>
      <w:r w:rsidR="00384197" w:rsidRPr="00E87355">
        <w:rPr>
          <w:rStyle w:val="FootnoteReference"/>
          <w:rFonts w:ascii="Arial" w:hAnsi="Arial" w:cs="Arial"/>
          <w:lang w:val="en-GB"/>
        </w:rPr>
        <w:footnoteReference w:id="8"/>
      </w:r>
      <w:r w:rsidR="00384197" w:rsidRPr="00E87355">
        <w:rPr>
          <w:rFonts w:ascii="Arial" w:hAnsi="Arial" w:cs="Arial"/>
          <w:lang w:val="en-GB"/>
        </w:rPr>
        <w:t xml:space="preserve"> (COMI)</w:t>
      </w:r>
      <w:r w:rsidR="003F3A33" w:rsidRPr="00E87355">
        <w:rPr>
          <w:rFonts w:ascii="Arial" w:hAnsi="Arial" w:cs="Arial"/>
          <w:lang w:val="en-GB"/>
        </w:rPr>
        <w:t>, which can then enjoy the benefit of automatic recognition in other EU member States</w:t>
      </w:r>
      <w:r w:rsidR="00E346F1" w:rsidRPr="00E87355">
        <w:rPr>
          <w:rFonts w:ascii="Arial" w:hAnsi="Arial" w:cs="Arial"/>
          <w:lang w:val="en-GB"/>
        </w:rPr>
        <w:t xml:space="preserve"> (other than Denmark)</w:t>
      </w:r>
      <w:r w:rsidR="003F3A33" w:rsidRPr="00E87355">
        <w:rPr>
          <w:rFonts w:ascii="Arial" w:hAnsi="Arial" w:cs="Arial"/>
          <w:lang w:val="en-GB"/>
        </w:rPr>
        <w:t>.</w:t>
      </w:r>
      <w:r w:rsidR="00C11B59" w:rsidRPr="00E87355">
        <w:rPr>
          <w:rStyle w:val="FootnoteReference"/>
          <w:rFonts w:ascii="Arial" w:hAnsi="Arial" w:cs="Arial"/>
          <w:lang w:val="en-GB"/>
        </w:rPr>
        <w:footnoteReference w:id="9"/>
      </w:r>
      <w:r w:rsidR="003F3A33" w:rsidRPr="00E87355">
        <w:rPr>
          <w:rFonts w:ascii="Arial" w:hAnsi="Arial" w:cs="Arial"/>
          <w:lang w:val="en-GB"/>
        </w:rPr>
        <w:t xml:space="preserve"> </w:t>
      </w:r>
    </w:p>
    <w:p w14:paraId="1BFE9AC4" w14:textId="50418AF5" w:rsidR="004419C1" w:rsidRPr="00E87355" w:rsidRDefault="009030C4" w:rsidP="00E43E63">
      <w:pPr>
        <w:widowControl w:val="0"/>
        <w:spacing w:after="120" w:line="360" w:lineRule="auto"/>
        <w:jc w:val="both"/>
        <w:rPr>
          <w:rFonts w:ascii="Arial" w:hAnsi="Arial" w:cs="Arial"/>
          <w:lang w:val="en-GB"/>
        </w:rPr>
      </w:pPr>
      <w:r w:rsidRPr="00E87355">
        <w:rPr>
          <w:rFonts w:ascii="Arial" w:hAnsi="Arial" w:cs="Arial"/>
          <w:lang w:val="en-GB"/>
        </w:rPr>
        <w:t>Post Brexit, UK is no longer governed by the RIR</w:t>
      </w:r>
      <w:r w:rsidR="00884761" w:rsidRPr="00E87355">
        <w:rPr>
          <w:rFonts w:ascii="Arial" w:hAnsi="Arial" w:cs="Arial"/>
          <w:lang w:val="en-GB"/>
        </w:rPr>
        <w:t xml:space="preserve"> and </w:t>
      </w:r>
      <w:r w:rsidR="00E346F1" w:rsidRPr="00E87355">
        <w:rPr>
          <w:rFonts w:ascii="Arial" w:hAnsi="Arial" w:cs="Arial"/>
          <w:lang w:val="en-GB"/>
        </w:rPr>
        <w:t>RIR</w:t>
      </w:r>
      <w:r w:rsidR="00884761" w:rsidRPr="00E87355">
        <w:rPr>
          <w:rFonts w:ascii="Arial" w:hAnsi="Arial" w:cs="Arial"/>
          <w:lang w:val="en-GB"/>
        </w:rPr>
        <w:t xml:space="preserve"> </w:t>
      </w:r>
      <w:r w:rsidR="00E346F1" w:rsidRPr="00E87355">
        <w:rPr>
          <w:rFonts w:ascii="Arial" w:hAnsi="Arial" w:cs="Arial"/>
          <w:lang w:val="en-GB"/>
        </w:rPr>
        <w:t>ceased</w:t>
      </w:r>
      <w:r w:rsidR="00884761" w:rsidRPr="00E87355">
        <w:rPr>
          <w:rFonts w:ascii="Arial" w:hAnsi="Arial" w:cs="Arial"/>
          <w:lang w:val="en-GB"/>
        </w:rPr>
        <w:t xml:space="preserve"> to insolvency proceedings opened after 31 December 2020.</w:t>
      </w:r>
      <w:r w:rsidR="002C5B05" w:rsidRPr="00E87355">
        <w:rPr>
          <w:rStyle w:val="FootnoteReference"/>
          <w:rFonts w:ascii="Arial" w:hAnsi="Arial" w:cs="Arial"/>
          <w:lang w:val="en-GB"/>
        </w:rPr>
        <w:footnoteReference w:id="10"/>
      </w:r>
      <w:r w:rsidRPr="00E87355">
        <w:rPr>
          <w:rFonts w:ascii="Arial" w:hAnsi="Arial" w:cs="Arial"/>
          <w:lang w:val="en-GB"/>
        </w:rPr>
        <w:t xml:space="preserve"> However, </w:t>
      </w:r>
      <w:r w:rsidR="00E346F1" w:rsidRPr="00E87355">
        <w:rPr>
          <w:rFonts w:ascii="Arial" w:hAnsi="Arial" w:cs="Arial"/>
          <w:lang w:val="en-GB"/>
        </w:rPr>
        <w:t>UK</w:t>
      </w:r>
      <w:r w:rsidRPr="00E87355">
        <w:rPr>
          <w:rFonts w:ascii="Arial" w:hAnsi="Arial" w:cs="Arial"/>
          <w:lang w:val="en-GB"/>
        </w:rPr>
        <w:t xml:space="preserve"> retained certain aspects of the RIR as a part of its domestic law </w:t>
      </w:r>
      <w:r w:rsidR="00555D00" w:rsidRPr="00E87355">
        <w:rPr>
          <w:rFonts w:ascii="Arial" w:hAnsi="Arial" w:cs="Arial"/>
          <w:lang w:val="en-GB"/>
        </w:rPr>
        <w:t>under the Insolvency (Amendment) (EU Exit) Regulations 2019 which</w:t>
      </w:r>
      <w:r w:rsidRPr="00E87355">
        <w:rPr>
          <w:rFonts w:ascii="Arial" w:hAnsi="Arial" w:cs="Arial"/>
          <w:lang w:val="en-GB"/>
        </w:rPr>
        <w:t xml:space="preserve"> is commonly referred </w:t>
      </w:r>
      <w:r w:rsidR="004419C1" w:rsidRPr="00E87355">
        <w:rPr>
          <w:rFonts w:ascii="Arial" w:hAnsi="Arial" w:cs="Arial"/>
          <w:lang w:val="en-GB"/>
        </w:rPr>
        <w:t>to as the ‘Retained Insolvency Regulation’.</w:t>
      </w:r>
      <w:r w:rsidR="00E53577" w:rsidRPr="00E87355">
        <w:rPr>
          <w:rFonts w:ascii="Arial" w:hAnsi="Arial" w:cs="Arial"/>
          <w:lang w:val="en-GB"/>
        </w:rPr>
        <w:t xml:space="preserve"> Under the Retained Insolvency Regulation, (1) debtors with COMI in the UK or (2) debtors with COMI in an EU member state and an ‘establishment’</w:t>
      </w:r>
      <w:r w:rsidR="00E346F1" w:rsidRPr="00E87355">
        <w:rPr>
          <w:rStyle w:val="FootnoteReference"/>
          <w:rFonts w:ascii="Arial" w:hAnsi="Arial" w:cs="Arial"/>
          <w:lang w:val="en-GB"/>
        </w:rPr>
        <w:footnoteReference w:id="11"/>
      </w:r>
      <w:r w:rsidR="00E53577" w:rsidRPr="00E87355">
        <w:rPr>
          <w:rFonts w:ascii="Arial" w:hAnsi="Arial" w:cs="Arial"/>
          <w:lang w:val="en-GB"/>
        </w:rPr>
        <w:t xml:space="preserve"> in the UK, can undergo administration and CVAs.</w:t>
      </w:r>
      <w:r w:rsidR="00E346F1" w:rsidRPr="00E87355">
        <w:rPr>
          <w:rStyle w:val="FootnoteReference"/>
          <w:rFonts w:ascii="Arial" w:hAnsi="Arial" w:cs="Arial"/>
          <w:lang w:val="en-GB"/>
        </w:rPr>
        <w:footnoteReference w:id="12"/>
      </w:r>
    </w:p>
    <w:p w14:paraId="3E9B2C63" w14:textId="1D78331E" w:rsidR="007A1910" w:rsidRPr="00E87355" w:rsidRDefault="00312A40" w:rsidP="00E43E63">
      <w:pPr>
        <w:widowControl w:val="0"/>
        <w:spacing w:after="120" w:line="360" w:lineRule="auto"/>
        <w:jc w:val="both"/>
        <w:rPr>
          <w:rFonts w:ascii="Arial" w:hAnsi="Arial" w:cs="Arial"/>
          <w:lang w:val="en-GB"/>
        </w:rPr>
      </w:pPr>
      <w:r w:rsidRPr="00E87355">
        <w:rPr>
          <w:rFonts w:ascii="Arial" w:hAnsi="Arial" w:cs="Arial"/>
          <w:lang w:val="en-GB"/>
        </w:rPr>
        <w:t xml:space="preserve">Unlike administration and CVAs, utilisation of SOAs and </w:t>
      </w:r>
      <w:r w:rsidR="001650C4" w:rsidRPr="00E87355">
        <w:rPr>
          <w:rFonts w:ascii="Arial" w:hAnsi="Arial" w:cs="Arial"/>
          <w:lang w:val="en-GB"/>
        </w:rPr>
        <w:t>RPs</w:t>
      </w:r>
      <w:r w:rsidRPr="00E87355">
        <w:rPr>
          <w:rFonts w:ascii="Arial" w:hAnsi="Arial" w:cs="Arial"/>
          <w:lang w:val="en-GB"/>
        </w:rPr>
        <w:t xml:space="preserve"> by foreign debtors requires a lower threshold of a “sufficient connection” to be met, even when it does not have its COMI or </w:t>
      </w:r>
      <w:r w:rsidRPr="00E87355">
        <w:rPr>
          <w:rFonts w:ascii="Arial" w:hAnsi="Arial" w:cs="Arial"/>
          <w:lang w:val="en-GB"/>
        </w:rPr>
        <w:lastRenderedPageBreak/>
        <w:t>any assets in the UK.</w:t>
      </w:r>
      <w:r w:rsidRPr="00E87355">
        <w:rPr>
          <w:rStyle w:val="FootnoteReference"/>
          <w:rFonts w:ascii="Arial" w:hAnsi="Arial" w:cs="Arial"/>
          <w:lang w:val="en-GB"/>
        </w:rPr>
        <w:footnoteReference w:id="13"/>
      </w:r>
      <w:r w:rsidRPr="00E87355">
        <w:rPr>
          <w:rFonts w:ascii="Arial" w:hAnsi="Arial" w:cs="Arial"/>
          <w:lang w:val="en-GB"/>
        </w:rPr>
        <w:t xml:space="preserve"> </w:t>
      </w:r>
      <w:r w:rsidR="005975D3" w:rsidRPr="00E87355">
        <w:rPr>
          <w:rFonts w:ascii="Arial" w:hAnsi="Arial" w:cs="Arial"/>
          <w:lang w:val="en-GB"/>
        </w:rPr>
        <w:t xml:space="preserve">Even prior to Brexit, SOAs and restructuring plans were not listed as insolvency processes covered by the RIR. </w:t>
      </w:r>
      <w:r w:rsidRPr="00E87355">
        <w:rPr>
          <w:rFonts w:ascii="Arial" w:hAnsi="Arial" w:cs="Arial"/>
          <w:lang w:val="en-GB"/>
        </w:rPr>
        <w:t>M</w:t>
      </w:r>
      <w:r w:rsidR="001650C4" w:rsidRPr="00E87355">
        <w:rPr>
          <w:rFonts w:ascii="Arial" w:hAnsi="Arial" w:cs="Arial"/>
          <w:lang w:val="en-GB"/>
        </w:rPr>
        <w:t>any</w:t>
      </w:r>
      <w:r w:rsidRPr="00E87355">
        <w:rPr>
          <w:rFonts w:ascii="Arial" w:hAnsi="Arial" w:cs="Arial"/>
          <w:lang w:val="en-GB"/>
        </w:rPr>
        <w:t xml:space="preserve"> f</w:t>
      </w:r>
      <w:r w:rsidR="005975D3" w:rsidRPr="00E87355">
        <w:rPr>
          <w:rFonts w:ascii="Arial" w:hAnsi="Arial" w:cs="Arial"/>
          <w:lang w:val="en-GB"/>
        </w:rPr>
        <w:t xml:space="preserve">oreign debtors rely on the </w:t>
      </w:r>
      <w:r w:rsidRPr="00E87355">
        <w:rPr>
          <w:rFonts w:ascii="Arial" w:hAnsi="Arial" w:cs="Arial"/>
          <w:lang w:val="en-GB"/>
        </w:rPr>
        <w:t>SOAs</w:t>
      </w:r>
      <w:r w:rsidR="005975D3" w:rsidRPr="00E87355">
        <w:rPr>
          <w:rFonts w:ascii="Arial" w:hAnsi="Arial" w:cs="Arial"/>
          <w:lang w:val="en-GB"/>
        </w:rPr>
        <w:t xml:space="preserve"> </w:t>
      </w:r>
      <w:r w:rsidR="001650C4" w:rsidRPr="00E87355">
        <w:rPr>
          <w:rFonts w:ascii="Arial" w:hAnsi="Arial" w:cs="Arial"/>
          <w:lang w:val="en-GB"/>
        </w:rPr>
        <w:t>which</w:t>
      </w:r>
      <w:r w:rsidR="005975D3" w:rsidRPr="00E87355">
        <w:rPr>
          <w:rFonts w:ascii="Arial" w:hAnsi="Arial" w:cs="Arial"/>
          <w:lang w:val="en-GB"/>
        </w:rPr>
        <w:t xml:space="preserve"> </w:t>
      </w:r>
      <w:r w:rsidRPr="00E87355">
        <w:rPr>
          <w:rFonts w:ascii="Arial" w:hAnsi="Arial" w:cs="Arial"/>
          <w:lang w:val="en-GB"/>
        </w:rPr>
        <w:t>have been a</w:t>
      </w:r>
      <w:r w:rsidR="005975D3" w:rsidRPr="00E87355">
        <w:rPr>
          <w:rFonts w:ascii="Arial" w:hAnsi="Arial" w:cs="Arial"/>
          <w:lang w:val="en-GB"/>
        </w:rPr>
        <w:t xml:space="preserve"> popular restructuring </w:t>
      </w:r>
      <w:r w:rsidRPr="00E87355">
        <w:rPr>
          <w:rFonts w:ascii="Arial" w:hAnsi="Arial" w:cs="Arial"/>
          <w:lang w:val="en-GB"/>
        </w:rPr>
        <w:t>avenue</w:t>
      </w:r>
      <w:r w:rsidR="005975D3" w:rsidRPr="00E87355">
        <w:rPr>
          <w:rFonts w:ascii="Arial" w:hAnsi="Arial" w:cs="Arial"/>
          <w:lang w:val="en-GB"/>
        </w:rPr>
        <w:t xml:space="preserve"> for foreign companies.</w:t>
      </w:r>
      <w:r w:rsidR="005975D3" w:rsidRPr="00E87355">
        <w:rPr>
          <w:rStyle w:val="FootnoteReference"/>
          <w:rFonts w:ascii="Arial" w:hAnsi="Arial" w:cs="Arial"/>
          <w:lang w:val="en-GB"/>
        </w:rPr>
        <w:footnoteReference w:id="14"/>
      </w:r>
      <w:r w:rsidR="00E12CE0" w:rsidRPr="00E87355">
        <w:rPr>
          <w:rFonts w:ascii="Arial" w:hAnsi="Arial" w:cs="Arial"/>
          <w:lang w:val="en-GB"/>
        </w:rPr>
        <w:t xml:space="preserve"> </w:t>
      </w:r>
      <w:r w:rsidR="001650C4" w:rsidRPr="00E87355">
        <w:rPr>
          <w:rFonts w:ascii="Arial" w:hAnsi="Arial" w:cs="Arial"/>
          <w:lang w:val="en-GB"/>
        </w:rPr>
        <w:t>RPs</w:t>
      </w:r>
      <w:r w:rsidR="00E12CE0" w:rsidRPr="00E87355">
        <w:rPr>
          <w:rFonts w:ascii="Arial" w:hAnsi="Arial" w:cs="Arial"/>
          <w:lang w:val="en-GB"/>
        </w:rPr>
        <w:t xml:space="preserve"> ha</w:t>
      </w:r>
      <w:r w:rsidR="001650C4" w:rsidRPr="00E87355">
        <w:rPr>
          <w:rFonts w:ascii="Arial" w:hAnsi="Arial" w:cs="Arial"/>
          <w:lang w:val="en-GB"/>
        </w:rPr>
        <w:t>ve</w:t>
      </w:r>
      <w:r w:rsidR="00E12CE0" w:rsidRPr="00E87355">
        <w:rPr>
          <w:rFonts w:ascii="Arial" w:hAnsi="Arial" w:cs="Arial"/>
          <w:lang w:val="en-GB"/>
        </w:rPr>
        <w:t xml:space="preserve"> also found takers in foreign debtors.</w:t>
      </w:r>
      <w:r w:rsidR="00F92830" w:rsidRPr="00E87355">
        <w:rPr>
          <w:rStyle w:val="FootnoteReference"/>
          <w:rFonts w:ascii="Arial" w:hAnsi="Arial" w:cs="Arial"/>
          <w:lang w:val="en-GB"/>
        </w:rPr>
        <w:footnoteReference w:id="15"/>
      </w:r>
      <w:r w:rsidR="007A1910" w:rsidRPr="00E87355">
        <w:rPr>
          <w:rFonts w:ascii="Arial" w:hAnsi="Arial" w:cs="Arial"/>
          <w:lang w:val="en-GB"/>
        </w:rPr>
        <w:t xml:space="preserve"> </w:t>
      </w:r>
    </w:p>
    <w:p w14:paraId="6EA1C8F4" w14:textId="7442B39B" w:rsidR="001650C4" w:rsidRPr="00E43E63" w:rsidRDefault="006F5CBB" w:rsidP="00E43E63">
      <w:pPr>
        <w:pStyle w:val="ListParagraph"/>
        <w:widowControl w:val="0"/>
        <w:numPr>
          <w:ilvl w:val="0"/>
          <w:numId w:val="2"/>
        </w:numPr>
        <w:spacing w:after="120" w:line="360" w:lineRule="auto"/>
        <w:ind w:left="357" w:hanging="357"/>
        <w:outlineLvl w:val="0"/>
        <w:rPr>
          <w:rFonts w:ascii="Arial" w:hAnsi="Arial" w:cs="Arial"/>
          <w:b/>
          <w:bCs/>
          <w:lang w:val="en-GB"/>
        </w:rPr>
      </w:pPr>
      <w:bookmarkStart w:id="6" w:name="_Toc139801753"/>
      <w:r w:rsidRPr="00E87355">
        <w:rPr>
          <w:rFonts w:ascii="Arial" w:hAnsi="Arial" w:cs="Arial"/>
          <w:b/>
          <w:bCs/>
          <w:lang w:val="en-GB"/>
        </w:rPr>
        <w:t xml:space="preserve">Legal rules and case laws relevant to </w:t>
      </w:r>
      <w:r w:rsidR="009B1FD0" w:rsidRPr="00E87355">
        <w:rPr>
          <w:rFonts w:ascii="Arial" w:hAnsi="Arial" w:cs="Arial"/>
          <w:b/>
          <w:bCs/>
          <w:lang w:val="en-GB"/>
        </w:rPr>
        <w:t>eligibility of foreign debtors</w:t>
      </w:r>
      <w:bookmarkEnd w:id="6"/>
      <w:r w:rsidR="009B1FD0" w:rsidRPr="00E87355">
        <w:rPr>
          <w:rFonts w:ascii="Arial" w:hAnsi="Arial" w:cs="Arial"/>
          <w:b/>
          <w:bCs/>
          <w:lang w:val="en-GB"/>
        </w:rPr>
        <w:t xml:space="preserve"> </w:t>
      </w:r>
    </w:p>
    <w:p w14:paraId="5CC3CDA5" w14:textId="063C986A" w:rsidR="001650C4" w:rsidRPr="00E87355" w:rsidRDefault="000F36B6" w:rsidP="00E43E63">
      <w:pPr>
        <w:pStyle w:val="ListParagraph"/>
        <w:widowControl w:val="0"/>
        <w:numPr>
          <w:ilvl w:val="1"/>
          <w:numId w:val="2"/>
        </w:numPr>
        <w:spacing w:after="120" w:line="360" w:lineRule="auto"/>
        <w:ind w:left="369" w:hanging="369"/>
        <w:jc w:val="both"/>
        <w:outlineLvl w:val="1"/>
        <w:rPr>
          <w:rFonts w:ascii="Arial" w:hAnsi="Arial" w:cs="Arial"/>
          <w:b/>
          <w:bCs/>
          <w:lang w:val="en-GB"/>
        </w:rPr>
      </w:pPr>
      <w:bookmarkStart w:id="7" w:name="_Toc139801754"/>
      <w:r w:rsidRPr="00E87355">
        <w:rPr>
          <w:rFonts w:ascii="Arial" w:hAnsi="Arial" w:cs="Arial"/>
          <w:b/>
          <w:bCs/>
          <w:lang w:val="en-GB"/>
        </w:rPr>
        <w:t>US</w:t>
      </w:r>
      <w:bookmarkEnd w:id="7"/>
    </w:p>
    <w:p w14:paraId="215556D2" w14:textId="0B796F9F" w:rsidR="00147574" w:rsidRPr="00E87355" w:rsidRDefault="00147574" w:rsidP="00E43E63">
      <w:pPr>
        <w:pStyle w:val="ListParagraph"/>
        <w:widowControl w:val="0"/>
        <w:numPr>
          <w:ilvl w:val="0"/>
          <w:numId w:val="3"/>
        </w:numPr>
        <w:spacing w:after="120" w:line="360" w:lineRule="auto"/>
        <w:jc w:val="both"/>
        <w:outlineLvl w:val="2"/>
        <w:rPr>
          <w:rFonts w:ascii="Arial" w:hAnsi="Arial" w:cs="Arial"/>
          <w:b/>
          <w:bCs/>
          <w:lang w:val="en-GB"/>
        </w:rPr>
      </w:pPr>
      <w:bookmarkStart w:id="8" w:name="_Toc139801755"/>
      <w:r w:rsidRPr="00E87355">
        <w:rPr>
          <w:rFonts w:ascii="Arial" w:hAnsi="Arial" w:cs="Arial"/>
          <w:b/>
          <w:bCs/>
          <w:lang w:val="en-GB"/>
        </w:rPr>
        <w:t>Section 109</w:t>
      </w:r>
      <w:r w:rsidR="00095E48" w:rsidRPr="00E87355">
        <w:rPr>
          <w:rFonts w:ascii="Arial" w:hAnsi="Arial" w:cs="Arial"/>
          <w:b/>
          <w:bCs/>
          <w:lang w:val="en-GB"/>
        </w:rPr>
        <w:t>(a)</w:t>
      </w:r>
      <w:r w:rsidRPr="00E87355">
        <w:rPr>
          <w:rFonts w:ascii="Arial" w:hAnsi="Arial" w:cs="Arial"/>
          <w:b/>
          <w:bCs/>
          <w:lang w:val="en-GB"/>
        </w:rPr>
        <w:t xml:space="preserve"> of the US Bankruptcy Code</w:t>
      </w:r>
      <w:bookmarkEnd w:id="8"/>
    </w:p>
    <w:p w14:paraId="2D2EDA57" w14:textId="77777777" w:rsidR="008176A7" w:rsidRPr="00E87355" w:rsidRDefault="007A1910" w:rsidP="00E43E63">
      <w:pPr>
        <w:widowControl w:val="0"/>
        <w:spacing w:after="120" w:line="360" w:lineRule="auto"/>
        <w:jc w:val="both"/>
        <w:rPr>
          <w:rFonts w:ascii="Arial" w:hAnsi="Arial" w:cs="Arial"/>
          <w:lang w:val="en-GB"/>
        </w:rPr>
      </w:pPr>
      <w:r w:rsidRPr="00E87355">
        <w:rPr>
          <w:rFonts w:ascii="Arial" w:hAnsi="Arial" w:cs="Arial"/>
          <w:lang w:val="en-GB"/>
        </w:rPr>
        <w:t>The eligibility requirements for a debtor wishing to undergo US bankruptcy proceedings is laid down in section 109(a)</w:t>
      </w:r>
      <w:r w:rsidR="00D86D4A" w:rsidRPr="00E87355">
        <w:rPr>
          <w:rFonts w:ascii="Arial" w:hAnsi="Arial" w:cs="Arial"/>
          <w:lang w:val="en-GB"/>
        </w:rPr>
        <w:t xml:space="preserve"> of the US Bankruptcy Code</w:t>
      </w:r>
      <w:r w:rsidRPr="00E87355">
        <w:rPr>
          <w:rFonts w:ascii="Arial" w:hAnsi="Arial" w:cs="Arial"/>
          <w:lang w:val="en-GB"/>
        </w:rPr>
        <w:t xml:space="preserve"> which provides that</w:t>
      </w:r>
      <w:r w:rsidR="00D86D4A" w:rsidRPr="00E87355">
        <w:rPr>
          <w:rFonts w:ascii="Arial" w:hAnsi="Arial" w:cs="Arial"/>
          <w:lang w:val="en-GB"/>
        </w:rPr>
        <w:t xml:space="preserve"> any person </w:t>
      </w:r>
      <w:r w:rsidR="00095E48" w:rsidRPr="00E87355">
        <w:rPr>
          <w:rFonts w:ascii="Arial" w:hAnsi="Arial" w:cs="Arial"/>
          <w:lang w:val="en-GB"/>
        </w:rPr>
        <w:t>“</w:t>
      </w:r>
      <w:r w:rsidR="00095E48" w:rsidRPr="00E87355">
        <w:rPr>
          <w:rFonts w:ascii="Arial" w:hAnsi="Arial" w:cs="Arial"/>
          <w:i/>
          <w:iCs/>
          <w:lang w:val="en-GB"/>
        </w:rPr>
        <w:t>that resides or has a domicile, a place of business, or property in the United States</w:t>
      </w:r>
      <w:r w:rsidR="00095E48" w:rsidRPr="00E87355">
        <w:rPr>
          <w:rFonts w:ascii="Arial" w:hAnsi="Arial" w:cs="Arial"/>
          <w:lang w:val="en-GB"/>
        </w:rPr>
        <w:t>”</w:t>
      </w:r>
      <w:r w:rsidR="006108D5" w:rsidRPr="00E87355">
        <w:rPr>
          <w:rStyle w:val="FootnoteReference"/>
          <w:rFonts w:ascii="Arial" w:hAnsi="Arial" w:cs="Arial"/>
          <w:lang w:val="en-GB"/>
        </w:rPr>
        <w:footnoteReference w:id="16"/>
      </w:r>
      <w:r w:rsidR="00D86D4A" w:rsidRPr="00E87355">
        <w:rPr>
          <w:rFonts w:ascii="Arial" w:hAnsi="Arial" w:cs="Arial"/>
          <w:lang w:val="en-GB"/>
        </w:rPr>
        <w:t xml:space="preserve"> </w:t>
      </w:r>
      <w:r w:rsidRPr="00E87355">
        <w:rPr>
          <w:rFonts w:ascii="Arial" w:hAnsi="Arial" w:cs="Arial"/>
          <w:lang w:val="en-GB"/>
        </w:rPr>
        <w:t>may</w:t>
      </w:r>
      <w:r w:rsidR="000F36B6" w:rsidRPr="00E87355">
        <w:rPr>
          <w:rFonts w:ascii="Arial" w:hAnsi="Arial" w:cs="Arial"/>
          <w:lang w:val="en-GB"/>
        </w:rPr>
        <w:t xml:space="preserve"> </w:t>
      </w:r>
      <w:r w:rsidRPr="00E87355">
        <w:rPr>
          <w:rFonts w:ascii="Arial" w:hAnsi="Arial" w:cs="Arial"/>
          <w:lang w:val="en-GB"/>
        </w:rPr>
        <w:t xml:space="preserve">be </w:t>
      </w:r>
      <w:r w:rsidR="000F36B6" w:rsidRPr="00E87355">
        <w:rPr>
          <w:rFonts w:ascii="Arial" w:hAnsi="Arial" w:cs="Arial"/>
          <w:lang w:val="en-GB"/>
        </w:rPr>
        <w:t>eligible to undergo</w:t>
      </w:r>
      <w:r w:rsidRPr="00E87355">
        <w:rPr>
          <w:rFonts w:ascii="Arial" w:hAnsi="Arial" w:cs="Arial"/>
          <w:lang w:val="en-GB"/>
        </w:rPr>
        <w:t xml:space="preserve"> Chapter 11 proceedings in the US</w:t>
      </w:r>
      <w:r w:rsidR="000F36B6" w:rsidRPr="00E87355">
        <w:rPr>
          <w:rFonts w:ascii="Arial" w:hAnsi="Arial" w:cs="Arial"/>
          <w:lang w:val="en-GB"/>
        </w:rPr>
        <w:t xml:space="preserve">. </w:t>
      </w:r>
    </w:p>
    <w:p w14:paraId="2FAED71D" w14:textId="2167FBAD" w:rsidR="005F22FE" w:rsidRPr="00E87355" w:rsidRDefault="009C0A85" w:rsidP="00E43E63">
      <w:pPr>
        <w:widowControl w:val="0"/>
        <w:spacing w:after="120" w:line="360" w:lineRule="auto"/>
        <w:jc w:val="both"/>
        <w:rPr>
          <w:rFonts w:ascii="Arial" w:hAnsi="Arial" w:cs="Arial"/>
          <w:lang w:val="en-GB"/>
        </w:rPr>
      </w:pPr>
      <w:r w:rsidRPr="00E87355">
        <w:rPr>
          <w:rFonts w:ascii="Arial" w:hAnsi="Arial" w:cs="Arial"/>
          <w:lang w:val="en-GB"/>
        </w:rPr>
        <w:t xml:space="preserve">Therefore, a foreign debtor </w:t>
      </w:r>
      <w:r w:rsidR="005F22FE" w:rsidRPr="00E87355">
        <w:rPr>
          <w:rFonts w:ascii="Arial" w:hAnsi="Arial" w:cs="Arial"/>
          <w:lang w:val="en-GB"/>
        </w:rPr>
        <w:t>with</w:t>
      </w:r>
      <w:r w:rsidR="00B339FF" w:rsidRPr="00E87355">
        <w:rPr>
          <w:rFonts w:ascii="Arial" w:hAnsi="Arial" w:cs="Arial"/>
          <w:lang w:val="en-GB"/>
        </w:rPr>
        <w:t xml:space="preserve"> a place of business</w:t>
      </w:r>
      <w:r w:rsidR="0073511D" w:rsidRPr="00E87355">
        <w:rPr>
          <w:rStyle w:val="FootnoteReference"/>
          <w:rFonts w:ascii="Arial" w:hAnsi="Arial" w:cs="Arial"/>
          <w:lang w:val="en-GB"/>
        </w:rPr>
        <w:footnoteReference w:id="17"/>
      </w:r>
      <w:r w:rsidR="00B339FF" w:rsidRPr="00E87355">
        <w:rPr>
          <w:rFonts w:ascii="Arial" w:hAnsi="Arial" w:cs="Arial"/>
          <w:lang w:val="en-GB"/>
        </w:rPr>
        <w:t xml:space="preserve"> or property in the US</w:t>
      </w:r>
      <w:r w:rsidR="005F22FE" w:rsidRPr="00E87355">
        <w:rPr>
          <w:rFonts w:ascii="Arial" w:hAnsi="Arial" w:cs="Arial"/>
          <w:lang w:val="en-GB"/>
        </w:rPr>
        <w:t xml:space="preserve"> </w:t>
      </w:r>
      <w:r w:rsidR="00EB6ED0" w:rsidRPr="00E87355">
        <w:rPr>
          <w:rFonts w:ascii="Arial" w:hAnsi="Arial" w:cs="Arial"/>
          <w:lang w:val="en-GB"/>
        </w:rPr>
        <w:t>as on the date of the bankruptcy petition</w:t>
      </w:r>
      <w:r w:rsidR="00EB6ED0" w:rsidRPr="00E87355">
        <w:rPr>
          <w:rStyle w:val="FootnoteReference"/>
          <w:rFonts w:ascii="Arial" w:hAnsi="Arial" w:cs="Arial"/>
          <w:lang w:val="en-GB"/>
        </w:rPr>
        <w:footnoteReference w:id="18"/>
      </w:r>
      <w:r w:rsidR="00EB6ED0" w:rsidRPr="00E87355">
        <w:rPr>
          <w:rFonts w:ascii="Arial" w:hAnsi="Arial" w:cs="Arial"/>
          <w:lang w:val="en-GB"/>
        </w:rPr>
        <w:t xml:space="preserve">, </w:t>
      </w:r>
      <w:r w:rsidR="005F22FE" w:rsidRPr="00E87355">
        <w:rPr>
          <w:rFonts w:ascii="Arial" w:hAnsi="Arial" w:cs="Arial"/>
          <w:lang w:val="en-GB"/>
        </w:rPr>
        <w:t>may be eligible to make a bankruptcy filing under Chapter 11</w:t>
      </w:r>
      <w:r w:rsidR="00B339FF" w:rsidRPr="00E87355">
        <w:rPr>
          <w:rFonts w:ascii="Arial" w:hAnsi="Arial" w:cs="Arial"/>
          <w:lang w:val="en-GB"/>
        </w:rPr>
        <w:t>.</w:t>
      </w:r>
      <w:r w:rsidR="005F22FE" w:rsidRPr="00E87355">
        <w:rPr>
          <w:rFonts w:ascii="Arial" w:hAnsi="Arial" w:cs="Arial"/>
          <w:lang w:val="en-GB"/>
        </w:rPr>
        <w:t xml:space="preserve"> </w:t>
      </w:r>
      <w:r w:rsidR="007A1910" w:rsidRPr="00E87355">
        <w:rPr>
          <w:rFonts w:ascii="Arial" w:hAnsi="Arial" w:cs="Arial"/>
          <w:lang w:val="en-GB"/>
        </w:rPr>
        <w:t>I</w:t>
      </w:r>
      <w:r w:rsidR="005F22FE" w:rsidRPr="00E87355">
        <w:rPr>
          <w:rFonts w:ascii="Arial" w:hAnsi="Arial" w:cs="Arial"/>
          <w:lang w:val="en-GB"/>
        </w:rPr>
        <w:t xml:space="preserve">t becomes important to understand what qualifies as presence of “property” for the purposes of Section 109(a). </w:t>
      </w:r>
    </w:p>
    <w:p w14:paraId="3558C6B3" w14:textId="42CF0C3C" w:rsidR="00F9611A" w:rsidRPr="00E87355" w:rsidRDefault="00F9611A" w:rsidP="00E43E63">
      <w:pPr>
        <w:pStyle w:val="ListParagraph"/>
        <w:widowControl w:val="0"/>
        <w:numPr>
          <w:ilvl w:val="0"/>
          <w:numId w:val="3"/>
        </w:numPr>
        <w:spacing w:after="120" w:line="360" w:lineRule="auto"/>
        <w:jc w:val="both"/>
        <w:outlineLvl w:val="2"/>
        <w:rPr>
          <w:rFonts w:ascii="Arial" w:hAnsi="Arial" w:cs="Arial"/>
          <w:b/>
          <w:bCs/>
          <w:lang w:val="en-GB"/>
        </w:rPr>
      </w:pPr>
      <w:bookmarkStart w:id="9" w:name="_Toc139801756"/>
      <w:r w:rsidRPr="00E87355">
        <w:rPr>
          <w:rFonts w:ascii="Arial" w:hAnsi="Arial" w:cs="Arial"/>
          <w:b/>
          <w:bCs/>
          <w:lang w:val="en-GB"/>
        </w:rPr>
        <w:t>What qualifies as “property”?</w:t>
      </w:r>
      <w:bookmarkEnd w:id="9"/>
      <w:r w:rsidRPr="00E87355">
        <w:rPr>
          <w:rFonts w:ascii="Arial" w:hAnsi="Arial" w:cs="Arial"/>
          <w:b/>
          <w:bCs/>
          <w:lang w:val="en-GB"/>
        </w:rPr>
        <w:t xml:space="preserve"> </w:t>
      </w:r>
    </w:p>
    <w:p w14:paraId="7796B3B8" w14:textId="4E624B12" w:rsidR="005F22FE" w:rsidRPr="00E87355" w:rsidRDefault="005F22FE" w:rsidP="00E43E63">
      <w:pPr>
        <w:widowControl w:val="0"/>
        <w:spacing w:after="120" w:line="360" w:lineRule="auto"/>
        <w:jc w:val="both"/>
        <w:rPr>
          <w:rFonts w:ascii="Arial" w:hAnsi="Arial" w:cs="Arial"/>
          <w:lang w:val="en-GB"/>
        </w:rPr>
      </w:pPr>
      <w:r w:rsidRPr="00E87355">
        <w:rPr>
          <w:rFonts w:ascii="Arial" w:hAnsi="Arial" w:cs="Arial"/>
          <w:lang w:val="en-GB"/>
        </w:rPr>
        <w:t>Generally speaking, the threshold for establishing presence of property is quite low</w:t>
      </w:r>
      <w:r w:rsidR="008113D6" w:rsidRPr="00E87355">
        <w:rPr>
          <w:rFonts w:ascii="Arial" w:hAnsi="Arial" w:cs="Arial"/>
          <w:lang w:val="en-GB"/>
        </w:rPr>
        <w:t xml:space="preserve"> and a minimal amount of property in the US may be sufficient to meet this requirement</w:t>
      </w:r>
      <w:r w:rsidRPr="00E87355">
        <w:rPr>
          <w:rFonts w:ascii="Arial" w:hAnsi="Arial" w:cs="Arial"/>
          <w:lang w:val="en-GB"/>
        </w:rPr>
        <w:t>.</w:t>
      </w:r>
      <w:r w:rsidR="008113D6" w:rsidRPr="00E87355">
        <w:rPr>
          <w:rStyle w:val="FootnoteReference"/>
          <w:rFonts w:ascii="Arial" w:hAnsi="Arial" w:cs="Arial"/>
          <w:lang w:val="en-GB"/>
        </w:rPr>
        <w:footnoteReference w:id="19"/>
      </w:r>
      <w:r w:rsidRPr="00E87355">
        <w:rPr>
          <w:rFonts w:ascii="Arial" w:hAnsi="Arial" w:cs="Arial"/>
          <w:lang w:val="en-GB"/>
        </w:rPr>
        <w:t xml:space="preserve"> </w:t>
      </w:r>
      <w:r w:rsidR="00C46FFC" w:rsidRPr="00E87355">
        <w:rPr>
          <w:rFonts w:ascii="Arial" w:hAnsi="Arial" w:cs="Arial"/>
          <w:lang w:val="en-GB"/>
        </w:rPr>
        <w:t xml:space="preserve">In </w:t>
      </w:r>
      <w:r w:rsidRPr="00E87355">
        <w:rPr>
          <w:rFonts w:ascii="Arial" w:hAnsi="Arial" w:cs="Arial"/>
          <w:i/>
          <w:iCs/>
          <w:lang w:val="en-GB"/>
        </w:rPr>
        <w:t>In re</w:t>
      </w:r>
      <w:r w:rsidR="00C46FFC" w:rsidRPr="00E87355">
        <w:rPr>
          <w:rFonts w:ascii="Arial" w:hAnsi="Arial" w:cs="Arial"/>
          <w:i/>
          <w:iCs/>
          <w:lang w:val="en-GB"/>
        </w:rPr>
        <w:t xml:space="preserve"> </w:t>
      </w:r>
      <w:r w:rsidRPr="00E87355">
        <w:rPr>
          <w:rFonts w:ascii="Arial" w:hAnsi="Arial" w:cs="Arial"/>
          <w:i/>
          <w:iCs/>
          <w:lang w:val="en-GB"/>
        </w:rPr>
        <w:t>McTague</w:t>
      </w:r>
      <w:r w:rsidRPr="00E87355">
        <w:rPr>
          <w:rFonts w:ascii="Arial" w:hAnsi="Arial" w:cs="Arial"/>
          <w:lang w:val="en-GB"/>
        </w:rPr>
        <w:t xml:space="preserve">, the court </w:t>
      </w:r>
      <w:r w:rsidR="00C46FFC" w:rsidRPr="00E87355">
        <w:rPr>
          <w:rFonts w:ascii="Arial" w:hAnsi="Arial" w:cs="Arial"/>
          <w:lang w:val="en-GB"/>
        </w:rPr>
        <w:t>noted</w:t>
      </w:r>
      <w:r w:rsidRPr="00E87355">
        <w:rPr>
          <w:rFonts w:ascii="Arial" w:hAnsi="Arial" w:cs="Arial"/>
          <w:lang w:val="en-GB"/>
        </w:rPr>
        <w:t xml:space="preserve"> that the language of section 109 did not require an enquiry into the quantum of property.</w:t>
      </w:r>
      <w:r w:rsidR="002F4F97" w:rsidRPr="00E87355">
        <w:rPr>
          <w:rStyle w:val="FootnoteReference"/>
          <w:rFonts w:ascii="Arial" w:hAnsi="Arial" w:cs="Arial"/>
          <w:lang w:val="en-GB"/>
        </w:rPr>
        <w:footnoteReference w:id="20"/>
      </w:r>
      <w:r w:rsidRPr="00E87355">
        <w:rPr>
          <w:rFonts w:ascii="Arial" w:hAnsi="Arial" w:cs="Arial"/>
          <w:lang w:val="en-GB"/>
        </w:rPr>
        <w:t xml:space="preserve"> Famously, the court remarked that ‘</w:t>
      </w:r>
      <w:r w:rsidRPr="00E87355">
        <w:rPr>
          <w:rFonts w:ascii="Arial" w:hAnsi="Arial" w:cs="Arial"/>
          <w:i/>
          <w:iCs/>
          <w:lang w:val="en-GB"/>
        </w:rPr>
        <w:t>having a dollar, a dime or a peppercorn</w:t>
      </w:r>
      <w:r w:rsidRPr="00E87355">
        <w:rPr>
          <w:rFonts w:ascii="Arial" w:hAnsi="Arial" w:cs="Arial"/>
          <w:lang w:val="en-GB"/>
        </w:rPr>
        <w:t xml:space="preserve">’ </w:t>
      </w:r>
      <w:r w:rsidR="002F4F97" w:rsidRPr="00E87355">
        <w:rPr>
          <w:rFonts w:ascii="Arial" w:hAnsi="Arial" w:cs="Arial"/>
          <w:lang w:val="en-GB"/>
        </w:rPr>
        <w:t>may be sufficient to</w:t>
      </w:r>
      <w:r w:rsidRPr="00E87355">
        <w:rPr>
          <w:rFonts w:ascii="Arial" w:hAnsi="Arial" w:cs="Arial"/>
          <w:lang w:val="en-GB"/>
        </w:rPr>
        <w:t xml:space="preserve"> satisfy section 109 requirements.</w:t>
      </w:r>
      <w:r w:rsidR="00CC3AEC" w:rsidRPr="00E87355">
        <w:rPr>
          <w:rStyle w:val="FootnoteReference"/>
          <w:rFonts w:ascii="Arial" w:hAnsi="Arial" w:cs="Arial"/>
          <w:lang w:val="en-GB"/>
        </w:rPr>
        <w:footnoteReference w:id="21"/>
      </w:r>
      <w:r w:rsidRPr="00E87355">
        <w:rPr>
          <w:rFonts w:ascii="Arial" w:hAnsi="Arial" w:cs="Arial"/>
          <w:lang w:val="en-GB"/>
        </w:rPr>
        <w:t xml:space="preserve"> The</w:t>
      </w:r>
      <w:r w:rsidR="00EB6ED0" w:rsidRPr="00E87355">
        <w:rPr>
          <w:rFonts w:ascii="Arial" w:hAnsi="Arial" w:cs="Arial"/>
          <w:lang w:val="en-GB"/>
        </w:rPr>
        <w:t>refore,</w:t>
      </w:r>
      <w:r w:rsidRPr="00E87355">
        <w:rPr>
          <w:rFonts w:ascii="Arial" w:hAnsi="Arial" w:cs="Arial"/>
          <w:lang w:val="en-GB"/>
        </w:rPr>
        <w:t xml:space="preserve"> </w:t>
      </w:r>
      <w:r w:rsidR="00EB6ED0" w:rsidRPr="00E87355">
        <w:rPr>
          <w:rFonts w:ascii="Arial" w:hAnsi="Arial" w:cs="Arial"/>
          <w:lang w:val="en-GB"/>
        </w:rPr>
        <w:t xml:space="preserve">the </w:t>
      </w:r>
      <w:r w:rsidRPr="00E87355">
        <w:rPr>
          <w:rFonts w:ascii="Arial" w:hAnsi="Arial" w:cs="Arial"/>
          <w:lang w:val="en-GB"/>
        </w:rPr>
        <w:t xml:space="preserve">quantity </w:t>
      </w:r>
      <w:r w:rsidR="00542320" w:rsidRPr="00E87355">
        <w:rPr>
          <w:rFonts w:ascii="Arial" w:hAnsi="Arial" w:cs="Arial"/>
          <w:lang w:val="en-GB"/>
        </w:rPr>
        <w:t>or minimum value</w:t>
      </w:r>
      <w:r w:rsidR="00542320" w:rsidRPr="00E87355">
        <w:rPr>
          <w:rStyle w:val="FootnoteReference"/>
          <w:rFonts w:ascii="Arial" w:hAnsi="Arial" w:cs="Arial"/>
          <w:lang w:val="en-GB"/>
        </w:rPr>
        <w:footnoteReference w:id="22"/>
      </w:r>
      <w:r w:rsidR="00542320" w:rsidRPr="00E87355">
        <w:rPr>
          <w:rFonts w:ascii="Arial" w:hAnsi="Arial" w:cs="Arial"/>
          <w:lang w:val="en-GB"/>
        </w:rPr>
        <w:t xml:space="preserve"> </w:t>
      </w:r>
      <w:r w:rsidRPr="00E87355">
        <w:rPr>
          <w:rFonts w:ascii="Arial" w:hAnsi="Arial" w:cs="Arial"/>
          <w:lang w:val="en-GB"/>
        </w:rPr>
        <w:t xml:space="preserve">of property is not of significance as long as presence of some property can be established. </w:t>
      </w:r>
    </w:p>
    <w:p w14:paraId="0D1A21AC" w14:textId="6925174B" w:rsidR="003A22E4" w:rsidRPr="00E87355" w:rsidRDefault="00B339FF" w:rsidP="00E43E63">
      <w:pPr>
        <w:widowControl w:val="0"/>
        <w:spacing w:after="120" w:line="360" w:lineRule="auto"/>
        <w:jc w:val="both"/>
        <w:rPr>
          <w:rFonts w:ascii="Arial" w:hAnsi="Arial" w:cs="Arial"/>
          <w:lang w:val="en-GB"/>
        </w:rPr>
      </w:pPr>
      <w:r w:rsidRPr="00E87355">
        <w:rPr>
          <w:rFonts w:ascii="Arial" w:hAnsi="Arial" w:cs="Arial"/>
          <w:lang w:val="en-GB"/>
        </w:rPr>
        <w:lastRenderedPageBreak/>
        <w:t>In previous cases,</w:t>
      </w:r>
      <w:r w:rsidR="008F5FED" w:rsidRPr="00E87355">
        <w:rPr>
          <w:rFonts w:ascii="Arial" w:hAnsi="Arial" w:cs="Arial"/>
          <w:lang w:val="en-GB"/>
        </w:rPr>
        <w:t xml:space="preserve"> existence of bank account</w:t>
      </w:r>
      <w:r w:rsidR="00564598" w:rsidRPr="00E87355">
        <w:rPr>
          <w:rFonts w:ascii="Arial" w:hAnsi="Arial" w:cs="Arial"/>
          <w:lang w:val="en-GB"/>
        </w:rPr>
        <w:t>s</w:t>
      </w:r>
      <w:r w:rsidR="00564598" w:rsidRPr="00E87355">
        <w:rPr>
          <w:rStyle w:val="FootnoteReference"/>
          <w:rFonts w:ascii="Arial" w:hAnsi="Arial" w:cs="Arial"/>
          <w:lang w:val="en-GB"/>
        </w:rPr>
        <w:footnoteReference w:id="23"/>
      </w:r>
      <w:r w:rsidR="008F5FED" w:rsidRPr="00E87355">
        <w:rPr>
          <w:rFonts w:ascii="Arial" w:hAnsi="Arial" w:cs="Arial"/>
          <w:lang w:val="en-GB"/>
        </w:rPr>
        <w:t xml:space="preserve"> with minimal amounts of money</w:t>
      </w:r>
      <w:r w:rsidR="008F5FED" w:rsidRPr="00E87355">
        <w:rPr>
          <w:rStyle w:val="FootnoteReference"/>
          <w:rFonts w:ascii="Arial" w:hAnsi="Arial" w:cs="Arial"/>
          <w:lang w:val="en-GB"/>
        </w:rPr>
        <w:footnoteReference w:id="24"/>
      </w:r>
      <w:r w:rsidR="008F5FED" w:rsidRPr="00E87355">
        <w:rPr>
          <w:rFonts w:ascii="Arial" w:hAnsi="Arial" w:cs="Arial"/>
          <w:lang w:val="en-GB"/>
        </w:rPr>
        <w:t>, u</w:t>
      </w:r>
      <w:r w:rsidR="00EB6ED0" w:rsidRPr="00E87355">
        <w:rPr>
          <w:rFonts w:ascii="Arial" w:hAnsi="Arial" w:cs="Arial"/>
          <w:lang w:val="en-GB"/>
        </w:rPr>
        <w:t>nearned r</w:t>
      </w:r>
      <w:r w:rsidR="0023798F" w:rsidRPr="00E87355">
        <w:rPr>
          <w:rFonts w:ascii="Arial" w:hAnsi="Arial" w:cs="Arial"/>
          <w:lang w:val="en-GB"/>
        </w:rPr>
        <w:t>etainer deposits</w:t>
      </w:r>
      <w:r w:rsidR="008176A7" w:rsidRPr="00E87355">
        <w:rPr>
          <w:rFonts w:ascii="Arial" w:hAnsi="Arial" w:cs="Arial"/>
          <w:lang w:val="en-GB"/>
        </w:rPr>
        <w:t xml:space="preserve"> for </w:t>
      </w:r>
      <w:r w:rsidR="008113D6" w:rsidRPr="00E87355">
        <w:rPr>
          <w:rFonts w:ascii="Arial" w:hAnsi="Arial" w:cs="Arial"/>
          <w:lang w:val="en-GB"/>
        </w:rPr>
        <w:t>the debtors’ legal counsel</w:t>
      </w:r>
      <w:r w:rsidR="008113D6" w:rsidRPr="00E87355">
        <w:rPr>
          <w:rStyle w:val="FootnoteReference"/>
          <w:rFonts w:ascii="Arial" w:hAnsi="Arial" w:cs="Arial"/>
          <w:lang w:val="en-GB"/>
        </w:rPr>
        <w:footnoteReference w:id="25"/>
      </w:r>
      <w:r w:rsidR="003A22E4" w:rsidRPr="00E87355">
        <w:rPr>
          <w:rFonts w:ascii="Arial" w:hAnsi="Arial" w:cs="Arial"/>
          <w:lang w:val="en-GB"/>
        </w:rPr>
        <w:t xml:space="preserve"> </w:t>
      </w:r>
      <w:r w:rsidR="008F5FED" w:rsidRPr="00E87355">
        <w:rPr>
          <w:rFonts w:ascii="Arial" w:hAnsi="Arial" w:cs="Arial"/>
          <w:lang w:val="en-GB"/>
        </w:rPr>
        <w:t xml:space="preserve">has met the requirement of section 109(a). </w:t>
      </w:r>
      <w:r w:rsidR="00E911F8" w:rsidRPr="00E87355">
        <w:rPr>
          <w:rFonts w:ascii="Arial" w:hAnsi="Arial" w:cs="Arial"/>
          <w:lang w:val="en-GB"/>
        </w:rPr>
        <w:t xml:space="preserve">As aptly put by the court, in </w:t>
      </w:r>
      <w:r w:rsidR="00E911F8" w:rsidRPr="00E87355">
        <w:rPr>
          <w:rFonts w:ascii="Arial" w:hAnsi="Arial" w:cs="Arial"/>
          <w:i/>
          <w:iCs/>
          <w:lang w:val="en-GB"/>
        </w:rPr>
        <w:t>In re Aerovias Nacionales de Colombia S.A. Avianca</w:t>
      </w:r>
      <w:r w:rsidR="00E911F8" w:rsidRPr="00E87355">
        <w:rPr>
          <w:rStyle w:val="FootnoteReference"/>
          <w:rFonts w:ascii="Arial" w:hAnsi="Arial" w:cs="Arial"/>
          <w:i/>
          <w:iCs/>
          <w:lang w:val="en-GB"/>
        </w:rPr>
        <w:footnoteReference w:id="26"/>
      </w:r>
      <w:r w:rsidR="00E911F8" w:rsidRPr="00E87355">
        <w:rPr>
          <w:rFonts w:ascii="Arial" w:hAnsi="Arial" w:cs="Arial"/>
          <w:lang w:val="en-GB"/>
        </w:rPr>
        <w:t>, which quoted Collier on Bankruptcy, "</w:t>
      </w:r>
      <w:r w:rsidR="00E911F8" w:rsidRPr="00E87355">
        <w:rPr>
          <w:rFonts w:ascii="Arial" w:hAnsi="Arial" w:cs="Arial"/>
          <w:i/>
          <w:iCs/>
          <w:lang w:val="en-GB"/>
        </w:rPr>
        <w:t>there is virtually no formal barrier to a foreign entity commencing a case under title 11 in the United States</w:t>
      </w:r>
      <w:r w:rsidR="00E911F8" w:rsidRPr="00E87355">
        <w:rPr>
          <w:rFonts w:ascii="Arial" w:hAnsi="Arial" w:cs="Arial"/>
          <w:lang w:val="en-GB"/>
        </w:rPr>
        <w:t>”.</w:t>
      </w:r>
      <w:r w:rsidR="00E911F8" w:rsidRPr="00E87355">
        <w:rPr>
          <w:rStyle w:val="FootnoteReference"/>
          <w:rFonts w:ascii="Arial" w:hAnsi="Arial" w:cs="Arial"/>
          <w:lang w:val="en-GB"/>
        </w:rPr>
        <w:footnoteReference w:id="27"/>
      </w:r>
    </w:p>
    <w:p w14:paraId="78222FC8" w14:textId="252E73FC" w:rsidR="00852451" w:rsidRPr="00E87355" w:rsidRDefault="00F9302B" w:rsidP="00E43E63">
      <w:pPr>
        <w:pStyle w:val="ListParagraph"/>
        <w:widowControl w:val="0"/>
        <w:numPr>
          <w:ilvl w:val="0"/>
          <w:numId w:val="3"/>
        </w:numPr>
        <w:spacing w:after="120" w:line="360" w:lineRule="auto"/>
        <w:jc w:val="both"/>
        <w:outlineLvl w:val="2"/>
        <w:rPr>
          <w:rFonts w:ascii="Arial" w:hAnsi="Arial" w:cs="Arial"/>
          <w:b/>
          <w:bCs/>
          <w:lang w:val="en-GB"/>
        </w:rPr>
      </w:pPr>
      <w:bookmarkStart w:id="10" w:name="_Toc139801757"/>
      <w:r w:rsidRPr="00E87355">
        <w:rPr>
          <w:rFonts w:ascii="Arial" w:hAnsi="Arial" w:cs="Arial"/>
          <w:b/>
          <w:bCs/>
          <w:lang w:val="en-GB"/>
        </w:rPr>
        <w:t>Potential reasons for dismissal</w:t>
      </w:r>
      <w:bookmarkEnd w:id="10"/>
    </w:p>
    <w:p w14:paraId="27369A1C" w14:textId="368996AF" w:rsidR="00F92830" w:rsidRPr="00E87355" w:rsidRDefault="00852451" w:rsidP="00E43E63">
      <w:pPr>
        <w:widowControl w:val="0"/>
        <w:spacing w:after="120" w:line="360" w:lineRule="auto"/>
        <w:jc w:val="both"/>
        <w:rPr>
          <w:rFonts w:ascii="Arial" w:hAnsi="Arial" w:cs="Arial"/>
          <w:lang w:val="en-GB"/>
        </w:rPr>
      </w:pPr>
      <w:r w:rsidRPr="00E87355">
        <w:rPr>
          <w:rFonts w:ascii="Arial" w:hAnsi="Arial" w:cs="Arial"/>
          <w:lang w:val="en-GB"/>
        </w:rPr>
        <w:t>While the threshold for</w:t>
      </w:r>
      <w:r w:rsidR="006A51E4" w:rsidRPr="00E87355">
        <w:rPr>
          <w:rFonts w:ascii="Arial" w:hAnsi="Arial" w:cs="Arial"/>
          <w:lang w:val="en-GB"/>
        </w:rPr>
        <w:t xml:space="preserve"> being eligible to file in the US is quite low, a bankruptcy petition filed by a foreign debtor may</w:t>
      </w:r>
      <w:r w:rsidR="008176A7" w:rsidRPr="00E87355">
        <w:rPr>
          <w:rFonts w:ascii="Arial" w:hAnsi="Arial" w:cs="Arial"/>
          <w:lang w:val="en-GB"/>
        </w:rPr>
        <w:t xml:space="preserve"> still</w:t>
      </w:r>
      <w:r w:rsidR="006A51E4" w:rsidRPr="00E87355">
        <w:rPr>
          <w:rFonts w:ascii="Arial" w:hAnsi="Arial" w:cs="Arial"/>
          <w:lang w:val="en-GB"/>
        </w:rPr>
        <w:t xml:space="preserve"> be dismissed under </w:t>
      </w:r>
      <w:r w:rsidR="00564598" w:rsidRPr="00E87355">
        <w:rPr>
          <w:rFonts w:ascii="Arial" w:hAnsi="Arial" w:cs="Arial"/>
          <w:lang w:val="en-GB"/>
        </w:rPr>
        <w:t xml:space="preserve">section 305 and 1112 of the US Bankruptcy Code. </w:t>
      </w:r>
      <w:r w:rsidR="006A51E4" w:rsidRPr="00E87355">
        <w:rPr>
          <w:rFonts w:ascii="Arial" w:hAnsi="Arial" w:cs="Arial"/>
          <w:lang w:val="en-GB"/>
        </w:rPr>
        <w:t>Section 305 states that a bankruptcy</w:t>
      </w:r>
      <w:r w:rsidR="00564598" w:rsidRPr="00E87355">
        <w:rPr>
          <w:rFonts w:ascii="Arial" w:hAnsi="Arial" w:cs="Arial"/>
          <w:lang w:val="en-GB"/>
        </w:rPr>
        <w:t xml:space="preserve"> petition</w:t>
      </w:r>
      <w:r w:rsidR="00F9302B" w:rsidRPr="00E87355">
        <w:rPr>
          <w:rFonts w:ascii="Arial" w:hAnsi="Arial" w:cs="Arial"/>
          <w:lang w:val="en-GB"/>
        </w:rPr>
        <w:t xml:space="preserve"> may be dismissed if </w:t>
      </w:r>
      <w:r w:rsidR="00967CEE" w:rsidRPr="00E87355">
        <w:rPr>
          <w:rFonts w:ascii="Arial" w:hAnsi="Arial" w:cs="Arial"/>
          <w:lang w:val="en-GB"/>
        </w:rPr>
        <w:t>such dismissal</w:t>
      </w:r>
      <w:r w:rsidR="003A22E4" w:rsidRPr="00E87355">
        <w:rPr>
          <w:rFonts w:ascii="Arial" w:hAnsi="Arial" w:cs="Arial"/>
          <w:lang w:val="en-GB"/>
        </w:rPr>
        <w:t xml:space="preserve"> is in the best interest of creditors </w:t>
      </w:r>
      <w:r w:rsidR="008176A7" w:rsidRPr="00E87355">
        <w:rPr>
          <w:rFonts w:ascii="Arial" w:hAnsi="Arial" w:cs="Arial"/>
          <w:lang w:val="en-GB"/>
        </w:rPr>
        <w:t>and</w:t>
      </w:r>
      <w:r w:rsidR="003A22E4" w:rsidRPr="00E87355">
        <w:rPr>
          <w:rFonts w:ascii="Arial" w:hAnsi="Arial" w:cs="Arial"/>
          <w:lang w:val="en-GB"/>
        </w:rPr>
        <w:t xml:space="preserve"> </w:t>
      </w:r>
      <w:r w:rsidR="008176A7" w:rsidRPr="00E87355">
        <w:rPr>
          <w:rFonts w:ascii="Arial" w:hAnsi="Arial" w:cs="Arial"/>
          <w:lang w:val="en-GB"/>
        </w:rPr>
        <w:t xml:space="preserve">the </w:t>
      </w:r>
      <w:r w:rsidR="003A22E4" w:rsidRPr="00E87355">
        <w:rPr>
          <w:rFonts w:ascii="Arial" w:hAnsi="Arial" w:cs="Arial"/>
          <w:lang w:val="en-GB"/>
        </w:rPr>
        <w:t>debtor</w:t>
      </w:r>
      <w:r w:rsidR="00D86CC1" w:rsidRPr="00E87355">
        <w:rPr>
          <w:rStyle w:val="FootnoteReference"/>
          <w:rFonts w:ascii="Arial" w:hAnsi="Arial" w:cs="Arial"/>
          <w:lang w:val="en-GB"/>
        </w:rPr>
        <w:footnoteReference w:id="28"/>
      </w:r>
      <w:r w:rsidR="003A22E4" w:rsidRPr="00E87355">
        <w:rPr>
          <w:rFonts w:ascii="Arial" w:hAnsi="Arial" w:cs="Arial"/>
          <w:lang w:val="en-GB"/>
        </w:rPr>
        <w:t xml:space="preserve"> </w:t>
      </w:r>
      <w:r w:rsidR="006A51E4" w:rsidRPr="00E87355">
        <w:rPr>
          <w:rFonts w:ascii="Arial" w:hAnsi="Arial" w:cs="Arial"/>
          <w:lang w:val="en-GB"/>
        </w:rPr>
        <w:t>while section 1112 allows dismissal of a bankruptcy petition</w:t>
      </w:r>
      <w:r w:rsidR="003A22E4" w:rsidRPr="00E87355">
        <w:rPr>
          <w:rFonts w:ascii="Arial" w:hAnsi="Arial" w:cs="Arial"/>
          <w:lang w:val="en-GB"/>
        </w:rPr>
        <w:t xml:space="preserve"> for </w:t>
      </w:r>
      <w:r w:rsidR="008176A7" w:rsidRPr="00E87355">
        <w:rPr>
          <w:rFonts w:ascii="Arial" w:hAnsi="Arial" w:cs="Arial"/>
          <w:lang w:val="en-GB"/>
        </w:rPr>
        <w:t>‘</w:t>
      </w:r>
      <w:r w:rsidR="003A22E4" w:rsidRPr="00E87355">
        <w:rPr>
          <w:rFonts w:ascii="Arial" w:hAnsi="Arial" w:cs="Arial"/>
          <w:lang w:val="en-GB"/>
        </w:rPr>
        <w:t>cause</w:t>
      </w:r>
      <w:r w:rsidR="008176A7" w:rsidRPr="00E87355">
        <w:rPr>
          <w:rFonts w:ascii="Arial" w:hAnsi="Arial" w:cs="Arial"/>
          <w:lang w:val="en-GB"/>
        </w:rPr>
        <w:t>’</w:t>
      </w:r>
      <w:r w:rsidR="00564598" w:rsidRPr="00E87355">
        <w:rPr>
          <w:rStyle w:val="FootnoteReference"/>
          <w:rFonts w:ascii="Arial" w:hAnsi="Arial" w:cs="Arial"/>
          <w:lang w:val="en-GB"/>
        </w:rPr>
        <w:footnoteReference w:id="29"/>
      </w:r>
    </w:p>
    <w:p w14:paraId="794FDC94" w14:textId="3D681D2A" w:rsidR="0089753A" w:rsidRPr="00E87355" w:rsidRDefault="00ED640C" w:rsidP="00E43E63">
      <w:pPr>
        <w:widowControl w:val="0"/>
        <w:spacing w:after="120" w:line="360" w:lineRule="auto"/>
        <w:jc w:val="both"/>
        <w:rPr>
          <w:rFonts w:ascii="Arial" w:hAnsi="Arial" w:cs="Arial"/>
          <w:i/>
          <w:iCs/>
        </w:rPr>
      </w:pPr>
      <w:r w:rsidRPr="00E87355">
        <w:rPr>
          <w:rFonts w:ascii="Arial" w:hAnsi="Arial" w:cs="Arial"/>
          <w:lang w:val="en-GB"/>
        </w:rPr>
        <w:t>Under section 1112</w:t>
      </w:r>
      <w:r w:rsidR="005E74C7" w:rsidRPr="00E87355">
        <w:rPr>
          <w:rFonts w:ascii="Arial" w:hAnsi="Arial" w:cs="Arial"/>
          <w:lang w:val="en-GB"/>
        </w:rPr>
        <w:t>(b)</w:t>
      </w:r>
      <w:r w:rsidRPr="00E87355">
        <w:rPr>
          <w:rFonts w:ascii="Arial" w:hAnsi="Arial" w:cs="Arial"/>
          <w:lang w:val="en-GB"/>
        </w:rPr>
        <w:t xml:space="preserve">, a bankruptcy petition may be dismissed for </w:t>
      </w:r>
      <w:r w:rsidR="006A51E4" w:rsidRPr="00E87355">
        <w:rPr>
          <w:rFonts w:ascii="Arial" w:hAnsi="Arial" w:cs="Arial"/>
          <w:lang w:val="en-GB"/>
        </w:rPr>
        <w:t>‘</w:t>
      </w:r>
      <w:r w:rsidRPr="00E87355">
        <w:rPr>
          <w:rFonts w:ascii="Arial" w:hAnsi="Arial" w:cs="Arial"/>
          <w:lang w:val="en-GB"/>
        </w:rPr>
        <w:t>cause</w:t>
      </w:r>
      <w:r w:rsidR="006A51E4" w:rsidRPr="00E87355">
        <w:rPr>
          <w:rFonts w:ascii="Arial" w:hAnsi="Arial" w:cs="Arial"/>
          <w:lang w:val="en-GB"/>
        </w:rPr>
        <w:t>’</w:t>
      </w:r>
      <w:r w:rsidRPr="00E87355">
        <w:rPr>
          <w:rFonts w:ascii="Arial" w:hAnsi="Arial" w:cs="Arial"/>
          <w:lang w:val="en-GB"/>
        </w:rPr>
        <w:t xml:space="preserve"> unless t</w:t>
      </w:r>
      <w:r w:rsidR="00542320" w:rsidRPr="00E87355">
        <w:rPr>
          <w:rFonts w:ascii="Arial" w:hAnsi="Arial" w:cs="Arial"/>
          <w:lang w:val="en-GB"/>
        </w:rPr>
        <w:t xml:space="preserve">he petitioner </w:t>
      </w:r>
      <w:r w:rsidRPr="00E87355">
        <w:rPr>
          <w:rFonts w:ascii="Arial" w:hAnsi="Arial" w:cs="Arial"/>
          <w:lang w:val="en-GB"/>
        </w:rPr>
        <w:t>can show</w:t>
      </w:r>
      <w:r w:rsidR="00542320" w:rsidRPr="00E87355">
        <w:rPr>
          <w:rFonts w:ascii="Arial" w:hAnsi="Arial" w:cs="Arial"/>
          <w:lang w:val="en-GB"/>
        </w:rPr>
        <w:t xml:space="preserve"> </w:t>
      </w:r>
      <w:r w:rsidRPr="00E87355">
        <w:rPr>
          <w:rFonts w:ascii="Arial" w:hAnsi="Arial" w:cs="Arial"/>
          <w:lang w:val="en-GB"/>
        </w:rPr>
        <w:t>good faith, which may be established by examining whether the bankruptcy petition had a valid</w:t>
      </w:r>
      <w:r w:rsidR="005E74C7" w:rsidRPr="00E87355">
        <w:rPr>
          <w:rFonts w:ascii="Arial" w:hAnsi="Arial" w:cs="Arial"/>
          <w:lang w:val="en-GB"/>
        </w:rPr>
        <w:t xml:space="preserve"> reorganizational</w:t>
      </w:r>
      <w:r w:rsidRPr="00E87355">
        <w:rPr>
          <w:rFonts w:ascii="Arial" w:hAnsi="Arial" w:cs="Arial"/>
          <w:lang w:val="en-GB"/>
        </w:rPr>
        <w:t xml:space="preserve"> purpose, and whether it was filed merely for tactical litigation advantage.</w:t>
      </w:r>
      <w:r w:rsidRPr="00E87355">
        <w:rPr>
          <w:rStyle w:val="FootnoteReference"/>
          <w:rFonts w:ascii="Arial" w:hAnsi="Arial" w:cs="Arial"/>
          <w:lang w:val="en-GB"/>
        </w:rPr>
        <w:footnoteReference w:id="30"/>
      </w:r>
      <w:r w:rsidRPr="00E87355">
        <w:rPr>
          <w:rFonts w:ascii="Arial" w:hAnsi="Arial" w:cs="Arial"/>
          <w:lang w:val="en-GB"/>
        </w:rPr>
        <w:t xml:space="preserve"> </w:t>
      </w:r>
      <w:r w:rsidR="0089753A" w:rsidRPr="00E87355">
        <w:rPr>
          <w:rFonts w:ascii="Arial" w:hAnsi="Arial" w:cs="Arial"/>
          <w:lang w:val="en-GB"/>
        </w:rPr>
        <w:t xml:space="preserve">In </w:t>
      </w:r>
      <w:r w:rsidR="0089753A" w:rsidRPr="00E87355">
        <w:rPr>
          <w:rFonts w:ascii="Arial" w:hAnsi="Arial" w:cs="Arial"/>
          <w:i/>
          <w:iCs/>
        </w:rPr>
        <w:t>In re Integrated Telecom Express, Inc</w:t>
      </w:r>
      <w:r w:rsidR="0089753A" w:rsidRPr="00E87355">
        <w:rPr>
          <w:rFonts w:ascii="Arial" w:hAnsi="Arial" w:cs="Arial"/>
        </w:rPr>
        <w:t>,</w:t>
      </w:r>
      <w:r w:rsidR="0089753A" w:rsidRPr="00E87355">
        <w:rPr>
          <w:rFonts w:ascii="Arial" w:hAnsi="Arial" w:cs="Arial"/>
          <w:i/>
          <w:iCs/>
        </w:rPr>
        <w:t xml:space="preserve"> </w:t>
      </w:r>
      <w:r w:rsidR="0089753A" w:rsidRPr="00E87355">
        <w:rPr>
          <w:rFonts w:ascii="Arial" w:hAnsi="Arial" w:cs="Arial"/>
        </w:rPr>
        <w:t xml:space="preserve">the court dismissed the debtor’s bankruptcy filing </w:t>
      </w:r>
      <w:r w:rsidR="00C7222B" w:rsidRPr="00E87355">
        <w:rPr>
          <w:rFonts w:ascii="Arial" w:hAnsi="Arial" w:cs="Arial"/>
        </w:rPr>
        <w:t>as</w:t>
      </w:r>
      <w:r w:rsidR="0089753A" w:rsidRPr="00E87355">
        <w:rPr>
          <w:rFonts w:ascii="Arial" w:hAnsi="Arial" w:cs="Arial"/>
        </w:rPr>
        <w:t xml:space="preserve"> it </w:t>
      </w:r>
      <w:r w:rsidR="0089753A" w:rsidRPr="00E87355">
        <w:rPr>
          <w:rFonts w:ascii="Arial" w:hAnsi="Arial" w:cs="Arial"/>
          <w:lang w:val="en-GB"/>
        </w:rPr>
        <w:t xml:space="preserve">was </w:t>
      </w:r>
      <w:r w:rsidR="00C7222B" w:rsidRPr="00E87355">
        <w:rPr>
          <w:rFonts w:ascii="Arial" w:hAnsi="Arial" w:cs="Arial"/>
          <w:lang w:val="en-GB"/>
        </w:rPr>
        <w:t>“</w:t>
      </w:r>
      <w:r w:rsidR="0089753A" w:rsidRPr="00E87355">
        <w:rPr>
          <w:rFonts w:ascii="Arial" w:hAnsi="Arial" w:cs="Arial"/>
          <w:i/>
          <w:iCs/>
          <w:lang w:val="en-GB"/>
        </w:rPr>
        <w:t xml:space="preserve">not </w:t>
      </w:r>
      <w:r w:rsidR="00C7222B" w:rsidRPr="00E87355">
        <w:rPr>
          <w:rFonts w:ascii="Arial" w:hAnsi="Arial" w:cs="Arial"/>
          <w:i/>
          <w:iCs/>
          <w:lang w:val="en-GB"/>
        </w:rPr>
        <w:t>in financial distress, its Chapter 11 petition was not filed in good faith as it could not — and did not — preserve any value for Integrated's creditors that would have been lost outside of bankruptcy</w:t>
      </w:r>
      <w:r w:rsidR="00C7222B" w:rsidRPr="00E87355">
        <w:rPr>
          <w:rFonts w:ascii="Arial" w:hAnsi="Arial" w:cs="Arial"/>
          <w:lang w:val="en-GB"/>
        </w:rPr>
        <w:t>”</w:t>
      </w:r>
      <w:r w:rsidR="0089753A" w:rsidRPr="00E87355">
        <w:rPr>
          <w:rFonts w:ascii="Arial" w:hAnsi="Arial" w:cs="Arial"/>
          <w:lang w:val="en-GB"/>
        </w:rPr>
        <w:t>.</w:t>
      </w:r>
      <w:r w:rsidR="0089753A" w:rsidRPr="00E87355">
        <w:rPr>
          <w:rStyle w:val="FootnoteReference"/>
          <w:rFonts w:ascii="Arial" w:hAnsi="Arial" w:cs="Arial"/>
          <w:lang w:val="en-GB"/>
        </w:rPr>
        <w:footnoteReference w:id="31"/>
      </w:r>
      <w:r w:rsidR="0089753A" w:rsidRPr="00E87355">
        <w:rPr>
          <w:rStyle w:val="FootnoteReference"/>
          <w:rFonts w:ascii="Arial" w:hAnsi="Arial" w:cs="Arial"/>
          <w:lang w:val="en-GB"/>
        </w:rPr>
        <w:t xml:space="preserve"> </w:t>
      </w:r>
    </w:p>
    <w:p w14:paraId="1E1E70CE" w14:textId="578613D7" w:rsidR="001C19C9" w:rsidRPr="00E87355" w:rsidRDefault="001C19C9" w:rsidP="00E43E63">
      <w:pPr>
        <w:widowControl w:val="0"/>
        <w:spacing w:after="120" w:line="360" w:lineRule="auto"/>
        <w:jc w:val="both"/>
        <w:rPr>
          <w:rFonts w:ascii="Arial" w:hAnsi="Arial" w:cs="Arial"/>
          <w:b/>
          <w:bCs/>
          <w:lang w:val="en-GB"/>
        </w:rPr>
      </w:pPr>
      <w:r w:rsidRPr="00E87355">
        <w:rPr>
          <w:rFonts w:ascii="Arial" w:hAnsi="Arial" w:cs="Arial"/>
        </w:rPr>
        <w:t xml:space="preserve">One example of a case where bankruptcy petition of a foreign debtor was dismissed is </w:t>
      </w:r>
      <w:r w:rsidR="007F645F" w:rsidRPr="00E87355">
        <w:rPr>
          <w:rFonts w:ascii="Arial" w:hAnsi="Arial" w:cs="Arial"/>
          <w:i/>
          <w:iCs/>
        </w:rPr>
        <w:t>In re Yukos Oil Co.</w:t>
      </w:r>
      <w:r w:rsidR="007F645F" w:rsidRPr="00E87355">
        <w:rPr>
          <w:rStyle w:val="FootnoteReference"/>
          <w:rFonts w:ascii="Arial" w:hAnsi="Arial" w:cs="Arial"/>
          <w:i/>
          <w:iCs/>
        </w:rPr>
        <w:footnoteReference w:id="32"/>
      </w:r>
      <w:r w:rsidRPr="00E87355">
        <w:rPr>
          <w:rFonts w:ascii="Arial" w:hAnsi="Arial" w:cs="Arial"/>
        </w:rPr>
        <w:t xml:space="preserve">. </w:t>
      </w:r>
      <w:r w:rsidR="00E05B77" w:rsidRPr="00E87355">
        <w:rPr>
          <w:rFonts w:ascii="Arial" w:hAnsi="Arial" w:cs="Arial"/>
        </w:rPr>
        <w:t>Yukos’</w:t>
      </w:r>
      <w:r w:rsidRPr="00E87355">
        <w:rPr>
          <w:rFonts w:ascii="Arial" w:hAnsi="Arial" w:cs="Arial"/>
        </w:rPr>
        <w:t xml:space="preserve"> primary assets and operations were in Russia</w:t>
      </w:r>
      <w:r w:rsidR="00E05B77" w:rsidRPr="00E87355">
        <w:rPr>
          <w:rFonts w:ascii="Arial" w:hAnsi="Arial" w:cs="Arial"/>
        </w:rPr>
        <w:t>. After the Russian government tried to enforce certain tax claims against Yukos,</w:t>
      </w:r>
      <w:r w:rsidRPr="00E87355">
        <w:rPr>
          <w:rFonts w:ascii="Arial" w:hAnsi="Arial" w:cs="Arial"/>
        </w:rPr>
        <w:t xml:space="preserve"> it filed for Chapter 11 </w:t>
      </w:r>
      <w:r w:rsidRPr="00E87355">
        <w:rPr>
          <w:rFonts w:ascii="Arial" w:hAnsi="Arial" w:cs="Arial"/>
        </w:rPr>
        <w:lastRenderedPageBreak/>
        <w:t xml:space="preserve">proceedings </w:t>
      </w:r>
      <w:r w:rsidRPr="00E87355">
        <w:rPr>
          <w:rFonts w:ascii="Arial" w:hAnsi="Arial" w:cs="Arial"/>
          <w:lang w:val="en-GB"/>
        </w:rPr>
        <w:t xml:space="preserve">to prevent seizure of its assets in Russia. </w:t>
      </w:r>
      <w:r w:rsidR="00F32671" w:rsidRPr="00E87355">
        <w:rPr>
          <w:rFonts w:ascii="Arial" w:hAnsi="Arial" w:cs="Arial"/>
          <w:lang w:val="en-GB"/>
        </w:rPr>
        <w:t xml:space="preserve">The court dismissed the case on several grounds including: most of its operations were in Russia and its </w:t>
      </w:r>
      <w:r w:rsidR="00722DCC" w:rsidRPr="00E87355">
        <w:rPr>
          <w:rFonts w:ascii="Arial" w:hAnsi="Arial" w:cs="Arial"/>
          <w:lang w:val="en-GB"/>
        </w:rPr>
        <w:t xml:space="preserve">limited </w:t>
      </w:r>
      <w:r w:rsidR="00F32671" w:rsidRPr="00E87355">
        <w:rPr>
          <w:rFonts w:ascii="Arial" w:hAnsi="Arial" w:cs="Arial"/>
          <w:lang w:val="en-GB"/>
        </w:rPr>
        <w:t>ability to reorganise without the Russian government</w:t>
      </w:r>
      <w:r w:rsidR="00722DCC" w:rsidRPr="00E87355">
        <w:rPr>
          <w:rFonts w:ascii="Arial" w:hAnsi="Arial" w:cs="Arial"/>
          <w:lang w:val="en-GB"/>
        </w:rPr>
        <w:t xml:space="preserve">’s co-operation. The court also noted that </w:t>
      </w:r>
      <w:r w:rsidR="007F645F" w:rsidRPr="00E87355">
        <w:rPr>
          <w:rFonts w:ascii="Arial" w:hAnsi="Arial" w:cs="Arial"/>
          <w:lang w:val="en-GB"/>
        </w:rPr>
        <w:t>the importance of the company to the Russian economy favour</w:t>
      </w:r>
      <w:r w:rsidR="00E05B77" w:rsidRPr="00E87355">
        <w:rPr>
          <w:rFonts w:ascii="Arial" w:hAnsi="Arial" w:cs="Arial"/>
          <w:lang w:val="en-GB"/>
        </w:rPr>
        <w:t>ed</w:t>
      </w:r>
      <w:r w:rsidR="007F645F" w:rsidRPr="00E87355">
        <w:rPr>
          <w:rFonts w:ascii="Arial" w:hAnsi="Arial" w:cs="Arial"/>
          <w:lang w:val="en-GB"/>
        </w:rPr>
        <w:t xml:space="preserve"> allowing resolution in a forum where the Russian government will participate.</w:t>
      </w:r>
      <w:r w:rsidR="008176A7" w:rsidRPr="00E87355">
        <w:rPr>
          <w:rStyle w:val="FootnoteReference"/>
          <w:rFonts w:ascii="Arial" w:hAnsi="Arial" w:cs="Arial"/>
          <w:lang w:val="en-GB"/>
        </w:rPr>
        <w:footnoteReference w:id="33"/>
      </w:r>
      <w:r w:rsidR="007F645F" w:rsidRPr="00E87355">
        <w:rPr>
          <w:rFonts w:ascii="Arial" w:hAnsi="Arial" w:cs="Arial"/>
          <w:lang w:val="en-GB"/>
        </w:rPr>
        <w:t xml:space="preserve"> </w:t>
      </w:r>
      <w:r w:rsidR="00F32671" w:rsidRPr="00E87355">
        <w:rPr>
          <w:rFonts w:ascii="Arial" w:hAnsi="Arial" w:cs="Arial"/>
          <w:lang w:val="en-GB"/>
        </w:rPr>
        <w:t xml:space="preserve">  </w:t>
      </w:r>
    </w:p>
    <w:p w14:paraId="6545EF9B" w14:textId="02DCD18D" w:rsidR="006A51E4" w:rsidRPr="00E43E63" w:rsidRDefault="009B1FD0" w:rsidP="00E43E63">
      <w:pPr>
        <w:pStyle w:val="ListParagraph"/>
        <w:widowControl w:val="0"/>
        <w:numPr>
          <w:ilvl w:val="1"/>
          <w:numId w:val="2"/>
        </w:numPr>
        <w:spacing w:after="120" w:line="360" w:lineRule="auto"/>
        <w:ind w:left="369" w:hanging="369"/>
        <w:jc w:val="both"/>
        <w:outlineLvl w:val="1"/>
        <w:rPr>
          <w:rFonts w:ascii="Arial" w:hAnsi="Arial" w:cs="Arial"/>
          <w:b/>
          <w:bCs/>
          <w:lang w:val="en-GB"/>
        </w:rPr>
      </w:pPr>
      <w:bookmarkStart w:id="11" w:name="_Toc139801758"/>
      <w:r w:rsidRPr="00E87355">
        <w:rPr>
          <w:rFonts w:ascii="Arial" w:hAnsi="Arial" w:cs="Arial"/>
          <w:b/>
          <w:bCs/>
          <w:lang w:val="en-GB"/>
        </w:rPr>
        <w:t>UK</w:t>
      </w:r>
      <w:bookmarkEnd w:id="11"/>
    </w:p>
    <w:p w14:paraId="37D3CAF9" w14:textId="413966C6" w:rsidR="006A51E4" w:rsidRPr="00E87355" w:rsidRDefault="006A51E4" w:rsidP="00E43E63">
      <w:pPr>
        <w:pStyle w:val="ListParagraph"/>
        <w:widowControl w:val="0"/>
        <w:numPr>
          <w:ilvl w:val="0"/>
          <w:numId w:val="6"/>
        </w:numPr>
        <w:spacing w:after="120" w:line="360" w:lineRule="auto"/>
        <w:jc w:val="both"/>
        <w:outlineLvl w:val="2"/>
        <w:rPr>
          <w:rFonts w:ascii="Arial" w:hAnsi="Arial" w:cs="Arial"/>
          <w:lang w:val="en-GB"/>
        </w:rPr>
      </w:pPr>
      <w:bookmarkStart w:id="12" w:name="_Toc139801759"/>
      <w:r w:rsidRPr="00E87355">
        <w:rPr>
          <w:rFonts w:ascii="Arial" w:hAnsi="Arial" w:cs="Arial"/>
          <w:b/>
          <w:bCs/>
          <w:lang w:val="en-GB"/>
        </w:rPr>
        <w:t xml:space="preserve">Eligibility requirements for SOAs and </w:t>
      </w:r>
      <w:r w:rsidR="00BD5845" w:rsidRPr="00E87355">
        <w:rPr>
          <w:rFonts w:ascii="Arial" w:hAnsi="Arial" w:cs="Arial"/>
          <w:b/>
          <w:bCs/>
          <w:lang w:val="en-GB"/>
        </w:rPr>
        <w:t>RPs</w:t>
      </w:r>
      <w:bookmarkEnd w:id="12"/>
    </w:p>
    <w:p w14:paraId="4CFF3ABF" w14:textId="468736AA" w:rsidR="006A51E4" w:rsidRPr="00E87355" w:rsidRDefault="006A51E4" w:rsidP="00E43E63">
      <w:pPr>
        <w:pStyle w:val="ListParagraph"/>
        <w:widowControl w:val="0"/>
        <w:numPr>
          <w:ilvl w:val="0"/>
          <w:numId w:val="7"/>
        </w:numPr>
        <w:spacing w:after="120" w:line="360" w:lineRule="auto"/>
        <w:ind w:left="357" w:hanging="357"/>
        <w:jc w:val="both"/>
        <w:outlineLvl w:val="3"/>
        <w:rPr>
          <w:rFonts w:ascii="Arial" w:hAnsi="Arial" w:cs="Arial"/>
          <w:b/>
          <w:bCs/>
          <w:lang w:val="en-GB"/>
        </w:rPr>
      </w:pPr>
      <w:r w:rsidRPr="00E87355">
        <w:rPr>
          <w:rFonts w:ascii="Arial" w:hAnsi="Arial" w:cs="Arial"/>
          <w:b/>
          <w:bCs/>
          <w:lang w:val="en-GB"/>
        </w:rPr>
        <w:t>Relevant Legal Provisions</w:t>
      </w:r>
    </w:p>
    <w:p w14:paraId="659F5F49" w14:textId="09E91AFE" w:rsidR="00580D06" w:rsidRPr="00E87355" w:rsidRDefault="00AA10B7" w:rsidP="00E43E63">
      <w:pPr>
        <w:widowControl w:val="0"/>
        <w:spacing w:after="120" w:line="360" w:lineRule="auto"/>
        <w:jc w:val="both"/>
        <w:rPr>
          <w:rFonts w:ascii="Arial" w:hAnsi="Arial" w:cs="Arial"/>
          <w:lang w:val="en-GB"/>
        </w:rPr>
      </w:pPr>
      <w:r w:rsidRPr="00E87355">
        <w:rPr>
          <w:rFonts w:ascii="Arial" w:hAnsi="Arial" w:cs="Arial"/>
          <w:lang w:val="en-GB"/>
        </w:rPr>
        <w:t>Any</w:t>
      </w:r>
      <w:r w:rsidRPr="00E87355">
        <w:rPr>
          <w:rFonts w:ascii="Arial" w:hAnsi="Arial" w:cs="Arial"/>
          <w:b/>
          <w:bCs/>
          <w:lang w:val="en-GB"/>
        </w:rPr>
        <w:t xml:space="preserve"> </w:t>
      </w:r>
      <w:r w:rsidRPr="00E87355">
        <w:rPr>
          <w:rFonts w:ascii="Arial" w:hAnsi="Arial" w:cs="Arial"/>
          <w:lang w:val="en-GB"/>
        </w:rPr>
        <w:t xml:space="preserve">company that is liable to be wound-up </w:t>
      </w:r>
      <w:r w:rsidR="00171718" w:rsidRPr="00E87355">
        <w:rPr>
          <w:rFonts w:ascii="Arial" w:hAnsi="Arial" w:cs="Arial"/>
          <w:lang w:val="en-GB"/>
        </w:rPr>
        <w:t>under I</w:t>
      </w:r>
      <w:r w:rsidR="00037564" w:rsidRPr="00E87355">
        <w:rPr>
          <w:rFonts w:ascii="Arial" w:hAnsi="Arial" w:cs="Arial"/>
          <w:lang w:val="en-GB"/>
        </w:rPr>
        <w:t>A</w:t>
      </w:r>
      <w:r w:rsidR="00171718" w:rsidRPr="00E87355">
        <w:rPr>
          <w:rFonts w:ascii="Arial" w:hAnsi="Arial" w:cs="Arial"/>
          <w:lang w:val="en-GB"/>
        </w:rPr>
        <w:t xml:space="preserve"> 1986</w:t>
      </w:r>
      <w:r w:rsidR="00CF4C42" w:rsidRPr="00E87355">
        <w:rPr>
          <w:rFonts w:ascii="Arial" w:hAnsi="Arial" w:cs="Arial"/>
          <w:lang w:val="en-GB"/>
        </w:rPr>
        <w:t xml:space="preserve"> can undergo a </w:t>
      </w:r>
      <w:r w:rsidR="00D86CC1" w:rsidRPr="00E87355">
        <w:rPr>
          <w:rFonts w:ascii="Arial" w:hAnsi="Arial" w:cs="Arial"/>
          <w:lang w:val="en-GB"/>
        </w:rPr>
        <w:t>SOA</w:t>
      </w:r>
      <w:r w:rsidR="00CF4C42" w:rsidRPr="00E87355">
        <w:rPr>
          <w:rFonts w:ascii="Arial" w:hAnsi="Arial" w:cs="Arial"/>
          <w:lang w:val="en-GB"/>
        </w:rPr>
        <w:t xml:space="preserve"> or a</w:t>
      </w:r>
      <w:r w:rsidR="00BD5845" w:rsidRPr="00E87355">
        <w:rPr>
          <w:rFonts w:ascii="Arial" w:hAnsi="Arial" w:cs="Arial"/>
          <w:lang w:val="en-GB"/>
        </w:rPr>
        <w:t>n</w:t>
      </w:r>
      <w:r w:rsidR="00CF4C42" w:rsidRPr="00E87355">
        <w:rPr>
          <w:rFonts w:ascii="Arial" w:hAnsi="Arial" w:cs="Arial"/>
          <w:lang w:val="en-GB"/>
        </w:rPr>
        <w:t xml:space="preserve"> </w:t>
      </w:r>
      <w:r w:rsidR="00BD5845" w:rsidRPr="00E87355">
        <w:rPr>
          <w:rFonts w:ascii="Arial" w:hAnsi="Arial" w:cs="Arial"/>
          <w:lang w:val="en-GB"/>
        </w:rPr>
        <w:t>RP</w:t>
      </w:r>
      <w:r w:rsidR="00D86CC1" w:rsidRPr="00E87355">
        <w:rPr>
          <w:rFonts w:ascii="Arial" w:hAnsi="Arial" w:cs="Arial"/>
          <w:lang w:val="en-GB"/>
        </w:rPr>
        <w:t xml:space="preserve"> in the UK</w:t>
      </w:r>
      <w:r w:rsidR="00CF4C42" w:rsidRPr="00E87355">
        <w:rPr>
          <w:rFonts w:ascii="Arial" w:hAnsi="Arial" w:cs="Arial"/>
          <w:lang w:val="en-GB"/>
        </w:rPr>
        <w:t>.</w:t>
      </w:r>
      <w:r w:rsidR="00CF4C42" w:rsidRPr="00E87355">
        <w:rPr>
          <w:rStyle w:val="FootnoteReference"/>
          <w:rFonts w:ascii="Arial" w:hAnsi="Arial" w:cs="Arial"/>
          <w:lang w:val="en-GB"/>
        </w:rPr>
        <w:footnoteReference w:id="34"/>
      </w:r>
      <w:r w:rsidR="00CF4C42" w:rsidRPr="00E87355">
        <w:rPr>
          <w:rFonts w:ascii="Arial" w:hAnsi="Arial" w:cs="Arial"/>
          <w:lang w:val="en-GB"/>
        </w:rPr>
        <w:t xml:space="preserve"> Section 221 of the IA 1986</w:t>
      </w:r>
      <w:r w:rsidR="00CF4C42" w:rsidRPr="00E87355">
        <w:rPr>
          <w:rFonts w:ascii="Arial" w:hAnsi="Arial" w:cs="Arial"/>
          <w:b/>
          <w:bCs/>
          <w:lang w:val="en-GB"/>
        </w:rPr>
        <w:t xml:space="preserve"> </w:t>
      </w:r>
      <w:r w:rsidR="00CF4C42" w:rsidRPr="00E87355">
        <w:rPr>
          <w:rFonts w:ascii="Arial" w:hAnsi="Arial" w:cs="Arial"/>
          <w:lang w:val="en-GB"/>
        </w:rPr>
        <w:t xml:space="preserve">allows UK courts to wind up </w:t>
      </w:r>
      <w:r w:rsidR="00EE1B66" w:rsidRPr="00E87355">
        <w:rPr>
          <w:rFonts w:ascii="Arial" w:hAnsi="Arial" w:cs="Arial"/>
          <w:lang w:val="en-GB"/>
        </w:rPr>
        <w:t xml:space="preserve">unregistered </w:t>
      </w:r>
      <w:r w:rsidR="00CF4C42" w:rsidRPr="00E87355">
        <w:rPr>
          <w:rFonts w:ascii="Arial" w:hAnsi="Arial" w:cs="Arial"/>
          <w:lang w:val="en-GB"/>
        </w:rPr>
        <w:t xml:space="preserve">foreign </w:t>
      </w:r>
      <w:r w:rsidR="00EE1B66" w:rsidRPr="00E87355">
        <w:rPr>
          <w:rFonts w:ascii="Arial" w:hAnsi="Arial" w:cs="Arial"/>
          <w:lang w:val="en-GB"/>
        </w:rPr>
        <w:t>compan</w:t>
      </w:r>
      <w:r w:rsidR="00CF4C42" w:rsidRPr="00E87355">
        <w:rPr>
          <w:rFonts w:ascii="Arial" w:hAnsi="Arial" w:cs="Arial"/>
          <w:lang w:val="en-GB"/>
        </w:rPr>
        <w:t>ies.</w:t>
      </w:r>
      <w:r w:rsidR="00EE1B66" w:rsidRPr="00E87355">
        <w:rPr>
          <w:rFonts w:ascii="Arial" w:hAnsi="Arial" w:cs="Arial"/>
          <w:lang w:val="en-GB"/>
        </w:rPr>
        <w:t xml:space="preserve"> </w:t>
      </w:r>
      <w:r w:rsidR="00580D06" w:rsidRPr="00E87355">
        <w:rPr>
          <w:rFonts w:ascii="Arial" w:hAnsi="Arial" w:cs="Arial"/>
          <w:lang w:val="en-GB"/>
        </w:rPr>
        <w:t>However, th</w:t>
      </w:r>
      <w:r w:rsidR="00D86CC1" w:rsidRPr="00E87355">
        <w:rPr>
          <w:rFonts w:ascii="Arial" w:hAnsi="Arial" w:cs="Arial"/>
          <w:lang w:val="en-GB"/>
        </w:rPr>
        <w:t>e</w:t>
      </w:r>
      <w:r w:rsidR="00580D06" w:rsidRPr="00E87355">
        <w:rPr>
          <w:rFonts w:ascii="Arial" w:hAnsi="Arial" w:cs="Arial"/>
          <w:lang w:val="en-GB"/>
        </w:rPr>
        <w:t xml:space="preserve"> jurisdiction </w:t>
      </w:r>
      <w:r w:rsidR="00D86CC1" w:rsidRPr="00E87355">
        <w:rPr>
          <w:rFonts w:ascii="Arial" w:hAnsi="Arial" w:cs="Arial"/>
          <w:lang w:val="en-GB"/>
        </w:rPr>
        <w:t xml:space="preserve">to allow a foreign debtor to undergo </w:t>
      </w:r>
      <w:r w:rsidR="00BD5845" w:rsidRPr="00E87355">
        <w:rPr>
          <w:rFonts w:ascii="Arial" w:hAnsi="Arial" w:cs="Arial"/>
          <w:lang w:val="en-GB"/>
        </w:rPr>
        <w:t>SOAs</w:t>
      </w:r>
      <w:r w:rsidR="00D86CC1" w:rsidRPr="00E87355">
        <w:rPr>
          <w:rFonts w:ascii="Arial" w:hAnsi="Arial" w:cs="Arial"/>
          <w:lang w:val="en-GB"/>
        </w:rPr>
        <w:t xml:space="preserve"> or </w:t>
      </w:r>
      <w:r w:rsidR="00BD5845" w:rsidRPr="00E87355">
        <w:rPr>
          <w:rFonts w:ascii="Arial" w:hAnsi="Arial" w:cs="Arial"/>
          <w:lang w:val="en-GB"/>
        </w:rPr>
        <w:t>RPs</w:t>
      </w:r>
      <w:r w:rsidR="00D86CC1" w:rsidRPr="00E87355">
        <w:rPr>
          <w:rFonts w:ascii="Arial" w:hAnsi="Arial" w:cs="Arial"/>
          <w:lang w:val="en-GB"/>
        </w:rPr>
        <w:t xml:space="preserve"> </w:t>
      </w:r>
      <w:r w:rsidR="00580D06" w:rsidRPr="00E87355">
        <w:rPr>
          <w:rFonts w:ascii="Arial" w:hAnsi="Arial" w:cs="Arial"/>
          <w:lang w:val="en-GB"/>
        </w:rPr>
        <w:t>is confined by the “sufficient connection</w:t>
      </w:r>
      <w:r w:rsidR="00037564" w:rsidRPr="00E87355">
        <w:rPr>
          <w:rFonts w:ascii="Arial" w:hAnsi="Arial" w:cs="Arial"/>
          <w:lang w:val="en-GB"/>
        </w:rPr>
        <w:t>”</w:t>
      </w:r>
      <w:r w:rsidR="00580D06" w:rsidRPr="00E87355">
        <w:rPr>
          <w:rFonts w:ascii="Arial" w:hAnsi="Arial" w:cs="Arial"/>
          <w:lang w:val="en-GB"/>
        </w:rPr>
        <w:t xml:space="preserve"> test established by UK courts through case laws. </w:t>
      </w:r>
    </w:p>
    <w:p w14:paraId="5369D5F3" w14:textId="77777777" w:rsidR="006A51E4" w:rsidRPr="00E87355" w:rsidRDefault="00F111DC" w:rsidP="00E43E63">
      <w:pPr>
        <w:pStyle w:val="ListParagraph"/>
        <w:widowControl w:val="0"/>
        <w:numPr>
          <w:ilvl w:val="0"/>
          <w:numId w:val="7"/>
        </w:numPr>
        <w:spacing w:after="120" w:line="360" w:lineRule="auto"/>
        <w:ind w:left="357" w:hanging="357"/>
        <w:jc w:val="both"/>
        <w:outlineLvl w:val="3"/>
        <w:rPr>
          <w:rFonts w:ascii="Arial" w:hAnsi="Arial" w:cs="Arial"/>
          <w:b/>
          <w:bCs/>
          <w:lang w:val="en-GB"/>
        </w:rPr>
      </w:pPr>
      <w:r w:rsidRPr="00E87355">
        <w:rPr>
          <w:rFonts w:ascii="Arial" w:hAnsi="Arial" w:cs="Arial"/>
          <w:b/>
          <w:bCs/>
          <w:lang w:val="en-GB"/>
        </w:rPr>
        <w:t xml:space="preserve">‘Sufficient connection’ </w:t>
      </w:r>
      <w:r w:rsidR="008E6F68" w:rsidRPr="00E87355">
        <w:rPr>
          <w:rFonts w:ascii="Arial" w:hAnsi="Arial" w:cs="Arial"/>
          <w:b/>
          <w:bCs/>
          <w:lang w:val="en-GB"/>
        </w:rPr>
        <w:t xml:space="preserve">and international effectiveness </w:t>
      </w:r>
      <w:r w:rsidRPr="00E87355">
        <w:rPr>
          <w:rFonts w:ascii="Arial" w:hAnsi="Arial" w:cs="Arial"/>
          <w:b/>
          <w:bCs/>
          <w:lang w:val="en-GB"/>
        </w:rPr>
        <w:t xml:space="preserve">for </w:t>
      </w:r>
      <w:r w:rsidR="008E6F68" w:rsidRPr="00E87355">
        <w:rPr>
          <w:rFonts w:ascii="Arial" w:hAnsi="Arial" w:cs="Arial"/>
          <w:b/>
          <w:bCs/>
          <w:lang w:val="en-GB"/>
        </w:rPr>
        <w:t>SOAs and restructuring plans</w:t>
      </w:r>
      <w:r w:rsidR="006A51E4" w:rsidRPr="00E87355">
        <w:rPr>
          <w:rFonts w:ascii="Arial" w:hAnsi="Arial" w:cs="Arial"/>
          <w:b/>
          <w:bCs/>
          <w:lang w:val="en-GB"/>
        </w:rPr>
        <w:t xml:space="preserve">: </w:t>
      </w:r>
    </w:p>
    <w:p w14:paraId="322840BF" w14:textId="28175439" w:rsidR="00CF4C42" w:rsidRPr="00E87355" w:rsidRDefault="002F0569" w:rsidP="00E43E63">
      <w:pPr>
        <w:widowControl w:val="0"/>
        <w:spacing w:after="120" w:line="360" w:lineRule="auto"/>
        <w:jc w:val="both"/>
        <w:rPr>
          <w:rFonts w:ascii="Arial" w:hAnsi="Arial" w:cs="Arial"/>
          <w:lang w:val="en-GB"/>
        </w:rPr>
      </w:pPr>
      <w:r w:rsidRPr="00E87355">
        <w:rPr>
          <w:rFonts w:ascii="Arial" w:hAnsi="Arial" w:cs="Arial"/>
          <w:lang w:val="en-GB"/>
        </w:rPr>
        <w:t xml:space="preserve">A foreign debtor seeking to </w:t>
      </w:r>
      <w:r w:rsidR="00BD5845" w:rsidRPr="00E87355">
        <w:rPr>
          <w:rFonts w:ascii="Arial" w:hAnsi="Arial" w:cs="Arial"/>
          <w:lang w:val="en-GB"/>
        </w:rPr>
        <w:t>undergo a scheme</w:t>
      </w:r>
      <w:r w:rsidRPr="00E87355">
        <w:rPr>
          <w:rFonts w:ascii="Arial" w:hAnsi="Arial" w:cs="Arial"/>
          <w:lang w:val="en-GB"/>
        </w:rPr>
        <w:t xml:space="preserve"> in the UK would need to establish that it has a sufficient connection</w:t>
      </w:r>
      <w:r w:rsidR="00037564" w:rsidRPr="00E87355">
        <w:rPr>
          <w:rStyle w:val="FootnoteReference"/>
          <w:rFonts w:ascii="Arial" w:hAnsi="Arial" w:cs="Arial"/>
          <w:lang w:val="en-GB"/>
        </w:rPr>
        <w:footnoteReference w:id="35"/>
      </w:r>
      <w:r w:rsidRPr="00E87355">
        <w:rPr>
          <w:rFonts w:ascii="Arial" w:hAnsi="Arial" w:cs="Arial"/>
          <w:lang w:val="en-GB"/>
        </w:rPr>
        <w:t xml:space="preserve"> with the UK, and that the scheme would be recognized and given effect to in relevant jurisdictions.</w:t>
      </w:r>
      <w:r w:rsidR="00037564" w:rsidRPr="00E87355">
        <w:rPr>
          <w:rStyle w:val="FootnoteReference"/>
          <w:rFonts w:ascii="Arial" w:hAnsi="Arial" w:cs="Arial"/>
          <w:lang w:val="en-GB"/>
        </w:rPr>
        <w:footnoteReference w:id="36"/>
      </w:r>
      <w:r w:rsidRPr="00E87355">
        <w:rPr>
          <w:rFonts w:ascii="Arial" w:hAnsi="Arial" w:cs="Arial"/>
          <w:lang w:val="en-GB"/>
        </w:rPr>
        <w:t xml:space="preserve"> The same principles would apply to a</w:t>
      </w:r>
      <w:r w:rsidR="00037564" w:rsidRPr="00E87355">
        <w:rPr>
          <w:rFonts w:ascii="Arial" w:hAnsi="Arial" w:cs="Arial"/>
          <w:lang w:val="en-GB"/>
        </w:rPr>
        <w:t xml:space="preserve"> foreign debtor seeking to utilise </w:t>
      </w:r>
      <w:r w:rsidR="00BD5845" w:rsidRPr="00E87355">
        <w:rPr>
          <w:rFonts w:ascii="Arial" w:hAnsi="Arial" w:cs="Arial"/>
          <w:lang w:val="en-GB"/>
        </w:rPr>
        <w:t>an RP</w:t>
      </w:r>
      <w:r w:rsidRPr="00E87355">
        <w:rPr>
          <w:rFonts w:ascii="Arial" w:hAnsi="Arial" w:cs="Arial"/>
          <w:color w:val="000000" w:themeColor="text1"/>
          <w:lang w:val="en-GB"/>
        </w:rPr>
        <w:t>.</w:t>
      </w:r>
      <w:r w:rsidR="00E12CE0" w:rsidRPr="00E87355">
        <w:rPr>
          <w:rStyle w:val="FootnoteReference"/>
          <w:rFonts w:ascii="Arial" w:hAnsi="Arial" w:cs="Arial"/>
          <w:color w:val="000000" w:themeColor="text1"/>
          <w:lang w:val="en-GB"/>
        </w:rPr>
        <w:footnoteReference w:id="37"/>
      </w:r>
      <w:r w:rsidRPr="00E87355">
        <w:rPr>
          <w:rFonts w:ascii="Arial" w:hAnsi="Arial" w:cs="Arial"/>
          <w:color w:val="000000" w:themeColor="text1"/>
          <w:lang w:val="en-GB"/>
        </w:rPr>
        <w:t xml:space="preserve"> </w:t>
      </w:r>
      <w:r w:rsidR="00CF4C42" w:rsidRPr="00E87355">
        <w:rPr>
          <w:rFonts w:ascii="Arial" w:hAnsi="Arial" w:cs="Arial"/>
          <w:lang w:val="en-GB"/>
        </w:rPr>
        <w:t>The ‘sufficient connection</w:t>
      </w:r>
      <w:r w:rsidR="00657C18" w:rsidRPr="00E87355">
        <w:rPr>
          <w:rFonts w:ascii="Arial" w:hAnsi="Arial" w:cs="Arial"/>
          <w:lang w:val="en-GB"/>
        </w:rPr>
        <w:t>’</w:t>
      </w:r>
      <w:r w:rsidR="00CF4C42" w:rsidRPr="00E87355">
        <w:rPr>
          <w:rFonts w:ascii="Arial" w:hAnsi="Arial" w:cs="Arial"/>
          <w:lang w:val="en-GB"/>
        </w:rPr>
        <w:t xml:space="preserve"> test may be satisfied </w:t>
      </w:r>
      <w:r w:rsidR="00657C18" w:rsidRPr="00E87355">
        <w:rPr>
          <w:rFonts w:ascii="Arial" w:hAnsi="Arial" w:cs="Arial"/>
          <w:lang w:val="en-GB"/>
        </w:rPr>
        <w:t xml:space="preserve">even if the debtor does not have </w:t>
      </w:r>
      <w:r w:rsidR="00BD5845" w:rsidRPr="00E87355">
        <w:rPr>
          <w:rFonts w:ascii="Arial" w:hAnsi="Arial" w:cs="Arial"/>
          <w:lang w:val="en-GB"/>
        </w:rPr>
        <w:t>its COMI</w:t>
      </w:r>
      <w:r w:rsidR="00657C18" w:rsidRPr="00E87355">
        <w:rPr>
          <w:rFonts w:ascii="Arial" w:hAnsi="Arial" w:cs="Arial"/>
          <w:lang w:val="en-GB"/>
        </w:rPr>
        <w:t xml:space="preserve"> or an establishment</w:t>
      </w:r>
      <w:r w:rsidR="00BD5845" w:rsidRPr="00E87355">
        <w:rPr>
          <w:rFonts w:ascii="Arial" w:hAnsi="Arial" w:cs="Arial"/>
          <w:lang w:val="en-GB"/>
        </w:rPr>
        <w:t xml:space="preserve"> in the UK</w:t>
      </w:r>
      <w:r w:rsidR="00E53577" w:rsidRPr="00E87355">
        <w:rPr>
          <w:rFonts w:ascii="Arial" w:hAnsi="Arial" w:cs="Arial"/>
          <w:lang w:val="en-GB"/>
        </w:rPr>
        <w:t>.</w:t>
      </w:r>
      <w:r w:rsidR="00BD5845" w:rsidRPr="00E87355">
        <w:rPr>
          <w:rStyle w:val="FootnoteReference"/>
          <w:rFonts w:ascii="Arial" w:hAnsi="Arial" w:cs="Arial"/>
          <w:lang w:val="en-GB"/>
        </w:rPr>
        <w:footnoteReference w:id="38"/>
      </w:r>
      <w:r w:rsidR="00E53577" w:rsidRPr="00E87355">
        <w:rPr>
          <w:rFonts w:ascii="Arial" w:hAnsi="Arial" w:cs="Arial"/>
          <w:lang w:val="en-GB"/>
        </w:rPr>
        <w:t xml:space="preserve"> Debt governed by English law along</w:t>
      </w:r>
      <w:r w:rsidR="00E878BF" w:rsidRPr="00E87355">
        <w:rPr>
          <w:rFonts w:ascii="Arial" w:hAnsi="Arial" w:cs="Arial"/>
          <w:lang w:val="en-GB"/>
        </w:rPr>
        <w:t xml:space="preserve"> </w:t>
      </w:r>
      <w:r w:rsidR="00E53577" w:rsidRPr="00E87355">
        <w:rPr>
          <w:rFonts w:ascii="Arial" w:hAnsi="Arial" w:cs="Arial"/>
          <w:lang w:val="en-GB"/>
        </w:rPr>
        <w:t>with a jurisdiction clause in favour of UK courts may be sufficient to satisfy the ‘sufficient connection’ test.</w:t>
      </w:r>
      <w:r w:rsidR="00E878BF" w:rsidRPr="00E87355">
        <w:rPr>
          <w:rStyle w:val="FootnoteReference"/>
          <w:rFonts w:ascii="Arial" w:hAnsi="Arial" w:cs="Arial"/>
          <w:lang w:val="en-GB"/>
        </w:rPr>
        <w:footnoteReference w:id="39"/>
      </w:r>
      <w:r w:rsidR="009A03C1" w:rsidRPr="00E87355">
        <w:rPr>
          <w:rFonts w:ascii="Arial" w:hAnsi="Arial" w:cs="Arial"/>
          <w:lang w:val="en-GB"/>
        </w:rPr>
        <w:t xml:space="preserve"> In certain cases, the change to the governing law was made shortly before the filing of scheme.</w:t>
      </w:r>
      <w:r w:rsidR="003B070E" w:rsidRPr="00E87355">
        <w:rPr>
          <w:rStyle w:val="FootnoteReference"/>
          <w:rFonts w:ascii="Arial" w:hAnsi="Arial" w:cs="Arial"/>
          <w:lang w:val="en-GB"/>
        </w:rPr>
        <w:footnoteReference w:id="40"/>
      </w:r>
      <w:r w:rsidR="009A03C1" w:rsidRPr="00E87355">
        <w:rPr>
          <w:rFonts w:ascii="Arial" w:hAnsi="Arial" w:cs="Arial"/>
          <w:lang w:val="en-GB"/>
        </w:rPr>
        <w:t xml:space="preserve"> </w:t>
      </w:r>
    </w:p>
    <w:p w14:paraId="0827D66D" w14:textId="07E16BC7" w:rsidR="009E3FC5" w:rsidRPr="00E87355" w:rsidRDefault="009E3FC5" w:rsidP="00E43E63">
      <w:pPr>
        <w:widowControl w:val="0"/>
        <w:spacing w:after="120" w:line="360" w:lineRule="auto"/>
        <w:jc w:val="both"/>
        <w:rPr>
          <w:rFonts w:ascii="Arial" w:hAnsi="Arial" w:cs="Arial"/>
        </w:rPr>
      </w:pPr>
      <w:r w:rsidRPr="00E87355">
        <w:rPr>
          <w:rFonts w:ascii="Arial" w:hAnsi="Arial" w:cs="Arial"/>
          <w:lang w:val="en-GB"/>
        </w:rPr>
        <w:t xml:space="preserve">In the case </w:t>
      </w:r>
      <w:r w:rsidRPr="00E87355">
        <w:rPr>
          <w:rFonts w:ascii="Arial" w:hAnsi="Arial" w:cs="Arial"/>
          <w:i/>
          <w:iCs/>
          <w:lang w:val="en-GB"/>
        </w:rPr>
        <w:t>Re Rodenstock GmbH</w:t>
      </w:r>
      <w:r w:rsidRPr="00E87355">
        <w:rPr>
          <w:rStyle w:val="FootnoteReference"/>
          <w:rFonts w:ascii="Arial" w:hAnsi="Arial" w:cs="Arial"/>
          <w:lang w:val="en-GB"/>
        </w:rPr>
        <w:footnoteReference w:id="41"/>
      </w:r>
      <w:r w:rsidRPr="00E87355">
        <w:rPr>
          <w:rFonts w:ascii="Arial" w:hAnsi="Arial" w:cs="Arial"/>
          <w:i/>
          <w:iCs/>
          <w:lang w:val="en-GB"/>
        </w:rPr>
        <w:t xml:space="preserve">, </w:t>
      </w:r>
      <w:r w:rsidRPr="00E87355">
        <w:rPr>
          <w:rFonts w:ascii="Arial" w:hAnsi="Arial" w:cs="Arial"/>
          <w:lang w:val="en-GB"/>
        </w:rPr>
        <w:t xml:space="preserve">a German-incorporated company with its COMI in Germany applied to undergo a scheme of arrangement in the UK. It did not have any assets </w:t>
      </w:r>
      <w:r w:rsidRPr="00E87355">
        <w:rPr>
          <w:rFonts w:ascii="Arial" w:hAnsi="Arial" w:cs="Arial"/>
          <w:lang w:val="en-GB"/>
        </w:rPr>
        <w:lastRenderedPageBreak/>
        <w:t>or establishment in the UK</w:t>
      </w:r>
      <w:r w:rsidR="004742C1" w:rsidRPr="00E87355">
        <w:rPr>
          <w:rFonts w:ascii="Arial" w:hAnsi="Arial" w:cs="Arial"/>
          <w:lang w:val="en-GB"/>
        </w:rPr>
        <w:t xml:space="preserve"> but English law governed debt with a clause granting jurisdiction to UK courts was enough to meet the “sufficient connection” test. </w:t>
      </w:r>
      <w:r w:rsidR="00185154" w:rsidRPr="00E87355">
        <w:rPr>
          <w:rFonts w:ascii="Arial" w:hAnsi="Arial" w:cs="Arial"/>
          <w:lang w:val="en-GB"/>
        </w:rPr>
        <w:t>A s</w:t>
      </w:r>
      <w:r w:rsidR="00180018" w:rsidRPr="00E87355">
        <w:rPr>
          <w:rFonts w:ascii="Arial" w:hAnsi="Arial" w:cs="Arial"/>
          <w:lang w:val="en-GB"/>
        </w:rPr>
        <w:t xml:space="preserve">imilar position was taken in the </w:t>
      </w:r>
      <w:r w:rsidR="00180018" w:rsidRPr="00E87355">
        <w:rPr>
          <w:rFonts w:ascii="Arial" w:hAnsi="Arial" w:cs="Arial"/>
          <w:i/>
          <w:iCs/>
          <w:lang w:val="en-GB"/>
        </w:rPr>
        <w:t>Re Primacom Holding GmbH</w:t>
      </w:r>
      <w:r w:rsidR="008C131F" w:rsidRPr="00E87355">
        <w:rPr>
          <w:rStyle w:val="FootnoteReference"/>
          <w:rFonts w:ascii="Arial" w:hAnsi="Arial" w:cs="Arial"/>
          <w:i/>
          <w:iCs/>
          <w:lang w:val="en-GB"/>
        </w:rPr>
        <w:footnoteReference w:id="42"/>
      </w:r>
      <w:r w:rsidR="00180018" w:rsidRPr="00E87355">
        <w:rPr>
          <w:rFonts w:ascii="Arial" w:hAnsi="Arial" w:cs="Arial"/>
          <w:lang w:val="en-GB"/>
        </w:rPr>
        <w:t xml:space="preserve"> case</w:t>
      </w:r>
      <w:r w:rsidR="00185154" w:rsidRPr="00E87355">
        <w:rPr>
          <w:rFonts w:ascii="Arial" w:hAnsi="Arial" w:cs="Arial"/>
          <w:lang w:val="en-GB"/>
        </w:rPr>
        <w:t>.</w:t>
      </w:r>
      <w:r w:rsidR="00180018" w:rsidRPr="00E87355">
        <w:rPr>
          <w:rFonts w:ascii="Arial" w:hAnsi="Arial" w:cs="Arial"/>
          <w:lang w:val="en-GB"/>
        </w:rPr>
        <w:t xml:space="preserve"> </w:t>
      </w:r>
    </w:p>
    <w:p w14:paraId="50728B99" w14:textId="0E20BE9B" w:rsidR="00E878BF" w:rsidRPr="00E87355" w:rsidRDefault="004742C1" w:rsidP="00E43E63">
      <w:pPr>
        <w:widowControl w:val="0"/>
        <w:spacing w:after="120" w:line="360" w:lineRule="auto"/>
        <w:jc w:val="both"/>
        <w:rPr>
          <w:rFonts w:ascii="Arial" w:hAnsi="Arial" w:cs="Arial"/>
          <w:lang w:val="en-GB"/>
        </w:rPr>
      </w:pPr>
      <w:r w:rsidRPr="00E87355">
        <w:rPr>
          <w:rFonts w:ascii="Arial" w:hAnsi="Arial" w:cs="Arial"/>
          <w:lang w:val="en-GB"/>
        </w:rPr>
        <w:t>Additionally</w:t>
      </w:r>
      <w:r w:rsidR="00E878BF" w:rsidRPr="00E87355">
        <w:rPr>
          <w:rFonts w:ascii="Arial" w:hAnsi="Arial" w:cs="Arial"/>
          <w:lang w:val="en-GB"/>
        </w:rPr>
        <w:t>, the UK court will also need to be convinced that the scheme would have international effectiveness</w:t>
      </w:r>
      <w:r w:rsidRPr="00E87355">
        <w:rPr>
          <w:rFonts w:ascii="Arial" w:hAnsi="Arial" w:cs="Arial"/>
          <w:lang w:val="en-GB"/>
        </w:rPr>
        <w:t xml:space="preserve"> i.e., it would be</w:t>
      </w:r>
      <w:r w:rsidR="000070FD" w:rsidRPr="00E87355">
        <w:rPr>
          <w:rFonts w:ascii="Arial" w:hAnsi="Arial" w:cs="Arial"/>
          <w:lang w:val="en-GB"/>
        </w:rPr>
        <w:t xml:space="preserve"> effective in jurisdictions where creditors may </w:t>
      </w:r>
      <w:r w:rsidR="00185154" w:rsidRPr="00E87355">
        <w:rPr>
          <w:rFonts w:ascii="Arial" w:hAnsi="Arial" w:cs="Arial"/>
          <w:lang w:val="en-GB"/>
        </w:rPr>
        <w:t>take actions</w:t>
      </w:r>
      <w:r w:rsidR="003C00AF" w:rsidRPr="00E87355">
        <w:rPr>
          <w:rFonts w:ascii="Arial" w:hAnsi="Arial" w:cs="Arial"/>
          <w:lang w:val="en-GB"/>
        </w:rPr>
        <w:t xml:space="preserve"> or the debtor’s home jurisdiction.</w:t>
      </w:r>
      <w:r w:rsidR="003C00AF" w:rsidRPr="00E87355">
        <w:rPr>
          <w:rStyle w:val="FootnoteReference"/>
          <w:rFonts w:ascii="Arial" w:hAnsi="Arial" w:cs="Arial"/>
          <w:lang w:val="en-GB"/>
        </w:rPr>
        <w:footnoteReference w:id="43"/>
      </w:r>
      <w:r w:rsidR="003C00AF" w:rsidRPr="00E87355">
        <w:rPr>
          <w:rFonts w:ascii="Arial" w:hAnsi="Arial" w:cs="Arial"/>
          <w:lang w:val="en-GB"/>
        </w:rPr>
        <w:t xml:space="preserve"> </w:t>
      </w:r>
      <w:r w:rsidR="007D3C9C" w:rsidRPr="00E87355">
        <w:rPr>
          <w:rFonts w:ascii="Arial" w:hAnsi="Arial" w:cs="Arial"/>
          <w:lang w:val="en-GB"/>
        </w:rPr>
        <w:t xml:space="preserve">Expert opinion stating that the scheme would be recognised in the debtor’s jurisdiction </w:t>
      </w:r>
      <w:r w:rsidR="00BD5845" w:rsidRPr="00E87355">
        <w:rPr>
          <w:rFonts w:ascii="Arial" w:hAnsi="Arial" w:cs="Arial"/>
          <w:lang w:val="en-GB"/>
        </w:rPr>
        <w:t>is usually</w:t>
      </w:r>
      <w:r w:rsidR="007D3C9C" w:rsidRPr="00E87355">
        <w:rPr>
          <w:rFonts w:ascii="Arial" w:hAnsi="Arial" w:cs="Arial"/>
          <w:lang w:val="en-GB"/>
        </w:rPr>
        <w:t xml:space="preserve"> provided to meet this condition.</w:t>
      </w:r>
      <w:r w:rsidR="007D3C9C" w:rsidRPr="00E87355">
        <w:rPr>
          <w:rStyle w:val="FootnoteReference"/>
          <w:rFonts w:ascii="Arial" w:hAnsi="Arial" w:cs="Arial"/>
          <w:lang w:val="en-GB"/>
        </w:rPr>
        <w:footnoteReference w:id="44"/>
      </w:r>
      <w:r w:rsidR="007D3C9C" w:rsidRPr="00E87355">
        <w:rPr>
          <w:rFonts w:ascii="Arial" w:hAnsi="Arial" w:cs="Arial"/>
          <w:lang w:val="en-GB"/>
        </w:rPr>
        <w:t xml:space="preserve"> </w:t>
      </w:r>
    </w:p>
    <w:p w14:paraId="38772199" w14:textId="31872370" w:rsidR="006A51E4" w:rsidRPr="00E87355" w:rsidRDefault="004419C1" w:rsidP="00E43E63">
      <w:pPr>
        <w:pStyle w:val="ListParagraph"/>
        <w:widowControl w:val="0"/>
        <w:numPr>
          <w:ilvl w:val="0"/>
          <w:numId w:val="6"/>
        </w:numPr>
        <w:spacing w:after="120" w:line="360" w:lineRule="auto"/>
        <w:jc w:val="both"/>
        <w:outlineLvl w:val="2"/>
        <w:rPr>
          <w:rFonts w:ascii="Arial" w:hAnsi="Arial" w:cs="Arial"/>
          <w:lang w:val="en-GB"/>
        </w:rPr>
      </w:pPr>
      <w:bookmarkStart w:id="13" w:name="_Toc139801760"/>
      <w:r w:rsidRPr="00E87355">
        <w:rPr>
          <w:rFonts w:ascii="Arial" w:hAnsi="Arial" w:cs="Arial"/>
          <w:b/>
          <w:bCs/>
          <w:lang w:val="en-GB"/>
        </w:rPr>
        <w:t xml:space="preserve">‘COMI’ </w:t>
      </w:r>
      <w:r w:rsidR="00677603" w:rsidRPr="00E87355">
        <w:rPr>
          <w:rFonts w:ascii="Arial" w:hAnsi="Arial" w:cs="Arial"/>
          <w:b/>
          <w:bCs/>
          <w:lang w:val="en-GB"/>
        </w:rPr>
        <w:t>shift</w:t>
      </w:r>
      <w:bookmarkEnd w:id="13"/>
      <w:r w:rsidR="00E53577" w:rsidRPr="00E87355">
        <w:rPr>
          <w:rFonts w:ascii="Arial" w:hAnsi="Arial" w:cs="Arial"/>
          <w:b/>
          <w:bCs/>
          <w:lang w:val="en-GB"/>
        </w:rPr>
        <w:t xml:space="preserve"> </w:t>
      </w:r>
    </w:p>
    <w:p w14:paraId="4771E3FB" w14:textId="59896DBD" w:rsidR="00384197" w:rsidRPr="00E87355" w:rsidRDefault="00E53577" w:rsidP="00E43E63">
      <w:pPr>
        <w:widowControl w:val="0"/>
        <w:spacing w:after="120" w:line="360" w:lineRule="auto"/>
        <w:jc w:val="both"/>
        <w:rPr>
          <w:rFonts w:ascii="Arial" w:hAnsi="Arial" w:cs="Arial"/>
          <w:lang w:val="en-GB"/>
        </w:rPr>
      </w:pPr>
      <w:r w:rsidRPr="00E87355">
        <w:rPr>
          <w:rFonts w:ascii="Arial" w:hAnsi="Arial" w:cs="Arial"/>
          <w:lang w:val="en-GB"/>
        </w:rPr>
        <w:t>In the past, there have been cases where debtors have shifted their COMI to the UK to undergo administration and CVA procedures.</w:t>
      </w:r>
      <w:r w:rsidR="00677603" w:rsidRPr="00E87355">
        <w:rPr>
          <w:rStyle w:val="FootnoteReference"/>
          <w:rFonts w:ascii="Arial" w:hAnsi="Arial" w:cs="Arial"/>
          <w:lang w:val="en-GB"/>
        </w:rPr>
        <w:footnoteReference w:id="45"/>
      </w:r>
      <w:r w:rsidRPr="00E87355">
        <w:rPr>
          <w:rFonts w:ascii="Arial" w:hAnsi="Arial" w:cs="Arial"/>
          <w:lang w:val="en-GB"/>
        </w:rPr>
        <w:t xml:space="preserve"> </w:t>
      </w:r>
      <w:r w:rsidR="00592BC4" w:rsidRPr="00E87355">
        <w:rPr>
          <w:rFonts w:ascii="Arial" w:hAnsi="Arial" w:cs="Arial"/>
        </w:rPr>
        <w:t xml:space="preserve">In the matter of </w:t>
      </w:r>
      <w:r w:rsidR="00592BC4" w:rsidRPr="00E87355">
        <w:rPr>
          <w:rFonts w:ascii="Arial" w:hAnsi="Arial" w:cs="Arial"/>
          <w:i/>
          <w:iCs/>
        </w:rPr>
        <w:t>Hellas Telecommunications (Luxembourg) II SCA</w:t>
      </w:r>
      <w:r w:rsidR="00592BC4" w:rsidRPr="00E87355">
        <w:rPr>
          <w:rFonts w:ascii="Arial" w:hAnsi="Arial" w:cs="Arial"/>
        </w:rPr>
        <w:t xml:space="preserve">, the debtor shifted its COMI from </w:t>
      </w:r>
      <w:r w:rsidR="00592BC4" w:rsidRPr="00E87355">
        <w:rPr>
          <w:rFonts w:ascii="Arial" w:hAnsi="Arial" w:cs="Arial"/>
        </w:rPr>
        <w:t>Luxembourg</w:t>
      </w:r>
      <w:r w:rsidR="00592BC4" w:rsidRPr="00E87355">
        <w:rPr>
          <w:rFonts w:ascii="Arial" w:hAnsi="Arial" w:cs="Arial"/>
        </w:rPr>
        <w:t xml:space="preserve"> to the UK and </w:t>
      </w:r>
      <w:r w:rsidR="00592BC4" w:rsidRPr="00E87355">
        <w:rPr>
          <w:rFonts w:ascii="Arial" w:hAnsi="Arial" w:cs="Arial"/>
          <w:lang w:val="en-GB"/>
        </w:rPr>
        <w:t>s</w:t>
      </w:r>
      <w:r w:rsidRPr="00E87355">
        <w:rPr>
          <w:rFonts w:ascii="Arial" w:hAnsi="Arial" w:cs="Arial"/>
          <w:lang w:val="en-GB"/>
        </w:rPr>
        <w:t xml:space="preserve">ome of the factors that </w:t>
      </w:r>
      <w:r w:rsidR="00592BC4" w:rsidRPr="00E87355">
        <w:rPr>
          <w:rFonts w:ascii="Arial" w:hAnsi="Arial" w:cs="Arial"/>
          <w:lang w:val="en-GB"/>
        </w:rPr>
        <w:t>were</w:t>
      </w:r>
      <w:r w:rsidRPr="00E87355">
        <w:rPr>
          <w:rFonts w:ascii="Arial" w:hAnsi="Arial" w:cs="Arial"/>
          <w:lang w:val="en-GB"/>
        </w:rPr>
        <w:t xml:space="preserve"> by the court while considering whe</w:t>
      </w:r>
      <w:r w:rsidR="00592BC4" w:rsidRPr="00E87355">
        <w:rPr>
          <w:rFonts w:ascii="Arial" w:hAnsi="Arial" w:cs="Arial"/>
          <w:lang w:val="en-GB"/>
        </w:rPr>
        <w:t>ther</w:t>
      </w:r>
      <w:r w:rsidRPr="00E87355">
        <w:rPr>
          <w:rFonts w:ascii="Arial" w:hAnsi="Arial" w:cs="Arial"/>
          <w:lang w:val="en-GB"/>
        </w:rPr>
        <w:t xml:space="preserve"> the COMI </w:t>
      </w:r>
      <w:r w:rsidR="00592BC4" w:rsidRPr="00E87355">
        <w:rPr>
          <w:rFonts w:ascii="Arial" w:hAnsi="Arial" w:cs="Arial"/>
          <w:lang w:val="en-GB"/>
        </w:rPr>
        <w:t>has shifted to the UK were</w:t>
      </w:r>
      <w:r w:rsidRPr="00E87355">
        <w:rPr>
          <w:rFonts w:ascii="Arial" w:hAnsi="Arial" w:cs="Arial"/>
          <w:lang w:val="en-GB"/>
        </w:rPr>
        <w:t xml:space="preserve">: place where creditor negotiations took place, opening </w:t>
      </w:r>
      <w:r w:rsidR="00B76249" w:rsidRPr="00E87355">
        <w:rPr>
          <w:rFonts w:ascii="Arial" w:hAnsi="Arial" w:cs="Arial"/>
          <w:lang w:val="en-GB"/>
        </w:rPr>
        <w:t xml:space="preserve">of </w:t>
      </w:r>
      <w:r w:rsidRPr="00E87355">
        <w:rPr>
          <w:rFonts w:ascii="Arial" w:hAnsi="Arial" w:cs="Arial"/>
          <w:lang w:val="en-GB"/>
        </w:rPr>
        <w:t>a new</w:t>
      </w:r>
      <w:r w:rsidR="00592BC4" w:rsidRPr="00E87355">
        <w:rPr>
          <w:rFonts w:ascii="Arial" w:hAnsi="Arial" w:cs="Arial"/>
          <w:lang w:val="en-GB"/>
        </w:rPr>
        <w:t xml:space="preserve"> head</w:t>
      </w:r>
      <w:r w:rsidRPr="00E87355">
        <w:rPr>
          <w:rFonts w:ascii="Arial" w:hAnsi="Arial" w:cs="Arial"/>
          <w:lang w:val="en-GB"/>
        </w:rPr>
        <w:t xml:space="preserve"> office in the UK and notifying creditors of the change</w:t>
      </w:r>
      <w:r w:rsidR="00592BC4" w:rsidRPr="00E87355">
        <w:rPr>
          <w:rFonts w:ascii="Arial" w:hAnsi="Arial" w:cs="Arial"/>
          <w:lang w:val="en-GB"/>
        </w:rPr>
        <w:t>, a press release announcing the shift of its activities transfer</w:t>
      </w:r>
      <w:r w:rsidRPr="00E87355">
        <w:rPr>
          <w:rFonts w:ascii="Arial" w:hAnsi="Arial" w:cs="Arial"/>
          <w:lang w:val="en-GB"/>
        </w:rPr>
        <w:t>.</w:t>
      </w:r>
      <w:r w:rsidRPr="00E87355">
        <w:rPr>
          <w:rStyle w:val="FootnoteReference"/>
          <w:rFonts w:ascii="Arial" w:hAnsi="Arial" w:cs="Arial"/>
          <w:color w:val="000000" w:themeColor="text1"/>
          <w:lang w:val="en-GB"/>
        </w:rPr>
        <w:footnoteReference w:id="46"/>
      </w:r>
      <w:r w:rsidRPr="00E87355">
        <w:rPr>
          <w:rFonts w:ascii="Arial" w:hAnsi="Arial" w:cs="Arial"/>
          <w:lang w:val="en-GB"/>
        </w:rPr>
        <w:t xml:space="preserve"> </w:t>
      </w:r>
      <w:r w:rsidR="00592BC4" w:rsidRPr="00E87355">
        <w:rPr>
          <w:rFonts w:ascii="Arial" w:hAnsi="Arial" w:cs="Arial"/>
          <w:lang w:val="en-GB"/>
        </w:rPr>
        <w:t>Therefore, s</w:t>
      </w:r>
      <w:r w:rsidR="009A03C1" w:rsidRPr="00E87355">
        <w:rPr>
          <w:rFonts w:ascii="Arial" w:hAnsi="Arial" w:cs="Arial"/>
          <w:lang w:val="en-GB"/>
        </w:rPr>
        <w:t>teps</w:t>
      </w:r>
      <w:r w:rsidR="00710646" w:rsidRPr="00E87355">
        <w:rPr>
          <w:rFonts w:ascii="Arial" w:hAnsi="Arial" w:cs="Arial"/>
          <w:lang w:val="en-GB"/>
        </w:rPr>
        <w:t xml:space="preserve"> to shift COMI to the UK may include: shifting of the head office, registration as a foreign company, owning property in the UK, conduct of business from the UK</w:t>
      </w:r>
      <w:r w:rsidR="00E5430C" w:rsidRPr="00E87355">
        <w:rPr>
          <w:rFonts w:ascii="Arial" w:hAnsi="Arial" w:cs="Arial"/>
          <w:lang w:val="en-GB"/>
        </w:rPr>
        <w:t xml:space="preserve"> or carrying out negotiations for the restructuring in the UK</w:t>
      </w:r>
      <w:r w:rsidR="00710646" w:rsidRPr="00E87355">
        <w:rPr>
          <w:rFonts w:ascii="Arial" w:hAnsi="Arial" w:cs="Arial"/>
          <w:lang w:val="en-GB"/>
        </w:rPr>
        <w:t>.</w:t>
      </w:r>
      <w:r w:rsidR="00E5430C" w:rsidRPr="00E87355">
        <w:rPr>
          <w:rStyle w:val="FootnoteReference"/>
          <w:rFonts w:ascii="Arial" w:hAnsi="Arial" w:cs="Arial"/>
          <w:lang w:val="en-GB"/>
        </w:rPr>
        <w:footnoteReference w:id="47"/>
      </w:r>
    </w:p>
    <w:p w14:paraId="0C7ECDF4" w14:textId="555C2F4C" w:rsidR="0099780F" w:rsidRPr="00E43E63" w:rsidRDefault="009B1FD0" w:rsidP="00E43E63">
      <w:pPr>
        <w:pStyle w:val="ListParagraph"/>
        <w:widowControl w:val="0"/>
        <w:numPr>
          <w:ilvl w:val="0"/>
          <w:numId w:val="2"/>
        </w:numPr>
        <w:spacing w:after="120" w:line="360" w:lineRule="auto"/>
        <w:ind w:left="357" w:hanging="357"/>
        <w:outlineLvl w:val="0"/>
        <w:rPr>
          <w:rFonts w:ascii="Arial" w:hAnsi="Arial" w:cs="Arial"/>
          <w:b/>
          <w:bCs/>
          <w:lang w:val="en-GB"/>
        </w:rPr>
      </w:pPr>
      <w:bookmarkStart w:id="14" w:name="_Toc139801761"/>
      <w:r w:rsidRPr="00E87355">
        <w:rPr>
          <w:rFonts w:ascii="Arial" w:hAnsi="Arial" w:cs="Arial"/>
          <w:b/>
          <w:bCs/>
          <w:lang w:val="en-GB"/>
        </w:rPr>
        <w:t>Enforcement of US or UK court rulings elsewhere</w:t>
      </w:r>
      <w:bookmarkEnd w:id="14"/>
      <w:r w:rsidRPr="00E87355">
        <w:rPr>
          <w:rFonts w:ascii="Arial" w:hAnsi="Arial" w:cs="Arial"/>
          <w:b/>
          <w:bCs/>
          <w:lang w:val="en-GB"/>
        </w:rPr>
        <w:t xml:space="preserve"> </w:t>
      </w:r>
    </w:p>
    <w:p w14:paraId="45ECCC6D" w14:textId="5F8F56E9" w:rsidR="00DC1B90" w:rsidRPr="00E87355" w:rsidRDefault="00DC1B90" w:rsidP="00E43E63">
      <w:pPr>
        <w:pStyle w:val="ListParagraph"/>
        <w:widowControl w:val="0"/>
        <w:numPr>
          <w:ilvl w:val="1"/>
          <w:numId w:val="2"/>
        </w:numPr>
        <w:spacing w:after="120" w:line="360" w:lineRule="auto"/>
        <w:ind w:left="369" w:hanging="369"/>
        <w:jc w:val="both"/>
        <w:outlineLvl w:val="1"/>
        <w:rPr>
          <w:rFonts w:ascii="Arial" w:hAnsi="Arial" w:cs="Arial"/>
          <w:b/>
          <w:bCs/>
          <w:lang w:val="en-GB"/>
        </w:rPr>
      </w:pPr>
      <w:bookmarkStart w:id="15" w:name="_Toc139801762"/>
      <w:r w:rsidRPr="00E87355">
        <w:rPr>
          <w:rFonts w:ascii="Arial" w:hAnsi="Arial" w:cs="Arial"/>
          <w:b/>
          <w:bCs/>
          <w:lang w:val="en-GB"/>
        </w:rPr>
        <w:t>General Framework for recognition and enforcement of insolvency proceedings and judgments</w:t>
      </w:r>
      <w:bookmarkEnd w:id="15"/>
    </w:p>
    <w:p w14:paraId="7E1EEEAD" w14:textId="10781D5C" w:rsidR="00C028AC" w:rsidRPr="00E87355" w:rsidRDefault="001C6D1F" w:rsidP="00E43E63">
      <w:pPr>
        <w:widowControl w:val="0"/>
        <w:spacing w:after="120" w:line="360" w:lineRule="auto"/>
        <w:jc w:val="both"/>
        <w:rPr>
          <w:rFonts w:ascii="Arial" w:hAnsi="Arial" w:cs="Arial"/>
          <w:lang w:val="en-GB"/>
        </w:rPr>
      </w:pPr>
      <w:r w:rsidRPr="00E87355">
        <w:rPr>
          <w:rFonts w:ascii="Arial" w:hAnsi="Arial" w:cs="Arial"/>
          <w:lang w:val="en-GB"/>
        </w:rPr>
        <w:t>Generally speaking,</w:t>
      </w:r>
      <w:r w:rsidR="009440AB" w:rsidRPr="00E87355">
        <w:rPr>
          <w:rFonts w:ascii="Arial" w:hAnsi="Arial" w:cs="Arial"/>
          <w:lang w:val="en-GB"/>
        </w:rPr>
        <w:t xml:space="preserve"> </w:t>
      </w:r>
      <w:r w:rsidRPr="00E87355">
        <w:rPr>
          <w:rFonts w:ascii="Arial" w:hAnsi="Arial" w:cs="Arial"/>
          <w:lang w:val="en-GB"/>
        </w:rPr>
        <w:t>r</w:t>
      </w:r>
      <w:r w:rsidR="002F0B7E" w:rsidRPr="00E87355">
        <w:rPr>
          <w:rFonts w:ascii="Arial" w:hAnsi="Arial" w:cs="Arial"/>
          <w:lang w:val="en-GB"/>
        </w:rPr>
        <w:t>ecognition</w:t>
      </w:r>
      <w:r w:rsidR="009440AB" w:rsidRPr="00E87355">
        <w:rPr>
          <w:rFonts w:ascii="Arial" w:hAnsi="Arial" w:cs="Arial"/>
          <w:lang w:val="en-GB"/>
        </w:rPr>
        <w:t xml:space="preserve"> and enforcement</w:t>
      </w:r>
      <w:r w:rsidR="002F0B7E" w:rsidRPr="00E87355">
        <w:rPr>
          <w:rFonts w:ascii="Arial" w:hAnsi="Arial" w:cs="Arial"/>
          <w:lang w:val="en-GB"/>
        </w:rPr>
        <w:t xml:space="preserve"> of </w:t>
      </w:r>
      <w:r w:rsidR="00C028AC" w:rsidRPr="00E87355">
        <w:rPr>
          <w:rFonts w:ascii="Arial" w:hAnsi="Arial" w:cs="Arial"/>
          <w:lang w:val="en-GB"/>
        </w:rPr>
        <w:t xml:space="preserve">insolvency proceedings and </w:t>
      </w:r>
      <w:r w:rsidR="002F0B7E" w:rsidRPr="00E87355">
        <w:rPr>
          <w:rFonts w:ascii="Arial" w:hAnsi="Arial" w:cs="Arial"/>
          <w:lang w:val="en-GB"/>
        </w:rPr>
        <w:t xml:space="preserve">insolvency related </w:t>
      </w:r>
      <w:r w:rsidR="00C028AC" w:rsidRPr="00E87355">
        <w:rPr>
          <w:rFonts w:ascii="Arial" w:hAnsi="Arial" w:cs="Arial"/>
          <w:lang w:val="en-GB"/>
        </w:rPr>
        <w:t>judgments of one nation</w:t>
      </w:r>
      <w:r w:rsidR="002F0B7E" w:rsidRPr="00E87355">
        <w:rPr>
          <w:rFonts w:ascii="Arial" w:hAnsi="Arial" w:cs="Arial"/>
          <w:lang w:val="en-GB"/>
        </w:rPr>
        <w:t xml:space="preserve"> in other jurisdictions </w:t>
      </w:r>
      <w:r w:rsidR="00064469" w:rsidRPr="00E87355">
        <w:rPr>
          <w:rFonts w:ascii="Arial" w:hAnsi="Arial" w:cs="Arial"/>
          <w:lang w:val="en-GB"/>
        </w:rPr>
        <w:t>will</w:t>
      </w:r>
      <w:r w:rsidR="002F0B7E" w:rsidRPr="00E87355">
        <w:rPr>
          <w:rFonts w:ascii="Arial" w:hAnsi="Arial" w:cs="Arial"/>
          <w:lang w:val="en-GB"/>
        </w:rPr>
        <w:t xml:space="preserve"> depend on</w:t>
      </w:r>
      <w:r w:rsidR="0054790A" w:rsidRPr="00E87355">
        <w:rPr>
          <w:rFonts w:ascii="Arial" w:hAnsi="Arial" w:cs="Arial"/>
          <w:lang w:val="en-GB"/>
        </w:rPr>
        <w:t>:</w:t>
      </w:r>
      <w:r w:rsidR="002F0B7E" w:rsidRPr="00E87355">
        <w:rPr>
          <w:rFonts w:ascii="Arial" w:hAnsi="Arial" w:cs="Arial"/>
          <w:lang w:val="en-GB"/>
        </w:rPr>
        <w:t xml:space="preserve"> </w:t>
      </w:r>
    </w:p>
    <w:p w14:paraId="2DBA4921" w14:textId="4C4A3D4C" w:rsidR="00CB23D9" w:rsidRPr="00E87355" w:rsidRDefault="002F0B7E" w:rsidP="00E43E63">
      <w:pPr>
        <w:pStyle w:val="ListParagraph"/>
        <w:widowControl w:val="0"/>
        <w:numPr>
          <w:ilvl w:val="0"/>
          <w:numId w:val="5"/>
        </w:numPr>
        <w:spacing w:after="120" w:line="360" w:lineRule="auto"/>
        <w:jc w:val="both"/>
        <w:rPr>
          <w:rFonts w:ascii="Arial" w:hAnsi="Arial" w:cs="Arial"/>
          <w:lang w:val="en-GB"/>
        </w:rPr>
      </w:pPr>
      <w:r w:rsidRPr="00E87355">
        <w:rPr>
          <w:rFonts w:ascii="Arial" w:hAnsi="Arial" w:cs="Arial"/>
          <w:lang w:val="en-GB"/>
        </w:rPr>
        <w:lastRenderedPageBreak/>
        <w:t>private international law of the concerned jurisdiction;</w:t>
      </w:r>
      <w:r w:rsidR="000F60BF" w:rsidRPr="00E87355">
        <w:rPr>
          <w:rFonts w:ascii="Arial" w:hAnsi="Arial" w:cs="Arial"/>
          <w:lang w:val="en-GB"/>
        </w:rPr>
        <w:t xml:space="preserve"> </w:t>
      </w:r>
    </w:p>
    <w:p w14:paraId="178FDC67" w14:textId="77777777" w:rsidR="009440AB" w:rsidRPr="00E87355" w:rsidRDefault="000F60BF" w:rsidP="00E43E63">
      <w:pPr>
        <w:pStyle w:val="ListParagraph"/>
        <w:widowControl w:val="0"/>
        <w:numPr>
          <w:ilvl w:val="0"/>
          <w:numId w:val="5"/>
        </w:numPr>
        <w:spacing w:after="120" w:line="360" w:lineRule="auto"/>
        <w:jc w:val="both"/>
        <w:rPr>
          <w:rFonts w:ascii="Arial" w:hAnsi="Arial" w:cs="Arial"/>
          <w:lang w:val="en-GB"/>
        </w:rPr>
      </w:pPr>
      <w:r w:rsidRPr="00E87355">
        <w:rPr>
          <w:rFonts w:ascii="Arial" w:hAnsi="Arial" w:cs="Arial"/>
          <w:lang w:val="en-GB"/>
        </w:rPr>
        <w:t>Other cross-border frameworks</w:t>
      </w:r>
      <w:r w:rsidR="009440AB" w:rsidRPr="00E87355">
        <w:rPr>
          <w:rFonts w:ascii="Arial" w:hAnsi="Arial" w:cs="Arial"/>
          <w:lang w:val="en-GB"/>
        </w:rPr>
        <w:t xml:space="preserve"> such as: </w:t>
      </w:r>
    </w:p>
    <w:p w14:paraId="7BB71A89" w14:textId="19E3D177" w:rsidR="009440AB" w:rsidRPr="00E87355" w:rsidRDefault="009440AB" w:rsidP="00E43E63">
      <w:pPr>
        <w:pStyle w:val="ListParagraph"/>
        <w:widowControl w:val="0"/>
        <w:numPr>
          <w:ilvl w:val="0"/>
          <w:numId w:val="8"/>
        </w:numPr>
        <w:spacing w:after="120" w:line="360" w:lineRule="auto"/>
        <w:jc w:val="both"/>
        <w:rPr>
          <w:rFonts w:ascii="Arial" w:hAnsi="Arial" w:cs="Arial"/>
          <w:lang w:val="en-GB"/>
        </w:rPr>
      </w:pPr>
      <w:r w:rsidRPr="00E87355">
        <w:rPr>
          <w:rFonts w:ascii="Arial" w:hAnsi="Arial" w:cs="Arial"/>
          <w:lang w:val="en-GB"/>
        </w:rPr>
        <w:t>to the extent that a jurisdiction has adopted UNCITRAL’s Model Law on Cross-Border Insolvency</w:t>
      </w:r>
      <w:r w:rsidR="005A528A" w:rsidRPr="00E87355">
        <w:rPr>
          <w:rFonts w:ascii="Arial" w:hAnsi="Arial" w:cs="Arial"/>
          <w:lang w:val="en-GB"/>
        </w:rPr>
        <w:t xml:space="preserve"> (UMLCBI)</w:t>
      </w:r>
      <w:r w:rsidRPr="00E87355">
        <w:rPr>
          <w:rFonts w:ascii="Arial" w:hAnsi="Arial" w:cs="Arial"/>
          <w:lang w:val="en-GB"/>
        </w:rPr>
        <w:t>, then it will have provisions for recognition of foreign insolvency proceedings;</w:t>
      </w:r>
    </w:p>
    <w:p w14:paraId="2917270B" w14:textId="6C861A77" w:rsidR="0084220C" w:rsidRPr="00E87355" w:rsidRDefault="0084220C" w:rsidP="00E43E63">
      <w:pPr>
        <w:pStyle w:val="ListParagraph"/>
        <w:widowControl w:val="0"/>
        <w:numPr>
          <w:ilvl w:val="0"/>
          <w:numId w:val="8"/>
        </w:numPr>
        <w:spacing w:after="120" w:line="360" w:lineRule="auto"/>
        <w:jc w:val="both"/>
        <w:rPr>
          <w:rFonts w:ascii="Arial" w:hAnsi="Arial" w:cs="Arial"/>
          <w:lang w:val="en-GB"/>
        </w:rPr>
      </w:pPr>
      <w:r w:rsidRPr="00E87355">
        <w:rPr>
          <w:rFonts w:ascii="Arial" w:hAnsi="Arial" w:cs="Arial"/>
          <w:lang w:val="en-GB"/>
        </w:rPr>
        <w:t>international conventions or treaties</w:t>
      </w:r>
      <w:r w:rsidRPr="00E87355">
        <w:rPr>
          <w:rStyle w:val="FootnoteReference"/>
          <w:rFonts w:ascii="Arial" w:hAnsi="Arial" w:cs="Arial"/>
          <w:lang w:val="en-GB"/>
        </w:rPr>
        <w:footnoteReference w:id="48"/>
      </w:r>
      <w:r w:rsidRPr="00E87355">
        <w:rPr>
          <w:rFonts w:ascii="Arial" w:hAnsi="Arial" w:cs="Arial"/>
          <w:lang w:val="en-GB"/>
        </w:rPr>
        <w:t xml:space="preserve"> dealing with recognition and enforcement of judgments given in other jurisdictions; </w:t>
      </w:r>
    </w:p>
    <w:p w14:paraId="0019EF25" w14:textId="542F47C4" w:rsidR="009440AB" w:rsidRPr="00E87355" w:rsidRDefault="009440AB" w:rsidP="00E43E63">
      <w:pPr>
        <w:pStyle w:val="ListParagraph"/>
        <w:widowControl w:val="0"/>
        <w:numPr>
          <w:ilvl w:val="0"/>
          <w:numId w:val="8"/>
        </w:numPr>
        <w:spacing w:after="120" w:line="360" w:lineRule="auto"/>
        <w:jc w:val="both"/>
        <w:rPr>
          <w:rFonts w:ascii="Arial" w:hAnsi="Arial" w:cs="Arial"/>
          <w:lang w:val="en-GB"/>
        </w:rPr>
      </w:pPr>
      <w:r w:rsidRPr="00E87355">
        <w:rPr>
          <w:rFonts w:ascii="Arial" w:hAnsi="Arial" w:cs="Arial"/>
          <w:lang w:val="en-GB"/>
        </w:rPr>
        <w:t xml:space="preserve">existence of any bilateral treaty between the two jurisdictions which covers </w:t>
      </w:r>
      <w:r w:rsidR="00064469" w:rsidRPr="00E87355">
        <w:rPr>
          <w:rFonts w:ascii="Arial" w:hAnsi="Arial" w:cs="Arial"/>
          <w:lang w:val="en-GB"/>
        </w:rPr>
        <w:t xml:space="preserve">recognition of insolvency proceedings or </w:t>
      </w:r>
      <w:r w:rsidRPr="00E87355">
        <w:rPr>
          <w:rFonts w:ascii="Arial" w:hAnsi="Arial" w:cs="Arial"/>
          <w:lang w:val="en-GB"/>
        </w:rPr>
        <w:t>enforcement of insolvency related judgments</w:t>
      </w:r>
      <w:r w:rsidR="0084220C" w:rsidRPr="00E87355">
        <w:rPr>
          <w:rFonts w:ascii="Arial" w:hAnsi="Arial" w:cs="Arial"/>
          <w:lang w:val="en-GB"/>
        </w:rPr>
        <w:t>;</w:t>
      </w:r>
    </w:p>
    <w:p w14:paraId="4527919F" w14:textId="383122F8" w:rsidR="000F60BF" w:rsidRPr="00E87355" w:rsidRDefault="00064469" w:rsidP="00E43E63">
      <w:pPr>
        <w:pStyle w:val="ListParagraph"/>
        <w:widowControl w:val="0"/>
        <w:numPr>
          <w:ilvl w:val="0"/>
          <w:numId w:val="8"/>
        </w:numPr>
        <w:spacing w:after="120" w:line="360" w:lineRule="auto"/>
        <w:jc w:val="both"/>
        <w:rPr>
          <w:rFonts w:ascii="Arial" w:hAnsi="Arial" w:cs="Arial"/>
          <w:lang w:val="en-GB"/>
        </w:rPr>
      </w:pPr>
      <w:r w:rsidRPr="00E87355">
        <w:rPr>
          <w:rFonts w:ascii="Arial" w:hAnsi="Arial" w:cs="Arial"/>
          <w:lang w:val="en-GB"/>
        </w:rPr>
        <w:t>j</w:t>
      </w:r>
      <w:r w:rsidR="009440AB" w:rsidRPr="00E87355">
        <w:rPr>
          <w:rFonts w:ascii="Arial" w:hAnsi="Arial" w:cs="Arial"/>
          <w:lang w:val="en-GB"/>
        </w:rPr>
        <w:t xml:space="preserve">udicial co-operation </w:t>
      </w:r>
      <w:r w:rsidRPr="00E87355">
        <w:rPr>
          <w:rFonts w:ascii="Arial" w:hAnsi="Arial" w:cs="Arial"/>
          <w:lang w:val="en-GB"/>
        </w:rPr>
        <w:t xml:space="preserve">or signing of cross-border protocols between </w:t>
      </w:r>
      <w:r w:rsidR="0084220C" w:rsidRPr="00E87355">
        <w:rPr>
          <w:rFonts w:ascii="Arial" w:hAnsi="Arial" w:cs="Arial"/>
          <w:lang w:val="en-GB"/>
        </w:rPr>
        <w:t xml:space="preserve">the </w:t>
      </w:r>
      <w:r w:rsidRPr="00E87355">
        <w:rPr>
          <w:rFonts w:ascii="Arial" w:hAnsi="Arial" w:cs="Arial"/>
          <w:lang w:val="en-GB"/>
        </w:rPr>
        <w:t>two jurisdictions</w:t>
      </w:r>
      <w:r w:rsidR="00A3201D" w:rsidRPr="00E87355">
        <w:rPr>
          <w:rStyle w:val="FootnoteReference"/>
          <w:rFonts w:ascii="Arial" w:hAnsi="Arial" w:cs="Arial"/>
          <w:lang w:val="en-GB"/>
        </w:rPr>
        <w:footnoteReference w:id="49"/>
      </w:r>
      <w:r w:rsidR="009440AB" w:rsidRPr="00E87355">
        <w:rPr>
          <w:rFonts w:ascii="Arial" w:hAnsi="Arial" w:cs="Arial"/>
          <w:lang w:val="en-GB"/>
        </w:rPr>
        <w:t xml:space="preserve">. </w:t>
      </w:r>
    </w:p>
    <w:p w14:paraId="6D891DB6" w14:textId="2919E7EE" w:rsidR="0054790A" w:rsidRPr="00E87355" w:rsidRDefault="00064469" w:rsidP="00E43E63">
      <w:pPr>
        <w:widowControl w:val="0"/>
        <w:spacing w:after="120" w:line="360" w:lineRule="auto"/>
        <w:jc w:val="both"/>
        <w:rPr>
          <w:rFonts w:ascii="Arial" w:hAnsi="Arial" w:cs="Arial"/>
          <w:lang w:val="en-GB"/>
        </w:rPr>
      </w:pPr>
      <w:r w:rsidRPr="00E87355">
        <w:rPr>
          <w:rFonts w:ascii="Arial" w:hAnsi="Arial" w:cs="Arial"/>
          <w:lang w:val="en-GB"/>
        </w:rPr>
        <w:t>W</w:t>
      </w:r>
      <w:r w:rsidR="0054790A" w:rsidRPr="00E87355">
        <w:rPr>
          <w:rFonts w:ascii="Arial" w:hAnsi="Arial" w:cs="Arial"/>
          <w:lang w:val="en-GB"/>
        </w:rPr>
        <w:t xml:space="preserve">hile </w:t>
      </w:r>
      <w:r w:rsidR="005A528A" w:rsidRPr="00E87355">
        <w:rPr>
          <w:rFonts w:ascii="Arial" w:hAnsi="Arial" w:cs="Arial"/>
          <w:lang w:val="en-GB"/>
        </w:rPr>
        <w:t>UMLCBI</w:t>
      </w:r>
      <w:r w:rsidR="0054790A" w:rsidRPr="00E87355">
        <w:rPr>
          <w:rFonts w:ascii="Arial" w:hAnsi="Arial" w:cs="Arial"/>
          <w:lang w:val="en-GB"/>
        </w:rPr>
        <w:t xml:space="preserve"> deals with recognition of foreign insolvency proceedings</w:t>
      </w:r>
      <w:r w:rsidR="002066E8" w:rsidRPr="00E87355">
        <w:rPr>
          <w:rFonts w:ascii="Arial" w:hAnsi="Arial" w:cs="Arial"/>
          <w:lang w:val="en-GB"/>
        </w:rPr>
        <w:t xml:space="preserve"> and providing assistance to foreign representatives</w:t>
      </w:r>
      <w:r w:rsidR="0054790A" w:rsidRPr="00E87355">
        <w:rPr>
          <w:rFonts w:ascii="Arial" w:hAnsi="Arial" w:cs="Arial"/>
          <w:lang w:val="en-GB"/>
        </w:rPr>
        <w:t>, there has been uncertainty</w:t>
      </w:r>
      <w:r w:rsidR="00A5460D" w:rsidRPr="00E87355">
        <w:rPr>
          <w:rStyle w:val="FootnoteReference"/>
          <w:rFonts w:ascii="Arial" w:hAnsi="Arial" w:cs="Arial"/>
          <w:lang w:val="en-GB"/>
        </w:rPr>
        <w:footnoteReference w:id="50"/>
      </w:r>
      <w:r w:rsidR="0054790A" w:rsidRPr="00E87355">
        <w:rPr>
          <w:rFonts w:ascii="Arial" w:hAnsi="Arial" w:cs="Arial"/>
          <w:lang w:val="en-GB"/>
        </w:rPr>
        <w:t xml:space="preserve"> regarding a court’s ability to enforce rulings (such as judgments relating to avoidance actions) given in the course of such foreign insolvency proceedings as a part of the recognition process.</w:t>
      </w:r>
      <w:r w:rsidR="0054790A" w:rsidRPr="00E87355">
        <w:rPr>
          <w:rStyle w:val="FootnoteReference"/>
          <w:rFonts w:ascii="Arial" w:hAnsi="Arial" w:cs="Arial"/>
          <w:lang w:val="en-GB"/>
        </w:rPr>
        <w:footnoteReference w:id="51"/>
      </w:r>
      <w:r w:rsidR="00884761" w:rsidRPr="00E87355">
        <w:rPr>
          <w:rFonts w:ascii="Arial" w:hAnsi="Arial" w:cs="Arial"/>
          <w:lang w:val="en-GB"/>
        </w:rPr>
        <w:t xml:space="preserve"> Moreover, international conventions such as the Convention of 30 June 2005 on Choice of Court Agreements</w:t>
      </w:r>
      <w:r w:rsidR="00D701E1" w:rsidRPr="00E87355">
        <w:rPr>
          <w:rFonts w:ascii="Arial" w:hAnsi="Arial" w:cs="Arial"/>
          <w:lang w:val="en-GB"/>
        </w:rPr>
        <w:t xml:space="preserve"> </w:t>
      </w:r>
      <w:r w:rsidR="00884761" w:rsidRPr="00E87355">
        <w:rPr>
          <w:rFonts w:ascii="Arial" w:hAnsi="Arial" w:cs="Arial"/>
          <w:lang w:val="en-GB"/>
        </w:rPr>
        <w:t>does not apply to “insolvency, composition and analogous matters”</w:t>
      </w:r>
      <w:r w:rsidR="002066E8" w:rsidRPr="00E87355">
        <w:rPr>
          <w:rFonts w:ascii="Arial" w:hAnsi="Arial" w:cs="Arial"/>
          <w:lang w:val="en-GB"/>
        </w:rPr>
        <w:t>.</w:t>
      </w:r>
      <w:r w:rsidR="00A5460D" w:rsidRPr="00E87355">
        <w:rPr>
          <w:rStyle w:val="FootnoteReference"/>
          <w:rFonts w:ascii="Arial" w:hAnsi="Arial" w:cs="Arial"/>
          <w:lang w:val="en-GB"/>
        </w:rPr>
        <w:footnoteReference w:id="52"/>
      </w:r>
      <w:r w:rsidR="002066E8" w:rsidRPr="00E87355">
        <w:rPr>
          <w:rFonts w:ascii="Arial" w:hAnsi="Arial" w:cs="Arial"/>
          <w:lang w:val="en-GB"/>
        </w:rPr>
        <w:t xml:space="preserve"> In </w:t>
      </w:r>
      <w:r w:rsidRPr="00E87355">
        <w:rPr>
          <w:rFonts w:ascii="Arial" w:hAnsi="Arial" w:cs="Arial"/>
          <w:lang w:val="en-GB"/>
        </w:rPr>
        <w:t xml:space="preserve">response, in </w:t>
      </w:r>
      <w:r w:rsidR="002066E8" w:rsidRPr="00E87355">
        <w:rPr>
          <w:rFonts w:ascii="Arial" w:hAnsi="Arial" w:cs="Arial"/>
          <w:lang w:val="en-GB"/>
        </w:rPr>
        <w:t>2018, UNCITRAL adopted a Model Law on Recognition and Enforcement of Insolvency-Related Judgements</w:t>
      </w:r>
      <w:r w:rsidR="005A528A" w:rsidRPr="00E87355">
        <w:rPr>
          <w:rFonts w:ascii="Arial" w:hAnsi="Arial" w:cs="Arial"/>
          <w:lang w:val="en-GB"/>
        </w:rPr>
        <w:t xml:space="preserve"> (UMLIRJ)</w:t>
      </w:r>
      <w:r w:rsidR="00A5460D" w:rsidRPr="00E87355">
        <w:rPr>
          <w:rFonts w:ascii="Arial" w:hAnsi="Arial" w:cs="Arial"/>
          <w:lang w:val="en-GB"/>
        </w:rPr>
        <w:t xml:space="preserve"> to provide States a harmonised and simple framework for recognition and enforcement of insolvency-related judgments</w:t>
      </w:r>
      <w:r w:rsidR="009440AB" w:rsidRPr="00E87355">
        <w:rPr>
          <w:rFonts w:ascii="Arial" w:hAnsi="Arial" w:cs="Arial"/>
          <w:lang w:val="en-GB"/>
        </w:rPr>
        <w:t xml:space="preserve">. </w:t>
      </w:r>
      <w:r w:rsidR="00884761" w:rsidRPr="00E87355">
        <w:rPr>
          <w:rFonts w:ascii="Arial" w:hAnsi="Arial" w:cs="Arial"/>
          <w:lang w:val="en-GB"/>
        </w:rPr>
        <w:t xml:space="preserve"> </w:t>
      </w:r>
    </w:p>
    <w:p w14:paraId="7AB5D5F3" w14:textId="2C50962A" w:rsidR="0060409D" w:rsidRPr="00E87355" w:rsidRDefault="00A3535B" w:rsidP="00E43E63">
      <w:pPr>
        <w:widowControl w:val="0"/>
        <w:spacing w:after="120" w:line="360" w:lineRule="auto"/>
        <w:jc w:val="both"/>
        <w:rPr>
          <w:rFonts w:ascii="Arial" w:hAnsi="Arial" w:cs="Arial"/>
          <w:lang w:val="en-GB"/>
        </w:rPr>
      </w:pPr>
      <w:r w:rsidRPr="00E87355">
        <w:rPr>
          <w:rFonts w:ascii="Arial" w:hAnsi="Arial" w:cs="Arial"/>
          <w:lang w:val="en-GB"/>
        </w:rPr>
        <w:t>In addition to the above, specific</w:t>
      </w:r>
      <w:r w:rsidR="002F0B7E" w:rsidRPr="00E87355">
        <w:rPr>
          <w:rFonts w:ascii="Arial" w:hAnsi="Arial" w:cs="Arial"/>
          <w:lang w:val="en-GB"/>
        </w:rPr>
        <w:t xml:space="preserve"> considerations </w:t>
      </w:r>
      <w:r w:rsidR="009440AB" w:rsidRPr="00E87355">
        <w:rPr>
          <w:rFonts w:ascii="Arial" w:hAnsi="Arial" w:cs="Arial"/>
          <w:lang w:val="en-GB"/>
        </w:rPr>
        <w:t>associated with recognition and enforcement of</w:t>
      </w:r>
      <w:r w:rsidR="002F0B7E" w:rsidRPr="00E87355">
        <w:rPr>
          <w:rFonts w:ascii="Arial" w:hAnsi="Arial" w:cs="Arial"/>
          <w:lang w:val="en-GB"/>
        </w:rPr>
        <w:t xml:space="preserve"> US and UK </w:t>
      </w:r>
      <w:r w:rsidR="009440AB" w:rsidRPr="00E87355">
        <w:rPr>
          <w:rFonts w:ascii="Arial" w:hAnsi="Arial" w:cs="Arial"/>
          <w:lang w:val="en-GB"/>
        </w:rPr>
        <w:t>court rulings, such as issues arising in enforcement of the worldwide automatic stay in Chapter 11 proceedings and impact of Brexit on recognition of UK insolvency proceedings</w:t>
      </w:r>
      <w:r w:rsidR="002F0B7E" w:rsidRPr="00E87355">
        <w:rPr>
          <w:rFonts w:ascii="Arial" w:hAnsi="Arial" w:cs="Arial"/>
          <w:lang w:val="en-GB"/>
        </w:rPr>
        <w:t xml:space="preserve"> are discussed below. </w:t>
      </w:r>
    </w:p>
    <w:p w14:paraId="1E884994" w14:textId="4F84DA9B" w:rsidR="00875F55" w:rsidRPr="00E87355" w:rsidRDefault="00875F55" w:rsidP="00E43E63">
      <w:pPr>
        <w:pStyle w:val="ListParagraph"/>
        <w:widowControl w:val="0"/>
        <w:numPr>
          <w:ilvl w:val="1"/>
          <w:numId w:val="2"/>
        </w:numPr>
        <w:spacing w:after="120" w:line="360" w:lineRule="auto"/>
        <w:ind w:left="369" w:hanging="369"/>
        <w:jc w:val="both"/>
        <w:outlineLvl w:val="1"/>
        <w:rPr>
          <w:rFonts w:ascii="Arial" w:hAnsi="Arial" w:cs="Arial"/>
          <w:b/>
          <w:bCs/>
          <w:lang w:val="en-GB"/>
        </w:rPr>
      </w:pPr>
      <w:bookmarkStart w:id="16" w:name="_Toc139801763"/>
      <w:r w:rsidRPr="00E87355">
        <w:rPr>
          <w:rFonts w:ascii="Arial" w:hAnsi="Arial" w:cs="Arial"/>
          <w:b/>
          <w:bCs/>
          <w:lang w:val="en-GB"/>
        </w:rPr>
        <w:t>US</w:t>
      </w:r>
      <w:bookmarkEnd w:id="16"/>
    </w:p>
    <w:p w14:paraId="78EB3992" w14:textId="42417BD1" w:rsidR="001B5B61" w:rsidRPr="00E87355" w:rsidRDefault="00040A6A" w:rsidP="00E43E63">
      <w:pPr>
        <w:widowControl w:val="0"/>
        <w:spacing w:after="120" w:line="360" w:lineRule="auto"/>
        <w:jc w:val="both"/>
        <w:rPr>
          <w:rFonts w:ascii="Arial" w:hAnsi="Arial" w:cs="Arial"/>
          <w:lang w:val="en-GB"/>
        </w:rPr>
      </w:pPr>
      <w:r w:rsidRPr="00E87355">
        <w:rPr>
          <w:rFonts w:ascii="Arial" w:hAnsi="Arial" w:cs="Arial"/>
          <w:lang w:val="en-GB"/>
        </w:rPr>
        <w:t xml:space="preserve">The US Bankruptcy Code </w:t>
      </w:r>
      <w:r w:rsidR="00EF5CDB" w:rsidRPr="00E87355">
        <w:rPr>
          <w:rFonts w:ascii="Arial" w:hAnsi="Arial" w:cs="Arial"/>
          <w:lang w:val="en-GB"/>
        </w:rPr>
        <w:t>applies</w:t>
      </w:r>
      <w:r w:rsidRPr="00E87355">
        <w:rPr>
          <w:rFonts w:ascii="Arial" w:hAnsi="Arial" w:cs="Arial"/>
          <w:lang w:val="en-GB"/>
        </w:rPr>
        <w:t xml:space="preserve"> extra-territorial</w:t>
      </w:r>
      <w:r w:rsidR="00EF5CDB" w:rsidRPr="00E87355">
        <w:rPr>
          <w:rFonts w:ascii="Arial" w:hAnsi="Arial" w:cs="Arial"/>
          <w:lang w:val="en-GB"/>
        </w:rPr>
        <w:t>ly insofar as the bankruptcy estate of the</w:t>
      </w:r>
      <w:r w:rsidRPr="00E87355">
        <w:rPr>
          <w:rFonts w:ascii="Arial" w:hAnsi="Arial" w:cs="Arial"/>
          <w:lang w:val="en-GB"/>
        </w:rPr>
        <w:t xml:space="preserve"> debtor</w:t>
      </w:r>
      <w:r w:rsidR="00EF5CDB" w:rsidRPr="00E87355">
        <w:rPr>
          <w:rFonts w:ascii="Arial" w:hAnsi="Arial" w:cs="Arial"/>
          <w:lang w:val="en-GB"/>
        </w:rPr>
        <w:t xml:space="preserve"> is concerned</w:t>
      </w:r>
      <w:r w:rsidRPr="00E87355">
        <w:rPr>
          <w:rFonts w:ascii="Arial" w:hAnsi="Arial" w:cs="Arial"/>
          <w:lang w:val="en-GB"/>
        </w:rPr>
        <w:t>.</w:t>
      </w:r>
      <w:r w:rsidR="00EF5CDB" w:rsidRPr="00E87355">
        <w:rPr>
          <w:rStyle w:val="FootnoteReference"/>
          <w:rFonts w:ascii="Arial" w:hAnsi="Arial" w:cs="Arial"/>
          <w:lang w:val="en-GB"/>
        </w:rPr>
        <w:footnoteReference w:id="53"/>
      </w:r>
      <w:r w:rsidRPr="00E87355">
        <w:rPr>
          <w:rFonts w:ascii="Arial" w:hAnsi="Arial" w:cs="Arial"/>
          <w:lang w:val="en-GB"/>
        </w:rPr>
        <w:t xml:space="preserve"> This is derived from Section 541 of the US Bankruptcy Code, which </w:t>
      </w:r>
      <w:r w:rsidRPr="00E87355">
        <w:rPr>
          <w:rFonts w:ascii="Arial" w:hAnsi="Arial" w:cs="Arial"/>
          <w:lang w:val="en-GB"/>
        </w:rPr>
        <w:lastRenderedPageBreak/>
        <w:t xml:space="preserve">provides that the bankruptcy estate includes all property </w:t>
      </w:r>
      <w:r w:rsidR="00D701E1" w:rsidRPr="00E87355">
        <w:rPr>
          <w:rFonts w:ascii="Arial" w:hAnsi="Arial" w:cs="Arial"/>
          <w:lang w:val="en-GB"/>
        </w:rPr>
        <w:t>“</w:t>
      </w:r>
      <w:r w:rsidRPr="00E87355">
        <w:rPr>
          <w:rFonts w:ascii="Arial" w:hAnsi="Arial" w:cs="Arial"/>
          <w:i/>
          <w:iCs/>
          <w:lang w:val="en-GB"/>
        </w:rPr>
        <w:t>wherever located</w:t>
      </w:r>
      <w:r w:rsidR="00EF5CDB" w:rsidRPr="00E87355">
        <w:rPr>
          <w:rFonts w:ascii="Arial" w:hAnsi="Arial" w:cs="Arial"/>
          <w:i/>
          <w:iCs/>
          <w:lang w:val="en-GB"/>
        </w:rPr>
        <w:t xml:space="preserve"> and by whomever held</w:t>
      </w:r>
      <w:r w:rsidR="00D701E1" w:rsidRPr="00E87355">
        <w:rPr>
          <w:rFonts w:ascii="Arial" w:hAnsi="Arial" w:cs="Arial"/>
          <w:lang w:val="en-GB"/>
        </w:rPr>
        <w:t>”</w:t>
      </w:r>
      <w:r w:rsidRPr="00E87355">
        <w:rPr>
          <w:rFonts w:ascii="Arial" w:hAnsi="Arial" w:cs="Arial"/>
          <w:lang w:val="en-GB"/>
        </w:rPr>
        <w:t xml:space="preserve">. Consequently, the automatic stay </w:t>
      </w:r>
      <w:r w:rsidR="00EF5CDB" w:rsidRPr="00E87355">
        <w:rPr>
          <w:rFonts w:ascii="Arial" w:hAnsi="Arial" w:cs="Arial"/>
          <w:lang w:val="en-GB"/>
        </w:rPr>
        <w:t xml:space="preserve">under section 362 </w:t>
      </w:r>
      <w:r w:rsidRPr="00E87355">
        <w:rPr>
          <w:rFonts w:ascii="Arial" w:hAnsi="Arial" w:cs="Arial"/>
          <w:lang w:val="en-GB"/>
        </w:rPr>
        <w:t>which bars any action against the debtor and its property also applies on a worldwide basis.</w:t>
      </w:r>
      <w:r w:rsidR="007B740E" w:rsidRPr="00E87355">
        <w:rPr>
          <w:rStyle w:val="FootnoteReference"/>
          <w:rFonts w:ascii="Arial" w:hAnsi="Arial" w:cs="Arial"/>
          <w:lang w:val="en-GB"/>
        </w:rPr>
        <w:footnoteReference w:id="54"/>
      </w:r>
      <w:r w:rsidR="002F4F97" w:rsidRPr="00E87355">
        <w:rPr>
          <w:rFonts w:ascii="Arial" w:hAnsi="Arial" w:cs="Arial"/>
          <w:lang w:val="en-GB"/>
        </w:rPr>
        <w:t xml:space="preserve"> </w:t>
      </w:r>
      <w:r w:rsidR="007B740E" w:rsidRPr="00E87355">
        <w:rPr>
          <w:rFonts w:ascii="Arial" w:hAnsi="Arial" w:cs="Arial"/>
          <w:lang w:val="en-GB"/>
        </w:rPr>
        <w:t xml:space="preserve">However, whether </w:t>
      </w:r>
      <w:r w:rsidR="00D701E1" w:rsidRPr="00E87355">
        <w:rPr>
          <w:rFonts w:ascii="Arial" w:hAnsi="Arial" w:cs="Arial"/>
          <w:lang w:val="en-GB"/>
        </w:rPr>
        <w:t xml:space="preserve">or not </w:t>
      </w:r>
      <w:r w:rsidR="007B740E" w:rsidRPr="00E87355">
        <w:rPr>
          <w:rFonts w:ascii="Arial" w:hAnsi="Arial" w:cs="Arial"/>
          <w:lang w:val="en-GB"/>
        </w:rPr>
        <w:t>the US court’s judgment will be enforced in other jurisdictions may ultimately depend on assistance from the relevant foreign court.</w:t>
      </w:r>
      <w:r w:rsidR="007B740E" w:rsidRPr="00E87355">
        <w:rPr>
          <w:rStyle w:val="FootnoteReference"/>
          <w:rFonts w:ascii="Arial" w:hAnsi="Arial" w:cs="Arial"/>
          <w:lang w:val="en-GB"/>
        </w:rPr>
        <w:footnoteReference w:id="55"/>
      </w:r>
      <w:r w:rsidR="007B740E" w:rsidRPr="00E87355">
        <w:rPr>
          <w:rFonts w:ascii="Arial" w:hAnsi="Arial" w:cs="Arial"/>
          <w:lang w:val="en-GB"/>
        </w:rPr>
        <w:t xml:space="preserve"> </w:t>
      </w:r>
    </w:p>
    <w:p w14:paraId="2BCEFE9C" w14:textId="5E3396DE" w:rsidR="00D701E1" w:rsidRPr="00E87355" w:rsidRDefault="00D701E1" w:rsidP="00E43E63">
      <w:pPr>
        <w:widowControl w:val="0"/>
        <w:spacing w:after="120" w:line="360" w:lineRule="auto"/>
        <w:jc w:val="both"/>
        <w:rPr>
          <w:rFonts w:ascii="Arial" w:hAnsi="Arial" w:cs="Arial"/>
          <w:lang w:val="en-GB"/>
        </w:rPr>
      </w:pPr>
      <w:r w:rsidRPr="00E87355">
        <w:rPr>
          <w:rFonts w:ascii="Arial" w:hAnsi="Arial" w:cs="Arial"/>
          <w:lang w:val="en-GB"/>
        </w:rPr>
        <w:t>Importantly, creditors or parties with a US presence or assets in the US may also find it prudent to comply with the US court order as non-compliance may expose them to consequences in case of contempt proceedings. Being a financial centre it may be possible to bind creditors</w:t>
      </w:r>
      <w:r w:rsidRPr="00E87355">
        <w:rPr>
          <w:rStyle w:val="FootnoteReference"/>
          <w:rFonts w:ascii="Arial" w:hAnsi="Arial" w:cs="Arial"/>
          <w:lang w:val="en-GB"/>
        </w:rPr>
        <w:footnoteReference w:id="56"/>
      </w:r>
    </w:p>
    <w:p w14:paraId="7B6168E0" w14:textId="58BECE1E" w:rsidR="00040A6A" w:rsidRPr="00E87355" w:rsidRDefault="001B5B61" w:rsidP="00E43E63">
      <w:pPr>
        <w:widowControl w:val="0"/>
        <w:spacing w:after="120" w:line="360" w:lineRule="auto"/>
        <w:jc w:val="both"/>
        <w:rPr>
          <w:rFonts w:ascii="Arial" w:hAnsi="Arial" w:cs="Arial"/>
          <w:lang w:val="en-GB"/>
        </w:rPr>
      </w:pPr>
      <w:r w:rsidRPr="00E87355">
        <w:rPr>
          <w:rFonts w:ascii="Arial" w:hAnsi="Arial" w:cs="Arial"/>
          <w:lang w:val="en-GB"/>
        </w:rPr>
        <w:t>In the case</w:t>
      </w:r>
      <w:r w:rsidR="00D701E1" w:rsidRPr="00E87355">
        <w:rPr>
          <w:rFonts w:ascii="Arial" w:hAnsi="Arial" w:cs="Arial"/>
          <w:lang w:val="en-GB"/>
        </w:rPr>
        <w:t>,</w:t>
      </w:r>
      <w:r w:rsidRPr="00E87355">
        <w:rPr>
          <w:rFonts w:ascii="Arial" w:hAnsi="Arial" w:cs="Arial"/>
          <w:lang w:val="en-GB"/>
        </w:rPr>
        <w:t xml:space="preserve"> </w:t>
      </w:r>
      <w:r w:rsidR="00F57BC9" w:rsidRPr="00E87355">
        <w:rPr>
          <w:rFonts w:ascii="Arial" w:hAnsi="Arial" w:cs="Arial"/>
          <w:i/>
          <w:iCs/>
          <w:lang w:val="en-GB"/>
        </w:rPr>
        <w:t>In re Nakash</w:t>
      </w:r>
      <w:r w:rsidR="00F57BC9" w:rsidRPr="00E87355">
        <w:rPr>
          <w:rStyle w:val="FootnoteReference"/>
          <w:rFonts w:ascii="Arial" w:hAnsi="Arial" w:cs="Arial"/>
          <w:i/>
          <w:iCs/>
          <w:lang w:val="en-GB"/>
        </w:rPr>
        <w:footnoteReference w:id="57"/>
      </w:r>
      <w:r w:rsidRPr="00E87355">
        <w:rPr>
          <w:rFonts w:ascii="Arial" w:hAnsi="Arial" w:cs="Arial"/>
          <w:lang w:val="en-GB"/>
        </w:rPr>
        <w:t xml:space="preserve">, the US court held that </w:t>
      </w:r>
      <w:r w:rsidR="00F57BC9" w:rsidRPr="00E87355">
        <w:rPr>
          <w:rFonts w:ascii="Arial" w:hAnsi="Arial" w:cs="Arial"/>
          <w:lang w:val="en-GB"/>
        </w:rPr>
        <w:t xml:space="preserve">an involuntary bankruptcy </w:t>
      </w:r>
      <w:r w:rsidRPr="00E87355">
        <w:rPr>
          <w:rFonts w:ascii="Arial" w:hAnsi="Arial" w:cs="Arial"/>
          <w:lang w:val="en-GB"/>
        </w:rPr>
        <w:t xml:space="preserve">petition initiated by an Israeli receiver </w:t>
      </w:r>
      <w:r w:rsidR="00F57BC9" w:rsidRPr="00E87355">
        <w:rPr>
          <w:rFonts w:ascii="Arial" w:hAnsi="Arial" w:cs="Arial"/>
          <w:lang w:val="en-GB"/>
        </w:rPr>
        <w:t xml:space="preserve">in Israel </w:t>
      </w:r>
      <w:r w:rsidRPr="00E87355">
        <w:rPr>
          <w:rFonts w:ascii="Arial" w:hAnsi="Arial" w:cs="Arial"/>
          <w:lang w:val="en-GB"/>
        </w:rPr>
        <w:t>while a US bankruptcy proceeding was ongoing violated the automatic stay.</w:t>
      </w:r>
      <w:r w:rsidR="00F57BC9" w:rsidRPr="00E87355">
        <w:rPr>
          <w:rStyle w:val="FootnoteReference"/>
          <w:rFonts w:ascii="Arial" w:hAnsi="Arial" w:cs="Arial"/>
          <w:lang w:val="en-GB"/>
        </w:rPr>
        <w:footnoteReference w:id="58"/>
      </w:r>
      <w:r w:rsidR="00F57BC9" w:rsidRPr="00E87355">
        <w:rPr>
          <w:rFonts w:ascii="Arial" w:hAnsi="Arial" w:cs="Arial"/>
          <w:lang w:val="en-GB"/>
        </w:rPr>
        <w:t xml:space="preserve"> </w:t>
      </w:r>
    </w:p>
    <w:p w14:paraId="1B0FAA60" w14:textId="4D3AD952" w:rsidR="00040A6A" w:rsidRPr="00E87355" w:rsidRDefault="00F57BC9" w:rsidP="00E43E63">
      <w:pPr>
        <w:widowControl w:val="0"/>
        <w:spacing w:after="120" w:line="360" w:lineRule="auto"/>
        <w:jc w:val="both"/>
        <w:rPr>
          <w:rFonts w:ascii="Arial" w:hAnsi="Arial" w:cs="Arial"/>
          <w:lang w:val="en-GB"/>
        </w:rPr>
      </w:pPr>
      <w:r w:rsidRPr="00E87355">
        <w:rPr>
          <w:rFonts w:ascii="Arial" w:hAnsi="Arial" w:cs="Arial"/>
          <w:lang w:val="en-GB"/>
        </w:rPr>
        <w:t xml:space="preserve">In the case, </w:t>
      </w:r>
      <w:r w:rsidRPr="00E87355">
        <w:rPr>
          <w:rFonts w:ascii="Arial" w:hAnsi="Arial" w:cs="Arial"/>
          <w:i/>
          <w:iCs/>
          <w:lang w:val="en-GB"/>
        </w:rPr>
        <w:t>In Re Cenargo</w:t>
      </w:r>
      <w:r w:rsidRPr="00E87355">
        <w:rPr>
          <w:rStyle w:val="FootnoteReference"/>
          <w:rFonts w:ascii="Arial" w:hAnsi="Arial" w:cs="Arial"/>
          <w:i/>
          <w:iCs/>
          <w:lang w:val="en-GB"/>
        </w:rPr>
        <w:footnoteReference w:id="59"/>
      </w:r>
      <w:r w:rsidRPr="00E87355">
        <w:rPr>
          <w:rFonts w:ascii="Arial" w:hAnsi="Arial" w:cs="Arial"/>
          <w:lang w:val="en-GB"/>
        </w:rPr>
        <w:t>, a British based</w:t>
      </w:r>
      <w:r w:rsidR="00D701E1" w:rsidRPr="00E87355">
        <w:rPr>
          <w:rFonts w:ascii="Arial" w:hAnsi="Arial" w:cs="Arial"/>
          <w:lang w:val="en-GB"/>
        </w:rPr>
        <w:t xml:space="preserve"> company</w:t>
      </w:r>
      <w:r w:rsidRPr="00E87355">
        <w:rPr>
          <w:rFonts w:ascii="Arial" w:hAnsi="Arial" w:cs="Arial"/>
          <w:lang w:val="en-GB"/>
        </w:rPr>
        <w:t xml:space="preserve"> filed Chapter 11 proceedings. One of its major creditors started insolvency proceedings in the UK and the US court found that taking action in the UK violated the automatic stay under the US Bankruptcy Code. However, action could not be taken against the creditor as it did not have any assets in the US.</w:t>
      </w:r>
      <w:r w:rsidRPr="00E87355">
        <w:rPr>
          <w:rStyle w:val="FootnoteReference"/>
          <w:rFonts w:ascii="Arial" w:hAnsi="Arial" w:cs="Arial"/>
          <w:lang w:val="en-GB"/>
        </w:rPr>
        <w:footnoteReference w:id="60"/>
      </w:r>
      <w:r w:rsidRPr="00E87355">
        <w:rPr>
          <w:rFonts w:ascii="Arial" w:hAnsi="Arial" w:cs="Arial"/>
          <w:lang w:val="en-GB"/>
        </w:rPr>
        <w:t xml:space="preserve">  </w:t>
      </w:r>
    </w:p>
    <w:p w14:paraId="2F95C30E" w14:textId="21195AE3" w:rsidR="00B9700D" w:rsidRPr="00E87355" w:rsidRDefault="00B9700D" w:rsidP="00E43E63">
      <w:pPr>
        <w:pStyle w:val="ListParagraph"/>
        <w:widowControl w:val="0"/>
        <w:numPr>
          <w:ilvl w:val="1"/>
          <w:numId w:val="2"/>
        </w:numPr>
        <w:spacing w:after="120" w:line="360" w:lineRule="auto"/>
        <w:ind w:left="369" w:hanging="369"/>
        <w:jc w:val="both"/>
        <w:outlineLvl w:val="1"/>
        <w:rPr>
          <w:rFonts w:ascii="Arial" w:hAnsi="Arial" w:cs="Arial"/>
          <w:b/>
          <w:bCs/>
          <w:lang w:val="en-GB"/>
        </w:rPr>
      </w:pPr>
      <w:bookmarkStart w:id="17" w:name="_Toc139801764"/>
      <w:r w:rsidRPr="00E87355">
        <w:rPr>
          <w:rFonts w:ascii="Arial" w:hAnsi="Arial" w:cs="Arial"/>
          <w:b/>
          <w:bCs/>
          <w:lang w:val="en-GB"/>
        </w:rPr>
        <w:t>UK</w:t>
      </w:r>
      <w:bookmarkEnd w:id="17"/>
    </w:p>
    <w:p w14:paraId="369B81CC" w14:textId="28540C2B" w:rsidR="00A3201D" w:rsidRPr="00E87355" w:rsidRDefault="00D7100B" w:rsidP="00E43E63">
      <w:pPr>
        <w:widowControl w:val="0"/>
        <w:spacing w:after="120" w:line="360" w:lineRule="auto"/>
        <w:jc w:val="both"/>
        <w:rPr>
          <w:rFonts w:ascii="Arial" w:hAnsi="Arial" w:cs="Arial"/>
          <w:lang w:val="en-GB"/>
        </w:rPr>
      </w:pPr>
      <w:r w:rsidRPr="00E87355">
        <w:rPr>
          <w:rFonts w:ascii="Arial" w:hAnsi="Arial" w:cs="Arial"/>
          <w:lang w:val="en-GB"/>
        </w:rPr>
        <w:t>Before Brexit, UK court judgments opening insolvency proceedings covered by the RIR would get automatic recognition in other EU member States and could be enforced in accordance with Regulation (EU) No 1215/2012</w:t>
      </w:r>
      <w:r w:rsidR="002D54D3" w:rsidRPr="00E87355">
        <w:rPr>
          <w:rFonts w:ascii="Arial" w:hAnsi="Arial" w:cs="Arial"/>
          <w:lang w:val="en-GB"/>
        </w:rPr>
        <w:t xml:space="preserve"> </w:t>
      </w:r>
      <w:r w:rsidR="00D701E1" w:rsidRPr="00E87355">
        <w:rPr>
          <w:rFonts w:ascii="Arial" w:hAnsi="Arial" w:cs="Arial"/>
          <w:lang w:val="en-GB"/>
        </w:rPr>
        <w:t>on jurisdiction and the recognition and enforcement of judgments in civil and commercial matters</w:t>
      </w:r>
      <w:r w:rsidR="00D701E1" w:rsidRPr="00E87355">
        <w:rPr>
          <w:rFonts w:ascii="Arial" w:hAnsi="Arial" w:cs="Arial"/>
          <w:lang w:val="en-GB"/>
        </w:rPr>
        <w:t xml:space="preserve"> </w:t>
      </w:r>
      <w:r w:rsidR="002D54D3" w:rsidRPr="00E87355">
        <w:rPr>
          <w:rFonts w:ascii="Arial" w:hAnsi="Arial" w:cs="Arial"/>
          <w:lang w:val="en-GB"/>
        </w:rPr>
        <w:t>(EU Judgments Regulation)</w:t>
      </w:r>
      <w:r w:rsidRPr="00E87355">
        <w:rPr>
          <w:rFonts w:ascii="Arial" w:hAnsi="Arial" w:cs="Arial"/>
          <w:lang w:val="en-GB"/>
        </w:rPr>
        <w:t>.</w:t>
      </w:r>
      <w:r w:rsidRPr="00E87355">
        <w:rPr>
          <w:rStyle w:val="FootnoteReference"/>
          <w:rFonts w:ascii="Arial" w:hAnsi="Arial" w:cs="Arial"/>
          <w:lang w:val="en-GB"/>
        </w:rPr>
        <w:footnoteReference w:id="61"/>
      </w:r>
      <w:r w:rsidR="0021574F" w:rsidRPr="00E87355">
        <w:rPr>
          <w:rFonts w:ascii="Arial" w:hAnsi="Arial" w:cs="Arial"/>
          <w:lang w:val="en-GB"/>
        </w:rPr>
        <w:t xml:space="preserve"> </w:t>
      </w:r>
    </w:p>
    <w:p w14:paraId="53F5A2F0" w14:textId="79BCD752" w:rsidR="00D7100B" w:rsidRPr="00E87355" w:rsidRDefault="0021574F" w:rsidP="00E43E63">
      <w:pPr>
        <w:widowControl w:val="0"/>
        <w:spacing w:after="120" w:line="360" w:lineRule="auto"/>
        <w:jc w:val="both"/>
        <w:rPr>
          <w:rFonts w:ascii="Arial" w:hAnsi="Arial" w:cs="Arial"/>
          <w:lang w:val="en-GB"/>
        </w:rPr>
      </w:pPr>
      <w:r w:rsidRPr="00E87355">
        <w:rPr>
          <w:rFonts w:ascii="Arial" w:hAnsi="Arial" w:cs="Arial"/>
          <w:lang w:val="en-GB"/>
        </w:rPr>
        <w:t xml:space="preserve">While schemes and restructuring plans were not covered under the RIR, they could arguably benefit from the provisions of </w:t>
      </w:r>
      <w:r w:rsidR="00D701E1" w:rsidRPr="00E87355">
        <w:rPr>
          <w:rFonts w:ascii="Arial" w:hAnsi="Arial" w:cs="Arial"/>
          <w:lang w:val="en-GB"/>
        </w:rPr>
        <w:t xml:space="preserve">EU </w:t>
      </w:r>
      <w:r w:rsidR="000A15DB" w:rsidRPr="00E87355">
        <w:rPr>
          <w:rFonts w:ascii="Arial" w:hAnsi="Arial" w:cs="Arial"/>
          <w:lang w:val="en-GB"/>
        </w:rPr>
        <w:t>Judgments Regulation</w:t>
      </w:r>
      <w:r w:rsidR="000A15DB" w:rsidRPr="00E87355">
        <w:rPr>
          <w:rFonts w:ascii="Arial" w:hAnsi="Arial" w:cs="Arial"/>
          <w:lang w:val="en-GB"/>
        </w:rPr>
        <w:t xml:space="preserve"> </w:t>
      </w:r>
      <w:r w:rsidR="00301489" w:rsidRPr="00E87355">
        <w:rPr>
          <w:rFonts w:ascii="Arial" w:hAnsi="Arial" w:cs="Arial"/>
          <w:lang w:val="en-GB"/>
        </w:rPr>
        <w:t xml:space="preserve">which provides that a judgment </w:t>
      </w:r>
      <w:r w:rsidR="000A15DB" w:rsidRPr="00E87355">
        <w:rPr>
          <w:rFonts w:ascii="Arial" w:hAnsi="Arial" w:cs="Arial"/>
          <w:lang w:val="en-GB"/>
        </w:rPr>
        <w:t>given in a member state should be given automatic recognition in other EU member states</w:t>
      </w:r>
      <w:r w:rsidR="000A15DB" w:rsidRPr="00E87355">
        <w:rPr>
          <w:rStyle w:val="FootnoteReference"/>
          <w:rFonts w:ascii="Arial" w:hAnsi="Arial" w:cs="Arial"/>
          <w:lang w:val="en-GB"/>
        </w:rPr>
        <w:footnoteReference w:id="62"/>
      </w:r>
      <w:r w:rsidR="00D701E1" w:rsidRPr="00E87355">
        <w:rPr>
          <w:rFonts w:ascii="Arial" w:hAnsi="Arial" w:cs="Arial"/>
          <w:lang w:val="en-GB"/>
        </w:rPr>
        <w:t>.</w:t>
      </w:r>
      <w:r w:rsidR="0060409D" w:rsidRPr="00E87355">
        <w:rPr>
          <w:rFonts w:ascii="Arial" w:hAnsi="Arial" w:cs="Arial"/>
          <w:lang w:val="en-GB"/>
        </w:rPr>
        <w:t xml:space="preserve"> </w:t>
      </w:r>
      <w:r w:rsidR="00D701E1" w:rsidRPr="00E87355">
        <w:rPr>
          <w:rFonts w:ascii="Arial" w:hAnsi="Arial" w:cs="Arial"/>
          <w:lang w:val="en-GB"/>
        </w:rPr>
        <w:lastRenderedPageBreak/>
        <w:t>However,</w:t>
      </w:r>
      <w:r w:rsidR="0060409D" w:rsidRPr="00E87355">
        <w:rPr>
          <w:rFonts w:ascii="Arial" w:hAnsi="Arial" w:cs="Arial"/>
          <w:lang w:val="en-GB"/>
        </w:rPr>
        <w:t xml:space="preserve"> this </w:t>
      </w:r>
      <w:r w:rsidR="00064469" w:rsidRPr="00E87355">
        <w:rPr>
          <w:rFonts w:ascii="Arial" w:hAnsi="Arial" w:cs="Arial"/>
          <w:lang w:val="en-GB"/>
        </w:rPr>
        <w:t>wa</w:t>
      </w:r>
      <w:r w:rsidR="0060409D" w:rsidRPr="00E87355">
        <w:rPr>
          <w:rFonts w:ascii="Arial" w:hAnsi="Arial" w:cs="Arial"/>
          <w:lang w:val="en-GB"/>
        </w:rPr>
        <w:t>s</w:t>
      </w:r>
      <w:r w:rsidR="000F60BF" w:rsidRPr="00E87355">
        <w:rPr>
          <w:rFonts w:ascii="Arial" w:hAnsi="Arial" w:cs="Arial"/>
          <w:lang w:val="en-GB"/>
        </w:rPr>
        <w:t xml:space="preserve"> not always</w:t>
      </w:r>
      <w:r w:rsidR="0060409D" w:rsidRPr="00E87355">
        <w:rPr>
          <w:rFonts w:ascii="Arial" w:hAnsi="Arial" w:cs="Arial"/>
          <w:lang w:val="en-GB"/>
        </w:rPr>
        <w:t xml:space="preserve"> straightforward</w:t>
      </w:r>
      <w:r w:rsidR="000F60BF" w:rsidRPr="00E87355">
        <w:rPr>
          <w:rStyle w:val="FootnoteReference"/>
          <w:rFonts w:ascii="Arial" w:hAnsi="Arial" w:cs="Arial"/>
          <w:lang w:val="en-GB"/>
        </w:rPr>
        <w:footnoteReference w:id="63"/>
      </w:r>
      <w:r w:rsidR="0060409D" w:rsidRPr="00E87355">
        <w:rPr>
          <w:rFonts w:ascii="Arial" w:hAnsi="Arial" w:cs="Arial"/>
          <w:lang w:val="en-GB"/>
        </w:rPr>
        <w:t xml:space="preserve"> and there was debate about whether schemes would be covered under EJR.</w:t>
      </w:r>
      <w:r w:rsidR="00803CC3" w:rsidRPr="00E87355">
        <w:rPr>
          <w:rStyle w:val="FootnoteReference"/>
          <w:rFonts w:ascii="Arial" w:hAnsi="Arial" w:cs="Arial"/>
          <w:lang w:val="en-GB"/>
        </w:rPr>
        <w:footnoteReference w:id="64"/>
      </w:r>
      <w:r w:rsidR="0060409D" w:rsidRPr="00E87355">
        <w:rPr>
          <w:rFonts w:ascii="Arial" w:hAnsi="Arial" w:cs="Arial"/>
          <w:lang w:val="en-GB"/>
        </w:rPr>
        <w:t xml:space="preserve"> </w:t>
      </w:r>
    </w:p>
    <w:p w14:paraId="4BDAB7EA" w14:textId="1CB85B62" w:rsidR="00A3201D" w:rsidRPr="00E87355" w:rsidRDefault="0021574F" w:rsidP="00E43E63">
      <w:pPr>
        <w:widowControl w:val="0"/>
        <w:spacing w:after="120" w:line="360" w:lineRule="auto"/>
        <w:jc w:val="both"/>
        <w:rPr>
          <w:rFonts w:ascii="Arial" w:hAnsi="Arial" w:cs="Arial"/>
          <w:lang w:val="en-GB"/>
        </w:rPr>
      </w:pPr>
      <w:r w:rsidRPr="00E87355">
        <w:rPr>
          <w:rFonts w:ascii="Arial" w:hAnsi="Arial" w:cs="Arial"/>
          <w:lang w:val="en-GB"/>
        </w:rPr>
        <w:t>However, the</w:t>
      </w:r>
      <w:r w:rsidR="00A3201D" w:rsidRPr="00E87355">
        <w:rPr>
          <w:rFonts w:ascii="Arial" w:hAnsi="Arial" w:cs="Arial"/>
          <w:lang w:val="en-GB"/>
        </w:rPr>
        <w:t>se</w:t>
      </w:r>
      <w:r w:rsidRPr="00E87355">
        <w:rPr>
          <w:rFonts w:ascii="Arial" w:hAnsi="Arial" w:cs="Arial"/>
          <w:lang w:val="en-GB"/>
        </w:rPr>
        <w:t xml:space="preserve"> </w:t>
      </w:r>
      <w:r w:rsidR="00A3201D" w:rsidRPr="00E87355">
        <w:rPr>
          <w:rFonts w:ascii="Arial" w:hAnsi="Arial" w:cs="Arial"/>
          <w:lang w:val="en-GB"/>
        </w:rPr>
        <w:t>regulations and benefits of automatic recognition are</w:t>
      </w:r>
      <w:r w:rsidRPr="00E87355">
        <w:rPr>
          <w:rFonts w:ascii="Arial" w:hAnsi="Arial" w:cs="Arial"/>
          <w:lang w:val="en-GB"/>
        </w:rPr>
        <w:t xml:space="preserve"> no longer </w:t>
      </w:r>
      <w:r w:rsidR="00A3201D" w:rsidRPr="00E87355">
        <w:rPr>
          <w:rFonts w:ascii="Arial" w:hAnsi="Arial" w:cs="Arial"/>
          <w:lang w:val="en-GB"/>
        </w:rPr>
        <w:t>available to UK insolvency proceedings</w:t>
      </w:r>
      <w:r w:rsidRPr="00E87355">
        <w:rPr>
          <w:rFonts w:ascii="Arial" w:hAnsi="Arial" w:cs="Arial"/>
          <w:lang w:val="en-GB"/>
        </w:rPr>
        <w:t>.</w:t>
      </w:r>
      <w:r w:rsidR="00414F68" w:rsidRPr="00E87355">
        <w:rPr>
          <w:rFonts w:ascii="Arial" w:hAnsi="Arial" w:cs="Arial"/>
          <w:lang w:val="en-GB"/>
        </w:rPr>
        <w:t xml:space="preserve"> </w:t>
      </w:r>
      <w:r w:rsidRPr="00E87355">
        <w:rPr>
          <w:rFonts w:ascii="Arial" w:hAnsi="Arial" w:cs="Arial"/>
          <w:lang w:val="en-GB"/>
        </w:rPr>
        <w:t xml:space="preserve">Going forward, recognition and enforcement of UK court’s insolvency related judgments may depend on the private international law of the relevant jurisdiction </w:t>
      </w:r>
      <w:r w:rsidR="00414F68" w:rsidRPr="00E87355">
        <w:rPr>
          <w:rFonts w:ascii="Arial" w:hAnsi="Arial" w:cs="Arial"/>
          <w:lang w:val="en-GB"/>
        </w:rPr>
        <w:t>as discussed in Part 4.1</w:t>
      </w:r>
      <w:r w:rsidRPr="00E87355">
        <w:rPr>
          <w:rFonts w:ascii="Arial" w:hAnsi="Arial" w:cs="Arial"/>
          <w:lang w:val="en-GB"/>
        </w:rPr>
        <w:t xml:space="preserve">. </w:t>
      </w:r>
      <w:r w:rsidR="0060409D" w:rsidRPr="00E87355">
        <w:rPr>
          <w:rFonts w:ascii="Arial" w:hAnsi="Arial" w:cs="Arial"/>
          <w:lang w:val="en-GB"/>
        </w:rPr>
        <w:t xml:space="preserve">Generally speaking, alteration of rights under an English law governed document using an English scheme </w:t>
      </w:r>
      <w:r w:rsidR="0065399F" w:rsidRPr="00E87355">
        <w:rPr>
          <w:rFonts w:ascii="Arial" w:hAnsi="Arial" w:cs="Arial"/>
          <w:lang w:val="en-GB"/>
        </w:rPr>
        <w:t xml:space="preserve">or restructuring plan </w:t>
      </w:r>
      <w:r w:rsidR="0060409D" w:rsidRPr="00E87355">
        <w:rPr>
          <w:rFonts w:ascii="Arial" w:hAnsi="Arial" w:cs="Arial"/>
          <w:lang w:val="en-GB"/>
        </w:rPr>
        <w:t xml:space="preserve">should be </w:t>
      </w:r>
      <w:r w:rsidR="0065399F" w:rsidRPr="00E87355">
        <w:rPr>
          <w:rFonts w:ascii="Arial" w:hAnsi="Arial" w:cs="Arial"/>
          <w:lang w:val="en-GB"/>
        </w:rPr>
        <w:t>recognized</w:t>
      </w:r>
      <w:r w:rsidR="0060409D" w:rsidRPr="00E87355">
        <w:rPr>
          <w:rFonts w:ascii="Arial" w:hAnsi="Arial" w:cs="Arial"/>
          <w:lang w:val="en-GB"/>
        </w:rPr>
        <w:t>.</w:t>
      </w:r>
      <w:r w:rsidR="00D500FC" w:rsidRPr="00E87355">
        <w:rPr>
          <w:rStyle w:val="FootnoteReference"/>
          <w:rFonts w:ascii="Arial" w:hAnsi="Arial" w:cs="Arial"/>
          <w:lang w:val="en-GB"/>
        </w:rPr>
        <w:footnoteReference w:id="65"/>
      </w:r>
      <w:r w:rsidR="0060409D" w:rsidRPr="00E87355">
        <w:rPr>
          <w:rFonts w:ascii="Arial" w:hAnsi="Arial" w:cs="Arial"/>
          <w:lang w:val="en-GB"/>
        </w:rPr>
        <w:t xml:space="preserve"> </w:t>
      </w:r>
    </w:p>
    <w:p w14:paraId="1FCAE01E" w14:textId="14F614A9" w:rsidR="00A3535B" w:rsidRPr="00E87355" w:rsidRDefault="00A3201D" w:rsidP="00E43E63">
      <w:pPr>
        <w:widowControl w:val="0"/>
        <w:spacing w:after="120" w:line="360" w:lineRule="auto"/>
        <w:jc w:val="both"/>
        <w:rPr>
          <w:rFonts w:ascii="Arial" w:hAnsi="Arial" w:cs="Arial"/>
          <w:lang w:val="en-GB"/>
        </w:rPr>
      </w:pPr>
      <w:r w:rsidRPr="00E87355">
        <w:rPr>
          <w:rFonts w:ascii="Arial" w:hAnsi="Arial" w:cs="Arial"/>
          <w:lang w:val="en-GB"/>
        </w:rPr>
        <w:t xml:space="preserve">Another potential </w:t>
      </w:r>
      <w:r w:rsidR="007A5F3B" w:rsidRPr="00E87355">
        <w:rPr>
          <w:rFonts w:ascii="Arial" w:hAnsi="Arial" w:cs="Arial"/>
          <w:lang w:val="en-GB"/>
        </w:rPr>
        <w:t>mechanism</w:t>
      </w:r>
      <w:r w:rsidRPr="00E87355">
        <w:rPr>
          <w:rFonts w:ascii="Arial" w:hAnsi="Arial" w:cs="Arial"/>
          <w:lang w:val="en-GB"/>
        </w:rPr>
        <w:t xml:space="preserve"> for recognition may be found in </w:t>
      </w:r>
      <w:r w:rsidR="00803CC3" w:rsidRPr="00E87355">
        <w:rPr>
          <w:rFonts w:ascii="Arial" w:hAnsi="Arial" w:cs="Arial"/>
          <w:lang w:val="en-GB"/>
        </w:rPr>
        <w:t>Regulation (EC) No. 593/2008</w:t>
      </w:r>
      <w:r w:rsidR="00414F68" w:rsidRPr="00E87355">
        <w:rPr>
          <w:rFonts w:ascii="Arial" w:hAnsi="Arial" w:cs="Arial"/>
          <w:lang w:val="en-GB"/>
        </w:rPr>
        <w:t xml:space="preserve"> </w:t>
      </w:r>
      <w:r w:rsidR="009440AB" w:rsidRPr="00E87355">
        <w:rPr>
          <w:rFonts w:ascii="Arial" w:hAnsi="Arial" w:cs="Arial"/>
        </w:rPr>
        <w:t>on the law applicable to contractual obligations (‘Rome I’)</w:t>
      </w:r>
      <w:r w:rsidRPr="00E87355">
        <w:rPr>
          <w:rFonts w:ascii="Arial" w:hAnsi="Arial" w:cs="Arial"/>
        </w:rPr>
        <w:t xml:space="preserve">. </w:t>
      </w:r>
      <w:r w:rsidR="00301489" w:rsidRPr="00E87355">
        <w:rPr>
          <w:rFonts w:ascii="Arial" w:hAnsi="Arial" w:cs="Arial"/>
        </w:rPr>
        <w:t xml:space="preserve">Article 3(1) of Rome I provides that a </w:t>
      </w:r>
      <w:r w:rsidR="00301489" w:rsidRPr="00E87355">
        <w:rPr>
          <w:rFonts w:ascii="Arial" w:hAnsi="Arial" w:cs="Arial"/>
        </w:rPr>
        <w:t>contract</w:t>
      </w:r>
      <w:r w:rsidR="00301489" w:rsidRPr="00E87355">
        <w:rPr>
          <w:rFonts w:ascii="Arial" w:hAnsi="Arial" w:cs="Arial"/>
        </w:rPr>
        <w:t xml:space="preserve"> </w:t>
      </w:r>
      <w:r w:rsidR="00301489" w:rsidRPr="00E87355">
        <w:rPr>
          <w:rFonts w:ascii="Arial" w:hAnsi="Arial" w:cs="Arial"/>
        </w:rPr>
        <w:t>sh</w:t>
      </w:r>
      <w:r w:rsidR="00301489" w:rsidRPr="00E87355">
        <w:rPr>
          <w:rFonts w:ascii="Arial" w:hAnsi="Arial" w:cs="Arial"/>
        </w:rPr>
        <w:t xml:space="preserve">ould </w:t>
      </w:r>
      <w:r w:rsidR="00301489" w:rsidRPr="00E87355">
        <w:rPr>
          <w:rFonts w:ascii="Arial" w:hAnsi="Arial" w:cs="Arial"/>
        </w:rPr>
        <w:t>be</w:t>
      </w:r>
      <w:r w:rsidR="00301489" w:rsidRPr="00E87355">
        <w:rPr>
          <w:rFonts w:ascii="Arial" w:hAnsi="Arial" w:cs="Arial"/>
        </w:rPr>
        <w:t xml:space="preserve"> </w:t>
      </w:r>
      <w:r w:rsidR="00301489" w:rsidRPr="00E87355">
        <w:rPr>
          <w:rFonts w:ascii="Arial" w:hAnsi="Arial" w:cs="Arial"/>
        </w:rPr>
        <w:t>governed</w:t>
      </w:r>
      <w:r w:rsidR="00301489" w:rsidRPr="00E87355">
        <w:rPr>
          <w:rFonts w:ascii="Arial" w:hAnsi="Arial" w:cs="Arial"/>
        </w:rPr>
        <w:t xml:space="preserve"> </w:t>
      </w:r>
      <w:r w:rsidR="00301489" w:rsidRPr="00E87355">
        <w:rPr>
          <w:rFonts w:ascii="Arial" w:hAnsi="Arial" w:cs="Arial"/>
        </w:rPr>
        <w:t>by</w:t>
      </w:r>
      <w:r w:rsidR="00301489" w:rsidRPr="00E87355">
        <w:rPr>
          <w:rFonts w:ascii="Arial" w:hAnsi="Arial" w:cs="Arial"/>
        </w:rPr>
        <w:t xml:space="preserve"> </w:t>
      </w:r>
      <w:r w:rsidR="00301489" w:rsidRPr="00E87355">
        <w:rPr>
          <w:rFonts w:ascii="Arial" w:hAnsi="Arial" w:cs="Arial"/>
        </w:rPr>
        <w:t>the</w:t>
      </w:r>
      <w:r w:rsidR="00301489" w:rsidRPr="00E87355">
        <w:rPr>
          <w:rFonts w:ascii="Arial" w:hAnsi="Arial" w:cs="Arial"/>
        </w:rPr>
        <w:t xml:space="preserve"> </w:t>
      </w:r>
      <w:r w:rsidR="00301489" w:rsidRPr="00E87355">
        <w:rPr>
          <w:rFonts w:ascii="Arial" w:hAnsi="Arial" w:cs="Arial"/>
        </w:rPr>
        <w:t>law</w:t>
      </w:r>
      <w:r w:rsidR="00301489" w:rsidRPr="00E87355">
        <w:rPr>
          <w:rFonts w:ascii="Arial" w:hAnsi="Arial" w:cs="Arial"/>
        </w:rPr>
        <w:t xml:space="preserve"> </w:t>
      </w:r>
      <w:r w:rsidR="00301489" w:rsidRPr="00E87355">
        <w:rPr>
          <w:rFonts w:ascii="Arial" w:hAnsi="Arial" w:cs="Arial"/>
        </w:rPr>
        <w:t>chosen</w:t>
      </w:r>
      <w:r w:rsidR="00301489" w:rsidRPr="00E87355">
        <w:rPr>
          <w:rFonts w:ascii="Arial" w:hAnsi="Arial" w:cs="Arial"/>
        </w:rPr>
        <w:t xml:space="preserve"> </w:t>
      </w:r>
      <w:r w:rsidR="00301489" w:rsidRPr="00E87355">
        <w:rPr>
          <w:rFonts w:ascii="Arial" w:hAnsi="Arial" w:cs="Arial"/>
        </w:rPr>
        <w:t>by</w:t>
      </w:r>
      <w:r w:rsidR="00301489" w:rsidRPr="00E87355">
        <w:rPr>
          <w:rFonts w:ascii="Arial" w:hAnsi="Arial" w:cs="Arial"/>
        </w:rPr>
        <w:t xml:space="preserve"> </w:t>
      </w:r>
      <w:r w:rsidR="00301489" w:rsidRPr="00E87355">
        <w:rPr>
          <w:rFonts w:ascii="Arial" w:hAnsi="Arial" w:cs="Arial"/>
        </w:rPr>
        <w:t>the parties</w:t>
      </w:r>
      <w:r w:rsidR="007A5F3B" w:rsidRPr="00E87355">
        <w:rPr>
          <w:rFonts w:ascii="Arial" w:hAnsi="Arial" w:cs="Arial"/>
        </w:rPr>
        <w:t xml:space="preserve"> and such law would govern </w:t>
      </w:r>
      <w:r w:rsidR="007A5F3B" w:rsidRPr="00E87355">
        <w:rPr>
          <w:rFonts w:ascii="Arial" w:hAnsi="Arial" w:cs="Arial"/>
        </w:rPr>
        <w:t>the</w:t>
      </w:r>
      <w:r w:rsidR="007A5F3B" w:rsidRPr="00E87355">
        <w:rPr>
          <w:rFonts w:ascii="Arial" w:hAnsi="Arial" w:cs="Arial"/>
        </w:rPr>
        <w:t xml:space="preserve"> “</w:t>
      </w:r>
      <w:r w:rsidR="007A5F3B" w:rsidRPr="00E87355">
        <w:rPr>
          <w:rFonts w:ascii="Arial" w:hAnsi="Arial" w:cs="Arial"/>
          <w:i/>
          <w:iCs/>
        </w:rPr>
        <w:t>various</w:t>
      </w:r>
      <w:r w:rsidR="007A5F3B" w:rsidRPr="00E87355">
        <w:rPr>
          <w:rFonts w:ascii="Arial" w:hAnsi="Arial" w:cs="Arial"/>
          <w:i/>
          <w:iCs/>
        </w:rPr>
        <w:t xml:space="preserve"> </w:t>
      </w:r>
      <w:r w:rsidR="007A5F3B" w:rsidRPr="00E87355">
        <w:rPr>
          <w:rFonts w:ascii="Arial" w:hAnsi="Arial" w:cs="Arial"/>
          <w:i/>
          <w:iCs/>
        </w:rPr>
        <w:t>ways</w:t>
      </w:r>
      <w:r w:rsidR="007A5F3B" w:rsidRPr="00E87355">
        <w:rPr>
          <w:rFonts w:ascii="Arial" w:hAnsi="Arial" w:cs="Arial"/>
          <w:i/>
          <w:iCs/>
        </w:rPr>
        <w:t xml:space="preserve"> </w:t>
      </w:r>
      <w:r w:rsidR="007A5F3B" w:rsidRPr="00E87355">
        <w:rPr>
          <w:rFonts w:ascii="Arial" w:hAnsi="Arial" w:cs="Arial"/>
          <w:i/>
          <w:iCs/>
        </w:rPr>
        <w:t>of</w:t>
      </w:r>
      <w:r w:rsidR="007A5F3B" w:rsidRPr="00E87355">
        <w:rPr>
          <w:rFonts w:ascii="Arial" w:hAnsi="Arial" w:cs="Arial"/>
          <w:i/>
          <w:iCs/>
        </w:rPr>
        <w:t xml:space="preserve"> </w:t>
      </w:r>
      <w:r w:rsidR="007A5F3B" w:rsidRPr="00E87355">
        <w:rPr>
          <w:rFonts w:ascii="Arial" w:hAnsi="Arial" w:cs="Arial"/>
          <w:i/>
          <w:iCs/>
        </w:rPr>
        <w:t>extinguishing</w:t>
      </w:r>
      <w:r w:rsidR="007A5F3B" w:rsidRPr="00E87355">
        <w:rPr>
          <w:rFonts w:ascii="Arial" w:hAnsi="Arial" w:cs="Arial"/>
          <w:i/>
          <w:iCs/>
        </w:rPr>
        <w:t xml:space="preserve"> </w:t>
      </w:r>
      <w:r w:rsidR="007A5F3B" w:rsidRPr="00E87355">
        <w:rPr>
          <w:rFonts w:ascii="Arial" w:hAnsi="Arial" w:cs="Arial"/>
          <w:i/>
          <w:iCs/>
        </w:rPr>
        <w:t>obligations</w:t>
      </w:r>
      <w:r w:rsidR="007A5F3B" w:rsidRPr="00E87355">
        <w:rPr>
          <w:rFonts w:ascii="Arial" w:hAnsi="Arial" w:cs="Arial"/>
        </w:rPr>
        <w:t>”</w:t>
      </w:r>
      <w:r w:rsidR="007A5F3B" w:rsidRPr="00E87355">
        <w:rPr>
          <w:rStyle w:val="FootnoteReference"/>
          <w:rFonts w:ascii="Arial" w:hAnsi="Arial" w:cs="Arial"/>
        </w:rPr>
        <w:footnoteReference w:id="66"/>
      </w:r>
      <w:r w:rsidR="007A5F3B" w:rsidRPr="00E87355">
        <w:rPr>
          <w:rFonts w:ascii="Arial" w:hAnsi="Arial" w:cs="Arial"/>
        </w:rPr>
        <w:t xml:space="preserve"> However, “</w:t>
      </w:r>
      <w:r w:rsidR="007A5F3B" w:rsidRPr="00E87355">
        <w:rPr>
          <w:rFonts w:ascii="Arial" w:hAnsi="Arial" w:cs="Arial"/>
          <w:i/>
          <w:iCs/>
        </w:rPr>
        <w:t>questions governed by the law of companies</w:t>
      </w:r>
      <w:r w:rsidR="007A5F3B" w:rsidRPr="00E87355">
        <w:rPr>
          <w:rFonts w:ascii="Arial" w:hAnsi="Arial" w:cs="Arial"/>
        </w:rPr>
        <w:t>” are excluded from the scope of the regulations.</w:t>
      </w:r>
      <w:r w:rsidR="007A5F3B" w:rsidRPr="00E87355">
        <w:rPr>
          <w:rStyle w:val="FootnoteReference"/>
          <w:rFonts w:ascii="Arial" w:hAnsi="Arial" w:cs="Arial"/>
        </w:rPr>
        <w:footnoteReference w:id="67"/>
      </w:r>
      <w:r w:rsidR="007A5F3B" w:rsidRPr="00E87355">
        <w:rPr>
          <w:rFonts w:ascii="Arial" w:hAnsi="Arial" w:cs="Arial"/>
        </w:rPr>
        <w:t xml:space="preserve"> </w:t>
      </w:r>
      <w:r w:rsidR="004C58BC" w:rsidRPr="00E87355">
        <w:rPr>
          <w:rFonts w:ascii="Arial" w:hAnsi="Arial" w:cs="Arial"/>
        </w:rPr>
        <w:t>This has led to doubts over whether SOAs are covered by the regulation but it has been argued that the exclusion was intended to cover corporate governance issues.</w:t>
      </w:r>
      <w:r w:rsidR="004C58BC" w:rsidRPr="00E87355">
        <w:rPr>
          <w:rStyle w:val="FootnoteReference"/>
          <w:rFonts w:ascii="Arial" w:hAnsi="Arial" w:cs="Arial"/>
        </w:rPr>
        <w:footnoteReference w:id="68"/>
      </w:r>
      <w:r w:rsidR="004C58BC" w:rsidRPr="00E87355">
        <w:rPr>
          <w:rFonts w:ascii="Arial" w:hAnsi="Arial" w:cs="Arial"/>
        </w:rPr>
        <w:t xml:space="preserve"> In the past, academic experts have submitted an opinion that SOAs would be capable of being enforced in Germany under Rome I.</w:t>
      </w:r>
      <w:r w:rsidR="004C58BC" w:rsidRPr="00E87355">
        <w:rPr>
          <w:rStyle w:val="FootnoteReference"/>
          <w:rFonts w:ascii="Arial" w:hAnsi="Arial" w:cs="Arial"/>
        </w:rPr>
        <w:footnoteReference w:id="69"/>
      </w:r>
      <w:r w:rsidR="004C58BC" w:rsidRPr="00E87355">
        <w:rPr>
          <w:rFonts w:ascii="Arial" w:hAnsi="Arial" w:cs="Arial"/>
        </w:rPr>
        <w:t xml:space="preserve"> </w:t>
      </w:r>
    </w:p>
    <w:p w14:paraId="5854EBB6" w14:textId="44D44E41" w:rsidR="00A96F1F" w:rsidRPr="00E87355" w:rsidRDefault="00A96F1F" w:rsidP="00E43E63">
      <w:pPr>
        <w:pStyle w:val="ListParagraph"/>
        <w:widowControl w:val="0"/>
        <w:numPr>
          <w:ilvl w:val="0"/>
          <w:numId w:val="2"/>
        </w:numPr>
        <w:spacing w:after="120" w:line="360" w:lineRule="auto"/>
        <w:ind w:left="357" w:hanging="357"/>
        <w:outlineLvl w:val="0"/>
        <w:rPr>
          <w:rFonts w:ascii="Arial" w:hAnsi="Arial" w:cs="Arial"/>
          <w:b/>
          <w:bCs/>
          <w:lang w:val="en-GB"/>
        </w:rPr>
      </w:pPr>
      <w:bookmarkStart w:id="20" w:name="_Toc139801765"/>
      <w:r w:rsidRPr="00E87355">
        <w:rPr>
          <w:rFonts w:ascii="Arial" w:hAnsi="Arial" w:cs="Arial"/>
          <w:b/>
          <w:bCs/>
          <w:lang w:val="en-GB"/>
        </w:rPr>
        <w:t>Conclusion</w:t>
      </w:r>
      <w:bookmarkEnd w:id="20"/>
    </w:p>
    <w:p w14:paraId="3C92C802" w14:textId="77777777" w:rsidR="00414F68" w:rsidRPr="00E87355" w:rsidRDefault="004C58BC" w:rsidP="00E43E63">
      <w:pPr>
        <w:widowControl w:val="0"/>
        <w:spacing w:after="120" w:line="360" w:lineRule="auto"/>
        <w:jc w:val="both"/>
        <w:rPr>
          <w:rFonts w:ascii="Arial" w:hAnsi="Arial" w:cs="Arial"/>
          <w:lang w:val="en-GB"/>
        </w:rPr>
      </w:pPr>
      <w:r w:rsidRPr="00E87355">
        <w:rPr>
          <w:rFonts w:ascii="Arial" w:hAnsi="Arial" w:cs="Arial"/>
          <w:lang w:val="en-GB"/>
        </w:rPr>
        <w:t>Both the US and the UK</w:t>
      </w:r>
      <w:r w:rsidR="00E911F8" w:rsidRPr="00E87355">
        <w:rPr>
          <w:rFonts w:ascii="Arial" w:hAnsi="Arial" w:cs="Arial"/>
          <w:lang w:val="en-GB"/>
        </w:rPr>
        <w:t xml:space="preserve"> (in relation to SOAs and </w:t>
      </w:r>
      <w:r w:rsidR="00414F68" w:rsidRPr="00E87355">
        <w:rPr>
          <w:rFonts w:ascii="Arial" w:hAnsi="Arial" w:cs="Arial"/>
          <w:lang w:val="en-GB"/>
        </w:rPr>
        <w:t>RPs</w:t>
      </w:r>
      <w:r w:rsidR="00E911F8" w:rsidRPr="00E87355">
        <w:rPr>
          <w:rFonts w:ascii="Arial" w:hAnsi="Arial" w:cs="Arial"/>
          <w:lang w:val="en-GB"/>
        </w:rPr>
        <w:t>)</w:t>
      </w:r>
      <w:r w:rsidRPr="00E87355">
        <w:rPr>
          <w:rFonts w:ascii="Arial" w:hAnsi="Arial" w:cs="Arial"/>
          <w:lang w:val="en-GB"/>
        </w:rPr>
        <w:t xml:space="preserve"> impose very flexible eligibility requirements for utilisation of their restructuring regime</w:t>
      </w:r>
      <w:r w:rsidR="00E911F8" w:rsidRPr="00E87355">
        <w:rPr>
          <w:rFonts w:ascii="Arial" w:hAnsi="Arial" w:cs="Arial"/>
          <w:lang w:val="en-GB"/>
        </w:rPr>
        <w:t xml:space="preserve">s by foreign debtors. The “property” requirement under s109(a) of the US and the “sufficient connection” test in the UK are fairly easy to establish. The sophisticated and predictable nature of these regimes coupled with attractive features </w:t>
      </w:r>
      <w:r w:rsidR="00414F68" w:rsidRPr="00E87355">
        <w:rPr>
          <w:rFonts w:ascii="Arial" w:hAnsi="Arial" w:cs="Arial"/>
          <w:lang w:val="en-GB"/>
        </w:rPr>
        <w:t>encourages</w:t>
      </w:r>
      <w:r w:rsidR="00E911F8" w:rsidRPr="00E87355">
        <w:rPr>
          <w:rFonts w:ascii="Arial" w:hAnsi="Arial" w:cs="Arial"/>
          <w:lang w:val="en-GB"/>
        </w:rPr>
        <w:t xml:space="preserve"> foreign debtors to utilise them.</w:t>
      </w:r>
      <w:r w:rsidR="005A528A" w:rsidRPr="00E87355">
        <w:rPr>
          <w:rFonts w:ascii="Arial" w:hAnsi="Arial" w:cs="Arial"/>
          <w:lang w:val="en-GB"/>
        </w:rPr>
        <w:t xml:space="preserve"> Moreover</w:t>
      </w:r>
      <w:r w:rsidR="005A528A" w:rsidRPr="00E87355">
        <w:rPr>
          <w:rFonts w:ascii="Arial" w:hAnsi="Arial" w:cs="Arial"/>
          <w:lang w:val="en-GB"/>
        </w:rPr>
        <w:t xml:space="preserve">, the US regime’s worldwide stay </w:t>
      </w:r>
      <w:r w:rsidR="00414F68" w:rsidRPr="00E87355">
        <w:rPr>
          <w:rFonts w:ascii="Arial" w:hAnsi="Arial" w:cs="Arial"/>
          <w:lang w:val="en-GB"/>
        </w:rPr>
        <w:t>which has</w:t>
      </w:r>
      <w:r w:rsidR="005A528A" w:rsidRPr="00E87355">
        <w:rPr>
          <w:rFonts w:ascii="Arial" w:hAnsi="Arial" w:cs="Arial"/>
          <w:lang w:val="en-GB"/>
        </w:rPr>
        <w:t xml:space="preserve"> teeth so long as the creditors involved have a US presence </w:t>
      </w:r>
      <w:r w:rsidR="00414F68" w:rsidRPr="00E87355">
        <w:rPr>
          <w:rFonts w:ascii="Arial" w:hAnsi="Arial" w:cs="Arial"/>
          <w:lang w:val="en-GB"/>
        </w:rPr>
        <w:t xml:space="preserve">may be </w:t>
      </w:r>
      <w:r w:rsidR="00414F68" w:rsidRPr="00E87355">
        <w:rPr>
          <w:rFonts w:ascii="Arial" w:hAnsi="Arial" w:cs="Arial"/>
          <w:lang w:val="en-GB"/>
        </w:rPr>
        <w:lastRenderedPageBreak/>
        <w:t>particularly helpful for</w:t>
      </w:r>
      <w:r w:rsidR="005A528A" w:rsidRPr="00E87355">
        <w:rPr>
          <w:rFonts w:ascii="Arial" w:hAnsi="Arial" w:cs="Arial"/>
          <w:lang w:val="en-GB"/>
        </w:rPr>
        <w:t xml:space="preserve"> foreign debtors.</w:t>
      </w:r>
      <w:r w:rsidR="005A528A" w:rsidRPr="00E87355">
        <w:rPr>
          <w:rFonts w:ascii="Arial" w:hAnsi="Arial" w:cs="Arial"/>
          <w:lang w:val="en-GB"/>
        </w:rPr>
        <w:t xml:space="preserve"> </w:t>
      </w:r>
    </w:p>
    <w:p w14:paraId="07AF7F4C" w14:textId="28111001" w:rsidR="00E43E63" w:rsidRDefault="00E911F8" w:rsidP="00E43E63">
      <w:pPr>
        <w:widowControl w:val="0"/>
        <w:spacing w:after="120" w:line="360" w:lineRule="auto"/>
        <w:jc w:val="both"/>
        <w:rPr>
          <w:rFonts w:ascii="Arial" w:hAnsi="Arial" w:cs="Arial"/>
          <w:lang w:val="en-GB"/>
        </w:rPr>
      </w:pPr>
      <w:r w:rsidRPr="00E87355">
        <w:rPr>
          <w:rFonts w:ascii="Arial" w:hAnsi="Arial" w:cs="Arial"/>
          <w:lang w:val="en-GB"/>
        </w:rPr>
        <w:t xml:space="preserve">Arguably, insofar as recognition and enforcement of insolvency proceedings and judgments is concerned, the UK regime has suffered a setback after losing the advantage of EU regulations </w:t>
      </w:r>
      <w:r w:rsidR="00414F68" w:rsidRPr="00E87355">
        <w:rPr>
          <w:rFonts w:ascii="Arial" w:hAnsi="Arial" w:cs="Arial"/>
          <w:lang w:val="en-GB"/>
        </w:rPr>
        <w:t>post Brexit</w:t>
      </w:r>
      <w:r w:rsidRPr="00E87355">
        <w:rPr>
          <w:rFonts w:ascii="Arial" w:hAnsi="Arial" w:cs="Arial"/>
          <w:lang w:val="en-GB"/>
        </w:rPr>
        <w:t xml:space="preserve">. However, </w:t>
      </w:r>
      <w:r w:rsidR="005A528A" w:rsidRPr="00E87355">
        <w:rPr>
          <w:rFonts w:ascii="Arial" w:hAnsi="Arial" w:cs="Arial"/>
          <w:lang w:val="en-GB"/>
        </w:rPr>
        <w:t>a recent example</w:t>
      </w:r>
      <w:r w:rsidR="00414F68" w:rsidRPr="00E87355">
        <w:rPr>
          <w:rStyle w:val="FootnoteReference"/>
          <w:rFonts w:ascii="Arial" w:hAnsi="Arial" w:cs="Arial"/>
          <w:lang w:val="en-GB"/>
        </w:rPr>
        <w:footnoteReference w:id="70"/>
      </w:r>
      <w:r w:rsidR="005A528A" w:rsidRPr="00E87355">
        <w:rPr>
          <w:rFonts w:ascii="Arial" w:hAnsi="Arial" w:cs="Arial"/>
          <w:lang w:val="en-GB"/>
        </w:rPr>
        <w:t xml:space="preserve"> suggests </w:t>
      </w:r>
      <w:r w:rsidRPr="00E87355">
        <w:rPr>
          <w:rFonts w:ascii="Arial" w:hAnsi="Arial" w:cs="Arial"/>
          <w:lang w:val="en-GB"/>
        </w:rPr>
        <w:t>foreign debtors are likely to continue relying on UK restructuring regimes</w:t>
      </w:r>
      <w:r w:rsidR="00414F68" w:rsidRPr="00E87355">
        <w:rPr>
          <w:rFonts w:ascii="Arial" w:hAnsi="Arial" w:cs="Arial"/>
          <w:lang w:val="en-GB"/>
        </w:rPr>
        <w:t>. This may be</w:t>
      </w:r>
      <w:r w:rsidRPr="00E87355">
        <w:rPr>
          <w:rFonts w:ascii="Arial" w:hAnsi="Arial" w:cs="Arial"/>
          <w:lang w:val="en-GB"/>
        </w:rPr>
        <w:t xml:space="preserve"> especially </w:t>
      </w:r>
      <w:r w:rsidR="00414F68" w:rsidRPr="00E87355">
        <w:rPr>
          <w:rFonts w:ascii="Arial" w:hAnsi="Arial" w:cs="Arial"/>
          <w:lang w:val="en-GB"/>
        </w:rPr>
        <w:t xml:space="preserve">be important </w:t>
      </w:r>
      <w:r w:rsidR="0092130F" w:rsidRPr="00E87355">
        <w:rPr>
          <w:rFonts w:ascii="Arial" w:hAnsi="Arial" w:cs="Arial"/>
          <w:lang w:val="en-GB"/>
        </w:rPr>
        <w:t>in cases where the Gibbs rule</w:t>
      </w:r>
      <w:r w:rsidR="0092130F" w:rsidRPr="00E87355">
        <w:rPr>
          <w:rStyle w:val="FootnoteReference"/>
          <w:rFonts w:ascii="Arial" w:hAnsi="Arial" w:cs="Arial"/>
          <w:lang w:val="en-GB"/>
        </w:rPr>
        <w:footnoteReference w:id="71"/>
      </w:r>
      <w:r w:rsidR="0092130F" w:rsidRPr="00E87355">
        <w:rPr>
          <w:rFonts w:ascii="Arial" w:hAnsi="Arial" w:cs="Arial"/>
          <w:lang w:val="en-GB"/>
        </w:rPr>
        <w:t xml:space="preserve"> (i.e., a debt can only be discharged in accordance with the governing law of the debt)</w:t>
      </w:r>
      <w:r w:rsidR="00414F68" w:rsidRPr="00E87355">
        <w:rPr>
          <w:rFonts w:ascii="Arial" w:hAnsi="Arial" w:cs="Arial"/>
          <w:lang w:val="en-GB"/>
        </w:rPr>
        <w:t xml:space="preserve"> is relevant</w:t>
      </w:r>
      <w:r w:rsidR="0092130F" w:rsidRPr="00E87355">
        <w:rPr>
          <w:rFonts w:ascii="Arial" w:hAnsi="Arial" w:cs="Arial"/>
          <w:lang w:val="en-GB"/>
        </w:rPr>
        <w:t>.</w:t>
      </w:r>
      <w:r w:rsidR="0084220C" w:rsidRPr="00E87355">
        <w:rPr>
          <w:rStyle w:val="FootnoteReference"/>
          <w:rFonts w:ascii="Arial" w:hAnsi="Arial" w:cs="Arial"/>
          <w:lang w:val="en-GB"/>
        </w:rPr>
        <w:footnoteReference w:id="72"/>
      </w:r>
      <w:r w:rsidR="0092130F" w:rsidRPr="00E87355">
        <w:rPr>
          <w:rFonts w:ascii="Arial" w:hAnsi="Arial" w:cs="Arial"/>
          <w:lang w:val="en-GB"/>
        </w:rPr>
        <w:t xml:space="preserve"> Therefore, debtors may need to utilise the UK restructuring regime to effectively discharge their English-law governed debt.</w:t>
      </w:r>
      <w:r w:rsidR="00414F68" w:rsidRPr="00E87355">
        <w:rPr>
          <w:rFonts w:ascii="Arial" w:hAnsi="Arial" w:cs="Arial"/>
          <w:lang w:val="en-GB"/>
        </w:rPr>
        <w:t xml:space="preserve"> Moreover,</w:t>
      </w:r>
      <w:r w:rsidR="0092130F" w:rsidRPr="00E87355">
        <w:rPr>
          <w:rFonts w:ascii="Arial" w:hAnsi="Arial" w:cs="Arial"/>
          <w:lang w:val="en-GB"/>
        </w:rPr>
        <w:t xml:space="preserve"> </w:t>
      </w:r>
      <w:r w:rsidR="00414F68" w:rsidRPr="00E87355">
        <w:rPr>
          <w:rFonts w:ascii="Arial" w:hAnsi="Arial" w:cs="Arial"/>
          <w:lang w:val="en-GB"/>
        </w:rPr>
        <w:t>r</w:t>
      </w:r>
      <w:r w:rsidR="00414F68" w:rsidRPr="00E87355">
        <w:rPr>
          <w:rFonts w:ascii="Arial" w:hAnsi="Arial" w:cs="Arial"/>
          <w:lang w:val="en-GB"/>
        </w:rPr>
        <w:t>ecognition of UK insolvency proceedings and judgments may also be aided as more states adopt the UMLCBI and UMLIRJ</w:t>
      </w:r>
      <w:r w:rsidR="00414F68" w:rsidRPr="00E87355">
        <w:rPr>
          <w:rFonts w:ascii="Arial" w:hAnsi="Arial" w:cs="Arial"/>
          <w:lang w:val="en-GB"/>
        </w:rPr>
        <w:t xml:space="preserve"> in the future</w:t>
      </w:r>
      <w:r w:rsidR="00414F68" w:rsidRPr="00E87355">
        <w:rPr>
          <w:rFonts w:ascii="Arial" w:hAnsi="Arial" w:cs="Arial"/>
          <w:lang w:val="en-GB"/>
        </w:rPr>
        <w:t>.</w:t>
      </w:r>
    </w:p>
    <w:p w14:paraId="319FC830" w14:textId="77777777" w:rsidR="00E43E63" w:rsidRDefault="00E43E63">
      <w:pPr>
        <w:rPr>
          <w:rFonts w:ascii="Arial" w:hAnsi="Arial" w:cs="Arial"/>
          <w:lang w:val="en-GB"/>
        </w:rPr>
      </w:pPr>
      <w:r>
        <w:rPr>
          <w:rFonts w:ascii="Arial" w:hAnsi="Arial" w:cs="Arial"/>
          <w:lang w:val="en-GB"/>
        </w:rPr>
        <w:br w:type="page"/>
      </w:r>
    </w:p>
    <w:p w14:paraId="71687C71" w14:textId="3CF04C9C" w:rsidR="0099780F" w:rsidRDefault="00A96F1F" w:rsidP="00E43E63">
      <w:pPr>
        <w:widowControl w:val="0"/>
        <w:spacing w:after="120" w:line="360" w:lineRule="auto"/>
        <w:outlineLvl w:val="0"/>
        <w:rPr>
          <w:rFonts w:ascii="Arial" w:hAnsi="Arial" w:cs="Arial"/>
          <w:b/>
          <w:bCs/>
          <w:lang w:val="en-GB"/>
        </w:rPr>
      </w:pPr>
      <w:bookmarkStart w:id="21" w:name="_Toc139801766"/>
      <w:r w:rsidRPr="00E87355">
        <w:rPr>
          <w:rFonts w:ascii="Arial" w:hAnsi="Arial" w:cs="Arial"/>
          <w:b/>
          <w:bCs/>
          <w:lang w:val="en-GB"/>
        </w:rPr>
        <w:lastRenderedPageBreak/>
        <w:t>Bibliography</w:t>
      </w:r>
      <w:bookmarkEnd w:id="21"/>
    </w:p>
    <w:p w14:paraId="3DCC4AA0" w14:textId="77777777" w:rsidR="000623CD" w:rsidRPr="007E6275" w:rsidRDefault="000623CD" w:rsidP="00E43E63">
      <w:pPr>
        <w:pStyle w:val="FootnoteText"/>
        <w:widowControl w:val="0"/>
        <w:numPr>
          <w:ilvl w:val="0"/>
          <w:numId w:val="10"/>
        </w:numPr>
        <w:spacing w:after="120"/>
        <w:ind w:left="357" w:hanging="357"/>
        <w:jc w:val="both"/>
        <w:rPr>
          <w:rStyle w:val="Strong"/>
          <w:rFonts w:ascii="Arial" w:hAnsi="Arial" w:cs="Arial"/>
          <w:b w:val="0"/>
          <w:bCs w:val="0"/>
          <w:color w:val="000000"/>
          <w:shd w:val="clear" w:color="auto" w:fill="FFFFFF"/>
        </w:rPr>
      </w:pPr>
      <w:r w:rsidRPr="007E6275">
        <w:rPr>
          <w:rStyle w:val="Strong"/>
          <w:rFonts w:ascii="Arial" w:hAnsi="Arial" w:cs="Arial"/>
          <w:b w:val="0"/>
          <w:bCs w:val="0"/>
          <w:color w:val="000000"/>
          <w:shd w:val="clear" w:color="auto" w:fill="FFFFFF"/>
        </w:rPr>
        <w:t>Moore, Susan, “Desirable Destinations and Debt Restructuring: Optimising the Outcome”, at &lt;&lt;</w:t>
      </w:r>
      <w:r w:rsidRPr="007E6275">
        <w:rPr>
          <w:rFonts w:ascii="Arial" w:hAnsi="Arial" w:cs="Arial"/>
        </w:rPr>
        <w:t xml:space="preserve"> </w:t>
      </w:r>
      <w:hyperlink r:id="rId8" w:history="1">
        <w:r w:rsidRPr="007E6275">
          <w:rPr>
            <w:rStyle w:val="Hyperlink"/>
            <w:rFonts w:ascii="Arial" w:hAnsi="Arial" w:cs="Arial"/>
            <w:shd w:val="clear" w:color="auto" w:fill="FFFFFF"/>
          </w:rPr>
          <w:t>https://internationalbanker.com/finance/desirable-destinations-and-debt-restructuring-optimising-the-outcome/</w:t>
        </w:r>
      </w:hyperlink>
      <w:r w:rsidRPr="007E6275">
        <w:rPr>
          <w:rStyle w:val="Strong"/>
          <w:rFonts w:ascii="Arial" w:hAnsi="Arial" w:cs="Arial"/>
          <w:b w:val="0"/>
          <w:bCs w:val="0"/>
          <w:color w:val="000000"/>
          <w:shd w:val="clear" w:color="auto" w:fill="FFFFFF"/>
        </w:rPr>
        <w:t xml:space="preserve">&gt;&gt;, accessed on 5 July 2023. </w:t>
      </w:r>
    </w:p>
    <w:p w14:paraId="6157ADB8" w14:textId="77777777" w:rsidR="000623CD" w:rsidRPr="007E6275" w:rsidRDefault="000623CD" w:rsidP="00E43E63">
      <w:pPr>
        <w:pStyle w:val="FootnoteText"/>
        <w:widowControl w:val="0"/>
        <w:numPr>
          <w:ilvl w:val="0"/>
          <w:numId w:val="10"/>
        </w:numPr>
        <w:spacing w:after="120"/>
        <w:ind w:left="357" w:hanging="357"/>
        <w:jc w:val="both"/>
        <w:rPr>
          <w:rStyle w:val="Strong"/>
          <w:rFonts w:ascii="Arial" w:hAnsi="Arial" w:cs="Arial"/>
          <w:b w:val="0"/>
          <w:bCs w:val="0"/>
          <w:color w:val="000000"/>
          <w:shd w:val="clear" w:color="auto" w:fill="FFFFFF"/>
        </w:rPr>
      </w:pPr>
      <w:r w:rsidRPr="007E6275">
        <w:rPr>
          <w:rStyle w:val="Strong"/>
          <w:rFonts w:ascii="Arial" w:hAnsi="Arial" w:cs="Arial"/>
          <w:b w:val="0"/>
          <w:bCs w:val="0"/>
          <w:color w:val="000000"/>
          <w:shd w:val="clear" w:color="auto" w:fill="FFFFFF"/>
        </w:rPr>
        <w:t>Chew, Kei-Jin, “Singapore’s efforts to become an international hub for debt restructuring”, at &lt;&lt;</w:t>
      </w:r>
      <w:r w:rsidRPr="007E6275">
        <w:rPr>
          <w:rFonts w:ascii="Arial" w:hAnsi="Arial" w:cs="Arial"/>
        </w:rPr>
        <w:t xml:space="preserve"> </w:t>
      </w:r>
      <w:hyperlink r:id="rId9" w:history="1">
        <w:r w:rsidRPr="007E6275">
          <w:rPr>
            <w:rStyle w:val="Hyperlink"/>
            <w:rFonts w:ascii="Arial" w:hAnsi="Arial" w:cs="Arial"/>
            <w:shd w:val="clear" w:color="auto" w:fill="FFFFFF"/>
          </w:rPr>
          <w:t>https://www.nortonrosefulbright.com/en/knowledge/publications/8e5a46f4/singapores-efforts-to-become-an-international-hub-for-debt-restructuring</w:t>
        </w:r>
      </w:hyperlink>
      <w:r w:rsidRPr="007E6275">
        <w:rPr>
          <w:rStyle w:val="Strong"/>
          <w:rFonts w:ascii="Arial" w:hAnsi="Arial" w:cs="Arial"/>
          <w:b w:val="0"/>
          <w:bCs w:val="0"/>
          <w:color w:val="000000"/>
          <w:shd w:val="clear" w:color="auto" w:fill="FFFFFF"/>
        </w:rPr>
        <w:t xml:space="preserve">&gt;&gt;, accessed on 8 July 2023. </w:t>
      </w:r>
    </w:p>
    <w:p w14:paraId="7BB064A0" w14:textId="77777777" w:rsidR="000623CD" w:rsidRPr="007E6275" w:rsidRDefault="000623CD" w:rsidP="00E43E63">
      <w:pPr>
        <w:pStyle w:val="FootnoteText"/>
        <w:widowControl w:val="0"/>
        <w:numPr>
          <w:ilvl w:val="0"/>
          <w:numId w:val="10"/>
        </w:numPr>
        <w:spacing w:after="120"/>
        <w:ind w:left="357" w:hanging="357"/>
        <w:jc w:val="both"/>
        <w:rPr>
          <w:rFonts w:ascii="Arial" w:hAnsi="Arial" w:cs="Arial"/>
          <w:color w:val="000000"/>
          <w:shd w:val="clear" w:color="auto" w:fill="FFFFFF"/>
        </w:rPr>
      </w:pPr>
      <w:r w:rsidRPr="007E6275">
        <w:rPr>
          <w:rStyle w:val="Strong"/>
          <w:rFonts w:ascii="Arial" w:hAnsi="Arial" w:cs="Arial"/>
          <w:b w:val="0"/>
          <w:bCs w:val="0"/>
          <w:color w:val="000000"/>
          <w:shd w:val="clear" w:color="auto" w:fill="FFFFFF"/>
        </w:rPr>
        <w:t>Berkenbosch, Jasper and Pepels, Sid, “The Dutch Scheme is in Force: European Restructuring Practice on the Move!”, INSOL Europe – Inside Story (January 2021), at &lt;&lt;</w:t>
      </w:r>
      <w:hyperlink r:id="rId10" w:history="1">
        <w:r w:rsidRPr="007E6275">
          <w:rPr>
            <w:rStyle w:val="Hyperlink"/>
            <w:rFonts w:ascii="Arial" w:hAnsi="Arial" w:cs="Arial"/>
            <w:shd w:val="clear" w:color="auto" w:fill="FFFFFF"/>
          </w:rPr>
          <w:t>https://www.insol-europe.org/download/documents/1941</w:t>
        </w:r>
      </w:hyperlink>
      <w:r w:rsidRPr="007E6275">
        <w:rPr>
          <w:rStyle w:val="Strong"/>
          <w:rFonts w:ascii="Arial" w:hAnsi="Arial" w:cs="Arial"/>
          <w:b w:val="0"/>
          <w:bCs w:val="0"/>
          <w:color w:val="000000"/>
          <w:shd w:val="clear" w:color="auto" w:fill="FFFFFF"/>
        </w:rPr>
        <w:t xml:space="preserve">&gt;&gt;, accessed on 8 July 2023. </w:t>
      </w:r>
    </w:p>
    <w:p w14:paraId="391146D6" w14:textId="77777777" w:rsidR="000623CD" w:rsidRPr="007E6275" w:rsidRDefault="000623CD" w:rsidP="00E43E63">
      <w:pPr>
        <w:pStyle w:val="FootnoteText"/>
        <w:widowControl w:val="0"/>
        <w:numPr>
          <w:ilvl w:val="0"/>
          <w:numId w:val="10"/>
        </w:numPr>
        <w:spacing w:after="120"/>
        <w:ind w:left="357" w:hanging="357"/>
        <w:jc w:val="both"/>
        <w:rPr>
          <w:rFonts w:ascii="Arial" w:hAnsi="Arial" w:cs="Arial"/>
          <w:color w:val="000000"/>
          <w:shd w:val="clear" w:color="auto" w:fill="FFFFFF"/>
        </w:rPr>
      </w:pPr>
      <w:r w:rsidRPr="007E6275">
        <w:rPr>
          <w:rFonts w:ascii="Arial" w:hAnsi="Arial" w:cs="Arial"/>
        </w:rPr>
        <w:t xml:space="preserve">McCormack, Gerard, “Bankruptcy Forum Shopping: The UK and US as Venues of Choice for Foreign Companies”, 63(4) The International and Comparative Law Quarterly 2014. </w:t>
      </w:r>
    </w:p>
    <w:p w14:paraId="66D74B31" w14:textId="77777777" w:rsidR="000623CD" w:rsidRPr="007E6275" w:rsidRDefault="000623CD" w:rsidP="00E43E63">
      <w:pPr>
        <w:pStyle w:val="FootnoteText"/>
        <w:widowControl w:val="0"/>
        <w:numPr>
          <w:ilvl w:val="0"/>
          <w:numId w:val="10"/>
        </w:numPr>
        <w:spacing w:after="120"/>
        <w:ind w:left="357" w:hanging="357"/>
        <w:jc w:val="both"/>
        <w:rPr>
          <w:rFonts w:ascii="Arial" w:hAnsi="Arial" w:cs="Arial"/>
          <w:color w:val="000000"/>
          <w:shd w:val="clear" w:color="auto" w:fill="FFFFFF"/>
        </w:rPr>
      </w:pPr>
      <w:r w:rsidRPr="007E6275">
        <w:rPr>
          <w:rFonts w:ascii="Arial" w:hAnsi="Arial" w:cs="Arial"/>
        </w:rPr>
        <w:t xml:space="preserve">Dengler, Jente, “Debt restructuring in the UK and Spain: Is the grass still greener on the other side?”, at &lt;&lt; </w:t>
      </w:r>
      <w:hyperlink r:id="rId11" w:history="1">
        <w:r w:rsidRPr="007E6275">
          <w:rPr>
            <w:rStyle w:val="Hyperlink"/>
            <w:rFonts w:ascii="Arial" w:hAnsi="Arial" w:cs="Arial"/>
          </w:rPr>
          <w:t>https://www.iiiglobal.org/file.cfm/12/docs/2019_gold_jente_dengler.pdf</w:t>
        </w:r>
      </w:hyperlink>
      <w:r w:rsidRPr="007E6275">
        <w:rPr>
          <w:rFonts w:ascii="Arial" w:hAnsi="Arial" w:cs="Arial"/>
        </w:rPr>
        <w:t xml:space="preserve">&gt;&gt;, accessed on 7 July 2023. </w:t>
      </w:r>
    </w:p>
    <w:p w14:paraId="6C6C93A1" w14:textId="77777777" w:rsidR="000623CD" w:rsidRPr="007E6275" w:rsidRDefault="000623CD" w:rsidP="00E43E63">
      <w:pPr>
        <w:pStyle w:val="FootnoteText"/>
        <w:widowControl w:val="0"/>
        <w:numPr>
          <w:ilvl w:val="0"/>
          <w:numId w:val="10"/>
        </w:numPr>
        <w:spacing w:after="120"/>
        <w:ind w:left="357" w:hanging="357"/>
        <w:jc w:val="both"/>
        <w:rPr>
          <w:rFonts w:ascii="Arial" w:hAnsi="Arial" w:cs="Arial"/>
          <w:color w:val="000000"/>
          <w:shd w:val="clear" w:color="auto" w:fill="FFFFFF"/>
        </w:rPr>
      </w:pPr>
      <w:r w:rsidRPr="007E6275">
        <w:rPr>
          <w:rFonts w:ascii="Arial" w:hAnsi="Arial" w:cs="Arial"/>
        </w:rPr>
        <w:t>Couwenberg, O., &amp; Lubben, S. J., “Corporate Bankruptcy Tourists”, 70(3) The Business Lawyer 2015.</w:t>
      </w:r>
    </w:p>
    <w:p w14:paraId="1C6878DB" w14:textId="77777777" w:rsidR="000623CD" w:rsidRPr="007E6275" w:rsidRDefault="000623CD" w:rsidP="00E43E63">
      <w:pPr>
        <w:pStyle w:val="FootnoteText"/>
        <w:widowControl w:val="0"/>
        <w:numPr>
          <w:ilvl w:val="0"/>
          <w:numId w:val="10"/>
        </w:numPr>
        <w:spacing w:after="120"/>
        <w:ind w:left="357" w:hanging="357"/>
        <w:jc w:val="both"/>
        <w:rPr>
          <w:rFonts w:ascii="Arial" w:hAnsi="Arial" w:cs="Arial"/>
          <w:color w:val="000000"/>
          <w:shd w:val="clear" w:color="auto" w:fill="FFFFFF"/>
        </w:rPr>
      </w:pPr>
      <w:r w:rsidRPr="007E6275">
        <w:rPr>
          <w:rFonts w:ascii="Arial" w:hAnsi="Arial" w:cs="Arial"/>
        </w:rPr>
        <w:t>Chan Ho, Look, “Making and Enforcing International Schemes of Arrangement” 26 Journal of International Banking Law and Regulation 2011.</w:t>
      </w:r>
    </w:p>
    <w:p w14:paraId="6EF13CA7" w14:textId="77777777" w:rsidR="000623CD" w:rsidRPr="007E6275" w:rsidRDefault="000623CD" w:rsidP="00E43E63">
      <w:pPr>
        <w:pStyle w:val="FootnoteText"/>
        <w:widowControl w:val="0"/>
        <w:numPr>
          <w:ilvl w:val="0"/>
          <w:numId w:val="10"/>
        </w:numPr>
        <w:spacing w:after="120"/>
        <w:ind w:left="357" w:hanging="357"/>
        <w:jc w:val="both"/>
        <w:rPr>
          <w:rFonts w:ascii="Arial" w:hAnsi="Arial" w:cs="Arial"/>
        </w:rPr>
      </w:pPr>
      <w:r w:rsidRPr="007E6275">
        <w:rPr>
          <w:rFonts w:ascii="Arial" w:hAnsi="Arial" w:cs="Arial"/>
        </w:rPr>
        <w:t xml:space="preserve">Norton Rose Fulbright, “Impact of Brexit on insolvency”, at &lt;&lt; </w:t>
      </w:r>
      <w:hyperlink r:id="rId12" w:history="1">
        <w:r w:rsidRPr="007E6275">
          <w:rPr>
            <w:rStyle w:val="Hyperlink"/>
            <w:rFonts w:ascii="Arial" w:hAnsi="Arial" w:cs="Arial"/>
          </w:rPr>
          <w:t>https://www.nortonrosefulbright.com/en/knowledge/publications/fc0fb698/impact-of-brexit-on-insolvency</w:t>
        </w:r>
      </w:hyperlink>
      <w:r w:rsidRPr="007E6275">
        <w:rPr>
          <w:rFonts w:ascii="Arial" w:hAnsi="Arial" w:cs="Arial"/>
        </w:rPr>
        <w:t xml:space="preserve">&gt;&gt;, accessed on 9 July 2023. </w:t>
      </w:r>
    </w:p>
    <w:p w14:paraId="37B0BD5E" w14:textId="77777777" w:rsidR="000623CD" w:rsidRPr="007E6275" w:rsidRDefault="000623CD" w:rsidP="00E43E63">
      <w:pPr>
        <w:pStyle w:val="FootnoteText"/>
        <w:widowControl w:val="0"/>
        <w:numPr>
          <w:ilvl w:val="0"/>
          <w:numId w:val="10"/>
        </w:numPr>
        <w:spacing w:after="120"/>
        <w:ind w:left="357" w:hanging="357"/>
        <w:jc w:val="both"/>
        <w:rPr>
          <w:rFonts w:ascii="Arial" w:hAnsi="Arial" w:cs="Arial"/>
        </w:rPr>
      </w:pPr>
      <w:r w:rsidRPr="007E6275">
        <w:rPr>
          <w:rFonts w:ascii="Arial" w:hAnsi="Arial" w:cs="Arial"/>
        </w:rPr>
        <w:t xml:space="preserve">Allen &amp; Overy, “Schefenacker AG – A "cross-border fusion of original minds" (FT Innovative Lawyers Report 2008)”, at &lt;&lt;https://www.allenovery.com/en-gb/global/expertise/practices/restructuring/recent_deals/schefenackeragacrossborderfusionoforiginalmindsftinnovativelawyersreport2008&gt;&gt;, accessed on 9 July 2023 </w:t>
      </w:r>
    </w:p>
    <w:p w14:paraId="125D8BCE" w14:textId="77777777" w:rsidR="000623CD" w:rsidRPr="007E6275" w:rsidRDefault="000623CD" w:rsidP="00E43E63">
      <w:pPr>
        <w:pStyle w:val="FootnoteText"/>
        <w:widowControl w:val="0"/>
        <w:numPr>
          <w:ilvl w:val="0"/>
          <w:numId w:val="10"/>
        </w:numPr>
        <w:spacing w:after="120"/>
        <w:ind w:left="357" w:hanging="357"/>
        <w:jc w:val="both"/>
        <w:rPr>
          <w:rFonts w:ascii="Arial" w:hAnsi="Arial" w:cs="Arial"/>
        </w:rPr>
      </w:pPr>
      <w:r w:rsidRPr="007E6275">
        <w:rPr>
          <w:rFonts w:ascii="Arial" w:hAnsi="Arial" w:cs="Arial"/>
        </w:rPr>
        <w:t>Quantuma International, “</w:t>
      </w:r>
      <w:r w:rsidRPr="007E6275">
        <w:rPr>
          <w:rFonts w:ascii="Arial" w:hAnsi="Arial" w:cs="Arial"/>
          <w:lang w:val="en-GB"/>
        </w:rPr>
        <w:t>An Administration followed by a Creditors Voluntary Arrangement exit route for two related holding companies of a German industrial group.”</w:t>
      </w:r>
      <w:r w:rsidRPr="007E6275">
        <w:rPr>
          <w:rFonts w:ascii="Arial" w:hAnsi="Arial" w:cs="Arial"/>
        </w:rPr>
        <w:t>, at &lt;&lt;</w:t>
      </w:r>
      <w:hyperlink r:id="rId13" w:history="1">
        <w:r w:rsidRPr="007E6275">
          <w:rPr>
            <w:rStyle w:val="Hyperlink"/>
            <w:rFonts w:ascii="Arial" w:hAnsi="Arial" w:cs="Arial"/>
          </w:rPr>
          <w:t>https://www.quantumainternational.com/insights/deutsche-nickel-eu-coin-group</w:t>
        </w:r>
      </w:hyperlink>
      <w:r w:rsidRPr="007E6275">
        <w:rPr>
          <w:rFonts w:ascii="Arial" w:hAnsi="Arial" w:cs="Arial"/>
        </w:rPr>
        <w:t xml:space="preserve">&gt;&gt;, accessed on 9 July 2023. </w:t>
      </w:r>
    </w:p>
    <w:p w14:paraId="29C90A58" w14:textId="77777777" w:rsidR="000623CD" w:rsidRPr="007E6275" w:rsidRDefault="000623CD" w:rsidP="00E43E63">
      <w:pPr>
        <w:pStyle w:val="FootnoteText"/>
        <w:widowControl w:val="0"/>
        <w:numPr>
          <w:ilvl w:val="0"/>
          <w:numId w:val="10"/>
        </w:numPr>
        <w:spacing w:after="120"/>
        <w:ind w:left="357" w:hanging="357"/>
        <w:jc w:val="both"/>
        <w:rPr>
          <w:rFonts w:ascii="Arial" w:hAnsi="Arial" w:cs="Arial"/>
        </w:rPr>
      </w:pPr>
      <w:r w:rsidRPr="007E6275">
        <w:rPr>
          <w:rFonts w:ascii="Arial" w:hAnsi="Arial" w:cs="Arial"/>
          <w:lang w:val="en-GB"/>
        </w:rPr>
        <w:t xml:space="preserve">Squire Patton Boggs, “Restructuring Plans: Restructuring Foreign Companies in England”, at &lt;&lt;https://www.squirepattonboggs.com/-/media/files/insights/publications/2021/12/restructuring-foreign-companies-in-england-using-a-restructuring-plan/restructuring-foreign-companies-in-england-using-a-restructuring-plan.pdf&gt;&gt;, accessed on 9 July 2023. </w:t>
      </w:r>
    </w:p>
    <w:p w14:paraId="209EA7C4" w14:textId="77777777" w:rsidR="000623CD" w:rsidRPr="007E6275" w:rsidRDefault="000623CD" w:rsidP="00E43E63">
      <w:pPr>
        <w:pStyle w:val="FootnoteText"/>
        <w:widowControl w:val="0"/>
        <w:numPr>
          <w:ilvl w:val="0"/>
          <w:numId w:val="10"/>
        </w:numPr>
        <w:spacing w:after="120"/>
        <w:ind w:left="357" w:hanging="357"/>
        <w:jc w:val="both"/>
        <w:rPr>
          <w:rFonts w:ascii="Arial" w:hAnsi="Arial" w:cs="Arial"/>
        </w:rPr>
      </w:pPr>
      <w:r w:rsidRPr="007E6275">
        <w:rPr>
          <w:rFonts w:ascii="Arial" w:hAnsi="Arial" w:cs="Arial"/>
          <w:lang w:val="en-GB"/>
        </w:rPr>
        <w:t>Payne, Jennifer, “</w:t>
      </w:r>
      <w:r w:rsidRPr="007E6275">
        <w:rPr>
          <w:rFonts w:ascii="Arial" w:hAnsi="Arial" w:cs="Arial"/>
        </w:rPr>
        <w:t xml:space="preserve">Cross-border Schemes of Arrangement and Forum Shopping” 14 European Business Organization Law Review 2013. </w:t>
      </w:r>
    </w:p>
    <w:p w14:paraId="0196BCDC" w14:textId="77777777" w:rsidR="000623CD" w:rsidRPr="007E6275" w:rsidRDefault="000623CD" w:rsidP="00E43E63">
      <w:pPr>
        <w:pStyle w:val="FootnoteText"/>
        <w:widowControl w:val="0"/>
        <w:numPr>
          <w:ilvl w:val="0"/>
          <w:numId w:val="10"/>
        </w:numPr>
        <w:spacing w:after="120"/>
        <w:ind w:left="357" w:hanging="357"/>
        <w:jc w:val="both"/>
        <w:rPr>
          <w:rFonts w:ascii="Arial" w:hAnsi="Arial" w:cs="Arial"/>
        </w:rPr>
      </w:pPr>
      <w:r w:rsidRPr="007E6275">
        <w:rPr>
          <w:rFonts w:ascii="Arial" w:hAnsi="Arial" w:cs="Arial"/>
        </w:rPr>
        <w:t>Ashurst, “London as a European restructuring forum reigns supreme”, at &lt;&lt;</w:t>
      </w:r>
      <w:hyperlink r:id="rId14" w:history="1">
        <w:r w:rsidRPr="007E6275">
          <w:rPr>
            <w:rStyle w:val="Hyperlink"/>
            <w:rFonts w:ascii="Arial" w:hAnsi="Arial" w:cs="Arial"/>
          </w:rPr>
          <w:t>https://www.ashurst.com/en/insights/london-as-a-european-restructuring-forum-reigns-supreme/</w:t>
        </w:r>
      </w:hyperlink>
      <w:r w:rsidRPr="007E6275">
        <w:rPr>
          <w:rFonts w:ascii="Arial" w:hAnsi="Arial" w:cs="Arial"/>
        </w:rPr>
        <w:t>&gt;&gt;, accessed on 9 July 2023.</w:t>
      </w:r>
    </w:p>
    <w:p w14:paraId="2E13846E" w14:textId="3E34587C" w:rsidR="000623CD" w:rsidRPr="000623CD" w:rsidRDefault="000623CD" w:rsidP="00E43E63">
      <w:pPr>
        <w:pStyle w:val="FootnoteText"/>
        <w:widowControl w:val="0"/>
        <w:numPr>
          <w:ilvl w:val="0"/>
          <w:numId w:val="10"/>
        </w:numPr>
        <w:spacing w:after="120"/>
        <w:ind w:left="357" w:hanging="357"/>
        <w:jc w:val="both"/>
        <w:rPr>
          <w:rFonts w:ascii="Arial" w:hAnsi="Arial" w:cs="Arial"/>
        </w:rPr>
      </w:pPr>
      <w:r w:rsidRPr="007E6275">
        <w:rPr>
          <w:rFonts w:ascii="Arial" w:hAnsi="Arial" w:cs="Arial"/>
        </w:rPr>
        <w:t xml:space="preserve">Shah, Devi and Wood, Alexandra, “The impact of Brexit on UK/European cross border schemes and restructuring plans”, at &lt;&lt; </w:t>
      </w:r>
      <w:hyperlink r:id="rId15" w:history="1">
        <w:r w:rsidRPr="007E6275">
          <w:rPr>
            <w:rStyle w:val="Hyperlink"/>
            <w:rFonts w:ascii="Arial" w:hAnsi="Arial" w:cs="Arial"/>
          </w:rPr>
          <w:t>https://www.mayerbrown.com/en/perspectives-events/publications/2021/01/the-impact-of-brexit-on-ukeuropean-cross-border-schemes-and-restructuring-plans</w:t>
        </w:r>
      </w:hyperlink>
      <w:r w:rsidRPr="007E6275">
        <w:rPr>
          <w:rFonts w:ascii="Arial" w:hAnsi="Arial" w:cs="Arial"/>
        </w:rPr>
        <w:t>&gt;&gt;, accessed on 9 July 2023.</w:t>
      </w:r>
    </w:p>
    <w:p w14:paraId="69B7DFE0" w14:textId="77777777" w:rsidR="0099780F" w:rsidRPr="00E87355" w:rsidRDefault="0099780F" w:rsidP="00E43E63">
      <w:pPr>
        <w:widowControl w:val="0"/>
        <w:spacing w:after="120" w:line="360" w:lineRule="auto"/>
        <w:rPr>
          <w:rFonts w:ascii="Arial" w:hAnsi="Arial" w:cs="Arial"/>
          <w:b/>
          <w:bCs/>
          <w:lang w:val="en-GB"/>
        </w:rPr>
      </w:pPr>
      <w:r w:rsidRPr="00E87355">
        <w:rPr>
          <w:rFonts w:ascii="Arial" w:hAnsi="Arial" w:cs="Arial"/>
          <w:b/>
          <w:bCs/>
          <w:lang w:val="en-GB"/>
        </w:rPr>
        <w:br w:type="page"/>
      </w:r>
    </w:p>
    <w:p w14:paraId="46DD522C" w14:textId="77777777" w:rsidR="00BA1D6A" w:rsidRPr="00C5261B" w:rsidRDefault="0099780F" w:rsidP="00E43E63">
      <w:pPr>
        <w:widowControl w:val="0"/>
        <w:spacing w:after="120" w:line="360" w:lineRule="auto"/>
        <w:outlineLvl w:val="0"/>
        <w:rPr>
          <w:rFonts w:ascii="Arial" w:hAnsi="Arial" w:cs="Arial"/>
          <w:b/>
          <w:bCs/>
          <w:lang w:val="en-GB"/>
        </w:rPr>
      </w:pPr>
      <w:bookmarkStart w:id="22" w:name="_Toc139801767"/>
      <w:r w:rsidRPr="00C5261B">
        <w:rPr>
          <w:rFonts w:ascii="Arial" w:hAnsi="Arial" w:cs="Arial"/>
          <w:b/>
          <w:bCs/>
          <w:lang w:val="en-GB"/>
        </w:rPr>
        <w:lastRenderedPageBreak/>
        <w:t>Author statement</w:t>
      </w:r>
      <w:bookmarkEnd w:id="22"/>
      <w:r w:rsidRPr="00C5261B">
        <w:rPr>
          <w:rFonts w:ascii="Arial" w:hAnsi="Arial" w:cs="Arial"/>
          <w:b/>
          <w:bCs/>
          <w:lang w:val="en-GB"/>
        </w:rPr>
        <w:t xml:space="preserve"> </w:t>
      </w:r>
    </w:p>
    <w:p w14:paraId="72BA2EEF" w14:textId="068B50BD" w:rsidR="00BA1D6A" w:rsidRPr="00E87355" w:rsidRDefault="00BA1D6A" w:rsidP="00E43E63">
      <w:pPr>
        <w:widowControl w:val="0"/>
        <w:spacing w:after="120" w:line="360" w:lineRule="auto"/>
        <w:rPr>
          <w:rFonts w:ascii="Arial" w:hAnsi="Arial" w:cs="Arial"/>
        </w:rPr>
      </w:pPr>
      <w:r w:rsidRPr="00E87355">
        <w:rPr>
          <w:rFonts w:ascii="Arial" w:hAnsi="Arial" w:cs="Arial"/>
        </w:rPr>
        <w:t>Urmika Tripathi</w:t>
      </w:r>
    </w:p>
    <w:p w14:paraId="08BCBD13" w14:textId="77777777" w:rsidR="00BA1D6A" w:rsidRPr="00E87355" w:rsidRDefault="00BA1D6A" w:rsidP="00E43E63">
      <w:pPr>
        <w:widowControl w:val="0"/>
        <w:spacing w:after="120" w:line="360" w:lineRule="auto"/>
        <w:rPr>
          <w:rFonts w:ascii="Arial" w:hAnsi="Arial" w:cs="Arial"/>
        </w:rPr>
      </w:pPr>
    </w:p>
    <w:p w14:paraId="73823015" w14:textId="77777777" w:rsidR="00BA1D6A" w:rsidRPr="00E87355" w:rsidRDefault="00BA1D6A" w:rsidP="00E43E63">
      <w:pPr>
        <w:widowControl w:val="0"/>
        <w:spacing w:after="120" w:line="360" w:lineRule="auto"/>
        <w:rPr>
          <w:rFonts w:ascii="Arial" w:hAnsi="Arial" w:cs="Arial"/>
        </w:rPr>
      </w:pPr>
    </w:p>
    <w:p w14:paraId="0E96EF77" w14:textId="77777777" w:rsidR="001623B5" w:rsidRPr="00E87355" w:rsidRDefault="0099780F" w:rsidP="00E43E63">
      <w:pPr>
        <w:widowControl w:val="0"/>
        <w:spacing w:after="120" w:line="360" w:lineRule="auto"/>
        <w:rPr>
          <w:rFonts w:ascii="Arial" w:hAnsi="Arial" w:cs="Arial"/>
        </w:rPr>
      </w:pPr>
      <w:r w:rsidRPr="00E87355">
        <w:rPr>
          <w:rFonts w:ascii="Arial" w:hAnsi="Arial" w:cs="Arial"/>
        </w:rPr>
        <w:t xml:space="preserve">DECLARATION OF HONOUR: </w:t>
      </w:r>
    </w:p>
    <w:p w14:paraId="21F8ED0E" w14:textId="77777777" w:rsidR="000623CD" w:rsidRDefault="0099780F" w:rsidP="00E43E63">
      <w:pPr>
        <w:widowControl w:val="0"/>
        <w:spacing w:after="120" w:line="240" w:lineRule="auto"/>
        <w:rPr>
          <w:rFonts w:ascii="Arial" w:hAnsi="Arial" w:cs="Arial"/>
        </w:rPr>
      </w:pPr>
      <w:r w:rsidRPr="00E87355">
        <w:rPr>
          <w:rFonts w:ascii="Arial" w:hAnsi="Arial" w:cs="Arial"/>
        </w:rPr>
        <w:t xml:space="preserve">I declare that the paper, titled </w:t>
      </w:r>
      <w:r w:rsidR="000623CD">
        <w:rPr>
          <w:rFonts w:ascii="Arial" w:hAnsi="Arial" w:cs="Arial"/>
        </w:rPr>
        <w:t>“</w:t>
      </w:r>
      <w:r w:rsidR="000623CD" w:rsidRPr="000623CD">
        <w:rPr>
          <w:rFonts w:ascii="Arial" w:hAnsi="Arial" w:cs="Arial"/>
          <w:b/>
          <w:bCs/>
          <w:i/>
          <w:iCs/>
          <w:lang w:val="en-GB"/>
        </w:rPr>
        <w:t>Comparison of UK and US restructuring regimes as reorganisation tools for foreign debtors</w:t>
      </w:r>
      <w:r w:rsidR="000623CD">
        <w:rPr>
          <w:rFonts w:ascii="Arial" w:hAnsi="Arial" w:cs="Arial"/>
          <w:b/>
          <w:bCs/>
          <w:lang w:val="en-GB"/>
        </w:rPr>
        <w:t>’</w:t>
      </w:r>
      <w:r w:rsidRPr="00E87355">
        <w:rPr>
          <w:rFonts w:ascii="Arial" w:hAnsi="Arial" w:cs="Arial"/>
        </w:rPr>
        <w:t xml:space="preserve">” is my own work, that it has been prepared independently and that all references to, or quotations from, the work of others are fully and correctly cited. </w:t>
      </w:r>
    </w:p>
    <w:p w14:paraId="6B6E91DE" w14:textId="77777777" w:rsidR="000623CD" w:rsidRDefault="000623CD" w:rsidP="00E43E63">
      <w:pPr>
        <w:widowControl w:val="0"/>
        <w:spacing w:after="120" w:line="240" w:lineRule="auto"/>
        <w:rPr>
          <w:rFonts w:ascii="Arial" w:hAnsi="Arial" w:cs="Arial"/>
        </w:rPr>
      </w:pPr>
    </w:p>
    <w:p w14:paraId="7E1A219A" w14:textId="72B04D13" w:rsidR="000623CD" w:rsidRDefault="0099780F" w:rsidP="00E43E63">
      <w:pPr>
        <w:widowControl w:val="0"/>
        <w:spacing w:after="120" w:line="240" w:lineRule="auto"/>
        <w:rPr>
          <w:rFonts w:ascii="Arial" w:hAnsi="Arial" w:cs="Arial"/>
        </w:rPr>
      </w:pPr>
      <w:r w:rsidRPr="00E87355">
        <w:rPr>
          <w:rFonts w:ascii="Arial" w:hAnsi="Arial" w:cs="Arial"/>
        </w:rPr>
        <w:t xml:space="preserve">(Signed) </w:t>
      </w:r>
      <w:r w:rsidR="000623CD">
        <w:rPr>
          <w:rFonts w:ascii="Arial" w:hAnsi="Arial" w:cs="Arial"/>
        </w:rPr>
        <w:t>Urmika Tripathi</w:t>
      </w:r>
    </w:p>
    <w:p w14:paraId="3FAD3D9E" w14:textId="6976B4F4" w:rsidR="000623CD" w:rsidRDefault="0099780F" w:rsidP="00E43E63">
      <w:pPr>
        <w:widowControl w:val="0"/>
        <w:spacing w:after="120" w:line="240" w:lineRule="auto"/>
        <w:rPr>
          <w:rFonts w:ascii="Arial" w:hAnsi="Arial" w:cs="Arial"/>
        </w:rPr>
      </w:pPr>
      <w:r w:rsidRPr="00E87355">
        <w:rPr>
          <w:rFonts w:ascii="Arial" w:hAnsi="Arial" w:cs="Arial"/>
        </w:rPr>
        <w:t xml:space="preserve">Date: </w:t>
      </w:r>
      <w:r w:rsidR="000623CD">
        <w:rPr>
          <w:rFonts w:ascii="Arial" w:hAnsi="Arial" w:cs="Arial"/>
        </w:rPr>
        <w:t>9 July 2023</w:t>
      </w:r>
    </w:p>
    <w:p w14:paraId="2B3C21FA" w14:textId="5F787C73" w:rsidR="00A96F1F" w:rsidRPr="00E87355" w:rsidRDefault="0099780F" w:rsidP="00E43E63">
      <w:pPr>
        <w:widowControl w:val="0"/>
        <w:spacing w:after="120" w:line="240" w:lineRule="auto"/>
        <w:rPr>
          <w:rFonts w:ascii="Arial" w:hAnsi="Arial" w:cs="Arial"/>
          <w:b/>
          <w:bCs/>
          <w:lang w:val="en-GB"/>
        </w:rPr>
      </w:pPr>
      <w:r w:rsidRPr="00E87355">
        <w:rPr>
          <w:rFonts w:ascii="Arial" w:hAnsi="Arial" w:cs="Arial"/>
        </w:rPr>
        <w:t>Place:</w:t>
      </w:r>
      <w:r w:rsidR="000623CD">
        <w:rPr>
          <w:rFonts w:ascii="Arial" w:hAnsi="Arial" w:cs="Arial"/>
        </w:rPr>
        <w:t xml:space="preserve"> Mumbai, India</w:t>
      </w:r>
    </w:p>
    <w:p w14:paraId="2582395F" w14:textId="77777777" w:rsidR="00A96F1F" w:rsidRPr="00E87355" w:rsidRDefault="00A96F1F" w:rsidP="00E43E63">
      <w:pPr>
        <w:widowControl w:val="0"/>
        <w:spacing w:after="120" w:line="360" w:lineRule="auto"/>
        <w:rPr>
          <w:rFonts w:ascii="Arial" w:hAnsi="Arial" w:cs="Arial"/>
          <w:b/>
          <w:bCs/>
          <w:lang w:val="en-GB"/>
        </w:rPr>
      </w:pPr>
    </w:p>
    <w:p w14:paraId="3C251478" w14:textId="1925A1D4" w:rsidR="00A96F1F" w:rsidRPr="00E87355" w:rsidRDefault="00A96F1F" w:rsidP="00E43E63">
      <w:pPr>
        <w:widowControl w:val="0"/>
        <w:spacing w:after="120" w:line="360" w:lineRule="auto"/>
        <w:rPr>
          <w:rFonts w:ascii="Arial" w:hAnsi="Arial" w:cs="Arial"/>
          <w:b/>
          <w:bCs/>
          <w:lang w:val="en-GB"/>
        </w:rPr>
      </w:pPr>
    </w:p>
    <w:p w14:paraId="1BA1D57C" w14:textId="77777777" w:rsidR="006C7926" w:rsidRPr="00E87355" w:rsidRDefault="006C7926" w:rsidP="00E43E63">
      <w:pPr>
        <w:widowControl w:val="0"/>
        <w:spacing w:after="120" w:line="360" w:lineRule="auto"/>
        <w:rPr>
          <w:rFonts w:ascii="Arial" w:hAnsi="Arial" w:cs="Arial"/>
          <w:lang w:val="en-GB"/>
        </w:rPr>
      </w:pPr>
    </w:p>
    <w:p w14:paraId="052A22B1" w14:textId="77777777" w:rsidR="00561781" w:rsidRPr="00E87355" w:rsidRDefault="00561781" w:rsidP="00E43E63">
      <w:pPr>
        <w:widowControl w:val="0"/>
        <w:spacing w:after="120" w:line="360" w:lineRule="auto"/>
        <w:rPr>
          <w:rFonts w:ascii="Arial" w:hAnsi="Arial" w:cs="Arial"/>
          <w:lang w:val="en-GB"/>
        </w:rPr>
      </w:pPr>
    </w:p>
    <w:p w14:paraId="521FE76D" w14:textId="77777777" w:rsidR="00561781" w:rsidRPr="00E87355" w:rsidRDefault="00561781" w:rsidP="00E43E63">
      <w:pPr>
        <w:widowControl w:val="0"/>
        <w:spacing w:after="120" w:line="360" w:lineRule="auto"/>
        <w:rPr>
          <w:rFonts w:ascii="Arial" w:hAnsi="Arial" w:cs="Arial"/>
          <w:lang w:val="en-GB"/>
        </w:rPr>
      </w:pPr>
    </w:p>
    <w:sectPr w:rsidR="00561781" w:rsidRPr="00E873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8CA8" w14:textId="77777777" w:rsidR="00593CDD" w:rsidRDefault="00593CDD" w:rsidP="00875F55">
      <w:pPr>
        <w:spacing w:after="0" w:line="240" w:lineRule="auto"/>
      </w:pPr>
      <w:r>
        <w:separator/>
      </w:r>
    </w:p>
  </w:endnote>
  <w:endnote w:type="continuationSeparator" w:id="0">
    <w:p w14:paraId="4029E6B8" w14:textId="77777777" w:rsidR="00593CDD" w:rsidRDefault="00593CDD" w:rsidP="0087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B54A" w14:textId="77777777" w:rsidR="00593CDD" w:rsidRDefault="00593CDD" w:rsidP="00875F55">
      <w:pPr>
        <w:spacing w:after="0" w:line="240" w:lineRule="auto"/>
      </w:pPr>
      <w:r>
        <w:separator/>
      </w:r>
    </w:p>
  </w:footnote>
  <w:footnote w:type="continuationSeparator" w:id="0">
    <w:p w14:paraId="29714BED" w14:textId="77777777" w:rsidR="00593CDD" w:rsidRDefault="00593CDD" w:rsidP="00875F55">
      <w:pPr>
        <w:spacing w:after="0" w:line="240" w:lineRule="auto"/>
      </w:pPr>
      <w:r>
        <w:continuationSeparator/>
      </w:r>
    </w:p>
  </w:footnote>
  <w:footnote w:id="1">
    <w:p w14:paraId="07D9012B" w14:textId="5011786D" w:rsidR="001A0672" w:rsidRPr="00D410BA" w:rsidRDefault="00F532E3" w:rsidP="001A0672">
      <w:pPr>
        <w:pStyle w:val="FootnoteText"/>
        <w:jc w:val="both"/>
        <w:rPr>
          <w:rStyle w:val="Strong"/>
          <w:rFonts w:ascii="Arial" w:hAnsi="Arial" w:cs="Arial"/>
          <w:b w:val="0"/>
          <w:bCs w:val="0"/>
          <w:color w:val="000000"/>
          <w:shd w:val="clear" w:color="auto" w:fill="FFFFFF"/>
        </w:rPr>
      </w:pPr>
      <w:r w:rsidRPr="00D410BA">
        <w:rPr>
          <w:rStyle w:val="FootnoteReference"/>
          <w:rFonts w:ascii="Arial" w:hAnsi="Arial" w:cs="Arial"/>
        </w:rPr>
        <w:footnoteRef/>
      </w:r>
      <w:r w:rsidRPr="00D410BA">
        <w:rPr>
          <w:rFonts w:ascii="Arial" w:hAnsi="Arial" w:cs="Arial"/>
        </w:rPr>
        <w:t xml:space="preserve"> </w:t>
      </w:r>
      <w:bookmarkStart w:id="1" w:name="_Hlk139796270"/>
      <w:r w:rsidRPr="00D410BA">
        <w:rPr>
          <w:rStyle w:val="Strong"/>
          <w:rFonts w:ascii="Arial" w:hAnsi="Arial" w:cs="Arial"/>
          <w:b w:val="0"/>
          <w:bCs w:val="0"/>
          <w:color w:val="000000"/>
          <w:shd w:val="clear" w:color="auto" w:fill="FFFFFF"/>
        </w:rPr>
        <w:t>Moore, Susan, “Desirable Destinations and Debt Restructuring: Optimising the Outcome”, at &lt;&lt;</w:t>
      </w:r>
      <w:r w:rsidRPr="00D410BA">
        <w:rPr>
          <w:rFonts w:ascii="Arial" w:hAnsi="Arial" w:cs="Arial"/>
        </w:rPr>
        <w:t xml:space="preserve"> </w:t>
      </w:r>
      <w:hyperlink r:id="rId1" w:history="1">
        <w:r w:rsidRPr="00D410BA">
          <w:rPr>
            <w:rStyle w:val="Hyperlink"/>
            <w:rFonts w:ascii="Arial" w:hAnsi="Arial" w:cs="Arial"/>
            <w:shd w:val="clear" w:color="auto" w:fill="FFFFFF"/>
          </w:rPr>
          <w:t>https://internationalbanker.com/finance/desirable-destinations-and-debt-restructuring-optimising-the-outcome/</w:t>
        </w:r>
      </w:hyperlink>
      <w:r w:rsidRPr="00D410BA">
        <w:rPr>
          <w:rStyle w:val="Strong"/>
          <w:rFonts w:ascii="Arial" w:hAnsi="Arial" w:cs="Arial"/>
          <w:b w:val="0"/>
          <w:bCs w:val="0"/>
          <w:color w:val="000000"/>
          <w:shd w:val="clear" w:color="auto" w:fill="FFFFFF"/>
        </w:rPr>
        <w:t>&gt;&gt;, accessed on 5 July 2023.</w:t>
      </w:r>
      <w:bookmarkEnd w:id="1"/>
      <w:r w:rsidRPr="00D410BA">
        <w:rPr>
          <w:rStyle w:val="Strong"/>
          <w:rFonts w:ascii="Arial" w:hAnsi="Arial" w:cs="Arial"/>
          <w:b w:val="0"/>
          <w:bCs w:val="0"/>
          <w:color w:val="000000"/>
          <w:shd w:val="clear" w:color="auto" w:fill="FFFFFF"/>
        </w:rPr>
        <w:t xml:space="preserve"> Recently, jurisdictions such as Singapore and Netherlands have</w:t>
      </w:r>
      <w:r w:rsidR="001A0672" w:rsidRPr="00D410BA">
        <w:rPr>
          <w:rStyle w:val="Strong"/>
          <w:rFonts w:ascii="Arial" w:hAnsi="Arial" w:cs="Arial"/>
          <w:b w:val="0"/>
          <w:bCs w:val="0"/>
          <w:color w:val="000000"/>
          <w:shd w:val="clear" w:color="auto" w:fill="FFFFFF"/>
        </w:rPr>
        <w:t xml:space="preserve"> also</w:t>
      </w:r>
      <w:r w:rsidRPr="00D410BA">
        <w:rPr>
          <w:rStyle w:val="Strong"/>
          <w:rFonts w:ascii="Arial" w:hAnsi="Arial" w:cs="Arial"/>
          <w:b w:val="0"/>
          <w:bCs w:val="0"/>
          <w:color w:val="000000"/>
          <w:shd w:val="clear" w:color="auto" w:fill="FFFFFF"/>
        </w:rPr>
        <w:t xml:space="preserve"> </w:t>
      </w:r>
      <w:r w:rsidR="00095E48" w:rsidRPr="00D410BA">
        <w:rPr>
          <w:rStyle w:val="Strong"/>
          <w:rFonts w:ascii="Arial" w:hAnsi="Arial" w:cs="Arial"/>
          <w:b w:val="0"/>
          <w:bCs w:val="0"/>
          <w:color w:val="000000"/>
          <w:shd w:val="clear" w:color="auto" w:fill="FFFFFF"/>
        </w:rPr>
        <w:t xml:space="preserve">introduced changes to their insolvency law to provide attractive restructuring mechanisms for debtors. </w:t>
      </w:r>
      <w:r w:rsidR="001A0672" w:rsidRPr="00D410BA">
        <w:rPr>
          <w:rStyle w:val="Strong"/>
          <w:rFonts w:ascii="Arial" w:hAnsi="Arial" w:cs="Arial"/>
          <w:b w:val="0"/>
          <w:bCs w:val="0"/>
          <w:color w:val="000000"/>
          <w:shd w:val="clear" w:color="auto" w:fill="FFFFFF"/>
        </w:rPr>
        <w:t xml:space="preserve">Singapore passed the Insolvency, Restructuring and Dissolution Act 2018 introducing changes to its insolvency regime to make it more attractive for debtor-led restructurings. For more details, see </w:t>
      </w:r>
      <w:bookmarkStart w:id="2" w:name="_Hlk139796293"/>
      <w:r w:rsidR="001A0672" w:rsidRPr="00D410BA">
        <w:rPr>
          <w:rStyle w:val="Strong"/>
          <w:rFonts w:ascii="Arial" w:hAnsi="Arial" w:cs="Arial"/>
          <w:b w:val="0"/>
          <w:bCs w:val="0"/>
          <w:color w:val="000000"/>
          <w:shd w:val="clear" w:color="auto" w:fill="FFFFFF"/>
        </w:rPr>
        <w:t>Chew, Kei-Jin, “Singapore’s efforts to become an international hub for debt restructuring”, at &lt;&lt;</w:t>
      </w:r>
      <w:r w:rsidR="001A0672" w:rsidRPr="00D410BA">
        <w:rPr>
          <w:rFonts w:ascii="Arial" w:hAnsi="Arial" w:cs="Arial"/>
        </w:rPr>
        <w:t xml:space="preserve"> </w:t>
      </w:r>
      <w:hyperlink r:id="rId2" w:history="1">
        <w:r w:rsidR="001A0672" w:rsidRPr="00D410BA">
          <w:rPr>
            <w:rStyle w:val="Hyperlink"/>
            <w:rFonts w:ascii="Arial" w:hAnsi="Arial" w:cs="Arial"/>
            <w:shd w:val="clear" w:color="auto" w:fill="FFFFFF"/>
          </w:rPr>
          <w:t>https://www.nortonrosefulbright.com/en/knowledge/publications/8e5a46f4/singapores-efforts-to-become-an-international-hub-for-debt-restructuring</w:t>
        </w:r>
      </w:hyperlink>
      <w:r w:rsidR="001A0672" w:rsidRPr="00D410BA">
        <w:rPr>
          <w:rStyle w:val="Strong"/>
          <w:rFonts w:ascii="Arial" w:hAnsi="Arial" w:cs="Arial"/>
          <w:b w:val="0"/>
          <w:bCs w:val="0"/>
          <w:color w:val="000000"/>
          <w:shd w:val="clear" w:color="auto" w:fill="FFFFFF"/>
        </w:rPr>
        <w:t xml:space="preserve">&gt;&gt;, accessed on 8 July 2023. </w:t>
      </w:r>
      <w:r w:rsidR="00095E48" w:rsidRPr="00D410BA">
        <w:rPr>
          <w:rStyle w:val="Strong"/>
          <w:rFonts w:ascii="Arial" w:hAnsi="Arial" w:cs="Arial"/>
          <w:b w:val="0"/>
          <w:bCs w:val="0"/>
          <w:color w:val="000000"/>
          <w:shd w:val="clear" w:color="auto" w:fill="FFFFFF"/>
        </w:rPr>
        <w:t xml:space="preserve">Netherlands introduced a new Dutch scheme of arrangement. </w:t>
      </w:r>
      <w:r w:rsidR="001A0672" w:rsidRPr="00D410BA">
        <w:rPr>
          <w:rStyle w:val="Strong"/>
          <w:rFonts w:ascii="Arial" w:hAnsi="Arial" w:cs="Arial"/>
          <w:b w:val="0"/>
          <w:bCs w:val="0"/>
          <w:color w:val="000000"/>
          <w:shd w:val="clear" w:color="auto" w:fill="FFFFFF"/>
        </w:rPr>
        <w:t>For more details, see Berkenbosch, Jasper and</w:t>
      </w:r>
    </w:p>
    <w:p w14:paraId="780BCAD1" w14:textId="43F76A5C" w:rsidR="00F532E3" w:rsidRPr="00D410BA" w:rsidRDefault="001A0672" w:rsidP="001A0672">
      <w:pPr>
        <w:pStyle w:val="FootnoteText"/>
        <w:jc w:val="both"/>
        <w:rPr>
          <w:rFonts w:ascii="Arial" w:hAnsi="Arial" w:cs="Arial"/>
          <w:color w:val="000000"/>
          <w:shd w:val="clear" w:color="auto" w:fill="FFFFFF"/>
        </w:rPr>
      </w:pPr>
      <w:r w:rsidRPr="00D410BA">
        <w:rPr>
          <w:rStyle w:val="Strong"/>
          <w:rFonts w:ascii="Arial" w:hAnsi="Arial" w:cs="Arial"/>
          <w:b w:val="0"/>
          <w:bCs w:val="0"/>
          <w:color w:val="000000"/>
          <w:shd w:val="clear" w:color="auto" w:fill="FFFFFF"/>
        </w:rPr>
        <w:t>Pepels, Sid, “The Dutch Scheme is in Force: European Restructuring Practice on the Move!”, INSOL Europe – Inside Story (January 2021), at &lt;&lt;</w:t>
      </w:r>
      <w:hyperlink r:id="rId3" w:history="1">
        <w:r w:rsidRPr="00D410BA">
          <w:rPr>
            <w:rStyle w:val="Hyperlink"/>
            <w:rFonts w:ascii="Arial" w:hAnsi="Arial" w:cs="Arial"/>
            <w:shd w:val="clear" w:color="auto" w:fill="FFFFFF"/>
          </w:rPr>
          <w:t>https://www.insol-europe.org/download/documents/1941</w:t>
        </w:r>
      </w:hyperlink>
      <w:r w:rsidRPr="00D410BA">
        <w:rPr>
          <w:rStyle w:val="Strong"/>
          <w:rFonts w:ascii="Arial" w:hAnsi="Arial" w:cs="Arial"/>
          <w:b w:val="0"/>
          <w:bCs w:val="0"/>
          <w:color w:val="000000"/>
          <w:shd w:val="clear" w:color="auto" w:fill="FFFFFF"/>
        </w:rPr>
        <w:t xml:space="preserve">&gt;&gt;, accessed on 8 July 2023. </w:t>
      </w:r>
    </w:p>
    <w:bookmarkEnd w:id="2"/>
  </w:footnote>
  <w:footnote w:id="2">
    <w:p w14:paraId="4E4F0867" w14:textId="5B721352" w:rsidR="000477DA" w:rsidRPr="00D410BA" w:rsidRDefault="000477DA" w:rsidP="00CE4C40">
      <w:pPr>
        <w:pStyle w:val="FootnoteText"/>
        <w:jc w:val="both"/>
        <w:rPr>
          <w:rFonts w:ascii="Arial" w:hAnsi="Arial" w:cs="Arial"/>
        </w:rPr>
      </w:pPr>
      <w:r w:rsidRPr="00D410BA">
        <w:rPr>
          <w:rStyle w:val="FootnoteReference"/>
          <w:rFonts w:ascii="Arial" w:hAnsi="Arial" w:cs="Arial"/>
        </w:rPr>
        <w:footnoteRef/>
      </w:r>
      <w:r w:rsidRPr="00D410BA">
        <w:rPr>
          <w:rFonts w:ascii="Arial" w:hAnsi="Arial" w:cs="Arial"/>
        </w:rPr>
        <w:t xml:space="preserve"> McCormack, Gerard, </w:t>
      </w:r>
      <w:r w:rsidR="00CE4C40" w:rsidRPr="00D410BA">
        <w:rPr>
          <w:rFonts w:ascii="Arial" w:hAnsi="Arial" w:cs="Arial"/>
        </w:rPr>
        <w:t xml:space="preserve">“Bankruptcy Forum Shopping: The UK and US as Venues of Choice for Foreign Companies”, 63(4) The International and Comparative Law Quarterly 2014, p815, 827. </w:t>
      </w:r>
    </w:p>
  </w:footnote>
  <w:footnote w:id="3">
    <w:p w14:paraId="6A50CE69" w14:textId="1670BFBE" w:rsidR="007710C6" w:rsidRPr="00D410BA" w:rsidRDefault="007710C6"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9030C4" w:rsidRPr="00D410BA">
        <w:rPr>
          <w:rFonts w:ascii="Arial" w:hAnsi="Arial" w:cs="Arial"/>
        </w:rPr>
        <w:t xml:space="preserve">Administration is a reorganisation procedure under which a </w:t>
      </w:r>
      <w:r w:rsidR="00463A8D" w:rsidRPr="00D410BA">
        <w:rPr>
          <w:rFonts w:ascii="Arial" w:hAnsi="Arial" w:cs="Arial"/>
        </w:rPr>
        <w:t xml:space="preserve">company which is or is likely to become unable to pay its debt can reorganise or realise its assets for payment to creditors. A </w:t>
      </w:r>
      <w:r w:rsidR="009030C4" w:rsidRPr="00D410BA">
        <w:rPr>
          <w:rFonts w:ascii="Arial" w:hAnsi="Arial" w:cs="Arial"/>
        </w:rPr>
        <w:t>qualified insolvency professional is appointed as an administrator</w:t>
      </w:r>
      <w:r w:rsidR="00463A8D" w:rsidRPr="00D410BA">
        <w:rPr>
          <w:rFonts w:ascii="Arial" w:hAnsi="Arial" w:cs="Arial"/>
        </w:rPr>
        <w:t xml:space="preserve"> who takes over control of the debtor</w:t>
      </w:r>
      <w:r w:rsidR="009030C4" w:rsidRPr="00D410BA">
        <w:rPr>
          <w:rFonts w:ascii="Arial" w:hAnsi="Arial" w:cs="Arial"/>
        </w:rPr>
        <w:t xml:space="preserve"> </w:t>
      </w:r>
      <w:r w:rsidR="00463A8D" w:rsidRPr="00D410BA">
        <w:rPr>
          <w:rFonts w:ascii="Arial" w:hAnsi="Arial" w:cs="Arial"/>
        </w:rPr>
        <w:t xml:space="preserve">and achieve the objective of: (a) rescuing the company as a going concern, (b) achieve a better result for the creditors as a whole than would be likely if the company would be wound-up, and (c) realise the debtor’s property to make payments to its secured and preferential creditors. </w:t>
      </w:r>
    </w:p>
  </w:footnote>
  <w:footnote w:id="4">
    <w:p w14:paraId="3AE2FC61" w14:textId="7C2FAED7" w:rsidR="00463A8D" w:rsidRPr="00D410BA" w:rsidRDefault="00463A8D"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 xml:space="preserve">CVAs involve a binding arrangement between the debtor and its unsecured creditors. Secured creditors are not bound by CVAs unless they provide their consent. It requires </w:t>
      </w:r>
      <w:r w:rsidR="00E346F1" w:rsidRPr="00D410BA">
        <w:rPr>
          <w:rFonts w:ascii="Arial" w:hAnsi="Arial" w:cs="Arial"/>
          <w:lang w:val="en-GB"/>
        </w:rPr>
        <w:t xml:space="preserve">(a) </w:t>
      </w:r>
      <w:r w:rsidRPr="00D410BA">
        <w:rPr>
          <w:rFonts w:ascii="Arial" w:hAnsi="Arial" w:cs="Arial"/>
          <w:lang w:val="en-GB"/>
        </w:rPr>
        <w:t>the approval of at least 75% (by value) of the voting creditors and (b) it has not been rejected by more than 50% of ‘unconnected’ creditors.</w:t>
      </w:r>
    </w:p>
  </w:footnote>
  <w:footnote w:id="5">
    <w:p w14:paraId="5FA386F4" w14:textId="1D3DB979" w:rsidR="00384197" w:rsidRPr="00D410BA" w:rsidRDefault="00384197"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A scheme of arrangement involves a compromise or arrangement between the debtor and its creditors and </w:t>
      </w:r>
      <w:r w:rsidR="00E346F1" w:rsidRPr="00D410BA">
        <w:rPr>
          <w:rFonts w:ascii="Arial" w:hAnsi="Arial" w:cs="Arial"/>
        </w:rPr>
        <w:t>involves the</w:t>
      </w:r>
      <w:r w:rsidRPr="00D410BA">
        <w:rPr>
          <w:rFonts w:ascii="Arial" w:hAnsi="Arial" w:cs="Arial"/>
        </w:rPr>
        <w:t xml:space="preserve"> court at two stages: (a) first, the court convenes the creditor meetings; (b) once the creditors have approved the scheme, it is submitted to the court for its sanction. A scheme requires approval by majority in number and 75% in value of each class of creditors. </w:t>
      </w:r>
    </w:p>
  </w:footnote>
  <w:footnote w:id="6">
    <w:p w14:paraId="2F423834" w14:textId="640111A0" w:rsidR="00384197" w:rsidRPr="00D410BA" w:rsidRDefault="00384197"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 xml:space="preserve">A restructuring plan </w:t>
      </w:r>
      <w:r w:rsidR="00E53577" w:rsidRPr="00D410BA">
        <w:rPr>
          <w:rFonts w:ascii="Arial" w:hAnsi="Arial" w:cs="Arial"/>
          <w:lang w:val="en-GB"/>
        </w:rPr>
        <w:t xml:space="preserve">was introduced in 2020 and </w:t>
      </w:r>
      <w:r w:rsidRPr="00D410BA">
        <w:rPr>
          <w:rFonts w:ascii="Arial" w:hAnsi="Arial" w:cs="Arial"/>
          <w:lang w:val="en-GB"/>
        </w:rPr>
        <w:t>is similar to a scheme but differs in two key aspects: (a) it requires existence of some financial difficulty</w:t>
      </w:r>
      <w:r w:rsidR="00710646" w:rsidRPr="00D410BA">
        <w:rPr>
          <w:rFonts w:ascii="Arial" w:hAnsi="Arial" w:cs="Arial"/>
          <w:lang w:val="en-GB"/>
        </w:rPr>
        <w:t xml:space="preserve"> (i.e., the company must have encountered or should be likely to encounter financial difficulty which may affect its ability to conduct business as a going concern</w:t>
      </w:r>
      <w:r w:rsidR="00E346F1" w:rsidRPr="00D410BA">
        <w:rPr>
          <w:rFonts w:ascii="Arial" w:hAnsi="Arial" w:cs="Arial"/>
          <w:lang w:val="en-GB"/>
        </w:rPr>
        <w:t>)</w:t>
      </w:r>
      <w:r w:rsidRPr="00D410BA">
        <w:rPr>
          <w:rFonts w:ascii="Arial" w:hAnsi="Arial" w:cs="Arial"/>
          <w:lang w:val="en-GB"/>
        </w:rPr>
        <w:t xml:space="preserve"> and (b) permits cross-class cramdown of creditors provided certain conditions are met. </w:t>
      </w:r>
      <w:r w:rsidR="00710646" w:rsidRPr="00D410BA">
        <w:rPr>
          <w:rFonts w:ascii="Arial" w:hAnsi="Arial" w:cs="Arial"/>
          <w:lang w:val="en-GB"/>
        </w:rPr>
        <w:t xml:space="preserve">The plan needs approval of 75% (in value) of each class of creditors. </w:t>
      </w:r>
    </w:p>
  </w:footnote>
  <w:footnote w:id="7">
    <w:p w14:paraId="5A1A26AC" w14:textId="59829C3D" w:rsidR="002C5B05" w:rsidRPr="00D410BA" w:rsidRDefault="002C5B05" w:rsidP="00E43E63">
      <w:pPr>
        <w:pStyle w:val="FootnoteText"/>
        <w:jc w:val="both"/>
        <w:rPr>
          <w:rFonts w:ascii="Arial" w:hAnsi="Arial" w:cs="Arial"/>
        </w:rPr>
      </w:pPr>
      <w:r w:rsidRPr="00D410BA">
        <w:rPr>
          <w:rStyle w:val="FootnoteReference"/>
          <w:rFonts w:ascii="Arial" w:hAnsi="Arial" w:cs="Arial"/>
        </w:rPr>
        <w:footnoteRef/>
      </w:r>
      <w:r w:rsidRPr="00D410BA">
        <w:rPr>
          <w:rStyle w:val="FootnoteReference"/>
          <w:rFonts w:ascii="Arial" w:hAnsi="Arial" w:cs="Arial"/>
        </w:rPr>
        <w:t xml:space="preserve"> </w:t>
      </w:r>
      <w:r w:rsidRPr="00D410BA">
        <w:rPr>
          <w:rFonts w:ascii="Arial" w:hAnsi="Arial" w:cs="Arial"/>
          <w:lang w:val="en-GB"/>
        </w:rPr>
        <w:t>Main insolvency proceedings have universal scope and are aimed at encompassing all of the debtor's assets.</w:t>
      </w:r>
      <w:r w:rsidR="00E346F1" w:rsidRPr="00D410BA">
        <w:rPr>
          <w:rFonts w:ascii="Arial" w:hAnsi="Arial" w:cs="Arial"/>
          <w:lang w:val="en-GB"/>
        </w:rPr>
        <w:t xml:space="preserve"> See RIR, Recital 23.</w:t>
      </w:r>
      <w:r w:rsidR="00E346F1" w:rsidRPr="00D410BA">
        <w:rPr>
          <w:rFonts w:ascii="Arial" w:hAnsi="Arial" w:cs="Arial"/>
        </w:rPr>
        <w:t xml:space="preserve"> </w:t>
      </w:r>
    </w:p>
  </w:footnote>
  <w:footnote w:id="8">
    <w:p w14:paraId="11B7A12C" w14:textId="4183815A" w:rsidR="00384197" w:rsidRPr="00D410BA" w:rsidRDefault="00384197"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The place of the registered office of the debtor is presumed to its COMI. However, this presumption can be rebutted if the company's central administration is located in a jurisdiction other than its</w:t>
      </w:r>
      <w:r w:rsidR="001650C4" w:rsidRPr="00D410BA">
        <w:rPr>
          <w:rFonts w:ascii="Arial" w:hAnsi="Arial" w:cs="Arial"/>
        </w:rPr>
        <w:t xml:space="preserve"> </w:t>
      </w:r>
      <w:r w:rsidRPr="00D410BA">
        <w:rPr>
          <w:rFonts w:ascii="Arial" w:hAnsi="Arial" w:cs="Arial"/>
        </w:rPr>
        <w:t xml:space="preserve">registered office, and where it is established that the debtor’s centre of management and supervision and of management of its interests is in another jurisdiction in a manner that is ascertainable by third parties. See </w:t>
      </w:r>
      <w:r w:rsidR="006F7A77" w:rsidRPr="00D410BA">
        <w:rPr>
          <w:rFonts w:ascii="Arial" w:hAnsi="Arial" w:cs="Arial"/>
        </w:rPr>
        <w:t xml:space="preserve">Regulation (EU) 2015/848, Recital 30. </w:t>
      </w:r>
    </w:p>
  </w:footnote>
  <w:footnote w:id="9">
    <w:p w14:paraId="17335996" w14:textId="1ADE7FD0" w:rsidR="00C11B59" w:rsidRPr="00D410BA" w:rsidRDefault="00C11B59"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Regulation (EU) 2015/848, Article 19 and 32.</w:t>
      </w:r>
    </w:p>
  </w:footnote>
  <w:footnote w:id="10">
    <w:p w14:paraId="68CC79D2" w14:textId="6BCD23D8" w:rsidR="002C5B05" w:rsidRPr="00D410BA" w:rsidRDefault="002C5B05"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5975D3" w:rsidRPr="00D410BA">
        <w:rPr>
          <w:rFonts w:ascii="Arial" w:hAnsi="Arial" w:cs="Arial"/>
        </w:rPr>
        <w:t xml:space="preserve">Agreement on the withdrawal of the United Kingdom of Great Britain and Northern Ireland from the European Union and the European Atomic Energy Community, Article 67(3)(c). </w:t>
      </w:r>
    </w:p>
  </w:footnote>
  <w:footnote w:id="11">
    <w:p w14:paraId="2CD68F8E" w14:textId="26703C4A" w:rsidR="00E346F1" w:rsidRPr="00D410BA" w:rsidRDefault="00E346F1"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Article 2(10) of RIR defines ‘establishment’ as “</w:t>
      </w:r>
      <w:r w:rsidRPr="00D410BA">
        <w:rPr>
          <w:rFonts w:ascii="Arial" w:hAnsi="Arial" w:cs="Arial"/>
          <w:i/>
          <w:iCs/>
        </w:rPr>
        <w:t>any place of operations where a debtor carries out or has carried out in the 3-month period prior to the request to open main insolvency proceedings a non-transitory economic activity with human means and assets</w:t>
      </w:r>
      <w:r w:rsidRPr="00D410BA">
        <w:rPr>
          <w:rFonts w:ascii="Arial" w:hAnsi="Arial" w:cs="Arial"/>
        </w:rPr>
        <w:t xml:space="preserve">”. </w:t>
      </w:r>
    </w:p>
  </w:footnote>
  <w:footnote w:id="12">
    <w:p w14:paraId="1387FA33" w14:textId="26D21354" w:rsidR="00E346F1" w:rsidRPr="00D410BA" w:rsidRDefault="00E346F1"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5975D3" w:rsidRPr="00D410BA">
        <w:rPr>
          <w:rFonts w:ascii="Arial" w:hAnsi="Arial" w:cs="Arial"/>
          <w:lang w:val="en-GB"/>
        </w:rPr>
        <w:t xml:space="preserve">Insolvency (Amendment) (EU Exit) Regulations 2019, Schedule, Part 1, para 2(1A) and (1B). </w:t>
      </w:r>
    </w:p>
  </w:footnote>
  <w:footnote w:id="13">
    <w:p w14:paraId="456625F2" w14:textId="7900D7A9" w:rsidR="00312A40" w:rsidRPr="00D410BA" w:rsidRDefault="00312A40"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C52EF3" w:rsidRPr="00D410BA">
        <w:rPr>
          <w:rFonts w:ascii="Arial" w:hAnsi="Arial" w:cs="Arial"/>
        </w:rPr>
        <w:t>Dengler, Jente</w:t>
      </w:r>
      <w:r w:rsidRPr="00D410BA">
        <w:rPr>
          <w:rFonts w:ascii="Arial" w:hAnsi="Arial" w:cs="Arial"/>
        </w:rPr>
        <w:t xml:space="preserve">, “Debt restructuring in the UK and Spain: Is the grass still greener on the other side?”, p17 at &lt;&lt; </w:t>
      </w:r>
      <w:hyperlink r:id="rId4" w:history="1">
        <w:r w:rsidRPr="00D410BA">
          <w:rPr>
            <w:rStyle w:val="Hyperlink"/>
            <w:rFonts w:ascii="Arial" w:hAnsi="Arial" w:cs="Arial"/>
          </w:rPr>
          <w:t>https://www.iiiglobal.org/file.cfm/12/docs/2019_gold_jente_dengler.pdf</w:t>
        </w:r>
      </w:hyperlink>
      <w:r w:rsidRPr="00D410BA">
        <w:rPr>
          <w:rFonts w:ascii="Arial" w:hAnsi="Arial" w:cs="Arial"/>
        </w:rPr>
        <w:t xml:space="preserve">&gt;&gt;, accessed on 7 July 2023. </w:t>
      </w:r>
    </w:p>
  </w:footnote>
  <w:footnote w:id="14">
    <w:p w14:paraId="1A463A59" w14:textId="7F359A78" w:rsidR="005975D3" w:rsidRPr="00D410BA" w:rsidRDefault="005975D3" w:rsidP="00E43E63">
      <w:pPr>
        <w:pStyle w:val="FootnoteText"/>
        <w:jc w:val="both"/>
        <w:rPr>
          <w:rFonts w:ascii="Arial" w:hAnsi="Arial" w:cs="Arial"/>
        </w:rPr>
      </w:pPr>
      <w:r w:rsidRPr="00D410BA">
        <w:rPr>
          <w:rStyle w:val="FootnoteReference"/>
          <w:rFonts w:ascii="Arial" w:hAnsi="Arial" w:cs="Arial"/>
        </w:rPr>
        <w:footnoteRef/>
      </w:r>
      <w:r w:rsidRPr="00D410BA">
        <w:rPr>
          <w:rFonts w:ascii="Arial" w:hAnsi="Arial" w:cs="Arial"/>
        </w:rPr>
        <w:t xml:space="preserve"> </w:t>
      </w:r>
      <w:r w:rsidR="001650C4" w:rsidRPr="00D410BA">
        <w:rPr>
          <w:rFonts w:ascii="Arial" w:hAnsi="Arial" w:cs="Arial"/>
        </w:rPr>
        <w:t>Couwenberg, O., &amp; Lubben, S. J., “Corporate Bankruptcy Tourists”, 70(3) The Business Lawyer 2015, p719, 724</w:t>
      </w:r>
      <w:r w:rsidR="001650C4" w:rsidRPr="00D410BA">
        <w:rPr>
          <w:rFonts w:ascii="Arial" w:hAnsi="Arial" w:cs="Arial"/>
        </w:rPr>
        <w:t xml:space="preserve">, </w:t>
      </w:r>
      <w:r w:rsidRPr="00D410BA">
        <w:rPr>
          <w:rFonts w:ascii="Arial" w:hAnsi="Arial" w:cs="Arial"/>
        </w:rPr>
        <w:t>Chan Ho, Look, “Making and Enforcing International Schemes of Arrangement” 26 Journal of International Banking Law and Regulation 2011, p434.</w:t>
      </w:r>
    </w:p>
  </w:footnote>
  <w:footnote w:id="15">
    <w:p w14:paraId="26C64DB6" w14:textId="0E597082" w:rsidR="00F92830" w:rsidRPr="00D410BA" w:rsidRDefault="00F92830"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Examples include the Hong Kong Airlines and </w:t>
      </w:r>
      <w:r w:rsidR="00F11F90" w:rsidRPr="00D410BA">
        <w:rPr>
          <w:rFonts w:ascii="Arial" w:hAnsi="Arial" w:cs="Arial"/>
        </w:rPr>
        <w:t>Smile Telecoms</w:t>
      </w:r>
      <w:r w:rsidR="009440AB" w:rsidRPr="00D410BA">
        <w:rPr>
          <w:rFonts w:ascii="Arial" w:hAnsi="Arial" w:cs="Arial"/>
        </w:rPr>
        <w:t>.</w:t>
      </w:r>
    </w:p>
  </w:footnote>
  <w:footnote w:id="16">
    <w:p w14:paraId="7EDCD580" w14:textId="2BDEA79E" w:rsidR="006108D5" w:rsidRPr="00D410BA" w:rsidRDefault="006108D5"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US Bankruptcy Code, title 11</w:t>
      </w:r>
      <w:r w:rsidR="00E43E63" w:rsidRPr="00D410BA">
        <w:rPr>
          <w:rFonts w:ascii="Arial" w:hAnsi="Arial" w:cs="Arial"/>
          <w:lang w:val="en-GB"/>
        </w:rPr>
        <w:t>,</w:t>
      </w:r>
      <w:r w:rsidRPr="00D410BA">
        <w:rPr>
          <w:rFonts w:ascii="Arial" w:hAnsi="Arial" w:cs="Arial"/>
          <w:lang w:val="en-GB"/>
        </w:rPr>
        <w:t xml:space="preserve"> s109(a).</w:t>
      </w:r>
    </w:p>
  </w:footnote>
  <w:footnote w:id="17">
    <w:p w14:paraId="5EE09A84" w14:textId="02EF28F0" w:rsidR="0073511D" w:rsidRPr="00D410BA" w:rsidRDefault="0073511D" w:rsidP="00E43E63">
      <w:pPr>
        <w:pStyle w:val="FootnoteText"/>
        <w:jc w:val="both"/>
        <w:rPr>
          <w:rFonts w:ascii="Arial" w:hAnsi="Arial" w:cs="Arial"/>
          <w:lang w:val="en-GB"/>
        </w:rPr>
      </w:pPr>
      <w:r w:rsidRPr="00D410BA">
        <w:rPr>
          <w:rStyle w:val="FootnoteReference"/>
          <w:rFonts w:ascii="Arial" w:hAnsi="Arial" w:cs="Arial"/>
        </w:rPr>
        <w:footnoteRef/>
      </w:r>
      <w:r w:rsidRPr="00D410BA">
        <w:rPr>
          <w:rStyle w:val="FootnoteReference"/>
          <w:rFonts w:ascii="Arial" w:hAnsi="Arial" w:cs="Arial"/>
        </w:rPr>
        <w:t xml:space="preserve"> </w:t>
      </w:r>
      <w:r w:rsidRPr="00D410BA">
        <w:rPr>
          <w:rFonts w:ascii="Arial" w:hAnsi="Arial" w:cs="Arial"/>
          <w:lang w:val="en-GB"/>
        </w:rPr>
        <w:t xml:space="preserve">The provision does not require the debtor to have a ‘principal’ place of business in the US, </w:t>
      </w:r>
      <w:r w:rsidR="00967CEE" w:rsidRPr="00D410BA">
        <w:rPr>
          <w:rFonts w:ascii="Arial" w:hAnsi="Arial" w:cs="Arial"/>
          <w:lang w:val="en-GB"/>
        </w:rPr>
        <w:t>having ‘a’</w:t>
      </w:r>
      <w:r w:rsidRPr="00D410BA">
        <w:rPr>
          <w:rFonts w:ascii="Arial" w:hAnsi="Arial" w:cs="Arial"/>
          <w:lang w:val="en-GB"/>
        </w:rPr>
        <w:t xml:space="preserve"> place of business is sufficient to meet this requirement. See </w:t>
      </w:r>
      <w:r w:rsidR="00967CEE" w:rsidRPr="00D410BA">
        <w:rPr>
          <w:rFonts w:ascii="Arial" w:hAnsi="Arial" w:cs="Arial"/>
          <w:lang w:val="en-GB"/>
        </w:rPr>
        <w:t>In re Paper I Partners, L.P. 283 B.R. 661 (Bankr. S.D.N.Y. 2002).</w:t>
      </w:r>
    </w:p>
  </w:footnote>
  <w:footnote w:id="18">
    <w:p w14:paraId="7AA348DD" w14:textId="0E146AED" w:rsidR="00EB6ED0" w:rsidRPr="00D410BA" w:rsidRDefault="00EB6ED0"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In re Northshore Mainland Servs., Inc., </w:t>
      </w:r>
      <w:r w:rsidRPr="00D410BA">
        <w:rPr>
          <w:rFonts w:ascii="Arial" w:hAnsi="Arial" w:cs="Arial"/>
          <w:color w:val="212121"/>
          <w:shd w:val="clear" w:color="auto" w:fill="FFFFFF"/>
        </w:rPr>
        <w:t>537 B.R. 192 (Bankr. D. Del. 2015), In Matter of Axona Int'l Credit &amp; Commerce Ltd., 88 B.R. 597 (Bankr. S.D.N.Y. 1988)</w:t>
      </w:r>
      <w:r w:rsidR="008176A7" w:rsidRPr="00D410BA">
        <w:rPr>
          <w:rFonts w:ascii="Arial" w:hAnsi="Arial" w:cs="Arial"/>
          <w:color w:val="212121"/>
          <w:shd w:val="clear" w:color="auto" w:fill="FFFFFF"/>
        </w:rPr>
        <w:t>.</w:t>
      </w:r>
      <w:r w:rsidRPr="00D410BA">
        <w:rPr>
          <w:rFonts w:ascii="Arial" w:hAnsi="Arial" w:cs="Arial"/>
          <w:color w:val="212121"/>
          <w:shd w:val="clear" w:color="auto" w:fill="FFFFFF"/>
        </w:rPr>
        <w:t xml:space="preserve"> </w:t>
      </w:r>
    </w:p>
  </w:footnote>
  <w:footnote w:id="19">
    <w:p w14:paraId="1251E4D0" w14:textId="6A963156" w:rsidR="008113D6" w:rsidRPr="00D410BA" w:rsidRDefault="008113D6"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In re Aerovias Nacionales de Colombia S.A. Avianca</w:t>
      </w:r>
      <w:r w:rsidR="00F24336" w:rsidRPr="00D410BA">
        <w:rPr>
          <w:rFonts w:ascii="Arial" w:hAnsi="Arial" w:cs="Arial"/>
          <w:lang w:val="en-GB"/>
        </w:rPr>
        <w:t xml:space="preserve"> </w:t>
      </w:r>
      <w:r w:rsidR="00F24336" w:rsidRPr="00D410BA">
        <w:rPr>
          <w:rFonts w:ascii="Arial" w:hAnsi="Arial" w:cs="Arial"/>
        </w:rPr>
        <w:t>303 B.R. 1 (Bankr. S.D.N.Y. 2003)</w:t>
      </w:r>
      <w:r w:rsidR="007A1910" w:rsidRPr="00D410BA">
        <w:rPr>
          <w:rFonts w:ascii="Arial" w:hAnsi="Arial" w:cs="Arial"/>
        </w:rPr>
        <w:t>.</w:t>
      </w:r>
    </w:p>
  </w:footnote>
  <w:footnote w:id="20">
    <w:p w14:paraId="0F21B98E" w14:textId="4056B35B" w:rsidR="002F4F97" w:rsidRPr="00D410BA" w:rsidRDefault="002F4F97"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198 B.R. 428 (Bankr. W.D.N.Y. 1996)</w:t>
      </w:r>
      <w:r w:rsidR="008176A7" w:rsidRPr="00D410BA">
        <w:rPr>
          <w:rFonts w:ascii="Arial" w:hAnsi="Arial" w:cs="Arial"/>
        </w:rPr>
        <w:t>.</w:t>
      </w:r>
    </w:p>
  </w:footnote>
  <w:footnote w:id="21">
    <w:p w14:paraId="2BE6E0A9" w14:textId="68515AA9" w:rsidR="00CC3AEC" w:rsidRPr="00D410BA" w:rsidRDefault="00CC3AEC"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i/>
          <w:iCs/>
          <w:lang w:val="en-GB"/>
        </w:rPr>
        <w:t>Ibid</w:t>
      </w:r>
      <w:r w:rsidRPr="00D410BA">
        <w:rPr>
          <w:rFonts w:ascii="Arial" w:hAnsi="Arial" w:cs="Arial"/>
          <w:lang w:val="en-GB"/>
        </w:rPr>
        <w:t xml:space="preserve"> at 432. </w:t>
      </w:r>
    </w:p>
  </w:footnote>
  <w:footnote w:id="22">
    <w:p w14:paraId="541B1C48" w14:textId="592B8FCF" w:rsidR="00542320" w:rsidRPr="00D410BA" w:rsidRDefault="00542320"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In re Paper I Partners, L.P. 283 B.R. 661 (Bankr. S.D.N.Y. 2002)</w:t>
      </w:r>
      <w:r w:rsidR="008176A7" w:rsidRPr="00D410BA">
        <w:rPr>
          <w:rFonts w:ascii="Arial" w:hAnsi="Arial" w:cs="Arial"/>
          <w:lang w:val="en-GB"/>
        </w:rPr>
        <w:t>.</w:t>
      </w:r>
    </w:p>
  </w:footnote>
  <w:footnote w:id="23">
    <w:p w14:paraId="32D5A352" w14:textId="7738EBA9" w:rsidR="00564598" w:rsidRPr="00D410BA" w:rsidRDefault="00564598"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In re Northshore Mainland Servs., Inc., </w:t>
      </w:r>
      <w:r w:rsidRPr="00D410BA">
        <w:rPr>
          <w:rFonts w:ascii="Arial" w:hAnsi="Arial" w:cs="Arial"/>
          <w:color w:val="212121"/>
          <w:shd w:val="clear" w:color="auto" w:fill="FFFFFF"/>
        </w:rPr>
        <w:t>537 B.R. 192 (Bankr. D. Del. 2015)</w:t>
      </w:r>
      <w:r w:rsidR="006108D5" w:rsidRPr="00D410BA">
        <w:rPr>
          <w:rFonts w:ascii="Arial" w:hAnsi="Arial" w:cs="Arial"/>
          <w:color w:val="212121"/>
          <w:shd w:val="clear" w:color="auto" w:fill="FFFFFF"/>
        </w:rPr>
        <w:t>, Bank of America, N.T. S.A. v. World of English 23 B.R. 1015 (Bankr. N.D. Ga. 1982)</w:t>
      </w:r>
      <w:r w:rsidR="008176A7" w:rsidRPr="00D410BA">
        <w:rPr>
          <w:rFonts w:ascii="Arial" w:hAnsi="Arial" w:cs="Arial"/>
          <w:color w:val="212121"/>
          <w:shd w:val="clear" w:color="auto" w:fill="FFFFFF"/>
        </w:rPr>
        <w:t>.</w:t>
      </w:r>
    </w:p>
  </w:footnote>
  <w:footnote w:id="24">
    <w:p w14:paraId="5F14D4B9" w14:textId="5DB5AF13" w:rsidR="008F5FED" w:rsidRPr="00D410BA" w:rsidRDefault="008F5FED"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In re Global Ocean Carriers Limited, et al., 251 B.R. 31 </w:t>
      </w:r>
      <w:r w:rsidRPr="00D410BA">
        <w:rPr>
          <w:rFonts w:ascii="Arial" w:hAnsi="Arial" w:cs="Arial"/>
          <w:color w:val="212121"/>
          <w:shd w:val="clear" w:color="auto" w:fill="FFFFFF"/>
        </w:rPr>
        <w:t>(Bankr. D. Del. Jul. 5, 2000)</w:t>
      </w:r>
      <w:r w:rsidR="008176A7" w:rsidRPr="00D410BA">
        <w:rPr>
          <w:rFonts w:ascii="Arial" w:hAnsi="Arial" w:cs="Arial"/>
          <w:color w:val="212121"/>
          <w:shd w:val="clear" w:color="auto" w:fill="FFFFFF"/>
        </w:rPr>
        <w:t>.</w:t>
      </w:r>
    </w:p>
  </w:footnote>
  <w:footnote w:id="25">
    <w:p w14:paraId="201717F8" w14:textId="1E0A4F56" w:rsidR="008113D6" w:rsidRPr="00D410BA" w:rsidRDefault="008113D6"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8176A7" w:rsidRPr="00D410BA">
        <w:rPr>
          <w:rFonts w:ascii="Arial" w:hAnsi="Arial" w:cs="Arial"/>
        </w:rPr>
        <w:t>In re Global Ocean Carriers Limited, et al., 251 B.R. 31</w:t>
      </w:r>
      <w:r w:rsidR="008176A7" w:rsidRPr="00D410BA">
        <w:rPr>
          <w:rFonts w:ascii="Arial" w:hAnsi="Arial" w:cs="Arial"/>
        </w:rPr>
        <w:t xml:space="preserve"> </w:t>
      </w:r>
      <w:r w:rsidR="008176A7" w:rsidRPr="00D410BA">
        <w:rPr>
          <w:rFonts w:ascii="Arial" w:hAnsi="Arial" w:cs="Arial"/>
          <w:color w:val="212121"/>
          <w:shd w:val="clear" w:color="auto" w:fill="FFFFFF"/>
        </w:rPr>
        <w:t>(Bankr. D. Del. Jul. 5, 2000)</w:t>
      </w:r>
      <w:r w:rsidR="008176A7" w:rsidRPr="00D410BA">
        <w:rPr>
          <w:rFonts w:ascii="Arial" w:hAnsi="Arial" w:cs="Arial"/>
          <w:lang w:val="en-GB"/>
        </w:rPr>
        <w:t xml:space="preserve"> and </w:t>
      </w:r>
      <w:r w:rsidR="008176A7" w:rsidRPr="00D410BA">
        <w:rPr>
          <w:rFonts w:ascii="Arial" w:hAnsi="Arial" w:cs="Arial"/>
        </w:rPr>
        <w:t>In re JPA No. 111 Co., Ltd., No. 21-12075 (DSJ) (Bankr. S.D.N.Y. Feb. 1, 2022)</w:t>
      </w:r>
      <w:r w:rsidR="008176A7" w:rsidRPr="00D410BA">
        <w:rPr>
          <w:rFonts w:ascii="Arial" w:hAnsi="Arial" w:cs="Arial"/>
        </w:rPr>
        <w:t>.</w:t>
      </w:r>
    </w:p>
  </w:footnote>
  <w:footnote w:id="26">
    <w:p w14:paraId="14F35631" w14:textId="0C924B25" w:rsidR="00E911F8" w:rsidRPr="00D410BA" w:rsidRDefault="00E911F8"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303 B.R. 1 (Bankr. S.D.N.Y. 2003)</w:t>
      </w:r>
      <w:r w:rsidR="008176A7" w:rsidRPr="00D410BA">
        <w:rPr>
          <w:rFonts w:ascii="Arial" w:hAnsi="Arial" w:cs="Arial"/>
        </w:rPr>
        <w:t>.</w:t>
      </w:r>
    </w:p>
  </w:footnote>
  <w:footnote w:id="27">
    <w:p w14:paraId="563E4754" w14:textId="6359870E" w:rsidR="00E911F8" w:rsidRPr="00D410BA" w:rsidRDefault="00E911F8"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L. King, Collier on Bankruptcy, ¶ 109.02 [3] (15th ed. rev. 2003)</w:t>
      </w:r>
      <w:r w:rsidR="008176A7" w:rsidRPr="00D410BA">
        <w:rPr>
          <w:rFonts w:ascii="Arial" w:hAnsi="Arial" w:cs="Arial"/>
        </w:rPr>
        <w:t>.</w:t>
      </w:r>
    </w:p>
  </w:footnote>
  <w:footnote w:id="28">
    <w:p w14:paraId="1D506CB8" w14:textId="4C537966" w:rsidR="00D86CC1" w:rsidRPr="00D410BA" w:rsidRDefault="00D86CC1" w:rsidP="00E43E63">
      <w:pPr>
        <w:pStyle w:val="FootnoteText"/>
        <w:jc w:val="both"/>
        <w:rPr>
          <w:rFonts w:ascii="Arial" w:hAnsi="Arial" w:cs="Arial"/>
          <w:i/>
          <w:iCs/>
          <w:lang w:val="en-GB"/>
        </w:rPr>
      </w:pPr>
      <w:r w:rsidRPr="00D410BA">
        <w:rPr>
          <w:rStyle w:val="FootnoteReference"/>
          <w:rFonts w:ascii="Arial" w:hAnsi="Arial" w:cs="Arial"/>
        </w:rPr>
        <w:footnoteRef/>
      </w:r>
      <w:r w:rsidRPr="00D410BA">
        <w:rPr>
          <w:rStyle w:val="FootnoteReference"/>
          <w:rFonts w:ascii="Arial" w:hAnsi="Arial" w:cs="Arial"/>
        </w:rPr>
        <w:t xml:space="preserve"> </w:t>
      </w:r>
      <w:r w:rsidRPr="00D410BA">
        <w:rPr>
          <w:rFonts w:ascii="Arial" w:hAnsi="Arial" w:cs="Arial"/>
        </w:rPr>
        <w:t>In re Selectron Management Corp. Case No. 10-75320-dte (Bankr. E.D.N.Y. Sep. 27, 2010) note</w:t>
      </w:r>
      <w:r w:rsidR="00064469" w:rsidRPr="00D410BA">
        <w:rPr>
          <w:rFonts w:ascii="Arial" w:hAnsi="Arial" w:cs="Arial"/>
        </w:rPr>
        <w:t>d</w:t>
      </w:r>
      <w:r w:rsidRPr="00D410BA">
        <w:rPr>
          <w:rFonts w:ascii="Arial" w:hAnsi="Arial" w:cs="Arial"/>
        </w:rPr>
        <w:t xml:space="preserve"> that abstention under section 305 has been held to be an “extraordinary remedy”. Factors considered by the court in this regard are: “</w:t>
      </w:r>
      <w:r w:rsidRPr="00D410BA">
        <w:rPr>
          <w:rFonts w:ascii="Arial" w:hAnsi="Arial" w:cs="Arial"/>
          <w:i/>
          <w:iCs/>
        </w:rPr>
        <w:t>(1) the economy and efficiency of administration; (2) whether another forum is available to protect the interests of both parties or there is already a pending proceeding in state court; (3) whether federal proceedings are necessary to reach a just and equitable solution; (4) whether there is an alternative means of achieving an equitable distribution of assets; (5) whether the debtor and the creditors are able to work out a less expensive out-of-court arrangement which better serves all interests in the case; (6) whether a non-federal insolvency has proceeded so far in those proceedings that it would be costly and time consuming to start afresh with the federal bankruptcy process; and (7) the purpose for which bankruptcy jurisdiction has been sought.</w:t>
      </w:r>
      <w:r w:rsidRPr="00D410BA">
        <w:rPr>
          <w:rFonts w:ascii="Arial" w:hAnsi="Arial" w:cs="Arial"/>
          <w:i/>
          <w:iCs/>
          <w:color w:val="212121"/>
          <w:shd w:val="clear" w:color="auto" w:fill="FAFAFA"/>
        </w:rPr>
        <w:t> </w:t>
      </w:r>
      <w:r w:rsidR="00064469" w:rsidRPr="00D410BA">
        <w:rPr>
          <w:rFonts w:ascii="Arial" w:hAnsi="Arial" w:cs="Arial"/>
        </w:rPr>
        <w:t xml:space="preserve">For example of dismissal under section 305 see </w:t>
      </w:r>
      <w:r w:rsidR="00064469" w:rsidRPr="00D410BA">
        <w:rPr>
          <w:rFonts w:ascii="Arial" w:hAnsi="Arial" w:cs="Arial"/>
          <w:i/>
          <w:iCs/>
        </w:rPr>
        <w:t>In re Northshore Mainland Servs.</w:t>
      </w:r>
      <w:r w:rsidR="00064469" w:rsidRPr="00D410BA">
        <w:rPr>
          <w:rFonts w:ascii="Arial" w:hAnsi="Arial" w:cs="Arial"/>
        </w:rPr>
        <w:t>, Inc.</w:t>
      </w:r>
    </w:p>
  </w:footnote>
  <w:footnote w:id="29">
    <w:p w14:paraId="2CD61716" w14:textId="72DFBA25" w:rsidR="00564598" w:rsidRPr="00D410BA" w:rsidRDefault="00564598"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5E74C7" w:rsidRPr="00D410BA">
        <w:rPr>
          <w:rFonts w:ascii="Arial" w:hAnsi="Arial" w:cs="Arial"/>
          <w:lang w:val="en-GB"/>
        </w:rPr>
        <w:t xml:space="preserve">Section 1112(b)(4) provides </w:t>
      </w:r>
      <w:r w:rsidR="004449F3" w:rsidRPr="00D410BA">
        <w:rPr>
          <w:rFonts w:ascii="Arial" w:hAnsi="Arial" w:cs="Arial"/>
          <w:lang w:val="en-GB"/>
        </w:rPr>
        <w:t>an</w:t>
      </w:r>
      <w:r w:rsidR="005E74C7" w:rsidRPr="00D410BA">
        <w:rPr>
          <w:rFonts w:ascii="Arial" w:hAnsi="Arial" w:cs="Arial"/>
          <w:lang w:val="en-GB"/>
        </w:rPr>
        <w:t xml:space="preserve"> inclusive list of what may qualify as ‘cause’</w:t>
      </w:r>
      <w:r w:rsidR="004449F3" w:rsidRPr="00D410BA">
        <w:rPr>
          <w:rFonts w:ascii="Arial" w:hAnsi="Arial" w:cs="Arial"/>
        </w:rPr>
        <w:t>.</w:t>
      </w:r>
    </w:p>
  </w:footnote>
  <w:footnote w:id="30">
    <w:p w14:paraId="5F68960F" w14:textId="5E9DDFB9" w:rsidR="00ED640C" w:rsidRPr="00D410BA" w:rsidRDefault="00ED640C"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5E74C7" w:rsidRPr="00D410BA">
        <w:rPr>
          <w:rFonts w:ascii="Arial" w:hAnsi="Arial" w:cs="Arial"/>
        </w:rPr>
        <w:t xml:space="preserve">In re SGL Carbon Corp. </w:t>
      </w:r>
      <w:r w:rsidR="005E74C7" w:rsidRPr="00D410BA">
        <w:rPr>
          <w:rFonts w:ascii="Arial" w:hAnsi="Arial" w:cs="Arial"/>
          <w:color w:val="212121"/>
          <w:shd w:val="clear" w:color="auto" w:fill="FFFFFF"/>
        </w:rPr>
        <w:t>200 F.3d 154 (3d Cir. 1999)</w:t>
      </w:r>
      <w:r w:rsidR="006A51E4" w:rsidRPr="00D410BA">
        <w:rPr>
          <w:rFonts w:ascii="Arial" w:hAnsi="Arial" w:cs="Arial"/>
          <w:color w:val="212121"/>
          <w:shd w:val="clear" w:color="auto" w:fill="FFFFFF"/>
        </w:rPr>
        <w:t>.</w:t>
      </w:r>
    </w:p>
  </w:footnote>
  <w:footnote w:id="31">
    <w:p w14:paraId="50964C43" w14:textId="41FD9175" w:rsidR="0089753A" w:rsidRPr="00D410BA" w:rsidRDefault="0089753A"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In Re Integrated Telecom Express, Inc. 384 F.3d 108 (2004)</w:t>
      </w:r>
    </w:p>
  </w:footnote>
  <w:footnote w:id="32">
    <w:p w14:paraId="05365CD8" w14:textId="6470563D" w:rsidR="007F645F" w:rsidRPr="00D410BA" w:rsidRDefault="007F645F"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321 B.R. 396 (Bankr. S.D. Tex. 2005).</w:t>
      </w:r>
    </w:p>
  </w:footnote>
  <w:footnote w:id="33">
    <w:p w14:paraId="6A976637" w14:textId="34EE53CA" w:rsidR="008176A7" w:rsidRPr="00D410BA" w:rsidRDefault="008176A7"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i/>
          <w:iCs/>
          <w:lang w:val="en-GB"/>
        </w:rPr>
        <w:t>Ibid</w:t>
      </w:r>
      <w:r w:rsidRPr="00D410BA">
        <w:rPr>
          <w:rFonts w:ascii="Arial" w:hAnsi="Arial" w:cs="Arial"/>
          <w:lang w:val="en-GB"/>
        </w:rPr>
        <w:t xml:space="preserve">. </w:t>
      </w:r>
    </w:p>
  </w:footnote>
  <w:footnote w:id="34">
    <w:p w14:paraId="6A42D8FE" w14:textId="251726F5" w:rsidR="00CF4C42" w:rsidRPr="00D410BA" w:rsidRDefault="00CF4C42"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Companies Act 2006, s</w:t>
      </w:r>
      <w:r w:rsidR="00843C51" w:rsidRPr="00D410BA">
        <w:rPr>
          <w:rFonts w:ascii="Arial" w:hAnsi="Arial" w:cs="Arial"/>
          <w:lang w:val="en-GB"/>
        </w:rPr>
        <w:t>s</w:t>
      </w:r>
      <w:r w:rsidRPr="00D410BA">
        <w:rPr>
          <w:rFonts w:ascii="Arial" w:hAnsi="Arial" w:cs="Arial"/>
          <w:lang w:val="en-GB"/>
        </w:rPr>
        <w:t xml:space="preserve"> 895(2)</w:t>
      </w:r>
      <w:r w:rsidR="001C19C9" w:rsidRPr="00D410BA">
        <w:rPr>
          <w:rFonts w:ascii="Arial" w:hAnsi="Arial" w:cs="Arial"/>
          <w:lang w:val="en-GB"/>
        </w:rPr>
        <w:t>(b)</w:t>
      </w:r>
      <w:r w:rsidR="00843C51" w:rsidRPr="00D410BA">
        <w:rPr>
          <w:rFonts w:ascii="Arial" w:hAnsi="Arial" w:cs="Arial"/>
          <w:lang w:val="en-GB"/>
        </w:rPr>
        <w:t xml:space="preserve"> and 901A(4)(b)</w:t>
      </w:r>
      <w:r w:rsidRPr="00D410BA">
        <w:rPr>
          <w:rFonts w:ascii="Arial" w:hAnsi="Arial" w:cs="Arial"/>
          <w:lang w:val="en-GB"/>
        </w:rPr>
        <w:t>.</w:t>
      </w:r>
    </w:p>
  </w:footnote>
  <w:footnote w:id="35">
    <w:p w14:paraId="6A9DD679" w14:textId="77777777" w:rsidR="00037564" w:rsidRPr="00D410BA" w:rsidRDefault="00037564"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Re Drax Holdings [2004] 1 WLR 1049.</w:t>
      </w:r>
    </w:p>
  </w:footnote>
  <w:footnote w:id="36">
    <w:p w14:paraId="4FB44326" w14:textId="0750605E" w:rsidR="00037564" w:rsidRPr="00D410BA" w:rsidRDefault="00037564"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i/>
          <w:iCs/>
          <w:lang w:val="en-GB"/>
        </w:rPr>
        <w:t xml:space="preserve">Re </w:t>
      </w:r>
      <w:r w:rsidRPr="00D410BA">
        <w:rPr>
          <w:rFonts w:ascii="Arial" w:hAnsi="Arial" w:cs="Arial"/>
          <w:lang w:val="en-GB"/>
        </w:rPr>
        <w:t>Rodenstock GmbH</w:t>
      </w:r>
      <w:r w:rsidRPr="00D410BA">
        <w:rPr>
          <w:rFonts w:ascii="Arial" w:hAnsi="Arial" w:cs="Arial"/>
          <w:i/>
          <w:iCs/>
          <w:lang w:val="en-GB"/>
        </w:rPr>
        <w:t xml:space="preserve"> </w:t>
      </w:r>
      <w:r w:rsidRPr="00D410BA">
        <w:rPr>
          <w:rFonts w:ascii="Arial" w:hAnsi="Arial" w:cs="Arial"/>
          <w:lang w:val="en-GB"/>
        </w:rPr>
        <w:t>[2011] EWHC 1104</w:t>
      </w:r>
      <w:r w:rsidR="00C52EF3" w:rsidRPr="00D410BA">
        <w:rPr>
          <w:rFonts w:ascii="Arial" w:hAnsi="Arial" w:cs="Arial"/>
          <w:lang w:val="en-GB"/>
        </w:rPr>
        <w:t xml:space="preserve">, </w:t>
      </w:r>
      <w:r w:rsidR="004449F3" w:rsidRPr="00D410BA">
        <w:rPr>
          <w:rFonts w:ascii="Arial" w:hAnsi="Arial" w:cs="Arial"/>
        </w:rPr>
        <w:t>supra note 13 at</w:t>
      </w:r>
      <w:r w:rsidR="00C52EF3" w:rsidRPr="00D410BA">
        <w:rPr>
          <w:rFonts w:ascii="Arial" w:hAnsi="Arial" w:cs="Arial"/>
        </w:rPr>
        <w:t xml:space="preserve"> p19-20.</w:t>
      </w:r>
    </w:p>
  </w:footnote>
  <w:footnote w:id="37">
    <w:p w14:paraId="6F169E83" w14:textId="0C316216" w:rsidR="00E12CE0" w:rsidRPr="00D410BA" w:rsidRDefault="00E12CE0"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1562E2" w:rsidRPr="00D410BA">
        <w:rPr>
          <w:rFonts w:ascii="Arial" w:hAnsi="Arial" w:cs="Arial"/>
        </w:rPr>
        <w:t xml:space="preserve">Norton Rose Fulbright, “Impact of Brexit on insolvency”, at &lt;&lt; </w:t>
      </w:r>
      <w:hyperlink r:id="rId5" w:history="1">
        <w:r w:rsidR="001562E2" w:rsidRPr="00D410BA">
          <w:rPr>
            <w:rStyle w:val="Hyperlink"/>
            <w:rFonts w:ascii="Arial" w:hAnsi="Arial" w:cs="Arial"/>
          </w:rPr>
          <w:t>https://www.nortonrosefulbright.com/en/knowledge/publications/fc0fb698/impact-of-brexit-on-insolvency</w:t>
        </w:r>
      </w:hyperlink>
      <w:r w:rsidR="001562E2" w:rsidRPr="00D410BA">
        <w:rPr>
          <w:rFonts w:ascii="Arial" w:hAnsi="Arial" w:cs="Arial"/>
        </w:rPr>
        <w:t xml:space="preserve">&gt;&gt;, accessed on 9 July 2023. For example, see In Re Hong Kong Airlines Ltd [2022] EWHC 3210 (Ch.). </w:t>
      </w:r>
    </w:p>
  </w:footnote>
  <w:footnote w:id="38">
    <w:p w14:paraId="771CB2D8" w14:textId="5F28C0F7" w:rsidR="00BD5845" w:rsidRPr="00D410BA" w:rsidRDefault="00BD5845"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4449F3" w:rsidRPr="00D410BA">
        <w:rPr>
          <w:rFonts w:ascii="Arial" w:hAnsi="Arial" w:cs="Arial"/>
          <w:i/>
          <w:iCs/>
        </w:rPr>
        <w:t>supra</w:t>
      </w:r>
      <w:r w:rsidR="004449F3" w:rsidRPr="00D410BA">
        <w:rPr>
          <w:rFonts w:ascii="Arial" w:hAnsi="Arial" w:cs="Arial"/>
        </w:rPr>
        <w:t xml:space="preserve"> note 13 at p21.</w:t>
      </w:r>
    </w:p>
  </w:footnote>
  <w:footnote w:id="39">
    <w:p w14:paraId="458A2556" w14:textId="45CEA5CA" w:rsidR="00E878BF" w:rsidRPr="00D410BA" w:rsidRDefault="00E878BF" w:rsidP="00E43E63">
      <w:pPr>
        <w:pStyle w:val="FootnoteText"/>
        <w:jc w:val="both"/>
        <w:rPr>
          <w:rFonts w:ascii="Arial" w:hAnsi="Arial" w:cs="Arial"/>
          <w:lang w:val="en-GB"/>
        </w:rPr>
      </w:pPr>
      <w:r w:rsidRPr="00D410BA">
        <w:rPr>
          <w:rStyle w:val="FootnoteReference"/>
          <w:rFonts w:ascii="Arial" w:hAnsi="Arial" w:cs="Arial"/>
        </w:rPr>
        <w:footnoteRef/>
      </w:r>
      <w:r w:rsidR="00B76249" w:rsidRPr="00D410BA">
        <w:rPr>
          <w:rFonts w:ascii="Arial" w:hAnsi="Arial" w:cs="Arial"/>
          <w:lang w:val="en-GB"/>
        </w:rPr>
        <w:t xml:space="preserve"> </w:t>
      </w:r>
      <w:r w:rsidR="004742C1" w:rsidRPr="00D410BA">
        <w:rPr>
          <w:rFonts w:ascii="Arial" w:hAnsi="Arial" w:cs="Arial"/>
          <w:lang w:val="en-GB"/>
        </w:rPr>
        <w:t>Re Rodenstock GmbH</w:t>
      </w:r>
      <w:r w:rsidR="004742C1" w:rsidRPr="00D410BA">
        <w:rPr>
          <w:rFonts w:ascii="Arial" w:hAnsi="Arial" w:cs="Arial"/>
          <w:i/>
          <w:iCs/>
          <w:lang w:val="en-GB"/>
        </w:rPr>
        <w:t xml:space="preserve"> </w:t>
      </w:r>
      <w:r w:rsidR="004742C1" w:rsidRPr="00D410BA">
        <w:rPr>
          <w:rFonts w:ascii="Arial" w:hAnsi="Arial" w:cs="Arial"/>
          <w:lang w:val="en-GB"/>
        </w:rPr>
        <w:t>[2011] EWHC 1104,</w:t>
      </w:r>
      <w:r w:rsidRPr="00D410BA">
        <w:rPr>
          <w:rFonts w:ascii="Arial" w:hAnsi="Arial" w:cs="Arial"/>
        </w:rPr>
        <w:t xml:space="preserve"> Re Drax Holdings [2004] 1 WLR 1049</w:t>
      </w:r>
      <w:r w:rsidR="000070FD" w:rsidRPr="00D410BA">
        <w:rPr>
          <w:rFonts w:ascii="Arial" w:hAnsi="Arial" w:cs="Arial"/>
        </w:rPr>
        <w:t>, Re Vietnam Shipbuilding Industry Groups [2013] EWHC 2476 (Ch.)</w:t>
      </w:r>
      <w:r w:rsidR="00185154" w:rsidRPr="00D410BA">
        <w:rPr>
          <w:rFonts w:ascii="Arial" w:hAnsi="Arial" w:cs="Arial"/>
        </w:rPr>
        <w:t>.</w:t>
      </w:r>
    </w:p>
  </w:footnote>
  <w:footnote w:id="40">
    <w:p w14:paraId="2E72ACD0" w14:textId="63C2CD87" w:rsidR="003B070E" w:rsidRPr="00D410BA" w:rsidRDefault="003B070E"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Re Apcoa Parking Holdings Gmbh [2014] EWHC 3849 (Ch)</w:t>
      </w:r>
      <w:r w:rsidR="009466E0" w:rsidRPr="00D410BA">
        <w:rPr>
          <w:rFonts w:ascii="Arial" w:hAnsi="Arial" w:cs="Arial"/>
        </w:rPr>
        <w:t xml:space="preserve">, Algeco Scotsman PIK S.A. [2017] EWHC 2236 (Ch). In the </w:t>
      </w:r>
      <w:r w:rsidR="009466E0" w:rsidRPr="00D410BA">
        <w:rPr>
          <w:rFonts w:ascii="Arial" w:hAnsi="Arial" w:cs="Arial"/>
          <w:i/>
          <w:iCs/>
        </w:rPr>
        <w:t>Apcoa Parking</w:t>
      </w:r>
      <w:r w:rsidR="009466E0" w:rsidRPr="00D410BA">
        <w:rPr>
          <w:rFonts w:ascii="Arial" w:hAnsi="Arial" w:cs="Arial"/>
        </w:rPr>
        <w:t xml:space="preserve"> case, the court noted that </w:t>
      </w:r>
      <w:r w:rsidR="003C00AF" w:rsidRPr="00D410BA">
        <w:rPr>
          <w:rFonts w:ascii="Arial" w:hAnsi="Arial" w:cs="Arial"/>
        </w:rPr>
        <w:t xml:space="preserve">in certain cases where such change in governing law is made, the court should be wary if the new choice of law appears completely alien to the parties’ previous arrangement or if the change in law did not have a purpose other than to benefit those in favour at the expense of the dissentors. </w:t>
      </w:r>
    </w:p>
  </w:footnote>
  <w:footnote w:id="41">
    <w:p w14:paraId="5829E790" w14:textId="52EB317C" w:rsidR="009E3FC5" w:rsidRPr="00D410BA" w:rsidRDefault="009E3FC5"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[2011] EWHC 1104</w:t>
      </w:r>
      <w:r w:rsidR="00185154" w:rsidRPr="00D410BA">
        <w:rPr>
          <w:rFonts w:ascii="Arial" w:hAnsi="Arial" w:cs="Arial"/>
          <w:lang w:val="en-GB"/>
        </w:rPr>
        <w:t>.</w:t>
      </w:r>
    </w:p>
  </w:footnote>
  <w:footnote w:id="42">
    <w:p w14:paraId="7A137600" w14:textId="2C2CE53E" w:rsidR="008C131F" w:rsidRPr="00D410BA" w:rsidRDefault="008C131F" w:rsidP="00E43E63">
      <w:pPr>
        <w:spacing w:after="0" w:line="240" w:lineRule="auto"/>
        <w:jc w:val="both"/>
        <w:rPr>
          <w:rFonts w:ascii="Arial" w:hAnsi="Arial" w:cs="Arial"/>
          <w:sz w:val="20"/>
          <w:szCs w:val="20"/>
        </w:rPr>
      </w:pPr>
      <w:r w:rsidRPr="00D410BA">
        <w:rPr>
          <w:rStyle w:val="FootnoteReference"/>
          <w:rFonts w:ascii="Arial" w:hAnsi="Arial" w:cs="Arial"/>
          <w:sz w:val="20"/>
          <w:szCs w:val="20"/>
        </w:rPr>
        <w:footnoteRef/>
      </w:r>
      <w:r w:rsidRPr="00D410BA">
        <w:rPr>
          <w:rFonts w:ascii="Arial" w:hAnsi="Arial" w:cs="Arial"/>
          <w:sz w:val="20"/>
          <w:szCs w:val="20"/>
        </w:rPr>
        <w:t xml:space="preserve"> [2012] EWHC 164 (Ch)</w:t>
      </w:r>
      <w:r w:rsidR="00BD5845" w:rsidRPr="00D410BA">
        <w:rPr>
          <w:rFonts w:ascii="Arial" w:hAnsi="Arial" w:cs="Arial"/>
          <w:sz w:val="20"/>
          <w:szCs w:val="20"/>
        </w:rPr>
        <w:t xml:space="preserve"> where </w:t>
      </w:r>
      <w:r w:rsidR="00BD5845" w:rsidRPr="00D410BA">
        <w:rPr>
          <w:rFonts w:ascii="Arial" w:hAnsi="Arial" w:cs="Arial"/>
          <w:sz w:val="20"/>
          <w:szCs w:val="20"/>
          <w:lang w:val="en-GB"/>
        </w:rPr>
        <w:t>despite not having a COMI, establishment or any creditors in the UK, the court established ‘sufficient connection’ on the basis of the governing law of the debt.</w:t>
      </w:r>
    </w:p>
  </w:footnote>
  <w:footnote w:id="43">
    <w:p w14:paraId="58EA2F3D" w14:textId="6A10F962" w:rsidR="003C00AF" w:rsidRPr="00D410BA" w:rsidRDefault="003C00AF"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i/>
          <w:iCs/>
          <w:lang w:val="en-GB"/>
        </w:rPr>
        <w:t xml:space="preserve">Re Rodenstock GmbH </w:t>
      </w:r>
      <w:r w:rsidRPr="00D410BA">
        <w:rPr>
          <w:rFonts w:ascii="Arial" w:hAnsi="Arial" w:cs="Arial"/>
          <w:lang w:val="en-GB"/>
        </w:rPr>
        <w:t>[2011] EWHC 1104</w:t>
      </w:r>
      <w:r w:rsidR="00185154" w:rsidRPr="00D410BA">
        <w:rPr>
          <w:rFonts w:ascii="Arial" w:hAnsi="Arial" w:cs="Arial"/>
          <w:lang w:val="en-GB"/>
        </w:rPr>
        <w:t>.</w:t>
      </w:r>
    </w:p>
  </w:footnote>
  <w:footnote w:id="44">
    <w:p w14:paraId="1B58CE2F" w14:textId="283C23FB" w:rsidR="007D3C9C" w:rsidRPr="00D410BA" w:rsidRDefault="007D3C9C"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04042D" w:rsidRPr="00D410BA">
        <w:rPr>
          <w:rFonts w:ascii="Arial" w:hAnsi="Arial" w:cs="Arial"/>
        </w:rPr>
        <w:t>Re Van Gansewinkel Groep BV &amp; Ors [2015] EWHC 2151 (Ch)</w:t>
      </w:r>
      <w:r w:rsidR="00185154" w:rsidRPr="00D410BA">
        <w:rPr>
          <w:rFonts w:ascii="Arial" w:hAnsi="Arial" w:cs="Arial"/>
        </w:rPr>
        <w:t>.</w:t>
      </w:r>
    </w:p>
  </w:footnote>
  <w:footnote w:id="45">
    <w:p w14:paraId="1C4D6AF9" w14:textId="55BD07D0" w:rsidR="00677603" w:rsidRPr="00D410BA" w:rsidRDefault="00677603"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Examples include </w:t>
      </w:r>
      <w:r w:rsidRPr="00D410BA">
        <w:rPr>
          <w:rFonts w:ascii="Arial" w:hAnsi="Arial" w:cs="Arial"/>
        </w:rPr>
        <w:t>Schefenacker AG</w:t>
      </w:r>
      <w:r w:rsidRPr="00D410BA">
        <w:rPr>
          <w:rFonts w:ascii="Arial" w:hAnsi="Arial" w:cs="Arial"/>
        </w:rPr>
        <w:t xml:space="preserve"> and </w:t>
      </w:r>
      <w:r w:rsidRPr="00D410BA">
        <w:rPr>
          <w:rFonts w:ascii="Arial" w:hAnsi="Arial" w:cs="Arial"/>
        </w:rPr>
        <w:t>Deutsche Nickel &amp; EU Coin Group</w:t>
      </w:r>
      <w:r w:rsidRPr="00D410BA">
        <w:rPr>
          <w:rFonts w:ascii="Arial" w:hAnsi="Arial" w:cs="Arial"/>
        </w:rPr>
        <w:t xml:space="preserve"> where the COMI of the companies was shifted from Germany to the UK to allow them to undergo an administration and CVAs. For more details see, Allen &amp; Overy, “</w:t>
      </w:r>
      <w:r w:rsidR="007123D0" w:rsidRPr="00D410BA">
        <w:rPr>
          <w:rFonts w:ascii="Arial" w:hAnsi="Arial" w:cs="Arial"/>
        </w:rPr>
        <w:t>Schefenacker AG – A "cross-border fusion of original minds" (FT Innovative Lawyers Report 2008)</w:t>
      </w:r>
      <w:r w:rsidR="007123D0" w:rsidRPr="00D410BA">
        <w:rPr>
          <w:rFonts w:ascii="Arial" w:hAnsi="Arial" w:cs="Arial"/>
        </w:rPr>
        <w:t>”, at &lt;&lt;</w:t>
      </w:r>
      <w:r w:rsidR="007123D0" w:rsidRPr="00D410BA">
        <w:rPr>
          <w:rFonts w:ascii="Arial" w:hAnsi="Arial" w:cs="Arial"/>
        </w:rPr>
        <w:t>https://www.allenovery.com/en-gb/global/expertise/practices/restructuring/recent_deals/schefenackeragacrossborderfusionoforiginalmindsftinnovativelawyersreport2008</w:t>
      </w:r>
      <w:r w:rsidR="007123D0" w:rsidRPr="00D410BA">
        <w:rPr>
          <w:rFonts w:ascii="Arial" w:hAnsi="Arial" w:cs="Arial"/>
        </w:rPr>
        <w:t>&gt;&gt;, accessed on 9 July 2023 and Quantuma International, “</w:t>
      </w:r>
      <w:r w:rsidR="007123D0" w:rsidRPr="00D410BA">
        <w:rPr>
          <w:rFonts w:ascii="Arial" w:hAnsi="Arial" w:cs="Arial"/>
          <w:lang w:val="en-GB"/>
        </w:rPr>
        <w:t>An Administration followed by a Creditors Voluntary Arrangement exit route for two related holding companies of a German industrial group.</w:t>
      </w:r>
      <w:r w:rsidR="007123D0" w:rsidRPr="00D410BA">
        <w:rPr>
          <w:rFonts w:ascii="Arial" w:hAnsi="Arial" w:cs="Arial"/>
          <w:lang w:val="en-GB"/>
        </w:rPr>
        <w:t>”</w:t>
      </w:r>
      <w:r w:rsidR="007123D0" w:rsidRPr="00D410BA">
        <w:rPr>
          <w:rFonts w:ascii="Arial" w:hAnsi="Arial" w:cs="Arial"/>
        </w:rPr>
        <w:t>, at &lt;&lt;</w:t>
      </w:r>
      <w:hyperlink r:id="rId6" w:history="1">
        <w:r w:rsidR="007123D0" w:rsidRPr="00D410BA">
          <w:rPr>
            <w:rStyle w:val="Hyperlink"/>
            <w:rFonts w:ascii="Arial" w:hAnsi="Arial" w:cs="Arial"/>
          </w:rPr>
          <w:t>https://www.quantumainternational.com/insights/deutsche-nickel-eu-coin-group</w:t>
        </w:r>
      </w:hyperlink>
      <w:r w:rsidR="007123D0" w:rsidRPr="00D410BA">
        <w:rPr>
          <w:rFonts w:ascii="Arial" w:hAnsi="Arial" w:cs="Arial"/>
        </w:rPr>
        <w:t xml:space="preserve">&gt;&gt;, accessed on 9 July 2023. </w:t>
      </w:r>
    </w:p>
  </w:footnote>
  <w:footnote w:id="46">
    <w:p w14:paraId="6486F365" w14:textId="301A74C9" w:rsidR="00E53577" w:rsidRPr="00D410BA" w:rsidRDefault="00E53577"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In the matter of Hellas Telecommunications (Luxembourg) II SCA</w:t>
      </w:r>
      <w:r w:rsidR="00592BC4" w:rsidRPr="00D410BA">
        <w:rPr>
          <w:rFonts w:ascii="Arial" w:hAnsi="Arial" w:cs="Arial"/>
        </w:rPr>
        <w:t xml:space="preserve"> [2009] EWHC 3199 (Ch). </w:t>
      </w:r>
    </w:p>
  </w:footnote>
  <w:footnote w:id="47">
    <w:p w14:paraId="72598DA9" w14:textId="58FCA1B1" w:rsidR="00E5430C" w:rsidRPr="00D410BA" w:rsidRDefault="00E5430C"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Squire Patton Boggs, “</w:t>
      </w:r>
      <w:r w:rsidRPr="00D410BA">
        <w:rPr>
          <w:rFonts w:ascii="Arial" w:hAnsi="Arial" w:cs="Arial"/>
          <w:lang w:val="en-GB"/>
        </w:rPr>
        <w:t>Restructuring Plans: Restructuring Foreign Companies in England</w:t>
      </w:r>
      <w:r w:rsidRPr="00D410BA">
        <w:rPr>
          <w:rFonts w:ascii="Arial" w:hAnsi="Arial" w:cs="Arial"/>
          <w:lang w:val="en-GB"/>
        </w:rPr>
        <w:t>”, at &lt;&lt;</w:t>
      </w:r>
      <w:r w:rsidRPr="00D410BA">
        <w:rPr>
          <w:rFonts w:ascii="Arial" w:hAnsi="Arial" w:cs="Arial"/>
          <w:lang w:val="en-GB"/>
        </w:rPr>
        <w:t>https://www.squirepattonboggs.com/-/media/files/insights/publications/2021/12/restructuring-foreign-companies-in-england-using-a-restructuring-plan/restructuring-foreign-companies-in-england-using-a-restructuring-plan.pdf</w:t>
      </w:r>
      <w:r w:rsidRPr="00D410BA">
        <w:rPr>
          <w:rFonts w:ascii="Arial" w:hAnsi="Arial" w:cs="Arial"/>
          <w:lang w:val="en-GB"/>
        </w:rPr>
        <w:t xml:space="preserve">&gt;&gt;, accessed on 9 July 2023. </w:t>
      </w:r>
    </w:p>
  </w:footnote>
  <w:footnote w:id="48">
    <w:p w14:paraId="6FB238D2" w14:textId="03DA631C" w:rsidR="0084220C" w:rsidRPr="00D410BA" w:rsidRDefault="0084220C"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 xml:space="preserve">Examples include </w:t>
      </w:r>
      <w:r w:rsidRPr="00D410BA">
        <w:rPr>
          <w:rFonts w:ascii="Arial" w:hAnsi="Arial" w:cs="Arial"/>
          <w:lang w:val="en-GB"/>
        </w:rPr>
        <w:t>Convention of 30 June 2005 on Choice of Court Agreements</w:t>
      </w:r>
      <w:r w:rsidRPr="00D410BA">
        <w:rPr>
          <w:rFonts w:ascii="Arial" w:hAnsi="Arial" w:cs="Arial"/>
          <w:lang w:val="en-GB"/>
        </w:rPr>
        <w:t xml:space="preserve">. Importantly, this </w:t>
      </w:r>
      <w:r w:rsidR="005A528A" w:rsidRPr="00D410BA">
        <w:rPr>
          <w:rFonts w:ascii="Arial" w:hAnsi="Arial" w:cs="Arial"/>
          <w:lang w:val="en-GB"/>
        </w:rPr>
        <w:t xml:space="preserve">convention does not apply to insolvency matters. However, there are questions over whether SOAs which are not technically insolvency procedures may be covered by this Convention. </w:t>
      </w:r>
    </w:p>
  </w:footnote>
  <w:footnote w:id="49">
    <w:p w14:paraId="5E169D9D" w14:textId="24DA26CA" w:rsidR="00A3201D" w:rsidRPr="00D410BA" w:rsidRDefault="00A3201D"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 xml:space="preserve">An example of such co-operation was seen in the Maxwell Communications Corporation plc cross-border insolvency case where UK and US insolvency representatives entered into an agreement which was approved by both their courts to co-ordinate the insolvency proceedings in the two jurisdictions. </w:t>
      </w:r>
    </w:p>
  </w:footnote>
  <w:footnote w:id="50">
    <w:p w14:paraId="240C9D35" w14:textId="10063F79" w:rsidR="00A5460D" w:rsidRPr="00D410BA" w:rsidRDefault="00A5460D"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See </w:t>
      </w:r>
      <w:r w:rsidRPr="00D410BA">
        <w:rPr>
          <w:rFonts w:ascii="Arial" w:hAnsi="Arial" w:cs="Arial"/>
        </w:rPr>
        <w:t>Rubin &amp; Anor. v. Eurofinance SA</w:t>
      </w:r>
      <w:r w:rsidRPr="00D410BA">
        <w:rPr>
          <w:rFonts w:ascii="Arial" w:hAnsi="Arial" w:cs="Arial"/>
        </w:rPr>
        <w:t xml:space="preserve"> [</w:t>
      </w:r>
      <w:r w:rsidRPr="00D410BA">
        <w:rPr>
          <w:rFonts w:ascii="Arial" w:hAnsi="Arial" w:cs="Arial"/>
        </w:rPr>
        <w:t>2012] UKSC 46</w:t>
      </w:r>
      <w:r w:rsidRPr="00D410BA">
        <w:rPr>
          <w:rFonts w:ascii="Arial" w:hAnsi="Arial" w:cs="Arial"/>
        </w:rPr>
        <w:t>.</w:t>
      </w:r>
    </w:p>
  </w:footnote>
  <w:footnote w:id="51">
    <w:p w14:paraId="1778AB37" w14:textId="291CDAB4" w:rsidR="0054790A" w:rsidRPr="00D410BA" w:rsidRDefault="0054790A"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Guide to Enactment of the UNCITRAL Model Law on Recognition and Enforcement of Insolvency-Related Judgments, para 2. </w:t>
      </w:r>
    </w:p>
  </w:footnote>
  <w:footnote w:id="52">
    <w:p w14:paraId="3EC044D0" w14:textId="6A6E8E75" w:rsidR="00A5460D" w:rsidRPr="00D410BA" w:rsidRDefault="00A5460D">
      <w:pPr>
        <w:pStyle w:val="FootnoteText"/>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D701E1" w:rsidRPr="00D410BA">
        <w:rPr>
          <w:rFonts w:ascii="Arial" w:hAnsi="Arial" w:cs="Arial"/>
          <w:lang w:val="en-GB"/>
        </w:rPr>
        <w:t>Convention of 30 June 2005 on Choice of Court Agreements</w:t>
      </w:r>
      <w:r w:rsidRPr="00D410BA">
        <w:rPr>
          <w:rFonts w:ascii="Arial" w:hAnsi="Arial" w:cs="Arial"/>
        </w:rPr>
        <w:t xml:space="preserve">, </w:t>
      </w:r>
      <w:r w:rsidRPr="00D410BA">
        <w:rPr>
          <w:rFonts w:ascii="Arial" w:hAnsi="Arial" w:cs="Arial"/>
        </w:rPr>
        <w:t>Article 2</w:t>
      </w:r>
      <w:r w:rsidRPr="00D410BA">
        <w:rPr>
          <w:rFonts w:ascii="Arial" w:hAnsi="Arial" w:cs="Arial"/>
        </w:rPr>
        <w:t>(e).</w:t>
      </w:r>
    </w:p>
  </w:footnote>
  <w:footnote w:id="53">
    <w:p w14:paraId="0939C899" w14:textId="17540AAD" w:rsidR="00EF5CDB" w:rsidRPr="00D410BA" w:rsidRDefault="00EF5CDB"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In re Simon 153 F.3d 991 (9th Cir. 1998).</w:t>
      </w:r>
    </w:p>
  </w:footnote>
  <w:footnote w:id="54">
    <w:p w14:paraId="7364C28B" w14:textId="790FA4A5" w:rsidR="007B740E" w:rsidRPr="00D410BA" w:rsidRDefault="007B740E"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In re McLean Industries 74 B.R. 589 (Bankr. S.D.N.Y. 1987)</w:t>
      </w:r>
      <w:r w:rsidR="00C72F45" w:rsidRPr="00D410BA">
        <w:rPr>
          <w:rFonts w:ascii="Arial" w:hAnsi="Arial" w:cs="Arial"/>
        </w:rPr>
        <w:t xml:space="preserve">. Also see 28 U.S. Code § 1334(e) </w:t>
      </w:r>
      <w:r w:rsidR="001C6D1F" w:rsidRPr="00D410BA">
        <w:rPr>
          <w:rFonts w:ascii="Arial" w:hAnsi="Arial" w:cs="Arial"/>
        </w:rPr>
        <w:t xml:space="preserve">read with 28 U.S.C. § 157(a) </w:t>
      </w:r>
      <w:r w:rsidR="00C72F45" w:rsidRPr="00D410BA">
        <w:rPr>
          <w:rFonts w:ascii="Arial" w:hAnsi="Arial" w:cs="Arial"/>
        </w:rPr>
        <w:t xml:space="preserve">which grants jurisdiction to the bankruptcy court over all of the debtor’s property wherever located. </w:t>
      </w:r>
    </w:p>
  </w:footnote>
  <w:footnote w:id="55">
    <w:p w14:paraId="30050C98" w14:textId="274C4CF7" w:rsidR="007B740E" w:rsidRPr="00D410BA" w:rsidRDefault="007B740E"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See In re Gucci 309 B.R. 679 (S.D.N.Y. 2004) where the court noted that since </w:t>
      </w:r>
      <w:r w:rsidR="00C72F45" w:rsidRPr="00D410BA">
        <w:rPr>
          <w:rFonts w:ascii="Arial" w:hAnsi="Arial" w:cs="Arial"/>
        </w:rPr>
        <w:t>violation of the stay related to a</w:t>
      </w:r>
      <w:r w:rsidRPr="00D410BA">
        <w:rPr>
          <w:rFonts w:ascii="Arial" w:hAnsi="Arial" w:cs="Arial"/>
        </w:rPr>
        <w:t xml:space="preserve"> property in Rome, the position of the Italian courts on the US decision would </w:t>
      </w:r>
      <w:r w:rsidR="00C72F45" w:rsidRPr="00D410BA">
        <w:rPr>
          <w:rFonts w:ascii="Arial" w:hAnsi="Arial" w:cs="Arial"/>
        </w:rPr>
        <w:t xml:space="preserve">ultimately </w:t>
      </w:r>
      <w:r w:rsidRPr="00D410BA">
        <w:rPr>
          <w:rFonts w:ascii="Arial" w:hAnsi="Arial" w:cs="Arial"/>
        </w:rPr>
        <w:t xml:space="preserve">decide the fate of the property. </w:t>
      </w:r>
    </w:p>
  </w:footnote>
  <w:footnote w:id="56">
    <w:p w14:paraId="0BD50E1C" w14:textId="125078B7" w:rsidR="00D701E1" w:rsidRPr="00D410BA" w:rsidRDefault="00D701E1"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Couwenberg, O., &amp; Lubben, S. J.</w:t>
      </w:r>
      <w:r w:rsidR="004449F3" w:rsidRPr="00D410BA">
        <w:rPr>
          <w:rFonts w:ascii="Arial" w:hAnsi="Arial" w:cs="Arial"/>
        </w:rPr>
        <w:t xml:space="preserve"> (supra note 14) at p</w:t>
      </w:r>
      <w:r w:rsidRPr="00D410BA">
        <w:rPr>
          <w:rFonts w:ascii="Arial" w:hAnsi="Arial" w:cs="Arial"/>
        </w:rPr>
        <w:t>741.</w:t>
      </w:r>
    </w:p>
  </w:footnote>
  <w:footnote w:id="57">
    <w:p w14:paraId="39684FF1" w14:textId="0155A64C" w:rsidR="00F57BC9" w:rsidRPr="00D410BA" w:rsidRDefault="00F57BC9"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Nakash v. Zur, 190 B.R. 763, 766 (Bankr. S.D.N.Y. 1996).</w:t>
      </w:r>
    </w:p>
  </w:footnote>
  <w:footnote w:id="58">
    <w:p w14:paraId="2AD101FA" w14:textId="7C853A63" w:rsidR="00F57BC9" w:rsidRPr="00D410BA" w:rsidRDefault="00F57BC9" w:rsidP="00E43E63">
      <w:pPr>
        <w:spacing w:after="0" w:line="240" w:lineRule="auto"/>
        <w:jc w:val="both"/>
        <w:rPr>
          <w:rFonts w:ascii="Arial" w:hAnsi="Arial" w:cs="Arial"/>
          <w:sz w:val="20"/>
          <w:szCs w:val="20"/>
          <w:lang w:val="en-GB"/>
        </w:rPr>
      </w:pPr>
      <w:r w:rsidRPr="00D410BA">
        <w:rPr>
          <w:rStyle w:val="FootnoteReference"/>
          <w:rFonts w:ascii="Arial" w:hAnsi="Arial" w:cs="Arial"/>
          <w:sz w:val="20"/>
          <w:szCs w:val="20"/>
        </w:rPr>
        <w:footnoteRef/>
      </w:r>
      <w:r w:rsidRPr="00D410BA">
        <w:rPr>
          <w:rStyle w:val="FootnoteReference"/>
          <w:rFonts w:ascii="Arial" w:hAnsi="Arial" w:cs="Arial"/>
          <w:sz w:val="20"/>
          <w:szCs w:val="20"/>
        </w:rPr>
        <w:t xml:space="preserve"> </w:t>
      </w:r>
      <w:r w:rsidRPr="00D410BA">
        <w:rPr>
          <w:rFonts w:ascii="Arial" w:hAnsi="Arial" w:cs="Arial"/>
          <w:sz w:val="20"/>
          <w:szCs w:val="20"/>
        </w:rPr>
        <w:t>However, it did not rule on the issue of sanctions and damages against the Receiver and left those issues for another time.</w:t>
      </w:r>
      <w:r w:rsidRPr="00D410BA">
        <w:rPr>
          <w:rFonts w:ascii="Arial" w:hAnsi="Arial" w:cs="Arial"/>
          <w:sz w:val="20"/>
          <w:szCs w:val="20"/>
          <w:lang w:val="en-GB"/>
        </w:rPr>
        <w:t xml:space="preserve"> </w:t>
      </w:r>
    </w:p>
  </w:footnote>
  <w:footnote w:id="59">
    <w:p w14:paraId="3BDAB715" w14:textId="77777777" w:rsidR="00F57BC9" w:rsidRPr="00D410BA" w:rsidRDefault="00F57BC9"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In re Cenargo International, PLC, 294 B.R. 571 (Bankr. S.D.N.Y. 2003).</w:t>
      </w:r>
    </w:p>
  </w:footnote>
  <w:footnote w:id="60">
    <w:p w14:paraId="50AE6231" w14:textId="4673F8CF" w:rsidR="00F57BC9" w:rsidRPr="00D410BA" w:rsidRDefault="00F57BC9"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LM LoPucki, “Courting Failure: How Competition for Big Cases Is Corrupting the Bankruptcy Courts”, p191 (University of Michigan Press 2005)</w:t>
      </w:r>
    </w:p>
  </w:footnote>
  <w:footnote w:id="61">
    <w:p w14:paraId="1007EAD2" w14:textId="1BCE7CD0" w:rsidR="00D7100B" w:rsidRPr="00D410BA" w:rsidRDefault="00D7100B"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Regulation (EU) 2015/848, Article 19 and 32. </w:t>
      </w:r>
    </w:p>
  </w:footnote>
  <w:footnote w:id="62">
    <w:p w14:paraId="62A05998" w14:textId="10868240" w:rsidR="000A15DB" w:rsidRPr="00D410BA" w:rsidRDefault="000A15DB"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414F68" w:rsidRPr="00D410BA">
        <w:rPr>
          <w:rFonts w:ascii="Arial" w:hAnsi="Arial" w:cs="Arial"/>
        </w:rPr>
        <w:t xml:space="preserve">EU </w:t>
      </w:r>
      <w:r w:rsidRPr="00D410BA">
        <w:rPr>
          <w:rFonts w:ascii="Arial" w:hAnsi="Arial" w:cs="Arial"/>
        </w:rPr>
        <w:t xml:space="preserve">Judgments Regulation, Article 36. </w:t>
      </w:r>
    </w:p>
  </w:footnote>
  <w:footnote w:id="63">
    <w:p w14:paraId="793D4A7A" w14:textId="3E5886C0" w:rsidR="000F60BF" w:rsidRPr="00D410BA" w:rsidRDefault="000F60BF"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F11F90" w:rsidRPr="00D410BA">
        <w:rPr>
          <w:rFonts w:ascii="Arial" w:hAnsi="Arial" w:cs="Arial"/>
        </w:rPr>
        <w:t>In the Matter Of Dtek Energy B.V [2021] EWHC 1551 (Ch), the court noted that “</w:t>
      </w:r>
      <w:bookmarkStart w:id="18" w:name="para30"/>
      <w:r w:rsidR="00F11F90" w:rsidRPr="00D410BA">
        <w:rPr>
          <w:rFonts w:ascii="Arial" w:hAnsi="Arial" w:cs="Arial"/>
          <w:i/>
          <w:iCs/>
        </w:rPr>
        <w:t>There was always uncertainty as to how schemes of arrangement fitted into the framework of the Judgments Regulation.</w:t>
      </w:r>
      <w:bookmarkEnd w:id="18"/>
      <w:r w:rsidR="00F11F90" w:rsidRPr="00D410BA">
        <w:rPr>
          <w:rFonts w:ascii="Arial" w:hAnsi="Arial" w:cs="Arial"/>
          <w:i/>
          <w:iCs/>
        </w:rPr>
        <w:t xml:space="preserve"> So, for the purposes of testing whether the Judgments Regulation presented a jurisdictional bar to the English Court exercising jurisdiction over EU domiciled scheme members or creditors it was assumed to apply (and an appropriate gateway identified). But for the purposes of testing international effectiveness it was not assumed to apply, and the English Courts looked for expert evidence which demonstrated alternative bases</w:t>
      </w:r>
      <w:r w:rsidR="00F11F90" w:rsidRPr="00D410BA">
        <w:rPr>
          <w:rFonts w:ascii="Arial" w:hAnsi="Arial" w:cs="Arial"/>
        </w:rPr>
        <w:t>.”</w:t>
      </w:r>
    </w:p>
  </w:footnote>
  <w:footnote w:id="64">
    <w:p w14:paraId="73351350" w14:textId="412B99FB" w:rsidR="00803CC3" w:rsidRPr="00D410BA" w:rsidRDefault="00803CC3"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Payne, Jennifer, “</w:t>
      </w:r>
      <w:r w:rsidRPr="00D410BA">
        <w:rPr>
          <w:rFonts w:ascii="Arial" w:hAnsi="Arial" w:cs="Arial"/>
        </w:rPr>
        <w:t>Cross-border Schemes of Arrangement and Forum Shopping</w:t>
      </w:r>
      <w:r w:rsidRPr="00D410BA">
        <w:rPr>
          <w:rFonts w:ascii="Arial" w:hAnsi="Arial" w:cs="Arial"/>
        </w:rPr>
        <w:t xml:space="preserve">” 14 </w:t>
      </w:r>
      <w:r w:rsidRPr="00D410BA">
        <w:rPr>
          <w:rFonts w:ascii="Arial" w:hAnsi="Arial" w:cs="Arial"/>
        </w:rPr>
        <w:t xml:space="preserve">European Business Organization Law Review </w:t>
      </w:r>
      <w:r w:rsidRPr="00D410BA">
        <w:rPr>
          <w:rFonts w:ascii="Arial" w:hAnsi="Arial" w:cs="Arial"/>
        </w:rPr>
        <w:t>2013,</w:t>
      </w:r>
      <w:r w:rsidR="005A08E7" w:rsidRPr="00D410BA">
        <w:rPr>
          <w:rFonts w:ascii="Arial" w:hAnsi="Arial" w:cs="Arial"/>
        </w:rPr>
        <w:t xml:space="preserve"> </w:t>
      </w:r>
      <w:r w:rsidRPr="00D410BA">
        <w:rPr>
          <w:rFonts w:ascii="Arial" w:hAnsi="Arial" w:cs="Arial"/>
        </w:rPr>
        <w:t>pp</w:t>
      </w:r>
      <w:r w:rsidRPr="00D410BA">
        <w:rPr>
          <w:rFonts w:ascii="Arial" w:hAnsi="Arial" w:cs="Arial"/>
        </w:rPr>
        <w:t xml:space="preserve"> </w:t>
      </w:r>
      <w:r w:rsidR="00301489" w:rsidRPr="00D410BA">
        <w:rPr>
          <w:rFonts w:ascii="Arial" w:hAnsi="Arial" w:cs="Arial"/>
        </w:rPr>
        <w:t xml:space="preserve">577-580. </w:t>
      </w:r>
    </w:p>
  </w:footnote>
  <w:footnote w:id="65">
    <w:p w14:paraId="291982EC" w14:textId="588A3D96" w:rsidR="00D500FC" w:rsidRPr="00D410BA" w:rsidRDefault="00D500FC"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In the Matter Of Dtek Energy B.V [2021] EWHC 1551 (Ch), the court noted the “</w:t>
      </w:r>
      <w:bookmarkStart w:id="19" w:name="para31"/>
      <w:r w:rsidRPr="00D410BA">
        <w:rPr>
          <w:rFonts w:ascii="Arial" w:hAnsi="Arial" w:cs="Arial"/>
          <w:i/>
          <w:iCs/>
        </w:rPr>
        <w:t>generally accepted principle of private international law that a variation or discharge of contractual rights in accordance with the governing law of the contract will usually be given effect.</w:t>
      </w:r>
      <w:bookmarkEnd w:id="19"/>
      <w:r w:rsidRPr="00D410BA">
        <w:rPr>
          <w:rFonts w:ascii="Arial" w:hAnsi="Arial" w:cs="Arial"/>
        </w:rPr>
        <w:t>”</w:t>
      </w:r>
    </w:p>
  </w:footnote>
  <w:footnote w:id="66">
    <w:p w14:paraId="14E0C454" w14:textId="4A89BEBC" w:rsidR="007A5F3B" w:rsidRPr="00D410BA" w:rsidRDefault="007A5F3B"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 xml:space="preserve">Rome I, Article 12. </w:t>
      </w:r>
    </w:p>
  </w:footnote>
  <w:footnote w:id="67">
    <w:p w14:paraId="1EA78EA4" w14:textId="67C7A2C5" w:rsidR="007A5F3B" w:rsidRPr="00D410BA" w:rsidRDefault="007A5F3B"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 xml:space="preserve">Rome I, Article 1(2)(f). </w:t>
      </w:r>
    </w:p>
  </w:footnote>
  <w:footnote w:id="68">
    <w:p w14:paraId="7BC5F26C" w14:textId="312F2F61" w:rsidR="004C58BC" w:rsidRPr="00D410BA" w:rsidRDefault="004C58BC"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005A08E7" w:rsidRPr="00D410BA">
        <w:rPr>
          <w:rFonts w:ascii="Arial" w:hAnsi="Arial" w:cs="Arial"/>
          <w:i/>
          <w:iCs/>
          <w:lang w:val="en-GB"/>
        </w:rPr>
        <w:t>supra</w:t>
      </w:r>
      <w:r w:rsidR="005A08E7" w:rsidRPr="00D410BA">
        <w:rPr>
          <w:rFonts w:ascii="Arial" w:hAnsi="Arial" w:cs="Arial"/>
          <w:lang w:val="en-GB"/>
        </w:rPr>
        <w:t xml:space="preserve"> note 64 at</w:t>
      </w:r>
      <w:r w:rsidRPr="00D410BA">
        <w:rPr>
          <w:rFonts w:ascii="Arial" w:hAnsi="Arial" w:cs="Arial"/>
        </w:rPr>
        <w:t xml:space="preserve"> p583</w:t>
      </w:r>
      <w:r w:rsidRPr="00D410BA">
        <w:rPr>
          <w:rFonts w:ascii="Arial" w:hAnsi="Arial" w:cs="Arial"/>
        </w:rPr>
        <w:t>.</w:t>
      </w:r>
    </w:p>
  </w:footnote>
  <w:footnote w:id="69">
    <w:p w14:paraId="54B2D75C" w14:textId="3BF0FAAE" w:rsidR="004C58BC" w:rsidRPr="00D410BA" w:rsidRDefault="004C58BC"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w:t>
      </w:r>
      <w:r w:rsidRPr="00D410BA">
        <w:rPr>
          <w:rFonts w:ascii="Arial" w:hAnsi="Arial" w:cs="Arial"/>
          <w:lang w:val="en-GB"/>
        </w:rPr>
        <w:t>Re Rodenstock GmbH</w:t>
      </w:r>
      <w:r w:rsidRPr="00D410BA">
        <w:rPr>
          <w:rFonts w:ascii="Arial" w:hAnsi="Arial" w:cs="Arial"/>
          <w:i/>
          <w:iCs/>
          <w:lang w:val="en-GB"/>
        </w:rPr>
        <w:t xml:space="preserve"> </w:t>
      </w:r>
      <w:r w:rsidRPr="00D410BA">
        <w:rPr>
          <w:rFonts w:ascii="Arial" w:hAnsi="Arial" w:cs="Arial"/>
          <w:lang w:val="en-GB"/>
        </w:rPr>
        <w:t>[2011] EWHC 1104</w:t>
      </w:r>
      <w:r w:rsidRPr="00D410BA">
        <w:rPr>
          <w:rFonts w:ascii="Arial" w:hAnsi="Arial" w:cs="Arial"/>
          <w:lang w:val="en-GB"/>
        </w:rPr>
        <w:t xml:space="preserve"> and </w:t>
      </w:r>
      <w:r w:rsidRPr="00D410BA">
        <w:rPr>
          <w:rFonts w:ascii="Arial" w:hAnsi="Arial" w:cs="Arial"/>
          <w:lang w:val="en-GB"/>
        </w:rPr>
        <w:t>Re Primacom Holding GmbH</w:t>
      </w:r>
      <w:r w:rsidRPr="00D410BA">
        <w:rPr>
          <w:rFonts w:ascii="Arial" w:hAnsi="Arial" w:cs="Arial"/>
          <w:lang w:val="en-GB"/>
        </w:rPr>
        <w:t xml:space="preserve"> </w:t>
      </w:r>
      <w:r w:rsidRPr="00D410BA">
        <w:rPr>
          <w:rFonts w:ascii="Arial" w:hAnsi="Arial" w:cs="Arial"/>
        </w:rPr>
        <w:t>[2012] EWHC 164 (Ch)</w:t>
      </w:r>
    </w:p>
  </w:footnote>
  <w:footnote w:id="70">
    <w:p w14:paraId="272DFB5E" w14:textId="77777777" w:rsidR="00414F68" w:rsidRPr="00D410BA" w:rsidRDefault="00414F68"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In a recent example, a German real estate group, Adler opted to undergo a UK restructuring plan. For more details, see Ashurst, “London as a European restructuring forum reigns supreme”, at &lt;&lt;</w:t>
      </w:r>
      <w:hyperlink r:id="rId7" w:history="1">
        <w:r w:rsidRPr="00D410BA">
          <w:rPr>
            <w:rStyle w:val="Hyperlink"/>
            <w:rFonts w:ascii="Arial" w:hAnsi="Arial" w:cs="Arial"/>
          </w:rPr>
          <w:t>https://www.ashurst.com/en/insights/london-as-a-european-restructuring-forum-reigns-supreme/</w:t>
        </w:r>
      </w:hyperlink>
      <w:r w:rsidRPr="00D410BA">
        <w:rPr>
          <w:rFonts w:ascii="Arial" w:hAnsi="Arial" w:cs="Arial"/>
        </w:rPr>
        <w:t>&gt;&gt;, accessed on 9 July 2023.</w:t>
      </w:r>
    </w:p>
  </w:footnote>
  <w:footnote w:id="71">
    <w:p w14:paraId="2C6CFAFC" w14:textId="14B84292" w:rsidR="0092130F" w:rsidRPr="00D410BA" w:rsidRDefault="0092130F" w:rsidP="00E43E63">
      <w:pPr>
        <w:pStyle w:val="FootnoteText"/>
        <w:jc w:val="both"/>
        <w:rPr>
          <w:rFonts w:ascii="Arial" w:hAnsi="Arial" w:cs="Arial"/>
          <w:lang w:val="en-GB"/>
        </w:rPr>
      </w:pPr>
      <w:r w:rsidRPr="00D410BA">
        <w:rPr>
          <w:rStyle w:val="FootnoteReference"/>
          <w:rFonts w:ascii="Arial" w:hAnsi="Arial" w:cs="Arial"/>
        </w:rPr>
        <w:footnoteRef/>
      </w:r>
      <w:r w:rsidRPr="00D410BA">
        <w:rPr>
          <w:rFonts w:ascii="Arial" w:hAnsi="Arial" w:cs="Arial"/>
        </w:rPr>
        <w:t xml:space="preserve"> Antony Gibbs Sons V. La Société Industrielle Et Commerciale Des Métaux, </w:t>
      </w:r>
      <w:r w:rsidRPr="00D410BA">
        <w:rPr>
          <w:rFonts w:ascii="Arial" w:hAnsi="Arial" w:cs="Arial"/>
        </w:rPr>
        <w:t>25 Q.B.D. 399</w:t>
      </w:r>
    </w:p>
  </w:footnote>
  <w:footnote w:id="72">
    <w:p w14:paraId="00F89773" w14:textId="6D40FFF6" w:rsidR="0084220C" w:rsidRPr="0092130F" w:rsidRDefault="0084220C" w:rsidP="00E43E63">
      <w:pPr>
        <w:pStyle w:val="FootnoteText"/>
        <w:jc w:val="both"/>
        <w:rPr>
          <w:lang w:val="en-GB"/>
        </w:rPr>
      </w:pPr>
      <w:r w:rsidRPr="00D410BA">
        <w:rPr>
          <w:rStyle w:val="FootnoteReference"/>
          <w:rFonts w:ascii="Arial" w:hAnsi="Arial" w:cs="Arial"/>
        </w:rPr>
        <w:footnoteRef/>
      </w:r>
      <w:r w:rsidRPr="00D410BA">
        <w:rPr>
          <w:rFonts w:ascii="Arial" w:hAnsi="Arial" w:cs="Arial"/>
        </w:rPr>
        <w:t xml:space="preserve"> Shah, Devi and Wood, Alexandra, “The impact of Brexit on UK/European cross border schemes and restructuring plans”, at &lt;&lt; </w:t>
      </w:r>
      <w:hyperlink r:id="rId8" w:history="1">
        <w:r w:rsidRPr="00D410BA">
          <w:rPr>
            <w:rStyle w:val="Hyperlink"/>
            <w:rFonts w:ascii="Arial" w:hAnsi="Arial" w:cs="Arial"/>
          </w:rPr>
          <w:t>https://www.mayerbrown.com/en/perspectives-events/publications/2021/01/the-impact-of-brexit-on-ukeuropean-cross-border-schemes-and-restructuring-plans</w:t>
        </w:r>
      </w:hyperlink>
      <w:r w:rsidRPr="00D410BA">
        <w:rPr>
          <w:rFonts w:ascii="Arial" w:hAnsi="Arial" w:cs="Arial"/>
        </w:rPr>
        <w:t>&gt;&gt;, accessed on 9 July 2023.</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CE4"/>
    <w:multiLevelType w:val="hybridMultilevel"/>
    <w:tmpl w:val="09D227A0"/>
    <w:lvl w:ilvl="0" w:tplc="B1B05AF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5353CBA"/>
    <w:multiLevelType w:val="multilevel"/>
    <w:tmpl w:val="32ECE7CC"/>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5BB228A"/>
    <w:multiLevelType w:val="hybridMultilevel"/>
    <w:tmpl w:val="EB7EDD5C"/>
    <w:lvl w:ilvl="0" w:tplc="6A94185C">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6902C27"/>
    <w:multiLevelType w:val="hybridMultilevel"/>
    <w:tmpl w:val="3190B7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C11F56"/>
    <w:multiLevelType w:val="hybridMultilevel"/>
    <w:tmpl w:val="892621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D62225C"/>
    <w:multiLevelType w:val="hybridMultilevel"/>
    <w:tmpl w:val="7750AAC2"/>
    <w:lvl w:ilvl="0" w:tplc="A9022C50">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D686C8F"/>
    <w:multiLevelType w:val="hybridMultilevel"/>
    <w:tmpl w:val="1D7C999A"/>
    <w:lvl w:ilvl="0" w:tplc="11846DF0">
      <w:start w:val="1"/>
      <w:numFmt w:val="lowerRoman"/>
      <w:lvlText w:val="(%1)"/>
      <w:lvlJc w:val="left"/>
      <w:pPr>
        <w:ind w:left="720" w:hanging="72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4ADD50CC"/>
    <w:multiLevelType w:val="hybridMultilevel"/>
    <w:tmpl w:val="21AABA82"/>
    <w:lvl w:ilvl="0" w:tplc="56D0C08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264A4A"/>
    <w:multiLevelType w:val="hybridMultilevel"/>
    <w:tmpl w:val="3190B7B6"/>
    <w:lvl w:ilvl="0" w:tplc="895AB29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187238C"/>
    <w:multiLevelType w:val="hybridMultilevel"/>
    <w:tmpl w:val="2FEAACC0"/>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701325563">
    <w:abstractNumId w:val="5"/>
  </w:num>
  <w:num w:numId="2" w16cid:durableId="164513994">
    <w:abstractNumId w:val="1"/>
  </w:num>
  <w:num w:numId="3" w16cid:durableId="830410416">
    <w:abstractNumId w:val="2"/>
  </w:num>
  <w:num w:numId="4" w16cid:durableId="776870096">
    <w:abstractNumId w:val="7"/>
  </w:num>
  <w:num w:numId="5" w16cid:durableId="915558393">
    <w:abstractNumId w:val="8"/>
  </w:num>
  <w:num w:numId="6" w16cid:durableId="1648431645">
    <w:abstractNumId w:val="6"/>
  </w:num>
  <w:num w:numId="7" w16cid:durableId="1229997700">
    <w:abstractNumId w:val="9"/>
  </w:num>
  <w:num w:numId="8" w16cid:durableId="1115902312">
    <w:abstractNumId w:val="0"/>
  </w:num>
  <w:num w:numId="9" w16cid:durableId="266356626">
    <w:abstractNumId w:val="3"/>
  </w:num>
  <w:num w:numId="10" w16cid:durableId="541286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39"/>
    <w:rsid w:val="000070FD"/>
    <w:rsid w:val="00037564"/>
    <w:rsid w:val="0004042D"/>
    <w:rsid w:val="00040A6A"/>
    <w:rsid w:val="000477DA"/>
    <w:rsid w:val="000623CD"/>
    <w:rsid w:val="00064469"/>
    <w:rsid w:val="00082F19"/>
    <w:rsid w:val="00095E48"/>
    <w:rsid w:val="000A15DB"/>
    <w:rsid w:val="000D6B4E"/>
    <w:rsid w:val="000D75CE"/>
    <w:rsid w:val="000F36B6"/>
    <w:rsid w:val="000F60BF"/>
    <w:rsid w:val="001325C5"/>
    <w:rsid w:val="0014629E"/>
    <w:rsid w:val="00147574"/>
    <w:rsid w:val="001562E2"/>
    <w:rsid w:val="001623B5"/>
    <w:rsid w:val="001650C4"/>
    <w:rsid w:val="00171718"/>
    <w:rsid w:val="00180018"/>
    <w:rsid w:val="00185154"/>
    <w:rsid w:val="001A0672"/>
    <w:rsid w:val="001B5B61"/>
    <w:rsid w:val="001C19C9"/>
    <w:rsid w:val="001C6C7F"/>
    <w:rsid w:val="001C6D1F"/>
    <w:rsid w:val="001E59B1"/>
    <w:rsid w:val="002066E8"/>
    <w:rsid w:val="0021574F"/>
    <w:rsid w:val="00232981"/>
    <w:rsid w:val="00233708"/>
    <w:rsid w:val="0023798F"/>
    <w:rsid w:val="002445CE"/>
    <w:rsid w:val="002502CA"/>
    <w:rsid w:val="0027589E"/>
    <w:rsid w:val="002B5627"/>
    <w:rsid w:val="002C5B05"/>
    <w:rsid w:val="002D03A5"/>
    <w:rsid w:val="002D54D3"/>
    <w:rsid w:val="002F0569"/>
    <w:rsid w:val="002F0B7E"/>
    <w:rsid w:val="002F4F97"/>
    <w:rsid w:val="00301489"/>
    <w:rsid w:val="003031F1"/>
    <w:rsid w:val="00307AF8"/>
    <w:rsid w:val="00312A40"/>
    <w:rsid w:val="00384197"/>
    <w:rsid w:val="003A22E4"/>
    <w:rsid w:val="003B070E"/>
    <w:rsid w:val="003C00AF"/>
    <w:rsid w:val="003D5155"/>
    <w:rsid w:val="003D7DA7"/>
    <w:rsid w:val="003E3E72"/>
    <w:rsid w:val="003F3A33"/>
    <w:rsid w:val="00414DFA"/>
    <w:rsid w:val="00414F68"/>
    <w:rsid w:val="004419C1"/>
    <w:rsid w:val="004449F3"/>
    <w:rsid w:val="0045176E"/>
    <w:rsid w:val="00463A8D"/>
    <w:rsid w:val="00472B1A"/>
    <w:rsid w:val="004742C1"/>
    <w:rsid w:val="004C58BC"/>
    <w:rsid w:val="004E16D2"/>
    <w:rsid w:val="005101BD"/>
    <w:rsid w:val="00515F35"/>
    <w:rsid w:val="00516235"/>
    <w:rsid w:val="00542320"/>
    <w:rsid w:val="0054790A"/>
    <w:rsid w:val="00555D00"/>
    <w:rsid w:val="00555F79"/>
    <w:rsid w:val="00561781"/>
    <w:rsid w:val="00564598"/>
    <w:rsid w:val="0057563E"/>
    <w:rsid w:val="00580D06"/>
    <w:rsid w:val="00592BC4"/>
    <w:rsid w:val="00593CDD"/>
    <w:rsid w:val="005975D3"/>
    <w:rsid w:val="005A0437"/>
    <w:rsid w:val="005A08E7"/>
    <w:rsid w:val="005A528A"/>
    <w:rsid w:val="005C5D1D"/>
    <w:rsid w:val="005C636C"/>
    <w:rsid w:val="005E3E0B"/>
    <w:rsid w:val="005E74C7"/>
    <w:rsid w:val="005F22FE"/>
    <w:rsid w:val="0060409D"/>
    <w:rsid w:val="006108D5"/>
    <w:rsid w:val="006268E5"/>
    <w:rsid w:val="0065399F"/>
    <w:rsid w:val="00657C18"/>
    <w:rsid w:val="00667C43"/>
    <w:rsid w:val="00677603"/>
    <w:rsid w:val="00686F9C"/>
    <w:rsid w:val="00691682"/>
    <w:rsid w:val="006A33F1"/>
    <w:rsid w:val="006A51E4"/>
    <w:rsid w:val="006B53AD"/>
    <w:rsid w:val="006C7926"/>
    <w:rsid w:val="006F5CBB"/>
    <w:rsid w:val="006F7A77"/>
    <w:rsid w:val="00710646"/>
    <w:rsid w:val="007123D0"/>
    <w:rsid w:val="007201B6"/>
    <w:rsid w:val="00722DCC"/>
    <w:rsid w:val="0072777D"/>
    <w:rsid w:val="0073511D"/>
    <w:rsid w:val="00761B94"/>
    <w:rsid w:val="007710C6"/>
    <w:rsid w:val="007A1910"/>
    <w:rsid w:val="007A5F3B"/>
    <w:rsid w:val="007B740E"/>
    <w:rsid w:val="007D3C9C"/>
    <w:rsid w:val="007E6198"/>
    <w:rsid w:val="007F645F"/>
    <w:rsid w:val="00803CC3"/>
    <w:rsid w:val="008113D6"/>
    <w:rsid w:val="00811780"/>
    <w:rsid w:val="0081311C"/>
    <w:rsid w:val="008176A7"/>
    <w:rsid w:val="0083721D"/>
    <w:rsid w:val="0084220C"/>
    <w:rsid w:val="00843C51"/>
    <w:rsid w:val="00852451"/>
    <w:rsid w:val="008708B3"/>
    <w:rsid w:val="0087265A"/>
    <w:rsid w:val="00875F55"/>
    <w:rsid w:val="008830BF"/>
    <w:rsid w:val="00884027"/>
    <w:rsid w:val="00884761"/>
    <w:rsid w:val="00893CC4"/>
    <w:rsid w:val="0089753A"/>
    <w:rsid w:val="008C131F"/>
    <w:rsid w:val="008E6F68"/>
    <w:rsid w:val="008F5FED"/>
    <w:rsid w:val="009030C4"/>
    <w:rsid w:val="0092130F"/>
    <w:rsid w:val="009440AB"/>
    <w:rsid w:val="009466E0"/>
    <w:rsid w:val="00950BFC"/>
    <w:rsid w:val="00967CEE"/>
    <w:rsid w:val="009800AA"/>
    <w:rsid w:val="009866FF"/>
    <w:rsid w:val="009877BA"/>
    <w:rsid w:val="00993238"/>
    <w:rsid w:val="0099780F"/>
    <w:rsid w:val="009A03C1"/>
    <w:rsid w:val="009A5247"/>
    <w:rsid w:val="009B1FD0"/>
    <w:rsid w:val="009C0A85"/>
    <w:rsid w:val="009C2739"/>
    <w:rsid w:val="009E3FC5"/>
    <w:rsid w:val="009F454F"/>
    <w:rsid w:val="00A221D8"/>
    <w:rsid w:val="00A3201D"/>
    <w:rsid w:val="00A3535B"/>
    <w:rsid w:val="00A5460D"/>
    <w:rsid w:val="00A96F1F"/>
    <w:rsid w:val="00AA031C"/>
    <w:rsid w:val="00AA10B7"/>
    <w:rsid w:val="00AD4F03"/>
    <w:rsid w:val="00AE1F7B"/>
    <w:rsid w:val="00AE2D8F"/>
    <w:rsid w:val="00AE5F22"/>
    <w:rsid w:val="00B17D89"/>
    <w:rsid w:val="00B25A21"/>
    <w:rsid w:val="00B274C0"/>
    <w:rsid w:val="00B339FF"/>
    <w:rsid w:val="00B57078"/>
    <w:rsid w:val="00B60405"/>
    <w:rsid w:val="00B76249"/>
    <w:rsid w:val="00B9700D"/>
    <w:rsid w:val="00BA1D6A"/>
    <w:rsid w:val="00BA27F9"/>
    <w:rsid w:val="00BD5845"/>
    <w:rsid w:val="00C005DB"/>
    <w:rsid w:val="00C028AC"/>
    <w:rsid w:val="00C11B59"/>
    <w:rsid w:val="00C45C17"/>
    <w:rsid w:val="00C46FFC"/>
    <w:rsid w:val="00C5261B"/>
    <w:rsid w:val="00C52EF3"/>
    <w:rsid w:val="00C5620B"/>
    <w:rsid w:val="00C7222B"/>
    <w:rsid w:val="00C72F45"/>
    <w:rsid w:val="00CB23D9"/>
    <w:rsid w:val="00CB7E0C"/>
    <w:rsid w:val="00CC3AEC"/>
    <w:rsid w:val="00CE4C40"/>
    <w:rsid w:val="00CF4C42"/>
    <w:rsid w:val="00D05110"/>
    <w:rsid w:val="00D129D2"/>
    <w:rsid w:val="00D21719"/>
    <w:rsid w:val="00D410BA"/>
    <w:rsid w:val="00D500FC"/>
    <w:rsid w:val="00D5439B"/>
    <w:rsid w:val="00D557C5"/>
    <w:rsid w:val="00D6309A"/>
    <w:rsid w:val="00D701E1"/>
    <w:rsid w:val="00D7100B"/>
    <w:rsid w:val="00D7507D"/>
    <w:rsid w:val="00D81288"/>
    <w:rsid w:val="00D86CC1"/>
    <w:rsid w:val="00D86D4A"/>
    <w:rsid w:val="00DC1B90"/>
    <w:rsid w:val="00E05B77"/>
    <w:rsid w:val="00E12CE0"/>
    <w:rsid w:val="00E20181"/>
    <w:rsid w:val="00E24954"/>
    <w:rsid w:val="00E346F1"/>
    <w:rsid w:val="00E43E63"/>
    <w:rsid w:val="00E53577"/>
    <w:rsid w:val="00E5430C"/>
    <w:rsid w:val="00E757DC"/>
    <w:rsid w:val="00E87355"/>
    <w:rsid w:val="00E878BF"/>
    <w:rsid w:val="00E911F8"/>
    <w:rsid w:val="00EB6ED0"/>
    <w:rsid w:val="00ED640C"/>
    <w:rsid w:val="00EE1B66"/>
    <w:rsid w:val="00EE5891"/>
    <w:rsid w:val="00EF3E1B"/>
    <w:rsid w:val="00EF5CDB"/>
    <w:rsid w:val="00F111DC"/>
    <w:rsid w:val="00F11F90"/>
    <w:rsid w:val="00F24336"/>
    <w:rsid w:val="00F32671"/>
    <w:rsid w:val="00F532E3"/>
    <w:rsid w:val="00F57BC9"/>
    <w:rsid w:val="00F73A1B"/>
    <w:rsid w:val="00F82C9D"/>
    <w:rsid w:val="00F8470C"/>
    <w:rsid w:val="00F92830"/>
    <w:rsid w:val="00F9302B"/>
    <w:rsid w:val="00F9611A"/>
    <w:rsid w:val="00F97360"/>
    <w:rsid w:val="00FE13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C3D0"/>
  <w15:chartTrackingRefBased/>
  <w15:docId w15:val="{E9E1FF97-110C-488F-A973-D6883CB6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6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11C"/>
    <w:rPr>
      <w:color w:val="0563C1" w:themeColor="hyperlink"/>
      <w:u w:val="single"/>
    </w:rPr>
  </w:style>
  <w:style w:type="character" w:styleId="UnresolvedMention">
    <w:name w:val="Unresolved Mention"/>
    <w:basedOn w:val="DefaultParagraphFont"/>
    <w:uiPriority w:val="99"/>
    <w:semiHidden/>
    <w:unhideWhenUsed/>
    <w:rsid w:val="0081311C"/>
    <w:rPr>
      <w:color w:val="605E5C"/>
      <w:shd w:val="clear" w:color="auto" w:fill="E1DFDD"/>
    </w:rPr>
  </w:style>
  <w:style w:type="paragraph" w:styleId="FootnoteText">
    <w:name w:val="footnote text"/>
    <w:basedOn w:val="Normal"/>
    <w:link w:val="FootnoteTextChar"/>
    <w:uiPriority w:val="99"/>
    <w:unhideWhenUsed/>
    <w:rsid w:val="00875F55"/>
    <w:pPr>
      <w:spacing w:after="0" w:line="240" w:lineRule="auto"/>
    </w:pPr>
    <w:rPr>
      <w:sz w:val="20"/>
      <w:szCs w:val="20"/>
    </w:rPr>
  </w:style>
  <w:style w:type="character" w:customStyle="1" w:styleId="FootnoteTextChar">
    <w:name w:val="Footnote Text Char"/>
    <w:basedOn w:val="DefaultParagraphFont"/>
    <w:link w:val="FootnoteText"/>
    <w:uiPriority w:val="99"/>
    <w:rsid w:val="00875F55"/>
    <w:rPr>
      <w:sz w:val="20"/>
      <w:szCs w:val="20"/>
    </w:rPr>
  </w:style>
  <w:style w:type="character" w:styleId="FootnoteReference">
    <w:name w:val="footnote reference"/>
    <w:basedOn w:val="DefaultParagraphFont"/>
    <w:uiPriority w:val="99"/>
    <w:semiHidden/>
    <w:unhideWhenUsed/>
    <w:rsid w:val="00875F55"/>
    <w:rPr>
      <w:vertAlign w:val="superscript"/>
    </w:rPr>
  </w:style>
  <w:style w:type="paragraph" w:styleId="ListParagraph">
    <w:name w:val="List Paragraph"/>
    <w:basedOn w:val="Normal"/>
    <w:uiPriority w:val="34"/>
    <w:qFormat/>
    <w:rsid w:val="00F9611A"/>
    <w:pPr>
      <w:ind w:left="720"/>
      <w:contextualSpacing/>
    </w:pPr>
  </w:style>
  <w:style w:type="character" w:styleId="Strong">
    <w:name w:val="Strong"/>
    <w:basedOn w:val="DefaultParagraphFont"/>
    <w:uiPriority w:val="22"/>
    <w:qFormat/>
    <w:rsid w:val="00F532E3"/>
    <w:rPr>
      <w:b/>
      <w:bCs/>
    </w:rPr>
  </w:style>
  <w:style w:type="character" w:styleId="FollowedHyperlink">
    <w:name w:val="FollowedHyperlink"/>
    <w:basedOn w:val="DefaultParagraphFont"/>
    <w:uiPriority w:val="99"/>
    <w:semiHidden/>
    <w:unhideWhenUsed/>
    <w:rsid w:val="00F57BC9"/>
    <w:rPr>
      <w:color w:val="954F72" w:themeColor="followedHyperlink"/>
      <w:u w:val="single"/>
    </w:rPr>
  </w:style>
  <w:style w:type="character" w:customStyle="1" w:styleId="Heading1Char">
    <w:name w:val="Heading 1 Char"/>
    <w:basedOn w:val="DefaultParagraphFont"/>
    <w:link w:val="Heading1"/>
    <w:uiPriority w:val="9"/>
    <w:rsid w:val="00D86CC1"/>
    <w:rPr>
      <w:rFonts w:ascii="Times New Roman" w:eastAsia="Times New Roman" w:hAnsi="Times New Roman" w:cs="Times New Roman"/>
      <w:b/>
      <w:bCs/>
      <w:kern w:val="36"/>
      <w:sz w:val="48"/>
      <w:szCs w:val="48"/>
      <w:lang w:eastAsia="en-IN"/>
      <w14:ligatures w14:val="none"/>
    </w:rPr>
  </w:style>
  <w:style w:type="paragraph" w:styleId="TOCHeading">
    <w:name w:val="TOC Heading"/>
    <w:basedOn w:val="Heading1"/>
    <w:next w:val="Normal"/>
    <w:uiPriority w:val="39"/>
    <w:unhideWhenUsed/>
    <w:qFormat/>
    <w:rsid w:val="0051623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16235"/>
    <w:pPr>
      <w:spacing w:after="100"/>
    </w:pPr>
  </w:style>
  <w:style w:type="paragraph" w:styleId="TOC2">
    <w:name w:val="toc 2"/>
    <w:basedOn w:val="Normal"/>
    <w:next w:val="Normal"/>
    <w:autoRedefine/>
    <w:uiPriority w:val="39"/>
    <w:unhideWhenUsed/>
    <w:rsid w:val="00516235"/>
    <w:pPr>
      <w:spacing w:after="100"/>
      <w:ind w:left="220"/>
    </w:pPr>
  </w:style>
  <w:style w:type="paragraph" w:styleId="TOC3">
    <w:name w:val="toc 3"/>
    <w:basedOn w:val="Normal"/>
    <w:next w:val="Normal"/>
    <w:autoRedefine/>
    <w:uiPriority w:val="39"/>
    <w:unhideWhenUsed/>
    <w:rsid w:val="0051623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154">
      <w:bodyDiv w:val="1"/>
      <w:marLeft w:val="0"/>
      <w:marRight w:val="0"/>
      <w:marTop w:val="0"/>
      <w:marBottom w:val="0"/>
      <w:divBdr>
        <w:top w:val="none" w:sz="0" w:space="0" w:color="auto"/>
        <w:left w:val="none" w:sz="0" w:space="0" w:color="auto"/>
        <w:bottom w:val="none" w:sz="0" w:space="0" w:color="auto"/>
        <w:right w:val="none" w:sz="0" w:space="0" w:color="auto"/>
      </w:divBdr>
    </w:div>
    <w:div w:id="213273758">
      <w:bodyDiv w:val="1"/>
      <w:marLeft w:val="0"/>
      <w:marRight w:val="0"/>
      <w:marTop w:val="0"/>
      <w:marBottom w:val="0"/>
      <w:divBdr>
        <w:top w:val="none" w:sz="0" w:space="0" w:color="auto"/>
        <w:left w:val="none" w:sz="0" w:space="0" w:color="auto"/>
        <w:bottom w:val="none" w:sz="0" w:space="0" w:color="auto"/>
        <w:right w:val="none" w:sz="0" w:space="0" w:color="auto"/>
      </w:divBdr>
    </w:div>
    <w:div w:id="218440356">
      <w:bodyDiv w:val="1"/>
      <w:marLeft w:val="0"/>
      <w:marRight w:val="0"/>
      <w:marTop w:val="0"/>
      <w:marBottom w:val="0"/>
      <w:divBdr>
        <w:top w:val="none" w:sz="0" w:space="0" w:color="auto"/>
        <w:left w:val="none" w:sz="0" w:space="0" w:color="auto"/>
        <w:bottom w:val="none" w:sz="0" w:space="0" w:color="auto"/>
        <w:right w:val="none" w:sz="0" w:space="0" w:color="auto"/>
      </w:divBdr>
    </w:div>
    <w:div w:id="227887705">
      <w:bodyDiv w:val="1"/>
      <w:marLeft w:val="0"/>
      <w:marRight w:val="0"/>
      <w:marTop w:val="0"/>
      <w:marBottom w:val="0"/>
      <w:divBdr>
        <w:top w:val="none" w:sz="0" w:space="0" w:color="auto"/>
        <w:left w:val="none" w:sz="0" w:space="0" w:color="auto"/>
        <w:bottom w:val="none" w:sz="0" w:space="0" w:color="auto"/>
        <w:right w:val="none" w:sz="0" w:space="0" w:color="auto"/>
      </w:divBdr>
    </w:div>
    <w:div w:id="236788396">
      <w:bodyDiv w:val="1"/>
      <w:marLeft w:val="0"/>
      <w:marRight w:val="0"/>
      <w:marTop w:val="0"/>
      <w:marBottom w:val="0"/>
      <w:divBdr>
        <w:top w:val="none" w:sz="0" w:space="0" w:color="auto"/>
        <w:left w:val="none" w:sz="0" w:space="0" w:color="auto"/>
        <w:bottom w:val="none" w:sz="0" w:space="0" w:color="auto"/>
        <w:right w:val="none" w:sz="0" w:space="0" w:color="auto"/>
      </w:divBdr>
    </w:div>
    <w:div w:id="264116932">
      <w:bodyDiv w:val="1"/>
      <w:marLeft w:val="0"/>
      <w:marRight w:val="0"/>
      <w:marTop w:val="0"/>
      <w:marBottom w:val="0"/>
      <w:divBdr>
        <w:top w:val="none" w:sz="0" w:space="0" w:color="auto"/>
        <w:left w:val="none" w:sz="0" w:space="0" w:color="auto"/>
        <w:bottom w:val="none" w:sz="0" w:space="0" w:color="auto"/>
        <w:right w:val="none" w:sz="0" w:space="0" w:color="auto"/>
      </w:divBdr>
    </w:div>
    <w:div w:id="297803154">
      <w:bodyDiv w:val="1"/>
      <w:marLeft w:val="0"/>
      <w:marRight w:val="0"/>
      <w:marTop w:val="0"/>
      <w:marBottom w:val="0"/>
      <w:divBdr>
        <w:top w:val="none" w:sz="0" w:space="0" w:color="auto"/>
        <w:left w:val="none" w:sz="0" w:space="0" w:color="auto"/>
        <w:bottom w:val="none" w:sz="0" w:space="0" w:color="auto"/>
        <w:right w:val="none" w:sz="0" w:space="0" w:color="auto"/>
      </w:divBdr>
    </w:div>
    <w:div w:id="314383702">
      <w:bodyDiv w:val="1"/>
      <w:marLeft w:val="0"/>
      <w:marRight w:val="0"/>
      <w:marTop w:val="0"/>
      <w:marBottom w:val="0"/>
      <w:divBdr>
        <w:top w:val="none" w:sz="0" w:space="0" w:color="auto"/>
        <w:left w:val="none" w:sz="0" w:space="0" w:color="auto"/>
        <w:bottom w:val="none" w:sz="0" w:space="0" w:color="auto"/>
        <w:right w:val="none" w:sz="0" w:space="0" w:color="auto"/>
      </w:divBdr>
    </w:div>
    <w:div w:id="358169780">
      <w:bodyDiv w:val="1"/>
      <w:marLeft w:val="0"/>
      <w:marRight w:val="0"/>
      <w:marTop w:val="0"/>
      <w:marBottom w:val="0"/>
      <w:divBdr>
        <w:top w:val="none" w:sz="0" w:space="0" w:color="auto"/>
        <w:left w:val="none" w:sz="0" w:space="0" w:color="auto"/>
        <w:bottom w:val="none" w:sz="0" w:space="0" w:color="auto"/>
        <w:right w:val="none" w:sz="0" w:space="0" w:color="auto"/>
      </w:divBdr>
    </w:div>
    <w:div w:id="386494345">
      <w:bodyDiv w:val="1"/>
      <w:marLeft w:val="0"/>
      <w:marRight w:val="0"/>
      <w:marTop w:val="0"/>
      <w:marBottom w:val="0"/>
      <w:divBdr>
        <w:top w:val="none" w:sz="0" w:space="0" w:color="auto"/>
        <w:left w:val="none" w:sz="0" w:space="0" w:color="auto"/>
        <w:bottom w:val="none" w:sz="0" w:space="0" w:color="auto"/>
        <w:right w:val="none" w:sz="0" w:space="0" w:color="auto"/>
      </w:divBdr>
    </w:div>
    <w:div w:id="439035750">
      <w:bodyDiv w:val="1"/>
      <w:marLeft w:val="0"/>
      <w:marRight w:val="0"/>
      <w:marTop w:val="0"/>
      <w:marBottom w:val="0"/>
      <w:divBdr>
        <w:top w:val="none" w:sz="0" w:space="0" w:color="auto"/>
        <w:left w:val="none" w:sz="0" w:space="0" w:color="auto"/>
        <w:bottom w:val="none" w:sz="0" w:space="0" w:color="auto"/>
        <w:right w:val="none" w:sz="0" w:space="0" w:color="auto"/>
      </w:divBdr>
    </w:div>
    <w:div w:id="539047994">
      <w:bodyDiv w:val="1"/>
      <w:marLeft w:val="0"/>
      <w:marRight w:val="0"/>
      <w:marTop w:val="0"/>
      <w:marBottom w:val="0"/>
      <w:divBdr>
        <w:top w:val="none" w:sz="0" w:space="0" w:color="auto"/>
        <w:left w:val="none" w:sz="0" w:space="0" w:color="auto"/>
        <w:bottom w:val="none" w:sz="0" w:space="0" w:color="auto"/>
        <w:right w:val="none" w:sz="0" w:space="0" w:color="auto"/>
      </w:divBdr>
    </w:div>
    <w:div w:id="610361539">
      <w:bodyDiv w:val="1"/>
      <w:marLeft w:val="0"/>
      <w:marRight w:val="0"/>
      <w:marTop w:val="0"/>
      <w:marBottom w:val="0"/>
      <w:divBdr>
        <w:top w:val="none" w:sz="0" w:space="0" w:color="auto"/>
        <w:left w:val="none" w:sz="0" w:space="0" w:color="auto"/>
        <w:bottom w:val="none" w:sz="0" w:space="0" w:color="auto"/>
        <w:right w:val="none" w:sz="0" w:space="0" w:color="auto"/>
      </w:divBdr>
    </w:div>
    <w:div w:id="636108038">
      <w:bodyDiv w:val="1"/>
      <w:marLeft w:val="0"/>
      <w:marRight w:val="0"/>
      <w:marTop w:val="0"/>
      <w:marBottom w:val="0"/>
      <w:divBdr>
        <w:top w:val="none" w:sz="0" w:space="0" w:color="auto"/>
        <w:left w:val="none" w:sz="0" w:space="0" w:color="auto"/>
        <w:bottom w:val="none" w:sz="0" w:space="0" w:color="auto"/>
        <w:right w:val="none" w:sz="0" w:space="0" w:color="auto"/>
      </w:divBdr>
    </w:div>
    <w:div w:id="878199699">
      <w:bodyDiv w:val="1"/>
      <w:marLeft w:val="0"/>
      <w:marRight w:val="0"/>
      <w:marTop w:val="0"/>
      <w:marBottom w:val="0"/>
      <w:divBdr>
        <w:top w:val="none" w:sz="0" w:space="0" w:color="auto"/>
        <w:left w:val="none" w:sz="0" w:space="0" w:color="auto"/>
        <w:bottom w:val="none" w:sz="0" w:space="0" w:color="auto"/>
        <w:right w:val="none" w:sz="0" w:space="0" w:color="auto"/>
      </w:divBdr>
    </w:div>
    <w:div w:id="1139884489">
      <w:bodyDiv w:val="1"/>
      <w:marLeft w:val="0"/>
      <w:marRight w:val="0"/>
      <w:marTop w:val="0"/>
      <w:marBottom w:val="0"/>
      <w:divBdr>
        <w:top w:val="none" w:sz="0" w:space="0" w:color="auto"/>
        <w:left w:val="none" w:sz="0" w:space="0" w:color="auto"/>
        <w:bottom w:val="none" w:sz="0" w:space="0" w:color="auto"/>
        <w:right w:val="none" w:sz="0" w:space="0" w:color="auto"/>
      </w:divBdr>
    </w:div>
    <w:div w:id="1331759605">
      <w:bodyDiv w:val="1"/>
      <w:marLeft w:val="0"/>
      <w:marRight w:val="0"/>
      <w:marTop w:val="0"/>
      <w:marBottom w:val="0"/>
      <w:divBdr>
        <w:top w:val="none" w:sz="0" w:space="0" w:color="auto"/>
        <w:left w:val="none" w:sz="0" w:space="0" w:color="auto"/>
        <w:bottom w:val="none" w:sz="0" w:space="0" w:color="auto"/>
        <w:right w:val="none" w:sz="0" w:space="0" w:color="auto"/>
      </w:divBdr>
    </w:div>
    <w:div w:id="1386028593">
      <w:bodyDiv w:val="1"/>
      <w:marLeft w:val="0"/>
      <w:marRight w:val="0"/>
      <w:marTop w:val="0"/>
      <w:marBottom w:val="0"/>
      <w:divBdr>
        <w:top w:val="none" w:sz="0" w:space="0" w:color="auto"/>
        <w:left w:val="none" w:sz="0" w:space="0" w:color="auto"/>
        <w:bottom w:val="none" w:sz="0" w:space="0" w:color="auto"/>
        <w:right w:val="none" w:sz="0" w:space="0" w:color="auto"/>
      </w:divBdr>
    </w:div>
    <w:div w:id="1466969261">
      <w:bodyDiv w:val="1"/>
      <w:marLeft w:val="0"/>
      <w:marRight w:val="0"/>
      <w:marTop w:val="0"/>
      <w:marBottom w:val="0"/>
      <w:divBdr>
        <w:top w:val="none" w:sz="0" w:space="0" w:color="auto"/>
        <w:left w:val="none" w:sz="0" w:space="0" w:color="auto"/>
        <w:bottom w:val="none" w:sz="0" w:space="0" w:color="auto"/>
        <w:right w:val="none" w:sz="0" w:space="0" w:color="auto"/>
      </w:divBdr>
    </w:div>
    <w:div w:id="1603299414">
      <w:bodyDiv w:val="1"/>
      <w:marLeft w:val="0"/>
      <w:marRight w:val="0"/>
      <w:marTop w:val="0"/>
      <w:marBottom w:val="0"/>
      <w:divBdr>
        <w:top w:val="none" w:sz="0" w:space="0" w:color="auto"/>
        <w:left w:val="none" w:sz="0" w:space="0" w:color="auto"/>
        <w:bottom w:val="none" w:sz="0" w:space="0" w:color="auto"/>
        <w:right w:val="none" w:sz="0" w:space="0" w:color="auto"/>
      </w:divBdr>
    </w:div>
    <w:div w:id="1606687770">
      <w:bodyDiv w:val="1"/>
      <w:marLeft w:val="0"/>
      <w:marRight w:val="0"/>
      <w:marTop w:val="0"/>
      <w:marBottom w:val="0"/>
      <w:divBdr>
        <w:top w:val="none" w:sz="0" w:space="0" w:color="auto"/>
        <w:left w:val="none" w:sz="0" w:space="0" w:color="auto"/>
        <w:bottom w:val="none" w:sz="0" w:space="0" w:color="auto"/>
        <w:right w:val="none" w:sz="0" w:space="0" w:color="auto"/>
      </w:divBdr>
    </w:div>
    <w:div w:id="1634365495">
      <w:bodyDiv w:val="1"/>
      <w:marLeft w:val="0"/>
      <w:marRight w:val="0"/>
      <w:marTop w:val="0"/>
      <w:marBottom w:val="0"/>
      <w:divBdr>
        <w:top w:val="none" w:sz="0" w:space="0" w:color="auto"/>
        <w:left w:val="none" w:sz="0" w:space="0" w:color="auto"/>
        <w:bottom w:val="none" w:sz="0" w:space="0" w:color="auto"/>
        <w:right w:val="none" w:sz="0" w:space="0" w:color="auto"/>
      </w:divBdr>
      <w:divsChild>
        <w:div w:id="1030647849">
          <w:marLeft w:val="-225"/>
          <w:marRight w:val="-225"/>
          <w:marTop w:val="0"/>
          <w:marBottom w:val="0"/>
          <w:divBdr>
            <w:top w:val="none" w:sz="0" w:space="0" w:color="auto"/>
            <w:left w:val="none" w:sz="0" w:space="0" w:color="auto"/>
            <w:bottom w:val="none" w:sz="0" w:space="0" w:color="auto"/>
            <w:right w:val="none" w:sz="0" w:space="0" w:color="auto"/>
          </w:divBdr>
          <w:divsChild>
            <w:div w:id="135488667">
              <w:marLeft w:val="3718"/>
              <w:marRight w:val="0"/>
              <w:marTop w:val="0"/>
              <w:marBottom w:val="0"/>
              <w:divBdr>
                <w:top w:val="none" w:sz="0" w:space="0" w:color="auto"/>
                <w:left w:val="none" w:sz="0" w:space="0" w:color="auto"/>
                <w:bottom w:val="none" w:sz="0" w:space="0" w:color="auto"/>
                <w:right w:val="none" w:sz="0" w:space="0" w:color="auto"/>
              </w:divBdr>
              <w:divsChild>
                <w:div w:id="1422986468">
                  <w:marLeft w:val="0"/>
                  <w:marRight w:val="0"/>
                  <w:marTop w:val="0"/>
                  <w:marBottom w:val="0"/>
                  <w:divBdr>
                    <w:top w:val="none" w:sz="0" w:space="0" w:color="auto"/>
                    <w:left w:val="none" w:sz="0" w:space="0" w:color="auto"/>
                    <w:bottom w:val="none" w:sz="0" w:space="0" w:color="auto"/>
                    <w:right w:val="none" w:sz="0" w:space="0" w:color="auto"/>
                  </w:divBdr>
                </w:div>
                <w:div w:id="1112091778">
                  <w:marLeft w:val="0"/>
                  <w:marRight w:val="0"/>
                  <w:marTop w:val="0"/>
                  <w:marBottom w:val="0"/>
                  <w:divBdr>
                    <w:top w:val="none" w:sz="0" w:space="0" w:color="auto"/>
                    <w:left w:val="none" w:sz="0" w:space="0" w:color="auto"/>
                    <w:bottom w:val="none" w:sz="0" w:space="0" w:color="auto"/>
                    <w:right w:val="none" w:sz="0" w:space="0" w:color="auto"/>
                  </w:divBdr>
                  <w:divsChild>
                    <w:div w:id="426656217">
                      <w:marLeft w:val="0"/>
                      <w:marRight w:val="0"/>
                      <w:marTop w:val="0"/>
                      <w:marBottom w:val="0"/>
                      <w:divBdr>
                        <w:top w:val="none" w:sz="0" w:space="0" w:color="auto"/>
                        <w:left w:val="none" w:sz="0" w:space="0" w:color="auto"/>
                        <w:bottom w:val="none" w:sz="0" w:space="0" w:color="auto"/>
                        <w:right w:val="none" w:sz="0" w:space="0" w:color="auto"/>
                      </w:divBdr>
                      <w:divsChild>
                        <w:div w:id="1432166726">
                          <w:marLeft w:val="0"/>
                          <w:marRight w:val="0"/>
                          <w:marTop w:val="0"/>
                          <w:marBottom w:val="0"/>
                          <w:divBdr>
                            <w:top w:val="none" w:sz="0" w:space="0" w:color="auto"/>
                            <w:left w:val="none" w:sz="0" w:space="0" w:color="auto"/>
                            <w:bottom w:val="none" w:sz="0" w:space="0" w:color="auto"/>
                            <w:right w:val="none" w:sz="0" w:space="0" w:color="auto"/>
                          </w:divBdr>
                        </w:div>
                      </w:divsChild>
                    </w:div>
                    <w:div w:id="1237017158">
                      <w:marLeft w:val="0"/>
                      <w:marRight w:val="0"/>
                      <w:marTop w:val="0"/>
                      <w:marBottom w:val="0"/>
                      <w:divBdr>
                        <w:top w:val="none" w:sz="0" w:space="0" w:color="auto"/>
                        <w:left w:val="none" w:sz="0" w:space="0" w:color="auto"/>
                        <w:bottom w:val="none" w:sz="0" w:space="0" w:color="auto"/>
                        <w:right w:val="none" w:sz="0" w:space="0" w:color="auto"/>
                      </w:divBdr>
                      <w:divsChild>
                        <w:div w:id="1094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4224">
          <w:marLeft w:val="-225"/>
          <w:marRight w:val="-225"/>
          <w:marTop w:val="0"/>
          <w:marBottom w:val="0"/>
          <w:divBdr>
            <w:top w:val="none" w:sz="0" w:space="0" w:color="auto"/>
            <w:left w:val="none" w:sz="0" w:space="0" w:color="auto"/>
            <w:bottom w:val="none" w:sz="0" w:space="0" w:color="auto"/>
            <w:right w:val="none" w:sz="0" w:space="0" w:color="auto"/>
          </w:divBdr>
          <w:divsChild>
            <w:div w:id="1332215982">
              <w:marLeft w:val="3718"/>
              <w:marRight w:val="0"/>
              <w:marTop w:val="0"/>
              <w:marBottom w:val="0"/>
              <w:divBdr>
                <w:top w:val="none" w:sz="0" w:space="0" w:color="auto"/>
                <w:left w:val="none" w:sz="0" w:space="0" w:color="auto"/>
                <w:bottom w:val="none" w:sz="0" w:space="0" w:color="auto"/>
                <w:right w:val="none" w:sz="0" w:space="0" w:color="auto"/>
              </w:divBdr>
              <w:divsChild>
                <w:div w:id="1760832363">
                  <w:marLeft w:val="0"/>
                  <w:marRight w:val="0"/>
                  <w:marTop w:val="0"/>
                  <w:marBottom w:val="0"/>
                  <w:divBdr>
                    <w:top w:val="single" w:sz="6" w:space="0" w:color="DEDEDE"/>
                    <w:left w:val="single" w:sz="6" w:space="0" w:color="DEDEDE"/>
                    <w:bottom w:val="single" w:sz="6" w:space="0" w:color="DEDEDE"/>
                    <w:right w:val="single" w:sz="6" w:space="0" w:color="DEDEDE"/>
                  </w:divBdr>
                  <w:divsChild>
                    <w:div w:id="1210728160">
                      <w:marLeft w:val="0"/>
                      <w:marRight w:val="0"/>
                      <w:marTop w:val="0"/>
                      <w:marBottom w:val="0"/>
                      <w:divBdr>
                        <w:top w:val="none" w:sz="0" w:space="0" w:color="auto"/>
                        <w:left w:val="none" w:sz="0" w:space="0" w:color="auto"/>
                        <w:bottom w:val="none" w:sz="0" w:space="0" w:color="auto"/>
                        <w:right w:val="none" w:sz="0" w:space="0" w:color="auto"/>
                      </w:divBdr>
                    </w:div>
                    <w:div w:id="900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1389">
      <w:bodyDiv w:val="1"/>
      <w:marLeft w:val="0"/>
      <w:marRight w:val="0"/>
      <w:marTop w:val="0"/>
      <w:marBottom w:val="0"/>
      <w:divBdr>
        <w:top w:val="none" w:sz="0" w:space="0" w:color="auto"/>
        <w:left w:val="none" w:sz="0" w:space="0" w:color="auto"/>
        <w:bottom w:val="none" w:sz="0" w:space="0" w:color="auto"/>
        <w:right w:val="none" w:sz="0" w:space="0" w:color="auto"/>
      </w:divBdr>
    </w:div>
    <w:div w:id="1704014967">
      <w:bodyDiv w:val="1"/>
      <w:marLeft w:val="0"/>
      <w:marRight w:val="0"/>
      <w:marTop w:val="0"/>
      <w:marBottom w:val="0"/>
      <w:divBdr>
        <w:top w:val="none" w:sz="0" w:space="0" w:color="auto"/>
        <w:left w:val="none" w:sz="0" w:space="0" w:color="auto"/>
        <w:bottom w:val="none" w:sz="0" w:space="0" w:color="auto"/>
        <w:right w:val="none" w:sz="0" w:space="0" w:color="auto"/>
      </w:divBdr>
    </w:div>
    <w:div w:id="1710760341">
      <w:bodyDiv w:val="1"/>
      <w:marLeft w:val="0"/>
      <w:marRight w:val="0"/>
      <w:marTop w:val="0"/>
      <w:marBottom w:val="0"/>
      <w:divBdr>
        <w:top w:val="none" w:sz="0" w:space="0" w:color="auto"/>
        <w:left w:val="none" w:sz="0" w:space="0" w:color="auto"/>
        <w:bottom w:val="none" w:sz="0" w:space="0" w:color="auto"/>
        <w:right w:val="none" w:sz="0" w:space="0" w:color="auto"/>
      </w:divBdr>
    </w:div>
    <w:div w:id="1868058246">
      <w:bodyDiv w:val="1"/>
      <w:marLeft w:val="0"/>
      <w:marRight w:val="0"/>
      <w:marTop w:val="0"/>
      <w:marBottom w:val="0"/>
      <w:divBdr>
        <w:top w:val="none" w:sz="0" w:space="0" w:color="auto"/>
        <w:left w:val="none" w:sz="0" w:space="0" w:color="auto"/>
        <w:bottom w:val="none" w:sz="0" w:space="0" w:color="auto"/>
        <w:right w:val="none" w:sz="0" w:space="0" w:color="auto"/>
      </w:divBdr>
    </w:div>
    <w:div w:id="18702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banker.com/finance/desirable-destinations-and-debt-restructuring-optimising-the-outcome/" TargetMode="External"/><Relationship Id="rId13" Type="http://schemas.openxmlformats.org/officeDocument/2006/relationships/hyperlink" Target="https://www.quantumainternational.com/insights/deutsche-nickel-eu-coin-gro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onrosefulbright.com/en/knowledge/publications/fc0fb698/impact-of-brexit-on-insolven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iglobal.org/file.cfm/12/docs/2019_gold_jente_dengler.pdf" TargetMode="External"/><Relationship Id="rId5" Type="http://schemas.openxmlformats.org/officeDocument/2006/relationships/webSettings" Target="webSettings.xml"/><Relationship Id="rId15" Type="http://schemas.openxmlformats.org/officeDocument/2006/relationships/hyperlink" Target="https://www.mayerbrown.com/en/perspectives-events/publications/2021/01/the-impact-of-brexit-on-ukeuropean-cross-border-schemes-and-restructuring-plans" TargetMode="External"/><Relationship Id="rId10" Type="http://schemas.openxmlformats.org/officeDocument/2006/relationships/hyperlink" Target="https://www.insol-europe.org/download/documents/1941" TargetMode="External"/><Relationship Id="rId4" Type="http://schemas.openxmlformats.org/officeDocument/2006/relationships/settings" Target="settings.xml"/><Relationship Id="rId9" Type="http://schemas.openxmlformats.org/officeDocument/2006/relationships/hyperlink" Target="https://www.nortonrosefulbright.com/en/knowledge/publications/8e5a46f4/singapores-efforts-to-become-an-international-hub-for-debt-restructuring" TargetMode="External"/><Relationship Id="rId14" Type="http://schemas.openxmlformats.org/officeDocument/2006/relationships/hyperlink" Target="https://www.ashurst.com/en/insights/london-as-a-european-restructuring-forum-reigns-suprem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yerbrown.com/en/perspectives-events/publications/2021/01/the-impact-of-brexit-on-ukeuropean-cross-border-schemes-and-restructuring-plans" TargetMode="External"/><Relationship Id="rId3" Type="http://schemas.openxmlformats.org/officeDocument/2006/relationships/hyperlink" Target="https://www.insol-europe.org/download/documents/1941" TargetMode="External"/><Relationship Id="rId7" Type="http://schemas.openxmlformats.org/officeDocument/2006/relationships/hyperlink" Target="https://www.ashurst.com/en/insights/london-as-a-european-restructuring-forum-reigns-supreme/" TargetMode="External"/><Relationship Id="rId2" Type="http://schemas.openxmlformats.org/officeDocument/2006/relationships/hyperlink" Target="https://www.nortonrosefulbright.com/en/knowledge/publications/8e5a46f4/singapores-efforts-to-become-an-international-hub-for-debt-restructuring" TargetMode="External"/><Relationship Id="rId1" Type="http://schemas.openxmlformats.org/officeDocument/2006/relationships/hyperlink" Target="https://internationalbanker.com/finance/desirable-destinations-and-debt-restructuring-optimising-the-outcome/" TargetMode="External"/><Relationship Id="rId6" Type="http://schemas.openxmlformats.org/officeDocument/2006/relationships/hyperlink" Target="https://www.quantumainternational.com/insights/deutsche-nickel-eu-coin-group" TargetMode="External"/><Relationship Id="rId5" Type="http://schemas.openxmlformats.org/officeDocument/2006/relationships/hyperlink" Target="https://www.nortonrosefulbright.com/en/knowledge/publications/fc0fb698/impact-of-brexit-on-insolvency" TargetMode="External"/><Relationship Id="rId4" Type="http://schemas.openxmlformats.org/officeDocument/2006/relationships/hyperlink" Target="https://www.iiiglobal.org/file.cfm/12/docs/2019_gold_jente_dengl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4BFC-5CD9-4435-8A0A-BECD9DB3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3583</Words>
  <Characters>20465</Characters>
  <Application>Microsoft Office Word</Application>
  <DocSecurity>0</DocSecurity>
  <Lines>352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Urmika Tripathi</dc:creator>
  <cp:keywords/>
  <dc:description/>
  <cp:lastModifiedBy>Urmika Tripathi</cp:lastModifiedBy>
  <cp:revision>120</cp:revision>
  <dcterms:created xsi:type="dcterms:W3CDTF">2023-06-21T12:48:00Z</dcterms:created>
  <dcterms:modified xsi:type="dcterms:W3CDTF">2023-07-09T08:04:00Z</dcterms:modified>
</cp:coreProperties>
</file>