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1932" w14:textId="4A6BF501" w:rsidR="00E51A9A" w:rsidRPr="00FF7282" w:rsidRDefault="00E51A9A" w:rsidP="00032215">
      <w:pPr>
        <w:pStyle w:val="BodyText"/>
        <w:spacing w:line="360" w:lineRule="auto"/>
        <w:ind w:left="2277" w:right="2541" w:firstLine="603"/>
        <w:jc w:val="center"/>
        <w:rPr>
          <w:sz w:val="22"/>
          <w:szCs w:val="22"/>
        </w:rPr>
      </w:pPr>
      <w:r w:rsidRPr="00FF7282">
        <w:rPr>
          <w:sz w:val="22"/>
          <w:szCs w:val="22"/>
        </w:rPr>
        <w:t>Author</w:t>
      </w:r>
      <w:r w:rsidRPr="00FF7282">
        <w:rPr>
          <w:spacing w:val="-14"/>
          <w:sz w:val="22"/>
          <w:szCs w:val="22"/>
        </w:rPr>
        <w:t xml:space="preserve"> </w:t>
      </w:r>
      <w:r w:rsidR="0026796C" w:rsidRPr="00FF7282">
        <w:rPr>
          <w:sz w:val="22"/>
          <w:szCs w:val="22"/>
        </w:rPr>
        <w:t>S</w:t>
      </w:r>
      <w:r w:rsidRPr="00FF7282">
        <w:rPr>
          <w:sz w:val="22"/>
          <w:szCs w:val="22"/>
        </w:rPr>
        <w:t>tatement</w:t>
      </w:r>
    </w:p>
    <w:p w14:paraId="463A6403" w14:textId="77777777" w:rsidR="00E51A9A" w:rsidRPr="00FF7282" w:rsidRDefault="00E51A9A" w:rsidP="00CE7FD1">
      <w:pPr>
        <w:pStyle w:val="BodyText"/>
        <w:spacing w:line="360" w:lineRule="auto"/>
        <w:jc w:val="center"/>
        <w:rPr>
          <w:sz w:val="22"/>
          <w:szCs w:val="22"/>
        </w:rPr>
      </w:pPr>
      <w:r w:rsidRPr="00FF7282">
        <w:rPr>
          <w:sz w:val="22"/>
          <w:szCs w:val="22"/>
        </w:rPr>
        <w:t>JOHN SAMUEL BAIN</w:t>
      </w:r>
    </w:p>
    <w:p w14:paraId="43EB3CC8" w14:textId="77777777" w:rsidR="00E51A9A" w:rsidRPr="00FF7282" w:rsidRDefault="00E51A9A" w:rsidP="00E51A9A">
      <w:pPr>
        <w:pStyle w:val="BodyText"/>
        <w:spacing w:line="360" w:lineRule="auto"/>
        <w:rPr>
          <w:sz w:val="22"/>
          <w:szCs w:val="22"/>
        </w:rPr>
      </w:pPr>
    </w:p>
    <w:p w14:paraId="32878C4A" w14:textId="77777777" w:rsidR="00E51A9A" w:rsidRPr="00FF7282" w:rsidRDefault="00E51A9A" w:rsidP="00E51A9A">
      <w:pPr>
        <w:pStyle w:val="BodyText"/>
        <w:spacing w:line="360" w:lineRule="auto"/>
        <w:rPr>
          <w:sz w:val="22"/>
          <w:szCs w:val="22"/>
        </w:rPr>
      </w:pPr>
    </w:p>
    <w:p w14:paraId="151DBF3D" w14:textId="77777777" w:rsidR="00E51A9A" w:rsidRPr="00FF7282" w:rsidRDefault="00E51A9A" w:rsidP="00E51A9A">
      <w:pPr>
        <w:pStyle w:val="BodyText"/>
        <w:spacing w:line="360" w:lineRule="auto"/>
        <w:rPr>
          <w:sz w:val="22"/>
          <w:szCs w:val="22"/>
        </w:rPr>
      </w:pPr>
    </w:p>
    <w:p w14:paraId="313E3E29" w14:textId="77777777" w:rsidR="00E51A9A" w:rsidRPr="00FF7282" w:rsidRDefault="00E51A9A" w:rsidP="00AA2313">
      <w:pPr>
        <w:pStyle w:val="BodyText"/>
        <w:spacing w:after="240" w:line="360" w:lineRule="auto"/>
        <w:ind w:left="117"/>
        <w:rPr>
          <w:sz w:val="22"/>
          <w:szCs w:val="22"/>
        </w:rPr>
      </w:pPr>
      <w:r w:rsidRPr="00FF7282">
        <w:rPr>
          <w:sz w:val="22"/>
          <w:szCs w:val="22"/>
        </w:rPr>
        <w:t>DECLARATION</w:t>
      </w:r>
      <w:r w:rsidRPr="00FF7282">
        <w:rPr>
          <w:spacing w:val="-5"/>
          <w:sz w:val="22"/>
          <w:szCs w:val="22"/>
        </w:rPr>
        <w:t xml:space="preserve"> </w:t>
      </w:r>
      <w:r w:rsidRPr="00FF7282">
        <w:rPr>
          <w:sz w:val="22"/>
          <w:szCs w:val="22"/>
        </w:rPr>
        <w:t>OF</w:t>
      </w:r>
      <w:r w:rsidRPr="00FF7282">
        <w:rPr>
          <w:spacing w:val="-5"/>
          <w:sz w:val="22"/>
          <w:szCs w:val="22"/>
        </w:rPr>
        <w:t xml:space="preserve"> </w:t>
      </w:r>
      <w:r w:rsidRPr="00FF7282">
        <w:rPr>
          <w:spacing w:val="-2"/>
          <w:sz w:val="22"/>
          <w:szCs w:val="22"/>
        </w:rPr>
        <w:t>HONOR:</w:t>
      </w:r>
    </w:p>
    <w:p w14:paraId="7E0F392A" w14:textId="3DE99917" w:rsidR="00E51A9A" w:rsidRPr="00FF7282" w:rsidRDefault="00E51A9A" w:rsidP="00AA2313">
      <w:pPr>
        <w:spacing w:after="240" w:line="360" w:lineRule="auto"/>
      </w:pPr>
      <w:r w:rsidRPr="00FF7282">
        <w:rPr>
          <w:rFonts w:ascii="Arial" w:hAnsi="Arial" w:cs="Arial"/>
        </w:rPr>
        <w:t>I</w:t>
      </w:r>
      <w:r w:rsidRPr="00FF7282">
        <w:rPr>
          <w:rFonts w:ascii="Arial" w:hAnsi="Arial" w:cs="Arial"/>
          <w:spacing w:val="-5"/>
        </w:rPr>
        <w:t xml:space="preserve"> </w:t>
      </w:r>
      <w:r w:rsidRPr="00FF7282">
        <w:rPr>
          <w:rFonts w:ascii="Arial" w:hAnsi="Arial" w:cs="Arial"/>
        </w:rPr>
        <w:t>declare</w:t>
      </w:r>
      <w:r w:rsidRPr="00FF7282">
        <w:rPr>
          <w:rFonts w:ascii="Arial" w:hAnsi="Arial" w:cs="Arial"/>
          <w:spacing w:val="-5"/>
        </w:rPr>
        <w:t xml:space="preserve"> </w:t>
      </w:r>
      <w:r w:rsidRPr="00FF7282">
        <w:rPr>
          <w:rFonts w:ascii="Arial" w:hAnsi="Arial" w:cs="Arial"/>
        </w:rPr>
        <w:t>that</w:t>
      </w:r>
      <w:r w:rsidRPr="00FF7282">
        <w:rPr>
          <w:rFonts w:ascii="Arial" w:hAnsi="Arial" w:cs="Arial"/>
          <w:spacing w:val="-5"/>
        </w:rPr>
        <w:t xml:space="preserve"> </w:t>
      </w:r>
      <w:r w:rsidRPr="00FF7282">
        <w:rPr>
          <w:rFonts w:ascii="Arial" w:hAnsi="Arial" w:cs="Arial"/>
        </w:rPr>
        <w:t>the</w:t>
      </w:r>
      <w:r w:rsidRPr="00FF7282">
        <w:rPr>
          <w:rFonts w:ascii="Arial" w:hAnsi="Arial" w:cs="Arial"/>
          <w:spacing w:val="-5"/>
        </w:rPr>
        <w:t xml:space="preserve"> </w:t>
      </w:r>
      <w:r w:rsidRPr="00FF7282">
        <w:rPr>
          <w:rFonts w:ascii="Arial" w:hAnsi="Arial" w:cs="Arial"/>
        </w:rPr>
        <w:t>paper</w:t>
      </w:r>
      <w:r w:rsidRPr="00FF7282">
        <w:rPr>
          <w:rFonts w:ascii="Arial" w:hAnsi="Arial" w:cs="Arial"/>
          <w:spacing w:val="-5"/>
        </w:rPr>
        <w:t xml:space="preserve"> </w:t>
      </w:r>
      <w:r w:rsidRPr="00FF7282">
        <w:rPr>
          <w:rFonts w:ascii="Arial" w:hAnsi="Arial" w:cs="Arial"/>
        </w:rPr>
        <w:t>titled</w:t>
      </w:r>
      <w:r w:rsidRPr="00FF7282">
        <w:rPr>
          <w:rFonts w:ascii="Arial" w:hAnsi="Arial" w:cs="Arial"/>
          <w:spacing w:val="-4"/>
        </w:rPr>
        <w:t xml:space="preserve"> </w:t>
      </w:r>
      <w:r w:rsidR="0026796C" w:rsidRPr="00FF7282">
        <w:rPr>
          <w:rFonts w:ascii="Arial" w:hAnsi="Arial" w:cs="Arial"/>
          <w:spacing w:val="-2"/>
        </w:rPr>
        <w:t>"</w:t>
      </w:r>
      <w:r w:rsidR="003827A6" w:rsidRPr="00FF7282">
        <w:rPr>
          <w:rFonts w:ascii="Arial" w:eastAsia="Times New Roman" w:hAnsi="Arial" w:cs="Arial"/>
          <w:color w:val="000000"/>
          <w:kern w:val="0"/>
          <w14:ligatures w14:val="none"/>
        </w:rPr>
        <w:t>A comparative analysis of the balance between liquidation and restructuring goals and proceedings in the USA and the UK</w:t>
      </w:r>
      <w:r w:rsidR="0026796C" w:rsidRPr="00FF7282">
        <w:rPr>
          <w:spacing w:val="-2"/>
        </w:rPr>
        <w:t xml:space="preserve">" </w:t>
      </w:r>
      <w:r w:rsidRPr="00FF7282">
        <w:t>is</w:t>
      </w:r>
      <w:r w:rsidRPr="00FF7282">
        <w:rPr>
          <w:spacing w:val="-3"/>
        </w:rPr>
        <w:t xml:space="preserve"> </w:t>
      </w:r>
      <w:r w:rsidRPr="00FF7282">
        <w:t>my</w:t>
      </w:r>
      <w:r w:rsidRPr="00FF7282">
        <w:rPr>
          <w:spacing w:val="-3"/>
        </w:rPr>
        <w:t xml:space="preserve"> </w:t>
      </w:r>
      <w:r w:rsidRPr="00FF7282">
        <w:t>own</w:t>
      </w:r>
      <w:r w:rsidRPr="00FF7282">
        <w:rPr>
          <w:spacing w:val="-4"/>
        </w:rPr>
        <w:t xml:space="preserve"> </w:t>
      </w:r>
      <w:r w:rsidRPr="00FF7282">
        <w:t>work,</w:t>
      </w:r>
      <w:r w:rsidRPr="00FF7282">
        <w:rPr>
          <w:spacing w:val="-3"/>
        </w:rPr>
        <w:t xml:space="preserve"> </w:t>
      </w:r>
      <w:r w:rsidRPr="00FF7282">
        <w:t>that</w:t>
      </w:r>
      <w:r w:rsidRPr="00FF7282">
        <w:rPr>
          <w:spacing w:val="-3"/>
        </w:rPr>
        <w:t xml:space="preserve"> </w:t>
      </w:r>
      <w:r w:rsidRPr="00FF7282">
        <w:t>it</w:t>
      </w:r>
      <w:r w:rsidRPr="00FF7282">
        <w:rPr>
          <w:spacing w:val="-3"/>
        </w:rPr>
        <w:t xml:space="preserve"> </w:t>
      </w:r>
      <w:r w:rsidRPr="00FF7282">
        <w:t>has</w:t>
      </w:r>
      <w:r w:rsidRPr="00FF7282">
        <w:rPr>
          <w:spacing w:val="-3"/>
        </w:rPr>
        <w:t xml:space="preserve"> </w:t>
      </w:r>
      <w:r w:rsidRPr="00FF7282">
        <w:t>been</w:t>
      </w:r>
      <w:r w:rsidRPr="00FF7282">
        <w:rPr>
          <w:spacing w:val="-3"/>
        </w:rPr>
        <w:t xml:space="preserve"> </w:t>
      </w:r>
      <w:r w:rsidRPr="00FF7282">
        <w:t>prepared</w:t>
      </w:r>
      <w:r w:rsidRPr="00FF7282">
        <w:rPr>
          <w:spacing w:val="-1"/>
        </w:rPr>
        <w:t xml:space="preserve"> </w:t>
      </w:r>
      <w:r w:rsidRPr="00FF7282">
        <w:t>independently</w:t>
      </w:r>
      <w:r w:rsidR="0026796C" w:rsidRPr="00FF7282">
        <w:t>,</w:t>
      </w:r>
      <w:r w:rsidRPr="00FF7282">
        <w:rPr>
          <w:spacing w:val="-4"/>
        </w:rPr>
        <w:t xml:space="preserve"> </w:t>
      </w:r>
      <w:r w:rsidRPr="00FF7282">
        <w:t>and</w:t>
      </w:r>
      <w:r w:rsidRPr="00FF7282">
        <w:rPr>
          <w:spacing w:val="-3"/>
        </w:rPr>
        <w:t xml:space="preserve"> </w:t>
      </w:r>
      <w:r w:rsidRPr="00FF7282">
        <w:t>that</w:t>
      </w:r>
      <w:r w:rsidRPr="00FF7282">
        <w:rPr>
          <w:spacing w:val="-3"/>
        </w:rPr>
        <w:t xml:space="preserve"> </w:t>
      </w:r>
      <w:r w:rsidRPr="00FF7282">
        <w:t>all</w:t>
      </w:r>
      <w:r w:rsidRPr="00FF7282">
        <w:rPr>
          <w:spacing w:val="-3"/>
        </w:rPr>
        <w:t xml:space="preserve"> </w:t>
      </w:r>
      <w:r w:rsidRPr="00FF7282">
        <w:t>references</w:t>
      </w:r>
      <w:r w:rsidRPr="00FF7282">
        <w:rPr>
          <w:spacing w:val="-3"/>
        </w:rPr>
        <w:t xml:space="preserve"> </w:t>
      </w:r>
      <w:r w:rsidRPr="00FF7282">
        <w:t>to,</w:t>
      </w:r>
      <w:r w:rsidRPr="00FF7282">
        <w:rPr>
          <w:spacing w:val="-3"/>
        </w:rPr>
        <w:t xml:space="preserve"> </w:t>
      </w:r>
      <w:r w:rsidRPr="00FF7282">
        <w:t>or quotations from, the work of others are fully and correctly cited.</w:t>
      </w:r>
    </w:p>
    <w:p w14:paraId="2910F3F3" w14:textId="0B24E618" w:rsidR="00E51A9A" w:rsidRPr="00FF7282" w:rsidRDefault="00FF7282" w:rsidP="00E51A9A">
      <w:pPr>
        <w:pStyle w:val="BodyText"/>
        <w:spacing w:line="360" w:lineRule="auto"/>
        <w:rPr>
          <w:sz w:val="22"/>
          <w:szCs w:val="22"/>
        </w:rPr>
      </w:pPr>
      <w:r w:rsidRPr="007B15BD">
        <w:rPr>
          <w:b/>
          <w:noProof/>
        </w:rPr>
        <w:drawing>
          <wp:inline distT="0" distB="0" distL="0" distR="0" wp14:anchorId="2C49BEF7" wp14:editId="1D3BA5CB">
            <wp:extent cx="1585665" cy="637082"/>
            <wp:effectExtent l="0" t="0" r="0" b="0"/>
            <wp:docPr id="1389891086" name="Picture 1" descr="C:\Users\Philip C. Galanis\Documents\My Scans\scan000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 C. Galanis\Documents\My Scans\scan0001\img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424" cy="638190"/>
                    </a:xfrm>
                    <a:prstGeom prst="rect">
                      <a:avLst/>
                    </a:prstGeom>
                    <a:noFill/>
                    <a:ln>
                      <a:noFill/>
                    </a:ln>
                  </pic:spPr>
                </pic:pic>
              </a:graphicData>
            </a:graphic>
          </wp:inline>
        </w:drawing>
      </w:r>
    </w:p>
    <w:p w14:paraId="579FF3C8" w14:textId="09E292BF" w:rsidR="00E51A9A" w:rsidRPr="00FF7282" w:rsidRDefault="00E51A9A" w:rsidP="003827A6">
      <w:pPr>
        <w:pStyle w:val="BodyText"/>
        <w:spacing w:line="360" w:lineRule="auto"/>
        <w:ind w:left="117" w:right="1699"/>
        <w:rPr>
          <w:sz w:val="22"/>
          <w:szCs w:val="22"/>
        </w:rPr>
      </w:pPr>
      <w:r w:rsidRPr="00FF7282">
        <w:rPr>
          <w:sz w:val="22"/>
          <w:szCs w:val="22"/>
        </w:rPr>
        <w:t>(Signed)</w:t>
      </w:r>
      <w:r w:rsidRPr="00FF7282">
        <w:rPr>
          <w:spacing w:val="-14"/>
          <w:sz w:val="22"/>
          <w:szCs w:val="22"/>
        </w:rPr>
        <w:t xml:space="preserve"> </w:t>
      </w:r>
      <w:r w:rsidRPr="00FF7282">
        <w:rPr>
          <w:sz w:val="22"/>
          <w:szCs w:val="22"/>
        </w:rPr>
        <w:t>……………</w:t>
      </w:r>
      <w:r w:rsidR="00FF7282">
        <w:rPr>
          <w:sz w:val="22"/>
          <w:szCs w:val="22"/>
        </w:rPr>
        <w:t>07/01/2023</w:t>
      </w:r>
      <w:r w:rsidRPr="00FF7282">
        <w:rPr>
          <w:sz w:val="22"/>
          <w:szCs w:val="22"/>
        </w:rPr>
        <w:t xml:space="preserve">……………………. </w:t>
      </w:r>
      <w:r w:rsidRPr="00FF7282">
        <w:rPr>
          <w:spacing w:val="-2"/>
          <w:sz w:val="22"/>
          <w:szCs w:val="22"/>
        </w:rPr>
        <w:t>Date:</w:t>
      </w:r>
    </w:p>
    <w:p w14:paraId="2E581C0B" w14:textId="2CDEA179" w:rsidR="00E51A9A" w:rsidRPr="00FF7282" w:rsidRDefault="00E51A9A" w:rsidP="00E51A9A">
      <w:pPr>
        <w:pStyle w:val="BodyText"/>
        <w:spacing w:line="360" w:lineRule="auto"/>
        <w:ind w:left="117"/>
        <w:rPr>
          <w:sz w:val="22"/>
          <w:szCs w:val="22"/>
        </w:rPr>
      </w:pPr>
      <w:r w:rsidRPr="00FF7282">
        <w:rPr>
          <w:spacing w:val="-2"/>
          <w:sz w:val="22"/>
          <w:szCs w:val="22"/>
        </w:rPr>
        <w:t>Place:</w:t>
      </w:r>
      <w:r w:rsidR="003827A6" w:rsidRPr="00FF7282">
        <w:rPr>
          <w:spacing w:val="-2"/>
          <w:sz w:val="22"/>
          <w:szCs w:val="22"/>
        </w:rPr>
        <w:t xml:space="preserve"> NASSAU, THE BAHAMAS</w:t>
      </w:r>
    </w:p>
    <w:p w14:paraId="027CFA4B" w14:textId="77777777" w:rsidR="002A1A5E" w:rsidRPr="00FF7282" w:rsidRDefault="002A1A5E" w:rsidP="002A1A5E">
      <w:pPr>
        <w:spacing w:after="0" w:line="360" w:lineRule="auto"/>
        <w:ind w:left="284"/>
        <w:jc w:val="center"/>
        <w:rPr>
          <w:rFonts w:ascii="Arial" w:eastAsia="Times New Roman" w:hAnsi="Arial" w:cs="Arial"/>
          <w:color w:val="000000"/>
          <w:kern w:val="0"/>
          <w14:ligatures w14:val="none"/>
        </w:rPr>
      </w:pPr>
    </w:p>
    <w:p w14:paraId="3C1F280F" w14:textId="77777777" w:rsidR="002A1A5E" w:rsidRPr="00FF7282" w:rsidRDefault="002A1A5E">
      <w:pPr>
        <w:rPr>
          <w:rFonts w:ascii="Arial" w:eastAsia="Times New Roman" w:hAnsi="Arial" w:cs="Arial"/>
          <w:color w:val="000000"/>
          <w:kern w:val="0"/>
          <w14:ligatures w14:val="none"/>
        </w:rPr>
      </w:pPr>
      <w:r w:rsidRPr="00FF7282">
        <w:rPr>
          <w:rFonts w:ascii="Arial" w:eastAsia="Times New Roman" w:hAnsi="Arial" w:cs="Arial"/>
          <w:color w:val="000000"/>
          <w:kern w:val="0"/>
          <w14:ligatures w14:val="none"/>
        </w:rPr>
        <w:br w:type="page"/>
      </w:r>
    </w:p>
    <w:p w14:paraId="0E190E18" w14:textId="77777777" w:rsidR="002A1A5E" w:rsidRPr="00FF7282" w:rsidRDefault="002A1A5E" w:rsidP="002A1A5E">
      <w:pPr>
        <w:spacing w:after="0" w:line="360" w:lineRule="auto"/>
        <w:ind w:left="284"/>
        <w:jc w:val="center"/>
        <w:rPr>
          <w:rFonts w:ascii="Arial" w:eastAsia="Times New Roman" w:hAnsi="Arial" w:cs="Arial"/>
          <w:color w:val="000000"/>
          <w:kern w:val="0"/>
          <w14:ligatures w14:val="none"/>
        </w:rPr>
      </w:pPr>
    </w:p>
    <w:p w14:paraId="6AD49F0F" w14:textId="77777777" w:rsidR="007473EB" w:rsidRPr="00FF7282" w:rsidRDefault="007473EB" w:rsidP="002A1A5E">
      <w:pPr>
        <w:spacing w:after="0" w:line="360" w:lineRule="auto"/>
        <w:jc w:val="center"/>
        <w:rPr>
          <w:rFonts w:ascii="Arial" w:eastAsia="Times New Roman" w:hAnsi="Arial" w:cs="Arial"/>
          <w:color w:val="000000"/>
          <w:kern w:val="0"/>
          <w14:ligatures w14:val="none"/>
        </w:rPr>
      </w:pPr>
    </w:p>
    <w:p w14:paraId="2AA05D8F" w14:textId="77777777" w:rsidR="007473EB" w:rsidRPr="00FF7282" w:rsidRDefault="007473EB" w:rsidP="002A1A5E">
      <w:pPr>
        <w:spacing w:after="0" w:line="360" w:lineRule="auto"/>
        <w:jc w:val="center"/>
        <w:rPr>
          <w:rFonts w:ascii="Arial" w:eastAsia="Times New Roman" w:hAnsi="Arial" w:cs="Arial"/>
          <w:color w:val="000000"/>
          <w:kern w:val="0"/>
          <w14:ligatures w14:val="none"/>
        </w:rPr>
      </w:pPr>
    </w:p>
    <w:p w14:paraId="47B320FE" w14:textId="77777777" w:rsidR="007473EB" w:rsidRPr="00FF7282" w:rsidRDefault="007473EB" w:rsidP="002A1A5E">
      <w:pPr>
        <w:spacing w:after="0" w:line="360" w:lineRule="auto"/>
        <w:jc w:val="center"/>
        <w:rPr>
          <w:rFonts w:ascii="Arial" w:eastAsia="Times New Roman" w:hAnsi="Arial" w:cs="Arial"/>
          <w:color w:val="000000"/>
          <w:kern w:val="0"/>
          <w14:ligatures w14:val="none"/>
        </w:rPr>
      </w:pPr>
    </w:p>
    <w:p w14:paraId="763704B4" w14:textId="77777777" w:rsidR="007473EB" w:rsidRPr="00FF7282" w:rsidRDefault="007473EB" w:rsidP="002A1A5E">
      <w:pPr>
        <w:spacing w:after="0" w:line="360" w:lineRule="auto"/>
        <w:jc w:val="center"/>
        <w:rPr>
          <w:rFonts w:ascii="Arial" w:eastAsia="Times New Roman" w:hAnsi="Arial" w:cs="Arial"/>
          <w:color w:val="000000"/>
          <w:kern w:val="0"/>
          <w14:ligatures w14:val="none"/>
        </w:rPr>
      </w:pPr>
    </w:p>
    <w:p w14:paraId="2C41DC94" w14:textId="3E058E75" w:rsidR="002A1A5E" w:rsidRPr="00FF7282" w:rsidRDefault="002A1A5E" w:rsidP="002A1A5E">
      <w:pPr>
        <w:spacing w:after="0" w:line="360" w:lineRule="auto"/>
        <w:jc w:val="center"/>
        <w:rPr>
          <w:rFonts w:ascii="Arial" w:eastAsia="Times New Roman" w:hAnsi="Arial" w:cs="Arial"/>
          <w:color w:val="000000"/>
          <w:kern w:val="0"/>
          <w14:ligatures w14:val="none"/>
        </w:rPr>
      </w:pPr>
      <w:r w:rsidRPr="00FF7282">
        <w:rPr>
          <w:rFonts w:ascii="Arial" w:eastAsia="Times New Roman" w:hAnsi="Arial" w:cs="Arial"/>
          <w:color w:val="000000"/>
          <w:kern w:val="0"/>
          <w14:ligatures w14:val="none"/>
        </w:rPr>
        <w:t>A comparative analysis of the balance between liquidation and restructuring goals</w:t>
      </w:r>
      <w:r w:rsidR="007473EB" w:rsidRPr="00FF7282">
        <w:rPr>
          <w:rFonts w:ascii="Arial" w:eastAsia="Times New Roman" w:hAnsi="Arial" w:cs="Arial"/>
          <w:color w:val="000000"/>
          <w:kern w:val="0"/>
          <w14:ligatures w14:val="none"/>
        </w:rPr>
        <w:t>,</w:t>
      </w:r>
    </w:p>
    <w:p w14:paraId="3D1131AC" w14:textId="567F4255" w:rsidR="002A1A5E" w:rsidRPr="00FF7282" w:rsidRDefault="002A1A5E" w:rsidP="007473EB">
      <w:pPr>
        <w:spacing w:after="0" w:line="360" w:lineRule="auto"/>
        <w:ind w:left="284"/>
        <w:jc w:val="center"/>
        <w:rPr>
          <w:rFonts w:ascii="Arial" w:eastAsia="Times New Roman" w:hAnsi="Arial" w:cs="Arial"/>
          <w:color w:val="000000"/>
          <w:kern w:val="0"/>
          <w14:ligatures w14:val="none"/>
        </w:rPr>
      </w:pPr>
      <w:r w:rsidRPr="00FF7282">
        <w:rPr>
          <w:rFonts w:ascii="Arial" w:eastAsia="Times New Roman" w:hAnsi="Arial" w:cs="Arial"/>
          <w:color w:val="000000"/>
          <w:kern w:val="0"/>
          <w14:ligatures w14:val="none"/>
        </w:rPr>
        <w:t xml:space="preserve">and proceedings in the USA and the UK </w:t>
      </w:r>
    </w:p>
    <w:p w14:paraId="5160C200" w14:textId="77777777" w:rsidR="007473EB" w:rsidRPr="00FF7282" w:rsidRDefault="007473EB" w:rsidP="007473EB">
      <w:pPr>
        <w:spacing w:after="0" w:line="360" w:lineRule="auto"/>
        <w:ind w:left="284"/>
        <w:jc w:val="center"/>
        <w:rPr>
          <w:rFonts w:ascii="Arial" w:eastAsia="Times New Roman" w:hAnsi="Arial" w:cs="Arial"/>
          <w:color w:val="000000"/>
          <w:kern w:val="0"/>
          <w14:ligatures w14:val="none"/>
        </w:rPr>
      </w:pPr>
    </w:p>
    <w:p w14:paraId="6C11B050" w14:textId="61B179B1" w:rsidR="007473EB" w:rsidRPr="00FF7282" w:rsidRDefault="007473EB" w:rsidP="007473EB">
      <w:pPr>
        <w:spacing w:after="0" w:line="360" w:lineRule="auto"/>
        <w:ind w:left="284"/>
        <w:jc w:val="center"/>
        <w:rPr>
          <w:rFonts w:ascii="Arial" w:eastAsia="Times New Roman" w:hAnsi="Arial" w:cs="Arial"/>
          <w:color w:val="000000"/>
          <w:kern w:val="0"/>
          <w14:ligatures w14:val="none"/>
        </w:rPr>
      </w:pPr>
      <w:r w:rsidRPr="00FF7282">
        <w:rPr>
          <w:rFonts w:ascii="Arial" w:eastAsia="Times New Roman" w:hAnsi="Arial" w:cs="Arial"/>
          <w:color w:val="000000"/>
          <w:kern w:val="0"/>
          <w14:ligatures w14:val="none"/>
        </w:rPr>
        <w:t>by</w:t>
      </w:r>
    </w:p>
    <w:p w14:paraId="55B6F06F" w14:textId="77777777" w:rsidR="007473EB" w:rsidRPr="00FF7282" w:rsidRDefault="007473EB" w:rsidP="007473EB">
      <w:pPr>
        <w:spacing w:after="0" w:line="360" w:lineRule="auto"/>
        <w:ind w:left="284"/>
        <w:jc w:val="center"/>
        <w:rPr>
          <w:rFonts w:ascii="Arial" w:eastAsia="Times New Roman" w:hAnsi="Arial" w:cs="Arial"/>
          <w:color w:val="000000"/>
          <w:kern w:val="0"/>
          <w14:ligatures w14:val="none"/>
        </w:rPr>
      </w:pPr>
    </w:p>
    <w:p w14:paraId="42F202B0" w14:textId="77777777" w:rsidR="007473EB" w:rsidRPr="00FF7282" w:rsidRDefault="007473EB" w:rsidP="007473EB">
      <w:pPr>
        <w:spacing w:after="0" w:line="360" w:lineRule="auto"/>
        <w:ind w:left="284"/>
        <w:jc w:val="center"/>
        <w:rPr>
          <w:rFonts w:ascii="Arial" w:eastAsia="Times New Roman" w:hAnsi="Arial" w:cs="Arial"/>
          <w:color w:val="000000"/>
          <w:kern w:val="0"/>
          <w14:ligatures w14:val="none"/>
        </w:rPr>
      </w:pPr>
    </w:p>
    <w:p w14:paraId="018F4B4D" w14:textId="77777777" w:rsidR="007473EB" w:rsidRPr="00FF7282" w:rsidRDefault="007473EB" w:rsidP="007473EB">
      <w:pPr>
        <w:spacing w:after="0" w:line="360" w:lineRule="auto"/>
        <w:ind w:left="284"/>
        <w:jc w:val="center"/>
        <w:rPr>
          <w:rFonts w:ascii="Arial" w:eastAsia="Times New Roman" w:hAnsi="Arial" w:cs="Arial"/>
          <w:color w:val="000000"/>
          <w:kern w:val="0"/>
          <w14:ligatures w14:val="none"/>
        </w:rPr>
      </w:pPr>
    </w:p>
    <w:p w14:paraId="03F523CD" w14:textId="1426E98A" w:rsidR="007473EB" w:rsidRDefault="007473EB" w:rsidP="007473EB">
      <w:pPr>
        <w:spacing w:after="0" w:line="360" w:lineRule="auto"/>
        <w:ind w:left="284"/>
        <w:jc w:val="center"/>
        <w:rPr>
          <w:rFonts w:ascii="Arial" w:eastAsia="Times New Roman" w:hAnsi="Arial" w:cs="Arial"/>
          <w:color w:val="000000"/>
          <w:kern w:val="0"/>
          <w14:ligatures w14:val="none"/>
        </w:rPr>
      </w:pPr>
      <w:r w:rsidRPr="00FF7282">
        <w:rPr>
          <w:rFonts w:ascii="Arial" w:eastAsia="Times New Roman" w:hAnsi="Arial" w:cs="Arial"/>
          <w:color w:val="000000"/>
          <w:kern w:val="0"/>
          <w14:ligatures w14:val="none"/>
        </w:rPr>
        <w:t>JOHN S. BAIN</w:t>
      </w:r>
    </w:p>
    <w:p w14:paraId="476D391A" w14:textId="236D93D5" w:rsidR="002618F4" w:rsidRPr="002618F4" w:rsidRDefault="002618F4" w:rsidP="007473EB">
      <w:pPr>
        <w:spacing w:after="0" w:line="360" w:lineRule="auto"/>
        <w:ind w:left="284"/>
        <w:jc w:val="center"/>
        <w:rPr>
          <w:rFonts w:ascii="Arial" w:eastAsia="Times New Roman" w:hAnsi="Arial" w:cs="Arial"/>
          <w:i/>
          <w:iCs/>
          <w:color w:val="000000"/>
          <w:kern w:val="0"/>
          <w14:ligatures w14:val="none"/>
        </w:rPr>
      </w:pPr>
      <w:r w:rsidRPr="002618F4">
        <w:rPr>
          <w:rFonts w:ascii="Arial" w:eastAsia="Times New Roman" w:hAnsi="Arial" w:cs="Arial"/>
          <w:i/>
          <w:iCs/>
          <w:color w:val="000000"/>
          <w:kern w:val="0"/>
          <w14:ligatures w14:val="none"/>
        </w:rPr>
        <w:t xml:space="preserve">INSOL Fellow </w:t>
      </w:r>
      <w:r>
        <w:rPr>
          <w:rFonts w:ascii="Arial" w:eastAsia="Times New Roman" w:hAnsi="Arial" w:cs="Arial"/>
          <w:i/>
          <w:iCs/>
          <w:color w:val="000000"/>
          <w:kern w:val="0"/>
          <w14:ligatures w14:val="none"/>
        </w:rPr>
        <w:t>(</w:t>
      </w:r>
      <w:r w:rsidRPr="002618F4">
        <w:rPr>
          <w:rFonts w:ascii="Arial" w:eastAsia="Times New Roman" w:hAnsi="Arial" w:cs="Arial"/>
          <w:i/>
          <w:iCs/>
          <w:color w:val="000000"/>
          <w:kern w:val="0"/>
          <w14:ligatures w14:val="none"/>
        </w:rPr>
        <w:t>Candidate</w:t>
      </w:r>
      <w:r>
        <w:rPr>
          <w:rFonts w:ascii="Arial" w:eastAsia="Times New Roman" w:hAnsi="Arial" w:cs="Arial"/>
          <w:i/>
          <w:iCs/>
          <w:color w:val="000000"/>
          <w:kern w:val="0"/>
          <w14:ligatures w14:val="none"/>
        </w:rPr>
        <w:t>)</w:t>
      </w:r>
    </w:p>
    <w:p w14:paraId="5C61E295" w14:textId="16616DEA" w:rsidR="002618F4" w:rsidRDefault="002618F4" w:rsidP="007473EB">
      <w:pPr>
        <w:spacing w:after="0" w:line="360" w:lineRule="auto"/>
        <w:ind w:left="284"/>
        <w:jc w:val="center"/>
        <w:rPr>
          <w:rFonts w:ascii="Arial" w:eastAsia="Times New Roman" w:hAnsi="Arial" w:cs="Arial"/>
          <w:color w:val="000000"/>
          <w:kern w:val="0"/>
          <w14:ligatures w14:val="none"/>
        </w:rPr>
      </w:pPr>
      <w:r>
        <w:rPr>
          <w:rFonts w:ascii="Arial" w:eastAsia="Times New Roman" w:hAnsi="Arial" w:cs="Arial"/>
          <w:color w:val="000000"/>
          <w:kern w:val="0"/>
          <w14:ligatures w14:val="none"/>
        </w:rPr>
        <w:t>Partner, HLB Bahamas</w:t>
      </w:r>
    </w:p>
    <w:p w14:paraId="68914CCC" w14:textId="43437DE4" w:rsidR="002618F4" w:rsidRDefault="002618F4" w:rsidP="007473EB">
      <w:pPr>
        <w:spacing w:after="0" w:line="360" w:lineRule="auto"/>
        <w:ind w:left="284"/>
        <w:jc w:val="center"/>
        <w:rPr>
          <w:rFonts w:ascii="Arial" w:eastAsia="Times New Roman" w:hAnsi="Arial" w:cs="Arial"/>
          <w:color w:val="000000"/>
          <w:kern w:val="0"/>
          <w14:ligatures w14:val="none"/>
        </w:rPr>
      </w:pPr>
      <w:r>
        <w:rPr>
          <w:rFonts w:ascii="Arial" w:eastAsia="Times New Roman" w:hAnsi="Arial" w:cs="Arial"/>
          <w:color w:val="000000"/>
          <w:kern w:val="0"/>
          <w14:ligatures w14:val="none"/>
        </w:rPr>
        <w:t>Nassau</w:t>
      </w:r>
    </w:p>
    <w:p w14:paraId="5BF3AC79" w14:textId="4F673309" w:rsidR="002618F4" w:rsidRPr="00FF7282" w:rsidRDefault="002618F4" w:rsidP="007473EB">
      <w:pPr>
        <w:spacing w:after="0" w:line="360" w:lineRule="auto"/>
        <w:ind w:left="284"/>
        <w:jc w:val="center"/>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The Bahamas </w:t>
      </w:r>
    </w:p>
    <w:p w14:paraId="1D4C8F5A"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0DCDC784"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01D3B0B8"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7860FAB2"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7FF54F76"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03D2E442"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181EB390"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68AF14F8"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4D77AEE7"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0779FD69"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5FAE8FFB"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2F658389"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4F5792E1"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45924944"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72FC2D57"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57B9C1C2"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3677912D"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1040502D"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4349198A"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60B18BBE"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4F13F6A5" w14:textId="77777777" w:rsidR="007473EB" w:rsidRPr="00FF7282" w:rsidRDefault="007473EB" w:rsidP="002A1A5E">
      <w:pPr>
        <w:spacing w:after="0" w:line="360" w:lineRule="auto"/>
        <w:ind w:left="284"/>
        <w:rPr>
          <w:rFonts w:ascii="Arial" w:eastAsia="Times New Roman" w:hAnsi="Arial" w:cs="Arial"/>
          <w:color w:val="000000"/>
          <w:kern w:val="0"/>
          <w14:ligatures w14:val="none"/>
        </w:rPr>
      </w:pPr>
    </w:p>
    <w:p w14:paraId="6888BBDA" w14:textId="77777777" w:rsidR="007473EB" w:rsidRPr="00FF7282" w:rsidRDefault="007473EB" w:rsidP="002A1A5E">
      <w:pPr>
        <w:spacing w:after="0" w:line="360" w:lineRule="auto"/>
        <w:ind w:left="284"/>
        <w:rPr>
          <w:rFonts w:ascii="Arial" w:eastAsia="Times New Roman" w:hAnsi="Arial" w:cs="Arial"/>
          <w:color w:val="000000"/>
          <w:kern w:val="0"/>
          <w14:ligatures w14:val="none"/>
        </w:rPr>
      </w:pPr>
    </w:p>
    <w:p w14:paraId="4B0C3D69" w14:textId="77777777" w:rsidR="007473EB" w:rsidRPr="00FF7282" w:rsidRDefault="007473EB" w:rsidP="002A1A5E">
      <w:pPr>
        <w:spacing w:after="0" w:line="360" w:lineRule="auto"/>
        <w:ind w:left="284"/>
        <w:rPr>
          <w:rFonts w:ascii="Arial" w:eastAsia="Times New Roman" w:hAnsi="Arial" w:cs="Arial"/>
          <w:color w:val="000000"/>
          <w:kern w:val="0"/>
          <w14:ligatures w14:val="none"/>
        </w:rPr>
      </w:pPr>
    </w:p>
    <w:p w14:paraId="52C31607"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sdt>
      <w:sdtPr>
        <w:rPr>
          <w:rFonts w:asciiTheme="minorHAnsi" w:eastAsiaTheme="minorHAnsi" w:hAnsiTheme="minorHAnsi" w:cstheme="minorBidi"/>
          <w:color w:val="auto"/>
          <w:kern w:val="2"/>
          <w:sz w:val="22"/>
          <w:szCs w:val="22"/>
          <w14:ligatures w14:val="standardContextual"/>
        </w:rPr>
        <w:id w:val="368808539"/>
        <w:docPartObj>
          <w:docPartGallery w:val="Table of Contents"/>
          <w:docPartUnique/>
        </w:docPartObj>
      </w:sdtPr>
      <w:sdtEndPr>
        <w:rPr>
          <w:rFonts w:ascii="Arial" w:hAnsi="Arial" w:cs="Arial"/>
          <w:noProof/>
        </w:rPr>
      </w:sdtEndPr>
      <w:sdtContent>
        <w:p w14:paraId="359CF412" w14:textId="6AC7D0EC" w:rsidR="00CE7FD1" w:rsidRPr="002618F4" w:rsidRDefault="00CE7FD1" w:rsidP="002618F4">
          <w:pPr>
            <w:pStyle w:val="TOCHeading"/>
            <w:spacing w:before="0" w:line="480" w:lineRule="auto"/>
            <w:jc w:val="center"/>
            <w:rPr>
              <w:rFonts w:ascii="Arial" w:hAnsi="Arial" w:cs="Arial"/>
              <w:color w:val="auto"/>
            </w:rPr>
          </w:pPr>
          <w:r w:rsidRPr="002618F4">
            <w:rPr>
              <w:rFonts w:ascii="Arial" w:hAnsi="Arial" w:cs="Arial"/>
              <w:color w:val="auto"/>
            </w:rPr>
            <w:t>Table of Contents</w:t>
          </w:r>
        </w:p>
        <w:p w14:paraId="55C46BD3" w14:textId="4F41DFA7" w:rsidR="00CB7C48" w:rsidRPr="00CB7C48" w:rsidRDefault="00CE7FD1" w:rsidP="00CB7C48">
          <w:pPr>
            <w:pStyle w:val="TOC2"/>
            <w:tabs>
              <w:tab w:val="left" w:pos="660"/>
              <w:tab w:val="right" w:leader="dot" w:pos="9060"/>
            </w:tabs>
            <w:spacing w:after="0" w:line="480" w:lineRule="auto"/>
            <w:rPr>
              <w:rFonts w:eastAsiaTheme="minorEastAsia"/>
              <w:noProof/>
            </w:rPr>
          </w:pPr>
          <w:r w:rsidRPr="00CB7C48">
            <w:rPr>
              <w:rFonts w:ascii="Arial" w:hAnsi="Arial" w:cs="Arial"/>
            </w:rPr>
            <w:fldChar w:fldCharType="begin"/>
          </w:r>
          <w:r w:rsidRPr="00CB7C48">
            <w:rPr>
              <w:rFonts w:ascii="Arial" w:hAnsi="Arial" w:cs="Arial"/>
            </w:rPr>
            <w:instrText xml:space="preserve"> TOC \o "1-3" \h \z \u </w:instrText>
          </w:r>
          <w:r w:rsidRPr="00CB7C48">
            <w:rPr>
              <w:rFonts w:ascii="Arial" w:hAnsi="Arial" w:cs="Arial"/>
            </w:rPr>
            <w:fldChar w:fldCharType="separate"/>
          </w:r>
          <w:hyperlink w:anchor="_Toc139194174" w:history="1">
            <w:r w:rsidR="00CB7C48" w:rsidRPr="00CB7C48">
              <w:rPr>
                <w:rStyle w:val="Hyperlink"/>
                <w:rFonts w:ascii="Arial" w:hAnsi="Arial" w:cs="Arial"/>
                <w:noProof/>
              </w:rPr>
              <w:t>1.</w:t>
            </w:r>
            <w:r w:rsidR="00CB7C48" w:rsidRPr="00CB7C48">
              <w:rPr>
                <w:rFonts w:eastAsiaTheme="minorEastAsia"/>
                <w:noProof/>
              </w:rPr>
              <w:tab/>
            </w:r>
            <w:r w:rsidR="00CB7C48" w:rsidRPr="00CB7C48">
              <w:rPr>
                <w:rStyle w:val="Hyperlink"/>
                <w:rFonts w:ascii="Arial" w:hAnsi="Arial" w:cs="Arial"/>
                <w:noProof/>
              </w:rPr>
              <w:t>Introduction</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_Toc139194174 \h </w:instrText>
            </w:r>
            <w:r w:rsidR="00CB7C48" w:rsidRPr="00CB7C48">
              <w:rPr>
                <w:noProof/>
                <w:webHidden/>
              </w:rPr>
            </w:r>
            <w:r w:rsidR="00CB7C48" w:rsidRPr="00CB7C48">
              <w:rPr>
                <w:noProof/>
                <w:webHidden/>
              </w:rPr>
              <w:fldChar w:fldCharType="separate"/>
            </w:r>
            <w:r w:rsidR="00CB7C48" w:rsidRPr="00CB7C48">
              <w:rPr>
                <w:noProof/>
                <w:webHidden/>
              </w:rPr>
              <w:t>1</w:t>
            </w:r>
            <w:r w:rsidR="00CB7C48" w:rsidRPr="00CB7C48">
              <w:rPr>
                <w:noProof/>
                <w:webHidden/>
              </w:rPr>
              <w:fldChar w:fldCharType="end"/>
            </w:r>
          </w:hyperlink>
        </w:p>
        <w:p w14:paraId="6B69535E" w14:textId="51DB8620" w:rsidR="00CB7C48" w:rsidRPr="00CB7C48" w:rsidRDefault="00000000" w:rsidP="00CB7C48">
          <w:pPr>
            <w:pStyle w:val="TOC2"/>
            <w:tabs>
              <w:tab w:val="left" w:pos="660"/>
              <w:tab w:val="right" w:leader="dot" w:pos="9060"/>
            </w:tabs>
            <w:spacing w:after="0" w:line="480" w:lineRule="auto"/>
            <w:rPr>
              <w:rFonts w:eastAsiaTheme="minorEastAsia"/>
              <w:noProof/>
            </w:rPr>
          </w:pPr>
          <w:hyperlink w:anchor="_Toc139194175" w:history="1">
            <w:r w:rsidR="00CB7C48" w:rsidRPr="00CB7C48">
              <w:rPr>
                <w:rStyle w:val="Hyperlink"/>
                <w:rFonts w:ascii="Arial" w:hAnsi="Arial" w:cs="Arial"/>
                <w:noProof/>
              </w:rPr>
              <w:t>2.</w:t>
            </w:r>
            <w:r w:rsidR="00CB7C48" w:rsidRPr="00CB7C48">
              <w:rPr>
                <w:rFonts w:eastAsiaTheme="minorEastAsia"/>
                <w:noProof/>
              </w:rPr>
              <w:tab/>
            </w:r>
            <w:r w:rsidR="00CB7C48" w:rsidRPr="00CB7C48">
              <w:rPr>
                <w:rStyle w:val="Hyperlink"/>
                <w:rFonts w:ascii="Arial" w:hAnsi="Arial" w:cs="Arial"/>
                <w:noProof/>
              </w:rPr>
              <w:t>Liquidations and Restructuring – Understanding the Concepts</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_Toc139194175 \h </w:instrText>
            </w:r>
            <w:r w:rsidR="00CB7C48" w:rsidRPr="00CB7C48">
              <w:rPr>
                <w:noProof/>
                <w:webHidden/>
              </w:rPr>
            </w:r>
            <w:r w:rsidR="00CB7C48" w:rsidRPr="00CB7C48">
              <w:rPr>
                <w:noProof/>
                <w:webHidden/>
              </w:rPr>
              <w:fldChar w:fldCharType="separate"/>
            </w:r>
            <w:r w:rsidR="00CB7C48" w:rsidRPr="00CB7C48">
              <w:rPr>
                <w:noProof/>
                <w:webHidden/>
              </w:rPr>
              <w:t>2</w:t>
            </w:r>
            <w:r w:rsidR="00CB7C48" w:rsidRPr="00CB7C48">
              <w:rPr>
                <w:noProof/>
                <w:webHidden/>
              </w:rPr>
              <w:fldChar w:fldCharType="end"/>
            </w:r>
          </w:hyperlink>
        </w:p>
        <w:p w14:paraId="42B0358F" w14:textId="54851A48" w:rsidR="00CB7C48" w:rsidRPr="00CB7C48" w:rsidRDefault="00000000" w:rsidP="00CB7C48">
          <w:pPr>
            <w:pStyle w:val="TOC2"/>
            <w:tabs>
              <w:tab w:val="left" w:pos="660"/>
              <w:tab w:val="right" w:leader="dot" w:pos="9060"/>
            </w:tabs>
            <w:spacing w:after="0" w:line="480" w:lineRule="auto"/>
            <w:rPr>
              <w:rFonts w:eastAsiaTheme="minorEastAsia"/>
              <w:noProof/>
            </w:rPr>
          </w:pPr>
          <w:hyperlink w:anchor="_Toc139194176" w:history="1">
            <w:r w:rsidR="00CB7C48" w:rsidRPr="00CB7C48">
              <w:rPr>
                <w:rStyle w:val="Hyperlink"/>
                <w:rFonts w:ascii="Arial" w:hAnsi="Arial" w:cs="Arial"/>
                <w:noProof/>
              </w:rPr>
              <w:t>3.</w:t>
            </w:r>
            <w:r w:rsidR="00CB7C48" w:rsidRPr="00CB7C48">
              <w:rPr>
                <w:rFonts w:eastAsiaTheme="minorEastAsia"/>
                <w:noProof/>
              </w:rPr>
              <w:tab/>
            </w:r>
            <w:r w:rsidR="00CB7C48" w:rsidRPr="00CB7C48">
              <w:rPr>
                <w:rStyle w:val="Hyperlink"/>
                <w:rFonts w:ascii="Arial" w:hAnsi="Arial" w:cs="Arial"/>
                <w:noProof/>
              </w:rPr>
              <w:t>Liquidations in The UK</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_Toc139194176 \h </w:instrText>
            </w:r>
            <w:r w:rsidR="00CB7C48" w:rsidRPr="00CB7C48">
              <w:rPr>
                <w:noProof/>
                <w:webHidden/>
              </w:rPr>
            </w:r>
            <w:r w:rsidR="00CB7C48" w:rsidRPr="00CB7C48">
              <w:rPr>
                <w:noProof/>
                <w:webHidden/>
              </w:rPr>
              <w:fldChar w:fldCharType="separate"/>
            </w:r>
            <w:r w:rsidR="00CB7C48" w:rsidRPr="00CB7C48">
              <w:rPr>
                <w:noProof/>
                <w:webHidden/>
              </w:rPr>
              <w:t>3</w:t>
            </w:r>
            <w:r w:rsidR="00CB7C48" w:rsidRPr="00CB7C48">
              <w:rPr>
                <w:noProof/>
                <w:webHidden/>
              </w:rPr>
              <w:fldChar w:fldCharType="end"/>
            </w:r>
          </w:hyperlink>
        </w:p>
        <w:p w14:paraId="7D0384E3" w14:textId="1E4060C2" w:rsidR="00CB7C48" w:rsidRPr="00CB7C48" w:rsidRDefault="00000000" w:rsidP="00CB7C48">
          <w:pPr>
            <w:pStyle w:val="TOC2"/>
            <w:tabs>
              <w:tab w:val="left" w:pos="660"/>
              <w:tab w:val="right" w:leader="dot" w:pos="9060"/>
            </w:tabs>
            <w:spacing w:after="0" w:line="480" w:lineRule="auto"/>
            <w:rPr>
              <w:rFonts w:eastAsiaTheme="minorEastAsia"/>
              <w:noProof/>
            </w:rPr>
          </w:pPr>
          <w:hyperlink w:anchor="_Toc139194177" w:history="1">
            <w:r w:rsidR="00CB7C48" w:rsidRPr="00CB7C48">
              <w:rPr>
                <w:rStyle w:val="Hyperlink"/>
                <w:rFonts w:ascii="Arial" w:hAnsi="Arial" w:cs="Arial"/>
                <w:noProof/>
              </w:rPr>
              <w:t>4.</w:t>
            </w:r>
            <w:r w:rsidR="00CB7C48" w:rsidRPr="00CB7C48">
              <w:rPr>
                <w:rFonts w:eastAsiaTheme="minorEastAsia"/>
                <w:noProof/>
              </w:rPr>
              <w:tab/>
            </w:r>
            <w:r w:rsidR="00CB7C48" w:rsidRPr="00CB7C48">
              <w:rPr>
                <w:rStyle w:val="Hyperlink"/>
                <w:rFonts w:ascii="Arial" w:hAnsi="Arial" w:cs="Arial"/>
                <w:noProof/>
              </w:rPr>
              <w:t>Restructuring in the UK</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_Toc139194177 \h </w:instrText>
            </w:r>
            <w:r w:rsidR="00CB7C48" w:rsidRPr="00CB7C48">
              <w:rPr>
                <w:noProof/>
                <w:webHidden/>
              </w:rPr>
            </w:r>
            <w:r w:rsidR="00CB7C48" w:rsidRPr="00CB7C48">
              <w:rPr>
                <w:noProof/>
                <w:webHidden/>
              </w:rPr>
              <w:fldChar w:fldCharType="separate"/>
            </w:r>
            <w:r w:rsidR="00CB7C48" w:rsidRPr="00CB7C48">
              <w:rPr>
                <w:noProof/>
                <w:webHidden/>
              </w:rPr>
              <w:t>3</w:t>
            </w:r>
            <w:r w:rsidR="00CB7C48" w:rsidRPr="00CB7C48">
              <w:rPr>
                <w:noProof/>
                <w:webHidden/>
              </w:rPr>
              <w:fldChar w:fldCharType="end"/>
            </w:r>
          </w:hyperlink>
        </w:p>
        <w:p w14:paraId="0B0E05C8" w14:textId="1330EAC7" w:rsidR="00CB7C48" w:rsidRPr="00CB7C48" w:rsidRDefault="00000000" w:rsidP="00CB7C48">
          <w:pPr>
            <w:pStyle w:val="TOC2"/>
            <w:tabs>
              <w:tab w:val="left" w:pos="660"/>
              <w:tab w:val="right" w:leader="dot" w:pos="9060"/>
            </w:tabs>
            <w:spacing w:after="0" w:line="480" w:lineRule="auto"/>
            <w:rPr>
              <w:rFonts w:eastAsiaTheme="minorEastAsia"/>
              <w:noProof/>
            </w:rPr>
          </w:pPr>
          <w:hyperlink w:anchor="_Toc139194178" w:history="1">
            <w:r w:rsidR="00CB7C48" w:rsidRPr="00CB7C48">
              <w:rPr>
                <w:rStyle w:val="Hyperlink"/>
                <w:rFonts w:ascii="Arial" w:hAnsi="Arial" w:cs="Arial"/>
                <w:noProof/>
              </w:rPr>
              <w:t>5.</w:t>
            </w:r>
            <w:r w:rsidR="00CB7C48" w:rsidRPr="00CB7C48">
              <w:rPr>
                <w:rFonts w:eastAsiaTheme="minorEastAsia"/>
                <w:noProof/>
              </w:rPr>
              <w:tab/>
            </w:r>
            <w:r w:rsidR="00CB7C48" w:rsidRPr="00CB7C48">
              <w:rPr>
                <w:rStyle w:val="Hyperlink"/>
                <w:rFonts w:ascii="Arial" w:hAnsi="Arial" w:cs="Arial"/>
                <w:noProof/>
              </w:rPr>
              <w:t>Liquidations in The USA</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_Toc139194178 \h </w:instrText>
            </w:r>
            <w:r w:rsidR="00CB7C48" w:rsidRPr="00CB7C48">
              <w:rPr>
                <w:noProof/>
                <w:webHidden/>
              </w:rPr>
            </w:r>
            <w:r w:rsidR="00CB7C48" w:rsidRPr="00CB7C48">
              <w:rPr>
                <w:noProof/>
                <w:webHidden/>
              </w:rPr>
              <w:fldChar w:fldCharType="separate"/>
            </w:r>
            <w:r w:rsidR="00CB7C48" w:rsidRPr="00CB7C48">
              <w:rPr>
                <w:noProof/>
                <w:webHidden/>
              </w:rPr>
              <w:t>6</w:t>
            </w:r>
            <w:r w:rsidR="00CB7C48" w:rsidRPr="00CB7C48">
              <w:rPr>
                <w:noProof/>
                <w:webHidden/>
              </w:rPr>
              <w:fldChar w:fldCharType="end"/>
            </w:r>
          </w:hyperlink>
        </w:p>
        <w:p w14:paraId="34009350" w14:textId="54008D11" w:rsidR="00CB7C48" w:rsidRPr="00CB7C48" w:rsidRDefault="00000000" w:rsidP="00CB7C48">
          <w:pPr>
            <w:pStyle w:val="TOC2"/>
            <w:tabs>
              <w:tab w:val="left" w:pos="660"/>
              <w:tab w:val="right" w:leader="dot" w:pos="9060"/>
            </w:tabs>
            <w:spacing w:after="0" w:line="480" w:lineRule="auto"/>
            <w:rPr>
              <w:rFonts w:eastAsiaTheme="minorEastAsia"/>
              <w:noProof/>
            </w:rPr>
          </w:pPr>
          <w:hyperlink w:anchor="_Toc139194179" w:history="1">
            <w:r w:rsidR="00CB7C48" w:rsidRPr="00CB7C48">
              <w:rPr>
                <w:rStyle w:val="Hyperlink"/>
                <w:rFonts w:ascii="Arial" w:hAnsi="Arial" w:cs="Arial"/>
                <w:noProof/>
              </w:rPr>
              <w:t>6.</w:t>
            </w:r>
            <w:r w:rsidR="00CB7C48" w:rsidRPr="00CB7C48">
              <w:rPr>
                <w:rFonts w:eastAsiaTheme="minorEastAsia"/>
                <w:noProof/>
              </w:rPr>
              <w:tab/>
            </w:r>
            <w:r w:rsidR="00CB7C48" w:rsidRPr="00CB7C48">
              <w:rPr>
                <w:rStyle w:val="Hyperlink"/>
                <w:rFonts w:ascii="Arial" w:hAnsi="Arial" w:cs="Arial"/>
                <w:noProof/>
              </w:rPr>
              <w:t>Restructuring in the USA</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_Toc139194179 \h </w:instrText>
            </w:r>
            <w:r w:rsidR="00CB7C48" w:rsidRPr="00CB7C48">
              <w:rPr>
                <w:noProof/>
                <w:webHidden/>
              </w:rPr>
            </w:r>
            <w:r w:rsidR="00CB7C48" w:rsidRPr="00CB7C48">
              <w:rPr>
                <w:noProof/>
                <w:webHidden/>
              </w:rPr>
              <w:fldChar w:fldCharType="separate"/>
            </w:r>
            <w:r w:rsidR="00CB7C48" w:rsidRPr="00CB7C48">
              <w:rPr>
                <w:noProof/>
                <w:webHidden/>
              </w:rPr>
              <w:t>7</w:t>
            </w:r>
            <w:r w:rsidR="00CB7C48" w:rsidRPr="00CB7C48">
              <w:rPr>
                <w:noProof/>
                <w:webHidden/>
              </w:rPr>
              <w:fldChar w:fldCharType="end"/>
            </w:r>
          </w:hyperlink>
        </w:p>
        <w:p w14:paraId="15202CBF" w14:textId="7724098B" w:rsidR="00CB7C48" w:rsidRPr="00CB7C48" w:rsidRDefault="00000000" w:rsidP="00CB7C48">
          <w:pPr>
            <w:pStyle w:val="TOC2"/>
            <w:tabs>
              <w:tab w:val="left" w:pos="660"/>
              <w:tab w:val="right" w:leader="dot" w:pos="9060"/>
            </w:tabs>
            <w:spacing w:after="0" w:line="480" w:lineRule="auto"/>
            <w:rPr>
              <w:rFonts w:eastAsiaTheme="minorEastAsia"/>
              <w:noProof/>
            </w:rPr>
          </w:pPr>
          <w:hyperlink w:anchor="_Toc139194180" w:history="1">
            <w:r w:rsidR="00CB7C48" w:rsidRPr="00CB7C48">
              <w:rPr>
                <w:rStyle w:val="Hyperlink"/>
                <w:rFonts w:ascii="Arial" w:hAnsi="Arial" w:cs="Arial"/>
                <w:noProof/>
              </w:rPr>
              <w:t>7.</w:t>
            </w:r>
            <w:r w:rsidR="00CB7C48" w:rsidRPr="00CB7C48">
              <w:rPr>
                <w:rFonts w:eastAsiaTheme="minorEastAsia"/>
                <w:noProof/>
              </w:rPr>
              <w:tab/>
            </w:r>
            <w:r w:rsidR="00CB7C48" w:rsidRPr="00CB7C48">
              <w:rPr>
                <w:rStyle w:val="Hyperlink"/>
                <w:rFonts w:ascii="Arial" w:hAnsi="Arial" w:cs="Arial"/>
                <w:noProof/>
              </w:rPr>
              <w:t>Discussion</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_Toc139194180 \h </w:instrText>
            </w:r>
            <w:r w:rsidR="00CB7C48" w:rsidRPr="00CB7C48">
              <w:rPr>
                <w:noProof/>
                <w:webHidden/>
              </w:rPr>
            </w:r>
            <w:r w:rsidR="00CB7C48" w:rsidRPr="00CB7C48">
              <w:rPr>
                <w:noProof/>
                <w:webHidden/>
              </w:rPr>
              <w:fldChar w:fldCharType="separate"/>
            </w:r>
            <w:r w:rsidR="00CB7C48" w:rsidRPr="00CB7C48">
              <w:rPr>
                <w:noProof/>
                <w:webHidden/>
              </w:rPr>
              <w:t>10</w:t>
            </w:r>
            <w:r w:rsidR="00CB7C48" w:rsidRPr="00CB7C48">
              <w:rPr>
                <w:noProof/>
                <w:webHidden/>
              </w:rPr>
              <w:fldChar w:fldCharType="end"/>
            </w:r>
          </w:hyperlink>
        </w:p>
        <w:p w14:paraId="0E615635" w14:textId="1FDCECC6" w:rsidR="00CB7C48" w:rsidRPr="00CB7C48" w:rsidRDefault="00000000" w:rsidP="00CB7C48">
          <w:pPr>
            <w:pStyle w:val="TOC2"/>
            <w:tabs>
              <w:tab w:val="left" w:pos="660"/>
              <w:tab w:val="right" w:leader="dot" w:pos="9060"/>
            </w:tabs>
            <w:spacing w:after="0" w:line="480" w:lineRule="auto"/>
            <w:rPr>
              <w:rFonts w:eastAsiaTheme="minorEastAsia"/>
              <w:noProof/>
            </w:rPr>
          </w:pPr>
          <w:hyperlink w:anchor="_Toc139194181" w:history="1">
            <w:r w:rsidR="00CB7C48" w:rsidRPr="00CB7C48">
              <w:rPr>
                <w:rStyle w:val="Hyperlink"/>
                <w:rFonts w:ascii="Arial" w:hAnsi="Arial" w:cs="Arial"/>
                <w:noProof/>
              </w:rPr>
              <w:t>8.</w:t>
            </w:r>
            <w:r w:rsidR="00CB7C48" w:rsidRPr="00CB7C48">
              <w:rPr>
                <w:rFonts w:eastAsiaTheme="minorEastAsia"/>
                <w:noProof/>
              </w:rPr>
              <w:tab/>
            </w:r>
            <w:r w:rsidR="00CB7C48" w:rsidRPr="00CB7C48">
              <w:rPr>
                <w:rStyle w:val="Hyperlink"/>
                <w:rFonts w:ascii="Arial" w:hAnsi="Arial" w:cs="Arial"/>
                <w:noProof/>
              </w:rPr>
              <w:t>Significant Cases</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_Toc139194181 \h </w:instrText>
            </w:r>
            <w:r w:rsidR="00CB7C48" w:rsidRPr="00CB7C48">
              <w:rPr>
                <w:noProof/>
                <w:webHidden/>
              </w:rPr>
            </w:r>
            <w:r w:rsidR="00CB7C48" w:rsidRPr="00CB7C48">
              <w:rPr>
                <w:noProof/>
                <w:webHidden/>
              </w:rPr>
              <w:fldChar w:fldCharType="separate"/>
            </w:r>
            <w:r w:rsidR="00CB7C48" w:rsidRPr="00CB7C48">
              <w:rPr>
                <w:noProof/>
                <w:webHidden/>
              </w:rPr>
              <w:t>11</w:t>
            </w:r>
            <w:r w:rsidR="00CB7C48" w:rsidRPr="00CB7C48">
              <w:rPr>
                <w:noProof/>
                <w:webHidden/>
              </w:rPr>
              <w:fldChar w:fldCharType="end"/>
            </w:r>
          </w:hyperlink>
        </w:p>
        <w:p w14:paraId="4734F948" w14:textId="5A94B691" w:rsidR="00CB7C48" w:rsidRPr="00CB7C48" w:rsidRDefault="00000000" w:rsidP="00CB7C48">
          <w:pPr>
            <w:pStyle w:val="TOC2"/>
            <w:tabs>
              <w:tab w:val="left" w:pos="660"/>
              <w:tab w:val="right" w:leader="dot" w:pos="9060"/>
            </w:tabs>
            <w:spacing w:after="0" w:line="480" w:lineRule="auto"/>
            <w:rPr>
              <w:rFonts w:eastAsiaTheme="minorEastAsia"/>
              <w:noProof/>
            </w:rPr>
          </w:pPr>
          <w:hyperlink w:anchor="_Toc139194182" w:history="1">
            <w:r w:rsidR="00CB7C48" w:rsidRPr="00CB7C48">
              <w:rPr>
                <w:rStyle w:val="Hyperlink"/>
                <w:rFonts w:ascii="Arial" w:hAnsi="Arial" w:cs="Arial"/>
                <w:noProof/>
              </w:rPr>
              <w:t>9.</w:t>
            </w:r>
            <w:r w:rsidR="00CB7C48" w:rsidRPr="00CB7C48">
              <w:rPr>
                <w:rFonts w:eastAsiaTheme="minorEastAsia"/>
                <w:noProof/>
              </w:rPr>
              <w:tab/>
            </w:r>
            <w:r w:rsidR="00CB7C48" w:rsidRPr="00CB7C48">
              <w:rPr>
                <w:rStyle w:val="Hyperlink"/>
                <w:rFonts w:ascii="Arial" w:hAnsi="Arial" w:cs="Arial"/>
                <w:noProof/>
              </w:rPr>
              <w:t>Conclusions and recommendations</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_Toc139194182 \h </w:instrText>
            </w:r>
            <w:r w:rsidR="00CB7C48" w:rsidRPr="00CB7C48">
              <w:rPr>
                <w:noProof/>
                <w:webHidden/>
              </w:rPr>
            </w:r>
            <w:r w:rsidR="00CB7C48" w:rsidRPr="00CB7C48">
              <w:rPr>
                <w:noProof/>
                <w:webHidden/>
              </w:rPr>
              <w:fldChar w:fldCharType="separate"/>
            </w:r>
            <w:r w:rsidR="00CB7C48" w:rsidRPr="00CB7C48">
              <w:rPr>
                <w:noProof/>
                <w:webHidden/>
              </w:rPr>
              <w:t>12</w:t>
            </w:r>
            <w:r w:rsidR="00CB7C48" w:rsidRPr="00CB7C48">
              <w:rPr>
                <w:noProof/>
                <w:webHidden/>
              </w:rPr>
              <w:fldChar w:fldCharType="end"/>
            </w:r>
          </w:hyperlink>
        </w:p>
        <w:p w14:paraId="564C2AAD" w14:textId="6CD30087" w:rsidR="00CB7C48" w:rsidRPr="00CB7C48" w:rsidRDefault="00000000" w:rsidP="00CB7C48">
          <w:pPr>
            <w:pStyle w:val="TOC2"/>
            <w:tabs>
              <w:tab w:val="right" w:leader="dot" w:pos="9060"/>
            </w:tabs>
            <w:spacing w:after="0" w:line="480" w:lineRule="auto"/>
            <w:rPr>
              <w:rFonts w:eastAsiaTheme="minorEastAsia"/>
              <w:noProof/>
            </w:rPr>
          </w:pPr>
          <w:hyperlink w:anchor="_Toc139194183" w:history="1">
            <w:r w:rsidR="00CB7C48" w:rsidRPr="00CB7C48">
              <w:rPr>
                <w:rStyle w:val="Hyperlink"/>
                <w:rFonts w:ascii="Arial" w:hAnsi="Arial" w:cs="Arial"/>
                <w:noProof/>
              </w:rPr>
              <w:t>Bibliography &amp; References</w:t>
            </w:r>
            <w:r w:rsidR="00CB7C48" w:rsidRPr="00CB7C48">
              <w:rPr>
                <w:noProof/>
                <w:webHidden/>
              </w:rPr>
              <w:tab/>
            </w:r>
            <w:r w:rsidR="00CB7C48" w:rsidRPr="00CB7C48">
              <w:rPr>
                <w:noProof/>
                <w:webHidden/>
              </w:rPr>
              <w:fldChar w:fldCharType="begin"/>
            </w:r>
            <w:r w:rsidR="00CB7C48" w:rsidRPr="00CB7C48">
              <w:rPr>
                <w:noProof/>
                <w:webHidden/>
              </w:rPr>
              <w:instrText xml:space="preserve"> PAGEREF _Toc139194183 \h </w:instrText>
            </w:r>
            <w:r w:rsidR="00CB7C48" w:rsidRPr="00CB7C48">
              <w:rPr>
                <w:noProof/>
                <w:webHidden/>
              </w:rPr>
            </w:r>
            <w:r w:rsidR="00CB7C48" w:rsidRPr="00CB7C48">
              <w:rPr>
                <w:noProof/>
                <w:webHidden/>
              </w:rPr>
              <w:fldChar w:fldCharType="separate"/>
            </w:r>
            <w:r w:rsidR="00CB7C48" w:rsidRPr="00CB7C48">
              <w:rPr>
                <w:noProof/>
                <w:webHidden/>
              </w:rPr>
              <w:t>14</w:t>
            </w:r>
            <w:r w:rsidR="00CB7C48" w:rsidRPr="00CB7C48">
              <w:rPr>
                <w:noProof/>
                <w:webHidden/>
              </w:rPr>
              <w:fldChar w:fldCharType="end"/>
            </w:r>
          </w:hyperlink>
        </w:p>
        <w:p w14:paraId="614C3672" w14:textId="430E21CA" w:rsidR="00CE7FD1" w:rsidRPr="00CB7C48" w:rsidRDefault="00CE7FD1" w:rsidP="00CB7C48">
          <w:pPr>
            <w:spacing w:after="0" w:line="480" w:lineRule="auto"/>
            <w:rPr>
              <w:rFonts w:ascii="Arial" w:hAnsi="Arial" w:cs="Arial"/>
            </w:rPr>
          </w:pPr>
          <w:r w:rsidRPr="00CB7C48">
            <w:rPr>
              <w:rFonts w:ascii="Arial" w:hAnsi="Arial" w:cs="Arial"/>
              <w:noProof/>
            </w:rPr>
            <w:fldChar w:fldCharType="end"/>
          </w:r>
        </w:p>
      </w:sdtContent>
    </w:sdt>
    <w:p w14:paraId="6F7949F2" w14:textId="77777777" w:rsidR="002A1A5E" w:rsidRPr="00FF7282" w:rsidRDefault="002A1A5E" w:rsidP="00CE7FD1">
      <w:pPr>
        <w:spacing w:after="0" w:line="480" w:lineRule="auto"/>
        <w:ind w:left="284"/>
        <w:rPr>
          <w:rFonts w:ascii="Arial" w:eastAsia="Times New Roman" w:hAnsi="Arial" w:cs="Arial"/>
          <w:color w:val="000000"/>
          <w:kern w:val="0"/>
          <w14:ligatures w14:val="none"/>
        </w:rPr>
      </w:pPr>
    </w:p>
    <w:p w14:paraId="54313571"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59C4E963"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45F3508E"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463AEBFE"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04B467B6"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20EA7CEE" w14:textId="77777777" w:rsidR="002A1A5E" w:rsidRPr="00FF7282" w:rsidRDefault="002A1A5E" w:rsidP="002A1A5E">
      <w:pPr>
        <w:spacing w:after="0" w:line="360" w:lineRule="auto"/>
        <w:ind w:left="284"/>
        <w:rPr>
          <w:rFonts w:ascii="Arial" w:eastAsia="Times New Roman" w:hAnsi="Arial" w:cs="Arial"/>
          <w:color w:val="000000"/>
          <w:kern w:val="0"/>
          <w14:ligatures w14:val="none"/>
        </w:rPr>
      </w:pPr>
    </w:p>
    <w:p w14:paraId="7BBA42EE" w14:textId="77777777" w:rsidR="0026796C" w:rsidRPr="00FF7282" w:rsidRDefault="0026796C" w:rsidP="002A1A5E">
      <w:pPr>
        <w:spacing w:after="0" w:line="360" w:lineRule="auto"/>
        <w:ind w:left="284"/>
        <w:rPr>
          <w:rFonts w:ascii="Arial" w:eastAsia="Times New Roman" w:hAnsi="Arial" w:cs="Arial"/>
          <w:color w:val="000000"/>
          <w:kern w:val="0"/>
          <w14:ligatures w14:val="none"/>
        </w:rPr>
        <w:sectPr w:rsidR="0026796C" w:rsidRPr="00FF7282" w:rsidSect="00613B84">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20" w:footer="720" w:gutter="0"/>
          <w:pgNumType w:fmt="lowerRoman" w:start="1"/>
          <w:cols w:space="720"/>
          <w:docGrid w:linePitch="360"/>
        </w:sectPr>
      </w:pPr>
    </w:p>
    <w:p w14:paraId="5D60E66C" w14:textId="77777777" w:rsidR="004A5967" w:rsidRPr="00FF7282" w:rsidRDefault="002A1A5E" w:rsidP="002618F4">
      <w:pPr>
        <w:pStyle w:val="Heading2"/>
        <w:numPr>
          <w:ilvl w:val="0"/>
          <w:numId w:val="1"/>
        </w:numPr>
        <w:spacing w:after="120"/>
        <w:ind w:left="357" w:hanging="357"/>
        <w:jc w:val="both"/>
        <w:rPr>
          <w:rFonts w:ascii="Arial" w:hAnsi="Arial" w:cs="Arial"/>
          <w:b/>
          <w:bCs/>
          <w:color w:val="auto"/>
          <w:sz w:val="22"/>
          <w:szCs w:val="22"/>
        </w:rPr>
      </w:pPr>
      <w:bookmarkStart w:id="0" w:name="_Toc139194174"/>
      <w:r w:rsidRPr="00FF7282">
        <w:rPr>
          <w:rFonts w:ascii="Arial" w:hAnsi="Arial" w:cs="Arial"/>
          <w:b/>
          <w:bCs/>
          <w:color w:val="auto"/>
          <w:sz w:val="22"/>
          <w:szCs w:val="22"/>
        </w:rPr>
        <w:t>Introduction</w:t>
      </w:r>
      <w:bookmarkEnd w:id="0"/>
    </w:p>
    <w:p w14:paraId="0D27CC66" w14:textId="3809634C" w:rsidR="00A800DA" w:rsidRPr="00FF7282" w:rsidRDefault="00300D72" w:rsidP="002618F4">
      <w:pPr>
        <w:pStyle w:val="ListParagraph"/>
        <w:numPr>
          <w:ilvl w:val="1"/>
          <w:numId w:val="1"/>
        </w:numPr>
        <w:spacing w:after="240" w:line="360" w:lineRule="auto"/>
        <w:ind w:left="1134" w:hanging="567"/>
        <w:contextualSpacing w:val="0"/>
        <w:jc w:val="both"/>
        <w:rPr>
          <w:rStyle w:val="fontstyle01"/>
          <w:rFonts w:ascii="Arial" w:hAnsi="Arial" w:cs="Arial"/>
        </w:rPr>
      </w:pPr>
      <w:r w:rsidRPr="00FF7282">
        <w:rPr>
          <w:rStyle w:val="fontstyle01"/>
          <w:rFonts w:ascii="Arial" w:hAnsi="Arial" w:cs="Arial"/>
        </w:rPr>
        <w:t>When companies are in financial distress</w:t>
      </w:r>
      <w:r w:rsidR="00F8254E" w:rsidRPr="00FF7282">
        <w:rPr>
          <w:rStyle w:val="fontstyle01"/>
          <w:rFonts w:ascii="Arial" w:hAnsi="Arial" w:cs="Arial"/>
        </w:rPr>
        <w:t xml:space="preserve"> </w:t>
      </w:r>
      <w:r w:rsidR="00BD6211" w:rsidRPr="00FF7282">
        <w:rPr>
          <w:rStyle w:val="fontstyle01"/>
          <w:rFonts w:ascii="Arial" w:hAnsi="Arial" w:cs="Arial"/>
        </w:rPr>
        <w:t>or</w:t>
      </w:r>
      <w:r w:rsidR="00F8254E" w:rsidRPr="00FF7282">
        <w:rPr>
          <w:rStyle w:val="fontstyle01"/>
          <w:rFonts w:ascii="Arial" w:hAnsi="Arial" w:cs="Arial"/>
        </w:rPr>
        <w:t xml:space="preserve"> experience corporate insolvency</w:t>
      </w:r>
      <w:r w:rsidRPr="00FF7282">
        <w:rPr>
          <w:rStyle w:val="fontstyle01"/>
          <w:rFonts w:ascii="Arial" w:hAnsi="Arial" w:cs="Arial"/>
        </w:rPr>
        <w:t>, the methods used to resolve the situation are important to all stakeholders</w:t>
      </w:r>
      <w:r w:rsidR="00B86342" w:rsidRPr="00FF7282">
        <w:rPr>
          <w:rStyle w:val="fontstyle01"/>
          <w:rFonts w:ascii="Arial" w:hAnsi="Arial" w:cs="Arial"/>
        </w:rPr>
        <w:t xml:space="preserve"> (Keay &amp; Walton, 2008)</w:t>
      </w:r>
      <w:r w:rsidRPr="00FF7282">
        <w:rPr>
          <w:rStyle w:val="fontstyle01"/>
          <w:rFonts w:ascii="Arial" w:hAnsi="Arial" w:cs="Arial"/>
        </w:rPr>
        <w:t xml:space="preserve">. </w:t>
      </w:r>
      <w:r w:rsidR="004A448B" w:rsidRPr="00FF7282">
        <w:rPr>
          <w:rStyle w:val="fontstyle01"/>
          <w:rFonts w:ascii="Arial" w:hAnsi="Arial" w:cs="Arial"/>
        </w:rPr>
        <w:t xml:space="preserve">The jurisdiction where the proceeding </w:t>
      </w:r>
      <w:r w:rsidR="0026796C" w:rsidRPr="00FF7282">
        <w:rPr>
          <w:rStyle w:val="fontstyle01"/>
          <w:rFonts w:ascii="Arial" w:hAnsi="Arial" w:cs="Arial"/>
        </w:rPr>
        <w:t>occurs</w:t>
      </w:r>
      <w:r w:rsidR="004A448B" w:rsidRPr="00FF7282">
        <w:rPr>
          <w:rStyle w:val="fontstyle01"/>
          <w:rFonts w:ascii="Arial" w:hAnsi="Arial" w:cs="Arial"/>
        </w:rPr>
        <w:t xml:space="preserve"> is also significant because different jurisdictions have different </w:t>
      </w:r>
      <w:r w:rsidR="0026796C" w:rsidRPr="00FF7282">
        <w:rPr>
          <w:rStyle w:val="fontstyle01"/>
          <w:rFonts w:ascii="Arial" w:hAnsi="Arial" w:cs="Arial"/>
        </w:rPr>
        <w:t>relief systems</w:t>
      </w:r>
      <w:r w:rsidR="00BD6ACE">
        <w:rPr>
          <w:rStyle w:val="fontstyle01"/>
          <w:rFonts w:ascii="Arial" w:hAnsi="Arial" w:cs="Arial"/>
        </w:rPr>
        <w:t xml:space="preserve"> (Lee, 2011)</w:t>
      </w:r>
      <w:r w:rsidR="004A448B" w:rsidRPr="00FF7282">
        <w:rPr>
          <w:rStyle w:val="fontstyle01"/>
          <w:rFonts w:ascii="Arial" w:hAnsi="Arial" w:cs="Arial"/>
        </w:rPr>
        <w:t xml:space="preserve">. </w:t>
      </w:r>
      <w:r w:rsidR="004A5967" w:rsidRPr="00FF7282">
        <w:rPr>
          <w:rStyle w:val="fontstyle01"/>
          <w:rFonts w:ascii="Arial" w:hAnsi="Arial" w:cs="Arial"/>
        </w:rPr>
        <w:t>The post</w:t>
      </w:r>
      <w:r w:rsidR="0026796C" w:rsidRPr="00FF7282">
        <w:rPr>
          <w:rStyle w:val="fontstyle01"/>
          <w:rFonts w:ascii="Arial" w:hAnsi="Arial" w:cs="Arial"/>
        </w:rPr>
        <w:t>-</w:t>
      </w:r>
      <w:r w:rsidR="004A5967" w:rsidRPr="00FF7282">
        <w:rPr>
          <w:rStyle w:val="fontstyle01"/>
          <w:rFonts w:ascii="Arial" w:hAnsi="Arial" w:cs="Arial"/>
        </w:rPr>
        <w:t>COVID-19 Pandemic</w:t>
      </w:r>
      <w:r w:rsidR="001B51CE" w:rsidRPr="00FF7282">
        <w:rPr>
          <w:rStyle w:val="FootnoteReference"/>
          <w:rFonts w:ascii="Arial" w:hAnsi="Arial" w:cs="Arial"/>
          <w:color w:val="000000"/>
        </w:rPr>
        <w:footnoteReference w:id="1"/>
      </w:r>
      <w:r w:rsidR="001B51CE" w:rsidRPr="00FF7282">
        <w:rPr>
          <w:rFonts w:ascii="Arial" w:hAnsi="Arial" w:cs="Arial"/>
          <w:color w:val="000000"/>
        </w:rPr>
        <w:t xml:space="preserve"> </w:t>
      </w:r>
      <w:r w:rsidR="004A5967" w:rsidRPr="00FF7282">
        <w:rPr>
          <w:rStyle w:val="fontstyle01"/>
          <w:rFonts w:ascii="Arial" w:hAnsi="Arial" w:cs="Arial"/>
        </w:rPr>
        <w:t xml:space="preserve">appears to be a </w:t>
      </w:r>
      <w:r w:rsidR="0026796C" w:rsidRPr="00FF7282">
        <w:rPr>
          <w:rStyle w:val="fontstyle01"/>
          <w:rFonts w:ascii="Arial" w:hAnsi="Arial" w:cs="Arial"/>
        </w:rPr>
        <w:t>busy</w:t>
      </w:r>
      <w:r w:rsidR="004A5967" w:rsidRPr="00FF7282">
        <w:rPr>
          <w:rStyle w:val="fontstyle01"/>
          <w:rFonts w:ascii="Arial" w:hAnsi="Arial" w:cs="Arial"/>
        </w:rPr>
        <w:t xml:space="preserve"> time for insolvency law and proposed reforms in many jurisdictions</w:t>
      </w:r>
      <w:r w:rsidR="00B86342" w:rsidRPr="00FF7282">
        <w:rPr>
          <w:rStyle w:val="fontstyle01"/>
          <w:rFonts w:ascii="Arial" w:hAnsi="Arial" w:cs="Arial"/>
        </w:rPr>
        <w:t xml:space="preserve"> (Landry, 2020</w:t>
      </w:r>
      <w:r w:rsidR="005D6C6C" w:rsidRPr="00FF7282">
        <w:rPr>
          <w:rStyle w:val="fontstyle01"/>
          <w:rFonts w:ascii="Arial" w:hAnsi="Arial" w:cs="Arial"/>
        </w:rPr>
        <w:t xml:space="preserve">; </w:t>
      </w:r>
      <w:r w:rsidR="005D6C6C" w:rsidRPr="00FF7282">
        <w:rPr>
          <w:rFonts w:ascii="Arial" w:hAnsi="Arial" w:cs="Arial"/>
        </w:rPr>
        <w:t>Wang, Yang, Iverson, &amp; Kluender, 2020)</w:t>
      </w:r>
      <w:r w:rsidR="004A5967" w:rsidRPr="00FF7282">
        <w:rPr>
          <w:rStyle w:val="fontstyle01"/>
          <w:rFonts w:ascii="Arial" w:hAnsi="Arial" w:cs="Arial"/>
        </w:rPr>
        <w:t xml:space="preserve">. Many of the proposed reforms are influenced by the </w:t>
      </w:r>
      <w:r w:rsidR="00323CF8" w:rsidRPr="00FF7282">
        <w:rPr>
          <w:rStyle w:val="fontstyle01"/>
          <w:rFonts w:ascii="Arial" w:hAnsi="Arial" w:cs="Arial"/>
        </w:rPr>
        <w:t>United Kingdom</w:t>
      </w:r>
      <w:r w:rsidR="00EB448D">
        <w:rPr>
          <w:rStyle w:val="fontstyle01"/>
          <w:rFonts w:ascii="Arial" w:hAnsi="Arial" w:cs="Arial"/>
        </w:rPr>
        <w:t>'s</w:t>
      </w:r>
      <w:r w:rsidR="004A5967" w:rsidRPr="00FF7282">
        <w:rPr>
          <w:rStyle w:val="fontstyle01"/>
          <w:rFonts w:ascii="Arial" w:hAnsi="Arial" w:cs="Arial"/>
        </w:rPr>
        <w:t xml:space="preserve"> (UK) scheme of arrangements and the United States (USA)</w:t>
      </w:r>
      <w:r w:rsidR="002618F4">
        <w:rPr>
          <w:rStyle w:val="fontstyle01"/>
          <w:rFonts w:ascii="Arial" w:hAnsi="Arial" w:cs="Arial"/>
        </w:rPr>
        <w:t xml:space="preserve"> Bankruptcy Code</w:t>
      </w:r>
      <w:r w:rsidR="00AF2200">
        <w:rPr>
          <w:rStyle w:val="fontstyle01"/>
          <w:rFonts w:ascii="Arial" w:hAnsi="Arial" w:cs="Arial"/>
        </w:rPr>
        <w:t xml:space="preserve"> [or the Code]</w:t>
      </w:r>
      <w:r w:rsidR="002618F4">
        <w:rPr>
          <w:rStyle w:val="fontstyle01"/>
          <w:rFonts w:ascii="Arial" w:hAnsi="Arial" w:cs="Arial"/>
        </w:rPr>
        <w:t xml:space="preserve"> (</w:t>
      </w:r>
      <w:r w:rsidR="002618F4" w:rsidRPr="00FF7282">
        <w:rPr>
          <w:rStyle w:val="fontstyle01"/>
          <w:rFonts w:ascii="Arial" w:hAnsi="Arial" w:cs="Arial"/>
        </w:rPr>
        <w:t>Boraine</w:t>
      </w:r>
      <w:r w:rsidR="002618F4">
        <w:rPr>
          <w:rStyle w:val="fontstyle01"/>
          <w:rFonts w:ascii="Arial" w:hAnsi="Arial" w:cs="Arial"/>
        </w:rPr>
        <w:t>,</w:t>
      </w:r>
      <w:r w:rsidR="002618F4" w:rsidRPr="00FF7282">
        <w:rPr>
          <w:rStyle w:val="fontstyle01"/>
          <w:rFonts w:ascii="Arial" w:hAnsi="Arial" w:cs="Arial"/>
        </w:rPr>
        <w:t xml:space="preserve"> 2023</w:t>
      </w:r>
      <w:r w:rsidR="002618F4">
        <w:rPr>
          <w:rStyle w:val="fontstyle01"/>
          <w:rFonts w:ascii="Arial" w:hAnsi="Arial" w:cs="Arial"/>
        </w:rPr>
        <w:t xml:space="preserve">; </w:t>
      </w:r>
      <w:r w:rsidR="002618F4">
        <w:rPr>
          <w:rFonts w:ascii="Arial" w:hAnsi="Arial" w:cs="Arial"/>
          <w:color w:val="000000"/>
        </w:rPr>
        <w:t xml:space="preserve">Bracewell &amp; Giuliani, 2012; </w:t>
      </w:r>
      <w:r w:rsidR="002618F4" w:rsidRPr="00FF7282">
        <w:rPr>
          <w:rStyle w:val="fontstyle01"/>
          <w:rFonts w:ascii="Arial" w:hAnsi="Arial" w:cs="Arial"/>
        </w:rPr>
        <w:t xml:space="preserve">Carruthers </w:t>
      </w:r>
      <w:r w:rsidR="002618F4">
        <w:rPr>
          <w:rStyle w:val="fontstyle01"/>
          <w:rFonts w:ascii="Arial" w:hAnsi="Arial" w:cs="Arial"/>
        </w:rPr>
        <w:t xml:space="preserve">&amp; </w:t>
      </w:r>
      <w:r w:rsidR="002618F4" w:rsidRPr="00FF7282">
        <w:rPr>
          <w:rStyle w:val="fontstyle01"/>
          <w:rFonts w:ascii="Arial" w:hAnsi="Arial" w:cs="Arial"/>
        </w:rPr>
        <w:t>Halliday</w:t>
      </w:r>
      <w:r w:rsidR="002618F4">
        <w:rPr>
          <w:rStyle w:val="fontstyle01"/>
          <w:rFonts w:ascii="Arial" w:hAnsi="Arial" w:cs="Arial"/>
        </w:rPr>
        <w:t>,</w:t>
      </w:r>
      <w:r w:rsidR="002618F4" w:rsidRPr="00FF7282">
        <w:rPr>
          <w:rStyle w:val="fontstyle01"/>
          <w:rFonts w:ascii="Arial" w:hAnsi="Arial" w:cs="Arial"/>
        </w:rPr>
        <w:t xml:space="preserve"> 2000</w:t>
      </w:r>
      <w:r w:rsidR="002618F4">
        <w:rPr>
          <w:rStyle w:val="fontstyle01"/>
          <w:rFonts w:ascii="Arial" w:hAnsi="Arial" w:cs="Arial"/>
        </w:rPr>
        <w:t xml:space="preserve">; </w:t>
      </w:r>
      <w:r w:rsidR="002618F4" w:rsidRPr="00FF7282">
        <w:rPr>
          <w:rFonts w:ascii="Arial" w:hAnsi="Arial" w:cs="Arial"/>
        </w:rPr>
        <w:t>Dunne &amp; Uzzi, 2023</w:t>
      </w:r>
      <w:r w:rsidR="002618F4">
        <w:rPr>
          <w:rFonts w:ascii="Arial" w:hAnsi="Arial" w:cs="Arial"/>
        </w:rPr>
        <w:t>;</w:t>
      </w:r>
      <w:r w:rsidR="002618F4" w:rsidRPr="00FF7282">
        <w:rPr>
          <w:rStyle w:val="fontstyle01"/>
          <w:rFonts w:ascii="Arial" w:hAnsi="Arial" w:cs="Arial"/>
        </w:rPr>
        <w:t>)</w:t>
      </w:r>
      <w:r w:rsidR="0026796C" w:rsidRPr="00FF7282">
        <w:rPr>
          <w:rStyle w:val="fontstyle01"/>
          <w:rFonts w:ascii="Arial" w:hAnsi="Arial" w:cs="Arial"/>
        </w:rPr>
        <w:t>.</w:t>
      </w:r>
      <w:r w:rsidR="004A5967" w:rsidRPr="00FF7282">
        <w:rPr>
          <w:rStyle w:val="fontstyle01"/>
          <w:rFonts w:ascii="Arial" w:hAnsi="Arial" w:cs="Arial"/>
        </w:rPr>
        <w:t xml:space="preserve"> </w:t>
      </w:r>
      <w:r w:rsidR="00DA019C" w:rsidRPr="00FF7282">
        <w:rPr>
          <w:rStyle w:val="fontstyle01"/>
          <w:rFonts w:ascii="Arial" w:hAnsi="Arial" w:cs="Arial"/>
        </w:rPr>
        <w:t xml:space="preserve">Carruthers and Halliday (2000) refer to both the USA and the UK as </w:t>
      </w:r>
      <w:r w:rsidR="0026796C" w:rsidRPr="00FF7282">
        <w:rPr>
          <w:rStyle w:val="fontstyle01"/>
          <w:rFonts w:ascii="Arial" w:hAnsi="Arial" w:cs="Arial"/>
        </w:rPr>
        <w:t>"</w:t>
      </w:r>
      <w:r w:rsidR="00DA019C" w:rsidRPr="00FF7282">
        <w:rPr>
          <w:rStyle w:val="fontstyle01"/>
          <w:rFonts w:ascii="Arial" w:hAnsi="Arial" w:cs="Arial"/>
        </w:rPr>
        <w:t>advanced market economies</w:t>
      </w:r>
      <w:r w:rsidR="0026796C" w:rsidRPr="00FF7282">
        <w:rPr>
          <w:rStyle w:val="fontstyle01"/>
          <w:rFonts w:ascii="Arial" w:hAnsi="Arial" w:cs="Arial"/>
        </w:rPr>
        <w:t>"</w:t>
      </w:r>
      <w:r w:rsidR="00DA019C" w:rsidRPr="00FF7282">
        <w:rPr>
          <w:rStyle w:val="fontstyle01"/>
          <w:rFonts w:ascii="Arial" w:hAnsi="Arial" w:cs="Arial"/>
        </w:rPr>
        <w:t xml:space="preserve"> (p. 36) </w:t>
      </w:r>
      <w:r w:rsidR="0026796C" w:rsidRPr="00FF7282">
        <w:rPr>
          <w:rStyle w:val="fontstyle01"/>
          <w:rFonts w:ascii="Arial" w:hAnsi="Arial" w:cs="Arial"/>
        </w:rPr>
        <w:t>that</w:t>
      </w:r>
      <w:r w:rsidR="00DA019C" w:rsidRPr="00FF7282">
        <w:rPr>
          <w:rStyle w:val="fontstyle01"/>
          <w:rFonts w:ascii="Arial" w:hAnsi="Arial" w:cs="Arial"/>
        </w:rPr>
        <w:t xml:space="preserve"> are less influenced by politics and more by bankruptcy professionals. </w:t>
      </w:r>
      <w:r w:rsidR="00554ECA" w:rsidRPr="00FF7282">
        <w:rPr>
          <w:rStyle w:val="fontstyle01"/>
          <w:rFonts w:ascii="Arial" w:hAnsi="Arial" w:cs="Arial"/>
        </w:rPr>
        <w:t xml:space="preserve">When disputing parties of distressed companies are unable or unwilling to reach </w:t>
      </w:r>
      <w:r w:rsidR="00AE3942" w:rsidRPr="00FF7282">
        <w:rPr>
          <w:rStyle w:val="fontstyle01"/>
          <w:rFonts w:ascii="Arial" w:hAnsi="Arial"/>
        </w:rPr>
        <w:t>consensual negotiated restructurings, most US businesses</w:t>
      </w:r>
      <w:r w:rsidR="00554ECA" w:rsidRPr="00FF7282">
        <w:rPr>
          <w:rStyle w:val="fontstyle01"/>
          <w:rFonts w:ascii="Arial" w:hAnsi="Arial"/>
        </w:rPr>
        <w:t xml:space="preserve"> seek relief under</w:t>
      </w:r>
      <w:r w:rsidR="00AE3942" w:rsidRPr="00FF7282">
        <w:rPr>
          <w:rStyle w:val="fontstyle01"/>
          <w:rFonts w:ascii="Arial" w:hAnsi="Arial"/>
        </w:rPr>
        <w:t xml:space="preserve"> Chapter 11 reorganizations or Chapter 7 liquidations</w:t>
      </w:r>
      <w:r w:rsidR="00B56BBC" w:rsidRPr="00FF7282">
        <w:rPr>
          <w:rStyle w:val="fontstyle01"/>
          <w:rFonts w:ascii="Arial" w:hAnsi="Arial"/>
        </w:rPr>
        <w:t xml:space="preserve"> (</w:t>
      </w:r>
      <w:bookmarkStart w:id="2" w:name="_Hlk138793240"/>
      <w:r w:rsidR="00B56BBC" w:rsidRPr="00FF7282">
        <w:rPr>
          <w:rFonts w:ascii="Arial" w:hAnsi="Arial" w:cs="Arial"/>
        </w:rPr>
        <w:t>Dunne &amp; Uzzi, 2023</w:t>
      </w:r>
      <w:bookmarkEnd w:id="2"/>
      <w:r w:rsidR="00B56BBC" w:rsidRPr="00FF7282">
        <w:rPr>
          <w:rFonts w:ascii="Arial" w:hAnsi="Arial" w:cs="Arial"/>
        </w:rPr>
        <w:t>)</w:t>
      </w:r>
      <w:r w:rsidR="00AE3942" w:rsidRPr="00FF7282">
        <w:rPr>
          <w:rStyle w:val="fontstyle01"/>
          <w:rFonts w:ascii="Arial" w:hAnsi="Arial"/>
        </w:rPr>
        <w:t xml:space="preserve">. </w:t>
      </w:r>
    </w:p>
    <w:p w14:paraId="69749AD1" w14:textId="61FC1265" w:rsidR="004A5967" w:rsidRPr="00FF7282" w:rsidRDefault="00BD6211" w:rsidP="002618F4">
      <w:pPr>
        <w:pStyle w:val="ListParagraph"/>
        <w:numPr>
          <w:ilvl w:val="1"/>
          <w:numId w:val="1"/>
        </w:numPr>
        <w:spacing w:after="240" w:line="360" w:lineRule="auto"/>
        <w:ind w:left="1134" w:hanging="567"/>
        <w:contextualSpacing w:val="0"/>
        <w:jc w:val="both"/>
        <w:rPr>
          <w:rStyle w:val="fontstyle01"/>
          <w:rFonts w:ascii="Arial" w:hAnsi="Arial" w:cs="Arial"/>
        </w:rPr>
      </w:pPr>
      <w:r w:rsidRPr="00FF7282">
        <w:rPr>
          <w:rStyle w:val="fontstyle01"/>
          <w:rFonts w:ascii="Arial" w:hAnsi="Arial" w:cs="Arial"/>
        </w:rPr>
        <w:t>Some jurisdictions</w:t>
      </w:r>
      <w:r w:rsidR="004A5967" w:rsidRPr="00FF7282">
        <w:rPr>
          <w:rStyle w:val="fontstyle01"/>
          <w:rFonts w:ascii="Arial" w:hAnsi="Arial" w:cs="Arial"/>
        </w:rPr>
        <w:t xml:space="preserve"> have already implemented significant reforms to their restructuring regimes, while destinations</w:t>
      </w:r>
      <w:r w:rsidR="0026796C" w:rsidRPr="00FF7282">
        <w:rPr>
          <w:rStyle w:val="fontstyle01"/>
          <w:rFonts w:ascii="Arial" w:hAnsi="Arial" w:cs="Arial"/>
        </w:rPr>
        <w:t>,</w:t>
      </w:r>
      <w:r w:rsidR="004A5967" w:rsidRPr="00FF7282">
        <w:rPr>
          <w:rStyle w:val="fontstyle01"/>
          <w:rFonts w:ascii="Arial" w:hAnsi="Arial" w:cs="Arial"/>
        </w:rPr>
        <w:t xml:space="preserve"> such as The Bahamas, continue to evaluate global occurrences</w:t>
      </w:r>
      <w:r w:rsidR="00EB59E2" w:rsidRPr="00FF7282">
        <w:rPr>
          <w:rStyle w:val="fontstyle01"/>
          <w:rFonts w:ascii="Arial" w:hAnsi="Arial" w:cs="Arial"/>
        </w:rPr>
        <w:t xml:space="preserve"> (</w:t>
      </w:r>
      <w:r w:rsidR="004F7A07" w:rsidRPr="00FF7282">
        <w:rPr>
          <w:rStyle w:val="fontstyle01"/>
          <w:rFonts w:ascii="Arial" w:hAnsi="Arial" w:cs="Arial"/>
        </w:rPr>
        <w:t xml:space="preserve">Landry, 2020; </w:t>
      </w:r>
      <w:r w:rsidR="00EB59E2" w:rsidRPr="00FF7282">
        <w:rPr>
          <w:rStyle w:val="fontstyle01"/>
          <w:rFonts w:ascii="Arial" w:hAnsi="Arial" w:cs="Arial"/>
        </w:rPr>
        <w:t>Kokorin, Madaus, &amp; Mevorach, 2021)</w:t>
      </w:r>
      <w:r w:rsidR="004A5967" w:rsidRPr="00FF7282">
        <w:rPr>
          <w:rStyle w:val="fontstyle01"/>
          <w:rFonts w:ascii="Arial" w:hAnsi="Arial" w:cs="Arial"/>
        </w:rPr>
        <w:t xml:space="preserve">. </w:t>
      </w:r>
      <w:r w:rsidR="0026796C" w:rsidRPr="00FF7282">
        <w:rPr>
          <w:rStyle w:val="fontstyle01"/>
          <w:rFonts w:ascii="Arial" w:hAnsi="Arial" w:cs="Arial"/>
        </w:rPr>
        <w:t>The UK and the USA (two of the primary jurisdictions for insolvency) are</w:t>
      </w:r>
      <w:r w:rsidR="004A5967" w:rsidRPr="00FF7282">
        <w:rPr>
          <w:rStyle w:val="fontstyle01"/>
          <w:rFonts w:ascii="Arial" w:hAnsi="Arial" w:cs="Arial"/>
        </w:rPr>
        <w:t xml:space="preserve"> reviewing their existing restructuring procedures</w:t>
      </w:r>
      <w:r w:rsidR="00B86342" w:rsidRPr="00FF7282">
        <w:rPr>
          <w:rStyle w:val="fontstyle01"/>
          <w:rFonts w:ascii="Arial" w:hAnsi="Arial" w:cs="Arial"/>
        </w:rPr>
        <w:t xml:space="preserve"> (Landry, 2020</w:t>
      </w:r>
      <w:r w:rsidR="004F7A07" w:rsidRPr="00FF7282">
        <w:rPr>
          <w:rStyle w:val="fontstyle01"/>
          <w:rFonts w:ascii="Arial" w:hAnsi="Arial" w:cs="Arial"/>
        </w:rPr>
        <w:t>; Kokorin, Madaus, &amp; Mevorach, 2021</w:t>
      </w:r>
      <w:r w:rsidR="00B86342" w:rsidRPr="00FF7282">
        <w:rPr>
          <w:rStyle w:val="fontstyle01"/>
          <w:rFonts w:ascii="Arial" w:hAnsi="Arial" w:cs="Arial"/>
        </w:rPr>
        <w:t>)</w:t>
      </w:r>
      <w:r w:rsidR="004A5967" w:rsidRPr="00FF7282">
        <w:rPr>
          <w:rStyle w:val="fontstyle01"/>
          <w:rFonts w:ascii="Arial" w:hAnsi="Arial" w:cs="Arial"/>
        </w:rPr>
        <w:t xml:space="preserve">. </w:t>
      </w:r>
      <w:r w:rsidR="007B792F" w:rsidRPr="00FF7282">
        <w:rPr>
          <w:rStyle w:val="fontstyle01"/>
          <w:rFonts w:ascii="Arial" w:hAnsi="Arial" w:cs="Arial"/>
        </w:rPr>
        <w:t xml:space="preserve">Boraine (2023) indicated that internationally, most insolvency law has a basis </w:t>
      </w:r>
      <w:r w:rsidR="0026796C" w:rsidRPr="00FF7282">
        <w:rPr>
          <w:rStyle w:val="fontstyle01"/>
          <w:rFonts w:ascii="Arial" w:hAnsi="Arial" w:cs="Arial"/>
        </w:rPr>
        <w:t>in</w:t>
      </w:r>
      <w:r w:rsidR="007B792F" w:rsidRPr="00FF7282">
        <w:rPr>
          <w:rStyle w:val="fontstyle01"/>
          <w:rFonts w:ascii="Arial" w:hAnsi="Arial" w:cs="Arial"/>
        </w:rPr>
        <w:t xml:space="preserve"> English law or civil law</w:t>
      </w:r>
      <w:r w:rsidR="007B792F" w:rsidRPr="00FF7282">
        <w:rPr>
          <w:rStyle w:val="FootnoteReference"/>
          <w:rFonts w:ascii="Arial" w:hAnsi="Arial" w:cs="Arial"/>
          <w:color w:val="000000"/>
        </w:rPr>
        <w:footnoteReference w:id="2"/>
      </w:r>
      <w:r w:rsidR="007B792F" w:rsidRPr="00FF7282">
        <w:rPr>
          <w:rStyle w:val="fontstyle01"/>
          <w:rFonts w:ascii="Arial" w:hAnsi="Arial" w:cs="Arial"/>
        </w:rPr>
        <w:t xml:space="preserve">. </w:t>
      </w:r>
    </w:p>
    <w:p w14:paraId="14EABF54" w14:textId="02DD30D3" w:rsidR="00B86342" w:rsidRPr="00FF7282" w:rsidRDefault="00047C47" w:rsidP="002618F4">
      <w:pPr>
        <w:pStyle w:val="ListParagraph"/>
        <w:numPr>
          <w:ilvl w:val="1"/>
          <w:numId w:val="3"/>
        </w:numPr>
        <w:spacing w:after="240" w:line="360" w:lineRule="auto"/>
        <w:ind w:left="1134" w:hanging="567"/>
        <w:contextualSpacing w:val="0"/>
        <w:jc w:val="both"/>
        <w:rPr>
          <w:rStyle w:val="fontstyle01"/>
          <w:rFonts w:ascii="Arial" w:hAnsi="Arial" w:cs="Arial"/>
        </w:rPr>
      </w:pPr>
      <w:r w:rsidRPr="00FF7282">
        <w:rPr>
          <w:rStyle w:val="fontstyle01"/>
          <w:rFonts w:ascii="Arial" w:hAnsi="Arial" w:cs="Arial"/>
        </w:rPr>
        <w:t xml:space="preserve">The emphasis </w:t>
      </w:r>
      <w:r w:rsidR="00BD6ACE">
        <w:rPr>
          <w:rStyle w:val="fontstyle01"/>
          <w:rFonts w:ascii="Arial" w:hAnsi="Arial" w:cs="Arial"/>
        </w:rPr>
        <w:t xml:space="preserve">in this paper </w:t>
      </w:r>
      <w:r w:rsidRPr="00FF7282">
        <w:rPr>
          <w:rStyle w:val="fontstyle01"/>
          <w:rFonts w:ascii="Arial" w:hAnsi="Arial" w:cs="Arial"/>
        </w:rPr>
        <w:t xml:space="preserve">is </w:t>
      </w:r>
      <w:r w:rsidR="0026796C" w:rsidRPr="00FF7282">
        <w:rPr>
          <w:rStyle w:val="fontstyle01"/>
          <w:rFonts w:ascii="Arial" w:hAnsi="Arial" w:cs="Arial"/>
        </w:rPr>
        <w:t xml:space="preserve">on </w:t>
      </w:r>
      <w:r w:rsidRPr="00FF7282">
        <w:rPr>
          <w:rStyle w:val="fontstyle01"/>
          <w:rFonts w:ascii="Arial" w:hAnsi="Arial" w:cs="Arial"/>
        </w:rPr>
        <w:t>those entities involved in cross-border insolvencies. By examining the different legal framework</w:t>
      </w:r>
      <w:r w:rsidR="0026796C" w:rsidRPr="00FF7282">
        <w:rPr>
          <w:rStyle w:val="fontstyle01"/>
          <w:rFonts w:ascii="Arial" w:hAnsi="Arial" w:cs="Arial"/>
        </w:rPr>
        <w:t>s</w:t>
      </w:r>
      <w:r w:rsidRPr="00FF7282">
        <w:rPr>
          <w:rStyle w:val="fontstyle01"/>
          <w:rFonts w:ascii="Arial" w:hAnsi="Arial" w:cs="Arial"/>
        </w:rPr>
        <w:t xml:space="preserve">, practices, and objectives of liquidation and restructuring, the author aims to enlighten readers on the strengths and weaknesses of both systems. Recommended areas of improvement are discussed. The </w:t>
      </w:r>
      <w:r w:rsidR="00EC5C42" w:rsidRPr="00FF7282">
        <w:rPr>
          <w:rStyle w:val="fontstyle01"/>
          <w:rFonts w:ascii="Arial" w:hAnsi="Arial" w:cs="Arial"/>
        </w:rPr>
        <w:t xml:space="preserve">discussion and </w:t>
      </w:r>
      <w:r w:rsidRPr="00FF7282">
        <w:rPr>
          <w:rStyle w:val="fontstyle01"/>
          <w:rFonts w:ascii="Arial" w:hAnsi="Arial" w:cs="Arial"/>
        </w:rPr>
        <w:t xml:space="preserve">conclusion </w:t>
      </w:r>
      <w:r w:rsidR="00D9100C" w:rsidRPr="00FF7282">
        <w:rPr>
          <w:rStyle w:val="fontstyle01"/>
          <w:rFonts w:ascii="Arial" w:hAnsi="Arial" w:cs="Arial"/>
        </w:rPr>
        <w:t>include</w:t>
      </w:r>
      <w:r w:rsidRPr="00FF7282">
        <w:rPr>
          <w:rStyle w:val="fontstyle01"/>
          <w:rFonts w:ascii="Arial" w:hAnsi="Arial" w:cs="Arial"/>
        </w:rPr>
        <w:t xml:space="preserve"> key findings with recommendations to countries with weak insolvency regimes and those contemplating revising the reconstructing processes for distressed companies.</w:t>
      </w:r>
    </w:p>
    <w:p w14:paraId="0FAD2ECA" w14:textId="465C03CE" w:rsidR="000E228E" w:rsidRPr="00FF7282" w:rsidRDefault="000E228E" w:rsidP="002618F4">
      <w:pPr>
        <w:pStyle w:val="Heading2"/>
        <w:numPr>
          <w:ilvl w:val="0"/>
          <w:numId w:val="3"/>
        </w:numPr>
        <w:spacing w:after="120"/>
        <w:ind w:left="357" w:hanging="357"/>
        <w:jc w:val="both"/>
        <w:rPr>
          <w:rFonts w:ascii="Arial" w:hAnsi="Arial" w:cs="Arial"/>
          <w:b/>
          <w:bCs/>
          <w:color w:val="auto"/>
          <w:sz w:val="22"/>
          <w:szCs w:val="22"/>
        </w:rPr>
      </w:pPr>
      <w:bookmarkStart w:id="3" w:name="_Toc139194175"/>
      <w:r w:rsidRPr="00FF7282">
        <w:rPr>
          <w:rFonts w:ascii="Arial" w:hAnsi="Arial" w:cs="Arial"/>
          <w:b/>
          <w:bCs/>
          <w:color w:val="auto"/>
          <w:sz w:val="22"/>
          <w:szCs w:val="22"/>
        </w:rPr>
        <w:t xml:space="preserve">Liquidations and Restructuring – </w:t>
      </w:r>
      <w:r w:rsidR="002618F4">
        <w:rPr>
          <w:rFonts w:ascii="Arial" w:hAnsi="Arial" w:cs="Arial"/>
          <w:b/>
          <w:bCs/>
          <w:color w:val="auto"/>
          <w:sz w:val="22"/>
          <w:szCs w:val="22"/>
        </w:rPr>
        <w:t>Understanding the Concepts</w:t>
      </w:r>
      <w:bookmarkEnd w:id="3"/>
    </w:p>
    <w:p w14:paraId="76335545" w14:textId="4B8F12EB" w:rsidR="00EE2CE3" w:rsidRPr="00FF7282" w:rsidRDefault="00FE6BE0" w:rsidP="002618F4">
      <w:pPr>
        <w:pStyle w:val="ListParagraph"/>
        <w:numPr>
          <w:ilvl w:val="1"/>
          <w:numId w:val="4"/>
        </w:numPr>
        <w:spacing w:after="240" w:line="360" w:lineRule="auto"/>
        <w:ind w:left="1134" w:hanging="567"/>
        <w:contextualSpacing w:val="0"/>
        <w:jc w:val="both"/>
        <w:rPr>
          <w:rStyle w:val="fontstyle01"/>
          <w:rFonts w:ascii="Arial" w:hAnsi="Arial"/>
        </w:rPr>
      </w:pPr>
      <w:r w:rsidRPr="00FF7282">
        <w:rPr>
          <w:rStyle w:val="fontstyle01"/>
          <w:rFonts w:ascii="Arial" w:hAnsi="Arial"/>
        </w:rPr>
        <w:t xml:space="preserve">The comparative analysis between liquidations and restructuring in the UK and the USA begins with </w:t>
      </w:r>
      <w:r w:rsidR="00EB448D">
        <w:rPr>
          <w:rStyle w:val="fontstyle01"/>
          <w:rFonts w:ascii="Arial" w:hAnsi="Arial"/>
        </w:rPr>
        <w:t>understanding</w:t>
      </w:r>
      <w:r w:rsidRPr="00FF7282">
        <w:rPr>
          <w:rStyle w:val="fontstyle01"/>
          <w:rFonts w:ascii="Arial" w:hAnsi="Arial"/>
        </w:rPr>
        <w:t xml:space="preserve"> </w:t>
      </w:r>
      <w:r w:rsidR="00EB448D">
        <w:rPr>
          <w:rStyle w:val="fontstyle01"/>
          <w:rFonts w:ascii="Arial" w:hAnsi="Arial"/>
        </w:rPr>
        <w:t xml:space="preserve">of </w:t>
      </w:r>
      <w:r w:rsidRPr="00FF7282">
        <w:rPr>
          <w:rStyle w:val="fontstyle01"/>
          <w:rFonts w:ascii="Arial" w:hAnsi="Arial"/>
        </w:rPr>
        <w:t>the fundamental concepts behind liquidation</w:t>
      </w:r>
      <w:r w:rsidR="000E228E" w:rsidRPr="00FF7282">
        <w:rPr>
          <w:rStyle w:val="fontstyle01"/>
          <w:rFonts w:ascii="Arial" w:hAnsi="Arial"/>
        </w:rPr>
        <w:t xml:space="preserve"> and restructuring. In general terms, liquidation refers to the cessation of a business and </w:t>
      </w:r>
      <w:r w:rsidR="00EB448D">
        <w:rPr>
          <w:rStyle w:val="fontstyle01"/>
          <w:rFonts w:ascii="Arial" w:hAnsi="Arial"/>
        </w:rPr>
        <w:t xml:space="preserve">selling </w:t>
      </w:r>
      <w:r w:rsidR="000E228E" w:rsidRPr="00FF7282">
        <w:rPr>
          <w:rStyle w:val="fontstyle01"/>
          <w:rFonts w:ascii="Arial" w:hAnsi="Arial"/>
        </w:rPr>
        <w:t xml:space="preserve">its assets to satisfy </w:t>
      </w:r>
      <w:r w:rsidR="0026796C" w:rsidRPr="00FF7282">
        <w:rPr>
          <w:rStyle w:val="fontstyle01"/>
          <w:rFonts w:ascii="Arial" w:hAnsi="Arial"/>
        </w:rPr>
        <w:t>creditors' debt</w:t>
      </w:r>
      <w:r w:rsidR="00EA3856" w:rsidRPr="00FF7282">
        <w:rPr>
          <w:rStyle w:val="fontstyle01"/>
          <w:rFonts w:ascii="Arial" w:hAnsi="Arial"/>
        </w:rPr>
        <w:t>s (</w:t>
      </w:r>
      <w:r w:rsidR="002618F4">
        <w:rPr>
          <w:rStyle w:val="fontstyle01"/>
          <w:rFonts w:ascii="Arial" w:hAnsi="Arial"/>
        </w:rPr>
        <w:t xml:space="preserve">Dalakoura, 2017; </w:t>
      </w:r>
      <w:r w:rsidR="00EA3856" w:rsidRPr="00FF7282">
        <w:rPr>
          <w:rFonts w:ascii="Arial" w:hAnsi="Arial" w:cs="Arial"/>
          <w:shd w:val="clear" w:color="auto" w:fill="FFFFFF"/>
        </w:rPr>
        <w:t xml:space="preserve">Declercq, </w:t>
      </w:r>
      <w:r w:rsidR="00C32749" w:rsidRPr="00FF7282">
        <w:rPr>
          <w:rFonts w:ascii="Arial" w:hAnsi="Arial" w:cs="Arial"/>
          <w:shd w:val="clear" w:color="auto" w:fill="FFFFFF"/>
        </w:rPr>
        <w:t>2022</w:t>
      </w:r>
      <w:r w:rsidR="00C32749" w:rsidRPr="00FF7282">
        <w:rPr>
          <w:rStyle w:val="fontstyle01"/>
          <w:rFonts w:ascii="Arial" w:hAnsi="Arial"/>
        </w:rPr>
        <w:t>)</w:t>
      </w:r>
      <w:r w:rsidR="000E228E" w:rsidRPr="00FF7282">
        <w:rPr>
          <w:rStyle w:val="fontstyle01"/>
          <w:rFonts w:ascii="Arial" w:hAnsi="Arial"/>
        </w:rPr>
        <w:t xml:space="preserve">. </w:t>
      </w:r>
      <w:r w:rsidR="00EE2CE3" w:rsidRPr="00FF7282">
        <w:rPr>
          <w:rStyle w:val="fontstyle01"/>
          <w:rFonts w:ascii="Arial" w:hAnsi="Arial"/>
        </w:rPr>
        <w:t xml:space="preserve">Keay and Walton (2008) argued that there are </w:t>
      </w:r>
      <w:r w:rsidR="0026796C" w:rsidRPr="00FF7282">
        <w:rPr>
          <w:rStyle w:val="fontstyle01"/>
          <w:rFonts w:ascii="Arial" w:hAnsi="Arial"/>
        </w:rPr>
        <w:t>various reasons for liquidation, but in most</w:t>
      </w:r>
      <w:r w:rsidR="00EE2CE3" w:rsidRPr="00FF7282">
        <w:rPr>
          <w:rStyle w:val="fontstyle01"/>
          <w:rFonts w:ascii="Arial" w:hAnsi="Arial"/>
        </w:rPr>
        <w:t xml:space="preserve"> cases, liquidation </w:t>
      </w:r>
      <w:r w:rsidR="00EB448D">
        <w:rPr>
          <w:rStyle w:val="fontstyle01"/>
          <w:rFonts w:ascii="Arial" w:hAnsi="Arial"/>
        </w:rPr>
        <w:t>results from</w:t>
      </w:r>
      <w:r w:rsidR="00EE2CE3" w:rsidRPr="00FF7282">
        <w:rPr>
          <w:rStyle w:val="fontstyle01"/>
          <w:rFonts w:ascii="Arial" w:hAnsi="Arial"/>
        </w:rPr>
        <w:t xml:space="preserve"> company insolvency.</w:t>
      </w:r>
      <w:r w:rsidR="00EE2CE3" w:rsidRPr="00FF7282">
        <w:rPr>
          <w:rStyle w:val="FootnoteReference"/>
          <w:rFonts w:ascii="Arial" w:hAnsi="Arial"/>
          <w:color w:val="000000"/>
        </w:rPr>
        <w:footnoteReference w:id="3"/>
      </w:r>
      <w:r w:rsidR="00F94CB4" w:rsidRPr="00FF7282">
        <w:rPr>
          <w:rStyle w:val="fontstyle01"/>
          <w:rFonts w:ascii="Arial" w:hAnsi="Arial"/>
        </w:rPr>
        <w:t xml:space="preserve"> Boraine (2023) defines liquidation as </w:t>
      </w:r>
      <w:r w:rsidR="0026796C" w:rsidRPr="00FF7282">
        <w:rPr>
          <w:rStyle w:val="fontstyle01"/>
          <w:rFonts w:ascii="Arial" w:hAnsi="Arial"/>
        </w:rPr>
        <w:t>"</w:t>
      </w:r>
      <w:r w:rsidR="00F94CB4" w:rsidRPr="00FF7282">
        <w:rPr>
          <w:rStyle w:val="fontstyle01"/>
          <w:rFonts w:ascii="Arial" w:hAnsi="Arial"/>
        </w:rPr>
        <w:t>proceedings to sell and dispose of assets for distribution to creditors in accordance with the insolvency laws</w:t>
      </w:r>
      <w:r w:rsidR="0026796C" w:rsidRPr="00FF7282">
        <w:rPr>
          <w:rStyle w:val="fontstyle01"/>
          <w:rFonts w:ascii="Arial" w:hAnsi="Arial"/>
        </w:rPr>
        <w:t>"</w:t>
      </w:r>
      <w:r w:rsidR="00F94CB4" w:rsidRPr="00FF7282">
        <w:rPr>
          <w:rStyle w:val="fontstyle01"/>
          <w:rFonts w:ascii="Arial" w:hAnsi="Arial"/>
        </w:rPr>
        <w:t xml:space="preserve"> (p. 20). </w:t>
      </w:r>
      <w:r w:rsidR="00EE2CE3" w:rsidRPr="00FF7282">
        <w:rPr>
          <w:rStyle w:val="fontstyle01"/>
          <w:rFonts w:ascii="Arial" w:hAnsi="Arial"/>
        </w:rPr>
        <w:t>Liquidation</w:t>
      </w:r>
      <w:r w:rsidR="00917190" w:rsidRPr="00FF7282">
        <w:rPr>
          <w:rStyle w:val="fontstyle01"/>
          <w:rFonts w:ascii="Arial" w:hAnsi="Arial"/>
        </w:rPr>
        <w:t>s fall in</w:t>
      </w:r>
      <w:r w:rsidR="0026796C" w:rsidRPr="00FF7282">
        <w:rPr>
          <w:rStyle w:val="fontstyle01"/>
          <w:rFonts w:ascii="Arial" w:hAnsi="Arial"/>
        </w:rPr>
        <w:t>to</w:t>
      </w:r>
      <w:r w:rsidR="00917190" w:rsidRPr="00FF7282">
        <w:rPr>
          <w:rStyle w:val="fontstyle01"/>
          <w:rFonts w:ascii="Arial" w:hAnsi="Arial"/>
        </w:rPr>
        <w:t xml:space="preserve"> two major categories. They </w:t>
      </w:r>
      <w:r w:rsidR="00EE2CE3" w:rsidRPr="00FF7282">
        <w:rPr>
          <w:rStyle w:val="fontstyle01"/>
          <w:rFonts w:ascii="Arial" w:hAnsi="Arial"/>
        </w:rPr>
        <w:t>are usually voluntary (where the management sells the assets of a solvent entity) or compulsory liquidation – also known as compulsory winding up (Keay &amp; Walton</w:t>
      </w:r>
      <w:r w:rsidR="002618F4">
        <w:rPr>
          <w:rStyle w:val="fontstyle01"/>
          <w:rFonts w:ascii="Arial" w:hAnsi="Arial"/>
        </w:rPr>
        <w:t xml:space="preserve">, </w:t>
      </w:r>
      <w:r w:rsidR="00EE2CE3" w:rsidRPr="00FF7282">
        <w:rPr>
          <w:rStyle w:val="fontstyle01"/>
          <w:rFonts w:ascii="Arial" w:hAnsi="Arial"/>
        </w:rPr>
        <w:t>2008).</w:t>
      </w:r>
    </w:p>
    <w:p w14:paraId="08208AFA" w14:textId="77777777" w:rsidR="002618F4" w:rsidRPr="002618F4" w:rsidRDefault="003211B7" w:rsidP="002618F4">
      <w:pPr>
        <w:pStyle w:val="ListParagraph"/>
        <w:numPr>
          <w:ilvl w:val="1"/>
          <w:numId w:val="4"/>
        </w:numPr>
        <w:spacing w:after="240" w:line="360" w:lineRule="auto"/>
        <w:ind w:left="1134" w:hanging="567"/>
        <w:contextualSpacing w:val="0"/>
        <w:jc w:val="both"/>
        <w:rPr>
          <w:rFonts w:ascii="Arial" w:hAnsi="Arial"/>
          <w:color w:val="000000"/>
        </w:rPr>
      </w:pPr>
      <w:r w:rsidRPr="00FF7282">
        <w:rPr>
          <w:rStyle w:val="fontstyle01"/>
          <w:rFonts w:ascii="Arial" w:hAnsi="Arial"/>
        </w:rPr>
        <w:t>Restructuring intends to rehabilitate a financially distressed entity to allow the business to continue</w:t>
      </w:r>
      <w:r w:rsidR="00EA3856" w:rsidRPr="00FF7282">
        <w:rPr>
          <w:rStyle w:val="fontstyle01"/>
          <w:rFonts w:ascii="Arial" w:hAnsi="Arial"/>
        </w:rPr>
        <w:t xml:space="preserve"> (</w:t>
      </w:r>
      <w:r w:rsidR="00EA3856" w:rsidRPr="00FF7282">
        <w:rPr>
          <w:rFonts w:ascii="Arial" w:hAnsi="Arial" w:cs="Arial"/>
        </w:rPr>
        <w:t>Baker &amp; McKenzie, 2022</w:t>
      </w:r>
      <w:r w:rsidR="00D950D2" w:rsidRPr="00FF7282">
        <w:rPr>
          <w:rFonts w:ascii="Arial" w:hAnsi="Arial" w:cs="Arial"/>
        </w:rPr>
        <w:t>; Lee, 2011</w:t>
      </w:r>
      <w:r w:rsidR="00EA3856" w:rsidRPr="00FF7282">
        <w:rPr>
          <w:rFonts w:ascii="Arial" w:hAnsi="Arial" w:cs="Arial"/>
        </w:rPr>
        <w:t>)</w:t>
      </w:r>
      <w:r w:rsidRPr="00FF7282">
        <w:rPr>
          <w:rStyle w:val="fontstyle01"/>
          <w:rFonts w:ascii="Arial" w:hAnsi="Arial"/>
        </w:rPr>
        <w:t>. The modification can be in the form of adjusting the capital structure</w:t>
      </w:r>
      <w:r w:rsidR="0026796C" w:rsidRPr="00FF7282">
        <w:rPr>
          <w:rStyle w:val="fontstyle01"/>
          <w:rFonts w:ascii="Arial" w:hAnsi="Arial"/>
        </w:rPr>
        <w:t>,</w:t>
      </w:r>
      <w:r w:rsidRPr="00FF7282">
        <w:rPr>
          <w:rStyle w:val="fontstyle01"/>
          <w:rFonts w:ascii="Arial" w:hAnsi="Arial"/>
        </w:rPr>
        <w:t xml:space="preserve"> operations</w:t>
      </w:r>
      <w:r w:rsidR="0026796C" w:rsidRPr="00FF7282">
        <w:rPr>
          <w:rStyle w:val="fontstyle01"/>
          <w:rFonts w:ascii="Arial" w:hAnsi="Arial"/>
        </w:rPr>
        <w:t>, or</w:t>
      </w:r>
      <w:r w:rsidRPr="00FF7282">
        <w:rPr>
          <w:rStyle w:val="fontstyle01"/>
          <w:rFonts w:ascii="Arial" w:hAnsi="Arial"/>
        </w:rPr>
        <w:t xml:space="preserve"> changing the management </w:t>
      </w:r>
      <w:r w:rsidRPr="00FF7282">
        <w:rPr>
          <w:rFonts w:ascii="Arial" w:hAnsi="Arial" w:cs="Arial"/>
        </w:rPr>
        <w:t>(Adriaanse &amp; Kuijl, 2006; Garrido, 2012; Vidović, 2017)</w:t>
      </w:r>
      <w:r w:rsidRPr="00FF7282">
        <w:rPr>
          <w:rStyle w:val="fontstyle01"/>
          <w:rFonts w:ascii="Arial" w:hAnsi="Arial"/>
        </w:rPr>
        <w:t xml:space="preserve">. </w:t>
      </w:r>
      <w:r w:rsidRPr="00FF7282">
        <w:rPr>
          <w:rFonts w:ascii="Arial" w:hAnsi="Arial" w:cs="Arial"/>
        </w:rPr>
        <w:t>The objective is to restructure the assets and liabilities without judicial intervention (Garrido, 2012; Vidović, 2017). According to Garrido (2012)</w:t>
      </w:r>
      <w:r w:rsidR="002618F4">
        <w:rPr>
          <w:rFonts w:ascii="Arial" w:hAnsi="Arial" w:cs="Arial"/>
        </w:rPr>
        <w:t>:</w:t>
      </w:r>
    </w:p>
    <w:p w14:paraId="429F7852" w14:textId="2998E9AC" w:rsidR="003211B7" w:rsidRPr="002618F4" w:rsidRDefault="003211B7" w:rsidP="00CB7C48">
      <w:pPr>
        <w:spacing w:after="240" w:line="240" w:lineRule="auto"/>
        <w:ind w:left="1701" w:right="992"/>
        <w:jc w:val="both"/>
        <w:rPr>
          <w:rFonts w:ascii="Arial" w:hAnsi="Arial"/>
          <w:color w:val="000000"/>
        </w:rPr>
      </w:pPr>
      <w:r w:rsidRPr="002618F4">
        <w:rPr>
          <w:rFonts w:ascii="Arial" w:hAnsi="Arial" w:cs="Arial"/>
        </w:rPr>
        <w:t xml:space="preserve">Restructuring activities can include measures that restructure the debtor's business (operational restructuring), and measures that restructure the debtor's finances (financial restructuring) (p. 1). </w:t>
      </w:r>
    </w:p>
    <w:p w14:paraId="65F9209F" w14:textId="10D68305" w:rsidR="00D2141B" w:rsidRPr="00FF7282" w:rsidRDefault="002618F4" w:rsidP="002618F4">
      <w:pPr>
        <w:pStyle w:val="ListParagraph"/>
        <w:numPr>
          <w:ilvl w:val="1"/>
          <w:numId w:val="4"/>
        </w:numPr>
        <w:spacing w:after="240" w:line="360" w:lineRule="auto"/>
        <w:ind w:left="1134" w:hanging="567"/>
        <w:contextualSpacing w:val="0"/>
        <w:jc w:val="both"/>
        <w:rPr>
          <w:rFonts w:ascii="Arial" w:hAnsi="Arial"/>
          <w:color w:val="000000"/>
        </w:rPr>
      </w:pPr>
      <w:r w:rsidRPr="000E3937">
        <w:rPr>
          <w:rFonts w:ascii="Arial" w:hAnsi="Arial" w:cs="Arial"/>
        </w:rPr>
        <w:t>T</w:t>
      </w:r>
      <w:r w:rsidR="00D2141B" w:rsidRPr="000E3937">
        <w:rPr>
          <w:rFonts w:ascii="Arial" w:hAnsi="Arial" w:cs="Arial"/>
        </w:rPr>
        <w:t>here are no global rules for insolvency</w:t>
      </w:r>
      <w:r w:rsidR="0026796C" w:rsidRPr="000E3937">
        <w:rPr>
          <w:rFonts w:ascii="Arial" w:hAnsi="Arial" w:cs="Arial"/>
        </w:rPr>
        <w:t>,</w:t>
      </w:r>
      <w:r w:rsidR="00D2141B" w:rsidRPr="000E3937">
        <w:rPr>
          <w:rFonts w:ascii="Arial" w:hAnsi="Arial" w:cs="Arial"/>
        </w:rPr>
        <w:t xml:space="preserve"> and all countries with a developed insolvency system or collective debt-collecting procedure</w:t>
      </w:r>
      <w:r w:rsidR="000E3937" w:rsidRPr="000E3937">
        <w:rPr>
          <w:rFonts w:ascii="Arial" w:hAnsi="Arial" w:cs="Arial"/>
        </w:rPr>
        <w:t xml:space="preserve"> have different rules.</w:t>
      </w:r>
      <w:r w:rsidR="00D2141B" w:rsidRPr="000E3937">
        <w:rPr>
          <w:rFonts w:ascii="Arial" w:hAnsi="Arial" w:cs="Arial"/>
        </w:rPr>
        <w:t xml:space="preserve"> </w:t>
      </w:r>
      <w:r w:rsidR="008D5CA0" w:rsidRPr="000E3937">
        <w:rPr>
          <w:rFonts w:ascii="Arial" w:hAnsi="Arial" w:cs="Arial"/>
        </w:rPr>
        <w:t>(</w:t>
      </w:r>
      <w:r w:rsidRPr="000E3937">
        <w:rPr>
          <w:rFonts w:ascii="Arial" w:hAnsi="Arial" w:cs="Arial"/>
        </w:rPr>
        <w:t xml:space="preserve">Baker &amp; McKenzie, 2022; </w:t>
      </w:r>
      <w:r w:rsidR="00D2141B" w:rsidRPr="000E3937">
        <w:rPr>
          <w:rFonts w:ascii="Arial" w:hAnsi="Arial" w:cs="Arial"/>
        </w:rPr>
        <w:t>Boraine, 2023).</w:t>
      </w:r>
      <w:r w:rsidR="00D2141B" w:rsidRPr="00FF7282">
        <w:rPr>
          <w:rFonts w:ascii="Arial" w:hAnsi="Arial" w:cs="Arial"/>
        </w:rPr>
        <w:t xml:space="preserve"> However, various attempts continue to harmonize the different insolvency systems. Academics, international courts, and international bodies such as the United Nations Commission on International Trade Law [UNCITRAL] and the World Bank are continuous in their efforts to deal with transnational insolvency issues (Boraine, 2023</w:t>
      </w:r>
      <w:r w:rsidR="008D5CA0" w:rsidRPr="00FF7282">
        <w:rPr>
          <w:rFonts w:ascii="Arial" w:hAnsi="Arial" w:cs="Arial"/>
        </w:rPr>
        <w:t>; Declercq, 2022</w:t>
      </w:r>
      <w:r w:rsidR="00D2141B" w:rsidRPr="00FF7282">
        <w:rPr>
          <w:rFonts w:ascii="Arial" w:hAnsi="Arial" w:cs="Arial"/>
        </w:rPr>
        <w:t>).</w:t>
      </w:r>
    </w:p>
    <w:p w14:paraId="33476710" w14:textId="58656A27" w:rsidR="0084370F" w:rsidRDefault="0084370F" w:rsidP="002618F4">
      <w:pPr>
        <w:pStyle w:val="Heading2"/>
        <w:numPr>
          <w:ilvl w:val="0"/>
          <w:numId w:val="3"/>
        </w:numPr>
        <w:spacing w:after="120"/>
        <w:ind w:left="357" w:hanging="357"/>
        <w:jc w:val="both"/>
        <w:rPr>
          <w:rFonts w:ascii="Arial" w:hAnsi="Arial" w:cs="Arial"/>
          <w:b/>
          <w:bCs/>
          <w:color w:val="auto"/>
          <w:sz w:val="22"/>
          <w:szCs w:val="22"/>
        </w:rPr>
      </w:pPr>
      <w:bookmarkStart w:id="4" w:name="_Toc139194176"/>
      <w:r w:rsidRPr="00FF7282">
        <w:rPr>
          <w:rFonts w:ascii="Arial" w:hAnsi="Arial" w:cs="Arial"/>
          <w:b/>
          <w:bCs/>
          <w:color w:val="auto"/>
          <w:sz w:val="22"/>
          <w:szCs w:val="22"/>
        </w:rPr>
        <w:t>Liquidations in The UK</w:t>
      </w:r>
      <w:bookmarkEnd w:id="4"/>
    </w:p>
    <w:p w14:paraId="17366BA9" w14:textId="77777777" w:rsidR="00155525" w:rsidRDefault="00155525" w:rsidP="00155525">
      <w:pPr>
        <w:pStyle w:val="NormalWeb"/>
        <w:numPr>
          <w:ilvl w:val="1"/>
          <w:numId w:val="23"/>
        </w:numPr>
        <w:spacing w:before="0" w:beforeAutospacing="0" w:after="240" w:afterAutospacing="0" w:line="360" w:lineRule="auto"/>
        <w:ind w:left="1134" w:hanging="567"/>
        <w:jc w:val="both"/>
        <w:rPr>
          <w:rFonts w:ascii="Arial" w:eastAsiaTheme="minorHAnsi" w:hAnsi="Arial" w:cs="Arial"/>
          <w:kern w:val="2"/>
          <w:sz w:val="22"/>
          <w:szCs w:val="22"/>
          <w14:ligatures w14:val="standardContextual"/>
        </w:rPr>
      </w:pPr>
      <w:r w:rsidRPr="00155525">
        <w:rPr>
          <w:rFonts w:ascii="Arial" w:hAnsi="Arial" w:cs="Arial"/>
          <w:color w:val="343541"/>
          <w:sz w:val="22"/>
          <w:szCs w:val="22"/>
        </w:rPr>
        <w:t>Liquidation refers to selling a company's assets to pay off its debts (</w:t>
      </w:r>
      <w:r w:rsidRPr="00155525">
        <w:rPr>
          <w:rFonts w:cs="Arial"/>
          <w:color w:val="343541"/>
        </w:rPr>
        <w:t>Dalakoura,</w:t>
      </w:r>
      <w:r>
        <w:rPr>
          <w:rStyle w:val="fontstyle01"/>
          <w:rFonts w:ascii="Arial" w:hAnsi="Arial"/>
        </w:rPr>
        <w:t xml:space="preserve"> 2017; </w:t>
      </w:r>
      <w:r w:rsidRPr="00FF7282">
        <w:rPr>
          <w:rFonts w:ascii="Arial" w:hAnsi="Arial" w:cs="Arial"/>
          <w:shd w:val="clear" w:color="auto" w:fill="FFFFFF"/>
        </w:rPr>
        <w:t>Declercq, 2022</w:t>
      </w:r>
      <w:r>
        <w:rPr>
          <w:rFonts w:ascii="Arial" w:hAnsi="Arial" w:cs="Arial"/>
          <w:shd w:val="clear" w:color="auto" w:fill="FFFFFF"/>
        </w:rPr>
        <w:t xml:space="preserve">; </w:t>
      </w:r>
      <w:r w:rsidRPr="00FF7282">
        <w:rPr>
          <w:rFonts w:ascii="Arial" w:eastAsiaTheme="minorHAnsi" w:hAnsi="Arial" w:cs="Arial"/>
          <w:kern w:val="2"/>
          <w:sz w:val="22"/>
          <w:szCs w:val="22"/>
          <w14:ligatures w14:val="standardContextual"/>
        </w:rPr>
        <w:t>Keay &amp; Walton, 2008). In the UK, liquidation of Companies falls under the Companies Act 2006, the Insolvency Act 1986 (as amended), the Insolvency Rules 1986 (as amended), the Insolvency Act 2000, the Enterprise Act 2002, the Insolvency (England and Wales) Rules 2016, the Corporate Insolvency and Governance Act 2020, and the Insolvency (England and Wales) (No. 2) (Amendment) Rules 2021, (Gov.UK, 2023). This paper will emphasize the Insolvency Act 2000, Enterprise Act 2002, and the Corporate and Insolvency Governance Act 2020. As a result of Covid 19,</w:t>
      </w:r>
      <w:r>
        <w:rPr>
          <w:rStyle w:val="FootnoteReference"/>
          <w:rFonts w:ascii="Arial" w:eastAsiaTheme="minorHAnsi" w:hAnsi="Arial" w:cs="Arial"/>
          <w:kern w:val="2"/>
          <w:sz w:val="22"/>
          <w:szCs w:val="22"/>
          <w14:ligatures w14:val="standardContextual"/>
        </w:rPr>
        <w:footnoteReference w:id="4"/>
      </w:r>
      <w:r w:rsidRPr="00FF7282">
        <w:rPr>
          <w:rFonts w:ascii="Arial" w:eastAsiaTheme="minorHAnsi" w:hAnsi="Arial" w:cs="Arial"/>
          <w:kern w:val="2"/>
          <w:sz w:val="22"/>
          <w:szCs w:val="22"/>
          <w14:ligatures w14:val="standardContextual"/>
        </w:rPr>
        <w:t xml:space="preserve"> the Corporate and Insolvency Governance Act 2020 introduced various reforms, including a new restructuring and moratorium plans (Boraine, 2023). The Insolvency (England and Wales) Rule 2016 summarizes the rules that apply to moratoria, voluntary company arrangements (CVA), administration, receivers, and voluntary and compulsory liquidations (Gov.UK 2023; Payne, 2018).</w:t>
      </w:r>
    </w:p>
    <w:p w14:paraId="29AD6901" w14:textId="77777777" w:rsidR="00155525" w:rsidRPr="002327D9" w:rsidRDefault="00155525" w:rsidP="00155525">
      <w:pPr>
        <w:pStyle w:val="ListParagraph"/>
        <w:numPr>
          <w:ilvl w:val="1"/>
          <w:numId w:val="23"/>
        </w:numPr>
        <w:spacing w:after="240" w:line="360" w:lineRule="auto"/>
        <w:ind w:left="1134" w:hanging="567"/>
        <w:jc w:val="both"/>
        <w:rPr>
          <w:rFonts w:ascii="Arial" w:hAnsi="Arial" w:cs="Arial"/>
        </w:rPr>
      </w:pPr>
      <w:r w:rsidRPr="002327D9">
        <w:rPr>
          <w:rFonts w:ascii="Arial" w:hAnsi="Arial" w:cs="Arial"/>
        </w:rPr>
        <w:t>While liquidation is a legal option, the creditors may find that their recovery is less than optimal and may seek to use a restructuring or reorganizing option (Adriaanse &amp; Kuijl, 2006; Bracewell &amp; Giuliani, 2012). In Bluebrook Ltd.; re IMO (UK) Ltd [2009] EWHC 2114 (Ch)</w:t>
      </w:r>
      <w:r w:rsidRPr="002327D9">
        <w:footnoteReference w:id="5"/>
      </w:r>
      <w:r w:rsidRPr="002327D9">
        <w:rPr>
          <w:rFonts w:ascii="Arial" w:hAnsi="Arial" w:cs="Arial"/>
        </w:rPr>
        <w:t>, the UK High Court considered whether to sanction a scheme. This case concerned a consolidated company that was judged to be economically viable. The directors decided that a rescue and rehabilitation of the group, rather than liquidation, was planned. However, the group's assets were considered insufficient to pay the senior lender's debts, and the subordinate claims of the junior creditors would receive nothing on liquidation. Therefore, a restructuring was more appropriate for the stakeholders (Payne, 2018).</w:t>
      </w:r>
    </w:p>
    <w:p w14:paraId="61319F76" w14:textId="502E23D5" w:rsidR="0084370F" w:rsidRPr="00FF7282" w:rsidRDefault="00756D96" w:rsidP="00155525">
      <w:pPr>
        <w:pStyle w:val="Heading2"/>
        <w:numPr>
          <w:ilvl w:val="0"/>
          <w:numId w:val="22"/>
        </w:numPr>
        <w:spacing w:after="120"/>
        <w:jc w:val="both"/>
        <w:rPr>
          <w:rFonts w:ascii="Arial" w:hAnsi="Arial" w:cs="Arial"/>
          <w:b/>
          <w:bCs/>
          <w:color w:val="auto"/>
          <w:sz w:val="22"/>
          <w:szCs w:val="22"/>
        </w:rPr>
      </w:pPr>
      <w:bookmarkStart w:id="5" w:name="_Toc139194177"/>
      <w:r w:rsidRPr="00FF7282">
        <w:rPr>
          <w:rFonts w:ascii="Arial" w:hAnsi="Arial" w:cs="Arial"/>
          <w:b/>
          <w:bCs/>
          <w:color w:val="auto"/>
          <w:sz w:val="22"/>
          <w:szCs w:val="22"/>
        </w:rPr>
        <w:t>Restructuring in the UK</w:t>
      </w:r>
      <w:bookmarkEnd w:id="5"/>
    </w:p>
    <w:p w14:paraId="563E2F18" w14:textId="7DC1CE88" w:rsidR="00C96098" w:rsidRPr="002327D9" w:rsidRDefault="00C96098"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color w:val="000000"/>
        </w:rPr>
        <w:t>There is increased recognition that well</w:t>
      </w:r>
      <w:r w:rsidR="0026796C" w:rsidRPr="00FF7282">
        <w:rPr>
          <w:rFonts w:ascii="Arial" w:hAnsi="Arial" w:cs="Arial"/>
          <w:color w:val="000000"/>
        </w:rPr>
        <w:t>-</w:t>
      </w:r>
      <w:r w:rsidRPr="00FF7282">
        <w:rPr>
          <w:rFonts w:ascii="Arial" w:hAnsi="Arial" w:cs="Arial"/>
          <w:color w:val="000000"/>
        </w:rPr>
        <w:t>developed economies</w:t>
      </w:r>
      <w:r w:rsidR="0026796C" w:rsidRPr="00FF7282">
        <w:rPr>
          <w:rFonts w:ascii="Arial" w:hAnsi="Arial" w:cs="Arial"/>
          <w:color w:val="000000"/>
        </w:rPr>
        <w:t>,</w:t>
      </w:r>
      <w:r w:rsidRPr="00FF7282">
        <w:rPr>
          <w:rFonts w:ascii="Arial" w:hAnsi="Arial" w:cs="Arial"/>
          <w:color w:val="000000"/>
        </w:rPr>
        <w:t xml:space="preserve"> especially those participating in global </w:t>
      </w:r>
      <w:r w:rsidR="00B554EF" w:rsidRPr="00FF7282">
        <w:rPr>
          <w:rFonts w:ascii="Arial" w:hAnsi="Arial" w:cs="Arial"/>
          <w:color w:val="000000"/>
        </w:rPr>
        <w:t>business</w:t>
      </w:r>
      <w:r w:rsidR="0026796C" w:rsidRPr="00FF7282">
        <w:rPr>
          <w:rFonts w:ascii="Arial" w:hAnsi="Arial" w:cs="Arial"/>
          <w:color w:val="000000"/>
        </w:rPr>
        <w:t>,</w:t>
      </w:r>
      <w:r w:rsidRPr="00FF7282">
        <w:rPr>
          <w:rFonts w:ascii="Arial" w:hAnsi="Arial" w:cs="Arial"/>
          <w:color w:val="000000"/>
        </w:rPr>
        <w:t xml:space="preserve"> </w:t>
      </w:r>
      <w:r w:rsidR="002618F4">
        <w:rPr>
          <w:rFonts w:ascii="Arial" w:hAnsi="Arial" w:cs="Arial"/>
          <w:color w:val="000000"/>
        </w:rPr>
        <w:t>should maintain</w:t>
      </w:r>
      <w:r w:rsidRPr="00FF7282">
        <w:rPr>
          <w:rFonts w:ascii="Arial" w:hAnsi="Arial" w:cs="Arial"/>
          <w:color w:val="000000"/>
        </w:rPr>
        <w:t xml:space="preserve"> an effective mechanism enabling the rescue of distressed but viable businesses (</w:t>
      </w:r>
      <w:r w:rsidRPr="00FF7282">
        <w:rPr>
          <w:rFonts w:ascii="Arial" w:hAnsi="Arial" w:cs="Arial"/>
        </w:rPr>
        <w:t xml:space="preserve">Adriaanse &amp; Kuijl, 2006; Dick, 2021; Garrido, 2012; </w:t>
      </w:r>
      <w:r w:rsidRPr="00FF7282">
        <w:rPr>
          <w:rFonts w:ascii="Arial" w:hAnsi="Arial" w:cs="Arial"/>
          <w:color w:val="000000"/>
        </w:rPr>
        <w:t xml:space="preserve">Payne, 2018; </w:t>
      </w:r>
      <w:r w:rsidRPr="00FF7282">
        <w:rPr>
          <w:rFonts w:ascii="Arial" w:hAnsi="Arial" w:cs="Arial"/>
          <w:shd w:val="clear" w:color="auto" w:fill="FFFFFF"/>
        </w:rPr>
        <w:t>Vidović, 2017)</w:t>
      </w:r>
      <w:r w:rsidRPr="00FF7282">
        <w:rPr>
          <w:rFonts w:ascii="Arial" w:hAnsi="Arial" w:cs="Arial"/>
          <w:color w:val="000000"/>
        </w:rPr>
        <w:t>. For such businesses, a sale to a new owner in a liquidation process will not always be desirable, particularly when the capital markets are illiquid (</w:t>
      </w:r>
      <w:r w:rsidR="002618F4" w:rsidRPr="00FF7282">
        <w:rPr>
          <w:rFonts w:ascii="Arial" w:hAnsi="Arial" w:cs="Arial"/>
        </w:rPr>
        <w:t>Dick, 2021</w:t>
      </w:r>
      <w:r w:rsidR="002618F4">
        <w:rPr>
          <w:rFonts w:ascii="Arial" w:hAnsi="Arial" w:cs="Arial"/>
        </w:rPr>
        <w:t xml:space="preserve">; </w:t>
      </w:r>
      <w:r w:rsidRPr="00FF7282">
        <w:rPr>
          <w:rFonts w:ascii="Arial" w:hAnsi="Arial" w:cs="Arial"/>
          <w:color w:val="000000"/>
        </w:rPr>
        <w:t xml:space="preserve">Payne, 2018). In such circumstances, </w:t>
      </w:r>
      <w:r w:rsidR="0026796C" w:rsidRPr="002327D9">
        <w:rPr>
          <w:rFonts w:ascii="Arial" w:hAnsi="Arial" w:cs="Arial"/>
        </w:rPr>
        <w:t xml:space="preserve">rescuing and rehabilitating a company is preferable </w:t>
      </w:r>
      <w:r w:rsidR="00EB448D" w:rsidRPr="002327D9">
        <w:rPr>
          <w:rFonts w:ascii="Arial" w:hAnsi="Arial" w:cs="Arial"/>
        </w:rPr>
        <w:t>to</w:t>
      </w:r>
      <w:r w:rsidR="0026796C" w:rsidRPr="002327D9">
        <w:rPr>
          <w:rFonts w:ascii="Arial" w:hAnsi="Arial" w:cs="Arial"/>
        </w:rPr>
        <w:t xml:space="preserve"> immediately liquidating</w:t>
      </w:r>
      <w:r w:rsidRPr="002327D9">
        <w:rPr>
          <w:rFonts w:ascii="Arial" w:hAnsi="Arial" w:cs="Arial"/>
        </w:rPr>
        <w:t>. It has been argued that modern businesses typically have more value as going concerns</w:t>
      </w:r>
      <w:r w:rsidRPr="002327D9">
        <w:rPr>
          <w:rStyle w:val="FootnoteReference"/>
          <w:rFonts w:ascii="Arial" w:hAnsi="Arial" w:cs="Arial"/>
        </w:rPr>
        <w:footnoteReference w:id="6"/>
      </w:r>
      <w:r w:rsidRPr="002327D9">
        <w:rPr>
          <w:rFonts w:ascii="Arial" w:hAnsi="Arial" w:cs="Arial"/>
        </w:rPr>
        <w:t xml:space="preserve">. </w:t>
      </w:r>
    </w:p>
    <w:p w14:paraId="7DAD75CB" w14:textId="78138DAA" w:rsidR="00B7457D" w:rsidRPr="002327D9" w:rsidRDefault="00B7457D" w:rsidP="002618F4">
      <w:pPr>
        <w:pStyle w:val="ListParagraph"/>
        <w:numPr>
          <w:ilvl w:val="1"/>
          <w:numId w:val="13"/>
        </w:numPr>
        <w:shd w:val="clear" w:color="auto" w:fill="FFFFFF"/>
        <w:spacing w:after="240" w:line="360" w:lineRule="auto"/>
        <w:ind w:left="1134" w:hanging="567"/>
        <w:contextualSpacing w:val="0"/>
        <w:jc w:val="both"/>
        <w:textAlignment w:val="baseline"/>
        <w:rPr>
          <w:rFonts w:ascii="Arial" w:hAnsi="Arial" w:cs="Arial"/>
        </w:rPr>
      </w:pPr>
      <w:r w:rsidRPr="002327D9">
        <w:rPr>
          <w:rFonts w:ascii="Arial" w:hAnsi="Arial" w:cs="Arial"/>
        </w:rPr>
        <w:t xml:space="preserve">In the UK, </w:t>
      </w:r>
      <w:r w:rsidR="002618F4" w:rsidRPr="002327D9">
        <w:rPr>
          <w:rFonts w:ascii="Arial" w:hAnsi="Arial" w:cs="Arial"/>
        </w:rPr>
        <w:t>t</w:t>
      </w:r>
      <w:r w:rsidRPr="002327D9">
        <w:rPr>
          <w:rFonts w:ascii="Arial" w:hAnsi="Arial" w:cs="Arial"/>
        </w:rPr>
        <w:t>he current statutory provisions regarding English schemes form a part of Part 26 Companies Act 2006</w:t>
      </w:r>
      <w:r w:rsidRPr="002327D9">
        <w:rPr>
          <w:rStyle w:val="FootnoteReference"/>
          <w:rFonts w:ascii="Arial" w:hAnsi="Arial" w:cs="Arial"/>
        </w:rPr>
        <w:footnoteReference w:id="7"/>
      </w:r>
      <w:r w:rsidRPr="002327D9">
        <w:rPr>
          <w:rFonts w:ascii="Arial" w:hAnsi="Arial" w:cs="Arial"/>
        </w:rPr>
        <w:t xml:space="preserve"> (</w:t>
      </w:r>
      <w:r w:rsidR="002618F4" w:rsidRPr="002327D9">
        <w:rPr>
          <w:rFonts w:ascii="Arial" w:hAnsi="Arial" w:cs="Arial"/>
        </w:rPr>
        <w:t xml:space="preserve">Gov.UK, 2023; </w:t>
      </w:r>
      <w:r w:rsidRPr="002327D9">
        <w:rPr>
          <w:rFonts w:ascii="Arial" w:hAnsi="Arial" w:cs="Arial"/>
        </w:rPr>
        <w:t>Payne, 2013). The scheme of arrangement is defined in Section 895 as a compromise or arrangement between a company and its creditors, any class of them, its members, or any class of them (Payne, 2013). The subject</w:t>
      </w:r>
      <w:r w:rsidR="0026796C" w:rsidRPr="002327D9">
        <w:rPr>
          <w:rFonts w:ascii="Arial" w:hAnsi="Arial" w:cs="Arial"/>
        </w:rPr>
        <w:t xml:space="preserve"> </w:t>
      </w:r>
      <w:r w:rsidRPr="002327D9">
        <w:rPr>
          <w:rFonts w:ascii="Arial" w:hAnsi="Arial" w:cs="Arial"/>
        </w:rPr>
        <w:t xml:space="preserve">matter of </w:t>
      </w:r>
      <w:r w:rsidR="00613B84" w:rsidRPr="002327D9">
        <w:rPr>
          <w:rFonts w:ascii="Arial" w:hAnsi="Arial" w:cs="Arial"/>
        </w:rPr>
        <w:t>the scheme</w:t>
      </w:r>
      <w:r w:rsidRPr="002327D9">
        <w:rPr>
          <w:rFonts w:ascii="Arial" w:hAnsi="Arial" w:cs="Arial"/>
        </w:rPr>
        <w:t xml:space="preserve"> is not prescribed in the Companies Act 2006. Therefore, a company can use a scheme to </w:t>
      </w:r>
      <w:r w:rsidR="0026796C" w:rsidRPr="002327D9">
        <w:rPr>
          <w:rFonts w:ascii="Arial" w:hAnsi="Arial" w:cs="Arial"/>
        </w:rPr>
        <w:t>a</w:t>
      </w:r>
      <w:r w:rsidRPr="002327D9">
        <w:rPr>
          <w:rFonts w:ascii="Arial" w:hAnsi="Arial" w:cs="Arial"/>
        </w:rPr>
        <w:t xml:space="preserve">ffect almost any internal </w:t>
      </w:r>
      <w:r w:rsidR="0026796C" w:rsidRPr="002327D9">
        <w:rPr>
          <w:rFonts w:ascii="Arial" w:hAnsi="Arial" w:cs="Arial"/>
        </w:rPr>
        <w:t>equity or debt capital reorganization</w:t>
      </w:r>
      <w:r w:rsidRPr="002327D9">
        <w:rPr>
          <w:rFonts w:ascii="Arial" w:hAnsi="Arial" w:cs="Arial"/>
        </w:rPr>
        <w:t>.</w:t>
      </w:r>
    </w:p>
    <w:p w14:paraId="16EA56AB" w14:textId="6BD790DA" w:rsidR="00F302C5" w:rsidRPr="002327D9" w:rsidRDefault="00F302C5" w:rsidP="002618F4">
      <w:pPr>
        <w:pStyle w:val="ListParagraph"/>
        <w:numPr>
          <w:ilvl w:val="1"/>
          <w:numId w:val="13"/>
        </w:numPr>
        <w:spacing w:after="240" w:line="360" w:lineRule="auto"/>
        <w:ind w:left="1134" w:hanging="567"/>
        <w:contextualSpacing w:val="0"/>
        <w:jc w:val="both"/>
        <w:rPr>
          <w:rFonts w:ascii="Arial" w:hAnsi="Arial" w:cs="Arial"/>
        </w:rPr>
      </w:pPr>
      <w:r w:rsidRPr="002327D9">
        <w:rPr>
          <w:rFonts w:ascii="Arial" w:hAnsi="Arial" w:cs="Arial"/>
        </w:rPr>
        <w:t xml:space="preserve">Traditionally, </w:t>
      </w:r>
      <w:r w:rsidR="0026796C" w:rsidRPr="002327D9">
        <w:rPr>
          <w:rFonts w:ascii="Arial" w:hAnsi="Arial" w:cs="Arial"/>
        </w:rPr>
        <w:t>four stand-alone options were available in the UK to</w:t>
      </w:r>
      <w:r w:rsidRPr="002327D9">
        <w:rPr>
          <w:rFonts w:ascii="Arial" w:hAnsi="Arial" w:cs="Arial"/>
        </w:rPr>
        <w:t xml:space="preserve"> distressed companies seeking to restructure debt (Payne, 2018). These include a contractual workout, a Company Voluntary Arrangement (CVA), a scheme of </w:t>
      </w:r>
      <w:r w:rsidR="0026796C" w:rsidRPr="002327D9">
        <w:rPr>
          <w:rFonts w:ascii="Arial" w:hAnsi="Arial" w:cs="Arial"/>
        </w:rPr>
        <w:t xml:space="preserve">the </w:t>
      </w:r>
      <w:r w:rsidRPr="002327D9">
        <w:rPr>
          <w:rFonts w:ascii="Arial" w:hAnsi="Arial" w:cs="Arial"/>
        </w:rPr>
        <w:t xml:space="preserve">arrangement, and administration (Gov.UK, 2023; Payne, 2018). There are advantages and disadvantages to each of these options. Additionally, </w:t>
      </w:r>
      <w:r w:rsidR="0026796C" w:rsidRPr="002327D9">
        <w:rPr>
          <w:rFonts w:ascii="Arial" w:hAnsi="Arial" w:cs="Arial"/>
        </w:rPr>
        <w:t xml:space="preserve">combining these </w:t>
      </w:r>
      <w:r w:rsidR="00EB448D" w:rsidRPr="002327D9">
        <w:rPr>
          <w:rFonts w:ascii="Arial" w:hAnsi="Arial" w:cs="Arial"/>
        </w:rPr>
        <w:t>options is common to maximize several</w:t>
      </w:r>
      <w:r w:rsidR="0026796C" w:rsidRPr="002327D9">
        <w:rPr>
          <w:rFonts w:ascii="Arial" w:hAnsi="Arial" w:cs="Arial"/>
        </w:rPr>
        <w:t xml:space="preserve"> advantage</w:t>
      </w:r>
      <w:r w:rsidRPr="002327D9">
        <w:rPr>
          <w:rFonts w:ascii="Arial" w:hAnsi="Arial" w:cs="Arial"/>
        </w:rPr>
        <w:t>s (</w:t>
      </w:r>
      <w:r w:rsidR="00B7457D" w:rsidRPr="002327D9">
        <w:rPr>
          <w:rFonts w:ascii="Arial" w:hAnsi="Arial" w:cs="Arial"/>
        </w:rPr>
        <w:t xml:space="preserve">Payne, 2013; </w:t>
      </w:r>
      <w:r w:rsidRPr="002327D9">
        <w:rPr>
          <w:rFonts w:ascii="Arial" w:hAnsi="Arial" w:cs="Arial"/>
        </w:rPr>
        <w:t>Payne, 2018).</w:t>
      </w:r>
    </w:p>
    <w:p w14:paraId="059DFF81" w14:textId="0AF2E633" w:rsidR="00C96098" w:rsidRPr="00FF7282" w:rsidRDefault="00F302C5" w:rsidP="002618F4">
      <w:pPr>
        <w:pStyle w:val="ListParagraph"/>
        <w:numPr>
          <w:ilvl w:val="1"/>
          <w:numId w:val="13"/>
        </w:numPr>
        <w:spacing w:after="240" w:line="360" w:lineRule="auto"/>
        <w:ind w:left="1134" w:hanging="567"/>
        <w:contextualSpacing w:val="0"/>
        <w:jc w:val="both"/>
        <w:rPr>
          <w:rFonts w:ascii="Arial" w:hAnsi="Arial" w:cs="Arial"/>
          <w:color w:val="000000"/>
        </w:rPr>
      </w:pPr>
      <w:r w:rsidRPr="002327D9">
        <w:rPr>
          <w:rFonts w:ascii="Arial" w:hAnsi="Arial" w:cs="Arial"/>
        </w:rPr>
        <w:t>There have been some recent movements for further reform of these mechanisms. These reforms suggest a new restructuring plan, changes to the rules for a moratorium, the suspension of liquidation petitions, and the moderation of the rules surrounding wrongful trading liability (Boraine, 2023).</w:t>
      </w:r>
      <w:r w:rsidR="00462C41" w:rsidRPr="002327D9">
        <w:rPr>
          <w:rFonts w:ascii="Arial" w:hAnsi="Arial" w:cs="Arial"/>
        </w:rPr>
        <w:t xml:space="preserve"> Contractual workouts </w:t>
      </w:r>
      <w:r w:rsidR="00462C41" w:rsidRPr="00FF7282">
        <w:rPr>
          <w:rFonts w:ascii="Arial" w:hAnsi="Arial" w:cs="Arial"/>
          <w:color w:val="000000"/>
        </w:rPr>
        <w:t>and CVAs, for example, do not provide for a moratorium against creditor actions, while the CVA allow</w:t>
      </w:r>
      <w:r w:rsidR="00490928" w:rsidRPr="00FF7282">
        <w:rPr>
          <w:rFonts w:ascii="Arial" w:hAnsi="Arial" w:cs="Arial"/>
          <w:color w:val="000000"/>
        </w:rPr>
        <w:t>s</w:t>
      </w:r>
      <w:r w:rsidR="00462C41" w:rsidRPr="00FF7282">
        <w:rPr>
          <w:rFonts w:ascii="Arial" w:hAnsi="Arial" w:cs="Arial"/>
          <w:color w:val="000000"/>
        </w:rPr>
        <w:t xml:space="preserve"> for a limited cramdown.</w:t>
      </w:r>
      <w:r w:rsidR="00462C41" w:rsidRPr="00FF7282">
        <w:rPr>
          <w:rStyle w:val="FootnoteReference"/>
          <w:rFonts w:ascii="Arial" w:hAnsi="Arial" w:cs="Arial"/>
          <w:color w:val="000000"/>
        </w:rPr>
        <w:footnoteReference w:id="8"/>
      </w:r>
    </w:p>
    <w:p w14:paraId="2AC963A5" w14:textId="300F00C0" w:rsidR="00B9213D" w:rsidRPr="00FF7282" w:rsidRDefault="00B9213D" w:rsidP="002618F4">
      <w:pPr>
        <w:pStyle w:val="ListParagraph"/>
        <w:numPr>
          <w:ilvl w:val="1"/>
          <w:numId w:val="13"/>
        </w:numPr>
        <w:spacing w:after="240" w:line="360" w:lineRule="auto"/>
        <w:ind w:left="1134" w:hanging="567"/>
        <w:contextualSpacing w:val="0"/>
        <w:jc w:val="both"/>
        <w:rPr>
          <w:rFonts w:ascii="Arial" w:eastAsia="Times New Roman" w:hAnsi="Arial" w:cs="Arial"/>
          <w:kern w:val="0"/>
          <w14:ligatures w14:val="none"/>
        </w:rPr>
      </w:pPr>
      <w:r w:rsidRPr="00FF7282">
        <w:rPr>
          <w:rFonts w:ascii="Arial" w:eastAsia="Times New Roman" w:hAnsi="Arial" w:cs="Arial"/>
          <w:kern w:val="0"/>
          <w14:ligatures w14:val="none"/>
        </w:rPr>
        <w:t>This paper will focus on schemes of arrangement and administration, two of the most used and successful tools utilized in the UK to facilitate corporate rescues and reorganizations</w:t>
      </w:r>
      <w:r w:rsidR="00B554EF" w:rsidRPr="00FF7282">
        <w:rPr>
          <w:rFonts w:ascii="Arial" w:eastAsia="Times New Roman" w:hAnsi="Arial" w:cs="Arial"/>
          <w:kern w:val="0"/>
          <w14:ligatures w14:val="none"/>
        </w:rPr>
        <w:t xml:space="preserve"> </w:t>
      </w:r>
      <w:r w:rsidR="00B554EF" w:rsidRPr="00FF7282">
        <w:rPr>
          <w:rFonts w:ascii="Arial" w:hAnsi="Arial" w:cs="Arial"/>
          <w:color w:val="000000"/>
        </w:rPr>
        <w:t>(Boraine, 2023).</w:t>
      </w:r>
      <w:r w:rsidRPr="00FF7282">
        <w:rPr>
          <w:rFonts w:ascii="Arial" w:eastAsia="Times New Roman" w:hAnsi="Arial" w:cs="Arial"/>
          <w:kern w:val="0"/>
          <w14:ligatures w14:val="none"/>
        </w:rPr>
        <w:t xml:space="preserve"> Case studies provide practical insights into the UK restructuring process.</w:t>
      </w:r>
    </w:p>
    <w:p w14:paraId="2062BC48" w14:textId="2A9B24BD" w:rsidR="009E30CB" w:rsidRPr="000E3937" w:rsidRDefault="00D9100C" w:rsidP="002618F4">
      <w:pPr>
        <w:pStyle w:val="ListParagraph"/>
        <w:numPr>
          <w:ilvl w:val="1"/>
          <w:numId w:val="13"/>
        </w:numPr>
        <w:spacing w:after="240" w:line="360" w:lineRule="auto"/>
        <w:ind w:left="1134" w:hanging="567"/>
        <w:contextualSpacing w:val="0"/>
        <w:jc w:val="both"/>
        <w:rPr>
          <w:rFonts w:ascii="Arial" w:hAnsi="Arial" w:cs="Arial"/>
          <w:color w:val="000000"/>
        </w:rPr>
      </w:pPr>
      <w:r w:rsidRPr="00FF7282">
        <w:rPr>
          <w:rFonts w:ascii="Arial" w:hAnsi="Arial" w:cs="Arial"/>
          <w:color w:val="000000"/>
        </w:rPr>
        <w:t>For a significant period,</w:t>
      </w:r>
      <w:r w:rsidR="006D6780" w:rsidRPr="00FF7282">
        <w:rPr>
          <w:rFonts w:ascii="Arial" w:hAnsi="Arial" w:cs="Arial"/>
          <w:color w:val="000000"/>
        </w:rPr>
        <w:t xml:space="preserve"> </w:t>
      </w:r>
      <w:r w:rsidRPr="00FF7282">
        <w:rPr>
          <w:rFonts w:ascii="Arial" w:hAnsi="Arial" w:cs="Arial"/>
          <w:color w:val="000000"/>
        </w:rPr>
        <w:t>t</w:t>
      </w:r>
      <w:r w:rsidR="009E30CB" w:rsidRPr="00FF7282">
        <w:rPr>
          <w:rFonts w:ascii="Arial" w:hAnsi="Arial" w:cs="Arial"/>
          <w:color w:val="000000"/>
        </w:rPr>
        <w:t>he use of corporate schemes of arrangement ha</w:t>
      </w:r>
      <w:r w:rsidR="0026796C" w:rsidRPr="00FF7282">
        <w:rPr>
          <w:rFonts w:ascii="Arial" w:hAnsi="Arial" w:cs="Arial"/>
          <w:color w:val="000000"/>
        </w:rPr>
        <w:t>s</w:t>
      </w:r>
      <w:r w:rsidR="009E30CB" w:rsidRPr="00FF7282">
        <w:rPr>
          <w:rFonts w:ascii="Arial" w:hAnsi="Arial" w:cs="Arial"/>
          <w:color w:val="000000"/>
        </w:rPr>
        <w:t xml:space="preserve"> been around</w:t>
      </w:r>
      <w:r w:rsidR="00B13596" w:rsidRPr="00FF7282">
        <w:rPr>
          <w:rFonts w:ascii="Arial" w:hAnsi="Arial" w:cs="Arial"/>
          <w:color w:val="000000"/>
        </w:rPr>
        <w:t xml:space="preserve"> (Bracewell &amp; Giuliani, 2012; Fletcher, 1997</w:t>
      </w:r>
      <w:r w:rsidRPr="00FF7282">
        <w:rPr>
          <w:rFonts w:ascii="Arial" w:hAnsi="Arial" w:cs="Arial"/>
          <w:color w:val="000000"/>
        </w:rPr>
        <w:t>; Payne, 2018</w:t>
      </w:r>
      <w:r w:rsidR="00B13596" w:rsidRPr="00FF7282">
        <w:rPr>
          <w:rFonts w:ascii="Arial" w:hAnsi="Arial" w:cs="Arial"/>
          <w:color w:val="000000"/>
        </w:rPr>
        <w:t>)</w:t>
      </w:r>
      <w:r w:rsidR="009E30CB" w:rsidRPr="00FF7282">
        <w:rPr>
          <w:rFonts w:ascii="Arial" w:hAnsi="Arial" w:cs="Arial"/>
          <w:color w:val="000000"/>
        </w:rPr>
        <w:t xml:space="preserve">. However, these schemes were not </w:t>
      </w:r>
      <w:r w:rsidRPr="00FF7282">
        <w:rPr>
          <w:rFonts w:ascii="Arial" w:hAnsi="Arial" w:cs="Arial"/>
          <w:color w:val="000000"/>
        </w:rPr>
        <w:t xml:space="preserve">always </w:t>
      </w:r>
      <w:r w:rsidR="006D6780" w:rsidRPr="00FF7282">
        <w:rPr>
          <w:rFonts w:ascii="Arial" w:hAnsi="Arial" w:cs="Arial"/>
          <w:color w:val="000000"/>
        </w:rPr>
        <w:t>considered</w:t>
      </w:r>
      <w:r w:rsidRPr="00FF7282">
        <w:rPr>
          <w:rFonts w:ascii="Arial" w:hAnsi="Arial" w:cs="Arial"/>
          <w:color w:val="000000"/>
        </w:rPr>
        <w:t xml:space="preserve"> </w:t>
      </w:r>
      <w:r w:rsidR="009E30CB" w:rsidRPr="00FF7282">
        <w:rPr>
          <w:rFonts w:ascii="Arial" w:hAnsi="Arial" w:cs="Arial"/>
          <w:color w:val="000000"/>
        </w:rPr>
        <w:t>debt restructuring device</w:t>
      </w:r>
      <w:r w:rsidRPr="00FF7282">
        <w:rPr>
          <w:rFonts w:ascii="Arial" w:hAnsi="Arial" w:cs="Arial"/>
          <w:color w:val="000000"/>
        </w:rPr>
        <w:t>s</w:t>
      </w:r>
      <w:r w:rsidR="006D6780" w:rsidRPr="00FF7282">
        <w:rPr>
          <w:rFonts w:ascii="Arial" w:hAnsi="Arial" w:cs="Arial"/>
          <w:color w:val="000000"/>
        </w:rPr>
        <w:t xml:space="preserve"> (Payne, 2018)</w:t>
      </w:r>
      <w:r w:rsidR="009E30CB" w:rsidRPr="00FF7282">
        <w:rPr>
          <w:rFonts w:ascii="Arial" w:hAnsi="Arial" w:cs="Arial"/>
          <w:color w:val="000000"/>
        </w:rPr>
        <w:t>.</w:t>
      </w:r>
      <w:r w:rsidR="006D6780" w:rsidRPr="00FF7282">
        <w:rPr>
          <w:rFonts w:ascii="Arial" w:hAnsi="Arial" w:cs="Arial"/>
          <w:color w:val="000000"/>
        </w:rPr>
        <w:t xml:space="preserve"> </w:t>
      </w:r>
      <w:r w:rsidR="0026796C" w:rsidRPr="00FF7282">
        <w:rPr>
          <w:rFonts w:ascii="Arial" w:hAnsi="Arial" w:cs="Arial"/>
          <w:color w:val="000000"/>
        </w:rPr>
        <w:t>F</w:t>
      </w:r>
      <w:r w:rsidR="006D6780" w:rsidRPr="00FF7282">
        <w:rPr>
          <w:rFonts w:ascii="Arial" w:hAnsi="Arial" w:cs="Arial"/>
          <w:color w:val="000000"/>
        </w:rPr>
        <w:t xml:space="preserve">ollowing several fluctuations in </w:t>
      </w:r>
      <w:r w:rsidR="009E30CB" w:rsidRPr="00FF7282">
        <w:rPr>
          <w:rFonts w:ascii="Arial" w:hAnsi="Arial" w:cs="Arial"/>
          <w:color w:val="000000"/>
        </w:rPr>
        <w:t xml:space="preserve">the global financial </w:t>
      </w:r>
      <w:r w:rsidR="006D6780" w:rsidRPr="00FF7282">
        <w:rPr>
          <w:rFonts w:ascii="Arial" w:hAnsi="Arial" w:cs="Arial"/>
          <w:color w:val="000000"/>
        </w:rPr>
        <w:t>markets</w:t>
      </w:r>
      <w:r w:rsidR="009E30CB" w:rsidRPr="00FF7282">
        <w:rPr>
          <w:rFonts w:ascii="Arial" w:hAnsi="Arial" w:cs="Arial"/>
          <w:color w:val="000000"/>
        </w:rPr>
        <w:t xml:space="preserve">, schemes have been used increasingly </w:t>
      </w:r>
      <w:r w:rsidR="00EB448D">
        <w:rPr>
          <w:rFonts w:ascii="Arial" w:hAnsi="Arial" w:cs="Arial"/>
          <w:color w:val="000000"/>
        </w:rPr>
        <w:t>to restructure</w:t>
      </w:r>
      <w:r w:rsidR="009E30CB" w:rsidRPr="00FF7282">
        <w:rPr>
          <w:rFonts w:ascii="Arial" w:hAnsi="Arial" w:cs="Arial"/>
          <w:color w:val="000000"/>
        </w:rPr>
        <w:t xml:space="preserve"> financially distressed companies</w:t>
      </w:r>
      <w:r w:rsidR="006D6780" w:rsidRPr="00FF7282">
        <w:rPr>
          <w:rFonts w:ascii="Arial" w:hAnsi="Arial" w:cs="Arial"/>
          <w:color w:val="000000"/>
        </w:rPr>
        <w:t xml:space="preserve"> (</w:t>
      </w:r>
      <w:r w:rsidR="002618F4">
        <w:rPr>
          <w:rFonts w:ascii="Arial" w:hAnsi="Arial" w:cs="Arial"/>
          <w:color w:val="000000"/>
        </w:rPr>
        <w:t xml:space="preserve">Lee, 2011; </w:t>
      </w:r>
      <w:r w:rsidR="006D6780" w:rsidRPr="00FF7282">
        <w:rPr>
          <w:rFonts w:ascii="Arial" w:hAnsi="Arial" w:cs="Arial"/>
          <w:color w:val="000000"/>
        </w:rPr>
        <w:t>Payne, 2018)</w:t>
      </w:r>
      <w:r w:rsidR="009E30CB" w:rsidRPr="00FF7282">
        <w:rPr>
          <w:rFonts w:ascii="Arial" w:hAnsi="Arial" w:cs="Arial"/>
          <w:color w:val="000000"/>
        </w:rPr>
        <w:t xml:space="preserve">. </w:t>
      </w:r>
      <w:r w:rsidR="006D6780" w:rsidRPr="00FF7282">
        <w:rPr>
          <w:rFonts w:ascii="Arial" w:hAnsi="Arial" w:cs="Arial"/>
          <w:color w:val="000000"/>
        </w:rPr>
        <w:t>T</w:t>
      </w:r>
      <w:r w:rsidR="009E30CB" w:rsidRPr="00FF7282">
        <w:rPr>
          <w:rFonts w:ascii="Arial" w:hAnsi="Arial" w:cs="Arial"/>
          <w:color w:val="000000"/>
        </w:rPr>
        <w:t xml:space="preserve">he provisions for schemes are included in </w:t>
      </w:r>
      <w:r w:rsidR="006D6780" w:rsidRPr="00FF7282">
        <w:rPr>
          <w:rFonts w:ascii="Arial" w:hAnsi="Arial" w:cs="Arial"/>
          <w:color w:val="000000"/>
        </w:rPr>
        <w:t>The C</w:t>
      </w:r>
      <w:r w:rsidR="009E30CB" w:rsidRPr="00FF7282">
        <w:rPr>
          <w:rFonts w:ascii="Arial" w:hAnsi="Arial" w:cs="Arial"/>
          <w:color w:val="000000"/>
        </w:rPr>
        <w:t>ompan</w:t>
      </w:r>
      <w:r w:rsidR="006D6780" w:rsidRPr="00FF7282">
        <w:rPr>
          <w:rFonts w:ascii="Arial" w:hAnsi="Arial" w:cs="Arial"/>
          <w:color w:val="000000"/>
        </w:rPr>
        <w:t>ies Act 2006</w:t>
      </w:r>
      <w:r w:rsidR="00490928" w:rsidRPr="00FF7282">
        <w:rPr>
          <w:rFonts w:ascii="Arial" w:hAnsi="Arial" w:cs="Arial"/>
          <w:color w:val="000000"/>
        </w:rPr>
        <w:t>.</w:t>
      </w:r>
      <w:r w:rsidR="006D6780" w:rsidRPr="00FF7282">
        <w:rPr>
          <w:rStyle w:val="FootnoteReference"/>
          <w:rFonts w:ascii="Arial" w:hAnsi="Arial" w:cs="Arial"/>
          <w:color w:val="000000"/>
        </w:rPr>
        <w:footnoteReference w:id="9"/>
      </w:r>
      <w:r w:rsidR="006D6780" w:rsidRPr="00FF7282">
        <w:rPr>
          <w:rFonts w:ascii="Arial" w:hAnsi="Arial" w:cs="Arial"/>
          <w:color w:val="000000"/>
        </w:rPr>
        <w:t xml:space="preserve"> In the UK, </w:t>
      </w:r>
      <w:r w:rsidR="009E30CB" w:rsidRPr="00FF7282">
        <w:rPr>
          <w:rFonts w:ascii="Arial" w:hAnsi="Arial" w:cs="Arial"/>
          <w:color w:val="000000"/>
        </w:rPr>
        <w:t>schemes can be used in solvent or insolvent companies</w:t>
      </w:r>
      <w:r w:rsidR="006D6780" w:rsidRPr="00FF7282">
        <w:rPr>
          <w:rFonts w:ascii="Arial" w:hAnsi="Arial" w:cs="Arial"/>
          <w:color w:val="000000"/>
        </w:rPr>
        <w:t xml:space="preserve">, similar to the provisions of workouts and CVAs, even early on </w:t>
      </w:r>
      <w:r w:rsidR="006D6780" w:rsidRPr="000E3937">
        <w:rPr>
          <w:rFonts w:ascii="Arial" w:hAnsi="Arial" w:cs="Arial"/>
          <w:color w:val="000000"/>
        </w:rPr>
        <w:t xml:space="preserve">in the </w:t>
      </w:r>
      <w:r w:rsidR="000E3937" w:rsidRPr="000E3937">
        <w:rPr>
          <w:rFonts w:ascii="Arial" w:hAnsi="Arial" w:cs="Arial"/>
          <w:color w:val="000000"/>
        </w:rPr>
        <w:t>restructuring</w:t>
      </w:r>
      <w:r w:rsidR="00490928" w:rsidRPr="000E3937">
        <w:rPr>
          <w:rFonts w:ascii="Arial" w:hAnsi="Arial" w:cs="Arial"/>
          <w:color w:val="000000"/>
        </w:rPr>
        <w:t xml:space="preserve"> </w:t>
      </w:r>
      <w:r w:rsidR="006D6780" w:rsidRPr="000E3937">
        <w:rPr>
          <w:rFonts w:ascii="Arial" w:hAnsi="Arial" w:cs="Arial"/>
          <w:color w:val="000000"/>
        </w:rPr>
        <w:t>process</w:t>
      </w:r>
      <w:r w:rsidR="009E30CB" w:rsidRPr="000E3937">
        <w:rPr>
          <w:rFonts w:ascii="Arial" w:hAnsi="Arial" w:cs="Arial"/>
          <w:color w:val="000000"/>
        </w:rPr>
        <w:t>.</w:t>
      </w:r>
    </w:p>
    <w:p w14:paraId="6219585C" w14:textId="7D5C2E39" w:rsidR="006D6780" w:rsidRPr="00FF7282" w:rsidRDefault="006D6780" w:rsidP="002618F4">
      <w:pPr>
        <w:pStyle w:val="ListParagraph"/>
        <w:numPr>
          <w:ilvl w:val="1"/>
          <w:numId w:val="13"/>
        </w:numPr>
        <w:spacing w:after="240" w:line="360" w:lineRule="auto"/>
        <w:ind w:left="1134" w:hanging="567"/>
        <w:contextualSpacing w:val="0"/>
        <w:jc w:val="both"/>
        <w:rPr>
          <w:rFonts w:ascii="Arial" w:hAnsi="Arial" w:cs="Arial"/>
          <w:color w:val="000000"/>
        </w:rPr>
      </w:pPr>
      <w:r w:rsidRPr="00FF7282">
        <w:rPr>
          <w:rFonts w:ascii="Arial" w:hAnsi="Arial" w:cs="Arial"/>
          <w:color w:val="000000"/>
        </w:rPr>
        <w:t xml:space="preserve">The disadvantages of the scheme </w:t>
      </w:r>
      <w:r w:rsidR="00490928" w:rsidRPr="00FF7282">
        <w:rPr>
          <w:rFonts w:ascii="Arial" w:hAnsi="Arial" w:cs="Arial"/>
          <w:color w:val="000000"/>
        </w:rPr>
        <w:t>have</w:t>
      </w:r>
      <w:r w:rsidRPr="00FF7282">
        <w:rPr>
          <w:rFonts w:ascii="Arial" w:hAnsi="Arial" w:cs="Arial"/>
          <w:color w:val="000000"/>
        </w:rPr>
        <w:t xml:space="preserve"> been an onerous </w:t>
      </w:r>
      <w:r w:rsidR="009771B6" w:rsidRPr="00FF7282">
        <w:rPr>
          <w:rFonts w:ascii="Arial" w:hAnsi="Arial" w:cs="Arial"/>
          <w:color w:val="000000"/>
        </w:rPr>
        <w:t>procedural</w:t>
      </w:r>
      <w:r w:rsidRPr="00FF7282">
        <w:rPr>
          <w:rFonts w:ascii="Arial" w:hAnsi="Arial" w:cs="Arial"/>
          <w:color w:val="000000"/>
        </w:rPr>
        <w:t xml:space="preserve"> requirement, a complex and potentially difficult issue of class meetings</w:t>
      </w:r>
      <w:r w:rsidR="009771B6" w:rsidRPr="00FF7282">
        <w:rPr>
          <w:rFonts w:ascii="Arial" w:hAnsi="Arial" w:cs="Arial"/>
          <w:color w:val="000000"/>
        </w:rPr>
        <w:t>, the detailed and extensive explanatory statements required, and the</w:t>
      </w:r>
      <w:r w:rsidR="00490928" w:rsidRPr="00FF7282">
        <w:rPr>
          <w:rFonts w:ascii="Arial" w:hAnsi="Arial" w:cs="Arial"/>
          <w:color w:val="000000"/>
        </w:rPr>
        <w:t xml:space="preserve"> lack of a</w:t>
      </w:r>
      <w:r w:rsidR="009771B6" w:rsidRPr="00FF7282">
        <w:rPr>
          <w:rFonts w:ascii="Arial" w:hAnsi="Arial" w:cs="Arial"/>
          <w:color w:val="000000"/>
        </w:rPr>
        <w:t xml:space="preserve"> statutory moratorium (Payne, 2018). This allows schemes to be disruptive, and during the application process, the distressed company is unprotected from creditor actions.</w:t>
      </w:r>
    </w:p>
    <w:p w14:paraId="62069892" w14:textId="05344629" w:rsidR="00B218F7" w:rsidRPr="00FF7282" w:rsidRDefault="009771B6" w:rsidP="002618F4">
      <w:pPr>
        <w:pStyle w:val="ListParagraph"/>
        <w:numPr>
          <w:ilvl w:val="1"/>
          <w:numId w:val="13"/>
        </w:numPr>
        <w:spacing w:after="240" w:line="360" w:lineRule="auto"/>
        <w:ind w:left="1134" w:hanging="567"/>
        <w:contextualSpacing w:val="0"/>
        <w:jc w:val="both"/>
        <w:rPr>
          <w:rFonts w:ascii="Arial" w:eastAsia="Times New Roman" w:hAnsi="Arial" w:cs="Arial"/>
          <w:color w:val="000000"/>
          <w:kern w:val="0"/>
          <w14:ligatures w14:val="none"/>
        </w:rPr>
      </w:pPr>
      <w:r w:rsidRPr="00FF7282">
        <w:rPr>
          <w:rFonts w:ascii="Arial" w:eastAsia="Times New Roman" w:hAnsi="Arial" w:cs="Arial"/>
          <w:color w:val="000000"/>
          <w:kern w:val="0"/>
          <w14:ligatures w14:val="none"/>
        </w:rPr>
        <w:t xml:space="preserve">The second alternative discussed in this paper is </w:t>
      </w:r>
      <w:r w:rsidR="00490928" w:rsidRPr="00FF7282">
        <w:rPr>
          <w:rFonts w:ascii="Arial" w:eastAsia="Times New Roman" w:hAnsi="Arial" w:cs="Arial"/>
          <w:color w:val="000000"/>
          <w:kern w:val="0"/>
          <w14:ligatures w14:val="none"/>
        </w:rPr>
        <w:t>c</w:t>
      </w:r>
      <w:r w:rsidRPr="00FF7282">
        <w:rPr>
          <w:rFonts w:ascii="Arial" w:eastAsia="Times New Roman" w:hAnsi="Arial" w:cs="Arial"/>
          <w:color w:val="000000"/>
          <w:kern w:val="0"/>
          <w14:ligatures w14:val="none"/>
        </w:rPr>
        <w:t xml:space="preserve">orporate </w:t>
      </w:r>
      <w:r w:rsidR="00490928" w:rsidRPr="00FF7282">
        <w:rPr>
          <w:rFonts w:ascii="Arial" w:eastAsia="Times New Roman" w:hAnsi="Arial" w:cs="Arial"/>
          <w:color w:val="000000"/>
          <w:kern w:val="0"/>
          <w14:ligatures w14:val="none"/>
        </w:rPr>
        <w:t>a</w:t>
      </w:r>
      <w:r w:rsidRPr="00FF7282">
        <w:rPr>
          <w:rFonts w:ascii="Arial" w:eastAsia="Times New Roman" w:hAnsi="Arial" w:cs="Arial"/>
          <w:color w:val="000000"/>
          <w:kern w:val="0"/>
          <w14:ligatures w14:val="none"/>
        </w:rPr>
        <w:t>dmi</w:t>
      </w:r>
      <w:r w:rsidR="00490928" w:rsidRPr="00FF7282">
        <w:rPr>
          <w:rFonts w:ascii="Arial" w:eastAsia="Times New Roman" w:hAnsi="Arial" w:cs="Arial"/>
          <w:color w:val="000000"/>
          <w:kern w:val="0"/>
          <w14:ligatures w14:val="none"/>
        </w:rPr>
        <w:t>nistration (administration)</w:t>
      </w:r>
      <w:r w:rsidRPr="00FF7282">
        <w:rPr>
          <w:rFonts w:ascii="Arial" w:eastAsia="Times New Roman" w:hAnsi="Arial" w:cs="Arial"/>
          <w:color w:val="000000"/>
          <w:kern w:val="0"/>
          <w14:ligatures w14:val="none"/>
        </w:rPr>
        <w:t xml:space="preserve">. </w:t>
      </w:r>
      <w:r w:rsidR="00490928" w:rsidRPr="00FF7282">
        <w:rPr>
          <w:rFonts w:ascii="Arial" w:eastAsia="Times New Roman" w:hAnsi="Arial" w:cs="Arial"/>
          <w:color w:val="000000"/>
          <w:kern w:val="0"/>
          <w14:ligatures w14:val="none"/>
        </w:rPr>
        <w:t>A</w:t>
      </w:r>
      <w:r w:rsidR="00B218F7" w:rsidRPr="00FF7282">
        <w:rPr>
          <w:rFonts w:ascii="Arial" w:eastAsia="Times New Roman" w:hAnsi="Arial" w:cs="Arial"/>
          <w:color w:val="000000"/>
          <w:kern w:val="0"/>
          <w14:ligatures w14:val="none"/>
        </w:rPr>
        <w:t>dministration is a procedure by which an external insolvency practitioner, the administrator, is appointed to manage the company</w:t>
      </w:r>
      <w:r w:rsidR="003E548F" w:rsidRPr="00FF7282">
        <w:rPr>
          <w:rStyle w:val="FootnoteReference"/>
          <w:rFonts w:ascii="Arial" w:eastAsia="Times New Roman" w:hAnsi="Arial" w:cs="Arial"/>
          <w:color w:val="000000"/>
          <w:kern w:val="0"/>
          <w14:ligatures w14:val="none"/>
        </w:rPr>
        <w:footnoteReference w:id="10"/>
      </w:r>
      <w:r w:rsidR="00B218F7" w:rsidRPr="00FF7282">
        <w:rPr>
          <w:rFonts w:ascii="Arial" w:eastAsia="Times New Roman" w:hAnsi="Arial" w:cs="Arial"/>
          <w:color w:val="000000"/>
          <w:kern w:val="0"/>
          <w14:ligatures w14:val="none"/>
        </w:rPr>
        <w:t xml:space="preserve">. One particular form of administration that has arisen recently is </w:t>
      </w:r>
      <w:r w:rsidR="00B218F7" w:rsidRPr="00FF7282">
        <w:rPr>
          <w:rFonts w:ascii="Arial" w:eastAsia="Times New Roman" w:hAnsi="Arial" w:cs="Arial"/>
          <w:i/>
          <w:iCs/>
          <w:color w:val="000000"/>
          <w:kern w:val="0"/>
          <w14:ligatures w14:val="none"/>
        </w:rPr>
        <w:t>pre-pack administration</w:t>
      </w:r>
      <w:r w:rsidR="00490928" w:rsidRPr="00FF7282">
        <w:rPr>
          <w:rFonts w:ascii="Arial" w:eastAsia="Times New Roman" w:hAnsi="Arial" w:cs="Arial"/>
          <w:color w:val="000000"/>
          <w:kern w:val="0"/>
          <w14:ligatures w14:val="none"/>
        </w:rPr>
        <w:t>. This is</w:t>
      </w:r>
      <w:r w:rsidR="00B218F7" w:rsidRPr="00FF7282">
        <w:rPr>
          <w:rFonts w:ascii="Arial" w:eastAsia="Times New Roman" w:hAnsi="Arial" w:cs="Arial"/>
          <w:color w:val="000000"/>
          <w:kern w:val="0"/>
          <w14:ligatures w14:val="none"/>
        </w:rPr>
        <w:t xml:space="preserve"> where a company in financial difficulty reaches an agreement </w:t>
      </w:r>
      <w:r w:rsidR="0026796C" w:rsidRPr="00FF7282">
        <w:rPr>
          <w:rFonts w:ascii="Arial" w:eastAsia="Times New Roman" w:hAnsi="Arial" w:cs="Arial"/>
          <w:color w:val="000000"/>
          <w:kern w:val="0"/>
          <w14:ligatures w14:val="none"/>
        </w:rPr>
        <w:t>to sell</w:t>
      </w:r>
      <w:r w:rsidR="00B218F7" w:rsidRPr="00FF7282">
        <w:rPr>
          <w:rFonts w:ascii="Arial" w:eastAsia="Times New Roman" w:hAnsi="Arial" w:cs="Arial"/>
          <w:color w:val="000000"/>
          <w:kern w:val="0"/>
          <w14:ligatures w14:val="none"/>
        </w:rPr>
        <w:t xml:space="preserve"> its business or all of its assets </w:t>
      </w:r>
      <w:r w:rsidR="0026796C" w:rsidRPr="00FF7282">
        <w:rPr>
          <w:rFonts w:ascii="Arial" w:eastAsia="Times New Roman" w:hAnsi="Arial" w:cs="Arial"/>
          <w:color w:val="000000"/>
          <w:kern w:val="0"/>
          <w14:ligatures w14:val="none"/>
        </w:rPr>
        <w:t>before</w:t>
      </w:r>
      <w:r w:rsidR="00B218F7" w:rsidRPr="00FF7282">
        <w:rPr>
          <w:rFonts w:ascii="Arial" w:eastAsia="Times New Roman" w:hAnsi="Arial" w:cs="Arial"/>
          <w:color w:val="000000"/>
          <w:kern w:val="0"/>
          <w14:ligatures w14:val="none"/>
        </w:rPr>
        <w:t xml:space="preserve"> going into administration</w:t>
      </w:r>
      <w:r w:rsidR="00A24CA4" w:rsidRPr="00FF7282">
        <w:rPr>
          <w:rFonts w:ascii="Arial" w:eastAsia="Times New Roman" w:hAnsi="Arial" w:cs="Arial"/>
          <w:color w:val="000000"/>
          <w:kern w:val="0"/>
          <w14:ligatures w14:val="none"/>
        </w:rPr>
        <w:t xml:space="preserve"> (Payne, 20185; </w:t>
      </w:r>
      <w:r w:rsidR="00A24CA4" w:rsidRPr="00FF7282">
        <w:rPr>
          <w:rFonts w:ascii="Arial" w:eastAsia="Times New Roman" w:hAnsi="Arial" w:cs="Arial"/>
          <w:kern w:val="0"/>
          <w14:ligatures w14:val="none"/>
        </w:rPr>
        <w:t>Weil, Gotshal &amp; Manges, 2014)</w:t>
      </w:r>
      <w:r w:rsidR="00B218F7" w:rsidRPr="00FF7282">
        <w:rPr>
          <w:rFonts w:ascii="Arial" w:eastAsia="Times New Roman" w:hAnsi="Arial" w:cs="Arial"/>
          <w:color w:val="000000"/>
          <w:kern w:val="0"/>
          <w14:ligatures w14:val="none"/>
        </w:rPr>
        <w:t>. This involve</w:t>
      </w:r>
      <w:r w:rsidR="00490928" w:rsidRPr="00FF7282">
        <w:rPr>
          <w:rFonts w:ascii="Arial" w:eastAsia="Times New Roman" w:hAnsi="Arial" w:cs="Arial"/>
          <w:color w:val="000000"/>
          <w:kern w:val="0"/>
          <w14:ligatures w14:val="none"/>
        </w:rPr>
        <w:t>s the</w:t>
      </w:r>
      <w:r w:rsidR="00B218F7" w:rsidRPr="00FF7282">
        <w:rPr>
          <w:rFonts w:ascii="Arial" w:eastAsia="Times New Roman" w:hAnsi="Arial" w:cs="Arial"/>
          <w:color w:val="000000"/>
          <w:kern w:val="0"/>
          <w14:ligatures w14:val="none"/>
        </w:rPr>
        <w:t xml:space="preserve"> insolvency practitioner and the agreement of the creditors. The agreement is placed in escrow pending the administration</w:t>
      </w:r>
      <w:r w:rsidR="0026796C" w:rsidRPr="00FF7282">
        <w:rPr>
          <w:rFonts w:ascii="Arial" w:eastAsia="Times New Roman" w:hAnsi="Arial" w:cs="Arial"/>
          <w:color w:val="000000"/>
          <w:kern w:val="0"/>
          <w14:ligatures w14:val="none"/>
        </w:rPr>
        <w:t>,</w:t>
      </w:r>
      <w:r w:rsidR="00B218F7" w:rsidRPr="00FF7282">
        <w:rPr>
          <w:rFonts w:ascii="Arial" w:eastAsia="Times New Roman" w:hAnsi="Arial" w:cs="Arial"/>
          <w:color w:val="000000"/>
          <w:kern w:val="0"/>
          <w14:ligatures w14:val="none"/>
        </w:rPr>
        <w:t xml:space="preserve"> and the sale takes effect immediately on administration. The business may be sold to a third party but is often sold back to the existing management or existing senior lenders.</w:t>
      </w:r>
      <w:r w:rsidR="00A24CA4" w:rsidRPr="00FF7282">
        <w:rPr>
          <w:rFonts w:ascii="Arial" w:eastAsia="Times New Roman" w:hAnsi="Arial" w:cs="Arial"/>
          <w:color w:val="000000"/>
          <w:kern w:val="0"/>
          <w14:ligatures w14:val="none"/>
        </w:rPr>
        <w:t xml:space="preserve"> (Payne, 2018; </w:t>
      </w:r>
      <w:r w:rsidR="00A24CA4" w:rsidRPr="00FF7282">
        <w:rPr>
          <w:rFonts w:ascii="Arial" w:eastAsia="Times New Roman" w:hAnsi="Arial" w:cs="Arial"/>
          <w:kern w:val="0"/>
          <w14:ligatures w14:val="none"/>
        </w:rPr>
        <w:t>Weil, Gotshal &amp; Manges, 2014)</w:t>
      </w:r>
      <w:r w:rsidR="00AF2200">
        <w:rPr>
          <w:rFonts w:ascii="Arial" w:eastAsia="Times New Roman" w:hAnsi="Arial" w:cs="Arial"/>
          <w:kern w:val="0"/>
          <w14:ligatures w14:val="none"/>
        </w:rPr>
        <w:t>.</w:t>
      </w:r>
      <w:r w:rsidR="00B218F7" w:rsidRPr="00FF7282">
        <w:rPr>
          <w:rFonts w:ascii="Arial" w:eastAsia="Times New Roman" w:hAnsi="Arial" w:cs="Arial"/>
          <w:color w:val="000000"/>
          <w:kern w:val="0"/>
          <w14:ligatures w14:val="none"/>
        </w:rPr>
        <w:t xml:space="preserve"> </w:t>
      </w:r>
      <w:r w:rsidR="0026796C" w:rsidRPr="00FF7282">
        <w:rPr>
          <w:rFonts w:ascii="Arial" w:eastAsia="Times New Roman" w:hAnsi="Arial" w:cs="Arial"/>
          <w:color w:val="000000"/>
          <w:kern w:val="0"/>
          <w14:ligatures w14:val="none"/>
        </w:rPr>
        <w:t xml:space="preserve">Pre-packs' key attraction is that they enable a very quick sale, </w:t>
      </w:r>
      <w:r w:rsidR="00B218F7" w:rsidRPr="00FF7282">
        <w:rPr>
          <w:rFonts w:ascii="Arial" w:eastAsia="Times New Roman" w:hAnsi="Arial" w:cs="Arial"/>
          <w:color w:val="000000"/>
          <w:kern w:val="0"/>
          <w14:ligatures w14:val="none"/>
        </w:rPr>
        <w:t xml:space="preserve">more likely to preserve value, </w:t>
      </w:r>
      <w:r w:rsidR="00FD34BE" w:rsidRPr="00FF7282">
        <w:rPr>
          <w:rFonts w:ascii="Arial" w:eastAsia="Times New Roman" w:hAnsi="Arial" w:cs="Arial"/>
          <w:color w:val="000000"/>
          <w:kern w:val="0"/>
          <w14:ligatures w14:val="none"/>
        </w:rPr>
        <w:t>goodwill,</w:t>
      </w:r>
      <w:r w:rsidR="00B218F7" w:rsidRPr="00FF7282">
        <w:rPr>
          <w:rFonts w:ascii="Arial" w:eastAsia="Times New Roman" w:hAnsi="Arial" w:cs="Arial"/>
          <w:color w:val="000000"/>
          <w:kern w:val="0"/>
          <w14:ligatures w14:val="none"/>
        </w:rPr>
        <w:t xml:space="preserve"> and confidence than a slower and more protracted administration process. </w:t>
      </w:r>
      <w:r w:rsidR="0026796C" w:rsidRPr="00FF7282">
        <w:rPr>
          <w:rFonts w:ascii="Arial" w:eastAsia="Times New Roman" w:hAnsi="Arial" w:cs="Arial"/>
          <w:color w:val="000000"/>
          <w:kern w:val="0"/>
          <w14:ligatures w14:val="none"/>
        </w:rPr>
        <w:t>However, pre</w:t>
      </w:r>
      <w:r w:rsidR="00EB448D">
        <w:rPr>
          <w:rFonts w:ascii="Arial" w:eastAsia="Times New Roman" w:hAnsi="Arial" w:cs="Arial"/>
          <w:color w:val="000000"/>
          <w:kern w:val="0"/>
          <w14:ligatures w14:val="none"/>
        </w:rPr>
        <w:t>-</w:t>
      </w:r>
      <w:r w:rsidR="0026796C" w:rsidRPr="00FF7282">
        <w:rPr>
          <w:rFonts w:ascii="Arial" w:eastAsia="Times New Roman" w:hAnsi="Arial" w:cs="Arial"/>
          <w:color w:val="000000"/>
          <w:kern w:val="0"/>
          <w14:ligatures w14:val="none"/>
        </w:rPr>
        <w:t>packs have also attracted criticism</w:t>
      </w:r>
      <w:r w:rsidR="00B218F7" w:rsidRPr="00FF7282">
        <w:rPr>
          <w:rFonts w:ascii="Arial" w:eastAsia="Times New Roman" w:hAnsi="Arial" w:cs="Arial"/>
          <w:color w:val="000000"/>
          <w:kern w:val="0"/>
          <w14:ligatures w14:val="none"/>
        </w:rPr>
        <w:t xml:space="preserve"> largely because they are regarded as insufficiently transparent.</w:t>
      </w:r>
      <w:r w:rsidR="00A24CA4" w:rsidRPr="00FF7282">
        <w:rPr>
          <w:rFonts w:ascii="Arial" w:eastAsia="Times New Roman" w:hAnsi="Arial" w:cs="Arial"/>
          <w:color w:val="000000"/>
          <w:kern w:val="0"/>
          <w14:ligatures w14:val="none"/>
        </w:rPr>
        <w:t xml:space="preserve"> (Payne, 2018)</w:t>
      </w:r>
      <w:r w:rsidR="00FD34BE" w:rsidRPr="00FF7282">
        <w:rPr>
          <w:rFonts w:ascii="Arial" w:eastAsia="Times New Roman" w:hAnsi="Arial" w:cs="Arial"/>
          <w:color w:val="000000"/>
          <w:kern w:val="0"/>
          <w14:ligatures w14:val="none"/>
        </w:rPr>
        <w:t>.</w:t>
      </w:r>
    </w:p>
    <w:p w14:paraId="3CA8FEB2" w14:textId="3D70BE7F" w:rsidR="00B218F7" w:rsidRPr="00FF7282" w:rsidRDefault="00B218F7" w:rsidP="002618F4">
      <w:pPr>
        <w:pStyle w:val="ListParagraph"/>
        <w:numPr>
          <w:ilvl w:val="1"/>
          <w:numId w:val="13"/>
        </w:numPr>
        <w:spacing w:after="240" w:line="360" w:lineRule="auto"/>
        <w:ind w:left="1134" w:hanging="567"/>
        <w:contextualSpacing w:val="0"/>
        <w:jc w:val="both"/>
        <w:rPr>
          <w:rFonts w:ascii="Arial" w:hAnsi="Arial" w:cs="Arial"/>
          <w:color w:val="000000"/>
        </w:rPr>
      </w:pPr>
      <w:r w:rsidRPr="00FF7282">
        <w:rPr>
          <w:rFonts w:ascii="Arial" w:eastAsia="Times New Roman" w:hAnsi="Arial" w:cs="Arial"/>
          <w:color w:val="000000"/>
          <w:kern w:val="0"/>
          <w14:ligatures w14:val="none"/>
        </w:rPr>
        <w:t>One significant advantage of administration over the other restructuring devices is the existence of a statutory stay</w:t>
      </w:r>
      <w:r w:rsidR="009771B6" w:rsidRPr="00FF7282">
        <w:rPr>
          <w:rFonts w:ascii="Arial" w:eastAsia="Times New Roman" w:hAnsi="Arial" w:cs="Arial"/>
          <w:color w:val="000000"/>
          <w:kern w:val="0"/>
          <w14:ligatures w14:val="none"/>
        </w:rPr>
        <w:t>.</w:t>
      </w:r>
      <w:r w:rsidRPr="00FF7282">
        <w:rPr>
          <w:rFonts w:ascii="Arial" w:eastAsia="Times New Roman" w:hAnsi="Arial" w:cs="Arial"/>
          <w:color w:val="000000"/>
          <w:kern w:val="0"/>
          <w14:ligatures w14:val="none"/>
        </w:rPr>
        <w:t xml:space="preserve"> This statutory stay is broad in its effect. For example, during the moratorium</w:t>
      </w:r>
      <w:r w:rsidR="009771B6" w:rsidRPr="00FF7282">
        <w:rPr>
          <w:rFonts w:ascii="Arial" w:eastAsia="Times New Roman" w:hAnsi="Arial" w:cs="Arial"/>
          <w:color w:val="000000"/>
          <w:kern w:val="0"/>
          <w14:ligatures w14:val="none"/>
        </w:rPr>
        <w:t>,</w:t>
      </w:r>
      <w:r w:rsidRPr="00FF7282">
        <w:rPr>
          <w:rFonts w:ascii="Arial" w:eastAsia="Times New Roman" w:hAnsi="Arial" w:cs="Arial"/>
          <w:color w:val="000000"/>
          <w:kern w:val="0"/>
          <w14:ligatures w14:val="none"/>
        </w:rPr>
        <w:t xml:space="preserve"> no administrative receiver may be appointed, no resolution can be passed for the winding up of the company, no winding</w:t>
      </w:r>
      <w:r w:rsidR="0026796C" w:rsidRPr="00FF7282">
        <w:rPr>
          <w:rFonts w:ascii="Arial" w:eastAsia="Times New Roman" w:hAnsi="Arial" w:cs="Arial"/>
          <w:color w:val="000000"/>
          <w:kern w:val="0"/>
          <w14:ligatures w14:val="none"/>
        </w:rPr>
        <w:t>-</w:t>
      </w:r>
      <w:r w:rsidRPr="00FF7282">
        <w:rPr>
          <w:rFonts w:ascii="Arial" w:eastAsia="Times New Roman" w:hAnsi="Arial" w:cs="Arial"/>
          <w:color w:val="000000"/>
          <w:kern w:val="0"/>
          <w14:ligatures w14:val="none"/>
        </w:rPr>
        <w:t>up order may be made, and no steps can be taken to enforce security over the company</w:t>
      </w:r>
      <w:r w:rsidR="0026796C" w:rsidRPr="00FF7282">
        <w:rPr>
          <w:rFonts w:ascii="Arial" w:eastAsia="Times New Roman" w:hAnsi="Arial" w:cs="Arial"/>
          <w:color w:val="000000"/>
          <w:kern w:val="0"/>
          <w14:ligatures w14:val="none"/>
        </w:rPr>
        <w:t>'</w:t>
      </w:r>
      <w:r w:rsidRPr="00FF7282">
        <w:rPr>
          <w:rFonts w:ascii="Arial" w:eastAsia="Times New Roman" w:hAnsi="Arial" w:cs="Arial"/>
          <w:color w:val="000000"/>
          <w:kern w:val="0"/>
          <w14:ligatures w14:val="none"/>
        </w:rPr>
        <w:t>s property or to repossess goods in the company</w:t>
      </w:r>
      <w:r w:rsidR="0026796C" w:rsidRPr="00FF7282">
        <w:rPr>
          <w:rFonts w:ascii="Arial" w:eastAsia="Times New Roman" w:hAnsi="Arial" w:cs="Arial"/>
          <w:color w:val="000000"/>
          <w:kern w:val="0"/>
          <w14:ligatures w14:val="none"/>
        </w:rPr>
        <w:t>'</w:t>
      </w:r>
      <w:r w:rsidRPr="00FF7282">
        <w:rPr>
          <w:rFonts w:ascii="Arial" w:eastAsia="Times New Roman" w:hAnsi="Arial" w:cs="Arial"/>
          <w:color w:val="000000"/>
          <w:kern w:val="0"/>
          <w14:ligatures w14:val="none"/>
        </w:rPr>
        <w:t>s possession under any hire-purchase</w:t>
      </w:r>
      <w:r w:rsidR="009771B6" w:rsidRPr="00FF7282">
        <w:rPr>
          <w:rFonts w:ascii="Arial" w:eastAsia="Times New Roman" w:hAnsi="Arial" w:cs="Arial"/>
          <w:color w:val="000000"/>
          <w:kern w:val="0"/>
          <w14:ligatures w14:val="none"/>
        </w:rPr>
        <w:t xml:space="preserve"> (Payne, 2018; </w:t>
      </w:r>
      <w:r w:rsidR="009771B6" w:rsidRPr="00FF7282">
        <w:rPr>
          <w:rFonts w:ascii="Arial" w:eastAsia="Times New Roman" w:hAnsi="Arial" w:cs="Arial"/>
          <w:kern w:val="0"/>
          <w14:ligatures w14:val="none"/>
        </w:rPr>
        <w:t>Weil, Gotshal &amp; Manges, 2014)</w:t>
      </w:r>
      <w:r w:rsidRPr="00FF7282">
        <w:rPr>
          <w:rFonts w:ascii="Arial" w:eastAsia="Times New Roman" w:hAnsi="Arial" w:cs="Arial"/>
          <w:color w:val="000000"/>
          <w:kern w:val="0"/>
          <w14:ligatures w14:val="none"/>
        </w:rPr>
        <w:t>.</w:t>
      </w:r>
    </w:p>
    <w:p w14:paraId="3B097E2A" w14:textId="18604850" w:rsidR="00E1270D" w:rsidRPr="00FF7282" w:rsidRDefault="00E1270D" w:rsidP="002618F4">
      <w:pPr>
        <w:pStyle w:val="NormalWeb"/>
        <w:numPr>
          <w:ilvl w:val="1"/>
          <w:numId w:val="13"/>
        </w:numPr>
        <w:spacing w:before="0" w:beforeAutospacing="0" w:after="240" w:afterAutospacing="0" w:line="360" w:lineRule="auto"/>
        <w:ind w:left="1134" w:hanging="567"/>
        <w:jc w:val="both"/>
        <w:rPr>
          <w:rFonts w:ascii="Arial" w:hAnsi="Arial" w:cs="Arial"/>
          <w:color w:val="000000"/>
          <w:sz w:val="22"/>
          <w:szCs w:val="22"/>
        </w:rPr>
      </w:pPr>
      <w:r w:rsidRPr="00FF7282">
        <w:rPr>
          <w:rFonts w:ascii="Arial" w:hAnsi="Arial" w:cs="Arial"/>
          <w:color w:val="000000"/>
          <w:sz w:val="22"/>
          <w:szCs w:val="22"/>
        </w:rPr>
        <w:t>To facilitate cross</w:t>
      </w:r>
      <w:r w:rsidR="0026796C" w:rsidRPr="00FF7282">
        <w:rPr>
          <w:rFonts w:ascii="Arial" w:hAnsi="Arial" w:cs="Arial"/>
          <w:color w:val="000000"/>
          <w:sz w:val="22"/>
          <w:szCs w:val="22"/>
        </w:rPr>
        <w:t>-</w:t>
      </w:r>
      <w:r w:rsidRPr="00FF7282">
        <w:rPr>
          <w:rFonts w:ascii="Arial" w:hAnsi="Arial" w:cs="Arial"/>
          <w:color w:val="000000"/>
          <w:sz w:val="22"/>
          <w:szCs w:val="22"/>
        </w:rPr>
        <w:t>border insolvencies</w:t>
      </w:r>
      <w:r w:rsidR="00450057" w:rsidRPr="00FF7282">
        <w:rPr>
          <w:rFonts w:ascii="Arial" w:hAnsi="Arial" w:cs="Arial"/>
          <w:color w:val="000000"/>
          <w:sz w:val="22"/>
          <w:szCs w:val="22"/>
        </w:rPr>
        <w:t xml:space="preserve"> (when insolvency proceedings begin in one jurisdiction, but the company has assets in at least one other jurisdiction [Declercq, 2022])</w:t>
      </w:r>
      <w:r w:rsidRPr="00FF7282">
        <w:rPr>
          <w:rFonts w:ascii="Arial" w:hAnsi="Arial" w:cs="Arial"/>
          <w:color w:val="000000"/>
          <w:sz w:val="22"/>
          <w:szCs w:val="22"/>
        </w:rPr>
        <w:t>, the UK has adopted UNCITRAL</w:t>
      </w:r>
      <w:r w:rsidR="0026796C" w:rsidRPr="00FF7282">
        <w:rPr>
          <w:rFonts w:ascii="Arial" w:hAnsi="Arial" w:cs="Arial"/>
          <w:color w:val="000000"/>
          <w:sz w:val="22"/>
          <w:szCs w:val="22"/>
        </w:rPr>
        <w:t>'</w:t>
      </w:r>
      <w:r w:rsidRPr="00FF7282">
        <w:rPr>
          <w:rFonts w:ascii="Arial" w:hAnsi="Arial" w:cs="Arial"/>
          <w:color w:val="000000"/>
          <w:sz w:val="22"/>
          <w:szCs w:val="22"/>
        </w:rPr>
        <w:t>s Model Law in the Cross Border Insolvency Regulations 2006</w:t>
      </w:r>
      <w:r w:rsidR="00D62ACF" w:rsidRPr="00FF7282">
        <w:rPr>
          <w:rFonts w:ascii="Arial" w:hAnsi="Arial" w:cs="Arial"/>
          <w:color w:val="000000"/>
          <w:sz w:val="22"/>
          <w:szCs w:val="22"/>
        </w:rPr>
        <w:t xml:space="preserve"> (CBIR)</w:t>
      </w:r>
      <w:r w:rsidR="00831CF7" w:rsidRPr="00FF7282">
        <w:rPr>
          <w:rFonts w:ascii="Arial" w:hAnsi="Arial" w:cs="Arial"/>
          <w:color w:val="000000"/>
          <w:sz w:val="22"/>
          <w:szCs w:val="22"/>
        </w:rPr>
        <w:t>. According to Warner (2023), the UK adopted this law to provide an effective mechanism for cross</w:t>
      </w:r>
      <w:r w:rsidR="0026796C" w:rsidRPr="00FF7282">
        <w:rPr>
          <w:rFonts w:ascii="Arial" w:hAnsi="Arial" w:cs="Arial"/>
          <w:color w:val="000000"/>
          <w:sz w:val="22"/>
          <w:szCs w:val="22"/>
        </w:rPr>
        <w:t>-</w:t>
      </w:r>
      <w:r w:rsidR="00831CF7" w:rsidRPr="00FF7282">
        <w:rPr>
          <w:rFonts w:ascii="Arial" w:hAnsi="Arial" w:cs="Arial"/>
          <w:color w:val="000000"/>
          <w:sz w:val="22"/>
          <w:szCs w:val="22"/>
        </w:rPr>
        <w:t>border insolvencies</w:t>
      </w:r>
      <w:r w:rsidR="00D62ACF" w:rsidRPr="00FF7282">
        <w:rPr>
          <w:rFonts w:ascii="Arial" w:hAnsi="Arial" w:cs="Arial"/>
          <w:color w:val="000000"/>
          <w:sz w:val="22"/>
          <w:szCs w:val="22"/>
        </w:rPr>
        <w:t xml:space="preserve"> and proceedings in other jurisdictions</w:t>
      </w:r>
      <w:r w:rsidR="00831CF7" w:rsidRPr="00FF7282">
        <w:rPr>
          <w:rFonts w:ascii="Arial" w:hAnsi="Arial" w:cs="Arial"/>
          <w:color w:val="000000"/>
          <w:sz w:val="22"/>
          <w:szCs w:val="22"/>
        </w:rPr>
        <w:t>.</w:t>
      </w:r>
      <w:r w:rsidR="00D62ACF" w:rsidRPr="00FF7282">
        <w:rPr>
          <w:rFonts w:ascii="Arial" w:hAnsi="Arial" w:cs="Arial"/>
          <w:color w:val="000000"/>
          <w:sz w:val="22"/>
          <w:szCs w:val="22"/>
        </w:rPr>
        <w:t xml:space="preserve"> The CBIR sets out rules for </w:t>
      </w:r>
      <w:r w:rsidR="0026796C" w:rsidRPr="00FF7282">
        <w:rPr>
          <w:rFonts w:ascii="Arial" w:hAnsi="Arial" w:cs="Arial"/>
          <w:color w:val="000000"/>
          <w:sz w:val="22"/>
          <w:szCs w:val="22"/>
        </w:rPr>
        <w:t>recognizing</w:t>
      </w:r>
      <w:r w:rsidR="00D62ACF" w:rsidRPr="00FF7282">
        <w:rPr>
          <w:rFonts w:ascii="Arial" w:hAnsi="Arial" w:cs="Arial"/>
          <w:color w:val="000000"/>
          <w:sz w:val="22"/>
          <w:szCs w:val="22"/>
        </w:rPr>
        <w:t xml:space="preserve"> foreign insolvency proceedings in the UK. CBIR also allows </w:t>
      </w:r>
      <w:r w:rsidR="0026796C" w:rsidRPr="00FF7282">
        <w:rPr>
          <w:rFonts w:ascii="Arial" w:hAnsi="Arial" w:cs="Arial"/>
          <w:color w:val="000000"/>
          <w:sz w:val="22"/>
          <w:szCs w:val="22"/>
        </w:rPr>
        <w:t>cooperation between UK</w:t>
      </w:r>
      <w:r w:rsidR="00D62ACF" w:rsidRPr="00FF7282">
        <w:rPr>
          <w:rFonts w:ascii="Arial" w:hAnsi="Arial" w:cs="Arial"/>
          <w:color w:val="000000"/>
          <w:sz w:val="22"/>
          <w:szCs w:val="22"/>
        </w:rPr>
        <w:t xml:space="preserve"> and foreign courts in cross-border insolvency cases</w:t>
      </w:r>
      <w:r w:rsidR="0026796C" w:rsidRPr="00FF7282">
        <w:rPr>
          <w:rFonts w:ascii="Arial" w:hAnsi="Arial" w:cs="Arial"/>
          <w:color w:val="000000"/>
          <w:sz w:val="22"/>
          <w:szCs w:val="22"/>
        </w:rPr>
        <w:t>.</w:t>
      </w:r>
      <w:r w:rsidR="00584DC0" w:rsidRPr="00FF7282">
        <w:rPr>
          <w:rFonts w:ascii="Arial" w:hAnsi="Arial" w:cs="Arial"/>
          <w:color w:val="000000"/>
          <w:sz w:val="22"/>
          <w:szCs w:val="22"/>
        </w:rPr>
        <w:t xml:space="preserve"> However, the UK still allows provisions for local needs and issues (Keay &amp; Walton, 2008).</w:t>
      </w:r>
    </w:p>
    <w:p w14:paraId="6182F4E8" w14:textId="406C365B" w:rsidR="00756D96" w:rsidRPr="00FF7282" w:rsidRDefault="00756D96" w:rsidP="002618F4">
      <w:pPr>
        <w:pStyle w:val="Heading2"/>
        <w:numPr>
          <w:ilvl w:val="0"/>
          <w:numId w:val="13"/>
        </w:numPr>
        <w:spacing w:after="120"/>
        <w:ind w:left="357" w:hanging="357"/>
        <w:jc w:val="both"/>
        <w:rPr>
          <w:rFonts w:ascii="Arial" w:hAnsi="Arial" w:cs="Arial"/>
          <w:b/>
          <w:bCs/>
          <w:color w:val="auto"/>
          <w:sz w:val="22"/>
          <w:szCs w:val="22"/>
        </w:rPr>
      </w:pPr>
      <w:bookmarkStart w:id="6" w:name="_Toc139194178"/>
      <w:r w:rsidRPr="00FF7282">
        <w:rPr>
          <w:rFonts w:ascii="Arial" w:hAnsi="Arial" w:cs="Arial"/>
          <w:b/>
          <w:bCs/>
          <w:color w:val="auto"/>
          <w:sz w:val="22"/>
          <w:szCs w:val="22"/>
        </w:rPr>
        <w:t>Liquidations in The USA</w:t>
      </w:r>
      <w:bookmarkEnd w:id="6"/>
    </w:p>
    <w:p w14:paraId="5DCFD468" w14:textId="0523CBCE" w:rsidR="00E13359" w:rsidRPr="00FF7282" w:rsidRDefault="005D6C6C" w:rsidP="002618F4">
      <w:pPr>
        <w:pStyle w:val="ListParagraph"/>
        <w:numPr>
          <w:ilvl w:val="1"/>
          <w:numId w:val="13"/>
        </w:numPr>
        <w:spacing w:after="240" w:line="360" w:lineRule="auto"/>
        <w:ind w:left="1134" w:hanging="567"/>
        <w:contextualSpacing w:val="0"/>
        <w:jc w:val="both"/>
        <w:rPr>
          <w:rFonts w:ascii="Arial" w:hAnsi="Arial" w:cs="Arial"/>
          <w:color w:val="000000"/>
        </w:rPr>
      </w:pPr>
      <w:r w:rsidRPr="00FF7282">
        <w:rPr>
          <w:rFonts w:ascii="Arial" w:hAnsi="Arial" w:cs="Arial"/>
          <w:color w:val="000000"/>
        </w:rPr>
        <w:t>The USA</w:t>
      </w:r>
      <w:r w:rsidR="00FD34BE" w:rsidRPr="00FF7282">
        <w:rPr>
          <w:rFonts w:ascii="Arial" w:hAnsi="Arial" w:cs="Arial"/>
          <w:color w:val="000000"/>
        </w:rPr>
        <w:t xml:space="preserve"> bankruptcy code </w:t>
      </w:r>
      <w:r w:rsidR="0026796C" w:rsidRPr="00FF7282">
        <w:rPr>
          <w:rFonts w:ascii="Arial" w:hAnsi="Arial" w:cs="Arial"/>
          <w:color w:val="000000"/>
        </w:rPr>
        <w:t xml:space="preserve">is </w:t>
      </w:r>
      <w:r w:rsidR="00AF2200">
        <w:rPr>
          <w:rFonts w:ascii="Arial" w:hAnsi="Arial" w:cs="Arial"/>
          <w:color w:val="000000"/>
        </w:rPr>
        <w:t>F</w:t>
      </w:r>
      <w:r w:rsidR="0026796C" w:rsidRPr="00FF7282">
        <w:rPr>
          <w:rFonts w:ascii="Arial" w:hAnsi="Arial" w:cs="Arial"/>
          <w:color w:val="000000"/>
        </w:rPr>
        <w:t>ederally imposed and recognized</w:t>
      </w:r>
      <w:r w:rsidR="00FD34BE" w:rsidRPr="00FF7282">
        <w:rPr>
          <w:rFonts w:ascii="Arial" w:hAnsi="Arial" w:cs="Arial"/>
          <w:color w:val="000000"/>
        </w:rPr>
        <w:t xml:space="preserve"> </w:t>
      </w:r>
      <w:r w:rsidRPr="00FF7282">
        <w:rPr>
          <w:rFonts w:ascii="Arial" w:hAnsi="Arial" w:cs="Arial"/>
          <w:color w:val="000000"/>
        </w:rPr>
        <w:t xml:space="preserve">as </w:t>
      </w:r>
      <w:r w:rsidRPr="00FF7282">
        <w:rPr>
          <w:rFonts w:ascii="Arial" w:hAnsi="Arial" w:cs="Arial"/>
          <w:i/>
          <w:iCs/>
          <w:color w:val="000000"/>
        </w:rPr>
        <w:t>debtor</w:t>
      </w:r>
      <w:r w:rsidR="0026796C" w:rsidRPr="00FF7282">
        <w:rPr>
          <w:rFonts w:ascii="Arial" w:hAnsi="Arial" w:cs="Arial"/>
          <w:i/>
          <w:iCs/>
          <w:color w:val="000000"/>
        </w:rPr>
        <w:t>-</w:t>
      </w:r>
      <w:r w:rsidRPr="00FF7282">
        <w:rPr>
          <w:rFonts w:ascii="Arial" w:hAnsi="Arial" w:cs="Arial"/>
          <w:i/>
          <w:iCs/>
          <w:color w:val="000000"/>
        </w:rPr>
        <w:t>friendly</w:t>
      </w:r>
      <w:r w:rsidR="00FD34BE" w:rsidRPr="00FF7282">
        <w:rPr>
          <w:rFonts w:ascii="Arial" w:hAnsi="Arial" w:cs="Arial"/>
          <w:color w:val="000000"/>
        </w:rPr>
        <w:t xml:space="preserve"> (Boraine, 2023</w:t>
      </w:r>
      <w:r w:rsidR="00C713EE" w:rsidRPr="00FF7282">
        <w:rPr>
          <w:rFonts w:ascii="Arial" w:hAnsi="Arial" w:cs="Arial"/>
          <w:color w:val="000000"/>
        </w:rPr>
        <w:t>; Bracewell &amp; Giuliani, 2012).</w:t>
      </w:r>
      <w:r w:rsidRPr="00FF7282">
        <w:rPr>
          <w:rFonts w:ascii="Arial" w:hAnsi="Arial" w:cs="Arial"/>
          <w:color w:val="000000"/>
        </w:rPr>
        <w:t xml:space="preserve"> This means that the laws are drafted to protect the debtor. This </w:t>
      </w:r>
      <w:r w:rsidR="0026796C" w:rsidRPr="00FF7282">
        <w:rPr>
          <w:rFonts w:ascii="Arial" w:hAnsi="Arial" w:cs="Arial"/>
          <w:color w:val="000000"/>
        </w:rPr>
        <w:t>differs</w:t>
      </w:r>
      <w:r w:rsidR="00490928" w:rsidRPr="00FF7282">
        <w:rPr>
          <w:rFonts w:ascii="Arial" w:hAnsi="Arial" w:cs="Arial"/>
          <w:color w:val="000000"/>
        </w:rPr>
        <w:t xml:space="preserve"> from</w:t>
      </w:r>
      <w:r w:rsidRPr="00FF7282">
        <w:rPr>
          <w:rFonts w:ascii="Arial" w:hAnsi="Arial" w:cs="Arial"/>
          <w:color w:val="000000"/>
        </w:rPr>
        <w:t xml:space="preserve"> the laws in other countries that are considered </w:t>
      </w:r>
      <w:r w:rsidRPr="00FF7282">
        <w:rPr>
          <w:rFonts w:ascii="Arial" w:hAnsi="Arial" w:cs="Arial"/>
          <w:i/>
          <w:iCs/>
          <w:color w:val="000000"/>
        </w:rPr>
        <w:t>creditor friendly</w:t>
      </w:r>
      <w:r w:rsidRPr="00FF7282">
        <w:rPr>
          <w:rFonts w:ascii="Arial" w:hAnsi="Arial" w:cs="Arial"/>
          <w:color w:val="000000"/>
        </w:rPr>
        <w:t>. However, it is possible to file for liquidation in the USA under Chapter 7 proceedings (</w:t>
      </w:r>
      <w:r w:rsidR="004452BF" w:rsidRPr="00FF7282">
        <w:rPr>
          <w:rFonts w:ascii="Arial" w:hAnsi="Arial" w:cs="Arial"/>
        </w:rPr>
        <w:t xml:space="preserve">Dunne &amp; Uzzi, 2023; </w:t>
      </w:r>
      <w:r w:rsidRPr="00FF7282">
        <w:rPr>
          <w:rFonts w:ascii="Arial" w:hAnsi="Arial" w:cs="Arial"/>
          <w:color w:val="000000"/>
        </w:rPr>
        <w:t xml:space="preserve">Taylor &amp; Sheffner, 2016). </w:t>
      </w:r>
      <w:r w:rsidR="00E13359" w:rsidRPr="00FF7282">
        <w:rPr>
          <w:rFonts w:ascii="Arial" w:hAnsi="Arial" w:cs="Arial"/>
        </w:rPr>
        <w:t xml:space="preserve">The liquidation proceedings under Chapter 7 </w:t>
      </w:r>
      <w:r w:rsidR="00C32749" w:rsidRPr="00FF7282">
        <w:rPr>
          <w:rFonts w:ascii="Arial" w:hAnsi="Arial" w:cs="Arial"/>
        </w:rPr>
        <w:t>are</w:t>
      </w:r>
      <w:r w:rsidR="00E13359" w:rsidRPr="00FF7282">
        <w:rPr>
          <w:rFonts w:ascii="Arial" w:hAnsi="Arial" w:cs="Arial"/>
        </w:rPr>
        <w:t xml:space="preserve"> initiated by filing a voluntary or involuntary petition (</w:t>
      </w:r>
      <w:r w:rsidR="00AF2200" w:rsidRPr="00FF7282">
        <w:rPr>
          <w:rFonts w:ascii="Arial" w:hAnsi="Arial" w:cs="Arial"/>
          <w:color w:val="000000"/>
        </w:rPr>
        <w:t>Bracewell &amp; Giuliani, 2012</w:t>
      </w:r>
      <w:r w:rsidR="00AF2200">
        <w:rPr>
          <w:rFonts w:ascii="Arial" w:hAnsi="Arial" w:cs="Arial"/>
          <w:color w:val="000000"/>
        </w:rPr>
        <w:t xml:space="preserve">; </w:t>
      </w:r>
      <w:r w:rsidR="00E13359" w:rsidRPr="00FF7282">
        <w:rPr>
          <w:rFonts w:ascii="Arial" w:hAnsi="Arial" w:cs="Arial"/>
        </w:rPr>
        <w:t xml:space="preserve">Dunne &amp; Uzzi, 2023). </w:t>
      </w:r>
      <w:r w:rsidR="0026796C" w:rsidRPr="00FF7282">
        <w:rPr>
          <w:rFonts w:ascii="Arial" w:hAnsi="Arial" w:cs="Arial"/>
        </w:rPr>
        <w:t>Both solvent and insolvent entities can seek Chapter 7 relief</w:t>
      </w:r>
      <w:r w:rsidR="00E13359" w:rsidRPr="00FF7282">
        <w:rPr>
          <w:rFonts w:ascii="Arial" w:hAnsi="Arial" w:cs="Arial"/>
        </w:rPr>
        <w:t>.</w:t>
      </w:r>
    </w:p>
    <w:p w14:paraId="34784782" w14:textId="10AFD8C8" w:rsidR="005D6C6C" w:rsidRPr="00FF7282" w:rsidRDefault="005D6C6C"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color w:val="000000"/>
        </w:rPr>
        <w:t>Once a debtor files a Chapter 7 bankruptcy, the company</w:t>
      </w:r>
      <w:r w:rsidR="0026796C" w:rsidRPr="00FF7282">
        <w:rPr>
          <w:rFonts w:ascii="Arial" w:hAnsi="Arial" w:cs="Arial"/>
          <w:color w:val="000000"/>
        </w:rPr>
        <w:t>'</w:t>
      </w:r>
      <w:r w:rsidRPr="00FF7282">
        <w:rPr>
          <w:rFonts w:ascii="Arial" w:hAnsi="Arial" w:cs="Arial"/>
          <w:color w:val="000000"/>
        </w:rPr>
        <w:t xml:space="preserve">s assets (excluding </w:t>
      </w:r>
      <w:r w:rsidR="00FD34BE" w:rsidRPr="00FF7282">
        <w:rPr>
          <w:rFonts w:ascii="Arial" w:hAnsi="Arial" w:cs="Arial"/>
          <w:color w:val="000000"/>
        </w:rPr>
        <w:t xml:space="preserve">secured loans </w:t>
      </w:r>
      <w:r w:rsidRPr="00FF7282">
        <w:rPr>
          <w:rFonts w:ascii="Arial" w:hAnsi="Arial" w:cs="Arial"/>
          <w:color w:val="000000"/>
        </w:rPr>
        <w:t xml:space="preserve">exempted under applicable state or federal laws) become </w:t>
      </w:r>
      <w:r w:rsidR="0026796C" w:rsidRPr="00FF7282">
        <w:rPr>
          <w:rFonts w:ascii="Arial" w:hAnsi="Arial" w:cs="Arial"/>
          <w:color w:val="000000"/>
        </w:rPr>
        <w:t>the bankruptcy estate's property</w:t>
      </w:r>
      <w:r w:rsidR="00557EBB" w:rsidRPr="00FF7282">
        <w:rPr>
          <w:rFonts w:ascii="Arial" w:hAnsi="Arial" w:cs="Arial"/>
          <w:color w:val="000000"/>
        </w:rPr>
        <w:t xml:space="preserve"> (</w:t>
      </w:r>
      <w:r w:rsidR="00AF2200" w:rsidRPr="00FF7282">
        <w:rPr>
          <w:rFonts w:ascii="Arial" w:hAnsi="Arial" w:cs="Arial"/>
          <w:color w:val="000000"/>
        </w:rPr>
        <w:t>Bracewell &amp; Giuliani, 2012</w:t>
      </w:r>
      <w:r w:rsidR="00AF2200">
        <w:rPr>
          <w:rFonts w:ascii="Arial" w:hAnsi="Arial" w:cs="Arial"/>
          <w:color w:val="000000"/>
        </w:rPr>
        <w:t xml:space="preserve">; </w:t>
      </w:r>
      <w:r w:rsidR="00557EBB" w:rsidRPr="00FF7282">
        <w:rPr>
          <w:rFonts w:ascii="Arial" w:hAnsi="Arial" w:cs="Arial"/>
          <w:color w:val="000000"/>
        </w:rPr>
        <w:t>Elias &amp; Laurence, 2010)</w:t>
      </w:r>
      <w:r w:rsidRPr="00FF7282">
        <w:rPr>
          <w:rFonts w:ascii="Arial" w:hAnsi="Arial" w:cs="Arial"/>
          <w:color w:val="000000"/>
        </w:rPr>
        <w:t xml:space="preserve">. </w:t>
      </w:r>
      <w:r w:rsidR="0026796C" w:rsidRPr="00FF7282">
        <w:rPr>
          <w:rFonts w:ascii="Arial" w:hAnsi="Arial" w:cs="Arial"/>
        </w:rPr>
        <w:t>The Bankruptcy Court supervises Chapter 7,</w:t>
      </w:r>
      <w:r w:rsidR="00E13359" w:rsidRPr="00FF7282">
        <w:rPr>
          <w:rFonts w:ascii="Arial" w:hAnsi="Arial" w:cs="Arial"/>
        </w:rPr>
        <w:t xml:space="preserve"> and t</w:t>
      </w:r>
      <w:r w:rsidRPr="00FF7282">
        <w:rPr>
          <w:rFonts w:ascii="Arial" w:hAnsi="Arial" w:cs="Arial"/>
          <w:color w:val="000000"/>
        </w:rPr>
        <w:t>he liquidation is administered by an appointed trustee of the estate</w:t>
      </w:r>
      <w:r w:rsidR="004452BF" w:rsidRPr="00FF7282">
        <w:rPr>
          <w:rFonts w:ascii="Arial" w:hAnsi="Arial" w:cs="Arial"/>
          <w:color w:val="000000"/>
        </w:rPr>
        <w:t xml:space="preserve"> (</w:t>
      </w:r>
      <w:r w:rsidR="004452BF" w:rsidRPr="00FF7282">
        <w:rPr>
          <w:rFonts w:ascii="Arial" w:hAnsi="Arial" w:cs="Arial"/>
        </w:rPr>
        <w:t>Dunne &amp; Uzzi, 2023</w:t>
      </w:r>
      <w:r w:rsidR="00E13359" w:rsidRPr="00FF7282">
        <w:rPr>
          <w:rFonts w:ascii="Arial" w:hAnsi="Arial" w:cs="Arial"/>
        </w:rPr>
        <w:t xml:space="preserve">; </w:t>
      </w:r>
      <w:r w:rsidR="00557EBB" w:rsidRPr="00FF7282">
        <w:rPr>
          <w:rFonts w:ascii="Arial" w:hAnsi="Arial" w:cs="Arial"/>
          <w:color w:val="000000"/>
        </w:rPr>
        <w:t xml:space="preserve">Elias &amp; Laurence, 2010; </w:t>
      </w:r>
      <w:r w:rsidR="00FD34BE" w:rsidRPr="00FF7282">
        <w:rPr>
          <w:rFonts w:ascii="Arial" w:hAnsi="Arial" w:cs="Arial"/>
          <w:color w:val="000000"/>
        </w:rPr>
        <w:t>IRS.GOV</w:t>
      </w:r>
      <w:r w:rsidR="00557EBB" w:rsidRPr="00FF7282">
        <w:rPr>
          <w:rFonts w:ascii="Arial" w:hAnsi="Arial" w:cs="Arial"/>
          <w:color w:val="000000"/>
        </w:rPr>
        <w:t>,</w:t>
      </w:r>
      <w:r w:rsidR="00FD34BE" w:rsidRPr="00FF7282">
        <w:rPr>
          <w:rFonts w:ascii="Arial" w:hAnsi="Arial" w:cs="Arial"/>
          <w:color w:val="000000"/>
        </w:rPr>
        <w:t xml:space="preserve"> 2023)</w:t>
      </w:r>
      <w:r w:rsidRPr="00FF7282">
        <w:rPr>
          <w:rFonts w:ascii="Arial" w:hAnsi="Arial" w:cs="Arial"/>
          <w:color w:val="000000"/>
        </w:rPr>
        <w:t xml:space="preserve">. The </w:t>
      </w:r>
      <w:r w:rsidR="0026796C" w:rsidRPr="00FF7282">
        <w:rPr>
          <w:rFonts w:ascii="Arial" w:hAnsi="Arial" w:cs="Arial"/>
          <w:color w:val="000000"/>
        </w:rPr>
        <w:t>trustee's job is to collect and liquidate the debtor's assets</w:t>
      </w:r>
      <w:r w:rsidRPr="00FF7282">
        <w:rPr>
          <w:rFonts w:ascii="Arial" w:hAnsi="Arial" w:cs="Arial"/>
          <w:color w:val="000000"/>
        </w:rPr>
        <w:t xml:space="preserve"> and </w:t>
      </w:r>
      <w:r w:rsidR="00E13359" w:rsidRPr="00FF7282">
        <w:rPr>
          <w:rFonts w:ascii="Arial" w:hAnsi="Arial" w:cs="Arial"/>
          <w:color w:val="000000"/>
        </w:rPr>
        <w:t>distribute</w:t>
      </w:r>
      <w:r w:rsidRPr="00FF7282">
        <w:rPr>
          <w:rFonts w:ascii="Arial" w:hAnsi="Arial" w:cs="Arial"/>
          <w:color w:val="000000"/>
        </w:rPr>
        <w:t xml:space="preserve"> the proceeds to the creditors</w:t>
      </w:r>
      <w:r w:rsidR="00FD34BE" w:rsidRPr="00FF7282">
        <w:rPr>
          <w:rFonts w:ascii="Arial" w:hAnsi="Arial" w:cs="Arial"/>
          <w:color w:val="000000"/>
        </w:rPr>
        <w:t xml:space="preserve"> (</w:t>
      </w:r>
      <w:r w:rsidR="004452BF" w:rsidRPr="00FF7282">
        <w:rPr>
          <w:rFonts w:ascii="Arial" w:hAnsi="Arial" w:cs="Arial"/>
        </w:rPr>
        <w:t xml:space="preserve">Dunne &amp; Uzzi, 2023; </w:t>
      </w:r>
      <w:r w:rsidR="00FD34BE" w:rsidRPr="00FF7282">
        <w:rPr>
          <w:rFonts w:ascii="Arial" w:hAnsi="Arial" w:cs="Arial"/>
          <w:color w:val="000000"/>
        </w:rPr>
        <w:t>Surbhi, 2018; Taylor &amp; Sheffner, 2016).</w:t>
      </w:r>
      <w:r w:rsidRPr="00FF7282">
        <w:rPr>
          <w:rFonts w:ascii="Arial" w:hAnsi="Arial" w:cs="Arial"/>
          <w:color w:val="000000"/>
        </w:rPr>
        <w:t xml:space="preserve"> After the proceeds are fully distributed, the debtor</w:t>
      </w:r>
      <w:r w:rsidR="0026796C" w:rsidRPr="00FF7282">
        <w:rPr>
          <w:rFonts w:ascii="Arial" w:hAnsi="Arial" w:cs="Arial"/>
          <w:color w:val="000000"/>
        </w:rPr>
        <w:t>'</w:t>
      </w:r>
      <w:r w:rsidRPr="00FF7282">
        <w:rPr>
          <w:rFonts w:ascii="Arial" w:hAnsi="Arial" w:cs="Arial"/>
          <w:color w:val="000000"/>
        </w:rPr>
        <w:t>s pre-petition debts are discharged</w:t>
      </w:r>
      <w:r w:rsidR="0026796C" w:rsidRPr="00FF7282">
        <w:rPr>
          <w:rFonts w:ascii="Arial" w:hAnsi="Arial" w:cs="Arial"/>
          <w:color w:val="000000"/>
        </w:rPr>
        <w:t>,</w:t>
      </w:r>
      <w:r w:rsidRPr="00FF7282">
        <w:rPr>
          <w:rFonts w:ascii="Arial" w:hAnsi="Arial" w:cs="Arial"/>
          <w:color w:val="000000"/>
        </w:rPr>
        <w:t xml:space="preserve"> and his case is completed </w:t>
      </w:r>
      <w:r w:rsidR="00FD34BE" w:rsidRPr="00FF7282">
        <w:rPr>
          <w:rFonts w:ascii="Arial" w:hAnsi="Arial" w:cs="Arial"/>
          <w:color w:val="000000"/>
        </w:rPr>
        <w:t xml:space="preserve">(IRS.GOV, 2023; </w:t>
      </w:r>
      <w:r w:rsidRPr="00FF7282">
        <w:rPr>
          <w:rFonts w:ascii="Arial" w:hAnsi="Arial" w:cs="Arial"/>
          <w:color w:val="000000"/>
        </w:rPr>
        <w:t>Taylor &amp; Sheffner, 2016).</w:t>
      </w:r>
    </w:p>
    <w:p w14:paraId="5B32DB6F" w14:textId="2318DA90" w:rsidR="00B218F7" w:rsidRPr="00FF7282" w:rsidRDefault="00557EBB" w:rsidP="00AF2200">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The liquidation proceeding under Chapter 7 results in the closing down of the business</w:t>
      </w:r>
      <w:r w:rsidR="00E13359" w:rsidRPr="00FF7282">
        <w:rPr>
          <w:rFonts w:ascii="Arial" w:hAnsi="Arial" w:cs="Arial"/>
        </w:rPr>
        <w:t xml:space="preserve"> (Dunne &amp; Uzzi, 2023</w:t>
      </w:r>
      <w:r w:rsidR="00AF2200">
        <w:rPr>
          <w:rFonts w:ascii="Arial" w:hAnsi="Arial" w:cs="Arial"/>
        </w:rPr>
        <w:t xml:space="preserve">; </w:t>
      </w:r>
      <w:r w:rsidR="00AF2200" w:rsidRPr="00E1561C">
        <w:rPr>
          <w:rFonts w:ascii="Arial" w:hAnsi="Arial" w:cs="Arial"/>
        </w:rPr>
        <w:t>Keay &amp; Walton, 2003</w:t>
      </w:r>
      <w:r w:rsidR="00E13359" w:rsidRPr="00FF7282">
        <w:rPr>
          <w:rFonts w:ascii="Arial" w:hAnsi="Arial" w:cs="Arial"/>
        </w:rPr>
        <w:t>)</w:t>
      </w:r>
      <w:r w:rsidRPr="00FF7282">
        <w:rPr>
          <w:rFonts w:ascii="Arial" w:hAnsi="Arial" w:cs="Arial"/>
        </w:rPr>
        <w:t>. There are also attorney</w:t>
      </w:r>
      <w:r w:rsidR="0026796C" w:rsidRPr="00FF7282">
        <w:rPr>
          <w:rFonts w:ascii="Arial" w:hAnsi="Arial" w:cs="Arial"/>
        </w:rPr>
        <w:t>, court</w:t>
      </w:r>
      <w:r w:rsidRPr="00FF7282">
        <w:rPr>
          <w:rFonts w:ascii="Arial" w:hAnsi="Arial" w:cs="Arial"/>
        </w:rPr>
        <w:t>, and trustee fees (</w:t>
      </w:r>
      <w:r w:rsidRPr="00FF7282">
        <w:rPr>
          <w:rFonts w:ascii="Arial" w:hAnsi="Arial" w:cs="Arial"/>
          <w:color w:val="000000"/>
        </w:rPr>
        <w:t xml:space="preserve">Elias &amp; Laurence, 2010). The business </w:t>
      </w:r>
      <w:r w:rsidR="00EB448D">
        <w:rPr>
          <w:rFonts w:ascii="Arial" w:hAnsi="Arial" w:cs="Arial"/>
          <w:color w:val="000000"/>
        </w:rPr>
        <w:t>must als</w:t>
      </w:r>
      <w:r w:rsidRPr="00FF7282">
        <w:rPr>
          <w:rFonts w:ascii="Arial" w:hAnsi="Arial" w:cs="Arial"/>
          <w:color w:val="000000"/>
        </w:rPr>
        <w:t>o give up its assets</w:t>
      </w:r>
      <w:r w:rsidR="00AF2200">
        <w:rPr>
          <w:rFonts w:ascii="Arial" w:hAnsi="Arial" w:cs="Arial"/>
          <w:color w:val="000000"/>
        </w:rPr>
        <w:t xml:space="preserve"> </w:t>
      </w:r>
      <w:r w:rsidR="00AF2200" w:rsidRPr="00FF7282">
        <w:rPr>
          <w:rFonts w:ascii="Arial" w:hAnsi="Arial" w:cs="Arial"/>
        </w:rPr>
        <w:t>(Dunne &amp; Uzzi, 2023</w:t>
      </w:r>
      <w:r w:rsidR="00AF2200">
        <w:rPr>
          <w:rFonts w:ascii="Arial" w:hAnsi="Arial" w:cs="Arial"/>
        </w:rPr>
        <w:t xml:space="preserve">; </w:t>
      </w:r>
      <w:r w:rsidR="00AF2200" w:rsidRPr="00E1561C">
        <w:rPr>
          <w:rFonts w:ascii="Arial" w:hAnsi="Arial" w:cs="Arial"/>
        </w:rPr>
        <w:t>Keay &amp; Walton, 2003</w:t>
      </w:r>
      <w:r w:rsidR="00AF2200" w:rsidRPr="00FF7282">
        <w:rPr>
          <w:rFonts w:ascii="Arial" w:hAnsi="Arial" w:cs="Arial"/>
        </w:rPr>
        <w:t>).</w:t>
      </w:r>
      <w:r w:rsidRPr="00FF7282">
        <w:rPr>
          <w:rFonts w:ascii="Arial" w:hAnsi="Arial" w:cs="Arial"/>
          <w:color w:val="000000"/>
        </w:rPr>
        <w:t xml:space="preserve"> Therefore, for businesses interested in continuing, Chapter 7 </w:t>
      </w:r>
      <w:r w:rsidR="00E13359" w:rsidRPr="00FF7282">
        <w:rPr>
          <w:rFonts w:ascii="Arial" w:hAnsi="Arial" w:cs="Arial"/>
          <w:color w:val="000000"/>
        </w:rPr>
        <w:t>is not</w:t>
      </w:r>
      <w:r w:rsidRPr="00FF7282">
        <w:rPr>
          <w:rFonts w:ascii="Arial" w:hAnsi="Arial" w:cs="Arial"/>
          <w:color w:val="000000"/>
        </w:rPr>
        <w:t xml:space="preserve"> the optimal strategy, but the option is available.</w:t>
      </w:r>
    </w:p>
    <w:p w14:paraId="713E27F5" w14:textId="4FCFCEBF" w:rsidR="00756D96" w:rsidRPr="00FF7282" w:rsidRDefault="00756D96" w:rsidP="00AF2200">
      <w:pPr>
        <w:pStyle w:val="Heading2"/>
        <w:numPr>
          <w:ilvl w:val="0"/>
          <w:numId w:val="13"/>
        </w:numPr>
        <w:spacing w:before="0" w:after="120"/>
        <w:ind w:left="357" w:hanging="357"/>
        <w:jc w:val="both"/>
        <w:rPr>
          <w:rFonts w:ascii="Arial" w:hAnsi="Arial" w:cs="Arial"/>
          <w:b/>
          <w:bCs/>
          <w:color w:val="auto"/>
          <w:sz w:val="22"/>
          <w:szCs w:val="22"/>
        </w:rPr>
      </w:pPr>
      <w:bookmarkStart w:id="7" w:name="_Toc139194179"/>
      <w:r w:rsidRPr="00FF7282">
        <w:rPr>
          <w:rFonts w:ascii="Arial" w:hAnsi="Arial" w:cs="Arial"/>
          <w:b/>
          <w:bCs/>
          <w:color w:val="auto"/>
          <w:sz w:val="22"/>
          <w:szCs w:val="22"/>
        </w:rPr>
        <w:t>Restructuring in the USA</w:t>
      </w:r>
      <w:bookmarkEnd w:id="7"/>
    </w:p>
    <w:p w14:paraId="0B05058A" w14:textId="7383C2FE" w:rsidR="00C713EE" w:rsidRPr="00FF7282" w:rsidRDefault="0026796C"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Various authors have described the insolvency laws in the US</w:t>
      </w:r>
      <w:r w:rsidR="00C713EE" w:rsidRPr="00FF7282">
        <w:rPr>
          <w:rFonts w:ascii="Arial" w:hAnsi="Arial" w:cs="Arial"/>
        </w:rPr>
        <w:t xml:space="preserve"> as </w:t>
      </w:r>
      <w:r w:rsidR="00C713EE" w:rsidRPr="00FF7282">
        <w:rPr>
          <w:rFonts w:ascii="Arial" w:hAnsi="Arial" w:cs="Arial"/>
          <w:i/>
          <w:iCs/>
        </w:rPr>
        <w:t>debtor</w:t>
      </w:r>
      <w:r w:rsidRPr="00FF7282">
        <w:rPr>
          <w:rFonts w:ascii="Arial" w:hAnsi="Arial" w:cs="Arial"/>
          <w:i/>
          <w:iCs/>
        </w:rPr>
        <w:t>-</w:t>
      </w:r>
      <w:r w:rsidR="00C713EE" w:rsidRPr="00FF7282">
        <w:rPr>
          <w:rFonts w:ascii="Arial" w:hAnsi="Arial" w:cs="Arial"/>
          <w:i/>
          <w:iCs/>
        </w:rPr>
        <w:t>friendly</w:t>
      </w:r>
      <w:r w:rsidR="00C713EE" w:rsidRPr="00FF7282">
        <w:rPr>
          <w:rFonts w:ascii="Arial" w:hAnsi="Arial" w:cs="Arial"/>
        </w:rPr>
        <w:t xml:space="preserve"> (</w:t>
      </w:r>
      <w:bookmarkStart w:id="8" w:name="_Hlk138793285"/>
      <w:r w:rsidR="00C713EE" w:rsidRPr="00FF7282">
        <w:rPr>
          <w:rFonts w:ascii="Arial" w:hAnsi="Arial" w:cs="Arial"/>
          <w:color w:val="000000"/>
        </w:rPr>
        <w:t>Bracewell &amp; Giuliani</w:t>
      </w:r>
      <w:r w:rsidR="00CF5021" w:rsidRPr="00FF7282">
        <w:rPr>
          <w:rFonts w:ascii="Arial" w:hAnsi="Arial" w:cs="Arial"/>
          <w:color w:val="000000"/>
        </w:rPr>
        <w:t xml:space="preserve">, </w:t>
      </w:r>
      <w:r w:rsidR="00C713EE" w:rsidRPr="00FF7282">
        <w:rPr>
          <w:rFonts w:ascii="Arial" w:hAnsi="Arial" w:cs="Arial"/>
          <w:color w:val="000000"/>
        </w:rPr>
        <w:t>2012</w:t>
      </w:r>
      <w:bookmarkEnd w:id="8"/>
      <w:r w:rsidR="00AF2200">
        <w:rPr>
          <w:rFonts w:ascii="Arial" w:hAnsi="Arial" w:cs="Arial"/>
          <w:color w:val="000000"/>
        </w:rPr>
        <w:t>; Lee, 2011</w:t>
      </w:r>
      <w:r w:rsidR="00C713EE" w:rsidRPr="00FF7282">
        <w:rPr>
          <w:rFonts w:ascii="Arial" w:hAnsi="Arial" w:cs="Arial"/>
          <w:color w:val="000000"/>
        </w:rPr>
        <w:t xml:space="preserve">). </w:t>
      </w:r>
      <w:r w:rsidR="00A34A1E" w:rsidRPr="00FF7282">
        <w:rPr>
          <w:rFonts w:ascii="Arial" w:hAnsi="Arial" w:cs="Arial"/>
          <w:color w:val="000000"/>
        </w:rPr>
        <w:t>T</w:t>
      </w:r>
      <w:r w:rsidR="00C713EE" w:rsidRPr="00FF7282">
        <w:rPr>
          <w:rFonts w:ascii="Arial" w:hAnsi="Arial" w:cs="Arial"/>
          <w:color w:val="000000"/>
        </w:rPr>
        <w:t xml:space="preserve">hrough Chapter 11 of the Bankruptcy Code, distressed businesses </w:t>
      </w:r>
      <w:r w:rsidRPr="00FF7282">
        <w:rPr>
          <w:rFonts w:ascii="Arial" w:hAnsi="Arial" w:cs="Arial"/>
          <w:color w:val="000000"/>
        </w:rPr>
        <w:t>can</w:t>
      </w:r>
      <w:r w:rsidR="00C713EE" w:rsidRPr="00FF7282">
        <w:rPr>
          <w:rFonts w:ascii="Arial" w:hAnsi="Arial" w:cs="Arial"/>
          <w:color w:val="000000"/>
        </w:rPr>
        <w:t xml:space="preserve"> reorganize and have a </w:t>
      </w:r>
      <w:r w:rsidR="00C713EE" w:rsidRPr="006A6F9C">
        <w:rPr>
          <w:rFonts w:ascii="Arial" w:hAnsi="Arial" w:cs="Arial"/>
          <w:i/>
          <w:iCs/>
          <w:color w:val="000000"/>
        </w:rPr>
        <w:t>breathing space</w:t>
      </w:r>
      <w:r w:rsidR="00C713EE" w:rsidRPr="00FF7282">
        <w:rPr>
          <w:rFonts w:ascii="Arial" w:hAnsi="Arial" w:cs="Arial"/>
          <w:color w:val="000000"/>
        </w:rPr>
        <w:t xml:space="preserve">, notwithstanding the efforts of secured </w:t>
      </w:r>
      <w:r w:rsidR="00A34A1E" w:rsidRPr="00FF7282">
        <w:rPr>
          <w:rFonts w:ascii="Arial" w:hAnsi="Arial" w:cs="Arial"/>
          <w:color w:val="000000"/>
        </w:rPr>
        <w:t>creditors</w:t>
      </w:r>
      <w:r w:rsidR="00C713EE" w:rsidRPr="00FF7282">
        <w:rPr>
          <w:rFonts w:ascii="Arial" w:hAnsi="Arial" w:cs="Arial"/>
          <w:color w:val="000000"/>
        </w:rPr>
        <w:t xml:space="preserve"> to foreclose on their </w:t>
      </w:r>
      <w:r w:rsidR="00A34A1E" w:rsidRPr="00FF7282">
        <w:rPr>
          <w:rFonts w:ascii="Arial" w:hAnsi="Arial" w:cs="Arial"/>
          <w:color w:val="000000"/>
        </w:rPr>
        <w:t>collateral</w:t>
      </w:r>
      <w:r w:rsidR="00C713EE" w:rsidRPr="00FF7282">
        <w:rPr>
          <w:rFonts w:ascii="Arial" w:hAnsi="Arial" w:cs="Arial"/>
          <w:color w:val="000000"/>
        </w:rPr>
        <w:t xml:space="preserve"> or force a liquidation</w:t>
      </w:r>
      <w:r w:rsidR="009470D4" w:rsidRPr="00FF7282">
        <w:rPr>
          <w:rFonts w:ascii="Arial" w:hAnsi="Arial" w:cs="Arial"/>
          <w:color w:val="000000"/>
        </w:rPr>
        <w:t xml:space="preserve"> (</w:t>
      </w:r>
      <w:r w:rsidR="006A6F9C" w:rsidRPr="00FF7282">
        <w:rPr>
          <w:rFonts w:ascii="Arial" w:hAnsi="Arial" w:cs="Arial"/>
          <w:color w:val="000000"/>
        </w:rPr>
        <w:t>Bracewell &amp; Giuliani, 2012</w:t>
      </w:r>
      <w:r w:rsidR="006A6F9C">
        <w:rPr>
          <w:rFonts w:ascii="Arial" w:hAnsi="Arial" w:cs="Arial"/>
          <w:color w:val="000000"/>
        </w:rPr>
        <w:t xml:space="preserve">; </w:t>
      </w:r>
      <w:r w:rsidR="009470D4" w:rsidRPr="00FF7282">
        <w:rPr>
          <w:rFonts w:ascii="Arial" w:hAnsi="Arial" w:cs="Arial"/>
          <w:color w:val="000000"/>
        </w:rPr>
        <w:t>Lee, 2011)</w:t>
      </w:r>
      <w:r w:rsidR="00C713EE" w:rsidRPr="00FF7282">
        <w:rPr>
          <w:rFonts w:ascii="Arial" w:hAnsi="Arial" w:cs="Arial"/>
          <w:color w:val="000000"/>
        </w:rPr>
        <w:t xml:space="preserve">. </w:t>
      </w:r>
      <w:r w:rsidR="00A34A1E" w:rsidRPr="00FF7282">
        <w:rPr>
          <w:rFonts w:ascii="Arial" w:hAnsi="Arial" w:cs="Arial"/>
          <w:color w:val="000000"/>
        </w:rPr>
        <w:t>Bracewell</w:t>
      </w:r>
      <w:r w:rsidR="00C713EE" w:rsidRPr="00FF7282">
        <w:rPr>
          <w:rFonts w:ascii="Arial" w:hAnsi="Arial" w:cs="Arial"/>
          <w:color w:val="000000"/>
        </w:rPr>
        <w:t xml:space="preserve"> and Giuliani (2012) </w:t>
      </w:r>
      <w:r w:rsidR="00A34A1E" w:rsidRPr="00FF7282">
        <w:rPr>
          <w:rFonts w:ascii="Arial" w:hAnsi="Arial" w:cs="Arial"/>
          <w:color w:val="000000"/>
        </w:rPr>
        <w:t>argue</w:t>
      </w:r>
      <w:r w:rsidR="00C713EE" w:rsidRPr="00FF7282">
        <w:rPr>
          <w:rFonts w:ascii="Arial" w:hAnsi="Arial" w:cs="Arial"/>
          <w:color w:val="000000"/>
        </w:rPr>
        <w:t xml:space="preserve"> that Chapter 11 </w:t>
      </w:r>
      <w:r w:rsidRPr="00FF7282">
        <w:rPr>
          <w:rFonts w:ascii="Arial" w:hAnsi="Arial" w:cs="Arial"/>
          <w:color w:val="000000"/>
        </w:rPr>
        <w:t>protects and preserves distressed businesses by allowing for and encouraging financial restructuring</w:t>
      </w:r>
      <w:r w:rsidR="00C713EE" w:rsidRPr="00FF7282">
        <w:rPr>
          <w:rFonts w:ascii="Arial" w:hAnsi="Arial" w:cs="Arial"/>
          <w:color w:val="000000"/>
        </w:rPr>
        <w:t xml:space="preserve"> binding to all stakeholders.</w:t>
      </w:r>
    </w:p>
    <w:p w14:paraId="4D5DB4DE" w14:textId="10D2E014" w:rsidR="00A34A1E" w:rsidRPr="00FF7282" w:rsidRDefault="00A34A1E"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 xml:space="preserve">The </w:t>
      </w:r>
      <w:r w:rsidR="0026796C" w:rsidRPr="00FF7282">
        <w:rPr>
          <w:rFonts w:ascii="Arial" w:hAnsi="Arial" w:cs="Arial"/>
        </w:rPr>
        <w:t>C</w:t>
      </w:r>
      <w:r w:rsidRPr="00FF7282">
        <w:rPr>
          <w:rFonts w:ascii="Arial" w:hAnsi="Arial" w:cs="Arial"/>
        </w:rPr>
        <w:t>ode began in 1979, and since then, reorganization under Chapter 11 has become a viable option for major corporations in financial distress, both in the USA and globally. This includes some well-known global companies who have turned to the US Code for protection under the debtor</w:t>
      </w:r>
      <w:r w:rsidR="0026796C" w:rsidRPr="00FF7282">
        <w:rPr>
          <w:rFonts w:ascii="Arial" w:hAnsi="Arial" w:cs="Arial"/>
        </w:rPr>
        <w:t>-</w:t>
      </w:r>
      <w:r w:rsidRPr="00FF7282">
        <w:rPr>
          <w:rFonts w:ascii="Arial" w:hAnsi="Arial" w:cs="Arial"/>
        </w:rPr>
        <w:t>friendly environment. Some easily recognized companies include Texaco, Lehman Brothers, American Airline</w:t>
      </w:r>
      <w:r w:rsidR="0026796C" w:rsidRPr="00FF7282">
        <w:rPr>
          <w:rFonts w:ascii="Arial" w:hAnsi="Arial" w:cs="Arial"/>
        </w:rPr>
        <w:t>s</w:t>
      </w:r>
      <w:r w:rsidRPr="00FF7282">
        <w:rPr>
          <w:rFonts w:ascii="Arial" w:hAnsi="Arial" w:cs="Arial"/>
        </w:rPr>
        <w:t>, Delta Airlines, and Polaroid (</w:t>
      </w:r>
      <w:r w:rsidRPr="00FF7282">
        <w:rPr>
          <w:rFonts w:ascii="Arial" w:hAnsi="Arial" w:cs="Arial"/>
          <w:color w:val="000000"/>
        </w:rPr>
        <w:t>Bracewell &amp; Giuliani, 2012).</w:t>
      </w:r>
    </w:p>
    <w:p w14:paraId="65EBFD36" w14:textId="4B1AF61A" w:rsidR="00A34A1E" w:rsidRPr="00FF7282" w:rsidRDefault="00A34A1E" w:rsidP="002618F4">
      <w:pPr>
        <w:pStyle w:val="ListParagraph"/>
        <w:numPr>
          <w:ilvl w:val="1"/>
          <w:numId w:val="13"/>
        </w:numPr>
        <w:shd w:val="clear" w:color="auto" w:fill="FFFFFF"/>
        <w:spacing w:after="240" w:line="360" w:lineRule="auto"/>
        <w:ind w:left="1134" w:hanging="567"/>
        <w:contextualSpacing w:val="0"/>
        <w:jc w:val="both"/>
        <w:textAlignment w:val="baseline"/>
        <w:rPr>
          <w:rFonts w:ascii="Arial" w:eastAsia="Times New Roman" w:hAnsi="Arial" w:cs="Arial"/>
          <w:kern w:val="0"/>
          <w14:ligatures w14:val="none"/>
        </w:rPr>
      </w:pPr>
      <w:r w:rsidRPr="00FF7282">
        <w:rPr>
          <w:rFonts w:ascii="Arial" w:eastAsia="Times New Roman" w:hAnsi="Arial" w:cs="Arial"/>
          <w:kern w:val="0"/>
          <w14:ligatures w14:val="none"/>
        </w:rPr>
        <w:t>Chapter 11 has a dual purpose. Firstly, the automatic stay (</w:t>
      </w:r>
      <w:r w:rsidRPr="00FF7282">
        <w:rPr>
          <w:rFonts w:ascii="Arial" w:eastAsia="Times New Roman" w:hAnsi="Arial" w:cs="Arial"/>
          <w:i/>
          <w:iCs/>
          <w:kern w:val="0"/>
          <w:bdr w:val="none" w:sz="0" w:space="0" w:color="auto" w:frame="1"/>
          <w14:ligatures w14:val="none"/>
        </w:rPr>
        <w:t>11 USC §362(a)</w:t>
      </w:r>
      <w:r w:rsidRPr="00FF7282">
        <w:rPr>
          <w:rFonts w:ascii="Arial" w:eastAsia="Times New Roman" w:hAnsi="Arial" w:cs="Arial"/>
          <w:kern w:val="0"/>
          <w14:ligatures w14:val="none"/>
        </w:rPr>
        <w:t xml:space="preserve">) provides a debtor with </w:t>
      </w:r>
      <w:r w:rsidRPr="006A6F9C">
        <w:rPr>
          <w:rFonts w:ascii="Arial" w:eastAsia="Times New Roman" w:hAnsi="Arial" w:cs="Arial"/>
          <w:kern w:val="0"/>
          <w14:ligatures w14:val="none"/>
        </w:rPr>
        <w:t>breathing space</w:t>
      </w:r>
      <w:r w:rsidRPr="00FF7282">
        <w:rPr>
          <w:rFonts w:ascii="Arial" w:eastAsia="Times New Roman" w:hAnsi="Arial" w:cs="Arial"/>
          <w:kern w:val="0"/>
          <w14:ligatures w14:val="none"/>
        </w:rPr>
        <w:t xml:space="preserve"> so that the financially distressed entity can preserve the business as a going</w:t>
      </w:r>
      <w:r w:rsidR="0026796C" w:rsidRPr="00FF7282">
        <w:rPr>
          <w:rFonts w:ascii="Arial" w:eastAsia="Times New Roman" w:hAnsi="Arial" w:cs="Arial"/>
          <w:kern w:val="0"/>
          <w14:ligatures w14:val="none"/>
        </w:rPr>
        <w:t xml:space="preserve"> </w:t>
      </w:r>
      <w:r w:rsidRPr="00FF7282">
        <w:rPr>
          <w:rFonts w:ascii="Arial" w:eastAsia="Times New Roman" w:hAnsi="Arial" w:cs="Arial"/>
          <w:kern w:val="0"/>
          <w14:ligatures w14:val="none"/>
        </w:rPr>
        <w:t>concern (</w:t>
      </w:r>
      <w:r w:rsidRPr="00FF7282">
        <w:rPr>
          <w:rFonts w:ascii="Arial" w:hAnsi="Arial" w:cs="Arial"/>
        </w:rPr>
        <w:t>Bracewell &amp; Giuliani, 2012; Dunne &amp; Uzzi, 2023)</w:t>
      </w:r>
      <w:r w:rsidRPr="00FF7282">
        <w:rPr>
          <w:rFonts w:ascii="Arial" w:eastAsia="Times New Roman" w:hAnsi="Arial" w:cs="Arial"/>
          <w:kern w:val="0"/>
          <w14:ligatures w14:val="none"/>
        </w:rPr>
        <w:t>. This prevents creditors from initiating judicial action or enforcing the collateral from the distressed company</w:t>
      </w:r>
      <w:r w:rsidR="0026796C" w:rsidRPr="00FF7282">
        <w:rPr>
          <w:rFonts w:ascii="Arial" w:eastAsia="Times New Roman" w:hAnsi="Arial" w:cs="Arial"/>
          <w:kern w:val="0"/>
          <w14:ligatures w14:val="none"/>
        </w:rPr>
        <w:t>'</w:t>
      </w:r>
      <w:r w:rsidRPr="00FF7282">
        <w:rPr>
          <w:rFonts w:ascii="Arial" w:eastAsia="Times New Roman" w:hAnsi="Arial" w:cs="Arial"/>
          <w:kern w:val="0"/>
          <w14:ligatures w14:val="none"/>
        </w:rPr>
        <w:t xml:space="preserve">s assets </w:t>
      </w:r>
      <w:r w:rsidR="009470D4" w:rsidRPr="00FF7282">
        <w:rPr>
          <w:rFonts w:ascii="Arial" w:eastAsia="Times New Roman" w:hAnsi="Arial" w:cs="Arial"/>
          <w:kern w:val="0"/>
          <w14:ligatures w14:val="none"/>
        </w:rPr>
        <w:t>[</w:t>
      </w:r>
      <w:r w:rsidRPr="00FF7282">
        <w:rPr>
          <w:rFonts w:ascii="Arial" w:eastAsia="Times New Roman" w:hAnsi="Arial" w:cs="Arial"/>
          <w:kern w:val="0"/>
          <w14:ligatures w14:val="none"/>
        </w:rPr>
        <w:t xml:space="preserve">the </w:t>
      </w:r>
      <w:r w:rsidRPr="00FF7282">
        <w:rPr>
          <w:rFonts w:ascii="Arial" w:eastAsia="Times New Roman" w:hAnsi="Arial" w:cs="Arial"/>
          <w:i/>
          <w:iCs/>
          <w:kern w:val="0"/>
          <w14:ligatures w14:val="none"/>
        </w:rPr>
        <w:t>estate</w:t>
      </w:r>
      <w:r w:rsidR="009470D4" w:rsidRPr="00FF7282">
        <w:rPr>
          <w:rFonts w:ascii="Arial" w:eastAsia="Times New Roman" w:hAnsi="Arial" w:cs="Arial"/>
          <w:kern w:val="0"/>
          <w14:ligatures w14:val="none"/>
        </w:rPr>
        <w:t>] (Lee, 2011)</w:t>
      </w:r>
      <w:r w:rsidRPr="00FF7282">
        <w:rPr>
          <w:rFonts w:ascii="Arial" w:eastAsia="Times New Roman" w:hAnsi="Arial" w:cs="Arial"/>
          <w:kern w:val="0"/>
          <w14:ligatures w14:val="none"/>
        </w:rPr>
        <w:t>. The stay also allows the management of the debtor company time to develop a reorganization plan (</w:t>
      </w:r>
      <w:r w:rsidRPr="00FF7282">
        <w:rPr>
          <w:rFonts w:ascii="Arial" w:hAnsi="Arial" w:cs="Arial"/>
        </w:rPr>
        <w:t>Bracewell &amp; Giuliani, 2012; Dunne &amp; Uzzi, 2023</w:t>
      </w:r>
      <w:r w:rsidR="007B35BE" w:rsidRPr="00FF7282">
        <w:rPr>
          <w:rFonts w:ascii="Arial" w:hAnsi="Arial" w:cs="Arial"/>
        </w:rPr>
        <w:t>; Lee, 2011).</w:t>
      </w:r>
      <w:r w:rsidRPr="00FF7282">
        <w:rPr>
          <w:rFonts w:ascii="Arial" w:eastAsia="Times New Roman" w:hAnsi="Arial" w:cs="Arial"/>
          <w:kern w:val="0"/>
          <w14:ligatures w14:val="none"/>
        </w:rPr>
        <w:t xml:space="preserve"> Secondly, Chapter 11 is intended to maximize the assets recovered for the debtor's various creditors</w:t>
      </w:r>
      <w:r w:rsidR="009470D4" w:rsidRPr="00FF7282">
        <w:rPr>
          <w:rFonts w:ascii="Arial" w:eastAsia="Times New Roman" w:hAnsi="Arial" w:cs="Arial"/>
          <w:kern w:val="0"/>
          <w14:ligatures w14:val="none"/>
        </w:rPr>
        <w:t xml:space="preserve"> (</w:t>
      </w:r>
      <w:r w:rsidR="009470D4" w:rsidRPr="00FF7282">
        <w:rPr>
          <w:rFonts w:ascii="Arial" w:hAnsi="Arial" w:cs="Arial"/>
        </w:rPr>
        <w:t>Bracewell &amp; Giuliani, 2012)</w:t>
      </w:r>
      <w:r w:rsidRPr="00FF7282">
        <w:rPr>
          <w:rFonts w:ascii="Arial" w:eastAsia="Times New Roman" w:hAnsi="Arial" w:cs="Arial"/>
          <w:kern w:val="0"/>
          <w14:ligatures w14:val="none"/>
        </w:rPr>
        <w:t>.</w:t>
      </w:r>
    </w:p>
    <w:p w14:paraId="6BBDDC4B" w14:textId="3B71F28B" w:rsidR="004452BF" w:rsidRPr="00FF7282" w:rsidRDefault="00A34A1E"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eastAsia="Times New Roman" w:hAnsi="Arial" w:cs="Arial"/>
          <w:kern w:val="0"/>
          <w14:ligatures w14:val="none"/>
        </w:rPr>
        <w:t>According to Dunne and Uzzi (2023), under Chapter 11, the debtor is allowed to 1) preserve its business as a going concern and judicially restructure its debt by reducing the amount owed (haircut) or extending repayment terms; 2) implement an operational restructuring by rejecting unprofitable contracts or selling money</w:t>
      </w:r>
      <w:r w:rsidR="0026796C" w:rsidRPr="00FF7282">
        <w:rPr>
          <w:rFonts w:ascii="Arial" w:eastAsia="Times New Roman" w:hAnsi="Arial" w:cs="Arial"/>
          <w:kern w:val="0"/>
          <w14:ligatures w14:val="none"/>
        </w:rPr>
        <w:t>-</w:t>
      </w:r>
      <w:r w:rsidRPr="00FF7282">
        <w:rPr>
          <w:rFonts w:ascii="Arial" w:eastAsia="Times New Roman" w:hAnsi="Arial" w:cs="Arial"/>
          <w:kern w:val="0"/>
          <w14:ligatures w14:val="none"/>
        </w:rPr>
        <w:t xml:space="preserve">losing lines of business; 3) Chapter 11 allows for the selling </w:t>
      </w:r>
      <w:r w:rsidR="00116B81">
        <w:rPr>
          <w:rFonts w:ascii="Arial" w:eastAsia="Times New Roman" w:hAnsi="Arial" w:cs="Arial"/>
          <w:kern w:val="0"/>
          <w14:ligatures w14:val="none"/>
        </w:rPr>
        <w:t xml:space="preserve">of </w:t>
      </w:r>
      <w:r w:rsidRPr="00FF7282">
        <w:rPr>
          <w:rFonts w:ascii="Arial" w:eastAsia="Times New Roman" w:hAnsi="Arial" w:cs="Arial"/>
          <w:kern w:val="0"/>
          <w14:ligatures w14:val="none"/>
        </w:rPr>
        <w:t xml:space="preserve">corporate entities in whole or in part, or </w:t>
      </w:r>
      <w:r w:rsidR="00A70E42">
        <w:rPr>
          <w:rFonts w:ascii="Arial" w:eastAsia="Times New Roman" w:hAnsi="Arial" w:cs="Arial"/>
          <w:kern w:val="0"/>
          <w14:ligatures w14:val="none"/>
        </w:rPr>
        <w:t xml:space="preserve">the </w:t>
      </w:r>
      <w:r w:rsidR="00A70E42" w:rsidRPr="00FF7282">
        <w:rPr>
          <w:rFonts w:ascii="Arial" w:eastAsia="Times New Roman" w:hAnsi="Arial" w:cs="Arial"/>
          <w:kern w:val="0"/>
          <w14:ligatures w14:val="none"/>
        </w:rPr>
        <w:t>liquidat</w:t>
      </w:r>
      <w:r w:rsidR="00A70E42">
        <w:rPr>
          <w:rFonts w:ascii="Arial" w:eastAsia="Times New Roman" w:hAnsi="Arial" w:cs="Arial"/>
          <w:kern w:val="0"/>
          <w14:ligatures w14:val="none"/>
        </w:rPr>
        <w:t>ion of</w:t>
      </w:r>
      <w:r w:rsidR="006A6F9C">
        <w:rPr>
          <w:rFonts w:ascii="Arial" w:eastAsia="Times New Roman" w:hAnsi="Arial" w:cs="Arial"/>
          <w:kern w:val="0"/>
          <w14:ligatures w14:val="none"/>
        </w:rPr>
        <w:t xml:space="preserve"> the company</w:t>
      </w:r>
      <w:r w:rsidR="009470D4" w:rsidRPr="00FF7282">
        <w:rPr>
          <w:rFonts w:ascii="Arial" w:eastAsia="Times New Roman" w:hAnsi="Arial" w:cs="Arial"/>
          <w:kern w:val="0"/>
          <w14:ligatures w14:val="none"/>
        </w:rPr>
        <w:t>.</w:t>
      </w:r>
      <w:r w:rsidRPr="00FF7282">
        <w:rPr>
          <w:rFonts w:ascii="Arial" w:eastAsia="Times New Roman" w:hAnsi="Arial" w:cs="Arial"/>
          <w:kern w:val="0"/>
          <w14:ligatures w14:val="none"/>
        </w:rPr>
        <w:t xml:space="preserve"> </w:t>
      </w:r>
      <w:r w:rsidR="009470D4" w:rsidRPr="00FF7282">
        <w:rPr>
          <w:rFonts w:ascii="Arial" w:eastAsia="Times New Roman" w:hAnsi="Arial" w:cs="Arial"/>
          <w:kern w:val="0"/>
          <w14:ligatures w14:val="none"/>
        </w:rPr>
        <w:t>A</w:t>
      </w:r>
      <w:r w:rsidRPr="00FF7282">
        <w:rPr>
          <w:rFonts w:ascii="Arial" w:eastAsia="Times New Roman" w:hAnsi="Arial" w:cs="Arial"/>
          <w:kern w:val="0"/>
          <w14:ligatures w14:val="none"/>
        </w:rPr>
        <w:t>lthough under the Code, Chapter 7 also provides a means for business liquidations. However, in a Chapter 11 liquidation, the company's management is allowed to retain control of the business, whereas</w:t>
      </w:r>
      <w:r w:rsidR="0026796C" w:rsidRPr="00FF7282">
        <w:rPr>
          <w:rFonts w:ascii="Arial" w:eastAsia="Times New Roman" w:hAnsi="Arial" w:cs="Arial"/>
          <w:kern w:val="0"/>
          <w14:ligatures w14:val="none"/>
        </w:rPr>
        <w:t>,</w:t>
      </w:r>
      <w:r w:rsidRPr="00FF7282">
        <w:rPr>
          <w:rFonts w:ascii="Arial" w:eastAsia="Times New Roman" w:hAnsi="Arial" w:cs="Arial"/>
          <w:kern w:val="0"/>
          <w14:ligatures w14:val="none"/>
        </w:rPr>
        <w:t xml:space="preserve"> in a Chapter 7 liquidation, a trustee is appointed by the Bankruptcy Court.</w:t>
      </w:r>
      <w:r w:rsidR="004452BF" w:rsidRPr="00FF7282">
        <w:rPr>
          <w:rFonts w:ascii="Arial" w:eastAsia="Times New Roman" w:hAnsi="Arial" w:cs="Arial"/>
          <w:kern w:val="0"/>
          <w14:ligatures w14:val="none"/>
        </w:rPr>
        <w:t xml:space="preserve"> </w:t>
      </w:r>
      <w:r w:rsidR="0026796C" w:rsidRPr="00FF7282">
        <w:rPr>
          <w:rFonts w:ascii="Arial" w:hAnsi="Arial" w:cs="Arial"/>
          <w:color w:val="000000"/>
        </w:rPr>
        <w:t>Solvent and insolvent companies can also</w:t>
      </w:r>
      <w:r w:rsidR="004452BF" w:rsidRPr="00FF7282">
        <w:rPr>
          <w:rFonts w:ascii="Arial" w:hAnsi="Arial" w:cs="Arial"/>
          <w:color w:val="000000"/>
        </w:rPr>
        <w:t xml:space="preserve"> seek assistance under Chapter 11 (</w:t>
      </w:r>
      <w:r w:rsidR="006A6F9C" w:rsidRPr="00FF7282">
        <w:rPr>
          <w:rFonts w:ascii="Arial" w:hAnsi="Arial" w:cs="Arial"/>
          <w:color w:val="000000"/>
        </w:rPr>
        <w:t>Bracewell &amp; Giuliani, 2012</w:t>
      </w:r>
      <w:r w:rsidR="006A6F9C">
        <w:rPr>
          <w:rFonts w:ascii="Arial" w:hAnsi="Arial" w:cs="Arial"/>
          <w:color w:val="000000"/>
        </w:rPr>
        <w:t xml:space="preserve">; </w:t>
      </w:r>
      <w:r w:rsidR="004452BF" w:rsidRPr="00FF7282">
        <w:rPr>
          <w:rFonts w:ascii="Arial" w:hAnsi="Arial" w:cs="Arial"/>
          <w:color w:val="000000"/>
        </w:rPr>
        <w:t>Dunne &amp; Uzzi, 2023</w:t>
      </w:r>
      <w:r w:rsidR="007B35BE" w:rsidRPr="00FF7282">
        <w:rPr>
          <w:rFonts w:ascii="Arial" w:hAnsi="Arial" w:cs="Arial"/>
          <w:color w:val="000000"/>
        </w:rPr>
        <w:t xml:space="preserve">; </w:t>
      </w:r>
      <w:r w:rsidR="007B35BE" w:rsidRPr="00FF7282">
        <w:rPr>
          <w:rFonts w:ascii="Arial" w:hAnsi="Arial" w:cs="Arial"/>
        </w:rPr>
        <w:t>Lee, 2011</w:t>
      </w:r>
      <w:r w:rsidR="004452BF" w:rsidRPr="00FF7282">
        <w:rPr>
          <w:rFonts w:ascii="Arial" w:hAnsi="Arial" w:cs="Arial"/>
          <w:color w:val="000000"/>
        </w:rPr>
        <w:t>).</w:t>
      </w:r>
    </w:p>
    <w:p w14:paraId="592F1F33" w14:textId="4C26258C" w:rsidR="00395D0F" w:rsidRPr="00FF7282" w:rsidRDefault="00395D0F"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color w:val="000000"/>
        </w:rPr>
        <w:t xml:space="preserve">Some </w:t>
      </w:r>
      <w:r w:rsidR="0026796C" w:rsidRPr="00FF7282">
        <w:rPr>
          <w:rFonts w:ascii="Arial" w:hAnsi="Arial" w:cs="Arial"/>
          <w:color w:val="000000"/>
        </w:rPr>
        <w:t>reasons for seeking Chapter 11 protection include cash flow challenges, lack of access to credit, tort liabilities for defective products, unexpected financial challenges, and technological changes</w:t>
      </w:r>
      <w:r w:rsidR="004452BF" w:rsidRPr="00FF7282">
        <w:rPr>
          <w:rFonts w:ascii="Arial" w:hAnsi="Arial" w:cs="Arial"/>
          <w:color w:val="000000"/>
        </w:rPr>
        <w:t xml:space="preserve"> (</w:t>
      </w:r>
      <w:r w:rsidR="004452BF" w:rsidRPr="00FF7282">
        <w:rPr>
          <w:rFonts w:ascii="Arial" w:hAnsi="Arial" w:cs="Arial"/>
        </w:rPr>
        <w:t>Bracewell &amp; Giuliani, 2012)</w:t>
      </w:r>
      <w:r w:rsidRPr="00FF7282">
        <w:rPr>
          <w:rFonts w:ascii="Arial" w:hAnsi="Arial" w:cs="Arial"/>
          <w:color w:val="000000"/>
        </w:rPr>
        <w:t>. However, some authors warn that, despite the perceived friendliness of Chapter 11, it is not a cure for all corporate woes and should only be sought as a last resort</w:t>
      </w:r>
      <w:r w:rsidR="007B35BE" w:rsidRPr="00FF7282">
        <w:rPr>
          <w:rFonts w:ascii="Arial" w:hAnsi="Arial" w:cs="Arial"/>
          <w:color w:val="000000"/>
        </w:rPr>
        <w:t xml:space="preserve"> (</w:t>
      </w:r>
      <w:r w:rsidR="007B35BE" w:rsidRPr="00FF7282">
        <w:rPr>
          <w:rFonts w:ascii="Arial" w:hAnsi="Arial" w:cs="Arial"/>
        </w:rPr>
        <w:t>Lee, 2011</w:t>
      </w:r>
      <w:r w:rsidR="009470D4" w:rsidRPr="00FF7282">
        <w:rPr>
          <w:rFonts w:ascii="Arial" w:hAnsi="Arial" w:cs="Arial"/>
        </w:rPr>
        <w:t>).</w:t>
      </w:r>
    </w:p>
    <w:p w14:paraId="7C21AD21" w14:textId="1F89136A" w:rsidR="00395D0F" w:rsidRPr="00FF7282" w:rsidRDefault="00395D0F"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color w:val="000000"/>
        </w:rPr>
        <w:t xml:space="preserve">The remedies and safeguards granted to creditors </w:t>
      </w:r>
      <w:r w:rsidR="00EB448D">
        <w:rPr>
          <w:rFonts w:ascii="Arial" w:hAnsi="Arial" w:cs="Arial"/>
          <w:color w:val="000000"/>
        </w:rPr>
        <w:t>differ greatly</w:t>
      </w:r>
      <w:r w:rsidRPr="00FF7282">
        <w:rPr>
          <w:rFonts w:ascii="Arial" w:hAnsi="Arial" w:cs="Arial"/>
          <w:color w:val="000000"/>
        </w:rPr>
        <w:t xml:space="preserve"> f</w:t>
      </w:r>
      <w:r w:rsidR="0026796C" w:rsidRPr="00FF7282">
        <w:rPr>
          <w:rFonts w:ascii="Arial" w:hAnsi="Arial" w:cs="Arial"/>
          <w:color w:val="000000"/>
        </w:rPr>
        <w:t>rom those</w:t>
      </w:r>
      <w:r w:rsidRPr="00FF7282">
        <w:rPr>
          <w:rFonts w:ascii="Arial" w:hAnsi="Arial" w:cs="Arial"/>
          <w:color w:val="000000"/>
        </w:rPr>
        <w:t xml:space="preserve"> given to debtors under Chapter 11. With the two sides having different expectations, Chapter 11 has become a </w:t>
      </w:r>
      <w:r w:rsidR="004452BF" w:rsidRPr="00FF7282">
        <w:rPr>
          <w:rFonts w:ascii="Arial" w:hAnsi="Arial" w:cs="Arial"/>
          <w:color w:val="000000"/>
        </w:rPr>
        <w:t>significant</w:t>
      </w:r>
      <w:r w:rsidRPr="00FF7282">
        <w:rPr>
          <w:rFonts w:ascii="Arial" w:hAnsi="Arial" w:cs="Arial"/>
          <w:color w:val="000000"/>
        </w:rPr>
        <w:t xml:space="preserve"> international forum for addressing the financial health of major US companies and their global counterparts</w:t>
      </w:r>
      <w:r w:rsidR="007B35BE" w:rsidRPr="00FF7282">
        <w:rPr>
          <w:rFonts w:ascii="Arial" w:hAnsi="Arial" w:cs="Arial"/>
          <w:color w:val="000000"/>
        </w:rPr>
        <w:t xml:space="preserve"> (</w:t>
      </w:r>
      <w:r w:rsidR="006A6F9C" w:rsidRPr="00FF7282">
        <w:rPr>
          <w:rFonts w:ascii="Arial" w:hAnsi="Arial" w:cs="Arial"/>
          <w:color w:val="000000"/>
        </w:rPr>
        <w:t>Bracewell &amp; Giuliani, 2012</w:t>
      </w:r>
      <w:r w:rsidR="006A6F9C">
        <w:rPr>
          <w:rFonts w:ascii="Arial" w:hAnsi="Arial" w:cs="Arial"/>
          <w:color w:val="000000"/>
        </w:rPr>
        <w:t xml:space="preserve">; </w:t>
      </w:r>
      <w:r w:rsidR="007B35BE" w:rsidRPr="00FF7282">
        <w:rPr>
          <w:rFonts w:ascii="Arial" w:hAnsi="Arial" w:cs="Arial"/>
        </w:rPr>
        <w:t>Lee, 2011)</w:t>
      </w:r>
      <w:r w:rsidRPr="00FF7282">
        <w:rPr>
          <w:rFonts w:ascii="Arial" w:hAnsi="Arial" w:cs="Arial"/>
          <w:color w:val="000000"/>
        </w:rPr>
        <w:t>.</w:t>
      </w:r>
    </w:p>
    <w:p w14:paraId="5998C3E6" w14:textId="2A7A7104" w:rsidR="00C909AF" w:rsidRPr="00FF7282" w:rsidRDefault="00C909AF"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color w:val="000000"/>
        </w:rPr>
        <w:t xml:space="preserve">The Code does not apply to bank and insurance entities, entities </w:t>
      </w:r>
      <w:r w:rsidR="0026796C" w:rsidRPr="00FF7282">
        <w:rPr>
          <w:rFonts w:ascii="Arial" w:hAnsi="Arial" w:cs="Arial"/>
          <w:color w:val="000000"/>
        </w:rPr>
        <w:t>not resident or domiciled in the USA, without a place of business or property in the USA, and governmental entities</w:t>
      </w:r>
      <w:r w:rsidRPr="00FF7282">
        <w:rPr>
          <w:rFonts w:ascii="Arial" w:hAnsi="Arial" w:cs="Arial"/>
          <w:color w:val="000000"/>
        </w:rPr>
        <w:t xml:space="preserve"> not municipalities under 11 USC </w:t>
      </w:r>
      <w:r w:rsidR="008C7030" w:rsidRPr="00FF7282">
        <w:rPr>
          <w:rFonts w:ascii="Arial" w:hAnsi="Arial" w:cs="Arial"/>
          <w:color w:val="000000"/>
        </w:rPr>
        <w:t>§ 109</w:t>
      </w:r>
      <w:r w:rsidR="004452BF" w:rsidRPr="00FF7282">
        <w:rPr>
          <w:rFonts w:ascii="Arial" w:hAnsi="Arial" w:cs="Arial"/>
          <w:color w:val="000000"/>
        </w:rPr>
        <w:t xml:space="preserve"> (</w:t>
      </w:r>
      <w:r w:rsidR="004452BF" w:rsidRPr="00FF7282">
        <w:rPr>
          <w:rFonts w:ascii="Arial" w:hAnsi="Arial" w:cs="Arial"/>
        </w:rPr>
        <w:t>Bracewell &amp; Giuliani, 2012)</w:t>
      </w:r>
      <w:r w:rsidR="008C7030" w:rsidRPr="00FF7282">
        <w:rPr>
          <w:rFonts w:ascii="Arial" w:hAnsi="Arial" w:cs="Arial"/>
          <w:color w:val="000000"/>
        </w:rPr>
        <w:t>. Other entities in financial distress governed by other state o</w:t>
      </w:r>
      <w:r w:rsidR="0026796C" w:rsidRPr="00FF7282">
        <w:rPr>
          <w:rFonts w:ascii="Arial" w:hAnsi="Arial" w:cs="Arial"/>
          <w:color w:val="000000"/>
        </w:rPr>
        <w:t>r</w:t>
      </w:r>
      <w:r w:rsidR="008C7030" w:rsidRPr="00FF7282">
        <w:rPr>
          <w:rFonts w:ascii="Arial" w:hAnsi="Arial" w:cs="Arial"/>
          <w:color w:val="000000"/>
        </w:rPr>
        <w:t xml:space="preserve"> federal laws are also restricted from seeking Chapter 11 protection</w:t>
      </w:r>
      <w:r w:rsidR="004452BF" w:rsidRPr="00FF7282">
        <w:rPr>
          <w:rFonts w:ascii="Arial" w:hAnsi="Arial" w:cs="Arial"/>
          <w:color w:val="000000"/>
        </w:rPr>
        <w:t xml:space="preserve"> (</w:t>
      </w:r>
      <w:r w:rsidR="004452BF" w:rsidRPr="00FF7282">
        <w:rPr>
          <w:rFonts w:ascii="Arial" w:hAnsi="Arial" w:cs="Arial"/>
        </w:rPr>
        <w:t>Bracewell &amp; Giuliani, 2012)</w:t>
      </w:r>
      <w:r w:rsidR="008C7030" w:rsidRPr="00FF7282">
        <w:rPr>
          <w:rFonts w:ascii="Arial" w:hAnsi="Arial" w:cs="Arial"/>
          <w:color w:val="000000"/>
        </w:rPr>
        <w:t>.</w:t>
      </w:r>
      <w:r w:rsidR="004452BF" w:rsidRPr="00FF7282">
        <w:rPr>
          <w:rFonts w:ascii="Arial" w:hAnsi="Arial" w:cs="Arial"/>
          <w:color w:val="000000"/>
        </w:rPr>
        <w:t xml:space="preserve"> Tajti (2018) noted that the stigma of bankruptcy does not seem </w:t>
      </w:r>
      <w:r w:rsidR="0026796C" w:rsidRPr="00FF7282">
        <w:rPr>
          <w:rFonts w:ascii="Arial" w:hAnsi="Arial" w:cs="Arial"/>
          <w:color w:val="000000"/>
        </w:rPr>
        <w:t>as effective in the USA a</w:t>
      </w:r>
      <w:r w:rsidR="004452BF" w:rsidRPr="00FF7282">
        <w:rPr>
          <w:rFonts w:ascii="Arial" w:hAnsi="Arial" w:cs="Arial"/>
          <w:color w:val="000000"/>
        </w:rPr>
        <w:t>s in other jurisdictions. This cements the argument concerning the friendliness of the insolvency proceedings in the USA.</w:t>
      </w:r>
    </w:p>
    <w:p w14:paraId="08EB1E28" w14:textId="3978A776" w:rsidR="003C12DB" w:rsidRPr="00FF7282" w:rsidRDefault="0026796C" w:rsidP="006A6F9C">
      <w:pPr>
        <w:pStyle w:val="ListParagraph"/>
        <w:numPr>
          <w:ilvl w:val="1"/>
          <w:numId w:val="13"/>
        </w:numPr>
        <w:shd w:val="clear" w:color="auto" w:fill="FFFFFF"/>
        <w:spacing w:after="240" w:line="360" w:lineRule="auto"/>
        <w:ind w:left="1134" w:hanging="567"/>
        <w:contextualSpacing w:val="0"/>
        <w:jc w:val="both"/>
        <w:textAlignment w:val="baseline"/>
        <w:rPr>
          <w:rFonts w:ascii="Arial" w:hAnsi="Arial" w:cs="Arial"/>
          <w:shd w:val="clear" w:color="auto" w:fill="FFFFFF"/>
        </w:rPr>
      </w:pPr>
      <w:r w:rsidRPr="00FF7282">
        <w:rPr>
          <w:rFonts w:ascii="Arial" w:hAnsi="Arial" w:cs="Arial"/>
          <w:shd w:val="clear" w:color="auto" w:fill="FFFFFF"/>
        </w:rPr>
        <w:t>Many countries have adopted the UNCITRAL model laws to facilitate cross-border insolvencie</w:t>
      </w:r>
      <w:r w:rsidR="00E905DA" w:rsidRPr="00FF7282">
        <w:rPr>
          <w:rFonts w:ascii="Arial" w:hAnsi="Arial" w:cs="Arial"/>
          <w:shd w:val="clear" w:color="auto" w:fill="FFFFFF"/>
        </w:rPr>
        <w:t xml:space="preserve">s. </w:t>
      </w:r>
      <w:r w:rsidR="003C12DB" w:rsidRPr="00FF7282">
        <w:rPr>
          <w:rFonts w:ascii="Arial" w:hAnsi="Arial" w:cs="Arial"/>
          <w:shd w:val="clear" w:color="auto" w:fill="FFFFFF"/>
        </w:rPr>
        <w:t>According to Thomson Reuters (2023), the US has not fully adopted the UNCITRAL Model Law</w:t>
      </w:r>
      <w:r w:rsidR="00E905DA" w:rsidRPr="00FF7282">
        <w:rPr>
          <w:rFonts w:ascii="Arial" w:hAnsi="Arial" w:cs="Arial"/>
          <w:shd w:val="clear" w:color="auto" w:fill="FFFFFF"/>
        </w:rPr>
        <w:t>s</w:t>
      </w:r>
      <w:r w:rsidRPr="00FF7282">
        <w:rPr>
          <w:rFonts w:ascii="Arial" w:hAnsi="Arial" w:cs="Arial"/>
          <w:shd w:val="clear" w:color="auto" w:fill="FFFFFF"/>
        </w:rPr>
        <w:t>,</w:t>
      </w:r>
      <w:r w:rsidR="00E905DA" w:rsidRPr="00FF7282">
        <w:rPr>
          <w:rFonts w:ascii="Arial" w:hAnsi="Arial" w:cs="Arial"/>
          <w:shd w:val="clear" w:color="auto" w:fill="FFFFFF"/>
        </w:rPr>
        <w:t xml:space="preserve"> </w:t>
      </w:r>
      <w:r w:rsidRPr="00FF7282">
        <w:rPr>
          <w:rFonts w:ascii="Arial" w:hAnsi="Arial" w:cs="Arial"/>
          <w:shd w:val="clear" w:color="auto" w:fill="FFFFFF"/>
        </w:rPr>
        <w:t>except for</w:t>
      </w:r>
      <w:r w:rsidR="003C12DB" w:rsidRPr="00FF7282">
        <w:rPr>
          <w:rFonts w:ascii="Arial" w:hAnsi="Arial" w:cs="Arial"/>
          <w:shd w:val="clear" w:color="auto" w:fill="FFFFFF"/>
        </w:rPr>
        <w:t xml:space="preserve"> </w:t>
      </w:r>
      <w:r w:rsidR="005A2A14" w:rsidRPr="00FF7282">
        <w:rPr>
          <w:rFonts w:ascii="Arial" w:hAnsi="Arial" w:cs="Arial"/>
          <w:shd w:val="clear" w:color="auto" w:fill="FFFFFF"/>
        </w:rPr>
        <w:t>California and Texas</w:t>
      </w:r>
      <w:r w:rsidR="003C12DB" w:rsidRPr="00FF7282">
        <w:rPr>
          <w:rFonts w:ascii="Arial" w:hAnsi="Arial" w:cs="Arial"/>
          <w:shd w:val="clear" w:color="auto" w:fill="FFFFFF"/>
        </w:rPr>
        <w:t>. Additionally, the (North Atlantic Free Trade Agreement (NAFTA) agreements reflect some aspects of UNCITRAL</w:t>
      </w:r>
      <w:r w:rsidRPr="00FF7282">
        <w:rPr>
          <w:rFonts w:ascii="Arial" w:hAnsi="Arial" w:cs="Arial"/>
          <w:shd w:val="clear" w:color="auto" w:fill="FFFFFF"/>
        </w:rPr>
        <w:t>'</w:t>
      </w:r>
      <w:r w:rsidR="005A2A14" w:rsidRPr="00FF7282">
        <w:rPr>
          <w:rFonts w:ascii="Arial" w:hAnsi="Arial" w:cs="Arial"/>
          <w:shd w:val="clear" w:color="auto" w:fill="FFFFFF"/>
        </w:rPr>
        <w:t>s principles</w:t>
      </w:r>
      <w:r w:rsidR="003C12DB" w:rsidRPr="00FF7282">
        <w:rPr>
          <w:rFonts w:ascii="Arial" w:hAnsi="Arial" w:cs="Arial"/>
          <w:shd w:val="clear" w:color="auto" w:fill="FFFFFF"/>
        </w:rPr>
        <w:t>.</w:t>
      </w:r>
      <w:r w:rsidR="009470D4" w:rsidRPr="00FF7282">
        <w:rPr>
          <w:rStyle w:val="FootnoteReference"/>
          <w:rFonts w:ascii="Arial" w:hAnsi="Arial" w:cs="Arial"/>
          <w:shd w:val="clear" w:color="auto" w:fill="FFFFFF"/>
        </w:rPr>
        <w:footnoteReference w:id="11"/>
      </w:r>
    </w:p>
    <w:p w14:paraId="08627DB4" w14:textId="194EDDA7" w:rsidR="00D62ACF" w:rsidRPr="00FF7282" w:rsidRDefault="00D62ACF" w:rsidP="002618F4">
      <w:pPr>
        <w:pStyle w:val="ListParagraph"/>
        <w:numPr>
          <w:ilvl w:val="1"/>
          <w:numId w:val="13"/>
        </w:numPr>
        <w:shd w:val="clear" w:color="auto" w:fill="FFFFFF"/>
        <w:spacing w:after="240" w:line="360" w:lineRule="auto"/>
        <w:ind w:left="1134" w:hanging="567"/>
        <w:contextualSpacing w:val="0"/>
        <w:jc w:val="both"/>
        <w:textAlignment w:val="baseline"/>
        <w:rPr>
          <w:rFonts w:ascii="Arial" w:hAnsi="Arial" w:cs="Arial"/>
        </w:rPr>
      </w:pPr>
      <w:r w:rsidRPr="00FF7282">
        <w:rPr>
          <w:rFonts w:ascii="Arial" w:hAnsi="Arial" w:cs="Arial"/>
        </w:rPr>
        <w:t>Notwithstanding</w:t>
      </w:r>
      <w:r w:rsidR="00E905DA" w:rsidRPr="00FF7282">
        <w:rPr>
          <w:rFonts w:ascii="Arial" w:hAnsi="Arial" w:cs="Arial"/>
        </w:rPr>
        <w:t>,</w:t>
      </w:r>
      <w:r w:rsidRPr="00FF7282">
        <w:rPr>
          <w:rFonts w:ascii="Arial" w:hAnsi="Arial" w:cs="Arial"/>
        </w:rPr>
        <w:t xml:space="preserve"> the enactment of Chapter 15 of the Bankruptcy Code Chapter 15, titled </w:t>
      </w:r>
      <w:r w:rsidRPr="00FF7282">
        <w:rPr>
          <w:rFonts w:ascii="Arial" w:hAnsi="Arial" w:cs="Arial"/>
          <w:i/>
          <w:iCs/>
        </w:rPr>
        <w:t>Ancillary and Other Cross-Border Cases</w:t>
      </w:r>
      <w:r w:rsidR="0026796C" w:rsidRPr="00FF7282">
        <w:rPr>
          <w:rFonts w:ascii="Arial" w:hAnsi="Arial" w:cs="Arial"/>
          <w:i/>
          <w:iCs/>
        </w:rPr>
        <w:t>,</w:t>
      </w:r>
      <w:r w:rsidRPr="00FF7282">
        <w:rPr>
          <w:rFonts w:ascii="Arial" w:hAnsi="Arial" w:cs="Arial"/>
        </w:rPr>
        <w:t xml:space="preserve"> provides a mechanism for recognizing and </w:t>
      </w:r>
      <w:r w:rsidR="0026796C" w:rsidRPr="00FF7282">
        <w:rPr>
          <w:rFonts w:ascii="Arial" w:hAnsi="Arial" w:cs="Arial"/>
        </w:rPr>
        <w:t>assisting</w:t>
      </w:r>
      <w:r w:rsidRPr="00FF7282">
        <w:rPr>
          <w:rFonts w:ascii="Arial" w:hAnsi="Arial" w:cs="Arial"/>
        </w:rPr>
        <w:t xml:space="preserve"> foreign insolvency proceedings. Chapter 15 allows foreign representatives to seek recognition of their authority in US courts and provides cooperation and coordination between US courts and foreign courts or foreign representatives in cross-border insolvency cases</w:t>
      </w:r>
      <w:r w:rsidR="00450057" w:rsidRPr="00FF7282">
        <w:rPr>
          <w:rFonts w:ascii="Arial" w:hAnsi="Arial" w:cs="Arial"/>
        </w:rPr>
        <w:t xml:space="preserve"> (US Bankruptcy Code, Chapter 15)</w:t>
      </w:r>
      <w:r w:rsidRPr="00FF7282">
        <w:rPr>
          <w:rFonts w:ascii="Arial" w:hAnsi="Arial" w:cs="Arial"/>
        </w:rPr>
        <w:t>.</w:t>
      </w:r>
    </w:p>
    <w:p w14:paraId="3F15BB0A" w14:textId="4E2E612E" w:rsidR="003D0170" w:rsidRPr="00FF7282" w:rsidRDefault="003D0170" w:rsidP="002618F4">
      <w:pPr>
        <w:pStyle w:val="ListParagraph"/>
        <w:numPr>
          <w:ilvl w:val="1"/>
          <w:numId w:val="13"/>
        </w:numPr>
        <w:shd w:val="clear" w:color="auto" w:fill="FFFFFF"/>
        <w:spacing w:after="240" w:line="360" w:lineRule="auto"/>
        <w:ind w:left="1134" w:hanging="567"/>
        <w:contextualSpacing w:val="0"/>
        <w:jc w:val="both"/>
        <w:textAlignment w:val="baseline"/>
        <w:rPr>
          <w:rFonts w:ascii="Arial" w:hAnsi="Arial" w:cs="Arial"/>
        </w:rPr>
      </w:pPr>
      <w:r w:rsidRPr="00FF7282">
        <w:rPr>
          <w:rFonts w:ascii="Arial" w:hAnsi="Arial" w:cs="Arial"/>
        </w:rPr>
        <w:t>Chapter 15 of the Bankruptcy Code, incorporating the provisions of the UNCITRAL Model Law, helps to address the challenges and complexities arising in cross-border insolvency cases</w:t>
      </w:r>
      <w:r w:rsidR="009470D4" w:rsidRPr="00FF7282">
        <w:rPr>
          <w:rFonts w:ascii="Arial" w:hAnsi="Arial" w:cs="Arial"/>
        </w:rPr>
        <w:t>.</w:t>
      </w:r>
      <w:r w:rsidR="009470D4" w:rsidRPr="00FF7282">
        <w:rPr>
          <w:rStyle w:val="FootnoteReference"/>
          <w:rFonts w:ascii="Arial" w:hAnsi="Arial" w:cs="Arial"/>
        </w:rPr>
        <w:footnoteReference w:id="12"/>
      </w:r>
      <w:r w:rsidRPr="00FF7282">
        <w:rPr>
          <w:rFonts w:ascii="Arial" w:hAnsi="Arial" w:cs="Arial"/>
        </w:rPr>
        <w:t xml:space="preserve"> It promotes the coordination of proceedings involving assets or creditors in multiple jurisdictions, facilitates communication and cooperation between courts and representatives from different countries, and aims to promote the fair and efficient administration of cross-border </w:t>
      </w:r>
      <w:r w:rsidR="00EA3856" w:rsidRPr="00FF7282">
        <w:rPr>
          <w:rFonts w:ascii="Arial" w:hAnsi="Arial" w:cs="Arial"/>
        </w:rPr>
        <w:t>insolvencies.</w:t>
      </w:r>
    </w:p>
    <w:p w14:paraId="3FB5568F" w14:textId="1517D73A" w:rsidR="003D0170" w:rsidRPr="00FF7282" w:rsidRDefault="003D0170" w:rsidP="002618F4">
      <w:pPr>
        <w:pStyle w:val="ListParagraph"/>
        <w:numPr>
          <w:ilvl w:val="1"/>
          <w:numId w:val="13"/>
        </w:numPr>
        <w:shd w:val="clear" w:color="auto" w:fill="FFFFFF"/>
        <w:spacing w:after="240" w:line="360" w:lineRule="auto"/>
        <w:ind w:left="1134" w:hanging="567"/>
        <w:contextualSpacing w:val="0"/>
        <w:jc w:val="both"/>
        <w:textAlignment w:val="baseline"/>
        <w:rPr>
          <w:rFonts w:ascii="Arial" w:hAnsi="Arial" w:cs="Arial"/>
        </w:rPr>
      </w:pPr>
      <w:r w:rsidRPr="00FF7282">
        <w:rPr>
          <w:rFonts w:ascii="Arial" w:hAnsi="Arial" w:cs="Arial"/>
        </w:rPr>
        <w:t>The adoption of the UNCITRAL Model Law through Chapter 15 demonstrates the recognition of the importance of international cooperation in insolvency matters and reflects the United States' commitment to harmonizing its insolvency laws with international standards.</w:t>
      </w:r>
      <w:r w:rsidR="002F7C98" w:rsidRPr="00FF7282">
        <w:rPr>
          <w:rFonts w:ascii="Arial" w:hAnsi="Arial" w:cs="Arial"/>
        </w:rPr>
        <w:t xml:space="preserve"> Center of Main Interest (COMI) is relevant under Chapter 15 (Baker &amp; McKenzie, 2022</w:t>
      </w:r>
      <w:r w:rsidR="006A6F9C">
        <w:rPr>
          <w:rFonts w:ascii="Arial" w:hAnsi="Arial" w:cs="Arial"/>
        </w:rPr>
        <w:t xml:space="preserve">; </w:t>
      </w:r>
      <w:r w:rsidR="006A6F9C">
        <w:rPr>
          <w:rFonts w:ascii="Arial" w:hAnsi="Arial" w:cs="Arial"/>
          <w:color w:val="222222"/>
          <w:sz w:val="20"/>
          <w:szCs w:val="20"/>
          <w:shd w:val="clear" w:color="auto" w:fill="FFFFFF"/>
        </w:rPr>
        <w:t>Declercq, 2022</w:t>
      </w:r>
      <w:r w:rsidR="002F7C98" w:rsidRPr="00FF7282">
        <w:rPr>
          <w:rFonts w:ascii="Arial" w:hAnsi="Arial" w:cs="Arial"/>
        </w:rPr>
        <w:t>).</w:t>
      </w:r>
      <w:r w:rsidR="002F7C98" w:rsidRPr="00FF7282">
        <w:rPr>
          <w:rStyle w:val="FootnoteReference"/>
          <w:rFonts w:ascii="Arial" w:hAnsi="Arial" w:cs="Arial"/>
        </w:rPr>
        <w:footnoteReference w:id="13"/>
      </w:r>
    </w:p>
    <w:p w14:paraId="75D7644F" w14:textId="1264C603" w:rsidR="00DA019C" w:rsidRPr="00FF7282" w:rsidRDefault="009470D4" w:rsidP="002618F4">
      <w:pPr>
        <w:pStyle w:val="ListParagraph"/>
        <w:numPr>
          <w:ilvl w:val="1"/>
          <w:numId w:val="13"/>
        </w:numPr>
        <w:shd w:val="clear" w:color="auto" w:fill="FFFFFF"/>
        <w:spacing w:after="240" w:line="360" w:lineRule="auto"/>
        <w:ind w:left="1134" w:hanging="567"/>
        <w:contextualSpacing w:val="0"/>
        <w:jc w:val="both"/>
        <w:textAlignment w:val="baseline"/>
        <w:rPr>
          <w:rFonts w:ascii="Arial" w:hAnsi="Arial" w:cs="Arial"/>
        </w:rPr>
      </w:pPr>
      <w:r w:rsidRPr="00FF7282">
        <w:rPr>
          <w:rFonts w:ascii="Arial" w:hAnsi="Arial" w:cs="Arial"/>
        </w:rPr>
        <w:t>There is some c</w:t>
      </w:r>
      <w:r w:rsidR="00DA019C" w:rsidRPr="00FF7282">
        <w:rPr>
          <w:rFonts w:ascii="Arial" w:hAnsi="Arial" w:cs="Arial"/>
        </w:rPr>
        <w:t>riticism of the US restructuring rules</w:t>
      </w:r>
      <w:r w:rsidRPr="00FF7282">
        <w:rPr>
          <w:rFonts w:ascii="Arial" w:hAnsi="Arial" w:cs="Arial"/>
        </w:rPr>
        <w:t>.</w:t>
      </w:r>
      <w:r w:rsidR="007B35BE" w:rsidRPr="00FF7282">
        <w:rPr>
          <w:rFonts w:ascii="Arial" w:hAnsi="Arial" w:cs="Arial"/>
        </w:rPr>
        <w:t xml:space="preserve"> Lee (2011) argues that Chapter 11 allows a strong presumption for large corporations of allowing the system to become corrupt due to forum shopping, lack of a clear path to reorganization, and judicial irresponsibility</w:t>
      </w:r>
      <w:r w:rsidR="0026796C" w:rsidRPr="00FF7282">
        <w:rPr>
          <w:rFonts w:ascii="Arial" w:hAnsi="Arial" w:cs="Arial"/>
        </w:rPr>
        <w:t>,</w:t>
      </w:r>
      <w:r w:rsidR="007B35BE" w:rsidRPr="00FF7282">
        <w:rPr>
          <w:rFonts w:ascii="Arial" w:hAnsi="Arial" w:cs="Arial"/>
        </w:rPr>
        <w:t xml:space="preserve"> letting the debtor stay in control. Indeed, not all reorganizations are viable (Dalakour, 2017; Lee, 2011; Payne, 2013). It is argued that some companies granted reorganization under Chapter 11, including </w:t>
      </w:r>
      <w:r w:rsidR="007B35BE" w:rsidRPr="006A6F9C">
        <w:rPr>
          <w:rFonts w:ascii="Arial" w:hAnsi="Arial" w:cs="Arial"/>
          <w:i/>
          <w:iCs/>
        </w:rPr>
        <w:t>Blockbuster</w:t>
      </w:r>
      <w:r w:rsidR="007B35BE" w:rsidRPr="00FF7282">
        <w:rPr>
          <w:rFonts w:ascii="Arial" w:hAnsi="Arial" w:cs="Arial"/>
        </w:rPr>
        <w:t>, should have been allowed to liquidate</w:t>
      </w:r>
      <w:r w:rsidR="007B35BE" w:rsidRPr="00FF7282">
        <w:rPr>
          <w:rStyle w:val="FootnoteReference"/>
          <w:rFonts w:ascii="Arial" w:hAnsi="Arial" w:cs="Arial"/>
        </w:rPr>
        <w:footnoteReference w:id="14"/>
      </w:r>
      <w:r w:rsidR="007B35BE" w:rsidRPr="00FF7282">
        <w:rPr>
          <w:rFonts w:ascii="Arial" w:hAnsi="Arial" w:cs="Arial"/>
        </w:rPr>
        <w:t>. Instead, the management chose the Chapter 11 proceedings, allowing them to maintain control, wh</w:t>
      </w:r>
      <w:r w:rsidR="0026796C" w:rsidRPr="00FF7282">
        <w:rPr>
          <w:rFonts w:ascii="Arial" w:hAnsi="Arial" w:cs="Arial"/>
        </w:rPr>
        <w:t>ich</w:t>
      </w:r>
      <w:r w:rsidR="007B35BE" w:rsidRPr="00FF7282">
        <w:rPr>
          <w:rFonts w:ascii="Arial" w:hAnsi="Arial" w:cs="Arial"/>
        </w:rPr>
        <w:t xml:space="preserve"> is seen as a possible corruption of the intended purposes of the Chapter 11 proceedings (Dalakour, 2017; Lee, 2011; Payne, 2013) </w:t>
      </w:r>
    </w:p>
    <w:p w14:paraId="453D39E1" w14:textId="749FEB35" w:rsidR="00756D96" w:rsidRPr="00FF7282" w:rsidRDefault="00756D96" w:rsidP="002618F4">
      <w:pPr>
        <w:pStyle w:val="Heading2"/>
        <w:numPr>
          <w:ilvl w:val="0"/>
          <w:numId w:val="13"/>
        </w:numPr>
        <w:spacing w:after="120"/>
        <w:ind w:left="357" w:hanging="357"/>
        <w:jc w:val="both"/>
        <w:rPr>
          <w:rFonts w:ascii="Arial" w:hAnsi="Arial" w:cs="Arial"/>
          <w:b/>
          <w:bCs/>
          <w:color w:val="auto"/>
          <w:sz w:val="22"/>
          <w:szCs w:val="22"/>
        </w:rPr>
      </w:pPr>
      <w:bookmarkStart w:id="9" w:name="_Toc139194180"/>
      <w:r w:rsidRPr="00FF7282">
        <w:rPr>
          <w:rFonts w:ascii="Arial" w:hAnsi="Arial" w:cs="Arial"/>
          <w:b/>
          <w:bCs/>
          <w:color w:val="auto"/>
          <w:sz w:val="22"/>
          <w:szCs w:val="22"/>
        </w:rPr>
        <w:t>Discussion</w:t>
      </w:r>
      <w:bookmarkEnd w:id="9"/>
    </w:p>
    <w:p w14:paraId="5FB467D2" w14:textId="14139595" w:rsidR="001B6029" w:rsidRPr="00FF7282" w:rsidRDefault="0026796C"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T</w:t>
      </w:r>
      <w:r w:rsidR="001819AB" w:rsidRPr="00FF7282">
        <w:rPr>
          <w:rFonts w:ascii="Arial" w:hAnsi="Arial" w:cs="Arial"/>
        </w:rPr>
        <w:t xml:space="preserve">his section presents a comparative analysis of liquidation and restructuring proceedings in the USA and the UK. </w:t>
      </w:r>
      <w:r w:rsidR="00A800DA" w:rsidRPr="00FF7282">
        <w:rPr>
          <w:rFonts w:ascii="Arial" w:hAnsi="Arial" w:cs="Arial"/>
        </w:rPr>
        <w:t xml:space="preserve">Both the USA and the UK present insolvency infrastructure that facilitates cross-border insolvencies. Indeed, both jurisdictions have had </w:t>
      </w:r>
      <w:r w:rsidR="006A6F9C">
        <w:rPr>
          <w:rFonts w:ascii="Arial" w:hAnsi="Arial" w:cs="Arial"/>
        </w:rPr>
        <w:t>numerous</w:t>
      </w:r>
      <w:r w:rsidR="00A800DA" w:rsidRPr="00FF7282">
        <w:rPr>
          <w:rFonts w:ascii="Arial" w:hAnsi="Arial" w:cs="Arial"/>
        </w:rPr>
        <w:t xml:space="preserve"> international cases that allow global companies with worldwide assets to litigate.</w:t>
      </w:r>
      <w:r w:rsidR="0072381A" w:rsidRPr="00FF7282">
        <w:rPr>
          <w:rFonts w:ascii="Arial" w:hAnsi="Arial" w:cs="Arial"/>
        </w:rPr>
        <w:t xml:space="preserve"> When seeking an appropriate jurisdiction for cross-border insolvencies, insolvency practitioners should be aware of the </w:t>
      </w:r>
      <w:r w:rsidR="006A6F9C">
        <w:rPr>
          <w:rFonts w:ascii="Arial" w:hAnsi="Arial" w:cs="Arial"/>
        </w:rPr>
        <w:t>laws and options available in</w:t>
      </w:r>
      <w:r w:rsidR="0072381A" w:rsidRPr="00FF7282">
        <w:rPr>
          <w:rFonts w:ascii="Arial" w:hAnsi="Arial" w:cs="Arial"/>
        </w:rPr>
        <w:t xml:space="preserve"> the insolvency jurisdiction and how they </w:t>
      </w:r>
      <w:r w:rsidR="004A448B" w:rsidRPr="00FF7282">
        <w:rPr>
          <w:rFonts w:ascii="Arial" w:hAnsi="Arial" w:cs="Arial"/>
        </w:rPr>
        <w:t>may</w:t>
      </w:r>
      <w:r w:rsidR="0072381A" w:rsidRPr="00FF7282">
        <w:rPr>
          <w:rFonts w:ascii="Arial" w:hAnsi="Arial" w:cs="Arial"/>
        </w:rPr>
        <w:t xml:space="preserve"> serve the various stakeholders. </w:t>
      </w:r>
      <w:r w:rsidR="00DA019C" w:rsidRPr="00FF7282">
        <w:rPr>
          <w:rFonts w:ascii="Arial" w:hAnsi="Arial" w:cs="Arial"/>
        </w:rPr>
        <w:t>This paper focuses on the US and the UK</w:t>
      </w:r>
      <w:r w:rsidRPr="00FF7282">
        <w:rPr>
          <w:rFonts w:ascii="Arial" w:hAnsi="Arial" w:cs="Arial"/>
        </w:rPr>
        <w:t>'</w:t>
      </w:r>
      <w:r w:rsidR="00DA019C" w:rsidRPr="00FF7282">
        <w:rPr>
          <w:rFonts w:ascii="Arial" w:hAnsi="Arial" w:cs="Arial"/>
        </w:rPr>
        <w:t xml:space="preserve">s insolvency rules and processes. </w:t>
      </w:r>
      <w:r w:rsidR="00EB448D">
        <w:rPr>
          <w:rFonts w:ascii="Arial" w:hAnsi="Arial" w:cs="Arial"/>
        </w:rPr>
        <w:t>T</w:t>
      </w:r>
      <w:r w:rsidR="00DA019C" w:rsidRPr="00FF7282">
        <w:rPr>
          <w:rFonts w:ascii="Arial" w:hAnsi="Arial" w:cs="Arial"/>
        </w:rPr>
        <w:t>he USA and the UK bankruptcy proceedings have developed over time below the political horizon</w:t>
      </w:r>
      <w:r w:rsidR="006A6F9C">
        <w:rPr>
          <w:rFonts w:ascii="Arial" w:hAnsi="Arial" w:cs="Arial"/>
        </w:rPr>
        <w:t xml:space="preserve"> (Lee, 2011)</w:t>
      </w:r>
      <w:r w:rsidR="00DA019C" w:rsidRPr="00FF7282">
        <w:rPr>
          <w:rFonts w:ascii="Arial" w:hAnsi="Arial" w:cs="Arial"/>
        </w:rPr>
        <w:t xml:space="preserve">. In both jurisdictions, professional practitioners have been allowed to contribute to </w:t>
      </w:r>
      <w:r w:rsidR="00EB448D">
        <w:rPr>
          <w:rFonts w:ascii="Arial" w:hAnsi="Arial" w:cs="Arial"/>
        </w:rPr>
        <w:t>developing</w:t>
      </w:r>
      <w:r w:rsidR="00DA019C" w:rsidRPr="00FF7282">
        <w:rPr>
          <w:rFonts w:ascii="Arial" w:hAnsi="Arial" w:cs="Arial"/>
        </w:rPr>
        <w:t xml:space="preserve"> insolvency proceedings.</w:t>
      </w:r>
      <w:r w:rsidR="002D27EB" w:rsidRPr="00FF7282">
        <w:rPr>
          <w:rFonts w:ascii="Arial" w:hAnsi="Arial" w:cs="Arial"/>
        </w:rPr>
        <w:t xml:space="preserve"> </w:t>
      </w:r>
      <w:r w:rsidR="00DA019C" w:rsidRPr="00FF7282">
        <w:rPr>
          <w:rFonts w:ascii="Arial" w:hAnsi="Arial" w:cs="Arial"/>
        </w:rPr>
        <w:t>P</w:t>
      </w:r>
      <w:r w:rsidR="002D27EB" w:rsidRPr="00FF7282">
        <w:rPr>
          <w:rFonts w:ascii="Arial" w:hAnsi="Arial" w:cs="Arial"/>
        </w:rPr>
        <w:t>ractitioner</w:t>
      </w:r>
      <w:r w:rsidR="00DA019C" w:rsidRPr="00FF7282">
        <w:rPr>
          <w:rFonts w:ascii="Arial" w:hAnsi="Arial" w:cs="Arial"/>
        </w:rPr>
        <w:t>s in countries currently reviewing their insolvency proceedings</w:t>
      </w:r>
      <w:r w:rsidR="002D27EB" w:rsidRPr="00FF7282">
        <w:rPr>
          <w:rFonts w:ascii="Arial" w:hAnsi="Arial" w:cs="Arial"/>
        </w:rPr>
        <w:t xml:space="preserve"> should </w:t>
      </w:r>
      <w:r w:rsidR="00DA019C" w:rsidRPr="00FF7282">
        <w:rPr>
          <w:rFonts w:ascii="Arial" w:hAnsi="Arial" w:cs="Arial"/>
        </w:rPr>
        <w:t xml:space="preserve">follow and </w:t>
      </w:r>
      <w:r w:rsidR="002D27EB" w:rsidRPr="00FF7282">
        <w:rPr>
          <w:rFonts w:ascii="Arial" w:hAnsi="Arial" w:cs="Arial"/>
        </w:rPr>
        <w:t>choose the jurisdiction that offers the type of relief sought and the benefits of litigating in either country.</w:t>
      </w:r>
      <w:r w:rsidR="00A800DA" w:rsidRPr="00FF7282">
        <w:rPr>
          <w:rFonts w:ascii="Arial" w:hAnsi="Arial" w:cs="Arial"/>
        </w:rPr>
        <w:t xml:space="preserve"> </w:t>
      </w:r>
    </w:p>
    <w:p w14:paraId="3E96CF2D" w14:textId="6CF1535F" w:rsidR="001B6029" w:rsidRPr="00FF7282" w:rsidRDefault="0026796C"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T</w:t>
      </w:r>
      <w:r w:rsidR="001B6029" w:rsidRPr="00FF7282">
        <w:rPr>
          <w:rFonts w:ascii="Arial" w:hAnsi="Arial" w:cs="Arial"/>
        </w:rPr>
        <w:t>he UK and the USA continually revive their respective bankruptcy proceedings (</w:t>
      </w:r>
      <w:r w:rsidR="00DA019C" w:rsidRPr="00FF7282">
        <w:rPr>
          <w:rFonts w:ascii="Arial" w:hAnsi="Arial" w:cs="Arial"/>
        </w:rPr>
        <w:t>Carruther</w:t>
      </w:r>
      <w:r w:rsidRPr="00FF7282">
        <w:rPr>
          <w:rFonts w:ascii="Arial" w:hAnsi="Arial" w:cs="Arial"/>
        </w:rPr>
        <w:t>s</w:t>
      </w:r>
      <w:r w:rsidR="00DA019C" w:rsidRPr="00FF7282">
        <w:rPr>
          <w:rFonts w:ascii="Arial" w:hAnsi="Arial" w:cs="Arial"/>
        </w:rPr>
        <w:t xml:space="preserve"> &amp; Halliday, 2000; </w:t>
      </w:r>
      <w:r w:rsidR="001B6029" w:rsidRPr="00FF7282">
        <w:rPr>
          <w:rFonts w:ascii="Arial" w:hAnsi="Arial" w:cs="Arial"/>
        </w:rPr>
        <w:t xml:space="preserve">Landry, 2020). The UK </w:t>
      </w:r>
      <w:r w:rsidR="00E434F9" w:rsidRPr="00FF7282">
        <w:rPr>
          <w:rFonts w:ascii="Arial" w:hAnsi="Arial" w:cs="Arial"/>
        </w:rPr>
        <w:t>recently</w:t>
      </w:r>
      <w:r w:rsidR="001B6029" w:rsidRPr="00FF7282">
        <w:rPr>
          <w:rFonts w:ascii="Arial" w:hAnsi="Arial" w:cs="Arial"/>
        </w:rPr>
        <w:t xml:space="preserve"> propos</w:t>
      </w:r>
      <w:r w:rsidR="00E434F9" w:rsidRPr="00FF7282">
        <w:rPr>
          <w:rFonts w:ascii="Arial" w:hAnsi="Arial" w:cs="Arial"/>
        </w:rPr>
        <w:t>ed</w:t>
      </w:r>
      <w:r w:rsidR="001B6029" w:rsidRPr="00FF7282">
        <w:rPr>
          <w:rFonts w:ascii="Arial" w:hAnsi="Arial" w:cs="Arial"/>
        </w:rPr>
        <w:t xml:space="preserve"> a </w:t>
      </w:r>
      <w:r w:rsidR="0048087B" w:rsidRPr="00FF7282">
        <w:rPr>
          <w:rFonts w:ascii="Arial" w:hAnsi="Arial" w:cs="Arial"/>
        </w:rPr>
        <w:t>stand-alone</w:t>
      </w:r>
      <w:r w:rsidR="001B6029" w:rsidRPr="00FF7282">
        <w:rPr>
          <w:rFonts w:ascii="Arial" w:hAnsi="Arial" w:cs="Arial"/>
        </w:rPr>
        <w:t xml:space="preserve"> restructuring mechanism that includes a cross-class cram down and a statutory moratorium</w:t>
      </w:r>
      <w:r w:rsidR="004A448B" w:rsidRPr="00FF7282">
        <w:rPr>
          <w:rFonts w:ascii="Arial" w:hAnsi="Arial" w:cs="Arial"/>
        </w:rPr>
        <w:t xml:space="preserve"> </w:t>
      </w:r>
      <w:r w:rsidR="004A448B" w:rsidRPr="00FF7282">
        <w:rPr>
          <w:rStyle w:val="fontstyle01"/>
          <w:rFonts w:ascii="Arial" w:hAnsi="Arial" w:cs="Arial"/>
        </w:rPr>
        <w:t>(Payne, 2018).</w:t>
      </w:r>
      <w:r w:rsidR="001B6029" w:rsidRPr="00FF7282">
        <w:rPr>
          <w:rFonts w:ascii="Arial" w:hAnsi="Arial" w:cs="Arial"/>
        </w:rPr>
        <w:t xml:space="preserve"> </w:t>
      </w:r>
      <w:r w:rsidR="00B00681" w:rsidRPr="00FF7282">
        <w:rPr>
          <w:rFonts w:ascii="Arial" w:hAnsi="Arial" w:cs="Arial"/>
        </w:rPr>
        <w:t>Some</w:t>
      </w:r>
      <w:r w:rsidR="001B6029" w:rsidRPr="00FF7282">
        <w:rPr>
          <w:rFonts w:ascii="Arial" w:hAnsi="Arial" w:cs="Arial"/>
        </w:rPr>
        <w:t xml:space="preserve"> authors regard these futures as positive and are strikingly similar to the US Chapter 11 provisions (Landry, 2020).</w:t>
      </w:r>
      <w:r w:rsidR="0048087B" w:rsidRPr="00FF7282">
        <w:rPr>
          <w:rFonts w:ascii="Arial" w:hAnsi="Arial" w:cs="Arial"/>
        </w:rPr>
        <w:t xml:space="preserve"> The flexibility in the new UK laws is more than what is currently available using Chapter 11 because the UK rules allow for the absolute priority rule (APR)</w:t>
      </w:r>
      <w:r w:rsidR="00E434F9" w:rsidRPr="00FF7282">
        <w:rPr>
          <w:rStyle w:val="FootnoteReference"/>
          <w:rFonts w:ascii="Arial" w:hAnsi="Arial" w:cs="Arial"/>
        </w:rPr>
        <w:footnoteReference w:id="15"/>
      </w:r>
      <w:r w:rsidR="0048087B" w:rsidRPr="00FF7282">
        <w:rPr>
          <w:rFonts w:ascii="Arial" w:hAnsi="Arial" w:cs="Arial"/>
        </w:rPr>
        <w:t xml:space="preserve"> that adds certain flexibility in some circumstances.</w:t>
      </w:r>
    </w:p>
    <w:p w14:paraId="3DEE073D" w14:textId="4E5E43E1" w:rsidR="00C1136A" w:rsidRPr="00FF7282" w:rsidRDefault="0048087B"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 xml:space="preserve">The flexibility addresses some of the previous criticism of a rigid application of the APR in Chapter 11 that can </w:t>
      </w:r>
      <w:r w:rsidR="0026796C" w:rsidRPr="00FF7282">
        <w:rPr>
          <w:rFonts w:ascii="Arial" w:hAnsi="Arial" w:cs="Arial"/>
        </w:rPr>
        <w:t>impede</w:t>
      </w:r>
      <w:r w:rsidRPr="00FF7282">
        <w:rPr>
          <w:rFonts w:ascii="Arial" w:hAnsi="Arial" w:cs="Arial"/>
        </w:rPr>
        <w:t xml:space="preserve"> company reorganization (Dalakoura, 2017; Landry, 2020). </w:t>
      </w:r>
      <w:r w:rsidR="00E434F9" w:rsidRPr="00FF7282">
        <w:rPr>
          <w:rFonts w:ascii="Arial" w:hAnsi="Arial" w:cs="Arial"/>
        </w:rPr>
        <w:t>Payne (2018) argues</w:t>
      </w:r>
      <w:r w:rsidRPr="00FF7282">
        <w:rPr>
          <w:rFonts w:ascii="Arial" w:hAnsi="Arial" w:cs="Arial"/>
        </w:rPr>
        <w:t xml:space="preserve"> that the USA should pay attention to the UK</w:t>
      </w:r>
      <w:r w:rsidR="0026796C" w:rsidRPr="00FF7282">
        <w:rPr>
          <w:rFonts w:ascii="Arial" w:hAnsi="Arial" w:cs="Arial"/>
        </w:rPr>
        <w:t>'</w:t>
      </w:r>
      <w:r w:rsidRPr="00FF7282">
        <w:rPr>
          <w:rFonts w:ascii="Arial" w:hAnsi="Arial" w:cs="Arial"/>
        </w:rPr>
        <w:t xml:space="preserve">s proposal when reviewing improvements to the APR in the USA. There has been criticism of the rigidity of Chapter 11 APR, as was highlighted in </w:t>
      </w:r>
      <w:r w:rsidRPr="00FF7282">
        <w:rPr>
          <w:rFonts w:ascii="Arial" w:hAnsi="Arial" w:cs="Arial"/>
          <w:i/>
          <w:iCs/>
        </w:rPr>
        <w:t>Czyzewski v. Jevic Holding Corp.</w:t>
      </w:r>
      <w:r w:rsidRPr="00FF7282">
        <w:rPr>
          <w:rStyle w:val="FootnoteReference"/>
          <w:rFonts w:ascii="Arial" w:hAnsi="Arial" w:cs="Arial"/>
          <w:i/>
          <w:iCs/>
        </w:rPr>
        <w:footnoteReference w:id="16"/>
      </w:r>
      <w:r w:rsidR="00C1136A" w:rsidRPr="00FF7282">
        <w:rPr>
          <w:rFonts w:ascii="Arial" w:hAnsi="Arial" w:cs="Arial"/>
          <w:i/>
          <w:iCs/>
        </w:rPr>
        <w:t xml:space="preserve"> </w:t>
      </w:r>
      <w:r w:rsidR="00C1136A" w:rsidRPr="00FF7282">
        <w:rPr>
          <w:rFonts w:ascii="Arial" w:hAnsi="Arial" w:cs="Arial"/>
        </w:rPr>
        <w:t xml:space="preserve">A rigid adherence to the APR as codified in Chapter 11 in 1978 may </w:t>
      </w:r>
      <w:r w:rsidR="0026796C" w:rsidRPr="00FF7282">
        <w:rPr>
          <w:rFonts w:ascii="Arial" w:hAnsi="Arial" w:cs="Arial"/>
        </w:rPr>
        <w:t>require</w:t>
      </w:r>
      <w:r w:rsidR="00C1136A" w:rsidRPr="00FF7282">
        <w:rPr>
          <w:rFonts w:ascii="Arial" w:hAnsi="Arial" w:cs="Arial"/>
        </w:rPr>
        <w:t xml:space="preserve"> reform. The UK has proposed a flexible APR compatible with a modern restructuring jurisdiction (</w:t>
      </w:r>
      <w:r w:rsidR="004A448B" w:rsidRPr="00FF7282">
        <w:rPr>
          <w:rStyle w:val="fontstyle01"/>
          <w:rFonts w:ascii="Arial" w:hAnsi="Arial" w:cs="Arial"/>
        </w:rPr>
        <w:t>Landry, 2020; Payne, 2018).</w:t>
      </w:r>
      <w:r w:rsidR="00C1136A" w:rsidRPr="00FF7282">
        <w:rPr>
          <w:rFonts w:ascii="Arial" w:hAnsi="Arial" w:cs="Arial"/>
        </w:rPr>
        <w:t xml:space="preserve"> Allowing similar flexibility in the USA under Chapter 11 would maintain the USA </w:t>
      </w:r>
      <w:r w:rsidR="004A448B" w:rsidRPr="00FF7282">
        <w:rPr>
          <w:rFonts w:ascii="Arial" w:hAnsi="Arial" w:cs="Arial"/>
        </w:rPr>
        <w:t>as a major jurisdiction</w:t>
      </w:r>
      <w:r w:rsidR="00C1136A" w:rsidRPr="00FF7282">
        <w:rPr>
          <w:rFonts w:ascii="Arial" w:hAnsi="Arial" w:cs="Arial"/>
        </w:rPr>
        <w:t xml:space="preserve"> in cross-border insolvencies.</w:t>
      </w:r>
    </w:p>
    <w:p w14:paraId="19350EFE" w14:textId="043A72D7" w:rsidR="00C1136A" w:rsidRPr="00FF7282" w:rsidRDefault="00C1136A"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 xml:space="preserve">With the adjustments to </w:t>
      </w:r>
      <w:r w:rsidR="004A448B" w:rsidRPr="00FF7282">
        <w:rPr>
          <w:rFonts w:ascii="Arial" w:hAnsi="Arial" w:cs="Arial"/>
        </w:rPr>
        <w:t>its</w:t>
      </w:r>
      <w:r w:rsidRPr="00FF7282">
        <w:rPr>
          <w:rFonts w:ascii="Arial" w:hAnsi="Arial" w:cs="Arial"/>
        </w:rPr>
        <w:t xml:space="preserve"> insolvency processes, the UK will continue to be a relevant, modern jurisdiction attractive to companies seeking a modern adaptive restructuring mechanism for cross-border insolvencies. While the US was the first liberal jurisdiction recognized globally as debtor</w:t>
      </w:r>
      <w:r w:rsidR="0026796C" w:rsidRPr="00FF7282">
        <w:rPr>
          <w:rFonts w:ascii="Arial" w:hAnsi="Arial" w:cs="Arial"/>
        </w:rPr>
        <w:t>-</w:t>
      </w:r>
      <w:r w:rsidRPr="00FF7282">
        <w:rPr>
          <w:rFonts w:ascii="Arial" w:hAnsi="Arial" w:cs="Arial"/>
        </w:rPr>
        <w:t>friendly, the UK, with its long history of case law and tradition, may</w:t>
      </w:r>
      <w:r w:rsidR="00A70E42">
        <w:rPr>
          <w:rFonts w:ascii="Arial" w:hAnsi="Arial" w:cs="Arial"/>
        </w:rPr>
        <w:t xml:space="preserve"> </w:t>
      </w:r>
      <w:r w:rsidRPr="00FF7282">
        <w:rPr>
          <w:rFonts w:ascii="Arial" w:hAnsi="Arial" w:cs="Arial"/>
        </w:rPr>
        <w:t xml:space="preserve">be catching up. </w:t>
      </w:r>
      <w:r w:rsidR="00B00681" w:rsidRPr="00FF7282">
        <w:rPr>
          <w:rFonts w:ascii="Arial" w:hAnsi="Arial" w:cs="Arial"/>
        </w:rPr>
        <w:t>As noted</w:t>
      </w:r>
      <w:r w:rsidR="0026796C" w:rsidRPr="00FF7282">
        <w:rPr>
          <w:rFonts w:ascii="Arial" w:hAnsi="Arial" w:cs="Arial"/>
        </w:rPr>
        <w:t>,</w:t>
      </w:r>
      <w:r w:rsidR="00B00681" w:rsidRPr="00FF7282">
        <w:rPr>
          <w:rFonts w:ascii="Arial" w:hAnsi="Arial" w:cs="Arial"/>
        </w:rPr>
        <w:t xml:space="preserve"> however, the UK</w:t>
      </w:r>
      <w:r w:rsidR="0026796C" w:rsidRPr="00FF7282">
        <w:rPr>
          <w:rFonts w:ascii="Arial" w:hAnsi="Arial" w:cs="Arial"/>
        </w:rPr>
        <w:t>'</w:t>
      </w:r>
      <w:r w:rsidR="00B00681" w:rsidRPr="00FF7282">
        <w:rPr>
          <w:rFonts w:ascii="Arial" w:hAnsi="Arial" w:cs="Arial"/>
        </w:rPr>
        <w:t>s procedure traditionally had its weaknesses that the jurisdiction is addressing.</w:t>
      </w:r>
    </w:p>
    <w:p w14:paraId="05250C42" w14:textId="2EECAE67" w:rsidR="00A800DA" w:rsidRPr="00FF7282" w:rsidRDefault="00A800DA" w:rsidP="00CB7C48">
      <w:pPr>
        <w:pStyle w:val="Heading2"/>
        <w:numPr>
          <w:ilvl w:val="0"/>
          <w:numId w:val="13"/>
        </w:numPr>
        <w:spacing w:before="0" w:line="360" w:lineRule="auto"/>
        <w:ind w:left="357" w:hanging="357"/>
        <w:jc w:val="both"/>
        <w:rPr>
          <w:rFonts w:ascii="Arial" w:hAnsi="Arial" w:cs="Arial"/>
          <w:b/>
          <w:bCs/>
          <w:color w:val="auto"/>
          <w:sz w:val="22"/>
          <w:szCs w:val="22"/>
        </w:rPr>
      </w:pPr>
      <w:bookmarkStart w:id="10" w:name="_Toc139194181"/>
      <w:r w:rsidRPr="00FF7282">
        <w:rPr>
          <w:rFonts w:ascii="Arial" w:hAnsi="Arial" w:cs="Arial"/>
          <w:b/>
          <w:bCs/>
          <w:color w:val="auto"/>
          <w:sz w:val="22"/>
          <w:szCs w:val="22"/>
        </w:rPr>
        <w:t>Significant Cases</w:t>
      </w:r>
      <w:bookmarkEnd w:id="10"/>
    </w:p>
    <w:p w14:paraId="384A502E" w14:textId="1DE75214" w:rsidR="00C1136A" w:rsidRPr="00FF7282" w:rsidRDefault="006A6F9C" w:rsidP="00CB7C48">
      <w:pPr>
        <w:pStyle w:val="ListParagraph"/>
        <w:numPr>
          <w:ilvl w:val="1"/>
          <w:numId w:val="13"/>
        </w:numPr>
        <w:spacing w:after="0" w:line="360" w:lineRule="auto"/>
        <w:ind w:left="1134" w:hanging="567"/>
        <w:contextualSpacing w:val="0"/>
        <w:jc w:val="both"/>
        <w:rPr>
          <w:rFonts w:ascii="Arial" w:hAnsi="Arial" w:cs="Arial"/>
        </w:rPr>
      </w:pPr>
      <w:r>
        <w:rPr>
          <w:rFonts w:ascii="Arial" w:hAnsi="Arial" w:cs="Arial"/>
        </w:rPr>
        <w:t>Some insolvency cases were mentioned in the paragraphs above. However, s</w:t>
      </w:r>
      <w:r w:rsidR="00C1136A" w:rsidRPr="00FF7282">
        <w:rPr>
          <w:rFonts w:ascii="Arial" w:hAnsi="Arial" w:cs="Arial"/>
        </w:rPr>
        <w:t xml:space="preserve">ome </w:t>
      </w:r>
      <w:r>
        <w:rPr>
          <w:rFonts w:ascii="Arial" w:hAnsi="Arial" w:cs="Arial"/>
        </w:rPr>
        <w:t>additional signi</w:t>
      </w:r>
      <w:r w:rsidRPr="00FF7282">
        <w:rPr>
          <w:rFonts w:ascii="Arial" w:hAnsi="Arial" w:cs="Arial"/>
        </w:rPr>
        <w:t>ficant</w:t>
      </w:r>
      <w:r w:rsidR="00C1136A" w:rsidRPr="00FF7282">
        <w:rPr>
          <w:rFonts w:ascii="Arial" w:hAnsi="Arial" w:cs="Arial"/>
        </w:rPr>
        <w:t xml:space="preserve"> cases </w:t>
      </w:r>
      <w:r w:rsidR="00BB5C00" w:rsidRPr="00FF7282">
        <w:rPr>
          <w:rFonts w:ascii="Arial" w:hAnsi="Arial" w:cs="Arial"/>
        </w:rPr>
        <w:t xml:space="preserve">in the USA </w:t>
      </w:r>
      <w:r w:rsidR="00C1136A" w:rsidRPr="00FF7282">
        <w:rPr>
          <w:rFonts w:ascii="Arial" w:hAnsi="Arial" w:cs="Arial"/>
        </w:rPr>
        <w:t>that are relevant to this discussion</w:t>
      </w:r>
      <w:r w:rsidR="00BB5C00" w:rsidRPr="00FF7282">
        <w:rPr>
          <w:rFonts w:ascii="Arial" w:hAnsi="Arial" w:cs="Arial"/>
        </w:rPr>
        <w:t xml:space="preserve"> include the following:</w:t>
      </w:r>
    </w:p>
    <w:p w14:paraId="24FB6A28" w14:textId="3CCD5A6E" w:rsidR="0072381A" w:rsidRPr="00FF7282" w:rsidRDefault="0072381A" w:rsidP="002618F4">
      <w:pPr>
        <w:pStyle w:val="ListParagraph"/>
        <w:numPr>
          <w:ilvl w:val="2"/>
          <w:numId w:val="13"/>
        </w:numPr>
        <w:shd w:val="clear" w:color="auto" w:fill="FFFFFF"/>
        <w:spacing w:after="240" w:line="360" w:lineRule="auto"/>
        <w:ind w:left="1560" w:hanging="426"/>
        <w:contextualSpacing w:val="0"/>
        <w:jc w:val="both"/>
        <w:textAlignment w:val="baseline"/>
        <w:rPr>
          <w:rFonts w:ascii="Arial" w:hAnsi="Arial" w:cs="Arial"/>
        </w:rPr>
      </w:pPr>
      <w:r w:rsidRPr="00FF7282">
        <w:rPr>
          <w:rFonts w:ascii="Arial" w:hAnsi="Arial" w:cs="Arial"/>
        </w:rPr>
        <w:t>Lehman Brothers Holding Inc. (2008).</w:t>
      </w:r>
      <w:r w:rsidR="00D87F00" w:rsidRPr="00FF7282">
        <w:rPr>
          <w:rStyle w:val="FootnoteReference"/>
          <w:rFonts w:ascii="Arial" w:hAnsi="Arial" w:cs="Arial"/>
        </w:rPr>
        <w:footnoteReference w:id="17"/>
      </w:r>
      <w:r w:rsidRPr="00FF7282">
        <w:rPr>
          <w:rFonts w:ascii="Arial" w:hAnsi="Arial" w:cs="Arial"/>
        </w:rPr>
        <w:t xml:space="preserve"> This case is one of the most prominent examples of large-scale liquidation in the USA. Lehman Brothers, a global financial services firm, filed for Chapter 11 bankruptcy protection. The case highlighted the challenges of managing the liquidation of a complex financial institution and showcased the impact of such liquidation on various stakeholders, including creditors, employees, and the wider financial system.</w:t>
      </w:r>
    </w:p>
    <w:p w14:paraId="285D2D45" w14:textId="15B69A00" w:rsidR="0072381A" w:rsidRPr="00FF7282" w:rsidRDefault="0072381A" w:rsidP="002618F4">
      <w:pPr>
        <w:pStyle w:val="ListParagraph"/>
        <w:numPr>
          <w:ilvl w:val="2"/>
          <w:numId w:val="13"/>
        </w:numPr>
        <w:shd w:val="clear" w:color="auto" w:fill="FFFFFF"/>
        <w:spacing w:after="240" w:line="360" w:lineRule="auto"/>
        <w:ind w:left="1560" w:hanging="426"/>
        <w:contextualSpacing w:val="0"/>
        <w:jc w:val="both"/>
        <w:textAlignment w:val="baseline"/>
        <w:rPr>
          <w:rFonts w:ascii="Arial" w:hAnsi="Arial" w:cs="Arial"/>
        </w:rPr>
      </w:pPr>
      <w:r w:rsidRPr="00FF7282">
        <w:rPr>
          <w:rFonts w:ascii="Arial" w:hAnsi="Arial" w:cs="Arial"/>
        </w:rPr>
        <w:t>General Motors Corp. (2009).</w:t>
      </w:r>
      <w:r w:rsidR="00D87F00" w:rsidRPr="00FF7282">
        <w:rPr>
          <w:rStyle w:val="FootnoteReference"/>
          <w:rFonts w:ascii="Arial" w:hAnsi="Arial" w:cs="Arial"/>
        </w:rPr>
        <w:footnoteReference w:id="18"/>
      </w:r>
      <w:r w:rsidRPr="00FF7282">
        <w:rPr>
          <w:rFonts w:ascii="Arial" w:hAnsi="Arial" w:cs="Arial"/>
        </w:rPr>
        <w:t xml:space="preserve"> This case involved </w:t>
      </w:r>
      <w:r w:rsidR="0026796C" w:rsidRPr="00FF7282">
        <w:rPr>
          <w:rFonts w:ascii="Arial" w:hAnsi="Arial" w:cs="Arial"/>
        </w:rPr>
        <w:t>restructuring</w:t>
      </w:r>
      <w:r w:rsidRPr="00FF7282">
        <w:rPr>
          <w:rFonts w:ascii="Arial" w:hAnsi="Arial" w:cs="Arial"/>
        </w:rPr>
        <w:t xml:space="preserve"> General Motors (GM) through Chapter 11 bankruptcy. The court-approved plan allowed GM to reorganize its operations, shed liabilities, and emerge as a viable company. The case demonstrated the use of restructuring </w:t>
      </w:r>
      <w:r w:rsidR="0026796C" w:rsidRPr="00FF7282">
        <w:rPr>
          <w:rFonts w:ascii="Arial" w:hAnsi="Arial" w:cs="Arial"/>
        </w:rPr>
        <w:t>to preserve jobs, revive troubled industries, and protect the interests of</w:t>
      </w:r>
      <w:r w:rsidRPr="00FF7282">
        <w:rPr>
          <w:rFonts w:ascii="Arial" w:hAnsi="Arial" w:cs="Arial"/>
        </w:rPr>
        <w:t xml:space="preserve"> creditors and shareholders.</w:t>
      </w:r>
    </w:p>
    <w:p w14:paraId="77C823A1" w14:textId="00806DC7" w:rsidR="0072381A" w:rsidRPr="00FF7282" w:rsidRDefault="0072381A" w:rsidP="002618F4">
      <w:pPr>
        <w:pStyle w:val="ListParagraph"/>
        <w:numPr>
          <w:ilvl w:val="2"/>
          <w:numId w:val="13"/>
        </w:numPr>
        <w:shd w:val="clear" w:color="auto" w:fill="FFFFFF"/>
        <w:spacing w:after="240" w:line="360" w:lineRule="auto"/>
        <w:ind w:left="1560" w:hanging="426"/>
        <w:contextualSpacing w:val="0"/>
        <w:jc w:val="both"/>
        <w:textAlignment w:val="baseline"/>
        <w:rPr>
          <w:rFonts w:ascii="Arial" w:hAnsi="Arial" w:cs="Arial"/>
        </w:rPr>
      </w:pPr>
      <w:r w:rsidRPr="00FF7282">
        <w:rPr>
          <w:rFonts w:ascii="Arial" w:hAnsi="Arial" w:cs="Arial"/>
        </w:rPr>
        <w:t>United Airlines, Inc.</w:t>
      </w:r>
      <w:r w:rsidR="001157D9" w:rsidRPr="00FF7282">
        <w:rPr>
          <w:rFonts w:ascii="Arial" w:hAnsi="Arial" w:cs="Arial"/>
        </w:rPr>
        <w:t xml:space="preserve"> (2002)</w:t>
      </w:r>
      <w:r w:rsidR="001157D9" w:rsidRPr="00FF7282">
        <w:rPr>
          <w:rStyle w:val="FootnoteReference"/>
          <w:rFonts w:ascii="Arial" w:hAnsi="Arial" w:cs="Arial"/>
        </w:rPr>
        <w:footnoteReference w:id="19"/>
      </w:r>
      <w:r w:rsidRPr="00FF7282">
        <w:rPr>
          <w:rFonts w:ascii="Arial" w:hAnsi="Arial" w:cs="Arial"/>
        </w:rPr>
        <w:t xml:space="preserve"> This case involved the bankruptcy filing of United Airlines under Chapter 11. It highlighted the challenges faced by the airline industry and showcased the use of restructuring proceedings to reorganize operations, renegotiate contracts, and reduce costs. </w:t>
      </w:r>
      <w:r w:rsidR="0026796C" w:rsidRPr="00FF7282">
        <w:rPr>
          <w:rFonts w:ascii="Arial" w:hAnsi="Arial" w:cs="Arial"/>
        </w:rPr>
        <w:t xml:space="preserve">During the restructuring process, the case emphasized the importance of balancing </w:t>
      </w:r>
      <w:r w:rsidR="00EB448D">
        <w:rPr>
          <w:rFonts w:ascii="Arial" w:hAnsi="Arial" w:cs="Arial"/>
        </w:rPr>
        <w:t>stakeholders' interest</w:t>
      </w:r>
      <w:r w:rsidR="0026796C" w:rsidRPr="00FF7282">
        <w:rPr>
          <w:rFonts w:ascii="Arial" w:hAnsi="Arial" w:cs="Arial"/>
        </w:rPr>
        <w:t>s, including employees, shareholders, and creditor</w:t>
      </w:r>
      <w:r w:rsidRPr="00FF7282">
        <w:rPr>
          <w:rFonts w:ascii="Arial" w:hAnsi="Arial" w:cs="Arial"/>
        </w:rPr>
        <w:t>s.</w:t>
      </w:r>
    </w:p>
    <w:p w14:paraId="0A25D41C" w14:textId="09E938E8" w:rsidR="0072381A" w:rsidRPr="00FF7282" w:rsidRDefault="0072381A" w:rsidP="00EB448D">
      <w:pPr>
        <w:pStyle w:val="ListParagraph"/>
        <w:numPr>
          <w:ilvl w:val="2"/>
          <w:numId w:val="13"/>
        </w:numPr>
        <w:shd w:val="clear" w:color="auto" w:fill="FFFFFF"/>
        <w:spacing w:after="240" w:line="360" w:lineRule="auto"/>
        <w:ind w:left="1560" w:hanging="426"/>
        <w:contextualSpacing w:val="0"/>
        <w:jc w:val="both"/>
        <w:textAlignment w:val="baseline"/>
        <w:rPr>
          <w:rFonts w:ascii="Arial" w:hAnsi="Arial" w:cs="Arial"/>
        </w:rPr>
      </w:pPr>
      <w:r w:rsidRPr="00FF7282">
        <w:rPr>
          <w:rFonts w:ascii="Arial" w:hAnsi="Arial" w:cs="Arial"/>
        </w:rPr>
        <w:t>WorldCom Inc.</w:t>
      </w:r>
      <w:r w:rsidR="001157D9" w:rsidRPr="00FF7282">
        <w:rPr>
          <w:rFonts w:ascii="Arial" w:hAnsi="Arial" w:cs="Arial"/>
        </w:rPr>
        <w:t xml:space="preserve"> (2003).</w:t>
      </w:r>
      <w:r w:rsidR="001157D9" w:rsidRPr="00FF7282">
        <w:rPr>
          <w:rStyle w:val="FootnoteReference"/>
          <w:rFonts w:ascii="Arial" w:hAnsi="Arial" w:cs="Arial"/>
        </w:rPr>
        <w:footnoteReference w:id="20"/>
      </w:r>
      <w:r w:rsidRPr="00FF7282">
        <w:rPr>
          <w:rFonts w:ascii="Arial" w:hAnsi="Arial" w:cs="Arial"/>
        </w:rPr>
        <w:t xml:space="preserve"> WorldCom, a telecommunications company, filed for Chapter 11 bankruptcy protection following an accounting scandal. The case demonstrated the extensive use of restructuring efforts to rehabilitate the company, including renegotiating contracts, selling assets, and addressing financial irregularities. It showcased the potential for </w:t>
      </w:r>
      <w:proofErr w:type="gramStart"/>
      <w:r w:rsidRPr="00FF7282">
        <w:rPr>
          <w:rFonts w:ascii="Arial" w:hAnsi="Arial" w:cs="Arial"/>
        </w:rPr>
        <w:t>successful</w:t>
      </w:r>
      <w:proofErr w:type="gramEnd"/>
      <w:r w:rsidRPr="00FF7282">
        <w:rPr>
          <w:rFonts w:ascii="Arial" w:hAnsi="Arial" w:cs="Arial"/>
        </w:rPr>
        <w:t xml:space="preserve"> corporate turnaround through effective restructuring.</w:t>
      </w:r>
    </w:p>
    <w:p w14:paraId="458DD168" w14:textId="3CCF30B2" w:rsidR="00137515" w:rsidRPr="00FF7282" w:rsidRDefault="00137515" w:rsidP="00EB448D">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 xml:space="preserve">Some of the significant cases in the </w:t>
      </w:r>
      <w:r w:rsidR="007664B2" w:rsidRPr="00FF7282">
        <w:rPr>
          <w:rFonts w:ascii="Arial" w:hAnsi="Arial" w:cs="Arial"/>
        </w:rPr>
        <w:t>UK</w:t>
      </w:r>
      <w:r w:rsidRPr="00FF7282">
        <w:rPr>
          <w:rFonts w:ascii="Arial" w:hAnsi="Arial" w:cs="Arial"/>
        </w:rPr>
        <w:t xml:space="preserve"> that are relevant to this discussion include the following:</w:t>
      </w:r>
    </w:p>
    <w:p w14:paraId="7031CAD6" w14:textId="770784AC" w:rsidR="00137515" w:rsidRPr="00FF7282" w:rsidRDefault="00137515" w:rsidP="002618F4">
      <w:pPr>
        <w:pStyle w:val="ListParagraph"/>
        <w:numPr>
          <w:ilvl w:val="2"/>
          <w:numId w:val="13"/>
        </w:numPr>
        <w:shd w:val="clear" w:color="auto" w:fill="FFFFFF"/>
        <w:spacing w:after="240" w:line="360" w:lineRule="auto"/>
        <w:ind w:left="1560" w:hanging="426"/>
        <w:contextualSpacing w:val="0"/>
        <w:jc w:val="both"/>
        <w:textAlignment w:val="baseline"/>
        <w:rPr>
          <w:rFonts w:ascii="Arial" w:hAnsi="Arial" w:cs="Arial"/>
        </w:rPr>
      </w:pPr>
      <w:r w:rsidRPr="00FF7282">
        <w:rPr>
          <w:rFonts w:ascii="Arial" w:hAnsi="Arial" w:cs="Arial"/>
        </w:rPr>
        <w:t>Polly Peck International Plc (1996).</w:t>
      </w:r>
      <w:r w:rsidR="0015034B" w:rsidRPr="00FF7282">
        <w:rPr>
          <w:rStyle w:val="FootnoteReference"/>
          <w:rFonts w:ascii="Arial" w:hAnsi="Arial" w:cs="Arial"/>
        </w:rPr>
        <w:footnoteReference w:id="21"/>
      </w:r>
      <w:r w:rsidRPr="00FF7282">
        <w:rPr>
          <w:rFonts w:ascii="Arial" w:hAnsi="Arial" w:cs="Arial"/>
        </w:rPr>
        <w:t xml:space="preserve"> Polly Peck was a multinational conglomerate that collapsed due to accounting irregularities. The case involved a complex liquidation process, during which the court</w:t>
      </w:r>
      <w:r w:rsidR="0026796C" w:rsidRPr="00FF7282">
        <w:rPr>
          <w:rFonts w:ascii="Arial" w:hAnsi="Arial" w:cs="Arial"/>
        </w:rPr>
        <w:t>-</w:t>
      </w:r>
      <w:r w:rsidRPr="00FF7282">
        <w:rPr>
          <w:rFonts w:ascii="Arial" w:hAnsi="Arial" w:cs="Arial"/>
        </w:rPr>
        <w:t xml:space="preserve">appointed liquidators </w:t>
      </w:r>
      <w:r w:rsidR="0026796C" w:rsidRPr="00FF7282">
        <w:rPr>
          <w:rFonts w:ascii="Arial" w:hAnsi="Arial" w:cs="Arial"/>
        </w:rPr>
        <w:t>realized</w:t>
      </w:r>
      <w:r w:rsidRPr="00FF7282">
        <w:rPr>
          <w:rFonts w:ascii="Arial" w:hAnsi="Arial" w:cs="Arial"/>
        </w:rPr>
        <w:t xml:space="preserve"> the company's assets and distribute</w:t>
      </w:r>
      <w:r w:rsidR="0026796C" w:rsidRPr="00FF7282">
        <w:rPr>
          <w:rFonts w:ascii="Arial" w:hAnsi="Arial" w:cs="Arial"/>
        </w:rPr>
        <w:t>d</w:t>
      </w:r>
      <w:r w:rsidRPr="00FF7282">
        <w:rPr>
          <w:rFonts w:ascii="Arial" w:hAnsi="Arial" w:cs="Arial"/>
        </w:rPr>
        <w:t xml:space="preserve"> the proceeds to creditors. It highlighted the </w:t>
      </w:r>
      <w:r w:rsidR="0026796C" w:rsidRPr="00FF7282">
        <w:rPr>
          <w:rFonts w:ascii="Arial" w:hAnsi="Arial" w:cs="Arial"/>
        </w:rPr>
        <w:t>court's role</w:t>
      </w:r>
      <w:r w:rsidRPr="00FF7282">
        <w:rPr>
          <w:rFonts w:ascii="Arial" w:hAnsi="Arial" w:cs="Arial"/>
        </w:rPr>
        <w:t xml:space="preserve"> in overseeing liquidation proceedings and ensuring fair treatment of stakeholders.</w:t>
      </w:r>
    </w:p>
    <w:p w14:paraId="5484F86F" w14:textId="7679BE5B" w:rsidR="0072381A" w:rsidRPr="00FF7282" w:rsidRDefault="0072381A" w:rsidP="002618F4">
      <w:pPr>
        <w:pStyle w:val="ListParagraph"/>
        <w:numPr>
          <w:ilvl w:val="2"/>
          <w:numId w:val="13"/>
        </w:numPr>
        <w:shd w:val="clear" w:color="auto" w:fill="FFFFFF"/>
        <w:spacing w:after="240" w:line="360" w:lineRule="auto"/>
        <w:ind w:left="1560" w:hanging="426"/>
        <w:contextualSpacing w:val="0"/>
        <w:jc w:val="both"/>
        <w:textAlignment w:val="baseline"/>
        <w:rPr>
          <w:rFonts w:ascii="Arial" w:hAnsi="Arial" w:cs="Arial"/>
        </w:rPr>
      </w:pPr>
      <w:r w:rsidRPr="00FF7282">
        <w:rPr>
          <w:rFonts w:ascii="Arial" w:hAnsi="Arial" w:cs="Arial"/>
        </w:rPr>
        <w:t>MG Rover Group Ltd (2005)</w:t>
      </w:r>
      <w:r w:rsidR="0015034B" w:rsidRPr="00FF7282">
        <w:rPr>
          <w:rStyle w:val="FootnoteReference"/>
          <w:rFonts w:ascii="Arial" w:hAnsi="Arial" w:cs="Arial"/>
        </w:rPr>
        <w:footnoteReference w:id="22"/>
      </w:r>
      <w:r w:rsidRPr="00FF7282">
        <w:rPr>
          <w:rFonts w:ascii="Arial" w:hAnsi="Arial" w:cs="Arial"/>
        </w:rPr>
        <w:t xml:space="preserve">. MG Rover Group, a British car manufacturing company, faced financial difficulties and ultimately went into administration. The case highlighted the challenges of managing a large-scale administration process, including the sale of assets and the treatment of creditors. It demonstrated the impact of </w:t>
      </w:r>
      <w:r w:rsidR="0026796C" w:rsidRPr="00FF7282">
        <w:rPr>
          <w:rFonts w:ascii="Arial" w:hAnsi="Arial" w:cs="Arial"/>
        </w:rPr>
        <w:t xml:space="preserve">the </w:t>
      </w:r>
      <w:r w:rsidRPr="00FF7282">
        <w:rPr>
          <w:rFonts w:ascii="Arial" w:hAnsi="Arial" w:cs="Arial"/>
        </w:rPr>
        <w:t>administration on employees, suppliers, and the wider automotive industry.</w:t>
      </w:r>
    </w:p>
    <w:p w14:paraId="13AE7692" w14:textId="037351BA" w:rsidR="0072381A" w:rsidRPr="00FF7282" w:rsidRDefault="0072381A" w:rsidP="002618F4">
      <w:pPr>
        <w:pStyle w:val="ListParagraph"/>
        <w:numPr>
          <w:ilvl w:val="2"/>
          <w:numId w:val="13"/>
        </w:numPr>
        <w:shd w:val="clear" w:color="auto" w:fill="FFFFFF"/>
        <w:spacing w:after="240" w:line="360" w:lineRule="auto"/>
        <w:ind w:left="1560" w:hanging="426"/>
        <w:jc w:val="both"/>
        <w:textAlignment w:val="baseline"/>
        <w:rPr>
          <w:rFonts w:ascii="Arial" w:hAnsi="Arial" w:cs="Arial"/>
        </w:rPr>
      </w:pPr>
      <w:r w:rsidRPr="00FF7282">
        <w:rPr>
          <w:rFonts w:ascii="Arial" w:hAnsi="Arial" w:cs="Arial"/>
        </w:rPr>
        <w:t>Woolworths Group plc (2009).</w:t>
      </w:r>
      <w:r w:rsidR="00864BC3" w:rsidRPr="00FF7282">
        <w:rPr>
          <w:rStyle w:val="FootnoteReference"/>
          <w:rFonts w:ascii="Arial" w:hAnsi="Arial" w:cs="Arial"/>
        </w:rPr>
        <w:footnoteReference w:id="23"/>
      </w:r>
      <w:r w:rsidR="00864BC3" w:rsidRPr="00FF7282">
        <w:rPr>
          <w:rFonts w:ascii="Arial" w:hAnsi="Arial" w:cs="Arial"/>
        </w:rPr>
        <w:t xml:space="preserve"> </w:t>
      </w:r>
      <w:r w:rsidRPr="00FF7282">
        <w:rPr>
          <w:rFonts w:ascii="Arial" w:hAnsi="Arial" w:cs="Arial"/>
        </w:rPr>
        <w:t>Woolworths Group, a well-known retail company, entered administration due to financial pressures. The case involved the closure of numerous stores and the subsequent sale of assets. It showcased the challenges of balancing the interests of various stakeholders, including employees, suppliers, and property owners, while maximizing the value of the company's assets.</w:t>
      </w:r>
    </w:p>
    <w:p w14:paraId="47BA7A78" w14:textId="27FB0C41" w:rsidR="00756D96" w:rsidRPr="00FF7282" w:rsidRDefault="00756D96" w:rsidP="002618F4">
      <w:pPr>
        <w:pStyle w:val="Heading2"/>
        <w:numPr>
          <w:ilvl w:val="0"/>
          <w:numId w:val="13"/>
        </w:numPr>
        <w:spacing w:after="120"/>
        <w:ind w:left="357" w:hanging="357"/>
        <w:jc w:val="both"/>
        <w:rPr>
          <w:rFonts w:ascii="Arial" w:hAnsi="Arial" w:cs="Arial"/>
          <w:b/>
          <w:bCs/>
          <w:color w:val="auto"/>
          <w:sz w:val="22"/>
          <w:szCs w:val="22"/>
        </w:rPr>
      </w:pPr>
      <w:bookmarkStart w:id="11" w:name="_Toc139194182"/>
      <w:r w:rsidRPr="00FF7282">
        <w:rPr>
          <w:rFonts w:ascii="Arial" w:hAnsi="Arial" w:cs="Arial"/>
          <w:b/>
          <w:bCs/>
          <w:color w:val="auto"/>
          <w:sz w:val="22"/>
          <w:szCs w:val="22"/>
        </w:rPr>
        <w:t>Conclusion</w:t>
      </w:r>
      <w:r w:rsidR="002D27EB" w:rsidRPr="00FF7282">
        <w:rPr>
          <w:rFonts w:ascii="Arial" w:hAnsi="Arial" w:cs="Arial"/>
          <w:b/>
          <w:bCs/>
          <w:color w:val="auto"/>
          <w:sz w:val="22"/>
          <w:szCs w:val="22"/>
        </w:rPr>
        <w:t>s and recommendations</w:t>
      </w:r>
      <w:bookmarkEnd w:id="11"/>
      <w:r w:rsidRPr="00FF7282">
        <w:rPr>
          <w:rFonts w:ascii="Arial" w:hAnsi="Arial" w:cs="Arial"/>
          <w:b/>
          <w:bCs/>
          <w:color w:val="auto"/>
          <w:sz w:val="22"/>
          <w:szCs w:val="22"/>
        </w:rPr>
        <w:t xml:space="preserve"> </w:t>
      </w:r>
    </w:p>
    <w:p w14:paraId="522739EA" w14:textId="0AC4A343" w:rsidR="003C1164" w:rsidRPr="00FF7282" w:rsidRDefault="002D27EB"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 xml:space="preserve">The </w:t>
      </w:r>
      <w:r w:rsidR="0026796C" w:rsidRPr="00FF7282">
        <w:rPr>
          <w:rFonts w:ascii="Arial" w:hAnsi="Arial" w:cs="Arial"/>
        </w:rPr>
        <w:t xml:space="preserve">Insolvency and Restructuring Act 2006 </w:t>
      </w:r>
      <w:r w:rsidR="002618F4">
        <w:rPr>
          <w:rFonts w:ascii="Arial" w:hAnsi="Arial" w:cs="Arial"/>
        </w:rPr>
        <w:t xml:space="preserve">is one of the significant pieces of legislation </w:t>
      </w:r>
      <w:r w:rsidR="0026796C" w:rsidRPr="00FF7282">
        <w:rPr>
          <w:rFonts w:ascii="Arial" w:hAnsi="Arial" w:cs="Arial"/>
        </w:rPr>
        <w:t>govern</w:t>
      </w:r>
      <w:r w:rsidR="002618F4">
        <w:rPr>
          <w:rFonts w:ascii="Arial" w:hAnsi="Arial" w:cs="Arial"/>
        </w:rPr>
        <w:t>ing</w:t>
      </w:r>
      <w:r w:rsidR="0026796C" w:rsidRPr="00FF7282">
        <w:rPr>
          <w:rFonts w:ascii="Arial" w:hAnsi="Arial" w:cs="Arial"/>
        </w:rPr>
        <w:t xml:space="preserve"> the UK's insolvency proceedings</w:t>
      </w:r>
      <w:r w:rsidRPr="00FF7282">
        <w:rPr>
          <w:rFonts w:ascii="Arial" w:hAnsi="Arial" w:cs="Arial"/>
        </w:rPr>
        <w:t xml:space="preserve">. The USA insolvency </w:t>
      </w:r>
      <w:r w:rsidR="004A448B" w:rsidRPr="00FF7282">
        <w:rPr>
          <w:rFonts w:ascii="Arial" w:hAnsi="Arial" w:cs="Arial"/>
        </w:rPr>
        <w:t>proceedings</w:t>
      </w:r>
      <w:r w:rsidRPr="00FF7282">
        <w:rPr>
          <w:rFonts w:ascii="Arial" w:hAnsi="Arial" w:cs="Arial"/>
        </w:rPr>
        <w:t xml:space="preserve"> fall under Chapter 7, Chapter 11, and Chapter 15 of the Bankruptcy Code.</w:t>
      </w:r>
      <w:r w:rsidR="003E548F" w:rsidRPr="00FF7282">
        <w:rPr>
          <w:rStyle w:val="FootnoteReference"/>
          <w:rFonts w:ascii="Arial" w:hAnsi="Arial" w:cs="Arial"/>
        </w:rPr>
        <w:footnoteReference w:id="24"/>
      </w:r>
      <w:r w:rsidRPr="00FF7282">
        <w:rPr>
          <w:rFonts w:ascii="Arial" w:hAnsi="Arial" w:cs="Arial"/>
        </w:rPr>
        <w:t xml:space="preserve"> The practice of insolvency continues to evolve in both jurisdictions.</w:t>
      </w:r>
      <w:r w:rsidR="003C1164" w:rsidRPr="00FF7282">
        <w:rPr>
          <w:rFonts w:ascii="Arial" w:hAnsi="Arial" w:cs="Arial"/>
        </w:rPr>
        <w:t xml:space="preserve"> </w:t>
      </w:r>
      <w:r w:rsidR="00864BC3" w:rsidRPr="00FF7282">
        <w:rPr>
          <w:rFonts w:ascii="Arial" w:hAnsi="Arial" w:cs="Arial"/>
        </w:rPr>
        <w:t xml:space="preserve">This section summarizes the key findings and highlights the strengths and weaknesses of liquidation and restructuring proceedings in the USA and the UK. </w:t>
      </w:r>
      <w:r w:rsidR="003C1164" w:rsidRPr="00FF7282">
        <w:rPr>
          <w:rFonts w:ascii="Arial" w:hAnsi="Arial" w:cs="Arial"/>
        </w:rPr>
        <w:t xml:space="preserve">This section </w:t>
      </w:r>
      <w:r w:rsidR="00864BC3" w:rsidRPr="00FF7282">
        <w:rPr>
          <w:rFonts w:ascii="Arial" w:hAnsi="Arial" w:cs="Arial"/>
        </w:rPr>
        <w:t xml:space="preserve">also </w:t>
      </w:r>
      <w:r w:rsidR="003C1164" w:rsidRPr="00FF7282">
        <w:rPr>
          <w:rFonts w:ascii="Arial" w:hAnsi="Arial" w:cs="Arial"/>
        </w:rPr>
        <w:t xml:space="preserve">summarizes the discussion and provides recommendations for policymakers, practitioners, and researchers involved in corporate insolvency. The recommendations aim to enhance the effectiveness and efficiency of </w:t>
      </w:r>
      <w:r w:rsidR="0026796C" w:rsidRPr="00FF7282">
        <w:rPr>
          <w:rFonts w:ascii="Arial" w:hAnsi="Arial" w:cs="Arial"/>
        </w:rPr>
        <w:t>liquidation and restructuring proceedings in countries contemplating reviewing</w:t>
      </w:r>
      <w:r w:rsidR="007664B2" w:rsidRPr="00FF7282">
        <w:rPr>
          <w:rFonts w:ascii="Arial" w:hAnsi="Arial" w:cs="Arial"/>
        </w:rPr>
        <w:t xml:space="preserve"> insolvency regimes</w:t>
      </w:r>
      <w:r w:rsidR="003C1164" w:rsidRPr="00FF7282">
        <w:rPr>
          <w:rFonts w:ascii="Arial" w:hAnsi="Arial" w:cs="Arial"/>
        </w:rPr>
        <w:t>.</w:t>
      </w:r>
    </w:p>
    <w:p w14:paraId="0211A794" w14:textId="0F27E256" w:rsidR="002D27EB" w:rsidRPr="00FF7282" w:rsidRDefault="00864BC3"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The UK was traditionally noted as a creditor</w:t>
      </w:r>
      <w:r w:rsidR="0026796C" w:rsidRPr="00FF7282">
        <w:rPr>
          <w:rFonts w:ascii="Arial" w:hAnsi="Arial" w:cs="Arial"/>
        </w:rPr>
        <w:t>-</w:t>
      </w:r>
      <w:r w:rsidRPr="00FF7282">
        <w:rPr>
          <w:rFonts w:ascii="Arial" w:hAnsi="Arial" w:cs="Arial"/>
        </w:rPr>
        <w:t>friendly insolvency jurisdiction, while the USA appeared to be debtor</w:t>
      </w:r>
      <w:r w:rsidR="0026796C" w:rsidRPr="00FF7282">
        <w:rPr>
          <w:rFonts w:ascii="Arial" w:hAnsi="Arial" w:cs="Arial"/>
        </w:rPr>
        <w:t>-</w:t>
      </w:r>
      <w:r w:rsidRPr="00FF7282">
        <w:rPr>
          <w:rFonts w:ascii="Arial" w:hAnsi="Arial" w:cs="Arial"/>
        </w:rPr>
        <w:t xml:space="preserve">friendly, using the facilities under Chapter 11. </w:t>
      </w:r>
      <w:r w:rsidR="002D27EB" w:rsidRPr="00FF7282">
        <w:rPr>
          <w:rFonts w:ascii="Arial" w:hAnsi="Arial" w:cs="Arial"/>
        </w:rPr>
        <w:t xml:space="preserve">Multinational companies seeking cross-border insolvency jurisdictions can choose between the two. </w:t>
      </w:r>
      <w:r w:rsidR="00EB448D">
        <w:rPr>
          <w:rFonts w:ascii="Arial" w:hAnsi="Arial" w:cs="Arial"/>
        </w:rPr>
        <w:t>T</w:t>
      </w:r>
      <w:r w:rsidR="002D27EB" w:rsidRPr="00FF7282">
        <w:rPr>
          <w:rFonts w:ascii="Arial" w:hAnsi="Arial" w:cs="Arial"/>
        </w:rPr>
        <w:t xml:space="preserve">he UK and the USA have adopted various aspects of </w:t>
      </w:r>
      <w:r w:rsidR="00EC5C42" w:rsidRPr="00FF7282">
        <w:rPr>
          <w:rFonts w:ascii="Arial" w:hAnsi="Arial" w:cs="Arial"/>
        </w:rPr>
        <w:t>UNCITRAL</w:t>
      </w:r>
      <w:r w:rsidR="002D27EB" w:rsidRPr="00FF7282">
        <w:rPr>
          <w:rFonts w:ascii="Arial" w:hAnsi="Arial" w:cs="Arial"/>
        </w:rPr>
        <w:t xml:space="preserve"> that </w:t>
      </w:r>
      <w:r w:rsidR="004A448B" w:rsidRPr="00FF7282">
        <w:rPr>
          <w:rFonts w:ascii="Arial" w:hAnsi="Arial" w:cs="Arial"/>
        </w:rPr>
        <w:t>allow</w:t>
      </w:r>
      <w:r w:rsidR="002D27EB" w:rsidRPr="00FF7282">
        <w:rPr>
          <w:rFonts w:ascii="Arial" w:hAnsi="Arial" w:cs="Arial"/>
        </w:rPr>
        <w:t xml:space="preserve"> </w:t>
      </w:r>
      <w:r w:rsidR="0026796C" w:rsidRPr="00FF7282">
        <w:rPr>
          <w:rFonts w:ascii="Arial" w:hAnsi="Arial" w:cs="Arial"/>
        </w:rPr>
        <w:t>recognition in bankruptcy proceedings in other jurisdictions</w:t>
      </w:r>
      <w:r w:rsidR="002D27EB" w:rsidRPr="00FF7282">
        <w:rPr>
          <w:rFonts w:ascii="Arial" w:hAnsi="Arial" w:cs="Arial"/>
        </w:rPr>
        <w:t>. Both the UK and the USA have strengths and weaknesses. The USA is debtor friendly and tends to welcome distressed companies seeking relief. T</w:t>
      </w:r>
      <w:r w:rsidR="0026796C" w:rsidRPr="00FF7282">
        <w:rPr>
          <w:rFonts w:ascii="Arial" w:hAnsi="Arial" w:cs="Arial"/>
        </w:rPr>
        <w:t>raditionally seen as more creditor friendly, the UK</w:t>
      </w:r>
      <w:r w:rsidR="002D27EB" w:rsidRPr="00FF7282">
        <w:rPr>
          <w:rFonts w:ascii="Arial" w:hAnsi="Arial" w:cs="Arial"/>
        </w:rPr>
        <w:t xml:space="preserve"> is reviewing the legislation to provide some aspects of insolvency in the US Chapter 11 </w:t>
      </w:r>
      <w:r w:rsidR="00D87F00" w:rsidRPr="00FF7282">
        <w:rPr>
          <w:rFonts w:ascii="Arial" w:hAnsi="Arial" w:cs="Arial"/>
        </w:rPr>
        <w:t>Bankruptcy</w:t>
      </w:r>
      <w:r w:rsidR="002D27EB" w:rsidRPr="00FF7282">
        <w:rPr>
          <w:rFonts w:ascii="Arial" w:hAnsi="Arial" w:cs="Arial"/>
        </w:rPr>
        <w:t xml:space="preserve"> Code, but with more APD flexibility.</w:t>
      </w:r>
    </w:p>
    <w:p w14:paraId="3E20195E" w14:textId="0C89602F" w:rsidR="002D27EB" w:rsidRPr="00FF7282" w:rsidRDefault="002D27EB" w:rsidP="002618F4">
      <w:pPr>
        <w:pStyle w:val="ListParagraph"/>
        <w:numPr>
          <w:ilvl w:val="1"/>
          <w:numId w:val="13"/>
        </w:numPr>
        <w:spacing w:after="240" w:line="360" w:lineRule="auto"/>
        <w:ind w:left="1134" w:hanging="567"/>
        <w:contextualSpacing w:val="0"/>
        <w:jc w:val="both"/>
        <w:rPr>
          <w:rFonts w:ascii="Arial" w:hAnsi="Arial" w:cs="Arial"/>
        </w:rPr>
      </w:pPr>
      <w:r w:rsidRPr="00FF7282">
        <w:rPr>
          <w:rFonts w:ascii="Arial" w:hAnsi="Arial" w:cs="Arial"/>
        </w:rPr>
        <w:t xml:space="preserve">The APD flexibility in the new UK proceedings </w:t>
      </w:r>
      <w:r w:rsidR="004A448B" w:rsidRPr="00FF7282">
        <w:rPr>
          <w:rFonts w:ascii="Arial" w:hAnsi="Arial" w:cs="Arial"/>
        </w:rPr>
        <w:t>is</w:t>
      </w:r>
      <w:r w:rsidRPr="00FF7282">
        <w:rPr>
          <w:rFonts w:ascii="Arial" w:hAnsi="Arial" w:cs="Arial"/>
        </w:rPr>
        <w:t xml:space="preserve"> seen as positive. The APD rigidity in the US Chapter 11 should be reviewed and updated to reflect the modern era of globalization. A move to a flexible version similar to the UK would address one of the criticisms of the restructuring process that has been argued to discourage companies f</w:t>
      </w:r>
      <w:r w:rsidR="0026796C" w:rsidRPr="00FF7282">
        <w:rPr>
          <w:rFonts w:ascii="Arial" w:hAnsi="Arial" w:cs="Arial"/>
        </w:rPr>
        <w:t>rom</w:t>
      </w:r>
      <w:r w:rsidRPr="00FF7282">
        <w:rPr>
          <w:rFonts w:ascii="Arial" w:hAnsi="Arial" w:cs="Arial"/>
        </w:rPr>
        <w:t xml:space="preserve"> seeking relief in the USA.</w:t>
      </w:r>
    </w:p>
    <w:p w14:paraId="095FDDD3" w14:textId="72EDDDE2" w:rsidR="003827A6" w:rsidRPr="00FF7282" w:rsidRDefault="003262BC" w:rsidP="002618F4">
      <w:pPr>
        <w:pStyle w:val="ListParagraph"/>
        <w:numPr>
          <w:ilvl w:val="1"/>
          <w:numId w:val="13"/>
        </w:numPr>
        <w:spacing w:after="0" w:line="360" w:lineRule="auto"/>
        <w:ind w:left="1134" w:hanging="567"/>
        <w:contextualSpacing w:val="0"/>
        <w:jc w:val="both"/>
        <w:rPr>
          <w:rFonts w:ascii="Arial" w:eastAsia="Times New Roman" w:hAnsi="Arial" w:cs="Arial"/>
          <w:color w:val="000000"/>
          <w:kern w:val="0"/>
          <w14:ligatures w14:val="none"/>
        </w:rPr>
      </w:pPr>
      <w:r w:rsidRPr="00FF7282">
        <w:rPr>
          <w:rStyle w:val="fontstyle01"/>
          <w:rFonts w:ascii="Arial" w:hAnsi="Arial" w:cs="Arial"/>
        </w:rPr>
        <w:t>The Bahamas still maintain</w:t>
      </w:r>
      <w:r w:rsidR="00EC5C42" w:rsidRPr="00FF7282">
        <w:rPr>
          <w:rStyle w:val="fontstyle01"/>
          <w:rFonts w:ascii="Arial" w:hAnsi="Arial" w:cs="Arial"/>
        </w:rPr>
        <w:t>s a</w:t>
      </w:r>
      <w:r w:rsidRPr="00FF7282">
        <w:rPr>
          <w:rStyle w:val="fontstyle01"/>
          <w:rFonts w:ascii="Arial" w:hAnsi="Arial" w:cs="Arial"/>
        </w:rPr>
        <w:t xml:space="preserve"> weak and less well-developed insolvency regime</w:t>
      </w:r>
      <w:r w:rsidR="00EC5C42" w:rsidRPr="00FF7282">
        <w:rPr>
          <w:rStyle w:val="fontstyle01"/>
          <w:rFonts w:ascii="Arial" w:hAnsi="Arial" w:cs="Arial"/>
        </w:rPr>
        <w:t>.</w:t>
      </w:r>
      <w:r w:rsidR="007664B2" w:rsidRPr="00FF7282">
        <w:rPr>
          <w:rStyle w:val="fontstyle01"/>
          <w:rFonts w:ascii="Arial" w:hAnsi="Arial" w:cs="Arial"/>
        </w:rPr>
        <w:t xml:space="preserve"> </w:t>
      </w:r>
      <w:r w:rsidR="00EC5C42" w:rsidRPr="00FF7282">
        <w:rPr>
          <w:rStyle w:val="fontstyle01"/>
          <w:rFonts w:ascii="Arial" w:hAnsi="Arial" w:cs="Arial"/>
        </w:rPr>
        <w:t xml:space="preserve">However, like other countries, The Bahamas is currently reviewing the insolvency process to become a place where cross-border insolvencies can be addressed. Countries with a less developed insolvency regime can look at the developments in the UK and the USA as templates. Adopting the </w:t>
      </w:r>
      <w:r w:rsidR="00EC5C42" w:rsidRPr="00FF7282">
        <w:rPr>
          <w:rFonts w:ascii="Arial" w:hAnsi="Arial" w:cs="Arial"/>
        </w:rPr>
        <w:t>UNCITRAL</w:t>
      </w:r>
      <w:r w:rsidR="00EC5C42" w:rsidRPr="00FF7282">
        <w:rPr>
          <w:rStyle w:val="fontstyle01"/>
          <w:rFonts w:ascii="Arial" w:hAnsi="Arial" w:cs="Arial"/>
        </w:rPr>
        <w:t xml:space="preserve"> Model Laws is also an option for improvement, and the model laws </w:t>
      </w:r>
      <w:r w:rsidR="00A966D3" w:rsidRPr="00FF7282">
        <w:rPr>
          <w:rStyle w:val="fontstyle01"/>
          <w:rFonts w:ascii="Arial" w:hAnsi="Arial" w:cs="Arial"/>
        </w:rPr>
        <w:t>allow</w:t>
      </w:r>
      <w:r w:rsidR="00EC5C42" w:rsidRPr="00FF7282">
        <w:rPr>
          <w:rStyle w:val="fontstyle01"/>
          <w:rFonts w:ascii="Arial" w:hAnsi="Arial" w:cs="Arial"/>
        </w:rPr>
        <w:t xml:space="preserve"> variations to comply with local laws and customs.</w:t>
      </w:r>
    </w:p>
    <w:p w14:paraId="1149CF3F" w14:textId="77777777" w:rsidR="003827A6" w:rsidRPr="00FF7282" w:rsidRDefault="003827A6" w:rsidP="002618F4">
      <w:pPr>
        <w:spacing w:after="0" w:line="360" w:lineRule="auto"/>
        <w:ind w:left="284"/>
        <w:jc w:val="both"/>
        <w:rPr>
          <w:rFonts w:ascii="Arial" w:eastAsia="Times New Roman" w:hAnsi="Arial" w:cs="Arial"/>
          <w:color w:val="000000"/>
          <w:kern w:val="0"/>
          <w14:ligatures w14:val="none"/>
        </w:rPr>
      </w:pPr>
    </w:p>
    <w:p w14:paraId="22604F18" w14:textId="77777777" w:rsidR="003827A6" w:rsidRPr="00FF7282" w:rsidRDefault="003827A6" w:rsidP="002618F4">
      <w:pPr>
        <w:spacing w:after="0" w:line="360" w:lineRule="auto"/>
        <w:ind w:left="284"/>
        <w:jc w:val="both"/>
        <w:rPr>
          <w:rFonts w:ascii="Arial" w:eastAsia="Times New Roman" w:hAnsi="Arial" w:cs="Arial"/>
          <w:color w:val="000000"/>
          <w:kern w:val="0"/>
          <w14:ligatures w14:val="none"/>
        </w:rPr>
        <w:sectPr w:rsidR="003827A6" w:rsidRPr="00FF7282" w:rsidSect="00613B84">
          <w:pgSz w:w="11906" w:h="16838" w:code="9"/>
          <w:pgMar w:top="1418" w:right="1418" w:bottom="1418" w:left="1418" w:header="720" w:footer="720" w:gutter="0"/>
          <w:pgNumType w:start="1"/>
          <w:cols w:space="720"/>
          <w:docGrid w:linePitch="360"/>
        </w:sectPr>
      </w:pPr>
    </w:p>
    <w:p w14:paraId="2BE076A8" w14:textId="708B3AD0" w:rsidR="00A333C1" w:rsidRPr="00FF7282" w:rsidRDefault="007473EB" w:rsidP="007473EB">
      <w:pPr>
        <w:pStyle w:val="Heading2"/>
        <w:spacing w:after="240"/>
        <w:jc w:val="center"/>
        <w:rPr>
          <w:rFonts w:ascii="Arial" w:hAnsi="Arial" w:cs="Arial"/>
          <w:b/>
          <w:bCs/>
          <w:color w:val="auto"/>
          <w:sz w:val="22"/>
          <w:szCs w:val="22"/>
        </w:rPr>
      </w:pPr>
      <w:bookmarkStart w:id="12" w:name="_Toc139194183"/>
      <w:r w:rsidRPr="00FF7282">
        <w:rPr>
          <w:rFonts w:ascii="Arial" w:hAnsi="Arial" w:cs="Arial"/>
          <w:b/>
          <w:bCs/>
          <w:color w:val="auto"/>
          <w:sz w:val="22"/>
          <w:szCs w:val="22"/>
        </w:rPr>
        <w:t>B</w:t>
      </w:r>
      <w:r w:rsidR="002A1A5E" w:rsidRPr="00FF7282">
        <w:rPr>
          <w:rFonts w:ascii="Arial" w:hAnsi="Arial" w:cs="Arial"/>
          <w:b/>
          <w:bCs/>
          <w:color w:val="auto"/>
          <w:sz w:val="22"/>
          <w:szCs w:val="22"/>
        </w:rPr>
        <w:t>ibliography</w:t>
      </w:r>
      <w:r w:rsidRPr="00FF7282">
        <w:rPr>
          <w:rFonts w:ascii="Arial" w:hAnsi="Arial" w:cs="Arial"/>
          <w:b/>
          <w:bCs/>
          <w:color w:val="auto"/>
          <w:sz w:val="22"/>
          <w:szCs w:val="22"/>
        </w:rPr>
        <w:t xml:space="preserve"> &amp; References</w:t>
      </w:r>
      <w:bookmarkEnd w:id="12"/>
    </w:p>
    <w:p w14:paraId="68326E22" w14:textId="77777777"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 xml:space="preserve">Adriaanse, J.A.A., &amp; Kuijl, J.G. (2006). Resolving Financial Distress: Informal Reorganization in The Netherlands as a Beacon for Policy Makers in the CIS and CEE/SEE Regions? </w:t>
      </w:r>
      <w:r w:rsidRPr="00FF7282">
        <w:rPr>
          <w:rFonts w:ascii="Arial" w:hAnsi="Arial" w:cs="Arial"/>
          <w:i/>
          <w:iCs/>
          <w:sz w:val="22"/>
          <w:szCs w:val="22"/>
        </w:rPr>
        <w:t>Review of Central and East European Law</w:t>
      </w:r>
      <w:r w:rsidRPr="00FF7282">
        <w:rPr>
          <w:rFonts w:ascii="Arial" w:hAnsi="Arial" w:cs="Arial"/>
          <w:sz w:val="22"/>
          <w:szCs w:val="22"/>
        </w:rPr>
        <w:t>, 31(2), 135-154.</w:t>
      </w:r>
    </w:p>
    <w:p w14:paraId="71B7FD05" w14:textId="47DBD851"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shd w:val="clear" w:color="auto" w:fill="FFFFFF"/>
        </w:rPr>
      </w:pPr>
      <w:r w:rsidRPr="00FF7282">
        <w:rPr>
          <w:rFonts w:ascii="Arial" w:hAnsi="Arial" w:cs="Arial"/>
          <w:sz w:val="22"/>
          <w:szCs w:val="22"/>
        </w:rPr>
        <w:t>Anyfantaki-Dalakoura, M. (2017). Corporate Insolvencies: A Comparative Analysis of the European and the USA Model with a Focus on the Liquidation vs</w:t>
      </w:r>
      <w:r w:rsidR="0026796C" w:rsidRPr="00FF7282">
        <w:rPr>
          <w:rFonts w:ascii="Arial" w:hAnsi="Arial" w:cs="Arial"/>
          <w:sz w:val="22"/>
          <w:szCs w:val="22"/>
        </w:rPr>
        <w:t>.</w:t>
      </w:r>
      <w:r w:rsidRPr="00FF7282">
        <w:rPr>
          <w:rFonts w:ascii="Arial" w:hAnsi="Arial" w:cs="Arial"/>
          <w:sz w:val="22"/>
          <w:szCs w:val="22"/>
        </w:rPr>
        <w:t xml:space="preserve"> Reorganization Dilemma and the Effects of Both in the Economy. Retrieved on June 23, 2023</w:t>
      </w:r>
      <w:r w:rsidR="0026796C" w:rsidRPr="00FF7282">
        <w:rPr>
          <w:rFonts w:ascii="Arial" w:hAnsi="Arial" w:cs="Arial"/>
          <w:sz w:val="22"/>
          <w:szCs w:val="22"/>
        </w:rPr>
        <w:t>,</w:t>
      </w:r>
      <w:r w:rsidRPr="00FF7282">
        <w:rPr>
          <w:rFonts w:ascii="Arial" w:hAnsi="Arial" w:cs="Arial"/>
          <w:sz w:val="22"/>
          <w:szCs w:val="22"/>
        </w:rPr>
        <w:t xml:space="preserve"> from </w:t>
      </w:r>
      <w:hyperlink r:id="rId15" w:history="1">
        <w:r w:rsidRPr="00FF7282">
          <w:rPr>
            <w:rStyle w:val="Hyperlink"/>
            <w:rFonts w:ascii="Arial" w:hAnsi="Arial" w:cs="Arial"/>
            <w:sz w:val="22"/>
            <w:szCs w:val="22"/>
            <w:shd w:val="clear" w:color="auto" w:fill="FFFFFF"/>
          </w:rPr>
          <w:t>https://repository.ihu.edu.gr/xmlui/bitstream/handle/11544/15911/Dissertation.pdf?sequence=1</w:t>
        </w:r>
      </w:hyperlink>
    </w:p>
    <w:p w14:paraId="3A728D85" w14:textId="58068406"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shd w:val="clear" w:color="auto" w:fill="FFFFFF"/>
        </w:rPr>
      </w:pPr>
      <w:r w:rsidRPr="00FF7282">
        <w:rPr>
          <w:rFonts w:ascii="Arial" w:hAnsi="Arial" w:cs="Arial"/>
          <w:sz w:val="22"/>
          <w:szCs w:val="22"/>
        </w:rPr>
        <w:t>Association of International Credit and Trade Finance Professionals (2013). Insolvency laws in Germany, UK, and USA. Retrieved on June 23, 2023</w:t>
      </w:r>
      <w:r w:rsidR="0026796C" w:rsidRPr="00FF7282">
        <w:rPr>
          <w:rFonts w:ascii="Arial" w:hAnsi="Arial" w:cs="Arial"/>
          <w:sz w:val="22"/>
          <w:szCs w:val="22"/>
        </w:rPr>
        <w:t>,</w:t>
      </w:r>
      <w:r w:rsidRPr="00FF7282">
        <w:rPr>
          <w:rFonts w:ascii="Arial" w:hAnsi="Arial" w:cs="Arial"/>
          <w:sz w:val="22"/>
          <w:szCs w:val="22"/>
        </w:rPr>
        <w:t xml:space="preserve"> from </w:t>
      </w:r>
      <w:hyperlink r:id="rId16" w:history="1">
        <w:r w:rsidRPr="00FF7282">
          <w:rPr>
            <w:rStyle w:val="Hyperlink"/>
            <w:rFonts w:ascii="Arial" w:hAnsi="Arial" w:cs="Arial"/>
            <w:sz w:val="22"/>
            <w:szCs w:val="22"/>
            <w:shd w:val="clear" w:color="auto" w:fill="FFFFFF"/>
          </w:rPr>
          <w:t>https://www.shumaker.com/Templates/media/images/Practices/SLK_CHA--2.pdf</w:t>
        </w:r>
      </w:hyperlink>
      <w:r w:rsidRPr="00FF7282">
        <w:rPr>
          <w:rStyle w:val="Hyperlink"/>
          <w:rFonts w:ascii="Arial" w:hAnsi="Arial" w:cs="Arial"/>
          <w:sz w:val="22"/>
          <w:szCs w:val="22"/>
          <w:shd w:val="clear" w:color="auto" w:fill="FFFFFF"/>
        </w:rPr>
        <w:t xml:space="preserve"> </w:t>
      </w:r>
    </w:p>
    <w:p w14:paraId="57AC05F3" w14:textId="492C2ACE"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shd w:val="clear" w:color="auto" w:fill="FFFFFF"/>
        </w:rPr>
      </w:pPr>
      <w:r w:rsidRPr="00FF7282">
        <w:rPr>
          <w:rFonts w:ascii="Arial" w:hAnsi="Arial" w:cs="Arial"/>
          <w:sz w:val="22"/>
          <w:szCs w:val="22"/>
        </w:rPr>
        <w:t xml:space="preserve">Baker &amp; McKenzie (2022). Global restructuring &amp; insolvency guide. Retrieved </w:t>
      </w:r>
      <w:r w:rsidR="00EB448D">
        <w:rPr>
          <w:rFonts w:ascii="Arial" w:hAnsi="Arial" w:cs="Arial"/>
          <w:sz w:val="22"/>
          <w:szCs w:val="22"/>
        </w:rPr>
        <w:t xml:space="preserve">on </w:t>
      </w:r>
      <w:r w:rsidRPr="00FF7282">
        <w:rPr>
          <w:rFonts w:ascii="Arial" w:hAnsi="Arial" w:cs="Arial"/>
          <w:sz w:val="22"/>
          <w:szCs w:val="22"/>
        </w:rPr>
        <w:t>June 23, 2023</w:t>
      </w:r>
      <w:r w:rsidR="0026796C" w:rsidRPr="00FF7282">
        <w:rPr>
          <w:rFonts w:ascii="Arial" w:hAnsi="Arial" w:cs="Arial"/>
          <w:sz w:val="22"/>
          <w:szCs w:val="22"/>
        </w:rPr>
        <w:t>,</w:t>
      </w:r>
      <w:r w:rsidRPr="00FF7282">
        <w:rPr>
          <w:rFonts w:ascii="Arial" w:hAnsi="Arial" w:cs="Arial"/>
          <w:sz w:val="22"/>
          <w:szCs w:val="22"/>
        </w:rPr>
        <w:t xml:space="preserve"> from </w:t>
      </w:r>
      <w:hyperlink r:id="rId17" w:history="1">
        <w:r w:rsidRPr="00FF7282">
          <w:rPr>
            <w:rStyle w:val="Hyperlink"/>
            <w:rFonts w:ascii="Arial" w:hAnsi="Arial" w:cs="Arial"/>
            <w:sz w:val="22"/>
            <w:szCs w:val="22"/>
            <w:shd w:val="clear" w:color="auto" w:fill="FFFFFF"/>
          </w:rPr>
          <w:t>https://www.bakermckenzie.com/-/media/files/insight/guides/2022/globalriguide-edition-8.pdf</w:t>
        </w:r>
      </w:hyperlink>
      <w:r w:rsidRPr="00FF7282">
        <w:rPr>
          <w:rStyle w:val="Hyperlink"/>
          <w:rFonts w:ascii="Arial" w:hAnsi="Arial" w:cs="Arial"/>
          <w:sz w:val="22"/>
          <w:szCs w:val="22"/>
          <w:shd w:val="clear" w:color="auto" w:fill="FFFFFF"/>
        </w:rPr>
        <w:t xml:space="preserve"> </w:t>
      </w:r>
    </w:p>
    <w:p w14:paraId="7D6D24EC" w14:textId="77777777"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Boraine, A. (2023). Fundamental concepts of insolvency and restructuring. INSOL Global insolvency practice course.</w:t>
      </w:r>
    </w:p>
    <w:p w14:paraId="5F2E7648" w14:textId="388B95DE" w:rsidR="007473EB" w:rsidRPr="00FF7282" w:rsidRDefault="007473EB" w:rsidP="007473EB">
      <w:pPr>
        <w:pStyle w:val="NormalWeb"/>
        <w:spacing w:before="0" w:beforeAutospacing="0" w:after="240" w:afterAutospacing="0"/>
        <w:ind w:left="720" w:hanging="720"/>
        <w:rPr>
          <w:rFonts w:ascii="Arial" w:hAnsi="Arial" w:cs="Arial"/>
          <w:color w:val="000000"/>
          <w:sz w:val="22"/>
          <w:szCs w:val="22"/>
        </w:rPr>
      </w:pPr>
      <w:bookmarkStart w:id="13" w:name="_Hlk138709134"/>
      <w:r w:rsidRPr="00FF7282">
        <w:rPr>
          <w:rFonts w:ascii="Arial" w:hAnsi="Arial" w:cs="Arial"/>
          <w:color w:val="000000"/>
          <w:sz w:val="22"/>
          <w:szCs w:val="22"/>
        </w:rPr>
        <w:t xml:space="preserve">Bracewell &amp; Giuliani (2012). </w:t>
      </w:r>
      <w:bookmarkEnd w:id="13"/>
      <w:r w:rsidRPr="00FF7282">
        <w:rPr>
          <w:rFonts w:ascii="Arial" w:hAnsi="Arial" w:cs="Arial"/>
          <w:color w:val="000000"/>
          <w:sz w:val="22"/>
          <w:szCs w:val="22"/>
        </w:rPr>
        <w:t xml:space="preserve">Chapter 11 of the United States Bankruptcy </w:t>
      </w:r>
      <w:r w:rsidR="0026796C" w:rsidRPr="00FF7282">
        <w:rPr>
          <w:rFonts w:ascii="Arial" w:hAnsi="Arial" w:cs="Arial"/>
          <w:color w:val="000000"/>
          <w:sz w:val="22"/>
          <w:szCs w:val="22"/>
        </w:rPr>
        <w:t>C</w:t>
      </w:r>
      <w:r w:rsidRPr="00FF7282">
        <w:rPr>
          <w:rFonts w:ascii="Arial" w:hAnsi="Arial" w:cs="Arial"/>
          <w:color w:val="000000"/>
          <w:sz w:val="22"/>
          <w:szCs w:val="22"/>
        </w:rPr>
        <w:t xml:space="preserve">ode: </w:t>
      </w:r>
      <w:r w:rsidR="00EB448D">
        <w:rPr>
          <w:rFonts w:ascii="Arial" w:hAnsi="Arial" w:cs="Arial"/>
          <w:color w:val="000000"/>
          <w:sz w:val="22"/>
          <w:szCs w:val="22"/>
        </w:rPr>
        <w:t>B</w:t>
      </w:r>
      <w:r w:rsidRPr="00FF7282">
        <w:rPr>
          <w:rFonts w:ascii="Arial" w:hAnsi="Arial" w:cs="Arial"/>
          <w:color w:val="000000"/>
          <w:sz w:val="22"/>
          <w:szCs w:val="22"/>
        </w:rPr>
        <w:t>ackground and summary.</w:t>
      </w:r>
    </w:p>
    <w:p w14:paraId="147C8E70" w14:textId="5238D844" w:rsidR="007473EB" w:rsidRPr="00FF7282" w:rsidRDefault="007473EB" w:rsidP="007473EB">
      <w:pPr>
        <w:pStyle w:val="NormalWeb"/>
        <w:spacing w:before="0" w:beforeAutospacing="0" w:after="240" w:afterAutospacing="0"/>
        <w:ind w:left="567" w:hanging="567"/>
        <w:rPr>
          <w:rFonts w:ascii="Arial" w:hAnsi="Arial" w:cs="Arial"/>
          <w:color w:val="222222"/>
          <w:sz w:val="22"/>
          <w:szCs w:val="22"/>
          <w:shd w:val="clear" w:color="auto" w:fill="FFFFFF"/>
        </w:rPr>
      </w:pPr>
      <w:r w:rsidRPr="00FF7282">
        <w:rPr>
          <w:rFonts w:ascii="Arial" w:hAnsi="Arial" w:cs="Arial"/>
          <w:color w:val="222222"/>
          <w:sz w:val="22"/>
          <w:szCs w:val="22"/>
          <w:shd w:val="clear" w:color="auto" w:fill="FFFFFF"/>
        </w:rPr>
        <w:t>Bris, A., Welch, I., &amp; Zhu, N. (2006). The costs of bankruptcy: Chapter 7 liquidation versus Chapter 11 reorganization.</w:t>
      </w:r>
      <w:r w:rsidR="00C835D6" w:rsidRPr="00FF7282">
        <w:rPr>
          <w:rFonts w:ascii="Arial" w:hAnsi="Arial" w:cs="Arial"/>
          <w:color w:val="222222"/>
          <w:sz w:val="22"/>
          <w:szCs w:val="22"/>
          <w:shd w:val="clear" w:color="auto" w:fill="FFFFFF"/>
        </w:rPr>
        <w:t xml:space="preserve"> </w:t>
      </w:r>
      <w:r w:rsidRPr="00FF7282">
        <w:rPr>
          <w:rFonts w:ascii="Arial" w:hAnsi="Arial" w:cs="Arial"/>
          <w:i/>
          <w:iCs/>
          <w:color w:val="222222"/>
          <w:sz w:val="22"/>
          <w:szCs w:val="22"/>
          <w:shd w:val="clear" w:color="auto" w:fill="FFFFFF"/>
        </w:rPr>
        <w:t xml:space="preserve">The </w:t>
      </w:r>
      <w:r w:rsidR="0026796C" w:rsidRPr="00FF7282">
        <w:rPr>
          <w:rFonts w:ascii="Arial" w:hAnsi="Arial" w:cs="Arial"/>
          <w:i/>
          <w:iCs/>
          <w:color w:val="222222"/>
          <w:sz w:val="22"/>
          <w:szCs w:val="22"/>
          <w:shd w:val="clear" w:color="auto" w:fill="FFFFFF"/>
        </w:rPr>
        <w:t>J</w:t>
      </w:r>
      <w:r w:rsidRPr="00FF7282">
        <w:rPr>
          <w:rFonts w:ascii="Arial" w:hAnsi="Arial" w:cs="Arial"/>
          <w:i/>
          <w:iCs/>
          <w:color w:val="222222"/>
          <w:sz w:val="22"/>
          <w:szCs w:val="22"/>
          <w:shd w:val="clear" w:color="auto" w:fill="FFFFFF"/>
        </w:rPr>
        <w:t xml:space="preserve">ournal of </w:t>
      </w:r>
      <w:r w:rsidR="0026796C" w:rsidRPr="00FF7282">
        <w:rPr>
          <w:rFonts w:ascii="Arial" w:hAnsi="Arial" w:cs="Arial"/>
          <w:i/>
          <w:iCs/>
          <w:color w:val="222222"/>
          <w:sz w:val="22"/>
          <w:szCs w:val="22"/>
          <w:shd w:val="clear" w:color="auto" w:fill="FFFFFF"/>
        </w:rPr>
        <w:t>F</w:t>
      </w:r>
      <w:r w:rsidRPr="00FF7282">
        <w:rPr>
          <w:rFonts w:ascii="Arial" w:hAnsi="Arial" w:cs="Arial"/>
          <w:i/>
          <w:iCs/>
          <w:color w:val="222222"/>
          <w:sz w:val="22"/>
          <w:szCs w:val="22"/>
          <w:shd w:val="clear" w:color="auto" w:fill="FFFFFF"/>
        </w:rPr>
        <w:t>inance</w:t>
      </w:r>
      <w:r w:rsidRPr="00FF7282">
        <w:rPr>
          <w:rFonts w:ascii="Arial" w:hAnsi="Arial" w:cs="Arial"/>
          <w:color w:val="222222"/>
          <w:sz w:val="22"/>
          <w:szCs w:val="22"/>
          <w:shd w:val="clear" w:color="auto" w:fill="FFFFFF"/>
        </w:rPr>
        <w:t>,</w:t>
      </w:r>
      <w:r w:rsidR="00C835D6" w:rsidRPr="00FF7282">
        <w:rPr>
          <w:rFonts w:ascii="Arial" w:hAnsi="Arial" w:cs="Arial"/>
          <w:color w:val="222222"/>
          <w:sz w:val="22"/>
          <w:szCs w:val="22"/>
          <w:shd w:val="clear" w:color="auto" w:fill="FFFFFF"/>
        </w:rPr>
        <w:t xml:space="preserve"> </w:t>
      </w:r>
      <w:r w:rsidRPr="00FF7282">
        <w:rPr>
          <w:rFonts w:ascii="Arial" w:hAnsi="Arial" w:cs="Arial"/>
          <w:i/>
          <w:iCs/>
          <w:color w:val="222222"/>
          <w:sz w:val="22"/>
          <w:szCs w:val="22"/>
          <w:shd w:val="clear" w:color="auto" w:fill="FFFFFF"/>
        </w:rPr>
        <w:t>61</w:t>
      </w:r>
      <w:r w:rsidRPr="00FF7282">
        <w:rPr>
          <w:rFonts w:ascii="Arial" w:hAnsi="Arial" w:cs="Arial"/>
          <w:color w:val="222222"/>
          <w:sz w:val="22"/>
          <w:szCs w:val="22"/>
          <w:shd w:val="clear" w:color="auto" w:fill="FFFFFF"/>
        </w:rPr>
        <w:t xml:space="preserve">(3), 1253-1303. Retrieved </w:t>
      </w:r>
      <w:r w:rsidR="00EB448D">
        <w:rPr>
          <w:rFonts w:ascii="Arial" w:hAnsi="Arial" w:cs="Arial"/>
          <w:color w:val="222222"/>
          <w:sz w:val="22"/>
          <w:szCs w:val="22"/>
          <w:shd w:val="clear" w:color="auto" w:fill="FFFFFF"/>
        </w:rPr>
        <w:t xml:space="preserve">on </w:t>
      </w:r>
      <w:r w:rsidRPr="00FF7282">
        <w:rPr>
          <w:rFonts w:ascii="Arial" w:hAnsi="Arial" w:cs="Arial"/>
          <w:color w:val="222222"/>
          <w:sz w:val="22"/>
          <w:szCs w:val="22"/>
          <w:shd w:val="clear" w:color="auto" w:fill="FFFFFF"/>
        </w:rPr>
        <w:t>June 25, 2023</w:t>
      </w:r>
      <w:r w:rsidR="0026796C" w:rsidRPr="00FF7282">
        <w:rPr>
          <w:rFonts w:ascii="Arial" w:hAnsi="Arial" w:cs="Arial"/>
          <w:color w:val="222222"/>
          <w:sz w:val="22"/>
          <w:szCs w:val="22"/>
          <w:shd w:val="clear" w:color="auto" w:fill="FFFFFF"/>
        </w:rPr>
        <w:t>,</w:t>
      </w:r>
      <w:r w:rsidRPr="00FF7282">
        <w:rPr>
          <w:rFonts w:ascii="Arial" w:hAnsi="Arial" w:cs="Arial"/>
          <w:color w:val="222222"/>
          <w:sz w:val="22"/>
          <w:szCs w:val="22"/>
          <w:shd w:val="clear" w:color="auto" w:fill="FFFFFF"/>
        </w:rPr>
        <w:t xml:space="preserve"> from </w:t>
      </w:r>
      <w:hyperlink r:id="rId18" w:history="1">
        <w:r w:rsidRPr="00FF7282">
          <w:rPr>
            <w:rStyle w:val="Hyperlink"/>
            <w:rFonts w:ascii="Arial" w:hAnsi="Arial" w:cs="Arial"/>
            <w:sz w:val="22"/>
            <w:szCs w:val="22"/>
            <w:shd w:val="clear" w:color="auto" w:fill="FFFFFF"/>
          </w:rPr>
          <w:t>https://citeseerx.ist.psu.edu/document?repid=rep1&amp;type=pdf&amp;doi=e1f16e66d71d24ff75027f2fa0b640175d7191e6</w:t>
        </w:r>
      </w:hyperlink>
      <w:r w:rsidRPr="00FF7282">
        <w:rPr>
          <w:rFonts w:ascii="Arial" w:hAnsi="Arial" w:cs="Arial"/>
          <w:color w:val="222222"/>
          <w:sz w:val="22"/>
          <w:szCs w:val="22"/>
          <w:shd w:val="clear" w:color="auto" w:fill="FFFFFF"/>
        </w:rPr>
        <w:t xml:space="preserve"> </w:t>
      </w:r>
    </w:p>
    <w:p w14:paraId="09710FD8" w14:textId="1AB79D2F" w:rsidR="007473EB" w:rsidRPr="00FF7282" w:rsidRDefault="007473EB" w:rsidP="007473EB">
      <w:pPr>
        <w:pStyle w:val="NormalWeb"/>
        <w:spacing w:before="0" w:beforeAutospacing="0" w:after="240" w:afterAutospacing="0"/>
        <w:ind w:left="567" w:hanging="567"/>
        <w:rPr>
          <w:rFonts w:ascii="Arial" w:hAnsi="Arial" w:cs="Arial"/>
          <w:sz w:val="22"/>
          <w:szCs w:val="22"/>
        </w:rPr>
      </w:pPr>
      <w:bookmarkStart w:id="14" w:name="_Hlk139101026"/>
      <w:bookmarkStart w:id="15" w:name="_Hlk130761022"/>
      <w:r w:rsidRPr="00FF7282">
        <w:rPr>
          <w:rFonts w:ascii="Arial" w:hAnsi="Arial" w:cs="Arial"/>
          <w:sz w:val="22"/>
          <w:szCs w:val="22"/>
        </w:rPr>
        <w:t>Carruthers, B. G., &amp; Halliday, T. C. (2000)</w:t>
      </w:r>
      <w:bookmarkEnd w:id="14"/>
      <w:r w:rsidRPr="00FF7282">
        <w:rPr>
          <w:rFonts w:ascii="Arial" w:hAnsi="Arial" w:cs="Arial"/>
          <w:sz w:val="22"/>
          <w:szCs w:val="22"/>
        </w:rPr>
        <w:t>. Professionals in systemic reform of bankruptcy law: The 1978 U.S. Bankruptcy Code and the English Insolvency Act 1986.</w:t>
      </w:r>
      <w:r w:rsidR="00C835D6" w:rsidRPr="00FF7282">
        <w:rPr>
          <w:rFonts w:ascii="Arial" w:hAnsi="Arial" w:cs="Arial"/>
          <w:sz w:val="22"/>
          <w:szCs w:val="22"/>
        </w:rPr>
        <w:t xml:space="preserve"> </w:t>
      </w:r>
      <w:r w:rsidRPr="00FF7282">
        <w:rPr>
          <w:rFonts w:ascii="Arial" w:hAnsi="Arial" w:cs="Arial"/>
          <w:sz w:val="22"/>
          <w:szCs w:val="22"/>
        </w:rPr>
        <w:t>The American Bankruptcy Law Journal,</w:t>
      </w:r>
      <w:r w:rsidR="00C835D6" w:rsidRPr="00FF7282">
        <w:rPr>
          <w:rFonts w:ascii="Arial" w:hAnsi="Arial" w:cs="Arial"/>
          <w:sz w:val="22"/>
          <w:szCs w:val="22"/>
        </w:rPr>
        <w:t xml:space="preserve"> </w:t>
      </w:r>
      <w:r w:rsidRPr="00FF7282">
        <w:rPr>
          <w:rFonts w:ascii="Arial" w:hAnsi="Arial" w:cs="Arial"/>
          <w:sz w:val="22"/>
          <w:szCs w:val="22"/>
        </w:rPr>
        <w:t xml:space="preserve">74(1), 35-75. </w:t>
      </w:r>
      <w:hyperlink r:id="rId19" w:history="1">
        <w:r w:rsidRPr="00FF7282">
          <w:rPr>
            <w:rStyle w:val="Hyperlink"/>
            <w:rFonts w:ascii="Arial" w:hAnsi="Arial" w:cs="Arial"/>
            <w:sz w:val="22"/>
            <w:szCs w:val="22"/>
          </w:rPr>
          <w:t>https://go.openathens.net/redirector/ncu.edu?url=https://www.proquest.com/scholarly-journals/professionals-systemic-reform-bankruptcy-law-1978/docview/202783199/se-2</w:t>
        </w:r>
      </w:hyperlink>
    </w:p>
    <w:p w14:paraId="51798AF0" w14:textId="3D398AF6"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Crowe Horwath Bahamas (2023). Insolvency, Liquidations and Restructuring. Retrieved</w:t>
      </w:r>
      <w:r w:rsidR="00EB448D">
        <w:rPr>
          <w:rFonts w:ascii="Arial" w:hAnsi="Arial" w:cs="Arial"/>
          <w:sz w:val="22"/>
          <w:szCs w:val="22"/>
        </w:rPr>
        <w:t xml:space="preserve"> on June 23, </w:t>
      </w:r>
      <w:r w:rsidR="00AB75AF">
        <w:rPr>
          <w:rFonts w:ascii="Arial" w:hAnsi="Arial" w:cs="Arial"/>
          <w:sz w:val="22"/>
          <w:szCs w:val="22"/>
        </w:rPr>
        <w:t xml:space="preserve">2023, </w:t>
      </w:r>
      <w:r w:rsidR="00AB75AF" w:rsidRPr="00FF7282">
        <w:rPr>
          <w:rFonts w:ascii="Arial" w:hAnsi="Arial" w:cs="Arial"/>
          <w:sz w:val="22"/>
          <w:szCs w:val="22"/>
        </w:rPr>
        <w:t>from</w:t>
      </w:r>
      <w:r w:rsidRPr="00FF7282">
        <w:rPr>
          <w:rFonts w:ascii="Arial" w:hAnsi="Arial" w:cs="Arial"/>
          <w:sz w:val="22"/>
          <w:szCs w:val="22"/>
        </w:rPr>
        <w:t xml:space="preserve"> </w:t>
      </w:r>
      <w:hyperlink r:id="rId20" w:history="1">
        <w:r w:rsidRPr="00FF7282">
          <w:rPr>
            <w:rFonts w:ascii="Arial" w:hAnsi="Arial" w:cs="Arial"/>
            <w:sz w:val="22"/>
            <w:szCs w:val="22"/>
          </w:rPr>
          <w:t>https://www.crowe.com/bs/services/insolvency-and-liquidations</w:t>
        </w:r>
      </w:hyperlink>
      <w:r w:rsidRPr="00FF7282">
        <w:rPr>
          <w:rFonts w:ascii="Arial" w:hAnsi="Arial" w:cs="Arial"/>
          <w:sz w:val="22"/>
          <w:szCs w:val="22"/>
        </w:rPr>
        <w:t xml:space="preserve"> </w:t>
      </w:r>
    </w:p>
    <w:bookmarkEnd w:id="15"/>
    <w:p w14:paraId="3ED3FF3D" w14:textId="77777777" w:rsidR="007473EB" w:rsidRPr="00FF7282" w:rsidRDefault="007473EB" w:rsidP="007473EB">
      <w:pPr>
        <w:pStyle w:val="NormalWeb"/>
        <w:spacing w:before="0" w:beforeAutospacing="0" w:after="240" w:afterAutospacing="0"/>
        <w:ind w:left="720" w:hanging="720"/>
        <w:rPr>
          <w:rFonts w:ascii="Arial" w:hAnsi="Arial" w:cs="Arial"/>
          <w:color w:val="000000"/>
          <w:sz w:val="22"/>
          <w:szCs w:val="22"/>
        </w:rPr>
      </w:pPr>
      <w:r w:rsidRPr="00FF7282">
        <w:rPr>
          <w:rFonts w:ascii="Arial" w:hAnsi="Arial" w:cs="Arial"/>
          <w:color w:val="222222"/>
          <w:sz w:val="22"/>
          <w:szCs w:val="22"/>
          <w:shd w:val="clear" w:color="auto" w:fill="FFFFFF"/>
        </w:rPr>
        <w:t>Declercq, P. J. (2022). UNCITRAL Model Laws Relating to Insolvency. INSOL Foundation Certificate in International Insolvency Law.</w:t>
      </w:r>
    </w:p>
    <w:p w14:paraId="65F3B022" w14:textId="37F65089"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Dunne, D. &amp; Uzzi, G. (2023). Milbank LLP. Restructuring and insolvency in the United States: Overview. Retrieved on June 23, 2023</w:t>
      </w:r>
      <w:r w:rsidR="0026796C" w:rsidRPr="00FF7282">
        <w:rPr>
          <w:rFonts w:ascii="Arial" w:hAnsi="Arial" w:cs="Arial"/>
          <w:sz w:val="22"/>
          <w:szCs w:val="22"/>
        </w:rPr>
        <w:t>,</w:t>
      </w:r>
      <w:r w:rsidRPr="00FF7282">
        <w:rPr>
          <w:rFonts w:ascii="Arial" w:hAnsi="Arial" w:cs="Arial"/>
          <w:sz w:val="22"/>
          <w:szCs w:val="22"/>
        </w:rPr>
        <w:t xml:space="preserve"> from </w:t>
      </w:r>
      <w:hyperlink r:id="rId21" w:history="1">
        <w:r w:rsidRPr="00FF7282">
          <w:rPr>
            <w:rStyle w:val="Hyperlink"/>
            <w:rFonts w:ascii="Arial" w:hAnsi="Arial" w:cs="Arial"/>
            <w:sz w:val="22"/>
            <w:szCs w:val="22"/>
          </w:rPr>
          <w:t>https://uk.practicallaw.thomsonreuters.com/7-501-6870?contextData=(sc.Default)&amp;transitionType=Default&amp;firstPage=true</w:t>
        </w:r>
      </w:hyperlink>
      <w:r w:rsidRPr="00FF7282">
        <w:rPr>
          <w:rFonts w:ascii="Arial" w:hAnsi="Arial" w:cs="Arial"/>
          <w:sz w:val="22"/>
          <w:szCs w:val="22"/>
        </w:rPr>
        <w:t xml:space="preserve"> </w:t>
      </w:r>
    </w:p>
    <w:p w14:paraId="50B8F48C" w14:textId="0C2AB72C" w:rsidR="007473EB" w:rsidRPr="00FF7282" w:rsidRDefault="007473EB" w:rsidP="007473EB">
      <w:pPr>
        <w:pStyle w:val="NormalWeb"/>
        <w:spacing w:before="0" w:beforeAutospacing="0" w:after="240" w:afterAutospacing="0"/>
        <w:ind w:left="720" w:hanging="720"/>
        <w:rPr>
          <w:rFonts w:ascii="Arial" w:hAnsi="Arial" w:cs="Arial"/>
          <w:color w:val="000000"/>
          <w:sz w:val="22"/>
          <w:szCs w:val="22"/>
        </w:rPr>
      </w:pPr>
      <w:bookmarkStart w:id="16" w:name="_Hlk138706059"/>
      <w:r w:rsidRPr="00FF7282">
        <w:rPr>
          <w:rFonts w:ascii="Arial" w:hAnsi="Arial" w:cs="Arial"/>
          <w:color w:val="000000"/>
          <w:sz w:val="22"/>
          <w:szCs w:val="22"/>
        </w:rPr>
        <w:t>Elias, S., &amp; Laurence, B. K. (2010</w:t>
      </w:r>
      <w:bookmarkEnd w:id="16"/>
      <w:r w:rsidRPr="00FF7282">
        <w:rPr>
          <w:rFonts w:ascii="Arial" w:hAnsi="Arial" w:cs="Arial"/>
          <w:color w:val="000000"/>
          <w:sz w:val="22"/>
          <w:szCs w:val="22"/>
        </w:rPr>
        <w:t>).</w:t>
      </w:r>
      <w:r w:rsidRPr="00FF7282">
        <w:rPr>
          <w:rFonts w:ascii="Arial" w:hAnsi="Arial" w:cs="Arial"/>
          <w:i/>
          <w:iCs/>
          <w:color w:val="000000"/>
          <w:sz w:val="22"/>
          <w:szCs w:val="22"/>
        </w:rPr>
        <w:t xml:space="preserve"> Bankruptcy for small business </w:t>
      </w:r>
      <w:r w:rsidR="00C835D6" w:rsidRPr="00FF7282">
        <w:rPr>
          <w:rFonts w:ascii="Arial" w:hAnsi="Arial" w:cs="Arial"/>
          <w:i/>
          <w:iCs/>
          <w:color w:val="000000"/>
          <w:sz w:val="22"/>
          <w:szCs w:val="22"/>
        </w:rPr>
        <w:t>owners:</w:t>
      </w:r>
      <w:r w:rsidRPr="00FF7282">
        <w:rPr>
          <w:rFonts w:ascii="Arial" w:hAnsi="Arial" w:cs="Arial"/>
          <w:i/>
          <w:iCs/>
          <w:color w:val="000000"/>
          <w:sz w:val="22"/>
          <w:szCs w:val="22"/>
        </w:rPr>
        <w:t xml:space="preserve"> how to file for chapter 7</w:t>
      </w:r>
      <w:r w:rsidRPr="00FF7282">
        <w:rPr>
          <w:rFonts w:ascii="Arial" w:hAnsi="Arial" w:cs="Arial"/>
          <w:color w:val="000000"/>
          <w:sz w:val="22"/>
          <w:szCs w:val="22"/>
        </w:rPr>
        <w:t>. Nolo.</w:t>
      </w:r>
    </w:p>
    <w:p w14:paraId="628A83C9" w14:textId="2E921613"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shd w:val="clear" w:color="auto" w:fill="FFFFFF"/>
        </w:rPr>
      </w:pPr>
      <w:r w:rsidRPr="00FF7282">
        <w:rPr>
          <w:rFonts w:ascii="Arial" w:hAnsi="Arial" w:cs="Arial"/>
          <w:sz w:val="22"/>
          <w:szCs w:val="22"/>
        </w:rPr>
        <w:t xml:space="preserve">Fletcher, I. F. (1997). The European Union Convention on Insolvency Proceedings: An Overview and Comment, with US Interest in Mind. Brook. J. Int'l L., 23, 25. Retrieved </w:t>
      </w:r>
      <w:r w:rsidR="00EB448D">
        <w:rPr>
          <w:rFonts w:ascii="Arial" w:hAnsi="Arial" w:cs="Arial"/>
          <w:sz w:val="22"/>
          <w:szCs w:val="22"/>
        </w:rPr>
        <w:t xml:space="preserve">on </w:t>
      </w:r>
      <w:r w:rsidRPr="00FF7282">
        <w:rPr>
          <w:rFonts w:ascii="Arial" w:hAnsi="Arial" w:cs="Arial"/>
          <w:sz w:val="22"/>
          <w:szCs w:val="22"/>
        </w:rPr>
        <w:t xml:space="preserve">June 18. 2023 from </w:t>
      </w:r>
      <w:hyperlink r:id="rId22" w:history="1">
        <w:r w:rsidRPr="00FF7282">
          <w:rPr>
            <w:rStyle w:val="Hyperlink"/>
            <w:rFonts w:ascii="Arial" w:hAnsi="Arial" w:cs="Arial"/>
            <w:sz w:val="22"/>
            <w:szCs w:val="22"/>
            <w:shd w:val="clear" w:color="auto" w:fill="FFFFFF"/>
          </w:rPr>
          <w:t>https://brooklynworks.brooklaw.edu/cgi/viewcontent.cgi?article=1668&amp;context=bjil</w:t>
        </w:r>
      </w:hyperlink>
      <w:r w:rsidRPr="00FF7282">
        <w:rPr>
          <w:rStyle w:val="Hyperlink"/>
          <w:rFonts w:ascii="Arial" w:hAnsi="Arial" w:cs="Arial"/>
          <w:sz w:val="22"/>
          <w:szCs w:val="22"/>
          <w:shd w:val="clear" w:color="auto" w:fill="FFFFFF"/>
        </w:rPr>
        <w:t xml:space="preserve"> </w:t>
      </w:r>
    </w:p>
    <w:p w14:paraId="76EEA98E" w14:textId="56C6924F" w:rsidR="007473EB" w:rsidRPr="00FF7282" w:rsidRDefault="007473EB" w:rsidP="007473EB">
      <w:pPr>
        <w:pStyle w:val="NormalWeb"/>
        <w:spacing w:before="0" w:beforeAutospacing="0" w:after="240" w:afterAutospacing="0"/>
        <w:ind w:left="720" w:hanging="720"/>
        <w:rPr>
          <w:rFonts w:ascii="Arial" w:hAnsi="Arial" w:cs="Arial"/>
          <w:color w:val="222222"/>
          <w:sz w:val="22"/>
          <w:szCs w:val="22"/>
          <w:shd w:val="clear" w:color="auto" w:fill="FFFFFF"/>
        </w:rPr>
      </w:pPr>
      <w:r w:rsidRPr="00FF7282">
        <w:rPr>
          <w:rFonts w:ascii="Arial" w:hAnsi="Arial" w:cs="Arial"/>
          <w:color w:val="222222"/>
          <w:sz w:val="22"/>
          <w:szCs w:val="22"/>
          <w:shd w:val="clear" w:color="auto" w:fill="FFFFFF"/>
        </w:rPr>
        <w:t xml:space="preserve">Fracassi, F. (2001). Confidentiality and NAFTA Chapter 11 Arbitrations. </w:t>
      </w:r>
      <w:r w:rsidRPr="00FF7282">
        <w:rPr>
          <w:rFonts w:ascii="Arial" w:hAnsi="Arial" w:cs="Arial"/>
          <w:i/>
          <w:iCs/>
          <w:color w:val="222222"/>
          <w:sz w:val="22"/>
          <w:szCs w:val="22"/>
          <w:shd w:val="clear" w:color="auto" w:fill="FFFFFF"/>
        </w:rPr>
        <w:t>Chi. J. Int'l L.</w:t>
      </w:r>
      <w:r w:rsidRPr="00FF7282">
        <w:rPr>
          <w:rFonts w:ascii="Arial" w:hAnsi="Arial" w:cs="Arial"/>
          <w:color w:val="222222"/>
          <w:sz w:val="22"/>
          <w:szCs w:val="22"/>
          <w:shd w:val="clear" w:color="auto" w:fill="FFFFFF"/>
        </w:rPr>
        <w:t xml:space="preserve">, </w:t>
      </w:r>
      <w:r w:rsidRPr="00FF7282">
        <w:rPr>
          <w:rFonts w:ascii="Arial" w:hAnsi="Arial" w:cs="Arial"/>
          <w:i/>
          <w:iCs/>
          <w:color w:val="222222"/>
          <w:sz w:val="22"/>
          <w:szCs w:val="22"/>
          <w:shd w:val="clear" w:color="auto" w:fill="FFFFFF"/>
        </w:rPr>
        <w:t>2</w:t>
      </w:r>
      <w:r w:rsidRPr="00FF7282">
        <w:rPr>
          <w:rFonts w:ascii="Arial" w:hAnsi="Arial" w:cs="Arial"/>
          <w:color w:val="222222"/>
          <w:sz w:val="22"/>
          <w:szCs w:val="22"/>
          <w:shd w:val="clear" w:color="auto" w:fill="FFFFFF"/>
        </w:rPr>
        <w:t>, 213. Retrieved</w:t>
      </w:r>
      <w:r w:rsidR="00EB448D">
        <w:rPr>
          <w:rFonts w:ascii="Arial" w:hAnsi="Arial" w:cs="Arial"/>
          <w:color w:val="222222"/>
          <w:sz w:val="22"/>
          <w:szCs w:val="22"/>
          <w:shd w:val="clear" w:color="auto" w:fill="FFFFFF"/>
        </w:rPr>
        <w:t xml:space="preserve"> on</w:t>
      </w:r>
      <w:r w:rsidRPr="00FF7282">
        <w:rPr>
          <w:rFonts w:ascii="Arial" w:hAnsi="Arial" w:cs="Arial"/>
          <w:color w:val="222222"/>
          <w:sz w:val="22"/>
          <w:szCs w:val="22"/>
          <w:shd w:val="clear" w:color="auto" w:fill="FFFFFF"/>
        </w:rPr>
        <w:t xml:space="preserve"> June 26, 2023</w:t>
      </w:r>
      <w:r w:rsidR="0026796C" w:rsidRPr="00FF7282">
        <w:rPr>
          <w:rFonts w:ascii="Arial" w:hAnsi="Arial" w:cs="Arial"/>
          <w:color w:val="222222"/>
          <w:sz w:val="22"/>
          <w:szCs w:val="22"/>
          <w:shd w:val="clear" w:color="auto" w:fill="FFFFFF"/>
        </w:rPr>
        <w:t>,</w:t>
      </w:r>
      <w:r w:rsidRPr="00FF7282">
        <w:rPr>
          <w:rFonts w:ascii="Arial" w:hAnsi="Arial" w:cs="Arial"/>
          <w:color w:val="222222"/>
          <w:sz w:val="22"/>
          <w:szCs w:val="22"/>
          <w:shd w:val="clear" w:color="auto" w:fill="FFFFFF"/>
        </w:rPr>
        <w:t xml:space="preserve"> from </w:t>
      </w:r>
      <w:hyperlink r:id="rId23" w:history="1">
        <w:r w:rsidRPr="00FF7282">
          <w:rPr>
            <w:rStyle w:val="Hyperlink"/>
            <w:rFonts w:ascii="Arial" w:hAnsi="Arial" w:cs="Arial"/>
            <w:sz w:val="22"/>
            <w:szCs w:val="22"/>
            <w:shd w:val="clear" w:color="auto" w:fill="FFFFFF"/>
          </w:rPr>
          <w:t>https://chicagounbound.uchicago.edu/cgi/viewcontent.cgi?article=1128&amp;context=cjil</w:t>
        </w:r>
      </w:hyperlink>
      <w:r w:rsidRPr="00FF7282">
        <w:rPr>
          <w:rFonts w:ascii="Arial" w:hAnsi="Arial" w:cs="Arial"/>
          <w:color w:val="222222"/>
          <w:sz w:val="22"/>
          <w:szCs w:val="22"/>
          <w:shd w:val="clear" w:color="auto" w:fill="FFFFFF"/>
        </w:rPr>
        <w:t xml:space="preserve"> </w:t>
      </w:r>
    </w:p>
    <w:p w14:paraId="3CEBB03C" w14:textId="716C5C7B"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 xml:space="preserve">Garrido, J. M. (2012). Out-of-court debt restructuring. World Bank. Retrieved </w:t>
      </w:r>
      <w:r w:rsidR="00EB448D">
        <w:rPr>
          <w:rFonts w:ascii="Arial" w:hAnsi="Arial" w:cs="Arial"/>
          <w:sz w:val="22"/>
          <w:szCs w:val="22"/>
        </w:rPr>
        <w:t xml:space="preserve">on June 23, 2023, </w:t>
      </w:r>
      <w:r w:rsidRPr="00FF7282">
        <w:rPr>
          <w:rFonts w:ascii="Arial" w:hAnsi="Arial" w:cs="Arial"/>
          <w:sz w:val="22"/>
          <w:szCs w:val="22"/>
        </w:rPr>
        <w:t xml:space="preserve">from </w:t>
      </w:r>
      <w:hyperlink r:id="rId24" w:history="1">
        <w:r w:rsidRPr="00FF7282">
          <w:rPr>
            <w:rStyle w:val="Hyperlink"/>
            <w:rFonts w:ascii="Arial" w:hAnsi="Arial" w:cs="Arial"/>
            <w:sz w:val="22"/>
            <w:szCs w:val="22"/>
          </w:rPr>
          <w:t>https://openknowledge.worldbank.org/server/api/core/bitstreams/c5fc8592-d4c0-5fc9-a7a3-3f7270493d21/content</w:t>
        </w:r>
      </w:hyperlink>
    </w:p>
    <w:p w14:paraId="38D4CD2E" w14:textId="6395458D"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GOV.UK (2023). Guidance Liquidation and Insolvency. Retrieved on June 25, 2023</w:t>
      </w:r>
      <w:r w:rsidR="0026796C" w:rsidRPr="00FF7282">
        <w:rPr>
          <w:rFonts w:ascii="Arial" w:hAnsi="Arial" w:cs="Arial"/>
          <w:sz w:val="22"/>
          <w:szCs w:val="22"/>
        </w:rPr>
        <w:t>,</w:t>
      </w:r>
      <w:r w:rsidRPr="00FF7282">
        <w:rPr>
          <w:rFonts w:ascii="Arial" w:hAnsi="Arial" w:cs="Arial"/>
          <w:sz w:val="22"/>
          <w:szCs w:val="22"/>
        </w:rPr>
        <w:t xml:space="preserve"> from </w:t>
      </w:r>
      <w:hyperlink r:id="rId25" w:history="1">
        <w:r w:rsidRPr="00FF7282">
          <w:rPr>
            <w:rStyle w:val="Hyperlink"/>
            <w:rFonts w:ascii="Arial" w:hAnsi="Arial" w:cs="Arial"/>
            <w:sz w:val="22"/>
            <w:szCs w:val="22"/>
          </w:rPr>
          <w:t>https://www.gov.uk/government/publications/liquidation-and-insolvency/liquidation-and-insolvency</w:t>
        </w:r>
      </w:hyperlink>
      <w:r w:rsidRPr="00FF7282">
        <w:rPr>
          <w:rFonts w:ascii="Arial" w:hAnsi="Arial" w:cs="Arial"/>
          <w:sz w:val="22"/>
          <w:szCs w:val="22"/>
        </w:rPr>
        <w:t xml:space="preserve"> </w:t>
      </w:r>
    </w:p>
    <w:p w14:paraId="56D04051" w14:textId="77777777"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 xml:space="preserve">Gurrea-Martínez, A. (2020). The Future of Reorganization Procedures in the Era of Pre-insolvency Law. European Business Organization Law Review, 21(4), 829–854. </w:t>
      </w:r>
      <w:hyperlink r:id="rId26" w:history="1">
        <w:r w:rsidRPr="00FF7282">
          <w:rPr>
            <w:rStyle w:val="Hyperlink"/>
            <w:rFonts w:ascii="Arial" w:hAnsi="Arial" w:cs="Arial"/>
            <w:sz w:val="22"/>
            <w:szCs w:val="22"/>
          </w:rPr>
          <w:t>https://doi.org/10.1007/s40804-020-00191-y</w:t>
        </w:r>
      </w:hyperlink>
    </w:p>
    <w:p w14:paraId="0E403EC4" w14:textId="77777777"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Insolvency Law Review Committee. (2013). Report of the insolvency law review committee.</w:t>
      </w:r>
    </w:p>
    <w:p w14:paraId="51B4A8CA" w14:textId="709A11C1"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IRS.GOV (2023). Chapter 7 Bankruptcy – Liquidation Under the Bankruptcy Code. Retrieved on June 25, 2023</w:t>
      </w:r>
      <w:r w:rsidR="0026796C" w:rsidRPr="00FF7282">
        <w:rPr>
          <w:rFonts w:ascii="Arial" w:hAnsi="Arial" w:cs="Arial"/>
          <w:sz w:val="22"/>
          <w:szCs w:val="22"/>
        </w:rPr>
        <w:t>,</w:t>
      </w:r>
      <w:r w:rsidRPr="00FF7282">
        <w:rPr>
          <w:rFonts w:ascii="Arial" w:hAnsi="Arial" w:cs="Arial"/>
          <w:sz w:val="22"/>
          <w:szCs w:val="22"/>
        </w:rPr>
        <w:t xml:space="preserve"> from </w:t>
      </w:r>
      <w:hyperlink r:id="rId27" w:history="1">
        <w:r w:rsidRPr="00FF7282">
          <w:rPr>
            <w:rStyle w:val="Hyperlink"/>
            <w:rFonts w:ascii="Arial" w:hAnsi="Arial" w:cs="Arial"/>
            <w:sz w:val="22"/>
            <w:szCs w:val="22"/>
          </w:rPr>
          <w:t>https://www.irs.gov/businesses/small-businesses-self-employed/chapter-7-bankruptcy-liquidation-under-the-bankruptcy-code</w:t>
        </w:r>
      </w:hyperlink>
      <w:r w:rsidRPr="00FF7282">
        <w:rPr>
          <w:rFonts w:ascii="Arial" w:hAnsi="Arial" w:cs="Arial"/>
          <w:sz w:val="22"/>
          <w:szCs w:val="22"/>
        </w:rPr>
        <w:t xml:space="preserve"> </w:t>
      </w:r>
    </w:p>
    <w:p w14:paraId="1ABC2115" w14:textId="77777777"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Keay, A., &amp; Walton, P. (2003). Insolvency law: Corporate and personal. Pearson.</w:t>
      </w:r>
    </w:p>
    <w:p w14:paraId="3E4DD1FC" w14:textId="61A809A7"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rPr>
      </w:pPr>
      <w:r w:rsidRPr="00FF7282">
        <w:rPr>
          <w:rFonts w:ascii="Arial" w:hAnsi="Arial" w:cs="Arial"/>
          <w:sz w:val="22"/>
          <w:szCs w:val="22"/>
        </w:rPr>
        <w:t>Knight, C &amp; Slim, D. (2021). Episode #2: A Comparative Analysis: U.S. Chapter 11 v IL Restructuring Plans and Schemes of Arrangements. Retrieved on June 22, 2023</w:t>
      </w:r>
      <w:r w:rsidR="0026796C" w:rsidRPr="00FF7282">
        <w:rPr>
          <w:rFonts w:ascii="Arial" w:hAnsi="Arial" w:cs="Arial"/>
          <w:sz w:val="22"/>
          <w:szCs w:val="22"/>
        </w:rPr>
        <w:t>,</w:t>
      </w:r>
      <w:r w:rsidRPr="00FF7282">
        <w:rPr>
          <w:rFonts w:ascii="Arial" w:hAnsi="Arial" w:cs="Arial"/>
          <w:sz w:val="22"/>
          <w:szCs w:val="22"/>
        </w:rPr>
        <w:t xml:space="preserve"> from </w:t>
      </w:r>
      <w:hyperlink r:id="rId28" w:history="1">
        <w:r w:rsidRPr="00FF7282">
          <w:rPr>
            <w:rStyle w:val="Hyperlink"/>
            <w:rFonts w:ascii="Arial" w:hAnsi="Arial" w:cs="Arial"/>
            <w:sz w:val="22"/>
            <w:szCs w:val="22"/>
          </w:rPr>
          <w:t>https://www.pillsburylaw.com/en/news-and-insights/inflight-audio-podcast-2-chapter-11-uk-restructuring.html#</w:t>
        </w:r>
      </w:hyperlink>
      <w:r w:rsidRPr="00FF7282">
        <w:rPr>
          <w:rStyle w:val="Hyperlink"/>
          <w:rFonts w:ascii="Arial" w:hAnsi="Arial" w:cs="Arial"/>
          <w:sz w:val="22"/>
          <w:szCs w:val="22"/>
        </w:rPr>
        <w:t xml:space="preserve"> </w:t>
      </w:r>
    </w:p>
    <w:p w14:paraId="4A7D8298" w14:textId="77777777" w:rsidR="007473EB" w:rsidRPr="00FF7282" w:rsidRDefault="007473EB" w:rsidP="007473EB">
      <w:pPr>
        <w:pStyle w:val="NormalWeb"/>
        <w:spacing w:before="0" w:beforeAutospacing="0" w:after="240" w:afterAutospacing="0"/>
        <w:ind w:left="567" w:hanging="567"/>
        <w:rPr>
          <w:rFonts w:ascii="Arial" w:hAnsi="Arial" w:cs="Arial"/>
          <w:sz w:val="22"/>
          <w:szCs w:val="22"/>
        </w:rPr>
      </w:pPr>
      <w:bookmarkStart w:id="17" w:name="_Hlk138365242"/>
      <w:r w:rsidRPr="00FF7282">
        <w:rPr>
          <w:rFonts w:ascii="Arial" w:hAnsi="Arial" w:cs="Arial"/>
          <w:sz w:val="22"/>
          <w:szCs w:val="22"/>
        </w:rPr>
        <w:t xml:space="preserve">Kokorin, I., Madaus, S., &amp; Mevorach, I. (2021). </w:t>
      </w:r>
      <w:bookmarkEnd w:id="17"/>
      <w:r w:rsidRPr="00FF7282">
        <w:rPr>
          <w:rFonts w:ascii="Arial" w:hAnsi="Arial" w:cs="Arial"/>
          <w:sz w:val="22"/>
          <w:szCs w:val="22"/>
        </w:rPr>
        <w:t>Global Competition In Cross-Border Restructuring and Recognition of Centralized Group Solutions. Texas International Law Journal, 56(2), 109–154.</w:t>
      </w:r>
    </w:p>
    <w:p w14:paraId="4C07D716" w14:textId="77777777"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rPr>
      </w:pPr>
      <w:r w:rsidRPr="00FF7282">
        <w:rPr>
          <w:rFonts w:ascii="Arial" w:hAnsi="Arial" w:cs="Arial"/>
          <w:sz w:val="22"/>
          <w:szCs w:val="22"/>
        </w:rPr>
        <w:t xml:space="preserve">Landry, R. J. (2020). Enhancing Rescue in Chapter 11: Lessons from Reform Efforts in the United Kingdom. American Business Law Journal, 57(2), 227–279. </w:t>
      </w:r>
      <w:hyperlink r:id="rId29" w:history="1">
        <w:r w:rsidRPr="00FF7282">
          <w:rPr>
            <w:rStyle w:val="Hyperlink"/>
            <w:rFonts w:ascii="Arial" w:hAnsi="Arial" w:cs="Arial"/>
            <w:sz w:val="22"/>
            <w:szCs w:val="22"/>
          </w:rPr>
          <w:t>https://doi.org/10.1111/ablj.12158</w:t>
        </w:r>
      </w:hyperlink>
    </w:p>
    <w:p w14:paraId="63D346F9" w14:textId="77777777" w:rsidR="007473EB" w:rsidRPr="00FF7282" w:rsidRDefault="007473EB" w:rsidP="007473EB">
      <w:pPr>
        <w:pStyle w:val="NormalWeb"/>
        <w:spacing w:before="0" w:beforeAutospacing="0" w:after="240" w:afterAutospacing="0"/>
        <w:ind w:left="567" w:hanging="567"/>
        <w:rPr>
          <w:rFonts w:ascii="Arial" w:hAnsi="Arial" w:cs="Arial"/>
          <w:sz w:val="22"/>
          <w:szCs w:val="22"/>
        </w:rPr>
      </w:pPr>
      <w:bookmarkStart w:id="18" w:name="_Hlk139106137"/>
      <w:r w:rsidRPr="00FF7282">
        <w:rPr>
          <w:rFonts w:ascii="Arial" w:hAnsi="Arial" w:cs="Arial"/>
          <w:sz w:val="22"/>
          <w:szCs w:val="22"/>
        </w:rPr>
        <w:t xml:space="preserve">Lee, R. S. (2011). </w:t>
      </w:r>
      <w:bookmarkEnd w:id="18"/>
      <w:r w:rsidRPr="00FF7282">
        <w:rPr>
          <w:rFonts w:ascii="Arial" w:hAnsi="Arial" w:cs="Arial"/>
          <w:sz w:val="22"/>
          <w:szCs w:val="22"/>
        </w:rPr>
        <w:t xml:space="preserve">Corporate Reorganization as Corporate Reinvention: Borders and Blockbuster in Chapter 11. </w:t>
      </w:r>
      <w:r w:rsidRPr="00FF7282">
        <w:rPr>
          <w:rFonts w:ascii="Arial" w:hAnsi="Arial" w:cs="Arial"/>
          <w:i/>
          <w:iCs/>
          <w:sz w:val="22"/>
          <w:szCs w:val="22"/>
        </w:rPr>
        <w:t>Harvard Business Law Review Online</w:t>
      </w:r>
      <w:r w:rsidRPr="00FF7282">
        <w:rPr>
          <w:rFonts w:ascii="Arial" w:hAnsi="Arial" w:cs="Arial"/>
          <w:sz w:val="22"/>
          <w:szCs w:val="22"/>
        </w:rPr>
        <w:t xml:space="preserve">, Vol. 1, No. 53, 2011, Available at SSRN: </w:t>
      </w:r>
      <w:hyperlink r:id="rId30" w:history="1">
        <w:r w:rsidRPr="00FF7282">
          <w:rPr>
            <w:rStyle w:val="Hyperlink"/>
            <w:rFonts w:ascii="Arial" w:hAnsi="Arial" w:cs="Arial"/>
            <w:sz w:val="22"/>
            <w:szCs w:val="22"/>
          </w:rPr>
          <w:t>https://ssrn.com/abstract=1942126</w:t>
        </w:r>
      </w:hyperlink>
    </w:p>
    <w:p w14:paraId="3B56B272" w14:textId="4F6F5C37"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rPr>
      </w:pPr>
      <w:r w:rsidRPr="00FF7282">
        <w:rPr>
          <w:rFonts w:ascii="Arial" w:hAnsi="Arial" w:cs="Arial"/>
          <w:sz w:val="22"/>
          <w:szCs w:val="22"/>
        </w:rPr>
        <w:t xml:space="preserve">Mulevičienė, S. (2020). Evaluation of the effectiveness of insolvency frameworks: does the small business perspective </w:t>
      </w:r>
      <w:r w:rsidR="00C32749" w:rsidRPr="00FF7282">
        <w:rPr>
          <w:rFonts w:ascii="Arial" w:hAnsi="Arial" w:cs="Arial"/>
          <w:sz w:val="22"/>
          <w:szCs w:val="22"/>
        </w:rPr>
        <w:t>matter?</w:t>
      </w:r>
      <w:r w:rsidRPr="00FF7282">
        <w:rPr>
          <w:rFonts w:ascii="Arial" w:hAnsi="Arial" w:cs="Arial"/>
          <w:sz w:val="22"/>
          <w:szCs w:val="22"/>
        </w:rPr>
        <w:t xml:space="preserve"> Retrieved </w:t>
      </w:r>
      <w:r w:rsidR="00EB448D">
        <w:rPr>
          <w:rFonts w:ascii="Arial" w:hAnsi="Arial" w:cs="Arial"/>
          <w:sz w:val="22"/>
          <w:szCs w:val="22"/>
        </w:rPr>
        <w:t xml:space="preserve">on </w:t>
      </w:r>
      <w:r w:rsidRPr="00FF7282">
        <w:rPr>
          <w:rFonts w:ascii="Arial" w:hAnsi="Arial" w:cs="Arial"/>
          <w:sz w:val="22"/>
          <w:szCs w:val="22"/>
        </w:rPr>
        <w:t>June 18, 2023</w:t>
      </w:r>
      <w:r w:rsidR="0026796C" w:rsidRPr="00FF7282">
        <w:rPr>
          <w:rFonts w:ascii="Arial" w:hAnsi="Arial" w:cs="Arial"/>
          <w:sz w:val="22"/>
          <w:szCs w:val="22"/>
        </w:rPr>
        <w:t>,</w:t>
      </w:r>
      <w:r w:rsidRPr="00FF7282">
        <w:rPr>
          <w:rFonts w:ascii="Arial" w:hAnsi="Arial" w:cs="Arial"/>
          <w:sz w:val="22"/>
          <w:szCs w:val="22"/>
        </w:rPr>
        <w:t xml:space="preserve"> from </w:t>
      </w:r>
      <w:hyperlink r:id="rId31" w:history="1">
        <w:r w:rsidRPr="00FF7282">
          <w:rPr>
            <w:rStyle w:val="Hyperlink"/>
            <w:rFonts w:ascii="Arial" w:hAnsi="Arial" w:cs="Arial"/>
            <w:sz w:val="22"/>
            <w:szCs w:val="22"/>
          </w:rPr>
          <w:t>https://repository.mruni.eu/bitstream/handle/007/17032/Muleviciene_Evaluation_of_the_effectiveness_of_insolvency_frameworks.pdf?sequence=1&amp;isAllowed=y</w:t>
        </w:r>
      </w:hyperlink>
      <w:r w:rsidRPr="00FF7282">
        <w:rPr>
          <w:rStyle w:val="Hyperlink"/>
          <w:rFonts w:ascii="Arial" w:hAnsi="Arial" w:cs="Arial"/>
          <w:sz w:val="22"/>
          <w:szCs w:val="22"/>
        </w:rPr>
        <w:t xml:space="preserve"> </w:t>
      </w:r>
    </w:p>
    <w:p w14:paraId="0808A026" w14:textId="1478B314"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rPr>
      </w:pPr>
      <w:r w:rsidRPr="00FF7282">
        <w:rPr>
          <w:rFonts w:ascii="Arial" w:hAnsi="Arial" w:cs="Arial"/>
          <w:sz w:val="22"/>
          <w:szCs w:val="22"/>
        </w:rPr>
        <w:t xml:space="preserve">Nwafor, A. O. (2017). The Goal (S) Of Corporate Rescue In Company Law: A Comparative Analysis. Retrieved </w:t>
      </w:r>
      <w:r w:rsidR="00EB448D">
        <w:rPr>
          <w:rFonts w:ascii="Arial" w:hAnsi="Arial" w:cs="Arial"/>
          <w:sz w:val="22"/>
          <w:szCs w:val="22"/>
        </w:rPr>
        <w:t xml:space="preserve">on </w:t>
      </w:r>
      <w:r w:rsidRPr="00FF7282">
        <w:rPr>
          <w:rFonts w:ascii="Arial" w:hAnsi="Arial" w:cs="Arial"/>
          <w:sz w:val="22"/>
          <w:szCs w:val="22"/>
        </w:rPr>
        <w:t>June 22, 2023</w:t>
      </w:r>
      <w:r w:rsidR="0026796C" w:rsidRPr="00FF7282">
        <w:rPr>
          <w:rFonts w:ascii="Arial" w:hAnsi="Arial" w:cs="Arial"/>
          <w:sz w:val="22"/>
          <w:szCs w:val="22"/>
        </w:rPr>
        <w:t>,</w:t>
      </w:r>
      <w:r w:rsidRPr="00FF7282">
        <w:rPr>
          <w:rFonts w:ascii="Arial" w:hAnsi="Arial" w:cs="Arial"/>
          <w:sz w:val="22"/>
          <w:szCs w:val="22"/>
        </w:rPr>
        <w:t xml:space="preserve"> from </w:t>
      </w:r>
      <w:hyperlink r:id="rId32" w:history="1">
        <w:r w:rsidRPr="00FF7282">
          <w:rPr>
            <w:rStyle w:val="Hyperlink"/>
            <w:rFonts w:ascii="Arial" w:hAnsi="Arial" w:cs="Arial"/>
            <w:sz w:val="22"/>
            <w:szCs w:val="22"/>
          </w:rPr>
          <w:t>https://pdfs.semanticscholar.org/ec1c/f369bbae21dde6be1200b9b1aa76ad6953f8.pdf</w:t>
        </w:r>
      </w:hyperlink>
      <w:r w:rsidRPr="00FF7282">
        <w:rPr>
          <w:rStyle w:val="Hyperlink"/>
          <w:rFonts w:ascii="Arial" w:hAnsi="Arial" w:cs="Arial"/>
          <w:sz w:val="22"/>
          <w:szCs w:val="22"/>
        </w:rPr>
        <w:t xml:space="preserve"> </w:t>
      </w:r>
    </w:p>
    <w:p w14:paraId="4DF49863" w14:textId="77777777"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rPr>
      </w:pPr>
      <w:r w:rsidRPr="00FF7282">
        <w:rPr>
          <w:rFonts w:ascii="Arial" w:hAnsi="Arial" w:cs="Arial"/>
          <w:sz w:val="22"/>
          <w:szCs w:val="22"/>
        </w:rPr>
        <w:t>Payne, J. (2013). Cross-border Schemes of Arrangement and Forum Shopping</w:t>
      </w:r>
      <w:r w:rsidRPr="00FF7282">
        <w:rPr>
          <w:rFonts w:ascii="Arial" w:hAnsi="Arial" w:cs="Arial"/>
          <w:i/>
          <w:iCs/>
          <w:sz w:val="22"/>
          <w:szCs w:val="22"/>
        </w:rPr>
        <w:t>. European Business Organization Law Review</w:t>
      </w:r>
      <w:r w:rsidRPr="00FF7282">
        <w:rPr>
          <w:rFonts w:ascii="Arial" w:hAnsi="Arial" w:cs="Arial"/>
          <w:sz w:val="22"/>
          <w:szCs w:val="22"/>
        </w:rPr>
        <w:t xml:space="preserve">, 14(4), 563-589. </w:t>
      </w:r>
      <w:r w:rsidRPr="00FF7282">
        <w:rPr>
          <w:rStyle w:val="Hyperlink"/>
          <w:rFonts w:ascii="Arial" w:hAnsi="Arial" w:cs="Arial"/>
          <w:sz w:val="22"/>
          <w:szCs w:val="22"/>
        </w:rPr>
        <w:t>https://doi.org/10.1017/S1566752912001309</w:t>
      </w:r>
    </w:p>
    <w:p w14:paraId="3B86EBDA" w14:textId="673F5B95"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rPr>
      </w:pPr>
      <w:r w:rsidRPr="00FF7282">
        <w:rPr>
          <w:rFonts w:ascii="Arial" w:hAnsi="Arial" w:cs="Arial"/>
          <w:sz w:val="22"/>
          <w:szCs w:val="22"/>
        </w:rPr>
        <w:t>Payne, J. (2014). Debt restructuring in English law: lessons from the United States and the need for reform. LQR, 130, 282. Retrieved on June 18, 2023</w:t>
      </w:r>
      <w:r w:rsidR="0026796C" w:rsidRPr="00FF7282">
        <w:rPr>
          <w:rFonts w:ascii="Arial" w:hAnsi="Arial" w:cs="Arial"/>
          <w:sz w:val="22"/>
          <w:szCs w:val="22"/>
        </w:rPr>
        <w:t>,</w:t>
      </w:r>
      <w:r w:rsidRPr="00FF7282">
        <w:rPr>
          <w:rFonts w:ascii="Arial" w:hAnsi="Arial" w:cs="Arial"/>
          <w:sz w:val="22"/>
          <w:szCs w:val="22"/>
        </w:rPr>
        <w:t xml:space="preserve"> from </w:t>
      </w:r>
      <w:hyperlink r:id="rId33" w:history="1">
        <w:r w:rsidRPr="00FF7282">
          <w:rPr>
            <w:rStyle w:val="Hyperlink"/>
            <w:rFonts w:ascii="Arial" w:hAnsi="Arial" w:cs="Arial"/>
            <w:sz w:val="22"/>
            <w:szCs w:val="22"/>
          </w:rPr>
          <w:t>https://heinonline.org/HOL/LandingPage?handle=hein.journals/lqr130&amp;div=15&amp;id=&amp;page=</w:t>
        </w:r>
      </w:hyperlink>
      <w:r w:rsidRPr="00FF7282">
        <w:rPr>
          <w:rStyle w:val="Hyperlink"/>
          <w:rFonts w:ascii="Arial" w:hAnsi="Arial" w:cs="Arial"/>
          <w:sz w:val="22"/>
          <w:szCs w:val="22"/>
        </w:rPr>
        <w:t xml:space="preserve"> </w:t>
      </w:r>
    </w:p>
    <w:p w14:paraId="4212D486" w14:textId="4E7C29CB"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rPr>
      </w:pPr>
      <w:r w:rsidRPr="00FF7282">
        <w:rPr>
          <w:rFonts w:ascii="Arial" w:hAnsi="Arial" w:cs="Arial"/>
          <w:sz w:val="22"/>
          <w:szCs w:val="22"/>
        </w:rPr>
        <w:t xml:space="preserve">Payne, J. (2018). Debt restructuring in the UK. European Company and Financial Law Review, 15(3), 449-471. Retrieved </w:t>
      </w:r>
      <w:r w:rsidR="00EB448D">
        <w:rPr>
          <w:rFonts w:ascii="Arial" w:hAnsi="Arial" w:cs="Arial"/>
          <w:sz w:val="22"/>
          <w:szCs w:val="22"/>
        </w:rPr>
        <w:t xml:space="preserve">on </w:t>
      </w:r>
      <w:r w:rsidRPr="00FF7282">
        <w:rPr>
          <w:rFonts w:ascii="Arial" w:hAnsi="Arial" w:cs="Arial"/>
          <w:sz w:val="22"/>
          <w:szCs w:val="22"/>
        </w:rPr>
        <w:t>June 22, 2023</w:t>
      </w:r>
      <w:r w:rsidR="0026796C" w:rsidRPr="00FF7282">
        <w:rPr>
          <w:rFonts w:ascii="Arial" w:hAnsi="Arial" w:cs="Arial"/>
          <w:sz w:val="22"/>
          <w:szCs w:val="22"/>
        </w:rPr>
        <w:t>,</w:t>
      </w:r>
      <w:r w:rsidRPr="00FF7282">
        <w:rPr>
          <w:rFonts w:ascii="Arial" w:hAnsi="Arial" w:cs="Arial"/>
          <w:sz w:val="22"/>
          <w:szCs w:val="22"/>
        </w:rPr>
        <w:t xml:space="preserve"> from </w:t>
      </w:r>
      <w:hyperlink r:id="rId34" w:history="1">
        <w:r w:rsidRPr="00FF7282">
          <w:rPr>
            <w:rStyle w:val="Hyperlink"/>
            <w:rFonts w:ascii="Arial" w:hAnsi="Arial" w:cs="Arial"/>
            <w:sz w:val="22"/>
            <w:szCs w:val="22"/>
          </w:rPr>
          <w:t>https://ora.ox.ac.uk/objects/uuid:a14466df-9291-480d-af11-822a562910a3/download_file?file_format=application%2Fpdf&amp;safe_filename=Debt%2Brestructuring%2Bin%2Bthe%2BUK%2BSeptember%2B2018.pdf&amp;type_of_work=Journal+article</w:t>
        </w:r>
      </w:hyperlink>
      <w:r w:rsidRPr="00FF7282">
        <w:rPr>
          <w:rStyle w:val="Hyperlink"/>
          <w:rFonts w:ascii="Arial" w:hAnsi="Arial" w:cs="Arial"/>
          <w:sz w:val="22"/>
          <w:szCs w:val="22"/>
        </w:rPr>
        <w:t xml:space="preserve"> </w:t>
      </w:r>
    </w:p>
    <w:p w14:paraId="676FF9B6" w14:textId="7065F048" w:rsidR="007473EB" w:rsidRPr="00FF7282" w:rsidRDefault="007473EB" w:rsidP="007473EB">
      <w:pPr>
        <w:pStyle w:val="NormalWeb"/>
        <w:spacing w:before="0" w:beforeAutospacing="0" w:after="240" w:afterAutospacing="0"/>
        <w:ind w:left="567" w:hanging="567"/>
        <w:rPr>
          <w:rFonts w:ascii="Arial" w:hAnsi="Arial" w:cs="Arial"/>
          <w:sz w:val="22"/>
          <w:szCs w:val="22"/>
        </w:rPr>
      </w:pPr>
      <w:r w:rsidRPr="00FF7282">
        <w:rPr>
          <w:rFonts w:ascii="Arial" w:hAnsi="Arial" w:cs="Arial"/>
          <w:sz w:val="22"/>
          <w:szCs w:val="22"/>
        </w:rPr>
        <w:t>Surbhi, S. (2018). Difference between bankruptcy and liquidations. Key Differences. Retrieved on June 24, 2023</w:t>
      </w:r>
      <w:r w:rsidR="0026796C" w:rsidRPr="00FF7282">
        <w:rPr>
          <w:rFonts w:ascii="Arial" w:hAnsi="Arial" w:cs="Arial"/>
          <w:sz w:val="22"/>
          <w:szCs w:val="22"/>
        </w:rPr>
        <w:t>,</w:t>
      </w:r>
      <w:r w:rsidRPr="00FF7282">
        <w:rPr>
          <w:rFonts w:ascii="Arial" w:hAnsi="Arial" w:cs="Arial"/>
          <w:sz w:val="22"/>
          <w:szCs w:val="22"/>
        </w:rPr>
        <w:t xml:space="preserve"> f</w:t>
      </w:r>
      <w:r w:rsidR="00C835D6" w:rsidRPr="00FF7282">
        <w:rPr>
          <w:rFonts w:ascii="Arial" w:hAnsi="Arial" w:cs="Arial"/>
          <w:sz w:val="22"/>
          <w:szCs w:val="22"/>
        </w:rPr>
        <w:t>rom</w:t>
      </w:r>
      <w:r w:rsidRPr="00FF7282">
        <w:rPr>
          <w:rFonts w:ascii="Arial" w:hAnsi="Arial" w:cs="Arial"/>
          <w:sz w:val="22"/>
          <w:szCs w:val="22"/>
        </w:rPr>
        <w:t xml:space="preserve"> </w:t>
      </w:r>
      <w:hyperlink r:id="rId35" w:history="1">
        <w:r w:rsidRPr="00FF7282">
          <w:rPr>
            <w:rStyle w:val="Hyperlink"/>
            <w:rFonts w:ascii="Arial" w:hAnsi="Arial" w:cs="Arial"/>
            <w:sz w:val="22"/>
            <w:szCs w:val="22"/>
          </w:rPr>
          <w:t>https://keydifferences.com/difference-between-bankruptcy-and-liquidation.html</w:t>
        </w:r>
      </w:hyperlink>
    </w:p>
    <w:p w14:paraId="4DCB9D93" w14:textId="77777777" w:rsidR="007473EB" w:rsidRPr="00FF7282" w:rsidRDefault="007473EB" w:rsidP="007473EB">
      <w:pPr>
        <w:pStyle w:val="NormalWeb"/>
        <w:spacing w:before="0" w:beforeAutospacing="0" w:after="240" w:afterAutospacing="0"/>
        <w:ind w:left="567" w:hanging="567"/>
        <w:rPr>
          <w:rStyle w:val="Hyperlink"/>
          <w:rFonts w:ascii="Arial" w:hAnsi="Arial" w:cs="Arial"/>
          <w:sz w:val="22"/>
          <w:szCs w:val="22"/>
        </w:rPr>
      </w:pPr>
      <w:r w:rsidRPr="00FF7282">
        <w:rPr>
          <w:rFonts w:ascii="Arial" w:hAnsi="Arial" w:cs="Arial"/>
          <w:sz w:val="22"/>
          <w:szCs w:val="22"/>
        </w:rPr>
        <w:t xml:space="preserve">Tajti, T. (2018). Bankruptcy stigma and the second chance policy: the impact of bankruptcy stigma on business restructurings in China, Europe, and the United States. </w:t>
      </w:r>
      <w:r w:rsidRPr="00FF7282">
        <w:rPr>
          <w:rFonts w:ascii="Arial" w:hAnsi="Arial" w:cs="Arial"/>
          <w:i/>
          <w:iCs/>
          <w:sz w:val="22"/>
          <w:szCs w:val="22"/>
        </w:rPr>
        <w:t>China-EU Law Journal 6</w:t>
      </w:r>
      <w:r w:rsidRPr="00FF7282">
        <w:rPr>
          <w:rFonts w:ascii="Arial" w:hAnsi="Arial" w:cs="Arial"/>
          <w:sz w:val="22"/>
          <w:szCs w:val="22"/>
        </w:rPr>
        <w:t>(1-2), 1-31</w:t>
      </w:r>
      <w:r w:rsidRPr="00FF7282">
        <w:rPr>
          <w:rStyle w:val="Hyperlink"/>
          <w:rFonts w:ascii="Arial" w:hAnsi="Arial" w:cs="Arial"/>
          <w:sz w:val="22"/>
          <w:szCs w:val="22"/>
        </w:rPr>
        <w:t>. https://doi.org/10.1007/s12689-017-0077-z</w:t>
      </w:r>
    </w:p>
    <w:p w14:paraId="1768DDCE" w14:textId="2596B011" w:rsidR="007473EB" w:rsidRPr="00FF7282" w:rsidRDefault="007473EB" w:rsidP="007473EB">
      <w:pPr>
        <w:pStyle w:val="NormalWeb"/>
        <w:spacing w:before="0" w:beforeAutospacing="0" w:after="240" w:afterAutospacing="0"/>
        <w:ind w:left="567" w:hanging="567"/>
        <w:rPr>
          <w:rFonts w:ascii="Arial" w:hAnsi="Arial" w:cs="Arial"/>
          <w:color w:val="222222"/>
          <w:sz w:val="22"/>
          <w:szCs w:val="22"/>
          <w:shd w:val="clear" w:color="auto" w:fill="FFFFFF"/>
        </w:rPr>
      </w:pPr>
      <w:bookmarkStart w:id="19" w:name="_Hlk138613427"/>
      <w:r w:rsidRPr="00FF7282">
        <w:rPr>
          <w:rFonts w:ascii="Arial" w:hAnsi="Arial" w:cs="Arial"/>
          <w:color w:val="222222"/>
          <w:sz w:val="22"/>
          <w:szCs w:val="22"/>
          <w:shd w:val="clear" w:color="auto" w:fill="FFFFFF"/>
        </w:rPr>
        <w:t xml:space="preserve">Taylor, A. N., &amp; Sheffner, D. J. (2016). </w:t>
      </w:r>
      <w:bookmarkEnd w:id="19"/>
      <w:r w:rsidRPr="00FF7282">
        <w:rPr>
          <w:rFonts w:ascii="Arial" w:hAnsi="Arial" w:cs="Arial"/>
          <w:color w:val="222222"/>
          <w:sz w:val="22"/>
          <w:szCs w:val="22"/>
          <w:shd w:val="clear" w:color="auto" w:fill="FFFFFF"/>
        </w:rPr>
        <w:t xml:space="preserve">Oh, what a relief it (sometimes) is: An analysis of </w:t>
      </w:r>
      <w:r w:rsidR="0026796C" w:rsidRPr="00FF7282">
        <w:rPr>
          <w:rFonts w:ascii="Arial" w:hAnsi="Arial" w:cs="Arial"/>
          <w:color w:val="222222"/>
          <w:sz w:val="22"/>
          <w:szCs w:val="22"/>
          <w:shd w:val="clear" w:color="auto" w:fill="FFFFFF"/>
        </w:rPr>
        <w:t>C</w:t>
      </w:r>
      <w:r w:rsidRPr="00FF7282">
        <w:rPr>
          <w:rFonts w:ascii="Arial" w:hAnsi="Arial" w:cs="Arial"/>
          <w:color w:val="222222"/>
          <w:sz w:val="22"/>
          <w:szCs w:val="22"/>
          <w:shd w:val="clear" w:color="auto" w:fill="FFFFFF"/>
        </w:rPr>
        <w:t>hapter 7 bankruptcy petitions to discharge student loans.</w:t>
      </w:r>
      <w:r w:rsidR="00C32749" w:rsidRPr="00FF7282">
        <w:rPr>
          <w:rFonts w:ascii="Arial" w:hAnsi="Arial" w:cs="Arial"/>
          <w:color w:val="222222"/>
          <w:sz w:val="22"/>
          <w:szCs w:val="22"/>
          <w:shd w:val="clear" w:color="auto" w:fill="FFFFFF"/>
        </w:rPr>
        <w:t xml:space="preserve"> </w:t>
      </w:r>
      <w:r w:rsidRPr="00FF7282">
        <w:rPr>
          <w:rFonts w:ascii="Arial" w:hAnsi="Arial" w:cs="Arial"/>
          <w:i/>
          <w:iCs/>
          <w:color w:val="222222"/>
          <w:sz w:val="22"/>
          <w:szCs w:val="22"/>
          <w:shd w:val="clear" w:color="auto" w:fill="FFFFFF"/>
        </w:rPr>
        <w:t>Stan. L. &amp; Pol'y Rev.</w:t>
      </w:r>
      <w:r w:rsidRPr="00FF7282">
        <w:rPr>
          <w:rFonts w:ascii="Arial" w:hAnsi="Arial" w:cs="Arial"/>
          <w:color w:val="222222"/>
          <w:sz w:val="22"/>
          <w:szCs w:val="22"/>
          <w:shd w:val="clear" w:color="auto" w:fill="FFFFFF"/>
        </w:rPr>
        <w:t xml:space="preserve">, </w:t>
      </w:r>
      <w:r w:rsidRPr="00FF7282">
        <w:rPr>
          <w:rFonts w:ascii="Arial" w:hAnsi="Arial" w:cs="Arial"/>
          <w:i/>
          <w:iCs/>
          <w:color w:val="222222"/>
          <w:sz w:val="22"/>
          <w:szCs w:val="22"/>
          <w:shd w:val="clear" w:color="auto" w:fill="FFFFFF"/>
        </w:rPr>
        <w:t>27</w:t>
      </w:r>
      <w:r w:rsidRPr="00FF7282">
        <w:rPr>
          <w:rFonts w:ascii="Arial" w:hAnsi="Arial" w:cs="Arial"/>
          <w:color w:val="222222"/>
          <w:sz w:val="22"/>
          <w:szCs w:val="22"/>
          <w:shd w:val="clear" w:color="auto" w:fill="FFFFFF"/>
        </w:rPr>
        <w:t>, 295. Retrieved</w:t>
      </w:r>
      <w:r w:rsidR="00EB448D">
        <w:rPr>
          <w:rFonts w:ascii="Arial" w:hAnsi="Arial" w:cs="Arial"/>
          <w:color w:val="222222"/>
          <w:sz w:val="22"/>
          <w:szCs w:val="22"/>
          <w:shd w:val="clear" w:color="auto" w:fill="FFFFFF"/>
        </w:rPr>
        <w:t xml:space="preserve"> on</w:t>
      </w:r>
      <w:r w:rsidRPr="00FF7282">
        <w:rPr>
          <w:rFonts w:ascii="Arial" w:hAnsi="Arial" w:cs="Arial"/>
          <w:color w:val="222222"/>
          <w:sz w:val="22"/>
          <w:szCs w:val="22"/>
          <w:shd w:val="clear" w:color="auto" w:fill="FFFFFF"/>
        </w:rPr>
        <w:t xml:space="preserve"> June 25, 2023</w:t>
      </w:r>
      <w:r w:rsidR="0026796C" w:rsidRPr="00FF7282">
        <w:rPr>
          <w:rFonts w:ascii="Arial" w:hAnsi="Arial" w:cs="Arial"/>
          <w:color w:val="222222"/>
          <w:sz w:val="22"/>
          <w:szCs w:val="22"/>
          <w:shd w:val="clear" w:color="auto" w:fill="FFFFFF"/>
        </w:rPr>
        <w:t>,</w:t>
      </w:r>
      <w:r w:rsidRPr="00FF7282">
        <w:rPr>
          <w:rFonts w:ascii="Arial" w:hAnsi="Arial" w:cs="Arial"/>
          <w:color w:val="222222"/>
          <w:sz w:val="22"/>
          <w:szCs w:val="22"/>
          <w:shd w:val="clear" w:color="auto" w:fill="FFFFFF"/>
        </w:rPr>
        <w:t xml:space="preserve"> from </w:t>
      </w:r>
      <w:hyperlink r:id="rId36" w:history="1">
        <w:r w:rsidRPr="00FF7282">
          <w:rPr>
            <w:rStyle w:val="Hyperlink"/>
            <w:rFonts w:ascii="Arial" w:hAnsi="Arial" w:cs="Arial"/>
            <w:sz w:val="22"/>
            <w:szCs w:val="22"/>
            <w:shd w:val="clear" w:color="auto" w:fill="FFFFFF"/>
          </w:rPr>
          <w:t>https://scholarship.law.slu.edu/cgi/viewcontent.cgi?article=1334&amp;context=faculty</w:t>
        </w:r>
      </w:hyperlink>
      <w:r w:rsidRPr="00FF7282">
        <w:rPr>
          <w:rFonts w:ascii="Arial" w:hAnsi="Arial" w:cs="Arial"/>
          <w:color w:val="222222"/>
          <w:sz w:val="22"/>
          <w:szCs w:val="22"/>
          <w:shd w:val="clear" w:color="auto" w:fill="FFFFFF"/>
        </w:rPr>
        <w:t xml:space="preserve"> </w:t>
      </w:r>
    </w:p>
    <w:p w14:paraId="2D11F3AA" w14:textId="441D2473" w:rsidR="007473EB" w:rsidRPr="00FF7282" w:rsidRDefault="007473EB" w:rsidP="007473EB">
      <w:pPr>
        <w:pStyle w:val="NormalWeb"/>
        <w:spacing w:before="0" w:beforeAutospacing="0" w:after="240" w:afterAutospacing="0"/>
        <w:ind w:left="567" w:hanging="567"/>
        <w:rPr>
          <w:rFonts w:ascii="Arial" w:hAnsi="Arial" w:cs="Arial"/>
          <w:sz w:val="22"/>
          <w:szCs w:val="22"/>
        </w:rPr>
      </w:pPr>
      <w:bookmarkStart w:id="20" w:name="_Hlk131335828"/>
      <w:r w:rsidRPr="00FF7282">
        <w:rPr>
          <w:rFonts w:ascii="Arial" w:hAnsi="Arial" w:cs="Arial"/>
          <w:sz w:val="22"/>
          <w:szCs w:val="22"/>
        </w:rPr>
        <w:t xml:space="preserve">Vidović, I. (2017). </w:t>
      </w:r>
      <w:bookmarkEnd w:id="20"/>
      <w:r w:rsidRPr="00FF7282">
        <w:rPr>
          <w:rFonts w:ascii="Arial" w:hAnsi="Arial" w:cs="Arial"/>
          <w:sz w:val="22"/>
          <w:szCs w:val="22"/>
        </w:rPr>
        <w:t>Out-Of-Court Debt Restructuring Versus Pre-Insolvency Proceedings: Two Sides Of The Same Coin? Retrieved</w:t>
      </w:r>
      <w:r w:rsidR="00EB448D">
        <w:rPr>
          <w:rFonts w:ascii="Arial" w:hAnsi="Arial" w:cs="Arial"/>
          <w:sz w:val="22"/>
          <w:szCs w:val="22"/>
        </w:rPr>
        <w:t xml:space="preserve"> on June 23, 2023,</w:t>
      </w:r>
      <w:r w:rsidRPr="00FF7282">
        <w:rPr>
          <w:rFonts w:ascii="Arial" w:hAnsi="Arial" w:cs="Arial"/>
          <w:sz w:val="22"/>
          <w:szCs w:val="22"/>
        </w:rPr>
        <w:t xml:space="preserve"> from </w:t>
      </w:r>
      <w:hyperlink r:id="rId37" w:history="1">
        <w:r w:rsidRPr="00FF7282">
          <w:rPr>
            <w:rStyle w:val="Hyperlink"/>
            <w:rFonts w:ascii="Arial" w:hAnsi="Arial" w:cs="Arial"/>
            <w:sz w:val="22"/>
            <w:szCs w:val="22"/>
          </w:rPr>
          <w:t>https://scholar.google.com/scholar?hl=en&amp;as_sdt=0%2C10&amp;q=Vidovi%C4%87%2C+I.+%282017%29.+Out-Of-Court+Debt+Restructuring+Versus+Pre-Insolvency+Proceedings%3A+Two+Sides+Of+The+Same+Coin%3F&amp;btnG=</w:t>
        </w:r>
      </w:hyperlink>
      <w:r w:rsidRPr="00FF7282">
        <w:rPr>
          <w:rFonts w:ascii="Arial" w:hAnsi="Arial" w:cs="Arial"/>
          <w:sz w:val="22"/>
          <w:szCs w:val="22"/>
        </w:rPr>
        <w:t xml:space="preserve"> </w:t>
      </w:r>
    </w:p>
    <w:p w14:paraId="24BD93B5" w14:textId="0CC46811" w:rsidR="007473EB" w:rsidRPr="00FF7282" w:rsidRDefault="007473EB" w:rsidP="007473EB">
      <w:pPr>
        <w:pStyle w:val="NormalWeb"/>
        <w:spacing w:before="0" w:beforeAutospacing="0" w:after="240" w:afterAutospacing="0"/>
        <w:ind w:left="567" w:hanging="567"/>
        <w:rPr>
          <w:rFonts w:ascii="Arial" w:hAnsi="Arial" w:cs="Arial"/>
          <w:sz w:val="22"/>
          <w:szCs w:val="22"/>
        </w:rPr>
      </w:pPr>
      <w:bookmarkStart w:id="21" w:name="_Hlk138611626"/>
      <w:r w:rsidRPr="00FF7282">
        <w:rPr>
          <w:rFonts w:ascii="Arial" w:hAnsi="Arial" w:cs="Arial"/>
          <w:sz w:val="22"/>
          <w:szCs w:val="22"/>
        </w:rPr>
        <w:t>Wang, J., Yang, J., Iverson, B. C., &amp; Kluender, R. (2020)</w:t>
      </w:r>
      <w:bookmarkEnd w:id="21"/>
      <w:r w:rsidRPr="00FF7282">
        <w:rPr>
          <w:rFonts w:ascii="Arial" w:hAnsi="Arial" w:cs="Arial"/>
          <w:sz w:val="22"/>
          <w:szCs w:val="22"/>
        </w:rPr>
        <w:t xml:space="preserve">. Bankruptcy and the COVID-19 Crisis. Available at SSRN 3690398. Retrieved </w:t>
      </w:r>
      <w:r w:rsidR="00EB448D">
        <w:rPr>
          <w:rFonts w:ascii="Arial" w:hAnsi="Arial" w:cs="Arial"/>
          <w:sz w:val="22"/>
          <w:szCs w:val="22"/>
        </w:rPr>
        <w:t xml:space="preserve">on </w:t>
      </w:r>
      <w:r w:rsidRPr="00FF7282">
        <w:rPr>
          <w:rFonts w:ascii="Arial" w:hAnsi="Arial" w:cs="Arial"/>
          <w:sz w:val="22"/>
          <w:szCs w:val="22"/>
        </w:rPr>
        <w:t>June 25, 2023</w:t>
      </w:r>
      <w:r w:rsidR="0026796C" w:rsidRPr="00FF7282">
        <w:rPr>
          <w:rFonts w:ascii="Arial" w:hAnsi="Arial" w:cs="Arial"/>
          <w:sz w:val="22"/>
          <w:szCs w:val="22"/>
        </w:rPr>
        <w:t>,</w:t>
      </w:r>
      <w:r w:rsidRPr="00FF7282">
        <w:rPr>
          <w:rFonts w:ascii="Arial" w:hAnsi="Arial" w:cs="Arial"/>
          <w:sz w:val="22"/>
          <w:szCs w:val="22"/>
        </w:rPr>
        <w:t xml:space="preserve"> from </w:t>
      </w:r>
      <w:hyperlink r:id="rId38" w:history="1">
        <w:r w:rsidRPr="00FF7282">
          <w:rPr>
            <w:rStyle w:val="Hyperlink"/>
            <w:rFonts w:ascii="Arial" w:hAnsi="Arial" w:cs="Arial"/>
            <w:sz w:val="22"/>
            <w:szCs w:val="22"/>
          </w:rPr>
          <w:t>http://www.beniverson.org/papers/WYIJ_Bankruptcy_COVID.pdf</w:t>
        </w:r>
      </w:hyperlink>
      <w:r w:rsidRPr="00FF7282">
        <w:rPr>
          <w:rFonts w:ascii="Arial" w:hAnsi="Arial" w:cs="Arial"/>
          <w:sz w:val="22"/>
          <w:szCs w:val="22"/>
        </w:rPr>
        <w:t xml:space="preserve">  </w:t>
      </w:r>
    </w:p>
    <w:p w14:paraId="17D83D28" w14:textId="77777777" w:rsidR="007473EB" w:rsidRPr="00FF7282" w:rsidRDefault="007473EB" w:rsidP="007473EB">
      <w:pPr>
        <w:pStyle w:val="NormalWeb"/>
        <w:spacing w:before="0" w:beforeAutospacing="0" w:after="240" w:afterAutospacing="0"/>
        <w:ind w:left="720" w:hanging="720"/>
        <w:rPr>
          <w:rFonts w:ascii="Arial" w:hAnsi="Arial" w:cs="Arial"/>
          <w:color w:val="000000"/>
          <w:sz w:val="22"/>
          <w:szCs w:val="22"/>
        </w:rPr>
      </w:pPr>
      <w:r w:rsidRPr="00FF7282">
        <w:rPr>
          <w:rFonts w:ascii="Arial" w:hAnsi="Arial" w:cs="Arial"/>
          <w:color w:val="000000"/>
          <w:sz w:val="22"/>
          <w:szCs w:val="22"/>
        </w:rPr>
        <w:t>Warner, R. (2023). UNCITRAL Model Law: an introduction. INSOL</w:t>
      </w:r>
    </w:p>
    <w:p w14:paraId="5DAED60F" w14:textId="371A1F35" w:rsidR="007473EB" w:rsidRPr="00C835D6" w:rsidRDefault="007473EB" w:rsidP="007473EB">
      <w:pPr>
        <w:pStyle w:val="NormalWeb"/>
        <w:spacing w:before="0" w:beforeAutospacing="0" w:after="240" w:afterAutospacing="0"/>
        <w:ind w:left="567" w:hanging="567"/>
        <w:rPr>
          <w:rStyle w:val="Hyperlink"/>
          <w:rFonts w:ascii="Arial" w:hAnsi="Arial" w:cs="Arial"/>
          <w:sz w:val="22"/>
          <w:szCs w:val="22"/>
        </w:rPr>
      </w:pPr>
      <w:bookmarkStart w:id="22" w:name="_Hlk138607258"/>
      <w:r w:rsidRPr="00FF7282">
        <w:rPr>
          <w:rFonts w:ascii="Arial" w:hAnsi="Arial" w:cs="Arial"/>
          <w:sz w:val="22"/>
          <w:szCs w:val="22"/>
        </w:rPr>
        <w:t xml:space="preserve">Weil, Gotshal &amp; Manges (2014). </w:t>
      </w:r>
      <w:bookmarkEnd w:id="22"/>
      <w:r w:rsidRPr="00FF7282">
        <w:rPr>
          <w:rFonts w:ascii="Arial" w:hAnsi="Arial" w:cs="Arial"/>
          <w:sz w:val="22"/>
          <w:szCs w:val="22"/>
        </w:rPr>
        <w:t>Comparative Guide to Restructuring Procedures. Retrieved on June 18, 2023</w:t>
      </w:r>
      <w:r w:rsidR="0026796C" w:rsidRPr="00FF7282">
        <w:rPr>
          <w:rFonts w:ascii="Arial" w:hAnsi="Arial" w:cs="Arial"/>
          <w:sz w:val="22"/>
          <w:szCs w:val="22"/>
        </w:rPr>
        <w:t>,</w:t>
      </w:r>
      <w:r w:rsidRPr="00FF7282">
        <w:rPr>
          <w:rFonts w:ascii="Arial" w:hAnsi="Arial" w:cs="Arial"/>
          <w:sz w:val="22"/>
          <w:szCs w:val="22"/>
        </w:rPr>
        <w:t xml:space="preserve"> from </w:t>
      </w:r>
      <w:hyperlink r:id="rId39" w:history="1">
        <w:r w:rsidRPr="00FF7282">
          <w:rPr>
            <w:rStyle w:val="Hyperlink"/>
            <w:rFonts w:ascii="Arial" w:hAnsi="Arial" w:cs="Arial"/>
            <w:sz w:val="22"/>
            <w:szCs w:val="22"/>
          </w:rPr>
          <w:t>https://repository.mruni.eu/bitstream/handle/007/17032/Muleviciene_Evaluation_of_the_effectiveness_of_insolvency_frameworks.pdf?sequence=1&amp;isAllowed=y</w:t>
        </w:r>
      </w:hyperlink>
      <w:r w:rsidRPr="00C835D6">
        <w:rPr>
          <w:rStyle w:val="Hyperlink"/>
          <w:rFonts w:ascii="Arial" w:hAnsi="Arial" w:cs="Arial"/>
          <w:sz w:val="22"/>
          <w:szCs w:val="22"/>
        </w:rPr>
        <w:t xml:space="preserve"> </w:t>
      </w:r>
    </w:p>
    <w:p w14:paraId="4BF3887D" w14:textId="77777777" w:rsidR="002A1A5E" w:rsidRPr="00C835D6" w:rsidRDefault="002A1A5E" w:rsidP="002A1A5E">
      <w:pPr>
        <w:spacing w:after="0" w:line="360" w:lineRule="auto"/>
        <w:ind w:left="284"/>
        <w:rPr>
          <w:rStyle w:val="Hyperlink"/>
          <w:rFonts w:ascii="Times New Roman" w:hAnsi="Times New Roman" w:cs="Times New Roman"/>
          <w:sz w:val="24"/>
          <w:szCs w:val="24"/>
        </w:rPr>
      </w:pPr>
    </w:p>
    <w:p w14:paraId="732537B1" w14:textId="77777777" w:rsidR="007473EB" w:rsidRDefault="007473EB" w:rsidP="002A1A5E">
      <w:pPr>
        <w:spacing w:after="0" w:line="360" w:lineRule="auto"/>
        <w:ind w:left="284"/>
        <w:rPr>
          <w:rFonts w:ascii="Arial" w:eastAsia="Times New Roman" w:hAnsi="Arial" w:cs="Arial"/>
          <w:b/>
          <w:bCs/>
          <w:color w:val="000000"/>
          <w:kern w:val="0"/>
          <w14:ligatures w14:val="none"/>
        </w:rPr>
      </w:pPr>
    </w:p>
    <w:p w14:paraId="407DEBAF" w14:textId="77777777" w:rsidR="007473EB" w:rsidRDefault="007473EB" w:rsidP="002A1A5E">
      <w:pPr>
        <w:spacing w:after="0" w:line="360" w:lineRule="auto"/>
        <w:ind w:left="284"/>
        <w:rPr>
          <w:rFonts w:ascii="Arial" w:eastAsia="Times New Roman" w:hAnsi="Arial" w:cs="Arial"/>
          <w:b/>
          <w:bCs/>
          <w:color w:val="000000"/>
          <w:kern w:val="0"/>
          <w14:ligatures w14:val="none"/>
        </w:rPr>
      </w:pPr>
    </w:p>
    <w:p w14:paraId="3218AE38" w14:textId="77777777" w:rsidR="007473EB" w:rsidRDefault="007473EB" w:rsidP="002A1A5E">
      <w:pPr>
        <w:spacing w:after="0" w:line="360" w:lineRule="auto"/>
        <w:ind w:left="284"/>
        <w:rPr>
          <w:rFonts w:ascii="Arial" w:eastAsia="Times New Roman" w:hAnsi="Arial" w:cs="Arial"/>
          <w:b/>
          <w:bCs/>
          <w:color w:val="000000"/>
          <w:kern w:val="0"/>
          <w14:ligatures w14:val="none"/>
        </w:rPr>
      </w:pPr>
    </w:p>
    <w:p w14:paraId="74DC6E86" w14:textId="77777777" w:rsidR="007473EB" w:rsidRDefault="007473EB" w:rsidP="002A1A5E">
      <w:pPr>
        <w:spacing w:after="0" w:line="360" w:lineRule="auto"/>
        <w:ind w:left="284"/>
        <w:rPr>
          <w:rFonts w:ascii="Arial" w:eastAsia="Times New Roman" w:hAnsi="Arial" w:cs="Arial"/>
          <w:b/>
          <w:bCs/>
          <w:color w:val="000000"/>
          <w:kern w:val="0"/>
          <w14:ligatures w14:val="none"/>
        </w:rPr>
      </w:pPr>
    </w:p>
    <w:p w14:paraId="6F8A50D0" w14:textId="77777777" w:rsidR="007473EB" w:rsidRDefault="007473EB" w:rsidP="002A1A5E">
      <w:pPr>
        <w:spacing w:after="0" w:line="360" w:lineRule="auto"/>
        <w:ind w:left="284"/>
        <w:rPr>
          <w:rFonts w:ascii="Arial" w:eastAsia="Times New Roman" w:hAnsi="Arial" w:cs="Arial"/>
          <w:b/>
          <w:bCs/>
          <w:color w:val="000000"/>
          <w:kern w:val="0"/>
          <w14:ligatures w14:val="none"/>
        </w:rPr>
      </w:pPr>
    </w:p>
    <w:sectPr w:rsidR="007473EB" w:rsidSect="00613B84">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B05F" w14:textId="77777777" w:rsidR="00CE248B" w:rsidRDefault="00CE248B" w:rsidP="001B51CE">
      <w:pPr>
        <w:spacing w:after="0" w:line="240" w:lineRule="auto"/>
      </w:pPr>
      <w:r>
        <w:separator/>
      </w:r>
    </w:p>
  </w:endnote>
  <w:endnote w:type="continuationSeparator" w:id="0">
    <w:p w14:paraId="4269E1FC" w14:textId="77777777" w:rsidR="00CE248B" w:rsidRDefault="00CE248B" w:rsidP="001B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Next-Regular">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AvenirNext-Ital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CE0E" w14:textId="77777777" w:rsidR="0026796C" w:rsidRDefault="00267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359640"/>
      <w:docPartObj>
        <w:docPartGallery w:val="Page Numbers (Bottom of Page)"/>
        <w:docPartUnique/>
      </w:docPartObj>
    </w:sdtPr>
    <w:sdtEndPr>
      <w:rPr>
        <w:noProof/>
      </w:rPr>
    </w:sdtEndPr>
    <w:sdtContent>
      <w:p w14:paraId="5FC9D824" w14:textId="4CBA891A" w:rsidR="0026796C" w:rsidRDefault="002679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7161A9" w14:textId="77777777" w:rsidR="0084370F" w:rsidRDefault="00843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12AA" w14:textId="77777777" w:rsidR="0026796C" w:rsidRDefault="00267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1FCB" w14:textId="77777777" w:rsidR="00CE248B" w:rsidRDefault="00CE248B" w:rsidP="001B51CE">
      <w:pPr>
        <w:spacing w:after="0" w:line="240" w:lineRule="auto"/>
      </w:pPr>
      <w:r>
        <w:separator/>
      </w:r>
    </w:p>
  </w:footnote>
  <w:footnote w:type="continuationSeparator" w:id="0">
    <w:p w14:paraId="2FC020E9" w14:textId="77777777" w:rsidR="00CE248B" w:rsidRDefault="00CE248B" w:rsidP="001B51CE">
      <w:pPr>
        <w:spacing w:after="0" w:line="240" w:lineRule="auto"/>
      </w:pPr>
      <w:r>
        <w:continuationSeparator/>
      </w:r>
    </w:p>
  </w:footnote>
  <w:footnote w:id="1">
    <w:p w14:paraId="51B535DF" w14:textId="567296F9" w:rsidR="001B51CE" w:rsidRPr="003D3234" w:rsidRDefault="001B51CE" w:rsidP="007B792F">
      <w:pPr>
        <w:pStyle w:val="Heading1"/>
        <w:shd w:val="clear" w:color="auto" w:fill="FFFFFF"/>
        <w:spacing w:before="0" w:beforeAutospacing="0" w:after="0" w:afterAutospacing="0"/>
        <w:rPr>
          <w:rFonts w:ascii="Arial" w:hAnsi="Arial" w:cs="Arial"/>
          <w:b w:val="0"/>
          <w:bCs w:val="0"/>
          <w:color w:val="333333"/>
          <w:sz w:val="18"/>
          <w:szCs w:val="18"/>
        </w:rPr>
      </w:pPr>
      <w:r w:rsidRPr="001B51CE">
        <w:rPr>
          <w:rStyle w:val="FootnoteReference"/>
          <w:rFonts w:ascii="Arial" w:hAnsi="Arial"/>
          <w:b w:val="0"/>
          <w:sz w:val="18"/>
        </w:rPr>
        <w:footnoteRef/>
      </w:r>
      <w:r w:rsidRPr="001B51CE">
        <w:rPr>
          <w:rFonts w:ascii="Arial" w:hAnsi="Arial"/>
          <w:b w:val="0"/>
          <w:sz w:val="18"/>
        </w:rPr>
        <w:t xml:space="preserve"> </w:t>
      </w:r>
      <w:bookmarkStart w:id="1" w:name="_Hlk138528032"/>
      <w:r w:rsidRPr="003D3234">
        <w:rPr>
          <w:rFonts w:ascii="Arial" w:hAnsi="Arial" w:cs="Arial"/>
          <w:b w:val="0"/>
          <w:bCs w:val="0"/>
          <w:sz w:val="18"/>
          <w:szCs w:val="18"/>
          <w:shd w:val="clear" w:color="auto" w:fill="FFFFFF"/>
        </w:rPr>
        <w:t xml:space="preserve">COVID-19 continues to present challenges for insolvency </w:t>
      </w:r>
      <w:r w:rsidR="00284852" w:rsidRPr="003D3234">
        <w:rPr>
          <w:rFonts w:ascii="Arial" w:hAnsi="Arial" w:cs="Arial"/>
          <w:b w:val="0"/>
          <w:bCs w:val="0"/>
          <w:sz w:val="18"/>
          <w:szCs w:val="18"/>
          <w:shd w:val="clear" w:color="auto" w:fill="FFFFFF"/>
        </w:rPr>
        <w:t>regulators</w:t>
      </w:r>
      <w:r w:rsidR="00284852">
        <w:rPr>
          <w:rFonts w:ascii="Arial" w:hAnsi="Arial" w:cs="Arial"/>
          <w:b w:val="0"/>
          <w:bCs w:val="0"/>
          <w:sz w:val="18"/>
          <w:szCs w:val="18"/>
          <w:shd w:val="clear" w:color="auto" w:fill="FFFFFF"/>
        </w:rPr>
        <w:t>, practitioners,</w:t>
      </w:r>
      <w:r w:rsidRPr="003D3234">
        <w:rPr>
          <w:rFonts w:ascii="Arial" w:hAnsi="Arial" w:cs="Arial"/>
          <w:b w:val="0"/>
          <w:bCs w:val="0"/>
          <w:sz w:val="18"/>
          <w:szCs w:val="18"/>
          <w:shd w:val="clear" w:color="auto" w:fill="FFFFFF"/>
        </w:rPr>
        <w:t xml:space="preserve"> and lawmakers. In March 2020, clos</w:t>
      </w:r>
      <w:r w:rsidR="00284852">
        <w:rPr>
          <w:rFonts w:ascii="Arial" w:hAnsi="Arial" w:cs="Arial"/>
          <w:b w:val="0"/>
          <w:bCs w:val="0"/>
          <w:sz w:val="18"/>
          <w:szCs w:val="18"/>
          <w:shd w:val="clear" w:color="auto" w:fill="FFFFFF"/>
        </w:rPr>
        <w:t>ed</w:t>
      </w:r>
      <w:r w:rsidRPr="003D3234">
        <w:rPr>
          <w:rFonts w:ascii="Arial" w:hAnsi="Arial" w:cs="Arial"/>
          <w:b w:val="0"/>
          <w:bCs w:val="0"/>
          <w:sz w:val="18"/>
          <w:szCs w:val="18"/>
          <w:shd w:val="clear" w:color="auto" w:fill="FFFFFF"/>
        </w:rPr>
        <w:t xml:space="preserve"> borders and widespread uncertainty underscored </w:t>
      </w:r>
      <w:r w:rsidR="00284852">
        <w:rPr>
          <w:rFonts w:ascii="Arial" w:hAnsi="Arial" w:cs="Arial"/>
          <w:b w:val="0"/>
          <w:bCs w:val="0"/>
          <w:sz w:val="18"/>
          <w:szCs w:val="18"/>
          <w:shd w:val="clear" w:color="auto" w:fill="FFFFFF"/>
        </w:rPr>
        <w:t>the</w:t>
      </w:r>
      <w:r w:rsidRPr="003D3234">
        <w:rPr>
          <w:rFonts w:ascii="Arial" w:hAnsi="Arial" w:cs="Arial"/>
          <w:b w:val="0"/>
          <w:bCs w:val="0"/>
          <w:sz w:val="18"/>
          <w:szCs w:val="18"/>
          <w:shd w:val="clear" w:color="auto" w:fill="FFFFFF"/>
        </w:rPr>
        <w:t xml:space="preserve"> crisis, prompting authorities around the world to devise and rapidly </w:t>
      </w:r>
      <w:r w:rsidR="00284852">
        <w:rPr>
          <w:rFonts w:ascii="Arial" w:hAnsi="Arial" w:cs="Arial"/>
          <w:b w:val="0"/>
          <w:bCs w:val="0"/>
          <w:sz w:val="18"/>
          <w:szCs w:val="18"/>
          <w:shd w:val="clear" w:color="auto" w:fill="FFFFFF"/>
        </w:rPr>
        <w:t>implement</w:t>
      </w:r>
      <w:r w:rsidRPr="003D3234">
        <w:rPr>
          <w:rFonts w:ascii="Arial" w:hAnsi="Arial" w:cs="Arial"/>
          <w:b w:val="0"/>
          <w:bCs w:val="0"/>
          <w:sz w:val="18"/>
          <w:szCs w:val="18"/>
          <w:shd w:val="clear" w:color="auto" w:fill="FFFFFF"/>
        </w:rPr>
        <w:t xml:space="preserve"> measures to </w:t>
      </w:r>
      <w:r w:rsidR="00284852">
        <w:rPr>
          <w:rFonts w:ascii="Arial" w:hAnsi="Arial" w:cs="Arial"/>
          <w:b w:val="0"/>
          <w:bCs w:val="0"/>
          <w:sz w:val="18"/>
          <w:szCs w:val="18"/>
          <w:shd w:val="clear" w:color="auto" w:fill="FFFFFF"/>
        </w:rPr>
        <w:t>protect</w:t>
      </w:r>
      <w:r w:rsidRPr="003D3234">
        <w:rPr>
          <w:rFonts w:ascii="Arial" w:hAnsi="Arial" w:cs="Arial"/>
          <w:b w:val="0"/>
          <w:bCs w:val="0"/>
          <w:sz w:val="18"/>
          <w:szCs w:val="18"/>
          <w:shd w:val="clear" w:color="auto" w:fill="FFFFFF"/>
        </w:rPr>
        <w:t xml:space="preserve"> businesses, financial</w:t>
      </w:r>
      <w:r w:rsidR="00284852">
        <w:rPr>
          <w:rFonts w:ascii="Arial" w:hAnsi="Arial" w:cs="Arial"/>
          <w:b w:val="0"/>
          <w:bCs w:val="0"/>
          <w:sz w:val="18"/>
          <w:szCs w:val="18"/>
          <w:shd w:val="clear" w:color="auto" w:fill="FFFFFF"/>
        </w:rPr>
        <w:t xml:space="preserve"> services</w:t>
      </w:r>
      <w:r w:rsidRPr="003D3234">
        <w:rPr>
          <w:rFonts w:ascii="Arial" w:hAnsi="Arial" w:cs="Arial"/>
          <w:b w:val="0"/>
          <w:bCs w:val="0"/>
          <w:sz w:val="18"/>
          <w:szCs w:val="18"/>
          <w:shd w:val="clear" w:color="auto" w:fill="FFFFFF"/>
        </w:rPr>
        <w:t xml:space="preserve"> institutions</w:t>
      </w:r>
      <w:r w:rsidR="00284852">
        <w:rPr>
          <w:rFonts w:ascii="Arial" w:hAnsi="Arial" w:cs="Arial"/>
          <w:b w:val="0"/>
          <w:bCs w:val="0"/>
          <w:sz w:val="18"/>
          <w:szCs w:val="18"/>
          <w:shd w:val="clear" w:color="auto" w:fill="FFFFFF"/>
        </w:rPr>
        <w:t>,</w:t>
      </w:r>
      <w:r w:rsidRPr="003D3234">
        <w:rPr>
          <w:rFonts w:ascii="Arial" w:hAnsi="Arial" w:cs="Arial"/>
          <w:b w:val="0"/>
          <w:bCs w:val="0"/>
          <w:sz w:val="18"/>
          <w:szCs w:val="18"/>
          <w:shd w:val="clear" w:color="auto" w:fill="FFFFFF"/>
        </w:rPr>
        <w:t xml:space="preserve"> and individuals against the economic effects and prevent widespread economic collapse.</w:t>
      </w:r>
      <w:bookmarkEnd w:id="1"/>
      <w:r w:rsidR="00284852">
        <w:rPr>
          <w:rFonts w:ascii="Arial" w:hAnsi="Arial" w:cs="Arial"/>
          <w:b w:val="0"/>
          <w:bCs w:val="0"/>
          <w:sz w:val="18"/>
          <w:szCs w:val="18"/>
          <w:shd w:val="clear" w:color="auto" w:fill="FFFFFF"/>
        </w:rPr>
        <w:t xml:space="preserve"> The Bahamas was one of those countries that suffered through the pandemic.</w:t>
      </w:r>
      <w:r w:rsidRPr="003D3234">
        <w:rPr>
          <w:rFonts w:ascii="Arial" w:hAnsi="Arial" w:cs="Arial"/>
          <w:b w:val="0"/>
          <w:bCs w:val="0"/>
          <w:sz w:val="18"/>
          <w:szCs w:val="18"/>
          <w:shd w:val="clear" w:color="auto" w:fill="FFFFFF"/>
        </w:rPr>
        <w:t xml:space="preserve"> See </w:t>
      </w:r>
      <w:r w:rsidRPr="003D3234">
        <w:rPr>
          <w:rFonts w:ascii="Arial" w:hAnsi="Arial" w:cs="Arial"/>
          <w:b w:val="0"/>
          <w:bCs w:val="0"/>
          <w:color w:val="333333"/>
          <w:sz w:val="18"/>
          <w:szCs w:val="18"/>
        </w:rPr>
        <w:t>2021 World Bank &amp; INSOL International’s Legislative &amp; Regulatory Group: COVID-19 response and the challenges ahead</w:t>
      </w:r>
      <w:r>
        <w:rPr>
          <w:rFonts w:ascii="Arial" w:hAnsi="Arial" w:cs="Arial"/>
          <w:b w:val="0"/>
          <w:bCs w:val="0"/>
          <w:color w:val="333333"/>
          <w:sz w:val="18"/>
          <w:szCs w:val="18"/>
        </w:rPr>
        <w:t xml:space="preserve"> www.</w:t>
      </w:r>
      <w:r w:rsidRPr="003D3234">
        <w:t xml:space="preserve"> </w:t>
      </w:r>
      <w:hyperlink r:id="rId1" w:history="1">
        <w:r w:rsidRPr="00C13E9C">
          <w:rPr>
            <w:rStyle w:val="Hyperlink"/>
            <w:rFonts w:ascii="Arial" w:hAnsi="Arial" w:cs="Arial"/>
            <w:b w:val="0"/>
            <w:bCs w:val="0"/>
            <w:sz w:val="18"/>
            <w:szCs w:val="18"/>
          </w:rPr>
          <w:t>https://blogs.worldbank.org/psd/2021-world-bank-insol-internationals-legislative-regulatory-group-covid-19-response-and</w:t>
        </w:r>
      </w:hyperlink>
      <w:r>
        <w:rPr>
          <w:rFonts w:ascii="Arial" w:hAnsi="Arial" w:cs="Arial"/>
          <w:b w:val="0"/>
          <w:bCs w:val="0"/>
          <w:color w:val="333333"/>
          <w:sz w:val="18"/>
          <w:szCs w:val="18"/>
        </w:rPr>
        <w:t xml:space="preserve"> </w:t>
      </w:r>
    </w:p>
    <w:p w14:paraId="2FE096A3" w14:textId="77777777" w:rsidR="001B51CE" w:rsidRPr="007B792F" w:rsidRDefault="001B51CE" w:rsidP="007B792F">
      <w:pPr>
        <w:spacing w:after="0"/>
        <w:rPr>
          <w:rFonts w:ascii="Arial" w:hAnsi="Arial" w:cs="Arial"/>
          <w:sz w:val="2"/>
          <w:szCs w:val="2"/>
        </w:rPr>
      </w:pPr>
    </w:p>
    <w:p w14:paraId="578451C7" w14:textId="55FFB0E6" w:rsidR="001B51CE" w:rsidRPr="007B792F" w:rsidRDefault="001B51CE">
      <w:pPr>
        <w:pStyle w:val="FootnoteText"/>
        <w:rPr>
          <w:sz w:val="2"/>
          <w:szCs w:val="2"/>
        </w:rPr>
      </w:pPr>
    </w:p>
  </w:footnote>
  <w:footnote w:id="2">
    <w:p w14:paraId="4406AFF1" w14:textId="5C7589DB" w:rsidR="007B792F" w:rsidRPr="00B13596" w:rsidRDefault="007B792F" w:rsidP="007B792F">
      <w:pPr>
        <w:pStyle w:val="NormalWeb"/>
        <w:spacing w:before="0" w:beforeAutospacing="0" w:after="0" w:afterAutospacing="0"/>
        <w:ind w:left="567" w:hanging="567"/>
        <w:rPr>
          <w:rFonts w:asciiTheme="minorHAnsi" w:eastAsiaTheme="minorHAnsi" w:hAnsiTheme="minorHAnsi" w:cstheme="minorBidi"/>
          <w:kern w:val="2"/>
          <w:sz w:val="20"/>
          <w:szCs w:val="20"/>
          <w14:ligatures w14:val="standardContextual"/>
        </w:rPr>
      </w:pPr>
      <w:r>
        <w:rPr>
          <w:rStyle w:val="FootnoteReference"/>
        </w:rPr>
        <w:footnoteRef/>
      </w:r>
      <w:r>
        <w:t xml:space="preserve"> </w:t>
      </w:r>
      <w:r w:rsidRPr="00B13596">
        <w:rPr>
          <w:rFonts w:asciiTheme="minorHAnsi" w:eastAsiaTheme="minorHAnsi" w:hAnsiTheme="minorHAnsi" w:cstheme="minorBidi"/>
          <w:kern w:val="2"/>
          <w:sz w:val="20"/>
          <w:szCs w:val="20"/>
          <w14:ligatures w14:val="standardContextual"/>
        </w:rPr>
        <w:t>See also, Keay, A., &amp; Walton, P. (2003). Insolvency law: Corporate and personal. Pearson.</w:t>
      </w:r>
      <w:r w:rsidR="002618F4">
        <w:rPr>
          <w:rFonts w:asciiTheme="minorHAnsi" w:eastAsiaTheme="minorHAnsi" w:hAnsiTheme="minorHAnsi" w:cstheme="minorBidi"/>
          <w:kern w:val="2"/>
          <w:sz w:val="20"/>
          <w:szCs w:val="20"/>
          <w14:ligatures w14:val="standardContextual"/>
        </w:rPr>
        <w:t xml:space="preserve"> </w:t>
      </w:r>
    </w:p>
    <w:p w14:paraId="4F98781B" w14:textId="77777777" w:rsidR="007B792F" w:rsidRPr="00D9100C" w:rsidRDefault="007B792F" w:rsidP="007B792F">
      <w:pPr>
        <w:pStyle w:val="FootnoteText"/>
        <w:rPr>
          <w:sz w:val="2"/>
          <w:szCs w:val="2"/>
        </w:rPr>
      </w:pPr>
    </w:p>
  </w:footnote>
  <w:footnote w:id="3">
    <w:p w14:paraId="718A095D" w14:textId="23434AD7" w:rsidR="00EE2CE3" w:rsidRDefault="00EE2CE3" w:rsidP="00B13596">
      <w:pPr>
        <w:pStyle w:val="FootnoteText"/>
      </w:pPr>
      <w:r>
        <w:rPr>
          <w:rStyle w:val="FootnoteReference"/>
        </w:rPr>
        <w:footnoteRef/>
      </w:r>
      <w:r>
        <w:t xml:space="preserve"> Solvency is defined by two methods, balance sheet basis, and the cash flow basis. While cash flow is used for insolvency, voluntary bankruptcy can occur in the USA even with insolvent companies.</w:t>
      </w:r>
      <w:r w:rsidR="00F94CB4">
        <w:t xml:space="preserve"> Insolvency can be formal or informal. Formal insolvency can include both liquidations and </w:t>
      </w:r>
      <w:r w:rsidR="00C32749">
        <w:t>reorganizations</w:t>
      </w:r>
      <w:r w:rsidR="00F94CB4">
        <w:t>.</w:t>
      </w:r>
    </w:p>
  </w:footnote>
  <w:footnote w:id="4">
    <w:p w14:paraId="1DCCF562" w14:textId="77777777" w:rsidR="00155525" w:rsidRDefault="00155525" w:rsidP="00155525">
      <w:pPr>
        <w:pStyle w:val="FootnoteText"/>
      </w:pPr>
      <w:r>
        <w:rPr>
          <w:rStyle w:val="FootnoteReference"/>
        </w:rPr>
        <w:footnoteRef/>
      </w:r>
      <w:r>
        <w:t xml:space="preserve"> </w:t>
      </w:r>
      <w:r w:rsidRPr="002618F4">
        <w:rPr>
          <w:i/>
          <w:iCs/>
        </w:rPr>
        <w:t>Supra</w:t>
      </w:r>
      <w:r>
        <w:t>, note 1.</w:t>
      </w:r>
    </w:p>
  </w:footnote>
  <w:footnote w:id="5">
    <w:p w14:paraId="7CA210BE" w14:textId="77777777" w:rsidR="00155525" w:rsidRDefault="00155525" w:rsidP="00155525">
      <w:pPr>
        <w:pStyle w:val="FootnoteText"/>
      </w:pPr>
      <w:r>
        <w:rPr>
          <w:rStyle w:val="FootnoteReference"/>
        </w:rPr>
        <w:footnoteRef/>
      </w:r>
      <w:r>
        <w:t xml:space="preserve"> The decision in this case is not considered authority for the proposition that the rights of junior creditors can be ignored. See </w:t>
      </w:r>
      <w:hyperlink r:id="rId2" w:history="1">
        <w:r w:rsidRPr="00E5760E">
          <w:rPr>
            <w:rStyle w:val="Hyperlink"/>
          </w:rPr>
          <w:t>https://www.ilauk.com/docs/bull220.pdf</w:t>
        </w:r>
      </w:hyperlink>
      <w:r>
        <w:t xml:space="preserve"> </w:t>
      </w:r>
    </w:p>
  </w:footnote>
  <w:footnote w:id="6">
    <w:p w14:paraId="5CF5B908" w14:textId="77777777" w:rsidR="00FF7282" w:rsidRPr="009C1FC3" w:rsidRDefault="00C96098" w:rsidP="002618F4">
      <w:pPr>
        <w:pStyle w:val="NormalWeb"/>
        <w:spacing w:before="0" w:beforeAutospacing="0" w:after="0" w:afterAutospacing="0"/>
        <w:rPr>
          <w:rFonts w:asciiTheme="minorHAnsi" w:eastAsiaTheme="minorHAnsi" w:hAnsiTheme="minorHAnsi" w:cstheme="minorBidi"/>
          <w:kern w:val="2"/>
          <w:sz w:val="20"/>
          <w:szCs w:val="20"/>
          <w14:ligatures w14:val="standardContextual"/>
        </w:rPr>
      </w:pPr>
      <w:r>
        <w:rPr>
          <w:rStyle w:val="FootnoteReference"/>
        </w:rPr>
        <w:footnoteRef/>
      </w:r>
      <w:r>
        <w:t xml:space="preserve"> </w:t>
      </w:r>
      <w:proofErr w:type="spellStart"/>
      <w:r w:rsidR="00FF7282" w:rsidRPr="009C1FC3">
        <w:rPr>
          <w:rFonts w:asciiTheme="minorHAnsi" w:eastAsiaTheme="minorHAnsi" w:hAnsiTheme="minorHAnsi" w:cstheme="minorBidi"/>
          <w:kern w:val="2"/>
          <w:sz w:val="20"/>
          <w:szCs w:val="20"/>
          <w14:ligatures w14:val="standardContextual"/>
        </w:rPr>
        <w:t>Adriaanse</w:t>
      </w:r>
      <w:proofErr w:type="spellEnd"/>
      <w:r w:rsidR="00FF7282" w:rsidRPr="009C1FC3">
        <w:rPr>
          <w:rFonts w:asciiTheme="minorHAnsi" w:eastAsiaTheme="minorHAnsi" w:hAnsiTheme="minorHAnsi" w:cstheme="minorBidi"/>
          <w:kern w:val="2"/>
          <w:sz w:val="20"/>
          <w:szCs w:val="20"/>
          <w14:ligatures w14:val="standardContextual"/>
        </w:rPr>
        <w:t xml:space="preserve">, J.A.A., &amp; </w:t>
      </w:r>
      <w:proofErr w:type="spellStart"/>
      <w:r w:rsidR="00FF7282" w:rsidRPr="009C1FC3">
        <w:rPr>
          <w:rFonts w:asciiTheme="minorHAnsi" w:eastAsiaTheme="minorHAnsi" w:hAnsiTheme="minorHAnsi" w:cstheme="minorBidi"/>
          <w:kern w:val="2"/>
          <w:sz w:val="20"/>
          <w:szCs w:val="20"/>
          <w14:ligatures w14:val="standardContextual"/>
        </w:rPr>
        <w:t>Kuijl</w:t>
      </w:r>
      <w:proofErr w:type="spellEnd"/>
      <w:r w:rsidR="00FF7282" w:rsidRPr="009C1FC3">
        <w:rPr>
          <w:rFonts w:asciiTheme="minorHAnsi" w:eastAsiaTheme="minorHAnsi" w:hAnsiTheme="minorHAnsi" w:cstheme="minorBidi"/>
          <w:kern w:val="2"/>
          <w:sz w:val="20"/>
          <w:szCs w:val="20"/>
          <w14:ligatures w14:val="standardContextual"/>
        </w:rPr>
        <w:t>, J.G. (2006). Resolving Financial Distress: Informal Reorganization in The Netherlands as a Beacon for Policy Makers in the CIS and CEE/SEE Regions? Review of Central and East European Law, 31(2), 135-154.</w:t>
      </w:r>
    </w:p>
    <w:p w14:paraId="60876AF3" w14:textId="1FC5C5A6" w:rsidR="00C96098" w:rsidRPr="00FF7282" w:rsidRDefault="00C96098" w:rsidP="002618F4">
      <w:pPr>
        <w:pStyle w:val="FootnoteText"/>
        <w:rPr>
          <w:sz w:val="2"/>
          <w:szCs w:val="2"/>
        </w:rPr>
      </w:pPr>
    </w:p>
  </w:footnote>
  <w:footnote w:id="7">
    <w:p w14:paraId="78C0674D" w14:textId="77777777" w:rsidR="00B7457D" w:rsidRPr="001868E0" w:rsidRDefault="00B7457D" w:rsidP="002618F4">
      <w:pPr>
        <w:shd w:val="clear" w:color="auto" w:fill="FFFFFF"/>
        <w:spacing w:after="0" w:line="240" w:lineRule="auto"/>
        <w:textAlignment w:val="baseline"/>
        <w:rPr>
          <w:rFonts w:ascii="Arial" w:hAnsi="Arial" w:cs="Arial"/>
        </w:rPr>
      </w:pPr>
      <w:r>
        <w:rPr>
          <w:rStyle w:val="FootnoteReference"/>
        </w:rPr>
        <w:footnoteRef/>
      </w:r>
      <w:r>
        <w:t xml:space="preserve"> </w:t>
      </w:r>
      <w:r w:rsidRPr="00B7457D">
        <w:rPr>
          <w:sz w:val="20"/>
          <w:szCs w:val="20"/>
        </w:rPr>
        <w:t>Companies Act 2006, s. 895(1).</w:t>
      </w:r>
    </w:p>
    <w:p w14:paraId="184DA66D" w14:textId="0847E212" w:rsidR="00B7457D" w:rsidRPr="00FF7282" w:rsidRDefault="00B7457D">
      <w:pPr>
        <w:pStyle w:val="FootnoteText"/>
        <w:rPr>
          <w:sz w:val="2"/>
          <w:szCs w:val="2"/>
        </w:rPr>
      </w:pPr>
    </w:p>
  </w:footnote>
  <w:footnote w:id="8">
    <w:p w14:paraId="273AD211" w14:textId="46D30761" w:rsidR="00462C41" w:rsidRDefault="00462C41">
      <w:pPr>
        <w:pStyle w:val="FootnoteText"/>
      </w:pPr>
      <w:r>
        <w:rPr>
          <w:rStyle w:val="FootnoteReference"/>
        </w:rPr>
        <w:footnoteRef/>
      </w:r>
      <w:r>
        <w:t xml:space="preserve"> A cramdown is the imposition by the courts of a bankruptcy reorganization plan above the objection of certain creditor classes.</w:t>
      </w:r>
      <w:r w:rsidR="00B9213D">
        <w:t xml:space="preserve"> See </w:t>
      </w:r>
      <w:hyperlink r:id="rId3" w:history="1">
        <w:r w:rsidR="00B9213D" w:rsidRPr="00E5760E">
          <w:rPr>
            <w:rStyle w:val="Hyperlink"/>
          </w:rPr>
          <w:t>https://www.investopedia.com/terms/c/cramdown.asp</w:t>
        </w:r>
      </w:hyperlink>
      <w:r w:rsidR="00B9213D">
        <w:t xml:space="preserve"> </w:t>
      </w:r>
    </w:p>
  </w:footnote>
  <w:footnote w:id="9">
    <w:p w14:paraId="36D1A007" w14:textId="435164CB" w:rsidR="006D6780" w:rsidRDefault="006D6780">
      <w:pPr>
        <w:pStyle w:val="FootnoteText"/>
      </w:pPr>
      <w:r>
        <w:rPr>
          <w:rStyle w:val="FootnoteReference"/>
        </w:rPr>
        <w:footnoteRef/>
      </w:r>
      <w:r>
        <w:t xml:space="preserve"> Companies Act 2006, Part 236</w:t>
      </w:r>
    </w:p>
  </w:footnote>
  <w:footnote w:id="10">
    <w:p w14:paraId="0960B9ED" w14:textId="35423FAC" w:rsidR="003E548F" w:rsidRDefault="003E548F">
      <w:pPr>
        <w:pStyle w:val="FootnoteText"/>
      </w:pPr>
      <w:r>
        <w:rPr>
          <w:rStyle w:val="FootnoteReference"/>
        </w:rPr>
        <w:footnoteRef/>
      </w:r>
      <w:r>
        <w:t xml:space="preserve"> </w:t>
      </w:r>
      <w:r w:rsidRPr="003E548F">
        <w:t xml:space="preserve">Rising business insolvencies and high energy prices - Office for National Statistics. </w:t>
      </w:r>
      <w:r w:rsidR="00FF7282">
        <w:t xml:space="preserve">See </w:t>
      </w:r>
      <w:hyperlink r:id="rId4" w:history="1">
        <w:r w:rsidR="00FF7282" w:rsidRPr="002024D0">
          <w:rPr>
            <w:rStyle w:val="Hyperlink"/>
          </w:rPr>
          <w:t>https://www.ons.gov.uk/businessindustryandtrade/changestobusiness/bankruptcyinsolvency/articles/risingbusinessinsolvenciesandhighenergyprices/2022-10-07</w:t>
        </w:r>
      </w:hyperlink>
      <w:r w:rsidR="00FF7282">
        <w:t xml:space="preserve"> </w:t>
      </w:r>
    </w:p>
  </w:footnote>
  <w:footnote w:id="11">
    <w:p w14:paraId="242F310D" w14:textId="77777777" w:rsidR="009470D4" w:rsidRPr="009470D4" w:rsidRDefault="009470D4" w:rsidP="009470D4">
      <w:pPr>
        <w:shd w:val="clear" w:color="auto" w:fill="FFFFFF"/>
        <w:spacing w:after="0" w:line="240" w:lineRule="auto"/>
        <w:ind w:left="567"/>
        <w:textAlignment w:val="baseline"/>
        <w:rPr>
          <w:sz w:val="20"/>
          <w:szCs w:val="20"/>
        </w:rPr>
      </w:pPr>
      <w:r>
        <w:rPr>
          <w:rStyle w:val="FootnoteReference"/>
        </w:rPr>
        <w:footnoteRef/>
      </w:r>
      <w:r>
        <w:t xml:space="preserve"> </w:t>
      </w:r>
      <w:r w:rsidRPr="009470D4">
        <w:rPr>
          <w:sz w:val="20"/>
          <w:szCs w:val="20"/>
        </w:rPr>
        <w:t>According to UNCITRAL website (</w:t>
      </w:r>
      <w:hyperlink r:id="rId5" w:history="1">
        <w:r w:rsidRPr="009470D4">
          <w:rPr>
            <w:sz w:val="20"/>
            <w:szCs w:val="20"/>
          </w:rPr>
          <w:t>www.ucitral.un.org</w:t>
        </w:r>
      </w:hyperlink>
      <w:r w:rsidRPr="009470D4">
        <w:rPr>
          <w:sz w:val="20"/>
          <w:szCs w:val="20"/>
        </w:rPr>
        <w:t>), the USA was a signatory country to UNCITRAL until 2022.</w:t>
      </w:r>
    </w:p>
    <w:p w14:paraId="3AEF310A" w14:textId="41798DE0" w:rsidR="009470D4" w:rsidRDefault="009470D4" w:rsidP="009470D4">
      <w:pPr>
        <w:pStyle w:val="FootnoteText"/>
        <w:numPr>
          <w:ilvl w:val="0"/>
          <w:numId w:val="13"/>
        </w:numPr>
      </w:pPr>
    </w:p>
  </w:footnote>
  <w:footnote w:id="12">
    <w:p w14:paraId="4CCCA9CB" w14:textId="14500B98" w:rsidR="009470D4" w:rsidRDefault="009470D4">
      <w:pPr>
        <w:pStyle w:val="FootnoteText"/>
      </w:pPr>
      <w:r>
        <w:rPr>
          <w:rStyle w:val="FootnoteReference"/>
        </w:rPr>
        <w:footnoteRef/>
      </w:r>
      <w:r>
        <w:t xml:space="preserve"> </w:t>
      </w:r>
      <w:r>
        <w:rPr>
          <w:rFonts w:ascii="Arial" w:hAnsi="Arial" w:cs="Arial"/>
        </w:rPr>
        <w:t>US Bankruptcy Code, Chapter 15</w:t>
      </w:r>
      <w:r w:rsidRPr="008444FD">
        <w:rPr>
          <w:rFonts w:ascii="Arial" w:hAnsi="Arial" w:cs="Arial"/>
        </w:rPr>
        <w:t>.</w:t>
      </w:r>
    </w:p>
  </w:footnote>
  <w:footnote w:id="13">
    <w:p w14:paraId="11FC3C7B" w14:textId="58A3FDC6" w:rsidR="002F7C98" w:rsidRDefault="002F7C98">
      <w:pPr>
        <w:pStyle w:val="FootnoteText"/>
      </w:pPr>
      <w:r>
        <w:rPr>
          <w:rStyle w:val="FootnoteReference"/>
        </w:rPr>
        <w:footnoteRef/>
      </w:r>
      <w:r>
        <w:t xml:space="preserve"> If COMI exist elsewhere the secured creditors typically requests the court to dismiss the case in favor of commencing proceedings in another jurisdiction. This effort by creditors have not always been successful.</w:t>
      </w:r>
    </w:p>
  </w:footnote>
  <w:footnote w:id="14">
    <w:p w14:paraId="09347F2D" w14:textId="02ADF49B" w:rsidR="00B00681" w:rsidRPr="007C2BA5" w:rsidRDefault="007B35BE" w:rsidP="00B00681">
      <w:pPr>
        <w:shd w:val="clear" w:color="auto" w:fill="FFFFFF"/>
        <w:spacing w:after="0" w:line="240" w:lineRule="auto"/>
        <w:textAlignment w:val="baseline"/>
        <w:rPr>
          <w:sz w:val="20"/>
          <w:szCs w:val="20"/>
        </w:rPr>
      </w:pPr>
      <w:r>
        <w:rPr>
          <w:rStyle w:val="FootnoteReference"/>
        </w:rPr>
        <w:footnoteRef/>
      </w:r>
      <w:r>
        <w:t xml:space="preserve"> </w:t>
      </w:r>
      <w:r w:rsidR="00B00681">
        <w:rPr>
          <w:sz w:val="20"/>
          <w:szCs w:val="20"/>
        </w:rPr>
        <w:t xml:space="preserve">Lee (2011) argued that </w:t>
      </w:r>
      <w:r w:rsidR="00B00681" w:rsidRPr="007C2BA5">
        <w:rPr>
          <w:sz w:val="20"/>
          <w:szCs w:val="20"/>
        </w:rPr>
        <w:t>Blockbuster, put itself up for sale when its reorganization plan collapsed, can hardly be mentioned without an obligatory nod to Netflix and Redbox</w:t>
      </w:r>
      <w:r w:rsidR="00B00681">
        <w:rPr>
          <w:sz w:val="20"/>
          <w:szCs w:val="20"/>
        </w:rPr>
        <w:t>.</w:t>
      </w:r>
      <w:r w:rsidR="00B00681" w:rsidRPr="007C2BA5">
        <w:rPr>
          <w:sz w:val="20"/>
          <w:szCs w:val="20"/>
        </w:rPr>
        <w:t xml:space="preserve"> </w:t>
      </w:r>
      <w:r w:rsidR="00B00681">
        <w:rPr>
          <w:sz w:val="20"/>
          <w:szCs w:val="20"/>
        </w:rPr>
        <w:t>B</w:t>
      </w:r>
      <w:r w:rsidR="00B00681" w:rsidRPr="007C2BA5">
        <w:rPr>
          <w:sz w:val="20"/>
          <w:szCs w:val="20"/>
        </w:rPr>
        <w:t xml:space="preserve">oth </w:t>
      </w:r>
      <w:r w:rsidR="00B00681">
        <w:rPr>
          <w:sz w:val="20"/>
          <w:szCs w:val="20"/>
        </w:rPr>
        <w:t xml:space="preserve">of Blockbusters competitors are </w:t>
      </w:r>
      <w:r w:rsidR="00B00681" w:rsidRPr="007C2BA5">
        <w:rPr>
          <w:sz w:val="20"/>
          <w:szCs w:val="20"/>
        </w:rPr>
        <w:t xml:space="preserve">often credited with putting Blockbuster out of business, and both often cited as reasons why Blockbuster should have just liquidated instead of putting up a fight. Netflix and Redbox </w:t>
      </w:r>
      <w:r w:rsidR="00B00681">
        <w:rPr>
          <w:sz w:val="20"/>
          <w:szCs w:val="20"/>
        </w:rPr>
        <w:t xml:space="preserve">were simply more </w:t>
      </w:r>
      <w:r w:rsidR="00B00681" w:rsidRPr="007C2BA5">
        <w:rPr>
          <w:sz w:val="20"/>
          <w:szCs w:val="20"/>
        </w:rPr>
        <w:t>digital age savvy competitors, famous for cheaper by-mail and vending-kiosk movie rentals</w:t>
      </w:r>
      <w:r w:rsidR="00B00681">
        <w:rPr>
          <w:sz w:val="20"/>
          <w:szCs w:val="20"/>
        </w:rPr>
        <w:t xml:space="preserve"> than was </w:t>
      </w:r>
      <w:r w:rsidR="00B00681" w:rsidRPr="007C2BA5">
        <w:rPr>
          <w:sz w:val="20"/>
          <w:szCs w:val="20"/>
        </w:rPr>
        <w:t>Blockbuster</w:t>
      </w:r>
      <w:r w:rsidR="00B00681">
        <w:rPr>
          <w:sz w:val="20"/>
          <w:szCs w:val="20"/>
        </w:rPr>
        <w:t>s</w:t>
      </w:r>
      <w:r w:rsidR="00B00681" w:rsidRPr="007C2BA5">
        <w:rPr>
          <w:sz w:val="20"/>
          <w:szCs w:val="20"/>
        </w:rPr>
        <w:t>. But now, Blockbuster has closed old-fashioned stores, install</w:t>
      </w:r>
      <w:r w:rsidR="00B00681">
        <w:rPr>
          <w:sz w:val="20"/>
          <w:szCs w:val="20"/>
        </w:rPr>
        <w:t>ed</w:t>
      </w:r>
      <w:r w:rsidR="00B00681" w:rsidRPr="007C2BA5">
        <w:rPr>
          <w:sz w:val="20"/>
          <w:szCs w:val="20"/>
        </w:rPr>
        <w:t xml:space="preserve"> new kiosks, and </w:t>
      </w:r>
      <w:r w:rsidR="00B00681">
        <w:rPr>
          <w:sz w:val="20"/>
          <w:szCs w:val="20"/>
        </w:rPr>
        <w:t>experimented with</w:t>
      </w:r>
      <w:r w:rsidR="00B00681" w:rsidRPr="007C2BA5">
        <w:rPr>
          <w:sz w:val="20"/>
          <w:szCs w:val="20"/>
        </w:rPr>
        <w:t xml:space="preserve"> digital delivery. In other words, Blockbuster </w:t>
      </w:r>
      <w:r w:rsidR="00B00681">
        <w:rPr>
          <w:sz w:val="20"/>
          <w:szCs w:val="20"/>
        </w:rPr>
        <w:t>tried to copy the success of its competitors by becoming a secondary</w:t>
      </w:r>
      <w:r w:rsidR="00B00681" w:rsidRPr="007C2BA5">
        <w:rPr>
          <w:sz w:val="20"/>
          <w:szCs w:val="20"/>
        </w:rPr>
        <w:t xml:space="preserve"> Netflix.</w:t>
      </w:r>
    </w:p>
    <w:p w14:paraId="1D622CAA" w14:textId="3DFF93C6" w:rsidR="007B35BE" w:rsidRDefault="007B35BE">
      <w:pPr>
        <w:pStyle w:val="FootnoteText"/>
      </w:pPr>
    </w:p>
  </w:footnote>
  <w:footnote w:id="15">
    <w:p w14:paraId="37ED26B3" w14:textId="77777777" w:rsidR="00E434F9" w:rsidRPr="006F7887" w:rsidRDefault="00E434F9" w:rsidP="00E434F9">
      <w:pPr>
        <w:shd w:val="clear" w:color="auto" w:fill="FFFFFF"/>
        <w:spacing w:after="0" w:line="240" w:lineRule="auto"/>
        <w:textAlignment w:val="baseline"/>
      </w:pPr>
      <w:r>
        <w:rPr>
          <w:rStyle w:val="FootnoteReference"/>
        </w:rPr>
        <w:footnoteRef/>
      </w:r>
      <w:r>
        <w:t xml:space="preserve"> </w:t>
      </w:r>
      <w:r w:rsidRPr="006F7887">
        <w:rPr>
          <w:sz w:val="20"/>
          <w:szCs w:val="20"/>
        </w:rPr>
        <w:t>The absolute priority rule is used in corporate</w:t>
      </w:r>
      <w:r>
        <w:rPr>
          <w:sz w:val="20"/>
          <w:szCs w:val="20"/>
        </w:rPr>
        <w:t xml:space="preserve"> </w:t>
      </w:r>
      <w:hyperlink r:id="rId6" w:history="1">
        <w:r w:rsidRPr="006F7887">
          <w:rPr>
            <w:sz w:val="20"/>
            <w:szCs w:val="20"/>
          </w:rPr>
          <w:t>bankruptcies</w:t>
        </w:r>
      </w:hyperlink>
      <w:r>
        <w:rPr>
          <w:sz w:val="20"/>
          <w:szCs w:val="20"/>
        </w:rPr>
        <w:t xml:space="preserve"> </w:t>
      </w:r>
      <w:r w:rsidRPr="006F7887">
        <w:rPr>
          <w:sz w:val="20"/>
          <w:szCs w:val="20"/>
        </w:rPr>
        <w:t>to decide the portion of payment that will be made to each participant. Debts to creditors will be paid off first, then shareholders divide the remaining assets. Secured claims always take precedence over unsecured claims.</w:t>
      </w:r>
      <w:r>
        <w:rPr>
          <w:sz w:val="20"/>
          <w:szCs w:val="20"/>
        </w:rPr>
        <w:t xml:space="preserve"> See </w:t>
      </w:r>
      <w:hyperlink r:id="rId7" w:history="1">
        <w:r w:rsidRPr="002024D0">
          <w:rPr>
            <w:rStyle w:val="Hyperlink"/>
            <w:sz w:val="20"/>
            <w:szCs w:val="20"/>
          </w:rPr>
          <w:t>https://www.investopedia.com/</w:t>
        </w:r>
      </w:hyperlink>
      <w:r w:rsidRPr="006F7887">
        <w:rPr>
          <w:sz w:val="20"/>
          <w:szCs w:val="20"/>
        </w:rPr>
        <w:t>.</w:t>
      </w:r>
      <w:r>
        <w:rPr>
          <w:sz w:val="20"/>
          <w:szCs w:val="20"/>
        </w:rPr>
        <w:t xml:space="preserve"> </w:t>
      </w:r>
    </w:p>
    <w:p w14:paraId="0B5AF638" w14:textId="1FF26B5C" w:rsidR="00E434F9" w:rsidRPr="00E434F9" w:rsidRDefault="00E434F9" w:rsidP="00E434F9">
      <w:pPr>
        <w:pStyle w:val="FootnoteText"/>
        <w:rPr>
          <w:sz w:val="2"/>
          <w:szCs w:val="2"/>
        </w:rPr>
      </w:pPr>
    </w:p>
  </w:footnote>
  <w:footnote w:id="16">
    <w:p w14:paraId="0842E023" w14:textId="2AE73F4E" w:rsidR="0048087B" w:rsidRDefault="0048087B" w:rsidP="00E434F9">
      <w:pPr>
        <w:pStyle w:val="FootnoteText"/>
      </w:pPr>
      <w:r>
        <w:rPr>
          <w:rStyle w:val="FootnoteReference"/>
        </w:rPr>
        <w:footnoteRef/>
      </w:r>
      <w:r>
        <w:t xml:space="preserve"> 137 S. Ct. 973 (2017)</w:t>
      </w:r>
    </w:p>
  </w:footnote>
  <w:footnote w:id="17">
    <w:p w14:paraId="64C2D945" w14:textId="290A2838" w:rsidR="00D87F00" w:rsidRDefault="00D87F00">
      <w:pPr>
        <w:pStyle w:val="FootnoteText"/>
      </w:pPr>
      <w:r>
        <w:rPr>
          <w:rStyle w:val="FootnoteReference"/>
        </w:rPr>
        <w:footnoteRef/>
      </w:r>
      <w:r>
        <w:t xml:space="preserve"> </w:t>
      </w:r>
      <w:r>
        <w:rPr>
          <w:rFonts w:ascii="Arial" w:hAnsi="Arial" w:cs="Arial"/>
          <w:i/>
          <w:iCs/>
          <w:color w:val="222222"/>
          <w:shd w:val="clear" w:color="auto" w:fill="FFFFFF"/>
        </w:rPr>
        <w:t>In re Lehman Bros. Holdings, Inc.</w:t>
      </w:r>
      <w:r>
        <w:rPr>
          <w:rFonts w:ascii="Arial" w:hAnsi="Arial" w:cs="Arial"/>
          <w:color w:val="222222"/>
          <w:shd w:val="clear" w:color="auto" w:fill="FFFFFF"/>
        </w:rPr>
        <w:t>, 415 B.R. 77 (S.D.N.Y. 2009).</w:t>
      </w:r>
    </w:p>
  </w:footnote>
  <w:footnote w:id="18">
    <w:p w14:paraId="67CB478D" w14:textId="6FDC518B" w:rsidR="00D87F00" w:rsidRDefault="00D87F00">
      <w:pPr>
        <w:pStyle w:val="FootnoteText"/>
      </w:pPr>
      <w:r>
        <w:rPr>
          <w:rStyle w:val="FootnoteReference"/>
        </w:rPr>
        <w:footnoteRef/>
      </w:r>
      <w:r>
        <w:t xml:space="preserve"> </w:t>
      </w:r>
      <w:r>
        <w:rPr>
          <w:rFonts w:ascii="Arial" w:hAnsi="Arial" w:cs="Arial"/>
          <w:i/>
          <w:iCs/>
          <w:color w:val="222222"/>
          <w:shd w:val="clear" w:color="auto" w:fill="FFFFFF"/>
        </w:rPr>
        <w:t>In re General Motors Corp.</w:t>
      </w:r>
      <w:r>
        <w:rPr>
          <w:rFonts w:ascii="Arial" w:hAnsi="Arial" w:cs="Arial"/>
          <w:color w:val="222222"/>
          <w:shd w:val="clear" w:color="auto" w:fill="FFFFFF"/>
        </w:rPr>
        <w:t>, 407 B.R. 463 (Bankr. S.D.N.Y. 2009).</w:t>
      </w:r>
    </w:p>
  </w:footnote>
  <w:footnote w:id="19">
    <w:p w14:paraId="30AD2660" w14:textId="2BD979FD" w:rsidR="001157D9" w:rsidRDefault="001157D9">
      <w:pPr>
        <w:pStyle w:val="FootnoteText"/>
      </w:pPr>
      <w:r>
        <w:rPr>
          <w:rStyle w:val="FootnoteReference"/>
        </w:rPr>
        <w:footnoteRef/>
      </w:r>
      <w:r>
        <w:t xml:space="preserve"> </w:t>
      </w:r>
      <w:r>
        <w:rPr>
          <w:rFonts w:ascii="Arial" w:hAnsi="Arial" w:cs="Arial"/>
          <w:i/>
          <w:iCs/>
          <w:color w:val="222222"/>
          <w:shd w:val="clear" w:color="auto" w:fill="FFFFFF"/>
        </w:rPr>
        <w:t>United Airlines, Inc. v. HSBC BANK USA, NA</w:t>
      </w:r>
      <w:r>
        <w:rPr>
          <w:rFonts w:ascii="Arial" w:hAnsi="Arial" w:cs="Arial"/>
          <w:color w:val="222222"/>
          <w:shd w:val="clear" w:color="auto" w:fill="FFFFFF"/>
        </w:rPr>
        <w:t>, 416 F.3d 609 (7th Cir. 2005).</w:t>
      </w:r>
    </w:p>
  </w:footnote>
  <w:footnote w:id="20">
    <w:p w14:paraId="5338D647" w14:textId="46357BE2" w:rsidR="001157D9" w:rsidRDefault="001157D9">
      <w:pPr>
        <w:pStyle w:val="FootnoteText"/>
      </w:pPr>
      <w:r>
        <w:rPr>
          <w:rStyle w:val="FootnoteReference"/>
        </w:rPr>
        <w:footnoteRef/>
      </w:r>
      <w:r>
        <w:t xml:space="preserve"> </w:t>
      </w:r>
      <w:r>
        <w:rPr>
          <w:rFonts w:ascii="Arial" w:hAnsi="Arial" w:cs="Arial"/>
          <w:i/>
          <w:iCs/>
          <w:color w:val="222222"/>
          <w:shd w:val="clear" w:color="auto" w:fill="FFFFFF"/>
        </w:rPr>
        <w:t>In re WorldCom, Inc. Securities Litigation</w:t>
      </w:r>
      <w:r>
        <w:rPr>
          <w:rFonts w:ascii="Arial" w:hAnsi="Arial" w:cs="Arial"/>
          <w:color w:val="222222"/>
          <w:shd w:val="clear" w:color="auto" w:fill="FFFFFF"/>
        </w:rPr>
        <w:t>, 294 F. Supp. 2d 392 (S.D.N.Y. 2003).</w:t>
      </w:r>
      <w:r w:rsidRPr="001157D9">
        <w:rPr>
          <w:rFonts w:ascii="Arial" w:hAnsi="Arial" w:cs="Arial"/>
          <w:i/>
          <w:iCs/>
          <w:color w:val="222222"/>
          <w:shd w:val="clear" w:color="auto" w:fill="FFFFFF"/>
        </w:rPr>
        <w:t xml:space="preserve"> </w:t>
      </w:r>
      <w:r>
        <w:rPr>
          <w:rFonts w:ascii="Arial" w:hAnsi="Arial" w:cs="Arial"/>
          <w:i/>
          <w:iCs/>
          <w:color w:val="222222"/>
          <w:shd w:val="clear" w:color="auto" w:fill="FFFFFF"/>
        </w:rPr>
        <w:t>In re WorldCom, Inc. Securities Litigation</w:t>
      </w:r>
      <w:r>
        <w:rPr>
          <w:rFonts w:ascii="Arial" w:hAnsi="Arial" w:cs="Arial"/>
          <w:color w:val="222222"/>
          <w:shd w:val="clear" w:color="auto" w:fill="FFFFFF"/>
        </w:rPr>
        <w:t>, 294 F. Supp. 2d 392 (S.D.N.Y. 2003).</w:t>
      </w:r>
    </w:p>
  </w:footnote>
  <w:footnote w:id="21">
    <w:p w14:paraId="34E5536D" w14:textId="4114B220" w:rsidR="0015034B" w:rsidRDefault="0015034B">
      <w:pPr>
        <w:pStyle w:val="FootnoteText"/>
      </w:pPr>
      <w:r>
        <w:rPr>
          <w:rStyle w:val="FootnoteReference"/>
        </w:rPr>
        <w:footnoteRef/>
      </w:r>
      <w:r>
        <w:t xml:space="preserve"> </w:t>
      </w:r>
      <w:r>
        <w:rPr>
          <w:rFonts w:ascii="Arial" w:hAnsi="Arial" w:cs="Arial"/>
          <w:i/>
          <w:iCs/>
          <w:color w:val="222222"/>
          <w:shd w:val="clear" w:color="auto" w:fill="FFFFFF"/>
        </w:rPr>
        <w:t>In re PPI Enterprises (US), Inc.</w:t>
      </w:r>
      <w:r>
        <w:rPr>
          <w:rFonts w:ascii="Arial" w:hAnsi="Arial" w:cs="Arial"/>
          <w:color w:val="222222"/>
          <w:shd w:val="clear" w:color="auto" w:fill="FFFFFF"/>
        </w:rPr>
        <w:t>, 324 F.3d 197 (3d Cir. 2003).</w:t>
      </w:r>
    </w:p>
  </w:footnote>
  <w:footnote w:id="22">
    <w:p w14:paraId="10666588" w14:textId="43724206" w:rsidR="0015034B" w:rsidRDefault="0015034B">
      <w:pPr>
        <w:pStyle w:val="FootnoteText"/>
      </w:pPr>
      <w:r>
        <w:rPr>
          <w:rStyle w:val="FootnoteReference"/>
        </w:rPr>
        <w:footnoteRef/>
      </w:r>
      <w:r>
        <w:t xml:space="preserve"> </w:t>
      </w:r>
      <w:r>
        <w:rPr>
          <w:rFonts w:ascii="Arial" w:hAnsi="Arial" w:cs="Arial"/>
          <w:i/>
          <w:iCs/>
          <w:color w:val="222222"/>
          <w:shd w:val="clear" w:color="auto" w:fill="FFFFFF"/>
        </w:rPr>
        <w:t>Kaur v. MG Rover Group Ltd</w:t>
      </w:r>
      <w:r>
        <w:rPr>
          <w:rFonts w:ascii="Arial" w:hAnsi="Arial" w:cs="Arial"/>
          <w:color w:val="222222"/>
          <w:shd w:val="clear" w:color="auto" w:fill="FFFFFF"/>
        </w:rPr>
        <w:t>, 2005 I.R.L.R. 40 (2005).</w:t>
      </w:r>
    </w:p>
  </w:footnote>
  <w:footnote w:id="23">
    <w:p w14:paraId="341F34C7" w14:textId="2E7CC3E1" w:rsidR="00864BC3" w:rsidRDefault="00864BC3">
      <w:pPr>
        <w:pStyle w:val="FootnoteText"/>
      </w:pPr>
      <w:r>
        <w:rPr>
          <w:rStyle w:val="FootnoteReference"/>
        </w:rPr>
        <w:footnoteRef/>
      </w:r>
      <w:r>
        <w:t xml:space="preserve"> </w:t>
      </w:r>
      <w:r w:rsidRPr="00864BC3">
        <w:t>https://en.wikipedia.org/wiki/Woolworths_Group_(United_Kingdom)</w:t>
      </w:r>
    </w:p>
  </w:footnote>
  <w:footnote w:id="24">
    <w:p w14:paraId="1560A66E" w14:textId="08F9D39A" w:rsidR="003E548F" w:rsidRDefault="003E548F">
      <w:pPr>
        <w:pStyle w:val="FootnoteText"/>
      </w:pPr>
      <w:r>
        <w:rPr>
          <w:rStyle w:val="FootnoteReference"/>
        </w:rPr>
        <w:footnoteRef/>
      </w:r>
      <w:r>
        <w:t xml:space="preserve"> </w:t>
      </w:r>
      <w:r w:rsidRPr="003E548F">
        <w:t>Essentials in Bankruptcy - The Credit Research Foundation. https://www.crfonline.org/education/essentials-in-bankruptcy/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229F" w14:textId="77777777" w:rsidR="0026796C" w:rsidRDefault="00267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7198" w14:textId="77777777" w:rsidR="0026796C" w:rsidRDefault="00267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2515" w14:textId="77777777" w:rsidR="0026796C" w:rsidRDefault="00267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BC7"/>
    <w:multiLevelType w:val="multilevel"/>
    <w:tmpl w:val="72302BB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7851F4"/>
    <w:multiLevelType w:val="hybridMultilevel"/>
    <w:tmpl w:val="1B167CCA"/>
    <w:lvl w:ilvl="0" w:tplc="7CD0D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649F"/>
    <w:multiLevelType w:val="multilevel"/>
    <w:tmpl w:val="04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 w15:restartNumberingAfterBreak="0">
    <w:nsid w:val="089C0039"/>
    <w:multiLevelType w:val="multilevel"/>
    <w:tmpl w:val="D21ABFC0"/>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666DCF"/>
    <w:multiLevelType w:val="multilevel"/>
    <w:tmpl w:val="E412155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D61ACB"/>
    <w:multiLevelType w:val="hybridMultilevel"/>
    <w:tmpl w:val="920E9684"/>
    <w:lvl w:ilvl="0" w:tplc="FFFFFFFF">
      <w:start w:val="1"/>
      <w:numFmt w:val="decimal"/>
      <w:lvlText w:val="%1."/>
      <w:lvlJc w:val="left"/>
      <w:pPr>
        <w:ind w:left="2138" w:hanging="360"/>
      </w:pPr>
      <w:rPr>
        <w:rFonts w:hint="default"/>
      </w:rPr>
    </w:lvl>
    <w:lvl w:ilvl="1" w:tplc="FFFFFFFF">
      <w:start w:val="1"/>
      <w:numFmt w:val="decimal"/>
      <w:lvlText w:val="%2."/>
      <w:lvlJc w:val="left"/>
      <w:pPr>
        <w:ind w:left="2858" w:hanging="360"/>
      </w:p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6" w15:restartNumberingAfterBreak="0">
    <w:nsid w:val="1D197C36"/>
    <w:multiLevelType w:val="multilevel"/>
    <w:tmpl w:val="04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7" w15:restartNumberingAfterBreak="0">
    <w:nsid w:val="1ECF14A6"/>
    <w:multiLevelType w:val="multilevel"/>
    <w:tmpl w:val="04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8" w15:restartNumberingAfterBreak="0">
    <w:nsid w:val="20EE74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BE2EBA"/>
    <w:multiLevelType w:val="multilevel"/>
    <w:tmpl w:val="2A401D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BE282B"/>
    <w:multiLevelType w:val="multilevel"/>
    <w:tmpl w:val="1006F5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C76D38"/>
    <w:multiLevelType w:val="multilevel"/>
    <w:tmpl w:val="E4121554"/>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F6C74"/>
    <w:multiLevelType w:val="multilevel"/>
    <w:tmpl w:val="0409001F"/>
    <w:lvl w:ilvl="0">
      <w:start w:val="1"/>
      <w:numFmt w:val="decimal"/>
      <w:lvlText w:val="%1."/>
      <w:lvlJc w:val="left"/>
      <w:pPr>
        <w:ind w:left="1585" w:hanging="360"/>
      </w:pPr>
    </w:lvl>
    <w:lvl w:ilvl="1">
      <w:start w:val="1"/>
      <w:numFmt w:val="decimal"/>
      <w:lvlText w:val="%1.%2."/>
      <w:lvlJc w:val="left"/>
      <w:pPr>
        <w:ind w:left="2017" w:hanging="432"/>
      </w:pPr>
    </w:lvl>
    <w:lvl w:ilvl="2">
      <w:start w:val="1"/>
      <w:numFmt w:val="decimal"/>
      <w:lvlText w:val="%1.%2.%3."/>
      <w:lvlJc w:val="left"/>
      <w:pPr>
        <w:ind w:left="2449" w:hanging="504"/>
      </w:pPr>
    </w:lvl>
    <w:lvl w:ilvl="3">
      <w:start w:val="1"/>
      <w:numFmt w:val="decimal"/>
      <w:lvlText w:val="%1.%2.%3.%4."/>
      <w:lvlJc w:val="left"/>
      <w:pPr>
        <w:ind w:left="2953" w:hanging="648"/>
      </w:pPr>
    </w:lvl>
    <w:lvl w:ilvl="4">
      <w:start w:val="1"/>
      <w:numFmt w:val="decimal"/>
      <w:lvlText w:val="%1.%2.%3.%4.%5."/>
      <w:lvlJc w:val="left"/>
      <w:pPr>
        <w:ind w:left="3457" w:hanging="792"/>
      </w:pPr>
    </w:lvl>
    <w:lvl w:ilvl="5">
      <w:start w:val="1"/>
      <w:numFmt w:val="decimal"/>
      <w:lvlText w:val="%1.%2.%3.%4.%5.%6."/>
      <w:lvlJc w:val="left"/>
      <w:pPr>
        <w:ind w:left="3961" w:hanging="936"/>
      </w:pPr>
    </w:lvl>
    <w:lvl w:ilvl="6">
      <w:start w:val="1"/>
      <w:numFmt w:val="decimal"/>
      <w:lvlText w:val="%1.%2.%3.%4.%5.%6.%7."/>
      <w:lvlJc w:val="left"/>
      <w:pPr>
        <w:ind w:left="4465" w:hanging="1080"/>
      </w:pPr>
    </w:lvl>
    <w:lvl w:ilvl="7">
      <w:start w:val="1"/>
      <w:numFmt w:val="decimal"/>
      <w:lvlText w:val="%1.%2.%3.%4.%5.%6.%7.%8."/>
      <w:lvlJc w:val="left"/>
      <w:pPr>
        <w:ind w:left="4969" w:hanging="1224"/>
      </w:pPr>
    </w:lvl>
    <w:lvl w:ilvl="8">
      <w:start w:val="1"/>
      <w:numFmt w:val="decimal"/>
      <w:lvlText w:val="%1.%2.%3.%4.%5.%6.%7.%8.%9."/>
      <w:lvlJc w:val="left"/>
      <w:pPr>
        <w:ind w:left="5545" w:hanging="1440"/>
      </w:pPr>
    </w:lvl>
  </w:abstractNum>
  <w:abstractNum w:abstractNumId="13" w15:restartNumberingAfterBreak="0">
    <w:nsid w:val="3DF7712A"/>
    <w:multiLevelType w:val="multilevel"/>
    <w:tmpl w:val="3A4011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8F3DA0"/>
    <w:multiLevelType w:val="hybridMultilevel"/>
    <w:tmpl w:val="E6A02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02CB6"/>
    <w:multiLevelType w:val="multilevel"/>
    <w:tmpl w:val="7CB221E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0A17E4"/>
    <w:multiLevelType w:val="hybridMultilevel"/>
    <w:tmpl w:val="57C235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53B23D0"/>
    <w:multiLevelType w:val="hybridMultilevel"/>
    <w:tmpl w:val="6914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A18C4"/>
    <w:multiLevelType w:val="multilevel"/>
    <w:tmpl w:val="BB7C2B8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B2170DC"/>
    <w:multiLevelType w:val="hybridMultilevel"/>
    <w:tmpl w:val="920E9684"/>
    <w:lvl w:ilvl="0" w:tplc="0409000F">
      <w:start w:val="1"/>
      <w:numFmt w:val="decimal"/>
      <w:lvlText w:val="%1."/>
      <w:lvlJc w:val="left"/>
      <w:pPr>
        <w:ind w:left="2138" w:hanging="360"/>
      </w:pPr>
      <w:rPr>
        <w:rFonts w:hint="default"/>
      </w:rPr>
    </w:lvl>
    <w:lvl w:ilvl="1" w:tplc="0409000F">
      <w:start w:val="1"/>
      <w:numFmt w:val="decimal"/>
      <w:lvlText w:val="%2."/>
      <w:lvlJc w:val="left"/>
      <w:pPr>
        <w:ind w:left="2858" w:hanging="360"/>
      </w:p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15:restartNumberingAfterBreak="0">
    <w:nsid w:val="7BBB0424"/>
    <w:multiLevelType w:val="multilevel"/>
    <w:tmpl w:val="B3101836"/>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D1E47F7"/>
    <w:multiLevelType w:val="multilevel"/>
    <w:tmpl w:val="04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2" w15:restartNumberingAfterBreak="0">
    <w:nsid w:val="7E526273"/>
    <w:multiLevelType w:val="multilevel"/>
    <w:tmpl w:val="E1F071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4814970">
    <w:abstractNumId w:val="22"/>
  </w:num>
  <w:num w:numId="2" w16cid:durableId="1807578637">
    <w:abstractNumId w:val="8"/>
  </w:num>
  <w:num w:numId="3" w16cid:durableId="1897858774">
    <w:abstractNumId w:val="18"/>
  </w:num>
  <w:num w:numId="4" w16cid:durableId="759762291">
    <w:abstractNumId w:val="9"/>
  </w:num>
  <w:num w:numId="5" w16cid:durableId="1171718747">
    <w:abstractNumId w:val="6"/>
  </w:num>
  <w:num w:numId="6" w16cid:durableId="247735602">
    <w:abstractNumId w:val="7"/>
  </w:num>
  <w:num w:numId="7" w16cid:durableId="1076436664">
    <w:abstractNumId w:val="13"/>
  </w:num>
  <w:num w:numId="8" w16cid:durableId="430978873">
    <w:abstractNumId w:val="15"/>
  </w:num>
  <w:num w:numId="9" w16cid:durableId="1386879297">
    <w:abstractNumId w:val="2"/>
  </w:num>
  <w:num w:numId="10" w16cid:durableId="848909467">
    <w:abstractNumId w:val="0"/>
  </w:num>
  <w:num w:numId="11" w16cid:durableId="586500827">
    <w:abstractNumId w:val="20"/>
  </w:num>
  <w:num w:numId="12" w16cid:durableId="1098452481">
    <w:abstractNumId w:val="1"/>
  </w:num>
  <w:num w:numId="13" w16cid:durableId="1240946848">
    <w:abstractNumId w:val="11"/>
  </w:num>
  <w:num w:numId="14" w16cid:durableId="2002737673">
    <w:abstractNumId w:val="17"/>
  </w:num>
  <w:num w:numId="15" w16cid:durableId="1627541234">
    <w:abstractNumId w:val="14"/>
  </w:num>
  <w:num w:numId="16" w16cid:durableId="845632834">
    <w:abstractNumId w:val="21"/>
  </w:num>
  <w:num w:numId="17" w16cid:durableId="165947243">
    <w:abstractNumId w:val="19"/>
  </w:num>
  <w:num w:numId="18" w16cid:durableId="177432772">
    <w:abstractNumId w:val="5"/>
  </w:num>
  <w:num w:numId="19" w16cid:durableId="563879923">
    <w:abstractNumId w:val="16"/>
  </w:num>
  <w:num w:numId="20" w16cid:durableId="1397511917">
    <w:abstractNumId w:val="4"/>
  </w:num>
  <w:num w:numId="21" w16cid:durableId="482549255">
    <w:abstractNumId w:val="12"/>
  </w:num>
  <w:num w:numId="22" w16cid:durableId="1465731143">
    <w:abstractNumId w:val="3"/>
  </w:num>
  <w:num w:numId="23" w16cid:durableId="17458797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szAyMLQwMTUxMzJT0lEKTi0uzszPAykwNK4FADmGVMctAAAA"/>
  </w:docVars>
  <w:rsids>
    <w:rsidRoot w:val="002A1A5E"/>
    <w:rsid w:val="00032215"/>
    <w:rsid w:val="00046A9A"/>
    <w:rsid w:val="00047C47"/>
    <w:rsid w:val="000A45B1"/>
    <w:rsid w:val="000E228E"/>
    <w:rsid w:val="000E3937"/>
    <w:rsid w:val="000E63B0"/>
    <w:rsid w:val="00112A2D"/>
    <w:rsid w:val="001157D9"/>
    <w:rsid w:val="00116B81"/>
    <w:rsid w:val="00137515"/>
    <w:rsid w:val="0015034B"/>
    <w:rsid w:val="00152BC4"/>
    <w:rsid w:val="00155525"/>
    <w:rsid w:val="001819AB"/>
    <w:rsid w:val="001B51CE"/>
    <w:rsid w:val="001B6029"/>
    <w:rsid w:val="00232392"/>
    <w:rsid w:val="002327D9"/>
    <w:rsid w:val="00250946"/>
    <w:rsid w:val="002618F4"/>
    <w:rsid w:val="00264843"/>
    <w:rsid w:val="0026796C"/>
    <w:rsid w:val="00284852"/>
    <w:rsid w:val="002A1A5E"/>
    <w:rsid w:val="002C0FAF"/>
    <w:rsid w:val="002D27EB"/>
    <w:rsid w:val="002F7C98"/>
    <w:rsid w:val="00300D72"/>
    <w:rsid w:val="003211B7"/>
    <w:rsid w:val="00323CF8"/>
    <w:rsid w:val="003262BC"/>
    <w:rsid w:val="003827A6"/>
    <w:rsid w:val="00387B69"/>
    <w:rsid w:val="00395D0F"/>
    <w:rsid w:val="003C1164"/>
    <w:rsid w:val="003C12DB"/>
    <w:rsid w:val="003D0170"/>
    <w:rsid w:val="003E100D"/>
    <w:rsid w:val="003E548F"/>
    <w:rsid w:val="004452BF"/>
    <w:rsid w:val="00450057"/>
    <w:rsid w:val="00462C41"/>
    <w:rsid w:val="0048087B"/>
    <w:rsid w:val="00490928"/>
    <w:rsid w:val="004A0BE5"/>
    <w:rsid w:val="004A448B"/>
    <w:rsid w:val="004A5967"/>
    <w:rsid w:val="004F4B20"/>
    <w:rsid w:val="004F7A07"/>
    <w:rsid w:val="00554ECA"/>
    <w:rsid w:val="00557EBB"/>
    <w:rsid w:val="0057674B"/>
    <w:rsid w:val="00584DC0"/>
    <w:rsid w:val="005A2A14"/>
    <w:rsid w:val="005D2FD9"/>
    <w:rsid w:val="005D6C6C"/>
    <w:rsid w:val="005F7AB6"/>
    <w:rsid w:val="00607C38"/>
    <w:rsid w:val="00610EB1"/>
    <w:rsid w:val="00613B84"/>
    <w:rsid w:val="00650CC4"/>
    <w:rsid w:val="00650F33"/>
    <w:rsid w:val="006536C7"/>
    <w:rsid w:val="00681FB5"/>
    <w:rsid w:val="006A6F9C"/>
    <w:rsid w:val="006D6780"/>
    <w:rsid w:val="0072381A"/>
    <w:rsid w:val="007473EB"/>
    <w:rsid w:val="00756D96"/>
    <w:rsid w:val="007664B2"/>
    <w:rsid w:val="007713EC"/>
    <w:rsid w:val="0078643D"/>
    <w:rsid w:val="007B35BE"/>
    <w:rsid w:val="007B792F"/>
    <w:rsid w:val="00831CF7"/>
    <w:rsid w:val="008321FD"/>
    <w:rsid w:val="008346E5"/>
    <w:rsid w:val="0084370F"/>
    <w:rsid w:val="008552BD"/>
    <w:rsid w:val="00864BC3"/>
    <w:rsid w:val="008C7030"/>
    <w:rsid w:val="008D5CA0"/>
    <w:rsid w:val="008F3A7B"/>
    <w:rsid w:val="00917190"/>
    <w:rsid w:val="009470D4"/>
    <w:rsid w:val="0095726A"/>
    <w:rsid w:val="009771B6"/>
    <w:rsid w:val="0099637B"/>
    <w:rsid w:val="009E30CB"/>
    <w:rsid w:val="00A0733B"/>
    <w:rsid w:val="00A24CA4"/>
    <w:rsid w:val="00A33314"/>
    <w:rsid w:val="00A333C1"/>
    <w:rsid w:val="00A334D4"/>
    <w:rsid w:val="00A34A1E"/>
    <w:rsid w:val="00A42F6C"/>
    <w:rsid w:val="00A70E42"/>
    <w:rsid w:val="00A800DA"/>
    <w:rsid w:val="00A966D3"/>
    <w:rsid w:val="00AA2313"/>
    <w:rsid w:val="00AB75AF"/>
    <w:rsid w:val="00AD4088"/>
    <w:rsid w:val="00AD582C"/>
    <w:rsid w:val="00AE3942"/>
    <w:rsid w:val="00AF2200"/>
    <w:rsid w:val="00B00681"/>
    <w:rsid w:val="00B13596"/>
    <w:rsid w:val="00B218F7"/>
    <w:rsid w:val="00B554EF"/>
    <w:rsid w:val="00B56BBC"/>
    <w:rsid w:val="00B7402F"/>
    <w:rsid w:val="00B7457D"/>
    <w:rsid w:val="00B86342"/>
    <w:rsid w:val="00B9213D"/>
    <w:rsid w:val="00B92BA3"/>
    <w:rsid w:val="00BB5C00"/>
    <w:rsid w:val="00BC6062"/>
    <w:rsid w:val="00BD6211"/>
    <w:rsid w:val="00BD6ACE"/>
    <w:rsid w:val="00C03870"/>
    <w:rsid w:val="00C1136A"/>
    <w:rsid w:val="00C32749"/>
    <w:rsid w:val="00C6746F"/>
    <w:rsid w:val="00C713EE"/>
    <w:rsid w:val="00C75A38"/>
    <w:rsid w:val="00C835D6"/>
    <w:rsid w:val="00C909AF"/>
    <w:rsid w:val="00C96098"/>
    <w:rsid w:val="00CB7C48"/>
    <w:rsid w:val="00CE248B"/>
    <w:rsid w:val="00CE7FD1"/>
    <w:rsid w:val="00CF5021"/>
    <w:rsid w:val="00D2141B"/>
    <w:rsid w:val="00D62ACF"/>
    <w:rsid w:val="00D87F00"/>
    <w:rsid w:val="00D9100C"/>
    <w:rsid w:val="00D950D2"/>
    <w:rsid w:val="00DA019C"/>
    <w:rsid w:val="00DC4CB7"/>
    <w:rsid w:val="00E1270D"/>
    <w:rsid w:val="00E13359"/>
    <w:rsid w:val="00E434F9"/>
    <w:rsid w:val="00E46F8D"/>
    <w:rsid w:val="00E51A9A"/>
    <w:rsid w:val="00E905DA"/>
    <w:rsid w:val="00EA3856"/>
    <w:rsid w:val="00EA69D4"/>
    <w:rsid w:val="00EB448D"/>
    <w:rsid w:val="00EB59E2"/>
    <w:rsid w:val="00EC5C42"/>
    <w:rsid w:val="00EE2CE3"/>
    <w:rsid w:val="00F302C5"/>
    <w:rsid w:val="00F8254E"/>
    <w:rsid w:val="00F94CB4"/>
    <w:rsid w:val="00FD34BE"/>
    <w:rsid w:val="00FE6BE0"/>
    <w:rsid w:val="00FF5DFD"/>
    <w:rsid w:val="00FF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BB9F"/>
  <w15:chartTrackingRefBased/>
  <w15:docId w15:val="{A989EB26-B772-471C-97D9-73FB45E9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51C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7713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00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A1A5E"/>
    <w:rPr>
      <w:rFonts w:ascii="AvenirNext-Regular" w:hAnsi="AvenirNext-Regular" w:hint="default"/>
      <w:b w:val="0"/>
      <w:bCs w:val="0"/>
      <w:i w:val="0"/>
      <w:iCs w:val="0"/>
      <w:color w:val="000000"/>
      <w:sz w:val="22"/>
      <w:szCs w:val="22"/>
    </w:rPr>
  </w:style>
  <w:style w:type="character" w:customStyle="1" w:styleId="fontstyle21">
    <w:name w:val="fontstyle21"/>
    <w:basedOn w:val="DefaultParagraphFont"/>
    <w:rsid w:val="002A1A5E"/>
    <w:rPr>
      <w:rFonts w:ascii="SymbolMT" w:hAnsi="SymbolMT" w:hint="default"/>
      <w:b w:val="0"/>
      <w:bCs w:val="0"/>
      <w:i w:val="0"/>
      <w:iCs w:val="0"/>
      <w:color w:val="000000"/>
      <w:sz w:val="22"/>
      <w:szCs w:val="22"/>
    </w:rPr>
  </w:style>
  <w:style w:type="character" w:customStyle="1" w:styleId="fontstyle11">
    <w:name w:val="fontstyle11"/>
    <w:basedOn w:val="DefaultParagraphFont"/>
    <w:rsid w:val="002A1A5E"/>
    <w:rPr>
      <w:rFonts w:ascii="AvenirNext-Regular" w:hAnsi="AvenirNext-Regular" w:hint="default"/>
      <w:b w:val="0"/>
      <w:bCs w:val="0"/>
      <w:i w:val="0"/>
      <w:iCs w:val="0"/>
      <w:color w:val="000000"/>
      <w:sz w:val="22"/>
      <w:szCs w:val="22"/>
    </w:rPr>
  </w:style>
  <w:style w:type="character" w:customStyle="1" w:styleId="fontstyle31">
    <w:name w:val="fontstyle31"/>
    <w:basedOn w:val="DefaultParagraphFont"/>
    <w:rsid w:val="002A1A5E"/>
    <w:rPr>
      <w:rFonts w:ascii="AvenirNext-Italic" w:hAnsi="AvenirNext-Italic" w:hint="default"/>
      <w:b w:val="0"/>
      <w:bCs w:val="0"/>
      <w:i/>
      <w:iCs/>
      <w:color w:val="000000"/>
      <w:sz w:val="22"/>
      <w:szCs w:val="22"/>
    </w:rPr>
  </w:style>
  <w:style w:type="paragraph" w:styleId="BodyText">
    <w:name w:val="Body Text"/>
    <w:basedOn w:val="Normal"/>
    <w:link w:val="BodyTextChar"/>
    <w:uiPriority w:val="1"/>
    <w:qFormat/>
    <w:rsid w:val="00E51A9A"/>
    <w:pPr>
      <w:widowControl w:val="0"/>
      <w:autoSpaceDE w:val="0"/>
      <w:autoSpaceDN w:val="0"/>
      <w:spacing w:after="0" w:line="240" w:lineRule="auto"/>
    </w:pPr>
    <w:rPr>
      <w:rFonts w:ascii="Arial" w:eastAsia="Arial" w:hAnsi="Arial" w:cs="Arial"/>
      <w:kern w:val="0"/>
      <w:sz w:val="20"/>
      <w:szCs w:val="20"/>
      <w14:ligatures w14:val="none"/>
    </w:rPr>
  </w:style>
  <w:style w:type="character" w:customStyle="1" w:styleId="BodyTextChar">
    <w:name w:val="Body Text Char"/>
    <w:basedOn w:val="DefaultParagraphFont"/>
    <w:link w:val="BodyText"/>
    <w:uiPriority w:val="1"/>
    <w:rsid w:val="00E51A9A"/>
    <w:rPr>
      <w:rFonts w:ascii="Arial" w:eastAsia="Arial" w:hAnsi="Arial" w:cs="Arial"/>
      <w:kern w:val="0"/>
      <w:sz w:val="20"/>
      <w:szCs w:val="20"/>
      <w14:ligatures w14:val="none"/>
    </w:rPr>
  </w:style>
  <w:style w:type="paragraph" w:styleId="ListParagraph">
    <w:name w:val="List Paragraph"/>
    <w:basedOn w:val="Normal"/>
    <w:uiPriority w:val="34"/>
    <w:qFormat/>
    <w:rsid w:val="00BD6211"/>
    <w:pPr>
      <w:ind w:left="720"/>
      <w:contextualSpacing/>
    </w:pPr>
  </w:style>
  <w:style w:type="paragraph" w:styleId="FootnoteText">
    <w:name w:val="footnote text"/>
    <w:basedOn w:val="Normal"/>
    <w:link w:val="FootnoteTextChar"/>
    <w:uiPriority w:val="99"/>
    <w:semiHidden/>
    <w:unhideWhenUsed/>
    <w:rsid w:val="001B5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1CE"/>
    <w:rPr>
      <w:sz w:val="20"/>
      <w:szCs w:val="20"/>
    </w:rPr>
  </w:style>
  <w:style w:type="character" w:styleId="FootnoteReference">
    <w:name w:val="footnote reference"/>
    <w:basedOn w:val="DefaultParagraphFont"/>
    <w:uiPriority w:val="99"/>
    <w:semiHidden/>
    <w:unhideWhenUsed/>
    <w:rsid w:val="001B51CE"/>
    <w:rPr>
      <w:vertAlign w:val="superscript"/>
    </w:rPr>
  </w:style>
  <w:style w:type="character" w:customStyle="1" w:styleId="Heading1Char">
    <w:name w:val="Heading 1 Char"/>
    <w:basedOn w:val="DefaultParagraphFont"/>
    <w:link w:val="Heading1"/>
    <w:uiPriority w:val="9"/>
    <w:rsid w:val="001B51CE"/>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1B51CE"/>
    <w:rPr>
      <w:color w:val="0000FF"/>
      <w:u w:val="single"/>
    </w:rPr>
  </w:style>
  <w:style w:type="character" w:customStyle="1" w:styleId="Heading2Char">
    <w:name w:val="Heading 2 Char"/>
    <w:basedOn w:val="DefaultParagraphFont"/>
    <w:link w:val="Heading2"/>
    <w:uiPriority w:val="9"/>
    <w:rsid w:val="007713E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4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70F"/>
  </w:style>
  <w:style w:type="paragraph" w:styleId="Footer">
    <w:name w:val="footer"/>
    <w:basedOn w:val="Normal"/>
    <w:link w:val="FooterChar"/>
    <w:uiPriority w:val="99"/>
    <w:unhideWhenUsed/>
    <w:rsid w:val="0084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70F"/>
  </w:style>
  <w:style w:type="character" w:styleId="UnresolvedMention">
    <w:name w:val="Unresolved Mention"/>
    <w:basedOn w:val="DefaultParagraphFont"/>
    <w:uiPriority w:val="99"/>
    <w:semiHidden/>
    <w:unhideWhenUsed/>
    <w:rsid w:val="008346E5"/>
    <w:rPr>
      <w:color w:val="605E5C"/>
      <w:shd w:val="clear" w:color="auto" w:fill="E1DFDD"/>
    </w:rPr>
  </w:style>
  <w:style w:type="character" w:customStyle="1" w:styleId="Heading3Char">
    <w:name w:val="Heading 3 Char"/>
    <w:basedOn w:val="DefaultParagraphFont"/>
    <w:link w:val="Heading3"/>
    <w:uiPriority w:val="9"/>
    <w:rsid w:val="00A800D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31C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unhideWhenUsed/>
    <w:qFormat/>
    <w:rsid w:val="00CE7FD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CE7FD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5098">
      <w:bodyDiv w:val="1"/>
      <w:marLeft w:val="0"/>
      <w:marRight w:val="0"/>
      <w:marTop w:val="0"/>
      <w:marBottom w:val="0"/>
      <w:divBdr>
        <w:top w:val="none" w:sz="0" w:space="0" w:color="auto"/>
        <w:left w:val="none" w:sz="0" w:space="0" w:color="auto"/>
        <w:bottom w:val="none" w:sz="0" w:space="0" w:color="auto"/>
        <w:right w:val="none" w:sz="0" w:space="0" w:color="auto"/>
      </w:divBdr>
    </w:div>
    <w:div w:id="349381652">
      <w:bodyDiv w:val="1"/>
      <w:marLeft w:val="0"/>
      <w:marRight w:val="0"/>
      <w:marTop w:val="0"/>
      <w:marBottom w:val="0"/>
      <w:divBdr>
        <w:top w:val="none" w:sz="0" w:space="0" w:color="auto"/>
        <w:left w:val="none" w:sz="0" w:space="0" w:color="auto"/>
        <w:bottom w:val="none" w:sz="0" w:space="0" w:color="auto"/>
        <w:right w:val="none" w:sz="0" w:space="0" w:color="auto"/>
      </w:divBdr>
    </w:div>
    <w:div w:id="350491914">
      <w:bodyDiv w:val="1"/>
      <w:marLeft w:val="0"/>
      <w:marRight w:val="0"/>
      <w:marTop w:val="0"/>
      <w:marBottom w:val="0"/>
      <w:divBdr>
        <w:top w:val="none" w:sz="0" w:space="0" w:color="auto"/>
        <w:left w:val="none" w:sz="0" w:space="0" w:color="auto"/>
        <w:bottom w:val="none" w:sz="0" w:space="0" w:color="auto"/>
        <w:right w:val="none" w:sz="0" w:space="0" w:color="auto"/>
      </w:divBdr>
    </w:div>
    <w:div w:id="1021517844">
      <w:bodyDiv w:val="1"/>
      <w:marLeft w:val="0"/>
      <w:marRight w:val="0"/>
      <w:marTop w:val="0"/>
      <w:marBottom w:val="0"/>
      <w:divBdr>
        <w:top w:val="none" w:sz="0" w:space="0" w:color="auto"/>
        <w:left w:val="none" w:sz="0" w:space="0" w:color="auto"/>
        <w:bottom w:val="none" w:sz="0" w:space="0" w:color="auto"/>
        <w:right w:val="none" w:sz="0" w:space="0" w:color="auto"/>
      </w:divBdr>
    </w:div>
    <w:div w:id="20201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citeseerx.ist.psu.edu/document?repid=rep1&amp;type=pdf&amp;doi=e1f16e66d71d24ff75027f2fa0b640175d7191e6" TargetMode="External"/><Relationship Id="rId26" Type="http://schemas.openxmlformats.org/officeDocument/2006/relationships/hyperlink" Target="https://doi.org/10.1007/s40804-020-00191-y" TargetMode="External"/><Relationship Id="rId39" Type="http://schemas.openxmlformats.org/officeDocument/2006/relationships/hyperlink" Target="https://repository.mruni.eu/bitstream/handle/007/17032/Muleviciene_Evaluation_of_the_effectiveness_of_insolvency_frameworks.pdf?sequence=1&amp;isAllowed=y" TargetMode="External"/><Relationship Id="rId21" Type="http://schemas.openxmlformats.org/officeDocument/2006/relationships/hyperlink" Target="https://uk.practicallaw.thomsonreuters.com/7-501-6870?contextData=(sc.Default)&amp;transitionType=Default&amp;firstPage=true" TargetMode="External"/><Relationship Id="rId34" Type="http://schemas.openxmlformats.org/officeDocument/2006/relationships/hyperlink" Target="https://ora.ox.ac.uk/objects/uuid:a14466df-9291-480d-af11-822a562910a3/download_file?file_format=application%2Fpdf&amp;safe_filename=Debt%2Brestructuring%2Bin%2Bthe%2BUK%2BSeptember%2B2018.pdf&amp;type_of_work=Journal+articl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humaker.com/Templates/media/images/Practices/SLK_CHA--2.pdf" TargetMode="External"/><Relationship Id="rId20" Type="http://schemas.openxmlformats.org/officeDocument/2006/relationships/hyperlink" Target="https://www.crowe.com/bs/services/insolvency-and-liquidations" TargetMode="External"/><Relationship Id="rId29" Type="http://schemas.openxmlformats.org/officeDocument/2006/relationships/hyperlink" Target="https://doi.org/10.1111/ablj.1215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openknowledge.worldbank.org/server/api/core/bitstreams/c5fc8592-d4c0-5fc9-a7a3-3f7270493d21/content" TargetMode="External"/><Relationship Id="rId32" Type="http://schemas.openxmlformats.org/officeDocument/2006/relationships/hyperlink" Target="https://pdfs.semanticscholar.org/ec1c/f369bbae21dde6be1200b9b1aa76ad6953f8.pdf" TargetMode="External"/><Relationship Id="rId37" Type="http://schemas.openxmlformats.org/officeDocument/2006/relationships/hyperlink" Target="https://scholar.google.com/scholar?hl=en&amp;as_sdt=0%2C10&amp;q=Vidovi%C4%87%2C+I.+%282017%29.+Out-Of-Court+Debt+Restructuring+Versus+Pre-Insolvency+Proceedings%3A+Two+Sides+Of+The+Same+Coin%3F&amp;btn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pository.ihu.edu.gr/xmlui/bitstream/handle/11544/15911/Dissertation.pdf?sequence=1" TargetMode="External"/><Relationship Id="rId23" Type="http://schemas.openxmlformats.org/officeDocument/2006/relationships/hyperlink" Target="https://chicagounbound.uchicago.edu/cgi/viewcontent.cgi?article=1128&amp;context=cjil" TargetMode="External"/><Relationship Id="rId28" Type="http://schemas.openxmlformats.org/officeDocument/2006/relationships/hyperlink" Target="https://www.pillsburylaw.com/en/news-and-insights/inflight-audio-podcast-2-chapter-11-uk-restructuring.html" TargetMode="External"/><Relationship Id="rId36" Type="http://schemas.openxmlformats.org/officeDocument/2006/relationships/hyperlink" Target="https://scholarship.law.slu.edu/cgi/viewcontent.cgi?article=1334&amp;context=faculty" TargetMode="External"/><Relationship Id="rId10" Type="http://schemas.openxmlformats.org/officeDocument/2006/relationships/header" Target="header2.xml"/><Relationship Id="rId19" Type="http://schemas.openxmlformats.org/officeDocument/2006/relationships/hyperlink" Target="https://go.openathens.net/redirector/ncu.edu?url=https://www.proquest.com/scholarly-journals/professionals-systemic-reform-bankruptcy-law-1978/docview/202783199/se-2" TargetMode="External"/><Relationship Id="rId31" Type="http://schemas.openxmlformats.org/officeDocument/2006/relationships/hyperlink" Target="https://repository.mruni.eu/bitstream/handle/007/17032/Muleviciene_Evaluation_of_the_effectiveness_of_insolvency_frameworks.pdf?sequence=1&amp;isAllowed=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brooklynworks.brooklaw.edu/cgi/viewcontent.cgi?article=1668&amp;context=bjil" TargetMode="External"/><Relationship Id="rId27" Type="http://schemas.openxmlformats.org/officeDocument/2006/relationships/hyperlink" Target="https://www.irs.gov/businesses/small-businesses-self-employed/chapter-7-bankruptcy-liquidation-under-the-bankruptcy-code" TargetMode="External"/><Relationship Id="rId30" Type="http://schemas.openxmlformats.org/officeDocument/2006/relationships/hyperlink" Target="https://ssrn.com/abstract=1942126" TargetMode="External"/><Relationship Id="rId35" Type="http://schemas.openxmlformats.org/officeDocument/2006/relationships/hyperlink" Target="https://keydifferences.com/difference-between-bankruptcy-and-liquidation.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bakermckenzie.com/-/media/files/insight/guides/2022/globalriguide-edition-8.pdf" TargetMode="External"/><Relationship Id="rId25" Type="http://schemas.openxmlformats.org/officeDocument/2006/relationships/hyperlink" Target="https://www.gov.uk/government/publications/liquidation-and-insolvency/liquidation-and-insolvency" TargetMode="External"/><Relationship Id="rId33" Type="http://schemas.openxmlformats.org/officeDocument/2006/relationships/hyperlink" Target="https://heinonline.org/HOL/LandingPage?handle=hein.journals/lqr130&amp;div=15&amp;id=&amp;page=" TargetMode="External"/><Relationship Id="rId38" Type="http://schemas.openxmlformats.org/officeDocument/2006/relationships/hyperlink" Target="http://www.beniverson.org/papers/WYIJ_Bankruptcy_COVID.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vestopedia.com/terms/c/cramdown.asp" TargetMode="External"/><Relationship Id="rId7" Type="http://schemas.openxmlformats.org/officeDocument/2006/relationships/hyperlink" Target="https://www.investopedia.com/" TargetMode="External"/><Relationship Id="rId2" Type="http://schemas.openxmlformats.org/officeDocument/2006/relationships/hyperlink" Target="https://www.ilauk.com/docs/bull220.pdf" TargetMode="External"/><Relationship Id="rId1" Type="http://schemas.openxmlformats.org/officeDocument/2006/relationships/hyperlink" Target="https://blogs.worldbank.org/psd/2021-world-bank-insol-internationals-legislative-regulatory-group-covid-19-response-and" TargetMode="External"/><Relationship Id="rId6" Type="http://schemas.openxmlformats.org/officeDocument/2006/relationships/hyperlink" Target="https://www.investopedia.com/terms/b/bankruptcy.asp" TargetMode="External"/><Relationship Id="rId5" Type="http://schemas.openxmlformats.org/officeDocument/2006/relationships/hyperlink" Target="http://www.ucitral.un.org" TargetMode="External"/><Relationship Id="rId4" Type="http://schemas.openxmlformats.org/officeDocument/2006/relationships/hyperlink" Target="https://www.ons.gov.uk/businessindustryandtrade/changestobusiness/bankruptcyinsolvency/articles/risingbusinessinsolvenciesandhighenergyprices/2022-1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FED1D-AE5F-4FBF-A684-7ED6FC67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5722</Words>
  <Characters>35369</Characters>
  <Application>Microsoft Office Word</Application>
  <DocSecurity>0</DocSecurity>
  <Lines>1964</Lines>
  <Paragraphs>1467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Bain</dc:creator>
  <cp:keywords/>
  <dc:description/>
  <cp:lastModifiedBy>John Bain</cp:lastModifiedBy>
  <cp:revision>2</cp:revision>
  <dcterms:created xsi:type="dcterms:W3CDTF">2023-07-04T20:06:00Z</dcterms:created>
  <dcterms:modified xsi:type="dcterms:W3CDTF">2023-07-04T20:06:00Z</dcterms:modified>
</cp:coreProperties>
</file>