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C538E6" w:rsidRDefault="00D66F96" w:rsidP="005B7C95">
      <w:pPr>
        <w:pStyle w:val="ListParagraph"/>
        <w:numPr>
          <w:ilvl w:val="0"/>
          <w:numId w:val="26"/>
        </w:numPr>
        <w:ind w:left="426"/>
        <w:jc w:val="both"/>
        <w:rPr>
          <w:rFonts w:ascii="Avenir Next" w:hAnsi="Avenir Next" w:cs="Arial"/>
          <w:sz w:val="22"/>
          <w:szCs w:val="22"/>
          <w:highlight w:val="yellow"/>
          <w:lang w:val="en-GB"/>
        </w:rPr>
      </w:pPr>
      <w:r w:rsidRPr="00C538E6">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1C7FED"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1C7FED">
        <w:rPr>
          <w:rFonts w:ascii="Avenir Next" w:hAnsi="Avenir Next" w:cs="Arial"/>
          <w:iCs/>
          <w:sz w:val="22"/>
          <w:szCs w:val="22"/>
          <w:highlight w:val="yellow"/>
          <w:lang w:val="en-GB"/>
        </w:rPr>
        <w:t>t</w:t>
      </w:r>
      <w:r w:rsidR="00302D76" w:rsidRPr="001C7FED">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AD3A49"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AD3A49">
        <w:rPr>
          <w:rFonts w:ascii="Avenir Next" w:hAnsi="Avenir Next" w:cs="Arial"/>
          <w:iCs/>
          <w:sz w:val="22"/>
          <w:szCs w:val="22"/>
          <w:highlight w:val="yellow"/>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8D37C6" w:rsidRDefault="00971896" w:rsidP="003C4BCB">
      <w:pPr>
        <w:pStyle w:val="ListParagraph"/>
        <w:numPr>
          <w:ilvl w:val="0"/>
          <w:numId w:val="5"/>
        </w:numPr>
        <w:ind w:left="426"/>
        <w:jc w:val="both"/>
        <w:rPr>
          <w:rFonts w:ascii="Avenir Next" w:hAnsi="Avenir Next" w:cs="Arial"/>
          <w:sz w:val="22"/>
          <w:szCs w:val="22"/>
          <w:highlight w:val="yellow"/>
          <w:lang w:val="en-GB"/>
        </w:rPr>
      </w:pPr>
      <w:r w:rsidRPr="008D37C6">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8D37C6">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E81934" w:rsidRDefault="00302D76" w:rsidP="008E3C96">
      <w:pPr>
        <w:pStyle w:val="ListParagraph"/>
        <w:numPr>
          <w:ilvl w:val="0"/>
          <w:numId w:val="28"/>
        </w:numPr>
        <w:ind w:left="426"/>
        <w:jc w:val="both"/>
        <w:rPr>
          <w:rFonts w:ascii="Avenir Next" w:hAnsi="Avenir Next" w:cs="Arial"/>
          <w:sz w:val="22"/>
          <w:szCs w:val="22"/>
          <w:highlight w:val="yellow"/>
          <w:lang w:val="en-GB"/>
        </w:rPr>
      </w:pPr>
      <w:r w:rsidRPr="00E81934">
        <w:rPr>
          <w:rFonts w:ascii="Avenir Next" w:hAnsi="Avenir Next" w:cs="Arial"/>
          <w:sz w:val="22"/>
          <w:szCs w:val="22"/>
          <w:highlight w:val="yellow"/>
          <w:lang w:val="en-GB"/>
        </w:rPr>
        <w:t>Article 18 EIR Recast (“</w:t>
      </w:r>
      <w:r w:rsidRPr="00E81934">
        <w:rPr>
          <w:rFonts w:ascii="Avenir Next" w:hAnsi="Avenir Next" w:cs="Arial"/>
          <w:bCs/>
          <w:sz w:val="22"/>
          <w:szCs w:val="22"/>
          <w:highlight w:val="yellow"/>
          <w:lang w:val="en-GB"/>
        </w:rPr>
        <w:t>Effects of insolvency proceedings on pending lawsuits or arbitral proceedings”</w:t>
      </w:r>
      <w:r w:rsidRPr="00E81934">
        <w:rPr>
          <w:rFonts w:ascii="Avenir Next" w:hAnsi="Avenir Next" w:cs="Arial"/>
          <w:sz w:val="22"/>
          <w:szCs w:val="22"/>
          <w:highlight w:val="yellow"/>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lastRenderedPageBreak/>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8E3C96" w:rsidRDefault="00CA7069" w:rsidP="003C4BCB">
      <w:pPr>
        <w:pStyle w:val="ListParagraph"/>
        <w:numPr>
          <w:ilvl w:val="0"/>
          <w:numId w:val="7"/>
        </w:numPr>
        <w:ind w:left="426"/>
        <w:jc w:val="both"/>
        <w:rPr>
          <w:rFonts w:ascii="Avenir Next" w:hAnsi="Avenir Next" w:cs="Arial"/>
          <w:sz w:val="22"/>
          <w:szCs w:val="22"/>
          <w:lang w:val="en-GB"/>
        </w:rPr>
      </w:pPr>
      <w:r w:rsidRPr="00D174D3">
        <w:rPr>
          <w:rFonts w:ascii="Avenir Next" w:hAnsi="Avenir Next" w:cs="Arial"/>
          <w:sz w:val="22"/>
          <w:szCs w:val="22"/>
          <w:highlight w:val="yellow"/>
          <w:lang w:val="en-GB"/>
        </w:rPr>
        <w:t xml:space="preserve">Each Member State will define </w:t>
      </w:r>
      <w:r w:rsidR="001A68CC" w:rsidRPr="00D174D3">
        <w:rPr>
          <w:rFonts w:ascii="Avenir Next" w:hAnsi="Avenir Next" w:cs="Arial"/>
          <w:sz w:val="22"/>
          <w:szCs w:val="22"/>
          <w:highlight w:val="yellow"/>
          <w:lang w:val="en-GB"/>
        </w:rPr>
        <w:t>“</w:t>
      </w:r>
      <w:r w:rsidRPr="00D174D3">
        <w:rPr>
          <w:rFonts w:ascii="Avenir Next" w:hAnsi="Avenir Next" w:cs="Arial"/>
          <w:sz w:val="22"/>
          <w:szCs w:val="22"/>
          <w:highlight w:val="yellow"/>
          <w:lang w:val="en-GB"/>
        </w:rPr>
        <w:t>insolvency</w:t>
      </w:r>
      <w:r w:rsidR="001A68CC" w:rsidRPr="00D174D3">
        <w:rPr>
          <w:rFonts w:ascii="Avenir Next" w:hAnsi="Avenir Next" w:cs="Arial"/>
          <w:sz w:val="22"/>
          <w:szCs w:val="22"/>
          <w:highlight w:val="yellow"/>
          <w:lang w:val="en-GB"/>
        </w:rPr>
        <w:t>”</w:t>
      </w:r>
      <w:r w:rsidRPr="00D174D3">
        <w:rPr>
          <w:rFonts w:ascii="Avenir Next" w:hAnsi="Avenir Next" w:cs="Arial"/>
          <w:sz w:val="22"/>
          <w:szCs w:val="22"/>
          <w:highlight w:val="yellow"/>
          <w:lang w:val="en-GB"/>
        </w:rPr>
        <w:t xml:space="preserve"> in national legislation</w:t>
      </w:r>
      <w:r w:rsidRPr="008E3C96">
        <w:rPr>
          <w:rFonts w:ascii="Avenir Next" w:hAnsi="Avenir Next" w:cs="Arial"/>
          <w:sz w:val="22"/>
          <w:szCs w:val="22"/>
          <w:lang w:val="en-GB"/>
        </w:rPr>
        <w:t>.</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C60B56" w:rsidRDefault="00CA7069" w:rsidP="00CA7069">
      <w:pPr>
        <w:pStyle w:val="ListParagraph"/>
        <w:numPr>
          <w:ilvl w:val="0"/>
          <w:numId w:val="8"/>
        </w:numPr>
        <w:ind w:left="426"/>
        <w:jc w:val="both"/>
        <w:rPr>
          <w:rFonts w:ascii="Avenir Next" w:hAnsi="Avenir Next" w:cs="Arial"/>
          <w:sz w:val="22"/>
          <w:szCs w:val="22"/>
          <w:highlight w:val="yellow"/>
          <w:lang w:val="en-GB"/>
        </w:rPr>
      </w:pPr>
      <w:r w:rsidRPr="00C60B56">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2D4D99" w:rsidRDefault="00C15FA2" w:rsidP="008E3C96">
      <w:pPr>
        <w:pStyle w:val="ListParagraph"/>
        <w:numPr>
          <w:ilvl w:val="0"/>
          <w:numId w:val="29"/>
        </w:numPr>
        <w:ind w:left="426"/>
        <w:jc w:val="both"/>
        <w:rPr>
          <w:rFonts w:ascii="Avenir Next" w:hAnsi="Avenir Next" w:cs="Arial"/>
          <w:sz w:val="22"/>
          <w:szCs w:val="22"/>
          <w:lang w:val="en-GB"/>
        </w:rPr>
      </w:pPr>
      <w:r w:rsidRPr="002D4D99">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2D4D99" w:rsidRDefault="00C15FA2" w:rsidP="008E3C96">
      <w:pPr>
        <w:pStyle w:val="ListParagraph"/>
        <w:numPr>
          <w:ilvl w:val="0"/>
          <w:numId w:val="29"/>
        </w:numPr>
        <w:ind w:left="426"/>
        <w:jc w:val="both"/>
        <w:rPr>
          <w:rFonts w:ascii="Avenir Next" w:hAnsi="Avenir Next" w:cs="Arial"/>
          <w:sz w:val="22"/>
          <w:szCs w:val="22"/>
          <w:highlight w:val="yellow"/>
          <w:lang w:val="en-GB"/>
        </w:rPr>
      </w:pPr>
      <w:r w:rsidRPr="002D4D99">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4423B9" w:rsidRDefault="00EC242E" w:rsidP="008E3C96">
      <w:pPr>
        <w:pStyle w:val="ListParagraph"/>
        <w:numPr>
          <w:ilvl w:val="0"/>
          <w:numId w:val="30"/>
        </w:numPr>
        <w:ind w:left="426"/>
        <w:jc w:val="both"/>
        <w:rPr>
          <w:rFonts w:ascii="Avenir Next" w:hAnsi="Avenir Next" w:cs="Arial"/>
          <w:sz w:val="22"/>
          <w:szCs w:val="22"/>
          <w:highlight w:val="yellow"/>
          <w:lang w:val="en-GB"/>
        </w:rPr>
      </w:pPr>
      <w:r w:rsidRPr="004423B9">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Canetier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Canetier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0D3754" w:rsidRDefault="00EC242E" w:rsidP="00EC242E">
      <w:pPr>
        <w:pStyle w:val="ListParagraph"/>
        <w:numPr>
          <w:ilvl w:val="0"/>
          <w:numId w:val="9"/>
        </w:numPr>
        <w:ind w:left="426"/>
        <w:jc w:val="both"/>
        <w:rPr>
          <w:rFonts w:ascii="Avenir Next" w:hAnsi="Avenir Next" w:cs="Arial"/>
          <w:sz w:val="22"/>
          <w:szCs w:val="22"/>
          <w:highlight w:val="yellow"/>
          <w:lang w:val="en-GB"/>
        </w:rPr>
      </w:pPr>
      <w:r w:rsidRPr="000D3754">
        <w:rPr>
          <w:rFonts w:ascii="Avenir Next" w:hAnsi="Avenir Next" w:cs="Arial"/>
          <w:sz w:val="22"/>
          <w:szCs w:val="22"/>
          <w:highlight w:val="yellow"/>
          <w:lang w:val="en-GB"/>
        </w:rPr>
        <w:t xml:space="preserve">The contested transactions cannot be avoided if Canetier SARL can prove that the </w:t>
      </w:r>
      <w:r w:rsidRPr="000D3754">
        <w:rPr>
          <w:rFonts w:ascii="Avenir Next" w:hAnsi="Avenir Next" w:cs="Arial"/>
          <w:i/>
          <w:sz w:val="22"/>
          <w:szCs w:val="22"/>
          <w:highlight w:val="yellow"/>
          <w:lang w:val="en-GB"/>
        </w:rPr>
        <w:t>lex causae</w:t>
      </w:r>
      <w:r w:rsidRPr="000D3754">
        <w:rPr>
          <w:rFonts w:ascii="Avenir Next" w:hAnsi="Avenir Next"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Canetier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Canetier SARL can rely solely, in a purely abstract manner, on the unchallengeable character of the payments at issue on the basis of a provision of the </w:t>
      </w:r>
      <w:r w:rsidRPr="008E3C96">
        <w:rPr>
          <w:rFonts w:ascii="Avenir Next" w:hAnsi="Avenir Next" w:cs="Arial"/>
          <w:i/>
          <w:sz w:val="22"/>
          <w:szCs w:val="22"/>
          <w:lang w:val="en-GB"/>
        </w:rPr>
        <w:t>lex causae</w:t>
      </w:r>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Default="00AA55B5" w:rsidP="00636C15">
      <w:pPr>
        <w:jc w:val="both"/>
        <w:rPr>
          <w:rFonts w:ascii="Avenir Next" w:hAnsi="Avenir Next" w:cs="Arial"/>
          <w:sz w:val="22"/>
          <w:szCs w:val="22"/>
          <w:lang w:val="en-GB"/>
        </w:rPr>
      </w:pPr>
    </w:p>
    <w:p w14:paraId="35888FC7" w14:textId="4A4606C4" w:rsidR="00517513" w:rsidRPr="00B76F28" w:rsidRDefault="00517513" w:rsidP="00636C15">
      <w:pPr>
        <w:jc w:val="both"/>
        <w:rPr>
          <w:rFonts w:ascii="Avenir Next" w:hAnsi="Avenir Next" w:cs="Arial"/>
          <w:color w:val="808080" w:themeColor="background1" w:themeShade="80"/>
          <w:sz w:val="22"/>
          <w:szCs w:val="22"/>
          <w:lang w:val="en-GB"/>
        </w:rPr>
      </w:pPr>
      <w:r w:rsidRPr="00B76F28">
        <w:rPr>
          <w:rFonts w:ascii="Avenir Next" w:hAnsi="Avenir Next" w:cs="Arial"/>
          <w:color w:val="808080" w:themeColor="background1" w:themeShade="80"/>
          <w:sz w:val="22"/>
          <w:szCs w:val="22"/>
          <w:lang w:val="en-GB"/>
        </w:rPr>
        <w:lastRenderedPageBreak/>
        <w:t xml:space="preserve">The </w:t>
      </w:r>
      <w:r w:rsidR="003E544E" w:rsidRPr="00B76F28">
        <w:rPr>
          <w:rFonts w:ascii="Avenir Next" w:hAnsi="Avenir Next" w:cs="Arial"/>
          <w:color w:val="808080" w:themeColor="background1" w:themeShade="80"/>
          <w:sz w:val="22"/>
          <w:szCs w:val="22"/>
          <w:lang w:val="en-GB"/>
        </w:rPr>
        <w:t>particular provision/concept discussed above in Sta</w:t>
      </w:r>
      <w:r w:rsidR="00ED4D18" w:rsidRPr="00B76F28">
        <w:rPr>
          <w:rFonts w:ascii="Avenir Next" w:hAnsi="Avenir Next" w:cs="Arial"/>
          <w:color w:val="808080" w:themeColor="background1" w:themeShade="80"/>
          <w:sz w:val="22"/>
          <w:szCs w:val="22"/>
          <w:lang w:val="en-GB"/>
        </w:rPr>
        <w:t xml:space="preserve">tement 1 </w:t>
      </w:r>
      <w:r w:rsidR="003908E1" w:rsidRPr="00B76F28">
        <w:rPr>
          <w:rFonts w:ascii="Avenir Next" w:hAnsi="Avenir Next" w:cs="Arial"/>
          <w:color w:val="808080" w:themeColor="background1" w:themeShade="80"/>
          <w:sz w:val="22"/>
          <w:szCs w:val="22"/>
          <w:lang w:val="en-GB"/>
        </w:rPr>
        <w:t xml:space="preserve">is in relation to the safeguards which have been </w:t>
      </w:r>
      <w:r w:rsidR="00B76F28">
        <w:rPr>
          <w:rFonts w:ascii="Avenir Next" w:hAnsi="Avenir Next" w:cs="Arial"/>
          <w:color w:val="808080" w:themeColor="background1" w:themeShade="80"/>
          <w:sz w:val="22"/>
          <w:szCs w:val="22"/>
          <w:lang w:val="en-GB"/>
        </w:rPr>
        <w:t xml:space="preserve">incorporated </w:t>
      </w:r>
      <w:r w:rsidR="003908E1" w:rsidRPr="00B76F28">
        <w:rPr>
          <w:rFonts w:ascii="Avenir Next" w:hAnsi="Avenir Next" w:cs="Arial"/>
          <w:color w:val="808080" w:themeColor="background1" w:themeShade="80"/>
          <w:sz w:val="22"/>
          <w:szCs w:val="22"/>
          <w:lang w:val="en-GB"/>
        </w:rPr>
        <w:t xml:space="preserve">in the EIR Recast </w:t>
      </w:r>
      <w:r w:rsidR="00B76F28" w:rsidRPr="00B76F28">
        <w:rPr>
          <w:rFonts w:ascii="Avenir Next" w:hAnsi="Avenir Next" w:cs="Arial"/>
          <w:color w:val="808080" w:themeColor="background1" w:themeShade="80"/>
          <w:sz w:val="22"/>
          <w:szCs w:val="22"/>
          <w:lang w:val="en-GB"/>
        </w:rPr>
        <w:t>to prevent fraudulent forum shopping, which in turn makes the fundamental presumption</w:t>
      </w:r>
      <w:r w:rsidR="00B76F28">
        <w:rPr>
          <w:rFonts w:ascii="Avenir Next" w:hAnsi="Avenir Next" w:cs="Arial"/>
          <w:color w:val="808080" w:themeColor="background1" w:themeShade="80"/>
          <w:sz w:val="22"/>
          <w:szCs w:val="22"/>
          <w:lang w:val="en-GB"/>
        </w:rPr>
        <w:t>s regarding the determination</w:t>
      </w:r>
      <w:r w:rsidR="00B76F28" w:rsidRPr="00B76F28">
        <w:rPr>
          <w:rFonts w:ascii="Avenir Next" w:hAnsi="Avenir Next" w:cs="Arial"/>
          <w:color w:val="808080" w:themeColor="background1" w:themeShade="80"/>
          <w:sz w:val="22"/>
          <w:szCs w:val="22"/>
          <w:lang w:val="en-GB"/>
        </w:rPr>
        <w:t xml:space="preserve"> of Centre of Main Interests (COMI)</w:t>
      </w:r>
      <w:r w:rsidR="00B76F28">
        <w:rPr>
          <w:rFonts w:ascii="Avenir Next" w:hAnsi="Avenir Next" w:cs="Arial"/>
          <w:color w:val="808080" w:themeColor="background1" w:themeShade="80"/>
          <w:sz w:val="22"/>
          <w:szCs w:val="22"/>
          <w:lang w:val="en-GB"/>
        </w:rPr>
        <w:t xml:space="preserve">, rebuttable. The </w:t>
      </w:r>
      <w:r w:rsidR="007B1844">
        <w:rPr>
          <w:rFonts w:ascii="Avenir Next" w:hAnsi="Avenir Next" w:cs="Arial"/>
          <w:color w:val="808080" w:themeColor="background1" w:themeShade="80"/>
          <w:sz w:val="22"/>
          <w:szCs w:val="22"/>
          <w:lang w:val="en-GB"/>
        </w:rPr>
        <w:t>concept is essentially found in Recital 30</w:t>
      </w:r>
      <w:r w:rsidR="00B76F28" w:rsidRPr="00B76F28">
        <w:rPr>
          <w:rFonts w:ascii="Avenir Next" w:hAnsi="Avenir Next" w:cs="Arial"/>
          <w:color w:val="808080" w:themeColor="background1" w:themeShade="80"/>
          <w:sz w:val="22"/>
          <w:szCs w:val="22"/>
          <w:lang w:val="en-GB"/>
        </w:rPr>
        <w:t xml:space="preserve"> </w:t>
      </w:r>
      <w:r w:rsidR="007B1844">
        <w:rPr>
          <w:rFonts w:ascii="Avenir Next" w:hAnsi="Avenir Next" w:cs="Arial"/>
          <w:color w:val="808080" w:themeColor="background1" w:themeShade="80"/>
          <w:sz w:val="22"/>
          <w:szCs w:val="22"/>
          <w:lang w:val="en-GB"/>
        </w:rPr>
        <w:t xml:space="preserve">of the EIR Recast, with further explanations in Recital 31-34. </w:t>
      </w:r>
      <w:r w:rsidR="00753AC3">
        <w:rPr>
          <w:rFonts w:ascii="Avenir Next" w:hAnsi="Avenir Next" w:cs="Arial"/>
          <w:color w:val="808080" w:themeColor="background1" w:themeShade="80"/>
          <w:sz w:val="22"/>
          <w:szCs w:val="22"/>
          <w:lang w:val="en-GB"/>
        </w:rPr>
        <w:t xml:space="preserve">It requires the </w:t>
      </w:r>
      <w:r w:rsidR="00F35C9B">
        <w:rPr>
          <w:rFonts w:ascii="Avenir Next" w:hAnsi="Avenir Next" w:cs="Arial"/>
          <w:color w:val="808080" w:themeColor="background1" w:themeShade="80"/>
          <w:sz w:val="22"/>
          <w:szCs w:val="22"/>
          <w:lang w:val="en-GB"/>
        </w:rPr>
        <w:t>relevant</w:t>
      </w:r>
      <w:r w:rsidR="00976EDA">
        <w:rPr>
          <w:rFonts w:ascii="Avenir Next" w:hAnsi="Avenir Next" w:cs="Arial"/>
          <w:color w:val="808080" w:themeColor="background1" w:themeShade="80"/>
          <w:sz w:val="22"/>
          <w:szCs w:val="22"/>
          <w:lang w:val="en-GB"/>
        </w:rPr>
        <w:t xml:space="preserve"> or the competent court to assess</w:t>
      </w:r>
      <w:r w:rsidR="005870CF">
        <w:rPr>
          <w:rFonts w:ascii="Avenir Next" w:hAnsi="Avenir Next" w:cs="Arial"/>
          <w:color w:val="808080" w:themeColor="background1" w:themeShade="80"/>
          <w:sz w:val="22"/>
          <w:szCs w:val="22"/>
          <w:lang w:val="en-GB"/>
        </w:rPr>
        <w:t xml:space="preserve">, </w:t>
      </w:r>
      <w:r w:rsidR="00976EDA">
        <w:rPr>
          <w:rFonts w:ascii="Avenir Next" w:hAnsi="Avenir Next" w:cs="Arial"/>
          <w:color w:val="808080" w:themeColor="background1" w:themeShade="80"/>
          <w:sz w:val="22"/>
          <w:szCs w:val="22"/>
          <w:lang w:val="en-GB"/>
        </w:rPr>
        <w:t xml:space="preserve">in a comprehensive and </w:t>
      </w:r>
      <w:r w:rsidR="005870CF">
        <w:rPr>
          <w:rFonts w:ascii="Avenir Next" w:hAnsi="Avenir Next" w:cs="Arial"/>
          <w:color w:val="808080" w:themeColor="background1" w:themeShade="80"/>
          <w:sz w:val="22"/>
          <w:szCs w:val="22"/>
          <w:lang w:val="en-GB"/>
        </w:rPr>
        <w:t xml:space="preserve">a detailed </w:t>
      </w:r>
      <w:r w:rsidR="00976EDA">
        <w:rPr>
          <w:rFonts w:ascii="Avenir Next" w:hAnsi="Avenir Next" w:cs="Arial"/>
          <w:color w:val="808080" w:themeColor="background1" w:themeShade="80"/>
          <w:sz w:val="22"/>
          <w:szCs w:val="22"/>
          <w:lang w:val="en-GB"/>
        </w:rPr>
        <w:t>manner</w:t>
      </w:r>
      <w:r w:rsidR="005870CF">
        <w:rPr>
          <w:rFonts w:ascii="Avenir Next" w:hAnsi="Avenir Next" w:cs="Arial"/>
          <w:color w:val="808080" w:themeColor="background1" w:themeShade="80"/>
          <w:sz w:val="22"/>
          <w:szCs w:val="22"/>
          <w:lang w:val="en-GB"/>
        </w:rPr>
        <w:t xml:space="preserve">, </w:t>
      </w:r>
      <w:r w:rsidR="00457213">
        <w:rPr>
          <w:rFonts w:ascii="Avenir Next" w:hAnsi="Avenir Next" w:cs="Arial"/>
          <w:color w:val="808080" w:themeColor="background1" w:themeShade="80"/>
          <w:sz w:val="22"/>
          <w:szCs w:val="22"/>
          <w:lang w:val="en-GB"/>
        </w:rPr>
        <w:t>if the COMI of the concerned debtor is actually located within its jurisdiction</w:t>
      </w:r>
      <w:r w:rsidR="000473E4">
        <w:rPr>
          <w:rFonts w:ascii="Avenir Next" w:hAnsi="Avenir Next" w:cs="Arial"/>
          <w:color w:val="808080" w:themeColor="background1" w:themeShade="80"/>
          <w:sz w:val="22"/>
          <w:szCs w:val="22"/>
          <w:lang w:val="en-GB"/>
        </w:rPr>
        <w:t>, as the same is asce</w:t>
      </w:r>
      <w:r w:rsidR="00EC6624">
        <w:rPr>
          <w:rFonts w:ascii="Avenir Next" w:hAnsi="Avenir Next" w:cs="Arial"/>
          <w:color w:val="808080" w:themeColor="background1" w:themeShade="80"/>
          <w:sz w:val="22"/>
          <w:szCs w:val="22"/>
          <w:lang w:val="en-GB"/>
        </w:rPr>
        <w:t xml:space="preserve">rtainable to </w:t>
      </w:r>
      <w:r w:rsidR="00FB5881">
        <w:rPr>
          <w:rFonts w:ascii="Avenir Next" w:hAnsi="Avenir Next" w:cs="Arial"/>
          <w:color w:val="808080" w:themeColor="background1" w:themeShade="80"/>
          <w:sz w:val="22"/>
          <w:szCs w:val="22"/>
          <w:lang w:val="en-GB"/>
        </w:rPr>
        <w:t>and by third parties</w:t>
      </w:r>
      <w:r w:rsidR="00457213">
        <w:rPr>
          <w:rFonts w:ascii="Avenir Next" w:hAnsi="Avenir Next" w:cs="Arial"/>
          <w:color w:val="808080" w:themeColor="background1" w:themeShade="80"/>
          <w:sz w:val="22"/>
          <w:szCs w:val="22"/>
          <w:lang w:val="en-GB"/>
        </w:rPr>
        <w:t xml:space="preserve">. </w:t>
      </w:r>
      <w:r w:rsidR="006065A7">
        <w:rPr>
          <w:rFonts w:ascii="Avenir Next" w:hAnsi="Avenir Next" w:cs="Arial"/>
          <w:color w:val="808080" w:themeColor="background1" w:themeShade="80"/>
          <w:sz w:val="22"/>
          <w:szCs w:val="22"/>
          <w:lang w:val="en-GB"/>
        </w:rPr>
        <w:t>For instance, the presumption of COMI being the place of the registered office of the debtor</w:t>
      </w:r>
      <w:r w:rsidR="006065A7">
        <w:rPr>
          <w:rStyle w:val="FootnoteReference"/>
          <w:rFonts w:ascii="Avenir Next" w:hAnsi="Avenir Next" w:cs="Arial"/>
          <w:color w:val="808080" w:themeColor="background1" w:themeShade="80"/>
          <w:sz w:val="22"/>
          <w:szCs w:val="22"/>
          <w:lang w:val="en-GB"/>
        </w:rPr>
        <w:footnoteReference w:id="1"/>
      </w:r>
      <w:r w:rsidR="000473E4">
        <w:rPr>
          <w:rFonts w:ascii="Avenir Next" w:hAnsi="Avenir Next" w:cs="Arial"/>
          <w:color w:val="808080" w:themeColor="background1" w:themeShade="80"/>
          <w:sz w:val="22"/>
          <w:szCs w:val="22"/>
          <w:lang w:val="en-GB"/>
        </w:rPr>
        <w:t xml:space="preserve">, can be rebutted if </w:t>
      </w:r>
      <w:r w:rsidR="00FB5881">
        <w:rPr>
          <w:rFonts w:ascii="Avenir Next" w:hAnsi="Avenir Next" w:cs="Arial"/>
          <w:color w:val="808080" w:themeColor="background1" w:themeShade="80"/>
          <w:sz w:val="22"/>
          <w:szCs w:val="22"/>
          <w:lang w:val="en-GB"/>
        </w:rPr>
        <w:t xml:space="preserve">a third party or a creditor is able to establish that the </w:t>
      </w:r>
      <w:r w:rsidR="00824413">
        <w:rPr>
          <w:rFonts w:ascii="Avenir Next" w:hAnsi="Avenir Next" w:cs="Arial"/>
          <w:color w:val="808080" w:themeColor="background1" w:themeShade="80"/>
          <w:sz w:val="22"/>
          <w:szCs w:val="22"/>
          <w:lang w:val="en-GB"/>
        </w:rPr>
        <w:t xml:space="preserve">central administration of the debtor company happens in a state different to the state in which it has its registered office. </w:t>
      </w:r>
      <w:r w:rsidR="00CB4DE3">
        <w:rPr>
          <w:rFonts w:ascii="Avenir Next" w:hAnsi="Avenir Next" w:cs="Arial"/>
          <w:color w:val="808080" w:themeColor="background1" w:themeShade="80"/>
          <w:sz w:val="22"/>
          <w:szCs w:val="22"/>
          <w:lang w:val="en-GB"/>
        </w:rPr>
        <w:t xml:space="preserve">Similar rebuttals are also available for individuals. </w:t>
      </w:r>
    </w:p>
    <w:p w14:paraId="2A35B6A1" w14:textId="77777777" w:rsidR="00B76F28" w:rsidRDefault="00B76F28" w:rsidP="00636C15">
      <w:pPr>
        <w:jc w:val="both"/>
        <w:rPr>
          <w:rFonts w:ascii="Avenir Next" w:hAnsi="Avenir Next" w:cs="Arial"/>
          <w:sz w:val="22"/>
          <w:szCs w:val="22"/>
          <w:lang w:val="en-GB"/>
        </w:rPr>
      </w:pPr>
    </w:p>
    <w:p w14:paraId="366C6B1F" w14:textId="77777777" w:rsidR="00B76F28" w:rsidRPr="008E3C96" w:rsidRDefault="00B76F28"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2F732633" w14:textId="77777777" w:rsidR="007C2121" w:rsidRDefault="007C2121" w:rsidP="007C2121">
      <w:pPr>
        <w:jc w:val="both"/>
        <w:rPr>
          <w:rFonts w:ascii="Avenir Next" w:hAnsi="Avenir Next" w:cs="Arial"/>
          <w:sz w:val="22"/>
          <w:szCs w:val="22"/>
        </w:rPr>
      </w:pPr>
    </w:p>
    <w:p w14:paraId="5C7DD9F3" w14:textId="083561F9" w:rsidR="00636C15" w:rsidRPr="00D701A5" w:rsidRDefault="00FD09AC" w:rsidP="007C2121">
      <w:p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The aforementioned Statement 2, throws more light on the ‘material scope’ of the EIR Recast, </w:t>
      </w:r>
      <w:r w:rsidR="006776C9">
        <w:rPr>
          <w:rFonts w:ascii="Avenir Next" w:hAnsi="Avenir Next" w:cs="Arial"/>
          <w:color w:val="7B7B7B" w:themeColor="accent3" w:themeShade="BF"/>
          <w:sz w:val="22"/>
          <w:szCs w:val="22"/>
        </w:rPr>
        <w:t xml:space="preserve">which is embodied in Article 1(1). </w:t>
      </w:r>
      <w:r w:rsidR="007D2029">
        <w:rPr>
          <w:rFonts w:ascii="Avenir Next" w:hAnsi="Avenir Next" w:cs="Arial"/>
          <w:color w:val="7B7B7B" w:themeColor="accent3" w:themeShade="BF"/>
          <w:sz w:val="22"/>
          <w:szCs w:val="22"/>
        </w:rPr>
        <w:t xml:space="preserve">It entails that if any collective public proceedings </w:t>
      </w:r>
      <w:r w:rsidR="00CE7F1B">
        <w:rPr>
          <w:rFonts w:ascii="Avenir Next" w:hAnsi="Avenir Next" w:cs="Arial"/>
          <w:color w:val="7B7B7B" w:themeColor="accent3" w:themeShade="BF"/>
          <w:sz w:val="22"/>
          <w:szCs w:val="22"/>
        </w:rPr>
        <w:t xml:space="preserve">are initiated, </w:t>
      </w:r>
      <w:r w:rsidR="007F4926">
        <w:rPr>
          <w:rFonts w:ascii="Avenir Next" w:hAnsi="Avenir Next" w:cs="Arial"/>
          <w:color w:val="7B7B7B" w:themeColor="accent3" w:themeShade="BF"/>
          <w:sz w:val="22"/>
          <w:szCs w:val="22"/>
        </w:rPr>
        <w:t xml:space="preserve">where the debtor is totally or partially divested of its asserts, where an insolvency practitioner is appointed, </w:t>
      </w:r>
      <w:r w:rsidR="00710018">
        <w:rPr>
          <w:rFonts w:ascii="Avenir Next" w:hAnsi="Avenir Next" w:cs="Arial"/>
          <w:color w:val="7B7B7B" w:themeColor="accent3" w:themeShade="BF"/>
          <w:sz w:val="22"/>
          <w:szCs w:val="22"/>
        </w:rPr>
        <w:t xml:space="preserve">where the assets and affairs of the debtor are subject to control , or where in relation to such a debtor there is a stay on individual enforcement action </w:t>
      </w:r>
      <w:r w:rsidR="00B4451C">
        <w:rPr>
          <w:rFonts w:ascii="Avenir Next" w:hAnsi="Avenir Next" w:cs="Arial"/>
          <w:color w:val="7B7B7B" w:themeColor="accent3" w:themeShade="BF"/>
          <w:sz w:val="22"/>
          <w:szCs w:val="22"/>
        </w:rPr>
        <w:t>etc.</w:t>
      </w:r>
      <w:r w:rsidR="00B44AA3">
        <w:rPr>
          <w:rFonts w:ascii="Avenir Next" w:hAnsi="Avenir Next" w:cs="Arial"/>
          <w:color w:val="7B7B7B" w:themeColor="accent3" w:themeShade="BF"/>
          <w:sz w:val="22"/>
          <w:szCs w:val="22"/>
        </w:rPr>
        <w:t>, in relation to a debtor</w:t>
      </w:r>
      <w:r w:rsidR="00AC4E8F">
        <w:rPr>
          <w:rFonts w:ascii="Avenir Next" w:hAnsi="Avenir Next" w:cs="Arial"/>
          <w:color w:val="7B7B7B" w:themeColor="accent3" w:themeShade="BF"/>
          <w:sz w:val="22"/>
          <w:szCs w:val="22"/>
        </w:rPr>
        <w:t xml:space="preserve"> in situations where there is only a likelihood of insolvency</w:t>
      </w:r>
      <w:r w:rsidR="001B41BE">
        <w:rPr>
          <w:rFonts w:ascii="Avenir Next" w:hAnsi="Avenir Next" w:cs="Arial"/>
          <w:color w:val="7B7B7B" w:themeColor="accent3" w:themeShade="BF"/>
          <w:sz w:val="22"/>
          <w:szCs w:val="22"/>
        </w:rPr>
        <w:t xml:space="preserve">, such actions/proceedings will then essentially have been </w:t>
      </w:r>
      <w:r w:rsidR="00B4451C">
        <w:rPr>
          <w:rFonts w:ascii="Avenir Next" w:hAnsi="Avenir Next" w:cs="Arial"/>
          <w:color w:val="7B7B7B" w:themeColor="accent3" w:themeShade="BF"/>
          <w:sz w:val="22"/>
          <w:szCs w:val="22"/>
        </w:rPr>
        <w:t>instituted</w:t>
      </w:r>
      <w:r w:rsidR="001B41BE">
        <w:rPr>
          <w:rFonts w:ascii="Avenir Next" w:hAnsi="Avenir Next" w:cs="Arial"/>
          <w:color w:val="7B7B7B" w:themeColor="accent3" w:themeShade="BF"/>
          <w:sz w:val="22"/>
          <w:szCs w:val="22"/>
        </w:rPr>
        <w:t xml:space="preserve"> to </w:t>
      </w:r>
      <w:r w:rsidR="000E04B4">
        <w:rPr>
          <w:rFonts w:ascii="Avenir Next" w:hAnsi="Avenir Next" w:cs="Arial"/>
          <w:color w:val="7B7B7B" w:themeColor="accent3" w:themeShade="BF"/>
          <w:sz w:val="22"/>
          <w:szCs w:val="22"/>
        </w:rPr>
        <w:t>avoid the debtors insolvency and cessation of business. Additionally, Article 1, also specifically mentioned that the above actions can be in relation to ‘adjustment of debt’ or ‘reorganization’, hence unequivocally, making restructuring a part of its scope. The same is in</w:t>
      </w:r>
      <w:r w:rsidR="008C7CB0">
        <w:rPr>
          <w:rFonts w:ascii="Avenir Next" w:hAnsi="Avenir Next" w:cs="Arial"/>
          <w:color w:val="7B7B7B" w:themeColor="accent3" w:themeShade="BF"/>
          <w:sz w:val="22"/>
          <w:szCs w:val="22"/>
        </w:rPr>
        <w:t xml:space="preserve"> alignment</w:t>
      </w:r>
      <w:r w:rsidR="000E04B4">
        <w:rPr>
          <w:rFonts w:ascii="Avenir Next" w:hAnsi="Avenir Next" w:cs="Arial"/>
          <w:color w:val="7B7B7B" w:themeColor="accent3" w:themeShade="BF"/>
          <w:sz w:val="22"/>
          <w:szCs w:val="22"/>
        </w:rPr>
        <w:t xml:space="preserve"> of the </w:t>
      </w:r>
      <w:r w:rsidR="00D701A5" w:rsidRPr="00D701A5">
        <w:rPr>
          <w:rFonts w:ascii="Avenir Next" w:hAnsi="Avenir Next" w:cs="Arial"/>
          <w:color w:val="7B7B7B" w:themeColor="accent3" w:themeShade="BF"/>
          <w:sz w:val="22"/>
          <w:szCs w:val="22"/>
        </w:rPr>
        <w:t>Directive (E</w:t>
      </w:r>
      <w:r w:rsidR="00D701A5">
        <w:rPr>
          <w:rFonts w:ascii="Avenir Next" w:hAnsi="Avenir Next" w:cs="Arial"/>
          <w:color w:val="7B7B7B" w:themeColor="accent3" w:themeShade="BF"/>
          <w:sz w:val="22"/>
          <w:szCs w:val="22"/>
        </w:rPr>
        <w:t>U</w:t>
      </w:r>
      <w:r w:rsidR="00D701A5" w:rsidRPr="00D701A5">
        <w:rPr>
          <w:rFonts w:ascii="Avenir Next" w:hAnsi="Avenir Next" w:cs="Arial"/>
          <w:color w:val="7B7B7B" w:themeColor="accent3" w:themeShade="BF"/>
          <w:sz w:val="22"/>
          <w:szCs w:val="22"/>
        </w:rPr>
        <w:t xml:space="preserve">) 2019/1023 </w:t>
      </w:r>
      <w:r w:rsidR="00B4451C">
        <w:rPr>
          <w:rFonts w:ascii="Avenir Next" w:hAnsi="Avenir Next" w:cs="Arial"/>
          <w:color w:val="7B7B7B" w:themeColor="accent3" w:themeShade="BF"/>
          <w:sz w:val="22"/>
          <w:szCs w:val="22"/>
        </w:rPr>
        <w:t>o</w:t>
      </w:r>
      <w:r w:rsidR="00D701A5" w:rsidRPr="00D701A5">
        <w:rPr>
          <w:rFonts w:ascii="Avenir Next" w:hAnsi="Avenir Next" w:cs="Arial"/>
          <w:color w:val="7B7B7B" w:themeColor="accent3" w:themeShade="BF"/>
          <w:sz w:val="22"/>
          <w:szCs w:val="22"/>
        </w:rPr>
        <w:t xml:space="preserve">f </w:t>
      </w:r>
      <w:r w:rsidR="00B4451C">
        <w:rPr>
          <w:rFonts w:ascii="Avenir Next" w:hAnsi="Avenir Next" w:cs="Arial"/>
          <w:color w:val="7B7B7B" w:themeColor="accent3" w:themeShade="BF"/>
          <w:sz w:val="22"/>
          <w:szCs w:val="22"/>
        </w:rPr>
        <w:t>t</w:t>
      </w:r>
      <w:r w:rsidR="00D701A5" w:rsidRPr="00D701A5">
        <w:rPr>
          <w:rFonts w:ascii="Avenir Next" w:hAnsi="Avenir Next" w:cs="Arial"/>
          <w:color w:val="7B7B7B" w:themeColor="accent3" w:themeShade="BF"/>
          <w:sz w:val="22"/>
          <w:szCs w:val="22"/>
        </w:rPr>
        <w:t xml:space="preserve">he European Parliament </w:t>
      </w:r>
      <w:r w:rsidR="00B4451C">
        <w:rPr>
          <w:rFonts w:ascii="Avenir Next" w:hAnsi="Avenir Next" w:cs="Arial"/>
          <w:color w:val="7B7B7B" w:themeColor="accent3" w:themeShade="BF"/>
          <w:sz w:val="22"/>
          <w:szCs w:val="22"/>
        </w:rPr>
        <w:t>a</w:t>
      </w:r>
      <w:r w:rsidR="00D701A5" w:rsidRPr="00D701A5">
        <w:rPr>
          <w:rFonts w:ascii="Avenir Next" w:hAnsi="Avenir Next" w:cs="Arial"/>
          <w:color w:val="7B7B7B" w:themeColor="accent3" w:themeShade="BF"/>
          <w:sz w:val="22"/>
          <w:szCs w:val="22"/>
        </w:rPr>
        <w:t xml:space="preserve">nd </w:t>
      </w:r>
      <w:r w:rsidR="00D34562">
        <w:rPr>
          <w:rFonts w:ascii="Avenir Next" w:hAnsi="Avenir Next" w:cs="Arial"/>
          <w:color w:val="7B7B7B" w:themeColor="accent3" w:themeShade="BF"/>
          <w:sz w:val="22"/>
          <w:szCs w:val="22"/>
        </w:rPr>
        <w:t>o</w:t>
      </w:r>
      <w:r w:rsidR="00D701A5" w:rsidRPr="00D701A5">
        <w:rPr>
          <w:rFonts w:ascii="Avenir Next" w:hAnsi="Avenir Next" w:cs="Arial"/>
          <w:color w:val="7B7B7B" w:themeColor="accent3" w:themeShade="BF"/>
          <w:sz w:val="22"/>
          <w:szCs w:val="22"/>
        </w:rPr>
        <w:t>f The Council</w:t>
      </w:r>
      <w:r w:rsidR="00D701A5">
        <w:rPr>
          <w:rFonts w:ascii="Avenir Next" w:hAnsi="Avenir Next" w:cs="Arial"/>
          <w:color w:val="7B7B7B" w:themeColor="accent3" w:themeShade="BF"/>
          <w:sz w:val="22"/>
          <w:szCs w:val="22"/>
        </w:rPr>
        <w:t xml:space="preserve"> on ‘Preventative Restructuring’ dated June 20, 2019, </w:t>
      </w:r>
      <w:r w:rsidR="009657AE">
        <w:rPr>
          <w:rFonts w:ascii="Avenir Next" w:hAnsi="Avenir Next" w:cs="Arial"/>
          <w:color w:val="7B7B7B" w:themeColor="accent3" w:themeShade="BF"/>
          <w:sz w:val="22"/>
          <w:szCs w:val="22"/>
        </w:rPr>
        <w:t xml:space="preserve">which aimed at </w:t>
      </w:r>
      <w:r w:rsidR="008C7CB0">
        <w:rPr>
          <w:rFonts w:ascii="Avenir Next" w:hAnsi="Avenir Next" w:cs="Arial"/>
          <w:color w:val="7B7B7B" w:themeColor="accent3" w:themeShade="BF"/>
          <w:sz w:val="22"/>
          <w:szCs w:val="22"/>
        </w:rPr>
        <w:t xml:space="preserve">further </w:t>
      </w:r>
      <w:r w:rsidR="009657AE">
        <w:rPr>
          <w:rFonts w:ascii="Avenir Next" w:hAnsi="Avenir Next" w:cs="Arial"/>
          <w:color w:val="7B7B7B" w:themeColor="accent3" w:themeShade="BF"/>
          <w:sz w:val="22"/>
          <w:szCs w:val="22"/>
        </w:rPr>
        <w:t xml:space="preserve">ensuring that viable </w:t>
      </w:r>
      <w:r w:rsidR="00AA1618">
        <w:rPr>
          <w:rFonts w:ascii="Avenir Next" w:hAnsi="Avenir Next" w:cs="Arial"/>
          <w:color w:val="7B7B7B" w:themeColor="accent3" w:themeShade="BF"/>
          <w:sz w:val="22"/>
          <w:szCs w:val="22"/>
        </w:rPr>
        <w:t>businesses which are in financial difficulties, have access to effective national preventat</w:t>
      </w:r>
      <w:r w:rsidR="00B4451C">
        <w:rPr>
          <w:rFonts w:ascii="Avenir Next" w:hAnsi="Avenir Next" w:cs="Arial"/>
          <w:color w:val="7B7B7B" w:themeColor="accent3" w:themeShade="BF"/>
          <w:sz w:val="22"/>
          <w:szCs w:val="22"/>
        </w:rPr>
        <w:t xml:space="preserve">ive </w:t>
      </w:r>
      <w:r w:rsidR="00B4451C" w:rsidRPr="00B4451C">
        <w:rPr>
          <w:rFonts w:ascii="Avenir Next" w:hAnsi="Avenir Next" w:cs="Arial"/>
          <w:color w:val="7B7B7B" w:themeColor="accent3" w:themeShade="BF"/>
          <w:sz w:val="22"/>
          <w:szCs w:val="22"/>
        </w:rPr>
        <w:t>restructuring frameworks which enable them to continue operating</w:t>
      </w:r>
      <w:r w:rsidR="00B4451C">
        <w:rPr>
          <w:rStyle w:val="FootnoteReference"/>
          <w:rFonts w:ascii="Avenir Next" w:hAnsi="Avenir Next" w:cs="Arial"/>
          <w:color w:val="7B7B7B" w:themeColor="accent3" w:themeShade="BF"/>
          <w:sz w:val="22"/>
          <w:szCs w:val="22"/>
        </w:rPr>
        <w:footnoteReference w:id="2"/>
      </w:r>
      <w:r w:rsidR="00214441">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6675D5F" w14:textId="18178FC2" w:rsidR="00636C15" w:rsidRDefault="00E424E1" w:rsidP="00E424E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E21585">
        <w:rPr>
          <w:rFonts w:ascii="Avenir Next" w:hAnsi="Avenir Next" w:cs="Arial"/>
          <w:color w:val="7B7B7B" w:themeColor="accent3" w:themeShade="BF"/>
          <w:sz w:val="22"/>
          <w:szCs w:val="22"/>
          <w:lang w:val="en-GB"/>
        </w:rPr>
        <w:t>idea of u</w:t>
      </w:r>
      <w:r w:rsidR="000201C7">
        <w:rPr>
          <w:rFonts w:ascii="Avenir Next" w:hAnsi="Avenir Next" w:cs="Arial"/>
          <w:color w:val="7B7B7B" w:themeColor="accent3" w:themeShade="BF"/>
          <w:sz w:val="22"/>
          <w:szCs w:val="22"/>
          <w:lang w:val="en-GB"/>
        </w:rPr>
        <w:t>niversalism</w:t>
      </w:r>
      <w:r w:rsidR="00917DD4">
        <w:rPr>
          <w:rFonts w:ascii="Avenir Next" w:hAnsi="Avenir Next" w:cs="Arial"/>
          <w:color w:val="7B7B7B" w:themeColor="accent3" w:themeShade="BF"/>
          <w:sz w:val="22"/>
          <w:szCs w:val="22"/>
          <w:lang w:val="en-GB"/>
        </w:rPr>
        <w:t xml:space="preserve">, in its purest sense means </w:t>
      </w:r>
      <w:r w:rsidR="00E21585">
        <w:rPr>
          <w:rFonts w:ascii="Avenir Next" w:hAnsi="Avenir Next" w:cs="Arial"/>
          <w:color w:val="7B7B7B" w:themeColor="accent3" w:themeShade="BF"/>
          <w:sz w:val="22"/>
          <w:szCs w:val="22"/>
          <w:lang w:val="en-GB"/>
        </w:rPr>
        <w:t xml:space="preserve">one court, one law </w:t>
      </w:r>
      <w:r w:rsidR="00624E8F">
        <w:rPr>
          <w:rFonts w:ascii="Avenir Next" w:hAnsi="Avenir Next" w:cs="Arial"/>
          <w:color w:val="7B7B7B" w:themeColor="accent3" w:themeShade="BF"/>
          <w:sz w:val="22"/>
          <w:szCs w:val="22"/>
          <w:lang w:val="en-GB"/>
        </w:rPr>
        <w:t>and at times one proceeding and one estate</w:t>
      </w:r>
      <w:r w:rsidR="00917DD4">
        <w:rPr>
          <w:rStyle w:val="FootnoteReference"/>
          <w:rFonts w:ascii="Avenir Next" w:hAnsi="Avenir Next" w:cs="Arial"/>
          <w:color w:val="7B7B7B" w:themeColor="accent3" w:themeShade="BF"/>
          <w:sz w:val="22"/>
          <w:szCs w:val="22"/>
          <w:lang w:val="en-GB"/>
        </w:rPr>
        <w:footnoteReference w:id="3"/>
      </w:r>
      <w:r w:rsidR="002123B9">
        <w:rPr>
          <w:rFonts w:ascii="Avenir Next" w:hAnsi="Avenir Next" w:cs="Arial"/>
          <w:color w:val="7B7B7B" w:themeColor="accent3" w:themeShade="BF"/>
          <w:sz w:val="22"/>
          <w:szCs w:val="22"/>
          <w:lang w:val="en-GB"/>
        </w:rPr>
        <w:t>. However, even if it goes on to acknowledge the ‘cross-border’ aspect of insolvencies better than the ‘ter</w:t>
      </w:r>
      <w:r w:rsidR="00182CFB">
        <w:rPr>
          <w:rFonts w:ascii="Avenir Next" w:hAnsi="Avenir Next" w:cs="Arial"/>
          <w:color w:val="7B7B7B" w:themeColor="accent3" w:themeShade="BF"/>
          <w:sz w:val="22"/>
          <w:szCs w:val="22"/>
          <w:lang w:val="en-GB"/>
        </w:rPr>
        <w:t xml:space="preserve">ritorial’ model, the same is said to be impractical </w:t>
      </w:r>
      <w:r w:rsidR="002E1DD9">
        <w:rPr>
          <w:rFonts w:ascii="Avenir Next" w:hAnsi="Avenir Next" w:cs="Arial"/>
          <w:color w:val="7B7B7B" w:themeColor="accent3" w:themeShade="BF"/>
          <w:sz w:val="22"/>
          <w:szCs w:val="22"/>
          <w:lang w:val="en-GB"/>
        </w:rPr>
        <w:t xml:space="preserve">as it implies a surrender of </w:t>
      </w:r>
      <w:r w:rsidR="00C30F37">
        <w:rPr>
          <w:rFonts w:ascii="Avenir Next" w:hAnsi="Avenir Next" w:cs="Arial"/>
          <w:color w:val="7B7B7B" w:themeColor="accent3" w:themeShade="BF"/>
          <w:sz w:val="22"/>
          <w:szCs w:val="22"/>
          <w:lang w:val="en-GB"/>
        </w:rPr>
        <w:t>sovereignty by judicial member nations and states.  On the other hand, ‘modified universalism, is when the strict universalism model is applied with some,</w:t>
      </w:r>
      <w:r w:rsidR="00835E28">
        <w:rPr>
          <w:rFonts w:ascii="Avenir Next" w:hAnsi="Avenir Next" w:cs="Arial"/>
          <w:color w:val="7B7B7B" w:themeColor="accent3" w:themeShade="BF"/>
          <w:sz w:val="22"/>
          <w:szCs w:val="22"/>
          <w:lang w:val="en-GB"/>
        </w:rPr>
        <w:t xml:space="preserve"> restrictions or exceptions. </w:t>
      </w:r>
      <w:r w:rsidR="00522A74">
        <w:rPr>
          <w:rFonts w:ascii="Avenir Next" w:hAnsi="Avenir Next" w:cs="Arial"/>
          <w:color w:val="7B7B7B" w:themeColor="accent3" w:themeShade="BF"/>
          <w:sz w:val="22"/>
          <w:szCs w:val="22"/>
          <w:lang w:val="en-GB"/>
        </w:rPr>
        <w:t xml:space="preserve">Modified universal </w:t>
      </w:r>
      <w:r w:rsidR="00522A74" w:rsidRPr="00522A74">
        <w:rPr>
          <w:rFonts w:ascii="Avenir Next" w:hAnsi="Avenir Next" w:cs="Arial"/>
          <w:color w:val="7B7B7B" w:themeColor="accent3" w:themeShade="BF"/>
          <w:sz w:val="22"/>
          <w:szCs w:val="22"/>
          <w:lang w:val="en-GB"/>
        </w:rPr>
        <w:t>insolvency retains insolvency sovereignty, but encourages a cooperative approach</w:t>
      </w:r>
      <w:r w:rsidR="00522A74">
        <w:rPr>
          <w:rStyle w:val="FootnoteReference"/>
          <w:rFonts w:ascii="Avenir Next" w:hAnsi="Avenir Next" w:cs="Arial"/>
          <w:color w:val="7B7B7B" w:themeColor="accent3" w:themeShade="BF"/>
          <w:sz w:val="22"/>
          <w:szCs w:val="22"/>
          <w:lang w:val="en-GB"/>
        </w:rPr>
        <w:footnoteReference w:id="4"/>
      </w:r>
      <w:r w:rsidR="00522A74" w:rsidRPr="00522A74">
        <w:rPr>
          <w:rFonts w:ascii="Avenir Next" w:hAnsi="Avenir Next" w:cs="Arial"/>
          <w:color w:val="7B7B7B" w:themeColor="accent3" w:themeShade="BF"/>
          <w:sz w:val="22"/>
          <w:szCs w:val="22"/>
          <w:lang w:val="en-GB"/>
        </w:rPr>
        <w:t>.</w:t>
      </w:r>
      <w:r w:rsidR="00E15C50">
        <w:rPr>
          <w:rFonts w:ascii="Avenir Next" w:hAnsi="Avenir Next" w:cs="Arial"/>
          <w:color w:val="7B7B7B" w:themeColor="accent3" w:themeShade="BF"/>
          <w:sz w:val="22"/>
          <w:szCs w:val="22"/>
          <w:lang w:val="en-GB"/>
        </w:rPr>
        <w:t xml:space="preserve"> </w:t>
      </w:r>
      <w:r w:rsidR="00E15C50" w:rsidRPr="00E15C50">
        <w:rPr>
          <w:rFonts w:ascii="Avenir Next" w:hAnsi="Avenir Next" w:cs="Arial"/>
          <w:color w:val="7B7B7B" w:themeColor="accent3" w:themeShade="BF"/>
          <w:sz w:val="22"/>
          <w:szCs w:val="22"/>
          <w:lang w:val="en-GB"/>
        </w:rPr>
        <w:t xml:space="preserve">The idea of modified universalism arrives as a compromise between universalistic ambitions and the safeguards </w:t>
      </w:r>
      <w:r w:rsidR="00E15C50" w:rsidRPr="00E15C50">
        <w:rPr>
          <w:rFonts w:ascii="Avenir Next" w:hAnsi="Avenir Next" w:cs="Arial"/>
          <w:color w:val="7B7B7B" w:themeColor="accent3" w:themeShade="BF"/>
          <w:sz w:val="22"/>
          <w:szCs w:val="22"/>
          <w:lang w:val="en-GB"/>
        </w:rPr>
        <w:lastRenderedPageBreak/>
        <w:t>and sovereignty typical of the territorial approach</w:t>
      </w:r>
      <w:r w:rsidR="00E15C50">
        <w:rPr>
          <w:rStyle w:val="FootnoteReference"/>
          <w:rFonts w:ascii="Avenir Next" w:hAnsi="Avenir Next" w:cs="Arial"/>
          <w:color w:val="7B7B7B" w:themeColor="accent3" w:themeShade="BF"/>
          <w:sz w:val="22"/>
          <w:szCs w:val="22"/>
          <w:lang w:val="en-GB"/>
        </w:rPr>
        <w:footnoteReference w:id="5"/>
      </w:r>
      <w:r w:rsidR="00E15C50">
        <w:rPr>
          <w:rFonts w:ascii="Avenir Next" w:hAnsi="Avenir Next" w:cs="Arial"/>
          <w:color w:val="7B7B7B" w:themeColor="accent3" w:themeShade="BF"/>
          <w:sz w:val="22"/>
          <w:szCs w:val="22"/>
          <w:lang w:val="en-GB"/>
        </w:rPr>
        <w:t>.</w:t>
      </w:r>
      <w:r w:rsidR="00031424">
        <w:rPr>
          <w:rFonts w:ascii="Avenir Next" w:hAnsi="Avenir Next" w:cs="Arial"/>
          <w:color w:val="7B7B7B" w:themeColor="accent3" w:themeShade="BF"/>
          <w:sz w:val="22"/>
          <w:szCs w:val="22"/>
          <w:lang w:val="en-GB"/>
        </w:rPr>
        <w:t xml:space="preserve"> The three instance</w:t>
      </w:r>
      <w:r w:rsidR="00354E85">
        <w:rPr>
          <w:rFonts w:ascii="Avenir Next" w:hAnsi="Avenir Next" w:cs="Arial"/>
          <w:color w:val="7B7B7B" w:themeColor="accent3" w:themeShade="BF"/>
          <w:sz w:val="22"/>
          <w:szCs w:val="22"/>
          <w:lang w:val="en-GB"/>
        </w:rPr>
        <w:t xml:space="preserve">s which </w:t>
      </w:r>
      <w:r w:rsidR="004A1908">
        <w:rPr>
          <w:rFonts w:ascii="Avenir Next" w:hAnsi="Avenir Next" w:cs="Arial"/>
          <w:color w:val="7B7B7B" w:themeColor="accent3" w:themeShade="BF"/>
          <w:sz w:val="22"/>
          <w:szCs w:val="22"/>
          <w:lang w:val="en-GB"/>
        </w:rPr>
        <w:t>highlights that modified universalism approach of the EIR Recast is as follows:</w:t>
      </w:r>
    </w:p>
    <w:p w14:paraId="1F95A8F2" w14:textId="77777777" w:rsidR="004A1908" w:rsidRDefault="004A1908" w:rsidP="00E424E1">
      <w:pPr>
        <w:jc w:val="both"/>
        <w:rPr>
          <w:rFonts w:ascii="Avenir Next" w:hAnsi="Avenir Next" w:cs="Arial"/>
          <w:color w:val="7B7B7B" w:themeColor="accent3" w:themeShade="BF"/>
          <w:sz w:val="22"/>
          <w:szCs w:val="22"/>
          <w:lang w:val="en-GB"/>
        </w:rPr>
      </w:pPr>
    </w:p>
    <w:p w14:paraId="6948B395" w14:textId="6F74AB03" w:rsidR="00E90991" w:rsidRPr="00916223" w:rsidRDefault="00AB063E" w:rsidP="00831D8F">
      <w:pPr>
        <w:pStyle w:val="ListParagraph"/>
        <w:numPr>
          <w:ilvl w:val="0"/>
          <w:numId w:val="31"/>
        </w:numPr>
        <w:ind w:hanging="720"/>
        <w:jc w:val="both"/>
        <w:rPr>
          <w:rFonts w:ascii="Avenir Next" w:hAnsi="Avenir Next" w:cs="Arial"/>
          <w:color w:val="808080" w:themeColor="background1" w:themeShade="80"/>
          <w:sz w:val="22"/>
          <w:szCs w:val="22"/>
          <w:lang w:val="en-GB"/>
        </w:rPr>
      </w:pPr>
      <w:r w:rsidRPr="00916223">
        <w:rPr>
          <w:rFonts w:ascii="Avenir Next" w:hAnsi="Avenir Next" w:cs="Arial"/>
          <w:b/>
          <w:bCs/>
          <w:color w:val="808080" w:themeColor="background1" w:themeShade="80"/>
          <w:sz w:val="22"/>
          <w:szCs w:val="22"/>
          <w:lang w:val="en-GB"/>
        </w:rPr>
        <w:t>Main and Secondary Proceedings</w:t>
      </w:r>
      <w:r w:rsidRPr="00916223">
        <w:rPr>
          <w:rFonts w:ascii="Avenir Next" w:hAnsi="Avenir Next" w:cs="Arial"/>
          <w:color w:val="808080" w:themeColor="background1" w:themeShade="80"/>
          <w:sz w:val="22"/>
          <w:szCs w:val="22"/>
          <w:lang w:val="en-GB"/>
        </w:rPr>
        <w:t xml:space="preserve">: </w:t>
      </w:r>
      <w:r w:rsidR="00095EB8" w:rsidRPr="00916223">
        <w:rPr>
          <w:rFonts w:ascii="Avenir Next" w:hAnsi="Avenir Next" w:cs="Arial"/>
          <w:color w:val="808080" w:themeColor="background1" w:themeShade="80"/>
          <w:sz w:val="22"/>
          <w:szCs w:val="22"/>
          <w:lang w:val="en-GB"/>
        </w:rPr>
        <w:t xml:space="preserve">As per Article 3(1) of the EIR Recast 2015, </w:t>
      </w:r>
      <w:r w:rsidR="008D6A38" w:rsidRPr="00916223">
        <w:rPr>
          <w:rFonts w:ascii="Avenir Next" w:hAnsi="Avenir Next" w:cs="Arial"/>
          <w:color w:val="808080" w:themeColor="background1" w:themeShade="80"/>
          <w:sz w:val="22"/>
          <w:szCs w:val="22"/>
          <w:lang w:val="en-GB"/>
        </w:rPr>
        <w:t xml:space="preserve">main insolvency proceedings can be opened in a European jurisdiction (except Denmark), where the debtor has its </w:t>
      </w:r>
      <w:r w:rsidR="00F97D35" w:rsidRPr="00916223">
        <w:rPr>
          <w:rFonts w:ascii="Avenir Next" w:hAnsi="Avenir Next" w:cs="Arial"/>
          <w:color w:val="808080" w:themeColor="background1" w:themeShade="80"/>
          <w:sz w:val="22"/>
          <w:szCs w:val="22"/>
          <w:lang w:val="en-GB"/>
        </w:rPr>
        <w:t>centre of main interest (COMI)</w:t>
      </w:r>
      <w:r w:rsidR="00FD70C8" w:rsidRPr="00916223">
        <w:rPr>
          <w:rFonts w:ascii="Avenir Next" w:hAnsi="Avenir Next" w:cs="Arial"/>
          <w:color w:val="808080" w:themeColor="background1" w:themeShade="80"/>
          <w:sz w:val="22"/>
          <w:szCs w:val="22"/>
          <w:lang w:val="en-GB"/>
        </w:rPr>
        <w:t>, which shall extend to all member states other than the states which have opened proceedings in accordance with Article 3(2)</w:t>
      </w:r>
      <w:r w:rsidR="00AD70BC" w:rsidRPr="00916223">
        <w:rPr>
          <w:rFonts w:ascii="Avenir Next" w:hAnsi="Avenir Next" w:cs="Arial"/>
          <w:color w:val="808080" w:themeColor="background1" w:themeShade="80"/>
          <w:sz w:val="22"/>
          <w:szCs w:val="22"/>
          <w:lang w:val="en-GB"/>
        </w:rPr>
        <w:t xml:space="preserve">. </w:t>
      </w:r>
      <w:r w:rsidR="008B21DB" w:rsidRPr="00916223">
        <w:rPr>
          <w:rFonts w:ascii="Avenir Next" w:hAnsi="Avenir Next" w:cs="Arial"/>
          <w:color w:val="808080" w:themeColor="background1" w:themeShade="80"/>
          <w:sz w:val="22"/>
          <w:szCs w:val="22"/>
          <w:lang w:val="en-GB"/>
        </w:rPr>
        <w:t xml:space="preserve">Further, Article 3(2), allows </w:t>
      </w:r>
      <w:r w:rsidR="00111CA1" w:rsidRPr="00916223">
        <w:rPr>
          <w:rFonts w:ascii="Avenir Next" w:hAnsi="Avenir Next" w:cs="Arial"/>
          <w:color w:val="808080" w:themeColor="background1" w:themeShade="80"/>
          <w:sz w:val="22"/>
          <w:szCs w:val="22"/>
          <w:lang w:val="en-GB"/>
        </w:rPr>
        <w:t xml:space="preserve">other </w:t>
      </w:r>
      <w:r w:rsidR="008B21DB" w:rsidRPr="00916223">
        <w:rPr>
          <w:rFonts w:ascii="Avenir Next" w:hAnsi="Avenir Next" w:cs="Arial"/>
          <w:color w:val="808080" w:themeColor="background1" w:themeShade="80"/>
          <w:sz w:val="22"/>
          <w:szCs w:val="22"/>
          <w:lang w:val="en-GB"/>
        </w:rPr>
        <w:t xml:space="preserve">member states, where the debtor has </w:t>
      </w:r>
      <w:r w:rsidR="00111CA1" w:rsidRPr="00916223">
        <w:rPr>
          <w:rFonts w:ascii="Avenir Next" w:hAnsi="Avenir Next" w:cs="Arial"/>
          <w:color w:val="808080" w:themeColor="background1" w:themeShade="80"/>
          <w:sz w:val="22"/>
          <w:szCs w:val="22"/>
          <w:lang w:val="en-GB"/>
        </w:rPr>
        <w:t>an ‘</w:t>
      </w:r>
      <w:r w:rsidR="00FD70C8" w:rsidRPr="00916223">
        <w:rPr>
          <w:rFonts w:ascii="Avenir Next" w:hAnsi="Avenir Next" w:cs="Arial"/>
          <w:color w:val="808080" w:themeColor="background1" w:themeShade="80"/>
          <w:sz w:val="22"/>
          <w:szCs w:val="22"/>
          <w:lang w:val="en-GB"/>
        </w:rPr>
        <w:t>establishment</w:t>
      </w:r>
      <w:r w:rsidR="007665C0" w:rsidRPr="00916223">
        <w:rPr>
          <w:rStyle w:val="FootnoteReference"/>
          <w:rFonts w:ascii="Avenir Next" w:hAnsi="Avenir Next" w:cs="Arial"/>
          <w:color w:val="808080" w:themeColor="background1" w:themeShade="80"/>
          <w:sz w:val="22"/>
          <w:szCs w:val="22"/>
          <w:lang w:val="en-GB"/>
        </w:rPr>
        <w:footnoteReference w:id="6"/>
      </w:r>
      <w:r w:rsidR="00111CA1" w:rsidRPr="00916223">
        <w:rPr>
          <w:rFonts w:ascii="Avenir Next" w:hAnsi="Avenir Next" w:cs="Arial"/>
          <w:color w:val="808080" w:themeColor="background1" w:themeShade="80"/>
          <w:sz w:val="22"/>
          <w:szCs w:val="22"/>
          <w:lang w:val="en-GB"/>
        </w:rPr>
        <w:t>’ (and not COMI), to</w:t>
      </w:r>
      <w:r w:rsidR="00FD70C8" w:rsidRPr="00916223">
        <w:rPr>
          <w:rFonts w:ascii="Avenir Next" w:hAnsi="Avenir Next" w:cs="Arial"/>
          <w:color w:val="808080" w:themeColor="background1" w:themeShade="80"/>
          <w:sz w:val="22"/>
          <w:szCs w:val="22"/>
          <w:lang w:val="en-GB"/>
        </w:rPr>
        <w:t xml:space="preserve"> open what are called ‘secondary proceedings’, </w:t>
      </w:r>
      <w:r w:rsidR="00692AFB" w:rsidRPr="00916223">
        <w:rPr>
          <w:rFonts w:ascii="Avenir Next" w:hAnsi="Avenir Next" w:cs="Arial"/>
          <w:color w:val="808080" w:themeColor="background1" w:themeShade="80"/>
          <w:sz w:val="22"/>
          <w:szCs w:val="22"/>
          <w:lang w:val="en-GB"/>
        </w:rPr>
        <w:t>whose effects are only restricted to that member state.</w:t>
      </w:r>
      <w:r w:rsidR="00111CA1" w:rsidRPr="00916223">
        <w:rPr>
          <w:rFonts w:ascii="Avenir Next" w:hAnsi="Avenir Next" w:cs="Arial"/>
          <w:color w:val="808080" w:themeColor="background1" w:themeShade="80"/>
          <w:sz w:val="22"/>
          <w:szCs w:val="22"/>
          <w:lang w:val="en-GB"/>
        </w:rPr>
        <w:t xml:space="preserve"> </w:t>
      </w:r>
      <w:r w:rsidR="00860653" w:rsidRPr="00916223">
        <w:rPr>
          <w:rFonts w:ascii="Avenir Next" w:hAnsi="Avenir Next" w:cs="Arial"/>
          <w:color w:val="808080" w:themeColor="background1" w:themeShade="80"/>
          <w:sz w:val="22"/>
          <w:szCs w:val="22"/>
          <w:lang w:val="en-GB"/>
        </w:rPr>
        <w:t xml:space="preserve"> </w:t>
      </w:r>
      <w:r w:rsidR="002F4423" w:rsidRPr="00916223">
        <w:rPr>
          <w:rFonts w:ascii="Avenir Next" w:hAnsi="Avenir Next" w:cs="Arial"/>
          <w:color w:val="808080" w:themeColor="background1" w:themeShade="80"/>
          <w:sz w:val="22"/>
          <w:szCs w:val="22"/>
          <w:lang w:val="en-GB"/>
        </w:rPr>
        <w:t>The insolvency practitioner in the main proceedings has the dominant role and has several possibilities open to them for intervening in secondary insolvency proceedings</w:t>
      </w:r>
      <w:r w:rsidR="002F4423" w:rsidRPr="00916223">
        <w:rPr>
          <w:rStyle w:val="FootnoteReference"/>
          <w:rFonts w:ascii="Avenir Next" w:hAnsi="Avenir Next" w:cs="Arial"/>
          <w:color w:val="808080" w:themeColor="background1" w:themeShade="80"/>
          <w:sz w:val="22"/>
          <w:szCs w:val="22"/>
          <w:lang w:val="en-GB"/>
        </w:rPr>
        <w:footnoteReference w:id="7"/>
      </w:r>
      <w:r w:rsidR="002F4423" w:rsidRPr="00916223">
        <w:rPr>
          <w:rFonts w:ascii="Avenir Next" w:hAnsi="Avenir Next" w:cs="Arial"/>
          <w:color w:val="808080" w:themeColor="background1" w:themeShade="80"/>
          <w:sz w:val="22"/>
          <w:szCs w:val="22"/>
          <w:lang w:val="en-GB"/>
        </w:rPr>
        <w:t xml:space="preserve">, and hence in that sense is a modified version of universalism. </w:t>
      </w:r>
    </w:p>
    <w:p w14:paraId="21B1AE5C" w14:textId="77777777" w:rsidR="007A7409" w:rsidRPr="00916223" w:rsidRDefault="007A7409" w:rsidP="007A7409">
      <w:pPr>
        <w:pStyle w:val="ListParagraph"/>
        <w:jc w:val="both"/>
        <w:rPr>
          <w:rFonts w:ascii="Avenir Next" w:hAnsi="Avenir Next" w:cs="Arial"/>
          <w:color w:val="808080" w:themeColor="background1" w:themeShade="80"/>
          <w:sz w:val="22"/>
          <w:szCs w:val="22"/>
          <w:lang w:val="en-GB"/>
        </w:rPr>
      </w:pPr>
    </w:p>
    <w:p w14:paraId="2F5B7CE3" w14:textId="270899D6" w:rsidR="00C835AC" w:rsidRPr="00916223" w:rsidRDefault="00B642B8" w:rsidP="00F81B44">
      <w:pPr>
        <w:pStyle w:val="ListParagraph"/>
        <w:numPr>
          <w:ilvl w:val="0"/>
          <w:numId w:val="31"/>
        </w:numPr>
        <w:ind w:hanging="720"/>
        <w:jc w:val="both"/>
        <w:rPr>
          <w:rFonts w:ascii="Avenir Next" w:hAnsi="Avenir Next" w:cs="Arial"/>
          <w:i/>
          <w:iCs/>
          <w:color w:val="808080" w:themeColor="background1" w:themeShade="80"/>
          <w:sz w:val="22"/>
          <w:szCs w:val="22"/>
          <w:lang w:val="en-GB"/>
        </w:rPr>
      </w:pPr>
      <w:r w:rsidRPr="00916223">
        <w:rPr>
          <w:rFonts w:ascii="Avenir Next" w:hAnsi="Avenir Next" w:cs="Arial"/>
          <w:b/>
          <w:bCs/>
          <w:i/>
          <w:iCs/>
          <w:color w:val="808080" w:themeColor="background1" w:themeShade="80"/>
          <w:sz w:val="22"/>
          <w:szCs w:val="22"/>
          <w:lang w:val="en-GB"/>
        </w:rPr>
        <w:t>Lex Fori Concursus</w:t>
      </w:r>
      <w:r w:rsidR="00BF0739" w:rsidRPr="00916223">
        <w:rPr>
          <w:rFonts w:ascii="Avenir Next" w:hAnsi="Avenir Next" w:cs="Arial"/>
          <w:b/>
          <w:bCs/>
          <w:color w:val="808080" w:themeColor="background1" w:themeShade="80"/>
          <w:sz w:val="22"/>
          <w:szCs w:val="22"/>
          <w:lang w:val="en-GB"/>
        </w:rPr>
        <w:t xml:space="preserve"> and </w:t>
      </w:r>
      <w:r w:rsidR="00B24C5A" w:rsidRPr="00916223">
        <w:rPr>
          <w:rFonts w:ascii="Avenir Next" w:hAnsi="Avenir Next" w:cs="Arial"/>
          <w:b/>
          <w:bCs/>
          <w:i/>
          <w:iCs/>
          <w:color w:val="808080" w:themeColor="background1" w:themeShade="80"/>
          <w:sz w:val="22"/>
          <w:szCs w:val="22"/>
          <w:lang w:val="en-GB"/>
        </w:rPr>
        <w:t xml:space="preserve">Lex Concursus </w:t>
      </w:r>
      <w:r w:rsidR="00D27656" w:rsidRPr="00916223">
        <w:rPr>
          <w:rFonts w:ascii="Avenir Next" w:hAnsi="Avenir Next" w:cs="Arial"/>
          <w:b/>
          <w:bCs/>
          <w:i/>
          <w:iCs/>
          <w:color w:val="808080" w:themeColor="background1" w:themeShade="80"/>
          <w:sz w:val="22"/>
          <w:szCs w:val="22"/>
          <w:lang w:val="en-GB"/>
        </w:rPr>
        <w:t>Secundarii</w:t>
      </w:r>
      <w:r w:rsidR="00D27656" w:rsidRPr="00916223">
        <w:rPr>
          <w:rFonts w:ascii="Avenir Next" w:hAnsi="Avenir Next" w:cs="Arial"/>
          <w:color w:val="808080" w:themeColor="background1" w:themeShade="80"/>
          <w:sz w:val="22"/>
          <w:szCs w:val="22"/>
          <w:lang w:val="en-GB"/>
        </w:rPr>
        <w:t>:</w:t>
      </w:r>
      <w:r w:rsidR="00B24C5A" w:rsidRPr="00916223">
        <w:rPr>
          <w:rFonts w:ascii="Avenir Next" w:hAnsi="Avenir Next" w:cs="Arial"/>
          <w:color w:val="808080" w:themeColor="background1" w:themeShade="80"/>
          <w:sz w:val="22"/>
          <w:szCs w:val="22"/>
          <w:lang w:val="en-GB"/>
        </w:rPr>
        <w:t xml:space="preserve"> In furtherance to Article </w:t>
      </w:r>
      <w:r w:rsidR="00A27895" w:rsidRPr="00916223">
        <w:rPr>
          <w:rFonts w:ascii="Avenir Next" w:hAnsi="Avenir Next" w:cs="Arial"/>
          <w:color w:val="808080" w:themeColor="background1" w:themeShade="80"/>
          <w:sz w:val="22"/>
          <w:szCs w:val="22"/>
          <w:lang w:val="en-GB"/>
        </w:rPr>
        <w:t xml:space="preserve">7(1), we understand that </w:t>
      </w:r>
      <w:r w:rsidR="00F006D3" w:rsidRPr="00916223">
        <w:rPr>
          <w:rFonts w:ascii="Avenir Next" w:hAnsi="Avenir Next" w:cs="Arial"/>
          <w:color w:val="808080" w:themeColor="background1" w:themeShade="80"/>
          <w:sz w:val="22"/>
          <w:szCs w:val="22"/>
          <w:lang w:val="en-GB"/>
        </w:rPr>
        <w:t>the law applicable to insolvency proceedings and ever</w:t>
      </w:r>
      <w:r w:rsidR="004E2395" w:rsidRPr="00916223">
        <w:rPr>
          <w:rFonts w:ascii="Avenir Next" w:hAnsi="Avenir Next" w:cs="Arial"/>
          <w:color w:val="808080" w:themeColor="background1" w:themeShade="80"/>
          <w:sz w:val="22"/>
          <w:szCs w:val="22"/>
          <w:lang w:val="en-GB"/>
        </w:rPr>
        <w:t xml:space="preserve">ything stemming </w:t>
      </w:r>
      <w:r w:rsidR="00573C7A" w:rsidRPr="00916223">
        <w:rPr>
          <w:rFonts w:ascii="Avenir Next" w:hAnsi="Avenir Next" w:cs="Arial"/>
          <w:color w:val="808080" w:themeColor="background1" w:themeShade="80"/>
          <w:sz w:val="22"/>
          <w:szCs w:val="22"/>
          <w:lang w:val="en-GB"/>
        </w:rPr>
        <w:t>therefrom</w:t>
      </w:r>
      <w:r w:rsidR="004E2395" w:rsidRPr="00916223">
        <w:rPr>
          <w:rFonts w:ascii="Avenir Next" w:hAnsi="Avenir Next" w:cs="Arial"/>
          <w:color w:val="808080" w:themeColor="background1" w:themeShade="80"/>
          <w:sz w:val="22"/>
          <w:szCs w:val="22"/>
          <w:lang w:val="en-GB"/>
        </w:rPr>
        <w:t xml:space="preserve"> will be dealt with the law of that member state, where the proceedings have been opened. Hence. </w:t>
      </w:r>
      <w:r w:rsidR="00D72FC5" w:rsidRPr="00916223">
        <w:rPr>
          <w:rFonts w:ascii="Avenir Next" w:hAnsi="Avenir Next" w:cs="Arial"/>
          <w:i/>
          <w:iCs/>
          <w:color w:val="808080" w:themeColor="background1" w:themeShade="80"/>
          <w:sz w:val="22"/>
          <w:szCs w:val="22"/>
          <w:lang w:val="en-GB"/>
        </w:rPr>
        <w:t>Lex Fori Concursus</w:t>
      </w:r>
      <w:r w:rsidR="00D72FC5" w:rsidRPr="00916223">
        <w:rPr>
          <w:rFonts w:ascii="Avenir Next" w:hAnsi="Avenir Next" w:cs="Arial"/>
          <w:color w:val="808080" w:themeColor="background1" w:themeShade="80"/>
          <w:sz w:val="22"/>
          <w:szCs w:val="22"/>
          <w:lang w:val="en-GB"/>
        </w:rPr>
        <w:t xml:space="preserve"> will be the applicable law (which is the law applicable to main insolvency proceedings</w:t>
      </w:r>
      <w:r w:rsidR="00F81B44" w:rsidRPr="00916223">
        <w:rPr>
          <w:rFonts w:ascii="Avenir Next" w:hAnsi="Avenir Next" w:cs="Arial"/>
          <w:color w:val="808080" w:themeColor="background1" w:themeShade="80"/>
          <w:sz w:val="22"/>
          <w:szCs w:val="22"/>
          <w:lang w:val="en-GB"/>
        </w:rPr>
        <w:t xml:space="preserve">) in all the other member states, other than in the ones which have secondary proceedings, where the </w:t>
      </w:r>
      <w:r w:rsidR="00F81B44" w:rsidRPr="00916223">
        <w:rPr>
          <w:rFonts w:ascii="Avenir Next" w:hAnsi="Avenir Next" w:cs="Arial"/>
          <w:i/>
          <w:iCs/>
          <w:color w:val="808080" w:themeColor="background1" w:themeShade="80"/>
          <w:sz w:val="22"/>
          <w:szCs w:val="22"/>
          <w:lang w:val="en-GB"/>
        </w:rPr>
        <w:t xml:space="preserve">Lex Concursus Secundarii </w:t>
      </w:r>
      <w:r w:rsidR="00F81B44" w:rsidRPr="00916223">
        <w:rPr>
          <w:rFonts w:ascii="Avenir Next" w:hAnsi="Avenir Next" w:cs="Arial"/>
          <w:color w:val="808080" w:themeColor="background1" w:themeShade="80"/>
          <w:sz w:val="22"/>
          <w:szCs w:val="22"/>
          <w:lang w:val="en-GB"/>
        </w:rPr>
        <w:t xml:space="preserve">will be applicable. As mentioned </w:t>
      </w:r>
      <w:r w:rsidR="00EA6215" w:rsidRPr="00916223">
        <w:rPr>
          <w:rFonts w:ascii="Avenir Next" w:hAnsi="Avenir Next" w:cs="Arial"/>
          <w:color w:val="808080" w:themeColor="background1" w:themeShade="80"/>
          <w:sz w:val="22"/>
          <w:szCs w:val="22"/>
          <w:lang w:val="en-GB"/>
        </w:rPr>
        <w:t>above, this is a departure from pure universalism</w:t>
      </w:r>
      <w:r w:rsidR="00543638" w:rsidRPr="00916223">
        <w:rPr>
          <w:rFonts w:ascii="Avenir Next" w:hAnsi="Avenir Next" w:cs="Arial"/>
          <w:color w:val="808080" w:themeColor="background1" w:themeShade="80"/>
          <w:sz w:val="22"/>
          <w:szCs w:val="22"/>
          <w:lang w:val="en-GB"/>
        </w:rPr>
        <w:t xml:space="preserve">, but still keeping the </w:t>
      </w:r>
      <w:r w:rsidR="00543638" w:rsidRPr="00916223">
        <w:rPr>
          <w:rFonts w:ascii="Avenir Next" w:hAnsi="Avenir Next" w:cs="Arial"/>
          <w:i/>
          <w:iCs/>
          <w:color w:val="808080" w:themeColor="background1" w:themeShade="80"/>
          <w:sz w:val="22"/>
          <w:szCs w:val="22"/>
          <w:lang w:val="en-GB"/>
        </w:rPr>
        <w:t xml:space="preserve">Lex Fori Concursus </w:t>
      </w:r>
      <w:r w:rsidR="00543638" w:rsidRPr="00916223">
        <w:rPr>
          <w:rFonts w:ascii="Avenir Next" w:hAnsi="Avenir Next" w:cs="Arial"/>
          <w:color w:val="808080" w:themeColor="background1" w:themeShade="80"/>
          <w:sz w:val="22"/>
          <w:szCs w:val="22"/>
          <w:lang w:val="en-GB"/>
        </w:rPr>
        <w:t xml:space="preserve">as so to speak, a notch dominant. </w:t>
      </w:r>
    </w:p>
    <w:p w14:paraId="4E60C81E" w14:textId="77777777" w:rsidR="00543638" w:rsidRPr="00916223" w:rsidRDefault="00543638" w:rsidP="00543638">
      <w:pPr>
        <w:pStyle w:val="ListParagraph"/>
        <w:rPr>
          <w:rFonts w:ascii="Avenir Next" w:hAnsi="Avenir Next" w:cs="Arial"/>
          <w:i/>
          <w:iCs/>
          <w:color w:val="808080" w:themeColor="background1" w:themeShade="80"/>
          <w:sz w:val="22"/>
          <w:szCs w:val="22"/>
          <w:lang w:val="en-GB"/>
        </w:rPr>
      </w:pPr>
    </w:p>
    <w:p w14:paraId="5B1EF9C4" w14:textId="12A404BE" w:rsidR="00543638" w:rsidRPr="00916223" w:rsidRDefault="00833293" w:rsidP="00F81B44">
      <w:pPr>
        <w:pStyle w:val="ListParagraph"/>
        <w:numPr>
          <w:ilvl w:val="0"/>
          <w:numId w:val="31"/>
        </w:numPr>
        <w:ind w:hanging="720"/>
        <w:jc w:val="both"/>
        <w:rPr>
          <w:rFonts w:ascii="Avenir Next" w:hAnsi="Avenir Next" w:cs="Arial"/>
          <w:i/>
          <w:iCs/>
          <w:color w:val="808080" w:themeColor="background1" w:themeShade="80"/>
          <w:sz w:val="22"/>
          <w:szCs w:val="22"/>
          <w:lang w:val="en-GB"/>
        </w:rPr>
      </w:pPr>
      <w:r w:rsidRPr="00916223">
        <w:rPr>
          <w:rFonts w:ascii="Avenir Next" w:hAnsi="Avenir Next" w:cs="Arial"/>
          <w:b/>
          <w:bCs/>
          <w:color w:val="808080" w:themeColor="background1" w:themeShade="80"/>
          <w:sz w:val="22"/>
          <w:szCs w:val="22"/>
          <w:lang w:val="en-GB"/>
        </w:rPr>
        <w:t>Coordination and Cooperation</w:t>
      </w:r>
      <w:r w:rsidRPr="00916223">
        <w:rPr>
          <w:rFonts w:ascii="Avenir Next" w:hAnsi="Avenir Next" w:cs="Arial"/>
          <w:color w:val="808080" w:themeColor="background1" w:themeShade="80"/>
          <w:sz w:val="22"/>
          <w:szCs w:val="22"/>
          <w:lang w:val="en-GB"/>
        </w:rPr>
        <w:t xml:space="preserve">: </w:t>
      </w:r>
      <w:r w:rsidR="001A0D52" w:rsidRPr="00916223">
        <w:rPr>
          <w:rFonts w:ascii="Arial" w:hAnsi="Arial" w:cs="Arial"/>
          <w:color w:val="808080" w:themeColor="background1" w:themeShade="80"/>
          <w:sz w:val="23"/>
          <w:szCs w:val="23"/>
          <w:shd w:val="clear" w:color="auto" w:fill="FFFFFF"/>
        </w:rPr>
        <w:t> </w:t>
      </w:r>
      <w:r w:rsidR="001A0D52" w:rsidRPr="00916223">
        <w:rPr>
          <w:rFonts w:ascii="Avenir Next" w:hAnsi="Avenir Next" w:cs="Arial"/>
          <w:color w:val="808080" w:themeColor="background1" w:themeShade="80"/>
          <w:sz w:val="22"/>
          <w:szCs w:val="22"/>
          <w:lang w:val="en-GB"/>
        </w:rPr>
        <w:t>This concept both focuses on a certain conflict-of-laws rule or norm of private international law, and appeals to interrelated main and secondary insolvency proceedings coordinated by courts and insolvency practitioners, in line with their respective duties.</w:t>
      </w:r>
      <w:r w:rsidR="001A0D52" w:rsidRPr="00916223">
        <w:rPr>
          <w:rStyle w:val="FootnoteReference"/>
          <w:rFonts w:ascii="Avenir Next" w:hAnsi="Avenir Next" w:cs="Arial"/>
          <w:color w:val="808080" w:themeColor="background1" w:themeShade="80"/>
          <w:sz w:val="22"/>
          <w:szCs w:val="22"/>
          <w:lang w:val="en-GB"/>
        </w:rPr>
        <w:footnoteReference w:id="8"/>
      </w:r>
      <w:r w:rsidR="004D0F0C" w:rsidRPr="00916223">
        <w:rPr>
          <w:rFonts w:ascii="Avenir Next" w:hAnsi="Avenir Next" w:cs="Arial"/>
          <w:color w:val="808080" w:themeColor="background1" w:themeShade="80"/>
          <w:sz w:val="22"/>
          <w:szCs w:val="22"/>
          <w:lang w:val="en-GB"/>
        </w:rPr>
        <w:t xml:space="preserve"> It is only natural that for a smooth parallel functioning of the various insolvency proceedings in relation to one debtor, must require a high degree of </w:t>
      </w:r>
      <w:r w:rsidR="009D4E31" w:rsidRPr="00916223">
        <w:rPr>
          <w:rFonts w:ascii="Avenir Next" w:hAnsi="Avenir Next" w:cs="Arial"/>
          <w:color w:val="808080" w:themeColor="background1" w:themeShade="80"/>
          <w:sz w:val="22"/>
          <w:szCs w:val="22"/>
          <w:lang w:val="en-GB"/>
        </w:rPr>
        <w:t>coordination</w:t>
      </w:r>
      <w:r w:rsidR="00B8353D">
        <w:rPr>
          <w:rStyle w:val="FootnoteReference"/>
          <w:rFonts w:ascii="Avenir Next" w:hAnsi="Avenir Next" w:cs="Arial"/>
          <w:color w:val="808080" w:themeColor="background1" w:themeShade="80"/>
          <w:sz w:val="22"/>
          <w:szCs w:val="22"/>
          <w:lang w:val="en-GB"/>
        </w:rPr>
        <w:footnoteReference w:id="9"/>
      </w:r>
      <w:r w:rsidR="009D4E31" w:rsidRPr="00916223">
        <w:rPr>
          <w:rFonts w:ascii="Avenir Next" w:hAnsi="Avenir Next" w:cs="Arial"/>
          <w:color w:val="808080" w:themeColor="background1" w:themeShade="80"/>
          <w:sz w:val="22"/>
          <w:szCs w:val="22"/>
          <w:lang w:val="en-GB"/>
        </w:rPr>
        <w:t>. The EIR Recast introduces various provisions</w:t>
      </w:r>
      <w:r w:rsidR="002D5070" w:rsidRPr="00916223">
        <w:rPr>
          <w:rFonts w:ascii="Avenir Next" w:hAnsi="Avenir Next" w:cs="Arial"/>
          <w:color w:val="808080" w:themeColor="background1" w:themeShade="80"/>
          <w:sz w:val="22"/>
          <w:szCs w:val="22"/>
          <w:lang w:val="en-GB"/>
        </w:rPr>
        <w:t xml:space="preserve"> (and there also exist soft laws and best practices), that lay down the protocol for coordination between </w:t>
      </w:r>
      <w:r w:rsidR="00742E9B" w:rsidRPr="00916223">
        <w:rPr>
          <w:rFonts w:ascii="Avenir Next" w:hAnsi="Avenir Next" w:cs="Arial"/>
          <w:color w:val="808080" w:themeColor="background1" w:themeShade="80"/>
          <w:sz w:val="22"/>
          <w:szCs w:val="22"/>
          <w:lang w:val="en-GB"/>
        </w:rPr>
        <w:t xml:space="preserve">two insolvency </w:t>
      </w:r>
      <w:r w:rsidR="00B203A2" w:rsidRPr="00916223">
        <w:rPr>
          <w:rFonts w:ascii="Avenir Next" w:hAnsi="Avenir Next" w:cs="Arial"/>
          <w:color w:val="808080" w:themeColor="background1" w:themeShade="80"/>
          <w:sz w:val="22"/>
          <w:szCs w:val="22"/>
          <w:lang w:val="en-GB"/>
        </w:rPr>
        <w:t>practitioners</w:t>
      </w:r>
      <w:r w:rsidR="00742E9B" w:rsidRPr="00916223">
        <w:rPr>
          <w:rFonts w:ascii="Avenir Next" w:hAnsi="Avenir Next" w:cs="Arial"/>
          <w:color w:val="808080" w:themeColor="background1" w:themeShade="80"/>
          <w:sz w:val="22"/>
          <w:szCs w:val="22"/>
          <w:lang w:val="en-GB"/>
        </w:rPr>
        <w:t xml:space="preserve">, two courts and between insolvency </w:t>
      </w:r>
      <w:r w:rsidR="00B203A2" w:rsidRPr="00916223">
        <w:rPr>
          <w:rFonts w:ascii="Avenir Next" w:hAnsi="Avenir Next" w:cs="Arial"/>
          <w:color w:val="808080" w:themeColor="background1" w:themeShade="80"/>
          <w:sz w:val="22"/>
          <w:szCs w:val="22"/>
          <w:lang w:val="en-GB"/>
        </w:rPr>
        <w:t xml:space="preserve">practitioners </w:t>
      </w:r>
      <w:r w:rsidR="00742E9B" w:rsidRPr="00916223">
        <w:rPr>
          <w:rFonts w:ascii="Avenir Next" w:hAnsi="Avenir Next" w:cs="Arial"/>
          <w:color w:val="808080" w:themeColor="background1" w:themeShade="80"/>
          <w:sz w:val="22"/>
          <w:szCs w:val="22"/>
          <w:lang w:val="en-GB"/>
        </w:rPr>
        <w:t xml:space="preserve">and </w:t>
      </w:r>
      <w:r w:rsidR="00B203A2" w:rsidRPr="00916223">
        <w:rPr>
          <w:rFonts w:ascii="Avenir Next" w:hAnsi="Avenir Next" w:cs="Arial"/>
          <w:color w:val="808080" w:themeColor="background1" w:themeShade="80"/>
          <w:sz w:val="22"/>
          <w:szCs w:val="22"/>
          <w:lang w:val="en-GB"/>
        </w:rPr>
        <w:t>courts.</w:t>
      </w:r>
    </w:p>
    <w:p w14:paraId="69B47ABD" w14:textId="77777777" w:rsidR="00916223" w:rsidRPr="00916223" w:rsidRDefault="00916223" w:rsidP="00916223">
      <w:pPr>
        <w:pStyle w:val="ListParagraph"/>
        <w:rPr>
          <w:rFonts w:ascii="Avenir Next" w:hAnsi="Avenir Next" w:cs="Arial"/>
          <w:i/>
          <w:iCs/>
          <w:color w:val="808080" w:themeColor="background1" w:themeShade="80"/>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78DB9FD8" w14:textId="3EF941C9" w:rsidR="00C72848" w:rsidRPr="00E844BE" w:rsidRDefault="004809D4" w:rsidP="004809D4">
      <w:pPr>
        <w:pStyle w:val="ListParagraph"/>
        <w:numPr>
          <w:ilvl w:val="0"/>
          <w:numId w:val="32"/>
        </w:numPr>
        <w:jc w:val="both"/>
        <w:rPr>
          <w:rFonts w:ascii="Avenir Next" w:hAnsi="Avenir Next" w:cs="Arial"/>
          <w:color w:val="808080" w:themeColor="background1" w:themeShade="80"/>
          <w:sz w:val="22"/>
          <w:szCs w:val="22"/>
          <w:lang w:val="en-GB"/>
        </w:rPr>
      </w:pPr>
      <w:r w:rsidRPr="00E844BE">
        <w:rPr>
          <w:rFonts w:ascii="Avenir Next" w:hAnsi="Avenir Next" w:cs="Arial"/>
          <w:b/>
          <w:bCs/>
          <w:color w:val="808080" w:themeColor="background1" w:themeShade="80"/>
          <w:sz w:val="22"/>
          <w:szCs w:val="22"/>
          <w:lang w:val="en-GB"/>
        </w:rPr>
        <w:t>Article 41</w:t>
      </w:r>
      <w:r w:rsidRPr="00E844BE">
        <w:rPr>
          <w:rFonts w:ascii="Avenir Next" w:hAnsi="Avenir Next" w:cs="Arial"/>
          <w:color w:val="808080" w:themeColor="background1" w:themeShade="80"/>
          <w:sz w:val="22"/>
          <w:szCs w:val="22"/>
          <w:lang w:val="en-GB"/>
        </w:rPr>
        <w:t xml:space="preserve">: Article 41 mandates the coordination and corporation between insolvency practitioners </w:t>
      </w:r>
      <w:r w:rsidR="00123070" w:rsidRPr="00E844BE">
        <w:rPr>
          <w:rFonts w:ascii="Avenir Next" w:hAnsi="Avenir Next" w:cs="Arial"/>
          <w:color w:val="808080" w:themeColor="background1" w:themeShade="80"/>
          <w:sz w:val="22"/>
          <w:szCs w:val="22"/>
          <w:lang w:val="en-GB"/>
        </w:rPr>
        <w:t xml:space="preserve">in main and secondary proceedings, specifically on the point of any update in the lodging and verification of claims, </w:t>
      </w:r>
      <w:r w:rsidR="00A40E1A" w:rsidRPr="00E844BE">
        <w:rPr>
          <w:rFonts w:ascii="Avenir Next" w:hAnsi="Avenir Next" w:cs="Arial"/>
          <w:color w:val="808080" w:themeColor="background1" w:themeShade="80"/>
          <w:sz w:val="22"/>
          <w:szCs w:val="22"/>
          <w:lang w:val="en-GB"/>
        </w:rPr>
        <w:t>protection of confidential information</w:t>
      </w:r>
      <w:r w:rsidR="00ED596A" w:rsidRPr="00E844BE">
        <w:rPr>
          <w:rFonts w:ascii="Avenir Next" w:hAnsi="Avenir Next" w:cs="Arial"/>
          <w:color w:val="808080" w:themeColor="background1" w:themeShade="80"/>
          <w:sz w:val="22"/>
          <w:szCs w:val="22"/>
          <w:lang w:val="en-GB"/>
        </w:rPr>
        <w:t xml:space="preserve"> and sharing of any and all information which is relevant to the insolvency proceedings</w:t>
      </w:r>
      <w:r w:rsidR="00B344A1" w:rsidRPr="00E844BE">
        <w:rPr>
          <w:rStyle w:val="FootnoteReference"/>
          <w:rFonts w:ascii="Avenir Next" w:hAnsi="Avenir Next" w:cs="Arial"/>
          <w:color w:val="808080" w:themeColor="background1" w:themeShade="80"/>
          <w:sz w:val="22"/>
          <w:szCs w:val="22"/>
          <w:lang w:val="en-GB"/>
        </w:rPr>
        <w:footnoteReference w:id="10"/>
      </w:r>
      <w:r w:rsidR="00ED596A" w:rsidRPr="00E844BE">
        <w:rPr>
          <w:rFonts w:ascii="Avenir Next" w:hAnsi="Avenir Next" w:cs="Arial"/>
          <w:color w:val="808080" w:themeColor="background1" w:themeShade="80"/>
          <w:sz w:val="22"/>
          <w:szCs w:val="22"/>
          <w:lang w:val="en-GB"/>
        </w:rPr>
        <w:t xml:space="preserve">. </w:t>
      </w:r>
      <w:r w:rsidR="00B344A1" w:rsidRPr="00E844BE">
        <w:rPr>
          <w:rFonts w:ascii="Avenir Next" w:hAnsi="Avenir Next" w:cs="Arial"/>
          <w:color w:val="808080" w:themeColor="background1" w:themeShade="80"/>
          <w:sz w:val="22"/>
          <w:szCs w:val="22"/>
          <w:lang w:val="en-GB"/>
        </w:rPr>
        <w:t xml:space="preserve">Under Article </w:t>
      </w:r>
      <w:r w:rsidR="00E81291" w:rsidRPr="00E844BE">
        <w:rPr>
          <w:rFonts w:ascii="Avenir Next" w:hAnsi="Avenir Next" w:cs="Arial"/>
          <w:color w:val="808080" w:themeColor="background1" w:themeShade="80"/>
          <w:sz w:val="22"/>
          <w:szCs w:val="22"/>
          <w:lang w:val="en-GB"/>
        </w:rPr>
        <w:t xml:space="preserve">41(2)(b), </w:t>
      </w:r>
      <w:r w:rsidR="00D1583B" w:rsidRPr="00E844BE">
        <w:rPr>
          <w:rFonts w:ascii="Avenir Next" w:hAnsi="Avenir Next" w:cs="Arial"/>
          <w:color w:val="808080" w:themeColor="background1" w:themeShade="80"/>
          <w:sz w:val="22"/>
          <w:szCs w:val="22"/>
          <w:lang w:val="en-GB"/>
        </w:rPr>
        <w:t xml:space="preserve">the insolvency practitioners are also mandated to collectively explore the possibility </w:t>
      </w:r>
      <w:r w:rsidR="00D1583B" w:rsidRPr="00E844BE">
        <w:rPr>
          <w:rFonts w:ascii="Avenir Next" w:hAnsi="Avenir Next" w:cs="Arial"/>
          <w:color w:val="808080" w:themeColor="background1" w:themeShade="80"/>
          <w:sz w:val="22"/>
          <w:szCs w:val="22"/>
          <w:lang w:val="en-GB"/>
        </w:rPr>
        <w:lastRenderedPageBreak/>
        <w:t xml:space="preserve">of a rescue or a restructuring package, </w:t>
      </w:r>
      <w:r w:rsidR="001F256C" w:rsidRPr="00E844BE">
        <w:rPr>
          <w:rFonts w:ascii="Avenir Next" w:hAnsi="Avenir Next" w:cs="Arial"/>
          <w:color w:val="808080" w:themeColor="background1" w:themeShade="80"/>
          <w:sz w:val="22"/>
          <w:szCs w:val="22"/>
          <w:lang w:val="en-GB"/>
        </w:rPr>
        <w:t xml:space="preserve">if that option is on the table, so as to have a cohesive approach which can lead to maximisation of business enterprise value. Additionally, under Article 41(2)(c), </w:t>
      </w:r>
      <w:r w:rsidR="00E6014E" w:rsidRPr="00E844BE">
        <w:rPr>
          <w:rFonts w:ascii="Avenir Next" w:hAnsi="Avenir Next" w:cs="Arial"/>
          <w:color w:val="808080" w:themeColor="background1" w:themeShade="80"/>
          <w:sz w:val="22"/>
          <w:szCs w:val="22"/>
          <w:lang w:val="en-GB"/>
        </w:rPr>
        <w:t>the insolvency practitioner in the secondary proceedings is obligated to give the practitioner in the main proceedings</w:t>
      </w:r>
      <w:r w:rsidR="00222750" w:rsidRPr="00E844BE">
        <w:rPr>
          <w:rFonts w:ascii="Avenir Next" w:hAnsi="Avenir Next" w:cs="Arial"/>
          <w:color w:val="808080" w:themeColor="background1" w:themeShade="80"/>
          <w:sz w:val="22"/>
          <w:szCs w:val="22"/>
          <w:lang w:val="en-GB"/>
        </w:rPr>
        <w:t xml:space="preserve">, an early opportunity to submit expression of interests </w:t>
      </w:r>
      <w:r w:rsidR="00BE4013" w:rsidRPr="00E844BE">
        <w:rPr>
          <w:rFonts w:ascii="Avenir Next" w:hAnsi="Avenir Next" w:cs="Arial"/>
          <w:color w:val="808080" w:themeColor="background1" w:themeShade="80"/>
          <w:sz w:val="22"/>
          <w:szCs w:val="22"/>
          <w:lang w:val="en-GB"/>
        </w:rPr>
        <w:t>for realisation/use of the debtor</w:t>
      </w:r>
      <w:r w:rsidR="005F5627" w:rsidRPr="00E844BE">
        <w:rPr>
          <w:rFonts w:ascii="Avenir Next" w:hAnsi="Avenir Next" w:cs="Arial"/>
          <w:color w:val="808080" w:themeColor="background1" w:themeShade="80"/>
          <w:sz w:val="22"/>
          <w:szCs w:val="22"/>
          <w:lang w:val="en-GB"/>
        </w:rPr>
        <w:t>’</w:t>
      </w:r>
      <w:r w:rsidR="00BE4013" w:rsidRPr="00E844BE">
        <w:rPr>
          <w:rFonts w:ascii="Avenir Next" w:hAnsi="Avenir Next" w:cs="Arial"/>
          <w:color w:val="808080" w:themeColor="background1" w:themeShade="80"/>
          <w:sz w:val="22"/>
          <w:szCs w:val="22"/>
          <w:lang w:val="en-GB"/>
        </w:rPr>
        <w:t xml:space="preserve">s assets in the said secondary proceedings. </w:t>
      </w:r>
      <w:r w:rsidR="005F5627" w:rsidRPr="00E844BE">
        <w:rPr>
          <w:rFonts w:ascii="Avenir Next" w:hAnsi="Avenir Next" w:cs="Arial"/>
          <w:color w:val="808080" w:themeColor="background1" w:themeShade="80"/>
          <w:sz w:val="22"/>
          <w:szCs w:val="22"/>
          <w:lang w:val="en-GB"/>
        </w:rPr>
        <w:t>The cooperation may take any form, and it is limited only by its compatibility with the local law</w:t>
      </w:r>
      <w:r w:rsidR="008C7CB0">
        <w:rPr>
          <w:rFonts w:ascii="Avenir Next" w:hAnsi="Avenir Next" w:cs="Arial"/>
          <w:color w:val="808080" w:themeColor="background1" w:themeShade="80"/>
          <w:sz w:val="22"/>
          <w:szCs w:val="22"/>
          <w:lang w:val="en-GB"/>
        </w:rPr>
        <w:t>s</w:t>
      </w:r>
      <w:r w:rsidR="005F5627" w:rsidRPr="00E844BE">
        <w:rPr>
          <w:rFonts w:ascii="Avenir Next" w:hAnsi="Avenir Next" w:cs="Arial"/>
          <w:color w:val="808080" w:themeColor="background1" w:themeShade="80"/>
          <w:sz w:val="22"/>
          <w:szCs w:val="22"/>
          <w:lang w:val="en-GB"/>
        </w:rPr>
        <w:t>.</w:t>
      </w:r>
      <w:r w:rsidR="00637D6D" w:rsidRPr="00E844BE">
        <w:rPr>
          <w:rFonts w:ascii="Avenir Next" w:hAnsi="Avenir Next" w:cs="Arial"/>
          <w:color w:val="808080" w:themeColor="background1" w:themeShade="80"/>
          <w:sz w:val="22"/>
          <w:szCs w:val="22"/>
          <w:lang w:val="en-GB"/>
        </w:rPr>
        <w:t xml:space="preserve"> It is further recommended that these acts of coordination can take the nature of ‘protocols</w:t>
      </w:r>
      <w:r w:rsidR="00A15C7C">
        <w:rPr>
          <w:rFonts w:ascii="Avenir Next" w:hAnsi="Avenir Next" w:cs="Arial"/>
          <w:color w:val="808080" w:themeColor="background1" w:themeShade="80"/>
          <w:sz w:val="22"/>
          <w:szCs w:val="22"/>
          <w:lang w:val="en-GB"/>
        </w:rPr>
        <w:t>’</w:t>
      </w:r>
      <w:r w:rsidR="00DE27BE" w:rsidRPr="00E844BE">
        <w:rPr>
          <w:rFonts w:ascii="Avenir Next" w:hAnsi="Avenir Next" w:cs="Arial"/>
          <w:color w:val="808080" w:themeColor="background1" w:themeShade="80"/>
          <w:sz w:val="22"/>
          <w:szCs w:val="22"/>
          <w:lang w:val="en-GB"/>
        </w:rPr>
        <w:t>, which can have case specific or theme</w:t>
      </w:r>
      <w:r w:rsidR="008C7CB0">
        <w:rPr>
          <w:rFonts w:ascii="Avenir Next" w:hAnsi="Avenir Next" w:cs="Arial"/>
          <w:color w:val="808080" w:themeColor="background1" w:themeShade="80"/>
          <w:sz w:val="22"/>
          <w:szCs w:val="22"/>
          <w:lang w:val="en-GB"/>
        </w:rPr>
        <w:t>-</w:t>
      </w:r>
      <w:r w:rsidR="00DE27BE" w:rsidRPr="00E844BE">
        <w:rPr>
          <w:rFonts w:ascii="Avenir Next" w:hAnsi="Avenir Next" w:cs="Arial"/>
          <w:color w:val="808080" w:themeColor="background1" w:themeShade="80"/>
          <w:sz w:val="22"/>
          <w:szCs w:val="22"/>
          <w:lang w:val="en-GB"/>
        </w:rPr>
        <w:t xml:space="preserve">related provisions and can touch on topics such has applicable law, </w:t>
      </w:r>
      <w:r w:rsidR="00C75584" w:rsidRPr="00E844BE">
        <w:rPr>
          <w:rFonts w:ascii="Avenir Next" w:hAnsi="Avenir Next" w:cs="Arial"/>
          <w:color w:val="808080" w:themeColor="background1" w:themeShade="80"/>
          <w:sz w:val="22"/>
          <w:szCs w:val="22"/>
          <w:lang w:val="en-GB"/>
        </w:rPr>
        <w:t xml:space="preserve">independence, administration, priority of proceedings, stays, </w:t>
      </w:r>
      <w:r w:rsidR="000C70FB" w:rsidRPr="00E844BE">
        <w:rPr>
          <w:rFonts w:ascii="Avenir Next" w:hAnsi="Avenir Next" w:cs="Arial"/>
          <w:color w:val="808080" w:themeColor="background1" w:themeShade="80"/>
          <w:sz w:val="22"/>
          <w:szCs w:val="22"/>
          <w:lang w:val="en-GB"/>
        </w:rPr>
        <w:t>communication and notice, option of joint hearing</w:t>
      </w:r>
      <w:r w:rsidR="000A1C66" w:rsidRPr="00E844BE">
        <w:rPr>
          <w:rFonts w:ascii="Avenir Next" w:hAnsi="Avenir Next" w:cs="Arial"/>
          <w:color w:val="808080" w:themeColor="background1" w:themeShade="80"/>
          <w:sz w:val="22"/>
          <w:szCs w:val="22"/>
          <w:lang w:val="en-GB"/>
        </w:rPr>
        <w:t>, treatment of claims, etc.</w:t>
      </w:r>
      <w:r w:rsidR="006323FB" w:rsidRPr="00E844BE">
        <w:rPr>
          <w:rStyle w:val="FootnoteReference"/>
          <w:rFonts w:ascii="Avenir Next" w:hAnsi="Avenir Next" w:cs="Arial"/>
          <w:color w:val="808080" w:themeColor="background1" w:themeShade="80"/>
          <w:sz w:val="22"/>
          <w:szCs w:val="22"/>
          <w:lang w:val="en-GB"/>
        </w:rPr>
        <w:footnoteReference w:id="11"/>
      </w:r>
      <w:r w:rsidR="00795886">
        <w:rPr>
          <w:rFonts w:ascii="Avenir Next" w:hAnsi="Avenir Next" w:cs="Arial"/>
          <w:color w:val="808080" w:themeColor="background1" w:themeShade="80"/>
          <w:sz w:val="22"/>
          <w:szCs w:val="22"/>
          <w:lang w:val="en-GB"/>
        </w:rPr>
        <w:t>.</w:t>
      </w:r>
    </w:p>
    <w:p w14:paraId="41C82291" w14:textId="77777777" w:rsidR="00213028" w:rsidRPr="00E844BE" w:rsidRDefault="00213028" w:rsidP="00213028">
      <w:pPr>
        <w:jc w:val="both"/>
        <w:rPr>
          <w:rFonts w:ascii="Avenir Next" w:hAnsi="Avenir Next" w:cs="Arial"/>
          <w:color w:val="808080" w:themeColor="background1" w:themeShade="80"/>
          <w:sz w:val="22"/>
          <w:szCs w:val="22"/>
          <w:lang w:val="en-GB"/>
        </w:rPr>
      </w:pPr>
    </w:p>
    <w:p w14:paraId="7F5B1E90" w14:textId="251B4FAF" w:rsidR="00213028" w:rsidRDefault="004E7E9B" w:rsidP="00091FE8">
      <w:pPr>
        <w:pStyle w:val="ListParagraph"/>
        <w:numPr>
          <w:ilvl w:val="0"/>
          <w:numId w:val="32"/>
        </w:numPr>
        <w:jc w:val="both"/>
        <w:rPr>
          <w:rFonts w:ascii="Avenir Next" w:hAnsi="Avenir Next" w:cs="Arial"/>
          <w:color w:val="808080" w:themeColor="background1" w:themeShade="80"/>
          <w:sz w:val="22"/>
          <w:szCs w:val="22"/>
          <w:lang w:val="en-GB"/>
        </w:rPr>
      </w:pPr>
      <w:r w:rsidRPr="00E844BE">
        <w:rPr>
          <w:rFonts w:ascii="Avenir Next" w:hAnsi="Avenir Next" w:cs="Arial"/>
          <w:b/>
          <w:bCs/>
          <w:color w:val="808080" w:themeColor="background1" w:themeShade="80"/>
          <w:sz w:val="22"/>
          <w:szCs w:val="22"/>
          <w:lang w:val="en-GB"/>
        </w:rPr>
        <w:t>Article 42</w:t>
      </w:r>
      <w:r w:rsidRPr="00E844BE">
        <w:rPr>
          <w:rFonts w:ascii="Avenir Next" w:hAnsi="Avenir Next" w:cs="Arial"/>
          <w:color w:val="808080" w:themeColor="background1" w:themeShade="80"/>
          <w:sz w:val="22"/>
          <w:szCs w:val="22"/>
          <w:lang w:val="en-GB"/>
        </w:rPr>
        <w:t xml:space="preserve">: The said article of the EIR Recast, mandates </w:t>
      </w:r>
      <w:r w:rsidR="00E844BE">
        <w:rPr>
          <w:rFonts w:ascii="Avenir Next" w:hAnsi="Avenir Next" w:cs="Arial"/>
          <w:color w:val="808080" w:themeColor="background1" w:themeShade="80"/>
          <w:sz w:val="22"/>
          <w:szCs w:val="22"/>
          <w:lang w:val="en-GB"/>
        </w:rPr>
        <w:t>co-operation between the courts invo</w:t>
      </w:r>
      <w:r w:rsidR="00A15C7C">
        <w:rPr>
          <w:rFonts w:ascii="Avenir Next" w:hAnsi="Avenir Next" w:cs="Arial"/>
          <w:color w:val="808080" w:themeColor="background1" w:themeShade="80"/>
          <w:sz w:val="22"/>
          <w:szCs w:val="22"/>
          <w:lang w:val="en-GB"/>
        </w:rPr>
        <w:t>lved</w:t>
      </w:r>
      <w:r w:rsidR="00CB6C31">
        <w:rPr>
          <w:rFonts w:ascii="Avenir Next" w:hAnsi="Avenir Next" w:cs="Arial"/>
          <w:color w:val="808080" w:themeColor="background1" w:themeShade="80"/>
          <w:sz w:val="22"/>
          <w:szCs w:val="22"/>
          <w:lang w:val="en-GB"/>
        </w:rPr>
        <w:t xml:space="preserve"> in either </w:t>
      </w:r>
      <w:r w:rsidR="008C7CB0">
        <w:rPr>
          <w:rFonts w:ascii="Avenir Next" w:hAnsi="Avenir Next" w:cs="Arial"/>
          <w:color w:val="808080" w:themeColor="background1" w:themeShade="80"/>
          <w:sz w:val="22"/>
          <w:szCs w:val="22"/>
          <w:lang w:val="en-GB"/>
        </w:rPr>
        <w:t xml:space="preserve">the </w:t>
      </w:r>
      <w:r w:rsidR="00CB6C31">
        <w:rPr>
          <w:rFonts w:ascii="Avenir Next" w:hAnsi="Avenir Next" w:cs="Arial"/>
          <w:color w:val="808080" w:themeColor="background1" w:themeShade="80"/>
          <w:sz w:val="22"/>
          <w:szCs w:val="22"/>
          <w:lang w:val="en-GB"/>
        </w:rPr>
        <w:t xml:space="preserve">main, territorial or secondary insolvency proceedings concerning one common debtor, </w:t>
      </w:r>
      <w:r w:rsidR="00CB1A03">
        <w:rPr>
          <w:rFonts w:ascii="Avenir Next" w:hAnsi="Avenir Next" w:cs="Arial"/>
          <w:color w:val="808080" w:themeColor="background1" w:themeShade="80"/>
          <w:sz w:val="22"/>
          <w:szCs w:val="22"/>
          <w:lang w:val="en-GB"/>
        </w:rPr>
        <w:t xml:space="preserve">to the extent such a </w:t>
      </w:r>
      <w:r w:rsidR="00376451">
        <w:rPr>
          <w:rFonts w:ascii="Avenir Next" w:hAnsi="Avenir Next" w:cs="Arial"/>
          <w:color w:val="808080" w:themeColor="background1" w:themeShade="80"/>
          <w:sz w:val="22"/>
          <w:szCs w:val="22"/>
          <w:lang w:val="en-GB"/>
        </w:rPr>
        <w:t>cooperation</w:t>
      </w:r>
      <w:r w:rsidR="00CB1A03">
        <w:rPr>
          <w:rFonts w:ascii="Avenir Next" w:hAnsi="Avenir Next" w:cs="Arial"/>
          <w:color w:val="808080" w:themeColor="background1" w:themeShade="80"/>
          <w:sz w:val="22"/>
          <w:szCs w:val="22"/>
          <w:lang w:val="en-GB"/>
        </w:rPr>
        <w:t xml:space="preserve"> is not contrary to the law applicable to that insolvency proceeding. </w:t>
      </w:r>
      <w:r w:rsidR="00DD2DF4">
        <w:rPr>
          <w:rFonts w:ascii="Avenir Next" w:hAnsi="Avenir Next" w:cs="Arial"/>
          <w:color w:val="808080" w:themeColor="background1" w:themeShade="80"/>
          <w:sz w:val="22"/>
          <w:szCs w:val="22"/>
          <w:lang w:val="en-GB"/>
        </w:rPr>
        <w:t>The said coordination may incl</w:t>
      </w:r>
      <w:r w:rsidR="00F925C0">
        <w:rPr>
          <w:rFonts w:ascii="Avenir Next" w:hAnsi="Avenir Next" w:cs="Arial"/>
          <w:color w:val="808080" w:themeColor="background1" w:themeShade="80"/>
          <w:sz w:val="22"/>
          <w:szCs w:val="22"/>
          <w:lang w:val="en-GB"/>
        </w:rPr>
        <w:t xml:space="preserve">ude topics such as appointment of practitioners, communication of information, </w:t>
      </w:r>
      <w:r w:rsidR="00376451">
        <w:rPr>
          <w:rFonts w:ascii="Avenir Next" w:hAnsi="Avenir Next" w:cs="Arial"/>
          <w:color w:val="808080" w:themeColor="background1" w:themeShade="80"/>
          <w:sz w:val="22"/>
          <w:szCs w:val="22"/>
          <w:lang w:val="en-GB"/>
        </w:rPr>
        <w:t>supervision of the debtor’s assets, conduct of the hearings, approval protocols etc.</w:t>
      </w:r>
      <w:r w:rsidR="00376451">
        <w:rPr>
          <w:rStyle w:val="FootnoteReference"/>
          <w:rFonts w:ascii="Avenir Next" w:hAnsi="Avenir Next" w:cs="Arial"/>
          <w:color w:val="808080" w:themeColor="background1" w:themeShade="80"/>
          <w:sz w:val="22"/>
          <w:szCs w:val="22"/>
          <w:lang w:val="en-GB"/>
        </w:rPr>
        <w:footnoteReference w:id="12"/>
      </w:r>
      <w:r w:rsidR="009A4E29">
        <w:rPr>
          <w:rFonts w:ascii="Avenir Next" w:hAnsi="Avenir Next" w:cs="Arial"/>
          <w:color w:val="808080" w:themeColor="background1" w:themeShade="80"/>
          <w:sz w:val="22"/>
          <w:szCs w:val="22"/>
          <w:lang w:val="en-GB"/>
        </w:rPr>
        <w:t>. The court in the European Union, influenced by the soft law</w:t>
      </w:r>
      <w:r w:rsidR="000D75B1">
        <w:rPr>
          <w:rStyle w:val="FootnoteReference"/>
          <w:rFonts w:ascii="Avenir Next" w:hAnsi="Avenir Next" w:cs="Arial"/>
          <w:color w:val="808080" w:themeColor="background1" w:themeShade="80"/>
          <w:sz w:val="22"/>
          <w:szCs w:val="22"/>
          <w:lang w:val="en-GB"/>
        </w:rPr>
        <w:footnoteReference w:id="13"/>
      </w:r>
      <w:r w:rsidR="00527ABB">
        <w:rPr>
          <w:rFonts w:ascii="Avenir Next" w:hAnsi="Avenir Next" w:cs="Arial"/>
          <w:color w:val="808080" w:themeColor="background1" w:themeShade="80"/>
          <w:sz w:val="22"/>
          <w:szCs w:val="22"/>
          <w:lang w:val="en-GB"/>
        </w:rPr>
        <w:t xml:space="preserve">, courts have started </w:t>
      </w:r>
      <w:r w:rsidR="002F33C1">
        <w:rPr>
          <w:rFonts w:ascii="Avenir Next" w:hAnsi="Avenir Next" w:cs="Arial"/>
          <w:color w:val="808080" w:themeColor="background1" w:themeShade="80"/>
          <w:sz w:val="22"/>
          <w:szCs w:val="22"/>
          <w:lang w:val="en-GB"/>
        </w:rPr>
        <w:t>adopting ‘protocol’ like procedural guidelines</w:t>
      </w:r>
      <w:r w:rsidR="007232EE">
        <w:rPr>
          <w:rFonts w:ascii="Avenir Next" w:hAnsi="Avenir Next" w:cs="Arial"/>
          <w:color w:val="808080" w:themeColor="background1" w:themeShade="80"/>
          <w:sz w:val="22"/>
          <w:szCs w:val="22"/>
          <w:lang w:val="en-GB"/>
        </w:rPr>
        <w:t xml:space="preserve">, for example the </w:t>
      </w:r>
      <w:r w:rsidR="00686DBC">
        <w:rPr>
          <w:rFonts w:ascii="Avenir Next" w:hAnsi="Avenir Next" w:cs="Arial"/>
          <w:color w:val="808080" w:themeColor="background1" w:themeShade="80"/>
          <w:sz w:val="22"/>
          <w:szCs w:val="22"/>
          <w:lang w:val="en-GB"/>
        </w:rPr>
        <w:t>p</w:t>
      </w:r>
      <w:r w:rsidR="00686DBC" w:rsidRPr="00686DBC">
        <w:rPr>
          <w:rFonts w:ascii="Avenir Next" w:hAnsi="Avenir Next" w:cs="Arial"/>
          <w:color w:val="808080" w:themeColor="background1" w:themeShade="80"/>
          <w:sz w:val="22"/>
          <w:szCs w:val="22"/>
          <w:lang w:val="en-GB"/>
        </w:rPr>
        <w:t>roclamation of the District Court Midden-Nederland of Utrecht</w:t>
      </w:r>
      <w:r w:rsidR="00686DBC">
        <w:rPr>
          <w:rFonts w:ascii="Avenir Next" w:hAnsi="Avenir Next" w:cs="Arial"/>
          <w:color w:val="808080" w:themeColor="background1" w:themeShade="80"/>
          <w:sz w:val="22"/>
          <w:szCs w:val="22"/>
          <w:lang w:val="en-GB"/>
        </w:rPr>
        <w:t>.</w:t>
      </w:r>
    </w:p>
    <w:p w14:paraId="3E9D669D" w14:textId="77777777" w:rsidR="00686DBC" w:rsidRPr="00686DBC" w:rsidRDefault="00686DBC" w:rsidP="00686DBC">
      <w:pPr>
        <w:pStyle w:val="ListParagraph"/>
        <w:rPr>
          <w:rFonts w:ascii="Avenir Next" w:hAnsi="Avenir Next" w:cs="Arial"/>
          <w:color w:val="808080" w:themeColor="background1" w:themeShade="80"/>
          <w:sz w:val="22"/>
          <w:szCs w:val="22"/>
          <w:lang w:val="en-GB"/>
        </w:rPr>
      </w:pPr>
    </w:p>
    <w:p w14:paraId="4E416A72" w14:textId="11F5DE8C" w:rsidR="00686DBC" w:rsidRPr="00E844BE" w:rsidRDefault="00686DBC" w:rsidP="00091FE8">
      <w:pPr>
        <w:pStyle w:val="ListParagraph"/>
        <w:numPr>
          <w:ilvl w:val="0"/>
          <w:numId w:val="32"/>
        </w:numPr>
        <w:jc w:val="both"/>
        <w:rPr>
          <w:rFonts w:ascii="Avenir Next" w:hAnsi="Avenir Next" w:cs="Arial"/>
          <w:color w:val="808080" w:themeColor="background1" w:themeShade="80"/>
          <w:sz w:val="22"/>
          <w:szCs w:val="22"/>
          <w:lang w:val="en-GB"/>
        </w:rPr>
      </w:pPr>
      <w:r w:rsidRPr="00686DBC">
        <w:rPr>
          <w:rFonts w:ascii="Avenir Next" w:hAnsi="Avenir Next" w:cs="Arial"/>
          <w:b/>
          <w:bCs/>
          <w:color w:val="808080" w:themeColor="background1" w:themeShade="80"/>
          <w:sz w:val="22"/>
          <w:szCs w:val="22"/>
          <w:lang w:val="en-GB"/>
        </w:rPr>
        <w:t>Article 43</w:t>
      </w:r>
      <w:r>
        <w:rPr>
          <w:rFonts w:ascii="Avenir Next" w:hAnsi="Avenir Next" w:cs="Arial"/>
          <w:color w:val="808080" w:themeColor="background1" w:themeShade="80"/>
          <w:sz w:val="22"/>
          <w:szCs w:val="22"/>
          <w:lang w:val="en-GB"/>
        </w:rPr>
        <w:t xml:space="preserve">: </w:t>
      </w:r>
      <w:r w:rsidR="00996918">
        <w:rPr>
          <w:rFonts w:ascii="Avenir Next" w:hAnsi="Avenir Next" w:cs="Arial"/>
          <w:color w:val="808080" w:themeColor="background1" w:themeShade="80"/>
          <w:sz w:val="22"/>
          <w:szCs w:val="22"/>
          <w:lang w:val="en-GB"/>
        </w:rPr>
        <w:t xml:space="preserve">As per Article 43 of the EIR Recast, the insolvency practitioner of </w:t>
      </w:r>
      <w:r w:rsidR="00330849">
        <w:rPr>
          <w:rFonts w:ascii="Avenir Next" w:hAnsi="Avenir Next" w:cs="Arial"/>
          <w:color w:val="808080" w:themeColor="background1" w:themeShade="80"/>
          <w:sz w:val="22"/>
          <w:szCs w:val="22"/>
          <w:lang w:val="en-GB"/>
        </w:rPr>
        <w:t xml:space="preserve">both the main and secondary insolvency proceedings must coordinate with the </w:t>
      </w:r>
      <w:r w:rsidR="00742C29">
        <w:rPr>
          <w:rFonts w:ascii="Avenir Next" w:hAnsi="Avenir Next" w:cs="Arial"/>
          <w:color w:val="808080" w:themeColor="background1" w:themeShade="80"/>
          <w:sz w:val="22"/>
          <w:szCs w:val="22"/>
          <w:lang w:val="en-GB"/>
        </w:rPr>
        <w:t>courts in which either the main or the secondary insolvency proceedings are being adjudicated and vice versa</w:t>
      </w:r>
      <w:r w:rsidR="00A72242">
        <w:rPr>
          <w:rFonts w:ascii="Avenir Next" w:hAnsi="Avenir Next" w:cs="Arial"/>
          <w:color w:val="808080" w:themeColor="background1" w:themeShade="80"/>
          <w:sz w:val="22"/>
          <w:szCs w:val="22"/>
          <w:lang w:val="en-GB"/>
        </w:rPr>
        <w:t xml:space="preserve">, to the extent that such a cooperation is not contrary to </w:t>
      </w:r>
      <w:r w:rsidR="007E5059">
        <w:rPr>
          <w:rFonts w:ascii="Avenir Next" w:hAnsi="Avenir Next" w:cs="Arial"/>
          <w:color w:val="808080" w:themeColor="background1" w:themeShade="80"/>
          <w:sz w:val="22"/>
          <w:szCs w:val="22"/>
          <w:lang w:val="en-GB"/>
        </w:rPr>
        <w:t xml:space="preserve">law applicable to the insolvency proceeding and also provided that there is no conflict of interest. </w:t>
      </w:r>
    </w:p>
    <w:p w14:paraId="572227E7" w14:textId="10041403" w:rsidR="0045683E" w:rsidRPr="008E3C96" w:rsidRDefault="0045683E" w:rsidP="002A37BB">
      <w:pPr>
        <w:jc w:val="both"/>
        <w:rPr>
          <w:rFonts w:ascii="Avenir Next" w:hAnsi="Avenir Next" w:cs="Arial"/>
          <w:bCs/>
          <w:sz w:val="22"/>
          <w:szCs w:val="22"/>
          <w:lang w:val="en-GB"/>
        </w:rPr>
      </w:pPr>
    </w:p>
    <w:p w14:paraId="57CD06CF" w14:textId="60DBC8AE"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73ECB2F6" w:rsidR="009954B2" w:rsidRPr="00374C03" w:rsidRDefault="00F84085" w:rsidP="00374C03">
      <w:pPr>
        <w:pStyle w:val="ListParagraph"/>
        <w:numPr>
          <w:ilvl w:val="0"/>
          <w:numId w:val="33"/>
        </w:numPr>
        <w:jc w:val="both"/>
        <w:rPr>
          <w:rFonts w:ascii="Avenir Next" w:hAnsi="Avenir Next" w:cs="Arial"/>
          <w:color w:val="808080" w:themeColor="background1" w:themeShade="80"/>
          <w:sz w:val="22"/>
          <w:szCs w:val="22"/>
          <w:lang w:val="en-GB"/>
        </w:rPr>
      </w:pPr>
      <w:r w:rsidRPr="006B7003">
        <w:rPr>
          <w:rFonts w:ascii="Avenir Next" w:hAnsi="Avenir Next" w:cs="Arial"/>
          <w:b/>
          <w:bCs/>
          <w:color w:val="808080" w:themeColor="background1" w:themeShade="80"/>
          <w:sz w:val="22"/>
          <w:szCs w:val="22"/>
          <w:lang w:val="en-GB"/>
        </w:rPr>
        <w:t>Undertaking under Article 36</w:t>
      </w:r>
      <w:r w:rsidRPr="00F94F27">
        <w:rPr>
          <w:rFonts w:ascii="Avenir Next" w:hAnsi="Avenir Next" w:cs="Arial"/>
          <w:color w:val="808080" w:themeColor="background1" w:themeShade="80"/>
          <w:sz w:val="22"/>
          <w:szCs w:val="22"/>
          <w:lang w:val="en-GB"/>
        </w:rPr>
        <w:t xml:space="preserve">: </w:t>
      </w:r>
      <w:r w:rsidR="002D1A0F" w:rsidRPr="00F94F27">
        <w:rPr>
          <w:rFonts w:ascii="Avenir Next" w:hAnsi="Avenir Next" w:cs="Arial"/>
          <w:color w:val="808080" w:themeColor="background1" w:themeShade="80"/>
          <w:sz w:val="22"/>
          <w:szCs w:val="22"/>
          <w:lang w:val="en-GB"/>
        </w:rPr>
        <w:t>The insolvency practitioner ha</w:t>
      </w:r>
      <w:r w:rsidR="008C7CB0">
        <w:rPr>
          <w:rFonts w:ascii="Avenir Next" w:hAnsi="Avenir Next" w:cs="Arial"/>
          <w:color w:val="808080" w:themeColor="background1" w:themeShade="80"/>
          <w:sz w:val="22"/>
          <w:szCs w:val="22"/>
          <w:lang w:val="en-GB"/>
        </w:rPr>
        <w:t>s</w:t>
      </w:r>
      <w:r w:rsidR="002D1A0F" w:rsidRPr="00F94F27">
        <w:rPr>
          <w:rFonts w:ascii="Avenir Next" w:hAnsi="Avenir Next" w:cs="Arial"/>
          <w:color w:val="808080" w:themeColor="background1" w:themeShade="80"/>
          <w:sz w:val="22"/>
          <w:szCs w:val="22"/>
          <w:lang w:val="en-GB"/>
        </w:rPr>
        <w:t xml:space="preserve"> the right to provide a unilateral undertaking</w:t>
      </w:r>
      <w:r w:rsidR="0074349B" w:rsidRPr="00F94F27">
        <w:rPr>
          <w:rFonts w:ascii="Avenir Next" w:hAnsi="Avenir Next" w:cs="Arial"/>
          <w:color w:val="808080" w:themeColor="background1" w:themeShade="80"/>
          <w:sz w:val="22"/>
          <w:szCs w:val="22"/>
          <w:lang w:val="en-GB"/>
        </w:rPr>
        <w:t>, in respect of the assets of a debtor located in</w:t>
      </w:r>
      <w:r w:rsidR="009A653B" w:rsidRPr="00F94F27">
        <w:rPr>
          <w:rFonts w:ascii="Avenir Next" w:hAnsi="Avenir Next" w:cs="Arial"/>
          <w:color w:val="808080" w:themeColor="background1" w:themeShade="80"/>
          <w:sz w:val="22"/>
          <w:szCs w:val="22"/>
          <w:lang w:val="en-GB"/>
        </w:rPr>
        <w:t xml:space="preserve"> another member state, that as and when the said estate/assets of the debtor will be d</w:t>
      </w:r>
      <w:r w:rsidR="00805891" w:rsidRPr="00F94F27">
        <w:rPr>
          <w:rFonts w:ascii="Avenir Next" w:hAnsi="Avenir Next" w:cs="Arial"/>
          <w:color w:val="808080" w:themeColor="background1" w:themeShade="80"/>
          <w:sz w:val="22"/>
          <w:szCs w:val="22"/>
          <w:lang w:val="en-GB"/>
        </w:rPr>
        <w:t>istributed</w:t>
      </w:r>
      <w:r w:rsidR="002D1DBE" w:rsidRPr="00F94F27">
        <w:rPr>
          <w:rStyle w:val="FootnoteReference"/>
          <w:rFonts w:ascii="Avenir Next" w:hAnsi="Avenir Next" w:cs="Arial"/>
          <w:color w:val="808080" w:themeColor="background1" w:themeShade="80"/>
          <w:sz w:val="22"/>
          <w:szCs w:val="22"/>
          <w:lang w:val="en-GB"/>
        </w:rPr>
        <w:footnoteReference w:id="14"/>
      </w:r>
      <w:r w:rsidR="009A653B" w:rsidRPr="00F94F27">
        <w:rPr>
          <w:rFonts w:ascii="Avenir Next" w:hAnsi="Avenir Next" w:cs="Arial"/>
          <w:color w:val="808080" w:themeColor="background1" w:themeShade="80"/>
          <w:sz w:val="22"/>
          <w:szCs w:val="22"/>
          <w:lang w:val="en-GB"/>
        </w:rPr>
        <w:t xml:space="preserve">, the same shall be done </w:t>
      </w:r>
      <w:r w:rsidR="00A55B48" w:rsidRPr="00F94F27">
        <w:rPr>
          <w:rFonts w:ascii="Avenir Next" w:hAnsi="Avenir Next" w:cs="Arial"/>
          <w:color w:val="808080" w:themeColor="background1" w:themeShade="80"/>
          <w:sz w:val="22"/>
          <w:szCs w:val="22"/>
          <w:lang w:val="en-GB"/>
        </w:rPr>
        <w:t>as per the waterfall or the priority rights of creditors</w:t>
      </w:r>
      <w:r w:rsidR="00805891" w:rsidRPr="00F94F27">
        <w:rPr>
          <w:rStyle w:val="FootnoteReference"/>
          <w:rFonts w:ascii="Avenir Next" w:hAnsi="Avenir Next" w:cs="Arial"/>
          <w:color w:val="808080" w:themeColor="background1" w:themeShade="80"/>
          <w:sz w:val="22"/>
          <w:szCs w:val="22"/>
          <w:lang w:val="en-GB"/>
        </w:rPr>
        <w:footnoteReference w:id="15"/>
      </w:r>
      <w:r w:rsidR="00A55B48" w:rsidRPr="00F94F27">
        <w:rPr>
          <w:rFonts w:ascii="Avenir Next" w:hAnsi="Avenir Next" w:cs="Arial"/>
          <w:color w:val="808080" w:themeColor="background1" w:themeShade="80"/>
          <w:sz w:val="22"/>
          <w:szCs w:val="22"/>
          <w:lang w:val="en-GB"/>
        </w:rPr>
        <w:t xml:space="preserve"> under the laws of that member state. This is one of the more commercially effective tools to avoid </w:t>
      </w:r>
      <w:r w:rsidR="0028338A" w:rsidRPr="00F94F27">
        <w:rPr>
          <w:rFonts w:ascii="Avenir Next" w:hAnsi="Avenir Next" w:cs="Arial"/>
          <w:color w:val="808080" w:themeColor="background1" w:themeShade="80"/>
          <w:sz w:val="22"/>
          <w:szCs w:val="22"/>
          <w:lang w:val="en-GB"/>
        </w:rPr>
        <w:t xml:space="preserve">the opening of secondary proceedings, to essentially, pretend about the existence of one and then operate according to it to safeguard the rights and legitimate expectation of the </w:t>
      </w:r>
      <w:r w:rsidR="00805891" w:rsidRPr="00F94F27">
        <w:rPr>
          <w:rFonts w:ascii="Avenir Next" w:hAnsi="Avenir Next" w:cs="Arial"/>
          <w:color w:val="808080" w:themeColor="background1" w:themeShade="80"/>
          <w:sz w:val="22"/>
          <w:szCs w:val="22"/>
          <w:lang w:val="en-GB"/>
        </w:rPr>
        <w:t xml:space="preserve">local creditors. </w:t>
      </w:r>
      <w:r w:rsidR="00D20A2F" w:rsidRPr="00F94F27">
        <w:rPr>
          <w:rFonts w:ascii="Avenir Next" w:hAnsi="Avenir Next" w:cs="Arial"/>
          <w:color w:val="808080" w:themeColor="background1" w:themeShade="80"/>
          <w:sz w:val="22"/>
          <w:szCs w:val="22"/>
          <w:lang w:val="en-GB"/>
        </w:rPr>
        <w:t xml:space="preserve">The said undertaking </w:t>
      </w:r>
      <w:r w:rsidR="00D20A2F" w:rsidRPr="00F94F27">
        <w:rPr>
          <w:rFonts w:ascii="Avenir Next" w:hAnsi="Avenir Next" w:cs="Arial"/>
          <w:color w:val="808080" w:themeColor="background1" w:themeShade="80"/>
          <w:sz w:val="22"/>
          <w:szCs w:val="22"/>
          <w:lang w:val="en-GB"/>
        </w:rPr>
        <w:lastRenderedPageBreak/>
        <w:t>has to be made in the official language of the concerned member state</w:t>
      </w:r>
      <w:r w:rsidR="00D20A2F" w:rsidRPr="00F94F27">
        <w:rPr>
          <w:rStyle w:val="FootnoteReference"/>
          <w:rFonts w:ascii="Avenir Next" w:hAnsi="Avenir Next" w:cs="Arial"/>
          <w:color w:val="808080" w:themeColor="background1" w:themeShade="80"/>
          <w:sz w:val="22"/>
          <w:szCs w:val="22"/>
          <w:lang w:val="en-GB"/>
        </w:rPr>
        <w:footnoteReference w:id="16"/>
      </w:r>
      <w:r w:rsidR="00584AFB" w:rsidRPr="00F94F27">
        <w:rPr>
          <w:rFonts w:ascii="Avenir Next" w:hAnsi="Avenir Next" w:cs="Arial"/>
          <w:color w:val="808080" w:themeColor="background1" w:themeShade="80"/>
          <w:sz w:val="22"/>
          <w:szCs w:val="22"/>
          <w:lang w:val="en-GB"/>
        </w:rPr>
        <w:t xml:space="preserve">, </w:t>
      </w:r>
      <w:r w:rsidR="00600295" w:rsidRPr="00F94F27">
        <w:rPr>
          <w:rFonts w:ascii="Avenir Next" w:hAnsi="Avenir Next" w:cs="Arial"/>
          <w:color w:val="808080" w:themeColor="background1" w:themeShade="80"/>
          <w:sz w:val="22"/>
          <w:szCs w:val="22"/>
          <w:lang w:val="en-GB"/>
        </w:rPr>
        <w:t xml:space="preserve"> has to be in writing and in the </w:t>
      </w:r>
      <w:r w:rsidR="00882ECD" w:rsidRPr="00F94F27">
        <w:rPr>
          <w:rFonts w:ascii="Avenir Next" w:hAnsi="Avenir Next" w:cs="Arial"/>
          <w:color w:val="808080" w:themeColor="background1" w:themeShade="80"/>
          <w:sz w:val="22"/>
          <w:szCs w:val="22"/>
          <w:lang w:val="en-GB"/>
        </w:rPr>
        <w:t>form as may be required under the law of the member state in relation to any distributions etc.</w:t>
      </w:r>
      <w:r w:rsidR="00882ECD" w:rsidRPr="00F94F27">
        <w:rPr>
          <w:rStyle w:val="FootnoteReference"/>
          <w:rFonts w:ascii="Avenir Next" w:hAnsi="Avenir Next" w:cs="Arial"/>
          <w:color w:val="808080" w:themeColor="background1" w:themeShade="80"/>
          <w:sz w:val="22"/>
          <w:szCs w:val="22"/>
          <w:lang w:val="en-GB"/>
        </w:rPr>
        <w:footnoteReference w:id="17"/>
      </w:r>
      <w:r w:rsidR="00DF668F" w:rsidRPr="00F94F27">
        <w:rPr>
          <w:rFonts w:ascii="Avenir Next" w:hAnsi="Avenir Next" w:cs="Arial"/>
          <w:color w:val="808080" w:themeColor="background1" w:themeShade="80"/>
          <w:sz w:val="22"/>
          <w:szCs w:val="22"/>
          <w:lang w:val="en-GB"/>
        </w:rPr>
        <w:t xml:space="preserve">, should be approved by the local creditors </w:t>
      </w:r>
      <w:r w:rsidR="0092278D" w:rsidRPr="00F94F27">
        <w:rPr>
          <w:rFonts w:ascii="Avenir Next" w:hAnsi="Avenir Next" w:cs="Arial"/>
          <w:color w:val="808080" w:themeColor="background1" w:themeShade="80"/>
          <w:sz w:val="22"/>
          <w:szCs w:val="22"/>
          <w:lang w:val="en-GB"/>
        </w:rPr>
        <w:t>in accordance to the rules of voting and majority applicable</w:t>
      </w:r>
      <w:r w:rsidR="0092278D" w:rsidRPr="00F94F27">
        <w:rPr>
          <w:rStyle w:val="FootnoteReference"/>
          <w:rFonts w:ascii="Avenir Next" w:hAnsi="Avenir Next" w:cs="Arial"/>
          <w:color w:val="808080" w:themeColor="background1" w:themeShade="80"/>
          <w:sz w:val="22"/>
          <w:szCs w:val="22"/>
          <w:lang w:val="en-GB"/>
        </w:rPr>
        <w:footnoteReference w:id="18"/>
      </w:r>
      <w:r w:rsidR="003C47B8" w:rsidRPr="00F94F27">
        <w:rPr>
          <w:rFonts w:ascii="Avenir Next" w:hAnsi="Avenir Next" w:cs="Arial"/>
          <w:color w:val="808080" w:themeColor="background1" w:themeShade="80"/>
          <w:sz w:val="22"/>
          <w:szCs w:val="22"/>
          <w:lang w:val="en-GB"/>
        </w:rPr>
        <w:t xml:space="preserve">. The undertaking is also subject to challenge by the local creditors before the court of the main </w:t>
      </w:r>
      <w:r w:rsidR="00805864" w:rsidRPr="00F94F27">
        <w:rPr>
          <w:rFonts w:ascii="Avenir Next" w:hAnsi="Avenir Next" w:cs="Arial"/>
          <w:color w:val="808080" w:themeColor="background1" w:themeShade="80"/>
          <w:sz w:val="22"/>
          <w:szCs w:val="22"/>
          <w:lang w:val="en-GB"/>
        </w:rPr>
        <w:t>insolvency proceedings</w:t>
      </w:r>
      <w:r w:rsidR="00805864" w:rsidRPr="00F94F27">
        <w:rPr>
          <w:rStyle w:val="FootnoteReference"/>
          <w:rFonts w:ascii="Avenir Next" w:hAnsi="Avenir Next" w:cs="Arial"/>
          <w:color w:val="808080" w:themeColor="background1" w:themeShade="80"/>
          <w:sz w:val="22"/>
          <w:szCs w:val="22"/>
          <w:lang w:val="en-GB"/>
        </w:rPr>
        <w:footnoteReference w:id="19"/>
      </w:r>
      <w:r w:rsidR="0078187B" w:rsidRPr="00F94F27">
        <w:rPr>
          <w:rFonts w:ascii="Avenir Next" w:hAnsi="Avenir Next" w:cs="Arial"/>
          <w:color w:val="808080" w:themeColor="background1" w:themeShade="80"/>
          <w:sz w:val="22"/>
          <w:szCs w:val="22"/>
          <w:lang w:val="en-GB"/>
        </w:rPr>
        <w:t xml:space="preserve"> and the local creditors are also entitled to protective/interim measures in the local court. </w:t>
      </w:r>
      <w:r w:rsidR="003E20AF" w:rsidRPr="00F94F27">
        <w:rPr>
          <w:rFonts w:ascii="Avenir Next" w:hAnsi="Avenir Next" w:cs="Arial"/>
          <w:color w:val="808080" w:themeColor="background1" w:themeShade="80"/>
          <w:sz w:val="22"/>
          <w:szCs w:val="22"/>
          <w:lang w:val="en-GB"/>
        </w:rPr>
        <w:t>The</w:t>
      </w:r>
      <w:r w:rsidR="008C7CB0">
        <w:rPr>
          <w:rFonts w:ascii="Avenir Next" w:hAnsi="Avenir Next" w:cs="Arial"/>
          <w:color w:val="808080" w:themeColor="background1" w:themeShade="80"/>
          <w:sz w:val="22"/>
          <w:szCs w:val="22"/>
          <w:lang w:val="en-GB"/>
        </w:rPr>
        <w:t>re</w:t>
      </w:r>
      <w:r w:rsidR="003E20AF" w:rsidRPr="00F94F27">
        <w:rPr>
          <w:rFonts w:ascii="Avenir Next" w:hAnsi="Avenir Next" w:cs="Arial"/>
          <w:color w:val="808080" w:themeColor="background1" w:themeShade="80"/>
          <w:sz w:val="22"/>
          <w:szCs w:val="22"/>
          <w:lang w:val="en-GB"/>
        </w:rPr>
        <w:t xml:space="preserve"> is also a penal measure attached the non-</w:t>
      </w:r>
      <w:r w:rsidR="00F94F27" w:rsidRPr="00F94F27">
        <w:rPr>
          <w:rFonts w:ascii="Avenir Next" w:hAnsi="Avenir Next" w:cs="Arial"/>
          <w:color w:val="808080" w:themeColor="background1" w:themeShade="80"/>
          <w:sz w:val="22"/>
          <w:szCs w:val="22"/>
          <w:lang w:val="en-GB"/>
        </w:rPr>
        <w:t>compliance</w:t>
      </w:r>
      <w:r w:rsidR="003E20AF" w:rsidRPr="00F94F27">
        <w:rPr>
          <w:rFonts w:ascii="Avenir Next" w:hAnsi="Avenir Next" w:cs="Arial"/>
          <w:color w:val="808080" w:themeColor="background1" w:themeShade="80"/>
          <w:sz w:val="22"/>
          <w:szCs w:val="22"/>
          <w:lang w:val="en-GB"/>
        </w:rPr>
        <w:t xml:space="preserve"> of the undertaking by the insolvency practitioner</w:t>
      </w:r>
      <w:r w:rsidR="003E20AF" w:rsidRPr="00F94F27">
        <w:rPr>
          <w:rStyle w:val="FootnoteReference"/>
          <w:rFonts w:ascii="Avenir Next" w:hAnsi="Avenir Next" w:cs="Arial"/>
          <w:color w:val="808080" w:themeColor="background1" w:themeShade="80"/>
          <w:sz w:val="22"/>
          <w:szCs w:val="22"/>
          <w:lang w:val="en-GB"/>
        </w:rPr>
        <w:footnoteReference w:id="20"/>
      </w:r>
      <w:r w:rsidR="00F94F27">
        <w:rPr>
          <w:rFonts w:ascii="Avenir Next" w:hAnsi="Avenir Next" w:cs="Arial"/>
          <w:color w:val="808080" w:themeColor="background1" w:themeShade="80"/>
          <w:sz w:val="22"/>
          <w:szCs w:val="22"/>
          <w:lang w:val="en-GB"/>
        </w:rPr>
        <w:t>.</w:t>
      </w:r>
      <w:r w:rsidR="009613F7">
        <w:rPr>
          <w:rFonts w:ascii="Avenir Next" w:hAnsi="Avenir Next" w:cs="Arial"/>
          <w:color w:val="808080" w:themeColor="background1" w:themeShade="80"/>
          <w:sz w:val="22"/>
          <w:szCs w:val="22"/>
          <w:lang w:val="en-GB"/>
        </w:rPr>
        <w:t xml:space="preserve"> Most importantly, </w:t>
      </w:r>
      <w:r w:rsidR="00E1400D">
        <w:rPr>
          <w:rFonts w:ascii="Avenir Next" w:hAnsi="Avenir Next" w:cs="Arial"/>
          <w:color w:val="808080" w:themeColor="background1" w:themeShade="80"/>
          <w:sz w:val="22"/>
          <w:szCs w:val="22"/>
          <w:lang w:val="en-GB"/>
        </w:rPr>
        <w:t>as per Article 38</w:t>
      </w:r>
      <w:r w:rsidR="00374C03">
        <w:rPr>
          <w:rFonts w:ascii="Avenir Next" w:hAnsi="Avenir Next" w:cs="Arial"/>
          <w:color w:val="808080" w:themeColor="background1" w:themeShade="80"/>
          <w:sz w:val="22"/>
          <w:szCs w:val="22"/>
          <w:lang w:val="en-GB"/>
        </w:rPr>
        <w:t xml:space="preserve"> (2)</w:t>
      </w:r>
      <w:r w:rsidR="0035513F">
        <w:rPr>
          <w:rFonts w:ascii="Avenir Next" w:hAnsi="Avenir Next" w:cs="Arial"/>
          <w:color w:val="808080" w:themeColor="background1" w:themeShade="80"/>
          <w:sz w:val="22"/>
          <w:szCs w:val="22"/>
          <w:lang w:val="en-GB"/>
        </w:rPr>
        <w:t xml:space="preserve">, </w:t>
      </w:r>
      <w:r w:rsidR="009613F7" w:rsidRPr="00374C03">
        <w:rPr>
          <w:rFonts w:ascii="Avenir Next" w:hAnsi="Avenir Next" w:cs="Arial"/>
          <w:color w:val="808080" w:themeColor="background1" w:themeShade="80"/>
          <w:sz w:val="22"/>
          <w:szCs w:val="22"/>
          <w:lang w:val="en-GB"/>
        </w:rPr>
        <w:t xml:space="preserve">the local member court may not </w:t>
      </w:r>
      <w:r w:rsidR="00AD3C85" w:rsidRPr="00374C03">
        <w:rPr>
          <w:rFonts w:ascii="Avenir Next" w:hAnsi="Avenir Next" w:cs="Arial"/>
          <w:color w:val="808080" w:themeColor="background1" w:themeShade="80"/>
          <w:sz w:val="22"/>
          <w:szCs w:val="22"/>
          <w:lang w:val="en-GB"/>
        </w:rPr>
        <w:t xml:space="preserve">open secondary proceedings, </w:t>
      </w:r>
      <w:r w:rsidR="000C1767" w:rsidRPr="00374C03">
        <w:rPr>
          <w:rFonts w:ascii="Avenir Next" w:hAnsi="Avenir Next" w:cs="Arial"/>
          <w:color w:val="808080" w:themeColor="background1" w:themeShade="80"/>
          <w:sz w:val="22"/>
          <w:szCs w:val="22"/>
          <w:lang w:val="en-GB"/>
        </w:rPr>
        <w:t xml:space="preserve">at the request of the insolvency practitioner, </w:t>
      </w:r>
      <w:r w:rsidR="00E1400D" w:rsidRPr="00374C03">
        <w:rPr>
          <w:rFonts w:ascii="Avenir Next" w:hAnsi="Avenir Next" w:cs="Arial"/>
          <w:color w:val="808080" w:themeColor="background1" w:themeShade="80"/>
          <w:sz w:val="22"/>
          <w:szCs w:val="22"/>
          <w:lang w:val="en-GB"/>
        </w:rPr>
        <w:t xml:space="preserve">who has given an undertaking, if the court </w:t>
      </w:r>
      <w:r w:rsidR="001851AC" w:rsidRPr="00374C03">
        <w:rPr>
          <w:rFonts w:ascii="Avenir Next" w:hAnsi="Avenir Next" w:cs="Arial"/>
          <w:color w:val="808080" w:themeColor="background1" w:themeShade="80"/>
          <w:sz w:val="22"/>
          <w:szCs w:val="22"/>
          <w:lang w:val="en-GB"/>
        </w:rPr>
        <w:t xml:space="preserve">is satisfied </w:t>
      </w:r>
      <w:r w:rsidR="00374C03" w:rsidRPr="00374C03">
        <w:rPr>
          <w:rFonts w:ascii="Avenir Next" w:hAnsi="Avenir Next" w:cs="Arial"/>
          <w:color w:val="808080" w:themeColor="background1" w:themeShade="80"/>
          <w:sz w:val="22"/>
          <w:szCs w:val="22"/>
          <w:lang w:val="en-GB"/>
        </w:rPr>
        <w:t>that the interests of the local creditors are protected.</w:t>
      </w:r>
    </w:p>
    <w:p w14:paraId="44F989BF" w14:textId="77777777" w:rsidR="00F94F27" w:rsidRDefault="00F94F27" w:rsidP="00F94F27">
      <w:pPr>
        <w:jc w:val="both"/>
        <w:rPr>
          <w:rFonts w:ascii="Avenir Next" w:hAnsi="Avenir Next" w:cs="Arial"/>
          <w:color w:val="808080" w:themeColor="background1" w:themeShade="80"/>
          <w:sz w:val="22"/>
          <w:szCs w:val="22"/>
          <w:lang w:val="en-GB"/>
        </w:rPr>
      </w:pPr>
    </w:p>
    <w:p w14:paraId="6127B6CC" w14:textId="26B99EDE" w:rsidR="00F94F27" w:rsidRPr="00F94F27" w:rsidRDefault="00F94F27" w:rsidP="00F94F27">
      <w:pPr>
        <w:pStyle w:val="ListParagraph"/>
        <w:numPr>
          <w:ilvl w:val="0"/>
          <w:numId w:val="33"/>
        </w:numPr>
        <w:jc w:val="both"/>
        <w:rPr>
          <w:rFonts w:ascii="Avenir Next" w:hAnsi="Avenir Next" w:cs="Arial"/>
          <w:color w:val="808080" w:themeColor="background1" w:themeShade="80"/>
          <w:sz w:val="22"/>
          <w:szCs w:val="22"/>
          <w:lang w:val="en-GB"/>
        </w:rPr>
      </w:pPr>
      <w:r w:rsidRPr="006B7003">
        <w:rPr>
          <w:rFonts w:ascii="Avenir Next" w:hAnsi="Avenir Next" w:cs="Arial"/>
          <w:b/>
          <w:bCs/>
          <w:color w:val="808080" w:themeColor="background1" w:themeShade="80"/>
          <w:sz w:val="22"/>
          <w:szCs w:val="22"/>
          <w:lang w:val="en-GB"/>
        </w:rPr>
        <w:t>Stay of Secondary Proceedings</w:t>
      </w:r>
      <w:r>
        <w:rPr>
          <w:rFonts w:ascii="Avenir Next" w:hAnsi="Avenir Next" w:cs="Arial"/>
          <w:color w:val="808080" w:themeColor="background1" w:themeShade="80"/>
          <w:sz w:val="22"/>
          <w:szCs w:val="22"/>
          <w:lang w:val="en-GB"/>
        </w:rPr>
        <w:t xml:space="preserve">: </w:t>
      </w:r>
      <w:r w:rsidR="005170EA">
        <w:rPr>
          <w:rFonts w:ascii="Avenir Next" w:hAnsi="Avenir Next" w:cs="Arial"/>
          <w:color w:val="808080" w:themeColor="background1" w:themeShade="80"/>
          <w:sz w:val="22"/>
          <w:szCs w:val="22"/>
          <w:lang w:val="en-GB"/>
        </w:rPr>
        <w:t>In accordance with Article 38(3) of the EIR Recast, w</w:t>
      </w:r>
      <w:r w:rsidR="00093023">
        <w:rPr>
          <w:rFonts w:ascii="Avenir Next" w:hAnsi="Avenir Next" w:cs="Arial"/>
          <w:color w:val="808080" w:themeColor="background1" w:themeShade="80"/>
          <w:sz w:val="22"/>
          <w:szCs w:val="22"/>
          <w:lang w:val="en-GB"/>
        </w:rPr>
        <w:t xml:space="preserve">hen there is stay on individual enforcement </w:t>
      </w:r>
      <w:r w:rsidR="006E6D8C">
        <w:rPr>
          <w:rFonts w:ascii="Avenir Next" w:hAnsi="Avenir Next" w:cs="Arial"/>
          <w:color w:val="808080" w:themeColor="background1" w:themeShade="80"/>
          <w:sz w:val="22"/>
          <w:szCs w:val="22"/>
          <w:lang w:val="en-GB"/>
        </w:rPr>
        <w:t>actions in the main proceedings, the local court at the concerned member sta</w:t>
      </w:r>
      <w:r w:rsidR="005170EA">
        <w:rPr>
          <w:rFonts w:ascii="Avenir Next" w:hAnsi="Avenir Next" w:cs="Arial"/>
          <w:color w:val="808080" w:themeColor="background1" w:themeShade="80"/>
          <w:sz w:val="22"/>
          <w:szCs w:val="22"/>
          <w:lang w:val="en-GB"/>
        </w:rPr>
        <w:t>te</w:t>
      </w:r>
      <w:r w:rsidR="006E6D8C">
        <w:rPr>
          <w:rFonts w:ascii="Avenir Next" w:hAnsi="Avenir Next" w:cs="Arial"/>
          <w:color w:val="808080" w:themeColor="background1" w:themeShade="80"/>
          <w:sz w:val="22"/>
          <w:szCs w:val="22"/>
          <w:lang w:val="en-GB"/>
        </w:rPr>
        <w:t xml:space="preserve"> is also </w:t>
      </w:r>
      <w:r w:rsidR="005170EA">
        <w:rPr>
          <w:rFonts w:ascii="Avenir Next" w:hAnsi="Avenir Next" w:cs="Arial"/>
          <w:color w:val="808080" w:themeColor="background1" w:themeShade="80"/>
          <w:sz w:val="22"/>
          <w:szCs w:val="22"/>
          <w:lang w:val="en-GB"/>
        </w:rPr>
        <w:t>empowered to, at the request of the main insolvency practitioner or the debtor, to stay the opening of a secondary proceedings in that state. The scope of the instrumentality of stays is much narrower compare to that of an undertaking, as the same can be for maximum period of 3 months</w:t>
      </w:r>
      <w:r w:rsidR="00A265B3">
        <w:rPr>
          <w:rFonts w:ascii="Avenir Next" w:hAnsi="Avenir Next" w:cs="Arial"/>
          <w:color w:val="808080" w:themeColor="background1" w:themeShade="80"/>
          <w:sz w:val="22"/>
          <w:szCs w:val="22"/>
          <w:lang w:val="en-GB"/>
        </w:rPr>
        <w:t xml:space="preserve"> </w:t>
      </w:r>
      <w:r w:rsidR="001342E7">
        <w:rPr>
          <w:rFonts w:ascii="Avenir Next" w:hAnsi="Avenir Next" w:cs="Arial"/>
          <w:color w:val="808080" w:themeColor="background1" w:themeShade="80"/>
          <w:sz w:val="22"/>
          <w:szCs w:val="22"/>
          <w:lang w:val="en-GB"/>
        </w:rPr>
        <w:t xml:space="preserve">provided the safeguards to protect the interests of the local creditors is in place. </w:t>
      </w:r>
      <w:r w:rsidR="000551BA">
        <w:rPr>
          <w:rFonts w:ascii="Avenir Next" w:hAnsi="Avenir Next" w:cs="Arial"/>
          <w:color w:val="808080" w:themeColor="background1" w:themeShade="80"/>
          <w:sz w:val="22"/>
          <w:szCs w:val="22"/>
          <w:lang w:val="en-GB"/>
        </w:rPr>
        <w:t xml:space="preserve">Also, the local creditors can ask for interim reliefs and the </w:t>
      </w:r>
      <w:r w:rsidR="00C41420">
        <w:rPr>
          <w:rFonts w:ascii="Avenir Next" w:hAnsi="Avenir Next" w:cs="Arial"/>
          <w:color w:val="808080" w:themeColor="background1" w:themeShade="80"/>
          <w:sz w:val="22"/>
          <w:szCs w:val="22"/>
          <w:lang w:val="en-GB"/>
        </w:rPr>
        <w:t>court can impose embargoes on the main practitioner from removing assets from the member state</w:t>
      </w:r>
      <w:r w:rsidR="00C41420">
        <w:rPr>
          <w:rStyle w:val="FootnoteReference"/>
          <w:rFonts w:ascii="Avenir Next" w:hAnsi="Avenir Next" w:cs="Arial"/>
          <w:color w:val="808080" w:themeColor="background1" w:themeShade="80"/>
          <w:sz w:val="22"/>
          <w:szCs w:val="22"/>
          <w:lang w:val="en-GB"/>
        </w:rPr>
        <w:footnoteReference w:id="21"/>
      </w:r>
      <w:r w:rsidR="00F31620">
        <w:rPr>
          <w:rFonts w:ascii="Avenir Next" w:hAnsi="Avenir Next" w:cs="Arial"/>
          <w:color w:val="808080" w:themeColor="background1" w:themeShade="80"/>
          <w:sz w:val="22"/>
          <w:szCs w:val="22"/>
          <w:lang w:val="en-GB"/>
        </w:rPr>
        <w:t xml:space="preserve">. The said stay can be lifted if the member court </w:t>
      </w:r>
      <w:r w:rsidR="00F31620" w:rsidRPr="009D4253">
        <w:rPr>
          <w:rFonts w:ascii="Avenir Next" w:hAnsi="Avenir Next" w:cs="Arial"/>
          <w:i/>
          <w:iCs/>
          <w:color w:val="808080" w:themeColor="background1" w:themeShade="80"/>
          <w:sz w:val="22"/>
          <w:szCs w:val="22"/>
          <w:lang w:val="en-GB"/>
        </w:rPr>
        <w:t>suo moto</w:t>
      </w:r>
      <w:r w:rsidR="00F31620">
        <w:rPr>
          <w:rFonts w:ascii="Avenir Next" w:hAnsi="Avenir Next" w:cs="Arial"/>
          <w:color w:val="808080" w:themeColor="background1" w:themeShade="80"/>
          <w:sz w:val="22"/>
          <w:szCs w:val="22"/>
          <w:lang w:val="en-GB"/>
        </w:rPr>
        <w:t>, or through an application by a local creditor is satisfied that the stay is prejudicing the rights</w:t>
      </w:r>
      <w:r w:rsidR="004C595F">
        <w:rPr>
          <w:rFonts w:ascii="Avenir Next" w:hAnsi="Avenir Next" w:cs="Arial"/>
          <w:color w:val="808080" w:themeColor="background1" w:themeShade="80"/>
          <w:sz w:val="22"/>
          <w:szCs w:val="22"/>
          <w:lang w:val="en-GB"/>
        </w:rPr>
        <w:t xml:space="preserve"> and the national law</w:t>
      </w:r>
      <w:r w:rsidR="006B7003">
        <w:rPr>
          <w:rFonts w:ascii="Avenir Next" w:hAnsi="Avenir Next" w:cs="Arial"/>
          <w:color w:val="808080" w:themeColor="background1" w:themeShade="80"/>
          <w:sz w:val="22"/>
          <w:szCs w:val="22"/>
          <w:lang w:val="en-GB"/>
        </w:rPr>
        <w:t xml:space="preserve">, or if the negotiations work out in terms of a restructuring package. </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0502EA6E"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46398CF3" w14:textId="2E2796E5" w:rsidR="005563E9" w:rsidRPr="00B779CE" w:rsidRDefault="005563E9" w:rsidP="005563E9">
      <w:pPr>
        <w:pStyle w:val="ListParagraph"/>
        <w:numPr>
          <w:ilvl w:val="0"/>
          <w:numId w:val="34"/>
        </w:numPr>
        <w:jc w:val="both"/>
        <w:rPr>
          <w:rFonts w:ascii="Avenir Next" w:hAnsi="Avenir Next" w:cs="Arial"/>
          <w:color w:val="808080" w:themeColor="background1" w:themeShade="80"/>
          <w:sz w:val="22"/>
          <w:szCs w:val="22"/>
        </w:rPr>
      </w:pPr>
      <w:r w:rsidRPr="008046DC">
        <w:rPr>
          <w:rFonts w:ascii="Avenir Next" w:hAnsi="Avenir Next" w:cs="Arial"/>
          <w:b/>
          <w:bCs/>
          <w:color w:val="808080" w:themeColor="background1" w:themeShade="80"/>
          <w:sz w:val="22"/>
          <w:szCs w:val="22"/>
        </w:rPr>
        <w:t>Center of Main Interest</w:t>
      </w:r>
      <w:r w:rsidRPr="005563E9">
        <w:rPr>
          <w:rFonts w:ascii="Avenir Next" w:hAnsi="Avenir Next" w:cs="Arial"/>
          <w:color w:val="808080" w:themeColor="background1" w:themeShade="80"/>
          <w:sz w:val="22"/>
          <w:szCs w:val="22"/>
        </w:rPr>
        <w:t>:</w:t>
      </w:r>
      <w:r w:rsidR="00D95023">
        <w:rPr>
          <w:rFonts w:ascii="Avenir Next" w:hAnsi="Avenir Next" w:cs="Arial"/>
          <w:color w:val="808080" w:themeColor="background1" w:themeShade="80"/>
          <w:sz w:val="22"/>
          <w:szCs w:val="22"/>
        </w:rPr>
        <w:t xml:space="preserve"> The </w:t>
      </w:r>
      <w:r w:rsidR="00B45997">
        <w:rPr>
          <w:rFonts w:ascii="Avenir Next" w:hAnsi="Avenir Next" w:cs="Arial"/>
          <w:color w:val="808080" w:themeColor="background1" w:themeShade="80"/>
          <w:sz w:val="22"/>
          <w:szCs w:val="22"/>
        </w:rPr>
        <w:t>R</w:t>
      </w:r>
      <w:r w:rsidR="00B45997" w:rsidRPr="00B45997">
        <w:rPr>
          <w:rFonts w:ascii="Avenir Next" w:hAnsi="Avenir Next" w:cs="Arial"/>
          <w:color w:val="808080" w:themeColor="background1" w:themeShade="80"/>
          <w:sz w:val="22"/>
          <w:szCs w:val="22"/>
        </w:rPr>
        <w:t>egulation (EC) No 1346/2000 of 29 May 2000</w:t>
      </w:r>
      <w:r w:rsidR="00B45997">
        <w:rPr>
          <w:rFonts w:ascii="Avenir Next" w:hAnsi="Avenir Next" w:cs="Arial"/>
          <w:color w:val="808080" w:themeColor="background1" w:themeShade="80"/>
          <w:sz w:val="22"/>
          <w:szCs w:val="22"/>
        </w:rPr>
        <w:t xml:space="preserve"> (E</w:t>
      </w:r>
      <w:r w:rsidR="001D257C">
        <w:rPr>
          <w:rFonts w:ascii="Avenir Next" w:hAnsi="Avenir Next" w:cs="Arial"/>
          <w:color w:val="808080" w:themeColor="background1" w:themeShade="80"/>
          <w:sz w:val="22"/>
          <w:szCs w:val="22"/>
        </w:rPr>
        <w:t xml:space="preserve">IR 2000), under Article 3, a main insolvency proceeding could be opened in </w:t>
      </w:r>
      <w:r w:rsidR="005E3FA0">
        <w:rPr>
          <w:rFonts w:ascii="Avenir Next" w:hAnsi="Avenir Next" w:cs="Arial"/>
          <w:color w:val="808080" w:themeColor="background1" w:themeShade="80"/>
          <w:sz w:val="22"/>
          <w:szCs w:val="22"/>
        </w:rPr>
        <w:t xml:space="preserve">the member state where the debtor has its center of main interest (COMI), while territorial or secondary proceedings could be opened in states where the debtor had an </w:t>
      </w:r>
      <w:r w:rsidR="00FF4AE3">
        <w:rPr>
          <w:rFonts w:ascii="Avenir Next" w:hAnsi="Avenir Next" w:cs="Arial"/>
          <w:color w:val="808080" w:themeColor="background1" w:themeShade="80"/>
          <w:sz w:val="22"/>
          <w:szCs w:val="22"/>
        </w:rPr>
        <w:t>‘</w:t>
      </w:r>
      <w:r w:rsidR="005E3FA0">
        <w:rPr>
          <w:rFonts w:ascii="Avenir Next" w:hAnsi="Avenir Next" w:cs="Arial"/>
          <w:color w:val="808080" w:themeColor="background1" w:themeShade="80"/>
          <w:sz w:val="22"/>
          <w:szCs w:val="22"/>
        </w:rPr>
        <w:t>establishment</w:t>
      </w:r>
      <w:r w:rsidR="00FF4AE3">
        <w:rPr>
          <w:rFonts w:ascii="Avenir Next" w:hAnsi="Avenir Next" w:cs="Arial"/>
          <w:color w:val="808080" w:themeColor="background1" w:themeShade="80"/>
          <w:sz w:val="22"/>
          <w:szCs w:val="22"/>
        </w:rPr>
        <w:t>’</w:t>
      </w:r>
      <w:r w:rsidR="005E3FA0">
        <w:rPr>
          <w:rFonts w:ascii="Avenir Next" w:hAnsi="Avenir Next" w:cs="Arial"/>
          <w:color w:val="808080" w:themeColor="background1" w:themeShade="80"/>
          <w:sz w:val="22"/>
          <w:szCs w:val="22"/>
        </w:rPr>
        <w:t>. Furthermore, the COMI was simply assumed to be the place where the debtor has its registered office, in the absence of any proof to the contrary</w:t>
      </w:r>
      <w:r w:rsidR="005E3FA0">
        <w:rPr>
          <w:rStyle w:val="FootnoteReference"/>
          <w:rFonts w:ascii="Avenir Next" w:hAnsi="Avenir Next" w:cs="Arial"/>
          <w:color w:val="808080" w:themeColor="background1" w:themeShade="80"/>
          <w:sz w:val="22"/>
          <w:szCs w:val="22"/>
        </w:rPr>
        <w:footnoteReference w:id="22"/>
      </w:r>
      <w:r w:rsidR="00AA651B">
        <w:rPr>
          <w:rFonts w:ascii="Avenir Next" w:hAnsi="Avenir Next" w:cs="Arial"/>
          <w:color w:val="808080" w:themeColor="background1" w:themeShade="80"/>
          <w:sz w:val="22"/>
          <w:szCs w:val="22"/>
        </w:rPr>
        <w:t xml:space="preserve">. </w:t>
      </w:r>
      <w:r w:rsidR="008046DC">
        <w:rPr>
          <w:rFonts w:ascii="Avenir Next" w:hAnsi="Avenir Next" w:cs="Arial"/>
          <w:color w:val="808080" w:themeColor="background1" w:themeShade="80"/>
          <w:sz w:val="22"/>
          <w:szCs w:val="22"/>
        </w:rPr>
        <w:t>Moreover,</w:t>
      </w:r>
      <w:r w:rsidR="001E7DDE">
        <w:rPr>
          <w:rFonts w:ascii="Avenir Next" w:hAnsi="Avenir Next" w:cs="Arial"/>
          <w:color w:val="808080" w:themeColor="background1" w:themeShade="80"/>
          <w:sz w:val="22"/>
          <w:szCs w:val="22"/>
        </w:rPr>
        <w:t xml:space="preserve"> the EIR 2000 did not provide a </w:t>
      </w:r>
      <w:r w:rsidR="004D22BE">
        <w:rPr>
          <w:rFonts w:ascii="Avenir Next" w:hAnsi="Avenir Next" w:cs="Arial"/>
          <w:color w:val="808080" w:themeColor="background1" w:themeShade="80"/>
          <w:sz w:val="22"/>
          <w:szCs w:val="22"/>
        </w:rPr>
        <w:t xml:space="preserve">definition </w:t>
      </w:r>
      <w:r w:rsidR="00524B92">
        <w:rPr>
          <w:rFonts w:ascii="Avenir Next" w:hAnsi="Avenir Next" w:cs="Arial"/>
          <w:color w:val="808080" w:themeColor="background1" w:themeShade="80"/>
          <w:sz w:val="22"/>
          <w:szCs w:val="22"/>
        </w:rPr>
        <w:t xml:space="preserve">of COMI and only provided a non-binding guidance in the recitals. </w:t>
      </w:r>
      <w:r w:rsidR="00C36925">
        <w:rPr>
          <w:rFonts w:ascii="Avenir Next" w:hAnsi="Avenir Next" w:cs="Arial"/>
          <w:color w:val="808080" w:themeColor="background1" w:themeShade="80"/>
          <w:sz w:val="22"/>
          <w:szCs w:val="22"/>
        </w:rPr>
        <w:t xml:space="preserve">Further, there </w:t>
      </w:r>
      <w:r w:rsidR="00EE5ED0">
        <w:rPr>
          <w:rFonts w:ascii="Avenir Next" w:hAnsi="Avenir Next" w:cs="Arial"/>
          <w:color w:val="808080" w:themeColor="background1" w:themeShade="80"/>
          <w:sz w:val="22"/>
          <w:szCs w:val="22"/>
        </w:rPr>
        <w:t xml:space="preserve">came about increasing examples of businesses, that had their registered office in one member state, while </w:t>
      </w:r>
      <w:r w:rsidR="008046DC">
        <w:rPr>
          <w:rFonts w:ascii="Avenir Next" w:hAnsi="Avenir Next" w:cs="Arial"/>
          <w:color w:val="808080" w:themeColor="background1" w:themeShade="80"/>
          <w:sz w:val="22"/>
          <w:szCs w:val="22"/>
        </w:rPr>
        <w:t>their</w:t>
      </w:r>
      <w:r w:rsidR="00EE5ED0">
        <w:rPr>
          <w:rFonts w:ascii="Avenir Next" w:hAnsi="Avenir Next" w:cs="Arial"/>
          <w:color w:val="808080" w:themeColor="background1" w:themeShade="80"/>
          <w:sz w:val="22"/>
          <w:szCs w:val="22"/>
        </w:rPr>
        <w:t xml:space="preserve"> center of main interest was in another member state, mainly because there was no restriction </w:t>
      </w:r>
      <w:r w:rsidR="00EE5ED0">
        <w:rPr>
          <w:rFonts w:ascii="Avenir Next" w:hAnsi="Avenir Next" w:cs="Arial"/>
          <w:color w:val="808080" w:themeColor="background1" w:themeShade="80"/>
          <w:sz w:val="22"/>
          <w:szCs w:val="22"/>
        </w:rPr>
        <w:lastRenderedPageBreak/>
        <w:t>of establishment within the EU</w:t>
      </w:r>
      <w:r w:rsidR="002E1B2B">
        <w:rPr>
          <w:rFonts w:ascii="Avenir Next" w:hAnsi="Avenir Next" w:cs="Arial"/>
          <w:color w:val="808080" w:themeColor="background1" w:themeShade="80"/>
          <w:sz w:val="22"/>
          <w:szCs w:val="22"/>
        </w:rPr>
        <w:t xml:space="preserve">. </w:t>
      </w:r>
      <w:r w:rsidR="00D66805">
        <w:rPr>
          <w:rFonts w:ascii="Avenir Next" w:hAnsi="Avenir Next" w:cs="Arial"/>
          <w:color w:val="808080" w:themeColor="background1" w:themeShade="80"/>
          <w:sz w:val="22"/>
          <w:szCs w:val="22"/>
        </w:rPr>
        <w:t xml:space="preserve">What also became clear was abuse of this freedom. For instances, </w:t>
      </w:r>
      <w:r w:rsidR="003E2FB3">
        <w:rPr>
          <w:rFonts w:ascii="Avenir Next" w:hAnsi="Avenir Next" w:cs="Arial"/>
          <w:color w:val="808080" w:themeColor="background1" w:themeShade="80"/>
          <w:sz w:val="22"/>
          <w:szCs w:val="22"/>
        </w:rPr>
        <w:t xml:space="preserve">a company opened an establishment in the United Kingdom, to evade the Dutch Law, which was said to be more severe. </w:t>
      </w:r>
      <w:r w:rsidR="00EA3002">
        <w:rPr>
          <w:rFonts w:ascii="Avenir Next" w:hAnsi="Avenir Next" w:cs="Arial"/>
          <w:color w:val="808080" w:themeColor="background1" w:themeShade="80"/>
          <w:sz w:val="22"/>
          <w:szCs w:val="22"/>
        </w:rPr>
        <w:t>However, the Amsterdam Court</w:t>
      </w:r>
      <w:r w:rsidR="00E50A5B">
        <w:rPr>
          <w:rFonts w:ascii="Avenir Next" w:hAnsi="Avenir Next" w:cs="Arial"/>
          <w:color w:val="808080" w:themeColor="background1" w:themeShade="80"/>
          <w:sz w:val="22"/>
          <w:szCs w:val="22"/>
        </w:rPr>
        <w:t xml:space="preserve"> in the matter, of Inspire Art</w:t>
      </w:r>
      <w:r w:rsidR="00662232">
        <w:rPr>
          <w:rStyle w:val="FootnoteReference"/>
          <w:rFonts w:ascii="Avenir Next" w:hAnsi="Avenir Next" w:cs="Arial"/>
          <w:color w:val="808080" w:themeColor="background1" w:themeShade="80"/>
          <w:sz w:val="22"/>
          <w:szCs w:val="22"/>
        </w:rPr>
        <w:footnoteReference w:id="23"/>
      </w:r>
      <w:r w:rsidR="00E50A5B">
        <w:rPr>
          <w:rFonts w:ascii="Avenir Next" w:hAnsi="Avenir Next" w:cs="Arial"/>
          <w:color w:val="808080" w:themeColor="background1" w:themeShade="80"/>
          <w:sz w:val="22"/>
          <w:szCs w:val="22"/>
        </w:rPr>
        <w:t>, opined that</w:t>
      </w:r>
      <w:r w:rsidR="00926CCC" w:rsidRPr="009B2067">
        <w:rPr>
          <w:rFonts w:ascii="Avenir Next" w:hAnsi="Avenir Next" w:cs="Arial"/>
          <w:color w:val="808080" w:themeColor="background1" w:themeShade="80"/>
          <w:sz w:val="22"/>
          <w:szCs w:val="22"/>
        </w:rPr>
        <w:t xml:space="preserve"> “</w:t>
      </w:r>
      <w:r w:rsidR="00926CCC" w:rsidRPr="00FF4AE3">
        <w:rPr>
          <w:rFonts w:ascii="Avenir Next" w:hAnsi="Avenir Next" w:cs="Arial"/>
          <w:i/>
          <w:iCs/>
          <w:color w:val="808080" w:themeColor="background1" w:themeShade="80"/>
          <w:sz w:val="22"/>
          <w:szCs w:val="22"/>
        </w:rPr>
        <w:t>if a company does not conduct any business in the member state in which it has its registered office and pursues its activities only or principally in the member state where its branch is established is not sufficient to prove the existence of abuse or fraudulent conduct which would entitle the latter member state to deny that company the benefit of the provisions of community law relating to the right of establishment</w:t>
      </w:r>
      <w:r w:rsidR="00662232">
        <w:rPr>
          <w:rFonts w:ascii="Avenir Next" w:hAnsi="Avenir Next" w:cs="Arial"/>
          <w:color w:val="808080" w:themeColor="background1" w:themeShade="80"/>
          <w:sz w:val="22"/>
          <w:szCs w:val="22"/>
        </w:rPr>
        <w:t>.</w:t>
      </w:r>
      <w:r w:rsidR="00926CCC" w:rsidRPr="009B2067">
        <w:rPr>
          <w:rFonts w:ascii="Avenir Next" w:hAnsi="Avenir Next" w:cs="Arial"/>
          <w:color w:val="808080" w:themeColor="background1" w:themeShade="80"/>
          <w:sz w:val="22"/>
          <w:szCs w:val="22"/>
        </w:rPr>
        <w:t>”</w:t>
      </w:r>
      <w:r w:rsidR="00662232">
        <w:rPr>
          <w:rStyle w:val="FootnoteReference"/>
          <w:rFonts w:ascii="Avenir Next" w:hAnsi="Avenir Next" w:cs="Arial"/>
          <w:color w:val="808080" w:themeColor="background1" w:themeShade="80"/>
          <w:sz w:val="22"/>
          <w:szCs w:val="22"/>
        </w:rPr>
        <w:footnoteReference w:id="24"/>
      </w:r>
      <w:r w:rsidR="00662232">
        <w:rPr>
          <w:rFonts w:ascii="Avenir Next" w:hAnsi="Avenir Next" w:cs="Arial"/>
          <w:color w:val="808080" w:themeColor="background1" w:themeShade="80"/>
          <w:sz w:val="22"/>
          <w:szCs w:val="22"/>
        </w:rPr>
        <w:t xml:space="preserve">. In the said matter the right of establishment was not hampered but the court </w:t>
      </w:r>
      <w:r w:rsidR="001D29E7">
        <w:rPr>
          <w:rFonts w:ascii="Avenir Next" w:hAnsi="Avenir Next" w:cs="Arial"/>
          <w:color w:val="808080" w:themeColor="background1" w:themeShade="80"/>
          <w:sz w:val="22"/>
          <w:szCs w:val="22"/>
        </w:rPr>
        <w:t xml:space="preserve">did </w:t>
      </w:r>
      <w:r w:rsidR="0095549F">
        <w:rPr>
          <w:rFonts w:ascii="Avenir Next" w:hAnsi="Avenir Next" w:cs="Arial"/>
          <w:color w:val="808080" w:themeColor="background1" w:themeShade="80"/>
          <w:sz w:val="22"/>
          <w:szCs w:val="22"/>
        </w:rPr>
        <w:t>qualify the said right by ruling “</w:t>
      </w:r>
      <w:r w:rsidR="0095549F" w:rsidRPr="00FF4AE3">
        <w:rPr>
          <w:rFonts w:ascii="Avenir Next" w:hAnsi="Avenir Next" w:cs="Arial"/>
          <w:i/>
          <w:iCs/>
          <w:color w:val="808080" w:themeColor="background1" w:themeShade="80"/>
          <w:sz w:val="22"/>
          <w:szCs w:val="22"/>
        </w:rPr>
        <w:t>save where the existence of an abuse is established on a case-by-case basis</w:t>
      </w:r>
      <w:r w:rsidR="0095549F">
        <w:rPr>
          <w:rFonts w:ascii="Avenir Next" w:hAnsi="Avenir Next" w:cs="Arial"/>
          <w:color w:val="808080" w:themeColor="background1" w:themeShade="80"/>
          <w:sz w:val="22"/>
          <w:szCs w:val="22"/>
        </w:rPr>
        <w:t>”</w:t>
      </w:r>
      <w:r w:rsidR="0095549F">
        <w:rPr>
          <w:rStyle w:val="FootnoteReference"/>
          <w:rFonts w:ascii="Avenir Next" w:hAnsi="Avenir Next" w:cs="Arial"/>
          <w:color w:val="808080" w:themeColor="background1" w:themeShade="80"/>
          <w:sz w:val="22"/>
          <w:szCs w:val="22"/>
        </w:rPr>
        <w:footnoteReference w:id="25"/>
      </w:r>
      <w:r w:rsidR="007F2C04">
        <w:rPr>
          <w:rFonts w:ascii="Avenir Next" w:hAnsi="Avenir Next" w:cs="Arial"/>
          <w:color w:val="808080" w:themeColor="background1" w:themeShade="80"/>
          <w:sz w:val="22"/>
          <w:szCs w:val="22"/>
        </w:rPr>
        <w:t xml:space="preserve">. This </w:t>
      </w:r>
      <w:r w:rsidR="00F12888">
        <w:rPr>
          <w:rFonts w:ascii="Avenir Next" w:hAnsi="Avenir Next" w:cs="Arial"/>
          <w:color w:val="808080" w:themeColor="background1" w:themeShade="80"/>
          <w:sz w:val="22"/>
          <w:szCs w:val="22"/>
        </w:rPr>
        <w:t xml:space="preserve">aspect of the on-going economic integration was addressed in the EIR Recast, firstly by defining COMI, </w:t>
      </w:r>
      <w:r w:rsidR="006562AA">
        <w:rPr>
          <w:rFonts w:ascii="Avenir Next" w:hAnsi="Avenir Next" w:cs="Arial"/>
          <w:color w:val="808080" w:themeColor="background1" w:themeShade="80"/>
          <w:sz w:val="22"/>
          <w:szCs w:val="22"/>
        </w:rPr>
        <w:t xml:space="preserve">and then making the presumption of COMI </w:t>
      </w:r>
      <w:r w:rsidR="00260052">
        <w:rPr>
          <w:rFonts w:ascii="Avenir Next" w:hAnsi="Avenir Next" w:cs="Arial"/>
          <w:color w:val="808080" w:themeColor="background1" w:themeShade="80"/>
          <w:sz w:val="22"/>
          <w:szCs w:val="22"/>
        </w:rPr>
        <w:t xml:space="preserve">comparatively more </w:t>
      </w:r>
      <w:r w:rsidR="00F0312A">
        <w:rPr>
          <w:rFonts w:ascii="Avenir Next" w:hAnsi="Avenir Next" w:cs="Arial"/>
          <w:color w:val="808080" w:themeColor="background1" w:themeShade="80"/>
          <w:sz w:val="22"/>
          <w:szCs w:val="22"/>
        </w:rPr>
        <w:t>rebuttable</w:t>
      </w:r>
      <w:r w:rsidR="006562AA">
        <w:rPr>
          <w:rFonts w:ascii="Avenir Next" w:hAnsi="Avenir Next" w:cs="Arial"/>
          <w:color w:val="808080" w:themeColor="background1" w:themeShade="80"/>
          <w:sz w:val="22"/>
          <w:szCs w:val="22"/>
        </w:rPr>
        <w:t xml:space="preserve"> and to be ascertainable from the eyes of </w:t>
      </w:r>
      <w:r w:rsidR="00F0312A">
        <w:rPr>
          <w:rFonts w:ascii="Avenir Next" w:hAnsi="Avenir Next" w:cs="Arial"/>
          <w:color w:val="808080" w:themeColor="background1" w:themeShade="80"/>
          <w:sz w:val="22"/>
          <w:szCs w:val="22"/>
        </w:rPr>
        <w:t>a third party</w:t>
      </w:r>
      <w:r w:rsidR="00E1675D">
        <w:rPr>
          <w:rFonts w:ascii="Avenir Next" w:hAnsi="Avenir Next" w:cs="Arial"/>
          <w:color w:val="808080" w:themeColor="background1" w:themeShade="80"/>
          <w:sz w:val="22"/>
          <w:szCs w:val="22"/>
        </w:rPr>
        <w:t xml:space="preserve"> (mainly creditors)</w:t>
      </w:r>
      <w:r w:rsidR="0070433D">
        <w:rPr>
          <w:rFonts w:ascii="Avenir Next" w:hAnsi="Avenir Next" w:cs="Arial"/>
          <w:color w:val="808080" w:themeColor="background1" w:themeShade="80"/>
          <w:sz w:val="22"/>
          <w:szCs w:val="22"/>
        </w:rPr>
        <w:t xml:space="preserve">, which the court has to assess in a comprehensive manner. The same is </w:t>
      </w:r>
      <w:r w:rsidR="0070433D">
        <w:rPr>
          <w:rFonts w:ascii="Avenir Next" w:hAnsi="Avenir Next" w:cs="Arial"/>
          <w:color w:val="808080" w:themeColor="background1" w:themeShade="80"/>
          <w:sz w:val="22"/>
          <w:szCs w:val="22"/>
          <w:lang w:val="en-GB"/>
        </w:rPr>
        <w:t>in Recital 30</w:t>
      </w:r>
      <w:r w:rsidR="0070433D" w:rsidRPr="00B76F28">
        <w:rPr>
          <w:rFonts w:ascii="Avenir Next" w:hAnsi="Avenir Next" w:cs="Arial"/>
          <w:color w:val="808080" w:themeColor="background1" w:themeShade="80"/>
          <w:sz w:val="22"/>
          <w:szCs w:val="22"/>
          <w:lang w:val="en-GB"/>
        </w:rPr>
        <w:t xml:space="preserve"> </w:t>
      </w:r>
      <w:r w:rsidR="0070433D">
        <w:rPr>
          <w:rFonts w:ascii="Avenir Next" w:hAnsi="Avenir Next" w:cs="Arial"/>
          <w:color w:val="808080" w:themeColor="background1" w:themeShade="80"/>
          <w:sz w:val="22"/>
          <w:szCs w:val="22"/>
          <w:lang w:val="en-GB"/>
        </w:rPr>
        <w:t xml:space="preserve">of the EIR Recast, with further explanations in Recital 31-34. The EIR Recast has further added a ‘suspect period’ </w:t>
      </w:r>
      <w:r w:rsidR="00982DFC">
        <w:rPr>
          <w:rFonts w:ascii="Avenir Next" w:hAnsi="Avenir Next" w:cs="Arial"/>
          <w:color w:val="808080" w:themeColor="background1" w:themeShade="80"/>
          <w:sz w:val="22"/>
          <w:szCs w:val="22"/>
          <w:lang w:val="en-GB"/>
        </w:rPr>
        <w:t>to further rebut the presumption</w:t>
      </w:r>
      <w:r w:rsidR="00982DFC">
        <w:rPr>
          <w:rStyle w:val="FootnoteReference"/>
          <w:rFonts w:ascii="Avenir Next" w:hAnsi="Avenir Next" w:cs="Arial"/>
          <w:color w:val="808080" w:themeColor="background1" w:themeShade="80"/>
          <w:sz w:val="22"/>
          <w:szCs w:val="22"/>
          <w:lang w:val="en-GB"/>
        </w:rPr>
        <w:footnoteReference w:id="26"/>
      </w:r>
      <w:r w:rsidR="008046DC">
        <w:rPr>
          <w:rFonts w:ascii="Avenir Next" w:hAnsi="Avenir Next" w:cs="Arial"/>
          <w:color w:val="808080" w:themeColor="background1" w:themeShade="80"/>
          <w:sz w:val="22"/>
          <w:szCs w:val="22"/>
          <w:lang w:val="en-GB"/>
        </w:rPr>
        <w:t>.</w:t>
      </w:r>
    </w:p>
    <w:p w14:paraId="6A812A11" w14:textId="77777777" w:rsidR="00B779CE" w:rsidRDefault="00B779CE" w:rsidP="00B779CE">
      <w:pPr>
        <w:jc w:val="both"/>
        <w:rPr>
          <w:rFonts w:ascii="Avenir Next" w:hAnsi="Avenir Next" w:cs="Arial"/>
          <w:color w:val="808080" w:themeColor="background1" w:themeShade="80"/>
          <w:sz w:val="22"/>
          <w:szCs w:val="22"/>
        </w:rPr>
      </w:pPr>
    </w:p>
    <w:p w14:paraId="00B3C10E" w14:textId="4C4AEEE9" w:rsidR="00B779CE" w:rsidRDefault="00B779CE" w:rsidP="00B779CE">
      <w:pPr>
        <w:pStyle w:val="ListParagraph"/>
        <w:numPr>
          <w:ilvl w:val="0"/>
          <w:numId w:val="34"/>
        </w:numPr>
        <w:jc w:val="both"/>
        <w:rPr>
          <w:rFonts w:ascii="Avenir Next" w:hAnsi="Avenir Next" w:cs="Arial"/>
          <w:color w:val="808080" w:themeColor="background1" w:themeShade="80"/>
          <w:sz w:val="22"/>
          <w:szCs w:val="22"/>
        </w:rPr>
      </w:pPr>
      <w:r w:rsidRPr="00791C8E">
        <w:rPr>
          <w:rFonts w:ascii="Avenir Next" w:hAnsi="Avenir Next" w:cs="Arial"/>
          <w:b/>
          <w:bCs/>
          <w:color w:val="808080" w:themeColor="background1" w:themeShade="80"/>
          <w:sz w:val="22"/>
          <w:szCs w:val="22"/>
        </w:rPr>
        <w:t>Group Insolvencies</w:t>
      </w:r>
      <w:r w:rsidR="007D47A0">
        <w:rPr>
          <w:rFonts w:ascii="Avenir Next" w:hAnsi="Avenir Next" w:cs="Arial"/>
          <w:color w:val="808080" w:themeColor="background1" w:themeShade="80"/>
          <w:sz w:val="22"/>
          <w:szCs w:val="22"/>
        </w:rPr>
        <w:t xml:space="preserve">: EIR 2000, applied </w:t>
      </w:r>
      <w:r w:rsidR="003174FF" w:rsidRPr="00BF77DA">
        <w:rPr>
          <w:rFonts w:ascii="Avenir Next" w:hAnsi="Avenir Next" w:cs="Arial"/>
          <w:color w:val="808080" w:themeColor="background1" w:themeShade="80"/>
          <w:sz w:val="22"/>
          <w:szCs w:val="22"/>
        </w:rPr>
        <w:t>only to single companies and the absence of provisions on group</w:t>
      </w:r>
      <w:r w:rsidR="00FF4AE3">
        <w:rPr>
          <w:rFonts w:ascii="Avenir Next" w:hAnsi="Avenir Next" w:cs="Arial"/>
          <w:color w:val="808080" w:themeColor="background1" w:themeShade="80"/>
          <w:sz w:val="22"/>
          <w:szCs w:val="22"/>
        </w:rPr>
        <w:t xml:space="preserve"> enterprises</w:t>
      </w:r>
      <w:r w:rsidR="003174FF" w:rsidRPr="00BF77DA">
        <w:rPr>
          <w:rFonts w:ascii="Avenir Next" w:hAnsi="Avenir Next" w:cs="Arial"/>
          <w:color w:val="808080" w:themeColor="background1" w:themeShade="80"/>
          <w:sz w:val="22"/>
          <w:szCs w:val="22"/>
        </w:rPr>
        <w:t xml:space="preserve"> cause</w:t>
      </w:r>
      <w:r w:rsidR="00FF4AE3">
        <w:rPr>
          <w:rFonts w:ascii="Avenir Next" w:hAnsi="Avenir Next" w:cs="Arial"/>
          <w:color w:val="808080" w:themeColor="background1" w:themeShade="80"/>
          <w:sz w:val="22"/>
          <w:szCs w:val="22"/>
        </w:rPr>
        <w:t>d</w:t>
      </w:r>
      <w:r w:rsidR="003174FF" w:rsidRPr="00BF77DA">
        <w:rPr>
          <w:rFonts w:ascii="Avenir Next" w:hAnsi="Avenir Next" w:cs="Arial"/>
          <w:color w:val="808080" w:themeColor="background1" w:themeShade="80"/>
          <w:sz w:val="22"/>
          <w:szCs w:val="22"/>
        </w:rPr>
        <w:t xml:space="preserve"> severe problems. In particular, this is the case if the assets of a corporate enterprise are spread over several legal entities or if the businesses of separate legal entities are somehow interlinked</w:t>
      </w:r>
      <w:r w:rsidR="00BF77DA">
        <w:rPr>
          <w:rStyle w:val="FootnoteReference"/>
          <w:rFonts w:ascii="Avenir Next" w:hAnsi="Avenir Next" w:cs="Arial"/>
          <w:color w:val="808080" w:themeColor="background1" w:themeShade="80"/>
          <w:sz w:val="22"/>
          <w:szCs w:val="22"/>
        </w:rPr>
        <w:footnoteReference w:id="27"/>
      </w:r>
      <w:r w:rsidR="00BC7AC2">
        <w:rPr>
          <w:rFonts w:ascii="Avenir Next" w:hAnsi="Avenir Next" w:cs="Arial"/>
          <w:color w:val="808080" w:themeColor="background1" w:themeShade="80"/>
          <w:sz w:val="22"/>
          <w:szCs w:val="22"/>
        </w:rPr>
        <w:t xml:space="preserve">. </w:t>
      </w:r>
      <w:r w:rsidR="003B07B5">
        <w:rPr>
          <w:rFonts w:ascii="Avenir Next" w:hAnsi="Avenir Next" w:cs="Arial"/>
          <w:color w:val="808080" w:themeColor="background1" w:themeShade="80"/>
          <w:sz w:val="22"/>
          <w:szCs w:val="22"/>
        </w:rPr>
        <w:t xml:space="preserve">The European Commission had also debated the various rights the main insolvency practitioner ought to have in relation to the assets and affairs of the group in different member states, such as, </w:t>
      </w:r>
      <w:r w:rsidR="00A470D7">
        <w:rPr>
          <w:rFonts w:ascii="Avenir Next" w:hAnsi="Avenir Next" w:cs="Arial"/>
          <w:color w:val="808080" w:themeColor="background1" w:themeShade="80"/>
          <w:sz w:val="22"/>
          <w:szCs w:val="22"/>
        </w:rPr>
        <w:t>right to stay, right to propose a plan etc</w:t>
      </w:r>
      <w:r w:rsidR="009C298D">
        <w:rPr>
          <w:rFonts w:ascii="Avenir Next" w:hAnsi="Avenir Next" w:cs="Arial"/>
          <w:color w:val="808080" w:themeColor="background1" w:themeShade="80"/>
          <w:sz w:val="22"/>
          <w:szCs w:val="22"/>
        </w:rPr>
        <w:t xml:space="preserve">., which were deemed desirable. </w:t>
      </w:r>
      <w:r w:rsidR="009F63A5">
        <w:rPr>
          <w:rFonts w:ascii="Avenir Next" w:hAnsi="Avenir Next" w:cs="Arial"/>
          <w:color w:val="808080" w:themeColor="background1" w:themeShade="80"/>
          <w:sz w:val="22"/>
          <w:szCs w:val="22"/>
        </w:rPr>
        <w:t xml:space="preserve">Falling from the approach taken in the EIR 2000, </w:t>
      </w:r>
      <w:r w:rsidR="009E26CC">
        <w:rPr>
          <w:rFonts w:ascii="Avenir Next" w:hAnsi="Avenir Next" w:cs="Arial"/>
          <w:color w:val="808080" w:themeColor="background1" w:themeShade="80"/>
          <w:sz w:val="22"/>
          <w:szCs w:val="22"/>
        </w:rPr>
        <w:t xml:space="preserve">the </w:t>
      </w:r>
      <w:r w:rsidR="001557A7">
        <w:rPr>
          <w:rFonts w:ascii="Avenir Next" w:hAnsi="Avenir Next" w:cs="Arial"/>
          <w:color w:val="808080" w:themeColor="background1" w:themeShade="80"/>
          <w:sz w:val="22"/>
          <w:szCs w:val="22"/>
        </w:rPr>
        <w:t xml:space="preserve">Court of Justice of the European Union (CJEU) was also heavily </w:t>
      </w:r>
      <w:r w:rsidR="00372A3B">
        <w:rPr>
          <w:rFonts w:ascii="Avenir Next" w:hAnsi="Avenir Next" w:cs="Arial"/>
          <w:color w:val="808080" w:themeColor="background1" w:themeShade="80"/>
          <w:sz w:val="22"/>
          <w:szCs w:val="22"/>
        </w:rPr>
        <w:t>criticized due to its entity-wise approach in dealing with bigger group insolvency</w:t>
      </w:r>
      <w:r w:rsidR="00372A3B">
        <w:rPr>
          <w:rStyle w:val="FootnoteReference"/>
          <w:rFonts w:ascii="Avenir Next" w:hAnsi="Avenir Next" w:cs="Arial"/>
          <w:color w:val="808080" w:themeColor="background1" w:themeShade="80"/>
          <w:sz w:val="22"/>
          <w:szCs w:val="22"/>
        </w:rPr>
        <w:footnoteReference w:id="28"/>
      </w:r>
      <w:r w:rsidR="005D77DA">
        <w:rPr>
          <w:rFonts w:ascii="Avenir Next" w:hAnsi="Avenir Next" w:cs="Arial"/>
          <w:color w:val="808080" w:themeColor="background1" w:themeShade="80"/>
          <w:sz w:val="22"/>
          <w:szCs w:val="22"/>
        </w:rPr>
        <w:t>, which did not lead to a maximization of the value of the business enterprise for all the stakeholders and also blatantly ignored the intricacies, nuances and complexity of that kind of a truly cross-border/global enterprise. In contract, the EIR Recast has incorporate an entire chapter</w:t>
      </w:r>
      <w:r w:rsidR="005D77DA">
        <w:rPr>
          <w:rStyle w:val="FootnoteReference"/>
          <w:rFonts w:ascii="Avenir Next" w:hAnsi="Avenir Next" w:cs="Arial"/>
          <w:color w:val="808080" w:themeColor="background1" w:themeShade="80"/>
          <w:sz w:val="22"/>
          <w:szCs w:val="22"/>
        </w:rPr>
        <w:footnoteReference w:id="29"/>
      </w:r>
      <w:r w:rsidR="00566942">
        <w:rPr>
          <w:rFonts w:ascii="Avenir Next" w:hAnsi="Avenir Next" w:cs="Arial"/>
          <w:color w:val="808080" w:themeColor="background1" w:themeShade="80"/>
          <w:sz w:val="22"/>
          <w:szCs w:val="22"/>
        </w:rPr>
        <w:t xml:space="preserve"> and to being with a very broad definitions of ‘group of companies’, ‘control’. Under Recital 53, there has been plugged an enabler which can </w:t>
      </w:r>
      <w:r w:rsidR="00791C8E">
        <w:rPr>
          <w:rFonts w:ascii="Avenir Next" w:hAnsi="Avenir Next" w:cs="Arial"/>
          <w:color w:val="808080" w:themeColor="background1" w:themeShade="80"/>
          <w:sz w:val="22"/>
          <w:szCs w:val="22"/>
        </w:rPr>
        <w:t>possibly</w:t>
      </w:r>
      <w:r w:rsidR="00566942">
        <w:rPr>
          <w:rFonts w:ascii="Avenir Next" w:hAnsi="Avenir Next" w:cs="Arial"/>
          <w:color w:val="808080" w:themeColor="background1" w:themeShade="80"/>
          <w:sz w:val="22"/>
          <w:szCs w:val="22"/>
        </w:rPr>
        <w:t xml:space="preserve"> determine the COMI of the whole group. </w:t>
      </w:r>
      <w:r w:rsidR="00C92A95">
        <w:rPr>
          <w:rFonts w:ascii="Avenir Next" w:hAnsi="Avenir Next" w:cs="Arial"/>
          <w:color w:val="808080" w:themeColor="background1" w:themeShade="80"/>
          <w:sz w:val="22"/>
          <w:szCs w:val="22"/>
        </w:rPr>
        <w:t>Further, detailed rule</w:t>
      </w:r>
      <w:r w:rsidR="00322E87">
        <w:rPr>
          <w:rFonts w:ascii="Avenir Next" w:hAnsi="Avenir Next" w:cs="Arial"/>
          <w:color w:val="808080" w:themeColor="background1" w:themeShade="80"/>
          <w:sz w:val="22"/>
          <w:szCs w:val="22"/>
        </w:rPr>
        <w:t>s</w:t>
      </w:r>
      <w:r w:rsidR="00C92A95">
        <w:rPr>
          <w:rFonts w:ascii="Avenir Next" w:hAnsi="Avenir Next" w:cs="Arial"/>
          <w:color w:val="808080" w:themeColor="background1" w:themeShade="80"/>
          <w:sz w:val="22"/>
          <w:szCs w:val="22"/>
        </w:rPr>
        <w:t xml:space="preserve"> for coordination have been introduced</w:t>
      </w:r>
      <w:r w:rsidR="00322E87">
        <w:rPr>
          <w:rStyle w:val="FootnoteReference"/>
          <w:rFonts w:ascii="Avenir Next" w:hAnsi="Avenir Next" w:cs="Arial"/>
          <w:color w:val="808080" w:themeColor="background1" w:themeShade="80"/>
          <w:sz w:val="22"/>
          <w:szCs w:val="22"/>
        </w:rPr>
        <w:footnoteReference w:id="30"/>
      </w:r>
      <w:r w:rsidR="00C92A95">
        <w:rPr>
          <w:rFonts w:ascii="Avenir Next" w:hAnsi="Avenir Next" w:cs="Arial"/>
          <w:color w:val="808080" w:themeColor="background1" w:themeShade="80"/>
          <w:sz w:val="22"/>
          <w:szCs w:val="22"/>
        </w:rPr>
        <w:t xml:space="preserve"> </w:t>
      </w:r>
      <w:r w:rsidR="0081639B">
        <w:rPr>
          <w:rFonts w:ascii="Avenir Next" w:hAnsi="Avenir Next" w:cs="Arial"/>
          <w:color w:val="808080" w:themeColor="background1" w:themeShade="80"/>
          <w:sz w:val="22"/>
          <w:szCs w:val="22"/>
        </w:rPr>
        <w:t xml:space="preserve">, the powers which were debated by the commission have been introduced under </w:t>
      </w:r>
      <w:r w:rsidR="00F32E3F">
        <w:rPr>
          <w:rFonts w:ascii="Avenir Next" w:hAnsi="Avenir Next" w:cs="Arial"/>
          <w:color w:val="808080" w:themeColor="background1" w:themeShade="80"/>
          <w:sz w:val="22"/>
          <w:szCs w:val="22"/>
        </w:rPr>
        <w:t>Article 60, procedural aspects have been taken in account</w:t>
      </w:r>
      <w:r w:rsidR="004E078E">
        <w:rPr>
          <w:rFonts w:ascii="Avenir Next" w:hAnsi="Avenir Next" w:cs="Arial"/>
          <w:color w:val="808080" w:themeColor="background1" w:themeShade="80"/>
          <w:sz w:val="22"/>
          <w:szCs w:val="22"/>
        </w:rPr>
        <w:t xml:space="preserve"> in relation to coordinated court proceedings</w:t>
      </w:r>
      <w:r w:rsidR="00F32E3F">
        <w:rPr>
          <w:rStyle w:val="FootnoteReference"/>
          <w:rFonts w:ascii="Avenir Next" w:hAnsi="Avenir Next" w:cs="Arial"/>
          <w:color w:val="808080" w:themeColor="background1" w:themeShade="80"/>
          <w:sz w:val="22"/>
          <w:szCs w:val="22"/>
        </w:rPr>
        <w:footnoteReference w:id="31"/>
      </w:r>
      <w:r w:rsidR="00F32E3F">
        <w:rPr>
          <w:rFonts w:ascii="Avenir Next" w:hAnsi="Avenir Next" w:cs="Arial"/>
          <w:color w:val="808080" w:themeColor="background1" w:themeShade="80"/>
          <w:sz w:val="22"/>
          <w:szCs w:val="22"/>
        </w:rPr>
        <w:t xml:space="preserve">, </w:t>
      </w:r>
      <w:r w:rsidR="00C92A95">
        <w:rPr>
          <w:rFonts w:ascii="Avenir Next" w:hAnsi="Avenir Next" w:cs="Arial"/>
          <w:color w:val="808080" w:themeColor="background1" w:themeShade="80"/>
          <w:sz w:val="22"/>
          <w:szCs w:val="22"/>
        </w:rPr>
        <w:t>including the concept of a group coordinator</w:t>
      </w:r>
      <w:r w:rsidR="004E078E">
        <w:rPr>
          <w:rStyle w:val="FootnoteReference"/>
          <w:rFonts w:ascii="Avenir Next" w:hAnsi="Avenir Next" w:cs="Arial"/>
          <w:color w:val="808080" w:themeColor="background1" w:themeShade="80"/>
          <w:sz w:val="22"/>
          <w:szCs w:val="22"/>
        </w:rPr>
        <w:footnoteReference w:id="32"/>
      </w:r>
      <w:r w:rsidR="00C92A95">
        <w:rPr>
          <w:rFonts w:ascii="Avenir Next" w:hAnsi="Avenir Next" w:cs="Arial"/>
          <w:color w:val="808080" w:themeColor="background1" w:themeShade="80"/>
          <w:sz w:val="22"/>
          <w:szCs w:val="22"/>
        </w:rPr>
        <w:t>.</w:t>
      </w:r>
      <w:r w:rsidR="00327799">
        <w:rPr>
          <w:rFonts w:ascii="Avenir Next" w:hAnsi="Avenir Next" w:cs="Arial"/>
          <w:color w:val="808080" w:themeColor="background1" w:themeShade="80"/>
          <w:sz w:val="22"/>
          <w:szCs w:val="22"/>
        </w:rPr>
        <w:t xml:space="preserve"> Further concepts of data privacy and protection have also been given statutory relevance. </w:t>
      </w:r>
    </w:p>
    <w:p w14:paraId="6619EF91" w14:textId="77777777" w:rsidR="00FC3ACD" w:rsidRDefault="00FC3ACD" w:rsidP="00FC3ACD">
      <w:pPr>
        <w:jc w:val="both"/>
        <w:rPr>
          <w:rFonts w:ascii="Avenir Next" w:hAnsi="Avenir Next" w:cs="Arial"/>
          <w:color w:val="808080" w:themeColor="background1" w:themeShade="80"/>
          <w:sz w:val="22"/>
          <w:szCs w:val="22"/>
        </w:rPr>
      </w:pPr>
    </w:p>
    <w:p w14:paraId="24DA7E53" w14:textId="05D02B05" w:rsidR="001C4CE6" w:rsidRDefault="00FC3ACD" w:rsidP="000778F9">
      <w:pPr>
        <w:pStyle w:val="ListParagraph"/>
        <w:numPr>
          <w:ilvl w:val="0"/>
          <w:numId w:val="34"/>
        </w:numPr>
        <w:jc w:val="both"/>
        <w:rPr>
          <w:rFonts w:ascii="Avenir Next" w:hAnsi="Avenir Next" w:cs="Arial"/>
          <w:color w:val="808080" w:themeColor="background1" w:themeShade="80"/>
          <w:sz w:val="22"/>
          <w:szCs w:val="22"/>
        </w:rPr>
      </w:pPr>
      <w:r w:rsidRPr="00F7110A">
        <w:rPr>
          <w:rFonts w:ascii="Avenir Next" w:hAnsi="Avenir Next" w:cs="Arial"/>
          <w:b/>
          <w:bCs/>
          <w:color w:val="808080" w:themeColor="background1" w:themeShade="80"/>
          <w:sz w:val="22"/>
          <w:szCs w:val="22"/>
        </w:rPr>
        <w:t>Digitized Insolvency Registers</w:t>
      </w:r>
      <w:r>
        <w:rPr>
          <w:rFonts w:ascii="Avenir Next" w:hAnsi="Avenir Next" w:cs="Arial"/>
          <w:color w:val="808080" w:themeColor="background1" w:themeShade="80"/>
          <w:sz w:val="22"/>
          <w:szCs w:val="22"/>
        </w:rPr>
        <w:t xml:space="preserve">: The EIR 2000, </w:t>
      </w:r>
      <w:r w:rsidR="00F7110A">
        <w:rPr>
          <w:rFonts w:ascii="Avenir Next" w:hAnsi="Avenir Next" w:cs="Arial"/>
          <w:color w:val="808080" w:themeColor="background1" w:themeShade="80"/>
          <w:sz w:val="22"/>
          <w:szCs w:val="22"/>
        </w:rPr>
        <w:t>broadly</w:t>
      </w:r>
      <w:r w:rsidR="000F63B6">
        <w:rPr>
          <w:rFonts w:ascii="Avenir Next" w:hAnsi="Avenir Next" w:cs="Arial"/>
          <w:color w:val="808080" w:themeColor="background1" w:themeShade="80"/>
          <w:sz w:val="22"/>
          <w:szCs w:val="22"/>
        </w:rPr>
        <w:t xml:space="preserve"> speaking did not have the instrumentality of mandating an EU wide </w:t>
      </w:r>
      <w:r w:rsidR="00BA094D">
        <w:rPr>
          <w:rFonts w:ascii="Avenir Next" w:hAnsi="Avenir Next" w:cs="Arial"/>
          <w:color w:val="808080" w:themeColor="background1" w:themeShade="80"/>
          <w:sz w:val="22"/>
          <w:szCs w:val="22"/>
        </w:rPr>
        <w:t xml:space="preserve">insolvency register and mostly the member states had their </w:t>
      </w:r>
      <w:r w:rsidR="00F7110A">
        <w:rPr>
          <w:rFonts w:ascii="Avenir Next" w:hAnsi="Avenir Next" w:cs="Arial"/>
          <w:color w:val="808080" w:themeColor="background1" w:themeShade="80"/>
          <w:sz w:val="22"/>
          <w:szCs w:val="22"/>
        </w:rPr>
        <w:t>own</w:t>
      </w:r>
      <w:r w:rsidR="00BA094D">
        <w:rPr>
          <w:rFonts w:ascii="Avenir Next" w:hAnsi="Avenir Next" w:cs="Arial"/>
          <w:color w:val="808080" w:themeColor="background1" w:themeShade="80"/>
          <w:sz w:val="22"/>
          <w:szCs w:val="22"/>
        </w:rPr>
        <w:t xml:space="preserve"> version of it, whose workings were not streamlined, were mostly in their own state language, </w:t>
      </w:r>
      <w:r w:rsidR="00F7110A">
        <w:rPr>
          <w:rFonts w:ascii="Avenir Next" w:hAnsi="Avenir Next" w:cs="Arial"/>
          <w:color w:val="808080" w:themeColor="background1" w:themeShade="80"/>
          <w:sz w:val="22"/>
          <w:szCs w:val="22"/>
        </w:rPr>
        <w:t>etc.</w:t>
      </w:r>
      <w:r w:rsidR="00DC643E">
        <w:rPr>
          <w:rFonts w:ascii="Avenir Next" w:hAnsi="Avenir Next" w:cs="Arial"/>
          <w:color w:val="808080" w:themeColor="background1" w:themeShade="80"/>
          <w:sz w:val="22"/>
          <w:szCs w:val="22"/>
        </w:rPr>
        <w:t xml:space="preserve"> and there was an inherent lack of a </w:t>
      </w:r>
      <w:r w:rsidR="00F7110A">
        <w:rPr>
          <w:rFonts w:ascii="Avenir Next" w:hAnsi="Avenir Next" w:cs="Arial"/>
          <w:color w:val="808080" w:themeColor="background1" w:themeShade="80"/>
          <w:sz w:val="22"/>
          <w:szCs w:val="22"/>
        </w:rPr>
        <w:t>central</w:t>
      </w:r>
      <w:r w:rsidR="00DC643E">
        <w:rPr>
          <w:rFonts w:ascii="Avenir Next" w:hAnsi="Avenir Next" w:cs="Arial"/>
          <w:color w:val="808080" w:themeColor="background1" w:themeShade="80"/>
          <w:sz w:val="22"/>
          <w:szCs w:val="22"/>
        </w:rPr>
        <w:t xml:space="preserve"> database, which inadvertently, lead to the almost no free flow of timely information between the stakeholder across </w:t>
      </w:r>
      <w:r w:rsidR="001C4CE6">
        <w:rPr>
          <w:rFonts w:ascii="Avenir Next" w:hAnsi="Avenir Next" w:cs="Arial"/>
          <w:color w:val="808080" w:themeColor="background1" w:themeShade="80"/>
          <w:sz w:val="22"/>
          <w:szCs w:val="22"/>
        </w:rPr>
        <w:t xml:space="preserve">the </w:t>
      </w:r>
      <w:r w:rsidR="001C4CE6">
        <w:rPr>
          <w:rFonts w:ascii="Avenir Next" w:hAnsi="Avenir Next" w:cs="Arial"/>
          <w:color w:val="808080" w:themeColor="background1" w:themeShade="80"/>
          <w:sz w:val="22"/>
          <w:szCs w:val="22"/>
        </w:rPr>
        <w:lastRenderedPageBreak/>
        <w:t>member</w:t>
      </w:r>
      <w:r w:rsidR="00DC643E">
        <w:rPr>
          <w:rFonts w:ascii="Avenir Next" w:hAnsi="Avenir Next" w:cs="Arial"/>
          <w:color w:val="808080" w:themeColor="background1" w:themeShade="80"/>
          <w:sz w:val="22"/>
          <w:szCs w:val="22"/>
        </w:rPr>
        <w:t xml:space="preserve"> states, </w:t>
      </w:r>
      <w:r w:rsidR="00F077B4">
        <w:rPr>
          <w:rFonts w:ascii="Avenir Next" w:hAnsi="Avenir Next" w:cs="Arial"/>
          <w:color w:val="808080" w:themeColor="background1" w:themeShade="80"/>
          <w:sz w:val="22"/>
          <w:szCs w:val="22"/>
        </w:rPr>
        <w:t>especially</w:t>
      </w:r>
      <w:r w:rsidR="00DC643E">
        <w:rPr>
          <w:rFonts w:ascii="Avenir Next" w:hAnsi="Avenir Next" w:cs="Arial"/>
          <w:color w:val="808080" w:themeColor="background1" w:themeShade="80"/>
          <w:sz w:val="22"/>
          <w:szCs w:val="22"/>
        </w:rPr>
        <w:t xml:space="preserve"> the creditors. The drawback of the aforementioned </w:t>
      </w:r>
      <w:r w:rsidR="00F077B4">
        <w:rPr>
          <w:rFonts w:ascii="Avenir Next" w:hAnsi="Avenir Next" w:cs="Arial"/>
          <w:color w:val="808080" w:themeColor="background1" w:themeShade="80"/>
          <w:sz w:val="22"/>
          <w:szCs w:val="22"/>
        </w:rPr>
        <w:t>weakness</w:t>
      </w:r>
      <w:r w:rsidR="00DC643E">
        <w:rPr>
          <w:rFonts w:ascii="Avenir Next" w:hAnsi="Avenir Next" w:cs="Arial"/>
          <w:color w:val="808080" w:themeColor="background1" w:themeShade="80"/>
          <w:sz w:val="22"/>
          <w:szCs w:val="22"/>
        </w:rPr>
        <w:t>, being instances of the creditors missing out on filing the claim forms</w:t>
      </w:r>
      <w:r w:rsidR="00F077B4">
        <w:rPr>
          <w:rFonts w:ascii="Avenir Next" w:hAnsi="Avenir Next" w:cs="Arial"/>
          <w:color w:val="808080" w:themeColor="background1" w:themeShade="80"/>
          <w:sz w:val="22"/>
          <w:szCs w:val="22"/>
        </w:rPr>
        <w:t xml:space="preserve">, which would result in either completely missing out or having a lesser priority in the waterfall or facing penalties. This was also discussed in the backdrop of the introduction of the </w:t>
      </w:r>
      <w:r w:rsidR="003A17F9">
        <w:rPr>
          <w:rFonts w:ascii="Avenir Next" w:hAnsi="Avenir Next" w:cs="Arial"/>
          <w:color w:val="808080" w:themeColor="background1" w:themeShade="80"/>
          <w:sz w:val="22"/>
          <w:szCs w:val="22"/>
        </w:rPr>
        <w:t xml:space="preserve">European e-Justice Portal, and it was discussed that national </w:t>
      </w:r>
      <w:r w:rsidR="001C4CE6" w:rsidRPr="001C4CE6">
        <w:rPr>
          <w:rFonts w:ascii="Avenir Next" w:hAnsi="Avenir Next" w:cs="Arial"/>
          <w:color w:val="808080" w:themeColor="background1" w:themeShade="80"/>
          <w:sz w:val="22"/>
          <w:szCs w:val="22"/>
        </w:rPr>
        <w:t>insolvency judgments and relevant orders could be made available on the E−Justice portal to widespread advantage within the EU</w:t>
      </w:r>
      <w:r w:rsidR="001C4CE6">
        <w:rPr>
          <w:rStyle w:val="FootnoteReference"/>
          <w:rFonts w:ascii="Avenir Next" w:hAnsi="Avenir Next" w:cs="Arial"/>
          <w:color w:val="808080" w:themeColor="background1" w:themeShade="80"/>
          <w:sz w:val="22"/>
          <w:szCs w:val="22"/>
        </w:rPr>
        <w:footnoteReference w:id="33"/>
      </w:r>
      <w:r w:rsidR="000778F9" w:rsidRPr="000778F9">
        <w:rPr>
          <w:rFonts w:ascii="Avenir Next" w:hAnsi="Avenir Next" w:cs="Arial"/>
          <w:color w:val="808080" w:themeColor="background1" w:themeShade="80"/>
          <w:sz w:val="22"/>
          <w:szCs w:val="22"/>
        </w:rPr>
        <w:t xml:space="preserve">. </w:t>
      </w:r>
      <w:r w:rsidR="000778F9">
        <w:rPr>
          <w:rFonts w:ascii="Avenir Next" w:hAnsi="Avenir Next" w:cs="Arial"/>
          <w:color w:val="808080" w:themeColor="background1" w:themeShade="80"/>
          <w:sz w:val="22"/>
          <w:szCs w:val="22"/>
        </w:rPr>
        <w:t>Accordingly, the EIR Recast has been a huge leap forward</w:t>
      </w:r>
      <w:r w:rsidR="00D87F94">
        <w:rPr>
          <w:rFonts w:ascii="Avenir Next" w:hAnsi="Avenir Next" w:cs="Arial"/>
          <w:color w:val="808080" w:themeColor="background1" w:themeShade="80"/>
          <w:sz w:val="22"/>
          <w:szCs w:val="22"/>
        </w:rPr>
        <w:t xml:space="preserve"> as it states “</w:t>
      </w:r>
      <w:r w:rsidR="00D87F94" w:rsidRPr="00D976BA">
        <w:rPr>
          <w:rFonts w:ascii="Avenir Next" w:hAnsi="Avenir Next" w:cs="Arial"/>
          <w:i/>
          <w:iCs/>
          <w:color w:val="808080" w:themeColor="background1" w:themeShade="80"/>
          <w:sz w:val="22"/>
          <w:szCs w:val="22"/>
        </w:rPr>
        <w:t>In order to improve the provision of information to relevant creditors and courts and to prevent the opening of parallel insolvency proceedings, Member States should be required to publish relevant information in cross</w:t>
      </w:r>
      <w:r w:rsidR="00D976BA" w:rsidRPr="00D976BA">
        <w:rPr>
          <w:rFonts w:ascii="Avenir Next" w:hAnsi="Avenir Next" w:cs="Arial"/>
          <w:i/>
          <w:iCs/>
          <w:color w:val="808080" w:themeColor="background1" w:themeShade="80"/>
          <w:sz w:val="22"/>
          <w:szCs w:val="22"/>
        </w:rPr>
        <w:t>-</w:t>
      </w:r>
      <w:r w:rsidR="00D87F94" w:rsidRPr="00D976BA">
        <w:rPr>
          <w:rFonts w:ascii="Avenir Next" w:hAnsi="Avenir Next" w:cs="Arial"/>
          <w:i/>
          <w:iCs/>
          <w:color w:val="808080" w:themeColor="background1" w:themeShade="80"/>
          <w:sz w:val="22"/>
          <w:szCs w:val="22"/>
        </w:rPr>
        <w:t xml:space="preserve">border insolvency cases </w:t>
      </w:r>
      <w:r w:rsidR="00D976BA" w:rsidRPr="00D976BA">
        <w:rPr>
          <w:rFonts w:ascii="Avenir Next" w:hAnsi="Avenir Next" w:cs="Arial"/>
          <w:i/>
          <w:iCs/>
          <w:color w:val="808080" w:themeColor="background1" w:themeShade="80"/>
          <w:sz w:val="22"/>
          <w:szCs w:val="22"/>
        </w:rPr>
        <w:t>in a publicly accessible electronic register</w:t>
      </w:r>
      <w:r w:rsidR="00D976BA">
        <w:rPr>
          <w:rFonts w:ascii="Avenir Next" w:hAnsi="Avenir Next" w:cs="Arial"/>
          <w:color w:val="808080" w:themeColor="background1" w:themeShade="80"/>
          <w:sz w:val="22"/>
          <w:szCs w:val="22"/>
        </w:rPr>
        <w:t>”</w:t>
      </w:r>
      <w:r w:rsidR="00D976BA">
        <w:rPr>
          <w:rStyle w:val="FootnoteReference"/>
          <w:rFonts w:ascii="Avenir Next" w:hAnsi="Avenir Next" w:cs="Arial"/>
          <w:color w:val="808080" w:themeColor="background1" w:themeShade="80"/>
          <w:sz w:val="22"/>
          <w:szCs w:val="22"/>
        </w:rPr>
        <w:footnoteReference w:id="34"/>
      </w:r>
      <w:r w:rsidR="00D2664C">
        <w:rPr>
          <w:rFonts w:ascii="Avenir Next" w:hAnsi="Avenir Next" w:cs="Arial"/>
          <w:color w:val="808080" w:themeColor="background1" w:themeShade="80"/>
          <w:sz w:val="22"/>
          <w:szCs w:val="22"/>
        </w:rPr>
        <w:t xml:space="preserve"> and further entails procedural and substantive law on the workings, significance and coordination of </w:t>
      </w:r>
      <w:r w:rsidR="00F7110A">
        <w:rPr>
          <w:rFonts w:ascii="Avenir Next" w:hAnsi="Avenir Next" w:cs="Arial"/>
          <w:color w:val="808080" w:themeColor="background1" w:themeShade="80"/>
          <w:sz w:val="22"/>
          <w:szCs w:val="22"/>
        </w:rPr>
        <w:t>Insolvency Registers under Article 24-29.</w:t>
      </w:r>
    </w:p>
    <w:p w14:paraId="6A1371A0" w14:textId="16F95FAA" w:rsidR="00BB59EA" w:rsidRDefault="00BB59EA" w:rsidP="008B7D89">
      <w:pPr>
        <w:jc w:val="both"/>
        <w:rPr>
          <w:rFonts w:ascii="Avenir Next" w:hAnsi="Avenir Next" w:cs="Arial"/>
          <w:color w:val="808080" w:themeColor="background1" w:themeShade="80"/>
          <w:sz w:val="22"/>
          <w:szCs w:val="22"/>
        </w:rPr>
      </w:pPr>
    </w:p>
    <w:p w14:paraId="796E9D37" w14:textId="0B643D68" w:rsidR="005563E9" w:rsidRDefault="00D30D5E" w:rsidP="004C1FF6">
      <w:pPr>
        <w:pStyle w:val="ListParagraph"/>
        <w:numPr>
          <w:ilvl w:val="0"/>
          <w:numId w:val="34"/>
        </w:numPr>
        <w:jc w:val="both"/>
        <w:rPr>
          <w:rFonts w:ascii="Avenir Next" w:hAnsi="Avenir Next" w:cs="Arial"/>
          <w:color w:val="808080" w:themeColor="background1" w:themeShade="80"/>
          <w:sz w:val="22"/>
          <w:szCs w:val="22"/>
        </w:rPr>
      </w:pPr>
      <w:r w:rsidRPr="002D7F42">
        <w:rPr>
          <w:rFonts w:ascii="Avenir Next" w:hAnsi="Avenir Next" w:cs="Arial"/>
          <w:b/>
          <w:bCs/>
          <w:color w:val="808080" w:themeColor="background1" w:themeShade="80"/>
          <w:sz w:val="22"/>
          <w:szCs w:val="22"/>
        </w:rPr>
        <w:t>Harmonization</w:t>
      </w:r>
      <w:r w:rsidR="004C1FF6" w:rsidRPr="002D7F42">
        <w:rPr>
          <w:rFonts w:ascii="Avenir Next" w:hAnsi="Avenir Next" w:cs="Arial"/>
          <w:b/>
          <w:bCs/>
          <w:color w:val="808080" w:themeColor="background1" w:themeShade="80"/>
          <w:sz w:val="22"/>
          <w:szCs w:val="22"/>
        </w:rPr>
        <w:t xml:space="preserve"> of the eligibility for opening insolvency proceedings:</w:t>
      </w:r>
      <w:r w:rsidRPr="002D7F42">
        <w:rPr>
          <w:rFonts w:ascii="Avenir Next" w:hAnsi="Avenir Next" w:cs="Arial"/>
          <w:color w:val="808080" w:themeColor="background1" w:themeShade="80"/>
          <w:sz w:val="22"/>
          <w:szCs w:val="22"/>
        </w:rPr>
        <w:t xml:space="preserve"> </w:t>
      </w:r>
      <w:r w:rsidR="00252337" w:rsidRPr="002D7F42">
        <w:rPr>
          <w:rFonts w:ascii="Avenir Next" w:hAnsi="Avenir Next" w:cs="Arial"/>
          <w:color w:val="808080" w:themeColor="background1" w:themeShade="80"/>
          <w:sz w:val="22"/>
          <w:szCs w:val="22"/>
        </w:rPr>
        <w:t>The commission identified that the due to the increased mobility and interdependency between the main and the secondary insolvency proceedings</w:t>
      </w:r>
      <w:r w:rsidR="000A21C1" w:rsidRPr="002D7F42">
        <w:rPr>
          <w:rFonts w:ascii="Avenir Next" w:hAnsi="Avenir Next" w:cs="Arial"/>
          <w:color w:val="808080" w:themeColor="background1" w:themeShade="80"/>
          <w:sz w:val="22"/>
          <w:szCs w:val="22"/>
        </w:rPr>
        <w:t>, it will be desirable that the requirements relating to the opening of insolvency proceedings and the eligibility of the debtor may be harmonized</w:t>
      </w:r>
      <w:r w:rsidR="00FF4AE3">
        <w:rPr>
          <w:rStyle w:val="FootnoteReference"/>
          <w:rFonts w:ascii="Avenir Next" w:hAnsi="Avenir Next" w:cs="Arial"/>
          <w:color w:val="808080" w:themeColor="background1" w:themeShade="80"/>
          <w:sz w:val="22"/>
          <w:szCs w:val="22"/>
        </w:rPr>
        <w:footnoteReference w:id="35"/>
      </w:r>
      <w:r w:rsidR="00675B5C" w:rsidRPr="002D7F42">
        <w:rPr>
          <w:rFonts w:ascii="Avenir Next" w:hAnsi="Avenir Next" w:cs="Arial"/>
          <w:color w:val="808080" w:themeColor="background1" w:themeShade="80"/>
          <w:sz w:val="22"/>
          <w:szCs w:val="22"/>
        </w:rPr>
        <w:t xml:space="preserve">. In this context it was recommended </w:t>
      </w:r>
      <w:r w:rsidR="0095003E" w:rsidRPr="002D7F42">
        <w:rPr>
          <w:rFonts w:ascii="Avenir Next" w:hAnsi="Avenir Next" w:cs="Arial"/>
          <w:color w:val="808080" w:themeColor="background1" w:themeShade="80"/>
          <w:sz w:val="22"/>
          <w:szCs w:val="22"/>
        </w:rPr>
        <w:t xml:space="preserve">the tests for admission be </w:t>
      </w:r>
      <w:r w:rsidR="002B543B" w:rsidRPr="002D7F42">
        <w:rPr>
          <w:rFonts w:ascii="Avenir Next" w:hAnsi="Avenir Next" w:cs="Arial"/>
          <w:color w:val="808080" w:themeColor="background1" w:themeShade="80"/>
          <w:sz w:val="22"/>
          <w:szCs w:val="22"/>
        </w:rPr>
        <w:t>standardized</w:t>
      </w:r>
      <w:r w:rsidR="00610526" w:rsidRPr="002D7F42">
        <w:rPr>
          <w:rFonts w:ascii="Avenir Next" w:hAnsi="Avenir Next" w:cs="Arial"/>
          <w:color w:val="808080" w:themeColor="background1" w:themeShade="80"/>
          <w:sz w:val="22"/>
          <w:szCs w:val="22"/>
        </w:rPr>
        <w:t xml:space="preserve"> and/or the rules mandating bankruptcy be harmonized. </w:t>
      </w:r>
      <w:r w:rsidR="007B5DD3" w:rsidRPr="002D7F42">
        <w:rPr>
          <w:rFonts w:ascii="Avenir Next" w:hAnsi="Avenir Next" w:cs="Arial"/>
          <w:color w:val="808080" w:themeColor="background1" w:themeShade="80"/>
          <w:sz w:val="22"/>
          <w:szCs w:val="22"/>
        </w:rPr>
        <w:t>Now in terms of the eligibility, under Article 1</w:t>
      </w:r>
      <w:r w:rsidR="004C2399" w:rsidRPr="002D7F42">
        <w:rPr>
          <w:rFonts w:ascii="Avenir Next" w:hAnsi="Avenir Next" w:cs="Arial"/>
          <w:color w:val="808080" w:themeColor="background1" w:themeShade="80"/>
          <w:sz w:val="22"/>
          <w:szCs w:val="22"/>
        </w:rPr>
        <w:t>, it is provided that the EIR Recast will be applicable t</w:t>
      </w:r>
      <w:r w:rsidR="00A52552" w:rsidRPr="002D7F42">
        <w:rPr>
          <w:rFonts w:ascii="Avenir Next" w:hAnsi="Avenir Next" w:cs="Arial"/>
          <w:color w:val="808080" w:themeColor="background1" w:themeShade="80"/>
          <w:sz w:val="22"/>
          <w:szCs w:val="22"/>
        </w:rPr>
        <w:t xml:space="preserve">o </w:t>
      </w:r>
      <w:r w:rsidR="00EF7EA7" w:rsidRPr="002D7F42">
        <w:rPr>
          <w:rFonts w:ascii="Avenir Next" w:hAnsi="Avenir Next" w:cs="Arial"/>
          <w:color w:val="808080" w:themeColor="background1" w:themeShade="80"/>
          <w:sz w:val="22"/>
          <w:szCs w:val="22"/>
        </w:rPr>
        <w:t xml:space="preserve">public collective proceedings (including interim proceedings), </w:t>
      </w:r>
      <w:r w:rsidR="00A34568" w:rsidRPr="002D7F42">
        <w:rPr>
          <w:rFonts w:ascii="Avenir Next" w:hAnsi="Avenir Next" w:cs="Arial"/>
          <w:color w:val="808080" w:themeColor="background1" w:themeShade="80"/>
          <w:sz w:val="22"/>
          <w:szCs w:val="22"/>
        </w:rPr>
        <w:t xml:space="preserve">for the purpose of rescue, </w:t>
      </w:r>
      <w:r w:rsidR="00F37DCE" w:rsidRPr="002D7F42">
        <w:rPr>
          <w:rFonts w:ascii="Avenir Next" w:hAnsi="Avenir Next" w:cs="Arial"/>
          <w:color w:val="808080" w:themeColor="background1" w:themeShade="80"/>
          <w:sz w:val="22"/>
          <w:szCs w:val="22"/>
        </w:rPr>
        <w:t>adjustment o debt, reorganisation or liquidation</w:t>
      </w:r>
      <w:r w:rsidR="00AF3DDE" w:rsidRPr="002D7F42">
        <w:rPr>
          <w:rFonts w:ascii="Avenir Next" w:hAnsi="Avenir Next" w:cs="Arial"/>
          <w:color w:val="808080" w:themeColor="background1" w:themeShade="80"/>
          <w:sz w:val="22"/>
          <w:szCs w:val="22"/>
        </w:rPr>
        <w:t>, where the debtor is either partially or totally divested of its assets, an insolvency practitioner is involved,</w:t>
      </w:r>
      <w:r w:rsidR="00640E7B" w:rsidRPr="002D7F42">
        <w:rPr>
          <w:rFonts w:ascii="Avenir Next" w:hAnsi="Avenir Next" w:cs="Arial"/>
          <w:color w:val="808080" w:themeColor="background1" w:themeShade="80"/>
          <w:sz w:val="22"/>
          <w:szCs w:val="22"/>
        </w:rPr>
        <w:t xml:space="preserve"> the assets of the debtor are subject to a control or supervision by the court</w:t>
      </w:r>
      <w:r w:rsidR="005416CB" w:rsidRPr="002D7F42">
        <w:rPr>
          <w:rFonts w:ascii="Avenir Next" w:hAnsi="Avenir Next" w:cs="Arial"/>
          <w:color w:val="808080" w:themeColor="background1" w:themeShade="80"/>
          <w:sz w:val="22"/>
          <w:szCs w:val="22"/>
        </w:rPr>
        <w:t xml:space="preserve"> and where there a stay on individual enforcement action</w:t>
      </w:r>
      <w:r w:rsidR="00B42AA6" w:rsidRPr="002D7F42">
        <w:rPr>
          <w:rFonts w:ascii="Avenir Next" w:hAnsi="Avenir Next" w:cs="Arial"/>
          <w:color w:val="808080" w:themeColor="background1" w:themeShade="80"/>
          <w:sz w:val="22"/>
          <w:szCs w:val="22"/>
        </w:rPr>
        <w:t xml:space="preserve">. However, though the eligibility seems exhaustive, </w:t>
      </w:r>
      <w:r w:rsidR="00BA1FC0" w:rsidRPr="002D7F42">
        <w:rPr>
          <w:rFonts w:ascii="Avenir Next" w:hAnsi="Avenir Next" w:cs="Arial"/>
          <w:color w:val="808080" w:themeColor="background1" w:themeShade="80"/>
          <w:sz w:val="22"/>
          <w:szCs w:val="22"/>
        </w:rPr>
        <w:t xml:space="preserve">the same is heavily in spirit, limited </w:t>
      </w:r>
      <w:r w:rsidR="00E919E5" w:rsidRPr="002D7F42">
        <w:rPr>
          <w:rFonts w:ascii="Avenir Next" w:hAnsi="Avenir Next" w:cs="Arial"/>
          <w:color w:val="808080" w:themeColor="background1" w:themeShade="80"/>
          <w:sz w:val="22"/>
          <w:szCs w:val="22"/>
        </w:rPr>
        <w:t>as all the proceedings which are deemed to be covered under Article 1, are listed in Annex A of the EIR Recast. While the Annex A provides clarity,</w:t>
      </w:r>
      <w:r w:rsidR="00237B2D" w:rsidRPr="002D7F42">
        <w:rPr>
          <w:rFonts w:ascii="Avenir Next" w:hAnsi="Avenir Next" w:cs="Arial"/>
          <w:color w:val="808080" w:themeColor="background1" w:themeShade="80"/>
          <w:sz w:val="22"/>
          <w:szCs w:val="22"/>
        </w:rPr>
        <w:t xml:space="preserve"> it also renders the eligibility criteria inoperable. Further, instead of providing the list of debtor</w:t>
      </w:r>
      <w:r w:rsidR="002D7F42" w:rsidRPr="002D7F42">
        <w:rPr>
          <w:rFonts w:ascii="Avenir Next" w:hAnsi="Avenir Next" w:cs="Arial"/>
          <w:color w:val="808080" w:themeColor="background1" w:themeShade="80"/>
          <w:sz w:val="22"/>
          <w:szCs w:val="22"/>
        </w:rPr>
        <w:t>s</w:t>
      </w:r>
      <w:r w:rsidR="00237B2D" w:rsidRPr="002D7F42">
        <w:rPr>
          <w:rFonts w:ascii="Avenir Next" w:hAnsi="Avenir Next" w:cs="Arial"/>
          <w:color w:val="808080" w:themeColor="background1" w:themeShade="80"/>
          <w:sz w:val="22"/>
          <w:szCs w:val="22"/>
        </w:rPr>
        <w:t xml:space="preserve"> to whom the same will be applicable, it provides the kinds of debtors to which the same is not applicable being </w:t>
      </w:r>
      <w:r w:rsidR="00D03BE5" w:rsidRPr="002D7F42">
        <w:rPr>
          <w:rFonts w:ascii="Avenir Next" w:hAnsi="Avenir Next" w:cs="Arial"/>
          <w:color w:val="808080" w:themeColor="background1" w:themeShade="80"/>
          <w:sz w:val="22"/>
          <w:szCs w:val="22"/>
        </w:rPr>
        <w:t>insurance companies, financial or credit institutions, investment firms, and collective investment undertakings</w:t>
      </w:r>
      <w:r w:rsidR="002D7F42">
        <w:rPr>
          <w:rStyle w:val="FootnoteReference"/>
          <w:rFonts w:ascii="Avenir Next" w:hAnsi="Avenir Next" w:cs="Arial"/>
          <w:color w:val="808080" w:themeColor="background1" w:themeShade="80"/>
          <w:sz w:val="22"/>
          <w:szCs w:val="22"/>
        </w:rPr>
        <w:footnoteReference w:id="36"/>
      </w:r>
      <w:r w:rsidR="00D03BE5" w:rsidRPr="002D7F42">
        <w:rPr>
          <w:rFonts w:ascii="Avenir Next" w:hAnsi="Avenir Next" w:cs="Arial"/>
          <w:color w:val="808080" w:themeColor="background1" w:themeShade="80"/>
          <w:sz w:val="22"/>
          <w:szCs w:val="22"/>
        </w:rPr>
        <w:t xml:space="preserve">. </w:t>
      </w:r>
    </w:p>
    <w:p w14:paraId="0448E1CB" w14:textId="18A9AB80" w:rsidR="00F45115" w:rsidRDefault="00F45115" w:rsidP="00F45115">
      <w:pPr>
        <w:jc w:val="both"/>
        <w:rPr>
          <w:rFonts w:ascii="Avenir Next" w:hAnsi="Avenir Next" w:cs="Arial"/>
          <w:color w:val="808080" w:themeColor="background1" w:themeShade="80"/>
          <w:sz w:val="22"/>
          <w:szCs w:val="22"/>
        </w:rPr>
      </w:pPr>
    </w:p>
    <w:p w14:paraId="3F089782" w14:textId="145D540D" w:rsidR="00F45115" w:rsidRPr="00597F18" w:rsidRDefault="00F45115" w:rsidP="00F45115">
      <w:pPr>
        <w:pStyle w:val="ListParagraph"/>
        <w:numPr>
          <w:ilvl w:val="0"/>
          <w:numId w:val="34"/>
        </w:numPr>
        <w:jc w:val="both"/>
        <w:rPr>
          <w:rFonts w:ascii="Avenir Next" w:hAnsi="Avenir Next" w:cs="Arial"/>
          <w:color w:val="808080" w:themeColor="background1" w:themeShade="80"/>
          <w:sz w:val="22"/>
          <w:szCs w:val="22"/>
        </w:rPr>
      </w:pPr>
      <w:r w:rsidRPr="00597F18">
        <w:rPr>
          <w:rFonts w:ascii="Avenir Next" w:hAnsi="Avenir Next" w:cs="Arial"/>
          <w:b/>
          <w:bCs/>
          <w:color w:val="808080" w:themeColor="background1" w:themeShade="80"/>
          <w:sz w:val="22"/>
          <w:szCs w:val="22"/>
        </w:rPr>
        <w:t>Restructuring Proceedings</w:t>
      </w:r>
      <w:r>
        <w:rPr>
          <w:rFonts w:ascii="Avenir Next" w:hAnsi="Avenir Next" w:cs="Arial"/>
          <w:color w:val="808080" w:themeColor="background1" w:themeShade="80"/>
          <w:sz w:val="22"/>
          <w:szCs w:val="22"/>
        </w:rPr>
        <w:t>: The EIR 2000 had excluded restructuring, or pre insolvency or rescue proceedings, however the same has been made abundantly inc</w:t>
      </w:r>
      <w:r w:rsidR="005A5725">
        <w:rPr>
          <w:rFonts w:ascii="Avenir Next" w:hAnsi="Avenir Next" w:cs="Arial"/>
          <w:color w:val="808080" w:themeColor="background1" w:themeShade="80"/>
          <w:sz w:val="22"/>
          <w:szCs w:val="22"/>
        </w:rPr>
        <w:t>lusive</w:t>
      </w:r>
      <w:r>
        <w:rPr>
          <w:rFonts w:ascii="Avenir Next" w:hAnsi="Avenir Next" w:cs="Arial"/>
          <w:color w:val="808080" w:themeColor="background1" w:themeShade="80"/>
          <w:sz w:val="22"/>
          <w:szCs w:val="22"/>
        </w:rPr>
        <w:t xml:space="preserve"> in the EIR Recast and the same goes on to also </w:t>
      </w:r>
      <w:r w:rsidR="005A5725">
        <w:rPr>
          <w:rFonts w:ascii="Avenir Next" w:hAnsi="Avenir Next" w:cs="Arial"/>
          <w:color w:val="808080" w:themeColor="background1" w:themeShade="80"/>
          <w:sz w:val="22"/>
          <w:szCs w:val="22"/>
        </w:rPr>
        <w:t xml:space="preserve">mention in </w:t>
      </w:r>
      <w:r>
        <w:rPr>
          <w:rFonts w:ascii="Avenir Next" w:hAnsi="Avenir Next" w:cs="Arial"/>
          <w:color w:val="808080" w:themeColor="background1" w:themeShade="80"/>
          <w:sz w:val="22"/>
          <w:szCs w:val="22"/>
        </w:rPr>
        <w:t>Article 1</w:t>
      </w:r>
      <w:r w:rsidR="005A5725">
        <w:rPr>
          <w:rFonts w:ascii="Avenir Next" w:hAnsi="Avenir Next" w:cs="Arial"/>
          <w:color w:val="808080" w:themeColor="background1" w:themeShade="80"/>
          <w:sz w:val="22"/>
          <w:szCs w:val="22"/>
        </w:rPr>
        <w:t xml:space="preserve"> “</w:t>
      </w:r>
      <w:r w:rsidR="005A5725" w:rsidRPr="005A5725">
        <w:rPr>
          <w:rFonts w:ascii="Avenir Next" w:hAnsi="Avenir Next" w:cs="Arial"/>
          <w:i/>
          <w:iCs/>
          <w:color w:val="808080" w:themeColor="background1" w:themeShade="80"/>
          <w:sz w:val="22"/>
          <w:szCs w:val="22"/>
        </w:rPr>
        <w:t>Where the proceedings referred to in this paragraph may be commenced in situations where there is only a likelihood of insolvency, their purpose shall be to avoid the debtor's insolvency or the cessation of the debtor's business activities</w:t>
      </w:r>
      <w:r w:rsidR="005A5725" w:rsidRPr="005A5725">
        <w:rPr>
          <w:color w:val="808080" w:themeColor="background1" w:themeShade="80"/>
        </w:rPr>
        <w:t>.”</w:t>
      </w:r>
      <w:r w:rsidRPr="005A5725">
        <w:rPr>
          <w:rFonts w:ascii="Avenir Next" w:hAnsi="Avenir Next" w:cs="Arial"/>
          <w:color w:val="808080" w:themeColor="background1" w:themeShade="80"/>
          <w:sz w:val="22"/>
          <w:szCs w:val="22"/>
        </w:rPr>
        <w:t xml:space="preserve"> </w:t>
      </w:r>
    </w:p>
    <w:p w14:paraId="72F01FB0" w14:textId="77777777" w:rsidR="00781E46" w:rsidRDefault="00781E46" w:rsidP="00781E46">
      <w:pPr>
        <w:jc w:val="both"/>
        <w:rPr>
          <w:rFonts w:ascii="Avenir Next" w:hAnsi="Avenir Next" w:cs="Arial"/>
          <w:sz w:val="22"/>
          <w:szCs w:val="22"/>
        </w:rPr>
      </w:pPr>
    </w:p>
    <w:p w14:paraId="7CC28AAD" w14:textId="77777777" w:rsidR="00D30D5E" w:rsidRPr="00D30D5E" w:rsidRDefault="00D30D5E" w:rsidP="00D30D5E">
      <w:pPr>
        <w:pStyle w:val="ListParagraph"/>
        <w:rPr>
          <w:rFonts w:ascii="Avenir Next" w:hAnsi="Avenir Next" w:cs="Arial"/>
          <w:sz w:val="22"/>
          <w:szCs w:val="22"/>
        </w:rPr>
      </w:pPr>
    </w:p>
    <w:p w14:paraId="49166F8F" w14:textId="77777777" w:rsidR="00D30D5E" w:rsidRPr="00D30D5E" w:rsidRDefault="00D30D5E" w:rsidP="00D30D5E">
      <w:pPr>
        <w:jc w:val="both"/>
        <w:rPr>
          <w:rFonts w:ascii="Avenir Next" w:hAnsi="Avenir Next" w:cs="Arial"/>
          <w:sz w:val="22"/>
          <w:szCs w:val="22"/>
        </w:rPr>
      </w:pPr>
    </w:p>
    <w:p w14:paraId="49F0073B" w14:textId="49FA1079" w:rsidR="00C550C8" w:rsidRPr="003B07B5" w:rsidRDefault="00C550C8" w:rsidP="003B07B5">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3DAA6780" w14:textId="456AE4AC" w:rsidR="00962045" w:rsidRPr="00B83E47" w:rsidRDefault="00934B94" w:rsidP="00B83E47">
      <w:pPr>
        <w:pStyle w:val="ListParagraph"/>
        <w:numPr>
          <w:ilvl w:val="0"/>
          <w:numId w:val="35"/>
        </w:numPr>
        <w:jc w:val="both"/>
        <w:rPr>
          <w:rFonts w:ascii="Avenir Next" w:hAnsi="Avenir Next" w:cs="Arial"/>
          <w:color w:val="7B7B7B" w:themeColor="accent3" w:themeShade="BF"/>
          <w:sz w:val="22"/>
          <w:szCs w:val="22"/>
          <w:lang w:val="en-IN"/>
        </w:rPr>
      </w:pPr>
      <w:r w:rsidRPr="00577FEB">
        <w:rPr>
          <w:rFonts w:ascii="Avenir Next" w:hAnsi="Avenir Next" w:cs="Arial"/>
          <w:b/>
          <w:bCs/>
          <w:color w:val="7B7B7B" w:themeColor="accent3" w:themeShade="BF"/>
          <w:sz w:val="22"/>
          <w:szCs w:val="22"/>
          <w:lang w:val="en-IN"/>
        </w:rPr>
        <w:lastRenderedPageBreak/>
        <w:t>Group Insolvencies</w:t>
      </w:r>
      <w:r w:rsidRPr="00B83E47">
        <w:rPr>
          <w:rFonts w:ascii="Avenir Next" w:hAnsi="Avenir Next" w:cs="Arial"/>
          <w:color w:val="7B7B7B" w:themeColor="accent3" w:themeShade="BF"/>
          <w:sz w:val="22"/>
          <w:szCs w:val="22"/>
          <w:lang w:val="en-IN"/>
        </w:rPr>
        <w:t>: The introduction of the laws and procedure on group insolvencies has been considered one of the most significant improvements of</w:t>
      </w:r>
      <w:r w:rsidR="000A3BC8" w:rsidRPr="00B83E47">
        <w:rPr>
          <w:rFonts w:ascii="Avenir Next" w:hAnsi="Avenir Next" w:cs="Arial"/>
          <w:color w:val="7B7B7B" w:themeColor="accent3" w:themeShade="BF"/>
          <w:sz w:val="22"/>
          <w:szCs w:val="22"/>
          <w:lang w:val="en-IN"/>
        </w:rPr>
        <w:t xml:space="preserve"> the EIR Recast over its predecessor. One has to acknowledge the </w:t>
      </w:r>
      <w:r w:rsidR="00401577" w:rsidRPr="00B83E47">
        <w:rPr>
          <w:rFonts w:ascii="Avenir Next" w:hAnsi="Avenir Next" w:cs="Arial"/>
          <w:color w:val="7B7B7B" w:themeColor="accent3" w:themeShade="BF"/>
          <w:sz w:val="22"/>
          <w:szCs w:val="22"/>
          <w:lang w:val="en-IN"/>
        </w:rPr>
        <w:t xml:space="preserve">manner in which the </w:t>
      </w:r>
      <w:r w:rsidR="000A3BC8" w:rsidRPr="00B83E47">
        <w:rPr>
          <w:rFonts w:ascii="Avenir Next" w:hAnsi="Avenir Next" w:cs="Arial"/>
          <w:color w:val="7B7B7B" w:themeColor="accent3" w:themeShade="BF"/>
          <w:sz w:val="22"/>
          <w:szCs w:val="22"/>
          <w:lang w:val="en-IN"/>
        </w:rPr>
        <w:t>EIR Recast deals with group insolvencies</w:t>
      </w:r>
      <w:r w:rsidR="00401577" w:rsidRPr="00B83E47">
        <w:rPr>
          <w:rFonts w:ascii="Avenir Next" w:hAnsi="Avenir Next" w:cs="Arial"/>
          <w:color w:val="7B7B7B" w:themeColor="accent3" w:themeShade="BF"/>
          <w:sz w:val="22"/>
          <w:szCs w:val="22"/>
          <w:lang w:val="en-IN"/>
        </w:rPr>
        <w:t>, it does not recommend a substantive consolidation</w:t>
      </w:r>
      <w:r w:rsidR="0072254E">
        <w:rPr>
          <w:rStyle w:val="FootnoteReference"/>
          <w:rFonts w:ascii="Avenir Next" w:hAnsi="Avenir Next" w:cs="Arial"/>
          <w:color w:val="7B7B7B" w:themeColor="accent3" w:themeShade="BF"/>
          <w:sz w:val="22"/>
          <w:szCs w:val="22"/>
          <w:lang w:val="en-IN"/>
        </w:rPr>
        <w:footnoteReference w:id="37"/>
      </w:r>
      <w:r w:rsidR="0072254E" w:rsidRPr="00B83E47">
        <w:rPr>
          <w:rFonts w:ascii="Avenir Next" w:hAnsi="Avenir Next" w:cs="Arial"/>
          <w:color w:val="7B7B7B" w:themeColor="accent3" w:themeShade="BF"/>
          <w:sz w:val="22"/>
          <w:szCs w:val="22"/>
          <w:lang w:val="en-IN"/>
        </w:rPr>
        <w:t xml:space="preserve">, nor does it </w:t>
      </w:r>
      <w:r w:rsidR="0090360E" w:rsidRPr="00B83E47">
        <w:rPr>
          <w:rFonts w:ascii="Avenir Next" w:hAnsi="Avenir Next" w:cs="Arial"/>
          <w:color w:val="7B7B7B" w:themeColor="accent3" w:themeShade="BF"/>
          <w:sz w:val="22"/>
          <w:szCs w:val="22"/>
          <w:lang w:val="en-IN"/>
        </w:rPr>
        <w:t>reflect a parent-subsidiary model as the subsidiaries in essence cannot be equated with ‘establishments’</w:t>
      </w:r>
      <w:r w:rsidR="00F30342">
        <w:rPr>
          <w:rStyle w:val="FootnoteReference"/>
          <w:rFonts w:ascii="Avenir Next" w:hAnsi="Avenir Next" w:cs="Arial"/>
          <w:color w:val="7B7B7B" w:themeColor="accent3" w:themeShade="BF"/>
          <w:sz w:val="22"/>
          <w:szCs w:val="22"/>
          <w:lang w:val="en-IN"/>
        </w:rPr>
        <w:footnoteReference w:id="38"/>
      </w:r>
      <w:r w:rsidR="00C03FB7" w:rsidRPr="00B83E47">
        <w:rPr>
          <w:rFonts w:ascii="Avenir Next" w:hAnsi="Avenir Next" w:cs="Arial"/>
          <w:color w:val="7B7B7B" w:themeColor="accent3" w:themeShade="BF"/>
          <w:sz w:val="22"/>
          <w:szCs w:val="22"/>
          <w:lang w:val="en-IN"/>
        </w:rPr>
        <w:t xml:space="preserve">. It has been opined by many </w:t>
      </w:r>
      <w:r w:rsidR="00F52274" w:rsidRPr="00B83E47">
        <w:rPr>
          <w:rFonts w:ascii="Avenir Next" w:hAnsi="Avenir Next" w:cs="Arial"/>
          <w:color w:val="7B7B7B" w:themeColor="accent3" w:themeShade="BF"/>
          <w:sz w:val="22"/>
          <w:szCs w:val="22"/>
          <w:lang w:val="en-IN"/>
        </w:rPr>
        <w:t>that the procedure that has been suggested by the EIR Recast is the path of least resistance, to essentially avoid reconciliation of the laws and complexities that the Commission would have been faced with in the event they would have attempted substantial consolidation.</w:t>
      </w:r>
      <w:r w:rsidR="003A1BF3" w:rsidRPr="00B83E47">
        <w:rPr>
          <w:rFonts w:ascii="Avenir Next" w:hAnsi="Avenir Next" w:cs="Arial"/>
          <w:color w:val="7B7B7B" w:themeColor="accent3" w:themeShade="BF"/>
          <w:sz w:val="22"/>
          <w:szCs w:val="22"/>
          <w:lang w:val="en-IN"/>
        </w:rPr>
        <w:t xml:space="preserve"> Firstly, the need for such an enhanced </w:t>
      </w:r>
      <w:r w:rsidR="00F74F6A" w:rsidRPr="00B83E47">
        <w:rPr>
          <w:rFonts w:ascii="Avenir Next" w:hAnsi="Avenir Next" w:cs="Arial"/>
          <w:color w:val="7B7B7B" w:themeColor="accent3" w:themeShade="BF"/>
          <w:sz w:val="22"/>
          <w:szCs w:val="22"/>
          <w:lang w:val="en-IN"/>
        </w:rPr>
        <w:t>corporation</w:t>
      </w:r>
      <w:r w:rsidR="003A1BF3" w:rsidRPr="00B83E47">
        <w:rPr>
          <w:rFonts w:ascii="Avenir Next" w:hAnsi="Avenir Next" w:cs="Arial"/>
          <w:color w:val="7B7B7B" w:themeColor="accent3" w:themeShade="BF"/>
          <w:sz w:val="22"/>
          <w:szCs w:val="22"/>
          <w:lang w:val="en-IN"/>
        </w:rPr>
        <w:t xml:space="preserve"> and communication, </w:t>
      </w:r>
      <w:r w:rsidR="00F74F6A" w:rsidRPr="00B83E47">
        <w:rPr>
          <w:rFonts w:ascii="Avenir Next" w:hAnsi="Avenir Next" w:cs="Arial"/>
          <w:color w:val="7B7B7B" w:themeColor="accent3" w:themeShade="BF"/>
          <w:sz w:val="22"/>
          <w:szCs w:val="22"/>
          <w:lang w:val="en-IN"/>
        </w:rPr>
        <w:t xml:space="preserve">which will in turn lead to increased costs, time and complexities could deter many. Also, in accordance with </w:t>
      </w:r>
      <w:r w:rsidR="00AA68F0" w:rsidRPr="00B83E47">
        <w:rPr>
          <w:rFonts w:ascii="Avenir Next" w:hAnsi="Avenir Next" w:cs="Arial"/>
          <w:color w:val="7B7B7B" w:themeColor="accent3" w:themeShade="BF"/>
          <w:sz w:val="22"/>
          <w:szCs w:val="22"/>
          <w:lang w:val="en-IN"/>
        </w:rPr>
        <w:t>Article 64 of the EIR Recast, an</w:t>
      </w:r>
      <w:r w:rsidR="00FF4AE3">
        <w:rPr>
          <w:rFonts w:ascii="Avenir Next" w:hAnsi="Avenir Next" w:cs="Arial"/>
          <w:color w:val="7B7B7B" w:themeColor="accent3" w:themeShade="BF"/>
          <w:sz w:val="22"/>
          <w:szCs w:val="22"/>
          <w:lang w:val="en-IN"/>
        </w:rPr>
        <w:t>y</w:t>
      </w:r>
      <w:r w:rsidR="00AA68F0" w:rsidRPr="00B83E47">
        <w:rPr>
          <w:rFonts w:ascii="Avenir Next" w:hAnsi="Avenir Next" w:cs="Arial"/>
          <w:color w:val="7B7B7B" w:themeColor="accent3" w:themeShade="BF"/>
          <w:sz w:val="22"/>
          <w:szCs w:val="22"/>
          <w:lang w:val="en-IN"/>
        </w:rPr>
        <w:t xml:space="preserve"> insolvency practitioner</w:t>
      </w:r>
      <w:r w:rsidR="001D5317" w:rsidRPr="00B83E47">
        <w:rPr>
          <w:rFonts w:ascii="Avenir Next" w:hAnsi="Avenir Next" w:cs="Arial"/>
          <w:color w:val="7B7B7B" w:themeColor="accent3" w:themeShade="BF"/>
          <w:sz w:val="22"/>
          <w:szCs w:val="22"/>
          <w:lang w:val="en-IN"/>
        </w:rPr>
        <w:t xml:space="preserve"> in respect of any group member object to its inclusion within the group</w:t>
      </w:r>
      <w:r w:rsidR="00BA1B14" w:rsidRPr="00B83E47">
        <w:rPr>
          <w:rFonts w:ascii="Avenir Next" w:hAnsi="Avenir Next" w:cs="Arial"/>
          <w:color w:val="7B7B7B" w:themeColor="accent3" w:themeShade="BF"/>
          <w:sz w:val="22"/>
          <w:szCs w:val="22"/>
          <w:lang w:val="en-IN"/>
        </w:rPr>
        <w:t xml:space="preserve">. </w:t>
      </w:r>
      <w:r w:rsidR="00AE4E5A" w:rsidRPr="00B83E47">
        <w:rPr>
          <w:rFonts w:ascii="Avenir Next" w:hAnsi="Avenir Next" w:cs="Arial"/>
          <w:color w:val="7B7B7B" w:themeColor="accent3" w:themeShade="BF"/>
          <w:sz w:val="22"/>
          <w:szCs w:val="22"/>
          <w:lang w:val="en-IN"/>
        </w:rPr>
        <w:t>This opt-out mechanism has attracted criticism from some scholars and its generally believed that the effectiveness of group coordination proceedings will therefore be negatively affected</w:t>
      </w:r>
      <w:r w:rsidR="006F3817">
        <w:rPr>
          <w:rStyle w:val="FootnoteReference"/>
          <w:rFonts w:ascii="Avenir Next" w:hAnsi="Avenir Next" w:cs="Arial"/>
          <w:color w:val="7B7B7B" w:themeColor="accent3" w:themeShade="BF"/>
          <w:sz w:val="22"/>
          <w:szCs w:val="22"/>
          <w:lang w:val="en-IN"/>
        </w:rPr>
        <w:footnoteReference w:id="39"/>
      </w:r>
      <w:r w:rsidR="006F3817" w:rsidRPr="00B83E47">
        <w:rPr>
          <w:rFonts w:ascii="Avenir Next" w:hAnsi="Avenir Next" w:cs="Arial"/>
          <w:color w:val="7B7B7B" w:themeColor="accent3" w:themeShade="BF"/>
          <w:sz w:val="22"/>
          <w:szCs w:val="22"/>
          <w:lang w:val="en-IN"/>
        </w:rPr>
        <w:t xml:space="preserve">. </w:t>
      </w:r>
      <w:r w:rsidR="00FE0FC2" w:rsidRPr="00B83E47">
        <w:rPr>
          <w:rFonts w:ascii="Avenir Next" w:hAnsi="Avenir Next" w:cs="Arial"/>
          <w:color w:val="7B7B7B" w:themeColor="accent3" w:themeShade="BF"/>
          <w:sz w:val="22"/>
          <w:szCs w:val="22"/>
          <w:lang w:val="en-IN"/>
        </w:rPr>
        <w:t>The inclusion of the aforesaid, though included in</w:t>
      </w:r>
      <w:r w:rsidR="00792E1E" w:rsidRPr="00B83E47">
        <w:rPr>
          <w:rFonts w:ascii="Avenir Next" w:hAnsi="Avenir Next" w:cs="Arial"/>
          <w:color w:val="7B7B7B" w:themeColor="accent3" w:themeShade="BF"/>
          <w:sz w:val="22"/>
          <w:szCs w:val="22"/>
          <w:lang w:val="en-IN"/>
        </w:rPr>
        <w:t xml:space="preserve"> a bonafide manner, to essentially not coercively drag any group entity in an insolvency proceeding, threatens its effectiveness as it </w:t>
      </w:r>
      <w:r w:rsidR="00E56853" w:rsidRPr="00B83E47">
        <w:rPr>
          <w:rFonts w:ascii="Avenir Next" w:hAnsi="Avenir Next" w:cs="Arial"/>
          <w:color w:val="7B7B7B" w:themeColor="accent3" w:themeShade="BF"/>
          <w:sz w:val="22"/>
          <w:szCs w:val="22"/>
          <w:lang w:val="en-IN"/>
        </w:rPr>
        <w:t>primarily</w:t>
      </w:r>
      <w:r w:rsidR="00792E1E" w:rsidRPr="00B83E47">
        <w:rPr>
          <w:rFonts w:ascii="Avenir Next" w:hAnsi="Avenir Next" w:cs="Arial"/>
          <w:color w:val="7B7B7B" w:themeColor="accent3" w:themeShade="BF"/>
          <w:sz w:val="22"/>
          <w:szCs w:val="22"/>
          <w:lang w:val="en-IN"/>
        </w:rPr>
        <w:t xml:space="preserve"> gives an option to the group entities and its pract</w:t>
      </w:r>
      <w:r w:rsidR="00E56853" w:rsidRPr="00B83E47">
        <w:rPr>
          <w:rFonts w:ascii="Avenir Next" w:hAnsi="Avenir Next" w:cs="Arial"/>
          <w:color w:val="7B7B7B" w:themeColor="accent3" w:themeShade="BF"/>
          <w:sz w:val="22"/>
          <w:szCs w:val="22"/>
          <w:lang w:val="en-IN"/>
        </w:rPr>
        <w:t>itioners</w:t>
      </w:r>
      <w:r w:rsidR="00792E1E" w:rsidRPr="00B83E47">
        <w:rPr>
          <w:rFonts w:ascii="Avenir Next" w:hAnsi="Avenir Next" w:cs="Arial"/>
          <w:color w:val="7B7B7B" w:themeColor="accent3" w:themeShade="BF"/>
          <w:sz w:val="22"/>
          <w:szCs w:val="22"/>
          <w:lang w:val="en-IN"/>
        </w:rPr>
        <w:t xml:space="preserve"> to not coordinate.</w:t>
      </w:r>
      <w:r w:rsidR="00E56853" w:rsidRPr="00B83E47">
        <w:rPr>
          <w:rFonts w:ascii="Avenir Next" w:hAnsi="Avenir Next" w:cs="Arial"/>
          <w:color w:val="7B7B7B" w:themeColor="accent3" w:themeShade="BF"/>
          <w:sz w:val="22"/>
          <w:szCs w:val="22"/>
          <w:lang w:val="en-IN"/>
        </w:rPr>
        <w:t xml:space="preserve"> The EIR Recast, negates and looks away from the inevitable reality that different creditors and even the different classes of creditors may have different objectives which may differ from the objective that the group coordinator may be trying to achieve. </w:t>
      </w:r>
      <w:r w:rsidR="0052675C" w:rsidRPr="00B83E47">
        <w:rPr>
          <w:rFonts w:ascii="Avenir Next" w:hAnsi="Avenir Next" w:cs="Arial"/>
          <w:color w:val="7B7B7B" w:themeColor="accent3" w:themeShade="BF"/>
          <w:sz w:val="22"/>
          <w:szCs w:val="22"/>
          <w:lang w:val="en-IN"/>
        </w:rPr>
        <w:t>These inconsistent strategies may not only cut off the relationships of group members companies in the</w:t>
      </w:r>
      <w:r w:rsidR="004F57D5" w:rsidRPr="00B83E47">
        <w:rPr>
          <w:rFonts w:ascii="Avenir Next" w:hAnsi="Avenir Next" w:cs="Arial"/>
          <w:color w:val="7B7B7B" w:themeColor="accent3" w:themeShade="BF"/>
          <w:sz w:val="22"/>
          <w:szCs w:val="22"/>
          <w:lang w:val="en-IN"/>
        </w:rPr>
        <w:t xml:space="preserve"> group insolvencies</w:t>
      </w:r>
      <w:r w:rsidR="0052675C" w:rsidRPr="00B83E47">
        <w:rPr>
          <w:rFonts w:ascii="Avenir Next" w:hAnsi="Avenir Next" w:cs="Arial"/>
          <w:color w:val="7B7B7B" w:themeColor="accent3" w:themeShade="BF"/>
          <w:sz w:val="22"/>
          <w:szCs w:val="22"/>
          <w:lang w:val="en-IN"/>
        </w:rPr>
        <w:t>, but also create uncertainty to stakeholders</w:t>
      </w:r>
      <w:r w:rsidR="004F57D5" w:rsidRPr="00B83E47">
        <w:rPr>
          <w:rFonts w:ascii="Avenir Next" w:hAnsi="Avenir Next" w:cs="Arial"/>
          <w:color w:val="7B7B7B" w:themeColor="accent3" w:themeShade="BF"/>
          <w:sz w:val="22"/>
          <w:szCs w:val="22"/>
          <w:lang w:val="en-IN"/>
        </w:rPr>
        <w:t>.</w:t>
      </w:r>
      <w:r w:rsidR="004F57D5">
        <w:rPr>
          <w:rStyle w:val="FootnoteReference"/>
          <w:rFonts w:ascii="Avenir Next" w:hAnsi="Avenir Next" w:cs="Arial"/>
          <w:color w:val="7B7B7B" w:themeColor="accent3" w:themeShade="BF"/>
          <w:sz w:val="22"/>
          <w:szCs w:val="22"/>
          <w:lang w:val="en-IN"/>
        </w:rPr>
        <w:footnoteReference w:id="40"/>
      </w:r>
      <w:r w:rsidR="00837ADC" w:rsidRPr="00B83E47">
        <w:rPr>
          <w:rFonts w:ascii="Avenir Next" w:hAnsi="Avenir Next" w:cs="Arial"/>
          <w:color w:val="7B7B7B" w:themeColor="accent3" w:themeShade="BF"/>
          <w:sz w:val="22"/>
          <w:szCs w:val="22"/>
          <w:lang w:val="en-IN"/>
        </w:rPr>
        <w:t xml:space="preserve">It is recommended that to achieve a cohesive group </w:t>
      </w:r>
      <w:r w:rsidR="00FF4AE3" w:rsidRPr="00B83E47">
        <w:rPr>
          <w:rFonts w:ascii="Avenir Next" w:hAnsi="Avenir Next" w:cs="Arial"/>
          <w:color w:val="7B7B7B" w:themeColor="accent3" w:themeShade="BF"/>
          <w:sz w:val="22"/>
          <w:szCs w:val="22"/>
          <w:lang w:val="en-IN"/>
        </w:rPr>
        <w:t>reorganisation</w:t>
      </w:r>
      <w:r w:rsidR="00837ADC" w:rsidRPr="00B83E47">
        <w:rPr>
          <w:rFonts w:ascii="Avenir Next" w:hAnsi="Avenir Next" w:cs="Arial"/>
          <w:color w:val="7B7B7B" w:themeColor="accent3" w:themeShade="BF"/>
          <w:sz w:val="22"/>
          <w:szCs w:val="22"/>
          <w:lang w:val="en-IN"/>
        </w:rPr>
        <w:t>,</w:t>
      </w:r>
      <w:r w:rsidR="000771CF" w:rsidRPr="00B83E47">
        <w:rPr>
          <w:rFonts w:ascii="Avenir Next" w:hAnsi="Avenir Next" w:cs="Arial"/>
          <w:color w:val="7B7B7B" w:themeColor="accent3" w:themeShade="BF"/>
          <w:sz w:val="22"/>
          <w:szCs w:val="22"/>
          <w:lang w:val="en-IN"/>
        </w:rPr>
        <w:t xml:space="preserve"> the opt-out mechanism should have extensive checks and balances and should not be granted without scrutiny. </w:t>
      </w:r>
    </w:p>
    <w:p w14:paraId="70C6F778" w14:textId="77777777" w:rsidR="00B83E47" w:rsidRDefault="00B83E47" w:rsidP="002A37BB">
      <w:pPr>
        <w:jc w:val="both"/>
        <w:rPr>
          <w:rFonts w:ascii="Avenir Next" w:hAnsi="Avenir Next" w:cs="Arial"/>
          <w:color w:val="7B7B7B" w:themeColor="accent3" w:themeShade="BF"/>
          <w:sz w:val="22"/>
          <w:szCs w:val="22"/>
          <w:lang w:val="en-IN"/>
        </w:rPr>
      </w:pPr>
    </w:p>
    <w:p w14:paraId="650F4484" w14:textId="4323BC55" w:rsidR="00B83E47" w:rsidRPr="00B83E47" w:rsidRDefault="00B83E47" w:rsidP="00B83E47">
      <w:pPr>
        <w:pStyle w:val="ListParagraph"/>
        <w:numPr>
          <w:ilvl w:val="0"/>
          <w:numId w:val="35"/>
        </w:numPr>
        <w:jc w:val="both"/>
        <w:rPr>
          <w:rFonts w:ascii="Avenir Next" w:hAnsi="Avenir Next" w:cs="Arial"/>
          <w:color w:val="7B7B7B" w:themeColor="accent3" w:themeShade="BF"/>
          <w:sz w:val="22"/>
          <w:szCs w:val="22"/>
          <w:lang w:val="en-IN"/>
        </w:rPr>
      </w:pPr>
      <w:r w:rsidRPr="00577FEB">
        <w:rPr>
          <w:rFonts w:ascii="Avenir Next" w:hAnsi="Avenir Next" w:cs="Arial"/>
          <w:b/>
          <w:bCs/>
          <w:color w:val="7B7B7B" w:themeColor="accent3" w:themeShade="BF"/>
          <w:sz w:val="22"/>
          <w:szCs w:val="22"/>
          <w:lang w:val="en-IN"/>
        </w:rPr>
        <w:t xml:space="preserve">Suspension Period </w:t>
      </w:r>
      <w:r w:rsidR="00F82719" w:rsidRPr="00577FEB">
        <w:rPr>
          <w:rFonts w:ascii="Avenir Next" w:hAnsi="Avenir Next" w:cs="Arial"/>
          <w:b/>
          <w:bCs/>
          <w:color w:val="7B7B7B" w:themeColor="accent3" w:themeShade="BF"/>
          <w:sz w:val="22"/>
          <w:szCs w:val="22"/>
          <w:lang w:val="en-IN"/>
        </w:rPr>
        <w:t>to Prevent Forum Shopping</w:t>
      </w:r>
      <w:r w:rsidR="00F82719">
        <w:rPr>
          <w:rFonts w:ascii="Avenir Next" w:hAnsi="Avenir Next" w:cs="Arial"/>
          <w:color w:val="7B7B7B" w:themeColor="accent3" w:themeShade="BF"/>
          <w:sz w:val="22"/>
          <w:szCs w:val="22"/>
          <w:lang w:val="en-IN"/>
        </w:rPr>
        <w:t xml:space="preserve">: </w:t>
      </w:r>
      <w:r w:rsidR="009F47E1" w:rsidRPr="009F47E1">
        <w:rPr>
          <w:rFonts w:ascii="Avenir Next" w:hAnsi="Avenir Next" w:cs="Arial"/>
          <w:color w:val="7B7B7B" w:themeColor="accent3" w:themeShade="BF"/>
          <w:sz w:val="22"/>
          <w:szCs w:val="22"/>
          <w:lang w:val="en-IN"/>
        </w:rPr>
        <w:t>Forum shopping describes the situation where a debtor engages in regulatory arbitrage by modifying certain criteria that allow them to benefit from a different, more favorable insolvency law or jurisdiction</w:t>
      </w:r>
      <w:r w:rsidR="009F47E1">
        <w:rPr>
          <w:rStyle w:val="FootnoteReference"/>
          <w:rFonts w:ascii="Avenir Next" w:hAnsi="Avenir Next" w:cs="Arial"/>
          <w:color w:val="7B7B7B" w:themeColor="accent3" w:themeShade="BF"/>
          <w:sz w:val="22"/>
          <w:szCs w:val="22"/>
          <w:lang w:val="en-IN"/>
        </w:rPr>
        <w:footnoteReference w:id="41"/>
      </w:r>
      <w:r w:rsidR="006F0E84">
        <w:rPr>
          <w:rFonts w:ascii="Avenir Next" w:hAnsi="Avenir Next" w:cs="Arial"/>
          <w:color w:val="7B7B7B" w:themeColor="accent3" w:themeShade="BF"/>
          <w:sz w:val="22"/>
          <w:szCs w:val="22"/>
          <w:lang w:val="en-IN"/>
        </w:rPr>
        <w:t>.</w:t>
      </w:r>
      <w:r w:rsidR="00973DEA">
        <w:rPr>
          <w:rFonts w:ascii="Avenir Next" w:hAnsi="Avenir Next" w:cs="Arial"/>
          <w:color w:val="7B7B7B" w:themeColor="accent3" w:themeShade="BF"/>
          <w:sz w:val="22"/>
          <w:szCs w:val="22"/>
          <w:lang w:val="en-IN"/>
        </w:rPr>
        <w:t xml:space="preserve"> During the period when the European Commission was taking due cognizance of the drawbacks and the gaps of the EIR 2000, </w:t>
      </w:r>
      <w:r w:rsidR="005A4C75">
        <w:rPr>
          <w:rFonts w:ascii="Avenir Next" w:hAnsi="Avenir Next" w:cs="Arial"/>
          <w:color w:val="7B7B7B" w:themeColor="accent3" w:themeShade="BF"/>
          <w:sz w:val="22"/>
          <w:szCs w:val="22"/>
          <w:lang w:val="en-IN"/>
        </w:rPr>
        <w:t>more than half of the respondents indicated evidence of abusive forum shop</w:t>
      </w:r>
      <w:r w:rsidR="00B6769F">
        <w:rPr>
          <w:rFonts w:ascii="Avenir Next" w:hAnsi="Avenir Next" w:cs="Arial"/>
          <w:color w:val="7B7B7B" w:themeColor="accent3" w:themeShade="BF"/>
          <w:sz w:val="22"/>
          <w:szCs w:val="22"/>
          <w:lang w:val="en-IN"/>
        </w:rPr>
        <w:t xml:space="preserve">ping from the relocation of </w:t>
      </w:r>
      <w:r w:rsidR="00E56882">
        <w:rPr>
          <w:rFonts w:ascii="Avenir Next" w:hAnsi="Avenir Next" w:cs="Arial"/>
          <w:color w:val="7B7B7B" w:themeColor="accent3" w:themeShade="BF"/>
          <w:sz w:val="22"/>
          <w:szCs w:val="22"/>
          <w:lang w:val="en-IN"/>
        </w:rPr>
        <w:t>Centre</w:t>
      </w:r>
      <w:r w:rsidR="00B6769F">
        <w:rPr>
          <w:rFonts w:ascii="Avenir Next" w:hAnsi="Avenir Next" w:cs="Arial"/>
          <w:color w:val="7B7B7B" w:themeColor="accent3" w:themeShade="BF"/>
          <w:sz w:val="22"/>
          <w:szCs w:val="22"/>
          <w:lang w:val="en-IN"/>
        </w:rPr>
        <w:t xml:space="preserve"> of Main Interest (“COMI”)</w:t>
      </w:r>
      <w:r w:rsidR="00B6769F">
        <w:rPr>
          <w:rStyle w:val="FootnoteReference"/>
          <w:rFonts w:ascii="Avenir Next" w:hAnsi="Avenir Next" w:cs="Arial"/>
          <w:color w:val="7B7B7B" w:themeColor="accent3" w:themeShade="BF"/>
          <w:sz w:val="22"/>
          <w:szCs w:val="22"/>
          <w:lang w:val="en-IN"/>
        </w:rPr>
        <w:footnoteReference w:id="42"/>
      </w:r>
      <w:r w:rsidR="00270A58">
        <w:rPr>
          <w:rFonts w:ascii="Avenir Next" w:hAnsi="Avenir Next" w:cs="Arial"/>
          <w:color w:val="7B7B7B" w:themeColor="accent3" w:themeShade="BF"/>
          <w:sz w:val="22"/>
          <w:szCs w:val="22"/>
          <w:lang w:val="en-IN"/>
        </w:rPr>
        <w:t xml:space="preserve">. Hence taking from the </w:t>
      </w:r>
      <w:r w:rsidR="00270A58" w:rsidRPr="00270A58">
        <w:rPr>
          <w:rFonts w:ascii="Avenir Next" w:hAnsi="Avenir Next" w:cs="Arial"/>
          <w:i/>
          <w:iCs/>
          <w:color w:val="7B7B7B" w:themeColor="accent3" w:themeShade="BF"/>
          <w:sz w:val="22"/>
          <w:szCs w:val="22"/>
          <w:lang w:val="en-IN"/>
        </w:rPr>
        <w:t xml:space="preserve">inter-alia </w:t>
      </w:r>
      <w:r w:rsidR="00270A58">
        <w:rPr>
          <w:rFonts w:ascii="Avenir Next" w:hAnsi="Avenir Next" w:cs="Arial"/>
          <w:color w:val="7B7B7B" w:themeColor="accent3" w:themeShade="BF"/>
          <w:sz w:val="22"/>
          <w:szCs w:val="22"/>
          <w:lang w:val="en-IN"/>
        </w:rPr>
        <w:t xml:space="preserve">the aforementioned feedback, the EIR Recast introduced </w:t>
      </w:r>
      <w:r w:rsidR="00F715D7">
        <w:rPr>
          <w:rFonts w:ascii="Avenir Next" w:hAnsi="Avenir Next" w:cs="Arial"/>
          <w:color w:val="7B7B7B" w:themeColor="accent3" w:themeShade="BF"/>
          <w:sz w:val="22"/>
          <w:szCs w:val="22"/>
          <w:lang w:val="en-IN"/>
        </w:rPr>
        <w:t>a few</w:t>
      </w:r>
      <w:r w:rsidR="00FF4AE3">
        <w:rPr>
          <w:rFonts w:ascii="Avenir Next" w:hAnsi="Avenir Next" w:cs="Arial"/>
          <w:color w:val="7B7B7B" w:themeColor="accent3" w:themeShade="BF"/>
          <w:sz w:val="22"/>
          <w:szCs w:val="22"/>
          <w:lang w:val="en-IN"/>
        </w:rPr>
        <w:t>,</w:t>
      </w:r>
      <w:r w:rsidR="00F715D7">
        <w:rPr>
          <w:rFonts w:ascii="Avenir Next" w:hAnsi="Avenir Next" w:cs="Arial"/>
          <w:color w:val="7B7B7B" w:themeColor="accent3" w:themeShade="BF"/>
          <w:sz w:val="22"/>
          <w:szCs w:val="22"/>
          <w:lang w:val="en-IN"/>
        </w:rPr>
        <w:t xml:space="preserve"> but significant changes to combat forum shopping. Firstly, it introduced a distinction between forum shopping which the creditors agree to and the ones which may be deemed as abusive and offensive by qualifying it </w:t>
      </w:r>
      <w:r w:rsidR="00620DD2">
        <w:rPr>
          <w:rFonts w:ascii="Avenir Next" w:hAnsi="Avenir Next" w:cs="Arial"/>
          <w:color w:val="7B7B7B" w:themeColor="accent3" w:themeShade="BF"/>
          <w:sz w:val="22"/>
          <w:szCs w:val="22"/>
          <w:lang w:val="en-IN"/>
        </w:rPr>
        <w:t xml:space="preserve">with these given words </w:t>
      </w:r>
      <w:r w:rsidR="000E7F14">
        <w:rPr>
          <w:rFonts w:ascii="Avenir Next" w:hAnsi="Avenir Next" w:cs="Arial"/>
          <w:color w:val="7B7B7B" w:themeColor="accent3" w:themeShade="BF"/>
          <w:sz w:val="22"/>
          <w:szCs w:val="22"/>
          <w:lang w:val="en-IN"/>
        </w:rPr>
        <w:t>“</w:t>
      </w:r>
      <w:r w:rsidR="000E7F14" w:rsidRPr="000E7F14">
        <w:rPr>
          <w:rFonts w:ascii="Avenir Next" w:hAnsi="Avenir Next" w:cs="Arial"/>
          <w:i/>
          <w:iCs/>
          <w:color w:val="7B7B7B" w:themeColor="accent3" w:themeShade="BF"/>
          <w:sz w:val="22"/>
          <w:szCs w:val="22"/>
          <w:lang w:val="en-IN"/>
        </w:rPr>
        <w:t>to the detriment of the general body of creditors</w:t>
      </w:r>
      <w:r w:rsidR="000E7F14">
        <w:rPr>
          <w:rFonts w:ascii="Avenir Next" w:hAnsi="Avenir Next" w:cs="Arial"/>
          <w:color w:val="7B7B7B" w:themeColor="accent3" w:themeShade="BF"/>
          <w:sz w:val="22"/>
          <w:szCs w:val="22"/>
          <w:lang w:val="en-IN"/>
        </w:rPr>
        <w:t>”</w:t>
      </w:r>
      <w:r w:rsidR="000E7F14">
        <w:rPr>
          <w:rStyle w:val="FootnoteReference"/>
          <w:rFonts w:ascii="Avenir Next" w:hAnsi="Avenir Next" w:cs="Arial"/>
          <w:color w:val="7B7B7B" w:themeColor="accent3" w:themeShade="BF"/>
          <w:sz w:val="22"/>
          <w:szCs w:val="22"/>
          <w:lang w:val="en-IN"/>
        </w:rPr>
        <w:footnoteReference w:id="43"/>
      </w:r>
      <w:r w:rsidR="008047E5">
        <w:rPr>
          <w:rFonts w:ascii="Avenir Next" w:hAnsi="Avenir Next" w:cs="Arial"/>
          <w:color w:val="7B7B7B" w:themeColor="accent3" w:themeShade="BF"/>
          <w:sz w:val="22"/>
          <w:szCs w:val="22"/>
          <w:lang w:val="en-IN"/>
        </w:rPr>
        <w:t xml:space="preserve">. It also under Recitals </w:t>
      </w:r>
      <w:r w:rsidR="00CF06A9">
        <w:rPr>
          <w:rFonts w:ascii="Avenir Next" w:hAnsi="Avenir Next" w:cs="Arial"/>
          <w:color w:val="7B7B7B" w:themeColor="accent3" w:themeShade="BF"/>
          <w:sz w:val="22"/>
          <w:szCs w:val="22"/>
          <w:lang w:val="en-IN"/>
        </w:rPr>
        <w:t xml:space="preserve">29-34, introduce measures such as that the COMI presumption should be rebuttable, </w:t>
      </w:r>
      <w:r w:rsidR="009A7299">
        <w:rPr>
          <w:rFonts w:ascii="Avenir Next" w:hAnsi="Avenir Next" w:cs="Arial"/>
          <w:color w:val="7B7B7B" w:themeColor="accent3" w:themeShade="BF"/>
          <w:sz w:val="22"/>
          <w:szCs w:val="22"/>
          <w:lang w:val="en-IN"/>
        </w:rPr>
        <w:t xml:space="preserve">that the COMI presumption does not apply during the ‘suspension period’, being the period </w:t>
      </w:r>
      <w:r w:rsidR="00693EB7">
        <w:rPr>
          <w:rFonts w:ascii="Avenir Next" w:hAnsi="Avenir Next" w:cs="Arial"/>
          <w:color w:val="7B7B7B" w:themeColor="accent3" w:themeShade="BF"/>
          <w:sz w:val="22"/>
          <w:szCs w:val="22"/>
          <w:lang w:val="en-IN"/>
        </w:rPr>
        <w:t>of three months (in the case of companies) and six months (in the case of individuals</w:t>
      </w:r>
      <w:r w:rsidR="00B24D0D">
        <w:rPr>
          <w:rFonts w:ascii="Avenir Next" w:hAnsi="Avenir Next" w:cs="Arial"/>
          <w:color w:val="7B7B7B" w:themeColor="accent3" w:themeShade="BF"/>
          <w:sz w:val="22"/>
          <w:szCs w:val="22"/>
          <w:lang w:val="en-IN"/>
        </w:rPr>
        <w:t>)</w:t>
      </w:r>
      <w:r w:rsidR="00067311">
        <w:rPr>
          <w:rFonts w:ascii="Avenir Next" w:hAnsi="Avenir Next" w:cs="Arial"/>
          <w:color w:val="7B7B7B" w:themeColor="accent3" w:themeShade="BF"/>
          <w:sz w:val="22"/>
          <w:szCs w:val="22"/>
          <w:lang w:val="en-IN"/>
        </w:rPr>
        <w:t xml:space="preserve"> (“Suspension Period”)</w:t>
      </w:r>
      <w:r w:rsidR="00B24D0D">
        <w:rPr>
          <w:rFonts w:ascii="Avenir Next" w:hAnsi="Avenir Next" w:cs="Arial"/>
          <w:color w:val="7B7B7B" w:themeColor="accent3" w:themeShade="BF"/>
          <w:sz w:val="22"/>
          <w:szCs w:val="22"/>
          <w:lang w:val="en-IN"/>
        </w:rPr>
        <w:t xml:space="preserve"> before filing of an application for initiation of insolvency proceedings</w:t>
      </w:r>
      <w:r w:rsidR="00067311">
        <w:rPr>
          <w:rFonts w:ascii="Avenir Next" w:hAnsi="Avenir Next" w:cs="Arial"/>
          <w:color w:val="7B7B7B" w:themeColor="accent3" w:themeShade="BF"/>
          <w:sz w:val="22"/>
          <w:szCs w:val="22"/>
          <w:lang w:val="en-IN"/>
        </w:rPr>
        <w:t xml:space="preserve">. </w:t>
      </w:r>
      <w:r w:rsidR="00AD2FEA">
        <w:rPr>
          <w:rFonts w:ascii="Avenir Next" w:hAnsi="Avenir Next" w:cs="Arial"/>
          <w:color w:val="7B7B7B" w:themeColor="accent3" w:themeShade="BF"/>
          <w:sz w:val="22"/>
          <w:szCs w:val="22"/>
          <w:lang w:val="en-IN"/>
        </w:rPr>
        <w:t xml:space="preserve">The critique has crucially come qua the Suspension Period, </w:t>
      </w:r>
      <w:r w:rsidR="00AB45BC">
        <w:rPr>
          <w:rFonts w:ascii="Avenir Next" w:hAnsi="Avenir Next" w:cs="Arial"/>
          <w:color w:val="7B7B7B" w:themeColor="accent3" w:themeShade="BF"/>
          <w:sz w:val="22"/>
          <w:szCs w:val="22"/>
          <w:lang w:val="en-IN"/>
        </w:rPr>
        <w:t>as this rule</w:t>
      </w:r>
      <w:r w:rsidR="00FF4AE3">
        <w:rPr>
          <w:rFonts w:ascii="Avenir Next" w:hAnsi="Avenir Next" w:cs="Arial"/>
          <w:color w:val="7B7B7B" w:themeColor="accent3" w:themeShade="BF"/>
          <w:sz w:val="22"/>
          <w:szCs w:val="22"/>
          <w:lang w:val="en-IN"/>
        </w:rPr>
        <w:t xml:space="preserve"> </w:t>
      </w:r>
      <w:r w:rsidR="00AB45BC">
        <w:rPr>
          <w:rFonts w:ascii="Avenir Next" w:hAnsi="Avenir Next" w:cs="Arial"/>
          <w:color w:val="7B7B7B" w:themeColor="accent3" w:themeShade="BF"/>
          <w:sz w:val="22"/>
          <w:szCs w:val="22"/>
          <w:lang w:val="en-IN"/>
        </w:rPr>
        <w:t xml:space="preserve">has been </w:t>
      </w:r>
      <w:r w:rsidR="00AB45BC">
        <w:rPr>
          <w:rFonts w:ascii="Avenir Next" w:hAnsi="Avenir Next" w:cs="Arial"/>
          <w:color w:val="7B7B7B" w:themeColor="accent3" w:themeShade="BF"/>
          <w:sz w:val="22"/>
          <w:szCs w:val="22"/>
          <w:lang w:val="en-IN"/>
        </w:rPr>
        <w:lastRenderedPageBreak/>
        <w:t>considered a week adaption</w:t>
      </w:r>
      <w:r w:rsidR="00FF4AE3">
        <w:rPr>
          <w:rFonts w:ascii="Avenir Next" w:hAnsi="Avenir Next" w:cs="Arial"/>
          <w:color w:val="7B7B7B" w:themeColor="accent3" w:themeShade="BF"/>
          <w:sz w:val="22"/>
          <w:szCs w:val="22"/>
          <w:lang w:val="en-IN"/>
        </w:rPr>
        <w:t xml:space="preserve"> </w:t>
      </w:r>
      <w:r w:rsidR="00AB45BC">
        <w:rPr>
          <w:rFonts w:ascii="Avenir Next" w:hAnsi="Avenir Next" w:cs="Arial"/>
          <w:color w:val="7B7B7B" w:themeColor="accent3" w:themeShade="BF"/>
          <w:sz w:val="22"/>
          <w:szCs w:val="22"/>
          <w:lang w:val="en-IN"/>
        </w:rPr>
        <w:t>of the initial recommendations that the commission was faced with</w:t>
      </w:r>
      <w:r w:rsidR="00EE4C5E">
        <w:rPr>
          <w:rStyle w:val="FootnoteReference"/>
          <w:rFonts w:ascii="Avenir Next" w:hAnsi="Avenir Next" w:cs="Arial"/>
          <w:color w:val="7B7B7B" w:themeColor="accent3" w:themeShade="BF"/>
          <w:sz w:val="22"/>
          <w:szCs w:val="22"/>
          <w:lang w:val="en-IN"/>
        </w:rPr>
        <w:footnoteReference w:id="44"/>
      </w:r>
      <w:r w:rsidR="00D45083">
        <w:rPr>
          <w:rFonts w:ascii="Avenir Next" w:hAnsi="Avenir Next" w:cs="Arial"/>
          <w:color w:val="7B7B7B" w:themeColor="accent3" w:themeShade="BF"/>
          <w:sz w:val="22"/>
          <w:szCs w:val="22"/>
          <w:lang w:val="en-IN"/>
        </w:rPr>
        <w:t>. The way the Suspension Period concept is des</w:t>
      </w:r>
      <w:r w:rsidR="002F6147">
        <w:rPr>
          <w:rFonts w:ascii="Avenir Next" w:hAnsi="Avenir Next" w:cs="Arial"/>
          <w:color w:val="7B7B7B" w:themeColor="accent3" w:themeShade="BF"/>
          <w:sz w:val="22"/>
          <w:szCs w:val="22"/>
          <w:lang w:val="en-IN"/>
        </w:rPr>
        <w:t xml:space="preserve">igned to work </w:t>
      </w:r>
      <w:r w:rsidR="00032D79">
        <w:rPr>
          <w:rFonts w:ascii="Avenir Next" w:hAnsi="Avenir Next" w:cs="Arial"/>
          <w:color w:val="7B7B7B" w:themeColor="accent3" w:themeShade="BF"/>
          <w:sz w:val="22"/>
          <w:szCs w:val="22"/>
          <w:lang w:val="en-IN"/>
        </w:rPr>
        <w:t xml:space="preserve">is that the court that is </w:t>
      </w:r>
      <w:r w:rsidR="00D5594B">
        <w:rPr>
          <w:rFonts w:ascii="Avenir Next" w:hAnsi="Avenir Next" w:cs="Arial"/>
          <w:color w:val="7B7B7B" w:themeColor="accent3" w:themeShade="BF"/>
          <w:sz w:val="22"/>
          <w:szCs w:val="22"/>
          <w:lang w:val="en-IN"/>
        </w:rPr>
        <w:t xml:space="preserve">seized of the insolvency application has to establish the real COMI as </w:t>
      </w:r>
      <w:r w:rsidR="00741A67">
        <w:rPr>
          <w:rFonts w:ascii="Avenir Next" w:hAnsi="Avenir Next" w:cs="Arial"/>
          <w:color w:val="7B7B7B" w:themeColor="accent3" w:themeShade="BF"/>
          <w:sz w:val="22"/>
          <w:szCs w:val="22"/>
          <w:lang w:val="en-IN"/>
        </w:rPr>
        <w:t>p</w:t>
      </w:r>
      <w:r w:rsidR="00D5594B">
        <w:rPr>
          <w:rFonts w:ascii="Avenir Next" w:hAnsi="Avenir Next" w:cs="Arial"/>
          <w:color w:val="7B7B7B" w:themeColor="accent3" w:themeShade="BF"/>
          <w:sz w:val="22"/>
          <w:szCs w:val="22"/>
          <w:lang w:val="en-IN"/>
        </w:rPr>
        <w:t xml:space="preserve">er the broad rules laid under the EIR Recast </w:t>
      </w:r>
      <w:r w:rsidR="00230081">
        <w:rPr>
          <w:rFonts w:ascii="Avenir Next" w:hAnsi="Avenir Next" w:cs="Arial"/>
          <w:color w:val="7B7B7B" w:themeColor="accent3" w:themeShade="BF"/>
          <w:sz w:val="22"/>
          <w:szCs w:val="22"/>
          <w:lang w:val="en-IN"/>
        </w:rPr>
        <w:t>and cannot rely on the presumption</w:t>
      </w:r>
      <w:r w:rsidR="00FF4AE3">
        <w:rPr>
          <w:rFonts w:ascii="Avenir Next" w:hAnsi="Avenir Next" w:cs="Arial"/>
          <w:color w:val="7B7B7B" w:themeColor="accent3" w:themeShade="BF"/>
          <w:sz w:val="22"/>
          <w:szCs w:val="22"/>
          <w:lang w:val="en-IN"/>
        </w:rPr>
        <w:t xml:space="preserve"> simply (registered office)</w:t>
      </w:r>
      <w:r w:rsidR="00496AB7">
        <w:rPr>
          <w:rFonts w:ascii="Avenir Next" w:hAnsi="Avenir Next" w:cs="Arial"/>
          <w:color w:val="7B7B7B" w:themeColor="accent3" w:themeShade="BF"/>
          <w:sz w:val="22"/>
          <w:szCs w:val="22"/>
          <w:lang w:val="en-IN"/>
        </w:rPr>
        <w:t>. This is</w:t>
      </w:r>
      <w:r w:rsidR="00FF4AE3">
        <w:rPr>
          <w:rFonts w:ascii="Avenir Next" w:hAnsi="Avenir Next" w:cs="Arial"/>
          <w:color w:val="7B7B7B" w:themeColor="accent3" w:themeShade="BF"/>
          <w:sz w:val="22"/>
          <w:szCs w:val="22"/>
          <w:lang w:val="en-IN"/>
        </w:rPr>
        <w:t xml:space="preserve"> a</w:t>
      </w:r>
      <w:r w:rsidR="00496AB7">
        <w:rPr>
          <w:rFonts w:ascii="Avenir Next" w:hAnsi="Avenir Next" w:cs="Arial"/>
          <w:color w:val="7B7B7B" w:themeColor="accent3" w:themeShade="BF"/>
          <w:sz w:val="22"/>
          <w:szCs w:val="22"/>
          <w:lang w:val="en-IN"/>
        </w:rPr>
        <w:t xml:space="preserve"> weak </w:t>
      </w:r>
      <w:r w:rsidR="00FF4AE3">
        <w:rPr>
          <w:rFonts w:ascii="Avenir Next" w:hAnsi="Avenir Next" w:cs="Arial"/>
          <w:color w:val="7B7B7B" w:themeColor="accent3" w:themeShade="BF"/>
          <w:sz w:val="22"/>
          <w:szCs w:val="22"/>
          <w:lang w:val="en-IN"/>
        </w:rPr>
        <w:t xml:space="preserve">approach </w:t>
      </w:r>
      <w:r w:rsidR="00496AB7">
        <w:rPr>
          <w:rFonts w:ascii="Avenir Next" w:hAnsi="Avenir Next" w:cs="Arial"/>
          <w:color w:val="7B7B7B" w:themeColor="accent3" w:themeShade="BF"/>
          <w:sz w:val="22"/>
          <w:szCs w:val="22"/>
          <w:lang w:val="en-IN"/>
        </w:rPr>
        <w:t xml:space="preserve">as it </w:t>
      </w:r>
      <w:r w:rsidR="00496AB7" w:rsidRPr="00741A67">
        <w:rPr>
          <w:rFonts w:ascii="Avenir Next" w:hAnsi="Avenir Next" w:cs="Arial"/>
          <w:color w:val="7B7B7B" w:themeColor="accent3" w:themeShade="BF"/>
          <w:sz w:val="22"/>
          <w:szCs w:val="22"/>
          <w:lang w:val="en-IN"/>
        </w:rPr>
        <w:t>only disapplies the COMI presumption, rather than treating any potential COMI shift</w:t>
      </w:r>
      <w:r w:rsidR="00741A67" w:rsidRPr="00741A67">
        <w:rPr>
          <w:rFonts w:ascii="Avenir Next" w:hAnsi="Avenir Next" w:cs="Arial"/>
          <w:color w:val="7B7B7B" w:themeColor="accent3" w:themeShade="BF"/>
          <w:sz w:val="22"/>
          <w:szCs w:val="22"/>
          <w:lang w:val="en-IN"/>
        </w:rPr>
        <w:t xml:space="preserve"> as entirely ineffective for the purposes of the jurisdictional rules of the of the EIR Recast</w:t>
      </w:r>
      <w:r w:rsidR="00741A67">
        <w:rPr>
          <w:rStyle w:val="FootnoteReference"/>
          <w:rFonts w:ascii="Avenir Next" w:hAnsi="Avenir Next" w:cs="Arial"/>
          <w:color w:val="7B7B7B" w:themeColor="accent3" w:themeShade="BF"/>
          <w:sz w:val="22"/>
          <w:szCs w:val="22"/>
          <w:lang w:val="en-IN"/>
        </w:rPr>
        <w:footnoteReference w:id="45"/>
      </w:r>
      <w:r w:rsidR="00130E63">
        <w:rPr>
          <w:rFonts w:ascii="Avenir Next" w:hAnsi="Avenir Next" w:cs="Arial"/>
          <w:color w:val="7B7B7B" w:themeColor="accent3" w:themeShade="BF"/>
          <w:sz w:val="22"/>
          <w:szCs w:val="22"/>
          <w:lang w:val="en-IN"/>
        </w:rPr>
        <w:t>. Another drawback of this design is that it almost completely excludes shifts of the head office and is only restricted to the ‘registered office’</w:t>
      </w:r>
      <w:r w:rsidR="00966D5B">
        <w:rPr>
          <w:rFonts w:ascii="Avenir Next" w:hAnsi="Avenir Next" w:cs="Arial"/>
          <w:color w:val="7B7B7B" w:themeColor="accent3" w:themeShade="BF"/>
          <w:sz w:val="22"/>
          <w:szCs w:val="22"/>
          <w:lang w:val="en-IN"/>
        </w:rPr>
        <w:t xml:space="preserve"> </w:t>
      </w:r>
      <w:r w:rsidR="00A85676">
        <w:rPr>
          <w:rFonts w:ascii="Avenir Next" w:hAnsi="Avenir Next" w:cs="Arial"/>
          <w:color w:val="7B7B7B" w:themeColor="accent3" w:themeShade="BF"/>
          <w:sz w:val="22"/>
          <w:szCs w:val="22"/>
          <w:lang w:val="en-IN"/>
        </w:rPr>
        <w:t>whilst the shifting of the head office or the main/central administration of the company is common modus of abusive from shopping</w:t>
      </w:r>
      <w:r w:rsidR="00A85676">
        <w:rPr>
          <w:rStyle w:val="FootnoteReference"/>
          <w:rFonts w:ascii="Avenir Next" w:hAnsi="Avenir Next" w:cs="Arial"/>
          <w:color w:val="7B7B7B" w:themeColor="accent3" w:themeShade="BF"/>
          <w:sz w:val="22"/>
          <w:szCs w:val="22"/>
          <w:lang w:val="en-IN"/>
        </w:rPr>
        <w:footnoteReference w:id="46"/>
      </w:r>
      <w:r w:rsidR="00A85676">
        <w:rPr>
          <w:rFonts w:ascii="Avenir Next" w:hAnsi="Avenir Next" w:cs="Arial"/>
          <w:color w:val="7B7B7B" w:themeColor="accent3" w:themeShade="BF"/>
          <w:sz w:val="22"/>
          <w:szCs w:val="22"/>
          <w:lang w:val="en-IN"/>
        </w:rPr>
        <w:t xml:space="preserve">. </w:t>
      </w:r>
      <w:r w:rsidR="007E61AE">
        <w:rPr>
          <w:rFonts w:ascii="Avenir Next" w:hAnsi="Avenir Next" w:cs="Arial"/>
          <w:color w:val="7B7B7B" w:themeColor="accent3" w:themeShade="BF"/>
          <w:sz w:val="22"/>
          <w:szCs w:val="22"/>
          <w:lang w:val="en-IN"/>
        </w:rPr>
        <w:t>It can also prove to be detrimental to</w:t>
      </w:r>
      <w:r w:rsidR="009D64EB">
        <w:rPr>
          <w:rFonts w:ascii="Avenir Next" w:hAnsi="Avenir Next" w:cs="Arial"/>
          <w:color w:val="7B7B7B" w:themeColor="accent3" w:themeShade="BF"/>
          <w:sz w:val="22"/>
          <w:szCs w:val="22"/>
          <w:lang w:val="en-IN"/>
        </w:rPr>
        <w:t xml:space="preserve"> cases where everyone has agreed to the shift keeping in mind the best int</w:t>
      </w:r>
      <w:r w:rsidR="00BB1E29">
        <w:rPr>
          <w:rFonts w:ascii="Avenir Next" w:hAnsi="Avenir Next" w:cs="Arial"/>
          <w:color w:val="7B7B7B" w:themeColor="accent3" w:themeShade="BF"/>
          <w:sz w:val="22"/>
          <w:szCs w:val="22"/>
          <w:lang w:val="en-IN"/>
        </w:rPr>
        <w:t xml:space="preserve">erests </w:t>
      </w:r>
      <w:r w:rsidR="00DE7B7E">
        <w:rPr>
          <w:rFonts w:ascii="Avenir Next" w:hAnsi="Avenir Next" w:cs="Arial"/>
          <w:color w:val="7B7B7B" w:themeColor="accent3" w:themeShade="BF"/>
          <w:sz w:val="22"/>
          <w:szCs w:val="22"/>
          <w:lang w:val="en-IN"/>
        </w:rPr>
        <w:t xml:space="preserve">of the various stakeholders and maximisation of the value of the assets and preservation of the business enterprise of the corporate debtor as a going concern. </w:t>
      </w:r>
      <w:r w:rsidR="002A6AC8">
        <w:rPr>
          <w:rFonts w:ascii="Avenir Next" w:hAnsi="Avenir Next" w:cs="Arial"/>
          <w:color w:val="7B7B7B" w:themeColor="accent3" w:themeShade="BF"/>
          <w:sz w:val="22"/>
          <w:szCs w:val="22"/>
          <w:lang w:val="en-IN"/>
        </w:rPr>
        <w:t xml:space="preserve">Further, it could also harm new creditors who have taken an interest in the </w:t>
      </w:r>
      <w:r w:rsidR="00577FEB">
        <w:rPr>
          <w:rFonts w:ascii="Avenir Next" w:hAnsi="Avenir Next" w:cs="Arial"/>
          <w:color w:val="7B7B7B" w:themeColor="accent3" w:themeShade="BF"/>
          <w:sz w:val="22"/>
          <w:szCs w:val="22"/>
          <w:lang w:val="en-IN"/>
        </w:rPr>
        <w:t>debtor’s</w:t>
      </w:r>
      <w:r w:rsidR="002A6AC8">
        <w:rPr>
          <w:rFonts w:ascii="Avenir Next" w:hAnsi="Avenir Next" w:cs="Arial"/>
          <w:color w:val="7B7B7B" w:themeColor="accent3" w:themeShade="BF"/>
          <w:sz w:val="22"/>
          <w:szCs w:val="22"/>
          <w:lang w:val="en-IN"/>
        </w:rPr>
        <w:t xml:space="preserve"> new location, without knowing the intent of the shift. An alternative remedy to </w:t>
      </w:r>
      <w:r w:rsidR="00402B54">
        <w:rPr>
          <w:rFonts w:ascii="Avenir Next" w:hAnsi="Avenir Next" w:cs="Arial"/>
          <w:color w:val="7B7B7B" w:themeColor="accent3" w:themeShade="BF"/>
          <w:sz w:val="22"/>
          <w:szCs w:val="22"/>
          <w:lang w:val="en-IN"/>
        </w:rPr>
        <w:t xml:space="preserve">address the forum shopping could have been that, which was suggested by </w:t>
      </w:r>
      <w:r w:rsidR="00577FEB">
        <w:rPr>
          <w:rFonts w:ascii="Avenir Next" w:hAnsi="Avenir Next" w:cs="Arial"/>
          <w:color w:val="7B7B7B" w:themeColor="accent3" w:themeShade="BF"/>
          <w:sz w:val="22"/>
          <w:szCs w:val="22"/>
          <w:lang w:val="en-IN"/>
        </w:rPr>
        <w:t>Netherlands</w:t>
      </w:r>
      <w:r w:rsidR="00402B54">
        <w:rPr>
          <w:rFonts w:ascii="Avenir Next" w:hAnsi="Avenir Next" w:cs="Arial"/>
          <w:color w:val="7B7B7B" w:themeColor="accent3" w:themeShade="BF"/>
          <w:sz w:val="22"/>
          <w:szCs w:val="22"/>
          <w:lang w:val="en-IN"/>
        </w:rPr>
        <w:t>, Germany and Spain</w:t>
      </w:r>
      <w:r w:rsidR="002D7736">
        <w:rPr>
          <w:rFonts w:ascii="Avenir Next" w:hAnsi="Avenir Next" w:cs="Arial"/>
          <w:color w:val="7B7B7B" w:themeColor="accent3" w:themeShade="BF"/>
          <w:sz w:val="22"/>
          <w:szCs w:val="22"/>
          <w:lang w:val="en-IN"/>
        </w:rPr>
        <w:t xml:space="preserve"> during the legislative negotiations at the time of drafting of the EIR Recat, being that </w:t>
      </w:r>
      <w:r w:rsidR="00BD7657">
        <w:rPr>
          <w:rFonts w:ascii="Avenir Next" w:hAnsi="Avenir Next" w:cs="Arial"/>
          <w:color w:val="7B7B7B" w:themeColor="accent3" w:themeShade="BF"/>
          <w:sz w:val="22"/>
          <w:szCs w:val="22"/>
          <w:lang w:val="en-IN"/>
        </w:rPr>
        <w:t>any</w:t>
      </w:r>
      <w:r w:rsidR="00BD7657">
        <w:t xml:space="preserve"> </w:t>
      </w:r>
      <w:r w:rsidR="00BD7657" w:rsidRPr="00BD7657">
        <w:rPr>
          <w:rFonts w:ascii="Avenir Next" w:hAnsi="Avenir Next" w:cs="Arial"/>
          <w:color w:val="7B7B7B" w:themeColor="accent3" w:themeShade="BF"/>
          <w:sz w:val="22"/>
          <w:szCs w:val="22"/>
          <w:lang w:val="en-IN"/>
        </w:rPr>
        <w:t xml:space="preserve">transfer of the COMI would have to be disregarded whenever its ‘exclusive or main object or effect was to harm the interests of creditors or </w:t>
      </w:r>
      <w:r w:rsidR="00577FEB" w:rsidRPr="00BD7657">
        <w:rPr>
          <w:rFonts w:ascii="Avenir Next" w:hAnsi="Avenir Next" w:cs="Arial"/>
          <w:color w:val="7B7B7B" w:themeColor="accent3" w:themeShade="BF"/>
          <w:sz w:val="22"/>
          <w:szCs w:val="22"/>
          <w:lang w:val="en-IN"/>
        </w:rPr>
        <w:t>employees</w:t>
      </w:r>
      <w:r w:rsidR="00577FEB">
        <w:rPr>
          <w:rFonts w:ascii="Avenir Next" w:hAnsi="Avenir Next" w:cs="Arial"/>
          <w:color w:val="7B7B7B" w:themeColor="accent3" w:themeShade="BF"/>
          <w:sz w:val="22"/>
          <w:szCs w:val="22"/>
          <w:lang w:val="en-IN"/>
        </w:rPr>
        <w:t>’.</w:t>
      </w:r>
    </w:p>
    <w:p w14:paraId="476CCB6D" w14:textId="696880E7" w:rsidR="00B83E47" w:rsidRPr="00B83E47" w:rsidRDefault="00B83E47" w:rsidP="00B83E47">
      <w:pPr>
        <w:jc w:val="both"/>
        <w:rPr>
          <w:rFonts w:ascii="Avenir Next" w:hAnsi="Avenir Next" w:cs="Arial"/>
          <w:sz w:val="22"/>
          <w:szCs w:val="22"/>
          <w:lang w:val="en-IN"/>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2D4D3CBF" w14:textId="4067C76A" w:rsidR="00D359A2" w:rsidRDefault="00D359A2" w:rsidP="00D359A2">
      <w:pPr>
        <w:jc w:val="both"/>
        <w:rPr>
          <w:rFonts w:ascii="Avenir Next" w:hAnsi="Avenir Next" w:cs="Arial"/>
          <w:color w:val="808080" w:themeColor="background1" w:themeShade="80"/>
          <w:sz w:val="22"/>
          <w:szCs w:val="22"/>
          <w:lang w:val="en-GB"/>
        </w:rPr>
      </w:pPr>
      <w:r w:rsidRPr="00D359A2">
        <w:rPr>
          <w:rFonts w:ascii="Avenir Next" w:hAnsi="Avenir Next" w:cs="Arial"/>
          <w:color w:val="808080" w:themeColor="background1" w:themeShade="80"/>
          <w:sz w:val="22"/>
          <w:szCs w:val="22"/>
          <w:lang w:val="en-GB"/>
        </w:rPr>
        <w:t>The fundamental differences between the EU Restructuring Directive of June 20 2019 (EU 2019/1023) (“Directive”) and the EIR Recast has been highlighted below:</w:t>
      </w:r>
    </w:p>
    <w:p w14:paraId="01747ED2" w14:textId="77668148" w:rsidR="00D359A2" w:rsidRDefault="00D359A2" w:rsidP="00D359A2">
      <w:pPr>
        <w:jc w:val="both"/>
        <w:rPr>
          <w:rFonts w:ascii="Avenir Next" w:hAnsi="Avenir Next" w:cs="Arial"/>
          <w:color w:val="808080" w:themeColor="background1" w:themeShade="80"/>
          <w:sz w:val="22"/>
          <w:szCs w:val="22"/>
          <w:lang w:val="en-GB"/>
        </w:rPr>
      </w:pPr>
    </w:p>
    <w:p w14:paraId="0EB6C43B" w14:textId="0E5F0DB0" w:rsidR="00880ABB" w:rsidRDefault="00D359A2" w:rsidP="00880ABB">
      <w:pPr>
        <w:pStyle w:val="ListParagraph"/>
        <w:numPr>
          <w:ilvl w:val="0"/>
          <w:numId w:val="39"/>
        </w:numPr>
        <w:jc w:val="both"/>
        <w:rPr>
          <w:rFonts w:ascii="Avenir Next" w:hAnsi="Avenir Next" w:cs="Arial"/>
          <w:color w:val="808080" w:themeColor="background1" w:themeShade="80"/>
          <w:sz w:val="22"/>
          <w:szCs w:val="22"/>
          <w:lang w:val="en-GB"/>
        </w:rPr>
      </w:pPr>
      <w:r w:rsidRPr="00A80D95">
        <w:rPr>
          <w:rFonts w:ascii="Avenir Next" w:hAnsi="Avenir Next" w:cs="Arial"/>
          <w:b/>
          <w:bCs/>
          <w:color w:val="808080" w:themeColor="background1" w:themeShade="80"/>
          <w:sz w:val="22"/>
          <w:szCs w:val="22"/>
          <w:lang w:val="en-GB"/>
        </w:rPr>
        <w:t>Approach: Harmonisation v Standardisation</w:t>
      </w:r>
      <w:r>
        <w:rPr>
          <w:rFonts w:ascii="Avenir Next" w:hAnsi="Avenir Next" w:cs="Arial"/>
          <w:color w:val="808080" w:themeColor="background1" w:themeShade="80"/>
          <w:sz w:val="22"/>
          <w:szCs w:val="22"/>
          <w:lang w:val="en-GB"/>
        </w:rPr>
        <w:t>- the EIR Recast deals with jurisdiction, recognition, enforcement, applicable law, corporation and coordination of the courts and the insolvency practitioners. However, the EIR Recast does not tackle the disparities between the interstate laws that deal with those procedures</w:t>
      </w:r>
      <w:r w:rsidR="008930DE">
        <w:rPr>
          <w:rStyle w:val="FootnoteReference"/>
          <w:rFonts w:ascii="Avenir Next" w:hAnsi="Avenir Next" w:cs="Arial"/>
          <w:color w:val="808080" w:themeColor="background1" w:themeShade="80"/>
          <w:sz w:val="22"/>
          <w:szCs w:val="22"/>
          <w:lang w:val="en-GB"/>
        </w:rPr>
        <w:footnoteReference w:id="47"/>
      </w:r>
      <w:r>
        <w:rPr>
          <w:rFonts w:ascii="Avenir Next" w:hAnsi="Avenir Next" w:cs="Arial"/>
          <w:color w:val="808080" w:themeColor="background1" w:themeShade="80"/>
          <w:sz w:val="22"/>
          <w:szCs w:val="22"/>
          <w:lang w:val="en-GB"/>
        </w:rPr>
        <w:t>. Essentially, it does not try and implement the same set of rules and regulations across the states to deal with the insolvency and liquidation procedures of corporates and the individuals, but it rather deals with it by recommending a structure with contours within which the member states and their participating stakeholders and their pillars (such as the courts and the insolvency professionals) have to fit in and behave by enhanced coordination, all while the laws being respective to their member state.</w:t>
      </w:r>
      <w:r w:rsidR="008930DE">
        <w:rPr>
          <w:rFonts w:ascii="Avenir Next" w:hAnsi="Avenir Next" w:cs="Arial"/>
          <w:color w:val="808080" w:themeColor="background1" w:themeShade="80"/>
          <w:sz w:val="22"/>
          <w:szCs w:val="22"/>
          <w:lang w:val="en-GB"/>
        </w:rPr>
        <w:t xml:space="preserve"> The EIR does not provide for any</w:t>
      </w:r>
      <w:r w:rsidR="008930DE" w:rsidRPr="008930DE">
        <w:rPr>
          <w:rFonts w:ascii="Avenir Next" w:hAnsi="Avenir Next" w:cs="Arial"/>
          <w:color w:val="808080" w:themeColor="background1" w:themeShade="80"/>
          <w:sz w:val="22"/>
          <w:szCs w:val="22"/>
          <w:lang w:val="en-GB"/>
        </w:rPr>
        <w:t xml:space="preserve"> material harmonization of the national insolvency laws, but rather provides a set of conflict of laws rules for the field of insolvencies</w:t>
      </w:r>
      <w:r w:rsidR="008930DE">
        <w:rPr>
          <w:rStyle w:val="FootnoteReference"/>
          <w:rFonts w:ascii="Avenir Next" w:hAnsi="Avenir Next" w:cs="Arial"/>
          <w:color w:val="808080" w:themeColor="background1" w:themeShade="80"/>
          <w:sz w:val="22"/>
          <w:szCs w:val="22"/>
          <w:lang w:val="en-GB"/>
        </w:rPr>
        <w:footnoteReference w:id="48"/>
      </w:r>
      <w:r w:rsidR="008930DE" w:rsidRPr="008930DE">
        <w:rPr>
          <w:rFonts w:ascii="Avenir Next" w:hAnsi="Avenir Next" w:cs="Arial"/>
          <w:color w:val="808080" w:themeColor="background1" w:themeShade="80"/>
          <w:sz w:val="22"/>
          <w:szCs w:val="22"/>
          <w:lang w:val="en-GB"/>
        </w:rPr>
        <w:t>.</w:t>
      </w:r>
      <w:r w:rsidR="008930DE">
        <w:rPr>
          <w:rFonts w:ascii="Avenir Next" w:hAnsi="Avenir Next" w:cs="Arial"/>
          <w:color w:val="808080" w:themeColor="background1" w:themeShade="80"/>
          <w:sz w:val="22"/>
          <w:szCs w:val="22"/>
          <w:lang w:val="en-GB"/>
        </w:rPr>
        <w:t xml:space="preserve"> The most important concepts that the EIR Recast introduces are that of “COMI”</w:t>
      </w:r>
      <w:r w:rsidR="00FF4AE3">
        <w:rPr>
          <w:rFonts w:ascii="Avenir Next" w:hAnsi="Avenir Next" w:cs="Arial"/>
          <w:color w:val="808080" w:themeColor="background1" w:themeShade="80"/>
          <w:sz w:val="22"/>
          <w:szCs w:val="22"/>
          <w:lang w:val="en-GB"/>
        </w:rPr>
        <w:t xml:space="preserve">, </w:t>
      </w:r>
      <w:r w:rsidR="008930DE">
        <w:rPr>
          <w:rFonts w:ascii="Avenir Next" w:hAnsi="Avenir Next" w:cs="Arial"/>
          <w:color w:val="808080" w:themeColor="background1" w:themeShade="80"/>
          <w:sz w:val="22"/>
          <w:szCs w:val="22"/>
          <w:lang w:val="en-GB"/>
        </w:rPr>
        <w:t xml:space="preserve">more from the perspective of preventing forum hopping and the EIR also </w:t>
      </w:r>
      <w:r w:rsidR="008930DE" w:rsidRPr="008930DE">
        <w:rPr>
          <w:rFonts w:ascii="Avenir Next" w:hAnsi="Avenir Next" w:cs="Arial"/>
          <w:color w:val="808080" w:themeColor="background1" w:themeShade="80"/>
          <w:sz w:val="22"/>
          <w:szCs w:val="22"/>
          <w:lang w:val="en-GB"/>
        </w:rPr>
        <w:t>ensures</w:t>
      </w:r>
      <w:r w:rsidR="008930DE" w:rsidRPr="008930DE">
        <w:rPr>
          <w:rFonts w:ascii="Avenir Next" w:hAnsi="Avenir Next" w:cs="Arial"/>
          <w:color w:val="808080" w:themeColor="background1" w:themeShade="80"/>
          <w:sz w:val="22"/>
          <w:szCs w:val="22"/>
          <w:lang w:val="en-GB"/>
        </w:rPr>
        <w:t xml:space="preserve"> </w:t>
      </w:r>
      <w:r w:rsidR="008930DE" w:rsidRPr="008930DE">
        <w:rPr>
          <w:rFonts w:ascii="Avenir Next" w:hAnsi="Avenir Next" w:cs="Arial"/>
          <w:color w:val="808080" w:themeColor="background1" w:themeShade="80"/>
          <w:sz w:val="22"/>
          <w:szCs w:val="22"/>
          <w:lang w:val="en-GB"/>
        </w:rPr>
        <w:lastRenderedPageBreak/>
        <w:t>that the opening of insolvency proceedings in one Member State is recognized in all other Member States</w:t>
      </w:r>
      <w:r w:rsidR="008930DE">
        <w:rPr>
          <w:rStyle w:val="FootnoteReference"/>
          <w:rFonts w:ascii="Avenir Next" w:hAnsi="Avenir Next" w:cs="Arial"/>
          <w:color w:val="808080" w:themeColor="background1" w:themeShade="80"/>
          <w:sz w:val="22"/>
          <w:szCs w:val="22"/>
          <w:lang w:val="en-GB"/>
        </w:rPr>
        <w:footnoteReference w:id="49"/>
      </w:r>
      <w:r w:rsidR="008930DE">
        <w:rPr>
          <w:rFonts w:ascii="Avenir Next" w:hAnsi="Avenir Next" w:cs="Arial"/>
          <w:color w:val="808080" w:themeColor="background1" w:themeShade="80"/>
          <w:sz w:val="22"/>
          <w:szCs w:val="22"/>
          <w:lang w:val="en-GB"/>
        </w:rPr>
        <w:t>.  One the other hand the Directive can be term</w:t>
      </w:r>
      <w:r w:rsidR="00BE61C0">
        <w:rPr>
          <w:rFonts w:ascii="Avenir Next" w:hAnsi="Avenir Next" w:cs="Arial"/>
          <w:color w:val="808080" w:themeColor="background1" w:themeShade="80"/>
          <w:sz w:val="22"/>
          <w:szCs w:val="22"/>
          <w:lang w:val="en-GB"/>
        </w:rPr>
        <w:t xml:space="preserve">ed </w:t>
      </w:r>
      <w:r w:rsidR="008930DE">
        <w:rPr>
          <w:rFonts w:ascii="Avenir Next" w:hAnsi="Avenir Next" w:cs="Arial"/>
          <w:color w:val="808080" w:themeColor="background1" w:themeShade="80"/>
          <w:sz w:val="22"/>
          <w:szCs w:val="22"/>
          <w:lang w:val="en-GB"/>
        </w:rPr>
        <w:t xml:space="preserve">as the first big step by the Commission towards material harmonisation of the restructuring laws in the EU. The need for the same was felt because there were differences between the Member States as regards the range of the procedures available to the debtor in financial difficulties in order to restructure their businesses as some member states were found to have </w:t>
      </w:r>
      <w:r w:rsidR="008930DE" w:rsidRPr="008930DE">
        <w:rPr>
          <w:rFonts w:ascii="Avenir Next" w:hAnsi="Avenir Next" w:cs="Arial"/>
          <w:color w:val="808080" w:themeColor="background1" w:themeShade="80"/>
          <w:sz w:val="22"/>
          <w:szCs w:val="22"/>
          <w:lang w:val="en-GB"/>
        </w:rPr>
        <w:t xml:space="preserve">have a limited range of procedures that allow the restructuring of businesses only at a relatively late stage, in the context of insolvency procedures. In other Member States, restructuring </w:t>
      </w:r>
      <w:r w:rsidR="00BE61C0">
        <w:rPr>
          <w:rFonts w:ascii="Avenir Next" w:hAnsi="Avenir Next" w:cs="Arial"/>
          <w:color w:val="808080" w:themeColor="background1" w:themeShade="80"/>
          <w:sz w:val="22"/>
          <w:szCs w:val="22"/>
          <w:lang w:val="en-GB"/>
        </w:rPr>
        <w:t>was</w:t>
      </w:r>
      <w:r w:rsidR="008930DE" w:rsidRPr="008930DE">
        <w:rPr>
          <w:rFonts w:ascii="Avenir Next" w:hAnsi="Avenir Next" w:cs="Arial"/>
          <w:color w:val="808080" w:themeColor="background1" w:themeShade="80"/>
          <w:sz w:val="22"/>
          <w:szCs w:val="22"/>
          <w:lang w:val="en-GB"/>
        </w:rPr>
        <w:t xml:space="preserve"> possible at an earlier stage but the procedures available </w:t>
      </w:r>
      <w:r w:rsidR="00BE61C0">
        <w:rPr>
          <w:rFonts w:ascii="Avenir Next" w:hAnsi="Avenir Next" w:cs="Arial"/>
          <w:color w:val="808080" w:themeColor="background1" w:themeShade="80"/>
          <w:sz w:val="22"/>
          <w:szCs w:val="22"/>
          <w:lang w:val="en-GB"/>
        </w:rPr>
        <w:t xml:space="preserve">were </w:t>
      </w:r>
      <w:r w:rsidR="008930DE" w:rsidRPr="008930DE">
        <w:rPr>
          <w:rFonts w:ascii="Avenir Next" w:hAnsi="Avenir Next" w:cs="Arial"/>
          <w:color w:val="808080" w:themeColor="background1" w:themeShade="80"/>
          <w:sz w:val="22"/>
          <w:szCs w:val="22"/>
          <w:lang w:val="en-GB"/>
        </w:rPr>
        <w:t>not as effective as they could be, or they are very formal, in particular because they limit the use of out-of-court arrangements</w:t>
      </w:r>
      <w:r w:rsidR="008930DE">
        <w:rPr>
          <w:rStyle w:val="FootnoteReference"/>
          <w:rFonts w:ascii="Avenir Next" w:hAnsi="Avenir Next" w:cs="Arial"/>
          <w:color w:val="808080" w:themeColor="background1" w:themeShade="80"/>
          <w:sz w:val="22"/>
          <w:szCs w:val="22"/>
          <w:lang w:val="en-GB"/>
        </w:rPr>
        <w:footnoteReference w:id="50"/>
      </w:r>
      <w:r w:rsidR="008930DE">
        <w:rPr>
          <w:rFonts w:ascii="Avenir Next" w:hAnsi="Avenir Next" w:cs="Arial"/>
          <w:color w:val="808080" w:themeColor="background1" w:themeShade="80"/>
          <w:sz w:val="22"/>
          <w:szCs w:val="22"/>
          <w:lang w:val="en-GB"/>
        </w:rPr>
        <w:t xml:space="preserve">. </w:t>
      </w:r>
      <w:r w:rsidR="00880ABB">
        <w:rPr>
          <w:rFonts w:ascii="Avenir Next" w:hAnsi="Avenir Next" w:cs="Arial"/>
          <w:color w:val="808080" w:themeColor="background1" w:themeShade="80"/>
          <w:sz w:val="22"/>
          <w:szCs w:val="22"/>
          <w:lang w:val="en-GB"/>
        </w:rPr>
        <w:t xml:space="preserve">In this backdrop all the 27 member states were obligated to implement the Directive at least by July 17, 2021 (though most of them have asked for extended timelines for implementation. Germany and Netherlands were the first to adopt the Directive timely). This was done in part to address the menace of forum shopping, and also keeping in mind the increasing trend of restructuring in insolvency laws given its obvious benefits such as safeguarding of the economies, preventing build up of non-performing loans, preventing of job-losses and know-how skills. For these reasons </w:t>
      </w:r>
      <w:r w:rsidR="00880ABB" w:rsidRPr="00880ABB">
        <w:rPr>
          <w:rFonts w:ascii="Avenir Next" w:hAnsi="Avenir Next" w:cs="Arial"/>
          <w:color w:val="808080" w:themeColor="background1" w:themeShade="80"/>
          <w:sz w:val="22"/>
          <w:szCs w:val="22"/>
          <w:lang w:val="en-GB"/>
        </w:rPr>
        <w:t xml:space="preserve">the </w:t>
      </w:r>
      <w:r w:rsidR="00880ABB" w:rsidRPr="00880ABB">
        <w:rPr>
          <w:rFonts w:ascii="Avenir Next" w:hAnsi="Avenir Next" w:cs="Arial"/>
          <w:color w:val="808080" w:themeColor="background1" w:themeShade="80"/>
          <w:sz w:val="22"/>
          <w:szCs w:val="22"/>
          <w:lang w:val="en-GB"/>
        </w:rPr>
        <w:t>Directive made it mandatory for Member States to offer a "preventive restructuring framework" for companies in a financially distressed situation when there is a likelihood of insolvency, with a view to preventing the insolvency and ensuring the viability of the debtor. Distressed debtors should be given the possibility to (financially) restructure their debt under the protection of individual enforcement actions on the basis of the majority of the creditors' decisions</w:t>
      </w:r>
      <w:r w:rsidR="00880ABB">
        <w:rPr>
          <w:rStyle w:val="FootnoteReference"/>
          <w:rFonts w:ascii="Avenir Next" w:hAnsi="Avenir Next" w:cs="Arial"/>
          <w:color w:val="808080" w:themeColor="background1" w:themeShade="80"/>
          <w:sz w:val="22"/>
          <w:szCs w:val="22"/>
          <w:lang w:val="en-GB"/>
        </w:rPr>
        <w:footnoteReference w:id="51"/>
      </w:r>
      <w:r w:rsidR="00880ABB" w:rsidRPr="00880ABB">
        <w:rPr>
          <w:rFonts w:ascii="Avenir Next" w:hAnsi="Avenir Next" w:cs="Arial"/>
          <w:color w:val="808080" w:themeColor="background1" w:themeShade="80"/>
          <w:sz w:val="22"/>
          <w:szCs w:val="22"/>
          <w:lang w:val="en-GB"/>
        </w:rPr>
        <w:t>.</w:t>
      </w:r>
      <w:r w:rsidR="00880ABB">
        <w:rPr>
          <w:rFonts w:ascii="Avenir Next" w:hAnsi="Avenir Next" w:cs="Arial"/>
          <w:color w:val="808080" w:themeColor="background1" w:themeShade="80"/>
          <w:sz w:val="22"/>
          <w:szCs w:val="22"/>
          <w:lang w:val="en-GB"/>
        </w:rPr>
        <w:t xml:space="preserve"> However, given its nature the Directive gave a free hand to the member states for implementing the same in the manner they deemed the best. </w:t>
      </w:r>
    </w:p>
    <w:p w14:paraId="77639B86" w14:textId="77777777" w:rsidR="00A80D95" w:rsidRDefault="00A80D95" w:rsidP="00A80D95">
      <w:pPr>
        <w:jc w:val="both"/>
        <w:rPr>
          <w:rFonts w:ascii="Avenir Next" w:hAnsi="Avenir Next" w:cs="Arial"/>
          <w:color w:val="808080" w:themeColor="background1" w:themeShade="80"/>
          <w:sz w:val="22"/>
          <w:szCs w:val="22"/>
          <w:lang w:val="en-GB"/>
        </w:rPr>
      </w:pPr>
    </w:p>
    <w:p w14:paraId="4D983179" w14:textId="08C8E7E2" w:rsidR="00A80D95" w:rsidRPr="009A232C" w:rsidRDefault="00A80D95" w:rsidP="00A80D95">
      <w:pPr>
        <w:pStyle w:val="ListParagraph"/>
        <w:numPr>
          <w:ilvl w:val="0"/>
          <w:numId w:val="39"/>
        </w:numPr>
        <w:jc w:val="both"/>
        <w:rPr>
          <w:rFonts w:ascii="Avenir Next" w:hAnsi="Avenir Next" w:cs="Arial"/>
          <w:color w:val="808080" w:themeColor="background1" w:themeShade="80"/>
          <w:sz w:val="22"/>
          <w:szCs w:val="22"/>
          <w:lang w:val="en-GB"/>
        </w:rPr>
      </w:pPr>
      <w:r w:rsidRPr="00A80D95">
        <w:rPr>
          <w:rFonts w:ascii="Avenir Next" w:hAnsi="Avenir Next" w:cs="Arial"/>
          <w:b/>
          <w:bCs/>
          <w:color w:val="808080" w:themeColor="background1" w:themeShade="80"/>
          <w:sz w:val="22"/>
          <w:szCs w:val="22"/>
          <w:lang w:val="en-GB"/>
        </w:rPr>
        <w:t>Insolvency v Restructuring</w:t>
      </w:r>
      <w:r>
        <w:rPr>
          <w:rFonts w:ascii="Avenir Next" w:hAnsi="Avenir Next" w:cs="Arial"/>
          <w:b/>
          <w:b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furtherance to the approach discussed above, </w:t>
      </w:r>
      <w:r w:rsidR="000A495E">
        <w:rPr>
          <w:rFonts w:ascii="Avenir Next" w:hAnsi="Avenir Next" w:cs="Arial"/>
          <w:color w:val="808080" w:themeColor="background1" w:themeShade="80"/>
          <w:sz w:val="22"/>
          <w:szCs w:val="22"/>
          <w:lang w:val="en-GB"/>
        </w:rPr>
        <w:t>the other main difference between the Directive and the EIR Recast is the kind of procedure that they address. In accordance with Article 2 of the Directive, r</w:t>
      </w:r>
      <w:r w:rsidR="000A495E" w:rsidRPr="000A495E">
        <w:rPr>
          <w:rFonts w:ascii="Avenir Next" w:hAnsi="Avenir Next" w:cs="Arial"/>
          <w:color w:val="808080" w:themeColor="background1" w:themeShade="80"/>
          <w:sz w:val="22"/>
          <w:szCs w:val="22"/>
          <w:lang w:val="en-GB"/>
        </w:rPr>
        <w:t>estructuring should enable debtors in financial difficulties to continue business, in whole or in part, by changing the composition, conditions or structure of their assets and their liabilities or any other part of their capital structure — including by sales of assets or parts of the business or, where so provided under national law, the business as a whole — as well as by carrying out operational changes.</w:t>
      </w:r>
      <w:r w:rsidR="000A495E">
        <w:rPr>
          <w:rFonts w:ascii="Avenir Next" w:hAnsi="Avenir Next" w:cs="Arial"/>
          <w:color w:val="808080" w:themeColor="background1" w:themeShade="80"/>
          <w:sz w:val="22"/>
          <w:szCs w:val="22"/>
          <w:lang w:val="en-GB"/>
        </w:rPr>
        <w:t xml:space="preserve"> The underpinning and the intent of the Directive is to focus on the measures to be taken to reshape </w:t>
      </w:r>
      <w:r w:rsidR="009A232C">
        <w:rPr>
          <w:rFonts w:ascii="Avenir Next" w:hAnsi="Avenir Next" w:cs="Arial"/>
          <w:color w:val="808080" w:themeColor="background1" w:themeShade="80"/>
          <w:sz w:val="22"/>
          <w:szCs w:val="22"/>
          <w:lang w:val="en-GB"/>
        </w:rPr>
        <w:t xml:space="preserve">and save </w:t>
      </w:r>
      <w:r w:rsidR="000A495E">
        <w:rPr>
          <w:rFonts w:ascii="Avenir Next" w:hAnsi="Avenir Next" w:cs="Arial"/>
          <w:color w:val="808080" w:themeColor="background1" w:themeShade="80"/>
          <w:sz w:val="22"/>
          <w:szCs w:val="22"/>
          <w:lang w:val="en-GB"/>
        </w:rPr>
        <w:t xml:space="preserve">the business and to essentially </w:t>
      </w:r>
      <w:r w:rsidR="002A3641">
        <w:rPr>
          <w:rFonts w:ascii="Avenir Next" w:hAnsi="Avenir Next" w:cs="Arial"/>
          <w:color w:val="808080" w:themeColor="background1" w:themeShade="80"/>
          <w:sz w:val="22"/>
          <w:szCs w:val="22"/>
          <w:lang w:val="en-GB"/>
        </w:rPr>
        <w:t>save the business as a going concern before insolvency or dissolution becomes imminent</w:t>
      </w:r>
      <w:r w:rsidR="009A232C">
        <w:rPr>
          <w:rFonts w:ascii="Avenir Next" w:hAnsi="Avenir Next" w:cs="Arial"/>
          <w:color w:val="808080" w:themeColor="background1" w:themeShade="80"/>
          <w:sz w:val="22"/>
          <w:szCs w:val="22"/>
          <w:lang w:val="en-GB"/>
        </w:rPr>
        <w:t xml:space="preserve"> and the business and the assets are sold on a piece meal basis. More importantly, the benefits as have been highlighted by the Directive can also be seen to have to more engaging positive macro-economic impact on the union as it discusses the advantages of having harmony in the nature or preventative restructuring as hon</w:t>
      </w:r>
      <w:r w:rsidR="009A232C" w:rsidRPr="009A232C">
        <w:rPr>
          <w:rFonts w:ascii="Avenir Next" w:hAnsi="Avenir Next" w:cs="Arial"/>
          <w:color w:val="808080" w:themeColor="background1" w:themeShade="80"/>
          <w:sz w:val="22"/>
          <w:szCs w:val="22"/>
          <w:lang w:val="en-GB"/>
        </w:rPr>
        <w:t>est insolvent or over-indebted entrepreneurs can benefit from a full discharge of debt after a reasonable period of time, thereby allowing them a second chance</w:t>
      </w:r>
      <w:r w:rsidR="009A232C">
        <w:rPr>
          <w:rStyle w:val="FootnoteReference"/>
          <w:rFonts w:ascii="Avenir Next" w:hAnsi="Avenir Next" w:cs="Arial"/>
          <w:color w:val="808080" w:themeColor="background1" w:themeShade="80"/>
          <w:sz w:val="22"/>
          <w:szCs w:val="22"/>
          <w:lang w:val="en-GB"/>
        </w:rPr>
        <w:footnoteReference w:id="52"/>
      </w:r>
      <w:r w:rsidR="009A232C">
        <w:rPr>
          <w:rFonts w:ascii="Avenir Next" w:hAnsi="Avenir Next" w:cs="Arial"/>
          <w:color w:val="808080" w:themeColor="background1" w:themeShade="80"/>
          <w:sz w:val="22"/>
          <w:szCs w:val="22"/>
          <w:lang w:val="en-GB"/>
        </w:rPr>
        <w:t>, additionally, the frame</w:t>
      </w:r>
      <w:r w:rsidR="009A232C" w:rsidRPr="009A232C">
        <w:rPr>
          <w:rFonts w:ascii="Avenir Next" w:hAnsi="Avenir Next" w:cs="Arial"/>
          <w:color w:val="808080" w:themeColor="background1" w:themeShade="80"/>
          <w:sz w:val="22"/>
          <w:szCs w:val="22"/>
          <w:lang w:val="en-GB"/>
        </w:rPr>
        <w:t>works should help to prevent job losses and the loss of know-how and skills, and maximise the total value to creditors</w:t>
      </w:r>
      <w:r w:rsidR="009A232C">
        <w:rPr>
          <w:rStyle w:val="FootnoteReference"/>
          <w:rFonts w:ascii="Avenir Next" w:hAnsi="Avenir Next" w:cs="Arial"/>
          <w:color w:val="808080" w:themeColor="background1" w:themeShade="80"/>
          <w:sz w:val="22"/>
          <w:szCs w:val="22"/>
          <w:lang w:val="en-GB"/>
        </w:rPr>
        <w:footnoteReference w:id="53"/>
      </w:r>
      <w:r w:rsidR="009A232C">
        <w:rPr>
          <w:rFonts w:ascii="Avenir Next" w:hAnsi="Avenir Next" w:cs="Arial"/>
          <w:color w:val="808080" w:themeColor="background1" w:themeShade="80"/>
          <w:sz w:val="22"/>
          <w:szCs w:val="22"/>
          <w:lang w:val="en-GB"/>
        </w:rPr>
        <w:t xml:space="preserve">, also, </w:t>
      </w:r>
      <w:r w:rsidR="009A232C" w:rsidRPr="009A232C">
        <w:rPr>
          <w:rFonts w:ascii="Avenir Next" w:hAnsi="Avenir Next" w:cs="Arial"/>
          <w:color w:val="808080" w:themeColor="background1" w:themeShade="80"/>
          <w:sz w:val="22"/>
          <w:szCs w:val="22"/>
          <w:lang w:val="en-GB"/>
        </w:rPr>
        <w:t>t</w:t>
      </w:r>
      <w:r w:rsidR="009A232C" w:rsidRPr="009A232C">
        <w:rPr>
          <w:rFonts w:ascii="Avenir Next" w:hAnsi="Avenir Next" w:cs="Arial"/>
          <w:color w:val="808080" w:themeColor="background1" w:themeShade="80"/>
          <w:sz w:val="22"/>
          <w:szCs w:val="22"/>
          <w:lang w:val="en-GB"/>
        </w:rPr>
        <w:t>he availability of effective preventive restructuring frameworks would ensure that action is taken before enterprises default on their loans, thereby helping to reduce the risk of loans becoming non-performing in cyclical downturns and mitigating the adverse impact on the financial sector</w:t>
      </w:r>
      <w:r w:rsidR="009A232C">
        <w:rPr>
          <w:rStyle w:val="FootnoteReference"/>
          <w:rFonts w:ascii="Avenir Next" w:hAnsi="Avenir Next" w:cs="Arial"/>
          <w:color w:val="808080" w:themeColor="background1" w:themeShade="80"/>
          <w:sz w:val="22"/>
          <w:szCs w:val="22"/>
          <w:lang w:val="en-GB"/>
        </w:rPr>
        <w:footnoteReference w:id="54"/>
      </w:r>
      <w:r w:rsidR="009A232C">
        <w:rPr>
          <w:rFonts w:ascii="Avenir Next" w:hAnsi="Avenir Next" w:cs="Arial"/>
          <w:color w:val="808080" w:themeColor="background1" w:themeShade="80"/>
          <w:sz w:val="22"/>
          <w:szCs w:val="22"/>
          <w:lang w:val="en-GB"/>
        </w:rPr>
        <w:t xml:space="preserve">. Investor </w:t>
      </w:r>
      <w:r w:rsidR="005308C2">
        <w:rPr>
          <w:rFonts w:ascii="Avenir Next" w:hAnsi="Avenir Next" w:cs="Arial"/>
          <w:color w:val="808080" w:themeColor="background1" w:themeShade="80"/>
          <w:sz w:val="22"/>
          <w:szCs w:val="22"/>
          <w:lang w:val="en-GB"/>
        </w:rPr>
        <w:t>perspective</w:t>
      </w:r>
      <w:r w:rsidR="009A232C">
        <w:rPr>
          <w:rFonts w:ascii="Avenir Next" w:hAnsi="Avenir Next" w:cs="Arial"/>
          <w:color w:val="808080" w:themeColor="background1" w:themeShade="80"/>
          <w:sz w:val="22"/>
          <w:szCs w:val="22"/>
          <w:lang w:val="en-GB"/>
        </w:rPr>
        <w:t xml:space="preserve"> </w:t>
      </w:r>
      <w:r w:rsidR="009A232C">
        <w:rPr>
          <w:rFonts w:ascii="Avenir Next" w:hAnsi="Avenir Next" w:cs="Arial"/>
          <w:color w:val="808080" w:themeColor="background1" w:themeShade="80"/>
          <w:sz w:val="22"/>
          <w:szCs w:val="22"/>
          <w:lang w:val="en-GB"/>
        </w:rPr>
        <w:lastRenderedPageBreak/>
        <w:t>weas also seen as a major driving factor when the diverse restructuring laws of the member state were sought to be harmonised vide the Directive and the same was seen as indispensable for a well-</w:t>
      </w:r>
      <w:r w:rsidR="0058681C">
        <w:rPr>
          <w:rFonts w:ascii="Avenir Next" w:hAnsi="Avenir Next" w:cs="Arial"/>
          <w:color w:val="808080" w:themeColor="background1" w:themeShade="80"/>
          <w:sz w:val="22"/>
          <w:szCs w:val="22"/>
          <w:lang w:val="en-GB"/>
        </w:rPr>
        <w:t>functioning</w:t>
      </w:r>
      <w:r w:rsidR="009A232C">
        <w:rPr>
          <w:rFonts w:ascii="Avenir Next" w:hAnsi="Avenir Next" w:cs="Arial"/>
          <w:color w:val="808080" w:themeColor="background1" w:themeShade="80"/>
          <w:sz w:val="22"/>
          <w:szCs w:val="22"/>
          <w:lang w:val="en-GB"/>
        </w:rPr>
        <w:t xml:space="preserve"> internal market in general and for a working </w:t>
      </w:r>
      <w:r w:rsidR="0058681C">
        <w:rPr>
          <w:rFonts w:ascii="Avenir Next" w:hAnsi="Avenir Next" w:cs="Arial"/>
          <w:color w:val="808080" w:themeColor="background1" w:themeShade="80"/>
          <w:sz w:val="22"/>
          <w:szCs w:val="22"/>
          <w:lang w:val="en-GB"/>
        </w:rPr>
        <w:t>capital market union and also for the resilience of the European economies including for preservation and creation of jobs</w:t>
      </w:r>
      <w:r w:rsidR="0058681C">
        <w:rPr>
          <w:rStyle w:val="FootnoteReference"/>
          <w:rFonts w:ascii="Avenir Next" w:hAnsi="Avenir Next" w:cs="Arial"/>
          <w:color w:val="808080" w:themeColor="background1" w:themeShade="80"/>
          <w:sz w:val="22"/>
          <w:szCs w:val="22"/>
          <w:lang w:val="en-GB"/>
        </w:rPr>
        <w:footnoteReference w:id="55"/>
      </w:r>
      <w:r w:rsidR="0058681C">
        <w:rPr>
          <w:rFonts w:ascii="Avenir Next" w:hAnsi="Avenir Next" w:cs="Arial"/>
          <w:color w:val="808080" w:themeColor="background1" w:themeShade="80"/>
          <w:sz w:val="22"/>
          <w:szCs w:val="22"/>
          <w:lang w:val="en-GB"/>
        </w:rPr>
        <w:t xml:space="preserve">. As per Article 13 of the Directive, the same is without prejudice to the scope and the functioning of the EIR Recast, only by requiring the member states to put in place preventative restructuring procedures that comply with certain minimum principles of effectiveness. On the other hand, </w:t>
      </w:r>
      <w:r w:rsidR="00AA364D">
        <w:rPr>
          <w:rFonts w:ascii="Avenir Next" w:hAnsi="Avenir Next" w:cs="Arial"/>
          <w:color w:val="808080" w:themeColor="background1" w:themeShade="80"/>
          <w:sz w:val="22"/>
          <w:szCs w:val="22"/>
          <w:lang w:val="en-GB"/>
        </w:rPr>
        <w:t>the,</w:t>
      </w:r>
      <w:r w:rsidR="0058681C">
        <w:rPr>
          <w:rFonts w:ascii="Avenir Next" w:hAnsi="Avenir Next" w:cs="Arial"/>
          <w:color w:val="808080" w:themeColor="background1" w:themeShade="80"/>
          <w:sz w:val="22"/>
          <w:szCs w:val="22"/>
          <w:lang w:val="en-GB"/>
        </w:rPr>
        <w:t xml:space="preserve"> EIR Recast seeks procedural coordination at the stage of admission of an insolvency or a liquidation application, which as compared to preventative restructuring has a higher involvement of the state, the courts and the other formal participants. Its for this reason that one can suggest why the Recast does not aim to harmonise in the form of a set of guidelines for implementation, because restructuring, being more informal and out of court, can have such directives. While the Recast which deals with formal procedures as listed in the Annex A thereof, deals with a set of rules and regulations in law (which </w:t>
      </w:r>
      <w:r w:rsidR="00BE61C0">
        <w:rPr>
          <w:rFonts w:ascii="Avenir Next" w:hAnsi="Avenir Next" w:cs="Arial"/>
          <w:color w:val="808080" w:themeColor="background1" w:themeShade="80"/>
          <w:sz w:val="22"/>
          <w:szCs w:val="22"/>
          <w:lang w:val="en-GB"/>
        </w:rPr>
        <w:t>may have</w:t>
      </w:r>
      <w:r w:rsidR="0058681C">
        <w:rPr>
          <w:rFonts w:ascii="Avenir Next" w:hAnsi="Avenir Next" w:cs="Arial"/>
          <w:color w:val="808080" w:themeColor="background1" w:themeShade="80"/>
          <w:sz w:val="22"/>
          <w:szCs w:val="22"/>
          <w:lang w:val="en-GB"/>
        </w:rPr>
        <w:t xml:space="preserve"> been followed in the respective member state since </w:t>
      </w:r>
      <w:r w:rsidR="00AA364D">
        <w:rPr>
          <w:rFonts w:ascii="Avenir Next" w:hAnsi="Avenir Next" w:cs="Arial"/>
          <w:color w:val="808080" w:themeColor="background1" w:themeShade="80"/>
          <w:sz w:val="22"/>
          <w:szCs w:val="22"/>
          <w:lang w:val="en-GB"/>
        </w:rPr>
        <w:t xml:space="preserve">years) and hence at the max can only suggest an enhanced coordination. </w:t>
      </w:r>
      <w:r w:rsidR="00926C98">
        <w:rPr>
          <w:rFonts w:ascii="Avenir Next" w:hAnsi="Avenir Next" w:cs="Arial"/>
          <w:color w:val="808080" w:themeColor="background1" w:themeShade="80"/>
          <w:sz w:val="22"/>
          <w:szCs w:val="22"/>
          <w:lang w:val="en-GB"/>
        </w:rPr>
        <w:t>Concepts like the early warning tools, rescue packages and negotiations under the Directives are only flavours of restructuring which can said to be lacking from the EIR Recast. The end goal of Directives is to have the same management remain in control at the end, while this may or not be the aim of a proceeding under the EIR Recast</w:t>
      </w:r>
      <w:r w:rsidR="00BE61C0">
        <w:rPr>
          <w:rFonts w:ascii="Avenir Next" w:hAnsi="Avenir Next" w:cs="Arial"/>
          <w:color w:val="808080" w:themeColor="background1" w:themeShade="80"/>
          <w:sz w:val="22"/>
          <w:szCs w:val="22"/>
          <w:lang w:val="en-GB"/>
        </w:rPr>
        <w:t xml:space="preserve">. </w:t>
      </w:r>
    </w:p>
    <w:p w14:paraId="7E8B60D0" w14:textId="23E3D320" w:rsidR="00D359A2" w:rsidRPr="008930DE" w:rsidRDefault="00D359A2" w:rsidP="00D359A2">
      <w:pPr>
        <w:jc w:val="both"/>
        <w:rPr>
          <w:rFonts w:ascii="Avenir Next" w:hAnsi="Avenir Next" w:cs="Arial"/>
          <w:color w:val="808080" w:themeColor="background1" w:themeShade="80"/>
          <w:sz w:val="22"/>
          <w:szCs w:val="22"/>
          <w:lang w:val="en-GB"/>
        </w:rPr>
      </w:pPr>
    </w:p>
    <w:p w14:paraId="237DDA26" w14:textId="77777777" w:rsidR="00D359A2" w:rsidRDefault="00D359A2" w:rsidP="00D359A2">
      <w:pPr>
        <w:jc w:val="both"/>
        <w:rPr>
          <w:rFonts w:ascii="Avenir Next" w:hAnsi="Avenir Next" w:cs="Arial"/>
          <w:sz w:val="22"/>
          <w:szCs w:val="22"/>
          <w:lang w:val="en-GB"/>
        </w:rPr>
      </w:pPr>
    </w:p>
    <w:p w14:paraId="199A95ED" w14:textId="77777777" w:rsidR="00D359A2" w:rsidRDefault="00D359A2" w:rsidP="00D359A2">
      <w:pPr>
        <w:jc w:val="both"/>
        <w:rPr>
          <w:rFonts w:ascii="Avenir Next" w:hAnsi="Avenir Next" w:cs="Arial"/>
          <w:sz w:val="22"/>
          <w:szCs w:val="22"/>
          <w:lang w:val="en-GB"/>
        </w:rPr>
      </w:pPr>
    </w:p>
    <w:p w14:paraId="453788C6" w14:textId="77777777" w:rsidR="00D359A2" w:rsidRPr="00D359A2" w:rsidRDefault="00D359A2" w:rsidP="00D359A2">
      <w:pPr>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By 2014 the company was in financial 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lastRenderedPageBreak/>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55F8988" w14:textId="2468E859" w:rsidR="00D95496" w:rsidRPr="00662299" w:rsidRDefault="00916F7B"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per Article 3(1) of the EIR 2000</w:t>
      </w:r>
      <w:r w:rsidR="00662299">
        <w:rPr>
          <w:rFonts w:ascii="Avenir Next" w:hAnsi="Avenir Next" w:cs="Arial"/>
          <w:color w:val="7B7B7B" w:themeColor="accent3" w:themeShade="BF"/>
          <w:sz w:val="22"/>
          <w:szCs w:val="22"/>
          <w:lang w:val="en-GB"/>
        </w:rPr>
        <w:t xml:space="preserve">, the court of the Member State </w:t>
      </w:r>
      <w:r w:rsidR="00662299" w:rsidRPr="00662299">
        <w:rPr>
          <w:rFonts w:ascii="Avenir Next" w:hAnsi="Avenir Next" w:cs="Arial"/>
          <w:color w:val="7B7B7B" w:themeColor="accent3" w:themeShade="BF"/>
          <w:sz w:val="22"/>
          <w:szCs w:val="22"/>
          <w:lang w:val="en-GB"/>
        </w:rPr>
        <w:t>within the territory of which the centre of a debtor’s main interests is situated shall have jurisdiction to open insolvency proceedings</w:t>
      </w:r>
      <w:r w:rsidR="00662299">
        <w:rPr>
          <w:rFonts w:ascii="Avenir Next" w:hAnsi="Avenir Next" w:cs="Arial"/>
          <w:color w:val="7B7B7B" w:themeColor="accent3" w:themeShade="BF"/>
          <w:sz w:val="22"/>
          <w:szCs w:val="22"/>
          <w:lang w:val="en-GB"/>
        </w:rPr>
        <w:t xml:space="preserve"> and in the case of a corporate, the place of the registered office shall be presumed to be the centre of main interest in the absence of proof to the contrary. From the fact set that has been provided above, firstly, it is not clear in which region/city of France is the registered office of </w:t>
      </w:r>
      <w:r w:rsidR="00662299" w:rsidRPr="00662299">
        <w:rPr>
          <w:rFonts w:ascii="Avenir Next" w:hAnsi="Avenir Next" w:cs="Arial"/>
          <w:color w:val="7B7B7B" w:themeColor="accent3" w:themeShade="BF"/>
          <w:sz w:val="22"/>
          <w:szCs w:val="22"/>
          <w:lang w:val="en-GB"/>
        </w:rPr>
        <w:t>Bella SARL</w:t>
      </w:r>
      <w:r w:rsidR="00662299" w:rsidRPr="00662299">
        <w:rPr>
          <w:rFonts w:ascii="Avenir Next" w:hAnsi="Avenir Next" w:cs="Arial"/>
          <w:color w:val="7B7B7B" w:themeColor="accent3" w:themeShade="BF"/>
          <w:sz w:val="22"/>
          <w:szCs w:val="22"/>
          <w:lang w:val="en-GB"/>
        </w:rPr>
        <w:t xml:space="preserve"> (“Corporate Debtor”)</w:t>
      </w:r>
      <w:r w:rsidR="00662299">
        <w:rPr>
          <w:rFonts w:ascii="Avenir Next" w:hAnsi="Avenir Next" w:cs="Arial"/>
          <w:color w:val="7B7B7B" w:themeColor="accent3" w:themeShade="BF"/>
          <w:sz w:val="22"/>
          <w:szCs w:val="22"/>
          <w:lang w:val="en-GB"/>
        </w:rPr>
        <w:t>. Strasbourg has been mentioned only qua it being the location of the first store (retail) of the Corporate Debtor. Additionally, the fact set also gives the locations of the various warehouses of the Corporate Debtor,</w:t>
      </w:r>
      <w:r w:rsidR="00F877C2">
        <w:rPr>
          <w:rFonts w:ascii="Avenir Next" w:hAnsi="Avenir Next" w:cs="Arial"/>
          <w:color w:val="7B7B7B" w:themeColor="accent3" w:themeShade="BF"/>
          <w:sz w:val="22"/>
          <w:szCs w:val="22"/>
          <w:lang w:val="en-GB"/>
        </w:rPr>
        <w:t xml:space="preserve"> across Europe, which includes many countries but not France. Interestingly, the main warehouse of the Corporate Debtor has been listed as Cork, Ireland. France is also not on the l</w:t>
      </w:r>
      <w:r w:rsidR="00BE61C0">
        <w:rPr>
          <w:rFonts w:ascii="Avenir Next" w:hAnsi="Avenir Next" w:cs="Arial"/>
          <w:color w:val="7B7B7B" w:themeColor="accent3" w:themeShade="BF"/>
          <w:sz w:val="22"/>
          <w:szCs w:val="22"/>
          <w:lang w:val="en-GB"/>
        </w:rPr>
        <w:t>i</w:t>
      </w:r>
      <w:r w:rsidR="00F877C2">
        <w:rPr>
          <w:rFonts w:ascii="Avenir Next" w:hAnsi="Avenir Next" w:cs="Arial"/>
          <w:color w:val="7B7B7B" w:themeColor="accent3" w:themeShade="BF"/>
          <w:sz w:val="22"/>
          <w:szCs w:val="22"/>
          <w:lang w:val="en-GB"/>
        </w:rPr>
        <w:t>st of countries from where majority of the online orders of the Corporate Debtor are clocked. Concentrating on the fact that the Corporate Debtor will have the most supplier relationships and business stronghold in terms of administrative and operations purposes at the places where its warehouses are located or at the least where its main warehouse is located, being Ireland. There is a lot to argue against the p</w:t>
      </w:r>
      <w:r w:rsidR="00BE61C0">
        <w:rPr>
          <w:rFonts w:ascii="Avenir Next" w:hAnsi="Avenir Next" w:cs="Arial"/>
          <w:color w:val="7B7B7B" w:themeColor="accent3" w:themeShade="BF"/>
          <w:sz w:val="22"/>
          <w:szCs w:val="22"/>
          <w:lang w:val="en-GB"/>
        </w:rPr>
        <w:t xml:space="preserve">roposition </w:t>
      </w:r>
      <w:r w:rsidR="00F877C2">
        <w:rPr>
          <w:rFonts w:ascii="Avenir Next" w:hAnsi="Avenir Next" w:cs="Arial"/>
          <w:color w:val="7B7B7B" w:themeColor="accent3" w:themeShade="BF"/>
          <w:sz w:val="22"/>
          <w:szCs w:val="22"/>
          <w:lang w:val="en-GB"/>
        </w:rPr>
        <w:t>that the Strasbourg High Court has the jurisdiction to open the safeguard proceedings against the Corporate Debtor. Hence as</w:t>
      </w:r>
      <w:r w:rsidR="00BE61C0">
        <w:rPr>
          <w:rFonts w:ascii="Avenir Next" w:hAnsi="Avenir Next" w:cs="Arial"/>
          <w:color w:val="7B7B7B" w:themeColor="accent3" w:themeShade="BF"/>
          <w:sz w:val="22"/>
          <w:szCs w:val="22"/>
          <w:lang w:val="en-GB"/>
        </w:rPr>
        <w:t xml:space="preserve"> </w:t>
      </w:r>
      <w:r w:rsidR="00F877C2">
        <w:rPr>
          <w:rFonts w:ascii="Avenir Next" w:hAnsi="Avenir Next" w:cs="Arial"/>
          <w:color w:val="7B7B7B" w:themeColor="accent3" w:themeShade="BF"/>
          <w:sz w:val="22"/>
          <w:szCs w:val="22"/>
          <w:lang w:val="en-GB"/>
        </w:rPr>
        <w:t xml:space="preserve">per the aforementioned article, plenty of proof in my mind can be offered against the presumed COMI of France. Also, in the matter of </w:t>
      </w:r>
      <w:r w:rsidR="00F877C2" w:rsidRPr="00137E94">
        <w:rPr>
          <w:rFonts w:ascii="Avenir Next" w:hAnsi="Avenir Next" w:cs="Arial"/>
          <w:i/>
          <w:iCs/>
          <w:color w:val="7B7B7B" w:themeColor="accent3" w:themeShade="BF"/>
          <w:sz w:val="22"/>
          <w:szCs w:val="22"/>
          <w:lang w:val="en-GB"/>
        </w:rPr>
        <w:t>Eurofood IFSC Ltd</w:t>
      </w:r>
      <w:r w:rsidR="00F877C2">
        <w:rPr>
          <w:rStyle w:val="FootnoteReference"/>
          <w:rFonts w:ascii="Avenir Next" w:hAnsi="Avenir Next" w:cs="Arial"/>
          <w:color w:val="7B7B7B" w:themeColor="accent3" w:themeShade="BF"/>
          <w:sz w:val="22"/>
          <w:szCs w:val="22"/>
          <w:lang w:val="en-GB"/>
        </w:rPr>
        <w:footnoteReference w:id="56"/>
      </w:r>
      <w:r w:rsidR="00F877C2">
        <w:rPr>
          <w:rFonts w:ascii="Avenir Next" w:hAnsi="Avenir Next" w:cs="Arial"/>
          <w:color w:val="7B7B7B" w:themeColor="accent3" w:themeShade="BF"/>
          <w:sz w:val="22"/>
          <w:szCs w:val="22"/>
          <w:lang w:val="en-GB"/>
        </w:rPr>
        <w:t xml:space="preserve">, the CJEU has in Paragraph 37 (Operative Part 1) clearly laid down that the presumption laid down in the second sentence of Article 3(1) of the EIR 2000, whereby the centre of main interest </w:t>
      </w:r>
      <w:r w:rsidR="00A42826">
        <w:rPr>
          <w:rFonts w:ascii="Avenir Next" w:hAnsi="Avenir Next" w:cs="Arial"/>
          <w:color w:val="7B7B7B" w:themeColor="accent3" w:themeShade="BF"/>
          <w:sz w:val="22"/>
          <w:szCs w:val="22"/>
          <w:lang w:val="en-GB"/>
        </w:rPr>
        <w:t xml:space="preserve">is situated in the member state where its registered office is situated, can be rebutted only if factors which are both objective and ascertainable by third parties enable it to be established that an actual situation exists which is different from that which location at that registered office is deemed to reflect. </w:t>
      </w:r>
    </w:p>
    <w:p w14:paraId="20ACE4CB" w14:textId="77777777" w:rsidR="00662299" w:rsidRDefault="00662299" w:rsidP="002A37BB">
      <w:pPr>
        <w:jc w:val="both"/>
      </w:pPr>
    </w:p>
    <w:p w14:paraId="4A806B74" w14:textId="77777777" w:rsidR="00662299" w:rsidRDefault="00662299" w:rsidP="002A37BB">
      <w:pPr>
        <w:jc w:val="both"/>
      </w:pPr>
    </w:p>
    <w:p w14:paraId="156C793A" w14:textId="77777777" w:rsidR="00662299" w:rsidRDefault="00662299" w:rsidP="002A37BB">
      <w:pPr>
        <w:jc w:val="both"/>
      </w:pPr>
    </w:p>
    <w:p w14:paraId="40921E31" w14:textId="7125C35C" w:rsidR="002F75A3" w:rsidRPr="00662299" w:rsidRDefault="009B0723" w:rsidP="002A37BB">
      <w:pPr>
        <w:jc w:val="both"/>
        <w:rPr>
          <w:rFonts w:ascii="Avenir Next" w:hAnsi="Avenir Next" w:cs="Arial"/>
          <w:color w:val="7B7B7B" w:themeColor="accent3" w:themeShade="BF"/>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39F8D056" w14:textId="09568219" w:rsidR="005308C2" w:rsidRDefault="005308C2" w:rsidP="002A37BB">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EIR Recast in Recital 3 states that “</w:t>
      </w:r>
      <w:r w:rsidRPr="005308C2">
        <w:rPr>
          <w:rFonts w:ascii="Avenir Next" w:hAnsi="Avenir Next" w:cs="Arial"/>
          <w:i/>
          <w:iCs/>
          <w:color w:val="808080" w:themeColor="background1" w:themeShade="80"/>
          <w:sz w:val="22"/>
          <w:szCs w:val="22"/>
          <w:lang w:val="en-GB"/>
        </w:rPr>
        <w:t xml:space="preserve">The proper functioning of the internal market requires that cross-border insolvency proceedings should operate efficiently and effectively. </w:t>
      </w:r>
      <w:r w:rsidRPr="005308C2">
        <w:rPr>
          <w:rFonts w:ascii="Avenir Next" w:hAnsi="Avenir Next" w:cs="Arial"/>
          <w:color w:val="808080" w:themeColor="background1" w:themeShade="80"/>
          <w:sz w:val="22"/>
          <w:szCs w:val="22"/>
          <w:lang w:val="en-GB"/>
        </w:rPr>
        <w:t>This Regulation needs to be adopted in order to achieve that objective</w:t>
      </w:r>
      <w:r>
        <w:rPr>
          <w:rFonts w:ascii="Avenir Next" w:hAnsi="Avenir Next" w:cs="Arial"/>
          <w:color w:val="808080" w:themeColor="background1" w:themeShade="80"/>
          <w:sz w:val="22"/>
          <w:szCs w:val="22"/>
          <w:lang w:val="en-GB"/>
        </w:rPr>
        <w:t>”. The scope of the Recast includes p</w:t>
      </w:r>
      <w:r w:rsidRPr="005308C2">
        <w:rPr>
          <w:rFonts w:ascii="Avenir Next" w:hAnsi="Avenir Next" w:cs="Arial"/>
          <w:color w:val="808080" w:themeColor="background1" w:themeShade="80"/>
          <w:sz w:val="22"/>
          <w:szCs w:val="22"/>
          <w:lang w:val="en-GB"/>
        </w:rPr>
        <w:t>rovisions governing jurisdiction for opening insolvency proceedings and actions which are directly derived from insolvency proceedings and are closely linked with them</w:t>
      </w:r>
      <w:r w:rsidR="00BF6E37">
        <w:rPr>
          <w:rStyle w:val="FootnoteReference"/>
          <w:rFonts w:ascii="Avenir Next" w:hAnsi="Avenir Next" w:cs="Arial"/>
          <w:color w:val="808080" w:themeColor="background1" w:themeShade="80"/>
          <w:sz w:val="22"/>
          <w:szCs w:val="22"/>
          <w:lang w:val="en-GB"/>
        </w:rPr>
        <w:footnoteReference w:id="57"/>
      </w:r>
      <w:r w:rsidR="009C3FEF">
        <w:rPr>
          <w:rFonts w:ascii="Avenir Next" w:hAnsi="Avenir Next" w:cs="Arial"/>
          <w:color w:val="808080" w:themeColor="background1" w:themeShade="80"/>
          <w:sz w:val="22"/>
          <w:szCs w:val="22"/>
          <w:lang w:val="en-GB"/>
        </w:rPr>
        <w:t xml:space="preserve">. </w:t>
      </w:r>
      <w:r w:rsidR="00BF6E37">
        <w:rPr>
          <w:rFonts w:ascii="Avenir Next" w:hAnsi="Avenir Next" w:cs="Arial"/>
          <w:color w:val="808080" w:themeColor="background1" w:themeShade="80"/>
          <w:sz w:val="22"/>
          <w:szCs w:val="22"/>
          <w:lang w:val="en-GB"/>
        </w:rPr>
        <w:t xml:space="preserve">The Recast also includes </w:t>
      </w:r>
      <w:r w:rsidR="00BF6E37" w:rsidRPr="00BF6E37">
        <w:rPr>
          <w:rFonts w:ascii="Avenir Next" w:hAnsi="Avenir Next" w:cs="Arial"/>
          <w:color w:val="808080" w:themeColor="background1" w:themeShade="80"/>
          <w:sz w:val="22"/>
          <w:szCs w:val="22"/>
          <w:lang w:val="en-GB"/>
        </w:rPr>
        <w:t>b</w:t>
      </w:r>
      <w:r w:rsidR="00BF6E37" w:rsidRPr="00BF6E37">
        <w:rPr>
          <w:rFonts w:ascii="Avenir Next" w:hAnsi="Avenir Next" w:cs="Arial"/>
          <w:color w:val="808080" w:themeColor="background1" w:themeShade="80"/>
          <w:sz w:val="22"/>
          <w:szCs w:val="22"/>
          <w:lang w:val="en-GB"/>
        </w:rPr>
        <w:t>ankruptcy, proceedings relating to the winding-up of insolvent companies or other legal persons, judicial arrangements, compositions and analogous proceedings and actions related to such proceedings</w:t>
      </w:r>
      <w:r w:rsidR="00BF6E37">
        <w:rPr>
          <w:rStyle w:val="FootnoteReference"/>
          <w:rFonts w:ascii="Avenir Next" w:hAnsi="Avenir Next" w:cs="Arial"/>
          <w:color w:val="808080" w:themeColor="background1" w:themeShade="80"/>
          <w:sz w:val="22"/>
          <w:szCs w:val="22"/>
          <w:lang w:val="en-GB"/>
        </w:rPr>
        <w:footnoteReference w:id="58"/>
      </w:r>
      <w:r w:rsidR="00BF6E37">
        <w:rPr>
          <w:rFonts w:ascii="Avenir Next" w:hAnsi="Avenir Next" w:cs="Arial"/>
          <w:color w:val="808080" w:themeColor="background1" w:themeShade="80"/>
          <w:sz w:val="22"/>
          <w:szCs w:val="22"/>
          <w:lang w:val="en-GB"/>
        </w:rPr>
        <w:t xml:space="preserve">. </w:t>
      </w:r>
      <w:r w:rsidR="00BF6E37">
        <w:rPr>
          <w:rFonts w:ascii="Avenir Next" w:hAnsi="Avenir Next" w:cs="Arial"/>
          <w:color w:val="808080" w:themeColor="background1" w:themeShade="80"/>
          <w:sz w:val="22"/>
          <w:szCs w:val="22"/>
          <w:lang w:val="en-GB"/>
        </w:rPr>
        <w:lastRenderedPageBreak/>
        <w:t>Additionally, the EIR Recast applies to a natural person and a legal person</w:t>
      </w:r>
      <w:r w:rsidR="00BF6E37">
        <w:rPr>
          <w:rStyle w:val="FootnoteReference"/>
          <w:rFonts w:ascii="Avenir Next" w:hAnsi="Avenir Next" w:cs="Arial"/>
          <w:color w:val="808080" w:themeColor="background1" w:themeShade="80"/>
          <w:sz w:val="22"/>
          <w:szCs w:val="22"/>
          <w:lang w:val="en-GB"/>
        </w:rPr>
        <w:footnoteReference w:id="59"/>
      </w:r>
      <w:r w:rsidR="00BF6E37">
        <w:rPr>
          <w:rFonts w:ascii="Avenir Next" w:hAnsi="Avenir Next" w:cs="Arial"/>
          <w:color w:val="808080" w:themeColor="background1" w:themeShade="80"/>
          <w:sz w:val="22"/>
          <w:szCs w:val="22"/>
          <w:lang w:val="en-GB"/>
        </w:rPr>
        <w:t xml:space="preserve"> and all the proceedings which the union had intended to include within the ambit of the EIR Recast has been enlisted in Annex A thereof</w:t>
      </w:r>
      <w:r w:rsidR="00BF6E37">
        <w:rPr>
          <w:rStyle w:val="FootnoteReference"/>
          <w:rFonts w:ascii="Avenir Next" w:hAnsi="Avenir Next" w:cs="Arial"/>
          <w:color w:val="808080" w:themeColor="background1" w:themeShade="80"/>
          <w:sz w:val="22"/>
          <w:szCs w:val="22"/>
          <w:lang w:val="en-GB"/>
        </w:rPr>
        <w:footnoteReference w:id="60"/>
      </w:r>
      <w:r w:rsidR="00BF6E37">
        <w:rPr>
          <w:rFonts w:ascii="Avenir Next" w:hAnsi="Avenir Next" w:cs="Arial"/>
          <w:color w:val="808080" w:themeColor="background1" w:themeShade="80"/>
          <w:sz w:val="22"/>
          <w:szCs w:val="22"/>
          <w:lang w:val="en-GB"/>
        </w:rPr>
        <w:t xml:space="preserve">. The scope in spirit also includes the </w:t>
      </w:r>
      <w:r w:rsidR="00BF6E37" w:rsidRPr="00BF6E37">
        <w:rPr>
          <w:rFonts w:ascii="Avenir Next" w:hAnsi="Avenir Next" w:cs="Arial"/>
          <w:color w:val="808080" w:themeColor="background1" w:themeShade="80"/>
          <w:sz w:val="22"/>
          <w:szCs w:val="22"/>
          <w:lang w:val="en-GB"/>
        </w:rPr>
        <w:t>proceedings which promote the rescue of economically viable but distressed businesses and which give a second chance to entrepreneurs</w:t>
      </w:r>
      <w:r w:rsidR="00BF6E37">
        <w:rPr>
          <w:rFonts w:ascii="Avenir Next" w:hAnsi="Avenir Next" w:cs="Arial"/>
          <w:color w:val="808080" w:themeColor="background1" w:themeShade="80"/>
          <w:sz w:val="22"/>
          <w:szCs w:val="22"/>
          <w:lang w:val="en-GB"/>
        </w:rPr>
        <w:tab/>
      </w:r>
      <w:r w:rsidR="00BF6E37">
        <w:rPr>
          <w:rStyle w:val="FootnoteReference"/>
          <w:rFonts w:ascii="Avenir Next" w:hAnsi="Avenir Next" w:cs="Arial"/>
          <w:color w:val="808080" w:themeColor="background1" w:themeShade="80"/>
          <w:sz w:val="22"/>
          <w:szCs w:val="22"/>
          <w:lang w:val="en-GB"/>
        </w:rPr>
        <w:footnoteReference w:id="61"/>
      </w:r>
      <w:r w:rsidR="00BF6E37">
        <w:rPr>
          <w:rFonts w:ascii="Avenir Next" w:hAnsi="Avenir Next" w:cs="Arial"/>
          <w:color w:val="808080" w:themeColor="background1" w:themeShade="80"/>
          <w:sz w:val="22"/>
          <w:szCs w:val="22"/>
          <w:lang w:val="en-GB"/>
        </w:rPr>
        <w:t xml:space="preserve"> and also covers interim proceedings</w:t>
      </w:r>
      <w:r w:rsidR="00BF6E37">
        <w:rPr>
          <w:rStyle w:val="FootnoteReference"/>
          <w:rFonts w:ascii="Avenir Next" w:hAnsi="Avenir Next" w:cs="Arial"/>
          <w:color w:val="808080" w:themeColor="background1" w:themeShade="80"/>
          <w:sz w:val="22"/>
          <w:szCs w:val="22"/>
          <w:lang w:val="en-GB"/>
        </w:rPr>
        <w:footnoteReference w:id="62"/>
      </w:r>
      <w:r w:rsidR="00BF6E37">
        <w:rPr>
          <w:rFonts w:ascii="Avenir Next" w:hAnsi="Avenir Next" w:cs="Arial"/>
          <w:color w:val="808080" w:themeColor="background1" w:themeShade="80"/>
          <w:sz w:val="22"/>
          <w:szCs w:val="22"/>
          <w:lang w:val="en-GB"/>
        </w:rPr>
        <w:t xml:space="preserve"> and must include collective public proceedings</w:t>
      </w:r>
      <w:r w:rsidR="006F0614">
        <w:rPr>
          <w:rFonts w:ascii="Avenir Next" w:hAnsi="Avenir Next" w:cs="Arial"/>
          <w:color w:val="808080" w:themeColor="background1" w:themeShade="80"/>
          <w:sz w:val="22"/>
          <w:szCs w:val="22"/>
          <w:lang w:val="en-GB"/>
        </w:rPr>
        <w:t xml:space="preserve"> which are based in laws of insolvency which can also include rescue, adjustment of debt, reorganisation or liquidation</w:t>
      </w:r>
      <w:r w:rsidR="006F0614">
        <w:rPr>
          <w:rStyle w:val="FootnoteReference"/>
          <w:rFonts w:ascii="Avenir Next" w:hAnsi="Avenir Next" w:cs="Arial"/>
          <w:color w:val="808080" w:themeColor="background1" w:themeShade="80"/>
          <w:sz w:val="22"/>
          <w:szCs w:val="22"/>
          <w:lang w:val="en-GB"/>
        </w:rPr>
        <w:footnoteReference w:id="63"/>
      </w:r>
      <w:r w:rsidR="00BF6E37">
        <w:rPr>
          <w:rFonts w:ascii="Avenir Next" w:hAnsi="Avenir Next" w:cs="Arial"/>
          <w:color w:val="808080" w:themeColor="background1" w:themeShade="80"/>
          <w:sz w:val="22"/>
          <w:szCs w:val="22"/>
          <w:lang w:val="en-GB"/>
        </w:rPr>
        <w:t xml:space="preserve">. The </w:t>
      </w:r>
      <w:r w:rsidR="002A68D3">
        <w:rPr>
          <w:rFonts w:ascii="Avenir Next" w:hAnsi="Avenir Next" w:cs="Arial"/>
          <w:color w:val="808080" w:themeColor="background1" w:themeShade="80"/>
          <w:sz w:val="22"/>
          <w:szCs w:val="22"/>
          <w:lang w:val="en-GB"/>
        </w:rPr>
        <w:t xml:space="preserve">scope of the EIR Recast can also be classified in </w:t>
      </w:r>
      <w:r w:rsidR="00BE61C0">
        <w:rPr>
          <w:rFonts w:ascii="Avenir Next" w:hAnsi="Avenir Next" w:cs="Arial"/>
          <w:color w:val="808080" w:themeColor="background1" w:themeShade="80"/>
          <w:sz w:val="22"/>
          <w:szCs w:val="22"/>
          <w:lang w:val="en-GB"/>
        </w:rPr>
        <w:t xml:space="preserve">a </w:t>
      </w:r>
      <w:r w:rsidR="002A68D3">
        <w:rPr>
          <w:rFonts w:ascii="Avenir Next" w:hAnsi="Avenir Next" w:cs="Arial"/>
          <w:color w:val="808080" w:themeColor="background1" w:themeShade="80"/>
          <w:sz w:val="22"/>
          <w:szCs w:val="22"/>
          <w:lang w:val="en-GB"/>
        </w:rPr>
        <w:t>more technical and broader way. For instance, the temporal scope of the EIR Rec</w:t>
      </w:r>
      <w:r w:rsidR="001C510A">
        <w:rPr>
          <w:rFonts w:ascii="Avenir Next" w:hAnsi="Avenir Next" w:cs="Arial"/>
          <w:color w:val="808080" w:themeColor="background1" w:themeShade="80"/>
          <w:sz w:val="22"/>
          <w:szCs w:val="22"/>
          <w:lang w:val="en-GB"/>
        </w:rPr>
        <w:t>ast is that the insolvency proceedings in question should have been opened</w:t>
      </w:r>
      <w:r w:rsidR="00EB1BD6">
        <w:rPr>
          <w:rFonts w:ascii="Avenir Next" w:hAnsi="Avenir Next" w:cs="Arial"/>
          <w:color w:val="808080" w:themeColor="background1" w:themeShade="80"/>
          <w:sz w:val="22"/>
          <w:szCs w:val="22"/>
          <w:lang w:val="en-GB"/>
        </w:rPr>
        <w:t xml:space="preserve"> (accepted by the court)</w:t>
      </w:r>
      <w:r w:rsidR="001C510A">
        <w:rPr>
          <w:rFonts w:ascii="Avenir Next" w:hAnsi="Avenir Next" w:cs="Arial"/>
          <w:color w:val="808080" w:themeColor="background1" w:themeShade="80"/>
          <w:sz w:val="22"/>
          <w:szCs w:val="22"/>
          <w:lang w:val="en-GB"/>
        </w:rPr>
        <w:t xml:space="preserve"> after June 26, 2017</w:t>
      </w:r>
      <w:r w:rsidR="00EB1BD6">
        <w:rPr>
          <w:rStyle w:val="FootnoteReference"/>
          <w:rFonts w:ascii="Avenir Next" w:hAnsi="Avenir Next" w:cs="Arial"/>
          <w:color w:val="808080" w:themeColor="background1" w:themeShade="80"/>
          <w:sz w:val="22"/>
          <w:szCs w:val="22"/>
          <w:lang w:val="en-GB"/>
        </w:rPr>
        <w:footnoteReference w:id="64"/>
      </w:r>
      <w:r w:rsidR="001C510A">
        <w:rPr>
          <w:rFonts w:ascii="Avenir Next" w:hAnsi="Avenir Next" w:cs="Arial"/>
          <w:color w:val="808080" w:themeColor="background1" w:themeShade="80"/>
          <w:sz w:val="22"/>
          <w:szCs w:val="22"/>
          <w:lang w:val="en-GB"/>
        </w:rPr>
        <w:t xml:space="preserve">. </w:t>
      </w:r>
      <w:r w:rsidR="006F0614">
        <w:rPr>
          <w:rFonts w:ascii="Avenir Next" w:hAnsi="Avenir Next" w:cs="Arial"/>
          <w:color w:val="808080" w:themeColor="background1" w:themeShade="80"/>
          <w:sz w:val="22"/>
          <w:szCs w:val="22"/>
          <w:lang w:val="en-GB"/>
        </w:rPr>
        <w:t>Further, Article 1(2) of the EIR Recast also explicitly states that the regulations will not apply to insurance undertakings, credit institutions, investment firms and/or collective investment undertakings</w:t>
      </w:r>
      <w:r w:rsidR="00BE61C0">
        <w:rPr>
          <w:rFonts w:ascii="Avenir Next" w:hAnsi="Avenir Next" w:cs="Arial"/>
          <w:color w:val="808080" w:themeColor="background1" w:themeShade="80"/>
          <w:sz w:val="22"/>
          <w:szCs w:val="22"/>
          <w:lang w:val="en-GB"/>
        </w:rPr>
        <w:t xml:space="preserve"> (personal scope)</w:t>
      </w:r>
      <w:r w:rsidR="006F0614">
        <w:rPr>
          <w:rFonts w:ascii="Avenir Next" w:hAnsi="Avenir Next" w:cs="Arial"/>
          <w:color w:val="808080" w:themeColor="background1" w:themeShade="80"/>
          <w:sz w:val="22"/>
          <w:szCs w:val="22"/>
          <w:lang w:val="en-GB"/>
        </w:rPr>
        <w:t xml:space="preserve">. The EIR Recast in its recitals and specially under Article 1, does provide a wide scope of the nature of proceedings </w:t>
      </w:r>
      <w:r w:rsidR="00946098">
        <w:rPr>
          <w:rFonts w:ascii="Avenir Next" w:hAnsi="Avenir Next" w:cs="Arial"/>
          <w:color w:val="808080" w:themeColor="background1" w:themeShade="80"/>
          <w:sz w:val="22"/>
          <w:szCs w:val="22"/>
          <w:lang w:val="en-GB"/>
        </w:rPr>
        <w:t>it</w:t>
      </w:r>
      <w:r w:rsidR="006F0614">
        <w:rPr>
          <w:rFonts w:ascii="Avenir Next" w:hAnsi="Avenir Next" w:cs="Arial"/>
          <w:color w:val="808080" w:themeColor="background1" w:themeShade="80"/>
          <w:sz w:val="22"/>
          <w:szCs w:val="22"/>
          <w:lang w:val="en-GB"/>
        </w:rPr>
        <w:t xml:space="preserve"> tried to include in its ambit, but it also more specifically, under Article 2(4) restricts the meaning and interpretation of “insolvency proceedings” to the proceedings that have been included in the list on </w:t>
      </w:r>
      <w:r w:rsidR="00DB709C">
        <w:rPr>
          <w:rFonts w:ascii="Avenir Next" w:hAnsi="Avenir Next" w:cs="Arial"/>
          <w:color w:val="808080" w:themeColor="background1" w:themeShade="80"/>
          <w:sz w:val="22"/>
          <w:szCs w:val="22"/>
          <w:lang w:val="en-GB"/>
        </w:rPr>
        <w:t>Annex</w:t>
      </w:r>
      <w:r w:rsidR="006F0614">
        <w:rPr>
          <w:rFonts w:ascii="Avenir Next" w:hAnsi="Avenir Next" w:cs="Arial"/>
          <w:color w:val="808080" w:themeColor="background1" w:themeShade="80"/>
          <w:sz w:val="22"/>
          <w:szCs w:val="22"/>
          <w:lang w:val="en-GB"/>
        </w:rPr>
        <w:t xml:space="preserve"> A, which essentially is its material scope. Lastly, the regulations also have a geographical scope, being that its applicable on (qua the COMI) all member states of the European Union, except Denmark.</w:t>
      </w:r>
    </w:p>
    <w:p w14:paraId="2B70D795" w14:textId="77777777" w:rsidR="006F0614" w:rsidRDefault="006F0614" w:rsidP="002A37BB">
      <w:pPr>
        <w:autoSpaceDE w:val="0"/>
        <w:autoSpaceDN w:val="0"/>
        <w:adjustRightInd w:val="0"/>
        <w:jc w:val="both"/>
        <w:rPr>
          <w:rFonts w:ascii="Avenir Next" w:hAnsi="Avenir Next" w:cs="Arial"/>
          <w:color w:val="808080" w:themeColor="background1" w:themeShade="80"/>
          <w:sz w:val="22"/>
          <w:szCs w:val="22"/>
          <w:lang w:val="en-GB"/>
        </w:rPr>
      </w:pPr>
    </w:p>
    <w:p w14:paraId="7ECDD3DF" w14:textId="459340D4" w:rsidR="006F0614" w:rsidRDefault="006F0614" w:rsidP="002A37BB">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Applying the knowledge of the scope of the EIR Recast as above mentioned, to the fact set:</w:t>
      </w:r>
    </w:p>
    <w:p w14:paraId="24CC66BD" w14:textId="77777777" w:rsidR="006F0614" w:rsidRDefault="006F0614" w:rsidP="002A37BB">
      <w:pPr>
        <w:autoSpaceDE w:val="0"/>
        <w:autoSpaceDN w:val="0"/>
        <w:adjustRightInd w:val="0"/>
        <w:jc w:val="both"/>
        <w:rPr>
          <w:rFonts w:ascii="Avenir Next" w:hAnsi="Avenir Next" w:cs="Arial"/>
          <w:color w:val="808080" w:themeColor="background1" w:themeShade="80"/>
          <w:sz w:val="22"/>
          <w:szCs w:val="22"/>
          <w:lang w:val="en-GB"/>
        </w:rPr>
      </w:pPr>
    </w:p>
    <w:p w14:paraId="377B7A33" w14:textId="5E18605B" w:rsidR="00946098" w:rsidRDefault="006F0614" w:rsidP="006F0614">
      <w:pPr>
        <w:pStyle w:val="ListParagraph"/>
        <w:numPr>
          <w:ilvl w:val="0"/>
          <w:numId w:val="40"/>
        </w:num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Geographical Scope: The COMI of the Corporate Debtor is undetermined from the given, however, Denmark is not mentioned as a potential COMI</w:t>
      </w:r>
      <w:r w:rsidR="00946098">
        <w:rPr>
          <w:rFonts w:ascii="Avenir Next" w:hAnsi="Avenir Next" w:cs="Arial"/>
          <w:color w:val="808080" w:themeColor="background1" w:themeShade="80"/>
          <w:sz w:val="22"/>
          <w:szCs w:val="22"/>
          <w:lang w:val="en-GB"/>
        </w:rPr>
        <w:t>. Hence from a geographical perspective, EIR Recast is applicable on the states as mentioned in the fact set.</w:t>
      </w:r>
    </w:p>
    <w:p w14:paraId="799B26DC" w14:textId="409CFE77" w:rsidR="006F0614" w:rsidRDefault="00946098" w:rsidP="006F0614">
      <w:pPr>
        <w:pStyle w:val="ListParagraph"/>
        <w:numPr>
          <w:ilvl w:val="0"/>
          <w:numId w:val="40"/>
        </w:numPr>
        <w:autoSpaceDE w:val="0"/>
        <w:autoSpaceDN w:val="0"/>
        <w:adjustRightInd w:val="0"/>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Material Scope:  The safeguard proceedings as mentioned above are covered in Annex A of the EIR Recast (</w:t>
      </w:r>
      <w:r w:rsidRPr="00946098">
        <w:rPr>
          <w:rFonts w:ascii="Avenir Next" w:hAnsi="Avenir Next" w:cs="Arial"/>
          <w:i/>
          <w:iCs/>
          <w:color w:val="808080" w:themeColor="background1" w:themeShade="80"/>
          <w:sz w:val="22"/>
          <w:szCs w:val="22"/>
          <w:lang w:val="en-GB"/>
        </w:rPr>
        <w:t>Sauvegarde</w:t>
      </w:r>
      <w:r w:rsidRPr="00946098">
        <w:rPr>
          <w:rFonts w:ascii="Avenir Next" w:hAnsi="Avenir Next" w:cs="Arial"/>
          <w:i/>
          <w:iCs/>
          <w:color w:val="808080" w:themeColor="background1" w:themeShade="80"/>
          <w:sz w:val="22"/>
          <w:szCs w:val="22"/>
          <w:lang w:val="en-GB"/>
        </w:rPr>
        <w:t>)</w:t>
      </w:r>
    </w:p>
    <w:p w14:paraId="2F7F3965" w14:textId="6698ADAD" w:rsidR="00946098" w:rsidRPr="00946098" w:rsidRDefault="00946098" w:rsidP="006F0614">
      <w:pPr>
        <w:pStyle w:val="ListParagraph"/>
        <w:numPr>
          <w:ilvl w:val="0"/>
          <w:numId w:val="40"/>
        </w:numPr>
        <w:autoSpaceDE w:val="0"/>
        <w:autoSpaceDN w:val="0"/>
        <w:adjustRightInd w:val="0"/>
        <w:jc w:val="both"/>
        <w:rPr>
          <w:rFonts w:ascii="Avenir Next" w:hAnsi="Avenir Next" w:cs="Arial"/>
          <w:color w:val="808080" w:themeColor="background1" w:themeShade="80"/>
          <w:sz w:val="22"/>
          <w:szCs w:val="22"/>
          <w:lang w:val="en-GB"/>
        </w:rPr>
      </w:pPr>
      <w:r w:rsidRPr="00946098">
        <w:rPr>
          <w:rFonts w:ascii="Avenir Next" w:hAnsi="Avenir Next" w:cs="Arial"/>
          <w:color w:val="808080" w:themeColor="background1" w:themeShade="80"/>
          <w:sz w:val="22"/>
          <w:szCs w:val="22"/>
          <w:lang w:val="en-GB"/>
        </w:rPr>
        <w:t>Personal Scope: The nature of business of the Corporate Debtor is not which is affected by exceptions covered in Article 1(2). Hence the EIR Recast is applicable to the debtor;</w:t>
      </w:r>
    </w:p>
    <w:p w14:paraId="15D78AF8" w14:textId="33272D2F" w:rsidR="00946098" w:rsidRPr="00DB709C" w:rsidRDefault="00946098" w:rsidP="006F0614">
      <w:pPr>
        <w:pStyle w:val="ListParagraph"/>
        <w:numPr>
          <w:ilvl w:val="0"/>
          <w:numId w:val="40"/>
        </w:numPr>
        <w:autoSpaceDE w:val="0"/>
        <w:autoSpaceDN w:val="0"/>
        <w:adjustRightInd w:val="0"/>
        <w:jc w:val="both"/>
        <w:rPr>
          <w:rFonts w:ascii="Avenir Next" w:hAnsi="Avenir Next" w:cs="Arial"/>
          <w:i/>
          <w:iCs/>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Temporal Scope: The safeguard proceedings have been </w:t>
      </w:r>
      <w:r w:rsidR="00DB709C">
        <w:rPr>
          <w:rFonts w:ascii="Avenir Next" w:hAnsi="Avenir Next" w:cs="Arial"/>
          <w:color w:val="808080" w:themeColor="background1" w:themeShade="80"/>
          <w:sz w:val="22"/>
          <w:szCs w:val="22"/>
          <w:lang w:val="en-GB"/>
        </w:rPr>
        <w:t xml:space="preserve">filed on June 20, 2017. </w:t>
      </w:r>
      <w:r w:rsidR="00EB1BD6">
        <w:rPr>
          <w:rFonts w:ascii="Avenir Next" w:hAnsi="Avenir Next" w:cs="Arial"/>
          <w:color w:val="808080" w:themeColor="background1" w:themeShade="80"/>
          <w:sz w:val="22"/>
          <w:szCs w:val="22"/>
          <w:lang w:val="en-GB"/>
        </w:rPr>
        <w:t xml:space="preserve">And </w:t>
      </w:r>
      <w:r w:rsidR="00DB709C">
        <w:rPr>
          <w:rFonts w:ascii="Avenir Next" w:hAnsi="Avenir Next" w:cs="Arial"/>
          <w:color w:val="808080" w:themeColor="background1" w:themeShade="80"/>
          <w:sz w:val="22"/>
          <w:szCs w:val="22"/>
          <w:lang w:val="en-GB"/>
        </w:rPr>
        <w:t xml:space="preserve">the EIR Recast is only applicable to proceedings which have </w:t>
      </w:r>
      <w:r w:rsidR="00EB1BD6">
        <w:rPr>
          <w:rFonts w:ascii="Avenir Next" w:hAnsi="Avenir Next" w:cs="Arial"/>
          <w:color w:val="808080" w:themeColor="background1" w:themeShade="80"/>
          <w:sz w:val="22"/>
          <w:szCs w:val="22"/>
          <w:lang w:val="en-GB"/>
        </w:rPr>
        <w:t>been opened (qua the decision of the court confirming the admission of such proceedings and the appointment of an insolvency practitioner) after</w:t>
      </w:r>
      <w:r w:rsidR="00DB709C">
        <w:rPr>
          <w:rFonts w:ascii="Avenir Next" w:hAnsi="Avenir Next" w:cs="Arial"/>
          <w:color w:val="808080" w:themeColor="background1" w:themeShade="80"/>
          <w:sz w:val="22"/>
          <w:szCs w:val="22"/>
          <w:lang w:val="en-GB"/>
        </w:rPr>
        <w:t xml:space="preserve"> June 27, 2017. </w:t>
      </w:r>
      <w:r w:rsidR="00EB1BD6">
        <w:rPr>
          <w:rFonts w:ascii="Avenir Next" w:hAnsi="Avenir Next" w:cs="Arial"/>
          <w:color w:val="808080" w:themeColor="background1" w:themeShade="80"/>
          <w:sz w:val="22"/>
          <w:szCs w:val="22"/>
          <w:lang w:val="en-GB"/>
        </w:rPr>
        <w:t xml:space="preserve">We can assume the High Court of Strasbourg could not have confirmed the safeguard proceedings in the matter of a week and hence the same only would have been admitted after June 26, 2017. Thus, making the EIR Recast applicable.  </w:t>
      </w:r>
    </w:p>
    <w:p w14:paraId="134FD67A" w14:textId="77777777" w:rsidR="00DB709C" w:rsidRDefault="00DB709C" w:rsidP="00DB709C">
      <w:pPr>
        <w:autoSpaceDE w:val="0"/>
        <w:autoSpaceDN w:val="0"/>
        <w:adjustRightInd w:val="0"/>
        <w:jc w:val="both"/>
        <w:rPr>
          <w:rFonts w:ascii="Avenir Next" w:hAnsi="Avenir Next" w:cs="Arial"/>
          <w:i/>
          <w:iCs/>
          <w:color w:val="808080" w:themeColor="background1" w:themeShade="80"/>
          <w:sz w:val="22"/>
          <w:szCs w:val="22"/>
          <w:lang w:val="en-GB"/>
        </w:rPr>
      </w:pPr>
    </w:p>
    <w:p w14:paraId="194C5493" w14:textId="35462A6E" w:rsidR="00DB709C" w:rsidRPr="00DB709C" w:rsidRDefault="00DB709C" w:rsidP="00DB709C">
      <w:pPr>
        <w:autoSpaceDE w:val="0"/>
        <w:autoSpaceDN w:val="0"/>
        <w:adjustRightInd w:val="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Hence as the facts pertaining to the Corporate Debtor</w:t>
      </w:r>
      <w:r w:rsidR="00EB1BD6">
        <w:rPr>
          <w:rFonts w:ascii="Avenir Next" w:hAnsi="Avenir Next" w:cs="Arial"/>
          <w:color w:val="808080" w:themeColor="background1" w:themeShade="80"/>
          <w:sz w:val="22"/>
          <w:szCs w:val="22"/>
          <w:lang w:val="en-GB"/>
        </w:rPr>
        <w:t xml:space="preserve"> confirm to all the aspects of the scope of the EIR Recast, </w:t>
      </w:r>
      <w:r>
        <w:rPr>
          <w:rFonts w:ascii="Avenir Next" w:hAnsi="Avenir Next" w:cs="Arial"/>
          <w:color w:val="808080" w:themeColor="background1" w:themeShade="80"/>
          <w:sz w:val="22"/>
          <w:szCs w:val="22"/>
          <w:lang w:val="en-GB"/>
        </w:rPr>
        <w:t xml:space="preserve">the same </w:t>
      </w:r>
      <w:r w:rsidR="00EB1BD6">
        <w:rPr>
          <w:rFonts w:ascii="Avenir Next" w:hAnsi="Avenir Next" w:cs="Arial"/>
          <w:color w:val="808080" w:themeColor="background1" w:themeShade="80"/>
          <w:sz w:val="22"/>
          <w:szCs w:val="22"/>
          <w:lang w:val="en-GB"/>
        </w:rPr>
        <w:t>is</w:t>
      </w:r>
      <w:r>
        <w:rPr>
          <w:rFonts w:ascii="Avenir Next" w:hAnsi="Avenir Next" w:cs="Arial"/>
          <w:color w:val="808080" w:themeColor="background1" w:themeShade="80"/>
          <w:sz w:val="22"/>
          <w:szCs w:val="22"/>
          <w:lang w:val="en-GB"/>
        </w:rPr>
        <w:t xml:space="preserve"> applicable.</w:t>
      </w:r>
    </w:p>
    <w:p w14:paraId="2EFC7D05" w14:textId="77777777" w:rsidR="006F0614" w:rsidRPr="002A68D3" w:rsidRDefault="006F0614" w:rsidP="002A37BB">
      <w:pPr>
        <w:autoSpaceDE w:val="0"/>
        <w:autoSpaceDN w:val="0"/>
        <w:adjustRightInd w:val="0"/>
        <w:jc w:val="both"/>
        <w:rPr>
          <w:rFonts w:ascii="Avenir Next" w:hAnsi="Avenir Next" w:cs="Arial"/>
          <w:color w:val="808080" w:themeColor="background1" w:themeShade="80"/>
          <w:sz w:val="22"/>
          <w:szCs w:val="22"/>
          <w:lang w:val="en-GB"/>
        </w:rPr>
      </w:pPr>
    </w:p>
    <w:p w14:paraId="2A9C993A" w14:textId="77777777" w:rsidR="005308C2" w:rsidRPr="008E3C96" w:rsidRDefault="005308C2" w:rsidP="002A37BB">
      <w:pPr>
        <w:autoSpaceDE w:val="0"/>
        <w:autoSpaceDN w:val="0"/>
        <w:adjustRightInd w:val="0"/>
        <w:jc w:val="both"/>
        <w:rPr>
          <w:rFonts w:ascii="Avenir Next" w:hAnsi="Avenir Next" w:cs="Arial"/>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lastRenderedPageBreak/>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09FB5033" w14:textId="61DB0195" w:rsidR="00187A34" w:rsidRDefault="00CA277B" w:rsidP="00A80AB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fact set has listed “Italy” as </w:t>
      </w:r>
      <w:r w:rsidR="00A80AB6">
        <w:rPr>
          <w:rFonts w:ascii="Avenir Next" w:hAnsi="Avenir Next" w:cs="Arial"/>
          <w:color w:val="7B7B7B" w:themeColor="accent3" w:themeShade="BF"/>
          <w:sz w:val="22"/>
          <w:szCs w:val="22"/>
          <w:lang w:val="en-GB"/>
        </w:rPr>
        <w:t>a location where the Corporate Debor has a warehouse. The same can be associated with enhanced business activity (including availing facilities from financial institutions) and can be termed as an ‘establishment’ under the EIR Recast. Article 3(10) of the EIR Recast defines ‘establishment’ as “</w:t>
      </w:r>
      <w:r w:rsidR="00A80AB6" w:rsidRPr="00A80AB6">
        <w:rPr>
          <w:rFonts w:ascii="Avenir Next" w:hAnsi="Avenir Next" w:cs="Arial"/>
          <w:i/>
          <w:iCs/>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assets</w:t>
      </w:r>
      <w:r w:rsidR="00A80AB6" w:rsidRPr="00A80AB6">
        <w:rPr>
          <w:rFonts w:ascii="Avenir Next" w:hAnsi="Avenir Next" w:cs="Arial"/>
          <w:i/>
          <w:iCs/>
          <w:color w:val="7B7B7B" w:themeColor="accent3" w:themeShade="BF"/>
          <w:sz w:val="22"/>
          <w:szCs w:val="22"/>
          <w:lang w:val="en-GB"/>
        </w:rPr>
        <w:t>”</w:t>
      </w:r>
      <w:r w:rsidR="00A80AB6">
        <w:rPr>
          <w:rFonts w:ascii="Avenir Next" w:hAnsi="Avenir Next" w:cs="Arial"/>
          <w:color w:val="7B7B7B" w:themeColor="accent3" w:themeShade="BF"/>
          <w:sz w:val="22"/>
          <w:szCs w:val="22"/>
          <w:lang w:val="en-GB"/>
        </w:rPr>
        <w:t xml:space="preserve">. The question also says that an Italian Bank has filed for secondary insolvency proceedings to </w:t>
      </w:r>
      <w:r w:rsidR="00A80AB6" w:rsidRPr="00207095">
        <w:rPr>
          <w:rFonts w:ascii="Avenir Next" w:hAnsi="Avenir Next" w:cs="Arial"/>
          <w:color w:val="7B7B7B" w:themeColor="accent3" w:themeShade="BF"/>
          <w:sz w:val="22"/>
          <w:szCs w:val="22"/>
          <w:lang w:val="en-GB"/>
        </w:rPr>
        <w:t>determine an insolvency distribution ranking. The Italian Bank can be deemed as a ‘local creditor’. EIR Recast define the term ‘local creditor’ under Article 3(11) as</w:t>
      </w:r>
      <w:r w:rsidR="00A80AB6">
        <w:rPr>
          <w:rFonts w:ascii="Avenir Next" w:hAnsi="Avenir Next" w:cs="Arial"/>
          <w:color w:val="000000" w:themeColor="text1"/>
          <w:sz w:val="22"/>
          <w:szCs w:val="22"/>
          <w:lang w:val="en-GB"/>
        </w:rPr>
        <w:t xml:space="preserve"> “</w:t>
      </w:r>
      <w:r w:rsidR="00A80AB6" w:rsidRPr="00A80AB6">
        <w:rPr>
          <w:rFonts w:ascii="Avenir Next" w:hAnsi="Avenir Next" w:cs="Arial"/>
          <w:i/>
          <w:iCs/>
          <w:color w:val="7B7B7B" w:themeColor="accent3" w:themeShade="BF"/>
          <w:sz w:val="22"/>
          <w:szCs w:val="22"/>
          <w:lang w:val="en-GB"/>
        </w:rPr>
        <w:t>a creditor whose claims against a debtor arose from or in connection with the operation of an establishment situated in a Member State other than the Member State in which the centre of the debtor's main interests is located</w:t>
      </w:r>
      <w:r w:rsidR="00A80AB6">
        <w:rPr>
          <w:rFonts w:ascii="Avenir Next" w:hAnsi="Avenir Next" w:cs="Arial"/>
          <w:i/>
          <w:iCs/>
          <w:color w:val="7B7B7B" w:themeColor="accent3" w:themeShade="BF"/>
          <w:sz w:val="22"/>
          <w:szCs w:val="22"/>
          <w:lang w:val="en-GB"/>
        </w:rPr>
        <w:t>”</w:t>
      </w:r>
      <w:r w:rsidR="00A80AB6">
        <w:rPr>
          <w:rFonts w:ascii="Avenir Next" w:hAnsi="Avenir Next" w:cs="Arial"/>
          <w:color w:val="7B7B7B" w:themeColor="accent3" w:themeShade="BF"/>
          <w:sz w:val="22"/>
          <w:szCs w:val="22"/>
          <w:lang w:val="en-GB"/>
        </w:rPr>
        <w:t xml:space="preserve"> (being Italy). </w:t>
      </w:r>
      <w:r w:rsidR="00207095">
        <w:rPr>
          <w:rFonts w:ascii="Avenir Next" w:hAnsi="Avenir Next" w:cs="Arial"/>
          <w:color w:val="7B7B7B" w:themeColor="accent3" w:themeShade="BF"/>
          <w:sz w:val="22"/>
          <w:szCs w:val="22"/>
          <w:lang w:val="en-GB"/>
        </w:rPr>
        <w:t xml:space="preserve">The CJEU in the matter of </w:t>
      </w:r>
      <w:r w:rsidR="00207095" w:rsidRPr="00207095">
        <w:rPr>
          <w:rFonts w:ascii="Avenir Next" w:hAnsi="Avenir Next" w:cs="Arial"/>
          <w:color w:val="7B7B7B" w:themeColor="accent3" w:themeShade="BF"/>
          <w:sz w:val="22"/>
          <w:szCs w:val="22"/>
          <w:lang w:val="en-GB"/>
        </w:rPr>
        <w:t>Burgo Group v Illochroma</w:t>
      </w:r>
      <w:r w:rsidR="00207095">
        <w:rPr>
          <w:rStyle w:val="FootnoteReference"/>
          <w:rFonts w:ascii="Avenir Next" w:hAnsi="Avenir Next" w:cs="Arial"/>
          <w:color w:val="7B7B7B" w:themeColor="accent3" w:themeShade="BF"/>
          <w:sz w:val="22"/>
          <w:szCs w:val="22"/>
          <w:lang w:val="en-GB"/>
        </w:rPr>
        <w:footnoteReference w:id="65"/>
      </w:r>
      <w:r w:rsidR="00207095">
        <w:rPr>
          <w:rFonts w:ascii="Avenir Next" w:hAnsi="Avenir Next" w:cs="Arial"/>
          <w:color w:val="7B7B7B" w:themeColor="accent3" w:themeShade="BF"/>
          <w:sz w:val="22"/>
          <w:szCs w:val="22"/>
          <w:lang w:val="en-GB"/>
        </w:rPr>
        <w:t xml:space="preserve">, has laid down in relation to who can seek the opening of a secondary proceeding that the same must be </w:t>
      </w:r>
      <w:r w:rsidR="00207095" w:rsidRPr="00207095">
        <w:rPr>
          <w:rFonts w:ascii="Avenir Next" w:hAnsi="Avenir Next" w:cs="Arial"/>
          <w:color w:val="7B7B7B" w:themeColor="accent3" w:themeShade="BF"/>
          <w:sz w:val="22"/>
          <w:szCs w:val="22"/>
          <w:lang w:val="en-GB"/>
        </w:rPr>
        <w:t>determined on the basis of the national law of the Member State within the territory of which the opening of such proceedings is sought.</w:t>
      </w:r>
      <w:r w:rsidR="00207095">
        <w:rPr>
          <w:rFonts w:ascii="Avenir Next" w:hAnsi="Avenir Next" w:cs="Arial"/>
          <w:color w:val="7B7B7B" w:themeColor="accent3" w:themeShade="BF"/>
          <w:sz w:val="22"/>
          <w:szCs w:val="22"/>
          <w:lang w:val="en-GB"/>
        </w:rPr>
        <w:t xml:space="preserve"> And further that it must also comply with the EU Law and its national law. The secondary proceedings referred to herein appear to be an attempt to general interest of the local creditor under Italian Law. In accordance to the above, the same can opened as ‘secondary proceedings’ under the EIR Recast. </w:t>
      </w:r>
    </w:p>
    <w:p w14:paraId="76490896" w14:textId="77777777" w:rsidR="00A80AB6" w:rsidRDefault="00A80AB6" w:rsidP="00A80AB6">
      <w:pPr>
        <w:jc w:val="both"/>
        <w:rPr>
          <w:rFonts w:ascii="Avenir Next" w:hAnsi="Avenir Next" w:cs="Arial"/>
          <w:color w:val="7B7B7B" w:themeColor="accent3" w:themeShade="BF"/>
          <w:sz w:val="22"/>
          <w:szCs w:val="22"/>
          <w:lang w:val="en-GB"/>
        </w:rPr>
      </w:pPr>
    </w:p>
    <w:p w14:paraId="7DDED2FA" w14:textId="77777777" w:rsidR="00A80AB6" w:rsidRDefault="00A80AB6" w:rsidP="00A80AB6">
      <w:pPr>
        <w:jc w:val="both"/>
        <w:rPr>
          <w:rFonts w:ascii="Avenir Next" w:hAnsi="Avenir Next" w:cs="Arial"/>
          <w:color w:val="7B7B7B" w:themeColor="accent3" w:themeShade="BF"/>
          <w:sz w:val="22"/>
          <w:szCs w:val="22"/>
          <w:lang w:val="en-GB"/>
        </w:rPr>
      </w:pPr>
    </w:p>
    <w:p w14:paraId="7B15AB6D" w14:textId="77777777" w:rsidR="00A80AB6" w:rsidRDefault="00A80AB6" w:rsidP="00A80AB6">
      <w:pPr>
        <w:jc w:val="both"/>
        <w:rPr>
          <w:rFonts w:ascii="Avenir Next" w:hAnsi="Avenir Next" w:cs="Arial"/>
          <w:color w:val="7B7B7B" w:themeColor="accent3" w:themeShade="BF"/>
          <w:sz w:val="22"/>
          <w:szCs w:val="22"/>
          <w:lang w:val="en-GB"/>
        </w:rPr>
      </w:pPr>
    </w:p>
    <w:p w14:paraId="06E79755" w14:textId="77777777" w:rsidR="00A80AB6" w:rsidRDefault="00A80AB6" w:rsidP="00A80AB6">
      <w:pPr>
        <w:jc w:val="both"/>
        <w:rPr>
          <w:rFonts w:ascii="Avenir Next" w:hAnsi="Avenir Next" w:cs="Arial"/>
          <w:color w:val="7B7B7B" w:themeColor="accent3" w:themeShade="BF"/>
          <w:sz w:val="22"/>
          <w:szCs w:val="22"/>
          <w:lang w:val="en-GB"/>
        </w:rPr>
      </w:pPr>
    </w:p>
    <w:p w14:paraId="47126D35" w14:textId="77777777" w:rsidR="00A80AB6" w:rsidRPr="00A80AB6" w:rsidRDefault="00A80AB6" w:rsidP="00A80AB6">
      <w:pPr>
        <w:jc w:val="both"/>
        <w:rPr>
          <w:rFonts w:ascii="Avenir Next" w:hAnsi="Avenir Next" w:cs="Arial"/>
          <w:color w:val="000000" w:themeColor="text1"/>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0B2B" w14:textId="77777777" w:rsidR="007866CA" w:rsidRDefault="007866CA" w:rsidP="00241B44">
      <w:r>
        <w:separator/>
      </w:r>
    </w:p>
  </w:endnote>
  <w:endnote w:type="continuationSeparator" w:id="0">
    <w:p w14:paraId="557BF18A" w14:textId="77777777" w:rsidR="007866CA" w:rsidRDefault="007866C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0544492D" w:rsidR="00D509A5" w:rsidRPr="00E36039" w:rsidRDefault="001C19DE" w:rsidP="009B4976">
    <w:pPr>
      <w:pStyle w:val="Footer"/>
      <w:ind w:right="360"/>
      <w:rPr>
        <w:rFonts w:ascii="Avenir Next" w:hAnsi="Avenir Next" w:cs="Arial"/>
        <w:sz w:val="22"/>
        <w:szCs w:val="22"/>
        <w:lang w:val="en-GB"/>
      </w:rPr>
    </w:pPr>
    <w:r>
      <w:rPr>
        <w:rFonts w:ascii="Avenir Next" w:hAnsi="Avenir Next" w:cs="Arial"/>
        <w:sz w:val="22"/>
        <w:szCs w:val="22"/>
        <w:lang w:val="en-GB"/>
      </w:rPr>
      <w:t>202223-909</w:t>
    </w:r>
    <w:r w:rsidR="00D509A5"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FE92" w14:textId="77777777" w:rsidR="007866CA" w:rsidRDefault="007866CA" w:rsidP="00241B44">
      <w:r>
        <w:separator/>
      </w:r>
    </w:p>
  </w:footnote>
  <w:footnote w:type="continuationSeparator" w:id="0">
    <w:p w14:paraId="032D3036" w14:textId="77777777" w:rsidR="007866CA" w:rsidRDefault="007866CA" w:rsidP="00241B44">
      <w:r>
        <w:continuationSeparator/>
      </w:r>
    </w:p>
  </w:footnote>
  <w:footnote w:id="1">
    <w:p w14:paraId="7AF35117" w14:textId="21A41C4E" w:rsidR="006065A7" w:rsidRPr="006065A7" w:rsidRDefault="006065A7" w:rsidP="00E424E1">
      <w:pPr>
        <w:pStyle w:val="FootnoteText"/>
        <w:jc w:val="both"/>
        <w:rPr>
          <w:lang w:val="en-IN"/>
        </w:rPr>
      </w:pPr>
      <w:r>
        <w:rPr>
          <w:rStyle w:val="FootnoteReference"/>
        </w:rPr>
        <w:footnoteRef/>
      </w:r>
      <w:r>
        <w:t xml:space="preserve"> </w:t>
      </w:r>
      <w:r>
        <w:rPr>
          <w:lang w:val="en-IN"/>
        </w:rPr>
        <w:t xml:space="preserve">Article </w:t>
      </w:r>
      <w:r w:rsidR="00B15EF4">
        <w:rPr>
          <w:lang w:val="en-IN"/>
        </w:rPr>
        <w:t xml:space="preserve">3(1) of the EIR Recast </w:t>
      </w:r>
    </w:p>
  </w:footnote>
  <w:footnote w:id="2">
    <w:p w14:paraId="66EE02AD" w14:textId="395C7A23" w:rsidR="00B4451C" w:rsidRPr="00B4451C" w:rsidRDefault="00B4451C" w:rsidP="00E424E1">
      <w:pPr>
        <w:pStyle w:val="FootnoteText"/>
        <w:jc w:val="both"/>
        <w:rPr>
          <w:lang w:val="en-IN"/>
        </w:rPr>
      </w:pPr>
      <w:r>
        <w:rPr>
          <w:rStyle w:val="FootnoteReference"/>
        </w:rPr>
        <w:footnoteRef/>
      </w:r>
      <w:r>
        <w:t xml:space="preserve"> </w:t>
      </w:r>
      <w:r w:rsidRPr="00B4451C">
        <w:rPr>
          <w:lang w:val="en-IN"/>
        </w:rPr>
        <w:t xml:space="preserve">Recital 1- Directive (EU) 2019/1023 Of the European Parliament and </w:t>
      </w:r>
      <w:r w:rsidR="00D34562">
        <w:rPr>
          <w:lang w:val="en-IN"/>
        </w:rPr>
        <w:t>o</w:t>
      </w:r>
      <w:r w:rsidRPr="00B4451C">
        <w:rPr>
          <w:lang w:val="en-IN"/>
        </w:rPr>
        <w:t xml:space="preserve">f </w:t>
      </w:r>
      <w:r w:rsidR="00D34562">
        <w:rPr>
          <w:lang w:val="en-IN"/>
        </w:rPr>
        <w:t>t</w:t>
      </w:r>
      <w:r w:rsidRPr="00B4451C">
        <w:rPr>
          <w:lang w:val="en-IN"/>
        </w:rPr>
        <w:t>he Council, dated June 20, 2019</w:t>
      </w:r>
    </w:p>
  </w:footnote>
  <w:footnote w:id="3">
    <w:p w14:paraId="199C73DA" w14:textId="0A62172D" w:rsidR="00E424E1" w:rsidRDefault="00917DD4" w:rsidP="00E424E1">
      <w:pPr>
        <w:pStyle w:val="FootnoteText"/>
        <w:jc w:val="both"/>
        <w:rPr>
          <w:i/>
          <w:iCs/>
          <w:lang w:val="en-IN"/>
        </w:rPr>
      </w:pPr>
      <w:r>
        <w:rPr>
          <w:rStyle w:val="FootnoteReference"/>
        </w:rPr>
        <w:footnoteRef/>
      </w:r>
      <w:r>
        <w:t xml:space="preserve"> </w:t>
      </w:r>
      <w:r w:rsidR="00B91B11">
        <w:rPr>
          <w:lang w:val="en-IN"/>
        </w:rPr>
        <w:t xml:space="preserve">Prof. Dr. Bob Wessels- Modified Universalism in European Cross-Border </w:t>
      </w:r>
      <w:r w:rsidR="00E424E1">
        <w:rPr>
          <w:lang w:val="en-IN"/>
        </w:rPr>
        <w:t xml:space="preserve">Insolvency; </w:t>
      </w:r>
      <w:hyperlink r:id="rId1" w:history="1">
        <w:r w:rsidR="00E424E1" w:rsidRPr="00485A74">
          <w:rPr>
            <w:rStyle w:val="Hyperlink"/>
            <w:i/>
            <w:iCs/>
            <w:lang w:val="en-IN"/>
          </w:rPr>
          <w:t>https://bobwessels.nl/blog/2019-01-doc3-modified-universalism-in-european-cross-border-insolvency/</w:t>
        </w:r>
      </w:hyperlink>
    </w:p>
    <w:p w14:paraId="43962F3F" w14:textId="7E47FDDF" w:rsidR="00917DD4" w:rsidRPr="00917DD4" w:rsidRDefault="00E424E1" w:rsidP="00E424E1">
      <w:pPr>
        <w:pStyle w:val="FootnoteText"/>
        <w:jc w:val="both"/>
        <w:rPr>
          <w:lang w:val="en-IN"/>
        </w:rPr>
      </w:pPr>
      <w:r>
        <w:rPr>
          <w:lang w:val="en-IN"/>
        </w:rPr>
        <w:t>; accessed on June 6, 2023</w:t>
      </w:r>
    </w:p>
  </w:footnote>
  <w:footnote w:id="4">
    <w:p w14:paraId="151C243B" w14:textId="0E0E5F2C" w:rsidR="00522A74" w:rsidRPr="00522A74" w:rsidRDefault="00522A74">
      <w:pPr>
        <w:pStyle w:val="FootnoteText"/>
        <w:rPr>
          <w:lang w:val="en-IN"/>
        </w:rPr>
      </w:pPr>
      <w:r>
        <w:rPr>
          <w:rStyle w:val="FootnoteReference"/>
        </w:rPr>
        <w:footnoteRef/>
      </w:r>
      <w:r>
        <w:t xml:space="preserve"> </w:t>
      </w:r>
      <w:r w:rsidR="00624BCB">
        <w:rPr>
          <w:lang w:val="en-IN"/>
        </w:rPr>
        <w:t xml:space="preserve">Page </w:t>
      </w:r>
      <w:r w:rsidR="00FE4439">
        <w:rPr>
          <w:lang w:val="en-IN"/>
        </w:rPr>
        <w:t xml:space="preserve">45- Contact Group on the Legal and Institutional Underpinnings of the International Financial System – </w:t>
      </w:r>
      <w:r w:rsidR="00FE4439" w:rsidRPr="00A86D10">
        <w:rPr>
          <w:i/>
          <w:iCs/>
          <w:lang w:val="en-IN"/>
        </w:rPr>
        <w:t>Ins</w:t>
      </w:r>
      <w:r w:rsidR="00062FF3" w:rsidRPr="00A86D10">
        <w:rPr>
          <w:i/>
          <w:iCs/>
          <w:lang w:val="en-IN"/>
        </w:rPr>
        <w:t>olvency Arrangements and Contract Enforceability</w:t>
      </w:r>
      <w:r w:rsidR="00031424">
        <w:rPr>
          <w:lang w:val="en-IN"/>
        </w:rPr>
        <w:t>.</w:t>
      </w:r>
    </w:p>
  </w:footnote>
  <w:footnote w:id="5">
    <w:p w14:paraId="5AF2C623" w14:textId="1F838EE5" w:rsidR="00E15C50" w:rsidRPr="00E15C50" w:rsidRDefault="00E15C50">
      <w:pPr>
        <w:pStyle w:val="FootnoteText"/>
        <w:rPr>
          <w:lang w:val="en-IN"/>
        </w:rPr>
      </w:pPr>
      <w:r>
        <w:rPr>
          <w:rStyle w:val="FootnoteReference"/>
        </w:rPr>
        <w:footnoteRef/>
      </w:r>
      <w:r>
        <w:t xml:space="preserve"> </w:t>
      </w:r>
      <w:r w:rsidR="00B35939">
        <w:t>Irit Mevorach, The Future of Cross-border Insolvency: Overcoming Biases and Closing Gaps 27 (OUP 2018)</w:t>
      </w:r>
    </w:p>
  </w:footnote>
  <w:footnote w:id="6">
    <w:p w14:paraId="2FCE12F2" w14:textId="2056EBD1" w:rsidR="007665C0" w:rsidRPr="007665C0" w:rsidRDefault="007665C0">
      <w:pPr>
        <w:pStyle w:val="FootnoteText"/>
        <w:rPr>
          <w:lang w:val="en-IN"/>
        </w:rPr>
      </w:pPr>
      <w:r>
        <w:rPr>
          <w:rStyle w:val="FootnoteReference"/>
        </w:rPr>
        <w:footnoteRef/>
      </w:r>
      <w:r>
        <w:t xml:space="preserve"> </w:t>
      </w:r>
      <w:r>
        <w:rPr>
          <w:lang w:val="en-IN"/>
        </w:rPr>
        <w:t xml:space="preserve">“Establishment’- as under Article 2(10) of the EIR Recast. </w:t>
      </w:r>
    </w:p>
  </w:footnote>
  <w:footnote w:id="7">
    <w:p w14:paraId="69D185C7" w14:textId="4BBB88AD" w:rsidR="002F4423" w:rsidRPr="002F4423" w:rsidRDefault="002F4423">
      <w:pPr>
        <w:pStyle w:val="FootnoteText"/>
        <w:rPr>
          <w:lang w:val="en-IN"/>
        </w:rPr>
      </w:pPr>
      <w:r>
        <w:rPr>
          <w:rStyle w:val="FootnoteReference"/>
        </w:rPr>
        <w:footnoteRef/>
      </w:r>
      <w:r>
        <w:t xml:space="preserve"> </w:t>
      </w:r>
      <w:r w:rsidR="00465FC1" w:rsidRPr="00DB14DF">
        <w:rPr>
          <w:i/>
          <w:iCs/>
          <w:lang w:val="en-IN"/>
        </w:rPr>
        <w:t>Idem</w:t>
      </w:r>
      <w:r w:rsidR="00465FC1">
        <w:rPr>
          <w:lang w:val="en-IN"/>
        </w:rPr>
        <w:t xml:space="preserve">, </w:t>
      </w:r>
      <w:r w:rsidR="007409DF">
        <w:rPr>
          <w:lang w:val="en-IN"/>
        </w:rPr>
        <w:t xml:space="preserve">pt. 5, </w:t>
      </w:r>
      <w:r w:rsidR="00DB14DF">
        <w:rPr>
          <w:lang w:val="en-IN"/>
        </w:rPr>
        <w:t>‘The EU Approach’</w:t>
      </w:r>
    </w:p>
  </w:footnote>
  <w:footnote w:id="8">
    <w:p w14:paraId="0C1992B1" w14:textId="03A219E8" w:rsidR="001A0D52" w:rsidRPr="001A0D52" w:rsidRDefault="001A0D52">
      <w:pPr>
        <w:pStyle w:val="FootnoteText"/>
        <w:rPr>
          <w:lang w:val="en-IN"/>
        </w:rPr>
      </w:pPr>
      <w:r>
        <w:rPr>
          <w:rStyle w:val="FootnoteReference"/>
        </w:rPr>
        <w:footnoteRef/>
      </w:r>
      <w:r>
        <w:t xml:space="preserve"> </w:t>
      </w:r>
      <w:r w:rsidRPr="001A0D52">
        <w:rPr>
          <w:i/>
          <w:iCs/>
          <w:lang w:val="en-IN"/>
        </w:rPr>
        <w:t>Ibid</w:t>
      </w:r>
      <w:r>
        <w:rPr>
          <w:lang w:val="en-IN"/>
        </w:rPr>
        <w:t xml:space="preserve"> </w:t>
      </w:r>
    </w:p>
  </w:footnote>
  <w:footnote w:id="9">
    <w:p w14:paraId="3956B5C8" w14:textId="1F902096" w:rsidR="00B8353D" w:rsidRPr="00B8353D" w:rsidRDefault="00B8353D">
      <w:pPr>
        <w:pStyle w:val="FootnoteText"/>
        <w:rPr>
          <w:lang w:val="en-IN"/>
        </w:rPr>
      </w:pPr>
      <w:r>
        <w:rPr>
          <w:rStyle w:val="FootnoteReference"/>
        </w:rPr>
        <w:footnoteRef/>
      </w:r>
      <w:r>
        <w:t xml:space="preserve"> </w:t>
      </w:r>
      <w:r>
        <w:rPr>
          <w:lang w:val="en-IN"/>
        </w:rPr>
        <w:t xml:space="preserve">Recital </w:t>
      </w:r>
      <w:r w:rsidR="00C8434A">
        <w:rPr>
          <w:lang w:val="en-IN"/>
        </w:rPr>
        <w:t xml:space="preserve">48, EIR Recast 2015. </w:t>
      </w:r>
    </w:p>
  </w:footnote>
  <w:footnote w:id="10">
    <w:p w14:paraId="40A83632" w14:textId="763CE069" w:rsidR="00B344A1" w:rsidRPr="00B344A1" w:rsidRDefault="00B344A1">
      <w:pPr>
        <w:pStyle w:val="FootnoteText"/>
        <w:rPr>
          <w:lang w:val="en-IN"/>
        </w:rPr>
      </w:pPr>
      <w:r>
        <w:rPr>
          <w:rStyle w:val="FootnoteReference"/>
        </w:rPr>
        <w:footnoteRef/>
      </w:r>
      <w:r>
        <w:t xml:space="preserve"> </w:t>
      </w:r>
      <w:r>
        <w:rPr>
          <w:lang w:val="en-IN"/>
        </w:rPr>
        <w:t>Article 41(2</w:t>
      </w:r>
      <w:r w:rsidR="00E81291">
        <w:rPr>
          <w:lang w:val="en-IN"/>
        </w:rPr>
        <w:t>(a), EIR Recast 20</w:t>
      </w:r>
      <w:r>
        <w:rPr>
          <w:lang w:val="en-IN"/>
        </w:rPr>
        <w:t>15</w:t>
      </w:r>
    </w:p>
  </w:footnote>
  <w:footnote w:id="11">
    <w:p w14:paraId="4A63E36A" w14:textId="25ADA3F2" w:rsidR="006323FB" w:rsidRPr="006323FB" w:rsidRDefault="006323FB">
      <w:pPr>
        <w:pStyle w:val="FootnoteText"/>
        <w:rPr>
          <w:lang w:val="en-IN"/>
        </w:rPr>
      </w:pPr>
      <w:r>
        <w:rPr>
          <w:rStyle w:val="FootnoteReference"/>
        </w:rPr>
        <w:footnoteRef/>
      </w:r>
      <w:r>
        <w:t xml:space="preserve"> Casasola, O orcid.org/0000-0002-9652-0582 and Madaus, S (2022) Cross-border Insolvency Protocols: Cooperation, Coordination, and Communication Duties under the European Insolvency Regulation Recast. European Business Law Review, 33 (6). pp. 839- 880. ISSN 0959-6941</w:t>
      </w:r>
      <w:r w:rsidR="00F20078">
        <w:t xml:space="preserve">, </w:t>
      </w:r>
      <w:hyperlink r:id="rId2" w:history="1">
        <w:r w:rsidR="00F20078" w:rsidRPr="00485A74">
          <w:rPr>
            <w:rStyle w:val="Hyperlink"/>
          </w:rPr>
          <w:t>https://kluwerlawonline.com/journalarticle/European+Business+Law+Review/33.6/EULR2022036</w:t>
        </w:r>
      </w:hyperlink>
      <w:r w:rsidR="00F20078">
        <w:t xml:space="preserve"> ; </w:t>
      </w:r>
    </w:p>
  </w:footnote>
  <w:footnote w:id="12">
    <w:p w14:paraId="4502B2C4" w14:textId="5EF75D20" w:rsidR="00376451" w:rsidRPr="00376451" w:rsidRDefault="00376451">
      <w:pPr>
        <w:pStyle w:val="FootnoteText"/>
        <w:rPr>
          <w:lang w:val="en-IN"/>
        </w:rPr>
      </w:pPr>
      <w:r>
        <w:rPr>
          <w:rStyle w:val="FootnoteReference"/>
        </w:rPr>
        <w:footnoteRef/>
      </w:r>
      <w:r>
        <w:t xml:space="preserve"> </w:t>
      </w:r>
      <w:r w:rsidR="000E577B">
        <w:rPr>
          <w:lang w:val="en-IN"/>
        </w:rPr>
        <w:t>Article 41(3)(a)- 41(3)(e), EIR Recast, 2015</w:t>
      </w:r>
    </w:p>
  </w:footnote>
  <w:footnote w:id="13">
    <w:p w14:paraId="2B7ED37E" w14:textId="7A33CAD5" w:rsidR="000D75B1" w:rsidRPr="000D75B1" w:rsidRDefault="000D75B1">
      <w:pPr>
        <w:pStyle w:val="FootnoteText"/>
        <w:rPr>
          <w:lang w:val="en-IN"/>
        </w:rPr>
      </w:pPr>
      <w:r>
        <w:rPr>
          <w:rStyle w:val="FootnoteReference"/>
        </w:rPr>
        <w:footnoteRef/>
      </w:r>
      <w:r>
        <w:t xml:space="preserve"> </w:t>
      </w:r>
      <w:r w:rsidR="00B36F5F">
        <w:t>Cooperation</w:t>
      </w:r>
      <w:r w:rsidR="00F7614F">
        <w:t xml:space="preserve"> Guidelines for Cross-Border Insolvencies</w:t>
      </w:r>
      <w:r w:rsidR="00A95580">
        <w:t>, 2007</w:t>
      </w:r>
      <w:r w:rsidR="00F7614F">
        <w:t xml:space="preserve">- CoCo Guidelines &amp;, </w:t>
      </w:r>
      <w:r w:rsidR="00CF3EEA">
        <w:t>EU Cross-Border Insolvency Court-to-Court Communication Principles and Guidelines</w:t>
      </w:r>
      <w:r w:rsidR="00D776DA">
        <w:t>, 2014 (EU JudgeCo)</w:t>
      </w:r>
    </w:p>
  </w:footnote>
  <w:footnote w:id="14">
    <w:p w14:paraId="20DF9986" w14:textId="52EBF93A" w:rsidR="002D1DBE" w:rsidRPr="002D1DBE" w:rsidRDefault="002D1DBE">
      <w:pPr>
        <w:pStyle w:val="FootnoteText"/>
        <w:rPr>
          <w:lang w:val="en-IN"/>
        </w:rPr>
      </w:pPr>
      <w:r>
        <w:rPr>
          <w:rStyle w:val="FootnoteReference"/>
        </w:rPr>
        <w:footnoteRef/>
      </w:r>
      <w:r>
        <w:t xml:space="preserve"> </w:t>
      </w:r>
      <w:r>
        <w:rPr>
          <w:lang w:val="en-IN"/>
        </w:rPr>
        <w:t xml:space="preserve">The cut off date for </w:t>
      </w:r>
      <w:r w:rsidR="00854D44">
        <w:rPr>
          <w:lang w:val="en-IN"/>
        </w:rPr>
        <w:t>determination</w:t>
      </w:r>
      <w:r>
        <w:rPr>
          <w:lang w:val="en-IN"/>
        </w:rPr>
        <w:t xml:space="preserve"> of the asset pool/estate</w:t>
      </w:r>
      <w:r w:rsidR="00854D44">
        <w:rPr>
          <w:lang w:val="en-IN"/>
        </w:rPr>
        <w:t xml:space="preserve">, shall be the date of the undertaking- Article </w:t>
      </w:r>
      <w:r w:rsidR="007D444D">
        <w:rPr>
          <w:lang w:val="en-IN"/>
        </w:rPr>
        <w:t xml:space="preserve">36(2), EIR Recast </w:t>
      </w:r>
    </w:p>
  </w:footnote>
  <w:footnote w:id="15">
    <w:p w14:paraId="536AD5FB" w14:textId="36411AD5" w:rsidR="00805891" w:rsidRPr="00805891" w:rsidRDefault="00805891">
      <w:pPr>
        <w:pStyle w:val="FootnoteText"/>
        <w:rPr>
          <w:lang w:val="en-IN"/>
        </w:rPr>
      </w:pPr>
      <w:r>
        <w:rPr>
          <w:rStyle w:val="FootnoteReference"/>
        </w:rPr>
        <w:footnoteRef/>
      </w:r>
      <w:r>
        <w:t xml:space="preserve"> </w:t>
      </w:r>
      <w:r>
        <w:rPr>
          <w:lang w:val="en-IN"/>
        </w:rPr>
        <w:t>Article 36(2), EIR Recast</w:t>
      </w:r>
    </w:p>
  </w:footnote>
  <w:footnote w:id="16">
    <w:p w14:paraId="72DEE81B" w14:textId="4BE36132" w:rsidR="00D20A2F" w:rsidRPr="00D20A2F" w:rsidRDefault="00D20A2F">
      <w:pPr>
        <w:pStyle w:val="FootnoteText"/>
        <w:rPr>
          <w:lang w:val="en-IN"/>
        </w:rPr>
      </w:pPr>
      <w:r>
        <w:rPr>
          <w:rStyle w:val="FootnoteReference"/>
        </w:rPr>
        <w:footnoteRef/>
      </w:r>
      <w:r>
        <w:t xml:space="preserve"> </w:t>
      </w:r>
      <w:r>
        <w:rPr>
          <w:lang w:val="en-IN"/>
        </w:rPr>
        <w:t>Ar</w:t>
      </w:r>
      <w:r w:rsidR="00584AFB">
        <w:rPr>
          <w:lang w:val="en-IN"/>
        </w:rPr>
        <w:t>ticle 36(3), EIR Recast</w:t>
      </w:r>
    </w:p>
  </w:footnote>
  <w:footnote w:id="17">
    <w:p w14:paraId="14CA27B8" w14:textId="44AF378E" w:rsidR="00882ECD" w:rsidRPr="00882ECD" w:rsidRDefault="00882ECD">
      <w:pPr>
        <w:pStyle w:val="FootnoteText"/>
        <w:rPr>
          <w:lang w:val="en-IN"/>
        </w:rPr>
      </w:pPr>
      <w:r>
        <w:rPr>
          <w:rStyle w:val="FootnoteReference"/>
        </w:rPr>
        <w:footnoteRef/>
      </w:r>
      <w:r>
        <w:t xml:space="preserve"> </w:t>
      </w:r>
      <w:r w:rsidR="00DF668F" w:rsidRPr="00DF668F">
        <w:rPr>
          <w:i/>
          <w:iCs/>
          <w:lang w:val="en-IN"/>
        </w:rPr>
        <w:t>Ibid</w:t>
      </w:r>
      <w:r w:rsidR="00DF668F">
        <w:rPr>
          <w:lang w:val="en-IN"/>
        </w:rPr>
        <w:t>, Article 36(4)</w:t>
      </w:r>
    </w:p>
  </w:footnote>
  <w:footnote w:id="18">
    <w:p w14:paraId="2C48628D" w14:textId="178E8F08" w:rsidR="0092278D" w:rsidRPr="0092278D" w:rsidRDefault="0092278D">
      <w:pPr>
        <w:pStyle w:val="FootnoteText"/>
        <w:rPr>
          <w:lang w:val="en-IN"/>
        </w:rPr>
      </w:pPr>
      <w:r>
        <w:rPr>
          <w:rStyle w:val="FootnoteReference"/>
        </w:rPr>
        <w:footnoteRef/>
      </w:r>
      <w:r>
        <w:t xml:space="preserve"> </w:t>
      </w:r>
      <w:r w:rsidRPr="003C47B8">
        <w:rPr>
          <w:i/>
          <w:iCs/>
          <w:lang w:val="en-IN"/>
        </w:rPr>
        <w:t>Ibid</w:t>
      </w:r>
      <w:r>
        <w:rPr>
          <w:lang w:val="en-IN"/>
        </w:rPr>
        <w:t xml:space="preserve">, </w:t>
      </w:r>
      <w:r w:rsidR="00D42ABA">
        <w:rPr>
          <w:lang w:val="en-IN"/>
        </w:rPr>
        <w:t xml:space="preserve">Article </w:t>
      </w:r>
      <w:r w:rsidR="003C47B8">
        <w:rPr>
          <w:lang w:val="en-IN"/>
        </w:rPr>
        <w:t>36(5)</w:t>
      </w:r>
    </w:p>
  </w:footnote>
  <w:footnote w:id="19">
    <w:p w14:paraId="6AD1CCB4" w14:textId="4485C484" w:rsidR="00805864" w:rsidRPr="00805864" w:rsidRDefault="00805864">
      <w:pPr>
        <w:pStyle w:val="FootnoteText"/>
        <w:rPr>
          <w:lang w:val="en-IN"/>
        </w:rPr>
      </w:pPr>
      <w:r>
        <w:rPr>
          <w:rStyle w:val="FootnoteReference"/>
        </w:rPr>
        <w:footnoteRef/>
      </w:r>
      <w:r>
        <w:t xml:space="preserve"> </w:t>
      </w:r>
      <w:r>
        <w:rPr>
          <w:lang w:val="en-IN"/>
        </w:rPr>
        <w:t xml:space="preserve">Ibid, Article </w:t>
      </w:r>
      <w:r w:rsidR="0078187B">
        <w:rPr>
          <w:lang w:val="en-IN"/>
        </w:rPr>
        <w:t>36(7), Article 36(8)</w:t>
      </w:r>
    </w:p>
  </w:footnote>
  <w:footnote w:id="20">
    <w:p w14:paraId="57C92DEA" w14:textId="531EF3E2" w:rsidR="003E20AF" w:rsidRPr="003E20AF" w:rsidRDefault="003E20AF">
      <w:pPr>
        <w:pStyle w:val="FootnoteText"/>
        <w:rPr>
          <w:lang w:val="en-IN"/>
        </w:rPr>
      </w:pPr>
      <w:r>
        <w:rPr>
          <w:rStyle w:val="FootnoteReference"/>
        </w:rPr>
        <w:footnoteRef/>
      </w:r>
      <w:r>
        <w:t xml:space="preserve"> </w:t>
      </w:r>
      <w:r>
        <w:rPr>
          <w:lang w:val="en-IN"/>
        </w:rPr>
        <w:t>Ibid, Article</w:t>
      </w:r>
      <w:r w:rsidR="00882501">
        <w:rPr>
          <w:lang w:val="en-IN"/>
        </w:rPr>
        <w:t xml:space="preserve"> 36(10)</w:t>
      </w:r>
      <w:r>
        <w:rPr>
          <w:lang w:val="en-IN"/>
        </w:rPr>
        <w:t xml:space="preserve"> </w:t>
      </w:r>
    </w:p>
  </w:footnote>
  <w:footnote w:id="21">
    <w:p w14:paraId="460EF849" w14:textId="392AE222" w:rsidR="00C41420" w:rsidRPr="00C41420" w:rsidRDefault="00C41420">
      <w:pPr>
        <w:pStyle w:val="FootnoteText"/>
        <w:rPr>
          <w:lang w:val="en-IN"/>
        </w:rPr>
      </w:pPr>
      <w:r>
        <w:rPr>
          <w:rStyle w:val="FootnoteReference"/>
        </w:rPr>
        <w:footnoteRef/>
      </w:r>
      <w:r>
        <w:t xml:space="preserve"> </w:t>
      </w:r>
      <w:r>
        <w:rPr>
          <w:lang w:val="en-IN"/>
        </w:rPr>
        <w:t>Which are not in the ordinary course of business.</w:t>
      </w:r>
    </w:p>
  </w:footnote>
  <w:footnote w:id="22">
    <w:p w14:paraId="1AF0AE0A" w14:textId="12E50896" w:rsidR="005E3FA0" w:rsidRPr="00AA651B" w:rsidRDefault="005E3FA0">
      <w:pPr>
        <w:pStyle w:val="FootnoteText"/>
      </w:pPr>
      <w:r>
        <w:rPr>
          <w:rStyle w:val="FootnoteReference"/>
        </w:rPr>
        <w:footnoteRef/>
      </w:r>
      <w:r>
        <w:t xml:space="preserve"> </w:t>
      </w:r>
      <w:r w:rsidR="00AA651B">
        <w:t>Executive Summary (Background) -</w:t>
      </w:r>
      <w:r w:rsidR="00DF1D04">
        <w:rPr>
          <w:lang w:val="en-IN"/>
        </w:rPr>
        <w:t xml:space="preserve">European Parliament- Directorate-General for Internal Policies </w:t>
      </w:r>
      <w:r w:rsidR="00AC3C41">
        <w:rPr>
          <w:lang w:val="en-IN"/>
        </w:rPr>
        <w:t>– Legal &amp; Parliamentary Affairs- Note on Harmonisation of Insolvency Law at the EU Level, 2010</w:t>
      </w:r>
    </w:p>
  </w:footnote>
  <w:footnote w:id="23">
    <w:p w14:paraId="334E9844" w14:textId="1CB2F6A4" w:rsidR="00662232" w:rsidRPr="00662232" w:rsidRDefault="00662232">
      <w:pPr>
        <w:pStyle w:val="FootnoteText"/>
        <w:rPr>
          <w:lang w:val="en-IN"/>
        </w:rPr>
      </w:pPr>
      <w:r>
        <w:rPr>
          <w:rStyle w:val="FootnoteReference"/>
        </w:rPr>
        <w:footnoteRef/>
      </w:r>
      <w:r>
        <w:t xml:space="preserve"> ECJ Case C 167/01</w:t>
      </w:r>
    </w:p>
  </w:footnote>
  <w:footnote w:id="24">
    <w:p w14:paraId="667A0DB3" w14:textId="26555937" w:rsidR="00662232" w:rsidRPr="00662232" w:rsidRDefault="00662232">
      <w:pPr>
        <w:pStyle w:val="FootnoteText"/>
        <w:rPr>
          <w:lang w:val="en-IN"/>
        </w:rPr>
      </w:pPr>
      <w:r>
        <w:rPr>
          <w:rStyle w:val="FootnoteReference"/>
        </w:rPr>
        <w:footnoteRef/>
      </w:r>
      <w:r>
        <w:t xml:space="preserve"> </w:t>
      </w:r>
      <w:r w:rsidRPr="009B2067">
        <w:rPr>
          <w:i/>
          <w:iCs/>
          <w:lang w:val="en-IN"/>
        </w:rPr>
        <w:t>Idem</w:t>
      </w:r>
      <w:r>
        <w:rPr>
          <w:lang w:val="en-IN"/>
        </w:rPr>
        <w:t>, Para 139</w:t>
      </w:r>
    </w:p>
  </w:footnote>
  <w:footnote w:id="25">
    <w:p w14:paraId="0FDEB014" w14:textId="3A291E24" w:rsidR="0095549F" w:rsidRPr="0095549F" w:rsidRDefault="0095549F">
      <w:pPr>
        <w:pStyle w:val="FootnoteText"/>
        <w:rPr>
          <w:lang w:val="en-IN"/>
        </w:rPr>
      </w:pPr>
      <w:r>
        <w:rPr>
          <w:rStyle w:val="FootnoteReference"/>
        </w:rPr>
        <w:footnoteRef/>
      </w:r>
      <w:r>
        <w:t xml:space="preserve"> </w:t>
      </w:r>
      <w:r w:rsidRPr="007F2C04">
        <w:rPr>
          <w:i/>
          <w:iCs/>
          <w:lang w:val="en-IN"/>
        </w:rPr>
        <w:t>Idem</w:t>
      </w:r>
      <w:r>
        <w:rPr>
          <w:lang w:val="en-IN"/>
        </w:rPr>
        <w:t xml:space="preserve">, </w:t>
      </w:r>
      <w:r w:rsidR="007F2C04">
        <w:rPr>
          <w:lang w:val="en-IN"/>
        </w:rPr>
        <w:t>Para 143</w:t>
      </w:r>
    </w:p>
  </w:footnote>
  <w:footnote w:id="26">
    <w:p w14:paraId="344DD8DF" w14:textId="2272AECF" w:rsidR="00982DFC" w:rsidRPr="00982DFC" w:rsidRDefault="00982DFC">
      <w:pPr>
        <w:pStyle w:val="FootnoteText"/>
        <w:rPr>
          <w:lang w:val="en-IN"/>
        </w:rPr>
      </w:pPr>
      <w:r>
        <w:rPr>
          <w:rStyle w:val="FootnoteReference"/>
        </w:rPr>
        <w:footnoteRef/>
      </w:r>
      <w:r>
        <w:t xml:space="preserve"> </w:t>
      </w:r>
      <w:r w:rsidR="00616566">
        <w:t>Recital 31</w:t>
      </w:r>
      <w:r w:rsidR="008046DC">
        <w:t xml:space="preserve">, EIR Recast. </w:t>
      </w:r>
    </w:p>
  </w:footnote>
  <w:footnote w:id="27">
    <w:p w14:paraId="720EC404" w14:textId="43445C9E" w:rsidR="00BF77DA" w:rsidRPr="00BF77DA" w:rsidRDefault="00BF77DA">
      <w:pPr>
        <w:pStyle w:val="FootnoteText"/>
        <w:rPr>
          <w:lang w:val="en-IN"/>
        </w:rPr>
      </w:pPr>
      <w:r>
        <w:rPr>
          <w:rStyle w:val="FootnoteReference"/>
        </w:rPr>
        <w:footnoteRef/>
      </w:r>
      <w:r>
        <w:t xml:space="preserve"> </w:t>
      </w:r>
      <w:r>
        <w:rPr>
          <w:lang w:val="en-IN"/>
        </w:rPr>
        <w:t>European Parliament- Directorate-General for Internal Policies – Legal &amp; Parliamentary Affairs- Note on Harmonisation of Insolvency Law at the EU Level, 2010</w:t>
      </w:r>
    </w:p>
  </w:footnote>
  <w:footnote w:id="28">
    <w:p w14:paraId="0F5FD294" w14:textId="1CF959EE" w:rsidR="00372A3B" w:rsidRPr="00372A3B" w:rsidRDefault="00372A3B">
      <w:pPr>
        <w:pStyle w:val="FootnoteText"/>
        <w:rPr>
          <w:lang w:val="en-IN"/>
        </w:rPr>
      </w:pPr>
      <w:r>
        <w:rPr>
          <w:rStyle w:val="FootnoteReference"/>
        </w:rPr>
        <w:footnoteRef/>
      </w:r>
      <w:r>
        <w:t xml:space="preserve"> </w:t>
      </w:r>
      <w:r>
        <w:rPr>
          <w:lang w:val="en-IN"/>
        </w:rPr>
        <w:t xml:space="preserve">Most prominently in the matter of </w:t>
      </w:r>
      <w:r w:rsidR="002F5B89" w:rsidRPr="005D77DA">
        <w:rPr>
          <w:i/>
          <w:iCs/>
          <w:lang w:val="en-IN"/>
        </w:rPr>
        <w:t>Eurofoods</w:t>
      </w:r>
      <w:r w:rsidR="005D77DA" w:rsidRPr="005D77DA">
        <w:rPr>
          <w:i/>
          <w:iCs/>
          <w:lang w:val="en-IN"/>
        </w:rPr>
        <w:t xml:space="preserve"> Ltd.</w:t>
      </w:r>
      <w:r w:rsidR="002F5B89">
        <w:rPr>
          <w:lang w:val="en-IN"/>
        </w:rPr>
        <w:t xml:space="preserve">- </w:t>
      </w:r>
      <w:r w:rsidR="000B3666">
        <w:rPr>
          <w:lang w:val="en-IN"/>
        </w:rPr>
        <w:t xml:space="preserve">Case C-341/04, </w:t>
      </w:r>
      <w:r w:rsidR="00890E51">
        <w:rPr>
          <w:lang w:val="en-IN"/>
        </w:rPr>
        <w:t>ECLI: EU</w:t>
      </w:r>
      <w:r w:rsidR="000B3666">
        <w:rPr>
          <w:lang w:val="en-IN"/>
        </w:rPr>
        <w:t>:C:2006:281, dated May 2,2006</w:t>
      </w:r>
    </w:p>
  </w:footnote>
  <w:footnote w:id="29">
    <w:p w14:paraId="3D112A7D" w14:textId="1864E1DF" w:rsidR="005D77DA" w:rsidRPr="005D77DA" w:rsidRDefault="005D77DA">
      <w:pPr>
        <w:pStyle w:val="FootnoteText"/>
        <w:rPr>
          <w:lang w:val="en-IN"/>
        </w:rPr>
      </w:pPr>
      <w:r>
        <w:rPr>
          <w:rStyle w:val="FootnoteReference"/>
        </w:rPr>
        <w:footnoteRef/>
      </w:r>
      <w:r>
        <w:t xml:space="preserve"> </w:t>
      </w:r>
      <w:r>
        <w:rPr>
          <w:lang w:val="en-IN"/>
        </w:rPr>
        <w:t>Chapter V, EIR Recast</w:t>
      </w:r>
    </w:p>
  </w:footnote>
  <w:footnote w:id="30">
    <w:p w14:paraId="30ED684D" w14:textId="6D449633" w:rsidR="00322E87" w:rsidRPr="00322E87" w:rsidRDefault="00322E87">
      <w:pPr>
        <w:pStyle w:val="FootnoteText"/>
        <w:rPr>
          <w:lang w:val="en-IN"/>
        </w:rPr>
      </w:pPr>
      <w:r>
        <w:rPr>
          <w:rStyle w:val="FootnoteReference"/>
        </w:rPr>
        <w:footnoteRef/>
      </w:r>
      <w:r>
        <w:t xml:space="preserve"> </w:t>
      </w:r>
      <w:r>
        <w:rPr>
          <w:lang w:val="en-IN"/>
        </w:rPr>
        <w:t>Ar</w:t>
      </w:r>
      <w:r w:rsidR="0081639B">
        <w:rPr>
          <w:lang w:val="en-IN"/>
        </w:rPr>
        <w:t>ticle 56-59, EIR Recast</w:t>
      </w:r>
    </w:p>
  </w:footnote>
  <w:footnote w:id="31">
    <w:p w14:paraId="220572A7" w14:textId="062A9BA7" w:rsidR="00F32E3F" w:rsidRPr="00F32E3F" w:rsidRDefault="00F32E3F">
      <w:pPr>
        <w:pStyle w:val="FootnoteText"/>
        <w:rPr>
          <w:lang w:val="en-IN"/>
        </w:rPr>
      </w:pPr>
      <w:r>
        <w:rPr>
          <w:rStyle w:val="FootnoteReference"/>
        </w:rPr>
        <w:footnoteRef/>
      </w:r>
      <w:r>
        <w:t xml:space="preserve"> </w:t>
      </w:r>
      <w:r w:rsidR="004E078E">
        <w:rPr>
          <w:lang w:val="en-IN"/>
        </w:rPr>
        <w:t xml:space="preserve">Article 61-70, EIR Recast </w:t>
      </w:r>
    </w:p>
  </w:footnote>
  <w:footnote w:id="32">
    <w:p w14:paraId="3C7CB486" w14:textId="2E274AB3" w:rsidR="004E078E" w:rsidRPr="004E078E" w:rsidRDefault="004E078E">
      <w:pPr>
        <w:pStyle w:val="FootnoteText"/>
        <w:rPr>
          <w:lang w:val="en-IN"/>
        </w:rPr>
      </w:pPr>
      <w:r>
        <w:rPr>
          <w:rStyle w:val="FootnoteReference"/>
        </w:rPr>
        <w:footnoteRef/>
      </w:r>
      <w:r>
        <w:t xml:space="preserve"> </w:t>
      </w:r>
      <w:r w:rsidR="00327799">
        <w:rPr>
          <w:lang w:val="en-IN"/>
        </w:rPr>
        <w:t>Article 71-77, EIR Recast</w:t>
      </w:r>
    </w:p>
  </w:footnote>
  <w:footnote w:id="33">
    <w:p w14:paraId="534406E5" w14:textId="4297D933" w:rsidR="001C4CE6" w:rsidRPr="001C4CE6" w:rsidRDefault="001C4CE6">
      <w:pPr>
        <w:pStyle w:val="FootnoteText"/>
        <w:rPr>
          <w:lang w:val="en-IN"/>
        </w:rPr>
      </w:pPr>
      <w:r>
        <w:rPr>
          <w:rStyle w:val="FootnoteReference"/>
        </w:rPr>
        <w:footnoteRef/>
      </w:r>
      <w:r>
        <w:t xml:space="preserve"> </w:t>
      </w:r>
      <w:r>
        <w:rPr>
          <w:lang w:val="en-IN"/>
        </w:rPr>
        <w:t>European Parliament- Directorate-General for Internal Policies – Legal &amp; Parliamentary Affairs- Note on Harmonisation of Insolvency Law at the EU Level, 2010</w:t>
      </w:r>
    </w:p>
  </w:footnote>
  <w:footnote w:id="34">
    <w:p w14:paraId="2BF3D68A" w14:textId="6E8C3BB2" w:rsidR="00D976BA" w:rsidRPr="00D976BA" w:rsidRDefault="00D976BA">
      <w:pPr>
        <w:pStyle w:val="FootnoteText"/>
        <w:rPr>
          <w:lang w:val="en-IN"/>
        </w:rPr>
      </w:pPr>
      <w:r>
        <w:rPr>
          <w:rStyle w:val="FootnoteReference"/>
        </w:rPr>
        <w:footnoteRef/>
      </w:r>
      <w:r>
        <w:t xml:space="preserve"> </w:t>
      </w:r>
      <w:r>
        <w:rPr>
          <w:lang w:val="en-IN"/>
        </w:rPr>
        <w:t xml:space="preserve">Recital 76, EIR Recast. </w:t>
      </w:r>
    </w:p>
  </w:footnote>
  <w:footnote w:id="35">
    <w:p w14:paraId="1F9485E4" w14:textId="11D71C04" w:rsidR="00FF4AE3" w:rsidRPr="00FF4AE3" w:rsidRDefault="00FF4AE3">
      <w:pPr>
        <w:pStyle w:val="FootnoteText"/>
        <w:rPr>
          <w:lang w:val="en-IN"/>
        </w:rPr>
      </w:pPr>
      <w:r>
        <w:rPr>
          <w:rStyle w:val="FootnoteReference"/>
        </w:rPr>
        <w:footnoteRef/>
      </w:r>
      <w:r>
        <w:t xml:space="preserve"> </w:t>
      </w:r>
      <w:r>
        <w:rPr>
          <w:lang w:val="en-IN"/>
        </w:rPr>
        <w:t>European Parliament- Directorate-General for Internal Policies – Legal &amp; Parliamentary Affairs- Note on Harmonisation of Insolvency Law at the EU Level, 2010</w:t>
      </w:r>
    </w:p>
  </w:footnote>
  <w:footnote w:id="36">
    <w:p w14:paraId="7F7006D3" w14:textId="4B619872" w:rsidR="002D7F42" w:rsidRPr="002D7F42" w:rsidRDefault="002D7F42">
      <w:pPr>
        <w:pStyle w:val="FootnoteText"/>
        <w:rPr>
          <w:lang w:val="en-IN"/>
        </w:rPr>
      </w:pPr>
      <w:r>
        <w:rPr>
          <w:rStyle w:val="FootnoteReference"/>
        </w:rPr>
        <w:footnoteRef/>
      </w:r>
      <w:r>
        <w:t xml:space="preserve"> </w:t>
      </w:r>
      <w:r>
        <w:rPr>
          <w:lang w:val="en-IN"/>
        </w:rPr>
        <w:t>Article 1, EIR Recast</w:t>
      </w:r>
    </w:p>
  </w:footnote>
  <w:footnote w:id="37">
    <w:p w14:paraId="30638ECD" w14:textId="0EF5CDE4" w:rsidR="0072254E" w:rsidRPr="0072254E" w:rsidRDefault="0072254E">
      <w:pPr>
        <w:pStyle w:val="FootnoteText"/>
        <w:rPr>
          <w:lang w:val="en-IN"/>
        </w:rPr>
      </w:pPr>
      <w:r>
        <w:rPr>
          <w:rStyle w:val="FootnoteReference"/>
        </w:rPr>
        <w:footnoteRef/>
      </w:r>
      <w:r>
        <w:t xml:space="preserve"> ‘Commission Staff Working Document: Impact Assessment Accompanying the Document Revision of Regulation (EC) No 1346/2000 on Insolvency Proceedings’ SWD (2012) 416 final, 31</w:t>
      </w:r>
    </w:p>
  </w:footnote>
  <w:footnote w:id="38">
    <w:p w14:paraId="6CC0E10E" w14:textId="013611A3" w:rsidR="00F30342" w:rsidRPr="00F30342" w:rsidRDefault="00F30342">
      <w:pPr>
        <w:pStyle w:val="FootnoteText"/>
        <w:rPr>
          <w:lang w:val="en-IN"/>
        </w:rPr>
      </w:pPr>
      <w:r>
        <w:rPr>
          <w:rStyle w:val="FootnoteReference"/>
        </w:rPr>
        <w:footnoteRef/>
      </w:r>
      <w:r>
        <w:t xml:space="preserve"> External Evaluation of Regulation No. 1346/2000/EC on Insolvency Proceedings’ JUST/2011/JCIV/PR/0049/A4 (Heidelberg-Luxembourg-Vienna Report)</w:t>
      </w:r>
    </w:p>
  </w:footnote>
  <w:footnote w:id="39">
    <w:p w14:paraId="1716A653" w14:textId="0BF742F7" w:rsidR="006F3817" w:rsidRPr="006F3817" w:rsidRDefault="006F3817">
      <w:pPr>
        <w:pStyle w:val="FootnoteText"/>
        <w:rPr>
          <w:lang w:val="en-IN"/>
        </w:rPr>
      </w:pPr>
      <w:r>
        <w:rPr>
          <w:rStyle w:val="FootnoteReference"/>
        </w:rPr>
        <w:footnoteRef/>
      </w:r>
      <w:r>
        <w:t xml:space="preserve"> Christoph Thole, and Manuel Dueñas, 'Some Observations on the New Group Coordination Procedure of the Reformed European Insolvency Regulation'Int. Insolv. Rev., Vol. 24 (2015) p224; </w:t>
      </w:r>
    </w:p>
  </w:footnote>
  <w:footnote w:id="40">
    <w:p w14:paraId="79F70F9A" w14:textId="045FD5A6" w:rsidR="004F57D5" w:rsidRPr="004F57D5" w:rsidRDefault="004F57D5">
      <w:pPr>
        <w:pStyle w:val="FootnoteText"/>
        <w:rPr>
          <w:lang w:val="en-IN"/>
        </w:rPr>
      </w:pPr>
      <w:r>
        <w:rPr>
          <w:rStyle w:val="FootnoteReference"/>
        </w:rPr>
        <w:footnoteRef/>
      </w:r>
      <w:r>
        <w:t xml:space="preserve"> Zhang, D. (2018) A recommendation to improve the opt-out mechanism in EU regulation on insolvency proceedings recast. International Company and Commercial Law Review, 28 (5). pp. 167-175. ISSN 0958-5214</w:t>
      </w:r>
      <w:r w:rsidR="00E721AF">
        <w:t xml:space="preserve">. </w:t>
      </w:r>
    </w:p>
  </w:footnote>
  <w:footnote w:id="41">
    <w:p w14:paraId="73E8F820" w14:textId="2545EACD" w:rsidR="009F47E1" w:rsidRPr="009F47E1" w:rsidRDefault="009F47E1">
      <w:pPr>
        <w:pStyle w:val="FootnoteText"/>
        <w:rPr>
          <w:lang w:val="en-IN"/>
        </w:rPr>
      </w:pPr>
      <w:r>
        <w:rPr>
          <w:rStyle w:val="FootnoteReference"/>
        </w:rPr>
        <w:footnoteRef/>
      </w:r>
      <w:r>
        <w:t xml:space="preserve"> </w:t>
      </w:r>
      <w:r w:rsidR="0080627E">
        <w:rPr>
          <w:lang w:val="en-IN"/>
        </w:rPr>
        <w:t>Wolf-Georg Ringe – “</w:t>
      </w:r>
      <w:r w:rsidR="00C458FD">
        <w:rPr>
          <w:lang w:val="en-IN"/>
        </w:rPr>
        <w:t>Insolvency Forum Shopping- Revisited”; Hamburg Law Rev</w:t>
      </w:r>
      <w:r w:rsidR="006F0E84">
        <w:rPr>
          <w:lang w:val="en-IN"/>
        </w:rPr>
        <w:t>iew, 2017 page 38-59.</w:t>
      </w:r>
    </w:p>
  </w:footnote>
  <w:footnote w:id="42">
    <w:p w14:paraId="30FDA39C" w14:textId="17DE84D6" w:rsidR="00B6769F" w:rsidRPr="00B6769F" w:rsidRDefault="00B6769F">
      <w:pPr>
        <w:pStyle w:val="FootnoteText"/>
        <w:rPr>
          <w:lang w:val="en-IN"/>
        </w:rPr>
      </w:pPr>
      <w:r>
        <w:rPr>
          <w:rStyle w:val="FootnoteReference"/>
        </w:rPr>
        <w:footnoteRef/>
      </w:r>
      <w:r>
        <w:t xml:space="preserve"> </w:t>
      </w:r>
      <w:r w:rsidR="00E56882">
        <w:t>Commission Proposal COM(2012) 744, p 4; Commission Impact Assessment accompanying the EIR revision, SWD(2012) 416, section 3.4.1</w:t>
      </w:r>
    </w:p>
  </w:footnote>
  <w:footnote w:id="43">
    <w:p w14:paraId="75CD8930" w14:textId="18690FA2" w:rsidR="000E7F14" w:rsidRPr="000E7F14" w:rsidRDefault="000E7F14">
      <w:pPr>
        <w:pStyle w:val="FootnoteText"/>
        <w:rPr>
          <w:lang w:val="en-IN"/>
        </w:rPr>
      </w:pPr>
      <w:r>
        <w:rPr>
          <w:rStyle w:val="FootnoteReference"/>
        </w:rPr>
        <w:footnoteRef/>
      </w:r>
      <w:r>
        <w:t xml:space="preserve"> </w:t>
      </w:r>
      <w:r>
        <w:rPr>
          <w:lang w:val="en-IN"/>
        </w:rPr>
        <w:t xml:space="preserve">Recital 5, EIR Recast. </w:t>
      </w:r>
    </w:p>
  </w:footnote>
  <w:footnote w:id="44">
    <w:p w14:paraId="20230D2D" w14:textId="314C0B86" w:rsidR="00EE4C5E" w:rsidRPr="00EE4C5E" w:rsidRDefault="00EE4C5E">
      <w:pPr>
        <w:pStyle w:val="FootnoteText"/>
        <w:rPr>
          <w:lang w:val="en-IN"/>
        </w:rPr>
      </w:pPr>
      <w:r>
        <w:rPr>
          <w:rStyle w:val="FootnoteReference"/>
        </w:rPr>
        <w:footnoteRef/>
      </w:r>
      <w:r>
        <w:t xml:space="preserve"> </w:t>
      </w:r>
      <w:r>
        <w:rPr>
          <w:lang w:val="en-IN"/>
        </w:rPr>
        <w:t>For instance, INSOL Europe suggested a strong suspension period of 1 yea</w:t>
      </w:r>
      <w:r w:rsidR="00FE3EAC">
        <w:rPr>
          <w:lang w:val="en-IN"/>
        </w:rPr>
        <w:t xml:space="preserve">r </w:t>
      </w:r>
      <w:r w:rsidR="00530CED">
        <w:rPr>
          <w:lang w:val="en-IN"/>
        </w:rPr>
        <w:t xml:space="preserve">in its draft EIR Reform </w:t>
      </w:r>
      <w:r w:rsidR="00C14E07">
        <w:rPr>
          <w:lang w:val="en-IN"/>
        </w:rPr>
        <w:t>document.</w:t>
      </w:r>
    </w:p>
  </w:footnote>
  <w:footnote w:id="45">
    <w:p w14:paraId="4B34D6FC" w14:textId="498E9253" w:rsidR="00741A67" w:rsidRPr="00741A67" w:rsidRDefault="00741A67">
      <w:pPr>
        <w:pStyle w:val="FootnoteText"/>
        <w:rPr>
          <w:lang w:val="en-IN"/>
        </w:rPr>
      </w:pPr>
      <w:r>
        <w:rPr>
          <w:rStyle w:val="FootnoteReference"/>
        </w:rPr>
        <w:footnoteRef/>
      </w:r>
      <w:r>
        <w:t xml:space="preserve"> </w:t>
      </w:r>
      <w:r w:rsidRPr="00741A67">
        <w:rPr>
          <w:i/>
          <w:iCs/>
          <w:lang w:val="en-IN"/>
        </w:rPr>
        <w:t>Idem</w:t>
      </w:r>
      <w:r>
        <w:rPr>
          <w:lang w:val="en-IN"/>
        </w:rPr>
        <w:t>, 41</w:t>
      </w:r>
    </w:p>
  </w:footnote>
  <w:footnote w:id="46">
    <w:p w14:paraId="2C1B8C15" w14:textId="54D56EFC" w:rsidR="00A85676" w:rsidRPr="00A85676" w:rsidRDefault="00A85676">
      <w:pPr>
        <w:pStyle w:val="FootnoteText"/>
        <w:rPr>
          <w:lang w:val="en-IN"/>
        </w:rPr>
      </w:pPr>
      <w:r>
        <w:rPr>
          <w:rStyle w:val="FootnoteReference"/>
        </w:rPr>
        <w:footnoteRef/>
      </w:r>
      <w:r>
        <w:t xml:space="preserve"> </w:t>
      </w:r>
      <w:r w:rsidRPr="00A85676">
        <w:rPr>
          <w:i/>
          <w:iCs/>
          <w:lang w:val="en-IN"/>
        </w:rPr>
        <w:t>Ibid</w:t>
      </w:r>
    </w:p>
  </w:footnote>
  <w:footnote w:id="47">
    <w:p w14:paraId="077984D1" w14:textId="703A55B2" w:rsidR="008930DE" w:rsidRPr="008930DE" w:rsidRDefault="008930DE">
      <w:pPr>
        <w:pStyle w:val="FootnoteText"/>
        <w:rPr>
          <w:lang w:val="en-IN"/>
        </w:rPr>
      </w:pPr>
      <w:r>
        <w:rPr>
          <w:rStyle w:val="FootnoteReference"/>
        </w:rPr>
        <w:footnoteRef/>
      </w:r>
      <w:r>
        <w:t xml:space="preserve"> </w:t>
      </w:r>
      <w:r>
        <w:rPr>
          <w:lang w:val="en-IN"/>
        </w:rPr>
        <w:t xml:space="preserve">Article 12 of the </w:t>
      </w:r>
      <w:r w:rsidRPr="008930DE">
        <w:rPr>
          <w:lang w:val="en-IN"/>
        </w:rPr>
        <w:t>EU Restructuring Directive of June 20 2019 (EU 2019/1023)</w:t>
      </w:r>
    </w:p>
  </w:footnote>
  <w:footnote w:id="48">
    <w:p w14:paraId="7CB3CCAA" w14:textId="06AE8218" w:rsidR="008930DE" w:rsidRPr="008930DE" w:rsidRDefault="008930DE">
      <w:pPr>
        <w:pStyle w:val="FootnoteText"/>
        <w:rPr>
          <w:lang w:val="en-IN"/>
        </w:rPr>
      </w:pPr>
      <w:r>
        <w:rPr>
          <w:rStyle w:val="FootnoteReference"/>
        </w:rPr>
        <w:footnoteRef/>
      </w:r>
      <w:r>
        <w:t xml:space="preserve"> </w:t>
      </w:r>
      <w:r>
        <w:rPr>
          <w:lang w:val="en-IN"/>
        </w:rPr>
        <w:t>Baker &amp; Mckenzie on “Global Restructuring and Insolvency Guide- European Union”, &lt;&lt;</w:t>
      </w:r>
      <w:r w:rsidRPr="008930DE">
        <w:t xml:space="preserve"> </w:t>
      </w:r>
      <w:hyperlink r:id="rId3" w:history="1">
        <w:r w:rsidRPr="00236745">
          <w:rPr>
            <w:rStyle w:val="Hyperlink"/>
            <w:lang w:val="en-IN"/>
          </w:rPr>
          <w:t>https://resourcehub.bakermckenzie.com/en/resources/global-restructuring-and-insolvency-guide/subpages/european-union</w:t>
        </w:r>
      </w:hyperlink>
      <w:r>
        <w:rPr>
          <w:lang w:val="en-IN"/>
        </w:rPr>
        <w:t xml:space="preserve">&gt;&gt;, accessed on July 4, 2023. </w:t>
      </w:r>
    </w:p>
  </w:footnote>
  <w:footnote w:id="49">
    <w:p w14:paraId="57FA1FF8" w14:textId="0EFC29F7" w:rsidR="008930DE" w:rsidRPr="008930DE" w:rsidRDefault="008930DE">
      <w:pPr>
        <w:pStyle w:val="FootnoteText"/>
        <w:rPr>
          <w:lang w:val="en-IN"/>
        </w:rPr>
      </w:pPr>
      <w:r>
        <w:rPr>
          <w:rStyle w:val="FootnoteReference"/>
        </w:rPr>
        <w:footnoteRef/>
      </w:r>
      <w:r>
        <w:t xml:space="preserve"> </w:t>
      </w:r>
      <w:r w:rsidRPr="008930DE">
        <w:rPr>
          <w:i/>
          <w:iCs/>
          <w:lang w:val="en-IN"/>
        </w:rPr>
        <w:t>Ibid</w:t>
      </w:r>
    </w:p>
  </w:footnote>
  <w:footnote w:id="50">
    <w:p w14:paraId="1E06B2FE" w14:textId="2EB233AE" w:rsidR="008930DE" w:rsidRPr="008930DE" w:rsidRDefault="008930DE">
      <w:pPr>
        <w:pStyle w:val="FootnoteText"/>
        <w:rPr>
          <w:lang w:val="en-IN"/>
        </w:rPr>
      </w:pPr>
      <w:r>
        <w:rPr>
          <w:rStyle w:val="FootnoteReference"/>
        </w:rPr>
        <w:footnoteRef/>
      </w:r>
      <w:r>
        <w:t xml:space="preserve"> </w:t>
      </w:r>
      <w:r>
        <w:rPr>
          <w:lang w:val="en-IN"/>
        </w:rPr>
        <w:t xml:space="preserve">Article 4 </w:t>
      </w:r>
      <w:r>
        <w:rPr>
          <w:lang w:val="en-IN"/>
        </w:rPr>
        <w:t xml:space="preserve">of the </w:t>
      </w:r>
      <w:r w:rsidRPr="008930DE">
        <w:rPr>
          <w:lang w:val="en-IN"/>
        </w:rPr>
        <w:t>EU Restructuring Directive of June 20 2019 (EU 2019/1023)</w:t>
      </w:r>
    </w:p>
  </w:footnote>
  <w:footnote w:id="51">
    <w:p w14:paraId="317C8736" w14:textId="6F446A62" w:rsidR="00880ABB" w:rsidRPr="00880ABB" w:rsidRDefault="00880ABB">
      <w:pPr>
        <w:pStyle w:val="FootnoteText"/>
        <w:rPr>
          <w:lang w:val="en-IN"/>
        </w:rPr>
      </w:pPr>
      <w:r>
        <w:rPr>
          <w:rStyle w:val="FootnoteReference"/>
        </w:rPr>
        <w:footnoteRef/>
      </w:r>
      <w:r>
        <w:t xml:space="preserve"> </w:t>
      </w:r>
      <w:r>
        <w:rPr>
          <w:lang w:val="en-IN"/>
        </w:rPr>
        <w:t>Idem, point no 48</w:t>
      </w:r>
    </w:p>
  </w:footnote>
  <w:footnote w:id="52">
    <w:p w14:paraId="6D91C9EE" w14:textId="7AA84D5F" w:rsidR="009A232C" w:rsidRPr="009A232C" w:rsidRDefault="009A232C">
      <w:pPr>
        <w:pStyle w:val="FootnoteText"/>
        <w:rPr>
          <w:lang w:val="en-IN"/>
        </w:rPr>
      </w:pPr>
      <w:r>
        <w:rPr>
          <w:rStyle w:val="FootnoteReference"/>
        </w:rPr>
        <w:footnoteRef/>
      </w:r>
      <w:r>
        <w:t xml:space="preserve"> </w:t>
      </w:r>
      <w:r>
        <w:rPr>
          <w:lang w:val="en-IN"/>
        </w:rPr>
        <w:t xml:space="preserve">Article </w:t>
      </w:r>
      <w:r>
        <w:rPr>
          <w:lang w:val="en-IN"/>
        </w:rPr>
        <w:t xml:space="preserve">1 </w:t>
      </w:r>
      <w:r>
        <w:rPr>
          <w:lang w:val="en-IN"/>
        </w:rPr>
        <w:t xml:space="preserve">of the </w:t>
      </w:r>
      <w:r w:rsidRPr="008930DE">
        <w:rPr>
          <w:lang w:val="en-IN"/>
        </w:rPr>
        <w:t>EU Restructuring Directive of June 20 2019 (EU 2019/1023)</w:t>
      </w:r>
    </w:p>
  </w:footnote>
  <w:footnote w:id="53">
    <w:p w14:paraId="4052D2B2" w14:textId="5848A6E3" w:rsidR="009A232C" w:rsidRPr="009A232C" w:rsidRDefault="009A232C">
      <w:pPr>
        <w:pStyle w:val="FootnoteText"/>
        <w:rPr>
          <w:lang w:val="en-IN"/>
        </w:rPr>
      </w:pPr>
      <w:r>
        <w:rPr>
          <w:rStyle w:val="FootnoteReference"/>
        </w:rPr>
        <w:footnoteRef/>
      </w:r>
      <w:r>
        <w:t xml:space="preserve"> </w:t>
      </w:r>
      <w:r>
        <w:rPr>
          <w:lang w:val="en-IN"/>
        </w:rPr>
        <w:t xml:space="preserve">Article </w:t>
      </w:r>
      <w:r>
        <w:rPr>
          <w:lang w:val="en-IN"/>
        </w:rPr>
        <w:t>2</w:t>
      </w:r>
      <w:r>
        <w:rPr>
          <w:lang w:val="en-IN"/>
        </w:rPr>
        <w:t xml:space="preserve"> of the </w:t>
      </w:r>
      <w:r w:rsidRPr="008930DE">
        <w:rPr>
          <w:lang w:val="en-IN"/>
        </w:rPr>
        <w:t>EU Restructuring Directive of June 20 2019 (EU 2019/1023)</w:t>
      </w:r>
    </w:p>
  </w:footnote>
  <w:footnote w:id="54">
    <w:p w14:paraId="61983F0C" w14:textId="6245F862" w:rsidR="009A232C" w:rsidRPr="009A232C" w:rsidRDefault="009A232C" w:rsidP="009A232C">
      <w:pPr>
        <w:pStyle w:val="FootnoteText"/>
        <w:rPr>
          <w:lang w:val="en-IN"/>
        </w:rPr>
      </w:pPr>
      <w:r>
        <w:rPr>
          <w:rStyle w:val="FootnoteReference"/>
        </w:rPr>
        <w:footnoteRef/>
      </w:r>
      <w:r>
        <w:t xml:space="preserve"> </w:t>
      </w:r>
      <w:r>
        <w:rPr>
          <w:lang w:val="en-IN"/>
        </w:rPr>
        <w:t xml:space="preserve">Article </w:t>
      </w:r>
      <w:r>
        <w:rPr>
          <w:lang w:val="en-IN"/>
        </w:rPr>
        <w:t xml:space="preserve">3 </w:t>
      </w:r>
      <w:r>
        <w:rPr>
          <w:lang w:val="en-IN"/>
        </w:rPr>
        <w:t xml:space="preserve">of the </w:t>
      </w:r>
      <w:r w:rsidRPr="008930DE">
        <w:rPr>
          <w:lang w:val="en-IN"/>
        </w:rPr>
        <w:t>EU Restructuring Directive of June 20 2019 (EU 2019/1023)</w:t>
      </w:r>
    </w:p>
    <w:p w14:paraId="7DE7611F" w14:textId="28B79111" w:rsidR="009A232C" w:rsidRPr="009A232C" w:rsidRDefault="009A232C">
      <w:pPr>
        <w:pStyle w:val="FootnoteText"/>
        <w:rPr>
          <w:lang w:val="en-IN"/>
        </w:rPr>
      </w:pPr>
    </w:p>
  </w:footnote>
  <w:footnote w:id="55">
    <w:p w14:paraId="7515571F" w14:textId="44CF390A" w:rsidR="0058681C" w:rsidRPr="009A232C" w:rsidRDefault="0058681C" w:rsidP="0058681C">
      <w:pPr>
        <w:pStyle w:val="FootnoteText"/>
        <w:rPr>
          <w:lang w:val="en-IN"/>
        </w:rPr>
      </w:pPr>
      <w:r>
        <w:rPr>
          <w:rStyle w:val="FootnoteReference"/>
        </w:rPr>
        <w:footnoteRef/>
      </w:r>
      <w:r>
        <w:t xml:space="preserve"> </w:t>
      </w:r>
      <w:r>
        <w:rPr>
          <w:lang w:val="en-IN"/>
        </w:rPr>
        <w:t xml:space="preserve">Article </w:t>
      </w:r>
      <w:r>
        <w:rPr>
          <w:lang w:val="en-IN"/>
        </w:rPr>
        <w:t>8</w:t>
      </w:r>
      <w:r>
        <w:rPr>
          <w:lang w:val="en-IN"/>
        </w:rPr>
        <w:t xml:space="preserve"> of the </w:t>
      </w:r>
      <w:r w:rsidRPr="008930DE">
        <w:rPr>
          <w:lang w:val="en-IN"/>
        </w:rPr>
        <w:t>EU Restructuring Directive of June 20 2019 (EU 2019/1023)</w:t>
      </w:r>
    </w:p>
    <w:p w14:paraId="3FE064B9" w14:textId="4EBC27E3" w:rsidR="0058681C" w:rsidRPr="0058681C" w:rsidRDefault="0058681C">
      <w:pPr>
        <w:pStyle w:val="FootnoteText"/>
        <w:rPr>
          <w:lang w:val="en-IN"/>
        </w:rPr>
      </w:pPr>
    </w:p>
  </w:footnote>
  <w:footnote w:id="56">
    <w:p w14:paraId="1F9E534B" w14:textId="586B5469" w:rsidR="00F877C2" w:rsidRPr="00F877C2" w:rsidRDefault="00F877C2">
      <w:pPr>
        <w:pStyle w:val="FootnoteText"/>
        <w:rPr>
          <w:lang w:val="en-IN"/>
        </w:rPr>
      </w:pPr>
      <w:r>
        <w:rPr>
          <w:rStyle w:val="FootnoteReference"/>
        </w:rPr>
        <w:footnoteRef/>
      </w:r>
      <w:r>
        <w:t xml:space="preserve"> </w:t>
      </w:r>
      <w:r w:rsidRPr="00F877C2">
        <w:rPr>
          <w:lang w:val="en-IN"/>
        </w:rPr>
        <w:t>CJEU </w:t>
      </w:r>
      <w:hyperlink r:id="rId4" w:history="1">
        <w:r w:rsidRPr="00F877C2">
          <w:rPr>
            <w:lang w:val="en-IN"/>
          </w:rPr>
          <w:t>Case C-341/04 [2006] ECR I- 3813</w:t>
        </w:r>
      </w:hyperlink>
      <w:r w:rsidRPr="00F877C2">
        <w:rPr>
          <w:lang w:val="en-IN"/>
        </w:rPr>
        <w:t> (2nd May 2006)</w:t>
      </w:r>
    </w:p>
  </w:footnote>
  <w:footnote w:id="57">
    <w:p w14:paraId="57E373A4" w14:textId="77777777" w:rsidR="00BF6E37" w:rsidRPr="00F877C2" w:rsidRDefault="00BF6E37" w:rsidP="00BF6E37">
      <w:pPr>
        <w:pStyle w:val="FootnoteText"/>
        <w:rPr>
          <w:lang w:val="en-IN"/>
        </w:rPr>
      </w:pPr>
      <w:r>
        <w:rPr>
          <w:rStyle w:val="FootnoteReference"/>
        </w:rPr>
        <w:footnoteRef/>
      </w:r>
      <w:r>
        <w:t xml:space="preserve"> </w:t>
      </w:r>
      <w:r w:rsidRPr="00F877C2">
        <w:rPr>
          <w:lang w:val="en-IN"/>
        </w:rPr>
        <w:t>CJEU </w:t>
      </w:r>
      <w:hyperlink r:id="rId5" w:history="1">
        <w:r w:rsidRPr="00F877C2">
          <w:rPr>
            <w:lang w:val="en-IN"/>
          </w:rPr>
          <w:t>Case C-341/04 [2006] ECR I- 3813</w:t>
        </w:r>
      </w:hyperlink>
      <w:r w:rsidRPr="00F877C2">
        <w:rPr>
          <w:lang w:val="en-IN"/>
        </w:rPr>
        <w:t> (2nd May 2006)</w:t>
      </w:r>
    </w:p>
    <w:p w14:paraId="6C64784B" w14:textId="4BD83D8F" w:rsidR="00BF6E37" w:rsidRPr="00BF6E37" w:rsidRDefault="00BF6E37" w:rsidP="00BF6E37">
      <w:pPr>
        <w:pStyle w:val="FootnoteText"/>
        <w:rPr>
          <w:lang w:val="en-IN"/>
        </w:rPr>
      </w:pPr>
      <w:r>
        <w:rPr>
          <w:rStyle w:val="FootnoteReference"/>
        </w:rPr>
        <w:footnoteRef/>
      </w:r>
      <w:r>
        <w:t xml:space="preserve"> </w:t>
      </w:r>
      <w:r>
        <w:rPr>
          <w:lang w:val="en-IN"/>
        </w:rPr>
        <w:t>Recital 6 of the EIR Recast 2015.</w:t>
      </w:r>
    </w:p>
  </w:footnote>
  <w:footnote w:id="58">
    <w:p w14:paraId="0D18593C" w14:textId="0858A7DD" w:rsidR="00BF6E37" w:rsidRPr="00BF6E37" w:rsidRDefault="00BF6E37">
      <w:pPr>
        <w:pStyle w:val="FootnoteText"/>
        <w:rPr>
          <w:lang w:val="en-IN"/>
        </w:rPr>
      </w:pPr>
      <w:r>
        <w:rPr>
          <w:rStyle w:val="FootnoteReference"/>
        </w:rPr>
        <w:footnoteRef/>
      </w:r>
      <w:r>
        <w:t xml:space="preserve"> </w:t>
      </w:r>
      <w:r>
        <w:rPr>
          <w:lang w:val="en-IN"/>
        </w:rPr>
        <w:t xml:space="preserve">Recital </w:t>
      </w:r>
      <w:r>
        <w:rPr>
          <w:lang w:val="en-IN"/>
        </w:rPr>
        <w:t xml:space="preserve">7 </w:t>
      </w:r>
      <w:r>
        <w:rPr>
          <w:lang w:val="en-IN"/>
        </w:rPr>
        <w:t>of the EIR Recast 2015</w:t>
      </w:r>
      <w:r>
        <w:rPr>
          <w:lang w:val="en-IN"/>
        </w:rPr>
        <w:t>.</w:t>
      </w:r>
    </w:p>
  </w:footnote>
  <w:footnote w:id="59">
    <w:p w14:paraId="70E8D2E5" w14:textId="65C0D9D0" w:rsidR="00BF6E37" w:rsidRPr="00BF6E37" w:rsidRDefault="00BF6E37">
      <w:pPr>
        <w:pStyle w:val="FootnoteText"/>
        <w:rPr>
          <w:lang w:val="en-IN"/>
        </w:rPr>
      </w:pPr>
      <w:r>
        <w:rPr>
          <w:rStyle w:val="FootnoteReference"/>
        </w:rPr>
        <w:footnoteRef/>
      </w:r>
      <w:r>
        <w:t xml:space="preserve"> </w:t>
      </w:r>
      <w:r>
        <w:rPr>
          <w:lang w:val="en-IN"/>
        </w:rPr>
        <w:t xml:space="preserve">Recital </w:t>
      </w:r>
      <w:r>
        <w:rPr>
          <w:lang w:val="en-IN"/>
        </w:rPr>
        <w:t>9</w:t>
      </w:r>
      <w:r>
        <w:rPr>
          <w:lang w:val="en-IN"/>
        </w:rPr>
        <w:t xml:space="preserve"> of the EIR Recast 2015</w:t>
      </w:r>
    </w:p>
  </w:footnote>
  <w:footnote w:id="60">
    <w:p w14:paraId="00C123DD" w14:textId="3C2CF2AB" w:rsidR="00BF6E37" w:rsidRPr="00BF6E37" w:rsidRDefault="00BF6E37">
      <w:pPr>
        <w:pStyle w:val="FootnoteText"/>
        <w:rPr>
          <w:lang w:val="en-IN"/>
        </w:rPr>
      </w:pPr>
      <w:r>
        <w:rPr>
          <w:rStyle w:val="FootnoteReference"/>
        </w:rPr>
        <w:footnoteRef/>
      </w:r>
      <w:r>
        <w:t xml:space="preserve"> </w:t>
      </w:r>
      <w:r w:rsidRPr="00BF6E37">
        <w:rPr>
          <w:i/>
          <w:iCs/>
          <w:lang w:val="en-IN"/>
        </w:rPr>
        <w:t>Ibid</w:t>
      </w:r>
    </w:p>
  </w:footnote>
  <w:footnote w:id="61">
    <w:p w14:paraId="4126BEF7" w14:textId="2A5D2C5B" w:rsidR="00BF6E37" w:rsidRPr="00BF6E37" w:rsidRDefault="00BF6E37">
      <w:pPr>
        <w:pStyle w:val="FootnoteText"/>
        <w:rPr>
          <w:lang w:val="en-IN"/>
        </w:rPr>
      </w:pPr>
      <w:r>
        <w:rPr>
          <w:rStyle w:val="FootnoteReference"/>
        </w:rPr>
        <w:footnoteRef/>
      </w:r>
      <w:r>
        <w:t xml:space="preserve"> </w:t>
      </w:r>
      <w:r>
        <w:rPr>
          <w:lang w:val="en-IN"/>
        </w:rPr>
        <w:t xml:space="preserve">Recital </w:t>
      </w:r>
      <w:r>
        <w:rPr>
          <w:lang w:val="en-IN"/>
        </w:rPr>
        <w:t>10</w:t>
      </w:r>
      <w:r>
        <w:rPr>
          <w:lang w:val="en-IN"/>
        </w:rPr>
        <w:t xml:space="preserve"> of the EIR Recast 2015</w:t>
      </w:r>
    </w:p>
  </w:footnote>
  <w:footnote w:id="62">
    <w:p w14:paraId="6352BB58" w14:textId="537B7513" w:rsidR="00BF6E37" w:rsidRPr="00BF6E37" w:rsidRDefault="00BF6E37">
      <w:pPr>
        <w:pStyle w:val="FootnoteText"/>
        <w:rPr>
          <w:lang w:val="en-IN"/>
        </w:rPr>
      </w:pPr>
      <w:r>
        <w:rPr>
          <w:rStyle w:val="FootnoteReference"/>
        </w:rPr>
        <w:footnoteRef/>
      </w:r>
      <w:r>
        <w:t xml:space="preserve"> </w:t>
      </w:r>
      <w:r>
        <w:rPr>
          <w:lang w:val="en-IN"/>
        </w:rPr>
        <w:t xml:space="preserve">Recital </w:t>
      </w:r>
      <w:r>
        <w:rPr>
          <w:lang w:val="en-IN"/>
        </w:rPr>
        <w:t xml:space="preserve">11 </w:t>
      </w:r>
      <w:r>
        <w:rPr>
          <w:lang w:val="en-IN"/>
        </w:rPr>
        <w:t>of the EIR Recast 2015</w:t>
      </w:r>
    </w:p>
  </w:footnote>
  <w:footnote w:id="63">
    <w:p w14:paraId="60AF9E2A" w14:textId="489F8279" w:rsidR="006F0614" w:rsidRPr="006F0614" w:rsidRDefault="006F0614">
      <w:pPr>
        <w:pStyle w:val="FootnoteText"/>
        <w:rPr>
          <w:lang w:val="en-IN"/>
        </w:rPr>
      </w:pPr>
      <w:r>
        <w:rPr>
          <w:rStyle w:val="FootnoteReference"/>
        </w:rPr>
        <w:footnoteRef/>
      </w:r>
      <w:r>
        <w:t xml:space="preserve"> </w:t>
      </w:r>
      <w:r>
        <w:rPr>
          <w:lang w:val="en-IN"/>
        </w:rPr>
        <w:t>Article 1(1)- Scope of the EIR Recast 2015</w:t>
      </w:r>
    </w:p>
  </w:footnote>
  <w:footnote w:id="64">
    <w:p w14:paraId="5542AD01" w14:textId="2CE37FF2" w:rsidR="00EB1BD6" w:rsidRPr="00EB1BD6" w:rsidRDefault="00EB1BD6">
      <w:pPr>
        <w:pStyle w:val="FootnoteText"/>
        <w:rPr>
          <w:lang w:val="en-IN"/>
        </w:rPr>
      </w:pPr>
      <w:r>
        <w:rPr>
          <w:rStyle w:val="FootnoteReference"/>
        </w:rPr>
        <w:footnoteRef/>
      </w:r>
      <w:r>
        <w:t xml:space="preserve"> </w:t>
      </w:r>
      <w:r>
        <w:rPr>
          <w:lang w:val="en-IN"/>
        </w:rPr>
        <w:t>Article 2(7) read with Article 2(8) of the EIR Recast 2015</w:t>
      </w:r>
    </w:p>
  </w:footnote>
  <w:footnote w:id="65">
    <w:p w14:paraId="58525620" w14:textId="40F8BB8F" w:rsidR="00207095" w:rsidRPr="00207095" w:rsidRDefault="00207095">
      <w:pPr>
        <w:pStyle w:val="FootnoteText"/>
        <w:rPr>
          <w:lang w:val="en-IN"/>
        </w:rPr>
      </w:pPr>
      <w:r>
        <w:rPr>
          <w:rStyle w:val="FootnoteReference"/>
        </w:rPr>
        <w:footnoteRef/>
      </w:r>
      <w:r>
        <w:t xml:space="preserve"> </w:t>
      </w:r>
      <w:r>
        <w:t>Burgo Group SpA v Illochroma SA in liquidation [2014] EU ECJ C327/13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55F"/>
    <w:multiLevelType w:val="hybridMultilevel"/>
    <w:tmpl w:val="062280BE"/>
    <w:lvl w:ilvl="0" w:tplc="D7C2E9DA">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21B5AF6"/>
    <w:multiLevelType w:val="hybridMultilevel"/>
    <w:tmpl w:val="54300E56"/>
    <w:lvl w:ilvl="0" w:tplc="47A63FFE">
      <w:start w:val="1"/>
      <w:numFmt w:val="decimal"/>
      <w:lvlText w:val="%1."/>
      <w:lvlJc w:val="left"/>
      <w:pPr>
        <w:ind w:left="720" w:hanging="36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7F706C"/>
    <w:multiLevelType w:val="hybridMultilevel"/>
    <w:tmpl w:val="BF62A8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054F56"/>
    <w:multiLevelType w:val="hybridMultilevel"/>
    <w:tmpl w:val="5A6674F8"/>
    <w:lvl w:ilvl="0" w:tplc="B5701A74">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1630E71"/>
    <w:multiLevelType w:val="hybridMultilevel"/>
    <w:tmpl w:val="091A9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3B0589A"/>
    <w:multiLevelType w:val="hybridMultilevel"/>
    <w:tmpl w:val="55284B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7C85343"/>
    <w:multiLevelType w:val="hybridMultilevel"/>
    <w:tmpl w:val="C062E35E"/>
    <w:lvl w:ilvl="0" w:tplc="53787296">
      <w:start w:val="1"/>
      <w:numFmt w:val="decimal"/>
      <w:lvlText w:val="%1."/>
      <w:lvlJc w:val="left"/>
      <w:pPr>
        <w:ind w:left="720"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694B3778"/>
    <w:multiLevelType w:val="hybridMultilevel"/>
    <w:tmpl w:val="AE2A2610"/>
    <w:lvl w:ilvl="0" w:tplc="B0240C04">
      <w:start w:val="1"/>
      <w:numFmt w:val="decimal"/>
      <w:lvlText w:val="%1."/>
      <w:lvlJc w:val="left"/>
      <w:pPr>
        <w:ind w:left="720" w:hanging="36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A9B0112"/>
    <w:multiLevelType w:val="hybridMultilevel"/>
    <w:tmpl w:val="5B90FF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CED057E"/>
    <w:multiLevelType w:val="hybridMultilevel"/>
    <w:tmpl w:val="A7E46B1A"/>
    <w:lvl w:ilvl="0" w:tplc="50F07E12">
      <w:start w:val="1"/>
      <w:numFmt w:val="decimal"/>
      <w:lvlText w:val="%1."/>
      <w:lvlJc w:val="left"/>
      <w:pPr>
        <w:ind w:left="720" w:hanging="360"/>
      </w:pPr>
      <w:rPr>
        <w:rFonts w:hint="default"/>
        <w:color w:val="808080" w:themeColor="background1" w:themeShade="8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5448160">
    <w:abstractNumId w:val="14"/>
  </w:num>
  <w:num w:numId="2" w16cid:durableId="492064570">
    <w:abstractNumId w:val="27"/>
  </w:num>
  <w:num w:numId="3" w16cid:durableId="245113248">
    <w:abstractNumId w:val="18"/>
  </w:num>
  <w:num w:numId="4" w16cid:durableId="657467693">
    <w:abstractNumId w:val="36"/>
  </w:num>
  <w:num w:numId="5" w16cid:durableId="960724207">
    <w:abstractNumId w:val="26"/>
  </w:num>
  <w:num w:numId="6" w16cid:durableId="1068266086">
    <w:abstractNumId w:val="30"/>
  </w:num>
  <w:num w:numId="7" w16cid:durableId="1917667435">
    <w:abstractNumId w:val="8"/>
  </w:num>
  <w:num w:numId="8" w16cid:durableId="646278527">
    <w:abstractNumId w:val="23"/>
  </w:num>
  <w:num w:numId="9" w16cid:durableId="1144542838">
    <w:abstractNumId w:val="21"/>
  </w:num>
  <w:num w:numId="10" w16cid:durableId="1560363053">
    <w:abstractNumId w:val="16"/>
  </w:num>
  <w:num w:numId="11" w16cid:durableId="1198392864">
    <w:abstractNumId w:val="25"/>
  </w:num>
  <w:num w:numId="12" w16cid:durableId="152643423">
    <w:abstractNumId w:val="3"/>
  </w:num>
  <w:num w:numId="13" w16cid:durableId="1336421480">
    <w:abstractNumId w:val="12"/>
  </w:num>
  <w:num w:numId="14" w16cid:durableId="841897963">
    <w:abstractNumId w:val="19"/>
  </w:num>
  <w:num w:numId="15" w16cid:durableId="1074814151">
    <w:abstractNumId w:val="17"/>
  </w:num>
  <w:num w:numId="16" w16cid:durableId="385102001">
    <w:abstractNumId w:val="11"/>
  </w:num>
  <w:num w:numId="17" w16cid:durableId="87194298">
    <w:abstractNumId w:val="14"/>
  </w:num>
  <w:num w:numId="18" w16cid:durableId="1148978361">
    <w:abstractNumId w:val="4"/>
  </w:num>
  <w:num w:numId="19" w16cid:durableId="13847308">
    <w:abstractNumId w:val="1"/>
  </w:num>
  <w:num w:numId="20" w16cid:durableId="593056432">
    <w:abstractNumId w:val="7"/>
  </w:num>
  <w:num w:numId="21" w16cid:durableId="856969897">
    <w:abstractNumId w:val="1"/>
  </w:num>
  <w:num w:numId="22" w16cid:durableId="224680635">
    <w:abstractNumId w:val="9"/>
  </w:num>
  <w:num w:numId="23" w16cid:durableId="522134174">
    <w:abstractNumId w:val="29"/>
  </w:num>
  <w:num w:numId="24" w16cid:durableId="996229380">
    <w:abstractNumId w:val="31"/>
  </w:num>
  <w:num w:numId="25" w16cid:durableId="28336169">
    <w:abstractNumId w:val="6"/>
  </w:num>
  <w:num w:numId="26" w16cid:durableId="1119832442">
    <w:abstractNumId w:val="37"/>
  </w:num>
  <w:num w:numId="27" w16cid:durableId="509952439">
    <w:abstractNumId w:val="10"/>
  </w:num>
  <w:num w:numId="28" w16cid:durableId="1530490752">
    <w:abstractNumId w:val="2"/>
  </w:num>
  <w:num w:numId="29" w16cid:durableId="977298915">
    <w:abstractNumId w:val="13"/>
  </w:num>
  <w:num w:numId="30" w16cid:durableId="203643773">
    <w:abstractNumId w:val="33"/>
  </w:num>
  <w:num w:numId="31" w16cid:durableId="1550876663">
    <w:abstractNumId w:val="0"/>
  </w:num>
  <w:num w:numId="32" w16cid:durableId="1107231918">
    <w:abstractNumId w:val="32"/>
  </w:num>
  <w:num w:numId="33" w16cid:durableId="306400850">
    <w:abstractNumId w:val="5"/>
  </w:num>
  <w:num w:numId="34" w16cid:durableId="1976793871">
    <w:abstractNumId w:val="35"/>
  </w:num>
  <w:num w:numId="35" w16cid:durableId="778372243">
    <w:abstractNumId w:val="34"/>
  </w:num>
  <w:num w:numId="36" w16cid:durableId="2029678755">
    <w:abstractNumId w:val="20"/>
  </w:num>
  <w:num w:numId="37" w16cid:durableId="1972246440">
    <w:abstractNumId w:val="24"/>
  </w:num>
  <w:num w:numId="38" w16cid:durableId="663045663">
    <w:abstractNumId w:val="15"/>
  </w:num>
  <w:num w:numId="39" w16cid:durableId="1487552629">
    <w:abstractNumId w:val="22"/>
  </w:num>
  <w:num w:numId="40" w16cid:durableId="201556707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0CD9"/>
    <w:rsid w:val="0001344B"/>
    <w:rsid w:val="00014445"/>
    <w:rsid w:val="00016162"/>
    <w:rsid w:val="000201C7"/>
    <w:rsid w:val="00020557"/>
    <w:rsid w:val="000250C7"/>
    <w:rsid w:val="00026F16"/>
    <w:rsid w:val="00031424"/>
    <w:rsid w:val="00032D79"/>
    <w:rsid w:val="00037621"/>
    <w:rsid w:val="00037C3D"/>
    <w:rsid w:val="00041B32"/>
    <w:rsid w:val="00044D46"/>
    <w:rsid w:val="00045088"/>
    <w:rsid w:val="00045904"/>
    <w:rsid w:val="000473E4"/>
    <w:rsid w:val="00054E15"/>
    <w:rsid w:val="000551BA"/>
    <w:rsid w:val="00062FF3"/>
    <w:rsid w:val="00065166"/>
    <w:rsid w:val="00067311"/>
    <w:rsid w:val="000771CF"/>
    <w:rsid w:val="000778F9"/>
    <w:rsid w:val="00082609"/>
    <w:rsid w:val="000851CC"/>
    <w:rsid w:val="00087CD6"/>
    <w:rsid w:val="00091FE8"/>
    <w:rsid w:val="00093023"/>
    <w:rsid w:val="00093BE8"/>
    <w:rsid w:val="00095EB8"/>
    <w:rsid w:val="000A1C66"/>
    <w:rsid w:val="000A21C1"/>
    <w:rsid w:val="000A3BC8"/>
    <w:rsid w:val="000A495E"/>
    <w:rsid w:val="000A68ED"/>
    <w:rsid w:val="000A7BF9"/>
    <w:rsid w:val="000B3666"/>
    <w:rsid w:val="000B5FF1"/>
    <w:rsid w:val="000B609F"/>
    <w:rsid w:val="000C1767"/>
    <w:rsid w:val="000C6BB5"/>
    <w:rsid w:val="000C70FB"/>
    <w:rsid w:val="000D3754"/>
    <w:rsid w:val="000D55A8"/>
    <w:rsid w:val="000D75B1"/>
    <w:rsid w:val="000E04B4"/>
    <w:rsid w:val="000E4841"/>
    <w:rsid w:val="000E577B"/>
    <w:rsid w:val="000E7F14"/>
    <w:rsid w:val="000F1677"/>
    <w:rsid w:val="000F3D6C"/>
    <w:rsid w:val="000F4A14"/>
    <w:rsid w:val="000F63B6"/>
    <w:rsid w:val="00101707"/>
    <w:rsid w:val="00101740"/>
    <w:rsid w:val="00111CA1"/>
    <w:rsid w:val="00113E29"/>
    <w:rsid w:val="0011473D"/>
    <w:rsid w:val="0011548B"/>
    <w:rsid w:val="00115C85"/>
    <w:rsid w:val="00123070"/>
    <w:rsid w:val="00123855"/>
    <w:rsid w:val="00126A4D"/>
    <w:rsid w:val="00130E63"/>
    <w:rsid w:val="001342E7"/>
    <w:rsid w:val="00137E94"/>
    <w:rsid w:val="0014171F"/>
    <w:rsid w:val="0014622C"/>
    <w:rsid w:val="00152348"/>
    <w:rsid w:val="0015456D"/>
    <w:rsid w:val="001557A7"/>
    <w:rsid w:val="00155FA2"/>
    <w:rsid w:val="00161F1B"/>
    <w:rsid w:val="00162829"/>
    <w:rsid w:val="00174DC4"/>
    <w:rsid w:val="00175A7D"/>
    <w:rsid w:val="00180548"/>
    <w:rsid w:val="00180AC4"/>
    <w:rsid w:val="00180CCE"/>
    <w:rsid w:val="0018267A"/>
    <w:rsid w:val="00182779"/>
    <w:rsid w:val="00182CFB"/>
    <w:rsid w:val="001830DF"/>
    <w:rsid w:val="00183ED8"/>
    <w:rsid w:val="001851AC"/>
    <w:rsid w:val="00187A34"/>
    <w:rsid w:val="001966D9"/>
    <w:rsid w:val="001A0D52"/>
    <w:rsid w:val="001A68CC"/>
    <w:rsid w:val="001A7E9A"/>
    <w:rsid w:val="001B0F70"/>
    <w:rsid w:val="001B41BE"/>
    <w:rsid w:val="001B5016"/>
    <w:rsid w:val="001B6DDC"/>
    <w:rsid w:val="001C19DE"/>
    <w:rsid w:val="001C45FC"/>
    <w:rsid w:val="001C4CE6"/>
    <w:rsid w:val="001C510A"/>
    <w:rsid w:val="001C7FED"/>
    <w:rsid w:val="001D0469"/>
    <w:rsid w:val="001D257C"/>
    <w:rsid w:val="001D29E7"/>
    <w:rsid w:val="001D4862"/>
    <w:rsid w:val="001D5317"/>
    <w:rsid w:val="001D6E1C"/>
    <w:rsid w:val="001E25B9"/>
    <w:rsid w:val="001E49E0"/>
    <w:rsid w:val="001E5F8A"/>
    <w:rsid w:val="001E7B5A"/>
    <w:rsid w:val="001E7DDE"/>
    <w:rsid w:val="001F0515"/>
    <w:rsid w:val="001F256C"/>
    <w:rsid w:val="001F7412"/>
    <w:rsid w:val="00202DFE"/>
    <w:rsid w:val="00203720"/>
    <w:rsid w:val="00207095"/>
    <w:rsid w:val="0020725B"/>
    <w:rsid w:val="002110F1"/>
    <w:rsid w:val="002123B9"/>
    <w:rsid w:val="00213028"/>
    <w:rsid w:val="00214441"/>
    <w:rsid w:val="00222750"/>
    <w:rsid w:val="00222FB5"/>
    <w:rsid w:val="00230081"/>
    <w:rsid w:val="00237B2D"/>
    <w:rsid w:val="0024116D"/>
    <w:rsid w:val="00241B44"/>
    <w:rsid w:val="00241FA3"/>
    <w:rsid w:val="00244C44"/>
    <w:rsid w:val="00245EFB"/>
    <w:rsid w:val="00252337"/>
    <w:rsid w:val="0025386E"/>
    <w:rsid w:val="00260052"/>
    <w:rsid w:val="002638B0"/>
    <w:rsid w:val="0026647A"/>
    <w:rsid w:val="002668D3"/>
    <w:rsid w:val="00270A58"/>
    <w:rsid w:val="0027299F"/>
    <w:rsid w:val="002729AB"/>
    <w:rsid w:val="0028338A"/>
    <w:rsid w:val="00284EBE"/>
    <w:rsid w:val="0029433F"/>
    <w:rsid w:val="00294829"/>
    <w:rsid w:val="0029690F"/>
    <w:rsid w:val="00297C8A"/>
    <w:rsid w:val="002A10A2"/>
    <w:rsid w:val="002A2A60"/>
    <w:rsid w:val="002A3641"/>
    <w:rsid w:val="002A37BB"/>
    <w:rsid w:val="002A4B48"/>
    <w:rsid w:val="002A68D3"/>
    <w:rsid w:val="002A6AC8"/>
    <w:rsid w:val="002B1C45"/>
    <w:rsid w:val="002B543B"/>
    <w:rsid w:val="002C13C8"/>
    <w:rsid w:val="002C3547"/>
    <w:rsid w:val="002D0021"/>
    <w:rsid w:val="002D1A0F"/>
    <w:rsid w:val="002D1DBE"/>
    <w:rsid w:val="002D3473"/>
    <w:rsid w:val="002D4D99"/>
    <w:rsid w:val="002D5070"/>
    <w:rsid w:val="002D7736"/>
    <w:rsid w:val="002D7F42"/>
    <w:rsid w:val="002E1B2B"/>
    <w:rsid w:val="002E1DD9"/>
    <w:rsid w:val="002E4CF1"/>
    <w:rsid w:val="002F1956"/>
    <w:rsid w:val="002F33C1"/>
    <w:rsid w:val="002F3440"/>
    <w:rsid w:val="002F4423"/>
    <w:rsid w:val="002F5B89"/>
    <w:rsid w:val="002F6147"/>
    <w:rsid w:val="002F75A3"/>
    <w:rsid w:val="00302D76"/>
    <w:rsid w:val="00303C2F"/>
    <w:rsid w:val="00304354"/>
    <w:rsid w:val="003144EF"/>
    <w:rsid w:val="003174FF"/>
    <w:rsid w:val="00322E87"/>
    <w:rsid w:val="003252C2"/>
    <w:rsid w:val="00326292"/>
    <w:rsid w:val="00326415"/>
    <w:rsid w:val="00327799"/>
    <w:rsid w:val="00330849"/>
    <w:rsid w:val="00330937"/>
    <w:rsid w:val="00330F31"/>
    <w:rsid w:val="00331480"/>
    <w:rsid w:val="00334648"/>
    <w:rsid w:val="0033768C"/>
    <w:rsid w:val="00337938"/>
    <w:rsid w:val="00340769"/>
    <w:rsid w:val="00341AA6"/>
    <w:rsid w:val="0034705B"/>
    <w:rsid w:val="003525B6"/>
    <w:rsid w:val="00354E85"/>
    <w:rsid w:val="0035513F"/>
    <w:rsid w:val="00361A0A"/>
    <w:rsid w:val="00364836"/>
    <w:rsid w:val="003650E5"/>
    <w:rsid w:val="0036565C"/>
    <w:rsid w:val="0036625E"/>
    <w:rsid w:val="00366415"/>
    <w:rsid w:val="00372A3B"/>
    <w:rsid w:val="0037465A"/>
    <w:rsid w:val="00374C03"/>
    <w:rsid w:val="00375D11"/>
    <w:rsid w:val="00376451"/>
    <w:rsid w:val="00382C98"/>
    <w:rsid w:val="0038533C"/>
    <w:rsid w:val="00386568"/>
    <w:rsid w:val="003908E1"/>
    <w:rsid w:val="00390B57"/>
    <w:rsid w:val="003912B6"/>
    <w:rsid w:val="003948D5"/>
    <w:rsid w:val="00396821"/>
    <w:rsid w:val="00397D3A"/>
    <w:rsid w:val="003A051E"/>
    <w:rsid w:val="003A17F9"/>
    <w:rsid w:val="003A1BF3"/>
    <w:rsid w:val="003B07B5"/>
    <w:rsid w:val="003B0A27"/>
    <w:rsid w:val="003B170F"/>
    <w:rsid w:val="003B2D3C"/>
    <w:rsid w:val="003B3C5F"/>
    <w:rsid w:val="003C4342"/>
    <w:rsid w:val="003C4471"/>
    <w:rsid w:val="003C47B8"/>
    <w:rsid w:val="003C4BCB"/>
    <w:rsid w:val="003C6E8A"/>
    <w:rsid w:val="003D0A6D"/>
    <w:rsid w:val="003D17A2"/>
    <w:rsid w:val="003D1974"/>
    <w:rsid w:val="003D4A79"/>
    <w:rsid w:val="003E0B16"/>
    <w:rsid w:val="003E20AF"/>
    <w:rsid w:val="003E2FB3"/>
    <w:rsid w:val="003E4DB0"/>
    <w:rsid w:val="003E544E"/>
    <w:rsid w:val="003E67D1"/>
    <w:rsid w:val="00401577"/>
    <w:rsid w:val="00402B54"/>
    <w:rsid w:val="00404329"/>
    <w:rsid w:val="00405DC1"/>
    <w:rsid w:val="00415F1F"/>
    <w:rsid w:val="004202D2"/>
    <w:rsid w:val="0042108F"/>
    <w:rsid w:val="00430FED"/>
    <w:rsid w:val="00434A8C"/>
    <w:rsid w:val="00437297"/>
    <w:rsid w:val="004423B9"/>
    <w:rsid w:val="00444284"/>
    <w:rsid w:val="0044574C"/>
    <w:rsid w:val="00445CE6"/>
    <w:rsid w:val="004534C2"/>
    <w:rsid w:val="0045446F"/>
    <w:rsid w:val="0045683E"/>
    <w:rsid w:val="00457213"/>
    <w:rsid w:val="00457CA3"/>
    <w:rsid w:val="00465BFF"/>
    <w:rsid w:val="00465FC1"/>
    <w:rsid w:val="00470681"/>
    <w:rsid w:val="00473E90"/>
    <w:rsid w:val="00477C72"/>
    <w:rsid w:val="004809D4"/>
    <w:rsid w:val="00491675"/>
    <w:rsid w:val="00493855"/>
    <w:rsid w:val="00495E79"/>
    <w:rsid w:val="0049649C"/>
    <w:rsid w:val="00496AB7"/>
    <w:rsid w:val="004A0692"/>
    <w:rsid w:val="004A1908"/>
    <w:rsid w:val="004A57DD"/>
    <w:rsid w:val="004A7B51"/>
    <w:rsid w:val="004A7D71"/>
    <w:rsid w:val="004A7EF3"/>
    <w:rsid w:val="004B11FD"/>
    <w:rsid w:val="004B23A2"/>
    <w:rsid w:val="004C0D03"/>
    <w:rsid w:val="004C0D33"/>
    <w:rsid w:val="004C1FF6"/>
    <w:rsid w:val="004C2399"/>
    <w:rsid w:val="004C595F"/>
    <w:rsid w:val="004D0F0C"/>
    <w:rsid w:val="004D1A5A"/>
    <w:rsid w:val="004D22BE"/>
    <w:rsid w:val="004D2FFF"/>
    <w:rsid w:val="004D3721"/>
    <w:rsid w:val="004D64F9"/>
    <w:rsid w:val="004E078E"/>
    <w:rsid w:val="004E2395"/>
    <w:rsid w:val="004E3A6B"/>
    <w:rsid w:val="004E622C"/>
    <w:rsid w:val="004E7E9B"/>
    <w:rsid w:val="004F4245"/>
    <w:rsid w:val="004F4AF9"/>
    <w:rsid w:val="004F57D5"/>
    <w:rsid w:val="004F5FDF"/>
    <w:rsid w:val="005170EA"/>
    <w:rsid w:val="00517513"/>
    <w:rsid w:val="005177FE"/>
    <w:rsid w:val="0052263B"/>
    <w:rsid w:val="00522A74"/>
    <w:rsid w:val="00524728"/>
    <w:rsid w:val="00524B92"/>
    <w:rsid w:val="0052675C"/>
    <w:rsid w:val="00527ABB"/>
    <w:rsid w:val="005308C2"/>
    <w:rsid w:val="00530CED"/>
    <w:rsid w:val="005331CA"/>
    <w:rsid w:val="00537970"/>
    <w:rsid w:val="00540E3A"/>
    <w:rsid w:val="005416CB"/>
    <w:rsid w:val="00543638"/>
    <w:rsid w:val="00544127"/>
    <w:rsid w:val="00544F6E"/>
    <w:rsid w:val="005463A9"/>
    <w:rsid w:val="00553EB2"/>
    <w:rsid w:val="005563E9"/>
    <w:rsid w:val="00560534"/>
    <w:rsid w:val="0056391B"/>
    <w:rsid w:val="005650E2"/>
    <w:rsid w:val="00566942"/>
    <w:rsid w:val="00567AD7"/>
    <w:rsid w:val="00573C7A"/>
    <w:rsid w:val="00575B2D"/>
    <w:rsid w:val="00577FEB"/>
    <w:rsid w:val="005833D0"/>
    <w:rsid w:val="005846F3"/>
    <w:rsid w:val="00584AFB"/>
    <w:rsid w:val="0058622F"/>
    <w:rsid w:val="0058681C"/>
    <w:rsid w:val="005870CF"/>
    <w:rsid w:val="00591280"/>
    <w:rsid w:val="00592F82"/>
    <w:rsid w:val="00597F18"/>
    <w:rsid w:val="005A0CCA"/>
    <w:rsid w:val="005A4C75"/>
    <w:rsid w:val="005A5725"/>
    <w:rsid w:val="005A726D"/>
    <w:rsid w:val="005B67AC"/>
    <w:rsid w:val="005B79F4"/>
    <w:rsid w:val="005B7C95"/>
    <w:rsid w:val="005D2CD6"/>
    <w:rsid w:val="005D43E0"/>
    <w:rsid w:val="005D58A3"/>
    <w:rsid w:val="005D77DA"/>
    <w:rsid w:val="005E1B79"/>
    <w:rsid w:val="005E3FA0"/>
    <w:rsid w:val="005E7008"/>
    <w:rsid w:val="005E784A"/>
    <w:rsid w:val="005F026D"/>
    <w:rsid w:val="005F19C3"/>
    <w:rsid w:val="005F2AEA"/>
    <w:rsid w:val="005F2D0B"/>
    <w:rsid w:val="005F4B31"/>
    <w:rsid w:val="005F5627"/>
    <w:rsid w:val="00600295"/>
    <w:rsid w:val="006048C0"/>
    <w:rsid w:val="006065A7"/>
    <w:rsid w:val="00610388"/>
    <w:rsid w:val="00610526"/>
    <w:rsid w:val="00611DE6"/>
    <w:rsid w:val="00612CA5"/>
    <w:rsid w:val="006153EC"/>
    <w:rsid w:val="00616566"/>
    <w:rsid w:val="00620DD2"/>
    <w:rsid w:val="00621A17"/>
    <w:rsid w:val="00624BCB"/>
    <w:rsid w:val="00624E8F"/>
    <w:rsid w:val="00627CC9"/>
    <w:rsid w:val="00627DE9"/>
    <w:rsid w:val="00627E7B"/>
    <w:rsid w:val="00630542"/>
    <w:rsid w:val="006323FB"/>
    <w:rsid w:val="0063292A"/>
    <w:rsid w:val="00632E44"/>
    <w:rsid w:val="00634622"/>
    <w:rsid w:val="00636808"/>
    <w:rsid w:val="00636C15"/>
    <w:rsid w:val="00637D6D"/>
    <w:rsid w:val="00640E7B"/>
    <w:rsid w:val="00641515"/>
    <w:rsid w:val="00651AEE"/>
    <w:rsid w:val="00654B27"/>
    <w:rsid w:val="00654C2F"/>
    <w:rsid w:val="006562AA"/>
    <w:rsid w:val="00656DA7"/>
    <w:rsid w:val="00657087"/>
    <w:rsid w:val="006603F1"/>
    <w:rsid w:val="00662232"/>
    <w:rsid w:val="00662299"/>
    <w:rsid w:val="0066320D"/>
    <w:rsid w:val="006639DB"/>
    <w:rsid w:val="006661EF"/>
    <w:rsid w:val="006723E9"/>
    <w:rsid w:val="006729F9"/>
    <w:rsid w:val="00675B5C"/>
    <w:rsid w:val="006776C9"/>
    <w:rsid w:val="00677AEB"/>
    <w:rsid w:val="00680EF2"/>
    <w:rsid w:val="00686DBC"/>
    <w:rsid w:val="00687A1D"/>
    <w:rsid w:val="00692AFB"/>
    <w:rsid w:val="00693EB7"/>
    <w:rsid w:val="00696ED8"/>
    <w:rsid w:val="00697EA1"/>
    <w:rsid w:val="006A2646"/>
    <w:rsid w:val="006A6530"/>
    <w:rsid w:val="006B435A"/>
    <w:rsid w:val="006B4C64"/>
    <w:rsid w:val="006B7003"/>
    <w:rsid w:val="006C4FAA"/>
    <w:rsid w:val="006D217A"/>
    <w:rsid w:val="006D6BD5"/>
    <w:rsid w:val="006E481A"/>
    <w:rsid w:val="006E5287"/>
    <w:rsid w:val="006E5298"/>
    <w:rsid w:val="006E6D8C"/>
    <w:rsid w:val="006F0106"/>
    <w:rsid w:val="006F0614"/>
    <w:rsid w:val="006F07AA"/>
    <w:rsid w:val="006F0E84"/>
    <w:rsid w:val="006F2B12"/>
    <w:rsid w:val="006F3817"/>
    <w:rsid w:val="006F4A78"/>
    <w:rsid w:val="006F734A"/>
    <w:rsid w:val="00700D83"/>
    <w:rsid w:val="0070433D"/>
    <w:rsid w:val="00704852"/>
    <w:rsid w:val="007074E9"/>
    <w:rsid w:val="00710018"/>
    <w:rsid w:val="00713DA4"/>
    <w:rsid w:val="00713E8B"/>
    <w:rsid w:val="00714BF1"/>
    <w:rsid w:val="00721383"/>
    <w:rsid w:val="0072254E"/>
    <w:rsid w:val="007232EE"/>
    <w:rsid w:val="0073158B"/>
    <w:rsid w:val="007333CC"/>
    <w:rsid w:val="0073399A"/>
    <w:rsid w:val="007409DF"/>
    <w:rsid w:val="00741A67"/>
    <w:rsid w:val="00742C29"/>
    <w:rsid w:val="00742E9B"/>
    <w:rsid w:val="0074349B"/>
    <w:rsid w:val="00745D6F"/>
    <w:rsid w:val="00753AC3"/>
    <w:rsid w:val="007603F5"/>
    <w:rsid w:val="00764DB0"/>
    <w:rsid w:val="007665C0"/>
    <w:rsid w:val="0076764D"/>
    <w:rsid w:val="0077498C"/>
    <w:rsid w:val="007772BD"/>
    <w:rsid w:val="007809BC"/>
    <w:rsid w:val="0078187B"/>
    <w:rsid w:val="00781E46"/>
    <w:rsid w:val="00782DF0"/>
    <w:rsid w:val="00782EE1"/>
    <w:rsid w:val="00784128"/>
    <w:rsid w:val="007866CA"/>
    <w:rsid w:val="00791C8E"/>
    <w:rsid w:val="007927A4"/>
    <w:rsid w:val="00792E1E"/>
    <w:rsid w:val="00793173"/>
    <w:rsid w:val="00795886"/>
    <w:rsid w:val="007A107A"/>
    <w:rsid w:val="007A2A33"/>
    <w:rsid w:val="007A6B8D"/>
    <w:rsid w:val="007A7409"/>
    <w:rsid w:val="007A7B20"/>
    <w:rsid w:val="007B1844"/>
    <w:rsid w:val="007B5DD3"/>
    <w:rsid w:val="007C1FCC"/>
    <w:rsid w:val="007C2121"/>
    <w:rsid w:val="007C50AA"/>
    <w:rsid w:val="007C6201"/>
    <w:rsid w:val="007D2029"/>
    <w:rsid w:val="007D444D"/>
    <w:rsid w:val="007D47A0"/>
    <w:rsid w:val="007D7C92"/>
    <w:rsid w:val="007E1154"/>
    <w:rsid w:val="007E39B3"/>
    <w:rsid w:val="007E44C4"/>
    <w:rsid w:val="007E5059"/>
    <w:rsid w:val="007E61AE"/>
    <w:rsid w:val="007E6BA4"/>
    <w:rsid w:val="007F2C04"/>
    <w:rsid w:val="007F41F8"/>
    <w:rsid w:val="007F4926"/>
    <w:rsid w:val="007F6A57"/>
    <w:rsid w:val="00800B1B"/>
    <w:rsid w:val="00800B76"/>
    <w:rsid w:val="008017F0"/>
    <w:rsid w:val="0080454E"/>
    <w:rsid w:val="008046DC"/>
    <w:rsid w:val="008047E5"/>
    <w:rsid w:val="00804C32"/>
    <w:rsid w:val="00804DA6"/>
    <w:rsid w:val="00805864"/>
    <w:rsid w:val="00805891"/>
    <w:rsid w:val="0080627E"/>
    <w:rsid w:val="00806302"/>
    <w:rsid w:val="00807119"/>
    <w:rsid w:val="0081639B"/>
    <w:rsid w:val="0082424D"/>
    <w:rsid w:val="00824413"/>
    <w:rsid w:val="0082483F"/>
    <w:rsid w:val="008279C0"/>
    <w:rsid w:val="00833293"/>
    <w:rsid w:val="00835422"/>
    <w:rsid w:val="00835E28"/>
    <w:rsid w:val="00837ADC"/>
    <w:rsid w:val="00841051"/>
    <w:rsid w:val="008500BD"/>
    <w:rsid w:val="00854D44"/>
    <w:rsid w:val="00857862"/>
    <w:rsid w:val="00860653"/>
    <w:rsid w:val="00860723"/>
    <w:rsid w:val="00864593"/>
    <w:rsid w:val="0086548F"/>
    <w:rsid w:val="008723F3"/>
    <w:rsid w:val="00874240"/>
    <w:rsid w:val="00880ABB"/>
    <w:rsid w:val="00881DE6"/>
    <w:rsid w:val="00882501"/>
    <w:rsid w:val="00882ECD"/>
    <w:rsid w:val="008837A6"/>
    <w:rsid w:val="00890E51"/>
    <w:rsid w:val="0089145D"/>
    <w:rsid w:val="008930DE"/>
    <w:rsid w:val="0089362E"/>
    <w:rsid w:val="00894C1D"/>
    <w:rsid w:val="00897A78"/>
    <w:rsid w:val="008A4DF2"/>
    <w:rsid w:val="008A6CFE"/>
    <w:rsid w:val="008B21DB"/>
    <w:rsid w:val="008B5333"/>
    <w:rsid w:val="008B6223"/>
    <w:rsid w:val="008B7D89"/>
    <w:rsid w:val="008C385B"/>
    <w:rsid w:val="008C4AC6"/>
    <w:rsid w:val="008C5BC5"/>
    <w:rsid w:val="008C66E0"/>
    <w:rsid w:val="008C7CB0"/>
    <w:rsid w:val="008D37C6"/>
    <w:rsid w:val="008D6048"/>
    <w:rsid w:val="008D62F7"/>
    <w:rsid w:val="008D6A38"/>
    <w:rsid w:val="008D70EB"/>
    <w:rsid w:val="008E0EC8"/>
    <w:rsid w:val="008E3339"/>
    <w:rsid w:val="008E3C96"/>
    <w:rsid w:val="008E7371"/>
    <w:rsid w:val="008F20FC"/>
    <w:rsid w:val="008F5FFE"/>
    <w:rsid w:val="0090360E"/>
    <w:rsid w:val="00905A43"/>
    <w:rsid w:val="00912C79"/>
    <w:rsid w:val="00914A23"/>
    <w:rsid w:val="00916223"/>
    <w:rsid w:val="00916F7B"/>
    <w:rsid w:val="00917DD4"/>
    <w:rsid w:val="0092278D"/>
    <w:rsid w:val="00926C98"/>
    <w:rsid w:val="00926CCC"/>
    <w:rsid w:val="00934B94"/>
    <w:rsid w:val="00935A21"/>
    <w:rsid w:val="00942123"/>
    <w:rsid w:val="00946098"/>
    <w:rsid w:val="0095003E"/>
    <w:rsid w:val="0095207B"/>
    <w:rsid w:val="0095549F"/>
    <w:rsid w:val="009613F7"/>
    <w:rsid w:val="00962045"/>
    <w:rsid w:val="009657AE"/>
    <w:rsid w:val="00966D5B"/>
    <w:rsid w:val="00967219"/>
    <w:rsid w:val="00971896"/>
    <w:rsid w:val="00973DEA"/>
    <w:rsid w:val="00976EDA"/>
    <w:rsid w:val="00980E61"/>
    <w:rsid w:val="00982DFC"/>
    <w:rsid w:val="00991428"/>
    <w:rsid w:val="00992676"/>
    <w:rsid w:val="009954B2"/>
    <w:rsid w:val="00996691"/>
    <w:rsid w:val="00996918"/>
    <w:rsid w:val="009A232C"/>
    <w:rsid w:val="009A4E29"/>
    <w:rsid w:val="009A653B"/>
    <w:rsid w:val="009A705E"/>
    <w:rsid w:val="009A7299"/>
    <w:rsid w:val="009B0723"/>
    <w:rsid w:val="009B07AD"/>
    <w:rsid w:val="009B0883"/>
    <w:rsid w:val="009B15E2"/>
    <w:rsid w:val="009B16A5"/>
    <w:rsid w:val="009B2067"/>
    <w:rsid w:val="009B4976"/>
    <w:rsid w:val="009B6B00"/>
    <w:rsid w:val="009C0B8E"/>
    <w:rsid w:val="009C1BC8"/>
    <w:rsid w:val="009C2442"/>
    <w:rsid w:val="009C298D"/>
    <w:rsid w:val="009C3FEF"/>
    <w:rsid w:val="009C5E52"/>
    <w:rsid w:val="009D0811"/>
    <w:rsid w:val="009D0EE1"/>
    <w:rsid w:val="009D4253"/>
    <w:rsid w:val="009D4E31"/>
    <w:rsid w:val="009D64EB"/>
    <w:rsid w:val="009D6575"/>
    <w:rsid w:val="009E26CC"/>
    <w:rsid w:val="009E2AEB"/>
    <w:rsid w:val="009E2E27"/>
    <w:rsid w:val="009E3337"/>
    <w:rsid w:val="009E39B2"/>
    <w:rsid w:val="009E4DE3"/>
    <w:rsid w:val="009F275E"/>
    <w:rsid w:val="009F47E1"/>
    <w:rsid w:val="009F63A5"/>
    <w:rsid w:val="00A047EE"/>
    <w:rsid w:val="00A07E6F"/>
    <w:rsid w:val="00A11E80"/>
    <w:rsid w:val="00A15C7C"/>
    <w:rsid w:val="00A16616"/>
    <w:rsid w:val="00A17858"/>
    <w:rsid w:val="00A2274A"/>
    <w:rsid w:val="00A235B7"/>
    <w:rsid w:val="00A265B3"/>
    <w:rsid w:val="00A26868"/>
    <w:rsid w:val="00A27895"/>
    <w:rsid w:val="00A27A7A"/>
    <w:rsid w:val="00A33691"/>
    <w:rsid w:val="00A33FA6"/>
    <w:rsid w:val="00A34568"/>
    <w:rsid w:val="00A36803"/>
    <w:rsid w:val="00A407EF"/>
    <w:rsid w:val="00A40E1A"/>
    <w:rsid w:val="00A42826"/>
    <w:rsid w:val="00A46B4C"/>
    <w:rsid w:val="00A470D7"/>
    <w:rsid w:val="00A50055"/>
    <w:rsid w:val="00A5117B"/>
    <w:rsid w:val="00A52552"/>
    <w:rsid w:val="00A54CB5"/>
    <w:rsid w:val="00A55B48"/>
    <w:rsid w:val="00A564F5"/>
    <w:rsid w:val="00A60074"/>
    <w:rsid w:val="00A620A6"/>
    <w:rsid w:val="00A62FDA"/>
    <w:rsid w:val="00A6627C"/>
    <w:rsid w:val="00A71019"/>
    <w:rsid w:val="00A72242"/>
    <w:rsid w:val="00A7758E"/>
    <w:rsid w:val="00A80AB6"/>
    <w:rsid w:val="00A80D95"/>
    <w:rsid w:val="00A81029"/>
    <w:rsid w:val="00A83E9F"/>
    <w:rsid w:val="00A85676"/>
    <w:rsid w:val="00A86D10"/>
    <w:rsid w:val="00A95580"/>
    <w:rsid w:val="00A96489"/>
    <w:rsid w:val="00AA09C9"/>
    <w:rsid w:val="00AA1618"/>
    <w:rsid w:val="00AA364D"/>
    <w:rsid w:val="00AA55B5"/>
    <w:rsid w:val="00AA5D86"/>
    <w:rsid w:val="00AA651B"/>
    <w:rsid w:val="00AA68F0"/>
    <w:rsid w:val="00AA7B7F"/>
    <w:rsid w:val="00AB063E"/>
    <w:rsid w:val="00AB45BC"/>
    <w:rsid w:val="00AB685C"/>
    <w:rsid w:val="00AB6C2D"/>
    <w:rsid w:val="00AC08F7"/>
    <w:rsid w:val="00AC3839"/>
    <w:rsid w:val="00AC3C41"/>
    <w:rsid w:val="00AC4C4F"/>
    <w:rsid w:val="00AC4E8F"/>
    <w:rsid w:val="00AC7082"/>
    <w:rsid w:val="00AD2931"/>
    <w:rsid w:val="00AD2FEA"/>
    <w:rsid w:val="00AD3A49"/>
    <w:rsid w:val="00AD3C85"/>
    <w:rsid w:val="00AD513F"/>
    <w:rsid w:val="00AD6870"/>
    <w:rsid w:val="00AD70BC"/>
    <w:rsid w:val="00AE2316"/>
    <w:rsid w:val="00AE4E5A"/>
    <w:rsid w:val="00AE74BA"/>
    <w:rsid w:val="00AF228E"/>
    <w:rsid w:val="00AF3DDE"/>
    <w:rsid w:val="00B016A8"/>
    <w:rsid w:val="00B070D2"/>
    <w:rsid w:val="00B12499"/>
    <w:rsid w:val="00B12EF7"/>
    <w:rsid w:val="00B14819"/>
    <w:rsid w:val="00B15E2F"/>
    <w:rsid w:val="00B15EF4"/>
    <w:rsid w:val="00B17AA9"/>
    <w:rsid w:val="00B203A2"/>
    <w:rsid w:val="00B24C5A"/>
    <w:rsid w:val="00B24D0D"/>
    <w:rsid w:val="00B30D9A"/>
    <w:rsid w:val="00B344A1"/>
    <w:rsid w:val="00B35939"/>
    <w:rsid w:val="00B36F5F"/>
    <w:rsid w:val="00B42AA6"/>
    <w:rsid w:val="00B4451C"/>
    <w:rsid w:val="00B44713"/>
    <w:rsid w:val="00B44AA3"/>
    <w:rsid w:val="00B45997"/>
    <w:rsid w:val="00B524C2"/>
    <w:rsid w:val="00B56103"/>
    <w:rsid w:val="00B642B8"/>
    <w:rsid w:val="00B64929"/>
    <w:rsid w:val="00B6769F"/>
    <w:rsid w:val="00B70CB2"/>
    <w:rsid w:val="00B736DF"/>
    <w:rsid w:val="00B743D6"/>
    <w:rsid w:val="00B74FBD"/>
    <w:rsid w:val="00B76F28"/>
    <w:rsid w:val="00B779CE"/>
    <w:rsid w:val="00B77F46"/>
    <w:rsid w:val="00B82586"/>
    <w:rsid w:val="00B829A3"/>
    <w:rsid w:val="00B8353D"/>
    <w:rsid w:val="00B83E47"/>
    <w:rsid w:val="00B85813"/>
    <w:rsid w:val="00B86DB1"/>
    <w:rsid w:val="00B87869"/>
    <w:rsid w:val="00B91B11"/>
    <w:rsid w:val="00B96CE3"/>
    <w:rsid w:val="00BA094D"/>
    <w:rsid w:val="00BA1B14"/>
    <w:rsid w:val="00BA1FC0"/>
    <w:rsid w:val="00BA543A"/>
    <w:rsid w:val="00BB0F2B"/>
    <w:rsid w:val="00BB1E29"/>
    <w:rsid w:val="00BB38D1"/>
    <w:rsid w:val="00BB59EA"/>
    <w:rsid w:val="00BC7AC2"/>
    <w:rsid w:val="00BD5BB9"/>
    <w:rsid w:val="00BD73DA"/>
    <w:rsid w:val="00BD7657"/>
    <w:rsid w:val="00BE4013"/>
    <w:rsid w:val="00BE4FF3"/>
    <w:rsid w:val="00BE61C0"/>
    <w:rsid w:val="00BF0739"/>
    <w:rsid w:val="00BF50F7"/>
    <w:rsid w:val="00BF6E37"/>
    <w:rsid w:val="00BF77DA"/>
    <w:rsid w:val="00C00B20"/>
    <w:rsid w:val="00C00E77"/>
    <w:rsid w:val="00C02F29"/>
    <w:rsid w:val="00C03FB7"/>
    <w:rsid w:val="00C14E07"/>
    <w:rsid w:val="00C15FA2"/>
    <w:rsid w:val="00C20AFE"/>
    <w:rsid w:val="00C22A25"/>
    <w:rsid w:val="00C30F37"/>
    <w:rsid w:val="00C35671"/>
    <w:rsid w:val="00C35B77"/>
    <w:rsid w:val="00C35F52"/>
    <w:rsid w:val="00C36925"/>
    <w:rsid w:val="00C376EB"/>
    <w:rsid w:val="00C41420"/>
    <w:rsid w:val="00C458FD"/>
    <w:rsid w:val="00C46A92"/>
    <w:rsid w:val="00C46DF7"/>
    <w:rsid w:val="00C46EC1"/>
    <w:rsid w:val="00C52796"/>
    <w:rsid w:val="00C538E6"/>
    <w:rsid w:val="00C53E2C"/>
    <w:rsid w:val="00C550C8"/>
    <w:rsid w:val="00C56B61"/>
    <w:rsid w:val="00C606C3"/>
    <w:rsid w:val="00C60B56"/>
    <w:rsid w:val="00C60B85"/>
    <w:rsid w:val="00C620F4"/>
    <w:rsid w:val="00C63E03"/>
    <w:rsid w:val="00C72848"/>
    <w:rsid w:val="00C75584"/>
    <w:rsid w:val="00C7729F"/>
    <w:rsid w:val="00C7736C"/>
    <w:rsid w:val="00C826A4"/>
    <w:rsid w:val="00C82D87"/>
    <w:rsid w:val="00C835AC"/>
    <w:rsid w:val="00C8434A"/>
    <w:rsid w:val="00C8712A"/>
    <w:rsid w:val="00C92A95"/>
    <w:rsid w:val="00C963D3"/>
    <w:rsid w:val="00CA277B"/>
    <w:rsid w:val="00CA7069"/>
    <w:rsid w:val="00CB1983"/>
    <w:rsid w:val="00CB1A03"/>
    <w:rsid w:val="00CB2CBB"/>
    <w:rsid w:val="00CB4DE3"/>
    <w:rsid w:val="00CB6C31"/>
    <w:rsid w:val="00CB7CAC"/>
    <w:rsid w:val="00CC5335"/>
    <w:rsid w:val="00CC5BA4"/>
    <w:rsid w:val="00CD4998"/>
    <w:rsid w:val="00CE1035"/>
    <w:rsid w:val="00CE4206"/>
    <w:rsid w:val="00CE568C"/>
    <w:rsid w:val="00CE6E50"/>
    <w:rsid w:val="00CE7F1B"/>
    <w:rsid w:val="00CF06A9"/>
    <w:rsid w:val="00CF2819"/>
    <w:rsid w:val="00CF3EEA"/>
    <w:rsid w:val="00CF4F9D"/>
    <w:rsid w:val="00CF70DC"/>
    <w:rsid w:val="00D03BE5"/>
    <w:rsid w:val="00D148DC"/>
    <w:rsid w:val="00D1583B"/>
    <w:rsid w:val="00D174D3"/>
    <w:rsid w:val="00D17FDC"/>
    <w:rsid w:val="00D20A2F"/>
    <w:rsid w:val="00D21F62"/>
    <w:rsid w:val="00D2664C"/>
    <w:rsid w:val="00D26E26"/>
    <w:rsid w:val="00D27656"/>
    <w:rsid w:val="00D30D5E"/>
    <w:rsid w:val="00D3251C"/>
    <w:rsid w:val="00D34562"/>
    <w:rsid w:val="00D359A2"/>
    <w:rsid w:val="00D42ABA"/>
    <w:rsid w:val="00D43B3A"/>
    <w:rsid w:val="00D45083"/>
    <w:rsid w:val="00D509A5"/>
    <w:rsid w:val="00D5594B"/>
    <w:rsid w:val="00D56B4E"/>
    <w:rsid w:val="00D608A4"/>
    <w:rsid w:val="00D60E46"/>
    <w:rsid w:val="00D63EFD"/>
    <w:rsid w:val="00D651FD"/>
    <w:rsid w:val="00D66805"/>
    <w:rsid w:val="00D66F96"/>
    <w:rsid w:val="00D701A5"/>
    <w:rsid w:val="00D72FC5"/>
    <w:rsid w:val="00D743B8"/>
    <w:rsid w:val="00D75351"/>
    <w:rsid w:val="00D776DA"/>
    <w:rsid w:val="00D84752"/>
    <w:rsid w:val="00D869FD"/>
    <w:rsid w:val="00D86B3B"/>
    <w:rsid w:val="00D8748A"/>
    <w:rsid w:val="00D87F94"/>
    <w:rsid w:val="00D9187D"/>
    <w:rsid w:val="00D93196"/>
    <w:rsid w:val="00D95023"/>
    <w:rsid w:val="00D95496"/>
    <w:rsid w:val="00D976BA"/>
    <w:rsid w:val="00DA0DC0"/>
    <w:rsid w:val="00DB14DF"/>
    <w:rsid w:val="00DB1D76"/>
    <w:rsid w:val="00DB243C"/>
    <w:rsid w:val="00DB482A"/>
    <w:rsid w:val="00DB56F2"/>
    <w:rsid w:val="00DB6EF5"/>
    <w:rsid w:val="00DB709C"/>
    <w:rsid w:val="00DC3089"/>
    <w:rsid w:val="00DC4420"/>
    <w:rsid w:val="00DC643E"/>
    <w:rsid w:val="00DD0802"/>
    <w:rsid w:val="00DD2DF4"/>
    <w:rsid w:val="00DD2E11"/>
    <w:rsid w:val="00DD47EF"/>
    <w:rsid w:val="00DE03AF"/>
    <w:rsid w:val="00DE121C"/>
    <w:rsid w:val="00DE27BE"/>
    <w:rsid w:val="00DE6633"/>
    <w:rsid w:val="00DE7B7E"/>
    <w:rsid w:val="00DF0864"/>
    <w:rsid w:val="00DF1D04"/>
    <w:rsid w:val="00DF668F"/>
    <w:rsid w:val="00DF75F8"/>
    <w:rsid w:val="00DF7A3A"/>
    <w:rsid w:val="00E00C00"/>
    <w:rsid w:val="00E03AF0"/>
    <w:rsid w:val="00E07C5A"/>
    <w:rsid w:val="00E1400D"/>
    <w:rsid w:val="00E15BA9"/>
    <w:rsid w:val="00E15C50"/>
    <w:rsid w:val="00E1675D"/>
    <w:rsid w:val="00E21585"/>
    <w:rsid w:val="00E26E19"/>
    <w:rsid w:val="00E30C8A"/>
    <w:rsid w:val="00E31DF3"/>
    <w:rsid w:val="00E36039"/>
    <w:rsid w:val="00E424E1"/>
    <w:rsid w:val="00E450A4"/>
    <w:rsid w:val="00E506BE"/>
    <w:rsid w:val="00E50A5B"/>
    <w:rsid w:val="00E55547"/>
    <w:rsid w:val="00E56853"/>
    <w:rsid w:val="00E56882"/>
    <w:rsid w:val="00E6014E"/>
    <w:rsid w:val="00E604A1"/>
    <w:rsid w:val="00E6302B"/>
    <w:rsid w:val="00E6452F"/>
    <w:rsid w:val="00E64F45"/>
    <w:rsid w:val="00E6742D"/>
    <w:rsid w:val="00E71CB0"/>
    <w:rsid w:val="00E721AF"/>
    <w:rsid w:val="00E77C3D"/>
    <w:rsid w:val="00E81160"/>
    <w:rsid w:val="00E81291"/>
    <w:rsid w:val="00E81934"/>
    <w:rsid w:val="00E83CE8"/>
    <w:rsid w:val="00E844BE"/>
    <w:rsid w:val="00E90991"/>
    <w:rsid w:val="00E909F0"/>
    <w:rsid w:val="00E90D47"/>
    <w:rsid w:val="00E919E5"/>
    <w:rsid w:val="00E93993"/>
    <w:rsid w:val="00E9597C"/>
    <w:rsid w:val="00EA0913"/>
    <w:rsid w:val="00EA3002"/>
    <w:rsid w:val="00EA5B00"/>
    <w:rsid w:val="00EA6215"/>
    <w:rsid w:val="00EB146B"/>
    <w:rsid w:val="00EB1BD6"/>
    <w:rsid w:val="00EB45AC"/>
    <w:rsid w:val="00EB5CA4"/>
    <w:rsid w:val="00EC00F9"/>
    <w:rsid w:val="00EC242E"/>
    <w:rsid w:val="00EC6624"/>
    <w:rsid w:val="00ED0BC4"/>
    <w:rsid w:val="00ED20E8"/>
    <w:rsid w:val="00ED472A"/>
    <w:rsid w:val="00ED4D18"/>
    <w:rsid w:val="00ED54B6"/>
    <w:rsid w:val="00ED596A"/>
    <w:rsid w:val="00EE4971"/>
    <w:rsid w:val="00EE4C5E"/>
    <w:rsid w:val="00EE5ED0"/>
    <w:rsid w:val="00EF090E"/>
    <w:rsid w:val="00EF7EA7"/>
    <w:rsid w:val="00F006D3"/>
    <w:rsid w:val="00F0312A"/>
    <w:rsid w:val="00F033DA"/>
    <w:rsid w:val="00F03F33"/>
    <w:rsid w:val="00F04580"/>
    <w:rsid w:val="00F077B4"/>
    <w:rsid w:val="00F12888"/>
    <w:rsid w:val="00F13FB1"/>
    <w:rsid w:val="00F20078"/>
    <w:rsid w:val="00F212A2"/>
    <w:rsid w:val="00F27CD8"/>
    <w:rsid w:val="00F30342"/>
    <w:rsid w:val="00F30351"/>
    <w:rsid w:val="00F31620"/>
    <w:rsid w:val="00F32E3F"/>
    <w:rsid w:val="00F3323E"/>
    <w:rsid w:val="00F341F4"/>
    <w:rsid w:val="00F34F9D"/>
    <w:rsid w:val="00F35C9B"/>
    <w:rsid w:val="00F35CCE"/>
    <w:rsid w:val="00F37DCE"/>
    <w:rsid w:val="00F45115"/>
    <w:rsid w:val="00F52274"/>
    <w:rsid w:val="00F5524B"/>
    <w:rsid w:val="00F60538"/>
    <w:rsid w:val="00F61DD2"/>
    <w:rsid w:val="00F66AFF"/>
    <w:rsid w:val="00F7110A"/>
    <w:rsid w:val="00F71433"/>
    <w:rsid w:val="00F715D7"/>
    <w:rsid w:val="00F74F6A"/>
    <w:rsid w:val="00F7614F"/>
    <w:rsid w:val="00F76CD4"/>
    <w:rsid w:val="00F814B4"/>
    <w:rsid w:val="00F81B44"/>
    <w:rsid w:val="00F82719"/>
    <w:rsid w:val="00F83464"/>
    <w:rsid w:val="00F84085"/>
    <w:rsid w:val="00F877C2"/>
    <w:rsid w:val="00F925C0"/>
    <w:rsid w:val="00F93BE7"/>
    <w:rsid w:val="00F94F27"/>
    <w:rsid w:val="00F97C5B"/>
    <w:rsid w:val="00F97D35"/>
    <w:rsid w:val="00FA3D50"/>
    <w:rsid w:val="00FB5881"/>
    <w:rsid w:val="00FB6122"/>
    <w:rsid w:val="00FB7FBD"/>
    <w:rsid w:val="00FC235E"/>
    <w:rsid w:val="00FC374A"/>
    <w:rsid w:val="00FC3ACD"/>
    <w:rsid w:val="00FC48D8"/>
    <w:rsid w:val="00FC7B47"/>
    <w:rsid w:val="00FD035C"/>
    <w:rsid w:val="00FD09AC"/>
    <w:rsid w:val="00FD1A35"/>
    <w:rsid w:val="00FD36C5"/>
    <w:rsid w:val="00FD6310"/>
    <w:rsid w:val="00FD70C8"/>
    <w:rsid w:val="00FD7C7B"/>
    <w:rsid w:val="00FE0FC2"/>
    <w:rsid w:val="00FE1D12"/>
    <w:rsid w:val="00FE2122"/>
    <w:rsid w:val="00FE2A86"/>
    <w:rsid w:val="00FE2DE2"/>
    <w:rsid w:val="00FE3EAC"/>
    <w:rsid w:val="00FE4439"/>
    <w:rsid w:val="00FF296F"/>
    <w:rsid w:val="00FF4AE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E42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sourcehub.bakermckenzie.com/en/resources/global-restructuring-and-insolvency-guide/subpages/european-union" TargetMode="External"/><Relationship Id="rId2" Type="http://schemas.openxmlformats.org/officeDocument/2006/relationships/hyperlink" Target="https://kluwerlawonline.com/journalarticle/European+Business+Law+Review/33.6/EULR2022036" TargetMode="External"/><Relationship Id="rId1" Type="http://schemas.openxmlformats.org/officeDocument/2006/relationships/hyperlink" Target="https://bobwessels.nl/blog/2019-01-doc3-modified-universalism-in-european-cross-border-insolvency/" TargetMode="External"/><Relationship Id="rId5" Type="http://schemas.openxmlformats.org/officeDocument/2006/relationships/hyperlink" Target="http://curia.europa.eu/juris/showPdf.jsf?docid=57045&amp;doclang=EN" TargetMode="External"/><Relationship Id="rId4" Type="http://schemas.openxmlformats.org/officeDocument/2006/relationships/hyperlink" Target="http://curia.europa.eu/juris/showPdf.jsf?docid=57045&amp;doc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8337</Words>
  <Characters>47524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Rashika Sharma</cp:lastModifiedBy>
  <cp:revision>3</cp:revision>
  <cp:lastPrinted>2019-08-27T05:42:00Z</cp:lastPrinted>
  <dcterms:created xsi:type="dcterms:W3CDTF">2023-07-05T08:54:00Z</dcterms:created>
  <dcterms:modified xsi:type="dcterms:W3CDTF">2023-07-05T08:55:00Z</dcterms:modified>
</cp:coreProperties>
</file>